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BEAC9" w14:textId="68FDAF49" w:rsidR="000B0920" w:rsidRPr="00554AB0" w:rsidRDefault="00857C38" w:rsidP="00857C38">
      <w:pPr>
        <w:jc w:val="right"/>
        <w:rPr>
          <w:rFonts w:ascii="Cambria" w:hAnsi="Cambria"/>
          <w:sz w:val="20"/>
          <w:szCs w:val="20"/>
          <w:lang w:val="fr-FR"/>
        </w:rPr>
      </w:pPr>
      <w:proofErr w:type="gramStart"/>
      <w:r w:rsidRPr="00554AB0">
        <w:rPr>
          <w:rFonts w:ascii="Cambria" w:hAnsi="Cambria"/>
          <w:b/>
          <w:bCs/>
          <w:sz w:val="20"/>
          <w:szCs w:val="20"/>
          <w:lang w:val="fr-FR"/>
        </w:rPr>
        <w:t>Original</w:t>
      </w:r>
      <w:r w:rsidRPr="00554AB0">
        <w:rPr>
          <w:rFonts w:ascii="Cambria" w:hAnsi="Cambria"/>
          <w:sz w:val="20"/>
          <w:szCs w:val="20"/>
          <w:lang w:val="fr-FR"/>
        </w:rPr>
        <w:t>:</w:t>
      </w:r>
      <w:proofErr w:type="gramEnd"/>
      <w:r w:rsidRPr="00554AB0">
        <w:rPr>
          <w:rFonts w:ascii="Cambria" w:hAnsi="Cambria"/>
          <w:sz w:val="20"/>
          <w:szCs w:val="20"/>
          <w:lang w:val="fr-FR"/>
        </w:rPr>
        <w:t xml:space="preserve"> </w:t>
      </w:r>
      <w:proofErr w:type="spellStart"/>
      <w:r w:rsidR="004E1379">
        <w:rPr>
          <w:rFonts w:ascii="Cambria" w:hAnsi="Cambria"/>
          <w:sz w:val="20"/>
          <w:szCs w:val="20"/>
          <w:lang w:val="fr-FR"/>
        </w:rPr>
        <w:t>inglés</w:t>
      </w:r>
      <w:proofErr w:type="spellEnd"/>
    </w:p>
    <w:p w14:paraId="546FFD34" w14:textId="77777777" w:rsidR="00857C38" w:rsidRPr="00554AB0" w:rsidRDefault="00857C38" w:rsidP="00857C38">
      <w:pPr>
        <w:jc w:val="right"/>
        <w:rPr>
          <w:rFonts w:ascii="Cambria" w:hAnsi="Cambria"/>
          <w:sz w:val="20"/>
          <w:szCs w:val="20"/>
          <w:lang w:val="fr-FR"/>
        </w:rPr>
      </w:pPr>
    </w:p>
    <w:p w14:paraId="3CB6C27F" w14:textId="04976879" w:rsidR="00554AB0" w:rsidRDefault="00554AB0" w:rsidP="00554AB0">
      <w:pPr>
        <w:jc w:val="center"/>
        <w:rPr>
          <w:rFonts w:ascii="Cambria" w:hAnsi="Cambria"/>
          <w:b/>
          <w:bCs/>
          <w:sz w:val="20"/>
          <w:szCs w:val="20"/>
          <w:lang w:val="fr-FR"/>
        </w:rPr>
      </w:pPr>
      <w:proofErr w:type="spellStart"/>
      <w:r w:rsidRPr="009353F0">
        <w:rPr>
          <w:rFonts w:ascii="Cambria" w:hAnsi="Cambria"/>
          <w:b/>
          <w:bCs/>
          <w:sz w:val="20"/>
          <w:szCs w:val="20"/>
          <w:lang w:val="fr-FR"/>
        </w:rPr>
        <w:t>R</w:t>
      </w:r>
      <w:r w:rsidR="004E1379">
        <w:rPr>
          <w:rFonts w:ascii="Cambria" w:hAnsi="Cambria"/>
          <w:b/>
          <w:bCs/>
          <w:sz w:val="20"/>
          <w:szCs w:val="20"/>
          <w:lang w:val="fr-FR"/>
        </w:rPr>
        <w:t>espuestas</w:t>
      </w:r>
      <w:proofErr w:type="spellEnd"/>
      <w:r w:rsidR="004E1379">
        <w:rPr>
          <w:rFonts w:ascii="Cambria" w:hAnsi="Cambria"/>
          <w:b/>
          <w:bCs/>
          <w:sz w:val="20"/>
          <w:szCs w:val="20"/>
          <w:lang w:val="fr-FR"/>
        </w:rPr>
        <w:t xml:space="preserve"> y </w:t>
      </w:r>
      <w:proofErr w:type="spellStart"/>
      <w:r w:rsidR="004E1379">
        <w:rPr>
          <w:rFonts w:ascii="Cambria" w:hAnsi="Cambria"/>
          <w:b/>
          <w:bCs/>
          <w:sz w:val="20"/>
          <w:szCs w:val="20"/>
          <w:lang w:val="fr-FR"/>
        </w:rPr>
        <w:t>recomendaciones</w:t>
      </w:r>
      <w:proofErr w:type="spellEnd"/>
      <w:r w:rsidR="004E1379">
        <w:rPr>
          <w:rFonts w:ascii="Cambria" w:hAnsi="Cambria"/>
          <w:b/>
          <w:bCs/>
          <w:sz w:val="20"/>
          <w:szCs w:val="20"/>
          <w:lang w:val="fr-FR"/>
        </w:rPr>
        <w:t xml:space="preserve"> del SCRS pertinentes para la </w:t>
      </w:r>
      <w:proofErr w:type="spellStart"/>
      <w:r w:rsidR="004E1379">
        <w:rPr>
          <w:rFonts w:ascii="Cambria" w:hAnsi="Cambria"/>
          <w:b/>
          <w:bCs/>
          <w:sz w:val="20"/>
          <w:szCs w:val="20"/>
          <w:lang w:val="fr-FR"/>
        </w:rPr>
        <w:t>Subcomisión</w:t>
      </w:r>
      <w:proofErr w:type="spellEnd"/>
      <w:r w:rsidR="004E1379">
        <w:rPr>
          <w:rFonts w:ascii="Cambria" w:hAnsi="Cambria"/>
          <w:b/>
          <w:bCs/>
          <w:sz w:val="20"/>
          <w:szCs w:val="20"/>
          <w:lang w:val="fr-FR"/>
        </w:rPr>
        <w:t xml:space="preserve"> 1</w:t>
      </w:r>
    </w:p>
    <w:p w14:paraId="16DB48D3" w14:textId="77777777" w:rsidR="009353F0" w:rsidRPr="00554AB0" w:rsidRDefault="009353F0" w:rsidP="00857C38">
      <w:pPr>
        <w:jc w:val="center"/>
        <w:rPr>
          <w:rFonts w:ascii="Cambria" w:hAnsi="Cambria"/>
          <w:b/>
          <w:bCs/>
          <w:sz w:val="20"/>
          <w:szCs w:val="20"/>
          <w:lang w:val="fr-FR"/>
        </w:rPr>
      </w:pPr>
    </w:p>
    <w:p w14:paraId="6058AC61" w14:textId="77777777" w:rsidR="004E1379" w:rsidRPr="004E1379" w:rsidRDefault="004E1379" w:rsidP="004E1379">
      <w:pPr>
        <w:jc w:val="both"/>
        <w:rPr>
          <w:rFonts w:ascii="Cambria" w:eastAsia="Aptos" w:hAnsi="Cambria" w:cs="Aptos"/>
          <w:sz w:val="20"/>
          <w:szCs w:val="20"/>
          <w14:ligatures w14:val="standardContextual"/>
        </w:rPr>
      </w:pPr>
      <w:r w:rsidRPr="004E1379">
        <w:rPr>
          <w:rFonts w:ascii="Cambria" w:eastAsia="Aptos" w:hAnsi="Cambria" w:cs="Aptos"/>
          <w:sz w:val="20"/>
          <w:szCs w:val="20"/>
          <w14:ligatures w14:val="standardContextual"/>
        </w:rPr>
        <w:t>Las respuestas de 2026 a la Comisión y las recomendaciones del SCRS relativas a la Subcomisión 1 fueron recopiladas por la Secretaría directamente a partir del informe de la reunión plenaria del SCRS de 2026 (documento PLE-104). Las recomendaciones con implicaciones financieras no figuran en el presente documento, ya que se incluyen en el apéndice 2 del presupuesto de ICCAT (documento STF-203).</w:t>
      </w:r>
    </w:p>
    <w:p w14:paraId="206D36BB" w14:textId="77777777" w:rsidR="009353F0" w:rsidRPr="004E1379" w:rsidRDefault="009353F0" w:rsidP="009353F0">
      <w:pPr>
        <w:rPr>
          <w:rFonts w:ascii="Cambria" w:hAnsi="Cambria"/>
          <w:b/>
          <w:bCs/>
          <w:sz w:val="20"/>
          <w:szCs w:val="20"/>
        </w:rPr>
      </w:pPr>
    </w:p>
    <w:p w14:paraId="2CE71E95" w14:textId="77777777" w:rsidR="004E1379" w:rsidRDefault="009353F0" w:rsidP="009353F0">
      <w:pPr>
        <w:rPr>
          <w:rFonts w:ascii="Cambria" w:hAnsi="Cambria"/>
          <w:b/>
          <w:bCs/>
          <w:sz w:val="20"/>
          <w:szCs w:val="20"/>
          <w:lang w:val="fr-FR"/>
        </w:rPr>
      </w:pPr>
      <w:proofErr w:type="spellStart"/>
      <w:r w:rsidRPr="009353F0">
        <w:rPr>
          <w:rFonts w:ascii="Cambria" w:hAnsi="Cambria"/>
          <w:b/>
          <w:bCs/>
          <w:sz w:val="20"/>
          <w:szCs w:val="20"/>
          <w:lang w:val="fr-FR"/>
        </w:rPr>
        <w:t>R</w:t>
      </w:r>
      <w:r w:rsidR="004E1379">
        <w:rPr>
          <w:rFonts w:ascii="Cambria" w:hAnsi="Cambria"/>
          <w:b/>
          <w:bCs/>
          <w:sz w:val="20"/>
          <w:szCs w:val="20"/>
          <w:lang w:val="fr-FR"/>
        </w:rPr>
        <w:t>espuestas</w:t>
      </w:r>
      <w:proofErr w:type="spellEnd"/>
      <w:r w:rsidR="004E1379">
        <w:rPr>
          <w:rFonts w:ascii="Cambria" w:hAnsi="Cambria"/>
          <w:b/>
          <w:bCs/>
          <w:sz w:val="20"/>
          <w:szCs w:val="20"/>
          <w:lang w:val="fr-FR"/>
        </w:rPr>
        <w:t xml:space="preserve"> a la </w:t>
      </w:r>
      <w:proofErr w:type="spellStart"/>
      <w:r w:rsidR="004E1379">
        <w:rPr>
          <w:rFonts w:ascii="Cambria" w:hAnsi="Cambria"/>
          <w:b/>
          <w:bCs/>
          <w:sz w:val="20"/>
          <w:szCs w:val="20"/>
          <w:lang w:val="fr-FR"/>
        </w:rPr>
        <w:t>Comisión</w:t>
      </w:r>
      <w:proofErr w:type="spellEnd"/>
    </w:p>
    <w:p w14:paraId="3961E050" w14:textId="77777777" w:rsidR="004E1379" w:rsidRDefault="004E1379" w:rsidP="00F81087">
      <w:pPr>
        <w:jc w:val="both"/>
        <w:rPr>
          <w:rFonts w:ascii="Cambria" w:hAnsi="Cambria"/>
          <w:b/>
          <w:i/>
          <w:sz w:val="20"/>
          <w:szCs w:val="20"/>
          <w:lang w:val="fr-FR"/>
        </w:rPr>
      </w:pPr>
    </w:p>
    <w:p w14:paraId="059924DA" w14:textId="77777777" w:rsidR="001D38A7" w:rsidRPr="000A5982" w:rsidRDefault="001D38A7" w:rsidP="001D38A7">
      <w:pPr>
        <w:jc w:val="both"/>
        <w:rPr>
          <w:rFonts w:ascii="Cambria" w:hAnsi="Cambria"/>
          <w:i/>
          <w:iCs/>
          <w:sz w:val="20"/>
          <w:szCs w:val="20"/>
        </w:rPr>
      </w:pPr>
      <w:r w:rsidRPr="000A5982">
        <w:rPr>
          <w:rFonts w:ascii="Cambria" w:hAnsi="Cambria"/>
          <w:b/>
          <w:bCs/>
          <w:i/>
          <w:iCs/>
          <w:sz w:val="20"/>
          <w:szCs w:val="20"/>
        </w:rPr>
        <w:t>19.34 Proporción máxima de barcos de apoyo,</w:t>
      </w:r>
      <w:r w:rsidRPr="000A5982">
        <w:rPr>
          <w:rFonts w:ascii="Cambria" w:hAnsi="Cambria"/>
          <w:i/>
          <w:iCs/>
          <w:sz w:val="20"/>
          <w:szCs w:val="20"/>
        </w:rPr>
        <w:t xml:space="preserve"> </w:t>
      </w:r>
      <w:hyperlink r:id="rId8" w:history="1">
        <w:r w:rsidRPr="000A5982">
          <w:rPr>
            <w:rStyle w:val="Hyperlink"/>
            <w:rFonts w:ascii="Cambria" w:hAnsi="Cambria"/>
            <w:b/>
            <w:i/>
            <w:sz w:val="20"/>
            <w:szCs w:val="20"/>
            <w:u w:val="none"/>
          </w:rPr>
          <w:t>Rec. 24-01,</w:t>
        </w:r>
      </w:hyperlink>
      <w:r w:rsidRPr="000A5982">
        <w:rPr>
          <w:rFonts w:ascii="Cambria" w:hAnsi="Cambria"/>
          <w:b/>
          <w:i/>
          <w:sz w:val="20"/>
          <w:szCs w:val="20"/>
        </w:rPr>
        <w:t xml:space="preserve"> párr. 27 </w:t>
      </w:r>
    </w:p>
    <w:p w14:paraId="5F2769AE" w14:textId="77777777" w:rsidR="001D38A7" w:rsidRPr="000A5982" w:rsidRDefault="001D38A7" w:rsidP="001D38A7">
      <w:pPr>
        <w:jc w:val="both"/>
        <w:rPr>
          <w:rFonts w:ascii="Cambria" w:hAnsi="Cambria"/>
          <w:sz w:val="20"/>
          <w:szCs w:val="20"/>
        </w:rPr>
      </w:pPr>
    </w:p>
    <w:p w14:paraId="060E11AE" w14:textId="77777777" w:rsidR="001D38A7" w:rsidRPr="0099704B" w:rsidRDefault="001D38A7" w:rsidP="001D38A7">
      <w:pPr>
        <w:tabs>
          <w:tab w:val="left" w:pos="7655"/>
        </w:tabs>
        <w:jc w:val="both"/>
        <w:rPr>
          <w:rFonts w:ascii="Cambria" w:hAnsi="Cambria"/>
          <w:i/>
          <w:sz w:val="20"/>
          <w:szCs w:val="20"/>
        </w:rPr>
      </w:pPr>
      <w:r w:rsidRPr="000A5982">
        <w:rPr>
          <w:rFonts w:ascii="Cambria" w:hAnsi="Cambria"/>
          <w:b/>
          <w:i/>
          <w:sz w:val="20"/>
          <w:szCs w:val="20"/>
        </w:rPr>
        <w:t>Contexto:</w:t>
      </w:r>
      <w:r w:rsidRPr="000A5982">
        <w:rPr>
          <w:rFonts w:ascii="Cambria" w:hAnsi="Cambria"/>
          <w:color w:val="212529"/>
          <w:sz w:val="20"/>
          <w:szCs w:val="20"/>
          <w:shd w:val="clear" w:color="auto" w:fill="FFFFFF"/>
        </w:rPr>
        <w:t xml:space="preserve"> </w:t>
      </w:r>
      <w:r w:rsidRPr="000A5982">
        <w:rPr>
          <w:rFonts w:ascii="Cambria" w:hAnsi="Cambria"/>
          <w:i/>
          <w:sz w:val="20"/>
          <w:szCs w:val="20"/>
        </w:rPr>
        <w:t xml:space="preserve">Cualquier CPC que tenga buques que operan, parcialmente o a tiempo completo, en apoyo de los cerqueros comunicará los nombres y características de todos sus buques a la Secretaría de ICCAT, lo que incluye cuántos de dichos buques estaban activos en 2019 en la zona del Convenio de ICCAT, así como los nombres de los cerqueros que recibían el apoyo de cada buque de apoyo. La Secretaría de ICCAT compilará esta información y preparará un informe para que la Comisión pueda considerar el tipo de limitación al que estarán sujetos en un futuro los buques de apoyo, lo que incluye un plan de reducción progresiva, cuando proceda. No </w:t>
      </w:r>
      <w:proofErr w:type="gramStart"/>
      <w:r w:rsidRPr="000A5982">
        <w:rPr>
          <w:rFonts w:ascii="Cambria" w:hAnsi="Cambria"/>
          <w:i/>
          <w:sz w:val="20"/>
          <w:szCs w:val="20"/>
        </w:rPr>
        <w:t>obstante</w:t>
      </w:r>
      <w:proofErr w:type="gramEnd"/>
      <w:r w:rsidRPr="000A5982">
        <w:rPr>
          <w:rFonts w:ascii="Cambria" w:hAnsi="Cambria"/>
          <w:i/>
          <w:sz w:val="20"/>
          <w:szCs w:val="20"/>
        </w:rPr>
        <w:t xml:space="preserve"> lo anterior, las CPC no aumentarán el número de buques de apoyo con respecto al número de buques de apoyo activos en 2019; esto no se aplica a los nuevos participantes en las pesquerías de cerco, para los que puede definirse en 2025 una proporción máxima de buques de apoyo basándose en la recomendación del SCRS.</w:t>
      </w:r>
    </w:p>
    <w:p w14:paraId="64C8EF0A" w14:textId="77777777" w:rsidR="001D38A7" w:rsidRPr="0099704B" w:rsidRDefault="001D38A7" w:rsidP="001D38A7">
      <w:pPr>
        <w:tabs>
          <w:tab w:val="left" w:pos="7655"/>
        </w:tabs>
        <w:jc w:val="both"/>
        <w:rPr>
          <w:rFonts w:ascii="Cambria" w:hAnsi="Cambria"/>
          <w:i/>
          <w:sz w:val="20"/>
          <w:szCs w:val="20"/>
        </w:rPr>
      </w:pPr>
    </w:p>
    <w:p w14:paraId="0B8740A2" w14:textId="77777777" w:rsidR="001D38A7" w:rsidRPr="000A5982" w:rsidRDefault="001D38A7" w:rsidP="001D38A7">
      <w:pPr>
        <w:jc w:val="both"/>
        <w:rPr>
          <w:rFonts w:ascii="Cambria" w:eastAsia="Aptos" w:hAnsi="Cambria" w:cs="Arial"/>
          <w:kern w:val="2"/>
          <w:sz w:val="20"/>
          <w:szCs w:val="20"/>
        </w:rPr>
      </w:pPr>
      <w:r w:rsidRPr="000A5982">
        <w:rPr>
          <w:rFonts w:ascii="Cambria" w:eastAsia="Aptos" w:hAnsi="Cambria" w:cs="Arial"/>
          <w:kern w:val="2"/>
          <w:sz w:val="20"/>
          <w:szCs w:val="20"/>
        </w:rPr>
        <w:t xml:space="preserve">El apéndice 5 del Informe de la Secretaría sobre investigación y estadísticas [PLE_SCRS_07/2026) ofrece un resumen de la lista de barcos de apoyo comunicada por las CPC (formulario ST07) entre 2010 y 2025 (véase la </w:t>
      </w:r>
      <w:r w:rsidRPr="000A5982">
        <w:rPr>
          <w:rFonts w:ascii="Cambria" w:eastAsia="Aptos" w:hAnsi="Cambria" w:cs="Arial"/>
          <w:b/>
          <w:bCs/>
          <w:kern w:val="2"/>
          <w:sz w:val="20"/>
          <w:szCs w:val="20"/>
        </w:rPr>
        <w:t>tabla 19.34.1</w:t>
      </w:r>
      <w:r w:rsidRPr="000A5982">
        <w:rPr>
          <w:rFonts w:ascii="Cambria" w:eastAsia="Aptos" w:hAnsi="Cambria" w:cs="Arial"/>
          <w:kern w:val="2"/>
          <w:sz w:val="20"/>
          <w:szCs w:val="20"/>
        </w:rPr>
        <w:t>. Sin embargo, tal y como se ha indicado en respuestas anteriores, el Comité no puede establecer una correlación entre la actividad de un buque de apoyo concreto y las capturas, el esfuerzo o las tasas de captura totales de los buques que reciben dichas actividades de apoyo, ya que las CPC no facilitan datos sobre las capturas totales ni el esfuerzo (Tarea 2 CE ETRO) por buque. Por lo tanto, el Comité no está en condiciones de recomendar un número concreto de barcos de apoyo ni una aproximación para estimar una «actividad de apoyo limitada». El Comité observó que el número de buques de apoyo notificados por las CPC ha disminuido en los últimos años</w:t>
      </w:r>
    </w:p>
    <w:p w14:paraId="5EC72CD7" w14:textId="77777777" w:rsidR="001D38A7" w:rsidRPr="000A5982" w:rsidRDefault="001D38A7" w:rsidP="001D38A7">
      <w:pPr>
        <w:jc w:val="both"/>
        <w:rPr>
          <w:rFonts w:ascii="Cambria" w:eastAsia="Aptos" w:hAnsi="Cambria" w:cs="Arial"/>
          <w:kern w:val="2"/>
          <w:sz w:val="22"/>
          <w:szCs w:val="22"/>
        </w:rPr>
      </w:pPr>
    </w:p>
    <w:p w14:paraId="1A101178" w14:textId="77777777" w:rsidR="001D38A7" w:rsidRPr="000A5982" w:rsidRDefault="001D38A7" w:rsidP="001D38A7">
      <w:pPr>
        <w:jc w:val="both"/>
        <w:rPr>
          <w:rFonts w:ascii="Cambria" w:eastAsia="Aptos" w:hAnsi="Cambria" w:cs="Arial"/>
          <w:kern w:val="2"/>
          <w:sz w:val="20"/>
          <w:szCs w:val="20"/>
        </w:rPr>
      </w:pPr>
      <w:r w:rsidRPr="000A5982">
        <w:rPr>
          <w:rFonts w:ascii="Cambria" w:eastAsia="Aptos" w:hAnsi="Cambria" w:cs="Arial"/>
          <w:kern w:val="2"/>
          <w:sz w:val="20"/>
          <w:szCs w:val="20"/>
        </w:rPr>
        <w:t>El Comité solicita a la Comisión que facilite una definición más clara y precisa del tipo de análisis que se requiere.</w:t>
      </w:r>
    </w:p>
    <w:p w14:paraId="757AE881" w14:textId="77777777" w:rsidR="001D38A7" w:rsidRDefault="001D38A7" w:rsidP="001D38A7">
      <w:pPr>
        <w:spacing w:after="160"/>
        <w:rPr>
          <w:rFonts w:ascii="Cambria" w:eastAsia="Aptos" w:hAnsi="Cambria" w:cs="Arial"/>
          <w:kern w:val="2"/>
          <w:sz w:val="22"/>
          <w:szCs w:val="22"/>
        </w:rPr>
      </w:pPr>
      <w:r>
        <w:rPr>
          <w:rFonts w:ascii="Cambria" w:eastAsia="Aptos" w:hAnsi="Cambria" w:cs="Arial"/>
          <w:kern w:val="2"/>
          <w:sz w:val="22"/>
          <w:szCs w:val="22"/>
        </w:rPr>
        <w:br w:type="page"/>
      </w:r>
    </w:p>
    <w:p w14:paraId="07369ABF" w14:textId="77777777" w:rsidR="001D38A7" w:rsidRPr="000A5982" w:rsidRDefault="001D38A7" w:rsidP="001D38A7">
      <w:pPr>
        <w:jc w:val="both"/>
        <w:rPr>
          <w:rFonts w:ascii="Cambria" w:eastAsia="Aptos" w:hAnsi="Cambria" w:cs="Arial"/>
          <w:kern w:val="2"/>
          <w:sz w:val="22"/>
          <w:szCs w:val="22"/>
        </w:rPr>
      </w:pPr>
    </w:p>
    <w:p w14:paraId="54DB4ADB" w14:textId="77777777" w:rsidR="001D38A7" w:rsidRPr="000A5982" w:rsidRDefault="001D38A7" w:rsidP="001D38A7">
      <w:pPr>
        <w:jc w:val="both"/>
        <w:rPr>
          <w:rFonts w:ascii="Cambria" w:eastAsia="Aptos" w:hAnsi="Cambria" w:cs="Arial"/>
          <w:kern w:val="2"/>
          <w:sz w:val="20"/>
          <w:szCs w:val="20"/>
        </w:rPr>
      </w:pPr>
      <w:r w:rsidRPr="000A5982">
        <w:rPr>
          <w:rFonts w:ascii="Cambria" w:eastAsia="Aptos" w:hAnsi="Cambria" w:cs="Arial"/>
          <w:b/>
          <w:bCs/>
          <w:kern w:val="2"/>
          <w:sz w:val="20"/>
          <w:szCs w:val="20"/>
        </w:rPr>
        <w:t xml:space="preserve">Tabla 19.34.1. </w:t>
      </w:r>
      <w:r w:rsidRPr="000A5982">
        <w:rPr>
          <w:rFonts w:ascii="Cambria" w:eastAsia="Aptos" w:hAnsi="Cambria" w:cs="Arial"/>
          <w:kern w:val="2"/>
          <w:sz w:val="20"/>
          <w:szCs w:val="20"/>
        </w:rPr>
        <w:t xml:space="preserve">Número de barcos de apoyo y total de buques pesqueros apoyados por ellos, según lo comunicado por la CPC de </w:t>
      </w:r>
      <w:proofErr w:type="gramStart"/>
      <w:r w:rsidRPr="000A5982">
        <w:rPr>
          <w:rFonts w:ascii="Cambria" w:eastAsia="Aptos" w:hAnsi="Cambria" w:cs="Arial"/>
          <w:kern w:val="2"/>
          <w:sz w:val="20"/>
          <w:szCs w:val="20"/>
        </w:rPr>
        <w:t>pabellón(</w:t>
      </w:r>
      <w:proofErr w:type="gramEnd"/>
      <w:r w:rsidRPr="000A5982">
        <w:rPr>
          <w:rFonts w:ascii="Cambria" w:eastAsia="Aptos" w:hAnsi="Cambria" w:cs="Arial"/>
          <w:kern w:val="2"/>
          <w:sz w:val="20"/>
          <w:szCs w:val="20"/>
        </w:rPr>
        <w:t>formulario ST07) durante el periodo de comunicación (apéndice 5 del Informe de la Secretaría sobre investigación y estadísticas [PLE_SCRS_07/2026].</w:t>
      </w:r>
    </w:p>
    <w:p w14:paraId="7BD3999C" w14:textId="77777777" w:rsidR="001D38A7" w:rsidRPr="000A5982" w:rsidRDefault="001D38A7" w:rsidP="001D38A7">
      <w:pPr>
        <w:jc w:val="both"/>
        <w:rPr>
          <w:rFonts w:ascii="Cambria" w:eastAsia="Aptos" w:hAnsi="Cambria" w:cs="Arial"/>
          <w:kern w:val="2"/>
          <w:sz w:val="22"/>
          <w:szCs w:val="22"/>
        </w:rPr>
      </w:pPr>
    </w:p>
    <w:p w14:paraId="7FB8DEA5" w14:textId="77777777" w:rsidR="001D38A7" w:rsidRPr="0099704B" w:rsidRDefault="001D38A7" w:rsidP="001D38A7">
      <w:pPr>
        <w:jc w:val="both"/>
        <w:rPr>
          <w:rFonts w:ascii="Cambria" w:eastAsia="Aptos" w:hAnsi="Cambria" w:cs="Arial"/>
          <w:kern w:val="2"/>
          <w:sz w:val="22"/>
          <w:szCs w:val="22"/>
        </w:rPr>
      </w:pPr>
      <w:r w:rsidRPr="000A5982">
        <w:rPr>
          <w:noProof/>
        </w:rPr>
        <w:drawing>
          <wp:inline distT="0" distB="0" distL="0" distR="0" wp14:anchorId="11ECDBBD" wp14:editId="46B691FD">
            <wp:extent cx="5760085" cy="2082165"/>
            <wp:effectExtent l="0" t="0" r="0" b="0"/>
            <wp:docPr id="152967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28A0092B-C50C-407E-A947-70E740481C1C}">
                          <a14:useLocalDpi xmlns:a14="http://schemas.microsoft.com/office/drawing/2010/main" val="0"/>
                        </a:ext>
                      </a:extLst>
                    </a:blip>
                    <a:srcRect t="24079"/>
                    <a:stretch>
                      <a:fillRect/>
                    </a:stretch>
                  </pic:blipFill>
                  <pic:spPr bwMode="auto">
                    <a:xfrm>
                      <a:off x="0" y="0"/>
                      <a:ext cx="5760085" cy="2082165"/>
                    </a:xfrm>
                    <a:prstGeom prst="rect">
                      <a:avLst/>
                    </a:prstGeom>
                    <a:noFill/>
                    <a:ln>
                      <a:noFill/>
                    </a:ln>
                    <a:extLst>
                      <a:ext uri="{53640926-AAD7-44D8-BBD7-CCE9431645EC}">
                        <a14:shadowObscured xmlns:a14="http://schemas.microsoft.com/office/drawing/2010/main"/>
                      </a:ext>
                    </a:extLst>
                  </pic:spPr>
                </pic:pic>
              </a:graphicData>
            </a:graphic>
          </wp:inline>
        </w:drawing>
      </w:r>
    </w:p>
    <w:p w14:paraId="72424C36" w14:textId="77777777" w:rsidR="001D38A7" w:rsidRPr="0099704B" w:rsidRDefault="001D38A7" w:rsidP="001D38A7">
      <w:pPr>
        <w:tabs>
          <w:tab w:val="left" w:pos="7655"/>
        </w:tabs>
        <w:jc w:val="both"/>
        <w:rPr>
          <w:rFonts w:ascii="Cambria" w:hAnsi="Cambria"/>
          <w:i/>
          <w:iCs/>
          <w:sz w:val="20"/>
          <w:szCs w:val="20"/>
        </w:rPr>
      </w:pPr>
    </w:p>
    <w:p w14:paraId="74729F96" w14:textId="77777777" w:rsidR="001D38A7" w:rsidRPr="0099704B" w:rsidRDefault="001D38A7" w:rsidP="001D38A7">
      <w:pPr>
        <w:tabs>
          <w:tab w:val="left" w:pos="0"/>
          <w:tab w:val="left" w:pos="720"/>
          <w:tab w:val="right" w:pos="8505"/>
          <w:tab w:val="right" w:pos="9072"/>
        </w:tabs>
        <w:ind w:right="4"/>
        <w:jc w:val="both"/>
        <w:rPr>
          <w:rFonts w:ascii="Cambria" w:eastAsia="Cambria" w:hAnsi="Cambria" w:cs="Cambria"/>
          <w:b/>
          <w:iCs/>
          <w:color w:val="000000"/>
          <w:sz w:val="20"/>
          <w:szCs w:val="20"/>
        </w:rPr>
      </w:pPr>
    </w:p>
    <w:p w14:paraId="6C6133F4" w14:textId="77777777" w:rsidR="001D38A7" w:rsidRPr="0099704B" w:rsidRDefault="001D38A7" w:rsidP="001D38A7">
      <w:pPr>
        <w:widowControl w:val="0"/>
        <w:pBdr>
          <w:top w:val="nil"/>
          <w:left w:val="nil"/>
          <w:bottom w:val="nil"/>
          <w:right w:val="nil"/>
          <w:between w:val="nil"/>
        </w:pBdr>
        <w:tabs>
          <w:tab w:val="left" w:pos="142"/>
        </w:tabs>
        <w:jc w:val="both"/>
        <w:rPr>
          <w:rFonts w:ascii="Cambria" w:hAnsi="Cambria"/>
          <w:i/>
          <w:color w:val="000000"/>
          <w:sz w:val="20"/>
          <w:szCs w:val="20"/>
        </w:rPr>
      </w:pPr>
      <w:r w:rsidRPr="000A5982">
        <w:rPr>
          <w:rFonts w:ascii="Cambria" w:hAnsi="Cambria"/>
          <w:b/>
          <w:bCs/>
          <w:i/>
          <w:iCs/>
          <w:sz w:val="20"/>
          <w:szCs w:val="20"/>
        </w:rPr>
        <w:t>19.35 El SCRS llevará a cabo más análisis del efecto de los barcos de apoyo en las capturas de juveniles de patudo y rabil</w:t>
      </w:r>
      <w:r w:rsidRPr="000A5982">
        <w:rPr>
          <w:rFonts w:ascii="Cambria" w:hAnsi="Cambria"/>
          <w:sz w:val="20"/>
          <w:szCs w:val="20"/>
        </w:rPr>
        <w:t xml:space="preserve">, </w:t>
      </w:r>
      <w:r w:rsidRPr="000A5982">
        <w:rPr>
          <w:rFonts w:ascii="Cambria" w:hAnsi="Cambria"/>
          <w:b/>
          <w:i/>
          <w:sz w:val="20"/>
          <w:szCs w:val="20"/>
        </w:rPr>
        <w:t>R</w:t>
      </w:r>
      <w:hyperlink r:id="rId10" w:history="1">
        <w:r w:rsidRPr="000A5982">
          <w:rPr>
            <w:rStyle w:val="Hyperlink"/>
            <w:rFonts w:ascii="Cambria" w:hAnsi="Cambria"/>
            <w:b/>
            <w:i/>
            <w:sz w:val="20"/>
            <w:szCs w:val="20"/>
            <w:u w:val="none"/>
          </w:rPr>
          <w:t>ec. 24-01,</w:t>
        </w:r>
      </w:hyperlink>
      <w:r w:rsidRPr="000A5982">
        <w:rPr>
          <w:rFonts w:ascii="Cambria" w:hAnsi="Cambria"/>
          <w:b/>
          <w:i/>
          <w:color w:val="000000"/>
          <w:sz w:val="20"/>
          <w:szCs w:val="20"/>
        </w:rPr>
        <w:t xml:space="preserve"> párr. 36</w:t>
      </w:r>
    </w:p>
    <w:p w14:paraId="6812F839" w14:textId="77777777" w:rsidR="001D38A7" w:rsidRPr="000A5982" w:rsidRDefault="001D38A7" w:rsidP="001D38A7">
      <w:pPr>
        <w:widowControl w:val="0"/>
        <w:pBdr>
          <w:top w:val="nil"/>
          <w:left w:val="nil"/>
          <w:bottom w:val="nil"/>
          <w:right w:val="nil"/>
          <w:between w:val="nil"/>
        </w:pBdr>
        <w:tabs>
          <w:tab w:val="left" w:pos="142"/>
        </w:tabs>
        <w:jc w:val="both"/>
        <w:rPr>
          <w:rFonts w:ascii="Cambria" w:eastAsia="Cambria" w:hAnsi="Cambria" w:cs="Cambria"/>
          <w:sz w:val="20"/>
          <w:szCs w:val="20"/>
        </w:rPr>
      </w:pPr>
    </w:p>
    <w:p w14:paraId="3AC981CB" w14:textId="77777777" w:rsidR="001D38A7" w:rsidRPr="000A5982" w:rsidRDefault="001D38A7" w:rsidP="001D38A7">
      <w:pPr>
        <w:widowControl w:val="0"/>
        <w:pBdr>
          <w:top w:val="nil"/>
          <w:left w:val="nil"/>
          <w:bottom w:val="nil"/>
          <w:right w:val="nil"/>
          <w:between w:val="nil"/>
        </w:pBdr>
        <w:tabs>
          <w:tab w:val="left" w:pos="142"/>
        </w:tabs>
        <w:jc w:val="both"/>
        <w:rPr>
          <w:rFonts w:ascii="Cambria" w:eastAsia="Aptos" w:hAnsi="Cambria" w:cs="Aptos"/>
          <w:color w:val="000000"/>
          <w:sz w:val="20"/>
          <w:szCs w:val="20"/>
        </w:rPr>
      </w:pPr>
      <w:r w:rsidRPr="000A5982">
        <w:rPr>
          <w:rFonts w:ascii="Cambria" w:eastAsia="Aptos" w:hAnsi="Cambria"/>
          <w:b/>
          <w:kern w:val="2"/>
          <w:sz w:val="20"/>
          <w:szCs w:val="20"/>
          <w14:ligatures w14:val="standardContextual"/>
        </w:rPr>
        <w:t>Contexto:</w:t>
      </w:r>
      <w:r w:rsidRPr="000A5982">
        <w:rPr>
          <w:rFonts w:ascii="Aptos" w:eastAsia="Aptos" w:hAnsi="Aptos"/>
          <w:kern w:val="2"/>
          <w:sz w:val="20"/>
          <w:szCs w:val="20"/>
          <w14:ligatures w14:val="standardContextual"/>
        </w:rPr>
        <w:t xml:space="preserve"> </w:t>
      </w:r>
      <w:r w:rsidRPr="000A5982">
        <w:rPr>
          <w:rFonts w:ascii="Cambria" w:eastAsia="Aptos" w:hAnsi="Cambria"/>
          <w:i/>
          <w:kern w:val="2"/>
          <w:sz w:val="20"/>
          <w:szCs w:val="20"/>
          <w14:ligatures w14:val="standardContextual"/>
        </w:rPr>
        <w:t>El SCRS llevará a cabo más análisis del efecto de los barcos de apoyo en las capturas de juveniles de patudo y rabil que se considerarán en 2025.</w:t>
      </w:r>
    </w:p>
    <w:p w14:paraId="5F850F7A" w14:textId="77777777" w:rsidR="001D38A7" w:rsidRPr="000A5982" w:rsidRDefault="001D38A7" w:rsidP="001D38A7">
      <w:pPr>
        <w:widowControl w:val="0"/>
        <w:pBdr>
          <w:top w:val="nil"/>
          <w:left w:val="nil"/>
          <w:bottom w:val="nil"/>
          <w:right w:val="nil"/>
          <w:between w:val="nil"/>
        </w:pBdr>
        <w:tabs>
          <w:tab w:val="left" w:pos="142"/>
        </w:tabs>
        <w:jc w:val="both"/>
        <w:rPr>
          <w:rFonts w:ascii="Cambria" w:eastAsia="Aptos" w:hAnsi="Cambria"/>
          <w:kern w:val="2"/>
          <w:sz w:val="20"/>
          <w:szCs w:val="20"/>
          <w14:ligatures w14:val="standardContextual"/>
        </w:rPr>
      </w:pPr>
    </w:p>
    <w:p w14:paraId="0EAFA725" w14:textId="77777777" w:rsidR="001D38A7" w:rsidRPr="0099704B" w:rsidRDefault="001D38A7" w:rsidP="001D38A7">
      <w:pPr>
        <w:jc w:val="both"/>
        <w:rPr>
          <w:rFonts w:ascii="Cambria" w:eastAsia="Aptos" w:hAnsi="Cambria"/>
          <w:kern w:val="2"/>
          <w:sz w:val="20"/>
          <w:szCs w:val="20"/>
          <w14:ligatures w14:val="standardContextual"/>
        </w:rPr>
      </w:pPr>
      <w:r w:rsidRPr="000A5982">
        <w:rPr>
          <w:rFonts w:ascii="Cambria" w:eastAsia="Aptos" w:hAnsi="Cambria"/>
          <w:kern w:val="2"/>
          <w:sz w:val="20"/>
          <w:szCs w:val="20"/>
          <w14:ligatures w14:val="standardContextual"/>
        </w:rPr>
        <w:t>El Comité no puede establecer una correlación entre la actividad de un barco de apoyo concreto y las capturas, el esfuerzo pesquero o las tasas generales de captura de los buques que reciben dichas actividades de apoyo, ya que las CPC no facilitan datos sobre las capturas totales ni el esfuerzo pesquero (Tarea 2 CE ETRO) por buque. Por tanto, el Comité no está en condiciones de analizar el efecto de los barcos de apoyo sobre las capturas de rabil y patudo juvenil.</w:t>
      </w:r>
      <w:r w:rsidRPr="0099704B">
        <w:rPr>
          <w:rFonts w:ascii="Cambria" w:eastAsia="Aptos" w:hAnsi="Cambria"/>
          <w:kern w:val="2"/>
          <w:sz w:val="20"/>
          <w:szCs w:val="20"/>
          <w14:ligatures w14:val="standardContextual"/>
        </w:rPr>
        <w:t xml:space="preserve">  </w:t>
      </w:r>
    </w:p>
    <w:p w14:paraId="03ABF888" w14:textId="77777777" w:rsidR="001D38A7" w:rsidRPr="000A5982" w:rsidRDefault="001D38A7" w:rsidP="001D38A7">
      <w:pPr>
        <w:widowControl w:val="0"/>
        <w:pBdr>
          <w:top w:val="nil"/>
          <w:left w:val="nil"/>
          <w:bottom w:val="nil"/>
          <w:right w:val="nil"/>
          <w:between w:val="nil"/>
        </w:pBdr>
        <w:tabs>
          <w:tab w:val="left" w:pos="142"/>
        </w:tabs>
        <w:spacing w:before="1"/>
        <w:jc w:val="both"/>
        <w:rPr>
          <w:rFonts w:ascii="Cambria" w:hAnsi="Cambria"/>
          <w:b/>
          <w:i/>
          <w:sz w:val="20"/>
          <w:szCs w:val="20"/>
        </w:rPr>
      </w:pPr>
      <w:bookmarkStart w:id="0" w:name="bookmark=id.lnxbz9"/>
      <w:bookmarkEnd w:id="0"/>
    </w:p>
    <w:p w14:paraId="776A34D2" w14:textId="77777777" w:rsidR="001D38A7" w:rsidRPr="000A5982" w:rsidRDefault="001D38A7" w:rsidP="001D38A7">
      <w:pPr>
        <w:widowControl w:val="0"/>
        <w:pBdr>
          <w:top w:val="nil"/>
          <w:left w:val="nil"/>
          <w:bottom w:val="nil"/>
          <w:right w:val="nil"/>
          <w:between w:val="nil"/>
        </w:pBdr>
        <w:tabs>
          <w:tab w:val="left" w:pos="142"/>
        </w:tabs>
        <w:spacing w:before="1"/>
        <w:jc w:val="both"/>
        <w:rPr>
          <w:rFonts w:ascii="Cambria" w:eastAsia="Cambria" w:hAnsi="Cambria" w:cs="Cambria"/>
          <w:i/>
          <w:sz w:val="20"/>
          <w:szCs w:val="20"/>
        </w:rPr>
      </w:pPr>
      <w:r w:rsidRPr="000A5982">
        <w:rPr>
          <w:rFonts w:ascii="Cambria" w:hAnsi="Cambria"/>
          <w:b/>
          <w:i/>
          <w:sz w:val="20"/>
          <w:szCs w:val="20"/>
        </w:rPr>
        <w:t xml:space="preserve">19.36 En 2025 el SCRS revisará la información comunicada por las CPC y proporcionará recomendaciones sobre opciones adicionales de ordenación de los DCP a la deriva, incluyendo recomendaciones sobre diseños mejorados de DCP a la deriva, </w:t>
      </w:r>
      <w:hyperlink r:id="rId11" w:history="1">
        <w:r w:rsidRPr="000A5982">
          <w:rPr>
            <w:rStyle w:val="Hyperlink"/>
            <w:rFonts w:ascii="Cambria" w:hAnsi="Cambria"/>
            <w:b/>
            <w:i/>
            <w:sz w:val="20"/>
            <w:szCs w:val="20"/>
            <w:u w:val="none"/>
          </w:rPr>
          <w:t>Rec. 24-01</w:t>
        </w:r>
      </w:hyperlink>
      <w:r w:rsidRPr="000A5982">
        <w:rPr>
          <w:rFonts w:ascii="Cambria" w:hAnsi="Cambria"/>
          <w:b/>
          <w:i/>
          <w:sz w:val="20"/>
          <w:szCs w:val="20"/>
        </w:rPr>
        <w:t>, párr. 51</w:t>
      </w:r>
    </w:p>
    <w:p w14:paraId="40795E11" w14:textId="77777777" w:rsidR="001D38A7" w:rsidRPr="000A5982" w:rsidRDefault="001D38A7" w:rsidP="001D38A7">
      <w:pPr>
        <w:widowControl w:val="0"/>
        <w:pBdr>
          <w:top w:val="nil"/>
          <w:left w:val="nil"/>
          <w:bottom w:val="nil"/>
          <w:right w:val="nil"/>
          <w:between w:val="nil"/>
        </w:pBdr>
        <w:tabs>
          <w:tab w:val="left" w:pos="142"/>
        </w:tabs>
        <w:spacing w:before="1"/>
        <w:jc w:val="both"/>
        <w:rPr>
          <w:rFonts w:ascii="Cambria" w:eastAsia="Cambria" w:hAnsi="Cambria" w:cs="Cambria"/>
          <w:b/>
          <w:bCs/>
          <w:i/>
          <w:iCs/>
          <w:sz w:val="20"/>
          <w:szCs w:val="20"/>
        </w:rPr>
      </w:pPr>
    </w:p>
    <w:p w14:paraId="0B1A7CBC" w14:textId="77777777" w:rsidR="001D38A7" w:rsidRPr="0099704B" w:rsidRDefault="001D38A7" w:rsidP="001D38A7">
      <w:pPr>
        <w:widowControl w:val="0"/>
        <w:pBdr>
          <w:top w:val="nil"/>
          <w:left w:val="nil"/>
          <w:bottom w:val="nil"/>
          <w:right w:val="nil"/>
          <w:between w:val="nil"/>
        </w:pBdr>
        <w:tabs>
          <w:tab w:val="left" w:pos="142"/>
        </w:tabs>
        <w:spacing w:before="1"/>
        <w:jc w:val="both"/>
        <w:rPr>
          <w:rFonts w:ascii="Cambria" w:hAnsi="Cambria"/>
          <w:i/>
          <w:sz w:val="20"/>
          <w:szCs w:val="20"/>
        </w:rPr>
      </w:pPr>
      <w:r w:rsidRPr="000A5982">
        <w:rPr>
          <w:rFonts w:ascii="Cambria" w:hAnsi="Cambria"/>
          <w:b/>
          <w:sz w:val="20"/>
          <w:szCs w:val="20"/>
        </w:rPr>
        <w:t xml:space="preserve">Contexto: </w:t>
      </w:r>
      <w:r w:rsidRPr="000A5982">
        <w:rPr>
          <w:rFonts w:ascii="Cambria" w:hAnsi="Cambria"/>
          <w:i/>
          <w:sz w:val="20"/>
          <w:szCs w:val="20"/>
        </w:rPr>
        <w:t>El SCRS y el Grupo de trabajo IMM revisarán la información comunicada por las CPC y, cuando sea necesario, proporcionarán recomendaciones sobre opciones adicionales de ordenación de DCP a la deriva para su consideración por parte de la Comisión, incluyendo recomendaciones sobre diseños mejorados de DCP a la deriva.</w:t>
      </w:r>
      <w:r w:rsidRPr="0099704B">
        <w:rPr>
          <w:rFonts w:ascii="Cambria" w:hAnsi="Cambria"/>
          <w:i/>
          <w:sz w:val="20"/>
          <w:szCs w:val="20"/>
        </w:rPr>
        <w:t xml:space="preserve"> </w:t>
      </w:r>
    </w:p>
    <w:p w14:paraId="122FE183" w14:textId="77777777" w:rsidR="001D38A7" w:rsidRPr="0099704B" w:rsidRDefault="001D38A7" w:rsidP="001D38A7">
      <w:pPr>
        <w:widowControl w:val="0"/>
        <w:pBdr>
          <w:top w:val="nil"/>
          <w:left w:val="nil"/>
          <w:bottom w:val="nil"/>
          <w:right w:val="nil"/>
          <w:between w:val="nil"/>
        </w:pBdr>
        <w:tabs>
          <w:tab w:val="left" w:pos="142"/>
        </w:tabs>
        <w:spacing w:before="1"/>
        <w:jc w:val="both"/>
        <w:rPr>
          <w:rFonts w:ascii="Cambria" w:hAnsi="Cambria"/>
          <w:i/>
          <w:sz w:val="20"/>
          <w:szCs w:val="20"/>
        </w:rPr>
      </w:pPr>
    </w:p>
    <w:p w14:paraId="51EB0E52" w14:textId="77777777" w:rsidR="001D38A7" w:rsidRPr="0099704B" w:rsidRDefault="001D38A7" w:rsidP="001D38A7">
      <w:pPr>
        <w:widowControl w:val="0"/>
        <w:tabs>
          <w:tab w:val="left" w:pos="142"/>
        </w:tabs>
        <w:jc w:val="both"/>
        <w:rPr>
          <w:rFonts w:ascii="Cambria" w:eastAsia="Aptos" w:hAnsi="Cambria"/>
          <w:kern w:val="2"/>
          <w:sz w:val="20"/>
          <w:szCs w:val="20"/>
          <w14:ligatures w14:val="standardContextual"/>
        </w:rPr>
      </w:pPr>
      <w:r w:rsidRPr="000A5982">
        <w:rPr>
          <w:rFonts w:ascii="Cambria" w:eastAsia="Aptos" w:hAnsi="Cambria"/>
          <w:kern w:val="2"/>
          <w:sz w:val="20"/>
          <w:szCs w:val="20"/>
          <w14:ligatures w14:val="standardContextual"/>
        </w:rPr>
        <w:t xml:space="preserve">En 2026 no se presentó al Comité nueva información y el Grupo de trabajo IMM no formuló ninguna recomendación específica. La Comisión debería tener en cuenta que siguen existiendo iniciativas impulsadas por el sector industrial para adaptar los diseños a los requisitos establecidos en la </w:t>
      </w:r>
      <w:hyperlink r:id="rId12" w:history="1">
        <w:r w:rsidRPr="000A5982">
          <w:rPr>
            <w:rFonts w:ascii="Cambria" w:eastAsia="Aptos" w:hAnsi="Cambria"/>
            <w:color w:val="467886"/>
            <w:kern w:val="2"/>
            <w:sz w:val="20"/>
            <w:szCs w:val="20"/>
            <w14:ligatures w14:val="standardContextual"/>
          </w:rPr>
          <w:t>Rec. 24-01</w:t>
        </w:r>
      </w:hyperlink>
      <w:r w:rsidRPr="000A5982">
        <w:rPr>
          <w:rFonts w:ascii="Cambria" w:eastAsia="Aptos" w:hAnsi="Cambria"/>
          <w:kern w:val="2"/>
          <w:sz w:val="20"/>
          <w:szCs w:val="20"/>
          <w14:ligatures w14:val="standardContextual"/>
        </w:rPr>
        <w:t>. Se informó al Comité de algunas dificultades a la hora de aplicar las directrices, por lo que siguió sugiriendo que, en algún momento, podría resultar útil organizar un taller específico en el que participaran representantes del ámbito científico y de la industria para compartir experiencias y buscar sinergias.</w:t>
      </w:r>
    </w:p>
    <w:p w14:paraId="41912E50" w14:textId="77777777" w:rsidR="001D38A7" w:rsidRPr="0099704B" w:rsidRDefault="001D38A7" w:rsidP="001D38A7">
      <w:pPr>
        <w:widowControl w:val="0"/>
        <w:pBdr>
          <w:top w:val="nil"/>
          <w:left w:val="nil"/>
          <w:bottom w:val="nil"/>
          <w:right w:val="nil"/>
          <w:between w:val="nil"/>
        </w:pBdr>
        <w:tabs>
          <w:tab w:val="left" w:pos="142"/>
        </w:tabs>
        <w:spacing w:before="1"/>
        <w:jc w:val="both"/>
        <w:rPr>
          <w:rFonts w:ascii="Cambria" w:eastAsia="Cambria" w:hAnsi="Cambria" w:cs="Cambria"/>
          <w:i/>
          <w:iCs/>
          <w:sz w:val="20"/>
          <w:szCs w:val="20"/>
        </w:rPr>
      </w:pPr>
    </w:p>
    <w:p w14:paraId="79AA9AAF" w14:textId="77777777" w:rsidR="001D38A7" w:rsidRPr="000A5982" w:rsidRDefault="001D38A7" w:rsidP="001D38A7">
      <w:pPr>
        <w:jc w:val="both"/>
        <w:rPr>
          <w:rFonts w:ascii="Cambria" w:eastAsia="Aptos" w:hAnsi="Cambria" w:cs="Aptos"/>
          <w:b/>
          <w:bCs/>
          <w:i/>
          <w:iCs/>
          <w:sz w:val="20"/>
          <w:szCs w:val="20"/>
        </w:rPr>
      </w:pPr>
      <w:r w:rsidRPr="000A5982">
        <w:rPr>
          <w:rFonts w:ascii="Cambria" w:hAnsi="Cambria"/>
          <w:b/>
          <w:bCs/>
          <w:i/>
          <w:iCs/>
          <w:sz w:val="20"/>
          <w:szCs w:val="20"/>
        </w:rPr>
        <w:t>19.37 El SCRS mejorará el proceso de MSE de acuerdo con la hoja de ruta adoptada por la Comisión</w:t>
      </w:r>
      <w:r w:rsidRPr="000A5982">
        <w:rPr>
          <w:rFonts w:ascii="Cambria" w:hAnsi="Cambria"/>
          <w:b/>
          <w:bCs/>
          <w:i/>
          <w:iCs/>
          <w:color w:val="000000"/>
          <w:sz w:val="20"/>
          <w:szCs w:val="20"/>
        </w:rPr>
        <w:t>,</w:t>
      </w:r>
      <w:r w:rsidRPr="000A5982">
        <w:rPr>
          <w:rFonts w:ascii="Cambria" w:hAnsi="Cambria"/>
          <w:b/>
          <w:i/>
          <w:sz w:val="20"/>
          <w:szCs w:val="20"/>
        </w:rPr>
        <w:t xml:space="preserve"> </w:t>
      </w:r>
      <w:hyperlink r:id="rId13" w:history="1">
        <w:r w:rsidRPr="000A5982">
          <w:rPr>
            <w:rStyle w:val="Hyperlink"/>
            <w:rFonts w:ascii="Cambria" w:hAnsi="Cambria"/>
            <w:b/>
            <w:i/>
            <w:sz w:val="20"/>
            <w:szCs w:val="20"/>
            <w:u w:val="none"/>
          </w:rPr>
          <w:t>Rec. 24-01</w:t>
        </w:r>
      </w:hyperlink>
      <w:r w:rsidRPr="000A5982">
        <w:rPr>
          <w:rFonts w:ascii="Cambria" w:hAnsi="Cambria"/>
          <w:b/>
          <w:bCs/>
          <w:i/>
          <w:iCs/>
          <w:sz w:val="20"/>
          <w:szCs w:val="20"/>
        </w:rPr>
        <w:t>,</w:t>
      </w:r>
      <w:r w:rsidRPr="000A5982">
        <w:rPr>
          <w:rFonts w:ascii="Cambria" w:hAnsi="Cambria"/>
          <w:b/>
          <w:bCs/>
          <w:i/>
          <w:iCs/>
          <w:color w:val="000000"/>
          <w:sz w:val="20"/>
          <w:szCs w:val="20"/>
        </w:rPr>
        <w:t xml:space="preserve"> párr. 75</w:t>
      </w:r>
      <w:r w:rsidRPr="000A5982">
        <w:rPr>
          <w:rFonts w:ascii="Cambria" w:hAnsi="Cambria"/>
          <w:i/>
          <w:iCs/>
          <w:sz w:val="20"/>
          <w:szCs w:val="20"/>
        </w:rPr>
        <w:t xml:space="preserve"> </w:t>
      </w:r>
    </w:p>
    <w:p w14:paraId="20FD33CC" w14:textId="77777777" w:rsidR="001D38A7" w:rsidRPr="000A5982" w:rsidRDefault="001D38A7" w:rsidP="001D38A7">
      <w:pPr>
        <w:rPr>
          <w:rFonts w:ascii="Cambria" w:eastAsia="Aptos" w:hAnsi="Cambria" w:cs="Aptos"/>
          <w:color w:val="000000"/>
          <w:sz w:val="20"/>
          <w:szCs w:val="20"/>
        </w:rPr>
      </w:pPr>
    </w:p>
    <w:p w14:paraId="2CB8D547" w14:textId="77777777" w:rsidR="001D38A7" w:rsidRPr="0099704B" w:rsidRDefault="001D38A7" w:rsidP="001D38A7">
      <w:pPr>
        <w:jc w:val="both"/>
        <w:rPr>
          <w:rFonts w:ascii="Cambria" w:hAnsi="Cambria"/>
          <w:i/>
          <w:color w:val="000000"/>
          <w:sz w:val="20"/>
          <w:szCs w:val="20"/>
        </w:rPr>
      </w:pPr>
      <w:r w:rsidRPr="000A5982">
        <w:rPr>
          <w:rFonts w:ascii="Cambria" w:hAnsi="Cambria"/>
          <w:b/>
          <w:color w:val="000000"/>
          <w:sz w:val="20"/>
          <w:szCs w:val="20"/>
        </w:rPr>
        <w:t xml:space="preserve">Contexto: </w:t>
      </w:r>
      <w:r w:rsidRPr="000A5982">
        <w:rPr>
          <w:rFonts w:ascii="Cambria" w:hAnsi="Cambria"/>
          <w:i/>
          <w:color w:val="000000"/>
          <w:sz w:val="20"/>
          <w:szCs w:val="20"/>
        </w:rPr>
        <w:t xml:space="preserve">El SCRS mejorará el proceso de MSE de acuerdo con la hoja de ruta adoptada por la Comisión. Basándose en las aportaciones de la Subcomisión 1 sobre los objetivos de ordenación operativos provisionales en la Resolución de ICCAT sobre objetivos de ordenación operativos provisionales para el patudo, rabil y stock oriental de listado del Atlántico (Res. 24-02) a partir de 2025, el SCRS debería seguir probando los posibles procedimientos de ordenación. En 2026 o tan pronto como sea posible a partir de entonces, la Comisión examinará los procedimientos de ordenación candidatos, lo que incluye acciones de ordenación </w:t>
      </w:r>
      <w:proofErr w:type="spellStart"/>
      <w:r w:rsidRPr="000A5982">
        <w:rPr>
          <w:rFonts w:ascii="Cambria" w:hAnsi="Cambria"/>
          <w:i/>
          <w:color w:val="000000"/>
          <w:sz w:val="20"/>
          <w:szCs w:val="20"/>
        </w:rPr>
        <w:t>preacordadas</w:t>
      </w:r>
      <w:proofErr w:type="spellEnd"/>
      <w:r w:rsidRPr="000A5982">
        <w:rPr>
          <w:rFonts w:ascii="Cambria" w:hAnsi="Cambria"/>
          <w:i/>
          <w:color w:val="000000"/>
          <w:sz w:val="20"/>
          <w:szCs w:val="20"/>
        </w:rPr>
        <w:t xml:space="preserve"> que se emprenderán según diversas condiciones del stock. Para ello se tendrán en cuenta los impactos </w:t>
      </w:r>
      <w:r w:rsidRPr="000A5982">
        <w:rPr>
          <w:rFonts w:ascii="Cambria" w:hAnsi="Cambria"/>
          <w:i/>
          <w:color w:val="000000"/>
          <w:sz w:val="20"/>
          <w:szCs w:val="20"/>
        </w:rPr>
        <w:lastRenderedPageBreak/>
        <w:t>diferenciales de las operaciones pesqueras (por ejemplo, cerco, palangre y cebo vivo) en la mortalidad de los juveniles y en el rendimiento en RMS, así como otros impactos de dichas pesquerías, lo que incluye impactos sobre la captura fortuita, impactos ecosistémicos e impactos socioeconómicos.</w:t>
      </w:r>
    </w:p>
    <w:p w14:paraId="49DAD929" w14:textId="77777777" w:rsidR="001D38A7" w:rsidRPr="000A5982" w:rsidRDefault="001D38A7" w:rsidP="001D38A7">
      <w:pPr>
        <w:rPr>
          <w:rFonts w:ascii="Cambria" w:eastAsia="Aptos" w:hAnsi="Cambria" w:cs="Aptos"/>
          <w:color w:val="000000"/>
          <w:sz w:val="20"/>
          <w:szCs w:val="20"/>
        </w:rPr>
      </w:pPr>
    </w:p>
    <w:p w14:paraId="6BC9E7F6" w14:textId="77777777" w:rsidR="001D38A7" w:rsidRPr="000A5982" w:rsidRDefault="001D38A7" w:rsidP="001D38A7">
      <w:pPr>
        <w:rPr>
          <w:rFonts w:ascii="Aptos" w:eastAsia="Aptos" w:hAnsi="Aptos"/>
          <w:bCs/>
          <w:i/>
          <w:iCs/>
          <w:sz w:val="20"/>
          <w:szCs w:val="20"/>
          <w14:ligatures w14:val="standardContextual"/>
        </w:rPr>
      </w:pPr>
      <w:r w:rsidRPr="000A5982">
        <w:rPr>
          <w:rFonts w:ascii="Cambria" w:eastAsia="Aptos" w:hAnsi="Cambria"/>
          <w:i/>
          <w:sz w:val="20"/>
          <w14:ligatures w14:val="standardContextual"/>
        </w:rPr>
        <w:t>MSE del listado del Atlántico occidental</w:t>
      </w:r>
    </w:p>
    <w:p w14:paraId="3BD4C20D" w14:textId="77777777" w:rsidR="001D38A7" w:rsidRPr="000A5982" w:rsidRDefault="001D38A7" w:rsidP="001D38A7">
      <w:pPr>
        <w:jc w:val="both"/>
        <w:rPr>
          <w:rFonts w:ascii="Cambria" w:eastAsia="Aptos" w:hAnsi="Cambria"/>
          <w:sz w:val="20"/>
          <w:szCs w:val="20"/>
          <w14:ligatures w14:val="standardContextual"/>
        </w:rPr>
      </w:pPr>
    </w:p>
    <w:p w14:paraId="6C2545F6" w14:textId="77777777" w:rsidR="001D38A7" w:rsidRPr="000A5982" w:rsidRDefault="001D38A7" w:rsidP="001D38A7">
      <w:pPr>
        <w:jc w:val="both"/>
        <w:rPr>
          <w:rFonts w:ascii="Cambria" w:eastAsia="Aptos" w:hAnsi="Cambria"/>
          <w:sz w:val="20"/>
          <w:szCs w:val="20"/>
          <w14:ligatures w14:val="standardContextual"/>
        </w:rPr>
      </w:pPr>
      <w:r w:rsidRPr="000A5982">
        <w:rPr>
          <w:rFonts w:ascii="Cambria" w:eastAsia="Aptos" w:hAnsi="Cambria"/>
          <w:sz w:val="20"/>
          <w14:ligatures w14:val="standardContextual"/>
        </w:rPr>
        <w:t>El desarrollo de la MSE del listado del Atlántico occidental se llevó a cabo siguiendo íntegramente la hoja de ruta del SCRS, sin que fuera necesario reprogramar ninguna de las fases ni revisar el calendario acordado inicialmente. La MSE concluyó en 2025 con la adopción del MP en la reunión anual de la Comisión y la fijación del TAC para el trienio 2026-2028. En consecuencia, el proceso pasó de la fase de desarrollo a la fase operativa de la norma de decisión.</w:t>
      </w:r>
    </w:p>
    <w:p w14:paraId="6CF9D504" w14:textId="77777777" w:rsidR="001D38A7" w:rsidRPr="000A5982" w:rsidRDefault="001D38A7" w:rsidP="001D38A7">
      <w:pPr>
        <w:jc w:val="both"/>
        <w:rPr>
          <w:rFonts w:ascii="Aptos" w:eastAsia="Aptos" w:hAnsi="Aptos"/>
          <w:sz w:val="20"/>
          <w:szCs w:val="20"/>
          <w14:ligatures w14:val="standardContextual"/>
        </w:rPr>
      </w:pPr>
    </w:p>
    <w:p w14:paraId="476DF4F6" w14:textId="77777777" w:rsidR="001D38A7" w:rsidRPr="000A5982" w:rsidRDefault="001D38A7" w:rsidP="001D38A7">
      <w:pPr>
        <w:jc w:val="both"/>
        <w:rPr>
          <w:rFonts w:ascii="Cambria" w:eastAsia="Aptos" w:hAnsi="Cambria"/>
          <w:sz w:val="20"/>
          <w:szCs w:val="20"/>
          <w14:ligatures w14:val="standardContextual"/>
        </w:rPr>
      </w:pPr>
      <w:r w:rsidRPr="000A5982">
        <w:rPr>
          <w:rFonts w:ascii="Cambria" w:eastAsia="Aptos" w:hAnsi="Cambria"/>
          <w:sz w:val="20"/>
          <w14:ligatures w14:val="standardContextual"/>
        </w:rPr>
        <w:t>Las fases posteriores fueron, por lo tanto, de carácter operativo. En 2026, se encomendó al SCRS la elaboración de los criterios especiales de seguimiento para respaldar el ECP, cuya adopción por parte de la Comisión estaba prevista en la reunión anual de ese año, así como la realización de la verificación anual del seguimiento. El siguiente hito importante tendrá lugar en 2028, cuando se active el MP para generar el TAC correspondiente al período 2029-2031, que la Comisión deberá aprobar en su reunión anual de ese año. La revisión del MP y la próxima comprobación del estado del stock seguían previstas para 2031, lo que marcaría la finalización del primer ciclo completo de aplicación de la norma de decisión.</w:t>
      </w:r>
    </w:p>
    <w:p w14:paraId="605B5A9B" w14:textId="77777777" w:rsidR="001D38A7" w:rsidRPr="000A5982" w:rsidRDefault="001D38A7" w:rsidP="001D38A7">
      <w:pPr>
        <w:jc w:val="both"/>
        <w:rPr>
          <w:rFonts w:ascii="Cambria" w:eastAsia="Aptos" w:hAnsi="Cambria"/>
          <w:sz w:val="20"/>
          <w:szCs w:val="20"/>
          <w14:ligatures w14:val="standardContextual"/>
        </w:rPr>
      </w:pPr>
    </w:p>
    <w:p w14:paraId="2BAFD2F6" w14:textId="77777777" w:rsidR="001D38A7" w:rsidRPr="000A5982" w:rsidRDefault="001D38A7" w:rsidP="001D38A7">
      <w:pPr>
        <w:jc w:val="both"/>
        <w:rPr>
          <w:rFonts w:ascii="Cambria" w:eastAsia="Aptos" w:hAnsi="Cambria"/>
          <w:i/>
          <w:iCs/>
          <w:sz w:val="20"/>
          <w:szCs w:val="20"/>
          <w14:ligatures w14:val="standardContextual"/>
        </w:rPr>
      </w:pPr>
      <w:r w:rsidRPr="000A5982">
        <w:rPr>
          <w:rFonts w:ascii="Cambria" w:eastAsia="Aptos" w:hAnsi="Cambria"/>
          <w:i/>
          <w:sz w:val="20"/>
          <w14:ligatures w14:val="standardContextual"/>
        </w:rPr>
        <w:t xml:space="preserve">MSE </w:t>
      </w:r>
      <w:proofErr w:type="spellStart"/>
      <w:r w:rsidRPr="000A5982">
        <w:rPr>
          <w:rFonts w:ascii="Cambria" w:eastAsia="Aptos" w:hAnsi="Cambria"/>
          <w:i/>
          <w:sz w:val="20"/>
          <w14:ligatures w14:val="standardContextual"/>
        </w:rPr>
        <w:t>multistock</w:t>
      </w:r>
      <w:proofErr w:type="spellEnd"/>
      <w:r w:rsidRPr="000A5982">
        <w:rPr>
          <w:rFonts w:ascii="Cambria" w:eastAsia="Aptos" w:hAnsi="Cambria"/>
          <w:i/>
          <w:sz w:val="20"/>
          <w14:ligatures w14:val="standardContextual"/>
        </w:rPr>
        <w:t xml:space="preserve"> para los túnidos tropicales</w:t>
      </w:r>
    </w:p>
    <w:p w14:paraId="133CFB5D" w14:textId="77777777" w:rsidR="001D38A7" w:rsidRPr="000A5982" w:rsidRDefault="001D38A7" w:rsidP="001D38A7">
      <w:pPr>
        <w:jc w:val="both"/>
        <w:rPr>
          <w:rFonts w:ascii="Cambria" w:eastAsia="Aptos" w:hAnsi="Cambria"/>
          <w:sz w:val="20"/>
          <w:szCs w:val="20"/>
          <w14:ligatures w14:val="standardContextual"/>
        </w:rPr>
      </w:pPr>
    </w:p>
    <w:p w14:paraId="2583EA04" w14:textId="77777777" w:rsidR="001D38A7" w:rsidRDefault="001D38A7" w:rsidP="001D38A7">
      <w:pPr>
        <w:jc w:val="both"/>
        <w:rPr>
          <w:rFonts w:ascii="Cambria" w:eastAsia="Aptos" w:hAnsi="Cambria"/>
          <w:sz w:val="20"/>
          <w14:ligatures w14:val="standardContextual"/>
        </w:rPr>
      </w:pPr>
      <w:r w:rsidRPr="000A5982">
        <w:rPr>
          <w:rFonts w:ascii="Cambria" w:eastAsia="Aptos" w:hAnsi="Cambria"/>
          <w:sz w:val="20"/>
          <w14:ligatures w14:val="standardContextual"/>
        </w:rPr>
        <w:t xml:space="preserve">El plan de trabajo para el proceso de la MSE </w:t>
      </w:r>
      <w:proofErr w:type="spellStart"/>
      <w:r w:rsidRPr="000A5982">
        <w:rPr>
          <w:rFonts w:ascii="Cambria" w:eastAsia="Aptos" w:hAnsi="Cambria"/>
          <w:sz w:val="20"/>
          <w14:ligatures w14:val="standardContextual"/>
        </w:rPr>
        <w:t>multistock</w:t>
      </w:r>
      <w:proofErr w:type="spellEnd"/>
      <w:r w:rsidRPr="000A5982">
        <w:rPr>
          <w:rFonts w:ascii="Cambria" w:eastAsia="Aptos" w:hAnsi="Cambria"/>
          <w:sz w:val="20"/>
          <w14:ligatures w14:val="standardContextual"/>
        </w:rPr>
        <w:t xml:space="preserve"> para los túnidos tropicales se ha revisado tras el reconocimiento por parte del Comité de que varios elementos clave del marco MSE requieren un mayor desarrollo antes de que los procedimientos de ordenación candidatos (CMP) puedan presentarse a la Comisión para su consideración. Un elemento fundamental de este trabajo es la evaluación actualizada del stock de listado del Atlántico oriental (E-SKJ), cuyos resultados son necesarios para reajustar los modelos operativos (OM) de este stock. Sin esta actualización, el E-SKJ no podría representarse en el marco conjunto sobre una base analítica adecuada, y las interacciones técnicas entre los tres stocks, incluidos los posibles efectos asociados a una especie limitante, seguirían sin estar suficientemente caracterizadas. En consecuencia, el Comité prevé ahora que los trabajos técnicos de la MSE </w:t>
      </w:r>
      <w:proofErr w:type="spellStart"/>
      <w:r w:rsidRPr="000A5982">
        <w:rPr>
          <w:rFonts w:ascii="Cambria" w:eastAsia="Aptos" w:hAnsi="Cambria"/>
          <w:sz w:val="20"/>
          <w14:ligatures w14:val="standardContextual"/>
        </w:rPr>
        <w:t>multistocks</w:t>
      </w:r>
      <w:proofErr w:type="spellEnd"/>
      <w:r w:rsidRPr="000A5982">
        <w:rPr>
          <w:rFonts w:ascii="Cambria" w:eastAsia="Aptos" w:hAnsi="Cambria"/>
          <w:sz w:val="20"/>
          <w14:ligatures w14:val="standardContextual"/>
        </w:rPr>
        <w:t xml:space="preserve"> no concluyan antes de 2028, en lugar de 2027, como se había indicado anteriormente (reunión intersesiones de la Subcomisión 1, 5 a 7 de mayo de 2026).</w:t>
      </w:r>
    </w:p>
    <w:p w14:paraId="50B55D04" w14:textId="77777777" w:rsidR="001D38A7" w:rsidRPr="000A5982" w:rsidRDefault="001D38A7" w:rsidP="001D38A7">
      <w:pPr>
        <w:jc w:val="both"/>
        <w:rPr>
          <w:rFonts w:ascii="Aptos" w:eastAsia="Aptos" w:hAnsi="Aptos"/>
          <w:sz w:val="20"/>
          <w:szCs w:val="20"/>
          <w14:ligatures w14:val="standardContextual"/>
        </w:rPr>
      </w:pPr>
    </w:p>
    <w:p w14:paraId="58BE39D1" w14:textId="77777777" w:rsidR="001D38A7" w:rsidRPr="000A5982" w:rsidRDefault="001D38A7" w:rsidP="001D38A7">
      <w:pPr>
        <w:jc w:val="both"/>
        <w:rPr>
          <w:rFonts w:ascii="Aptos" w:eastAsia="Aptos" w:hAnsi="Aptos"/>
          <w:sz w:val="20"/>
          <w:szCs w:val="20"/>
          <w14:ligatures w14:val="standardContextual"/>
        </w:rPr>
      </w:pPr>
      <w:r w:rsidRPr="000A5982">
        <w:rPr>
          <w:rFonts w:ascii="Cambria" w:eastAsia="Aptos" w:hAnsi="Cambria"/>
          <w:sz w:val="20"/>
          <w14:ligatures w14:val="standardContextual"/>
        </w:rPr>
        <w:t xml:space="preserve">El enfoque revisado tiene por objeto mantener el impulso del proceso en su conjunto, permitiendo que la elaboración y evaluación de los CMP para el rabil (YFT) y el patudo (BET) se lleven a cabo de forma independiente y en paralelo, mientras se reacondicionan los OM de SKJ-E. En consecuencia, en 2027, el Comité se centrará en perfeccionar el marco de MSE y en evaluar los CMP para BET y YFT, incorporando las orientaciones proporcionadas por la sesión plenaria del SCRS y la Subcomisión 1 (incluida la comparación de los resultados del CMP que usan métodos que </w:t>
      </w:r>
      <w:proofErr w:type="spellStart"/>
      <w:r w:rsidRPr="000A5982">
        <w:rPr>
          <w:rFonts w:ascii="Cambria" w:eastAsia="Aptos" w:hAnsi="Cambria"/>
          <w:sz w:val="20"/>
          <w14:ligatures w14:val="standardContextual"/>
        </w:rPr>
        <w:t>remuestrean</w:t>
      </w:r>
      <w:proofErr w:type="spellEnd"/>
      <w:r w:rsidRPr="000A5982">
        <w:rPr>
          <w:rFonts w:ascii="Cambria" w:eastAsia="Aptos" w:hAnsi="Cambria"/>
          <w:sz w:val="20"/>
          <w14:ligatures w14:val="standardContextual"/>
        </w:rPr>
        <w:t xml:space="preserve"> los índices históricos o que utilizan índices históricos fijos) Al mismo tiempo, se reajustarán los OM del E-SKJ a partir de los resultados de la evaluación de stock actualizada, mientras que proseguirá el desarrollo del marco </w:t>
      </w:r>
      <w:proofErr w:type="spellStart"/>
      <w:r w:rsidRPr="000A5982">
        <w:rPr>
          <w:rFonts w:ascii="Cambria" w:eastAsia="Aptos" w:hAnsi="Cambria"/>
          <w:sz w:val="20"/>
          <w14:ligatures w14:val="standardContextual"/>
        </w:rPr>
        <w:t>multistock</w:t>
      </w:r>
      <w:proofErr w:type="spellEnd"/>
      <w:r w:rsidRPr="000A5982">
        <w:rPr>
          <w:rFonts w:ascii="Cambria" w:eastAsia="Aptos" w:hAnsi="Cambria"/>
          <w:sz w:val="20"/>
          <w14:ligatures w14:val="standardContextual"/>
        </w:rPr>
        <w:t xml:space="preserve"> utilizando los CMP para BET y YFT para ilustrar las consecuencias de las interacciones técnicas y el posible efecto de las especies limitantes. Al separar aquellos componentes que pueden avanzar de inmediato de aquellos que dependen de una base analítica actualizada, este enfoque facilita el desarrollo y la comprensión continuos de la MSE de </w:t>
      </w:r>
      <w:proofErr w:type="spellStart"/>
      <w:r w:rsidRPr="000A5982">
        <w:rPr>
          <w:rFonts w:ascii="Cambria" w:eastAsia="Aptos" w:hAnsi="Cambria"/>
          <w:sz w:val="20"/>
          <w14:ligatures w14:val="standardContextual"/>
        </w:rPr>
        <w:t>multistock</w:t>
      </w:r>
      <w:proofErr w:type="spellEnd"/>
      <w:r w:rsidRPr="000A5982">
        <w:rPr>
          <w:rFonts w:ascii="Cambria" w:eastAsia="Aptos" w:hAnsi="Cambria"/>
          <w:sz w:val="20"/>
          <w14:ligatures w14:val="standardContextual"/>
        </w:rPr>
        <w:t xml:space="preserve"> sin retrasar el avance en los componentes restantes.</w:t>
      </w:r>
    </w:p>
    <w:p w14:paraId="14BCFF30" w14:textId="77777777" w:rsidR="001D38A7" w:rsidRPr="000A5982" w:rsidRDefault="001D38A7" w:rsidP="001D38A7">
      <w:pPr>
        <w:jc w:val="both"/>
        <w:rPr>
          <w:rFonts w:ascii="Aptos" w:eastAsia="Aptos" w:hAnsi="Aptos"/>
          <w:sz w:val="20"/>
          <w:szCs w:val="20"/>
          <w14:ligatures w14:val="standardContextual"/>
        </w:rPr>
      </w:pPr>
    </w:p>
    <w:p w14:paraId="31969C5F" w14:textId="77777777" w:rsidR="001D38A7" w:rsidRPr="000A5982" w:rsidRDefault="001D38A7" w:rsidP="001D38A7">
      <w:pPr>
        <w:jc w:val="both"/>
        <w:rPr>
          <w:rFonts w:ascii="Cambria" w:eastAsia="Aptos" w:hAnsi="Cambria"/>
          <w:sz w:val="20"/>
          <w14:ligatures w14:val="standardContextual"/>
        </w:rPr>
      </w:pPr>
      <w:r w:rsidRPr="000A5982">
        <w:rPr>
          <w:rFonts w:ascii="Cambria" w:eastAsia="Aptos" w:hAnsi="Cambria"/>
          <w:sz w:val="20"/>
          <w14:ligatures w14:val="standardContextual"/>
        </w:rPr>
        <w:t>En 2028, los procedimientos de ordenación para BET, YFT y E-SKJ se evaluarán de</w:t>
      </w:r>
      <w:r w:rsidRPr="0099704B">
        <w:rPr>
          <w:rFonts w:ascii="Cambria" w:eastAsia="Aptos" w:hAnsi="Cambria"/>
          <w:sz w:val="20"/>
          <w14:ligatures w14:val="standardContextual"/>
        </w:rPr>
        <w:t xml:space="preserve"> </w:t>
      </w:r>
      <w:r w:rsidRPr="000A5982">
        <w:rPr>
          <w:rFonts w:ascii="Cambria" w:eastAsia="Aptos" w:hAnsi="Cambria"/>
          <w:sz w:val="20"/>
          <w14:ligatures w14:val="standardContextual"/>
        </w:rPr>
        <w:t xml:space="preserve">forma independiente y en el marco de la MSE </w:t>
      </w:r>
      <w:proofErr w:type="spellStart"/>
      <w:r w:rsidRPr="000A5982">
        <w:rPr>
          <w:rFonts w:ascii="Cambria" w:eastAsia="Aptos" w:hAnsi="Cambria"/>
          <w:sz w:val="20"/>
          <w14:ligatures w14:val="standardContextual"/>
        </w:rPr>
        <w:t>multistock</w:t>
      </w:r>
      <w:proofErr w:type="spellEnd"/>
      <w:r w:rsidRPr="000A5982">
        <w:rPr>
          <w:rFonts w:ascii="Cambria" w:eastAsia="Aptos" w:hAnsi="Cambria"/>
          <w:sz w:val="20"/>
          <w14:ligatures w14:val="standardContextual"/>
        </w:rPr>
        <w:t xml:space="preserve">. Este trabajo irá acompañado de la estandarización y actualización de los índices de abundancia necesarios para la aplicación del CMP, incluidos los índices PLL, BAI y PSFAD combinados. El objetivo es facilitar que se considere la adopción del MP en la reunión anual de 2028, junto con los TAC correspondientes para el período de ordenación 2029-2031. A ello le precedería una reunión intersesiones de la Subcomisión 1 para ofrecer orientación sobre el diseño de los CMP, así como una reunión de embajadores. </w:t>
      </w:r>
    </w:p>
    <w:p w14:paraId="79F9AA5F" w14:textId="77777777" w:rsidR="001D38A7" w:rsidRPr="000A5982" w:rsidRDefault="001D38A7" w:rsidP="001D38A7">
      <w:pPr>
        <w:jc w:val="both"/>
        <w:rPr>
          <w:rFonts w:ascii="Cambria" w:eastAsia="Aptos" w:hAnsi="Cambria"/>
          <w:sz w:val="20"/>
          <w14:ligatures w14:val="standardContextual"/>
        </w:rPr>
      </w:pPr>
    </w:p>
    <w:p w14:paraId="7A09F1C0" w14:textId="77777777" w:rsidR="001D38A7" w:rsidRPr="000A5982" w:rsidRDefault="001D38A7" w:rsidP="001D38A7">
      <w:pPr>
        <w:jc w:val="both"/>
        <w:rPr>
          <w:rFonts w:ascii="Cambria" w:eastAsia="Aptos" w:hAnsi="Cambria"/>
          <w:sz w:val="20"/>
          <w14:ligatures w14:val="standardContextual"/>
        </w:rPr>
      </w:pPr>
      <w:r w:rsidRPr="0099704B">
        <w:rPr>
          <w:rFonts w:ascii="Cambria" w:eastAsia="Aptos" w:hAnsi="Cambria"/>
          <w:sz w:val="20"/>
          <w14:ligatures w14:val="standardContextual"/>
        </w:rPr>
        <w:t>E</w:t>
      </w:r>
      <w:r w:rsidRPr="000A5982">
        <w:rPr>
          <w:rFonts w:ascii="Cambria" w:eastAsia="Aptos" w:hAnsi="Cambria"/>
          <w:sz w:val="20"/>
          <w14:ligatures w14:val="standardContextual"/>
        </w:rPr>
        <w:t xml:space="preserve">l Comité llevará a cabo asimismo una revisión por pares del marco MSE </w:t>
      </w:r>
      <w:proofErr w:type="spellStart"/>
      <w:r w:rsidRPr="000A5982">
        <w:rPr>
          <w:rFonts w:ascii="Cambria" w:eastAsia="Aptos" w:hAnsi="Cambria"/>
          <w:sz w:val="20"/>
          <w14:ligatures w14:val="standardContextual"/>
        </w:rPr>
        <w:t>multistock</w:t>
      </w:r>
      <w:proofErr w:type="spellEnd"/>
      <w:r w:rsidRPr="000A5982">
        <w:rPr>
          <w:rFonts w:ascii="Cambria" w:eastAsia="Aptos" w:hAnsi="Cambria"/>
          <w:sz w:val="20"/>
          <w14:ligatures w14:val="standardContextual"/>
        </w:rPr>
        <w:t xml:space="preserve"> en 2028.</w:t>
      </w:r>
    </w:p>
    <w:p w14:paraId="6A8C3AAC" w14:textId="77777777" w:rsidR="001D38A7" w:rsidRPr="000A5982" w:rsidRDefault="001D38A7" w:rsidP="001D38A7">
      <w:pPr>
        <w:jc w:val="both"/>
        <w:rPr>
          <w:rFonts w:ascii="Cambria" w:eastAsia="Aptos" w:hAnsi="Cambria"/>
          <w:sz w:val="20"/>
          <w14:ligatures w14:val="standardContextual"/>
        </w:rPr>
      </w:pPr>
    </w:p>
    <w:p w14:paraId="20B3D64B" w14:textId="77777777" w:rsidR="001D38A7" w:rsidRPr="000A5982" w:rsidRDefault="001D38A7" w:rsidP="001D38A7">
      <w:pPr>
        <w:jc w:val="both"/>
        <w:rPr>
          <w:rFonts w:ascii="Aptos" w:eastAsia="Aptos" w:hAnsi="Aptos"/>
          <w:sz w:val="20"/>
          <w:szCs w:val="20"/>
          <w14:ligatures w14:val="standardContextual"/>
        </w:rPr>
      </w:pPr>
      <w:r w:rsidRPr="000A5982">
        <w:rPr>
          <w:rFonts w:ascii="Cambria" w:eastAsia="Aptos" w:hAnsi="Cambria"/>
          <w:sz w:val="20"/>
          <w14:ligatures w14:val="standardContextual"/>
        </w:rPr>
        <w:lastRenderedPageBreak/>
        <w:t>En 2029, el Comité elaboraría y evaluaría los criterios relativos a las circunstancias excepcionales, tras lo cual se examinaría el protocolo de circunstancias excepcionales (ECP) con vistas a su posible adopción por parte de la Comisión en su reunión anual</w:t>
      </w:r>
      <w:r w:rsidRPr="0099704B">
        <w:rPr>
          <w:rFonts w:ascii="Cambria" w:eastAsia="Aptos" w:hAnsi="Cambria"/>
          <w:sz w:val="20"/>
          <w14:ligatures w14:val="standardContextual"/>
        </w:rPr>
        <w:t>.</w:t>
      </w:r>
    </w:p>
    <w:p w14:paraId="2E30ADC0" w14:textId="77777777" w:rsidR="001D38A7" w:rsidRPr="000A5982" w:rsidRDefault="001D38A7" w:rsidP="001D38A7">
      <w:pPr>
        <w:jc w:val="both"/>
        <w:rPr>
          <w:rFonts w:ascii="Aptos" w:eastAsia="Aptos" w:hAnsi="Aptos"/>
          <w:sz w:val="20"/>
          <w:szCs w:val="20"/>
          <w14:ligatures w14:val="standardContextual"/>
        </w:rPr>
      </w:pPr>
    </w:p>
    <w:p w14:paraId="1C866290" w14:textId="77777777" w:rsidR="001D38A7" w:rsidRPr="0099704B" w:rsidRDefault="001D38A7" w:rsidP="001D38A7">
      <w:pPr>
        <w:jc w:val="both"/>
        <w:rPr>
          <w:rFonts w:ascii="Aptos" w:eastAsia="Aptos" w:hAnsi="Aptos"/>
          <w:sz w:val="20"/>
          <w:szCs w:val="20"/>
          <w14:ligatures w14:val="standardContextual"/>
        </w:rPr>
      </w:pPr>
      <w:r w:rsidRPr="000A5982">
        <w:rPr>
          <w:rFonts w:ascii="Cambria" w:eastAsia="Aptos" w:hAnsi="Cambria"/>
          <w:sz w:val="20"/>
          <w14:ligatures w14:val="standardContextual"/>
        </w:rPr>
        <w:t xml:space="preserve">Estas revisiones van acompañadas de un refuerzo deliberado de los aspectos relacionados con la comunicación y la participación de las partes interesadas en el proceso de MSE. Esto incluye el desarrollo continuo de representaciones gráficas y de la aplicación Shiny como herramientas para explorar y comunicar los resultados de la MSE, junto con una interacción más intensa con la Subcomisión 1 a través de reuniones intersesiones y seminarios web de los embajadores. El objetivo es informar sobre los avances, las actividades previstas y los resultados preliminares tanto de las MSE de un solo stock como </w:t>
      </w:r>
      <w:proofErr w:type="spellStart"/>
      <w:r w:rsidRPr="000A5982">
        <w:rPr>
          <w:rFonts w:ascii="Cambria" w:eastAsia="Aptos" w:hAnsi="Cambria"/>
          <w:sz w:val="20"/>
          <w14:ligatures w14:val="standardContextual"/>
        </w:rPr>
        <w:t>multistock</w:t>
      </w:r>
      <w:proofErr w:type="spellEnd"/>
      <w:r w:rsidRPr="000A5982">
        <w:rPr>
          <w:rFonts w:ascii="Cambria" w:eastAsia="Aptos" w:hAnsi="Cambria"/>
          <w:sz w:val="20"/>
          <w14:ligatures w14:val="standardContextual"/>
        </w:rPr>
        <w:t>, al tiempo que ofrecen a la Subcomisión 1 la oportunidad de orientar el desarrollo posterior del proceso. Esta participación reviste especial importancia dada la naturaleza de las decisiones de ordenación de que se trata. Demostrar</w:t>
      </w:r>
      <w:r w:rsidRPr="0099704B">
        <w:rPr>
          <w:rFonts w:ascii="Cambria" w:eastAsia="Aptos" w:hAnsi="Cambria"/>
          <w:sz w:val="20"/>
          <w14:ligatures w14:val="standardContextual"/>
        </w:rPr>
        <w:t xml:space="preserve"> </w:t>
      </w:r>
      <w:r w:rsidRPr="000A5982">
        <w:rPr>
          <w:rFonts w:ascii="Cambria" w:eastAsia="Aptos" w:hAnsi="Cambria"/>
          <w:sz w:val="20"/>
          <w14:ligatures w14:val="standardContextual"/>
        </w:rPr>
        <w:t>los factores de compensación entre los rendimientos específicos de cada stock dentro de un marco que represente explícitamente las interacciones técnicas, es necesario llegar a un acuerdo previo sobre los objetivos de ordenación operativos.</w:t>
      </w:r>
      <w:r w:rsidRPr="0099704B">
        <w:rPr>
          <w:rFonts w:ascii="Cambria" w:eastAsia="Aptos" w:hAnsi="Cambria"/>
          <w:sz w:val="20"/>
          <w14:ligatures w14:val="standardContextual"/>
        </w:rPr>
        <w:t xml:space="preserve"> </w:t>
      </w:r>
    </w:p>
    <w:p w14:paraId="6A7FF08C" w14:textId="77777777" w:rsidR="001D38A7" w:rsidRPr="0099704B" w:rsidRDefault="001D38A7" w:rsidP="001D38A7">
      <w:pPr>
        <w:jc w:val="both"/>
        <w:rPr>
          <w:rFonts w:ascii="Cambria" w:eastAsia="Aptos" w:hAnsi="Cambria" w:cs="Aptos"/>
          <w:i/>
          <w:iCs/>
          <w:sz w:val="20"/>
          <w:szCs w:val="20"/>
        </w:rPr>
      </w:pPr>
    </w:p>
    <w:p w14:paraId="493C1A94" w14:textId="77777777" w:rsidR="001D38A7" w:rsidRPr="000A5982" w:rsidRDefault="001D38A7" w:rsidP="001D38A7">
      <w:pPr>
        <w:jc w:val="both"/>
        <w:rPr>
          <w:rFonts w:ascii="Cambria" w:eastAsia="Cambria" w:hAnsi="Cambria" w:cs="Cambria"/>
          <w:bCs/>
          <w:i/>
          <w:color w:val="000000"/>
          <w:sz w:val="20"/>
          <w:szCs w:val="20"/>
        </w:rPr>
      </w:pPr>
      <w:r w:rsidRPr="000A5982">
        <w:rPr>
          <w:rFonts w:ascii="Cambria" w:hAnsi="Cambria"/>
          <w:b/>
          <w:i/>
          <w:sz w:val="20"/>
          <w:szCs w:val="20"/>
        </w:rPr>
        <w:t>19.38 El SCRS explorará la eficacia que podrían tener las vedas completas de pesquerías en línea para reducir las capturas de túnidos tropicales hasta los niveles acordados,</w:t>
      </w:r>
      <w:r w:rsidRPr="000A5982">
        <w:rPr>
          <w:rFonts w:ascii="Cambria" w:hAnsi="Cambria"/>
          <w:b/>
          <w:i/>
          <w:color w:val="000000"/>
          <w:sz w:val="20"/>
          <w:szCs w:val="20"/>
        </w:rPr>
        <w:t xml:space="preserve"> </w:t>
      </w:r>
      <w:hyperlink r:id="rId14" w:history="1">
        <w:r w:rsidRPr="000A5982">
          <w:rPr>
            <w:rStyle w:val="Hyperlink"/>
            <w:rFonts w:ascii="Cambria" w:hAnsi="Cambria"/>
            <w:b/>
            <w:i/>
            <w:sz w:val="20"/>
            <w:szCs w:val="20"/>
            <w:u w:val="none"/>
          </w:rPr>
          <w:t xml:space="preserve">Rec. 24-01 </w:t>
        </w:r>
      </w:hyperlink>
      <w:r w:rsidRPr="000A5982">
        <w:rPr>
          <w:rFonts w:ascii="Cambria" w:hAnsi="Cambria"/>
          <w:b/>
          <w:i/>
          <w:color w:val="000000"/>
          <w:sz w:val="20"/>
          <w:szCs w:val="20"/>
        </w:rPr>
        <w:t xml:space="preserve">párr. 79a </w:t>
      </w:r>
    </w:p>
    <w:p w14:paraId="21D472F0" w14:textId="77777777" w:rsidR="001D38A7" w:rsidRPr="000A5982" w:rsidRDefault="001D38A7" w:rsidP="001D38A7">
      <w:pPr>
        <w:tabs>
          <w:tab w:val="left" w:pos="0"/>
          <w:tab w:val="left" w:pos="720"/>
          <w:tab w:val="right" w:pos="8505"/>
          <w:tab w:val="right" w:pos="9072"/>
        </w:tabs>
        <w:ind w:right="4"/>
        <w:jc w:val="both"/>
        <w:rPr>
          <w:rFonts w:ascii="Cambria" w:eastAsia="Cambria" w:hAnsi="Cambria" w:cs="Cambria"/>
          <w:b/>
          <w:i/>
          <w:color w:val="000000"/>
          <w:sz w:val="20"/>
          <w:szCs w:val="20"/>
        </w:rPr>
      </w:pPr>
    </w:p>
    <w:p w14:paraId="6E4A2C7D" w14:textId="77777777" w:rsidR="001D38A7" w:rsidRPr="000A5982" w:rsidRDefault="001D38A7" w:rsidP="001D38A7">
      <w:pPr>
        <w:widowControl w:val="0"/>
        <w:pBdr>
          <w:top w:val="nil"/>
          <w:left w:val="nil"/>
          <w:bottom w:val="nil"/>
          <w:right w:val="nil"/>
          <w:between w:val="nil"/>
        </w:pBdr>
        <w:tabs>
          <w:tab w:val="left" w:pos="709"/>
        </w:tabs>
        <w:jc w:val="both"/>
        <w:rPr>
          <w:rFonts w:ascii="Cambria" w:hAnsi="Cambria"/>
          <w:b/>
          <w:color w:val="000000"/>
          <w:sz w:val="20"/>
          <w:szCs w:val="20"/>
        </w:rPr>
      </w:pPr>
      <w:r w:rsidRPr="000A5982">
        <w:rPr>
          <w:rFonts w:ascii="Cambria" w:hAnsi="Cambria"/>
          <w:b/>
          <w:color w:val="000000"/>
          <w:sz w:val="20"/>
          <w:szCs w:val="20"/>
        </w:rPr>
        <w:t xml:space="preserve">Contexto: </w:t>
      </w:r>
    </w:p>
    <w:p w14:paraId="2E99A64E" w14:textId="77777777" w:rsidR="001D38A7" w:rsidRPr="0099704B" w:rsidRDefault="001D38A7" w:rsidP="001D38A7">
      <w:pPr>
        <w:widowControl w:val="0"/>
        <w:pBdr>
          <w:top w:val="nil"/>
          <w:left w:val="nil"/>
          <w:bottom w:val="nil"/>
          <w:right w:val="nil"/>
          <w:between w:val="nil"/>
        </w:pBdr>
        <w:tabs>
          <w:tab w:val="left" w:pos="709"/>
        </w:tabs>
        <w:ind w:left="426"/>
        <w:jc w:val="both"/>
        <w:rPr>
          <w:rFonts w:ascii="Cambria" w:eastAsia="Cambria" w:hAnsi="Cambria" w:cs="Cambria"/>
          <w:i/>
          <w:sz w:val="20"/>
          <w:szCs w:val="20"/>
        </w:rPr>
      </w:pPr>
      <w:r w:rsidRPr="000A5982">
        <w:rPr>
          <w:rFonts w:ascii="Cambria" w:hAnsi="Cambria"/>
          <w:i/>
          <w:iCs/>
          <w:sz w:val="20"/>
          <w:szCs w:val="20"/>
        </w:rPr>
        <w:t>(a) el SCRS explorará la eficacia que podrían tener las vedas completas de pesquerías en la línea de las propuestas en el documento PA1_505A/2019</w:t>
      </w:r>
      <w:r w:rsidRPr="000A5982">
        <w:rPr>
          <w:rFonts w:ascii="Cambria" w:eastAsia="Cambria" w:hAnsi="Cambria" w:cs="Cambria"/>
          <w:i/>
          <w:sz w:val="20"/>
          <w:szCs w:val="20"/>
          <w:vertAlign w:val="superscript"/>
          <w:lang w:val="en-US"/>
        </w:rPr>
        <w:footnoteReference w:id="1"/>
      </w:r>
      <w:r w:rsidRPr="000A5982">
        <w:rPr>
          <w:rFonts w:ascii="Cambria" w:hAnsi="Cambria"/>
          <w:i/>
          <w:iCs/>
          <w:sz w:val="20"/>
          <w:szCs w:val="20"/>
        </w:rPr>
        <w:t xml:space="preserve"> para reducir las capturas de túnidos tropicales hasta los niveles acordados; y el potencial de este programa para reducir las capturas de juveniles de patudo y rabil, en línea con las recomendaciones del SCRS.</w:t>
      </w:r>
    </w:p>
    <w:p w14:paraId="578DD195" w14:textId="77777777" w:rsidR="001D38A7" w:rsidRPr="0099704B" w:rsidRDefault="001D38A7" w:rsidP="001D38A7">
      <w:pPr>
        <w:tabs>
          <w:tab w:val="left" w:pos="0"/>
          <w:tab w:val="left" w:pos="720"/>
          <w:tab w:val="right" w:pos="8505"/>
          <w:tab w:val="right" w:pos="9072"/>
        </w:tabs>
        <w:ind w:right="4"/>
        <w:jc w:val="both"/>
        <w:rPr>
          <w:rFonts w:ascii="Cambria" w:eastAsia="Cambria" w:hAnsi="Cambria" w:cs="Cambria"/>
          <w:b/>
          <w:iCs/>
          <w:color w:val="000000"/>
          <w:sz w:val="20"/>
          <w:szCs w:val="20"/>
        </w:rPr>
      </w:pPr>
    </w:p>
    <w:p w14:paraId="76AE1366" w14:textId="77777777" w:rsidR="001D38A7" w:rsidRPr="000A5982" w:rsidRDefault="001D38A7" w:rsidP="001D38A7">
      <w:pPr>
        <w:widowControl w:val="0"/>
        <w:pBdr>
          <w:top w:val="nil"/>
          <w:left w:val="nil"/>
          <w:bottom w:val="nil"/>
          <w:right w:val="nil"/>
          <w:between w:val="nil"/>
        </w:pBdr>
        <w:jc w:val="both"/>
        <w:rPr>
          <w:rFonts w:ascii="Cambria" w:eastAsia="Cambria" w:hAnsi="Cambria" w:cs="Cambria"/>
          <w:sz w:val="20"/>
          <w:szCs w:val="20"/>
        </w:rPr>
      </w:pPr>
      <w:r w:rsidRPr="000A5982">
        <w:rPr>
          <w:rFonts w:ascii="Cambria" w:eastAsia="Aptos" w:hAnsi="Cambria"/>
          <w:kern w:val="2"/>
          <w:sz w:val="20"/>
          <w14:ligatures w14:val="standardContextual"/>
        </w:rPr>
        <w:t>El documento SCRS/2026/185 actualizó el estudio de 2024 (SCRS/2024/135) utilizando los modelos más recientes de evaluación de stock para el patudo, el rabil y el listado oriental. En consonancia con el estudio anterior, se llegó a la conclusión de que la eficacia de una veda puede verse comprometida si se redistribuye</w:t>
      </w:r>
      <w:r w:rsidRPr="0099704B">
        <w:rPr>
          <w:rFonts w:ascii="Cambria" w:eastAsia="Aptos" w:hAnsi="Cambria"/>
          <w:kern w:val="2"/>
          <w:sz w:val="20"/>
          <w14:ligatures w14:val="standardContextual"/>
        </w:rPr>
        <w:t xml:space="preserve"> </w:t>
      </w:r>
      <w:r w:rsidRPr="000A5982">
        <w:rPr>
          <w:rFonts w:ascii="Cambria" w:eastAsia="Aptos" w:hAnsi="Cambria"/>
          <w:kern w:val="2"/>
          <w:sz w:val="20"/>
          <w14:ligatures w14:val="standardContextual"/>
        </w:rPr>
        <w:t>la captura. En el marco del estudio también se llevó a cabo un análisis exploratorio de las tendencias recientes (2018-2024) en las capturas y el esfuerzo de pesca con DCP utilizando los datos de la Tarea 2 de la base de datos de ICCAT. El esfuerzo de pesca con DCP, medido en función del número de lances, disminuyó en el primer trimestre, pero se mantuvo relativamente estable en términos anuales a lo largo de todo el periodo analizado (</w:t>
      </w:r>
      <w:r w:rsidRPr="000A5982">
        <w:rPr>
          <w:rFonts w:ascii="Cambria" w:eastAsia="Aptos" w:hAnsi="Cambria"/>
          <w:b/>
          <w:kern w:val="2"/>
          <w:sz w:val="20"/>
          <w14:ligatures w14:val="standardContextual"/>
        </w:rPr>
        <w:t>Figura 19.38.1</w:t>
      </w:r>
      <w:r w:rsidRPr="000A5982">
        <w:rPr>
          <w:rFonts w:ascii="Cambria" w:eastAsia="Aptos" w:hAnsi="Cambria"/>
          <w:kern w:val="2"/>
          <w:sz w:val="20"/>
          <w14:ligatures w14:val="standardContextual"/>
        </w:rPr>
        <w:t>). Asimismo, las capturas del primer trimestre disminuyeron en los tres stocks de túnidos tropicales durante el periodo en el que se aplicaron las vedas recientes (</w:t>
      </w:r>
      <w:r w:rsidRPr="000A5982">
        <w:rPr>
          <w:rFonts w:ascii="Cambria" w:eastAsia="Aptos" w:hAnsi="Cambria"/>
          <w:b/>
          <w:kern w:val="2"/>
          <w:sz w:val="20"/>
          <w14:ligatures w14:val="standardContextual"/>
        </w:rPr>
        <w:t>Figura 19.382</w:t>
      </w:r>
      <w:r w:rsidRPr="000A5982">
        <w:rPr>
          <w:rFonts w:ascii="Cambria" w:eastAsia="Aptos" w:hAnsi="Cambria"/>
          <w:kern w:val="2"/>
          <w:sz w:val="20"/>
          <w14:ligatures w14:val="standardContextual"/>
        </w:rPr>
        <w:t>). Sin embargo, las tendencias de las capturas anuales variaron en función del stock: las capturas anuales de patudo, sujetas a límites de captura, disminuyeron notablemente a partir de 2020, mientras que las de rabil y listado se mantuvieron relativamente estables. Estas tendencias indican que las vedas podrían haber redistribuido el esfuerzo pesquero entre los distintos trimestres, en lugar de reducir el esfuerzo anual. Sin embargo, el efecto del cierre no es concluyente. El Comité recomienda realizar un análisis más detallado de los datos sobre capturas y esfuerzo pesquero para seguir evaluando la eficacia general de la veda.</w:t>
      </w:r>
    </w:p>
    <w:p w14:paraId="0F2B1AD5" w14:textId="77777777" w:rsidR="001D38A7" w:rsidRPr="0099704B" w:rsidRDefault="001D38A7" w:rsidP="001D38A7">
      <w:pPr>
        <w:widowControl w:val="0"/>
        <w:pBdr>
          <w:top w:val="nil"/>
          <w:left w:val="nil"/>
          <w:bottom w:val="nil"/>
          <w:right w:val="nil"/>
          <w:between w:val="nil"/>
        </w:pBdr>
        <w:jc w:val="both"/>
        <w:rPr>
          <w:rFonts w:ascii="Cambria" w:eastAsia="Cambria" w:hAnsi="Cambria" w:cs="Cambria"/>
          <w:sz w:val="20"/>
          <w:szCs w:val="20"/>
        </w:rPr>
      </w:pPr>
    </w:p>
    <w:p w14:paraId="03B10AB7" w14:textId="77777777" w:rsidR="001D38A7" w:rsidRPr="0099704B" w:rsidRDefault="001D38A7" w:rsidP="001D38A7">
      <w:pPr>
        <w:widowControl w:val="0"/>
        <w:pBdr>
          <w:top w:val="nil"/>
          <w:left w:val="nil"/>
          <w:bottom w:val="nil"/>
          <w:right w:val="nil"/>
          <w:between w:val="nil"/>
        </w:pBdr>
        <w:jc w:val="center"/>
        <w:rPr>
          <w:rFonts w:ascii="Cambria" w:eastAsia="Cambria" w:hAnsi="Cambria" w:cs="Cambria"/>
          <w:sz w:val="20"/>
          <w:szCs w:val="20"/>
        </w:rPr>
      </w:pPr>
      <w:r w:rsidRPr="0099704B">
        <w:rPr>
          <w:rFonts w:ascii="Cambria" w:eastAsia="Aptos" w:hAnsi="Cambria"/>
          <w:noProof/>
          <w:kern w:val="2"/>
          <w:sz w:val="20"/>
          <w14:ligatures w14:val="standardContextual"/>
        </w:rPr>
        <w:lastRenderedPageBreak/>
        <w:drawing>
          <wp:inline distT="0" distB="0" distL="0" distR="0" wp14:anchorId="650B76D1" wp14:editId="03DA1CF3">
            <wp:extent cx="4441371" cy="2612386"/>
            <wp:effectExtent l="0" t="0" r="0" b="0"/>
            <wp:docPr id="51866612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47348" cy="2615902"/>
                    </a:xfrm>
                    <a:prstGeom prst="rect">
                      <a:avLst/>
                    </a:prstGeom>
                    <a:noFill/>
                    <a:ln>
                      <a:noFill/>
                    </a:ln>
                  </pic:spPr>
                </pic:pic>
              </a:graphicData>
            </a:graphic>
          </wp:inline>
        </w:drawing>
      </w:r>
    </w:p>
    <w:p w14:paraId="39F4BDD6" w14:textId="77777777" w:rsidR="001D38A7" w:rsidRPr="0099704B" w:rsidRDefault="001D38A7" w:rsidP="001D38A7">
      <w:pPr>
        <w:widowControl w:val="0"/>
        <w:pBdr>
          <w:top w:val="nil"/>
          <w:left w:val="nil"/>
          <w:bottom w:val="nil"/>
          <w:right w:val="nil"/>
          <w:between w:val="nil"/>
        </w:pBdr>
        <w:jc w:val="both"/>
        <w:rPr>
          <w:rFonts w:ascii="Cambria" w:eastAsia="Cambria" w:hAnsi="Cambria" w:cs="Cambria"/>
          <w:sz w:val="20"/>
          <w:szCs w:val="20"/>
        </w:rPr>
      </w:pPr>
      <w:r w:rsidRPr="000A5982">
        <w:rPr>
          <w:rFonts w:ascii="Cambria" w:eastAsia="Aptos" w:hAnsi="Cambria"/>
          <w:b/>
          <w:kern w:val="2"/>
          <w:sz w:val="20"/>
          <w14:ligatures w14:val="standardContextual"/>
        </w:rPr>
        <w:t>Figura 19.38.1</w:t>
      </w:r>
      <w:r w:rsidRPr="000A5982">
        <w:rPr>
          <w:rFonts w:ascii="Cambria" w:eastAsia="Aptos" w:hAnsi="Cambria"/>
          <w:kern w:val="2"/>
          <w:sz w:val="20"/>
          <w14:ligatures w14:val="standardContextual"/>
        </w:rPr>
        <w:t xml:space="preserve"> Tendencias recientes del esfuerzo por temporada de la pesquería de cerco que faena en bancos libres (PSFS) y en objetos flotantes (PSLS).</w:t>
      </w:r>
      <w:r w:rsidRPr="0099704B">
        <w:rPr>
          <w:rFonts w:ascii="Cambria" w:eastAsia="Aptos" w:hAnsi="Cambria"/>
          <w:kern w:val="2"/>
          <w:sz w:val="20"/>
          <w14:ligatures w14:val="standardContextual"/>
        </w:rPr>
        <w:t xml:space="preserve"> </w:t>
      </w:r>
    </w:p>
    <w:p w14:paraId="7D238CC9" w14:textId="77777777" w:rsidR="001D38A7" w:rsidRPr="0099704B" w:rsidRDefault="001D38A7" w:rsidP="001D38A7">
      <w:pPr>
        <w:widowControl w:val="0"/>
        <w:pBdr>
          <w:top w:val="nil"/>
          <w:left w:val="nil"/>
          <w:bottom w:val="nil"/>
          <w:right w:val="nil"/>
          <w:between w:val="nil"/>
        </w:pBdr>
        <w:rPr>
          <w:rFonts w:ascii="Cambria" w:eastAsia="Cambria" w:hAnsi="Cambria" w:cs="Cambria"/>
          <w:sz w:val="20"/>
          <w:szCs w:val="20"/>
        </w:rPr>
      </w:pPr>
    </w:p>
    <w:p w14:paraId="57DCF740" w14:textId="77777777" w:rsidR="001D38A7" w:rsidRPr="0099704B" w:rsidRDefault="001D38A7" w:rsidP="001D38A7">
      <w:pPr>
        <w:widowControl w:val="0"/>
        <w:pBdr>
          <w:top w:val="nil"/>
          <w:left w:val="nil"/>
          <w:bottom w:val="nil"/>
          <w:right w:val="nil"/>
          <w:between w:val="nil"/>
        </w:pBdr>
        <w:jc w:val="center"/>
        <w:rPr>
          <w:rFonts w:ascii="Cambria" w:eastAsia="Cambria" w:hAnsi="Cambria" w:cs="Cambria"/>
          <w:sz w:val="20"/>
          <w:szCs w:val="20"/>
        </w:rPr>
      </w:pPr>
      <w:r w:rsidRPr="0099704B">
        <w:rPr>
          <w:rFonts w:ascii="Cambria" w:eastAsia="Aptos" w:hAnsi="Cambria"/>
          <w:noProof/>
          <w:kern w:val="2"/>
          <w:sz w:val="20"/>
          <w14:ligatures w14:val="standardContextual"/>
        </w:rPr>
        <w:drawing>
          <wp:inline distT="0" distB="0" distL="0" distR="0" wp14:anchorId="619554C4" wp14:editId="38E1CFC6">
            <wp:extent cx="4382219" cy="3350048"/>
            <wp:effectExtent l="0" t="0" r="0" b="3175"/>
            <wp:docPr id="110371479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388127" cy="3354565"/>
                    </a:xfrm>
                    <a:prstGeom prst="rect">
                      <a:avLst/>
                    </a:prstGeom>
                    <a:noFill/>
                    <a:ln>
                      <a:noFill/>
                    </a:ln>
                  </pic:spPr>
                </pic:pic>
              </a:graphicData>
            </a:graphic>
          </wp:inline>
        </w:drawing>
      </w:r>
    </w:p>
    <w:p w14:paraId="53063262" w14:textId="77777777" w:rsidR="001D38A7" w:rsidRPr="0099704B" w:rsidRDefault="001D38A7" w:rsidP="001D38A7">
      <w:pPr>
        <w:widowControl w:val="0"/>
        <w:pBdr>
          <w:top w:val="nil"/>
          <w:left w:val="nil"/>
          <w:bottom w:val="nil"/>
          <w:right w:val="nil"/>
          <w:between w:val="nil"/>
        </w:pBdr>
        <w:jc w:val="both"/>
        <w:rPr>
          <w:rFonts w:ascii="Cambria" w:eastAsia="Cambria" w:hAnsi="Cambria" w:cs="Cambria"/>
          <w:sz w:val="20"/>
          <w:szCs w:val="20"/>
        </w:rPr>
      </w:pPr>
      <w:r w:rsidRPr="000A5982">
        <w:rPr>
          <w:rFonts w:ascii="Cambria" w:eastAsia="Aptos" w:hAnsi="Cambria"/>
          <w:b/>
          <w:kern w:val="2"/>
          <w:sz w:val="20"/>
          <w14:ligatures w14:val="standardContextual"/>
        </w:rPr>
        <w:t>Figura 19.38.2</w:t>
      </w:r>
      <w:r w:rsidRPr="000A5982">
        <w:rPr>
          <w:rFonts w:ascii="Cambria" w:eastAsia="Aptos" w:hAnsi="Cambria"/>
          <w:kern w:val="2"/>
          <w:sz w:val="20"/>
          <w14:ligatures w14:val="standardContextual"/>
        </w:rPr>
        <w:t xml:space="preserve"> Tendencias recientes de las capturas por temporada en la pesquería de cerco que faena en bancos libres (PSFS) y en objetos flotantes (PSLS) para cada stock.</w:t>
      </w:r>
    </w:p>
    <w:p w14:paraId="2FC7B52A" w14:textId="77777777" w:rsidR="001D38A7" w:rsidRPr="0099704B" w:rsidRDefault="001D38A7" w:rsidP="001D38A7">
      <w:pPr>
        <w:widowControl w:val="0"/>
        <w:pBdr>
          <w:top w:val="nil"/>
          <w:left w:val="nil"/>
          <w:bottom w:val="nil"/>
          <w:right w:val="nil"/>
          <w:between w:val="nil"/>
        </w:pBdr>
        <w:rPr>
          <w:rFonts w:ascii="Cambria" w:eastAsia="Cambria" w:hAnsi="Cambria" w:cs="Cambria"/>
          <w:sz w:val="20"/>
          <w:szCs w:val="20"/>
        </w:rPr>
      </w:pPr>
    </w:p>
    <w:p w14:paraId="1B7DE4C0" w14:textId="77777777" w:rsidR="001D38A7" w:rsidRPr="000A5982" w:rsidRDefault="001D38A7" w:rsidP="001D38A7">
      <w:pPr>
        <w:tabs>
          <w:tab w:val="left" w:pos="0"/>
          <w:tab w:val="left" w:pos="720"/>
          <w:tab w:val="right" w:pos="8505"/>
          <w:tab w:val="right" w:pos="9072"/>
        </w:tabs>
        <w:ind w:right="4"/>
        <w:jc w:val="both"/>
        <w:rPr>
          <w:rFonts w:ascii="Cambria" w:eastAsia="Cambria" w:hAnsi="Cambria" w:cs="Cambria"/>
          <w:b/>
          <w:i/>
          <w:color w:val="000000"/>
          <w:sz w:val="20"/>
          <w:szCs w:val="20"/>
        </w:rPr>
      </w:pPr>
      <w:r w:rsidRPr="000A5982">
        <w:rPr>
          <w:rFonts w:ascii="Cambria" w:hAnsi="Cambria"/>
          <w:b/>
          <w:bCs/>
          <w:i/>
          <w:iCs/>
          <w:sz w:val="20"/>
          <w:szCs w:val="20"/>
        </w:rPr>
        <w:t>19.39 El SCRS debería estimar la capacidad en la zona del Convenio, de modo que se incluya al menos todas las unidades pesqueras que sean de gran escala o que operen fuera de la ZEE de la CPC en la que estén registradas,</w:t>
      </w:r>
      <w:r w:rsidRPr="000A5982">
        <w:rPr>
          <w:rFonts w:ascii="Cambria" w:hAnsi="Cambria"/>
          <w:i/>
          <w:iCs/>
          <w:sz w:val="20"/>
          <w:szCs w:val="20"/>
        </w:rPr>
        <w:t xml:space="preserve"> </w:t>
      </w:r>
      <w:hyperlink r:id="rId17" w:history="1">
        <w:r w:rsidRPr="000A5982">
          <w:rPr>
            <w:rStyle w:val="Hyperlink"/>
            <w:rFonts w:ascii="Cambria" w:hAnsi="Cambria"/>
            <w:b/>
            <w:i/>
            <w:sz w:val="20"/>
            <w:szCs w:val="20"/>
            <w:u w:val="none"/>
          </w:rPr>
          <w:t>Rec. 24-01</w:t>
        </w:r>
      </w:hyperlink>
      <w:r w:rsidRPr="000A5982">
        <w:rPr>
          <w:rFonts w:ascii="Cambria" w:hAnsi="Cambria"/>
          <w:b/>
          <w:i/>
          <w:sz w:val="20"/>
          <w:szCs w:val="20"/>
        </w:rPr>
        <w:t xml:space="preserve">, párr. 79b </w:t>
      </w:r>
    </w:p>
    <w:p w14:paraId="47BD6115" w14:textId="77777777" w:rsidR="001D38A7" w:rsidRPr="000A5982" w:rsidRDefault="001D38A7" w:rsidP="001D38A7">
      <w:pPr>
        <w:tabs>
          <w:tab w:val="left" w:pos="0"/>
          <w:tab w:val="left" w:pos="720"/>
          <w:tab w:val="right" w:pos="8505"/>
          <w:tab w:val="right" w:pos="9072"/>
        </w:tabs>
        <w:ind w:right="4"/>
        <w:jc w:val="both"/>
        <w:rPr>
          <w:rFonts w:ascii="Cambria" w:eastAsia="Cambria" w:hAnsi="Cambria" w:cs="Cambria"/>
          <w:b/>
          <w:iCs/>
          <w:color w:val="000000"/>
          <w:sz w:val="20"/>
          <w:szCs w:val="20"/>
        </w:rPr>
      </w:pPr>
    </w:p>
    <w:p w14:paraId="47423978" w14:textId="77777777" w:rsidR="001D38A7" w:rsidRPr="000A5982" w:rsidRDefault="001D38A7" w:rsidP="001D38A7">
      <w:pPr>
        <w:widowControl w:val="0"/>
        <w:pBdr>
          <w:top w:val="nil"/>
          <w:left w:val="nil"/>
          <w:bottom w:val="nil"/>
          <w:right w:val="nil"/>
          <w:between w:val="nil"/>
        </w:pBdr>
        <w:tabs>
          <w:tab w:val="left" w:pos="709"/>
        </w:tabs>
        <w:jc w:val="both"/>
        <w:rPr>
          <w:rFonts w:ascii="Cambria" w:hAnsi="Cambria"/>
          <w:b/>
          <w:color w:val="000000"/>
          <w:sz w:val="20"/>
          <w:szCs w:val="20"/>
        </w:rPr>
      </w:pPr>
      <w:r w:rsidRPr="000A5982">
        <w:rPr>
          <w:rFonts w:ascii="Cambria" w:hAnsi="Cambria"/>
          <w:b/>
          <w:color w:val="000000"/>
          <w:sz w:val="20"/>
          <w:szCs w:val="20"/>
        </w:rPr>
        <w:t xml:space="preserve">Contexto: </w:t>
      </w:r>
    </w:p>
    <w:p w14:paraId="52A39E70" w14:textId="77777777" w:rsidR="001D38A7" w:rsidRPr="0099704B" w:rsidRDefault="001D38A7" w:rsidP="001D38A7">
      <w:pPr>
        <w:widowControl w:val="0"/>
        <w:pBdr>
          <w:top w:val="nil"/>
          <w:left w:val="nil"/>
          <w:bottom w:val="nil"/>
          <w:right w:val="nil"/>
          <w:between w:val="nil"/>
        </w:pBdr>
        <w:tabs>
          <w:tab w:val="left" w:pos="720"/>
        </w:tabs>
        <w:ind w:left="709"/>
        <w:jc w:val="both"/>
        <w:rPr>
          <w:rFonts w:ascii="Cambria" w:hAnsi="Cambria"/>
          <w:i/>
          <w:sz w:val="20"/>
          <w:szCs w:val="20"/>
        </w:rPr>
      </w:pPr>
      <w:r w:rsidRPr="000A5982">
        <w:rPr>
          <w:rFonts w:ascii="Cambria" w:hAnsi="Cambria"/>
          <w:i/>
          <w:iCs/>
          <w:sz w:val="20"/>
          <w:szCs w:val="20"/>
        </w:rPr>
        <w:t>(b) la Secretaría de ICCAT trabajará con el SCRS en la preparación de una estimación de la capacidad en la zona del Convenio, que incluya al menos todas las unidades pesqueras que sean de gran escala o que operen fuera de la ZEE de la CPC en la que estén registradas. Todas las CPC cooperarán con este trabajo proporcionando estimaciones del número de unidades pesqueras que pescan túnidos y especies afines bajo su pabellón, y las especies o grupos de especies a las que se dirige cada unidad pesquera (por ejemplo, túnidos tropicales, túnidos templados, pez espada, otros istiofóridos, pequeños túnidos, tiburones, etc.).</w:t>
      </w:r>
      <w:r w:rsidRPr="000A5982">
        <w:rPr>
          <w:rFonts w:ascii="Cambria" w:hAnsi="Cambria"/>
          <w:i/>
          <w:sz w:val="20"/>
          <w:szCs w:val="20"/>
        </w:rPr>
        <w:t xml:space="preserve"> Este trabajo se presentará a la próxima reunión del SCRS en 2025 y se remitirá a la Comisión para su consideración.</w:t>
      </w:r>
    </w:p>
    <w:p w14:paraId="6A021377" w14:textId="77777777" w:rsidR="001D38A7" w:rsidRPr="0099704B" w:rsidRDefault="001D38A7" w:rsidP="001D38A7">
      <w:pPr>
        <w:widowControl w:val="0"/>
        <w:pBdr>
          <w:top w:val="nil"/>
          <w:left w:val="nil"/>
          <w:bottom w:val="nil"/>
          <w:right w:val="nil"/>
          <w:between w:val="nil"/>
        </w:pBdr>
        <w:tabs>
          <w:tab w:val="left" w:pos="720"/>
        </w:tabs>
        <w:ind w:left="709"/>
        <w:jc w:val="both"/>
        <w:rPr>
          <w:rFonts w:ascii="Cambria" w:hAnsi="Cambria"/>
          <w:i/>
          <w:sz w:val="20"/>
          <w:szCs w:val="20"/>
        </w:rPr>
      </w:pPr>
    </w:p>
    <w:p w14:paraId="6CB1A1D5" w14:textId="77777777" w:rsidR="001D38A7" w:rsidRPr="000A5982" w:rsidRDefault="001D38A7" w:rsidP="001D38A7">
      <w:pPr>
        <w:widowControl w:val="0"/>
        <w:jc w:val="both"/>
        <w:rPr>
          <w:rFonts w:ascii="Cambria" w:eastAsia="Cambria" w:hAnsi="Cambria" w:cs="Cambria"/>
          <w:sz w:val="20"/>
          <w:szCs w:val="20"/>
        </w:rPr>
      </w:pPr>
      <w:r w:rsidRPr="000A5982">
        <w:rPr>
          <w:rFonts w:ascii="Cambria" w:eastAsia="Aptos" w:hAnsi="Cambria"/>
          <w:kern w:val="2"/>
          <w:sz w:val="20"/>
          <w14:ligatures w14:val="standardContextual"/>
        </w:rPr>
        <w:t xml:space="preserve">El SCRS dio una respuesta inicial a esta solicitud en 2025, centrándose en la actividad pesquera de 2024. Este año, en Restrepo </w:t>
      </w:r>
      <w:r w:rsidRPr="000A5982">
        <w:rPr>
          <w:rFonts w:ascii="Cambria" w:eastAsia="Aptos" w:hAnsi="Cambria"/>
          <w:i/>
          <w:iCs/>
          <w:kern w:val="2"/>
          <w:sz w:val="20"/>
          <w14:ligatures w14:val="standardContextual"/>
        </w:rPr>
        <w:t>et al.</w:t>
      </w:r>
      <w:r w:rsidRPr="000A5982">
        <w:rPr>
          <w:rFonts w:ascii="Cambria" w:eastAsia="Aptos" w:hAnsi="Cambria"/>
          <w:kern w:val="2"/>
          <w:sz w:val="20"/>
          <w14:ligatures w14:val="standardContextual"/>
        </w:rPr>
        <w:t>, 2026 (SCRS/2026/150) se presentó una estimación actualizada de la capacidad pesquera de túnidos tropicales en la zona del Convenio de ICCAT durante el año 2025, centrándose de nuevo en grandes buques (con una eslora total de 20 m o superior) que dirigen su actividad a los túnidos tropicales, utilizando datos facilitados principalmente mediante el formulario ST01-T1FC. En ese estudio también se utilizaron datos del sistema de identificación automática (AIS) para inferir la actividad pesquera en el océano Atlántico, lo que se considera complementario a la información comunicada por las CPC. El Comité ha elaborado esta respuesta actualizada basándose en dicho documento</w:t>
      </w:r>
      <w:r w:rsidRPr="0099704B">
        <w:rPr>
          <w:rFonts w:ascii="Cambria" w:eastAsia="Aptos" w:hAnsi="Cambria"/>
          <w:kern w:val="2"/>
          <w:sz w:val="20"/>
          <w14:ligatures w14:val="standardContextual"/>
        </w:rPr>
        <w:t>. C</w:t>
      </w:r>
      <w:r w:rsidRPr="000A5982">
        <w:rPr>
          <w:rFonts w:ascii="Cambria" w:eastAsia="Aptos" w:hAnsi="Cambria"/>
          <w:kern w:val="2"/>
          <w:sz w:val="20"/>
          <w14:ligatures w14:val="standardContextual"/>
        </w:rPr>
        <w:t>abe señalar, no obstante, que varias CPC manifestaron su desacuerdo con los valores relativos a los buques con su pabellón, que constituyen la base del análisis.</w:t>
      </w:r>
    </w:p>
    <w:p w14:paraId="759A4DE7" w14:textId="77777777" w:rsidR="001D38A7" w:rsidRPr="0099704B" w:rsidRDefault="001D38A7" w:rsidP="001D38A7">
      <w:pPr>
        <w:jc w:val="both"/>
        <w:rPr>
          <w:rFonts w:ascii="Cambria" w:eastAsia="Aptos" w:hAnsi="Cambria"/>
          <w:kern w:val="2"/>
          <w:sz w:val="20"/>
          <w14:ligatures w14:val="standardContextual"/>
        </w:rPr>
      </w:pPr>
    </w:p>
    <w:p w14:paraId="3BAB9BEB" w14:textId="77777777" w:rsidR="001D38A7" w:rsidRPr="000A5982" w:rsidRDefault="001D38A7" w:rsidP="001D38A7">
      <w:pPr>
        <w:jc w:val="both"/>
        <w:rPr>
          <w:rFonts w:ascii="Cambria" w:eastAsia="Aptos" w:hAnsi="Cambria"/>
          <w:kern w:val="2"/>
          <w:sz w:val="20"/>
          <w14:ligatures w14:val="standardContextual"/>
        </w:rPr>
      </w:pPr>
      <w:r w:rsidRPr="000A5982">
        <w:rPr>
          <w:rFonts w:ascii="Cambria" w:eastAsia="Aptos" w:hAnsi="Cambria"/>
          <w:kern w:val="2"/>
          <w:sz w:val="20"/>
          <w14:ligatures w14:val="standardContextual"/>
        </w:rPr>
        <w:t>El Comité comparó estas estimaciones del número de buques y del GT de los buques probablemente activos en 2025 con las obtenidas el año pasado para los buques probablemente activos en 2024 (</w:t>
      </w:r>
      <w:r w:rsidRPr="000A5982">
        <w:rPr>
          <w:rFonts w:ascii="Cambria" w:eastAsia="Aptos" w:hAnsi="Cambria"/>
          <w:b/>
          <w:bCs/>
          <w:kern w:val="2"/>
          <w:sz w:val="20"/>
          <w14:ligatures w14:val="standardContextual"/>
        </w:rPr>
        <w:t>tabla 19.39.1</w:t>
      </w:r>
      <w:r w:rsidRPr="000A5982">
        <w:rPr>
          <w:rFonts w:ascii="Cambria" w:eastAsia="Aptos" w:hAnsi="Cambria"/>
          <w:kern w:val="2"/>
          <w:sz w:val="20"/>
          <w14:ligatures w14:val="standardContextual"/>
        </w:rPr>
        <w:t>). El incremento aparente del 39 % en el número de buques y del 22% en el GT entre 2024 y 2025 no refleja necesariamente aumentos reales. Es posible que en 2025 se haya presentado información más completa en relación con el ST01. Asimismo, cabe destacar que en el trabajo del año pasado no se utilizaron datos del AIS para detectar o confirmar la actividad de los buques en la zona de ICCAT, mientras que este año sí se ha utilizado el AIS para complementar la información de los formularios ST01 a la hora de estimar el número de buques activos.</w:t>
      </w:r>
    </w:p>
    <w:p w14:paraId="418949BB" w14:textId="77777777" w:rsidR="001D38A7" w:rsidRPr="000A5982" w:rsidRDefault="001D38A7" w:rsidP="001D38A7">
      <w:pPr>
        <w:jc w:val="both"/>
        <w:rPr>
          <w:rFonts w:ascii="Cambria" w:eastAsia="Aptos" w:hAnsi="Cambria"/>
          <w:kern w:val="2"/>
          <w:sz w:val="20"/>
          <w14:ligatures w14:val="standardContextual"/>
        </w:rPr>
      </w:pPr>
    </w:p>
    <w:p w14:paraId="4ADE7016" w14:textId="77777777" w:rsidR="001D38A7" w:rsidRPr="0099704B" w:rsidRDefault="001D38A7" w:rsidP="001D38A7">
      <w:pPr>
        <w:jc w:val="both"/>
        <w:rPr>
          <w:rFonts w:ascii="Cambria" w:eastAsia="Aptos" w:hAnsi="Cambria"/>
          <w:kern w:val="2"/>
          <w:sz w:val="20"/>
          <w:szCs w:val="20"/>
          <w14:ligatures w14:val="standardContextual"/>
        </w:rPr>
      </w:pPr>
      <w:r w:rsidRPr="000A5982">
        <w:rPr>
          <w:rFonts w:ascii="Cambria" w:eastAsia="Aptos" w:hAnsi="Cambria"/>
          <w:b/>
          <w:bCs/>
          <w:kern w:val="2"/>
          <w:sz w:val="20"/>
          <w14:ligatures w14:val="standardContextual"/>
        </w:rPr>
        <w:t>Tabla 19.39.1</w:t>
      </w:r>
      <w:r w:rsidRPr="000A5982">
        <w:rPr>
          <w:rFonts w:ascii="Cambria" w:eastAsia="Aptos" w:hAnsi="Cambria"/>
          <w:kern w:val="2"/>
          <w:sz w:val="20"/>
          <w14:ligatures w14:val="standardContextual"/>
        </w:rPr>
        <w:t xml:space="preserve"> Comparativa de las estimaciones de los buques activos y del GT asociado de los buques de ≥20 m de eslora en 2024 y 2025. Los valores de 2025 proceden de esta respuesta, y los de 2024, del Informe anual del SCRS de 2025.</w:t>
      </w:r>
      <w:r w:rsidRPr="0099704B">
        <w:rPr>
          <w:rFonts w:ascii="Cambria" w:eastAsia="Aptos" w:hAnsi="Cambria"/>
          <w:kern w:val="2"/>
          <w:sz w:val="20"/>
          <w14:ligatures w14:val="standardContextual"/>
        </w:rPr>
        <w:t xml:space="preserve"> </w:t>
      </w:r>
    </w:p>
    <w:p w14:paraId="527EDE13" w14:textId="77777777" w:rsidR="001D38A7" w:rsidRPr="0099704B" w:rsidRDefault="001D38A7" w:rsidP="001D38A7">
      <w:pPr>
        <w:jc w:val="both"/>
        <w:rPr>
          <w:rFonts w:ascii="Cambria" w:eastAsia="Aptos" w:hAnsi="Cambria"/>
          <w:kern w:val="2"/>
          <w:sz w:val="20"/>
          <w:szCs w:val="20"/>
          <w14:ligatures w14:val="standardContextual"/>
        </w:rPr>
      </w:pPr>
    </w:p>
    <w:tbl>
      <w:tblPr>
        <w:tblW w:w="0" w:type="auto"/>
        <w:jc w:val="center"/>
        <w:tblLook w:val="04A0" w:firstRow="1" w:lastRow="0" w:firstColumn="1" w:lastColumn="0" w:noHBand="0" w:noVBand="1"/>
      </w:tblPr>
      <w:tblGrid>
        <w:gridCol w:w="589"/>
        <w:gridCol w:w="765"/>
        <w:gridCol w:w="785"/>
        <w:gridCol w:w="765"/>
        <w:gridCol w:w="785"/>
      </w:tblGrid>
      <w:tr w:rsidR="001D38A7" w:rsidRPr="0099704B" w14:paraId="78261F2E" w14:textId="77777777" w:rsidTr="007C17C6">
        <w:trPr>
          <w:trHeight w:val="57"/>
          <w:jc w:val="center"/>
        </w:trPr>
        <w:tc>
          <w:tcPr>
            <w:tcW w:w="0" w:type="auto"/>
            <w:tcBorders>
              <w:top w:val="single" w:sz="4" w:space="0" w:color="auto"/>
              <w:left w:val="single" w:sz="4" w:space="0" w:color="auto"/>
              <w:bottom w:val="nil"/>
              <w:right w:val="single" w:sz="4" w:space="0" w:color="auto"/>
            </w:tcBorders>
            <w:noWrap/>
            <w:vAlign w:val="bottom"/>
            <w:hideMark/>
          </w:tcPr>
          <w:p w14:paraId="681A4FD3" w14:textId="77777777" w:rsidR="001D38A7" w:rsidRPr="0099704B" w:rsidRDefault="001D38A7" w:rsidP="007C17C6">
            <w:pPr>
              <w:rPr>
                <w:rFonts w:ascii="Cambria" w:eastAsia="Aptos" w:hAnsi="Cambria"/>
                <w:color w:val="000000"/>
                <w:kern w:val="2"/>
                <w:sz w:val="16"/>
                <w:szCs w:val="16"/>
                <w14:ligatures w14:val="standardContextual"/>
              </w:rPr>
            </w:pPr>
            <w:r w:rsidRPr="0099704B">
              <w:rPr>
                <w:rFonts w:ascii="Cambria" w:eastAsia="Aptos" w:hAnsi="Cambria"/>
                <w:color w:val="000000"/>
                <w:kern w:val="2"/>
                <w:sz w:val="16"/>
                <w14:ligatures w14:val="standardContextual"/>
              </w:rPr>
              <w:t> </w:t>
            </w:r>
          </w:p>
        </w:tc>
        <w:tc>
          <w:tcPr>
            <w:tcW w:w="0" w:type="auto"/>
            <w:gridSpan w:val="2"/>
            <w:tcBorders>
              <w:top w:val="single" w:sz="4" w:space="0" w:color="auto"/>
              <w:left w:val="nil"/>
              <w:bottom w:val="single" w:sz="4" w:space="0" w:color="auto"/>
              <w:right w:val="single" w:sz="4" w:space="0" w:color="000000"/>
            </w:tcBorders>
            <w:noWrap/>
            <w:vAlign w:val="bottom"/>
            <w:hideMark/>
          </w:tcPr>
          <w:p w14:paraId="54753216" w14:textId="77777777" w:rsidR="001D38A7" w:rsidRPr="0099704B" w:rsidRDefault="001D38A7" w:rsidP="007C17C6">
            <w:pPr>
              <w:jc w:val="center"/>
              <w:rPr>
                <w:rFonts w:ascii="Cambria" w:eastAsia="Aptos" w:hAnsi="Cambria"/>
                <w:b/>
                <w:bCs/>
                <w:color w:val="000000"/>
                <w:kern w:val="2"/>
                <w:sz w:val="16"/>
                <w:szCs w:val="16"/>
                <w14:ligatures w14:val="standardContextual"/>
              </w:rPr>
            </w:pPr>
            <w:r w:rsidRPr="0099704B">
              <w:rPr>
                <w:rFonts w:ascii="Cambria" w:eastAsia="Aptos" w:hAnsi="Cambria"/>
                <w:b/>
                <w:color w:val="000000"/>
                <w:kern w:val="2"/>
                <w:sz w:val="16"/>
                <w14:ligatures w14:val="standardContextual"/>
              </w:rPr>
              <w:t>2024</w:t>
            </w:r>
          </w:p>
        </w:tc>
        <w:tc>
          <w:tcPr>
            <w:tcW w:w="0" w:type="auto"/>
            <w:gridSpan w:val="2"/>
            <w:tcBorders>
              <w:top w:val="single" w:sz="4" w:space="0" w:color="auto"/>
              <w:left w:val="nil"/>
              <w:bottom w:val="single" w:sz="4" w:space="0" w:color="auto"/>
              <w:right w:val="single" w:sz="4" w:space="0" w:color="000000"/>
            </w:tcBorders>
            <w:noWrap/>
            <w:vAlign w:val="bottom"/>
            <w:hideMark/>
          </w:tcPr>
          <w:p w14:paraId="2F0F4711" w14:textId="77777777" w:rsidR="001D38A7" w:rsidRPr="0099704B" w:rsidRDefault="001D38A7" w:rsidP="007C17C6">
            <w:pPr>
              <w:jc w:val="center"/>
              <w:rPr>
                <w:rFonts w:ascii="Cambria" w:eastAsia="Aptos" w:hAnsi="Cambria"/>
                <w:b/>
                <w:bCs/>
                <w:color w:val="000000"/>
                <w:kern w:val="2"/>
                <w:sz w:val="16"/>
                <w:szCs w:val="16"/>
                <w14:ligatures w14:val="standardContextual"/>
              </w:rPr>
            </w:pPr>
            <w:r w:rsidRPr="0099704B">
              <w:rPr>
                <w:rFonts w:ascii="Cambria" w:eastAsia="Aptos" w:hAnsi="Cambria"/>
                <w:b/>
                <w:color w:val="000000"/>
                <w:kern w:val="2"/>
                <w:sz w:val="16"/>
                <w14:ligatures w14:val="standardContextual"/>
              </w:rPr>
              <w:t>2025</w:t>
            </w:r>
          </w:p>
        </w:tc>
      </w:tr>
      <w:tr w:rsidR="001D38A7" w:rsidRPr="0099704B" w14:paraId="05B740CF" w14:textId="77777777" w:rsidTr="007C17C6">
        <w:trPr>
          <w:trHeight w:val="57"/>
          <w:jc w:val="center"/>
        </w:trPr>
        <w:tc>
          <w:tcPr>
            <w:tcW w:w="0" w:type="auto"/>
            <w:tcBorders>
              <w:top w:val="nil"/>
              <w:left w:val="single" w:sz="4" w:space="0" w:color="auto"/>
              <w:bottom w:val="single" w:sz="4" w:space="0" w:color="auto"/>
              <w:right w:val="single" w:sz="4" w:space="0" w:color="auto"/>
            </w:tcBorders>
            <w:noWrap/>
            <w:vAlign w:val="bottom"/>
            <w:hideMark/>
          </w:tcPr>
          <w:p w14:paraId="698716E7" w14:textId="77777777" w:rsidR="001D38A7" w:rsidRPr="0099704B" w:rsidRDefault="001D38A7" w:rsidP="007C17C6">
            <w:pPr>
              <w:rPr>
                <w:rFonts w:ascii="Cambria" w:eastAsia="Aptos" w:hAnsi="Cambria"/>
                <w:b/>
                <w:bCs/>
                <w:color w:val="000000"/>
                <w:kern w:val="2"/>
                <w:sz w:val="16"/>
                <w:szCs w:val="16"/>
                <w14:ligatures w14:val="standardContextual"/>
              </w:rPr>
            </w:pPr>
            <w:r w:rsidRPr="0099704B">
              <w:rPr>
                <w:rFonts w:ascii="Cambria" w:eastAsia="Aptos" w:hAnsi="Cambria"/>
                <w:b/>
                <w:color w:val="000000"/>
                <w:kern w:val="2"/>
                <w:sz w:val="16"/>
                <w14:ligatures w14:val="standardContextual"/>
              </w:rPr>
              <w:t>Arte</w:t>
            </w:r>
          </w:p>
        </w:tc>
        <w:tc>
          <w:tcPr>
            <w:tcW w:w="0" w:type="auto"/>
            <w:tcBorders>
              <w:top w:val="nil"/>
              <w:left w:val="nil"/>
              <w:bottom w:val="single" w:sz="4" w:space="0" w:color="auto"/>
              <w:right w:val="nil"/>
            </w:tcBorders>
            <w:noWrap/>
            <w:vAlign w:val="bottom"/>
            <w:hideMark/>
          </w:tcPr>
          <w:p w14:paraId="7E868B08" w14:textId="77777777" w:rsidR="001D38A7" w:rsidRPr="000A5982" w:rsidRDefault="001D38A7" w:rsidP="007C17C6">
            <w:pPr>
              <w:jc w:val="right"/>
              <w:rPr>
                <w:rFonts w:ascii="Cambria" w:eastAsia="Aptos" w:hAnsi="Cambria"/>
                <w:b/>
                <w:bCs/>
                <w:color w:val="000000"/>
                <w:kern w:val="2"/>
                <w:sz w:val="16"/>
                <w:szCs w:val="16"/>
                <w14:ligatures w14:val="standardContextual"/>
              </w:rPr>
            </w:pPr>
            <w:r w:rsidRPr="000A5982">
              <w:rPr>
                <w:rFonts w:ascii="Cambria" w:eastAsia="Aptos" w:hAnsi="Cambria"/>
                <w:b/>
                <w:color w:val="000000"/>
                <w:kern w:val="2"/>
                <w:sz w:val="16"/>
                <w14:ligatures w14:val="standardContextual"/>
              </w:rPr>
              <w:t>Buques</w:t>
            </w:r>
          </w:p>
        </w:tc>
        <w:tc>
          <w:tcPr>
            <w:tcW w:w="0" w:type="auto"/>
            <w:tcBorders>
              <w:top w:val="nil"/>
              <w:left w:val="nil"/>
              <w:bottom w:val="single" w:sz="4" w:space="0" w:color="auto"/>
              <w:right w:val="single" w:sz="4" w:space="0" w:color="auto"/>
            </w:tcBorders>
            <w:noWrap/>
            <w:vAlign w:val="bottom"/>
            <w:hideMark/>
          </w:tcPr>
          <w:p w14:paraId="0A90C06C" w14:textId="77777777" w:rsidR="001D38A7" w:rsidRPr="000A5982" w:rsidRDefault="001D38A7" w:rsidP="007C17C6">
            <w:pPr>
              <w:jc w:val="right"/>
              <w:rPr>
                <w:rFonts w:ascii="Cambria" w:eastAsia="Aptos" w:hAnsi="Cambria"/>
                <w:b/>
                <w:bCs/>
                <w:color w:val="000000"/>
                <w:kern w:val="2"/>
                <w:sz w:val="16"/>
                <w:szCs w:val="16"/>
                <w14:ligatures w14:val="standardContextual"/>
              </w:rPr>
            </w:pPr>
            <w:r w:rsidRPr="000A5982">
              <w:rPr>
                <w:rFonts w:ascii="Cambria" w:eastAsia="Aptos" w:hAnsi="Cambria"/>
                <w:b/>
                <w:color w:val="000000"/>
                <w:kern w:val="2"/>
                <w:sz w:val="16"/>
                <w14:ligatures w14:val="standardContextual"/>
              </w:rPr>
              <w:t>GT</w:t>
            </w:r>
          </w:p>
        </w:tc>
        <w:tc>
          <w:tcPr>
            <w:tcW w:w="0" w:type="auto"/>
            <w:tcBorders>
              <w:top w:val="nil"/>
              <w:left w:val="nil"/>
              <w:bottom w:val="single" w:sz="4" w:space="0" w:color="auto"/>
              <w:right w:val="nil"/>
            </w:tcBorders>
            <w:noWrap/>
            <w:vAlign w:val="bottom"/>
            <w:hideMark/>
          </w:tcPr>
          <w:p w14:paraId="6E32B54A" w14:textId="77777777" w:rsidR="001D38A7" w:rsidRPr="000A5982" w:rsidRDefault="001D38A7" w:rsidP="007C17C6">
            <w:pPr>
              <w:jc w:val="right"/>
              <w:rPr>
                <w:rFonts w:ascii="Cambria" w:eastAsia="Aptos" w:hAnsi="Cambria"/>
                <w:b/>
                <w:bCs/>
                <w:color w:val="000000"/>
                <w:kern w:val="2"/>
                <w:sz w:val="16"/>
                <w:szCs w:val="16"/>
                <w14:ligatures w14:val="standardContextual"/>
              </w:rPr>
            </w:pPr>
            <w:r w:rsidRPr="000A5982">
              <w:rPr>
                <w:rFonts w:ascii="Cambria" w:eastAsia="Aptos" w:hAnsi="Cambria"/>
                <w:b/>
                <w:color w:val="000000"/>
                <w:kern w:val="2"/>
                <w:sz w:val="16"/>
                <w14:ligatures w14:val="standardContextual"/>
              </w:rPr>
              <w:t>Buques</w:t>
            </w:r>
          </w:p>
        </w:tc>
        <w:tc>
          <w:tcPr>
            <w:tcW w:w="0" w:type="auto"/>
            <w:tcBorders>
              <w:top w:val="nil"/>
              <w:left w:val="nil"/>
              <w:bottom w:val="single" w:sz="4" w:space="0" w:color="auto"/>
              <w:right w:val="single" w:sz="4" w:space="0" w:color="auto"/>
            </w:tcBorders>
            <w:noWrap/>
            <w:vAlign w:val="bottom"/>
            <w:hideMark/>
          </w:tcPr>
          <w:p w14:paraId="2A61D1B8" w14:textId="77777777" w:rsidR="001D38A7" w:rsidRPr="000A5982" w:rsidRDefault="001D38A7" w:rsidP="007C17C6">
            <w:pPr>
              <w:jc w:val="right"/>
              <w:rPr>
                <w:rFonts w:ascii="Cambria" w:eastAsia="Aptos" w:hAnsi="Cambria"/>
                <w:b/>
                <w:bCs/>
                <w:color w:val="000000"/>
                <w:kern w:val="2"/>
                <w:sz w:val="16"/>
                <w:szCs w:val="16"/>
                <w14:ligatures w14:val="standardContextual"/>
              </w:rPr>
            </w:pPr>
            <w:r w:rsidRPr="000A5982">
              <w:rPr>
                <w:rFonts w:ascii="Cambria" w:eastAsia="Aptos" w:hAnsi="Cambria"/>
                <w:b/>
                <w:color w:val="000000"/>
                <w:kern w:val="2"/>
                <w:sz w:val="16"/>
                <w14:ligatures w14:val="standardContextual"/>
              </w:rPr>
              <w:t>GT</w:t>
            </w:r>
          </w:p>
        </w:tc>
      </w:tr>
      <w:tr w:rsidR="001D38A7" w:rsidRPr="0099704B" w14:paraId="2254033E" w14:textId="77777777" w:rsidTr="007C17C6">
        <w:trPr>
          <w:trHeight w:val="57"/>
          <w:jc w:val="center"/>
        </w:trPr>
        <w:tc>
          <w:tcPr>
            <w:tcW w:w="0" w:type="auto"/>
            <w:tcBorders>
              <w:top w:val="nil"/>
              <w:left w:val="single" w:sz="4" w:space="0" w:color="auto"/>
              <w:bottom w:val="nil"/>
              <w:right w:val="single" w:sz="4" w:space="0" w:color="auto"/>
            </w:tcBorders>
            <w:noWrap/>
            <w:vAlign w:val="bottom"/>
            <w:hideMark/>
          </w:tcPr>
          <w:p w14:paraId="623E0B2E" w14:textId="77777777" w:rsidR="001D38A7" w:rsidRPr="0099704B" w:rsidRDefault="001D38A7" w:rsidP="007C17C6">
            <w:pPr>
              <w:rPr>
                <w:rFonts w:ascii="Cambria" w:eastAsia="Aptos" w:hAnsi="Cambria"/>
                <w:b/>
                <w:bCs/>
                <w:color w:val="000000"/>
                <w:kern w:val="2"/>
                <w:sz w:val="16"/>
                <w:szCs w:val="16"/>
                <w14:ligatures w14:val="standardContextual"/>
              </w:rPr>
            </w:pPr>
            <w:r w:rsidRPr="0099704B">
              <w:rPr>
                <w:rFonts w:ascii="Cambria" w:eastAsia="Aptos" w:hAnsi="Cambria"/>
                <w:b/>
                <w:color w:val="000000"/>
                <w:kern w:val="2"/>
                <w:sz w:val="16"/>
                <w14:ligatures w14:val="standardContextual"/>
              </w:rPr>
              <w:t>BB</w:t>
            </w:r>
          </w:p>
        </w:tc>
        <w:tc>
          <w:tcPr>
            <w:tcW w:w="0" w:type="auto"/>
            <w:tcBorders>
              <w:top w:val="nil"/>
              <w:left w:val="nil"/>
              <w:bottom w:val="nil"/>
              <w:right w:val="nil"/>
            </w:tcBorders>
            <w:noWrap/>
            <w:vAlign w:val="bottom"/>
            <w:hideMark/>
          </w:tcPr>
          <w:p w14:paraId="013FD695" w14:textId="77777777" w:rsidR="001D38A7" w:rsidRPr="000A5982" w:rsidRDefault="001D38A7" w:rsidP="007C17C6">
            <w:pPr>
              <w:jc w:val="right"/>
              <w:rPr>
                <w:rFonts w:ascii="Cambria" w:eastAsia="Aptos" w:hAnsi="Cambria"/>
                <w:color w:val="000000"/>
                <w:kern w:val="2"/>
                <w:sz w:val="16"/>
                <w:szCs w:val="16"/>
                <w14:ligatures w14:val="standardContextual"/>
              </w:rPr>
            </w:pPr>
            <w:r w:rsidRPr="000A5982">
              <w:rPr>
                <w:rFonts w:ascii="Cambria" w:eastAsia="Aptos" w:hAnsi="Cambria"/>
                <w:color w:val="000000"/>
                <w:kern w:val="2"/>
                <w:sz w:val="16"/>
                <w14:ligatures w14:val="standardContextual"/>
              </w:rPr>
              <w:t>26</w:t>
            </w:r>
          </w:p>
        </w:tc>
        <w:tc>
          <w:tcPr>
            <w:tcW w:w="0" w:type="auto"/>
            <w:tcBorders>
              <w:top w:val="nil"/>
              <w:left w:val="nil"/>
              <w:bottom w:val="nil"/>
              <w:right w:val="single" w:sz="4" w:space="0" w:color="auto"/>
            </w:tcBorders>
            <w:noWrap/>
            <w:vAlign w:val="bottom"/>
            <w:hideMark/>
          </w:tcPr>
          <w:p w14:paraId="0917B0B4" w14:textId="77777777" w:rsidR="001D38A7" w:rsidRPr="000A5982" w:rsidRDefault="001D38A7" w:rsidP="007C17C6">
            <w:pPr>
              <w:jc w:val="right"/>
              <w:rPr>
                <w:rFonts w:ascii="Cambria" w:eastAsia="Aptos" w:hAnsi="Cambria"/>
                <w:color w:val="000000"/>
                <w:kern w:val="2"/>
                <w:sz w:val="16"/>
                <w:szCs w:val="16"/>
                <w14:ligatures w14:val="standardContextual"/>
              </w:rPr>
            </w:pPr>
            <w:r w:rsidRPr="000A5982">
              <w:rPr>
                <w:rFonts w:ascii="Cambria" w:eastAsia="Aptos" w:hAnsi="Cambria"/>
                <w:color w:val="000000"/>
                <w:kern w:val="2"/>
                <w:sz w:val="16"/>
                <w14:ligatures w14:val="standardContextual"/>
              </w:rPr>
              <w:t>4721</w:t>
            </w:r>
          </w:p>
        </w:tc>
        <w:tc>
          <w:tcPr>
            <w:tcW w:w="0" w:type="auto"/>
            <w:tcBorders>
              <w:top w:val="nil"/>
              <w:left w:val="nil"/>
              <w:bottom w:val="nil"/>
              <w:right w:val="nil"/>
            </w:tcBorders>
            <w:noWrap/>
            <w:vAlign w:val="bottom"/>
            <w:hideMark/>
          </w:tcPr>
          <w:p w14:paraId="6CE2A110" w14:textId="77777777" w:rsidR="001D38A7" w:rsidRPr="000A5982" w:rsidRDefault="001D38A7" w:rsidP="007C17C6">
            <w:pPr>
              <w:jc w:val="right"/>
              <w:rPr>
                <w:rFonts w:ascii="Cambria" w:eastAsia="Aptos" w:hAnsi="Cambria"/>
                <w:color w:val="000000"/>
                <w:kern w:val="2"/>
                <w:sz w:val="16"/>
                <w:szCs w:val="16"/>
                <w14:ligatures w14:val="standardContextual"/>
              </w:rPr>
            </w:pPr>
            <w:r w:rsidRPr="000A5982">
              <w:rPr>
                <w:rFonts w:ascii="Cambria" w:eastAsia="Aptos" w:hAnsi="Cambria"/>
                <w:color w:val="000000"/>
                <w:kern w:val="2"/>
                <w:sz w:val="16"/>
                <w14:ligatures w14:val="standardContextual"/>
              </w:rPr>
              <w:t>191</w:t>
            </w:r>
          </w:p>
        </w:tc>
        <w:tc>
          <w:tcPr>
            <w:tcW w:w="0" w:type="auto"/>
            <w:tcBorders>
              <w:top w:val="nil"/>
              <w:left w:val="nil"/>
              <w:bottom w:val="nil"/>
              <w:right w:val="single" w:sz="4" w:space="0" w:color="auto"/>
            </w:tcBorders>
            <w:noWrap/>
            <w:vAlign w:val="bottom"/>
            <w:hideMark/>
          </w:tcPr>
          <w:p w14:paraId="4D49C694" w14:textId="77777777" w:rsidR="001D38A7" w:rsidRPr="000A5982" w:rsidRDefault="001D38A7" w:rsidP="007C17C6">
            <w:pPr>
              <w:jc w:val="right"/>
              <w:rPr>
                <w:rFonts w:ascii="Cambria" w:eastAsia="Aptos" w:hAnsi="Cambria"/>
                <w:color w:val="000000"/>
                <w:kern w:val="2"/>
                <w:sz w:val="16"/>
                <w:szCs w:val="16"/>
                <w14:ligatures w14:val="standardContextual"/>
              </w:rPr>
            </w:pPr>
            <w:r w:rsidRPr="000A5982">
              <w:rPr>
                <w:rFonts w:ascii="Cambria" w:eastAsia="Aptos" w:hAnsi="Cambria"/>
                <w:color w:val="000000"/>
                <w:kern w:val="2"/>
                <w:sz w:val="16"/>
                <w14:ligatures w14:val="standardContextual"/>
              </w:rPr>
              <w:t>39514</w:t>
            </w:r>
          </w:p>
        </w:tc>
      </w:tr>
      <w:tr w:rsidR="001D38A7" w:rsidRPr="0099704B" w14:paraId="38686447" w14:textId="77777777" w:rsidTr="007C17C6">
        <w:trPr>
          <w:trHeight w:val="57"/>
          <w:jc w:val="center"/>
        </w:trPr>
        <w:tc>
          <w:tcPr>
            <w:tcW w:w="0" w:type="auto"/>
            <w:tcBorders>
              <w:top w:val="nil"/>
              <w:left w:val="single" w:sz="4" w:space="0" w:color="auto"/>
              <w:bottom w:val="nil"/>
              <w:right w:val="single" w:sz="4" w:space="0" w:color="auto"/>
            </w:tcBorders>
            <w:noWrap/>
            <w:vAlign w:val="bottom"/>
            <w:hideMark/>
          </w:tcPr>
          <w:p w14:paraId="0C0D3572" w14:textId="77777777" w:rsidR="001D38A7" w:rsidRPr="0099704B" w:rsidRDefault="001D38A7" w:rsidP="007C17C6">
            <w:pPr>
              <w:rPr>
                <w:rFonts w:ascii="Cambria" w:eastAsia="Aptos" w:hAnsi="Cambria"/>
                <w:b/>
                <w:bCs/>
                <w:color w:val="000000"/>
                <w:kern w:val="2"/>
                <w:sz w:val="16"/>
                <w:szCs w:val="16"/>
                <w14:ligatures w14:val="standardContextual"/>
              </w:rPr>
            </w:pPr>
            <w:r w:rsidRPr="0099704B">
              <w:rPr>
                <w:rFonts w:ascii="Cambria" w:eastAsia="Aptos" w:hAnsi="Cambria"/>
                <w:b/>
                <w:color w:val="000000"/>
                <w:kern w:val="2"/>
                <w:sz w:val="16"/>
                <w14:ligatures w14:val="standardContextual"/>
              </w:rPr>
              <w:t>HL</w:t>
            </w:r>
          </w:p>
        </w:tc>
        <w:tc>
          <w:tcPr>
            <w:tcW w:w="0" w:type="auto"/>
            <w:tcBorders>
              <w:top w:val="nil"/>
              <w:left w:val="nil"/>
              <w:bottom w:val="nil"/>
              <w:right w:val="nil"/>
            </w:tcBorders>
            <w:noWrap/>
            <w:vAlign w:val="bottom"/>
            <w:hideMark/>
          </w:tcPr>
          <w:p w14:paraId="71C81AAC" w14:textId="77777777" w:rsidR="001D38A7" w:rsidRPr="000A5982" w:rsidRDefault="001D38A7" w:rsidP="007C17C6">
            <w:pPr>
              <w:jc w:val="right"/>
              <w:rPr>
                <w:rFonts w:ascii="Cambria" w:eastAsia="Aptos" w:hAnsi="Cambria"/>
                <w:color w:val="000000"/>
                <w:kern w:val="2"/>
                <w:sz w:val="16"/>
                <w:szCs w:val="16"/>
                <w14:ligatures w14:val="standardContextual"/>
              </w:rPr>
            </w:pPr>
            <w:r w:rsidRPr="000A5982">
              <w:rPr>
                <w:rFonts w:ascii="Cambria" w:eastAsia="Aptos" w:hAnsi="Cambria"/>
                <w:color w:val="000000"/>
                <w:kern w:val="2"/>
                <w:sz w:val="16"/>
                <w14:ligatures w14:val="standardContextual"/>
              </w:rPr>
              <w:t>39</w:t>
            </w:r>
          </w:p>
        </w:tc>
        <w:tc>
          <w:tcPr>
            <w:tcW w:w="0" w:type="auto"/>
            <w:tcBorders>
              <w:top w:val="nil"/>
              <w:left w:val="nil"/>
              <w:bottom w:val="nil"/>
              <w:right w:val="single" w:sz="4" w:space="0" w:color="auto"/>
            </w:tcBorders>
            <w:noWrap/>
            <w:vAlign w:val="bottom"/>
            <w:hideMark/>
          </w:tcPr>
          <w:p w14:paraId="24B42488" w14:textId="77777777" w:rsidR="001D38A7" w:rsidRPr="000A5982" w:rsidRDefault="001D38A7" w:rsidP="007C17C6">
            <w:pPr>
              <w:jc w:val="right"/>
              <w:rPr>
                <w:rFonts w:ascii="Cambria" w:eastAsia="Aptos" w:hAnsi="Cambria"/>
                <w:color w:val="000000"/>
                <w:kern w:val="2"/>
                <w:sz w:val="16"/>
                <w:szCs w:val="16"/>
                <w14:ligatures w14:val="standardContextual"/>
              </w:rPr>
            </w:pPr>
            <w:r w:rsidRPr="000A5982">
              <w:rPr>
                <w:rFonts w:ascii="Cambria" w:eastAsia="Aptos" w:hAnsi="Cambria"/>
                <w:color w:val="000000"/>
                <w:kern w:val="2"/>
                <w:sz w:val="16"/>
                <w14:ligatures w14:val="standardContextual"/>
              </w:rPr>
              <w:t>8387</w:t>
            </w:r>
          </w:p>
        </w:tc>
        <w:tc>
          <w:tcPr>
            <w:tcW w:w="0" w:type="auto"/>
            <w:tcBorders>
              <w:top w:val="nil"/>
              <w:left w:val="nil"/>
              <w:bottom w:val="nil"/>
              <w:right w:val="nil"/>
            </w:tcBorders>
            <w:noWrap/>
            <w:vAlign w:val="bottom"/>
            <w:hideMark/>
          </w:tcPr>
          <w:p w14:paraId="2DEA4C8D" w14:textId="77777777" w:rsidR="001D38A7" w:rsidRPr="000A5982" w:rsidRDefault="001D38A7" w:rsidP="007C17C6">
            <w:pPr>
              <w:jc w:val="right"/>
              <w:rPr>
                <w:rFonts w:ascii="Cambria" w:eastAsia="Aptos" w:hAnsi="Cambria"/>
                <w:color w:val="000000"/>
                <w:kern w:val="2"/>
                <w:sz w:val="16"/>
                <w:szCs w:val="16"/>
                <w14:ligatures w14:val="standardContextual"/>
              </w:rPr>
            </w:pPr>
            <w:r w:rsidRPr="000A5982">
              <w:rPr>
                <w:rFonts w:ascii="Cambria" w:eastAsia="Aptos" w:hAnsi="Cambria"/>
                <w:color w:val="000000"/>
                <w:kern w:val="2"/>
                <w:sz w:val="16"/>
                <w14:ligatures w14:val="standardContextual"/>
              </w:rPr>
              <w:t>3</w:t>
            </w:r>
          </w:p>
        </w:tc>
        <w:tc>
          <w:tcPr>
            <w:tcW w:w="0" w:type="auto"/>
            <w:tcBorders>
              <w:top w:val="nil"/>
              <w:left w:val="nil"/>
              <w:bottom w:val="nil"/>
              <w:right w:val="single" w:sz="4" w:space="0" w:color="auto"/>
            </w:tcBorders>
            <w:noWrap/>
            <w:vAlign w:val="bottom"/>
            <w:hideMark/>
          </w:tcPr>
          <w:p w14:paraId="10877A38" w14:textId="77777777" w:rsidR="001D38A7" w:rsidRPr="000A5982" w:rsidRDefault="001D38A7" w:rsidP="007C17C6">
            <w:pPr>
              <w:jc w:val="right"/>
              <w:rPr>
                <w:rFonts w:ascii="Cambria" w:eastAsia="Aptos" w:hAnsi="Cambria"/>
                <w:color w:val="000000"/>
                <w:kern w:val="2"/>
                <w:sz w:val="16"/>
                <w:szCs w:val="16"/>
                <w14:ligatures w14:val="standardContextual"/>
              </w:rPr>
            </w:pPr>
            <w:r w:rsidRPr="000A5982">
              <w:rPr>
                <w:rFonts w:ascii="Cambria" w:eastAsia="Aptos" w:hAnsi="Cambria"/>
                <w:color w:val="000000"/>
                <w:kern w:val="2"/>
                <w:sz w:val="16"/>
                <w14:ligatures w14:val="standardContextual"/>
              </w:rPr>
              <w:t>232</w:t>
            </w:r>
          </w:p>
        </w:tc>
      </w:tr>
      <w:tr w:rsidR="001D38A7" w:rsidRPr="0099704B" w14:paraId="421A7253" w14:textId="77777777" w:rsidTr="007C17C6">
        <w:trPr>
          <w:trHeight w:val="57"/>
          <w:jc w:val="center"/>
        </w:trPr>
        <w:tc>
          <w:tcPr>
            <w:tcW w:w="0" w:type="auto"/>
            <w:tcBorders>
              <w:top w:val="nil"/>
              <w:left w:val="single" w:sz="4" w:space="0" w:color="auto"/>
              <w:bottom w:val="nil"/>
              <w:right w:val="single" w:sz="4" w:space="0" w:color="auto"/>
            </w:tcBorders>
            <w:noWrap/>
            <w:vAlign w:val="bottom"/>
            <w:hideMark/>
          </w:tcPr>
          <w:p w14:paraId="17DBB889" w14:textId="77777777" w:rsidR="001D38A7" w:rsidRPr="0099704B" w:rsidRDefault="001D38A7" w:rsidP="007C17C6">
            <w:pPr>
              <w:rPr>
                <w:rFonts w:ascii="Cambria" w:eastAsia="Aptos" w:hAnsi="Cambria"/>
                <w:b/>
                <w:bCs/>
                <w:color w:val="000000"/>
                <w:kern w:val="2"/>
                <w:sz w:val="16"/>
                <w:szCs w:val="16"/>
                <w14:ligatures w14:val="standardContextual"/>
              </w:rPr>
            </w:pPr>
            <w:r w:rsidRPr="0099704B">
              <w:rPr>
                <w:rFonts w:ascii="Cambria" w:eastAsia="Aptos" w:hAnsi="Cambria"/>
                <w:b/>
                <w:color w:val="000000"/>
                <w:kern w:val="2"/>
                <w:sz w:val="16"/>
                <w14:ligatures w14:val="standardContextual"/>
              </w:rPr>
              <w:t>LL</w:t>
            </w:r>
          </w:p>
        </w:tc>
        <w:tc>
          <w:tcPr>
            <w:tcW w:w="0" w:type="auto"/>
            <w:tcBorders>
              <w:top w:val="nil"/>
              <w:left w:val="nil"/>
              <w:bottom w:val="nil"/>
              <w:right w:val="nil"/>
            </w:tcBorders>
            <w:noWrap/>
            <w:vAlign w:val="bottom"/>
            <w:hideMark/>
          </w:tcPr>
          <w:p w14:paraId="634310D9" w14:textId="77777777" w:rsidR="001D38A7" w:rsidRPr="000A5982" w:rsidRDefault="001D38A7" w:rsidP="007C17C6">
            <w:pPr>
              <w:jc w:val="right"/>
              <w:rPr>
                <w:rFonts w:ascii="Cambria" w:eastAsia="Aptos" w:hAnsi="Cambria"/>
                <w:color w:val="000000"/>
                <w:kern w:val="2"/>
                <w:sz w:val="16"/>
                <w:szCs w:val="16"/>
                <w14:ligatures w14:val="standardContextual"/>
              </w:rPr>
            </w:pPr>
            <w:r w:rsidRPr="000A5982">
              <w:rPr>
                <w:rFonts w:ascii="Cambria" w:eastAsia="Aptos" w:hAnsi="Cambria"/>
                <w:color w:val="000000"/>
                <w:kern w:val="2"/>
                <w:sz w:val="16"/>
                <w14:ligatures w14:val="standardContextual"/>
              </w:rPr>
              <w:t>342</w:t>
            </w:r>
          </w:p>
        </w:tc>
        <w:tc>
          <w:tcPr>
            <w:tcW w:w="0" w:type="auto"/>
            <w:tcBorders>
              <w:top w:val="nil"/>
              <w:left w:val="nil"/>
              <w:bottom w:val="nil"/>
              <w:right w:val="single" w:sz="4" w:space="0" w:color="auto"/>
            </w:tcBorders>
            <w:noWrap/>
            <w:vAlign w:val="bottom"/>
            <w:hideMark/>
          </w:tcPr>
          <w:p w14:paraId="1EEA2DB3" w14:textId="77777777" w:rsidR="001D38A7" w:rsidRPr="000A5982" w:rsidRDefault="001D38A7" w:rsidP="007C17C6">
            <w:pPr>
              <w:jc w:val="right"/>
              <w:rPr>
                <w:rFonts w:ascii="Cambria" w:eastAsia="Aptos" w:hAnsi="Cambria"/>
                <w:color w:val="000000"/>
                <w:kern w:val="2"/>
                <w:sz w:val="16"/>
                <w:szCs w:val="16"/>
                <w14:ligatures w14:val="standardContextual"/>
              </w:rPr>
            </w:pPr>
            <w:r w:rsidRPr="000A5982">
              <w:rPr>
                <w:rFonts w:ascii="Cambria" w:eastAsia="Aptos" w:hAnsi="Cambria"/>
                <w:color w:val="000000"/>
                <w:kern w:val="2"/>
                <w:sz w:val="16"/>
                <w14:ligatures w14:val="standardContextual"/>
              </w:rPr>
              <w:t>115557</w:t>
            </w:r>
          </w:p>
        </w:tc>
        <w:tc>
          <w:tcPr>
            <w:tcW w:w="0" w:type="auto"/>
            <w:tcBorders>
              <w:top w:val="nil"/>
              <w:left w:val="nil"/>
              <w:bottom w:val="nil"/>
              <w:right w:val="nil"/>
            </w:tcBorders>
            <w:noWrap/>
            <w:vAlign w:val="bottom"/>
            <w:hideMark/>
          </w:tcPr>
          <w:p w14:paraId="18E7EFD7" w14:textId="77777777" w:rsidR="001D38A7" w:rsidRPr="000A5982" w:rsidRDefault="001D38A7" w:rsidP="007C17C6">
            <w:pPr>
              <w:jc w:val="right"/>
              <w:rPr>
                <w:rFonts w:ascii="Cambria" w:eastAsia="Aptos" w:hAnsi="Cambria"/>
                <w:color w:val="000000"/>
                <w:kern w:val="2"/>
                <w:sz w:val="16"/>
                <w:szCs w:val="16"/>
                <w14:ligatures w14:val="standardContextual"/>
              </w:rPr>
            </w:pPr>
            <w:r w:rsidRPr="000A5982">
              <w:rPr>
                <w:rFonts w:ascii="Cambria" w:eastAsia="Aptos" w:hAnsi="Cambria"/>
                <w:color w:val="000000"/>
                <w:kern w:val="2"/>
                <w:sz w:val="16"/>
                <w14:ligatures w14:val="standardContextual"/>
              </w:rPr>
              <w:t>370</w:t>
            </w:r>
          </w:p>
        </w:tc>
        <w:tc>
          <w:tcPr>
            <w:tcW w:w="0" w:type="auto"/>
            <w:tcBorders>
              <w:top w:val="nil"/>
              <w:left w:val="nil"/>
              <w:bottom w:val="nil"/>
              <w:right w:val="single" w:sz="4" w:space="0" w:color="auto"/>
            </w:tcBorders>
            <w:noWrap/>
            <w:vAlign w:val="bottom"/>
            <w:hideMark/>
          </w:tcPr>
          <w:p w14:paraId="14E8CD58" w14:textId="77777777" w:rsidR="001D38A7" w:rsidRPr="000A5982" w:rsidRDefault="001D38A7" w:rsidP="007C17C6">
            <w:pPr>
              <w:jc w:val="right"/>
              <w:rPr>
                <w:rFonts w:ascii="Cambria" w:eastAsia="Aptos" w:hAnsi="Cambria"/>
                <w:color w:val="000000"/>
                <w:kern w:val="2"/>
                <w:sz w:val="16"/>
                <w:szCs w:val="16"/>
                <w14:ligatures w14:val="standardContextual"/>
              </w:rPr>
            </w:pPr>
            <w:r w:rsidRPr="000A5982">
              <w:rPr>
                <w:rFonts w:ascii="Cambria" w:eastAsia="Aptos" w:hAnsi="Cambria"/>
                <w:color w:val="000000"/>
                <w:kern w:val="2"/>
                <w:sz w:val="16"/>
                <w14:ligatures w14:val="standardContextual"/>
              </w:rPr>
              <w:t>121393</w:t>
            </w:r>
          </w:p>
        </w:tc>
      </w:tr>
      <w:tr w:rsidR="001D38A7" w:rsidRPr="0099704B" w14:paraId="4E67DC7B" w14:textId="77777777" w:rsidTr="007C17C6">
        <w:trPr>
          <w:trHeight w:val="57"/>
          <w:jc w:val="center"/>
        </w:trPr>
        <w:tc>
          <w:tcPr>
            <w:tcW w:w="0" w:type="auto"/>
            <w:tcBorders>
              <w:top w:val="nil"/>
              <w:left w:val="single" w:sz="4" w:space="0" w:color="auto"/>
              <w:bottom w:val="nil"/>
              <w:right w:val="single" w:sz="4" w:space="0" w:color="auto"/>
            </w:tcBorders>
            <w:noWrap/>
            <w:vAlign w:val="bottom"/>
            <w:hideMark/>
          </w:tcPr>
          <w:p w14:paraId="0BA0AD54" w14:textId="77777777" w:rsidR="001D38A7" w:rsidRPr="0099704B" w:rsidRDefault="001D38A7" w:rsidP="007C17C6">
            <w:pPr>
              <w:rPr>
                <w:rFonts w:ascii="Cambria" w:eastAsia="Aptos" w:hAnsi="Cambria"/>
                <w:b/>
                <w:bCs/>
                <w:color w:val="000000"/>
                <w:kern w:val="2"/>
                <w:sz w:val="16"/>
                <w:szCs w:val="16"/>
                <w14:ligatures w14:val="standardContextual"/>
              </w:rPr>
            </w:pPr>
            <w:r w:rsidRPr="0099704B">
              <w:rPr>
                <w:rFonts w:ascii="Cambria" w:eastAsia="Aptos" w:hAnsi="Cambria"/>
                <w:b/>
                <w:color w:val="000000"/>
                <w:kern w:val="2"/>
                <w:sz w:val="16"/>
                <w14:ligatures w14:val="standardContextual"/>
              </w:rPr>
              <w:t>PS</w:t>
            </w:r>
          </w:p>
        </w:tc>
        <w:tc>
          <w:tcPr>
            <w:tcW w:w="0" w:type="auto"/>
            <w:tcBorders>
              <w:top w:val="nil"/>
              <w:left w:val="nil"/>
              <w:bottom w:val="nil"/>
              <w:right w:val="nil"/>
            </w:tcBorders>
            <w:noWrap/>
            <w:vAlign w:val="bottom"/>
            <w:hideMark/>
          </w:tcPr>
          <w:p w14:paraId="2E261475" w14:textId="77777777" w:rsidR="001D38A7" w:rsidRPr="000A5982" w:rsidRDefault="001D38A7" w:rsidP="007C17C6">
            <w:pPr>
              <w:jc w:val="right"/>
              <w:rPr>
                <w:rFonts w:ascii="Cambria" w:eastAsia="Aptos" w:hAnsi="Cambria"/>
                <w:color w:val="000000"/>
                <w:kern w:val="2"/>
                <w:sz w:val="16"/>
                <w:szCs w:val="16"/>
                <w14:ligatures w14:val="standardContextual"/>
              </w:rPr>
            </w:pPr>
            <w:r w:rsidRPr="000A5982">
              <w:rPr>
                <w:rFonts w:ascii="Cambria" w:eastAsia="Aptos" w:hAnsi="Cambria"/>
                <w:color w:val="000000"/>
                <w:kern w:val="2"/>
                <w:sz w:val="16"/>
                <w14:ligatures w14:val="standardContextual"/>
              </w:rPr>
              <w:t>54</w:t>
            </w:r>
          </w:p>
        </w:tc>
        <w:tc>
          <w:tcPr>
            <w:tcW w:w="0" w:type="auto"/>
            <w:tcBorders>
              <w:top w:val="nil"/>
              <w:left w:val="nil"/>
              <w:bottom w:val="nil"/>
              <w:right w:val="single" w:sz="4" w:space="0" w:color="auto"/>
            </w:tcBorders>
            <w:noWrap/>
            <w:vAlign w:val="bottom"/>
            <w:hideMark/>
          </w:tcPr>
          <w:p w14:paraId="05EB950A" w14:textId="77777777" w:rsidR="001D38A7" w:rsidRPr="000A5982" w:rsidRDefault="001D38A7" w:rsidP="007C17C6">
            <w:pPr>
              <w:jc w:val="right"/>
              <w:rPr>
                <w:rFonts w:ascii="Cambria" w:eastAsia="Aptos" w:hAnsi="Cambria"/>
                <w:color w:val="000000"/>
                <w:kern w:val="2"/>
                <w:sz w:val="16"/>
                <w:szCs w:val="16"/>
                <w14:ligatures w14:val="standardContextual"/>
              </w:rPr>
            </w:pPr>
            <w:r w:rsidRPr="000A5982">
              <w:rPr>
                <w:rFonts w:ascii="Cambria" w:eastAsia="Aptos" w:hAnsi="Cambria"/>
                <w:color w:val="000000"/>
                <w:kern w:val="2"/>
                <w:sz w:val="16"/>
                <w14:ligatures w14:val="standardContextual"/>
              </w:rPr>
              <w:t>74594</w:t>
            </w:r>
          </w:p>
        </w:tc>
        <w:tc>
          <w:tcPr>
            <w:tcW w:w="0" w:type="auto"/>
            <w:tcBorders>
              <w:top w:val="nil"/>
              <w:left w:val="nil"/>
              <w:bottom w:val="nil"/>
              <w:right w:val="nil"/>
            </w:tcBorders>
            <w:noWrap/>
            <w:vAlign w:val="bottom"/>
            <w:hideMark/>
          </w:tcPr>
          <w:p w14:paraId="39C14D84" w14:textId="77777777" w:rsidR="001D38A7" w:rsidRPr="000A5982" w:rsidRDefault="001D38A7" w:rsidP="007C17C6">
            <w:pPr>
              <w:jc w:val="right"/>
              <w:rPr>
                <w:rFonts w:ascii="Cambria" w:eastAsia="Aptos" w:hAnsi="Cambria"/>
                <w:color w:val="000000"/>
                <w:kern w:val="2"/>
                <w:sz w:val="16"/>
                <w:szCs w:val="16"/>
                <w14:ligatures w14:val="standardContextual"/>
              </w:rPr>
            </w:pPr>
            <w:r w:rsidRPr="000A5982">
              <w:rPr>
                <w:rFonts w:ascii="Cambria" w:eastAsia="Aptos" w:hAnsi="Cambria"/>
                <w:color w:val="000000"/>
                <w:kern w:val="2"/>
                <w:sz w:val="16"/>
                <w14:ligatures w14:val="standardContextual"/>
              </w:rPr>
              <w:t>64</w:t>
            </w:r>
          </w:p>
        </w:tc>
        <w:tc>
          <w:tcPr>
            <w:tcW w:w="0" w:type="auto"/>
            <w:tcBorders>
              <w:top w:val="nil"/>
              <w:left w:val="nil"/>
              <w:bottom w:val="nil"/>
              <w:right w:val="single" w:sz="4" w:space="0" w:color="auto"/>
            </w:tcBorders>
            <w:noWrap/>
            <w:vAlign w:val="bottom"/>
            <w:hideMark/>
          </w:tcPr>
          <w:p w14:paraId="47C79339" w14:textId="77777777" w:rsidR="001D38A7" w:rsidRPr="000A5982" w:rsidRDefault="001D38A7" w:rsidP="007C17C6">
            <w:pPr>
              <w:jc w:val="right"/>
              <w:rPr>
                <w:rFonts w:ascii="Cambria" w:eastAsia="Aptos" w:hAnsi="Cambria"/>
                <w:color w:val="000000"/>
                <w:kern w:val="2"/>
                <w:sz w:val="16"/>
                <w:szCs w:val="16"/>
                <w14:ligatures w14:val="standardContextual"/>
              </w:rPr>
            </w:pPr>
            <w:r w:rsidRPr="000A5982">
              <w:rPr>
                <w:rFonts w:ascii="Cambria" w:eastAsia="Aptos" w:hAnsi="Cambria"/>
                <w:color w:val="000000"/>
                <w:kern w:val="2"/>
                <w:sz w:val="16"/>
                <w14:ligatures w14:val="standardContextual"/>
              </w:rPr>
              <w:t>84647</w:t>
            </w:r>
          </w:p>
        </w:tc>
      </w:tr>
      <w:tr w:rsidR="001D38A7" w:rsidRPr="0099704B" w14:paraId="77C0FEFC" w14:textId="77777777" w:rsidTr="007C17C6">
        <w:trPr>
          <w:trHeight w:val="57"/>
          <w:jc w:val="center"/>
        </w:trPr>
        <w:tc>
          <w:tcPr>
            <w:tcW w:w="0" w:type="auto"/>
            <w:tcBorders>
              <w:top w:val="nil"/>
              <w:left w:val="single" w:sz="4" w:space="0" w:color="auto"/>
              <w:bottom w:val="nil"/>
              <w:right w:val="single" w:sz="4" w:space="0" w:color="auto"/>
            </w:tcBorders>
            <w:noWrap/>
            <w:vAlign w:val="bottom"/>
            <w:hideMark/>
          </w:tcPr>
          <w:p w14:paraId="01822E4F" w14:textId="77777777" w:rsidR="001D38A7" w:rsidRPr="0099704B" w:rsidRDefault="001D38A7" w:rsidP="007C17C6">
            <w:pPr>
              <w:rPr>
                <w:rFonts w:ascii="Cambria" w:eastAsia="Aptos" w:hAnsi="Cambria"/>
                <w:b/>
                <w:bCs/>
                <w:color w:val="000000"/>
                <w:kern w:val="2"/>
                <w:sz w:val="16"/>
                <w:szCs w:val="16"/>
                <w14:ligatures w14:val="standardContextual"/>
              </w:rPr>
            </w:pPr>
            <w:r w:rsidRPr="0099704B">
              <w:rPr>
                <w:rFonts w:ascii="Cambria" w:eastAsia="Aptos" w:hAnsi="Cambria"/>
                <w:b/>
                <w:color w:val="000000"/>
                <w:kern w:val="2"/>
                <w:sz w:val="16"/>
                <w14:ligatures w14:val="standardContextual"/>
              </w:rPr>
              <w:t>RR</w:t>
            </w:r>
          </w:p>
        </w:tc>
        <w:tc>
          <w:tcPr>
            <w:tcW w:w="0" w:type="auto"/>
            <w:tcBorders>
              <w:top w:val="nil"/>
              <w:left w:val="nil"/>
              <w:bottom w:val="nil"/>
              <w:right w:val="nil"/>
            </w:tcBorders>
            <w:noWrap/>
            <w:vAlign w:val="bottom"/>
            <w:hideMark/>
          </w:tcPr>
          <w:p w14:paraId="7A373515" w14:textId="77777777" w:rsidR="001D38A7" w:rsidRPr="000A5982" w:rsidRDefault="001D38A7" w:rsidP="007C17C6">
            <w:pPr>
              <w:jc w:val="right"/>
              <w:rPr>
                <w:rFonts w:ascii="Cambria" w:eastAsia="Aptos" w:hAnsi="Cambria"/>
                <w:color w:val="000000"/>
                <w:kern w:val="2"/>
                <w:sz w:val="16"/>
                <w:szCs w:val="16"/>
                <w14:ligatures w14:val="standardContextual"/>
              </w:rPr>
            </w:pPr>
            <w:r w:rsidRPr="000A5982">
              <w:rPr>
                <w:rFonts w:ascii="Cambria" w:eastAsia="Aptos" w:hAnsi="Cambria"/>
                <w:color w:val="000000"/>
                <w:kern w:val="2"/>
                <w:sz w:val="16"/>
                <w14:ligatures w14:val="standardContextual"/>
              </w:rPr>
              <w:t> -</w:t>
            </w:r>
          </w:p>
        </w:tc>
        <w:tc>
          <w:tcPr>
            <w:tcW w:w="0" w:type="auto"/>
            <w:tcBorders>
              <w:top w:val="nil"/>
              <w:left w:val="nil"/>
              <w:bottom w:val="nil"/>
              <w:right w:val="single" w:sz="4" w:space="0" w:color="auto"/>
            </w:tcBorders>
            <w:noWrap/>
            <w:vAlign w:val="bottom"/>
            <w:hideMark/>
          </w:tcPr>
          <w:p w14:paraId="32FC6329" w14:textId="77777777" w:rsidR="001D38A7" w:rsidRPr="000A5982" w:rsidRDefault="001D38A7" w:rsidP="007C17C6">
            <w:pPr>
              <w:jc w:val="right"/>
              <w:rPr>
                <w:rFonts w:ascii="Cambria" w:eastAsia="Aptos" w:hAnsi="Cambria"/>
                <w:color w:val="000000"/>
                <w:kern w:val="2"/>
                <w:sz w:val="16"/>
                <w:szCs w:val="16"/>
                <w14:ligatures w14:val="standardContextual"/>
              </w:rPr>
            </w:pPr>
            <w:r w:rsidRPr="000A5982">
              <w:rPr>
                <w:rFonts w:ascii="Cambria" w:eastAsia="Aptos" w:hAnsi="Cambria"/>
                <w:color w:val="000000"/>
                <w:kern w:val="2"/>
                <w:sz w:val="16"/>
                <w14:ligatures w14:val="standardContextual"/>
              </w:rPr>
              <w:t> -</w:t>
            </w:r>
          </w:p>
        </w:tc>
        <w:tc>
          <w:tcPr>
            <w:tcW w:w="0" w:type="auto"/>
            <w:tcBorders>
              <w:top w:val="nil"/>
              <w:left w:val="nil"/>
              <w:bottom w:val="nil"/>
              <w:right w:val="nil"/>
            </w:tcBorders>
            <w:noWrap/>
            <w:vAlign w:val="bottom"/>
            <w:hideMark/>
          </w:tcPr>
          <w:p w14:paraId="1774FCEE" w14:textId="77777777" w:rsidR="001D38A7" w:rsidRPr="000A5982" w:rsidRDefault="001D38A7" w:rsidP="007C17C6">
            <w:pPr>
              <w:jc w:val="right"/>
              <w:rPr>
                <w:rFonts w:ascii="Cambria" w:eastAsia="Aptos" w:hAnsi="Cambria"/>
                <w:color w:val="000000"/>
                <w:kern w:val="2"/>
                <w:sz w:val="16"/>
                <w:szCs w:val="16"/>
                <w14:ligatures w14:val="standardContextual"/>
              </w:rPr>
            </w:pPr>
            <w:r w:rsidRPr="000A5982">
              <w:rPr>
                <w:rFonts w:ascii="Cambria" w:eastAsia="Aptos" w:hAnsi="Cambria"/>
                <w:color w:val="000000"/>
                <w:kern w:val="2"/>
                <w:sz w:val="16"/>
                <w14:ligatures w14:val="standardContextual"/>
              </w:rPr>
              <w:t>6</w:t>
            </w:r>
          </w:p>
        </w:tc>
        <w:tc>
          <w:tcPr>
            <w:tcW w:w="0" w:type="auto"/>
            <w:tcBorders>
              <w:top w:val="nil"/>
              <w:left w:val="nil"/>
              <w:bottom w:val="nil"/>
              <w:right w:val="single" w:sz="4" w:space="0" w:color="auto"/>
            </w:tcBorders>
            <w:noWrap/>
            <w:vAlign w:val="bottom"/>
            <w:hideMark/>
          </w:tcPr>
          <w:p w14:paraId="7E17F28D" w14:textId="77777777" w:rsidR="001D38A7" w:rsidRPr="000A5982" w:rsidRDefault="001D38A7" w:rsidP="007C17C6">
            <w:pPr>
              <w:jc w:val="right"/>
              <w:rPr>
                <w:rFonts w:ascii="Cambria" w:eastAsia="Aptos" w:hAnsi="Cambria"/>
                <w:color w:val="000000"/>
                <w:kern w:val="2"/>
                <w:sz w:val="16"/>
                <w:szCs w:val="16"/>
                <w14:ligatures w14:val="standardContextual"/>
              </w:rPr>
            </w:pPr>
            <w:r w:rsidRPr="000A5982">
              <w:rPr>
                <w:rFonts w:ascii="Cambria" w:eastAsia="Aptos" w:hAnsi="Cambria"/>
                <w:color w:val="000000"/>
                <w:kern w:val="2"/>
                <w:sz w:val="16"/>
                <w14:ligatures w14:val="standardContextual"/>
              </w:rPr>
              <w:t>837</w:t>
            </w:r>
          </w:p>
        </w:tc>
      </w:tr>
      <w:tr w:rsidR="001D38A7" w:rsidRPr="0099704B" w14:paraId="02293688" w14:textId="77777777" w:rsidTr="007C17C6">
        <w:trPr>
          <w:trHeight w:val="57"/>
          <w:jc w:val="center"/>
        </w:trPr>
        <w:tc>
          <w:tcPr>
            <w:tcW w:w="0" w:type="auto"/>
            <w:tcBorders>
              <w:top w:val="nil"/>
              <w:left w:val="single" w:sz="4" w:space="0" w:color="auto"/>
              <w:bottom w:val="single" w:sz="4" w:space="0" w:color="auto"/>
              <w:right w:val="single" w:sz="4" w:space="0" w:color="auto"/>
            </w:tcBorders>
            <w:noWrap/>
            <w:vAlign w:val="bottom"/>
            <w:hideMark/>
          </w:tcPr>
          <w:p w14:paraId="4202FBD0" w14:textId="77777777" w:rsidR="001D38A7" w:rsidRPr="0099704B" w:rsidRDefault="001D38A7" w:rsidP="007C17C6">
            <w:pPr>
              <w:rPr>
                <w:rFonts w:ascii="Cambria" w:eastAsia="Aptos" w:hAnsi="Cambria"/>
                <w:b/>
                <w:bCs/>
                <w:color w:val="000000"/>
                <w:kern w:val="2"/>
                <w:sz w:val="16"/>
                <w:szCs w:val="16"/>
                <w14:ligatures w14:val="standardContextual"/>
              </w:rPr>
            </w:pPr>
            <w:r w:rsidRPr="0099704B">
              <w:rPr>
                <w:rFonts w:ascii="Cambria" w:eastAsia="Aptos" w:hAnsi="Cambria"/>
                <w:b/>
                <w:color w:val="000000"/>
                <w:kern w:val="2"/>
                <w:sz w:val="16"/>
                <w14:ligatures w14:val="standardContextual"/>
              </w:rPr>
              <w:t>UN</w:t>
            </w:r>
          </w:p>
        </w:tc>
        <w:tc>
          <w:tcPr>
            <w:tcW w:w="0" w:type="auto"/>
            <w:tcBorders>
              <w:top w:val="nil"/>
              <w:left w:val="nil"/>
              <w:bottom w:val="single" w:sz="4" w:space="0" w:color="auto"/>
              <w:right w:val="nil"/>
            </w:tcBorders>
            <w:noWrap/>
            <w:vAlign w:val="bottom"/>
            <w:hideMark/>
          </w:tcPr>
          <w:p w14:paraId="0783348E" w14:textId="77777777" w:rsidR="001D38A7" w:rsidRPr="000A5982" w:rsidRDefault="001D38A7" w:rsidP="007C17C6">
            <w:pPr>
              <w:jc w:val="right"/>
              <w:rPr>
                <w:rFonts w:ascii="Cambria" w:eastAsia="Aptos" w:hAnsi="Cambria"/>
                <w:color w:val="000000"/>
                <w:kern w:val="2"/>
                <w:sz w:val="16"/>
                <w:szCs w:val="16"/>
                <w14:ligatures w14:val="standardContextual"/>
              </w:rPr>
            </w:pPr>
            <w:r w:rsidRPr="000A5982">
              <w:rPr>
                <w:rFonts w:ascii="Cambria" w:eastAsia="Aptos" w:hAnsi="Cambria"/>
                <w:color w:val="000000"/>
                <w:kern w:val="2"/>
                <w:sz w:val="16"/>
                <w14:ligatures w14:val="standardContextual"/>
              </w:rPr>
              <w:t>22</w:t>
            </w:r>
          </w:p>
        </w:tc>
        <w:tc>
          <w:tcPr>
            <w:tcW w:w="0" w:type="auto"/>
            <w:tcBorders>
              <w:top w:val="nil"/>
              <w:left w:val="nil"/>
              <w:bottom w:val="single" w:sz="4" w:space="0" w:color="auto"/>
              <w:right w:val="single" w:sz="4" w:space="0" w:color="auto"/>
            </w:tcBorders>
            <w:noWrap/>
            <w:vAlign w:val="bottom"/>
            <w:hideMark/>
          </w:tcPr>
          <w:p w14:paraId="4F83E4D5" w14:textId="77777777" w:rsidR="001D38A7" w:rsidRPr="000A5982" w:rsidRDefault="001D38A7" w:rsidP="007C17C6">
            <w:pPr>
              <w:jc w:val="right"/>
              <w:rPr>
                <w:rFonts w:ascii="Cambria" w:eastAsia="Aptos" w:hAnsi="Cambria"/>
                <w:color w:val="000000"/>
                <w:kern w:val="2"/>
                <w:sz w:val="16"/>
                <w:szCs w:val="16"/>
                <w14:ligatures w14:val="standardContextual"/>
              </w:rPr>
            </w:pPr>
            <w:r w:rsidRPr="000A5982">
              <w:rPr>
                <w:rFonts w:ascii="Cambria" w:eastAsia="Aptos" w:hAnsi="Cambria"/>
                <w:color w:val="000000"/>
                <w:kern w:val="2"/>
                <w:sz w:val="16"/>
                <w14:ligatures w14:val="standardContextual"/>
              </w:rPr>
              <w:t>2612</w:t>
            </w:r>
          </w:p>
        </w:tc>
        <w:tc>
          <w:tcPr>
            <w:tcW w:w="0" w:type="auto"/>
            <w:tcBorders>
              <w:top w:val="nil"/>
              <w:left w:val="nil"/>
              <w:bottom w:val="single" w:sz="4" w:space="0" w:color="auto"/>
              <w:right w:val="nil"/>
            </w:tcBorders>
            <w:noWrap/>
            <w:vAlign w:val="bottom"/>
            <w:hideMark/>
          </w:tcPr>
          <w:p w14:paraId="11EE9088" w14:textId="77777777" w:rsidR="001D38A7" w:rsidRPr="000A5982" w:rsidRDefault="001D38A7" w:rsidP="007C17C6">
            <w:pPr>
              <w:jc w:val="right"/>
              <w:rPr>
                <w:rFonts w:ascii="Cambria" w:eastAsia="Aptos" w:hAnsi="Cambria"/>
                <w:color w:val="000000"/>
                <w:kern w:val="2"/>
                <w:sz w:val="16"/>
                <w:szCs w:val="16"/>
                <w14:ligatures w14:val="standardContextual"/>
              </w:rPr>
            </w:pPr>
            <w:r w:rsidRPr="000A5982">
              <w:rPr>
                <w:rFonts w:ascii="Cambria" w:eastAsia="Aptos" w:hAnsi="Cambria"/>
                <w:color w:val="000000"/>
                <w:kern w:val="2"/>
                <w:sz w:val="16"/>
                <w14:ligatures w14:val="standardContextual"/>
              </w:rPr>
              <w:t>37</w:t>
            </w:r>
          </w:p>
        </w:tc>
        <w:tc>
          <w:tcPr>
            <w:tcW w:w="0" w:type="auto"/>
            <w:tcBorders>
              <w:top w:val="nil"/>
              <w:left w:val="nil"/>
              <w:bottom w:val="single" w:sz="4" w:space="0" w:color="auto"/>
              <w:right w:val="single" w:sz="4" w:space="0" w:color="auto"/>
            </w:tcBorders>
            <w:noWrap/>
            <w:vAlign w:val="bottom"/>
            <w:hideMark/>
          </w:tcPr>
          <w:p w14:paraId="082B5A05" w14:textId="77777777" w:rsidR="001D38A7" w:rsidRPr="000A5982" w:rsidRDefault="001D38A7" w:rsidP="007C17C6">
            <w:pPr>
              <w:jc w:val="right"/>
              <w:rPr>
                <w:rFonts w:ascii="Cambria" w:eastAsia="Aptos" w:hAnsi="Cambria"/>
                <w:color w:val="000000"/>
                <w:kern w:val="2"/>
                <w:sz w:val="16"/>
                <w:szCs w:val="16"/>
                <w14:ligatures w14:val="standardContextual"/>
              </w:rPr>
            </w:pPr>
            <w:r w:rsidRPr="000A5982">
              <w:rPr>
                <w:rFonts w:ascii="Cambria" w:eastAsia="Aptos" w:hAnsi="Cambria"/>
                <w:color w:val="000000"/>
                <w:kern w:val="2"/>
                <w:sz w:val="16"/>
                <w14:ligatures w14:val="standardContextual"/>
              </w:rPr>
              <w:t>4779</w:t>
            </w:r>
          </w:p>
        </w:tc>
      </w:tr>
      <w:tr w:rsidR="001D38A7" w:rsidRPr="0099704B" w14:paraId="0062757B" w14:textId="77777777" w:rsidTr="007C17C6">
        <w:trPr>
          <w:trHeight w:val="57"/>
          <w:jc w:val="center"/>
        </w:trPr>
        <w:tc>
          <w:tcPr>
            <w:tcW w:w="0" w:type="auto"/>
            <w:tcBorders>
              <w:top w:val="nil"/>
              <w:left w:val="single" w:sz="4" w:space="0" w:color="auto"/>
              <w:bottom w:val="single" w:sz="4" w:space="0" w:color="auto"/>
              <w:right w:val="single" w:sz="4" w:space="0" w:color="auto"/>
            </w:tcBorders>
            <w:noWrap/>
            <w:vAlign w:val="bottom"/>
            <w:hideMark/>
          </w:tcPr>
          <w:p w14:paraId="021DA22D" w14:textId="77777777" w:rsidR="001D38A7" w:rsidRPr="0099704B" w:rsidRDefault="001D38A7" w:rsidP="007C17C6">
            <w:pPr>
              <w:jc w:val="right"/>
              <w:rPr>
                <w:rFonts w:ascii="Cambria" w:eastAsia="Aptos" w:hAnsi="Cambria"/>
                <w:b/>
                <w:bCs/>
                <w:color w:val="000000"/>
                <w:kern w:val="2"/>
                <w:sz w:val="16"/>
                <w:szCs w:val="16"/>
                <w14:ligatures w14:val="standardContextual"/>
              </w:rPr>
            </w:pPr>
            <w:r w:rsidRPr="0099704B">
              <w:rPr>
                <w:rFonts w:ascii="Cambria" w:eastAsia="Aptos" w:hAnsi="Cambria"/>
                <w:b/>
                <w:color w:val="000000"/>
                <w:kern w:val="2"/>
                <w:sz w:val="16"/>
                <w14:ligatures w14:val="standardContextual"/>
              </w:rPr>
              <w:t>Total</w:t>
            </w:r>
          </w:p>
        </w:tc>
        <w:tc>
          <w:tcPr>
            <w:tcW w:w="0" w:type="auto"/>
            <w:tcBorders>
              <w:top w:val="nil"/>
              <w:left w:val="nil"/>
              <w:bottom w:val="single" w:sz="4" w:space="0" w:color="auto"/>
              <w:right w:val="nil"/>
            </w:tcBorders>
            <w:noWrap/>
            <w:vAlign w:val="bottom"/>
            <w:hideMark/>
          </w:tcPr>
          <w:p w14:paraId="45E3569E" w14:textId="77777777" w:rsidR="001D38A7" w:rsidRPr="000A5982" w:rsidRDefault="001D38A7" w:rsidP="007C17C6">
            <w:pPr>
              <w:jc w:val="right"/>
              <w:rPr>
                <w:rFonts w:ascii="Cambria" w:eastAsia="Aptos" w:hAnsi="Cambria"/>
                <w:b/>
                <w:bCs/>
                <w:color w:val="000000"/>
                <w:kern w:val="2"/>
                <w:sz w:val="16"/>
                <w:szCs w:val="16"/>
                <w14:ligatures w14:val="standardContextual"/>
              </w:rPr>
            </w:pPr>
            <w:r w:rsidRPr="000A5982">
              <w:rPr>
                <w:rFonts w:ascii="Cambria" w:eastAsia="Aptos" w:hAnsi="Cambria"/>
                <w:b/>
                <w:color w:val="000000"/>
                <w:kern w:val="2"/>
                <w:sz w:val="16"/>
                <w14:ligatures w14:val="standardContextual"/>
              </w:rPr>
              <w:t>483</w:t>
            </w:r>
          </w:p>
        </w:tc>
        <w:tc>
          <w:tcPr>
            <w:tcW w:w="0" w:type="auto"/>
            <w:tcBorders>
              <w:top w:val="nil"/>
              <w:left w:val="nil"/>
              <w:bottom w:val="single" w:sz="4" w:space="0" w:color="auto"/>
              <w:right w:val="single" w:sz="4" w:space="0" w:color="auto"/>
            </w:tcBorders>
            <w:noWrap/>
            <w:vAlign w:val="bottom"/>
            <w:hideMark/>
          </w:tcPr>
          <w:p w14:paraId="3D7EB3B3" w14:textId="77777777" w:rsidR="001D38A7" w:rsidRPr="000A5982" w:rsidRDefault="001D38A7" w:rsidP="007C17C6">
            <w:pPr>
              <w:jc w:val="right"/>
              <w:rPr>
                <w:rFonts w:ascii="Cambria" w:eastAsia="Aptos" w:hAnsi="Cambria"/>
                <w:b/>
                <w:bCs/>
                <w:color w:val="000000"/>
                <w:kern w:val="2"/>
                <w:sz w:val="16"/>
                <w:szCs w:val="16"/>
                <w14:ligatures w14:val="standardContextual"/>
              </w:rPr>
            </w:pPr>
            <w:r w:rsidRPr="000A5982">
              <w:rPr>
                <w:rFonts w:ascii="Cambria" w:eastAsia="Aptos" w:hAnsi="Cambria"/>
                <w:b/>
                <w:color w:val="000000"/>
                <w:kern w:val="2"/>
                <w:sz w:val="16"/>
                <w14:ligatures w14:val="standardContextual"/>
              </w:rPr>
              <w:t>205871</w:t>
            </w:r>
          </w:p>
        </w:tc>
        <w:tc>
          <w:tcPr>
            <w:tcW w:w="0" w:type="auto"/>
            <w:tcBorders>
              <w:top w:val="nil"/>
              <w:left w:val="nil"/>
              <w:bottom w:val="single" w:sz="4" w:space="0" w:color="auto"/>
              <w:right w:val="nil"/>
            </w:tcBorders>
            <w:noWrap/>
            <w:vAlign w:val="bottom"/>
            <w:hideMark/>
          </w:tcPr>
          <w:p w14:paraId="40C0B717" w14:textId="77777777" w:rsidR="001D38A7" w:rsidRPr="000A5982" w:rsidRDefault="001D38A7" w:rsidP="007C17C6">
            <w:pPr>
              <w:jc w:val="right"/>
              <w:rPr>
                <w:rFonts w:ascii="Cambria" w:eastAsia="Aptos" w:hAnsi="Cambria"/>
                <w:b/>
                <w:bCs/>
                <w:color w:val="000000"/>
                <w:kern w:val="2"/>
                <w:sz w:val="16"/>
                <w:szCs w:val="16"/>
                <w14:ligatures w14:val="standardContextual"/>
              </w:rPr>
            </w:pPr>
            <w:r w:rsidRPr="000A5982">
              <w:rPr>
                <w:rFonts w:ascii="Cambria" w:eastAsia="Aptos" w:hAnsi="Cambria"/>
                <w:b/>
                <w:color w:val="000000"/>
                <w:kern w:val="2"/>
                <w:sz w:val="16"/>
                <w14:ligatures w14:val="standardContextual"/>
              </w:rPr>
              <w:t>671</w:t>
            </w:r>
          </w:p>
        </w:tc>
        <w:tc>
          <w:tcPr>
            <w:tcW w:w="0" w:type="auto"/>
            <w:tcBorders>
              <w:top w:val="nil"/>
              <w:left w:val="nil"/>
              <w:bottom w:val="single" w:sz="4" w:space="0" w:color="auto"/>
              <w:right w:val="single" w:sz="4" w:space="0" w:color="auto"/>
            </w:tcBorders>
            <w:noWrap/>
            <w:vAlign w:val="bottom"/>
            <w:hideMark/>
          </w:tcPr>
          <w:p w14:paraId="3C3CB7C3" w14:textId="77777777" w:rsidR="001D38A7" w:rsidRPr="000A5982" w:rsidRDefault="001D38A7" w:rsidP="007C17C6">
            <w:pPr>
              <w:jc w:val="right"/>
              <w:rPr>
                <w:rFonts w:ascii="Cambria" w:eastAsia="Aptos" w:hAnsi="Cambria"/>
                <w:b/>
                <w:bCs/>
                <w:color w:val="000000"/>
                <w:kern w:val="2"/>
                <w:sz w:val="16"/>
                <w:szCs w:val="16"/>
                <w14:ligatures w14:val="standardContextual"/>
              </w:rPr>
            </w:pPr>
            <w:r w:rsidRPr="000A5982">
              <w:rPr>
                <w:rFonts w:ascii="Cambria" w:eastAsia="Aptos" w:hAnsi="Cambria"/>
                <w:b/>
                <w:color w:val="000000"/>
                <w:kern w:val="2"/>
                <w:sz w:val="16"/>
                <w14:ligatures w14:val="standardContextual"/>
              </w:rPr>
              <w:t>251401</w:t>
            </w:r>
          </w:p>
        </w:tc>
      </w:tr>
    </w:tbl>
    <w:p w14:paraId="5C41A7A7" w14:textId="77777777" w:rsidR="001D38A7" w:rsidRPr="0099704B" w:rsidRDefault="001D38A7" w:rsidP="001D38A7">
      <w:pPr>
        <w:rPr>
          <w:rFonts w:ascii="Cambria" w:eastAsia="Cambria" w:hAnsi="Cambria" w:cs="Cambria"/>
          <w:sz w:val="20"/>
          <w:szCs w:val="20"/>
        </w:rPr>
      </w:pPr>
    </w:p>
    <w:p w14:paraId="5DC9A5CF" w14:textId="77777777" w:rsidR="001D38A7" w:rsidRPr="0099704B" w:rsidRDefault="001D38A7" w:rsidP="001D38A7">
      <w:pPr>
        <w:jc w:val="both"/>
        <w:rPr>
          <w:rFonts w:ascii="Cambria" w:eastAsia="Cambria" w:hAnsi="Cambria" w:cs="Cambria"/>
          <w:sz w:val="20"/>
          <w:szCs w:val="20"/>
        </w:rPr>
      </w:pPr>
    </w:p>
    <w:p w14:paraId="1BEACCE5" w14:textId="77777777" w:rsidR="001D38A7" w:rsidRPr="000A5982" w:rsidRDefault="001D38A7" w:rsidP="001D38A7">
      <w:pPr>
        <w:jc w:val="both"/>
        <w:rPr>
          <w:rFonts w:ascii="Cambria" w:eastAsia="Aptos" w:hAnsi="Cambria"/>
          <w:kern w:val="2"/>
          <w:sz w:val="20"/>
          <w14:ligatures w14:val="standardContextual"/>
        </w:rPr>
      </w:pPr>
      <w:r w:rsidRPr="000A5982">
        <w:rPr>
          <w:rFonts w:ascii="Cambria" w:eastAsia="Aptos" w:hAnsi="Cambria"/>
          <w:kern w:val="2"/>
          <w:sz w:val="20"/>
          <w14:ligatures w14:val="standardContextual"/>
        </w:rPr>
        <w:t xml:space="preserve">El Comité llegó a la conclusión de que, si bien el VMS sigue siendo la fuente más fiable y precisa de información sobre la posición de los buques pesqueros, </w:t>
      </w:r>
      <w:r w:rsidRPr="0099704B">
        <w:rPr>
          <w:rFonts w:ascii="Cambria" w:eastAsia="Aptos" w:hAnsi="Cambria"/>
          <w:kern w:val="2"/>
          <w:sz w:val="20"/>
          <w14:ligatures w14:val="standardContextual"/>
        </w:rPr>
        <w:t>l</w:t>
      </w:r>
      <w:r w:rsidRPr="000A5982">
        <w:rPr>
          <w:rFonts w:ascii="Cambria" w:eastAsia="Aptos" w:hAnsi="Cambria"/>
          <w:kern w:val="2"/>
          <w:sz w:val="20"/>
          <w14:ligatures w14:val="standardContextual"/>
        </w:rPr>
        <w:t>os datos del AIS podrían servir de complemento</w:t>
      </w:r>
      <w:r w:rsidRPr="0099704B">
        <w:rPr>
          <w:rFonts w:ascii="Cambria" w:eastAsia="Aptos" w:hAnsi="Cambria"/>
          <w:kern w:val="2"/>
          <w:sz w:val="20"/>
          <w14:ligatures w14:val="standardContextual"/>
        </w:rPr>
        <w:t xml:space="preserve"> </w:t>
      </w:r>
      <w:r w:rsidRPr="000A5982">
        <w:rPr>
          <w:rFonts w:ascii="Cambria" w:eastAsia="Aptos" w:hAnsi="Cambria"/>
          <w:kern w:val="2"/>
          <w:sz w:val="20"/>
          <w14:ligatures w14:val="standardContextual"/>
        </w:rPr>
        <w:t>para respaldar los esfuerzos de las CPC en el seguimiento y el estudio de la actividad de los buques.</w:t>
      </w:r>
      <w:r w:rsidRPr="0099704B">
        <w:rPr>
          <w:rFonts w:ascii="Cambria" w:eastAsia="Aptos" w:hAnsi="Cambria"/>
          <w:kern w:val="2"/>
          <w:sz w:val="20"/>
          <w14:ligatures w14:val="standardContextual"/>
        </w:rPr>
        <w:t xml:space="preserve">   </w:t>
      </w:r>
    </w:p>
    <w:p w14:paraId="19C326BD" w14:textId="77777777" w:rsidR="001D38A7" w:rsidRPr="0099704B" w:rsidRDefault="001D38A7" w:rsidP="001D38A7">
      <w:pPr>
        <w:jc w:val="both"/>
        <w:rPr>
          <w:rFonts w:ascii="Cambria" w:eastAsia="Cambria" w:hAnsi="Cambria" w:cs="Cambria"/>
          <w:sz w:val="20"/>
          <w:szCs w:val="20"/>
        </w:rPr>
      </w:pPr>
    </w:p>
    <w:p w14:paraId="6EB1E751" w14:textId="77777777" w:rsidR="001D38A7" w:rsidRPr="0099704B" w:rsidRDefault="001D38A7" w:rsidP="001D38A7">
      <w:pPr>
        <w:jc w:val="both"/>
        <w:rPr>
          <w:rFonts w:ascii="Cambria" w:eastAsia="Cambria" w:hAnsi="Cambria" w:cs="Cambria"/>
          <w:kern w:val="2"/>
          <w:sz w:val="20"/>
          <w:szCs w:val="20"/>
          <w14:ligatures w14:val="standardContextual"/>
        </w:rPr>
      </w:pPr>
      <w:r w:rsidRPr="000A5982">
        <w:rPr>
          <w:rFonts w:ascii="Cambria" w:eastAsia="Aptos" w:hAnsi="Cambria"/>
          <w:kern w:val="2"/>
          <w:sz w:val="20"/>
          <w14:ligatures w14:val="standardContextual"/>
        </w:rPr>
        <w:t>El Comité llegó a la conclusión de que, cuando no se disponga de información de las CPC sobre la actividad de los buques, el AIS puede resultar útil para identificar la actividad de los buques pesqueros en el mar. Sin embargo, el AIS presenta algunas limitaciones potenciales (por ejemplo, no es a prueba de manipulaciones, la introducción de datos es manual, etc.) que requieren un análisis minucioso a la hora de utilizarlo.</w:t>
      </w:r>
    </w:p>
    <w:p w14:paraId="3A03F348" w14:textId="77777777" w:rsidR="001D38A7" w:rsidRPr="0099704B" w:rsidRDefault="001D38A7" w:rsidP="001D38A7">
      <w:pPr>
        <w:widowControl w:val="0"/>
        <w:pBdr>
          <w:top w:val="nil"/>
          <w:left w:val="nil"/>
          <w:bottom w:val="nil"/>
          <w:right w:val="nil"/>
          <w:between w:val="nil"/>
        </w:pBdr>
        <w:rPr>
          <w:rFonts w:ascii="Cambria" w:eastAsia="Cambria" w:hAnsi="Cambria" w:cs="Cambria"/>
          <w:sz w:val="20"/>
          <w:szCs w:val="20"/>
        </w:rPr>
      </w:pPr>
    </w:p>
    <w:p w14:paraId="4498D784" w14:textId="77777777" w:rsidR="001D38A7" w:rsidRPr="000A5982" w:rsidRDefault="001D38A7" w:rsidP="001D38A7">
      <w:pPr>
        <w:widowControl w:val="0"/>
        <w:pBdr>
          <w:top w:val="nil"/>
          <w:left w:val="nil"/>
          <w:bottom w:val="nil"/>
          <w:right w:val="nil"/>
          <w:between w:val="nil"/>
        </w:pBdr>
        <w:tabs>
          <w:tab w:val="left" w:pos="720"/>
        </w:tabs>
        <w:jc w:val="both"/>
        <w:rPr>
          <w:rFonts w:ascii="Cambria" w:eastAsia="Cambria" w:hAnsi="Cambria" w:cs="Cambria"/>
          <w:b/>
          <w:i/>
          <w:color w:val="000000"/>
          <w:sz w:val="20"/>
          <w:szCs w:val="20"/>
        </w:rPr>
      </w:pPr>
      <w:r w:rsidRPr="000A5982">
        <w:rPr>
          <w:rFonts w:ascii="Cambria" w:hAnsi="Cambria"/>
          <w:b/>
          <w:bCs/>
          <w:i/>
          <w:iCs/>
          <w:sz w:val="20"/>
          <w:szCs w:val="20"/>
        </w:rPr>
        <w:t xml:space="preserve">19.40 El SCRS asesorará sobre los LRP finales para el patudo, el rabil y el stock oriental de listado del Atlántico, </w:t>
      </w:r>
      <w:hyperlink r:id="rId18" w:history="1">
        <w:r w:rsidRPr="000A5982">
          <w:rPr>
            <w:rStyle w:val="Hyperlink"/>
            <w:rFonts w:ascii="Cambria" w:hAnsi="Cambria"/>
            <w:b/>
            <w:bCs/>
            <w:i/>
            <w:iCs/>
            <w:sz w:val="20"/>
            <w:szCs w:val="20"/>
            <w:u w:val="none"/>
          </w:rPr>
          <w:t>Res. 24-02</w:t>
        </w:r>
      </w:hyperlink>
      <w:r w:rsidRPr="000A5982">
        <w:rPr>
          <w:rFonts w:ascii="Cambria" w:hAnsi="Cambria"/>
          <w:b/>
          <w:bCs/>
          <w:i/>
          <w:iCs/>
          <w:sz w:val="20"/>
          <w:szCs w:val="20"/>
        </w:rPr>
        <w:t xml:space="preserve">, párrafo 2 </w:t>
      </w:r>
    </w:p>
    <w:p w14:paraId="3690ABEF" w14:textId="77777777" w:rsidR="001D38A7" w:rsidRPr="000A5982" w:rsidRDefault="001D38A7" w:rsidP="001D38A7">
      <w:pPr>
        <w:tabs>
          <w:tab w:val="left" w:pos="0"/>
          <w:tab w:val="left" w:pos="720"/>
          <w:tab w:val="right" w:pos="8505"/>
          <w:tab w:val="right" w:pos="9072"/>
        </w:tabs>
        <w:ind w:right="4"/>
        <w:jc w:val="both"/>
        <w:rPr>
          <w:rFonts w:ascii="Cambria" w:eastAsia="Cambria" w:hAnsi="Cambria" w:cs="Cambria"/>
          <w:b/>
          <w:iCs/>
          <w:color w:val="000000"/>
          <w:sz w:val="20"/>
          <w:szCs w:val="20"/>
        </w:rPr>
      </w:pPr>
    </w:p>
    <w:p w14:paraId="6720C684" w14:textId="77777777" w:rsidR="001D38A7" w:rsidRPr="000A5982" w:rsidRDefault="001D38A7" w:rsidP="001D38A7">
      <w:pPr>
        <w:pBdr>
          <w:top w:val="nil"/>
          <w:left w:val="nil"/>
          <w:bottom w:val="nil"/>
          <w:right w:val="nil"/>
          <w:between w:val="nil"/>
        </w:pBdr>
        <w:jc w:val="both"/>
        <w:rPr>
          <w:rFonts w:ascii="Cambria" w:hAnsi="Cambria"/>
          <w:i/>
          <w:sz w:val="20"/>
          <w:szCs w:val="20"/>
        </w:rPr>
      </w:pPr>
      <w:r w:rsidRPr="000A5982">
        <w:rPr>
          <w:rFonts w:ascii="Cambria" w:hAnsi="Cambria"/>
          <w:b/>
          <w:color w:val="000000"/>
          <w:sz w:val="20"/>
          <w:szCs w:val="20"/>
        </w:rPr>
        <w:t xml:space="preserve">Contexto: </w:t>
      </w:r>
      <w:r w:rsidRPr="000A5982">
        <w:rPr>
          <w:rFonts w:ascii="Cambria" w:hAnsi="Cambria"/>
          <w:i/>
          <w:color w:val="000000"/>
          <w:sz w:val="20"/>
          <w:szCs w:val="20"/>
        </w:rPr>
        <w:t>Al evaluar el estado del stock y proporcionar recomendaciones de ordenación a la Comisión, el SCRS considerará el punto de referencia límite (LRP) provisional de 0,4*B</w:t>
      </w:r>
      <w:r w:rsidRPr="000A5982">
        <w:rPr>
          <w:rFonts w:ascii="Cambria" w:hAnsi="Cambria"/>
          <w:i/>
          <w:color w:val="000000"/>
          <w:sz w:val="20"/>
          <w:szCs w:val="20"/>
          <w:vertAlign w:val="subscript"/>
        </w:rPr>
        <w:t>RMS</w:t>
      </w:r>
      <w:r w:rsidRPr="000A5982">
        <w:rPr>
          <w:rFonts w:ascii="Cambria" w:hAnsi="Cambria"/>
          <w:i/>
          <w:color w:val="000000"/>
          <w:sz w:val="20"/>
          <w:szCs w:val="20"/>
        </w:rPr>
        <w:t xml:space="preserve"> para el patudo, el rabil y el stock oriental de listado del Atlántico. </w:t>
      </w:r>
      <w:r w:rsidRPr="000A5982">
        <w:rPr>
          <w:rFonts w:ascii="Cambria" w:hAnsi="Cambria"/>
          <w:i/>
          <w:sz w:val="20"/>
          <w:szCs w:val="20"/>
        </w:rPr>
        <w:t>El SCRS asesorará sobre los LRP finales para el patudo, el rabil y el stock oriental de listado del Atlántico.</w:t>
      </w:r>
    </w:p>
    <w:p w14:paraId="6F6C95DC" w14:textId="77777777" w:rsidR="001D38A7" w:rsidRPr="000A5982" w:rsidRDefault="001D38A7" w:rsidP="001D38A7">
      <w:pPr>
        <w:pBdr>
          <w:top w:val="nil"/>
          <w:left w:val="nil"/>
          <w:bottom w:val="nil"/>
          <w:right w:val="nil"/>
          <w:between w:val="nil"/>
        </w:pBdr>
        <w:jc w:val="both"/>
        <w:rPr>
          <w:rFonts w:ascii="Cambria" w:hAnsi="Cambria"/>
          <w:i/>
          <w:sz w:val="20"/>
          <w:szCs w:val="20"/>
        </w:rPr>
      </w:pPr>
    </w:p>
    <w:p w14:paraId="33BE05F2" w14:textId="77777777" w:rsidR="001D38A7" w:rsidRPr="0099704B" w:rsidRDefault="001D38A7" w:rsidP="001D38A7">
      <w:pPr>
        <w:widowControl w:val="0"/>
        <w:pBdr>
          <w:top w:val="nil"/>
          <w:left w:val="nil"/>
          <w:bottom w:val="nil"/>
          <w:right w:val="nil"/>
          <w:between w:val="nil"/>
        </w:pBdr>
        <w:jc w:val="both"/>
        <w:rPr>
          <w:rFonts w:ascii="Cambria" w:eastAsia="Cambria" w:hAnsi="Cambria" w:cs="Cambria"/>
          <w:sz w:val="20"/>
          <w:szCs w:val="20"/>
        </w:rPr>
      </w:pPr>
      <w:r w:rsidRPr="000A5982">
        <w:rPr>
          <w:rFonts w:ascii="Cambria" w:eastAsia="Aptos" w:hAnsi="Cambria" w:cs="Arial"/>
          <w:kern w:val="2"/>
          <w:sz w:val="20"/>
          <w:szCs w:val="20"/>
          <w14:ligatures w14:val="standardContextual"/>
        </w:rPr>
        <w:t xml:space="preserve">La MSE </w:t>
      </w:r>
      <w:proofErr w:type="spellStart"/>
      <w:r w:rsidRPr="000A5982">
        <w:rPr>
          <w:rFonts w:ascii="Cambria" w:eastAsia="Aptos" w:hAnsi="Cambria" w:cs="Arial"/>
          <w:kern w:val="2"/>
          <w:sz w:val="20"/>
          <w:szCs w:val="20"/>
          <w14:ligatures w14:val="standardContextual"/>
        </w:rPr>
        <w:t>multistock</w:t>
      </w:r>
      <w:proofErr w:type="spellEnd"/>
      <w:r w:rsidRPr="000A5982">
        <w:rPr>
          <w:rFonts w:ascii="Cambria" w:eastAsia="Aptos" w:hAnsi="Cambria" w:cs="Arial"/>
          <w:kern w:val="2"/>
          <w:sz w:val="20"/>
          <w:szCs w:val="20"/>
          <w14:ligatures w14:val="standardContextual"/>
        </w:rPr>
        <w:t xml:space="preserve"> se basa en el punto de referencia límite provisional (LRP) de 0,4*B</w:t>
      </w:r>
      <w:r w:rsidRPr="000A5982">
        <w:rPr>
          <w:rFonts w:ascii="Cambria" w:eastAsia="Aptos" w:hAnsi="Cambria" w:cs="Arial"/>
          <w:kern w:val="2"/>
          <w:sz w:val="20"/>
          <w:szCs w:val="20"/>
          <w:vertAlign w:val="subscript"/>
          <w14:ligatures w14:val="standardContextual"/>
        </w:rPr>
        <w:t>RMS</w:t>
      </w:r>
      <w:r w:rsidRPr="000A5982">
        <w:rPr>
          <w:rFonts w:ascii="Cambria" w:eastAsia="Aptos" w:hAnsi="Cambria" w:cs="Arial"/>
          <w:kern w:val="2"/>
          <w:sz w:val="20"/>
          <w:szCs w:val="20"/>
          <w14:ligatures w14:val="standardContextual"/>
        </w:rPr>
        <w:t xml:space="preserve"> indicado por la Comisión en la </w:t>
      </w:r>
      <w:hyperlink r:id="rId19" w:history="1">
        <w:r w:rsidRPr="000A5982">
          <w:rPr>
            <w:rFonts w:ascii="Cambria" w:eastAsia="Aptos" w:hAnsi="Cambria" w:cs="Arial"/>
            <w:i/>
            <w:iCs/>
            <w:color w:val="467886"/>
            <w:kern w:val="2"/>
            <w:sz w:val="20"/>
            <w:szCs w:val="20"/>
            <w14:ligatures w14:val="standardContextual"/>
          </w:rPr>
          <w:t>Resolución de ICCAT sobre objetivos de ordenación operativos provisionales para el patudo, rabil y stock oriental de listado del Atlántico</w:t>
        </w:r>
      </w:hyperlink>
      <w:r w:rsidRPr="000A5982">
        <w:rPr>
          <w:rFonts w:ascii="Cambria" w:eastAsia="Aptos" w:hAnsi="Cambria" w:cs="Arial"/>
          <w:kern w:val="2"/>
          <w:sz w:val="20"/>
          <w:szCs w:val="20"/>
          <w14:ligatures w14:val="standardContextual"/>
        </w:rPr>
        <w:t xml:space="preserve"> (</w:t>
      </w:r>
      <w:hyperlink r:id="rId20" w:history="1">
        <w:r w:rsidRPr="000A5982">
          <w:rPr>
            <w:rFonts w:ascii="Cambria" w:eastAsia="Aptos" w:hAnsi="Cambria" w:cs="Arial"/>
            <w:color w:val="467886"/>
            <w:kern w:val="2"/>
            <w:sz w:val="20"/>
            <w:szCs w:val="20"/>
            <w14:ligatures w14:val="standardContextual"/>
          </w:rPr>
          <w:t>Res. 24-02</w:t>
        </w:r>
      </w:hyperlink>
      <w:r w:rsidRPr="000A5982">
        <w:rPr>
          <w:rFonts w:ascii="Cambria" w:eastAsia="Aptos" w:hAnsi="Cambria" w:cs="Arial"/>
          <w:kern w:val="2"/>
          <w:sz w:val="20"/>
          <w:szCs w:val="20"/>
          <w14:ligatures w14:val="standardContextual"/>
        </w:rPr>
        <w:t>). En 2027/2028 se podrían estudiar otras opciones para el LRP, incluido el LRP basado en la merma.</w:t>
      </w:r>
    </w:p>
    <w:p w14:paraId="1BF6D37B" w14:textId="77777777" w:rsidR="001D38A7" w:rsidRPr="0099704B" w:rsidRDefault="001D38A7" w:rsidP="001D38A7">
      <w:pPr>
        <w:pBdr>
          <w:top w:val="nil"/>
          <w:left w:val="nil"/>
          <w:bottom w:val="nil"/>
          <w:right w:val="nil"/>
          <w:between w:val="nil"/>
        </w:pBdr>
        <w:jc w:val="both"/>
        <w:rPr>
          <w:rFonts w:ascii="Cambria" w:eastAsia="Cambria" w:hAnsi="Cambria" w:cs="Cambria"/>
          <w:i/>
          <w:iCs/>
          <w:color w:val="000000"/>
          <w:sz w:val="20"/>
          <w:szCs w:val="20"/>
        </w:rPr>
      </w:pPr>
    </w:p>
    <w:p w14:paraId="671BE2DC" w14:textId="77777777" w:rsidR="001D38A7" w:rsidRPr="000A5982" w:rsidRDefault="001D38A7" w:rsidP="001D38A7">
      <w:pPr>
        <w:jc w:val="both"/>
        <w:rPr>
          <w:rFonts w:ascii="Aptos" w:eastAsia="Aptos" w:hAnsi="Aptos" w:cs="Aptos"/>
          <w:b/>
          <w:bCs/>
          <w:i/>
          <w:iCs/>
          <w:sz w:val="28"/>
          <w:szCs w:val="28"/>
        </w:rPr>
      </w:pPr>
      <w:r w:rsidRPr="000A5982">
        <w:rPr>
          <w:rFonts w:ascii="Cambria" w:eastAsia="Aptos" w:hAnsi="Cambria"/>
          <w:b/>
          <w:i/>
          <w:color w:val="000000"/>
          <w:kern w:val="2"/>
          <w:sz w:val="20"/>
          <w14:ligatures w14:val="standardContextual"/>
        </w:rPr>
        <w:t xml:space="preserve">19.41 El SCRS deberá evaluar los impactos diferenciales de las operaciones de pesca en todo el rango del stock, lo que incluye en la mortalidad de juveniles y el rendimiento en RMS, así como otros impactos </w:t>
      </w:r>
      <w:r w:rsidRPr="000A5982">
        <w:rPr>
          <w:rFonts w:ascii="Cambria" w:eastAsia="Aptos" w:hAnsi="Cambria"/>
          <w:b/>
          <w:i/>
          <w:color w:val="000000"/>
          <w:kern w:val="2"/>
          <w:sz w:val="20"/>
          <w14:ligatures w14:val="standardContextual"/>
        </w:rPr>
        <w:lastRenderedPageBreak/>
        <w:t xml:space="preserve">de estas pesquerías, incluidos los impactos en la captura fortuita, los impactos en el ecosistema y los impactos socioeconómicos, </w:t>
      </w:r>
      <w:hyperlink r:id="rId21" w:history="1">
        <w:r w:rsidRPr="000A5982">
          <w:rPr>
            <w:rFonts w:ascii="Cambria" w:eastAsia="Aptos" w:hAnsi="Cambria"/>
            <w:b/>
            <w:i/>
            <w:color w:val="467886"/>
            <w:kern w:val="2"/>
            <w:sz w:val="20"/>
            <w14:ligatures w14:val="standardContextual"/>
          </w:rPr>
          <w:t>Res. 24-02</w:t>
        </w:r>
      </w:hyperlink>
      <w:r w:rsidRPr="000A5982">
        <w:rPr>
          <w:rFonts w:ascii="Cambria" w:eastAsia="Aptos" w:hAnsi="Cambria"/>
          <w:b/>
          <w:i/>
          <w:color w:val="000000"/>
          <w:kern w:val="2"/>
          <w:sz w:val="20"/>
          <w14:ligatures w14:val="standardContextual"/>
        </w:rPr>
        <w:t xml:space="preserve">, párr. 4 </w:t>
      </w:r>
    </w:p>
    <w:p w14:paraId="33DAEF35" w14:textId="77777777" w:rsidR="001D38A7" w:rsidRPr="000A5982" w:rsidRDefault="001D38A7" w:rsidP="001D38A7">
      <w:pPr>
        <w:pBdr>
          <w:top w:val="nil"/>
          <w:left w:val="nil"/>
          <w:bottom w:val="nil"/>
          <w:right w:val="nil"/>
          <w:between w:val="nil"/>
        </w:pBdr>
        <w:jc w:val="both"/>
        <w:rPr>
          <w:rFonts w:ascii="Cambria" w:eastAsia="Aptos" w:hAnsi="Cambria" w:cs="Aptos"/>
          <w:b/>
          <w:bCs/>
          <w:color w:val="000000"/>
          <w:sz w:val="20"/>
          <w:szCs w:val="20"/>
        </w:rPr>
      </w:pPr>
    </w:p>
    <w:p w14:paraId="7117A38F" w14:textId="77777777" w:rsidR="001D38A7" w:rsidRPr="000A5982" w:rsidRDefault="001D38A7" w:rsidP="001D38A7">
      <w:pPr>
        <w:pBdr>
          <w:top w:val="nil"/>
          <w:left w:val="nil"/>
          <w:bottom w:val="nil"/>
          <w:right w:val="nil"/>
          <w:between w:val="nil"/>
        </w:pBdr>
        <w:jc w:val="both"/>
        <w:rPr>
          <w:rFonts w:ascii="Cambria" w:eastAsia="Cambria" w:hAnsi="Cambria" w:cs="Cambria"/>
          <w:i/>
          <w:iCs/>
          <w:color w:val="000000"/>
          <w:kern w:val="2"/>
          <w:sz w:val="20"/>
          <w:szCs w:val="20"/>
          <w14:ligatures w14:val="standardContextual"/>
        </w:rPr>
      </w:pPr>
      <w:r w:rsidRPr="000A5982">
        <w:rPr>
          <w:rFonts w:ascii="Cambria" w:eastAsia="Aptos" w:hAnsi="Cambria"/>
          <w:b/>
          <w:color w:val="000000"/>
          <w:kern w:val="2"/>
          <w:sz w:val="20"/>
          <w14:ligatures w14:val="standardContextual"/>
        </w:rPr>
        <w:t xml:space="preserve">Contexto: </w:t>
      </w:r>
      <w:r w:rsidRPr="000A5982">
        <w:rPr>
          <w:rFonts w:ascii="Cambria" w:eastAsia="Aptos" w:hAnsi="Cambria"/>
          <w:i/>
          <w:kern w:val="2"/>
          <w:sz w:val="20"/>
          <w14:ligatures w14:val="standardContextual"/>
        </w:rPr>
        <w:t xml:space="preserve">En el desarrollo de los modelos operativos para la MSE </w:t>
      </w:r>
      <w:proofErr w:type="spellStart"/>
      <w:r w:rsidRPr="000A5982">
        <w:rPr>
          <w:rFonts w:ascii="Cambria" w:eastAsia="Aptos" w:hAnsi="Cambria"/>
          <w:i/>
          <w:kern w:val="2"/>
          <w:sz w:val="20"/>
          <w14:ligatures w14:val="standardContextual"/>
        </w:rPr>
        <w:t>multistock</w:t>
      </w:r>
      <w:proofErr w:type="spellEnd"/>
      <w:r w:rsidRPr="000A5982">
        <w:rPr>
          <w:rFonts w:ascii="Cambria" w:eastAsia="Aptos" w:hAnsi="Cambria"/>
          <w:i/>
          <w:kern w:val="2"/>
          <w:sz w:val="20"/>
          <w14:ligatures w14:val="standardContextual"/>
        </w:rPr>
        <w:t xml:space="preserve"> de túnidos tropicales, la Comisión solicita al SCRS, en coherencia con el párrafo 75 de la </w:t>
      </w:r>
      <w:hyperlink r:id="rId22" w:history="1">
        <w:r w:rsidRPr="000A5982">
          <w:rPr>
            <w:rFonts w:ascii="Cambria" w:eastAsia="Aptos" w:hAnsi="Cambria"/>
            <w:i/>
            <w:color w:val="467886"/>
            <w:kern w:val="2"/>
            <w:sz w:val="20"/>
            <w14:ligatures w14:val="standardContextual"/>
          </w:rPr>
          <w:t>Recomendación de ICCAT que reemplaza la Recomendación 22-01 sobre un Programa plurianual de conservación y ordenación para los túnidos tropicales (Rec. 24-01)</w:t>
        </w:r>
      </w:hyperlink>
      <w:r w:rsidRPr="000A5982">
        <w:rPr>
          <w:rFonts w:ascii="Cambria" w:eastAsia="Aptos" w:hAnsi="Cambria"/>
          <w:i/>
          <w:kern w:val="2"/>
          <w:sz w:val="20"/>
          <w14:ligatures w14:val="standardContextual"/>
        </w:rPr>
        <w:t>, que evalúe los impactos diferenciales de las operaciones de pesca (por ejemplo, cerco, palangre y cebo vivo) en todo el rango del stock, lo que incluye en la mortalidad de juveniles y el rendimiento en RMS, así como otros impactos de estas pesquerías, incluidos los impactos en la captura fortuita, los impactos en el ecosistema y los impactos socioeconómicos.</w:t>
      </w:r>
    </w:p>
    <w:p w14:paraId="32EAA6F3" w14:textId="77777777" w:rsidR="001D38A7" w:rsidRPr="000A5982" w:rsidRDefault="001D38A7" w:rsidP="001D38A7">
      <w:pPr>
        <w:jc w:val="both"/>
        <w:rPr>
          <w:rFonts w:ascii="Cambria" w:eastAsia="Aptos" w:hAnsi="Cambria" w:cs="Aptos"/>
          <w:color w:val="000000"/>
          <w:sz w:val="20"/>
          <w:szCs w:val="20"/>
        </w:rPr>
      </w:pPr>
    </w:p>
    <w:p w14:paraId="6F1397CF" w14:textId="77777777" w:rsidR="001D38A7" w:rsidRPr="000A5982" w:rsidRDefault="001D38A7" w:rsidP="001D38A7">
      <w:pPr>
        <w:jc w:val="both"/>
        <w:rPr>
          <w:rFonts w:ascii="Cambria" w:eastAsia="Aptos" w:hAnsi="Cambria" w:cs="Aptos"/>
          <w:color w:val="000000"/>
          <w:kern w:val="2"/>
          <w:sz w:val="20"/>
          <w:szCs w:val="20"/>
          <w14:ligatures w14:val="standardContextual"/>
        </w:rPr>
      </w:pPr>
      <w:r w:rsidRPr="000A5982">
        <w:rPr>
          <w:rFonts w:ascii="Cambria" w:eastAsia="Aptos" w:hAnsi="Cambria"/>
          <w:color w:val="000000"/>
          <w:kern w:val="2"/>
          <w:sz w:val="20"/>
          <w14:ligatures w14:val="standardContextual"/>
        </w:rPr>
        <w:t xml:space="preserve">Al examinar los resultados relativos al rendimiento máximo sostenible (RMS) por especie, el Comité señaló que la solicitud de la Comisión era de carácter más amplio y en particular que las pesquerías de túnidos tropicales afectaban a diversas especies. El Comité reconoció que a menudo las tres especies se capturan conjuntamente en la pesca de superficie, y que BET y YFT suelen capturarse conjuntamente en la pesca con palangre. Además, se reconoció que hay otras especies que preocupan a la Comisión que son capturas fortuitas en estas pesquerías. Las medidas que se barajan para una especie podrían tener repercusiones en otras especies, además de consecuencias socioeconómicas. </w:t>
      </w:r>
      <w:r w:rsidRPr="0099704B">
        <w:rPr>
          <w:rFonts w:ascii="Cambria" w:eastAsia="Aptos" w:hAnsi="Cambria"/>
          <w:color w:val="000000"/>
          <w:kern w:val="2"/>
          <w:sz w:val="20"/>
          <w14:ligatures w14:val="standardContextual"/>
        </w:rPr>
        <w:t>E</w:t>
      </w:r>
      <w:r w:rsidRPr="000A5982">
        <w:rPr>
          <w:rFonts w:ascii="Cambria" w:eastAsia="Aptos" w:hAnsi="Cambria"/>
          <w:color w:val="000000"/>
          <w:kern w:val="2"/>
          <w:sz w:val="20"/>
          <w14:ligatures w14:val="standardContextual"/>
        </w:rPr>
        <w:t xml:space="preserve">sto pone de relieve la importancia de tener en cuenta los efectos de las operaciones pesqueras tanto sobre una sola especie como sobre varias especies </w:t>
      </w:r>
    </w:p>
    <w:p w14:paraId="5DB3D0BD" w14:textId="77777777" w:rsidR="001D38A7" w:rsidRPr="000A5982" w:rsidRDefault="001D38A7" w:rsidP="001D38A7">
      <w:pPr>
        <w:jc w:val="both"/>
        <w:rPr>
          <w:rFonts w:ascii="Cambria" w:eastAsia="Aptos" w:hAnsi="Cambria" w:cs="Aptos"/>
          <w:color w:val="000000"/>
          <w:sz w:val="20"/>
          <w:szCs w:val="20"/>
        </w:rPr>
      </w:pPr>
    </w:p>
    <w:p w14:paraId="565BDC45" w14:textId="77777777" w:rsidR="001D38A7" w:rsidRPr="000A5982" w:rsidRDefault="001D38A7" w:rsidP="001D38A7">
      <w:pPr>
        <w:jc w:val="both"/>
        <w:rPr>
          <w:rFonts w:ascii="Cambria" w:eastAsia="Aptos" w:hAnsi="Cambria" w:cs="Aptos"/>
          <w:color w:val="000000"/>
          <w:kern w:val="2"/>
          <w:sz w:val="20"/>
          <w:szCs w:val="20"/>
          <w14:ligatures w14:val="standardContextual"/>
        </w:rPr>
      </w:pPr>
      <w:r w:rsidRPr="000A5982">
        <w:rPr>
          <w:rFonts w:ascii="Cambria" w:eastAsia="Aptos" w:hAnsi="Cambria"/>
          <w:color w:val="000000"/>
          <w:kern w:val="2"/>
          <w:sz w:val="20"/>
          <w14:ligatures w14:val="standardContextual"/>
        </w:rPr>
        <w:t xml:space="preserve">La evaluación de los impactos diferenciales de las operaciones de pesca en los stocks de túnidos tropicales, incluida la mortalidad de juveniles y el rendimiento en RMS, se evaluará en el marco de la MSE </w:t>
      </w:r>
      <w:proofErr w:type="spellStart"/>
      <w:r w:rsidRPr="000A5982">
        <w:rPr>
          <w:rFonts w:ascii="Cambria" w:eastAsia="Aptos" w:hAnsi="Cambria"/>
          <w:color w:val="000000"/>
          <w:kern w:val="2"/>
          <w:sz w:val="20"/>
          <w14:ligatures w14:val="standardContextual"/>
        </w:rPr>
        <w:t>multistock</w:t>
      </w:r>
      <w:proofErr w:type="spellEnd"/>
      <w:r w:rsidRPr="000A5982">
        <w:rPr>
          <w:rFonts w:ascii="Cambria" w:eastAsia="Aptos" w:hAnsi="Cambria"/>
          <w:color w:val="000000"/>
          <w:kern w:val="2"/>
          <w:sz w:val="20"/>
          <w14:ligatures w14:val="standardContextual"/>
        </w:rPr>
        <w:t xml:space="preserve"> para los túnidos tropicales.</w:t>
      </w:r>
    </w:p>
    <w:p w14:paraId="1D1E1557" w14:textId="77777777" w:rsidR="001D38A7" w:rsidRPr="000A5982" w:rsidRDefault="001D38A7" w:rsidP="001D38A7">
      <w:pPr>
        <w:jc w:val="both"/>
        <w:rPr>
          <w:rFonts w:ascii="Cambria" w:eastAsia="Aptos" w:hAnsi="Cambria" w:cs="Aptos"/>
          <w:color w:val="000000"/>
          <w:kern w:val="2"/>
          <w:sz w:val="20"/>
          <w:szCs w:val="20"/>
          <w14:ligatures w14:val="standardContextual"/>
        </w:rPr>
      </w:pPr>
    </w:p>
    <w:p w14:paraId="26256F04" w14:textId="77777777" w:rsidR="001D38A7" w:rsidRPr="000A5982" w:rsidRDefault="001D38A7" w:rsidP="001D38A7">
      <w:pPr>
        <w:jc w:val="both"/>
        <w:rPr>
          <w:rFonts w:ascii="Cambria" w:eastAsia="Aptos" w:hAnsi="Cambria" w:cs="Aptos"/>
          <w:color w:val="000000"/>
          <w:kern w:val="2"/>
          <w:sz w:val="20"/>
          <w:szCs w:val="20"/>
          <w14:ligatures w14:val="standardContextual"/>
        </w:rPr>
      </w:pPr>
      <w:r w:rsidRPr="000A5982">
        <w:rPr>
          <w:rFonts w:ascii="Cambria" w:eastAsia="Aptos" w:hAnsi="Cambria"/>
          <w:color w:val="000000"/>
          <w:kern w:val="2"/>
          <w:sz w:val="20"/>
          <w14:ligatures w14:val="standardContextual"/>
        </w:rPr>
        <w:t xml:space="preserve">Lauretta </w:t>
      </w:r>
      <w:r w:rsidRPr="000A5982">
        <w:rPr>
          <w:rFonts w:ascii="Cambria" w:eastAsia="Aptos" w:hAnsi="Cambria"/>
          <w:i/>
          <w:color w:val="000000"/>
          <w:kern w:val="2"/>
          <w:sz w:val="20"/>
          <w14:ligatures w14:val="standardContextual"/>
        </w:rPr>
        <w:t>et al.</w:t>
      </w:r>
      <w:r w:rsidRPr="000A5982">
        <w:rPr>
          <w:rFonts w:ascii="Cambria" w:eastAsia="Aptos" w:hAnsi="Cambria"/>
          <w:color w:val="000000"/>
          <w:kern w:val="2"/>
          <w:sz w:val="20"/>
          <w14:ligatures w14:val="standardContextual"/>
        </w:rPr>
        <w:t>, (en prensa) (SCRS/2026/239) evaluó las tendencias históricas del RMS de siete stocks de atún del Atlántico, incluidas las cuatro especies de túnidos tropicales, basándose en las evaluaciones de stock adoptadas para cada especie.  El análisis reveló una disminución a largo plazo del RMS del patudo y el rabil (</w:t>
      </w:r>
      <w:r w:rsidRPr="000A5982">
        <w:rPr>
          <w:rFonts w:ascii="Cambria" w:eastAsia="Aptos" w:hAnsi="Cambria"/>
          <w:b/>
          <w:bCs/>
          <w:color w:val="000000"/>
          <w:kern w:val="2"/>
          <w:sz w:val="20"/>
          <w14:ligatures w14:val="standardContextual"/>
        </w:rPr>
        <w:t>tabla 19.41.1</w:t>
      </w:r>
      <w:r w:rsidRPr="000A5982">
        <w:rPr>
          <w:rFonts w:ascii="Cambria" w:eastAsia="Aptos" w:hAnsi="Cambria"/>
          <w:color w:val="000000"/>
          <w:kern w:val="2"/>
          <w:sz w:val="20"/>
          <w14:ligatures w14:val="standardContextual"/>
        </w:rPr>
        <w:t>), asociada a un aumento de la proporción en número de juveniles en las capturas. Cabe destacar que los juveniles han representado más del 90 % de las capturas de rabil en número de peces en los últimos años, lo que ha dado lugar a que el RMS actual se sitúe en un nivel cercano a su nivel histórico más bajo, aproximadamente el 60 % de la estimación máxima del RMS (</w:t>
      </w:r>
      <w:r w:rsidRPr="000A5982">
        <w:rPr>
          <w:rFonts w:ascii="Cambria" w:eastAsia="Aptos" w:hAnsi="Cambria"/>
          <w:b/>
          <w:bCs/>
          <w:color w:val="000000"/>
          <w:kern w:val="2"/>
          <w:sz w:val="20"/>
          <w14:ligatures w14:val="standardContextual"/>
        </w:rPr>
        <w:t>figura 19.41.1</w:t>
      </w:r>
      <w:r w:rsidRPr="000A5982">
        <w:rPr>
          <w:rFonts w:ascii="Cambria" w:eastAsia="Aptos" w:hAnsi="Cambria"/>
          <w:color w:val="000000"/>
          <w:kern w:val="2"/>
          <w:sz w:val="20"/>
          <w14:ligatures w14:val="standardContextual"/>
        </w:rPr>
        <w:t>). Los resultados mostraron que el RMS es un punto de referencia variable que puede reducirse o aumentarse considerablemente con el tiempo, en función de los cambios en la selectividad de la flota y en la composición por edades general de las capturas. Asimismo, se señaló que los niveles actuales de captura sostenible pueden diferir significativamente de las medias históricas, sobre todo en el caso de las especies de mayor tamaño que crecen rápidamente durante sus primeros años de vida y que han sufrido una elevada mortalidad por pesca de juveniles, como el rabil del Atlántico y el patudo. El Comité propuso llevar a cabo el mismo análisis para todo el rango de configuraciones del modelo para cada stock.</w:t>
      </w:r>
    </w:p>
    <w:p w14:paraId="0520C014" w14:textId="77777777" w:rsidR="001D38A7" w:rsidRPr="000A5982" w:rsidRDefault="001D38A7" w:rsidP="001D38A7">
      <w:pPr>
        <w:jc w:val="both"/>
        <w:rPr>
          <w:rFonts w:ascii="Cambria" w:eastAsia="Aptos" w:hAnsi="Cambria" w:cs="Aptos"/>
          <w:color w:val="000000"/>
          <w:kern w:val="2"/>
          <w:sz w:val="20"/>
          <w:szCs w:val="20"/>
          <w14:ligatures w14:val="standardContextual"/>
        </w:rPr>
      </w:pPr>
    </w:p>
    <w:p w14:paraId="547567A7" w14:textId="77777777" w:rsidR="001D38A7" w:rsidRPr="000A5982" w:rsidRDefault="001D38A7" w:rsidP="001D38A7">
      <w:pPr>
        <w:spacing w:after="160"/>
        <w:jc w:val="both"/>
        <w:rPr>
          <w:rFonts w:ascii="Cambria" w:eastAsia="Aptos" w:hAnsi="Cambria" w:cs="Aptos"/>
          <w:color w:val="000000"/>
          <w:kern w:val="2"/>
          <w:sz w:val="20"/>
          <w:szCs w:val="20"/>
          <w14:ligatures w14:val="standardContextual"/>
        </w:rPr>
      </w:pPr>
      <w:r w:rsidRPr="000A5982">
        <w:rPr>
          <w:rFonts w:ascii="Cambria" w:eastAsia="Aptos" w:hAnsi="Cambria"/>
          <w:b/>
          <w:color w:val="000000"/>
          <w:kern w:val="2"/>
          <w:sz w:val="20"/>
          <w14:ligatures w14:val="standardContextual"/>
        </w:rPr>
        <w:t>Tabla 19.41.1</w:t>
      </w:r>
      <w:r w:rsidRPr="000A5982">
        <w:rPr>
          <w:rFonts w:ascii="Cambria" w:eastAsia="Aptos" w:hAnsi="Cambria"/>
          <w:color w:val="000000"/>
          <w:kern w:val="2"/>
          <w:sz w:val="20"/>
          <w14:ligatures w14:val="standardContextual"/>
        </w:rPr>
        <w:t>. Estadísticas resumidas del rendimiento máximo sostenible (RMS) de los stocks de túnidos del Atlántico, estimadas para el periodo comprendido entre 1975 y el año terminal del caso de base de las evaluaciones de stock más recientes.</w:t>
      </w:r>
    </w:p>
    <w:tbl>
      <w:tblPr>
        <w:tblW w:w="9172" w:type="dxa"/>
        <w:tblCellMar>
          <w:left w:w="0" w:type="dxa"/>
          <w:right w:w="0" w:type="dxa"/>
        </w:tblCellMar>
        <w:tblLook w:val="04A0" w:firstRow="1" w:lastRow="0" w:firstColumn="1" w:lastColumn="0" w:noHBand="0" w:noVBand="1"/>
      </w:tblPr>
      <w:tblGrid>
        <w:gridCol w:w="533"/>
        <w:gridCol w:w="1532"/>
        <w:gridCol w:w="1002"/>
        <w:gridCol w:w="1083"/>
        <w:gridCol w:w="663"/>
        <w:gridCol w:w="1097"/>
        <w:gridCol w:w="679"/>
        <w:gridCol w:w="1233"/>
        <w:gridCol w:w="1350"/>
      </w:tblGrid>
      <w:tr w:rsidR="001D38A7" w:rsidRPr="0099704B" w14:paraId="45DD1FCE" w14:textId="77777777" w:rsidTr="007C17C6">
        <w:trPr>
          <w:trHeight w:val="540"/>
        </w:trPr>
        <w:tc>
          <w:tcPr>
            <w:tcW w:w="0" w:type="auto"/>
            <w:tcBorders>
              <w:top w:val="single" w:sz="6" w:space="0" w:color="000000"/>
              <w:left w:val="single" w:sz="6" w:space="0" w:color="CCCCCC"/>
              <w:bottom w:val="single" w:sz="6" w:space="0" w:color="000000"/>
              <w:right w:val="single" w:sz="6" w:space="0" w:color="CCCCCC"/>
            </w:tcBorders>
            <w:tcMar>
              <w:top w:w="0" w:type="dxa"/>
              <w:left w:w="45" w:type="dxa"/>
              <w:bottom w:w="0" w:type="dxa"/>
              <w:right w:w="45" w:type="dxa"/>
            </w:tcMar>
            <w:vAlign w:val="bottom"/>
            <w:hideMark/>
          </w:tcPr>
          <w:p w14:paraId="371647D6" w14:textId="77777777" w:rsidR="001D38A7" w:rsidRPr="000A5982" w:rsidRDefault="001D38A7" w:rsidP="007C17C6">
            <w:pPr>
              <w:jc w:val="both"/>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Stock</w:t>
            </w:r>
          </w:p>
        </w:tc>
        <w:tc>
          <w:tcPr>
            <w:tcW w:w="0" w:type="auto"/>
            <w:tcBorders>
              <w:top w:val="single" w:sz="6" w:space="0" w:color="000000"/>
              <w:left w:val="single" w:sz="6" w:space="0" w:color="CCCCCC"/>
              <w:bottom w:val="single" w:sz="6" w:space="0" w:color="000000"/>
              <w:right w:val="single" w:sz="6" w:space="0" w:color="CCCCCC"/>
            </w:tcBorders>
            <w:tcMar>
              <w:top w:w="0" w:type="dxa"/>
              <w:left w:w="45" w:type="dxa"/>
              <w:bottom w:w="0" w:type="dxa"/>
              <w:right w:w="45" w:type="dxa"/>
            </w:tcMar>
            <w:vAlign w:val="center"/>
            <w:hideMark/>
          </w:tcPr>
          <w:p w14:paraId="6CCEB23C" w14:textId="77777777" w:rsidR="001D38A7" w:rsidRPr="000A5982" w:rsidRDefault="001D38A7" w:rsidP="007C17C6">
            <w:pPr>
              <w:jc w:val="center"/>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Rendimiento actual (t)</w:t>
            </w:r>
          </w:p>
        </w:tc>
        <w:tc>
          <w:tcPr>
            <w:tcW w:w="0" w:type="auto"/>
            <w:tcBorders>
              <w:top w:val="single" w:sz="6" w:space="0" w:color="000000"/>
              <w:left w:val="single" w:sz="6" w:space="0" w:color="CCCCCC"/>
              <w:bottom w:val="single" w:sz="6" w:space="0" w:color="000000"/>
              <w:right w:val="single" w:sz="6" w:space="0" w:color="CCCCCC"/>
            </w:tcBorders>
            <w:tcMar>
              <w:top w:w="0" w:type="dxa"/>
              <w:left w:w="45" w:type="dxa"/>
              <w:bottom w:w="0" w:type="dxa"/>
              <w:right w:w="45" w:type="dxa"/>
            </w:tcMar>
            <w:vAlign w:val="center"/>
            <w:hideMark/>
          </w:tcPr>
          <w:p w14:paraId="50988B4D" w14:textId="77777777" w:rsidR="001D38A7" w:rsidRPr="000A5982" w:rsidRDefault="001D38A7" w:rsidP="007C17C6">
            <w:pPr>
              <w:jc w:val="center"/>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RMS actual (t)</w:t>
            </w:r>
          </w:p>
        </w:tc>
        <w:tc>
          <w:tcPr>
            <w:tcW w:w="0" w:type="auto"/>
            <w:tcBorders>
              <w:top w:val="single" w:sz="6" w:space="0" w:color="000000"/>
              <w:left w:val="single" w:sz="6" w:space="0" w:color="CCCCCC"/>
              <w:bottom w:val="single" w:sz="6" w:space="0" w:color="000000"/>
              <w:right w:val="single" w:sz="6" w:space="0" w:color="CCCCCC"/>
            </w:tcBorders>
            <w:tcMar>
              <w:top w:w="0" w:type="dxa"/>
              <w:left w:w="45" w:type="dxa"/>
              <w:bottom w:w="0" w:type="dxa"/>
              <w:right w:w="45" w:type="dxa"/>
            </w:tcMar>
            <w:vAlign w:val="center"/>
            <w:hideMark/>
          </w:tcPr>
          <w:p w14:paraId="0724EB35" w14:textId="77777777" w:rsidR="001D38A7" w:rsidRPr="000A5982" w:rsidRDefault="001D38A7" w:rsidP="007C17C6">
            <w:pPr>
              <w:jc w:val="center"/>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RMS mínimo (t)</w:t>
            </w:r>
          </w:p>
        </w:tc>
        <w:tc>
          <w:tcPr>
            <w:tcW w:w="0" w:type="auto"/>
            <w:tcBorders>
              <w:top w:val="single" w:sz="6" w:space="0" w:color="000000"/>
              <w:left w:val="single" w:sz="6" w:space="0" w:color="CCCCCC"/>
              <w:bottom w:val="single" w:sz="6" w:space="0" w:color="000000"/>
              <w:right w:val="single" w:sz="6" w:space="0" w:color="CCCCCC"/>
            </w:tcBorders>
            <w:tcMar>
              <w:top w:w="0" w:type="dxa"/>
              <w:left w:w="45" w:type="dxa"/>
              <w:bottom w:w="0" w:type="dxa"/>
              <w:right w:w="45" w:type="dxa"/>
            </w:tcMar>
            <w:vAlign w:val="center"/>
            <w:hideMark/>
          </w:tcPr>
          <w:p w14:paraId="2E6008C0" w14:textId="77777777" w:rsidR="001D38A7" w:rsidRPr="000A5982" w:rsidRDefault="001D38A7" w:rsidP="007C17C6">
            <w:pPr>
              <w:jc w:val="center"/>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 xml:space="preserve">Año mín. </w:t>
            </w:r>
          </w:p>
        </w:tc>
        <w:tc>
          <w:tcPr>
            <w:tcW w:w="0" w:type="auto"/>
            <w:tcBorders>
              <w:top w:val="single" w:sz="6" w:space="0" w:color="000000"/>
              <w:left w:val="single" w:sz="6" w:space="0" w:color="CCCCCC"/>
              <w:bottom w:val="single" w:sz="6" w:space="0" w:color="000000"/>
              <w:right w:val="single" w:sz="6" w:space="0" w:color="CCCCCC"/>
            </w:tcBorders>
            <w:tcMar>
              <w:top w:w="0" w:type="dxa"/>
              <w:left w:w="45" w:type="dxa"/>
              <w:bottom w:w="0" w:type="dxa"/>
              <w:right w:w="45" w:type="dxa"/>
            </w:tcMar>
            <w:vAlign w:val="center"/>
            <w:hideMark/>
          </w:tcPr>
          <w:p w14:paraId="353C85F1" w14:textId="77777777" w:rsidR="001D38A7" w:rsidRPr="000A5982" w:rsidRDefault="001D38A7" w:rsidP="007C17C6">
            <w:pPr>
              <w:jc w:val="center"/>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RMS máximo (t)</w:t>
            </w:r>
          </w:p>
        </w:tc>
        <w:tc>
          <w:tcPr>
            <w:tcW w:w="0" w:type="auto"/>
            <w:tcBorders>
              <w:top w:val="single" w:sz="6" w:space="0" w:color="000000"/>
              <w:left w:val="single" w:sz="6" w:space="0" w:color="CCCCCC"/>
              <w:bottom w:val="single" w:sz="6" w:space="0" w:color="000000"/>
              <w:right w:val="single" w:sz="6" w:space="0" w:color="CCCCCC"/>
            </w:tcBorders>
            <w:tcMar>
              <w:top w:w="0" w:type="dxa"/>
              <w:left w:w="45" w:type="dxa"/>
              <w:bottom w:w="0" w:type="dxa"/>
              <w:right w:w="45" w:type="dxa"/>
            </w:tcMar>
            <w:vAlign w:val="center"/>
            <w:hideMark/>
          </w:tcPr>
          <w:p w14:paraId="6DEB405F" w14:textId="77777777" w:rsidR="001D38A7" w:rsidRPr="000A5982" w:rsidRDefault="001D38A7" w:rsidP="007C17C6">
            <w:pPr>
              <w:jc w:val="center"/>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Año máx.</w:t>
            </w:r>
          </w:p>
        </w:tc>
        <w:tc>
          <w:tcPr>
            <w:tcW w:w="1233" w:type="dxa"/>
            <w:tcBorders>
              <w:top w:val="single" w:sz="6" w:space="0" w:color="000000"/>
              <w:left w:val="single" w:sz="6" w:space="0" w:color="CCCCCC"/>
              <w:bottom w:val="single" w:sz="6" w:space="0" w:color="000000"/>
              <w:right w:val="single" w:sz="6" w:space="0" w:color="CCCCCC"/>
            </w:tcBorders>
            <w:tcMar>
              <w:top w:w="0" w:type="dxa"/>
              <w:left w:w="45" w:type="dxa"/>
              <w:bottom w:w="0" w:type="dxa"/>
              <w:right w:w="45" w:type="dxa"/>
            </w:tcMar>
            <w:vAlign w:val="center"/>
            <w:hideMark/>
          </w:tcPr>
          <w:p w14:paraId="751163D6" w14:textId="77777777" w:rsidR="001D38A7" w:rsidRPr="000A5982" w:rsidRDefault="001D38A7" w:rsidP="007C17C6">
            <w:pPr>
              <w:jc w:val="center"/>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RMS máximo - RMS mínimo (t)</w:t>
            </w:r>
          </w:p>
        </w:tc>
        <w:tc>
          <w:tcPr>
            <w:tcW w:w="1350" w:type="dxa"/>
            <w:tcBorders>
              <w:top w:val="single" w:sz="6" w:space="0" w:color="000000"/>
              <w:left w:val="single" w:sz="6" w:space="0" w:color="CCCCCC"/>
              <w:bottom w:val="single" w:sz="6" w:space="0" w:color="000000"/>
              <w:right w:val="single" w:sz="6" w:space="0" w:color="CCCCCC"/>
            </w:tcBorders>
            <w:tcMar>
              <w:top w:w="0" w:type="dxa"/>
              <w:left w:w="45" w:type="dxa"/>
              <w:bottom w:w="0" w:type="dxa"/>
              <w:right w:w="45" w:type="dxa"/>
            </w:tcMar>
            <w:vAlign w:val="center"/>
            <w:hideMark/>
          </w:tcPr>
          <w:p w14:paraId="372FF52A" w14:textId="77777777" w:rsidR="001D38A7" w:rsidRPr="000A5982" w:rsidRDefault="001D38A7" w:rsidP="007C17C6">
            <w:pPr>
              <w:jc w:val="center"/>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RMS actual: RMS máximo (%)</w:t>
            </w:r>
          </w:p>
        </w:tc>
      </w:tr>
      <w:tr w:rsidR="001D38A7" w:rsidRPr="0099704B" w14:paraId="61389112" w14:textId="77777777" w:rsidTr="007C17C6">
        <w:trPr>
          <w:trHeight w:val="240"/>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F19E99E" w14:textId="77777777" w:rsidR="001D38A7" w:rsidRPr="000A5982" w:rsidRDefault="001D38A7" w:rsidP="007C17C6">
            <w:pPr>
              <w:jc w:val="both"/>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BET</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30242CB0" w14:textId="77777777" w:rsidR="001D38A7" w:rsidRPr="000A5982" w:rsidRDefault="001D38A7" w:rsidP="007C17C6">
            <w:pPr>
              <w:jc w:val="right"/>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 xml:space="preserve">51.052 </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76D3310E" w14:textId="77777777" w:rsidR="001D38A7" w:rsidRPr="000A5982" w:rsidRDefault="001D38A7" w:rsidP="007C17C6">
            <w:pPr>
              <w:jc w:val="right"/>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 xml:space="preserve">88.889 </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1F0DCD1D" w14:textId="77777777" w:rsidR="001D38A7" w:rsidRPr="000A5982" w:rsidRDefault="001D38A7" w:rsidP="007C17C6">
            <w:pPr>
              <w:jc w:val="right"/>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 xml:space="preserve">84.684 </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6F82A215" w14:textId="77777777" w:rsidR="001D38A7" w:rsidRPr="000A5982" w:rsidRDefault="001D38A7" w:rsidP="007C17C6">
            <w:pPr>
              <w:jc w:val="right"/>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2014</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0190E396" w14:textId="77777777" w:rsidR="001D38A7" w:rsidRPr="000A5982" w:rsidRDefault="001D38A7" w:rsidP="007C17C6">
            <w:pPr>
              <w:jc w:val="right"/>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 xml:space="preserve">107.385 </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2E77B0F5" w14:textId="77777777" w:rsidR="001D38A7" w:rsidRPr="000A5982" w:rsidRDefault="001D38A7" w:rsidP="007C17C6">
            <w:pPr>
              <w:jc w:val="right"/>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1977</w:t>
            </w:r>
          </w:p>
        </w:tc>
        <w:tc>
          <w:tcPr>
            <w:tcW w:w="123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40CC7B13" w14:textId="77777777" w:rsidR="001D38A7" w:rsidRPr="000A5982" w:rsidRDefault="001D38A7" w:rsidP="007C17C6">
            <w:pPr>
              <w:jc w:val="right"/>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 xml:space="preserve">22.701 </w:t>
            </w:r>
          </w:p>
        </w:tc>
        <w:tc>
          <w:tcPr>
            <w:tcW w:w="135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7F9A6599" w14:textId="77777777" w:rsidR="001D38A7" w:rsidRPr="000A5982" w:rsidRDefault="001D38A7" w:rsidP="007C17C6">
            <w:pPr>
              <w:jc w:val="right"/>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83%</w:t>
            </w:r>
          </w:p>
        </w:tc>
      </w:tr>
      <w:tr w:rsidR="001D38A7" w:rsidRPr="0099704B" w14:paraId="6C38963A" w14:textId="77777777" w:rsidTr="007C17C6">
        <w:trPr>
          <w:trHeight w:val="240"/>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2224E5B" w14:textId="77777777" w:rsidR="001D38A7" w:rsidRPr="000A5982" w:rsidRDefault="001D38A7" w:rsidP="007C17C6">
            <w:pPr>
              <w:jc w:val="both"/>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YFT</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0924EBB4" w14:textId="77777777" w:rsidR="001D38A7" w:rsidRPr="000A5982" w:rsidRDefault="001D38A7" w:rsidP="007C17C6">
            <w:pPr>
              <w:jc w:val="right"/>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 xml:space="preserve">109.526 </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6873086B" w14:textId="77777777" w:rsidR="001D38A7" w:rsidRPr="000A5982" w:rsidRDefault="001D38A7" w:rsidP="007C17C6">
            <w:pPr>
              <w:jc w:val="right"/>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 xml:space="preserve">124.274 </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2016DB46" w14:textId="77777777" w:rsidR="001D38A7" w:rsidRPr="000A5982" w:rsidRDefault="001D38A7" w:rsidP="007C17C6">
            <w:pPr>
              <w:jc w:val="right"/>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 xml:space="preserve">122.029 </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27E6BD36" w14:textId="77777777" w:rsidR="001D38A7" w:rsidRPr="000A5982" w:rsidRDefault="001D38A7" w:rsidP="007C17C6">
            <w:pPr>
              <w:jc w:val="right"/>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2016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59F57D9C" w14:textId="77777777" w:rsidR="001D38A7" w:rsidRPr="000A5982" w:rsidRDefault="001D38A7" w:rsidP="007C17C6">
            <w:pPr>
              <w:jc w:val="right"/>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 xml:space="preserve">208.298 </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39E09DF8" w14:textId="77777777" w:rsidR="001D38A7" w:rsidRPr="000A5982" w:rsidRDefault="001D38A7" w:rsidP="007C17C6">
            <w:pPr>
              <w:jc w:val="right"/>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1987</w:t>
            </w:r>
          </w:p>
        </w:tc>
        <w:tc>
          <w:tcPr>
            <w:tcW w:w="123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7918F3D4" w14:textId="77777777" w:rsidR="001D38A7" w:rsidRPr="000A5982" w:rsidRDefault="001D38A7" w:rsidP="007C17C6">
            <w:pPr>
              <w:jc w:val="right"/>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 xml:space="preserve">86.269 </w:t>
            </w:r>
          </w:p>
        </w:tc>
        <w:tc>
          <w:tcPr>
            <w:tcW w:w="135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4D4F09D2" w14:textId="77777777" w:rsidR="001D38A7" w:rsidRPr="000A5982" w:rsidRDefault="001D38A7" w:rsidP="007C17C6">
            <w:pPr>
              <w:jc w:val="right"/>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60%</w:t>
            </w:r>
          </w:p>
        </w:tc>
      </w:tr>
      <w:tr w:rsidR="001D38A7" w:rsidRPr="0099704B" w14:paraId="243739E5" w14:textId="77777777" w:rsidTr="007C17C6">
        <w:trPr>
          <w:trHeight w:val="240"/>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1E82036" w14:textId="77777777" w:rsidR="001D38A7" w:rsidRPr="000A5982" w:rsidRDefault="001D38A7" w:rsidP="007C17C6">
            <w:pPr>
              <w:jc w:val="both"/>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SKJE</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51289C3F" w14:textId="77777777" w:rsidR="001D38A7" w:rsidRPr="000A5982" w:rsidRDefault="001D38A7" w:rsidP="007C17C6">
            <w:pPr>
              <w:jc w:val="right"/>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 xml:space="preserve">237.859 </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1DFEF48E" w14:textId="77777777" w:rsidR="001D38A7" w:rsidRPr="000A5982" w:rsidRDefault="001D38A7" w:rsidP="007C17C6">
            <w:pPr>
              <w:jc w:val="right"/>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 xml:space="preserve">192.319 </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58F8B2FE" w14:textId="77777777" w:rsidR="001D38A7" w:rsidRPr="000A5982" w:rsidRDefault="001D38A7" w:rsidP="007C17C6">
            <w:pPr>
              <w:jc w:val="right"/>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 xml:space="preserve">192.319 </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57F79815" w14:textId="77777777" w:rsidR="001D38A7" w:rsidRPr="000A5982" w:rsidRDefault="001D38A7" w:rsidP="007C17C6">
            <w:pPr>
              <w:jc w:val="right"/>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2020</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5092475A" w14:textId="77777777" w:rsidR="001D38A7" w:rsidRPr="000A5982" w:rsidRDefault="001D38A7" w:rsidP="007C17C6">
            <w:pPr>
              <w:jc w:val="right"/>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 xml:space="preserve">207.712 </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16C82CDA" w14:textId="77777777" w:rsidR="001D38A7" w:rsidRPr="000A5982" w:rsidRDefault="001D38A7" w:rsidP="007C17C6">
            <w:pPr>
              <w:jc w:val="right"/>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1984</w:t>
            </w:r>
          </w:p>
        </w:tc>
        <w:tc>
          <w:tcPr>
            <w:tcW w:w="123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186D62EA" w14:textId="77777777" w:rsidR="001D38A7" w:rsidRPr="000A5982" w:rsidRDefault="001D38A7" w:rsidP="007C17C6">
            <w:pPr>
              <w:jc w:val="right"/>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 xml:space="preserve">15.393 </w:t>
            </w:r>
          </w:p>
        </w:tc>
        <w:tc>
          <w:tcPr>
            <w:tcW w:w="135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37787BEE" w14:textId="77777777" w:rsidR="001D38A7" w:rsidRPr="000A5982" w:rsidRDefault="001D38A7" w:rsidP="007C17C6">
            <w:pPr>
              <w:jc w:val="right"/>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93%</w:t>
            </w:r>
          </w:p>
        </w:tc>
      </w:tr>
      <w:tr w:rsidR="001D38A7" w:rsidRPr="0099704B" w14:paraId="69088940" w14:textId="77777777" w:rsidTr="007C17C6">
        <w:trPr>
          <w:trHeight w:val="240"/>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5B4D743" w14:textId="77777777" w:rsidR="001D38A7" w:rsidRPr="000A5982" w:rsidRDefault="001D38A7" w:rsidP="007C17C6">
            <w:pPr>
              <w:jc w:val="both"/>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SKJW</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35B313B6" w14:textId="77777777" w:rsidR="001D38A7" w:rsidRPr="000A5982" w:rsidRDefault="001D38A7" w:rsidP="007C17C6">
            <w:pPr>
              <w:jc w:val="right"/>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 xml:space="preserve">23.005 </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3207F606" w14:textId="77777777" w:rsidR="001D38A7" w:rsidRPr="000A5982" w:rsidRDefault="001D38A7" w:rsidP="007C17C6">
            <w:pPr>
              <w:jc w:val="right"/>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 xml:space="preserve">33.497 </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767613E7" w14:textId="77777777" w:rsidR="001D38A7" w:rsidRPr="000A5982" w:rsidRDefault="001D38A7" w:rsidP="007C17C6">
            <w:pPr>
              <w:jc w:val="right"/>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 xml:space="preserve">31.695 </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2AE668F3" w14:textId="77777777" w:rsidR="001D38A7" w:rsidRPr="000A5982" w:rsidRDefault="001D38A7" w:rsidP="007C17C6">
            <w:pPr>
              <w:jc w:val="right"/>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1984</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6454F8A2" w14:textId="77777777" w:rsidR="001D38A7" w:rsidRPr="000A5982" w:rsidRDefault="001D38A7" w:rsidP="007C17C6">
            <w:pPr>
              <w:jc w:val="right"/>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 xml:space="preserve">33.730 </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2AD34E32" w14:textId="77777777" w:rsidR="001D38A7" w:rsidRPr="000A5982" w:rsidRDefault="001D38A7" w:rsidP="007C17C6">
            <w:pPr>
              <w:jc w:val="right"/>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2017</w:t>
            </w:r>
          </w:p>
        </w:tc>
        <w:tc>
          <w:tcPr>
            <w:tcW w:w="123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076BAADC" w14:textId="77777777" w:rsidR="001D38A7" w:rsidRPr="000A5982" w:rsidRDefault="001D38A7" w:rsidP="007C17C6">
            <w:pPr>
              <w:jc w:val="right"/>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 xml:space="preserve">2.035 </w:t>
            </w:r>
          </w:p>
        </w:tc>
        <w:tc>
          <w:tcPr>
            <w:tcW w:w="135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48867377" w14:textId="77777777" w:rsidR="001D38A7" w:rsidRPr="000A5982" w:rsidRDefault="001D38A7" w:rsidP="007C17C6">
            <w:pPr>
              <w:jc w:val="right"/>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99%</w:t>
            </w:r>
          </w:p>
        </w:tc>
      </w:tr>
      <w:tr w:rsidR="001D38A7" w:rsidRPr="0099704B" w14:paraId="6D9E12B2" w14:textId="77777777" w:rsidTr="007C17C6">
        <w:trPr>
          <w:trHeight w:val="240"/>
        </w:trPr>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14:paraId="0786411B" w14:textId="77777777" w:rsidR="001D38A7" w:rsidRPr="000A5982" w:rsidRDefault="001D38A7" w:rsidP="007C17C6">
            <w:pPr>
              <w:jc w:val="both"/>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ALBN</w:t>
            </w:r>
          </w:p>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hideMark/>
          </w:tcPr>
          <w:p w14:paraId="447C6F04" w14:textId="77777777" w:rsidR="001D38A7" w:rsidRPr="000A5982" w:rsidRDefault="001D38A7" w:rsidP="007C17C6">
            <w:pPr>
              <w:jc w:val="right"/>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 xml:space="preserve">28.471 </w:t>
            </w:r>
          </w:p>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hideMark/>
          </w:tcPr>
          <w:p w14:paraId="74BBCDDB" w14:textId="77777777" w:rsidR="001D38A7" w:rsidRPr="000A5982" w:rsidRDefault="001D38A7" w:rsidP="007C17C6">
            <w:pPr>
              <w:jc w:val="right"/>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 xml:space="preserve">42.270 </w:t>
            </w:r>
          </w:p>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hideMark/>
          </w:tcPr>
          <w:p w14:paraId="63D54FDB" w14:textId="77777777" w:rsidR="001D38A7" w:rsidRPr="000A5982" w:rsidRDefault="001D38A7" w:rsidP="007C17C6">
            <w:pPr>
              <w:jc w:val="right"/>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 xml:space="preserve">42.188 </w:t>
            </w:r>
          </w:p>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hideMark/>
          </w:tcPr>
          <w:p w14:paraId="096563CC" w14:textId="77777777" w:rsidR="001D38A7" w:rsidRPr="000A5982" w:rsidRDefault="001D38A7" w:rsidP="007C17C6">
            <w:pPr>
              <w:jc w:val="right"/>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2016</w:t>
            </w:r>
          </w:p>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hideMark/>
          </w:tcPr>
          <w:p w14:paraId="11B2376B" w14:textId="77777777" w:rsidR="001D38A7" w:rsidRPr="000A5982" w:rsidRDefault="001D38A7" w:rsidP="007C17C6">
            <w:pPr>
              <w:jc w:val="right"/>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 xml:space="preserve">42.687 </w:t>
            </w:r>
          </w:p>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hideMark/>
          </w:tcPr>
          <w:p w14:paraId="7D04C116" w14:textId="77777777" w:rsidR="001D38A7" w:rsidRPr="000A5982" w:rsidRDefault="001D38A7" w:rsidP="007C17C6">
            <w:pPr>
              <w:jc w:val="right"/>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1984</w:t>
            </w:r>
          </w:p>
        </w:tc>
        <w:tc>
          <w:tcPr>
            <w:tcW w:w="1233"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hideMark/>
          </w:tcPr>
          <w:p w14:paraId="3A705231" w14:textId="77777777" w:rsidR="001D38A7" w:rsidRPr="000A5982" w:rsidRDefault="001D38A7" w:rsidP="007C17C6">
            <w:pPr>
              <w:jc w:val="right"/>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 xml:space="preserve">499 </w:t>
            </w:r>
          </w:p>
        </w:tc>
        <w:tc>
          <w:tcPr>
            <w:tcW w:w="1350"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hideMark/>
          </w:tcPr>
          <w:p w14:paraId="020DFC8B" w14:textId="77777777" w:rsidR="001D38A7" w:rsidRPr="000A5982" w:rsidRDefault="001D38A7" w:rsidP="007C17C6">
            <w:pPr>
              <w:jc w:val="right"/>
              <w:rPr>
                <w:rFonts w:ascii="Cambria" w:eastAsia="Aptos" w:hAnsi="Cambria" w:cs="Aptos"/>
                <w:color w:val="000000"/>
                <w:kern w:val="2"/>
                <w:sz w:val="18"/>
                <w:szCs w:val="18"/>
                <w14:ligatures w14:val="standardContextual"/>
              </w:rPr>
            </w:pPr>
            <w:r w:rsidRPr="000A5982">
              <w:rPr>
                <w:rFonts w:ascii="Cambria" w:eastAsia="Aptos" w:hAnsi="Cambria"/>
                <w:color w:val="000000"/>
                <w:kern w:val="2"/>
                <w:sz w:val="18"/>
                <w14:ligatures w14:val="standardContextual"/>
              </w:rPr>
              <w:t>99%</w:t>
            </w:r>
          </w:p>
        </w:tc>
      </w:tr>
    </w:tbl>
    <w:p w14:paraId="64402B54" w14:textId="77777777" w:rsidR="001D38A7" w:rsidRPr="000A5982" w:rsidRDefault="001D38A7" w:rsidP="001D38A7">
      <w:pPr>
        <w:spacing w:after="160"/>
        <w:ind w:left="851"/>
        <w:jc w:val="both"/>
        <w:rPr>
          <w:rFonts w:ascii="Cambria" w:eastAsia="Aptos" w:hAnsi="Cambria" w:cs="Aptos"/>
          <w:color w:val="000000"/>
          <w:kern w:val="2"/>
          <w:sz w:val="20"/>
          <w:szCs w:val="20"/>
          <w14:ligatures w14:val="standardContextual"/>
        </w:rPr>
      </w:pPr>
    </w:p>
    <w:p w14:paraId="0CCB1F3E" w14:textId="77777777" w:rsidR="001D38A7" w:rsidRPr="000A5982" w:rsidRDefault="001D38A7" w:rsidP="001D38A7">
      <w:pPr>
        <w:jc w:val="both"/>
        <w:rPr>
          <w:rFonts w:ascii="Cambria" w:eastAsia="Aptos" w:hAnsi="Cambria" w:cs="Aptos"/>
          <w:color w:val="000000"/>
          <w:kern w:val="2"/>
          <w:sz w:val="20"/>
          <w:szCs w:val="20"/>
          <w14:ligatures w14:val="standardContextual"/>
        </w:rPr>
      </w:pPr>
      <w:r w:rsidRPr="000A5982">
        <w:rPr>
          <w:rFonts w:ascii="Cambria" w:eastAsia="Aptos" w:hAnsi="Cambria"/>
          <w:color w:val="000000"/>
          <w:kern w:val="2"/>
          <w:sz w:val="20"/>
          <w14:ligatures w14:val="standardContextual"/>
        </w:rPr>
        <w:t xml:space="preserve">El impacto en las capturas fortuitas y en el ecosistema podría abordarse mediante el desarrollo de un modelo </w:t>
      </w:r>
      <w:proofErr w:type="spellStart"/>
      <w:r w:rsidRPr="000A5982">
        <w:rPr>
          <w:rFonts w:ascii="Cambria" w:eastAsia="Aptos" w:hAnsi="Cambria"/>
          <w:color w:val="000000"/>
          <w:kern w:val="2"/>
          <w:sz w:val="20"/>
          <w14:ligatures w14:val="standardContextual"/>
        </w:rPr>
        <w:t>Ecopath</w:t>
      </w:r>
      <w:proofErr w:type="spellEnd"/>
      <w:r w:rsidRPr="000A5982">
        <w:rPr>
          <w:rFonts w:ascii="Cambria" w:eastAsia="Aptos" w:hAnsi="Cambria"/>
          <w:color w:val="000000"/>
          <w:kern w:val="2"/>
          <w:sz w:val="20"/>
          <w14:ligatures w14:val="standardContextual"/>
        </w:rPr>
        <w:t xml:space="preserve"> con </w:t>
      </w:r>
      <w:proofErr w:type="spellStart"/>
      <w:r w:rsidRPr="000A5982">
        <w:rPr>
          <w:rFonts w:ascii="Cambria" w:eastAsia="Aptos" w:hAnsi="Cambria"/>
          <w:color w:val="000000"/>
          <w:kern w:val="2"/>
          <w:sz w:val="20"/>
          <w14:ligatures w14:val="standardContextual"/>
        </w:rPr>
        <w:t>EcoSim</w:t>
      </w:r>
      <w:proofErr w:type="spellEnd"/>
      <w:r w:rsidRPr="000A5982">
        <w:rPr>
          <w:rFonts w:ascii="Cambria" w:eastAsia="Aptos" w:hAnsi="Cambria"/>
          <w:color w:val="000000"/>
          <w:kern w:val="2"/>
          <w:sz w:val="20"/>
          <w14:ligatures w14:val="standardContextual"/>
        </w:rPr>
        <w:t xml:space="preserve">. En </w:t>
      </w:r>
      <w:r w:rsidRPr="000A5982">
        <w:rPr>
          <w:rFonts w:ascii="Cambria" w:eastAsia="Aptos" w:hAnsi="Cambria"/>
          <w:kern w:val="2"/>
          <w:sz w:val="20"/>
          <w:szCs w:val="20"/>
          <w14:ligatures w14:val="standardContextual"/>
        </w:rPr>
        <w:t>Meléndez-Arteaga</w:t>
      </w:r>
      <w:r w:rsidRPr="000A5982">
        <w:rPr>
          <w:rFonts w:ascii="Cambria" w:eastAsia="Aptos" w:hAnsi="Cambria"/>
          <w:color w:val="000000"/>
          <w:kern w:val="2"/>
          <w:sz w:val="20"/>
          <w:szCs w:val="20"/>
          <w14:ligatures w14:val="standardContextual"/>
        </w:rPr>
        <w:t xml:space="preserve"> </w:t>
      </w:r>
      <w:r w:rsidRPr="000A5982">
        <w:rPr>
          <w:rFonts w:ascii="Cambria" w:eastAsia="Aptos" w:hAnsi="Cambria"/>
          <w:i/>
          <w:iCs/>
          <w:color w:val="000000"/>
          <w:kern w:val="2"/>
          <w:sz w:val="20"/>
          <w:szCs w:val="20"/>
          <w14:ligatures w14:val="standardContextual"/>
        </w:rPr>
        <w:t>et al.,</w:t>
      </w:r>
      <w:r w:rsidRPr="000A5982">
        <w:rPr>
          <w:rFonts w:ascii="Cambria" w:eastAsia="Aptos" w:hAnsi="Cambria"/>
          <w:color w:val="000000"/>
          <w:kern w:val="2"/>
          <w:sz w:val="20"/>
          <w:szCs w:val="20"/>
          <w14:ligatures w14:val="standardContextual"/>
        </w:rPr>
        <w:t xml:space="preserve"> (</w:t>
      </w:r>
      <w:hyperlink r:id="rId23" w:history="1">
        <w:r w:rsidRPr="000A5982">
          <w:rPr>
            <w:rFonts w:ascii="Cambria" w:eastAsia="Aptos" w:hAnsi="Cambria"/>
            <w:color w:val="467886"/>
            <w:kern w:val="2"/>
            <w:sz w:val="20"/>
            <w:szCs w:val="20"/>
            <w14:ligatures w14:val="standardContextual"/>
          </w:rPr>
          <w:t>Anon., 2026</w:t>
        </w:r>
      </w:hyperlink>
      <w:r w:rsidRPr="000A5982">
        <w:rPr>
          <w:rFonts w:ascii="Cambria" w:eastAsia="Aptos" w:hAnsi="Cambria"/>
          <w:color w:val="000000"/>
          <w:kern w:val="2"/>
          <w:sz w:val="20"/>
          <w:szCs w:val="20"/>
          <w14:ligatures w14:val="standardContextual"/>
        </w:rPr>
        <w:t xml:space="preserve">) </w:t>
      </w:r>
      <w:r w:rsidRPr="000A5982">
        <w:rPr>
          <w:rFonts w:ascii="Cambria" w:eastAsia="Aptos" w:hAnsi="Cambria"/>
          <w:color w:val="000000"/>
          <w:kern w:val="2"/>
          <w:sz w:val="20"/>
          <w14:ligatures w14:val="standardContextual"/>
        </w:rPr>
        <w:t>se resumen los avances preliminares hacia un modelo integrado y basado en los ecosistemas para el océano Atlántico tropical. En la actualidad, el modelo es capaz de reproducir las tendencias de la biomasa y las capturas de varias especies y grupos funcionales. No obstante, es necesario seguir trabajando para mejorar el desempeño del modelo y reducir la incertidumbre.</w:t>
      </w:r>
    </w:p>
    <w:p w14:paraId="677A4C50" w14:textId="77777777" w:rsidR="001D38A7" w:rsidRPr="000A5982" w:rsidRDefault="001D38A7" w:rsidP="001D38A7">
      <w:pPr>
        <w:jc w:val="both"/>
        <w:rPr>
          <w:rFonts w:ascii="Cambria" w:eastAsia="Aptos" w:hAnsi="Cambria" w:cs="Aptos"/>
          <w:color w:val="000000"/>
          <w:kern w:val="2"/>
          <w:sz w:val="20"/>
          <w:szCs w:val="20"/>
          <w14:ligatures w14:val="standardContextual"/>
        </w:rPr>
      </w:pPr>
    </w:p>
    <w:p w14:paraId="59CE7B24" w14:textId="77777777" w:rsidR="001D38A7" w:rsidRPr="000A5982" w:rsidRDefault="001D38A7" w:rsidP="001D38A7">
      <w:pPr>
        <w:jc w:val="both"/>
        <w:rPr>
          <w:rFonts w:ascii="Cambria" w:eastAsia="Aptos" w:hAnsi="Cambria" w:cs="Aptos"/>
          <w:color w:val="000000"/>
          <w:kern w:val="2"/>
          <w:sz w:val="20"/>
          <w:szCs w:val="20"/>
          <w14:ligatures w14:val="standardContextual"/>
        </w:rPr>
      </w:pPr>
      <w:r w:rsidRPr="000A5982">
        <w:rPr>
          <w:rFonts w:ascii="Cambria" w:eastAsia="Aptos" w:hAnsi="Cambria"/>
          <w:color w:val="000000"/>
          <w:kern w:val="2"/>
          <w:sz w:val="20"/>
          <w14:ligatures w14:val="standardContextual"/>
        </w:rPr>
        <w:lastRenderedPageBreak/>
        <w:t>El Comité señaló que la Comisión podría considerar la posibilidad de destinar fondos a la realización de un estudio socioeconómico que analice los efectos de diferentes escenarios de ordenación de los túnidos tropicales en las CPC que llevan a cabo o dependen de las pesquerías de ICCAT de túnidos tropicales, y acordó elaborar unos términos de referencia y una estimación presupuestaria en 2027 para llevar a cabo este trabajo, con miras a su consideración por parte de la Comisión.</w:t>
      </w:r>
    </w:p>
    <w:p w14:paraId="61570B5D" w14:textId="77777777" w:rsidR="001D38A7" w:rsidRPr="000A5982" w:rsidRDefault="001D38A7" w:rsidP="001D38A7">
      <w:pPr>
        <w:jc w:val="center"/>
        <w:rPr>
          <w:rFonts w:ascii="Cambria" w:eastAsia="Aptos" w:hAnsi="Cambria" w:cs="Aptos"/>
          <w:color w:val="000000"/>
          <w:sz w:val="20"/>
          <w:szCs w:val="20"/>
        </w:rPr>
      </w:pPr>
      <w:r w:rsidRPr="000A5982">
        <w:rPr>
          <w:rFonts w:ascii="Aptos" w:eastAsia="Aptos" w:hAnsi="Aptos"/>
          <w:noProof/>
          <w:kern w:val="2"/>
          <w14:ligatures w14:val="standardContextual"/>
        </w:rPr>
        <w:drawing>
          <wp:inline distT="0" distB="0" distL="0" distR="0" wp14:anchorId="49ECC056" wp14:editId="1A9B822E">
            <wp:extent cx="3761117" cy="4251720"/>
            <wp:effectExtent l="0" t="0" r="0" b="0"/>
            <wp:docPr id="550078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766360" cy="4257647"/>
                    </a:xfrm>
                    <a:prstGeom prst="rect">
                      <a:avLst/>
                    </a:prstGeom>
                    <a:noFill/>
                    <a:ln>
                      <a:noFill/>
                    </a:ln>
                  </pic:spPr>
                </pic:pic>
              </a:graphicData>
            </a:graphic>
          </wp:inline>
        </w:drawing>
      </w:r>
    </w:p>
    <w:p w14:paraId="635BCF37" w14:textId="77777777" w:rsidR="001D38A7" w:rsidRPr="000A5982" w:rsidRDefault="001D38A7" w:rsidP="001D38A7">
      <w:pPr>
        <w:jc w:val="both"/>
        <w:rPr>
          <w:rFonts w:ascii="Cambria" w:eastAsia="Aptos" w:hAnsi="Cambria" w:cs="Aptos"/>
          <w:b/>
          <w:bCs/>
          <w:color w:val="000000"/>
          <w:sz w:val="20"/>
          <w:szCs w:val="20"/>
        </w:rPr>
      </w:pPr>
    </w:p>
    <w:p w14:paraId="5429686A" w14:textId="77777777" w:rsidR="001D38A7" w:rsidRPr="0099704B" w:rsidRDefault="001D38A7" w:rsidP="001D38A7">
      <w:pPr>
        <w:jc w:val="both"/>
        <w:rPr>
          <w:rFonts w:ascii="Cambria" w:eastAsia="Aptos" w:hAnsi="Cambria" w:cs="Aptos"/>
          <w:color w:val="000000"/>
          <w:sz w:val="20"/>
          <w:szCs w:val="20"/>
        </w:rPr>
      </w:pPr>
      <w:r w:rsidRPr="000A5982">
        <w:rPr>
          <w:rFonts w:ascii="Cambria" w:eastAsia="Aptos" w:hAnsi="Cambria"/>
          <w:b/>
          <w:color w:val="000000"/>
          <w:kern w:val="2"/>
          <w:sz w:val="20"/>
          <w14:ligatures w14:val="standardContextual"/>
        </w:rPr>
        <w:t>Figura 19.41.1.</w:t>
      </w:r>
      <w:r w:rsidRPr="000A5982">
        <w:rPr>
          <w:rFonts w:ascii="Cambria" w:eastAsia="Aptos" w:hAnsi="Cambria"/>
          <w:color w:val="000000"/>
          <w:kern w:val="2"/>
          <w:sz w:val="20"/>
          <w14:ligatures w14:val="standardContextual"/>
        </w:rPr>
        <w:t xml:space="preserve"> Proporción estimada (en número de peces) de juveniles en las capturas de túnidos tropicales del Atlántico (gráficos de la columna de la izquierda) a lo largo del tiempo, comparada con las estimaciones dinámicas en el tiempo del RMS (gráficos de la columna de la derecha).</w:t>
      </w:r>
    </w:p>
    <w:p w14:paraId="539798E0" w14:textId="77777777" w:rsidR="001D38A7" w:rsidRPr="0099704B" w:rsidRDefault="001D38A7" w:rsidP="001D38A7">
      <w:pPr>
        <w:tabs>
          <w:tab w:val="left" w:pos="0"/>
          <w:tab w:val="left" w:pos="720"/>
          <w:tab w:val="right" w:pos="8505"/>
          <w:tab w:val="right" w:pos="9072"/>
        </w:tabs>
        <w:ind w:right="4"/>
        <w:jc w:val="both"/>
        <w:rPr>
          <w:rFonts w:ascii="Cambria" w:eastAsia="Cambria" w:hAnsi="Cambria" w:cs="Cambria"/>
          <w:b/>
          <w:color w:val="000000"/>
          <w:sz w:val="20"/>
          <w:szCs w:val="20"/>
        </w:rPr>
      </w:pPr>
    </w:p>
    <w:p w14:paraId="79D0B891" w14:textId="77777777" w:rsidR="001D38A7" w:rsidRPr="000A5982" w:rsidRDefault="001D38A7" w:rsidP="001D38A7">
      <w:pPr>
        <w:jc w:val="both"/>
        <w:rPr>
          <w:rFonts w:ascii="Cambria" w:eastAsia="Aptos" w:hAnsi="Cambria" w:cs="Aptos"/>
          <w:i/>
          <w:iCs/>
          <w:sz w:val="20"/>
          <w:szCs w:val="20"/>
        </w:rPr>
      </w:pPr>
      <w:r w:rsidRPr="000A5982">
        <w:rPr>
          <w:rFonts w:ascii="Cambria" w:hAnsi="Cambria"/>
          <w:b/>
          <w:i/>
          <w:color w:val="000000"/>
          <w:sz w:val="20"/>
          <w:szCs w:val="20"/>
        </w:rPr>
        <w:t xml:space="preserve">19.42 La Subcomisión 1 presentará a la Comisión sus recomendaciones para confirmar o modificar los objetivos de ordenación del patudo, el rabil y el stock oriental de listado del Atlántico, teniendo en cuenta las aportaciones del SCRS, como parte de la selección de un procedimiento de ordenación, en su reunión anual de 2026 o lo antes posible a partir de entonces. </w:t>
      </w:r>
      <w:r w:rsidRPr="000A5982">
        <w:rPr>
          <w:rFonts w:ascii="Cambria" w:hAnsi="Cambria"/>
          <w:b/>
          <w:bCs/>
          <w:i/>
          <w:iCs/>
          <w:sz w:val="20"/>
          <w:szCs w:val="20"/>
        </w:rPr>
        <w:t xml:space="preserve">La Subcomisión 1 debería considerar si los objetivos de ordenación deberían ser los mismos para los tres stocks o si </w:t>
      </w:r>
      <w:proofErr w:type="gramStart"/>
      <w:r w:rsidRPr="000A5982">
        <w:rPr>
          <w:rFonts w:ascii="Cambria" w:hAnsi="Cambria"/>
          <w:b/>
          <w:bCs/>
          <w:i/>
          <w:iCs/>
          <w:sz w:val="20"/>
          <w:szCs w:val="20"/>
        </w:rPr>
        <w:t>sería</w:t>
      </w:r>
      <w:proofErr w:type="gramEnd"/>
      <w:r w:rsidRPr="000A5982">
        <w:rPr>
          <w:rFonts w:ascii="Cambria" w:hAnsi="Cambria"/>
          <w:b/>
          <w:bCs/>
          <w:i/>
          <w:iCs/>
          <w:sz w:val="20"/>
          <w:szCs w:val="20"/>
        </w:rPr>
        <w:t xml:space="preserve"> más apropiado un enfoque asimétrico para cada stock, </w:t>
      </w:r>
      <w:r w:rsidRPr="000A5982">
        <w:rPr>
          <w:rFonts w:ascii="Cambria" w:hAnsi="Cambria"/>
          <w:b/>
          <w:bCs/>
          <w:i/>
          <w:iCs/>
          <w:color w:val="000000"/>
          <w:sz w:val="20"/>
          <w:szCs w:val="20"/>
        </w:rPr>
        <w:t xml:space="preserve"> </w:t>
      </w:r>
      <w:hyperlink r:id="rId25" w:history="1">
        <w:r w:rsidRPr="000A5982">
          <w:rPr>
            <w:rStyle w:val="Hyperlink"/>
            <w:rFonts w:ascii="Cambria" w:hAnsi="Cambria"/>
            <w:b/>
            <w:i/>
            <w:sz w:val="20"/>
            <w:szCs w:val="20"/>
            <w:u w:val="none"/>
          </w:rPr>
          <w:t>Rec. 24-02</w:t>
        </w:r>
      </w:hyperlink>
      <w:r w:rsidRPr="000A5982">
        <w:rPr>
          <w:rFonts w:ascii="Cambria" w:hAnsi="Cambria"/>
          <w:b/>
          <w:i/>
          <w:sz w:val="20"/>
          <w:szCs w:val="20"/>
        </w:rPr>
        <w:t xml:space="preserve">, </w:t>
      </w:r>
      <w:r w:rsidRPr="000A5982">
        <w:rPr>
          <w:rFonts w:ascii="Cambria" w:hAnsi="Cambria"/>
          <w:b/>
          <w:bCs/>
          <w:i/>
          <w:iCs/>
          <w:color w:val="000000"/>
          <w:sz w:val="20"/>
          <w:szCs w:val="20"/>
        </w:rPr>
        <w:t xml:space="preserve">párr. 6 </w:t>
      </w:r>
    </w:p>
    <w:p w14:paraId="574581CB" w14:textId="77777777" w:rsidR="001D38A7" w:rsidRPr="000A5982" w:rsidRDefault="001D38A7" w:rsidP="001D38A7">
      <w:pPr>
        <w:rPr>
          <w:rFonts w:ascii="Cambria" w:eastAsia="Aptos" w:hAnsi="Cambria" w:cs="Aptos"/>
          <w:b/>
          <w:bCs/>
          <w:color w:val="000000"/>
          <w:sz w:val="20"/>
          <w:szCs w:val="20"/>
        </w:rPr>
      </w:pPr>
    </w:p>
    <w:p w14:paraId="209130F9" w14:textId="77777777" w:rsidR="001D38A7" w:rsidRPr="000A5982" w:rsidRDefault="001D38A7" w:rsidP="001D38A7">
      <w:pPr>
        <w:jc w:val="both"/>
        <w:rPr>
          <w:rFonts w:ascii="Cambria" w:hAnsi="Cambria"/>
          <w:i/>
          <w:color w:val="000000"/>
          <w:sz w:val="20"/>
          <w:szCs w:val="20"/>
        </w:rPr>
      </w:pPr>
      <w:r w:rsidRPr="000A5982">
        <w:rPr>
          <w:rFonts w:ascii="Cambria" w:hAnsi="Cambria"/>
          <w:b/>
          <w:color w:val="000000"/>
          <w:sz w:val="20"/>
          <w:szCs w:val="20"/>
        </w:rPr>
        <w:t xml:space="preserve">Contexto: </w:t>
      </w:r>
      <w:r w:rsidRPr="000A5982">
        <w:rPr>
          <w:rFonts w:ascii="Cambria" w:hAnsi="Cambria"/>
          <w:i/>
          <w:color w:val="000000"/>
          <w:sz w:val="20"/>
          <w:szCs w:val="20"/>
        </w:rPr>
        <w:t xml:space="preserve">La Subcomisión 1 presentará a la Comisión sus recomendaciones para confirmar o modificar los objetivos de ordenación del patudo, el rabil y el stock oriental de listado del Atlántico, teniendo en cuenta las aportaciones del SCRS, como parte de la selección de un procedimiento de ordenación, en su reunión anual de 2026 o lo antes posible a partir de entonces. La Subcomisión 1 debería considerar si los objetivos de ordenación deberían ser los mismos para los tres stocks o si </w:t>
      </w:r>
      <w:proofErr w:type="gramStart"/>
      <w:r w:rsidRPr="000A5982">
        <w:rPr>
          <w:rFonts w:ascii="Cambria" w:hAnsi="Cambria"/>
          <w:i/>
          <w:color w:val="000000"/>
          <w:sz w:val="20"/>
          <w:szCs w:val="20"/>
        </w:rPr>
        <w:t>sería</w:t>
      </w:r>
      <w:proofErr w:type="gramEnd"/>
      <w:r w:rsidRPr="000A5982">
        <w:rPr>
          <w:rFonts w:ascii="Cambria" w:hAnsi="Cambria"/>
          <w:i/>
          <w:color w:val="000000"/>
          <w:sz w:val="20"/>
          <w:szCs w:val="20"/>
        </w:rPr>
        <w:t xml:space="preserve"> más apropiado un enfoque asimétrico para cada stock.</w:t>
      </w:r>
    </w:p>
    <w:p w14:paraId="7D108D54" w14:textId="77777777" w:rsidR="001D38A7" w:rsidRPr="000A5982" w:rsidRDefault="001D38A7" w:rsidP="001D38A7">
      <w:pPr>
        <w:jc w:val="both"/>
        <w:rPr>
          <w:rFonts w:ascii="Cambria" w:hAnsi="Cambria"/>
          <w:i/>
          <w:color w:val="000000"/>
          <w:sz w:val="20"/>
          <w:szCs w:val="20"/>
        </w:rPr>
      </w:pPr>
    </w:p>
    <w:p w14:paraId="7F0ADDA7" w14:textId="77777777" w:rsidR="001D38A7" w:rsidRPr="0099704B" w:rsidRDefault="001D38A7" w:rsidP="001D38A7">
      <w:pPr>
        <w:jc w:val="both"/>
        <w:rPr>
          <w:rFonts w:ascii="Cambria" w:eastAsia="Aptos" w:hAnsi="Cambria"/>
          <w:kern w:val="2"/>
          <w:sz w:val="20"/>
          <w:szCs w:val="20"/>
          <w14:ligatures w14:val="standardContextual"/>
        </w:rPr>
      </w:pPr>
      <w:r w:rsidRPr="000A5982">
        <w:rPr>
          <w:rFonts w:ascii="Cambria" w:eastAsia="Aptos" w:hAnsi="Cambria"/>
          <w:color w:val="000000"/>
          <w:kern w:val="2"/>
          <w:sz w:val="20"/>
          <w:szCs w:val="20"/>
          <w14:ligatures w14:val="standardContextual"/>
        </w:rPr>
        <w:t xml:space="preserve">Debido a las limitaciones de tiempo y al estado actual del desarrollo de la MSE </w:t>
      </w:r>
      <w:proofErr w:type="spellStart"/>
      <w:r w:rsidRPr="000A5982">
        <w:rPr>
          <w:rFonts w:ascii="Cambria" w:eastAsia="Aptos" w:hAnsi="Cambria"/>
          <w:color w:val="000000"/>
          <w:kern w:val="2"/>
          <w:sz w:val="20"/>
          <w:szCs w:val="20"/>
          <w14:ligatures w14:val="standardContextual"/>
        </w:rPr>
        <w:t>multistock</w:t>
      </w:r>
      <w:proofErr w:type="spellEnd"/>
      <w:r w:rsidRPr="000A5982">
        <w:rPr>
          <w:rFonts w:ascii="Cambria" w:eastAsia="Aptos" w:hAnsi="Cambria"/>
          <w:color w:val="000000"/>
          <w:kern w:val="2"/>
          <w:sz w:val="20"/>
          <w:szCs w:val="20"/>
          <w14:ligatures w14:val="standardContextual"/>
        </w:rPr>
        <w:t>, la Comisión no pudo atender esta solicitud en 2026.</w:t>
      </w:r>
      <w:r w:rsidRPr="0099704B">
        <w:rPr>
          <w:rFonts w:ascii="Cambria" w:eastAsia="Aptos" w:hAnsi="Cambria"/>
          <w:color w:val="000000"/>
          <w:kern w:val="2"/>
          <w:sz w:val="20"/>
          <w:szCs w:val="20"/>
          <w14:ligatures w14:val="standardContextual"/>
        </w:rPr>
        <w:t xml:space="preserve"> </w:t>
      </w:r>
    </w:p>
    <w:p w14:paraId="5EE63F89" w14:textId="77777777" w:rsidR="001D38A7" w:rsidRPr="0099704B" w:rsidRDefault="001D38A7" w:rsidP="001D38A7">
      <w:pPr>
        <w:jc w:val="both"/>
        <w:rPr>
          <w:rFonts w:ascii="Cambria" w:hAnsi="Cambria"/>
          <w:sz w:val="20"/>
          <w:szCs w:val="20"/>
        </w:rPr>
      </w:pPr>
    </w:p>
    <w:p w14:paraId="42204BF4" w14:textId="77777777" w:rsidR="001D38A7" w:rsidRPr="0099704B" w:rsidRDefault="001D38A7" w:rsidP="001D38A7">
      <w:pPr>
        <w:rPr>
          <w:rFonts w:ascii="Cambria" w:hAnsi="Cambria"/>
          <w:b/>
          <w:bCs/>
          <w:i/>
          <w:iCs/>
          <w:sz w:val="20"/>
          <w:szCs w:val="20"/>
        </w:rPr>
      </w:pPr>
      <w:r w:rsidRPr="000A5982">
        <w:rPr>
          <w:rFonts w:ascii="Cambria" w:hAnsi="Cambria"/>
          <w:b/>
          <w:bCs/>
          <w:i/>
          <w:iCs/>
          <w:color w:val="000000"/>
          <w:sz w:val="20"/>
          <w:szCs w:val="20"/>
        </w:rPr>
        <w:t>19.43</w:t>
      </w:r>
      <w:r w:rsidRPr="000A5982">
        <w:rPr>
          <w:rFonts w:ascii="Cambria" w:hAnsi="Cambria"/>
          <w:b/>
          <w:bCs/>
          <w:i/>
          <w:iCs/>
          <w:sz w:val="20"/>
          <w:szCs w:val="20"/>
        </w:rPr>
        <w:t xml:space="preserve"> El SCRS evaluará la aparición de circunstancias excepcionales anualmente, </w:t>
      </w:r>
      <w:hyperlink r:id="rId26" w:history="1">
        <w:r w:rsidRPr="000A5982">
          <w:rPr>
            <w:rStyle w:val="Hyperlink"/>
            <w:rFonts w:ascii="Cambria" w:hAnsi="Cambria"/>
            <w:b/>
            <w:bCs/>
            <w:i/>
            <w:iCs/>
            <w:sz w:val="20"/>
            <w:szCs w:val="20"/>
            <w:u w:val="none"/>
          </w:rPr>
          <w:t>Rec. 25-02</w:t>
        </w:r>
      </w:hyperlink>
      <w:r w:rsidRPr="000A5982">
        <w:rPr>
          <w:rFonts w:ascii="Cambria" w:hAnsi="Cambria"/>
          <w:b/>
          <w:bCs/>
          <w:i/>
          <w:iCs/>
          <w:sz w:val="20"/>
          <w:szCs w:val="20"/>
        </w:rPr>
        <w:t>,</w:t>
      </w:r>
      <w:r w:rsidRPr="000A5982">
        <w:rPr>
          <w:rFonts w:ascii="Cambria" w:hAnsi="Cambria"/>
          <w:b/>
          <w:bCs/>
          <w:i/>
          <w:iCs/>
          <w:color w:val="000000"/>
          <w:sz w:val="20"/>
          <w:szCs w:val="20"/>
        </w:rPr>
        <w:t xml:space="preserve"> párr. 8 </w:t>
      </w:r>
    </w:p>
    <w:p w14:paraId="6C0E99AB" w14:textId="77777777" w:rsidR="001D38A7" w:rsidRPr="0099704B" w:rsidRDefault="001D38A7" w:rsidP="001D38A7">
      <w:pPr>
        <w:widowControl w:val="0"/>
        <w:pBdr>
          <w:top w:val="nil"/>
          <w:left w:val="nil"/>
          <w:bottom w:val="nil"/>
          <w:right w:val="nil"/>
          <w:between w:val="nil"/>
        </w:pBdr>
        <w:tabs>
          <w:tab w:val="left" w:pos="142"/>
        </w:tabs>
        <w:jc w:val="both"/>
        <w:rPr>
          <w:rFonts w:ascii="Cambria" w:eastAsia="Cambria" w:hAnsi="Cambria" w:cs="Cambria"/>
          <w:b/>
          <w:bCs/>
          <w:sz w:val="20"/>
          <w:szCs w:val="20"/>
        </w:rPr>
      </w:pPr>
    </w:p>
    <w:p w14:paraId="072A20A6" w14:textId="77777777" w:rsidR="001D38A7" w:rsidRPr="000A5982" w:rsidRDefault="001D38A7" w:rsidP="001D38A7">
      <w:pPr>
        <w:widowControl w:val="0"/>
        <w:suppressAutoHyphens/>
        <w:jc w:val="both"/>
        <w:rPr>
          <w:rFonts w:ascii="Cambria" w:eastAsia="Cambria" w:hAnsi="Cambria" w:cs="Cambria"/>
          <w:sz w:val="20"/>
          <w:szCs w:val="20"/>
        </w:rPr>
      </w:pPr>
      <w:r w:rsidRPr="000A5982">
        <w:rPr>
          <w:rFonts w:ascii="Cambria" w:eastAsia="Aptos" w:hAnsi="Cambria"/>
          <w:b/>
          <w:sz w:val="20"/>
          <w:szCs w:val="20"/>
          <w14:ligatures w14:val="standardContextual"/>
        </w:rPr>
        <w:t>Contexto:</w:t>
      </w:r>
      <w:r w:rsidRPr="000A5982">
        <w:rPr>
          <w:rFonts w:ascii="Cambria" w:eastAsia="Aptos" w:hAnsi="Cambria"/>
          <w:sz w:val="20"/>
          <w:szCs w:val="20"/>
          <w14:ligatures w14:val="standardContextual"/>
        </w:rPr>
        <w:t xml:space="preserve"> </w:t>
      </w:r>
      <w:r w:rsidRPr="000A5982">
        <w:rPr>
          <w:rFonts w:ascii="Cambria" w:eastAsia="Aptos" w:hAnsi="Cambria"/>
          <w:i/>
          <w:sz w:val="20"/>
          <w:szCs w:val="20"/>
          <w14:ligatures w14:val="standardContextual"/>
        </w:rPr>
        <w:t>El SCRS evaluará anualmente la aparición de circunstancias excepcionales, y la Comisión actuará de acuerdo con el protocolo de circunstancias excepcionales desarrollado sobre la base del asesoramiento científico proporcionado por el SCRS y adoptado por la Comisión.</w:t>
      </w:r>
    </w:p>
    <w:p w14:paraId="76332697" w14:textId="77777777" w:rsidR="001D38A7" w:rsidRPr="000A5982" w:rsidRDefault="001D38A7" w:rsidP="001D38A7">
      <w:pPr>
        <w:widowControl w:val="0"/>
        <w:suppressAutoHyphens/>
        <w:jc w:val="both"/>
        <w:rPr>
          <w:rFonts w:ascii="Cambria" w:eastAsia="Cambria" w:hAnsi="Cambria" w:cs="Cambria"/>
          <w:sz w:val="20"/>
          <w:szCs w:val="20"/>
        </w:rPr>
      </w:pPr>
    </w:p>
    <w:p w14:paraId="235C6817" w14:textId="77777777" w:rsidR="001D38A7" w:rsidRPr="000A5982" w:rsidRDefault="001D38A7" w:rsidP="001D38A7">
      <w:pPr>
        <w:suppressAutoHyphens/>
        <w:ind w:right="-1"/>
        <w:jc w:val="both"/>
        <w:rPr>
          <w:rFonts w:ascii="Cambria" w:eastAsia="Aptos" w:hAnsi="Cambria"/>
          <w:sz w:val="20"/>
          <w:szCs w:val="20"/>
          <w14:ligatures w14:val="standardContextual"/>
        </w:rPr>
      </w:pPr>
      <w:r w:rsidRPr="000A5982">
        <w:rPr>
          <w:rFonts w:ascii="Cambria" w:eastAsia="Aptos" w:hAnsi="Cambria"/>
          <w:sz w:val="20"/>
          <w:szCs w:val="20"/>
          <w14:ligatures w14:val="standardContextual"/>
        </w:rPr>
        <w:t xml:space="preserve">De conformidad con el párrafo 9 de la </w:t>
      </w:r>
      <w:hyperlink r:id="rId27" w:tooltip="https://www.iccat.int/Documents/Recs/compendiopdf-s/2025-02-s.pdf" w:history="1">
        <w:r w:rsidRPr="000A5982">
          <w:rPr>
            <w:rFonts w:ascii="Cambria" w:eastAsia="Aptos" w:hAnsi="Cambria"/>
            <w:color w:val="467886"/>
            <w:sz w:val="20"/>
            <w:szCs w:val="20"/>
            <w14:ligatures w14:val="standardContextual"/>
          </w:rPr>
          <w:t>Rec. 25-02</w:t>
        </w:r>
      </w:hyperlink>
      <w:r w:rsidRPr="000A5982">
        <w:rPr>
          <w:rFonts w:ascii="Cambria" w:eastAsia="Aptos" w:hAnsi="Cambria"/>
          <w:sz w:val="20"/>
          <w:szCs w:val="20"/>
          <w14:ligatures w14:val="standardContextual"/>
        </w:rPr>
        <w:t xml:space="preserve"> el Comité presenta sus recomendaciones para un protocolo de circunstancias excepcionales (ECP) para que su consideración por parte de la Comisión. Este proyecto de ECP para SKJ-W se basa en el ECP para SWO-N (</w:t>
      </w:r>
      <w:hyperlink r:id="rId28" w:tooltip="https://iccat.int/Documents/Recs/compendiopdf-s/2025-10-s.pdf" w:history="1">
        <w:r w:rsidRPr="000A5982">
          <w:rPr>
            <w:rFonts w:ascii="Cambria" w:eastAsia="Aptos" w:hAnsi="Cambria"/>
            <w:color w:val="467886"/>
            <w:sz w:val="20"/>
            <w:szCs w:val="20"/>
            <w14:ligatures w14:val="standardContextual"/>
          </w:rPr>
          <w:t>Rec. 25-10</w:t>
        </w:r>
      </w:hyperlink>
      <w:r w:rsidRPr="000A5982">
        <w:rPr>
          <w:rFonts w:ascii="Cambria" w:eastAsia="Aptos" w:hAnsi="Cambria"/>
          <w:sz w:val="20"/>
          <w:szCs w:val="20"/>
          <w14:ligatures w14:val="standardContextual"/>
        </w:rPr>
        <w:t xml:space="preserve">), así como en lis de BFT </w:t>
      </w:r>
      <w:hyperlink r:id="rId29" w:tooltip="https://www.iccat.int/Documents/Recs/compendiopdf-s/2023-07-s.pdf" w:history="1">
        <w:r w:rsidRPr="000A5982">
          <w:rPr>
            <w:rFonts w:ascii="Cambria" w:eastAsia="Aptos" w:hAnsi="Cambria"/>
            <w:sz w:val="20"/>
            <w:szCs w:val="20"/>
            <w14:ligatures w14:val="standardContextual"/>
          </w:rPr>
          <w:t>(</w:t>
        </w:r>
        <w:r w:rsidRPr="000A5982">
          <w:rPr>
            <w:rFonts w:ascii="Cambria" w:eastAsia="Aptos" w:hAnsi="Cambria"/>
            <w:color w:val="467885"/>
            <w:sz w:val="20"/>
            <w:szCs w:val="20"/>
            <w14:ligatures w14:val="standardContextual"/>
          </w:rPr>
          <w:t>Rec. 23-07</w:t>
        </w:r>
        <w:r w:rsidRPr="000A5982">
          <w:rPr>
            <w:rFonts w:ascii="Cambria" w:eastAsia="Aptos" w:hAnsi="Cambria"/>
            <w:sz w:val="20"/>
            <w:szCs w:val="20"/>
            <w14:ligatures w14:val="standardContextual"/>
          </w:rPr>
          <w:t>)</w:t>
        </w:r>
      </w:hyperlink>
      <w:r w:rsidRPr="000A5982">
        <w:rPr>
          <w:rFonts w:ascii="Cambria" w:eastAsia="Aptos" w:hAnsi="Cambria"/>
          <w:sz w:val="20"/>
          <w:szCs w:val="20"/>
          <w14:ligatures w14:val="standardContextual"/>
        </w:rPr>
        <w:t xml:space="preserve"> y ALB-N </w:t>
      </w:r>
      <w:hyperlink r:id="rId30" w:tooltip="https://www.iccat.int/Documents/Recs/compendiopdf-s/2021-04-s.pdf" w:history="1">
        <w:r w:rsidRPr="000A5982">
          <w:rPr>
            <w:rFonts w:ascii="Cambria" w:eastAsia="Aptos" w:hAnsi="Cambria"/>
            <w:sz w:val="20"/>
            <w:szCs w:val="20"/>
            <w14:ligatures w14:val="standardContextual"/>
          </w:rPr>
          <w:t>(</w:t>
        </w:r>
        <w:r w:rsidRPr="000A5982">
          <w:rPr>
            <w:rFonts w:ascii="Cambria" w:eastAsia="Aptos" w:hAnsi="Cambria"/>
            <w:color w:val="467885"/>
            <w:sz w:val="20"/>
            <w:szCs w:val="20"/>
            <w14:ligatures w14:val="standardContextual"/>
          </w:rPr>
          <w:t>Rec. 21-04</w:t>
        </w:r>
        <w:r w:rsidRPr="000A5982">
          <w:rPr>
            <w:rFonts w:ascii="Cambria" w:eastAsia="Aptos" w:hAnsi="Cambria"/>
            <w:sz w:val="20"/>
            <w:szCs w:val="20"/>
            <w14:ligatures w14:val="standardContextual"/>
          </w:rPr>
          <w:t>)</w:t>
        </w:r>
      </w:hyperlink>
      <w:r w:rsidRPr="000A5982">
        <w:rPr>
          <w:rFonts w:ascii="Cambria" w:eastAsia="Aptos" w:hAnsi="Cambria"/>
          <w:sz w:val="20"/>
          <w:szCs w:val="20"/>
          <w14:ligatures w14:val="standardContextual"/>
        </w:rPr>
        <w:t>.</w:t>
      </w:r>
    </w:p>
    <w:p w14:paraId="2B12104D" w14:textId="77777777" w:rsidR="001D38A7" w:rsidRPr="000A5982" w:rsidRDefault="001D38A7" w:rsidP="001D38A7">
      <w:pPr>
        <w:suppressAutoHyphens/>
        <w:ind w:right="286"/>
        <w:jc w:val="both"/>
        <w:rPr>
          <w:rFonts w:ascii="Cambria" w:eastAsia="Aptos" w:hAnsi="Cambria"/>
          <w:sz w:val="20"/>
          <w:szCs w:val="20"/>
          <w14:ligatures w14:val="standardContextual"/>
        </w:rPr>
      </w:pPr>
    </w:p>
    <w:p w14:paraId="6F081A8F" w14:textId="77777777" w:rsidR="001D38A7" w:rsidRPr="000A5982" w:rsidRDefault="001D38A7" w:rsidP="001D38A7">
      <w:pPr>
        <w:widowControl w:val="0"/>
        <w:suppressAutoHyphens/>
        <w:jc w:val="both"/>
        <w:rPr>
          <w:rFonts w:ascii="Cambria" w:eastAsia="Cambria" w:hAnsi="Cambria" w:cs="Cambria"/>
          <w:b/>
          <w:sz w:val="20"/>
          <w:szCs w:val="20"/>
        </w:rPr>
      </w:pPr>
      <w:r w:rsidRPr="000A5982">
        <w:rPr>
          <w:rFonts w:ascii="Cambria" w:eastAsia="Aptos" w:hAnsi="Cambria"/>
          <w:b/>
          <w:sz w:val="20"/>
          <w:szCs w:val="20"/>
          <w14:ligatures w14:val="standardContextual"/>
        </w:rPr>
        <w:t>Desarrollo del Protocolo sobre circunstancias excepcionales (ECP) para el listado del Atlántico occidental</w:t>
      </w:r>
    </w:p>
    <w:p w14:paraId="24EFCFD2" w14:textId="77777777" w:rsidR="001D38A7" w:rsidRPr="000A5982" w:rsidRDefault="001D38A7" w:rsidP="001D38A7">
      <w:pPr>
        <w:widowControl w:val="0"/>
        <w:suppressAutoHyphens/>
        <w:jc w:val="both"/>
        <w:rPr>
          <w:rFonts w:ascii="Cambria" w:eastAsia="Cambria" w:hAnsi="Cambria" w:cs="Cambria"/>
          <w:b/>
          <w:sz w:val="20"/>
          <w:szCs w:val="20"/>
        </w:rPr>
      </w:pPr>
    </w:p>
    <w:p w14:paraId="1F04661C" w14:textId="77777777" w:rsidR="001D38A7" w:rsidRPr="000A5982" w:rsidRDefault="001D38A7" w:rsidP="001D38A7">
      <w:pPr>
        <w:widowControl w:val="0"/>
        <w:numPr>
          <w:ilvl w:val="0"/>
          <w:numId w:val="44"/>
        </w:numPr>
        <w:suppressAutoHyphens/>
        <w:spacing w:after="160"/>
        <w:jc w:val="both"/>
        <w:rPr>
          <w:rFonts w:ascii="Cambria" w:eastAsia="Cambria" w:hAnsi="Cambria" w:cs="Cambria"/>
          <w:b/>
          <w:sz w:val="20"/>
          <w:szCs w:val="20"/>
        </w:rPr>
      </w:pPr>
      <w:r w:rsidRPr="000A5982">
        <w:rPr>
          <w:rFonts w:ascii="Cambria" w:eastAsia="Aptos" w:hAnsi="Cambria"/>
          <w:b/>
          <w:sz w:val="20"/>
          <w:szCs w:val="20"/>
          <w14:ligatures w14:val="standardContextual"/>
        </w:rPr>
        <w:t>Principios de las circunstancias excepcionales (EC)</w:t>
      </w:r>
    </w:p>
    <w:p w14:paraId="06CE0A34" w14:textId="77777777" w:rsidR="001D38A7" w:rsidRPr="000A5982" w:rsidRDefault="001D38A7" w:rsidP="001D38A7">
      <w:pPr>
        <w:widowControl w:val="0"/>
        <w:suppressAutoHyphens/>
        <w:jc w:val="both"/>
        <w:rPr>
          <w:rFonts w:ascii="Cambria" w:eastAsia="Cambria" w:hAnsi="Cambria" w:cs="Cambria"/>
          <w:sz w:val="20"/>
          <w:szCs w:val="20"/>
        </w:rPr>
      </w:pPr>
      <w:r w:rsidRPr="000A5982">
        <w:rPr>
          <w:rFonts w:ascii="Cambria" w:eastAsia="Aptos" w:hAnsi="Cambria"/>
          <w:sz w:val="20"/>
          <w:szCs w:val="20"/>
          <w14:ligatures w14:val="standardContextual"/>
        </w:rPr>
        <w:t>Los tres principios generales siguientes deberían considerarse una señal de la posibilidad de que existan EC:</w:t>
      </w:r>
    </w:p>
    <w:p w14:paraId="296A320D" w14:textId="77777777" w:rsidR="001D38A7" w:rsidRPr="000A5982" w:rsidRDefault="001D38A7" w:rsidP="001D38A7">
      <w:pPr>
        <w:widowControl w:val="0"/>
        <w:suppressAutoHyphens/>
        <w:jc w:val="both"/>
        <w:rPr>
          <w:rFonts w:ascii="Cambria" w:eastAsia="Cambria" w:hAnsi="Cambria" w:cs="Cambria"/>
          <w:sz w:val="20"/>
          <w:szCs w:val="20"/>
        </w:rPr>
      </w:pPr>
    </w:p>
    <w:p w14:paraId="6A0EE94C" w14:textId="77777777" w:rsidR="001D38A7" w:rsidRPr="000A5982" w:rsidRDefault="001D38A7" w:rsidP="001D38A7">
      <w:pPr>
        <w:widowControl w:val="0"/>
        <w:numPr>
          <w:ilvl w:val="1"/>
          <w:numId w:val="44"/>
        </w:numPr>
        <w:suppressAutoHyphens/>
        <w:spacing w:after="160"/>
        <w:jc w:val="both"/>
        <w:rPr>
          <w:rFonts w:ascii="Cambria" w:eastAsia="Cambria" w:hAnsi="Cambria" w:cs="Cambria"/>
          <w:sz w:val="20"/>
          <w:szCs w:val="20"/>
        </w:rPr>
      </w:pPr>
      <w:r w:rsidRPr="000A5982">
        <w:rPr>
          <w:rFonts w:ascii="Cambria" w:eastAsia="Aptos" w:hAnsi="Cambria"/>
          <w:sz w:val="20"/>
          <w:szCs w:val="20"/>
          <w14:ligatures w14:val="standardContextual"/>
        </w:rPr>
        <w:t xml:space="preserve">Cuando existan pruebas de que el stock y/o la dinámica de la pesquería se encuentran en estados (tal y como se definen en la </w:t>
      </w:r>
      <w:r w:rsidRPr="000A5982">
        <w:rPr>
          <w:rFonts w:ascii="Cambria" w:eastAsia="Aptos" w:hAnsi="Cambria"/>
          <w:b/>
          <w:bCs/>
          <w:sz w:val="20"/>
          <w:szCs w:val="20"/>
          <w14:ligatures w14:val="standardContextual"/>
        </w:rPr>
        <w:t>tabla 19.43.1 a)</w:t>
      </w:r>
      <w:r w:rsidRPr="000A5982">
        <w:rPr>
          <w:rFonts w:ascii="Cambria" w:eastAsia="Aptos" w:hAnsi="Cambria"/>
          <w:sz w:val="20"/>
          <w:szCs w:val="20"/>
          <w14:ligatures w14:val="standardContextual"/>
        </w:rPr>
        <w:t>) fuera del rango de los OM de la MSE y/o que ya no se consideran plausibles en el contexto de la MSE; o cuando existan pruebas de que los estados del stock o la dinámica de la pesquería incluidos en los OM para las pruebas MSE ya no se consideran plausibles.</w:t>
      </w:r>
    </w:p>
    <w:p w14:paraId="5918FAE0" w14:textId="77777777" w:rsidR="001D38A7" w:rsidRPr="000A5982" w:rsidRDefault="001D38A7" w:rsidP="001D38A7">
      <w:pPr>
        <w:widowControl w:val="0"/>
        <w:numPr>
          <w:ilvl w:val="1"/>
          <w:numId w:val="44"/>
        </w:numPr>
        <w:suppressAutoHyphens/>
        <w:spacing w:after="160"/>
        <w:jc w:val="both"/>
        <w:rPr>
          <w:rFonts w:ascii="Cambria" w:eastAsia="Cambria" w:hAnsi="Cambria" w:cs="Cambria"/>
          <w:sz w:val="20"/>
          <w:szCs w:val="20"/>
        </w:rPr>
      </w:pPr>
      <w:r w:rsidRPr="000A5982">
        <w:rPr>
          <w:rFonts w:ascii="Cambria" w:eastAsia="Aptos" w:hAnsi="Cambria"/>
          <w:sz w:val="20"/>
          <w:szCs w:val="20"/>
          <w14:ligatures w14:val="standardContextual"/>
        </w:rPr>
        <w:t>Cuando existan pruebas de que los datos requeridos para aplicar el MP no están disponibles o no son suficientes o ya no son apropiados (tal y como se definen en la</w:t>
      </w:r>
      <w:r w:rsidRPr="00CD64C8">
        <w:rPr>
          <w:rFonts w:ascii="Cambria" w:eastAsia="Aptos" w:hAnsi="Cambria"/>
          <w:b/>
          <w:bCs/>
          <w:sz w:val="20"/>
          <w:szCs w:val="20"/>
          <w14:ligatures w14:val="standardContextual"/>
        </w:rPr>
        <w:t xml:space="preserve"> tabla 19.4</w:t>
      </w:r>
      <w:r>
        <w:rPr>
          <w:rFonts w:ascii="Cambria" w:eastAsia="Aptos" w:hAnsi="Cambria"/>
          <w:b/>
          <w:bCs/>
          <w:sz w:val="20"/>
          <w:szCs w:val="20"/>
          <w14:ligatures w14:val="standardContextual"/>
        </w:rPr>
        <w:t>3</w:t>
      </w:r>
      <w:r w:rsidRPr="00CD64C8">
        <w:rPr>
          <w:rFonts w:ascii="Cambria" w:eastAsia="Aptos" w:hAnsi="Cambria"/>
          <w:b/>
          <w:bCs/>
          <w:sz w:val="20"/>
          <w:szCs w:val="20"/>
          <w14:ligatures w14:val="standardContextual"/>
        </w:rPr>
        <w:t>.1 b)</w:t>
      </w:r>
      <w:r w:rsidRPr="000A5982">
        <w:rPr>
          <w:rFonts w:ascii="Cambria" w:eastAsia="Aptos" w:hAnsi="Cambria"/>
          <w:sz w:val="20"/>
          <w:szCs w:val="20"/>
          <w14:ligatures w14:val="standardContextual"/>
        </w:rPr>
        <w:t>) y/o</w:t>
      </w:r>
    </w:p>
    <w:p w14:paraId="2E5D3D4A" w14:textId="77777777" w:rsidR="001D38A7" w:rsidRPr="000A5982" w:rsidRDefault="001D38A7" w:rsidP="001D38A7">
      <w:pPr>
        <w:widowControl w:val="0"/>
        <w:numPr>
          <w:ilvl w:val="1"/>
          <w:numId w:val="44"/>
        </w:numPr>
        <w:suppressAutoHyphens/>
        <w:spacing w:after="160"/>
        <w:jc w:val="both"/>
        <w:rPr>
          <w:rFonts w:ascii="Cambria" w:eastAsia="Cambria" w:hAnsi="Cambria" w:cs="Cambria"/>
          <w:sz w:val="20"/>
          <w:szCs w:val="20"/>
        </w:rPr>
      </w:pPr>
      <w:r w:rsidRPr="000A5982">
        <w:rPr>
          <w:rFonts w:ascii="Cambria" w:eastAsia="Aptos" w:hAnsi="Cambria"/>
          <w:sz w:val="20"/>
          <w:szCs w:val="20"/>
          <w14:ligatures w14:val="standardContextual"/>
        </w:rPr>
        <w:t xml:space="preserve">Cuando existan pruebas de que la captura total supera de forma significativa (tal y como se define en la </w:t>
      </w:r>
      <w:r w:rsidRPr="000A5982">
        <w:rPr>
          <w:rFonts w:ascii="Cambria" w:eastAsia="Aptos" w:hAnsi="Cambria"/>
          <w:b/>
          <w:bCs/>
          <w:sz w:val="20"/>
          <w:szCs w:val="20"/>
          <w14:ligatures w14:val="standardContextual"/>
        </w:rPr>
        <w:t>tabla 19.43.1 c)</w:t>
      </w:r>
      <w:r w:rsidRPr="000A5982">
        <w:rPr>
          <w:rFonts w:ascii="Cambria" w:eastAsia="Aptos" w:hAnsi="Cambria"/>
          <w:sz w:val="20"/>
          <w:szCs w:val="20"/>
          <w14:ligatures w14:val="standardContextual"/>
        </w:rPr>
        <w:t>) el TAC fijado mediante el MP.</w:t>
      </w:r>
    </w:p>
    <w:p w14:paraId="4A051886" w14:textId="77777777" w:rsidR="001D38A7" w:rsidRPr="000A5982" w:rsidRDefault="001D38A7" w:rsidP="001D38A7">
      <w:pPr>
        <w:widowControl w:val="0"/>
        <w:suppressAutoHyphens/>
        <w:jc w:val="both"/>
        <w:rPr>
          <w:rFonts w:ascii="Cambria" w:eastAsia="Aptos" w:hAnsi="Cambria"/>
          <w:sz w:val="20"/>
          <w:szCs w:val="20"/>
          <w14:ligatures w14:val="standardContextual"/>
        </w:rPr>
      </w:pPr>
      <w:r w:rsidRPr="000A5982">
        <w:rPr>
          <w:rFonts w:ascii="Cambria" w:eastAsia="Aptos" w:hAnsi="Cambria"/>
          <w:sz w:val="20"/>
          <w:szCs w:val="20"/>
          <w14:ligatures w14:val="standardContextual"/>
        </w:rPr>
        <w:t xml:space="preserve">No es posible definir en este protocolo todos los escenarios en los que pueden producirse las EC. A </w:t>
      </w:r>
      <w:proofErr w:type="gramStart"/>
      <w:r w:rsidRPr="000A5982">
        <w:rPr>
          <w:rFonts w:ascii="Cambria" w:eastAsia="Aptos" w:hAnsi="Cambria"/>
          <w:sz w:val="20"/>
          <w:szCs w:val="20"/>
          <w14:ligatures w14:val="standardContextual"/>
        </w:rPr>
        <w:t>continuación</w:t>
      </w:r>
      <w:proofErr w:type="gramEnd"/>
      <w:r w:rsidRPr="000A5982">
        <w:rPr>
          <w:rFonts w:ascii="Cambria" w:eastAsia="Aptos" w:hAnsi="Cambria"/>
          <w:sz w:val="20"/>
          <w:szCs w:val="20"/>
          <w14:ligatures w14:val="standardContextual"/>
        </w:rPr>
        <w:t xml:space="preserve"> se describe un protocolo con orientaciones generales para determinar si existen EC y si la(s) implicación(es) derivada(s) de ellas es(son) lo suficientemente grave(s) como para justificar la revisión del asesoramiento procedente del MP. El protocolo no debería considerarse un conjunto definitivo de criterios/respuestas. Tampoco debería considerarse un mecanismo para realizar pequeños ajustes. La conclusión de que existen EC requiere pruebas científicas convincentes, y las acciones relacionadas con las EC sólo deberían emprenderse cuando se considere que mantener el MP actual es </w:t>
      </w:r>
      <w:proofErr w:type="gramStart"/>
      <w:r w:rsidRPr="000A5982">
        <w:rPr>
          <w:rFonts w:ascii="Cambria" w:eastAsia="Aptos" w:hAnsi="Cambria"/>
          <w:sz w:val="20"/>
          <w:szCs w:val="20"/>
          <w14:ligatures w14:val="standardContextual"/>
        </w:rPr>
        <w:t>muy arriesgado o muy inadecuado</w:t>
      </w:r>
      <w:proofErr w:type="gramEnd"/>
      <w:r w:rsidRPr="000A5982">
        <w:rPr>
          <w:rFonts w:ascii="Cambria" w:eastAsia="Aptos" w:hAnsi="Cambria"/>
          <w:sz w:val="20"/>
          <w:szCs w:val="20"/>
          <w14:ligatures w14:val="standardContextual"/>
        </w:rPr>
        <w:t>.</w:t>
      </w:r>
    </w:p>
    <w:p w14:paraId="408AA1F3" w14:textId="77777777" w:rsidR="001D38A7" w:rsidRPr="000A5982" w:rsidRDefault="001D38A7" w:rsidP="001D38A7">
      <w:pPr>
        <w:widowControl w:val="0"/>
        <w:suppressAutoHyphens/>
        <w:jc w:val="both"/>
        <w:rPr>
          <w:rFonts w:ascii="Cambria" w:eastAsia="Cambria" w:hAnsi="Cambria" w:cs="Cambria"/>
          <w:sz w:val="20"/>
          <w:szCs w:val="20"/>
        </w:rPr>
      </w:pPr>
    </w:p>
    <w:p w14:paraId="2173B5E1" w14:textId="77777777" w:rsidR="001D38A7" w:rsidRPr="000A5982" w:rsidRDefault="001D38A7" w:rsidP="001D38A7">
      <w:pPr>
        <w:widowControl w:val="0"/>
        <w:suppressAutoHyphens/>
        <w:jc w:val="both"/>
        <w:rPr>
          <w:rFonts w:ascii="Cambria" w:eastAsia="Cambria" w:hAnsi="Cambria" w:cs="Cambria"/>
          <w:sz w:val="20"/>
          <w:szCs w:val="20"/>
        </w:rPr>
      </w:pPr>
    </w:p>
    <w:p w14:paraId="6F1540F7" w14:textId="77777777" w:rsidR="001D38A7" w:rsidRPr="000A5982" w:rsidRDefault="001D38A7" w:rsidP="001D38A7">
      <w:pPr>
        <w:widowControl w:val="0"/>
        <w:numPr>
          <w:ilvl w:val="0"/>
          <w:numId w:val="44"/>
        </w:numPr>
        <w:suppressAutoHyphens/>
        <w:spacing w:after="160"/>
        <w:jc w:val="both"/>
        <w:rPr>
          <w:rFonts w:ascii="Cambria" w:eastAsia="Cambria" w:hAnsi="Cambria" w:cs="Cambria"/>
          <w:b/>
          <w:bCs/>
          <w:sz w:val="20"/>
          <w:szCs w:val="20"/>
        </w:rPr>
      </w:pPr>
      <w:r w:rsidRPr="000A5982">
        <w:rPr>
          <w:rFonts w:ascii="Cambria" w:eastAsia="Aptos" w:hAnsi="Cambria"/>
          <w:b/>
          <w:sz w:val="20"/>
          <w:szCs w:val="20"/>
          <w14:ligatures w14:val="standardContextual"/>
        </w:rPr>
        <w:t>Indicadores para las EC y proceso para determinar si se producen EC</w:t>
      </w:r>
    </w:p>
    <w:p w14:paraId="1D6A47D5" w14:textId="77777777" w:rsidR="001D38A7" w:rsidRPr="000A5982" w:rsidRDefault="001D38A7" w:rsidP="001D38A7">
      <w:pPr>
        <w:widowControl w:val="0"/>
        <w:suppressAutoHyphens/>
        <w:jc w:val="both"/>
        <w:rPr>
          <w:rFonts w:ascii="Cambria" w:eastAsia="Cambria" w:hAnsi="Cambria" w:cs="Cambria"/>
          <w:sz w:val="20"/>
          <w:szCs w:val="20"/>
        </w:rPr>
      </w:pPr>
      <w:r w:rsidRPr="000A5982">
        <w:rPr>
          <w:rFonts w:ascii="Cambria" w:eastAsia="Aptos" w:hAnsi="Cambria"/>
          <w:sz w:val="20"/>
          <w:szCs w:val="20"/>
          <w14:ligatures w14:val="standardContextual"/>
        </w:rPr>
        <w:t xml:space="preserve">A la luz de los principios especificados en la Sección 1, el SCRS debería utilizar la orientación general proporcionada en la </w:t>
      </w:r>
      <w:r w:rsidRPr="000A5982">
        <w:rPr>
          <w:rFonts w:ascii="Cambria" w:eastAsia="Aptos" w:hAnsi="Cambria"/>
          <w:b/>
          <w:sz w:val="20"/>
          <w:szCs w:val="20"/>
          <w14:ligatures w14:val="standardContextual"/>
        </w:rPr>
        <w:t>ta</w:t>
      </w:r>
      <w:r w:rsidRPr="000A5982">
        <w:rPr>
          <w:rFonts w:ascii="Cambria" w:eastAsia="Aptos" w:hAnsi="Cambria"/>
          <w:b/>
          <w:bCs/>
          <w:sz w:val="20"/>
          <w:szCs w:val="20"/>
          <w14:ligatures w14:val="standardContextual"/>
        </w:rPr>
        <w:t>bla 19.43.1</w:t>
      </w:r>
      <w:r w:rsidRPr="000A5982">
        <w:rPr>
          <w:rFonts w:ascii="Cambria" w:eastAsia="Aptos" w:hAnsi="Cambria"/>
          <w:sz w:val="20"/>
          <w:szCs w:val="20"/>
          <w14:ligatures w14:val="standardContextual"/>
        </w:rPr>
        <w:t xml:space="preserve"> y cualquier otra información pertinente para determinar anualmente si se producen EC. Si el SCRS determina que existen pruebas de EC, el SCRS considerará la naturaleza y gravedad de las EC (por ejemplo, el grado en que los valores de CPUE se sitúan fuera de su rango esperado y si son superiores o inferiores a lo esperado) y, cuando sea posible, examinará sus posibles repercusiones en el desempeño del MP.</w:t>
      </w:r>
    </w:p>
    <w:p w14:paraId="115272D9" w14:textId="77777777" w:rsidR="001D38A7" w:rsidRPr="000A5982" w:rsidRDefault="001D38A7" w:rsidP="001D38A7">
      <w:pPr>
        <w:widowControl w:val="0"/>
        <w:suppressAutoHyphens/>
        <w:jc w:val="both"/>
        <w:rPr>
          <w:rFonts w:ascii="Cambria" w:eastAsia="Cambria" w:hAnsi="Cambria" w:cs="Cambria"/>
          <w:sz w:val="20"/>
          <w:szCs w:val="20"/>
        </w:rPr>
      </w:pPr>
    </w:p>
    <w:p w14:paraId="230CB8B7" w14:textId="77777777" w:rsidR="001D38A7" w:rsidRPr="0099704B" w:rsidRDefault="001D38A7" w:rsidP="001D38A7">
      <w:pPr>
        <w:widowControl w:val="0"/>
        <w:suppressAutoHyphens/>
        <w:jc w:val="both"/>
        <w:rPr>
          <w:rFonts w:ascii="Cambria" w:eastAsia="Cambria" w:hAnsi="Cambria" w:cs="Cambria"/>
          <w:sz w:val="20"/>
          <w:szCs w:val="20"/>
        </w:rPr>
      </w:pPr>
      <w:r w:rsidRPr="000A5982">
        <w:rPr>
          <w:rFonts w:ascii="Cambria" w:eastAsia="Aptos" w:hAnsi="Cambria"/>
          <w:sz w:val="20"/>
          <w:szCs w:val="20"/>
          <w14:ligatures w14:val="standardContextual"/>
        </w:rPr>
        <w:t xml:space="preserve">Posteriormente, el SCRS informará a la Comisión de cualquier suceso de este tipo y de la respuesta adecuada. La activación de las EC no implica la anulación inmediata del asesoramiento sobre el TAC procedente del MP, sino que significa que el SCRS debería considerar las pruebas de los indicadores de la </w:t>
      </w:r>
      <w:r w:rsidRPr="000A5982">
        <w:rPr>
          <w:rFonts w:ascii="Cambria" w:eastAsia="Aptos" w:hAnsi="Cambria"/>
          <w:b/>
          <w:bCs/>
          <w:sz w:val="20"/>
          <w:szCs w:val="20"/>
          <w14:ligatures w14:val="standardContextual"/>
        </w:rPr>
        <w:t>tabla 19.43.1</w:t>
      </w:r>
      <w:r w:rsidRPr="000A5982">
        <w:rPr>
          <w:rFonts w:ascii="Cambria" w:eastAsia="Aptos" w:hAnsi="Cambria"/>
          <w:sz w:val="20"/>
          <w:szCs w:val="20"/>
          <w14:ligatures w14:val="standardContextual"/>
        </w:rPr>
        <w:t>, así como cualquier otra información pertinente, y determinar si se justifica un cambio en el asesoramiento y si es necesario realizar nuevos trabajos de investigación o ajustes en el calendario de la MSE.</w:t>
      </w:r>
    </w:p>
    <w:p w14:paraId="3A16FBB4" w14:textId="77777777" w:rsidR="001D38A7" w:rsidRPr="0099704B" w:rsidRDefault="001D38A7" w:rsidP="001D38A7">
      <w:pPr>
        <w:widowControl w:val="0"/>
        <w:suppressAutoHyphens/>
        <w:jc w:val="both"/>
        <w:rPr>
          <w:rFonts w:ascii="Cambria" w:eastAsia="Aptos" w:hAnsi="Cambria"/>
          <w:sz w:val="20"/>
          <w:szCs w:val="20"/>
          <w14:ligatures w14:val="standardContextual"/>
        </w:rPr>
      </w:pPr>
    </w:p>
    <w:p w14:paraId="1EC2FD36" w14:textId="77777777" w:rsidR="001D38A7" w:rsidRPr="000A5982" w:rsidRDefault="001D38A7" w:rsidP="001D38A7">
      <w:pPr>
        <w:widowControl w:val="0"/>
        <w:suppressAutoHyphens/>
        <w:jc w:val="both"/>
        <w:rPr>
          <w:rFonts w:ascii="Cambria" w:eastAsia="Cambria" w:hAnsi="Cambria" w:cs="Cambria"/>
          <w:sz w:val="20"/>
          <w:szCs w:val="20"/>
        </w:rPr>
      </w:pPr>
      <w:r w:rsidRPr="000A5982">
        <w:rPr>
          <w:rFonts w:ascii="Cambria" w:eastAsia="Aptos" w:hAnsi="Cambria"/>
          <w:sz w:val="20"/>
          <w:szCs w:val="20"/>
          <w14:ligatures w14:val="standardContextual"/>
        </w:rPr>
        <w:t>Por lo que respecta a las EC identificadas, dichas pruebas tendrían que ser lo suficientemente importantes como para afectar de manera significativa al asesoramiento sobre el TAC procedente del MP.</w:t>
      </w:r>
    </w:p>
    <w:p w14:paraId="3978CBC5" w14:textId="77777777" w:rsidR="001D38A7" w:rsidRPr="000A5982" w:rsidRDefault="001D38A7" w:rsidP="001D38A7">
      <w:pPr>
        <w:widowControl w:val="0"/>
        <w:suppressAutoHyphens/>
        <w:jc w:val="both"/>
        <w:rPr>
          <w:rFonts w:ascii="Cambria" w:eastAsia="Aptos" w:hAnsi="Cambria"/>
          <w:b/>
          <w:sz w:val="20"/>
          <w:szCs w:val="20"/>
          <w14:ligatures w14:val="standardContextual"/>
        </w:rPr>
      </w:pPr>
    </w:p>
    <w:p w14:paraId="6A2E2585" w14:textId="77777777" w:rsidR="001D38A7" w:rsidRDefault="001D38A7" w:rsidP="001D38A7">
      <w:pPr>
        <w:spacing w:after="160" w:line="259" w:lineRule="auto"/>
        <w:rPr>
          <w:rFonts w:ascii="Cambria" w:eastAsia="Aptos" w:hAnsi="Cambria"/>
          <w:b/>
          <w:sz w:val="20"/>
          <w:szCs w:val="20"/>
          <w14:ligatures w14:val="standardContextual"/>
        </w:rPr>
      </w:pPr>
      <w:r>
        <w:rPr>
          <w:rFonts w:ascii="Cambria" w:eastAsia="Aptos" w:hAnsi="Cambria"/>
          <w:b/>
          <w:sz w:val="20"/>
          <w:szCs w:val="20"/>
          <w14:ligatures w14:val="standardContextual"/>
        </w:rPr>
        <w:br w:type="page"/>
      </w:r>
    </w:p>
    <w:p w14:paraId="0762612C" w14:textId="77777777" w:rsidR="001D38A7" w:rsidRPr="000A5982" w:rsidRDefault="001D38A7" w:rsidP="001D38A7">
      <w:pPr>
        <w:widowControl w:val="0"/>
        <w:suppressAutoHyphens/>
        <w:jc w:val="both"/>
        <w:rPr>
          <w:rFonts w:ascii="Cambria" w:eastAsia="Cambria" w:hAnsi="Cambria" w:cs="Cambria"/>
          <w:sz w:val="20"/>
          <w:szCs w:val="20"/>
        </w:rPr>
      </w:pPr>
      <w:r w:rsidRPr="000A5982">
        <w:rPr>
          <w:rFonts w:ascii="Cambria" w:eastAsia="Aptos" w:hAnsi="Cambria"/>
          <w:b/>
          <w:sz w:val="20"/>
          <w:szCs w:val="20"/>
          <w14:ligatures w14:val="standardContextual"/>
        </w:rPr>
        <w:lastRenderedPageBreak/>
        <w:t xml:space="preserve">Tabla </w:t>
      </w:r>
      <w:r w:rsidRPr="000A5982">
        <w:rPr>
          <w:rFonts w:ascii="Cambria" w:eastAsia="Aptos" w:hAnsi="Cambria"/>
          <w:b/>
          <w:bCs/>
          <w:sz w:val="20"/>
          <w:szCs w:val="20"/>
          <w14:ligatures w14:val="standardContextual"/>
        </w:rPr>
        <w:t>19.43.1.</w:t>
      </w:r>
      <w:r w:rsidRPr="000A5982">
        <w:rPr>
          <w:rFonts w:ascii="Cambria" w:eastAsia="Aptos" w:hAnsi="Cambria"/>
          <w:sz w:val="20"/>
          <w:szCs w:val="20"/>
          <w14:ligatures w14:val="standardContextual"/>
        </w:rPr>
        <w:t xml:space="preserve"> Orientaciones generales sobre los indicadores para las EC de listado del Atlántico oeste y calendario para llevar a cabo la evaluación.</w:t>
      </w:r>
    </w:p>
    <w:p w14:paraId="64368024" w14:textId="77777777" w:rsidR="001D38A7" w:rsidRPr="000A5982" w:rsidRDefault="001D38A7" w:rsidP="001D38A7">
      <w:pPr>
        <w:widowControl w:val="0"/>
        <w:suppressAutoHyphens/>
        <w:jc w:val="both"/>
        <w:rPr>
          <w:rFonts w:ascii="Cambria" w:eastAsia="Cambria" w:hAnsi="Cambria" w:cs="Cambria"/>
          <w:sz w:val="20"/>
          <w:szCs w:val="20"/>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8"/>
        <w:gridCol w:w="1275"/>
        <w:gridCol w:w="3670"/>
        <w:gridCol w:w="2281"/>
      </w:tblGrid>
      <w:tr w:rsidR="001D38A7" w:rsidRPr="0099704B" w14:paraId="01EBEFA3" w14:textId="77777777" w:rsidTr="007C17C6">
        <w:trPr>
          <w:trHeight w:val="285"/>
        </w:trPr>
        <w:tc>
          <w:tcPr>
            <w:tcW w:w="1838" w:type="dxa"/>
            <w:tcBorders>
              <w:top w:val="single" w:sz="4" w:space="0" w:color="000000"/>
              <w:left w:val="single" w:sz="4" w:space="0" w:color="000000"/>
              <w:bottom w:val="single" w:sz="4" w:space="0" w:color="000000"/>
              <w:right w:val="single" w:sz="4" w:space="0" w:color="000000"/>
            </w:tcBorders>
          </w:tcPr>
          <w:p w14:paraId="19DED6E6" w14:textId="77777777" w:rsidR="001D38A7" w:rsidRPr="000A5982" w:rsidRDefault="001D38A7" w:rsidP="007C17C6">
            <w:pPr>
              <w:widowControl w:val="0"/>
              <w:suppressAutoHyphens/>
              <w:ind w:right="143"/>
              <w:jc w:val="both"/>
              <w:rPr>
                <w:rFonts w:ascii="Cambria" w:eastAsia="Cambria" w:hAnsi="Cambria" w:cs="Cambria"/>
                <w:b/>
                <w:i/>
                <w:sz w:val="20"/>
                <w:szCs w:val="20"/>
              </w:rPr>
            </w:pPr>
            <w:r w:rsidRPr="000A5982">
              <w:rPr>
                <w:rFonts w:ascii="Cambria" w:eastAsia="Aptos" w:hAnsi="Cambria"/>
                <w:b/>
                <w:i/>
                <w:sz w:val="20"/>
                <w:szCs w:val="20"/>
                <w14:ligatures w14:val="standardContextual"/>
              </w:rPr>
              <w:t>Principio</w:t>
            </w:r>
          </w:p>
        </w:tc>
        <w:tc>
          <w:tcPr>
            <w:tcW w:w="1275" w:type="dxa"/>
            <w:tcBorders>
              <w:top w:val="single" w:sz="4" w:space="0" w:color="000000"/>
              <w:left w:val="single" w:sz="4" w:space="0" w:color="000000"/>
              <w:bottom w:val="single" w:sz="4" w:space="0" w:color="000000"/>
              <w:right w:val="single" w:sz="4" w:space="0" w:color="000000"/>
            </w:tcBorders>
          </w:tcPr>
          <w:p w14:paraId="14E6E5A9" w14:textId="77777777" w:rsidR="001D38A7" w:rsidRPr="000A5982" w:rsidRDefault="001D38A7" w:rsidP="007C17C6">
            <w:pPr>
              <w:widowControl w:val="0"/>
              <w:suppressAutoHyphens/>
              <w:ind w:right="158"/>
              <w:jc w:val="both"/>
              <w:rPr>
                <w:rFonts w:ascii="Cambria" w:eastAsia="Cambria" w:hAnsi="Cambria" w:cs="Cambria"/>
                <w:b/>
                <w:i/>
                <w:sz w:val="20"/>
                <w:szCs w:val="20"/>
              </w:rPr>
            </w:pPr>
            <w:r w:rsidRPr="000A5982">
              <w:rPr>
                <w:rFonts w:ascii="Cambria" w:eastAsia="Aptos" w:hAnsi="Cambria"/>
                <w:b/>
                <w:i/>
                <w:sz w:val="20"/>
                <w:szCs w:val="20"/>
                <w14:ligatures w14:val="standardContextual"/>
              </w:rPr>
              <w:t>Indicador</w:t>
            </w:r>
          </w:p>
        </w:tc>
        <w:tc>
          <w:tcPr>
            <w:tcW w:w="3670" w:type="dxa"/>
            <w:tcBorders>
              <w:top w:val="single" w:sz="4" w:space="0" w:color="000000"/>
              <w:left w:val="single" w:sz="4" w:space="0" w:color="000000"/>
              <w:bottom w:val="single" w:sz="4" w:space="0" w:color="000000"/>
              <w:right w:val="single" w:sz="4" w:space="0" w:color="000000"/>
            </w:tcBorders>
          </w:tcPr>
          <w:p w14:paraId="79054F65" w14:textId="77777777" w:rsidR="001D38A7" w:rsidRPr="000A5982" w:rsidRDefault="001D38A7" w:rsidP="007C17C6">
            <w:pPr>
              <w:widowControl w:val="0"/>
              <w:suppressAutoHyphens/>
              <w:ind w:right="135"/>
              <w:jc w:val="both"/>
              <w:rPr>
                <w:rFonts w:ascii="Cambria" w:eastAsia="Cambria" w:hAnsi="Cambria" w:cs="Cambria"/>
                <w:b/>
                <w:i/>
                <w:sz w:val="20"/>
                <w:szCs w:val="20"/>
              </w:rPr>
            </w:pPr>
            <w:r w:rsidRPr="000A5982">
              <w:rPr>
                <w:rFonts w:ascii="Cambria" w:eastAsia="Aptos" w:hAnsi="Cambria"/>
                <w:b/>
                <w:i/>
                <w:sz w:val="20"/>
                <w:szCs w:val="20"/>
                <w14:ligatures w14:val="standardContextual"/>
              </w:rPr>
              <w:t>Criterio</w:t>
            </w:r>
          </w:p>
        </w:tc>
        <w:tc>
          <w:tcPr>
            <w:tcW w:w="2281" w:type="dxa"/>
            <w:tcBorders>
              <w:top w:val="single" w:sz="4" w:space="0" w:color="000000"/>
              <w:left w:val="single" w:sz="4" w:space="0" w:color="000000"/>
              <w:bottom w:val="single" w:sz="4" w:space="0" w:color="000000"/>
              <w:right w:val="single" w:sz="4" w:space="0" w:color="000000"/>
            </w:tcBorders>
          </w:tcPr>
          <w:p w14:paraId="5BC3CF13" w14:textId="77777777" w:rsidR="001D38A7" w:rsidRPr="000A5982" w:rsidRDefault="001D38A7" w:rsidP="007C17C6">
            <w:pPr>
              <w:widowControl w:val="0"/>
              <w:suppressAutoHyphens/>
              <w:ind w:right="165"/>
              <w:jc w:val="both"/>
              <w:rPr>
                <w:rFonts w:ascii="Cambria" w:eastAsia="Cambria" w:hAnsi="Cambria" w:cs="Cambria"/>
                <w:b/>
                <w:i/>
                <w:sz w:val="20"/>
                <w:szCs w:val="20"/>
              </w:rPr>
            </w:pPr>
            <w:r w:rsidRPr="000A5982">
              <w:rPr>
                <w:rFonts w:ascii="Cambria" w:eastAsia="Aptos" w:hAnsi="Cambria"/>
                <w:b/>
                <w:i/>
                <w:sz w:val="20"/>
                <w:szCs w:val="20"/>
                <w14:ligatures w14:val="standardContextual"/>
              </w:rPr>
              <w:t>Frecuencia</w:t>
            </w:r>
          </w:p>
        </w:tc>
      </w:tr>
      <w:tr w:rsidR="001D38A7" w:rsidRPr="0099704B" w14:paraId="3069B486" w14:textId="77777777" w:rsidTr="007C17C6">
        <w:trPr>
          <w:trHeight w:val="1214"/>
        </w:trPr>
        <w:tc>
          <w:tcPr>
            <w:tcW w:w="1838" w:type="dxa"/>
            <w:vMerge w:val="restart"/>
            <w:tcBorders>
              <w:top w:val="single" w:sz="4" w:space="0" w:color="000000"/>
              <w:left w:val="single" w:sz="4" w:space="0" w:color="000000"/>
              <w:bottom w:val="single" w:sz="4" w:space="0" w:color="000000"/>
              <w:right w:val="single" w:sz="4" w:space="0" w:color="000000"/>
            </w:tcBorders>
          </w:tcPr>
          <w:p w14:paraId="5354EAA0" w14:textId="77777777" w:rsidR="001D38A7" w:rsidRPr="000A5982" w:rsidRDefault="001D38A7" w:rsidP="007C17C6">
            <w:pPr>
              <w:widowControl w:val="0"/>
              <w:suppressAutoHyphens/>
              <w:ind w:left="130" w:right="143"/>
              <w:jc w:val="both"/>
              <w:rPr>
                <w:rFonts w:ascii="Cambria" w:eastAsia="Cambria" w:hAnsi="Cambria" w:cs="Cambria"/>
                <w:sz w:val="20"/>
                <w:szCs w:val="20"/>
              </w:rPr>
            </w:pPr>
          </w:p>
          <w:p w14:paraId="7BB9CE9F" w14:textId="77777777" w:rsidR="001D38A7" w:rsidRPr="000A5982" w:rsidRDefault="001D38A7" w:rsidP="007C17C6">
            <w:pPr>
              <w:widowControl w:val="0"/>
              <w:suppressAutoHyphens/>
              <w:ind w:left="130" w:right="143"/>
              <w:jc w:val="both"/>
              <w:rPr>
                <w:rFonts w:ascii="Cambria" w:eastAsia="Cambria" w:hAnsi="Cambria" w:cs="Cambria"/>
                <w:sz w:val="20"/>
                <w:szCs w:val="20"/>
              </w:rPr>
            </w:pPr>
          </w:p>
          <w:p w14:paraId="22389A15" w14:textId="77777777" w:rsidR="001D38A7" w:rsidRPr="000A5982" w:rsidRDefault="001D38A7" w:rsidP="007C17C6">
            <w:pPr>
              <w:widowControl w:val="0"/>
              <w:suppressAutoHyphens/>
              <w:ind w:left="130" w:right="143"/>
              <w:jc w:val="both"/>
              <w:rPr>
                <w:rFonts w:ascii="Cambria" w:eastAsia="Cambria" w:hAnsi="Cambria" w:cs="Cambria"/>
                <w:sz w:val="20"/>
                <w:szCs w:val="20"/>
              </w:rPr>
            </w:pPr>
          </w:p>
          <w:p w14:paraId="707BD5E4" w14:textId="77777777" w:rsidR="001D38A7" w:rsidRPr="000A5982" w:rsidRDefault="001D38A7" w:rsidP="007C17C6">
            <w:pPr>
              <w:widowControl w:val="0"/>
              <w:suppressAutoHyphens/>
              <w:ind w:left="130" w:right="143"/>
              <w:jc w:val="both"/>
              <w:rPr>
                <w:rFonts w:ascii="Cambria" w:eastAsia="Cambria" w:hAnsi="Cambria" w:cs="Cambria"/>
                <w:sz w:val="20"/>
                <w:szCs w:val="20"/>
              </w:rPr>
            </w:pPr>
          </w:p>
          <w:p w14:paraId="59C989DB" w14:textId="77777777" w:rsidR="001D38A7" w:rsidRPr="000A5982" w:rsidRDefault="001D38A7" w:rsidP="007C17C6">
            <w:pPr>
              <w:widowControl w:val="0"/>
              <w:suppressAutoHyphens/>
              <w:ind w:left="130" w:right="143"/>
              <w:jc w:val="both"/>
              <w:rPr>
                <w:rFonts w:ascii="Cambria" w:eastAsia="Cambria" w:hAnsi="Cambria" w:cs="Cambria"/>
                <w:sz w:val="20"/>
                <w:szCs w:val="20"/>
              </w:rPr>
            </w:pPr>
          </w:p>
          <w:p w14:paraId="23BA847B" w14:textId="77777777" w:rsidR="001D38A7" w:rsidRPr="000A5982" w:rsidRDefault="001D38A7" w:rsidP="007C17C6">
            <w:pPr>
              <w:widowControl w:val="0"/>
              <w:suppressAutoHyphens/>
              <w:ind w:left="130" w:right="143"/>
              <w:jc w:val="both"/>
              <w:rPr>
                <w:rFonts w:ascii="Cambria" w:eastAsia="Cambria" w:hAnsi="Cambria" w:cs="Cambria"/>
                <w:sz w:val="20"/>
                <w:szCs w:val="20"/>
              </w:rPr>
            </w:pPr>
            <w:r w:rsidRPr="000A5982">
              <w:rPr>
                <w:rFonts w:ascii="Cambria" w:eastAsia="Aptos" w:hAnsi="Cambria"/>
                <w:sz w:val="20"/>
                <w:szCs w:val="20"/>
                <w14:ligatures w14:val="standardContextual"/>
              </w:rPr>
              <w:t>a) Stock y dinámica de la pesquería</w:t>
            </w:r>
          </w:p>
          <w:p w14:paraId="45792811" w14:textId="77777777" w:rsidR="001D38A7" w:rsidRPr="000A5982" w:rsidRDefault="001D38A7" w:rsidP="007C17C6">
            <w:pPr>
              <w:widowControl w:val="0"/>
              <w:suppressAutoHyphens/>
              <w:ind w:left="130" w:right="143"/>
              <w:jc w:val="both"/>
              <w:rPr>
                <w:rFonts w:ascii="Cambria" w:eastAsia="Cambria" w:hAnsi="Cambria" w:cs="Cambria"/>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5402F5A8" w14:textId="77777777" w:rsidR="001D38A7" w:rsidRPr="000A5982" w:rsidRDefault="001D38A7" w:rsidP="007C17C6">
            <w:pPr>
              <w:widowControl w:val="0"/>
              <w:suppressAutoHyphens/>
              <w:ind w:right="158"/>
              <w:jc w:val="both"/>
              <w:rPr>
                <w:rFonts w:ascii="Cambria" w:eastAsia="Cambria" w:hAnsi="Cambria" w:cs="Cambria"/>
                <w:sz w:val="20"/>
                <w:szCs w:val="20"/>
              </w:rPr>
            </w:pPr>
          </w:p>
          <w:p w14:paraId="109713F0" w14:textId="77777777" w:rsidR="001D38A7" w:rsidRPr="000A5982" w:rsidRDefault="001D38A7" w:rsidP="007C17C6">
            <w:pPr>
              <w:widowControl w:val="0"/>
              <w:suppressAutoHyphens/>
              <w:ind w:right="158"/>
              <w:jc w:val="both"/>
              <w:rPr>
                <w:rFonts w:ascii="Cambria" w:eastAsia="Cambria" w:hAnsi="Cambria" w:cs="Cambria"/>
                <w:sz w:val="20"/>
                <w:szCs w:val="20"/>
              </w:rPr>
            </w:pPr>
          </w:p>
          <w:p w14:paraId="0EE492DE" w14:textId="77777777" w:rsidR="001D38A7" w:rsidRPr="000A5982" w:rsidRDefault="001D38A7" w:rsidP="007C17C6">
            <w:pPr>
              <w:widowControl w:val="0"/>
              <w:suppressAutoHyphens/>
              <w:ind w:right="158"/>
              <w:jc w:val="both"/>
              <w:rPr>
                <w:rFonts w:ascii="Cambria" w:eastAsia="Cambria" w:hAnsi="Cambria" w:cs="Cambria"/>
                <w:sz w:val="20"/>
                <w:szCs w:val="20"/>
              </w:rPr>
            </w:pPr>
            <w:r w:rsidRPr="000A5982">
              <w:rPr>
                <w:rFonts w:ascii="Cambria" w:eastAsia="Aptos" w:hAnsi="Cambria"/>
                <w:sz w:val="20"/>
                <w:szCs w:val="20"/>
                <w14:ligatures w14:val="standardContextual"/>
              </w:rPr>
              <w:t>Índices</w:t>
            </w:r>
          </w:p>
        </w:tc>
        <w:tc>
          <w:tcPr>
            <w:tcW w:w="3670" w:type="dxa"/>
            <w:tcBorders>
              <w:top w:val="single" w:sz="4" w:space="0" w:color="000000"/>
              <w:left w:val="single" w:sz="4" w:space="0" w:color="000000"/>
              <w:bottom w:val="single" w:sz="4" w:space="0" w:color="000000"/>
              <w:right w:val="single" w:sz="4" w:space="0" w:color="000000"/>
            </w:tcBorders>
          </w:tcPr>
          <w:p w14:paraId="71E2F65C" w14:textId="77777777" w:rsidR="001D38A7" w:rsidRPr="000A5982" w:rsidRDefault="001D38A7" w:rsidP="007C17C6">
            <w:pPr>
              <w:widowControl w:val="0"/>
              <w:suppressAutoHyphens/>
              <w:ind w:right="135"/>
              <w:jc w:val="both"/>
              <w:rPr>
                <w:rFonts w:ascii="Cambria" w:eastAsia="Cambria" w:hAnsi="Cambria" w:cs="Cambria"/>
                <w:sz w:val="20"/>
                <w:szCs w:val="20"/>
              </w:rPr>
            </w:pPr>
            <w:r w:rsidRPr="000A5982">
              <w:rPr>
                <w:rFonts w:ascii="Cambria" w:eastAsia="Aptos" w:hAnsi="Cambria"/>
                <w:sz w:val="20"/>
                <w:szCs w:val="20"/>
                <w14:ligatures w14:val="standardContextual"/>
              </w:rPr>
              <w:t>Si, en cualquier año, los valores del índice combinado observados se sitúan fuera del intervalo comprendido entre el percentil 2,5 y el percentil 97,5 del índice combinado simulado utilizado en las proyecciones para probar el MP adoptado.</w:t>
            </w:r>
          </w:p>
          <w:p w14:paraId="2B120B9A" w14:textId="77777777" w:rsidR="001D38A7" w:rsidRPr="000A5982" w:rsidRDefault="001D38A7" w:rsidP="007C17C6">
            <w:pPr>
              <w:widowControl w:val="0"/>
              <w:suppressAutoHyphens/>
              <w:ind w:right="135"/>
              <w:jc w:val="both"/>
              <w:rPr>
                <w:rFonts w:ascii="Cambria" w:eastAsia="Cambria" w:hAnsi="Cambria" w:cs="Cambria"/>
                <w:sz w:val="20"/>
                <w:szCs w:val="20"/>
              </w:rPr>
            </w:pPr>
          </w:p>
        </w:tc>
        <w:tc>
          <w:tcPr>
            <w:tcW w:w="2281" w:type="dxa"/>
            <w:tcBorders>
              <w:top w:val="single" w:sz="4" w:space="0" w:color="000000"/>
              <w:left w:val="single" w:sz="4" w:space="0" w:color="000000"/>
              <w:bottom w:val="single" w:sz="4" w:space="0" w:color="000000"/>
              <w:right w:val="single" w:sz="4" w:space="0" w:color="000000"/>
            </w:tcBorders>
          </w:tcPr>
          <w:p w14:paraId="6E53E73D" w14:textId="77777777" w:rsidR="001D38A7" w:rsidRPr="000A5982" w:rsidRDefault="001D38A7" w:rsidP="007C17C6">
            <w:pPr>
              <w:widowControl w:val="0"/>
              <w:suppressAutoHyphens/>
              <w:ind w:right="165"/>
              <w:jc w:val="both"/>
              <w:rPr>
                <w:rFonts w:ascii="Cambria" w:eastAsia="Cambria" w:hAnsi="Cambria" w:cs="Cambria"/>
                <w:sz w:val="20"/>
                <w:szCs w:val="20"/>
              </w:rPr>
            </w:pPr>
          </w:p>
          <w:p w14:paraId="23DAF643" w14:textId="77777777" w:rsidR="001D38A7" w:rsidRPr="000A5982" w:rsidRDefault="001D38A7" w:rsidP="007C17C6">
            <w:pPr>
              <w:widowControl w:val="0"/>
              <w:suppressAutoHyphens/>
              <w:ind w:right="165"/>
              <w:jc w:val="both"/>
              <w:rPr>
                <w:rFonts w:ascii="Cambria" w:eastAsia="Cambria" w:hAnsi="Cambria" w:cs="Cambria"/>
                <w:sz w:val="20"/>
                <w:szCs w:val="20"/>
              </w:rPr>
            </w:pPr>
          </w:p>
          <w:p w14:paraId="22263FC9" w14:textId="77777777" w:rsidR="001D38A7" w:rsidRPr="000A5982" w:rsidRDefault="001D38A7" w:rsidP="007C17C6">
            <w:pPr>
              <w:widowControl w:val="0"/>
              <w:suppressAutoHyphens/>
              <w:ind w:right="165"/>
              <w:jc w:val="both"/>
              <w:rPr>
                <w:rFonts w:ascii="Cambria" w:eastAsia="Cambria" w:hAnsi="Cambria" w:cs="Cambria"/>
                <w:sz w:val="20"/>
                <w:szCs w:val="20"/>
              </w:rPr>
            </w:pPr>
            <w:r w:rsidRPr="000A5982">
              <w:rPr>
                <w:rFonts w:ascii="Cambria" w:eastAsia="Aptos" w:hAnsi="Cambria"/>
                <w:sz w:val="20"/>
                <w:szCs w:val="20"/>
                <w14:ligatures w14:val="standardContextual"/>
              </w:rPr>
              <w:t>Anual</w:t>
            </w:r>
          </w:p>
        </w:tc>
      </w:tr>
      <w:tr w:rsidR="001D38A7" w:rsidRPr="0099704B" w14:paraId="760AF981" w14:textId="77777777" w:rsidTr="007C17C6">
        <w:trPr>
          <w:trHeight w:val="1915"/>
        </w:trPr>
        <w:tc>
          <w:tcPr>
            <w:tcW w:w="1838" w:type="dxa"/>
            <w:vMerge/>
            <w:vAlign w:val="center"/>
          </w:tcPr>
          <w:p w14:paraId="623F3C7D" w14:textId="77777777" w:rsidR="001D38A7" w:rsidRPr="000A5982" w:rsidRDefault="001D38A7" w:rsidP="007C17C6">
            <w:pPr>
              <w:widowControl w:val="0"/>
              <w:suppressAutoHyphens/>
              <w:ind w:left="130" w:right="143"/>
              <w:jc w:val="both"/>
              <w:rPr>
                <w:rFonts w:ascii="Cambria" w:eastAsia="Cambria" w:hAnsi="Cambria" w:cs="Cambria"/>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2F007003" w14:textId="77777777" w:rsidR="001D38A7" w:rsidRPr="000A5982" w:rsidRDefault="001D38A7" w:rsidP="007C17C6">
            <w:pPr>
              <w:widowControl w:val="0"/>
              <w:suppressAutoHyphens/>
              <w:ind w:right="158"/>
              <w:jc w:val="both"/>
              <w:rPr>
                <w:rFonts w:ascii="Cambria" w:eastAsia="Cambria" w:hAnsi="Cambria" w:cs="Cambria"/>
                <w:sz w:val="20"/>
                <w:szCs w:val="20"/>
              </w:rPr>
            </w:pPr>
          </w:p>
          <w:p w14:paraId="3ED5EC72" w14:textId="77777777" w:rsidR="001D38A7" w:rsidRPr="000A5982" w:rsidRDefault="001D38A7" w:rsidP="007C17C6">
            <w:pPr>
              <w:widowControl w:val="0"/>
              <w:suppressAutoHyphens/>
              <w:ind w:right="158"/>
              <w:jc w:val="both"/>
              <w:rPr>
                <w:rFonts w:ascii="Cambria" w:eastAsia="Cambria" w:hAnsi="Cambria" w:cs="Cambria"/>
                <w:sz w:val="20"/>
                <w:szCs w:val="20"/>
              </w:rPr>
            </w:pPr>
          </w:p>
          <w:p w14:paraId="2FDCA496" w14:textId="77777777" w:rsidR="001D38A7" w:rsidRPr="000A5982" w:rsidRDefault="001D38A7" w:rsidP="007C17C6">
            <w:pPr>
              <w:widowControl w:val="0"/>
              <w:suppressAutoHyphens/>
              <w:ind w:right="158"/>
              <w:jc w:val="both"/>
              <w:rPr>
                <w:rFonts w:ascii="Cambria" w:eastAsia="Cambria" w:hAnsi="Cambria" w:cs="Cambria"/>
                <w:sz w:val="20"/>
                <w:szCs w:val="20"/>
              </w:rPr>
            </w:pPr>
            <w:r w:rsidRPr="000A5982">
              <w:rPr>
                <w:rFonts w:ascii="Cambria" w:eastAsia="Aptos" w:hAnsi="Cambria"/>
                <w:sz w:val="20"/>
                <w:szCs w:val="20"/>
                <w14:ligatures w14:val="standardContextual"/>
              </w:rPr>
              <w:t>Abundancia, ciclo vital y dinámica de la pesquería</w:t>
            </w:r>
          </w:p>
        </w:tc>
        <w:tc>
          <w:tcPr>
            <w:tcW w:w="3670" w:type="dxa"/>
            <w:tcBorders>
              <w:top w:val="single" w:sz="4" w:space="0" w:color="000000"/>
              <w:left w:val="single" w:sz="4" w:space="0" w:color="000000"/>
              <w:bottom w:val="single" w:sz="4" w:space="0" w:color="000000"/>
              <w:right w:val="single" w:sz="4" w:space="0" w:color="000000"/>
            </w:tcBorders>
          </w:tcPr>
          <w:p w14:paraId="3EA2D9CC" w14:textId="77777777" w:rsidR="001D38A7" w:rsidRPr="000A5982" w:rsidRDefault="001D38A7" w:rsidP="007C17C6">
            <w:pPr>
              <w:widowControl w:val="0"/>
              <w:suppressAutoHyphens/>
              <w:ind w:right="135"/>
              <w:jc w:val="both"/>
              <w:rPr>
                <w:rFonts w:ascii="Cambria" w:eastAsia="Cambria" w:hAnsi="Cambria" w:cs="Cambria"/>
                <w:sz w:val="20"/>
                <w:szCs w:val="20"/>
              </w:rPr>
            </w:pPr>
            <w:r w:rsidRPr="000A5982">
              <w:rPr>
                <w:rFonts w:ascii="Cambria" w:eastAsia="Aptos" w:hAnsi="Cambria"/>
                <w:sz w:val="20"/>
                <w:szCs w:val="20"/>
                <w14:ligatures w14:val="standardContextual"/>
              </w:rPr>
              <w:t>Cuando existan pruebas de que el stock y/o la dinámica de la pesquería se encuentran en estados que no se consideraban plausibles previamente o que ya no se consideran plausibles en el contexto de la MSE; o cuando existan pruebas de que los estados del stock o de la dinámica de la pesquería incluidos en los OM para las pruebas de la MSE ya no se consideran plausibles.</w:t>
            </w:r>
          </w:p>
          <w:p w14:paraId="088A2FA5" w14:textId="77777777" w:rsidR="001D38A7" w:rsidRPr="000A5982" w:rsidRDefault="001D38A7" w:rsidP="007C17C6">
            <w:pPr>
              <w:widowControl w:val="0"/>
              <w:suppressAutoHyphens/>
              <w:ind w:right="135"/>
              <w:jc w:val="both"/>
              <w:rPr>
                <w:rFonts w:ascii="Cambria" w:eastAsia="Cambria" w:hAnsi="Cambria" w:cs="Cambria"/>
                <w:sz w:val="20"/>
                <w:szCs w:val="20"/>
              </w:rPr>
            </w:pPr>
          </w:p>
        </w:tc>
        <w:tc>
          <w:tcPr>
            <w:tcW w:w="2281" w:type="dxa"/>
            <w:tcBorders>
              <w:top w:val="single" w:sz="4" w:space="0" w:color="000000"/>
              <w:left w:val="single" w:sz="4" w:space="0" w:color="000000"/>
              <w:bottom w:val="single" w:sz="4" w:space="0" w:color="000000"/>
              <w:right w:val="single" w:sz="4" w:space="0" w:color="000000"/>
            </w:tcBorders>
          </w:tcPr>
          <w:p w14:paraId="385279D3" w14:textId="77777777" w:rsidR="001D38A7" w:rsidRPr="000A5982" w:rsidRDefault="001D38A7" w:rsidP="007C17C6">
            <w:pPr>
              <w:widowControl w:val="0"/>
              <w:suppressAutoHyphens/>
              <w:ind w:right="165"/>
              <w:jc w:val="both"/>
              <w:rPr>
                <w:rFonts w:ascii="Cambria" w:eastAsia="Cambria" w:hAnsi="Cambria" w:cs="Cambria"/>
                <w:sz w:val="20"/>
                <w:szCs w:val="20"/>
              </w:rPr>
            </w:pPr>
            <w:r w:rsidRPr="000A5982">
              <w:rPr>
                <w:rFonts w:ascii="Cambria" w:eastAsia="Aptos" w:hAnsi="Cambria"/>
                <w:sz w:val="20"/>
                <w:szCs w:val="20"/>
                <w14:ligatures w14:val="standardContextual"/>
              </w:rPr>
              <w:t>Siempre que se disponga de información y tras la finalización, presentación y aceptación por el SCRS de un estudio como nueva referencia</w:t>
            </w:r>
          </w:p>
          <w:p w14:paraId="4F1865EC" w14:textId="77777777" w:rsidR="001D38A7" w:rsidRPr="000A5982" w:rsidRDefault="001D38A7" w:rsidP="007C17C6">
            <w:pPr>
              <w:widowControl w:val="0"/>
              <w:suppressAutoHyphens/>
              <w:ind w:right="165"/>
              <w:jc w:val="both"/>
              <w:rPr>
                <w:rFonts w:ascii="Cambria" w:eastAsia="Cambria" w:hAnsi="Cambria" w:cs="Cambria"/>
                <w:sz w:val="20"/>
                <w:szCs w:val="20"/>
              </w:rPr>
            </w:pPr>
          </w:p>
        </w:tc>
      </w:tr>
      <w:tr w:rsidR="001D38A7" w:rsidRPr="0099704B" w14:paraId="308BD182" w14:textId="77777777" w:rsidTr="007C17C6">
        <w:trPr>
          <w:trHeight w:val="748"/>
        </w:trPr>
        <w:tc>
          <w:tcPr>
            <w:tcW w:w="1838" w:type="dxa"/>
            <w:tcBorders>
              <w:top w:val="single" w:sz="4" w:space="0" w:color="000000"/>
              <w:left w:val="single" w:sz="4" w:space="0" w:color="000000"/>
              <w:bottom w:val="single" w:sz="4" w:space="0" w:color="000000"/>
              <w:right w:val="single" w:sz="4" w:space="0" w:color="000000"/>
            </w:tcBorders>
          </w:tcPr>
          <w:p w14:paraId="1E12C3D9" w14:textId="77777777" w:rsidR="001D38A7" w:rsidRPr="000A5982" w:rsidRDefault="001D38A7" w:rsidP="007C17C6">
            <w:pPr>
              <w:widowControl w:val="0"/>
              <w:suppressAutoHyphens/>
              <w:ind w:left="130" w:right="143"/>
              <w:jc w:val="both"/>
              <w:rPr>
                <w:rFonts w:ascii="Cambria" w:eastAsia="Cambria" w:hAnsi="Cambria" w:cs="Cambria"/>
                <w:sz w:val="20"/>
                <w:szCs w:val="20"/>
              </w:rPr>
            </w:pPr>
            <w:r w:rsidRPr="000A5982">
              <w:rPr>
                <w:rFonts w:ascii="Cambria" w:eastAsia="Aptos" w:hAnsi="Cambria"/>
                <w:sz w:val="20"/>
                <w:szCs w:val="20"/>
                <w14:ligatures w14:val="standardContextual"/>
              </w:rPr>
              <w:t>b) Disponibilidad de datos para el MP</w:t>
            </w:r>
          </w:p>
        </w:tc>
        <w:tc>
          <w:tcPr>
            <w:tcW w:w="1275" w:type="dxa"/>
            <w:tcBorders>
              <w:top w:val="single" w:sz="4" w:space="0" w:color="000000"/>
              <w:left w:val="single" w:sz="4" w:space="0" w:color="000000"/>
              <w:bottom w:val="single" w:sz="4" w:space="0" w:color="000000"/>
              <w:right w:val="single" w:sz="4" w:space="0" w:color="000000"/>
            </w:tcBorders>
          </w:tcPr>
          <w:p w14:paraId="50F02A95" w14:textId="77777777" w:rsidR="001D38A7" w:rsidRPr="000A5982" w:rsidRDefault="001D38A7" w:rsidP="007C17C6">
            <w:pPr>
              <w:widowControl w:val="0"/>
              <w:suppressAutoHyphens/>
              <w:ind w:right="158"/>
              <w:jc w:val="both"/>
              <w:rPr>
                <w:rFonts w:ascii="Cambria" w:eastAsia="Cambria" w:hAnsi="Cambria" w:cs="Cambria"/>
                <w:sz w:val="20"/>
                <w:szCs w:val="20"/>
              </w:rPr>
            </w:pPr>
          </w:p>
          <w:p w14:paraId="289E6C4C" w14:textId="77777777" w:rsidR="001D38A7" w:rsidRPr="000A5982" w:rsidRDefault="001D38A7" w:rsidP="007C17C6">
            <w:pPr>
              <w:widowControl w:val="0"/>
              <w:suppressAutoHyphens/>
              <w:ind w:right="158"/>
              <w:jc w:val="both"/>
              <w:rPr>
                <w:rFonts w:ascii="Cambria" w:eastAsia="Cambria" w:hAnsi="Cambria" w:cs="Cambria"/>
                <w:sz w:val="20"/>
                <w:szCs w:val="20"/>
              </w:rPr>
            </w:pPr>
            <w:r w:rsidRPr="000A5982">
              <w:rPr>
                <w:rFonts w:ascii="Cambria" w:eastAsia="Aptos" w:hAnsi="Cambria"/>
                <w:sz w:val="20"/>
                <w:szCs w:val="20"/>
                <w14:ligatures w14:val="standardContextual"/>
              </w:rPr>
              <w:t>Índices</w:t>
            </w:r>
          </w:p>
        </w:tc>
        <w:tc>
          <w:tcPr>
            <w:tcW w:w="3670" w:type="dxa"/>
            <w:tcBorders>
              <w:top w:val="single" w:sz="4" w:space="0" w:color="000000"/>
              <w:left w:val="single" w:sz="4" w:space="0" w:color="000000"/>
              <w:bottom w:val="single" w:sz="4" w:space="0" w:color="000000"/>
              <w:right w:val="single" w:sz="4" w:space="0" w:color="000000"/>
            </w:tcBorders>
          </w:tcPr>
          <w:p w14:paraId="60AD751A" w14:textId="77777777" w:rsidR="001D38A7" w:rsidRPr="000A5982" w:rsidRDefault="001D38A7" w:rsidP="007C17C6">
            <w:pPr>
              <w:widowControl w:val="0"/>
              <w:suppressAutoHyphens/>
              <w:ind w:right="135"/>
              <w:jc w:val="both"/>
              <w:rPr>
                <w:rFonts w:ascii="Cambria" w:eastAsia="Cambria" w:hAnsi="Cambria" w:cs="Cambria"/>
                <w:sz w:val="20"/>
                <w:szCs w:val="20"/>
              </w:rPr>
            </w:pPr>
            <w:r w:rsidRPr="000A5982">
              <w:rPr>
                <w:rFonts w:ascii="Cambria" w:eastAsia="Aptos" w:hAnsi="Cambria"/>
                <w:sz w:val="20"/>
                <w:szCs w:val="20"/>
                <w14:ligatures w14:val="standardContextual"/>
              </w:rPr>
              <w:t xml:space="preserve">Si faltan datos de Brasil o de cualquiera de las otras dos CPC (Venezuela y Estados Unidos) que contribuyen al índice combinado. </w:t>
            </w:r>
          </w:p>
        </w:tc>
        <w:tc>
          <w:tcPr>
            <w:tcW w:w="2281" w:type="dxa"/>
            <w:tcBorders>
              <w:top w:val="single" w:sz="4" w:space="0" w:color="000000"/>
              <w:left w:val="single" w:sz="4" w:space="0" w:color="000000"/>
              <w:bottom w:val="single" w:sz="4" w:space="0" w:color="000000"/>
              <w:right w:val="single" w:sz="4" w:space="0" w:color="000000"/>
            </w:tcBorders>
          </w:tcPr>
          <w:p w14:paraId="797249F2" w14:textId="77777777" w:rsidR="001D38A7" w:rsidRPr="000A5982" w:rsidRDefault="001D38A7" w:rsidP="007C17C6">
            <w:pPr>
              <w:widowControl w:val="0"/>
              <w:suppressAutoHyphens/>
              <w:ind w:right="165"/>
              <w:jc w:val="both"/>
              <w:rPr>
                <w:rFonts w:ascii="Cambria" w:eastAsia="Cambria" w:hAnsi="Cambria" w:cs="Cambria"/>
                <w:sz w:val="20"/>
                <w:szCs w:val="20"/>
              </w:rPr>
            </w:pPr>
            <w:r w:rsidRPr="000A5982">
              <w:rPr>
                <w:rFonts w:ascii="Cambria" w:eastAsia="Aptos" w:hAnsi="Cambria"/>
                <w:sz w:val="20"/>
                <w:szCs w:val="20"/>
                <w14:ligatures w14:val="standardContextual"/>
              </w:rPr>
              <w:t xml:space="preserve">Anual </w:t>
            </w:r>
          </w:p>
        </w:tc>
      </w:tr>
      <w:tr w:rsidR="001D38A7" w:rsidRPr="0099704B" w14:paraId="56C61E73" w14:textId="77777777" w:rsidTr="007C17C6">
        <w:trPr>
          <w:trHeight w:val="558"/>
        </w:trPr>
        <w:tc>
          <w:tcPr>
            <w:tcW w:w="1838" w:type="dxa"/>
            <w:tcBorders>
              <w:top w:val="single" w:sz="4" w:space="0" w:color="000000"/>
              <w:left w:val="single" w:sz="4" w:space="0" w:color="000000"/>
              <w:bottom w:val="single" w:sz="4" w:space="0" w:color="000000"/>
              <w:right w:val="single" w:sz="4" w:space="0" w:color="000000"/>
            </w:tcBorders>
          </w:tcPr>
          <w:p w14:paraId="7EF14728" w14:textId="77777777" w:rsidR="001D38A7" w:rsidRPr="000A5982" w:rsidRDefault="001D38A7" w:rsidP="007C17C6">
            <w:pPr>
              <w:widowControl w:val="0"/>
              <w:suppressAutoHyphens/>
              <w:ind w:right="143"/>
              <w:jc w:val="both"/>
              <w:rPr>
                <w:rFonts w:ascii="Cambria" w:eastAsia="Cambria" w:hAnsi="Cambria" w:cs="Cambria"/>
                <w:sz w:val="20"/>
                <w:szCs w:val="20"/>
              </w:rPr>
            </w:pPr>
            <w:r w:rsidRPr="000A5982">
              <w:rPr>
                <w:rFonts w:ascii="Cambria" w:eastAsia="Aptos" w:hAnsi="Cambria"/>
                <w:sz w:val="20"/>
                <w:szCs w:val="20"/>
                <w14:ligatures w14:val="standardContextual"/>
              </w:rPr>
              <w:t>c) Implementación del TAC</w:t>
            </w:r>
          </w:p>
        </w:tc>
        <w:tc>
          <w:tcPr>
            <w:tcW w:w="1275" w:type="dxa"/>
            <w:tcBorders>
              <w:top w:val="single" w:sz="4" w:space="0" w:color="000000"/>
              <w:left w:val="single" w:sz="4" w:space="0" w:color="000000"/>
              <w:bottom w:val="single" w:sz="4" w:space="0" w:color="000000"/>
              <w:right w:val="single" w:sz="4" w:space="0" w:color="000000"/>
            </w:tcBorders>
          </w:tcPr>
          <w:p w14:paraId="0943CF0F" w14:textId="77777777" w:rsidR="001D38A7" w:rsidRPr="000A5982" w:rsidRDefault="001D38A7" w:rsidP="007C17C6">
            <w:pPr>
              <w:widowControl w:val="0"/>
              <w:suppressAutoHyphens/>
              <w:ind w:right="158"/>
              <w:jc w:val="both"/>
              <w:rPr>
                <w:rFonts w:ascii="Cambria" w:eastAsia="Cambria" w:hAnsi="Cambria" w:cs="Cambria"/>
                <w:sz w:val="20"/>
                <w:szCs w:val="20"/>
              </w:rPr>
            </w:pPr>
            <w:r w:rsidRPr="000A5982">
              <w:rPr>
                <w:rFonts w:ascii="Cambria" w:eastAsia="Aptos" w:hAnsi="Cambria"/>
                <w:sz w:val="20"/>
                <w:szCs w:val="20"/>
                <w14:ligatures w14:val="standardContextual"/>
              </w:rPr>
              <w:t>Captura</w:t>
            </w:r>
          </w:p>
        </w:tc>
        <w:tc>
          <w:tcPr>
            <w:tcW w:w="3670" w:type="dxa"/>
            <w:tcBorders>
              <w:top w:val="single" w:sz="4" w:space="0" w:color="000000"/>
              <w:left w:val="single" w:sz="4" w:space="0" w:color="000000"/>
              <w:bottom w:val="single" w:sz="4" w:space="0" w:color="000000"/>
              <w:right w:val="single" w:sz="4" w:space="0" w:color="000000"/>
            </w:tcBorders>
          </w:tcPr>
          <w:p w14:paraId="096B19F1" w14:textId="77777777" w:rsidR="001D38A7" w:rsidRPr="000A5982" w:rsidRDefault="001D38A7" w:rsidP="007C17C6">
            <w:pPr>
              <w:widowControl w:val="0"/>
              <w:suppressAutoHyphens/>
              <w:ind w:right="135"/>
              <w:jc w:val="both"/>
              <w:rPr>
                <w:rFonts w:ascii="Cambria" w:eastAsia="Cambria" w:hAnsi="Cambria" w:cs="Cambria"/>
                <w:sz w:val="20"/>
                <w:szCs w:val="20"/>
              </w:rPr>
            </w:pPr>
            <w:r w:rsidRPr="000A5982">
              <w:rPr>
                <w:rFonts w:ascii="Cambria" w:eastAsia="Aptos" w:hAnsi="Cambria"/>
                <w:sz w:val="20"/>
                <w:szCs w:val="20"/>
                <w14:ligatures w14:val="standardContextual"/>
              </w:rPr>
              <w:t>Si el total de capturas supera en un 5 % o más el TAC fijado mediante el MP durante dos años consecutivos.</w:t>
            </w:r>
          </w:p>
        </w:tc>
        <w:tc>
          <w:tcPr>
            <w:tcW w:w="2281" w:type="dxa"/>
            <w:tcBorders>
              <w:top w:val="single" w:sz="4" w:space="0" w:color="000000"/>
              <w:left w:val="single" w:sz="4" w:space="0" w:color="000000"/>
              <w:bottom w:val="single" w:sz="4" w:space="0" w:color="000000"/>
              <w:right w:val="single" w:sz="4" w:space="0" w:color="000000"/>
            </w:tcBorders>
          </w:tcPr>
          <w:p w14:paraId="6CCEDB76" w14:textId="77777777" w:rsidR="001D38A7" w:rsidRPr="0099704B" w:rsidRDefault="001D38A7" w:rsidP="007C17C6">
            <w:pPr>
              <w:widowControl w:val="0"/>
              <w:suppressAutoHyphens/>
              <w:ind w:right="165"/>
              <w:jc w:val="both"/>
              <w:rPr>
                <w:rFonts w:ascii="Cambria" w:eastAsia="Cambria" w:hAnsi="Cambria" w:cs="Cambria"/>
                <w:sz w:val="20"/>
                <w:szCs w:val="20"/>
              </w:rPr>
            </w:pPr>
            <w:r w:rsidRPr="000A5982">
              <w:rPr>
                <w:rFonts w:ascii="Cambria" w:eastAsia="Aptos" w:hAnsi="Cambria"/>
                <w:sz w:val="20"/>
                <w:szCs w:val="20"/>
                <w14:ligatures w14:val="standardContextual"/>
              </w:rPr>
              <w:t>Anual</w:t>
            </w:r>
          </w:p>
        </w:tc>
      </w:tr>
    </w:tbl>
    <w:p w14:paraId="098B00DD" w14:textId="77777777" w:rsidR="001D38A7" w:rsidRPr="0099704B" w:rsidRDefault="001D38A7" w:rsidP="001D38A7">
      <w:pPr>
        <w:widowControl w:val="0"/>
        <w:suppressAutoHyphens/>
        <w:jc w:val="both"/>
        <w:rPr>
          <w:rFonts w:ascii="Cambria" w:eastAsia="Cambria" w:hAnsi="Cambria" w:cs="Cambria"/>
          <w:sz w:val="20"/>
          <w:szCs w:val="20"/>
        </w:rPr>
      </w:pPr>
    </w:p>
    <w:p w14:paraId="34ACE505" w14:textId="77777777" w:rsidR="001D38A7" w:rsidRPr="000A5982" w:rsidRDefault="001D38A7" w:rsidP="001D38A7">
      <w:pPr>
        <w:widowControl w:val="0"/>
        <w:suppressAutoHyphens/>
        <w:jc w:val="both"/>
        <w:rPr>
          <w:rFonts w:ascii="Cambria" w:eastAsia="Cambria" w:hAnsi="Cambria" w:cs="Cambria"/>
          <w:b/>
          <w:bCs/>
          <w:sz w:val="20"/>
          <w:szCs w:val="20"/>
        </w:rPr>
      </w:pPr>
      <w:r w:rsidRPr="000A5982">
        <w:rPr>
          <w:rFonts w:ascii="Cambria" w:eastAsia="Aptos" w:hAnsi="Cambria"/>
          <w:b/>
          <w:sz w:val="20"/>
          <w:szCs w:val="20"/>
          <w14:ligatures w14:val="standardContextual"/>
        </w:rPr>
        <w:t>Acciones que se tienen que emprender en caso de EC</w:t>
      </w:r>
    </w:p>
    <w:p w14:paraId="67DAB646" w14:textId="77777777" w:rsidR="001D38A7" w:rsidRPr="000A5982" w:rsidRDefault="001D38A7" w:rsidP="001D38A7">
      <w:pPr>
        <w:widowControl w:val="0"/>
        <w:suppressAutoHyphens/>
        <w:ind w:left="472"/>
        <w:jc w:val="both"/>
        <w:rPr>
          <w:rFonts w:ascii="Cambria" w:eastAsia="Cambria" w:hAnsi="Cambria" w:cs="Cambria"/>
          <w:b/>
          <w:bCs/>
          <w:sz w:val="20"/>
          <w:szCs w:val="20"/>
        </w:rPr>
      </w:pPr>
    </w:p>
    <w:p w14:paraId="4C8F83E1" w14:textId="77777777" w:rsidR="001D38A7" w:rsidRPr="000A5982" w:rsidRDefault="001D38A7" w:rsidP="001D38A7">
      <w:pPr>
        <w:widowControl w:val="0"/>
        <w:suppressAutoHyphens/>
        <w:jc w:val="both"/>
        <w:rPr>
          <w:rFonts w:ascii="Cambria" w:eastAsia="Cambria" w:hAnsi="Cambria" w:cs="Cambria"/>
          <w:sz w:val="20"/>
          <w:szCs w:val="20"/>
        </w:rPr>
      </w:pPr>
      <w:r w:rsidRPr="000A5982">
        <w:rPr>
          <w:rFonts w:ascii="Cambria" w:eastAsia="Aptos" w:hAnsi="Cambria"/>
          <w:sz w:val="20"/>
          <w:szCs w:val="20"/>
          <w14:ligatures w14:val="standardContextual"/>
        </w:rPr>
        <w:t>Si el SCRS determina que existen circunstancias excepcionales que impiden la aplicación del MP o hacen que no sea aconsejable la aplicación del MP o desaconseja la implementación de sus resultados sobre la base de los principios expuestos en la Sección 1, el SCRS evaluará la naturaleza de las EC y asesorará a la Comisión sobre:</w:t>
      </w:r>
    </w:p>
    <w:p w14:paraId="38C33085" w14:textId="77777777" w:rsidR="001D38A7" w:rsidRPr="000A5982" w:rsidRDefault="001D38A7" w:rsidP="001D38A7">
      <w:pPr>
        <w:widowControl w:val="0"/>
        <w:numPr>
          <w:ilvl w:val="1"/>
          <w:numId w:val="44"/>
        </w:numPr>
        <w:suppressAutoHyphens/>
        <w:jc w:val="both"/>
        <w:rPr>
          <w:rFonts w:ascii="Cambria" w:eastAsia="Cambria" w:hAnsi="Cambria" w:cs="Cambria"/>
          <w:sz w:val="20"/>
          <w:szCs w:val="20"/>
        </w:rPr>
      </w:pPr>
      <w:r w:rsidRPr="000A5982">
        <w:rPr>
          <w:rFonts w:ascii="Cambria" w:eastAsia="Aptos" w:hAnsi="Cambria"/>
          <w:sz w:val="20"/>
          <w:szCs w:val="20"/>
          <w14:ligatures w14:val="standardContextual"/>
        </w:rPr>
        <w:t>Investigación adicional que puede aportar más claridad sobre si es necesario desviarse del actual calendario de revisión del MP y del TAC.</w:t>
      </w:r>
    </w:p>
    <w:p w14:paraId="332939BB" w14:textId="77777777" w:rsidR="001D38A7" w:rsidRPr="000A5982" w:rsidRDefault="001D38A7" w:rsidP="001D38A7">
      <w:pPr>
        <w:widowControl w:val="0"/>
        <w:numPr>
          <w:ilvl w:val="1"/>
          <w:numId w:val="44"/>
        </w:numPr>
        <w:suppressAutoHyphens/>
        <w:jc w:val="both"/>
        <w:rPr>
          <w:rFonts w:ascii="Cambria" w:eastAsia="Cambria" w:hAnsi="Cambria" w:cs="Cambria"/>
          <w:sz w:val="20"/>
          <w:szCs w:val="20"/>
        </w:rPr>
      </w:pPr>
      <w:r w:rsidRPr="000A5982">
        <w:rPr>
          <w:rFonts w:ascii="Cambria" w:eastAsia="Aptos" w:hAnsi="Cambria"/>
          <w:sz w:val="20"/>
          <w:szCs w:val="20"/>
          <w14:ligatures w14:val="standardContextual"/>
        </w:rPr>
        <w:t xml:space="preserve">Opciones de ordenación alternativas para el siguiente año pesquero destinadas a garantizar, como mínimo, la estabilidad del estado del stock, incluidas las implicaciones de: i) mantener el asesoramiento sobre el TAC establecido mediante el MP; </w:t>
      </w:r>
      <w:proofErr w:type="spellStart"/>
      <w:r w:rsidRPr="000A5982">
        <w:rPr>
          <w:rFonts w:ascii="Cambria" w:eastAsia="Aptos" w:hAnsi="Cambria"/>
          <w:sz w:val="20"/>
          <w:szCs w:val="20"/>
          <w14:ligatures w14:val="standardContextual"/>
        </w:rPr>
        <w:t>ii</w:t>
      </w:r>
      <w:proofErr w:type="spellEnd"/>
      <w:r w:rsidRPr="000A5982">
        <w:rPr>
          <w:rFonts w:ascii="Cambria" w:eastAsia="Aptos" w:hAnsi="Cambria"/>
          <w:sz w:val="20"/>
          <w:szCs w:val="20"/>
          <w14:ligatures w14:val="standardContextual"/>
        </w:rPr>
        <w:t xml:space="preserve">) reducir el asesoramiento sobre el TAC a la luz de indicios de merma del stock; </w:t>
      </w:r>
      <w:proofErr w:type="spellStart"/>
      <w:r w:rsidRPr="000A5982">
        <w:rPr>
          <w:rFonts w:ascii="Cambria" w:eastAsia="Aptos" w:hAnsi="Cambria"/>
          <w:sz w:val="20"/>
          <w:szCs w:val="20"/>
          <w14:ligatures w14:val="standardContextual"/>
        </w:rPr>
        <w:t>iii</w:t>
      </w:r>
      <w:proofErr w:type="spellEnd"/>
      <w:r w:rsidRPr="000A5982">
        <w:rPr>
          <w:rFonts w:ascii="Cambria" w:eastAsia="Aptos" w:hAnsi="Cambria"/>
          <w:sz w:val="20"/>
          <w:szCs w:val="20"/>
          <w14:ligatures w14:val="standardContextual"/>
        </w:rPr>
        <w:t xml:space="preserve">) aumentar el asesoramiento sobre el TAC a la luz de indicios de aumento del stock que no se consideraron plausibles durante las pruebas MSE; y </w:t>
      </w:r>
      <w:proofErr w:type="spellStart"/>
      <w:r w:rsidRPr="000A5982">
        <w:rPr>
          <w:rFonts w:ascii="Cambria" w:eastAsia="Aptos" w:hAnsi="Cambria"/>
          <w:sz w:val="20"/>
          <w:szCs w:val="20"/>
          <w14:ligatures w14:val="standardContextual"/>
        </w:rPr>
        <w:t>iv</w:t>
      </w:r>
      <w:proofErr w:type="spellEnd"/>
      <w:r w:rsidRPr="000A5982">
        <w:rPr>
          <w:rFonts w:ascii="Cambria" w:eastAsia="Aptos" w:hAnsi="Cambria"/>
          <w:sz w:val="20"/>
          <w:szCs w:val="20"/>
          <w14:ligatures w14:val="standardContextual"/>
        </w:rPr>
        <w:t>) cualquier otra acción de conservación y ordenación apropiada.</w:t>
      </w:r>
    </w:p>
    <w:p w14:paraId="4F98857D" w14:textId="77777777" w:rsidR="001D38A7" w:rsidRPr="000A5982" w:rsidRDefault="001D38A7" w:rsidP="001D38A7">
      <w:pPr>
        <w:widowControl w:val="0"/>
        <w:numPr>
          <w:ilvl w:val="1"/>
          <w:numId w:val="44"/>
        </w:numPr>
        <w:suppressAutoHyphens/>
        <w:jc w:val="both"/>
        <w:rPr>
          <w:rFonts w:ascii="Cambria" w:eastAsia="Cambria" w:hAnsi="Cambria" w:cs="Cambria"/>
          <w:sz w:val="20"/>
          <w:szCs w:val="20"/>
        </w:rPr>
      </w:pPr>
      <w:r w:rsidRPr="000A5982">
        <w:rPr>
          <w:rFonts w:ascii="Cambria" w:eastAsia="Aptos" w:hAnsi="Cambria"/>
          <w:sz w:val="20"/>
          <w:szCs w:val="20"/>
          <w14:ligatures w14:val="standardContextual"/>
        </w:rPr>
        <w:t>Si el MP existente debería ajustarse o si es necesario desarrollar un nuevo MP.</w:t>
      </w:r>
    </w:p>
    <w:p w14:paraId="2945DBFC" w14:textId="77777777" w:rsidR="001D38A7" w:rsidRPr="000A5982" w:rsidRDefault="001D38A7" w:rsidP="001D38A7">
      <w:pPr>
        <w:widowControl w:val="0"/>
        <w:numPr>
          <w:ilvl w:val="1"/>
          <w:numId w:val="44"/>
        </w:numPr>
        <w:suppressAutoHyphens/>
        <w:jc w:val="both"/>
        <w:rPr>
          <w:rFonts w:ascii="Cambria" w:eastAsia="Cambria" w:hAnsi="Cambria" w:cs="Cambria"/>
          <w:sz w:val="20"/>
          <w:szCs w:val="20"/>
        </w:rPr>
      </w:pPr>
      <w:r w:rsidRPr="000A5982">
        <w:rPr>
          <w:rFonts w:ascii="Cambria" w:eastAsia="Aptos" w:hAnsi="Cambria"/>
          <w:sz w:val="20"/>
          <w:szCs w:val="20"/>
          <w14:ligatures w14:val="standardContextual"/>
        </w:rPr>
        <w:t>Si es necesaria una evaluación de stock u otro método aprobado por el SCRS para determinar los TAC con el fin de proporcionar asesoramiento de ordenación en el ínterin mientras se desarrolla un MP revisado.</w:t>
      </w:r>
    </w:p>
    <w:p w14:paraId="781528A3" w14:textId="77777777" w:rsidR="001D38A7" w:rsidRPr="000A5982" w:rsidRDefault="001D38A7" w:rsidP="001D38A7">
      <w:pPr>
        <w:widowControl w:val="0"/>
        <w:suppressAutoHyphens/>
        <w:ind w:left="853"/>
        <w:jc w:val="both"/>
        <w:rPr>
          <w:rFonts w:ascii="Cambria" w:eastAsia="Cambria" w:hAnsi="Cambria" w:cs="Cambria"/>
          <w:sz w:val="20"/>
          <w:szCs w:val="20"/>
        </w:rPr>
      </w:pPr>
    </w:p>
    <w:p w14:paraId="5EC4EA1A" w14:textId="77777777" w:rsidR="001D38A7" w:rsidRPr="000A5982" w:rsidRDefault="001D38A7" w:rsidP="001D38A7">
      <w:pPr>
        <w:widowControl w:val="0"/>
        <w:suppressAutoHyphens/>
        <w:jc w:val="both"/>
        <w:rPr>
          <w:rFonts w:ascii="Cambria" w:eastAsia="Cambria" w:hAnsi="Cambria" w:cs="Cambria"/>
          <w:sz w:val="20"/>
          <w:szCs w:val="20"/>
        </w:rPr>
      </w:pPr>
      <w:r w:rsidRPr="000A5982">
        <w:rPr>
          <w:rFonts w:ascii="Cambria" w:eastAsia="Aptos" w:hAnsi="Cambria"/>
          <w:sz w:val="20"/>
          <w:szCs w:val="20"/>
          <w14:ligatures w14:val="standardContextual"/>
        </w:rPr>
        <w:t>Basándose en el asesoramiento del SCRS sobre lo anterior, la Comisión decidirá la(s) acción(es) de ordenación alternativa(s). Según sea necesario y apropiado, el SCRS llevará a cabo una nueva evaluación de stock y/o proporcionará asesoramiento sobre nuevos MP candidatos lo antes posible.</w:t>
      </w:r>
    </w:p>
    <w:p w14:paraId="4355CF12" w14:textId="77777777" w:rsidR="001D38A7" w:rsidRPr="000A5982" w:rsidRDefault="001D38A7" w:rsidP="001D38A7">
      <w:pPr>
        <w:widowControl w:val="0"/>
        <w:suppressAutoHyphens/>
        <w:jc w:val="both"/>
        <w:rPr>
          <w:rFonts w:ascii="Cambria" w:eastAsia="Cambria" w:hAnsi="Cambria" w:cs="Cambria"/>
          <w:sz w:val="20"/>
          <w:szCs w:val="20"/>
        </w:rPr>
      </w:pPr>
    </w:p>
    <w:p w14:paraId="4DF5C765" w14:textId="77777777" w:rsidR="001D38A7" w:rsidRPr="000A5982" w:rsidRDefault="001D38A7" w:rsidP="001D38A7">
      <w:pPr>
        <w:widowControl w:val="0"/>
        <w:suppressAutoHyphens/>
        <w:jc w:val="both"/>
        <w:rPr>
          <w:rFonts w:ascii="Cambria" w:eastAsia="Cambria" w:hAnsi="Cambria" w:cs="Cambria"/>
          <w:sz w:val="20"/>
          <w:szCs w:val="20"/>
        </w:rPr>
      </w:pPr>
      <w:r w:rsidRPr="000A5982">
        <w:rPr>
          <w:rFonts w:ascii="Cambria" w:eastAsia="Aptos" w:hAnsi="Cambria"/>
          <w:sz w:val="20"/>
          <w:szCs w:val="20"/>
          <w14:ligatures w14:val="standardContextual"/>
        </w:rPr>
        <w:t>Véase el esquema a continuación para una representación esquemática del proceso descrito arriba:</w:t>
      </w:r>
    </w:p>
    <w:p w14:paraId="68EF5012" w14:textId="77777777" w:rsidR="001D38A7" w:rsidRPr="000A5982" w:rsidRDefault="001D38A7" w:rsidP="001D38A7">
      <w:pPr>
        <w:widowControl w:val="0"/>
        <w:suppressAutoHyphens/>
        <w:jc w:val="both"/>
        <w:rPr>
          <w:rFonts w:ascii="Cambria" w:eastAsia="Cambria" w:hAnsi="Cambria" w:cs="Cambria"/>
          <w:sz w:val="20"/>
          <w:szCs w:val="20"/>
        </w:rPr>
      </w:pPr>
    </w:p>
    <w:p w14:paraId="3FDFAF56" w14:textId="77777777" w:rsidR="001D38A7" w:rsidRPr="000A5982" w:rsidRDefault="001D38A7" w:rsidP="001D38A7">
      <w:pPr>
        <w:widowControl w:val="0"/>
        <w:suppressAutoHyphens/>
        <w:jc w:val="both"/>
        <w:rPr>
          <w:rFonts w:ascii="Cambria" w:eastAsia="Cambria" w:hAnsi="Cambria" w:cs="Cambria"/>
          <w:sz w:val="20"/>
          <w:szCs w:val="20"/>
        </w:rPr>
      </w:pPr>
      <w:r w:rsidRPr="000A5982">
        <w:rPr>
          <w:rFonts w:ascii="Cambria" w:eastAsia="Aptos" w:hAnsi="Cambria"/>
          <w:sz w:val="20"/>
          <w:szCs w:val="20"/>
          <w14:ligatures w14:val="standardContextual"/>
        </w:rPr>
        <w:t xml:space="preserve">El SCRS comprobará si existen EC, utilizando los indicadores y criterios especificados en la </w:t>
      </w:r>
      <w:r w:rsidRPr="000A5982">
        <w:rPr>
          <w:rFonts w:ascii="Cambria" w:eastAsia="Aptos" w:hAnsi="Cambria"/>
          <w:b/>
          <w:bCs/>
          <w:sz w:val="20"/>
          <w:szCs w:val="20"/>
          <w14:ligatures w14:val="standardContextual"/>
        </w:rPr>
        <w:t>tabla</w:t>
      </w:r>
      <w:r w:rsidRPr="000A5982">
        <w:rPr>
          <w:rFonts w:ascii="Cambria" w:eastAsia="Aptos" w:hAnsi="Cambria"/>
          <w:sz w:val="20"/>
          <w:szCs w:val="20"/>
          <w14:ligatures w14:val="standardContextual"/>
        </w:rPr>
        <w:t xml:space="preserve"> </w:t>
      </w:r>
      <w:r w:rsidRPr="000A5982">
        <w:rPr>
          <w:rFonts w:ascii="Cambria" w:eastAsia="Aptos" w:hAnsi="Cambria"/>
          <w:b/>
          <w:bCs/>
          <w:sz w:val="20"/>
          <w:szCs w:val="20"/>
          <w14:ligatures w14:val="standardContextual"/>
        </w:rPr>
        <w:t>19.43.1</w:t>
      </w:r>
      <w:r w:rsidRPr="000A5982">
        <w:rPr>
          <w:rFonts w:ascii="Cambria" w:eastAsia="Aptos" w:hAnsi="Cambria"/>
          <w:sz w:val="20"/>
          <w:szCs w:val="20"/>
          <w14:ligatures w14:val="standardContextual"/>
        </w:rPr>
        <w:t xml:space="preserve"> y según la frecuencia indicada.</w:t>
      </w:r>
    </w:p>
    <w:p w14:paraId="03564632" w14:textId="77777777" w:rsidR="001D38A7" w:rsidRPr="000A5982" w:rsidRDefault="001D38A7" w:rsidP="001D38A7">
      <w:pPr>
        <w:widowControl w:val="0"/>
        <w:suppressAutoHyphens/>
        <w:jc w:val="both"/>
        <w:rPr>
          <w:rFonts w:ascii="Cambria" w:eastAsia="Cambria" w:hAnsi="Cambria" w:cs="Cambria"/>
          <w:sz w:val="20"/>
          <w:szCs w:val="20"/>
        </w:rPr>
      </w:pPr>
    </w:p>
    <w:p w14:paraId="1FCF9860" w14:textId="77777777" w:rsidR="001D38A7" w:rsidRPr="000A5982" w:rsidRDefault="001D38A7" w:rsidP="001D38A7">
      <w:pPr>
        <w:widowControl w:val="0"/>
        <w:suppressAutoHyphens/>
        <w:jc w:val="both"/>
        <w:rPr>
          <w:rFonts w:ascii="Cambria" w:eastAsia="Cambria" w:hAnsi="Cambria" w:cs="Cambria"/>
          <w:sz w:val="20"/>
          <w:szCs w:val="20"/>
        </w:rPr>
      </w:pPr>
      <w:r w:rsidRPr="000A5982">
        <w:rPr>
          <w:rFonts w:ascii="Cambria" w:eastAsia="Aptos" w:hAnsi="Cambria"/>
          <w:sz w:val="20"/>
          <w:szCs w:val="20"/>
          <w14:ligatures w14:val="standardContextual"/>
        </w:rPr>
        <w:lastRenderedPageBreak/>
        <w:t>Años 1 y 2:</w:t>
      </w:r>
    </w:p>
    <w:p w14:paraId="7A1554CB" w14:textId="77777777" w:rsidR="001D38A7" w:rsidRPr="000A5982" w:rsidRDefault="001D38A7" w:rsidP="001D38A7">
      <w:pPr>
        <w:widowControl w:val="0"/>
        <w:numPr>
          <w:ilvl w:val="3"/>
          <w:numId w:val="47"/>
        </w:numPr>
        <w:suppressAutoHyphens/>
        <w:jc w:val="both"/>
        <w:rPr>
          <w:rFonts w:ascii="Cambria" w:eastAsia="Cambria" w:hAnsi="Cambria" w:cs="Cambria"/>
          <w:sz w:val="20"/>
          <w:szCs w:val="20"/>
        </w:rPr>
      </w:pPr>
      <w:r w:rsidRPr="000A5982">
        <w:rPr>
          <w:rFonts w:ascii="Cambria" w:eastAsia="Aptos" w:hAnsi="Cambria"/>
          <w:sz w:val="20"/>
          <w:szCs w:val="20"/>
          <w14:ligatures w14:val="standardContextual"/>
        </w:rPr>
        <w:t>Actualización del índice de abundancia combinado.</w:t>
      </w:r>
    </w:p>
    <w:p w14:paraId="1F62D93F" w14:textId="77777777" w:rsidR="001D38A7" w:rsidRPr="000A5982" w:rsidRDefault="001D38A7" w:rsidP="001D38A7">
      <w:pPr>
        <w:widowControl w:val="0"/>
        <w:numPr>
          <w:ilvl w:val="2"/>
          <w:numId w:val="44"/>
        </w:numPr>
        <w:suppressAutoHyphens/>
        <w:jc w:val="both"/>
        <w:rPr>
          <w:rFonts w:ascii="Cambria" w:eastAsia="Cambria" w:hAnsi="Cambria" w:cs="Cambria"/>
          <w:sz w:val="20"/>
          <w:szCs w:val="20"/>
        </w:rPr>
      </w:pPr>
      <w:r w:rsidRPr="000A5982">
        <w:rPr>
          <w:rFonts w:ascii="Cambria" w:eastAsia="Aptos" w:hAnsi="Cambria"/>
          <w:sz w:val="20"/>
          <w:szCs w:val="20"/>
          <w14:ligatures w14:val="standardContextual"/>
        </w:rPr>
        <w:t>Actualización de la captura.</w:t>
      </w:r>
    </w:p>
    <w:p w14:paraId="2E351623" w14:textId="77777777" w:rsidR="001D38A7" w:rsidRPr="000A5982" w:rsidRDefault="001D38A7" w:rsidP="001D38A7">
      <w:pPr>
        <w:widowControl w:val="0"/>
        <w:numPr>
          <w:ilvl w:val="2"/>
          <w:numId w:val="44"/>
        </w:numPr>
        <w:suppressAutoHyphens/>
        <w:jc w:val="both"/>
        <w:rPr>
          <w:rFonts w:ascii="Cambria" w:eastAsia="Cambria" w:hAnsi="Cambria" w:cs="Cambria"/>
          <w:sz w:val="20"/>
          <w:szCs w:val="20"/>
        </w:rPr>
      </w:pPr>
      <w:r w:rsidRPr="000A5982">
        <w:rPr>
          <w:rFonts w:ascii="Cambria" w:eastAsia="Aptos" w:hAnsi="Cambria"/>
          <w:sz w:val="20"/>
          <w:szCs w:val="20"/>
          <w14:ligatures w14:val="standardContextual"/>
        </w:rPr>
        <w:t>Consideración de las pruebas de que el stock y/o la dinámica de la pesquería se encuentran en estados que no se consideraban plausibles previamente o que ya no se consideran plausibles en el contexto de la MSE; o cuando existan pruebas de que los estados del stock o la dinámica de la pesquería incluidos en los OM para las pruebas MSE ya no se consideran plausibles, así como cualquier otra información pertinente.</w:t>
      </w:r>
    </w:p>
    <w:p w14:paraId="459F04CC" w14:textId="77777777" w:rsidR="001D38A7" w:rsidRPr="000A5982" w:rsidRDefault="001D38A7" w:rsidP="001D38A7">
      <w:pPr>
        <w:widowControl w:val="0"/>
        <w:suppressAutoHyphens/>
        <w:jc w:val="both"/>
        <w:rPr>
          <w:rFonts w:ascii="Cambria" w:eastAsia="Cambria" w:hAnsi="Cambria" w:cs="Cambria"/>
          <w:sz w:val="20"/>
          <w:szCs w:val="20"/>
        </w:rPr>
      </w:pPr>
      <w:r w:rsidRPr="000A5982">
        <w:rPr>
          <w:rFonts w:ascii="Cambria" w:eastAsia="Aptos" w:hAnsi="Cambria"/>
          <w:sz w:val="20"/>
          <w:szCs w:val="20"/>
          <w14:ligatures w14:val="standardContextual"/>
        </w:rPr>
        <w:t xml:space="preserve"> Año 3:</w:t>
      </w:r>
      <w:r w:rsidRPr="000A5982">
        <w:rPr>
          <w:rFonts w:ascii="Cambria" w:eastAsia="Aptos" w:hAnsi="Cambria" w:cs="Arial"/>
          <w:noProof/>
          <w:kern w:val="2"/>
          <w:sz w:val="20"/>
          <w:szCs w:val="20"/>
          <w14:ligatures w14:val="standardContextual"/>
        </w:rPr>
        <w:t xml:space="preserve"> </w:t>
      </w:r>
    </w:p>
    <w:p w14:paraId="0087D5EA" w14:textId="77777777" w:rsidR="001D38A7" w:rsidRPr="000A5982" w:rsidRDefault="001D38A7" w:rsidP="001D38A7">
      <w:pPr>
        <w:widowControl w:val="0"/>
        <w:numPr>
          <w:ilvl w:val="3"/>
          <w:numId w:val="44"/>
        </w:numPr>
        <w:suppressAutoHyphens/>
        <w:jc w:val="both"/>
        <w:rPr>
          <w:rFonts w:ascii="Cambria" w:eastAsia="Cambria" w:hAnsi="Cambria" w:cs="Cambria"/>
          <w:sz w:val="20"/>
          <w:szCs w:val="20"/>
        </w:rPr>
      </w:pPr>
      <w:r w:rsidRPr="000A5982">
        <w:rPr>
          <w:rFonts w:ascii="Cambria" w:eastAsia="Aptos" w:hAnsi="Cambria"/>
          <w:sz w:val="20"/>
          <w:szCs w:val="20"/>
          <w14:ligatures w14:val="standardContextual"/>
        </w:rPr>
        <w:t>Comprobación de que se dispone de todos los conjuntos de datos necesarios para ejecutar el MP.</w:t>
      </w:r>
    </w:p>
    <w:p w14:paraId="76261047" w14:textId="77777777" w:rsidR="001D38A7" w:rsidRPr="000A5982" w:rsidRDefault="001D38A7" w:rsidP="001D38A7">
      <w:pPr>
        <w:widowControl w:val="0"/>
        <w:numPr>
          <w:ilvl w:val="3"/>
          <w:numId w:val="44"/>
        </w:numPr>
        <w:suppressAutoHyphens/>
        <w:jc w:val="both"/>
        <w:rPr>
          <w:rFonts w:ascii="Cambria" w:eastAsia="Cambria" w:hAnsi="Cambria" w:cs="Cambria"/>
          <w:sz w:val="20"/>
          <w:szCs w:val="20"/>
        </w:rPr>
      </w:pPr>
      <w:r w:rsidRPr="000A5982">
        <w:rPr>
          <w:rFonts w:ascii="Cambria" w:eastAsia="Aptos" w:hAnsi="Cambria"/>
          <w:sz w:val="20"/>
          <w:szCs w:val="20"/>
          <w14:ligatures w14:val="standardContextual"/>
        </w:rPr>
        <w:t>Volver a ejecutar el MP.</w:t>
      </w:r>
    </w:p>
    <w:p w14:paraId="2D4B5C52" w14:textId="77777777" w:rsidR="001D38A7" w:rsidRPr="000A5982" w:rsidRDefault="001D38A7" w:rsidP="001D38A7">
      <w:pPr>
        <w:widowControl w:val="0"/>
        <w:numPr>
          <w:ilvl w:val="3"/>
          <w:numId w:val="44"/>
        </w:numPr>
        <w:suppressAutoHyphens/>
        <w:spacing w:after="160"/>
        <w:jc w:val="both"/>
        <w:rPr>
          <w:rFonts w:ascii="Cambria" w:eastAsia="Cambria" w:hAnsi="Cambria" w:cs="Cambria"/>
          <w:sz w:val="20"/>
          <w:szCs w:val="20"/>
        </w:rPr>
      </w:pPr>
      <w:r w:rsidRPr="000A5982">
        <w:rPr>
          <w:rFonts w:ascii="Cambria" w:eastAsia="Aptos" w:hAnsi="Cambria"/>
          <w:sz w:val="20"/>
          <w:szCs w:val="20"/>
          <w14:ligatures w14:val="standardContextual"/>
        </w:rPr>
        <w:t>Las mismas comprobaciones que las realizadas en los años 1 y 2.</w:t>
      </w:r>
    </w:p>
    <w:p w14:paraId="3F2183CA" w14:textId="77777777" w:rsidR="001D38A7" w:rsidRPr="0099704B" w:rsidRDefault="001D38A7" w:rsidP="001D38A7">
      <w:pPr>
        <w:widowControl w:val="0"/>
        <w:suppressAutoHyphens/>
        <w:jc w:val="both"/>
        <w:rPr>
          <w:rFonts w:ascii="Cambria" w:eastAsia="Cambria" w:hAnsi="Cambria" w:cs="Cambria"/>
          <w:sz w:val="20"/>
          <w:szCs w:val="20"/>
        </w:rPr>
      </w:pPr>
      <w:r w:rsidRPr="0099704B">
        <w:rPr>
          <w:rFonts w:ascii="Cambria" w:eastAsia="Cambria" w:hAnsi="Cambria" w:cs="Cambria"/>
          <w:noProof/>
          <w:sz w:val="20"/>
          <w:szCs w:val="20"/>
          <w14:ligatures w14:val="standardContextual"/>
        </w:rPr>
        <mc:AlternateContent>
          <mc:Choice Requires="wpg">
            <w:drawing>
              <wp:anchor distT="0" distB="0" distL="114300" distR="114300" simplePos="0" relativeHeight="251657728" behindDoc="0" locked="0" layoutInCell="1" allowOverlap="1" wp14:anchorId="5ADDD781" wp14:editId="0BA163EE">
                <wp:simplePos x="0" y="0"/>
                <wp:positionH relativeFrom="column">
                  <wp:posOffset>3252470</wp:posOffset>
                </wp:positionH>
                <wp:positionV relativeFrom="paragraph">
                  <wp:posOffset>91440</wp:posOffset>
                </wp:positionV>
                <wp:extent cx="1914525" cy="602081"/>
                <wp:effectExtent l="0" t="0" r="28575" b="26670"/>
                <wp:wrapNone/>
                <wp:docPr id="1601532291" name="Group 14"/>
                <wp:cNvGraphicFramePr/>
                <a:graphic xmlns:a="http://schemas.openxmlformats.org/drawingml/2006/main">
                  <a:graphicData uri="http://schemas.microsoft.com/office/word/2010/wordprocessingGroup">
                    <wpg:wgp>
                      <wpg:cNvGrpSpPr/>
                      <wpg:grpSpPr>
                        <a:xfrm>
                          <a:off x="0" y="0"/>
                          <a:ext cx="1914525" cy="602081"/>
                          <a:chOff x="0" y="0"/>
                          <a:chExt cx="1914525" cy="602081"/>
                        </a:xfrm>
                      </wpg:grpSpPr>
                      <wpg:grpSp>
                        <wpg:cNvPr id="1743539621" name="Group 20"/>
                        <wpg:cNvGrpSpPr/>
                        <wpg:grpSpPr bwMode="auto">
                          <a:xfrm>
                            <a:off x="1499616" y="424281"/>
                            <a:ext cx="285750" cy="177800"/>
                            <a:chOff x="12700" y="12700"/>
                            <a:chExt cx="260350" cy="152400"/>
                          </a:xfrm>
                        </wpg:grpSpPr>
                        <wps:wsp>
                          <wps:cNvPr id="1697024556" name="Graphic 13"/>
                          <wps:cNvSpPr/>
                          <wps:spPr bwMode="auto">
                            <a:xfrm>
                              <a:off x="12700" y="12700"/>
                              <a:ext cx="260350" cy="152400"/>
                            </a:xfrm>
                            <a:custGeom>
                              <a:avLst/>
                              <a:gdLst/>
                              <a:ahLst/>
                              <a:cxnLst/>
                              <a:rect l="l" t="t" r="r" b="b"/>
                              <a:pathLst>
                                <a:path w="260350" h="152400" extrusionOk="0">
                                  <a:moveTo>
                                    <a:pt x="195199" y="0"/>
                                  </a:moveTo>
                                  <a:lnTo>
                                    <a:pt x="65024" y="0"/>
                                  </a:lnTo>
                                  <a:lnTo>
                                    <a:pt x="65024" y="76200"/>
                                  </a:lnTo>
                                  <a:lnTo>
                                    <a:pt x="0" y="76200"/>
                                  </a:lnTo>
                                  <a:lnTo>
                                    <a:pt x="130175" y="152400"/>
                                  </a:lnTo>
                                  <a:lnTo>
                                    <a:pt x="260350" y="76200"/>
                                  </a:lnTo>
                                  <a:lnTo>
                                    <a:pt x="195199" y="76200"/>
                                  </a:lnTo>
                                  <a:lnTo>
                                    <a:pt x="195199" y="0"/>
                                  </a:lnTo>
                                  <a:close/>
                                </a:path>
                              </a:pathLst>
                            </a:custGeom>
                            <a:solidFill>
                              <a:srgbClr val="4F81BB"/>
                            </a:solidFill>
                          </wps:spPr>
                          <wps:bodyPr rot="0">
                            <a:prstTxWarp prst="textNoShape">
                              <a:avLst/>
                            </a:prstTxWarp>
                            <a:noAutofit/>
                          </wps:bodyPr>
                        </wps:wsp>
                        <wps:wsp>
                          <wps:cNvPr id="2057570869" name="Graphic 14"/>
                          <wps:cNvSpPr/>
                          <wps:spPr bwMode="auto">
                            <a:xfrm>
                              <a:off x="12700" y="12700"/>
                              <a:ext cx="260350" cy="152400"/>
                            </a:xfrm>
                            <a:custGeom>
                              <a:avLst/>
                              <a:gdLst/>
                              <a:ahLst/>
                              <a:cxnLst/>
                              <a:rect l="l" t="t" r="r" b="b"/>
                              <a:pathLst>
                                <a:path w="260350" h="152400" extrusionOk="0">
                                  <a:moveTo>
                                    <a:pt x="0" y="76200"/>
                                  </a:moveTo>
                                  <a:lnTo>
                                    <a:pt x="65024" y="76200"/>
                                  </a:lnTo>
                                  <a:lnTo>
                                    <a:pt x="65024" y="0"/>
                                  </a:lnTo>
                                  <a:lnTo>
                                    <a:pt x="195199" y="0"/>
                                  </a:lnTo>
                                  <a:lnTo>
                                    <a:pt x="195199" y="76200"/>
                                  </a:lnTo>
                                  <a:lnTo>
                                    <a:pt x="260350" y="76200"/>
                                  </a:lnTo>
                                  <a:lnTo>
                                    <a:pt x="130175" y="152400"/>
                                  </a:lnTo>
                                  <a:lnTo>
                                    <a:pt x="0" y="76200"/>
                                  </a:lnTo>
                                  <a:close/>
                                </a:path>
                              </a:pathLst>
                            </a:custGeom>
                            <a:ln w="25400">
                              <a:solidFill>
                                <a:srgbClr val="385D88"/>
                              </a:solidFill>
                              <a:prstDash val="solid"/>
                            </a:ln>
                          </wps:spPr>
                          <wps:bodyPr rot="0">
                            <a:prstTxWarp prst="textNoShape">
                              <a:avLst/>
                            </a:prstTxWarp>
                            <a:noAutofit/>
                          </wps:bodyPr>
                        </wps:wsp>
                      </wpg:grpSp>
                      <wpg:grpSp>
                        <wpg:cNvPr id="333989410" name="Group 18"/>
                        <wpg:cNvGrpSpPr/>
                        <wpg:grpSpPr bwMode="auto">
                          <a:xfrm>
                            <a:off x="0" y="102413"/>
                            <a:ext cx="883285" cy="405765"/>
                            <a:chOff x="12700" y="12700"/>
                            <a:chExt cx="857885" cy="380365"/>
                          </a:xfrm>
                        </wpg:grpSpPr>
                        <wps:wsp>
                          <wps:cNvPr id="294917693" name="Graphic 19"/>
                          <wps:cNvSpPr/>
                          <wps:spPr bwMode="auto">
                            <a:xfrm>
                              <a:off x="12700" y="12700"/>
                              <a:ext cx="857885" cy="380365"/>
                            </a:xfrm>
                            <a:custGeom>
                              <a:avLst/>
                              <a:gdLst/>
                              <a:ahLst/>
                              <a:cxnLst/>
                              <a:rect l="l" t="t" r="r" b="b"/>
                              <a:pathLst>
                                <a:path w="857885" h="380365" extrusionOk="0">
                                  <a:moveTo>
                                    <a:pt x="857885" y="0"/>
                                  </a:moveTo>
                                  <a:lnTo>
                                    <a:pt x="47498" y="0"/>
                                  </a:lnTo>
                                  <a:lnTo>
                                    <a:pt x="47498" y="285368"/>
                                  </a:lnTo>
                                  <a:lnTo>
                                    <a:pt x="0" y="285368"/>
                                  </a:lnTo>
                                  <a:lnTo>
                                    <a:pt x="95123" y="380364"/>
                                  </a:lnTo>
                                  <a:lnTo>
                                    <a:pt x="190119" y="285368"/>
                                  </a:lnTo>
                                  <a:lnTo>
                                    <a:pt x="142621" y="285368"/>
                                  </a:lnTo>
                                  <a:lnTo>
                                    <a:pt x="142621" y="95123"/>
                                  </a:lnTo>
                                  <a:lnTo>
                                    <a:pt x="857885" y="95123"/>
                                  </a:lnTo>
                                  <a:lnTo>
                                    <a:pt x="857885" y="0"/>
                                  </a:lnTo>
                                  <a:close/>
                                </a:path>
                              </a:pathLst>
                            </a:custGeom>
                            <a:solidFill>
                              <a:srgbClr val="4F81BB"/>
                            </a:solidFill>
                          </wps:spPr>
                          <wps:bodyPr rot="0">
                            <a:prstTxWarp prst="textNoShape">
                              <a:avLst/>
                            </a:prstTxWarp>
                            <a:noAutofit/>
                          </wps:bodyPr>
                        </wps:wsp>
                        <wps:wsp>
                          <wps:cNvPr id="1552770352" name="Graphic 20"/>
                          <wps:cNvSpPr/>
                          <wps:spPr bwMode="auto">
                            <a:xfrm>
                              <a:off x="12700" y="12700"/>
                              <a:ext cx="857885" cy="380365"/>
                            </a:xfrm>
                            <a:custGeom>
                              <a:avLst/>
                              <a:gdLst/>
                              <a:ahLst/>
                              <a:cxnLst/>
                              <a:rect l="l" t="t" r="r" b="b"/>
                              <a:pathLst>
                                <a:path w="857885" h="380365" extrusionOk="0">
                                  <a:moveTo>
                                    <a:pt x="857885" y="95123"/>
                                  </a:moveTo>
                                  <a:lnTo>
                                    <a:pt x="142621" y="95123"/>
                                  </a:lnTo>
                                  <a:lnTo>
                                    <a:pt x="142621" y="285368"/>
                                  </a:lnTo>
                                  <a:lnTo>
                                    <a:pt x="190119" y="285368"/>
                                  </a:lnTo>
                                  <a:lnTo>
                                    <a:pt x="95123" y="380364"/>
                                  </a:lnTo>
                                  <a:lnTo>
                                    <a:pt x="0" y="285368"/>
                                  </a:lnTo>
                                  <a:lnTo>
                                    <a:pt x="47498" y="285368"/>
                                  </a:lnTo>
                                  <a:lnTo>
                                    <a:pt x="47498" y="0"/>
                                  </a:lnTo>
                                  <a:lnTo>
                                    <a:pt x="857885" y="0"/>
                                  </a:lnTo>
                                  <a:lnTo>
                                    <a:pt x="857885" y="95123"/>
                                  </a:lnTo>
                                  <a:close/>
                                </a:path>
                              </a:pathLst>
                            </a:custGeom>
                            <a:ln w="25400">
                              <a:solidFill>
                                <a:srgbClr val="385D88"/>
                              </a:solidFill>
                              <a:prstDash val="solid"/>
                            </a:ln>
                          </wps:spPr>
                          <wps:bodyPr rot="0">
                            <a:prstTxWarp prst="textNoShape">
                              <a:avLst/>
                            </a:prstTxWarp>
                            <a:noAutofit/>
                          </wps:bodyPr>
                        </wps:wsp>
                      </wpg:grpSp>
                      <wps:wsp>
                        <wps:cNvPr id="1843032144" name="Text Box 14"/>
                        <wps:cNvSpPr txBox="1"/>
                        <wps:spPr bwMode="auto">
                          <a:xfrm>
                            <a:off x="950777" y="0"/>
                            <a:ext cx="963748" cy="326390"/>
                          </a:xfrm>
                          <a:prstGeom prst="rect">
                            <a:avLst/>
                          </a:prstGeom>
                          <a:ln w="6096">
                            <a:solidFill>
                              <a:srgbClr val="000000"/>
                            </a:solidFill>
                            <a:prstDash val="solid"/>
                          </a:ln>
                        </wps:spPr>
                        <wps:txbx>
                          <w:txbxContent>
                            <w:p w14:paraId="3670ACE5" w14:textId="77777777" w:rsidR="001D38A7" w:rsidRDefault="001D38A7" w:rsidP="001D38A7">
                              <w:pPr>
                                <w:pStyle w:val="BodyText"/>
                                <w:spacing w:before="105"/>
                                <w:ind w:left="143"/>
                                <w:rPr>
                                  <w:rFonts w:ascii="Cambria" w:hAnsi="Cambria"/>
                                  <w:sz w:val="20"/>
                                  <w:szCs w:val="20"/>
                                </w:rPr>
                              </w:pPr>
                              <w:r w:rsidRPr="00D0560D">
                                <w:rPr>
                                  <w:rFonts w:ascii="Cambria" w:hAnsi="Cambria"/>
                                  <w:sz w:val="20"/>
                                </w:rPr>
                                <w:t>Si no existen EC</w:t>
                              </w:r>
                            </w:p>
                            <w:p w14:paraId="1BA5AD41" w14:textId="77777777" w:rsidR="001D38A7" w:rsidRDefault="001D38A7" w:rsidP="001D38A7">
                              <w:pPr>
                                <w:pStyle w:val="BodyText"/>
                                <w:spacing w:before="102"/>
                                <w:ind w:left="143"/>
                                <w:rPr>
                                  <w:rFonts w:ascii="Cambria" w:hAnsi="Cambria"/>
                                  <w:sz w:val="20"/>
                                  <w:szCs w:val="20"/>
                                </w:rPr>
                              </w:pPr>
                            </w:p>
                          </w:txbxContent>
                        </wps:txbx>
                        <wps:bodyPr vertOverflow="clip" horzOverflow="clip" wrap="square" lIns="0" tIns="0" rIns="0" bIns="0" rtlCol="0">
                          <a:noAutofit/>
                        </wps:bodyPr>
                      </wps:wsp>
                    </wpg:wgp>
                  </a:graphicData>
                </a:graphic>
                <wp14:sizeRelH relativeFrom="margin">
                  <wp14:pctWidth>0</wp14:pctWidth>
                </wp14:sizeRelH>
              </wp:anchor>
            </w:drawing>
          </mc:Choice>
          <mc:Fallback>
            <w:pict>
              <v:group w14:anchorId="5ADDD781" id="Group 14" o:spid="_x0000_s1026" style="position:absolute;left:0;text-align:left;margin-left:256.1pt;margin-top:7.2pt;width:150.75pt;height:47.4pt;z-index:251657728;mso-width-relative:margin" coordsize="19145,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">
                <v:group id="Group 20" o:spid="_x0000_s1027" style="position:absolute;left:14996;top:4242;width:2857;height:1778" coordorigin="12700,12700" coordsize="26035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">
                  <v:shape id="Graphic 13" o:spid="_x0000_s1028" style="position:absolute;left:12700;top:12700;width:260350;height:152400;visibility:visible;mso-wrap-style:square;v-text-anchor:top" coordsize="26035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" path="m195199,l65024,r,76200l,76200r130175,76200l260350,76200r-65151,l195199,xe" fillcolor="#4f81bb" stroked="f">
                    <v:path arrowok="t" o:extrusionok="f"/>
                  </v:shape>
                  <v:shape id="Graphic 14" o:spid="_x0000_s1029" style="position:absolute;left:12700;top:12700;width:260350;height:152400;visibility:visible;mso-wrap-style:square;v-text-anchor:top" coordsize="26035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" path="m,76200r65024,l65024,,195199,r,76200l260350,76200,130175,152400,,76200xe" filled="f" strokecolor="#385d88" strokeweight="2pt">
                    <v:path arrowok="t" o:extrusionok="f"/>
                  </v:shape>
                </v:group>
                <v:group id="Group 18" o:spid="_x0000_s1030" style="position:absolute;top:1024;width:8832;height:4057" coordorigin="127,127" coordsize="8578,38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">
                  <v:shape id="Graphic 19" o:spid="_x0000_s1031" style="position:absolute;left:127;top:127;width:8578;height:3803;visibility:visible;mso-wrap-style:square;v-text-anchor:top" coordsize="857885,380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" path="m857885,l47498,r,285368l,285368r95123,94996l190119,285368r-47498,l142621,95123r715264,l857885,xe" fillcolor="#4f81bb" stroked="f">
                    <v:path arrowok="t" o:extrusionok="f"/>
                  </v:shape>
                  <v:shape id="Graphic 20" o:spid="_x0000_s1032" style="position:absolute;left:127;top:127;width:8578;height:3803;visibility:visible;mso-wrap-style:square;v-text-anchor:top" coordsize="857885,380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" path="m857885,95123r-715264,l142621,285368r47498,l95123,380364,,285368r47498,l47498,,857885,r,95123xe" filled="f" strokecolor="#385d88" strokeweight="2pt">
                    <v:path arrowok="t" o:extrusionok="f"/>
                  </v:shape>
                </v:group>
                <v:shapetype id="_x0000_t202" coordsize="21600,21600" o:spt="202" path="m,l,21600r21600,l21600,xe">
                  <v:stroke joinstyle="miter"/>
                  <v:path gradientshapeok="t" o:connecttype="rect"/>
                </v:shapetype>
                <v:shape id="Text Box 14" o:spid="_x0000_s1033" type="#_x0000_t202" style="position:absolute;left:9507;width:9638;height:3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" filled="f" strokeweight=".48pt">
                  <v:textbox inset="0,0,0,0">
                    <w:txbxContent>
                      <w:p w14:paraId="3670ACE5" w14:textId="77777777" w:rsidR="001D38A7" w:rsidRDefault="001D38A7" w:rsidP="001D38A7">
                        <w:pPr>
                          <w:pStyle w:val="BodyText"/>
                          <w:spacing w:before="105"/>
                          <w:ind w:left="143"/>
                          <w:rPr>
                            <w:rFonts w:ascii="Cambria" w:hAnsi="Cambria"/>
                            <w:sz w:val="20"/>
                            <w:szCs w:val="20"/>
                          </w:rPr>
                        </w:pPr>
                        <w:r w:rsidRPr="00D0560D">
                          <w:rPr>
                            <w:rFonts w:ascii="Cambria" w:hAnsi="Cambria"/>
                            <w:sz w:val="20"/>
                          </w:rPr>
                          <w:t>Si no existen EC</w:t>
                        </w:r>
                      </w:p>
                      <w:p w14:paraId="1BA5AD41" w14:textId="77777777" w:rsidR="001D38A7" w:rsidRDefault="001D38A7" w:rsidP="001D38A7">
                        <w:pPr>
                          <w:pStyle w:val="BodyText"/>
                          <w:spacing w:before="102"/>
                          <w:ind w:left="143"/>
                          <w:rPr>
                            <w:rFonts w:ascii="Cambria" w:hAnsi="Cambria"/>
                            <w:sz w:val="20"/>
                            <w:szCs w:val="20"/>
                          </w:rPr>
                        </w:pPr>
                      </w:p>
                    </w:txbxContent>
                  </v:textbox>
                </v:shape>
              </v:group>
            </w:pict>
          </mc:Fallback>
        </mc:AlternateContent>
      </w:r>
      <w:r w:rsidRPr="0099704B">
        <w:rPr>
          <w:rFonts w:ascii="Cambria" w:eastAsia="Aptos" w:hAnsi="Cambria"/>
          <w:noProof/>
          <w:sz w:val="20"/>
          <w:szCs w:val="20"/>
          <w14:ligatures w14:val="standardContextual"/>
        </w:rPr>
        <mc:AlternateContent>
          <mc:Choice Requires="wps">
            <w:drawing>
              <wp:anchor distT="0" distB="0" distL="0" distR="0" simplePos="0" relativeHeight="251649536" behindDoc="1" locked="0" layoutInCell="1" allowOverlap="1" wp14:anchorId="498362CC" wp14:editId="507214EF">
                <wp:simplePos x="0" y="0"/>
                <wp:positionH relativeFrom="page">
                  <wp:posOffset>1130935</wp:posOffset>
                </wp:positionH>
                <wp:positionV relativeFrom="paragraph">
                  <wp:posOffset>181610</wp:posOffset>
                </wp:positionV>
                <wp:extent cx="1146175" cy="306705"/>
                <wp:effectExtent l="0" t="0" r="15875" b="17145"/>
                <wp:wrapTopAndBottom/>
                <wp:docPr id="6" name="Text Box 13"/>
                <wp:cNvGraphicFramePr/>
                <a:graphic xmlns:a="http://schemas.openxmlformats.org/drawingml/2006/main">
                  <a:graphicData uri="http://schemas.microsoft.com/office/word/2010/wordprocessingShape">
                    <wps:wsp>
                      <wps:cNvSpPr txBox="1"/>
                      <wps:spPr bwMode="auto">
                        <a:xfrm>
                          <a:off x="0" y="0"/>
                          <a:ext cx="1146175" cy="306705"/>
                        </a:xfrm>
                        <a:prstGeom prst="rect">
                          <a:avLst/>
                        </a:prstGeom>
                        <a:ln w="6096">
                          <a:solidFill>
                            <a:srgbClr val="000000"/>
                          </a:solidFill>
                          <a:prstDash val="solid"/>
                        </a:ln>
                      </wps:spPr>
                      <wps:txbx>
                        <w:txbxContent>
                          <w:p w14:paraId="3DF444D8" w14:textId="77777777" w:rsidR="001D38A7" w:rsidRDefault="001D38A7" w:rsidP="001D38A7">
                            <w:pPr>
                              <w:pStyle w:val="BodyText"/>
                              <w:spacing w:before="105"/>
                              <w:ind w:left="143"/>
                              <w:rPr>
                                <w:rFonts w:ascii="Cambria" w:hAnsi="Cambria"/>
                                <w:sz w:val="20"/>
                                <w:szCs w:val="20"/>
                              </w:rPr>
                            </w:pPr>
                            <w:r w:rsidRPr="00D0560D">
                              <w:rPr>
                                <w:rFonts w:ascii="Cambria" w:hAnsi="Cambria"/>
                                <w:sz w:val="20"/>
                              </w:rPr>
                              <w:t>Si no existen EC</w:t>
                            </w:r>
                          </w:p>
                        </w:txbxContent>
                      </wps:txbx>
                      <wps:bodyPr vertOverflow="clip" horzOverflow="clip"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498362CC" id="Text Box 13" o:spid="_x0000_s1034" type="#_x0000_t202" style="position:absolute;left:0;text-align:left;margin-left:89.05pt;margin-top:14.3pt;width:90.25pt;height:24.15pt;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" filled="f" strokeweight=".48pt">
                <v:textbox inset="0,0,0,0">
                  <w:txbxContent>
                    <w:p w14:paraId="3DF444D8" w14:textId="77777777" w:rsidR="001D38A7" w:rsidRDefault="001D38A7" w:rsidP="001D38A7">
                      <w:pPr>
                        <w:pStyle w:val="BodyText"/>
                        <w:spacing w:before="105"/>
                        <w:ind w:left="143"/>
                        <w:rPr>
                          <w:rFonts w:ascii="Cambria" w:hAnsi="Cambria"/>
                          <w:sz w:val="20"/>
                          <w:szCs w:val="20"/>
                        </w:rPr>
                      </w:pPr>
                      <w:r w:rsidRPr="00D0560D">
                        <w:rPr>
                          <w:rFonts w:ascii="Cambria" w:hAnsi="Cambria"/>
                          <w:sz w:val="20"/>
                        </w:rPr>
                        <w:t>Si no existen EC</w:t>
                      </w:r>
                    </w:p>
                  </w:txbxContent>
                </v:textbox>
                <w10:wrap type="topAndBottom" anchorx="page"/>
              </v:shape>
            </w:pict>
          </mc:Fallback>
        </mc:AlternateContent>
      </w:r>
    </w:p>
    <w:p w14:paraId="03C9B999" w14:textId="77777777" w:rsidR="001D38A7" w:rsidRPr="0099704B" w:rsidRDefault="001D38A7" w:rsidP="001D38A7">
      <w:pPr>
        <w:widowControl w:val="0"/>
        <w:suppressAutoHyphens/>
        <w:jc w:val="both"/>
        <w:rPr>
          <w:rFonts w:ascii="Cambria" w:eastAsia="Cambria" w:hAnsi="Cambria" w:cs="Cambria"/>
          <w:sz w:val="20"/>
          <w:szCs w:val="20"/>
        </w:rPr>
      </w:pPr>
      <w:r w:rsidRPr="0099704B">
        <w:rPr>
          <w:rFonts w:ascii="Cambria" w:eastAsia="Cambria" w:hAnsi="Cambria" w:cs="Cambria"/>
          <w:noProof/>
          <w:sz w:val="20"/>
          <w:szCs w:val="20"/>
        </w:rPr>
        <mc:AlternateContent>
          <mc:Choice Requires="wpg">
            <w:drawing>
              <wp:anchor distT="0" distB="0" distL="0" distR="0" simplePos="0" relativeHeight="251652608" behindDoc="0" locked="0" layoutInCell="1" allowOverlap="1" wp14:anchorId="4399F316" wp14:editId="040F59CE">
                <wp:simplePos x="0" y="0"/>
                <wp:positionH relativeFrom="page">
                  <wp:posOffset>1500505</wp:posOffset>
                </wp:positionH>
                <wp:positionV relativeFrom="paragraph">
                  <wp:posOffset>429895</wp:posOffset>
                </wp:positionV>
                <wp:extent cx="285750" cy="177800"/>
                <wp:effectExtent l="0" t="0" r="0" b="12700"/>
                <wp:wrapNone/>
                <wp:docPr id="2" name="Group 19"/>
                <wp:cNvGraphicFramePr/>
                <a:graphic xmlns:a="http://schemas.openxmlformats.org/drawingml/2006/main">
                  <a:graphicData uri="http://schemas.microsoft.com/office/word/2010/wordprocessingGroup">
                    <wpg:wgp>
                      <wpg:cNvGrpSpPr/>
                      <wpg:grpSpPr bwMode="auto">
                        <a:xfrm>
                          <a:off x="0" y="0"/>
                          <a:ext cx="285750" cy="177800"/>
                          <a:chOff x="12700" y="12700"/>
                          <a:chExt cx="260350" cy="152400"/>
                        </a:xfrm>
                      </wpg:grpSpPr>
                      <wps:wsp>
                        <wps:cNvPr id="1631872348" name="Graphic 16"/>
                        <wps:cNvSpPr/>
                        <wps:spPr bwMode="auto">
                          <a:xfrm>
                            <a:off x="12700" y="12700"/>
                            <a:ext cx="260350" cy="152400"/>
                          </a:xfrm>
                          <a:custGeom>
                            <a:avLst/>
                            <a:gdLst/>
                            <a:ahLst/>
                            <a:cxnLst/>
                            <a:rect l="l" t="t" r="r" b="b"/>
                            <a:pathLst>
                              <a:path w="260350" h="152400" extrusionOk="0">
                                <a:moveTo>
                                  <a:pt x="195199" y="0"/>
                                </a:moveTo>
                                <a:lnTo>
                                  <a:pt x="65024" y="0"/>
                                </a:lnTo>
                                <a:lnTo>
                                  <a:pt x="65024" y="76200"/>
                                </a:lnTo>
                                <a:lnTo>
                                  <a:pt x="0" y="76200"/>
                                </a:lnTo>
                                <a:lnTo>
                                  <a:pt x="130175" y="152400"/>
                                </a:lnTo>
                                <a:lnTo>
                                  <a:pt x="260350" y="76200"/>
                                </a:lnTo>
                                <a:lnTo>
                                  <a:pt x="195199" y="76200"/>
                                </a:lnTo>
                                <a:lnTo>
                                  <a:pt x="195199" y="0"/>
                                </a:lnTo>
                                <a:close/>
                              </a:path>
                            </a:pathLst>
                          </a:custGeom>
                          <a:solidFill>
                            <a:srgbClr val="4F81BB"/>
                          </a:solidFill>
                        </wps:spPr>
                        <wps:bodyPr rot="0">
                          <a:prstTxWarp prst="textNoShape">
                            <a:avLst/>
                          </a:prstTxWarp>
                          <a:noAutofit/>
                        </wps:bodyPr>
                      </wps:wsp>
                      <wps:wsp>
                        <wps:cNvPr id="1017858021" name="Graphic 17"/>
                        <wps:cNvSpPr/>
                        <wps:spPr bwMode="auto">
                          <a:xfrm>
                            <a:off x="12700" y="12700"/>
                            <a:ext cx="260350" cy="152400"/>
                          </a:xfrm>
                          <a:custGeom>
                            <a:avLst/>
                            <a:gdLst/>
                            <a:ahLst/>
                            <a:cxnLst/>
                            <a:rect l="l" t="t" r="r" b="b"/>
                            <a:pathLst>
                              <a:path w="260350" h="152400" extrusionOk="0">
                                <a:moveTo>
                                  <a:pt x="0" y="76200"/>
                                </a:moveTo>
                                <a:lnTo>
                                  <a:pt x="65024" y="76200"/>
                                </a:lnTo>
                                <a:lnTo>
                                  <a:pt x="65024" y="0"/>
                                </a:lnTo>
                                <a:lnTo>
                                  <a:pt x="195199" y="0"/>
                                </a:lnTo>
                                <a:lnTo>
                                  <a:pt x="195199" y="76200"/>
                                </a:lnTo>
                                <a:lnTo>
                                  <a:pt x="260350" y="76200"/>
                                </a:lnTo>
                                <a:lnTo>
                                  <a:pt x="130175" y="152400"/>
                                </a:lnTo>
                                <a:lnTo>
                                  <a:pt x="0" y="76200"/>
                                </a:lnTo>
                                <a:close/>
                              </a:path>
                            </a:pathLst>
                          </a:custGeom>
                          <a:ln w="25400">
                            <a:solidFill>
                              <a:srgbClr val="385D88"/>
                            </a:solidFill>
                            <a:prstDash val="solid"/>
                          </a:ln>
                        </wps:spPr>
                        <wps:bodyPr rot="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0022308F" id="Group 19" o:spid="_x0000_s1026" style="position:absolute;margin-left:118.15pt;margin-top:33.85pt;width:22.5pt;height:14pt;z-index:251652608;mso-wrap-distance-left:0;mso-wrap-distance-right:0;mso-position-horizontal-relative:page" coordorigin="12700,12700" coordsize="26035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">
                <v:shape id="Graphic 16" o:spid="_x0000_s1027" style="position:absolute;left:12700;top:12700;width:260350;height:152400;visibility:visible;mso-wrap-style:square;v-text-anchor:top" coordsize="26035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" path="m195199,l65024,r,76200l,76200r130175,76200l260350,76200r-65151,l195199,xe" fillcolor="#4f81bb" stroked="f">
                  <v:path arrowok="t" o:extrusionok="f"/>
                </v:shape>
                <v:shape id="Graphic 17" o:spid="_x0000_s1028" style="position:absolute;left:12700;top:12700;width:260350;height:152400;visibility:visible;mso-wrap-style:square;v-text-anchor:top" coordsize="26035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" path="m,76200r65024,l65024,,195199,r,76200l260350,76200,130175,152400,,76200xe" filled="f" strokecolor="#385d88" strokeweight="2pt">
                  <v:path arrowok="t" o:extrusionok="f"/>
                </v:shape>
                <w10:wrap anchorx="page"/>
              </v:group>
            </w:pict>
          </mc:Fallback>
        </mc:AlternateContent>
      </w:r>
    </w:p>
    <w:p w14:paraId="6CE1D48F" w14:textId="77777777" w:rsidR="001D38A7" w:rsidRPr="0099704B" w:rsidRDefault="001D38A7" w:rsidP="001D38A7">
      <w:pPr>
        <w:widowControl w:val="0"/>
        <w:suppressAutoHyphens/>
        <w:jc w:val="both"/>
        <w:rPr>
          <w:rFonts w:ascii="Cambria" w:eastAsia="Cambria" w:hAnsi="Cambria" w:cs="Cambria"/>
          <w:sz w:val="20"/>
          <w:szCs w:val="20"/>
        </w:rPr>
      </w:pPr>
      <w:r w:rsidRPr="0099704B">
        <w:rPr>
          <w:rFonts w:ascii="Cambria" w:eastAsia="Aptos" w:hAnsi="Cambria"/>
          <w:noProof/>
          <w:sz w:val="20"/>
          <w:szCs w:val="20"/>
          <w14:ligatures w14:val="standardContextual"/>
        </w:rPr>
        <mc:AlternateContent>
          <mc:Choice Requires="wps">
            <w:drawing>
              <wp:anchor distT="0" distB="0" distL="0" distR="0" simplePos="0" relativeHeight="251648512" behindDoc="0" locked="0" layoutInCell="1" allowOverlap="1" wp14:anchorId="5BF4D9E6" wp14:editId="5B5830E2">
                <wp:simplePos x="0" y="0"/>
                <wp:positionH relativeFrom="page">
                  <wp:posOffset>711200</wp:posOffset>
                </wp:positionH>
                <wp:positionV relativeFrom="paragraph">
                  <wp:posOffset>165735</wp:posOffset>
                </wp:positionV>
                <wp:extent cx="1807845" cy="1282700"/>
                <wp:effectExtent l="0" t="0" r="20955" b="12700"/>
                <wp:wrapNone/>
                <wp:docPr id="7" name="Text Box 15"/>
                <wp:cNvGraphicFramePr/>
                <a:graphic xmlns:a="http://schemas.openxmlformats.org/drawingml/2006/main">
                  <a:graphicData uri="http://schemas.microsoft.com/office/word/2010/wordprocessingShape">
                    <wps:wsp>
                      <wps:cNvSpPr txBox="1"/>
                      <wps:spPr bwMode="auto">
                        <a:xfrm>
                          <a:off x="0" y="0"/>
                          <a:ext cx="1807845" cy="1282700"/>
                        </a:xfrm>
                        <a:prstGeom prst="rect">
                          <a:avLst/>
                        </a:prstGeom>
                        <a:ln w="6096">
                          <a:solidFill>
                            <a:srgbClr val="000000"/>
                          </a:solidFill>
                          <a:prstDash val="solid"/>
                        </a:ln>
                      </wps:spPr>
                      <wps:txbx>
                        <w:txbxContent>
                          <w:p w14:paraId="5F01EF14" w14:textId="77777777" w:rsidR="001D38A7" w:rsidRDefault="001D38A7" w:rsidP="001D38A7">
                            <w:pPr>
                              <w:pStyle w:val="BodyText"/>
                              <w:spacing w:before="98"/>
                              <w:ind w:left="143" w:right="121"/>
                              <w:rPr>
                                <w:rFonts w:ascii="Cambria" w:hAnsi="Cambria"/>
                                <w:sz w:val="20"/>
                                <w:szCs w:val="20"/>
                              </w:rPr>
                            </w:pPr>
                            <w:r w:rsidRPr="00D0560D">
                              <w:rPr>
                                <w:rFonts w:ascii="Cambria" w:hAnsi="Cambria"/>
                                <w:sz w:val="20"/>
                              </w:rPr>
                              <w:t>Los TAC calculados por el MP continúan siendo válidos (en los años 1-3) y el MP continúa aplicándose en el año 3 para calcular los TAC para el siguiente periodo de ordenación de tres años.</w:t>
                            </w:r>
                          </w:p>
                        </w:txbxContent>
                      </wps:txbx>
                      <wps:bodyPr vertOverflow="clip" horzOverflow="clip"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5BF4D9E6" id="Text Box 15" o:spid="_x0000_s1035" type="#_x0000_t202" style="position:absolute;left:0;text-align:left;margin-left:56pt;margin-top:13.05pt;width:142.35pt;height:101pt;z-index:251648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" filled="f" strokeweight=".48pt">
                <v:textbox inset="0,0,0,0">
                  <w:txbxContent>
                    <w:p w14:paraId="5F01EF14" w14:textId="77777777" w:rsidR="001D38A7" w:rsidRDefault="001D38A7" w:rsidP="001D38A7">
                      <w:pPr>
                        <w:pStyle w:val="BodyText"/>
                        <w:spacing w:before="98"/>
                        <w:ind w:left="143" w:right="121"/>
                        <w:rPr>
                          <w:rFonts w:ascii="Cambria" w:hAnsi="Cambria"/>
                          <w:sz w:val="20"/>
                          <w:szCs w:val="20"/>
                        </w:rPr>
                      </w:pPr>
                      <w:r w:rsidRPr="00D0560D">
                        <w:rPr>
                          <w:rFonts w:ascii="Cambria" w:hAnsi="Cambria"/>
                          <w:sz w:val="20"/>
                        </w:rPr>
                        <w:t>Los TAC calculados por el MP continúan siendo válidos (en los años 1-3) y el MP continúa aplicándose en el año 3 para calcular los TAC para el siguiente periodo de ordenación de tres años.</w:t>
                      </w:r>
                    </w:p>
                  </w:txbxContent>
                </v:textbox>
                <w10:wrap anchorx="page"/>
              </v:shape>
            </w:pict>
          </mc:Fallback>
        </mc:AlternateContent>
      </w:r>
    </w:p>
    <w:p w14:paraId="2EA451B5" w14:textId="77777777" w:rsidR="001D38A7" w:rsidRPr="0099704B" w:rsidRDefault="001D38A7" w:rsidP="001D38A7">
      <w:pPr>
        <w:widowControl w:val="0"/>
        <w:suppressAutoHyphens/>
        <w:jc w:val="both"/>
        <w:rPr>
          <w:rFonts w:ascii="Cambria" w:eastAsia="Cambria" w:hAnsi="Cambria" w:cs="Cambria"/>
          <w:sz w:val="20"/>
          <w:szCs w:val="20"/>
        </w:rPr>
      </w:pPr>
      <w:r w:rsidRPr="0099704B">
        <w:rPr>
          <w:rFonts w:ascii="Cambria" w:eastAsia="Cambria" w:hAnsi="Cambria" w:cs="Cambria"/>
          <w:noProof/>
          <w:sz w:val="20"/>
          <w:szCs w:val="20"/>
        </w:rPr>
        <mc:AlternateContent>
          <mc:Choice Requires="wps">
            <w:drawing>
              <wp:anchor distT="0" distB="0" distL="0" distR="0" simplePos="0" relativeHeight="251661824" behindDoc="0" locked="0" layoutInCell="1" allowOverlap="1" wp14:anchorId="61583042" wp14:editId="0F402BDF">
                <wp:simplePos x="0" y="0"/>
                <wp:positionH relativeFrom="page">
                  <wp:posOffset>2896235</wp:posOffset>
                </wp:positionH>
                <wp:positionV relativeFrom="paragraph">
                  <wp:posOffset>94615</wp:posOffset>
                </wp:positionV>
                <wp:extent cx="1772920" cy="922020"/>
                <wp:effectExtent l="0" t="0" r="17780" b="11430"/>
                <wp:wrapNone/>
                <wp:docPr id="4" name="Text Box 16"/>
                <wp:cNvGraphicFramePr/>
                <a:graphic xmlns:a="http://schemas.openxmlformats.org/drawingml/2006/main">
                  <a:graphicData uri="http://schemas.microsoft.com/office/word/2010/wordprocessingShape">
                    <wps:wsp>
                      <wps:cNvSpPr txBox="1"/>
                      <wps:spPr bwMode="auto">
                        <a:xfrm>
                          <a:off x="0" y="0"/>
                          <a:ext cx="1772920" cy="922020"/>
                        </a:xfrm>
                        <a:prstGeom prst="rect">
                          <a:avLst/>
                        </a:prstGeom>
                        <a:ln w="6096">
                          <a:solidFill>
                            <a:srgbClr val="000000"/>
                          </a:solidFill>
                          <a:prstDash val="solid"/>
                        </a:ln>
                      </wps:spPr>
                      <wps:txbx>
                        <w:txbxContent>
                          <w:p w14:paraId="683DBF95" w14:textId="77777777" w:rsidR="001D38A7" w:rsidRDefault="001D38A7" w:rsidP="001D38A7">
                            <w:pPr>
                              <w:pStyle w:val="BodyText"/>
                              <w:spacing w:before="90" w:line="234" w:lineRule="exact"/>
                              <w:ind w:left="143"/>
                              <w:rPr>
                                <w:rFonts w:ascii="Cambria" w:hAnsi="Cambria"/>
                                <w:sz w:val="20"/>
                                <w:szCs w:val="20"/>
                              </w:rPr>
                            </w:pPr>
                            <w:r w:rsidRPr="00D0560D">
                              <w:rPr>
                                <w:rFonts w:ascii="Cambria" w:hAnsi="Cambria"/>
                                <w:sz w:val="20"/>
                              </w:rPr>
                              <w:t>El SCRS determina que las EC no impiden la aplicación del MP o la implementación de sus resultados (es decir, TAC).</w:t>
                            </w:r>
                          </w:p>
                          <w:p w14:paraId="23EBB7DC" w14:textId="77777777" w:rsidR="001D38A7" w:rsidRPr="00300FC2" w:rsidRDefault="001D38A7" w:rsidP="001D38A7">
                            <w:pPr>
                              <w:pStyle w:val="BodyText"/>
                              <w:tabs>
                                <w:tab w:val="left" w:pos="866"/>
                              </w:tabs>
                              <w:spacing w:before="110"/>
                              <w:ind w:left="146" w:right="154"/>
                              <w:jc w:val="both"/>
                              <w:rPr>
                                <w:rFonts w:ascii="Cambria" w:hAnsi="Cambria"/>
                                <w:sz w:val="20"/>
                                <w:szCs w:val="20"/>
                              </w:rPr>
                            </w:pPr>
                          </w:p>
                        </w:txbxContent>
                      </wps:txbx>
                      <wps:bodyPr vertOverflow="clip" horzOverflow="clip"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61583042" id="Text Box 16" o:spid="_x0000_s1036" type="#_x0000_t202" style="position:absolute;left:0;text-align:left;margin-left:228.05pt;margin-top:7.45pt;width:139.6pt;height:72.6pt;z-index:251661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" filled="f" strokeweight=".48pt">
                <v:textbox inset="0,0,0,0">
                  <w:txbxContent>
                    <w:p w14:paraId="683DBF95" w14:textId="77777777" w:rsidR="001D38A7" w:rsidRDefault="001D38A7" w:rsidP="001D38A7">
                      <w:pPr>
                        <w:pStyle w:val="BodyText"/>
                        <w:spacing w:before="90" w:line="234" w:lineRule="exact"/>
                        <w:ind w:left="143"/>
                        <w:rPr>
                          <w:rFonts w:ascii="Cambria" w:hAnsi="Cambria"/>
                          <w:sz w:val="20"/>
                          <w:szCs w:val="20"/>
                        </w:rPr>
                      </w:pPr>
                      <w:r w:rsidRPr="00D0560D">
                        <w:rPr>
                          <w:rFonts w:ascii="Cambria" w:hAnsi="Cambria"/>
                          <w:sz w:val="20"/>
                        </w:rPr>
                        <w:t>El SCRS determina que las EC no impiden la aplicación del MP o la implementación de sus resultados (es decir, TAC).</w:t>
                      </w:r>
                    </w:p>
                    <w:p w14:paraId="23EBB7DC" w14:textId="77777777" w:rsidR="001D38A7" w:rsidRPr="00300FC2" w:rsidRDefault="001D38A7" w:rsidP="001D38A7">
                      <w:pPr>
                        <w:pStyle w:val="BodyText"/>
                        <w:tabs>
                          <w:tab w:val="left" w:pos="866"/>
                        </w:tabs>
                        <w:spacing w:before="110"/>
                        <w:ind w:left="146" w:right="154"/>
                        <w:jc w:val="both"/>
                        <w:rPr>
                          <w:rFonts w:ascii="Cambria" w:hAnsi="Cambria"/>
                          <w:sz w:val="20"/>
                          <w:szCs w:val="20"/>
                        </w:rPr>
                      </w:pPr>
                    </w:p>
                  </w:txbxContent>
                </v:textbox>
                <w10:wrap anchorx="page"/>
              </v:shape>
            </w:pict>
          </mc:Fallback>
        </mc:AlternateContent>
      </w:r>
      <w:r w:rsidRPr="0099704B">
        <w:rPr>
          <w:rFonts w:ascii="Cambria" w:eastAsia="Aptos" w:hAnsi="Cambria"/>
          <w:noProof/>
          <w:sz w:val="20"/>
          <w:szCs w:val="20"/>
          <w14:ligatures w14:val="standardContextual"/>
        </w:rPr>
        <mc:AlternateContent>
          <mc:Choice Requires="wps">
            <w:drawing>
              <wp:anchor distT="0" distB="0" distL="0" distR="0" simplePos="0" relativeHeight="251645440" behindDoc="0" locked="0" layoutInCell="1" allowOverlap="1" wp14:anchorId="2BDFBFF6" wp14:editId="41D411D1">
                <wp:simplePos x="0" y="0"/>
                <wp:positionH relativeFrom="page">
                  <wp:posOffset>4794250</wp:posOffset>
                </wp:positionH>
                <wp:positionV relativeFrom="paragraph">
                  <wp:posOffset>4445</wp:posOffset>
                </wp:positionV>
                <wp:extent cx="2070100" cy="1015365"/>
                <wp:effectExtent l="0" t="0" r="25400" b="13335"/>
                <wp:wrapNone/>
                <wp:docPr id="8" name="Text Box 17"/>
                <wp:cNvGraphicFramePr/>
                <a:graphic xmlns:a="http://schemas.openxmlformats.org/drawingml/2006/main">
                  <a:graphicData uri="http://schemas.microsoft.com/office/word/2010/wordprocessingShape">
                    <wps:wsp>
                      <wps:cNvSpPr txBox="1"/>
                      <wps:spPr bwMode="auto">
                        <a:xfrm>
                          <a:off x="0" y="0"/>
                          <a:ext cx="2070100" cy="1015365"/>
                        </a:xfrm>
                        <a:prstGeom prst="rect">
                          <a:avLst/>
                        </a:prstGeom>
                        <a:ln w="6096">
                          <a:solidFill>
                            <a:srgbClr val="000000"/>
                          </a:solidFill>
                          <a:prstDash val="solid"/>
                        </a:ln>
                      </wps:spPr>
                      <wps:txbx>
                        <w:txbxContent>
                          <w:p w14:paraId="24F928A6" w14:textId="77777777" w:rsidR="001D38A7" w:rsidRDefault="001D38A7" w:rsidP="001D38A7">
                            <w:pPr>
                              <w:pStyle w:val="BodyText"/>
                              <w:spacing w:before="90" w:line="234" w:lineRule="exact"/>
                              <w:ind w:left="143"/>
                              <w:rPr>
                                <w:rFonts w:ascii="Cambria" w:hAnsi="Cambria"/>
                                <w:sz w:val="20"/>
                                <w:szCs w:val="20"/>
                              </w:rPr>
                            </w:pPr>
                            <w:r w:rsidRPr="00D0560D">
                              <w:rPr>
                                <w:rFonts w:ascii="Cambria" w:hAnsi="Cambria"/>
                                <w:sz w:val="20"/>
                              </w:rPr>
                              <w:t>El SCRS determina que las EC impiden la aplicación del MP o hacen que no sea aconsejable la aplicación del MP o la implementación de sus resultados (es decir, TAC).</w:t>
                            </w:r>
                          </w:p>
                        </w:txbxContent>
                      </wps:txbx>
                      <wps:bodyPr vertOverflow="clip" horzOverflow="clip"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2BDFBFF6" id="Text Box 17" o:spid="_x0000_s1037" type="#_x0000_t202" style="position:absolute;left:0;text-align:left;margin-left:377.5pt;margin-top:.35pt;width:163pt;height:79.95pt;z-index:2516454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" filled="f" strokeweight=".48pt">
                <v:textbox inset="0,0,0,0">
                  <w:txbxContent>
                    <w:p w14:paraId="24F928A6" w14:textId="77777777" w:rsidR="001D38A7" w:rsidRDefault="001D38A7" w:rsidP="001D38A7">
                      <w:pPr>
                        <w:pStyle w:val="BodyText"/>
                        <w:spacing w:before="90" w:line="234" w:lineRule="exact"/>
                        <w:ind w:left="143"/>
                        <w:rPr>
                          <w:rFonts w:ascii="Cambria" w:hAnsi="Cambria"/>
                          <w:sz w:val="20"/>
                          <w:szCs w:val="20"/>
                        </w:rPr>
                      </w:pPr>
                      <w:r w:rsidRPr="00D0560D">
                        <w:rPr>
                          <w:rFonts w:ascii="Cambria" w:hAnsi="Cambria"/>
                          <w:sz w:val="20"/>
                        </w:rPr>
                        <w:t>El SCRS determina que las EC impiden la aplicación del MP o hacen que no sea aconsejable la aplicación del MP o la implementación de sus resultados (es decir, TAC).</w:t>
                      </w:r>
                    </w:p>
                  </w:txbxContent>
                </v:textbox>
                <w10:wrap anchorx="page"/>
              </v:shape>
            </w:pict>
          </mc:Fallback>
        </mc:AlternateContent>
      </w:r>
    </w:p>
    <w:p w14:paraId="70DF6BFC" w14:textId="77777777" w:rsidR="001D38A7" w:rsidRPr="0099704B" w:rsidRDefault="001D38A7" w:rsidP="001D38A7">
      <w:pPr>
        <w:widowControl w:val="0"/>
        <w:suppressAutoHyphens/>
        <w:jc w:val="both"/>
        <w:rPr>
          <w:rFonts w:ascii="Cambria" w:eastAsia="Cambria" w:hAnsi="Cambria" w:cs="Cambria"/>
          <w:sz w:val="20"/>
          <w:szCs w:val="20"/>
        </w:rPr>
      </w:pPr>
    </w:p>
    <w:p w14:paraId="463E9D94" w14:textId="77777777" w:rsidR="001D38A7" w:rsidRPr="0099704B" w:rsidRDefault="001D38A7" w:rsidP="001D38A7">
      <w:pPr>
        <w:widowControl w:val="0"/>
        <w:suppressAutoHyphens/>
        <w:jc w:val="both"/>
        <w:rPr>
          <w:rFonts w:ascii="Cambria" w:eastAsia="Cambria" w:hAnsi="Cambria" w:cs="Cambria"/>
          <w:sz w:val="20"/>
          <w:szCs w:val="20"/>
        </w:rPr>
      </w:pPr>
      <w:r w:rsidRPr="0099704B">
        <w:rPr>
          <w:rFonts w:ascii="Cambria" w:eastAsia="Cambria" w:hAnsi="Cambria" w:cs="Cambria"/>
          <w:noProof/>
          <w:sz w:val="20"/>
          <w:szCs w:val="20"/>
        </w:rPr>
        <w:drawing>
          <wp:anchor distT="0" distB="0" distL="0" distR="0" simplePos="0" relativeHeight="251660800" behindDoc="0" locked="0" layoutInCell="1" allowOverlap="1" wp14:anchorId="7FBC4368" wp14:editId="7472EDBB">
            <wp:simplePos x="0" y="0"/>
            <wp:positionH relativeFrom="page">
              <wp:posOffset>2576830</wp:posOffset>
            </wp:positionH>
            <wp:positionV relativeFrom="paragraph">
              <wp:posOffset>67310</wp:posOffset>
            </wp:positionV>
            <wp:extent cx="249555" cy="228600"/>
            <wp:effectExtent l="0" t="0" r="0" b="0"/>
            <wp:wrapNone/>
            <wp:docPr id="10" name="Picture 11"/>
            <wp:cNvGraphicFramePr/>
            <a:graphic xmlns:a="http://schemas.openxmlformats.org/drawingml/2006/main">
              <a:graphicData uri="http://schemas.openxmlformats.org/drawingml/2006/picture">
                <pic:pic xmlns:pic="http://schemas.openxmlformats.org/drawingml/2006/picture">
                  <pic:nvPicPr>
                    <pic:cNvPr id="0" name="Image 29"/>
                    <pic:cNvPicPr>
                      <a:picLocks noChangeArrowheads="1"/>
                    </pic:cNvPicPr>
                  </pic:nvPicPr>
                  <pic:blipFill rotWithShape="1">
                    <a:blip r:embed="rId31"/>
                    <a:stretch/>
                  </pic:blipFill>
                  <pic:spPr bwMode="auto">
                    <a:xfrm>
                      <a:off x="0" y="0"/>
                      <a:ext cx="249555" cy="228600"/>
                    </a:xfrm>
                    <a:prstGeom prst="rect">
                      <a:avLst/>
                    </a:prstGeom>
                    <a:noFill/>
                  </pic:spPr>
                </pic:pic>
              </a:graphicData>
            </a:graphic>
            <wp14:sizeRelH relativeFrom="page">
              <wp14:pctWidth>0</wp14:pctWidth>
            </wp14:sizeRelH>
            <wp14:sizeRelV relativeFrom="page">
              <wp14:pctHeight>0</wp14:pctHeight>
            </wp14:sizeRelV>
          </wp:anchor>
        </w:drawing>
      </w:r>
    </w:p>
    <w:p w14:paraId="6B301A7E" w14:textId="77777777" w:rsidR="001D38A7" w:rsidRPr="0099704B" w:rsidRDefault="001D38A7" w:rsidP="001D38A7">
      <w:pPr>
        <w:widowControl w:val="0"/>
        <w:suppressAutoHyphens/>
        <w:jc w:val="both"/>
        <w:rPr>
          <w:rFonts w:ascii="Cambria" w:eastAsia="Cambria" w:hAnsi="Cambria" w:cs="Cambria"/>
          <w:sz w:val="20"/>
          <w:szCs w:val="20"/>
        </w:rPr>
      </w:pPr>
    </w:p>
    <w:p w14:paraId="2F754AE9" w14:textId="77777777" w:rsidR="001D38A7" w:rsidRPr="0099704B" w:rsidRDefault="001D38A7" w:rsidP="001D38A7">
      <w:pPr>
        <w:widowControl w:val="0"/>
        <w:suppressAutoHyphens/>
        <w:jc w:val="both"/>
        <w:rPr>
          <w:rFonts w:ascii="Cambria" w:eastAsia="Cambria" w:hAnsi="Cambria" w:cs="Cambria"/>
          <w:sz w:val="20"/>
          <w:szCs w:val="20"/>
        </w:rPr>
      </w:pPr>
    </w:p>
    <w:p w14:paraId="41C79F4A" w14:textId="77777777" w:rsidR="001D38A7" w:rsidRPr="0099704B" w:rsidRDefault="001D38A7" w:rsidP="001D38A7">
      <w:pPr>
        <w:widowControl w:val="0"/>
        <w:suppressAutoHyphens/>
        <w:jc w:val="both"/>
        <w:rPr>
          <w:rFonts w:ascii="Cambria" w:eastAsia="Cambria" w:hAnsi="Cambria" w:cs="Cambria"/>
          <w:sz w:val="20"/>
          <w:szCs w:val="20"/>
        </w:rPr>
      </w:pPr>
    </w:p>
    <w:p w14:paraId="2236C123" w14:textId="77777777" w:rsidR="001D38A7" w:rsidRPr="0099704B" w:rsidRDefault="001D38A7" w:rsidP="001D38A7">
      <w:pPr>
        <w:widowControl w:val="0"/>
        <w:suppressAutoHyphens/>
        <w:jc w:val="both"/>
        <w:rPr>
          <w:rFonts w:ascii="Cambria" w:eastAsia="Cambria" w:hAnsi="Cambria" w:cs="Cambria"/>
          <w:sz w:val="20"/>
          <w:szCs w:val="20"/>
        </w:rPr>
      </w:pPr>
    </w:p>
    <w:p w14:paraId="299C1ABB" w14:textId="77777777" w:rsidR="001D38A7" w:rsidRPr="0099704B" w:rsidRDefault="001D38A7" w:rsidP="001D38A7">
      <w:pPr>
        <w:widowControl w:val="0"/>
        <w:suppressAutoHyphens/>
        <w:jc w:val="both"/>
        <w:rPr>
          <w:rFonts w:ascii="Cambria" w:eastAsia="Cambria" w:hAnsi="Cambria" w:cs="Cambria"/>
          <w:sz w:val="20"/>
          <w:szCs w:val="20"/>
        </w:rPr>
      </w:pPr>
      <w:r w:rsidRPr="0099704B">
        <w:rPr>
          <w:rFonts w:ascii="Cambria" w:eastAsia="Aptos" w:hAnsi="Cambria" w:cs="Arial"/>
          <w:noProof/>
          <w:kern w:val="2"/>
          <w:sz w:val="20"/>
          <w:szCs w:val="20"/>
          <w14:ligatures w14:val="standardContextual"/>
        </w:rPr>
        <mc:AlternateContent>
          <mc:Choice Requires="wpg">
            <w:drawing>
              <wp:anchor distT="0" distB="0" distL="114300" distR="114300" simplePos="0" relativeHeight="251664896" behindDoc="0" locked="0" layoutInCell="1" allowOverlap="1" wp14:anchorId="78170FFF" wp14:editId="27CDAD96">
                <wp:simplePos x="0" y="0"/>
                <wp:positionH relativeFrom="column">
                  <wp:posOffset>4902200</wp:posOffset>
                </wp:positionH>
                <wp:positionV relativeFrom="paragraph">
                  <wp:posOffset>57785</wp:posOffset>
                </wp:positionV>
                <wp:extent cx="260350" cy="152400"/>
                <wp:effectExtent l="19050" t="0" r="25400" b="38100"/>
                <wp:wrapNone/>
                <wp:docPr id="699982743" name="Group 699982743"/>
                <wp:cNvGraphicFramePr/>
                <a:graphic xmlns:a="http://schemas.openxmlformats.org/drawingml/2006/main">
                  <a:graphicData uri="http://schemas.microsoft.com/office/word/2010/wordprocessingGroup">
                    <wpg:wgp>
                      <wpg:cNvGrpSpPr/>
                      <wpg:grpSpPr>
                        <a:xfrm>
                          <a:off x="0" y="0"/>
                          <a:ext cx="260350" cy="152400"/>
                          <a:chOff x="0" y="0"/>
                          <a:chExt cx="260350" cy="152400"/>
                        </a:xfrm>
                      </wpg:grpSpPr>
                      <wps:wsp>
                        <wps:cNvPr id="364758600" name="Shape 2950"/>
                        <wps:cNvSpPr/>
                        <wps:spPr>
                          <a:xfrm>
                            <a:off x="0" y="0"/>
                            <a:ext cx="260350" cy="152400"/>
                          </a:xfrm>
                          <a:custGeom>
                            <a:avLst/>
                            <a:gdLst/>
                            <a:ahLst/>
                            <a:cxnLst/>
                            <a:rect l="0" t="0" r="0" b="0"/>
                            <a:pathLst>
                              <a:path w="260350" h="152400">
                                <a:moveTo>
                                  <a:pt x="65088" y="0"/>
                                </a:moveTo>
                                <a:lnTo>
                                  <a:pt x="195263" y="0"/>
                                </a:lnTo>
                                <a:lnTo>
                                  <a:pt x="195263" y="76200"/>
                                </a:lnTo>
                                <a:lnTo>
                                  <a:pt x="260350" y="76200"/>
                                </a:lnTo>
                                <a:lnTo>
                                  <a:pt x="130175" y="152400"/>
                                </a:lnTo>
                                <a:lnTo>
                                  <a:pt x="0" y="76200"/>
                                </a:lnTo>
                                <a:lnTo>
                                  <a:pt x="65088" y="76200"/>
                                </a:lnTo>
                                <a:lnTo>
                                  <a:pt x="65088" y="0"/>
                                </a:lnTo>
                                <a:close/>
                              </a:path>
                            </a:pathLst>
                          </a:custGeom>
                          <a:solidFill>
                            <a:srgbClr val="4F81BC"/>
                          </a:solidFill>
                          <a:ln w="0" cap="flat">
                            <a:noFill/>
                            <a:miter lim="101600"/>
                          </a:ln>
                          <a:effectLst/>
                        </wps:spPr>
                        <wps:bodyPr/>
                      </wps:wsp>
                      <wps:wsp>
                        <wps:cNvPr id="1338493954" name="Shape 2951"/>
                        <wps:cNvSpPr/>
                        <wps:spPr>
                          <a:xfrm>
                            <a:off x="0" y="0"/>
                            <a:ext cx="260350" cy="152400"/>
                          </a:xfrm>
                          <a:custGeom>
                            <a:avLst/>
                            <a:gdLst/>
                            <a:ahLst/>
                            <a:cxnLst/>
                            <a:rect l="0" t="0" r="0" b="0"/>
                            <a:pathLst>
                              <a:path w="260350" h="152400">
                                <a:moveTo>
                                  <a:pt x="0" y="76200"/>
                                </a:moveTo>
                                <a:lnTo>
                                  <a:pt x="65088" y="76200"/>
                                </a:lnTo>
                                <a:lnTo>
                                  <a:pt x="65088" y="0"/>
                                </a:lnTo>
                                <a:lnTo>
                                  <a:pt x="195263" y="0"/>
                                </a:lnTo>
                                <a:lnTo>
                                  <a:pt x="195263" y="76200"/>
                                </a:lnTo>
                                <a:lnTo>
                                  <a:pt x="260350" y="76200"/>
                                </a:lnTo>
                                <a:lnTo>
                                  <a:pt x="130175" y="152400"/>
                                </a:lnTo>
                                <a:lnTo>
                                  <a:pt x="0" y="76200"/>
                                </a:lnTo>
                                <a:close/>
                              </a:path>
                            </a:pathLst>
                          </a:custGeom>
                          <a:noFill/>
                          <a:ln w="25400" cap="flat" cmpd="sng" algn="ctr">
                            <a:solidFill>
                              <a:srgbClr val="385D89"/>
                            </a:solidFill>
                            <a:prstDash val="solid"/>
                            <a:miter lim="101600"/>
                          </a:ln>
                          <a:effectLst/>
                        </wps:spPr>
                        <wps:bodyPr/>
                      </wps:wsp>
                    </wpg:wgp>
                  </a:graphicData>
                </a:graphic>
                <wp14:sizeRelH relativeFrom="margin">
                  <wp14:pctWidth>0</wp14:pctWidth>
                </wp14:sizeRelH>
                <wp14:sizeRelV relativeFrom="margin">
                  <wp14:pctHeight>0</wp14:pctHeight>
                </wp14:sizeRelV>
              </wp:anchor>
            </w:drawing>
          </mc:Choice>
          <mc:Fallback>
            <w:pict>
              <v:group w14:anchorId="017F9D4D" id="Group 699982743" o:spid="_x0000_s1026" style="position:absolute;margin-left:386pt;margin-top:4.55pt;width:20.5pt;height:12pt;z-index:251664896;mso-width-relative:margin;mso-height-relative:margin" coordsize="26035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">
                <v:shape id="Shape 2950" o:spid="_x0000_s1027" style="position:absolute;width:260350;height:152400;visibility:visible;mso-wrap-style:square;v-text-anchor:top" coordsize="26035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" path="m65088,l195263,r,76200l260350,76200,130175,152400,,76200r65088,l65088,xe" fillcolor="#4f81bc" stroked="f" strokeweight="0">
                  <v:stroke miterlimit="66585f" joinstyle="miter"/>
                  <v:path arrowok="t" textboxrect="0,0,260350,152400"/>
                </v:shape>
                <v:shape id="Shape 2951" o:spid="_x0000_s1028" style="position:absolute;width:260350;height:152400;visibility:visible;mso-wrap-style:square;v-text-anchor:top" coordsize="26035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" path="m,76200r65088,l65088,,195263,r,76200l260350,76200,130175,152400,,76200xe" filled="f" strokecolor="#385d89" strokeweight="2pt">
                  <v:stroke miterlimit="66585f" joinstyle="miter"/>
                  <v:path arrowok="t" textboxrect="0,0,260350,152400"/>
                </v:shape>
              </v:group>
            </w:pict>
          </mc:Fallback>
        </mc:AlternateContent>
      </w:r>
    </w:p>
    <w:p w14:paraId="64BA488E" w14:textId="77777777" w:rsidR="001D38A7" w:rsidRPr="0099704B" w:rsidRDefault="001D38A7" w:rsidP="001D38A7">
      <w:pPr>
        <w:widowControl w:val="0"/>
        <w:suppressAutoHyphens/>
        <w:jc w:val="both"/>
        <w:rPr>
          <w:rFonts w:ascii="Cambria" w:eastAsia="Cambria" w:hAnsi="Cambria" w:cs="Cambria"/>
          <w:sz w:val="20"/>
          <w:szCs w:val="20"/>
        </w:rPr>
      </w:pPr>
    </w:p>
    <w:p w14:paraId="597E5A82" w14:textId="77777777" w:rsidR="001D38A7" w:rsidRPr="0099704B" w:rsidRDefault="001D38A7" w:rsidP="001D38A7">
      <w:pPr>
        <w:widowControl w:val="0"/>
        <w:suppressAutoHyphens/>
        <w:jc w:val="both"/>
        <w:rPr>
          <w:rFonts w:ascii="Cambria" w:eastAsia="Cambria" w:hAnsi="Cambria" w:cs="Cambria"/>
          <w:sz w:val="20"/>
          <w:szCs w:val="20"/>
        </w:rPr>
      </w:pPr>
    </w:p>
    <w:p w14:paraId="5F630EC8" w14:textId="77777777" w:rsidR="001D38A7" w:rsidRPr="000A5982" w:rsidRDefault="001D38A7" w:rsidP="001D38A7">
      <w:pPr>
        <w:widowControl w:val="0"/>
        <w:suppressAutoHyphens/>
        <w:jc w:val="both"/>
        <w:rPr>
          <w:rFonts w:ascii="Cambria" w:eastAsia="Cambria" w:hAnsi="Cambria" w:cs="Cambria"/>
          <w:sz w:val="20"/>
          <w:szCs w:val="20"/>
        </w:rPr>
      </w:pPr>
      <w:r w:rsidRPr="000A5982">
        <w:rPr>
          <w:rFonts w:ascii="Cambria" w:eastAsia="Aptos" w:hAnsi="Cambria"/>
          <w:sz w:val="20"/>
          <w:szCs w:val="20"/>
          <w14:ligatures w14:val="standardContextual"/>
        </w:rPr>
        <w:t>El SCRS asesorará a la Comisión sobre:</w:t>
      </w:r>
    </w:p>
    <w:p w14:paraId="763AFB86" w14:textId="77777777" w:rsidR="001D38A7" w:rsidRPr="000A5982" w:rsidRDefault="001D38A7" w:rsidP="001D38A7">
      <w:pPr>
        <w:widowControl w:val="0"/>
        <w:suppressAutoHyphens/>
        <w:jc w:val="both"/>
        <w:rPr>
          <w:rFonts w:ascii="Cambria" w:eastAsia="Cambria" w:hAnsi="Cambria" w:cs="Cambria"/>
          <w:sz w:val="20"/>
          <w:szCs w:val="20"/>
        </w:rPr>
      </w:pPr>
    </w:p>
    <w:p w14:paraId="4FD040F6" w14:textId="77777777" w:rsidR="001D38A7" w:rsidRPr="000A5982" w:rsidRDefault="001D38A7" w:rsidP="001D38A7">
      <w:pPr>
        <w:widowControl w:val="0"/>
        <w:numPr>
          <w:ilvl w:val="0"/>
          <w:numId w:val="45"/>
        </w:numPr>
        <w:suppressAutoHyphens/>
        <w:spacing w:after="160"/>
        <w:jc w:val="both"/>
        <w:rPr>
          <w:rFonts w:ascii="Cambria" w:eastAsia="Cambria" w:hAnsi="Cambria" w:cs="Cambria"/>
          <w:sz w:val="20"/>
          <w:szCs w:val="20"/>
        </w:rPr>
      </w:pPr>
      <w:r w:rsidRPr="000A5982">
        <w:rPr>
          <w:rFonts w:ascii="Cambria" w:eastAsia="Aptos" w:hAnsi="Cambria"/>
          <w:sz w:val="20"/>
          <w:szCs w:val="20"/>
          <w14:ligatures w14:val="standardContextual"/>
        </w:rPr>
        <w:t>Investigación adicional que puede aportar más claridad sobre si es necesario desviarse del actual calendario de revisión del MP y del TAC.</w:t>
      </w:r>
    </w:p>
    <w:p w14:paraId="0358EBD2" w14:textId="77777777" w:rsidR="001D38A7" w:rsidRPr="000A5982" w:rsidRDefault="001D38A7" w:rsidP="001D38A7">
      <w:pPr>
        <w:widowControl w:val="0"/>
        <w:numPr>
          <w:ilvl w:val="0"/>
          <w:numId w:val="45"/>
        </w:numPr>
        <w:suppressAutoHyphens/>
        <w:spacing w:after="160"/>
        <w:jc w:val="both"/>
        <w:rPr>
          <w:rFonts w:ascii="Cambria" w:eastAsia="Cambria" w:hAnsi="Cambria" w:cs="Cambria"/>
          <w:sz w:val="20"/>
          <w:szCs w:val="20"/>
        </w:rPr>
      </w:pPr>
      <w:r w:rsidRPr="000A5982">
        <w:rPr>
          <w:rFonts w:ascii="Cambria" w:eastAsia="Aptos" w:hAnsi="Cambria"/>
          <w:sz w:val="20"/>
          <w:szCs w:val="20"/>
          <w14:ligatures w14:val="standardContextual"/>
        </w:rPr>
        <w:t xml:space="preserve">Opciones de ordenación alternativas para el siguiente año pesquero destinadas a garantizar, como mínimo, la estabilidad del estado del stock, incluidas las implicaciones de: i) mantener el TAC establecido mediante el MP; </w:t>
      </w:r>
      <w:proofErr w:type="spellStart"/>
      <w:r w:rsidRPr="000A5982">
        <w:rPr>
          <w:rFonts w:ascii="Cambria" w:eastAsia="Aptos" w:hAnsi="Cambria"/>
          <w:sz w:val="20"/>
          <w:szCs w:val="20"/>
          <w14:ligatures w14:val="standardContextual"/>
        </w:rPr>
        <w:t>ii</w:t>
      </w:r>
      <w:proofErr w:type="spellEnd"/>
      <w:r w:rsidRPr="000A5982">
        <w:rPr>
          <w:rFonts w:ascii="Cambria" w:eastAsia="Aptos" w:hAnsi="Cambria"/>
          <w:sz w:val="20"/>
          <w:szCs w:val="20"/>
          <w14:ligatures w14:val="standardContextual"/>
        </w:rPr>
        <w:t xml:space="preserve">) reducir el TAC a la luz de indicios de merma del stock; </w:t>
      </w:r>
      <w:proofErr w:type="spellStart"/>
      <w:r w:rsidRPr="000A5982">
        <w:rPr>
          <w:rFonts w:ascii="Cambria" w:eastAsia="Aptos" w:hAnsi="Cambria"/>
          <w:sz w:val="20"/>
          <w:szCs w:val="20"/>
          <w14:ligatures w14:val="standardContextual"/>
        </w:rPr>
        <w:t>iii</w:t>
      </w:r>
      <w:proofErr w:type="spellEnd"/>
      <w:r w:rsidRPr="000A5982">
        <w:rPr>
          <w:rFonts w:ascii="Cambria" w:eastAsia="Aptos" w:hAnsi="Cambria"/>
          <w:sz w:val="20"/>
          <w:szCs w:val="20"/>
          <w14:ligatures w14:val="standardContextual"/>
        </w:rPr>
        <w:t xml:space="preserve">) aumentar el TAC a la luz de indicios de aumento del stock que no se consideraron plausibles durante las pruebas de MSE; y </w:t>
      </w:r>
      <w:proofErr w:type="spellStart"/>
      <w:r w:rsidRPr="000A5982">
        <w:rPr>
          <w:rFonts w:ascii="Cambria" w:eastAsia="Aptos" w:hAnsi="Cambria"/>
          <w:sz w:val="20"/>
          <w:szCs w:val="20"/>
          <w14:ligatures w14:val="standardContextual"/>
        </w:rPr>
        <w:t>iv</w:t>
      </w:r>
      <w:proofErr w:type="spellEnd"/>
      <w:r w:rsidRPr="000A5982">
        <w:rPr>
          <w:rFonts w:ascii="Cambria" w:eastAsia="Aptos" w:hAnsi="Cambria"/>
          <w:sz w:val="20"/>
          <w:szCs w:val="20"/>
          <w14:ligatures w14:val="standardContextual"/>
        </w:rPr>
        <w:t>) cualquier otra acción de conservación y ordenación apropiada.</w:t>
      </w:r>
    </w:p>
    <w:p w14:paraId="055B9196" w14:textId="77777777" w:rsidR="001D38A7" w:rsidRPr="000A5982" w:rsidRDefault="001D38A7" w:rsidP="001D38A7">
      <w:pPr>
        <w:widowControl w:val="0"/>
        <w:numPr>
          <w:ilvl w:val="0"/>
          <w:numId w:val="45"/>
        </w:numPr>
        <w:suppressAutoHyphens/>
        <w:spacing w:after="160"/>
        <w:jc w:val="both"/>
        <w:rPr>
          <w:rFonts w:ascii="Cambria" w:eastAsia="Cambria" w:hAnsi="Cambria" w:cs="Cambria"/>
          <w:sz w:val="20"/>
          <w:szCs w:val="20"/>
        </w:rPr>
      </w:pPr>
      <w:r w:rsidRPr="000A5982">
        <w:rPr>
          <w:rFonts w:ascii="Cambria" w:eastAsia="Aptos" w:hAnsi="Cambria"/>
          <w:sz w:val="20"/>
          <w:szCs w:val="20"/>
          <w14:ligatures w14:val="standardContextual"/>
        </w:rPr>
        <w:t>Si el MP existente debería ajustarse ligeramente o si es necesario desarrollar un nuevo MP.</w:t>
      </w:r>
    </w:p>
    <w:p w14:paraId="24ECE71C" w14:textId="77777777" w:rsidR="001D38A7" w:rsidRPr="000A5982" w:rsidRDefault="001D38A7" w:rsidP="001D38A7">
      <w:pPr>
        <w:widowControl w:val="0"/>
        <w:numPr>
          <w:ilvl w:val="0"/>
          <w:numId w:val="45"/>
        </w:numPr>
        <w:suppressAutoHyphens/>
        <w:spacing w:after="160"/>
        <w:jc w:val="both"/>
        <w:rPr>
          <w:rFonts w:ascii="Cambria" w:eastAsia="Cambria" w:hAnsi="Cambria" w:cs="Cambria"/>
          <w:sz w:val="20"/>
          <w:szCs w:val="20"/>
        </w:rPr>
      </w:pPr>
      <w:r w:rsidRPr="000A5982">
        <w:rPr>
          <w:rFonts w:ascii="Cambria" w:eastAsia="Aptos" w:hAnsi="Cambria"/>
          <w:sz w:val="20"/>
          <w:szCs w:val="20"/>
          <w14:ligatures w14:val="standardContextual"/>
        </w:rPr>
        <w:t>Si es necesaria una evaluación de stock u otro método aprobado por el SCRS para determinar los TAC con el fin de proporcionar asesoramiento de ordenación en el ínterin mientras se desarrolla un MP revisado.</w:t>
      </w:r>
    </w:p>
    <w:p w14:paraId="2F6AD8D1" w14:textId="77777777" w:rsidR="001D38A7" w:rsidRPr="000A5982" w:rsidRDefault="001D38A7" w:rsidP="001D38A7">
      <w:pPr>
        <w:widowControl w:val="0"/>
        <w:suppressAutoHyphens/>
        <w:jc w:val="both"/>
        <w:rPr>
          <w:rFonts w:ascii="Cambria" w:eastAsia="Cambria" w:hAnsi="Cambria" w:cs="Cambria"/>
          <w:sz w:val="20"/>
          <w:szCs w:val="20"/>
        </w:rPr>
      </w:pPr>
      <w:r w:rsidRPr="000A5982">
        <w:rPr>
          <w:rFonts w:ascii="Cambria" w:eastAsia="Aptos" w:hAnsi="Cambria"/>
          <w:sz w:val="20"/>
          <w:szCs w:val="20"/>
          <w14:ligatures w14:val="standardContextual"/>
        </w:rPr>
        <w:t>Basándose en el asesoramiento del SCRS sobre lo anterior, la Comisión decidirá la(s) acción(es) de ordenación alternativa(s). Según sea necesario y apropiado, el SCRS llevará a cabo una nueva evaluación de stock y/o proporcionará asesoramiento sobre nuevos MP candidatos lo antes posible.</w:t>
      </w:r>
    </w:p>
    <w:p w14:paraId="310C93E2" w14:textId="77777777" w:rsidR="001D38A7" w:rsidRPr="000A5982" w:rsidRDefault="001D38A7" w:rsidP="001D38A7">
      <w:pPr>
        <w:widowControl w:val="0"/>
        <w:suppressAutoHyphens/>
        <w:jc w:val="both"/>
        <w:rPr>
          <w:rFonts w:ascii="Cambria" w:eastAsia="Cambria" w:hAnsi="Cambria" w:cs="Cambria"/>
          <w:sz w:val="20"/>
          <w:szCs w:val="20"/>
        </w:rPr>
      </w:pPr>
    </w:p>
    <w:p w14:paraId="4A92034B" w14:textId="77777777" w:rsidR="001D38A7" w:rsidRPr="000A5982" w:rsidRDefault="001D38A7" w:rsidP="001D38A7">
      <w:pPr>
        <w:widowControl w:val="0"/>
        <w:suppressAutoHyphens/>
        <w:jc w:val="both"/>
        <w:rPr>
          <w:rFonts w:ascii="Cambria" w:eastAsia="Aptos" w:hAnsi="Cambria"/>
          <w:sz w:val="20"/>
          <w:szCs w:val="20"/>
          <w14:ligatures w14:val="standardContextual"/>
        </w:rPr>
      </w:pPr>
      <w:r w:rsidRPr="000A5982">
        <w:rPr>
          <w:rFonts w:ascii="Cambria" w:eastAsia="Aptos" w:hAnsi="Cambria"/>
          <w:sz w:val="20"/>
          <w:szCs w:val="20"/>
          <w14:ligatures w14:val="standardContextual"/>
        </w:rPr>
        <w:t>El procedimiento de ordenación (MP) adoptado se ejecutó en 2025 y proporcionó asesoramiento sobre el</w:t>
      </w:r>
      <w:r w:rsidRPr="0099704B">
        <w:rPr>
          <w:rFonts w:ascii="Cambria" w:eastAsia="Aptos" w:hAnsi="Cambria"/>
          <w:sz w:val="20"/>
          <w:szCs w:val="20"/>
          <w14:ligatures w14:val="standardContextual"/>
        </w:rPr>
        <w:t xml:space="preserve"> </w:t>
      </w:r>
      <w:r w:rsidRPr="000A5982">
        <w:rPr>
          <w:rFonts w:ascii="Cambria" w:eastAsia="Aptos" w:hAnsi="Cambria"/>
          <w:sz w:val="20"/>
          <w:szCs w:val="20"/>
          <w14:ligatures w14:val="standardContextual"/>
        </w:rPr>
        <w:t>total admisible de capturas (TAC) para el primer ciclo de ordenación (2026-2028). El Comité realizó análisis para apoyar el desarrollo de un proyecto protocolo de circunstancias excepcionales (ECP) que se ha descrito antes. Está previsto que la Comisión adopte el protocolo en 2026 y que se haga efectivo en 2027. Los criterios finales asociados a los tres principios básicos del protocolo no han sido adoptados formalmente por la Comisión. No obstante, el Comité ha realizado una evaluación de acuerdo con el proyecto de especificaciones de las EC actuales.</w:t>
      </w:r>
    </w:p>
    <w:p w14:paraId="5E9524F1" w14:textId="77777777" w:rsidR="001D38A7" w:rsidRPr="000A5982" w:rsidRDefault="001D38A7" w:rsidP="001D38A7">
      <w:pPr>
        <w:suppressAutoHyphens/>
        <w:ind w:right="281"/>
        <w:jc w:val="both"/>
        <w:rPr>
          <w:rFonts w:ascii="Cambria" w:eastAsia="Aptos" w:hAnsi="Cambria"/>
          <w:sz w:val="20"/>
          <w:szCs w:val="20"/>
          <w14:ligatures w14:val="standardContextual"/>
        </w:rPr>
      </w:pPr>
    </w:p>
    <w:p w14:paraId="1AB72372" w14:textId="77777777" w:rsidR="001D38A7" w:rsidRPr="000A5982" w:rsidRDefault="001D38A7" w:rsidP="001D38A7">
      <w:pPr>
        <w:widowControl w:val="0"/>
        <w:suppressAutoHyphens/>
        <w:jc w:val="both"/>
        <w:rPr>
          <w:rFonts w:ascii="Cambria" w:eastAsia="Aptos" w:hAnsi="Cambria"/>
          <w:sz w:val="20"/>
          <w:szCs w:val="20"/>
          <w14:ligatures w14:val="standardContextual"/>
        </w:rPr>
      </w:pPr>
      <w:r w:rsidRPr="000A5982">
        <w:rPr>
          <w:rFonts w:ascii="Cambria" w:eastAsia="Aptos" w:hAnsi="Cambria"/>
          <w:sz w:val="20"/>
          <w:szCs w:val="20"/>
          <w14:ligatures w14:val="standardContextual"/>
        </w:rPr>
        <w:t>El Comité concluyó que no se producen EC para la determinación de EC de 2026. Esta determinación se basa en una evaluación de los proyectos de criterios y se elabora, a continuación.</w:t>
      </w:r>
    </w:p>
    <w:p w14:paraId="7ED7837C" w14:textId="77777777" w:rsidR="001D38A7" w:rsidRPr="000A5982" w:rsidRDefault="001D38A7" w:rsidP="001D38A7">
      <w:pPr>
        <w:suppressAutoHyphens/>
        <w:ind w:right="285"/>
        <w:jc w:val="both"/>
        <w:rPr>
          <w:rFonts w:ascii="Cambria" w:eastAsia="Aptos" w:hAnsi="Cambria"/>
          <w:sz w:val="20"/>
          <w:szCs w:val="20"/>
          <w14:ligatures w14:val="standardContextual"/>
        </w:rPr>
      </w:pPr>
    </w:p>
    <w:p w14:paraId="2CDC194B" w14:textId="77777777" w:rsidR="001D38A7" w:rsidRPr="000A5982" w:rsidRDefault="001D38A7" w:rsidP="001D38A7">
      <w:pPr>
        <w:widowControl w:val="0"/>
        <w:numPr>
          <w:ilvl w:val="0"/>
          <w:numId w:val="46"/>
        </w:numPr>
        <w:tabs>
          <w:tab w:val="left" w:pos="1170"/>
        </w:tabs>
        <w:suppressAutoHyphens/>
        <w:spacing w:after="160"/>
        <w:ind w:left="360"/>
        <w:jc w:val="both"/>
        <w:rPr>
          <w:rFonts w:ascii="Cambria" w:eastAsia="Aptos" w:hAnsi="Cambria"/>
          <w:i/>
          <w:sz w:val="20"/>
          <w:szCs w:val="20"/>
          <w14:ligatures w14:val="standardContextual"/>
        </w:rPr>
      </w:pPr>
      <w:r w:rsidRPr="000A5982">
        <w:rPr>
          <w:rFonts w:ascii="Cambria" w:eastAsia="Aptos" w:hAnsi="Cambria"/>
          <w:i/>
          <w:sz w:val="20"/>
          <w:szCs w:val="20"/>
          <w14:ligatures w14:val="standardContextual"/>
        </w:rPr>
        <w:lastRenderedPageBreak/>
        <w:t>Dinámica del stock</w:t>
      </w:r>
    </w:p>
    <w:p w14:paraId="12C325CB" w14:textId="77777777" w:rsidR="001D38A7" w:rsidRPr="000A5982" w:rsidRDefault="001D38A7" w:rsidP="001D38A7">
      <w:pPr>
        <w:widowControl w:val="0"/>
        <w:numPr>
          <w:ilvl w:val="1"/>
          <w:numId w:val="46"/>
        </w:numPr>
        <w:tabs>
          <w:tab w:val="left" w:pos="1137"/>
          <w:tab w:val="left" w:pos="1170"/>
        </w:tabs>
        <w:suppressAutoHyphens/>
        <w:spacing w:after="160"/>
        <w:ind w:left="360" w:right="-1"/>
        <w:jc w:val="both"/>
        <w:rPr>
          <w:rFonts w:ascii="Cambria" w:eastAsia="Aptos" w:hAnsi="Cambria"/>
          <w:sz w:val="20"/>
          <w:szCs w:val="20"/>
          <w14:ligatures w14:val="standardContextual"/>
        </w:rPr>
      </w:pPr>
      <w:r w:rsidRPr="0099704B">
        <w:rPr>
          <w:noProof/>
        </w:rPr>
        <w:drawing>
          <wp:anchor distT="0" distB="0" distL="114300" distR="114300" simplePos="0" relativeHeight="251667968" behindDoc="0" locked="0" layoutInCell="1" allowOverlap="1" wp14:anchorId="18892864" wp14:editId="60DF3016">
            <wp:simplePos x="0" y="0"/>
            <wp:positionH relativeFrom="column">
              <wp:posOffset>562610</wp:posOffset>
            </wp:positionH>
            <wp:positionV relativeFrom="paragraph">
              <wp:posOffset>399829</wp:posOffset>
            </wp:positionV>
            <wp:extent cx="4326255" cy="2704465"/>
            <wp:effectExtent l="0" t="0" r="0" b="635"/>
            <wp:wrapTopAndBottom/>
            <wp:docPr id="1599340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3400" name="Picture 14"/>
                    <pic:cNvPicPr>
                      <a:picLocks noChangeAspect="1"/>
                    </pic:cNvPicPr>
                  </pic:nvPicPr>
                  <pic:blipFill rotWithShape="1">
                    <a:blip r:embed="rId32">
                      <a:extLst>
                        <a:ext uri="{28A0092B-C50C-407E-A947-70E740481C1C}">
                          <a14:useLocalDpi xmlns:a14="http://schemas.microsoft.com/office/drawing/2010/main" val="0"/>
                        </a:ext>
                      </a:extLst>
                    </a:blip>
                    <a:srcRect t="6288" b="4582"/>
                    <a:stretch>
                      <a:fillRect/>
                    </a:stretch>
                  </pic:blipFill>
                  <pic:spPr bwMode="auto">
                    <a:xfrm>
                      <a:off x="0" y="0"/>
                      <a:ext cx="4326255" cy="27044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A5982">
        <w:rPr>
          <w:rFonts w:ascii="Cambria" w:eastAsia="Aptos" w:hAnsi="Cambria"/>
          <w:sz w:val="20"/>
          <w:szCs w:val="20"/>
          <w14:ligatures w14:val="standardContextual"/>
        </w:rPr>
        <w:t>Índices Para 2025, el índice de abundancia combinado no queda fuera de los intervalos de predicción convencionales del 95 % (es decir, de los percentiles 2,5 al 97,</w:t>
      </w:r>
      <w:proofErr w:type="gramStart"/>
      <w:r w:rsidRPr="000A5982">
        <w:rPr>
          <w:rFonts w:ascii="Cambria" w:eastAsia="Aptos" w:hAnsi="Cambria"/>
          <w:sz w:val="20"/>
          <w:szCs w:val="20"/>
          <w14:ligatures w14:val="standardContextual"/>
        </w:rPr>
        <w:t>5)(</w:t>
      </w:r>
      <w:proofErr w:type="gramEnd"/>
      <w:r w:rsidRPr="000A5982">
        <w:rPr>
          <w:rFonts w:ascii="Cambria" w:eastAsia="Aptos" w:hAnsi="Cambria"/>
          <w:b/>
          <w:bCs/>
          <w:sz w:val="20"/>
          <w:szCs w:val="20"/>
          <w14:ligatures w14:val="standardContextual"/>
        </w:rPr>
        <w:t>figura 19.43.1</w:t>
      </w:r>
      <w:r w:rsidRPr="000A5982">
        <w:rPr>
          <w:rFonts w:ascii="Cambria" w:eastAsia="Aptos" w:hAnsi="Cambria"/>
          <w:sz w:val="20"/>
          <w:szCs w:val="20"/>
          <w14:ligatures w14:val="standardContextual"/>
        </w:rPr>
        <w:t>).</w:t>
      </w:r>
    </w:p>
    <w:p w14:paraId="638DA487" w14:textId="77777777" w:rsidR="001D38A7" w:rsidRPr="0099704B" w:rsidRDefault="001D38A7" w:rsidP="001D38A7">
      <w:pPr>
        <w:tabs>
          <w:tab w:val="left" w:pos="1170"/>
        </w:tabs>
        <w:suppressAutoHyphens/>
        <w:ind w:left="360"/>
        <w:jc w:val="both"/>
        <w:rPr>
          <w:rFonts w:ascii="Cambria" w:eastAsia="Aptos" w:hAnsi="Cambria"/>
          <w:sz w:val="20"/>
          <w:szCs w:val="20"/>
          <w14:ligatures w14:val="standardContextual"/>
        </w:rPr>
      </w:pPr>
    </w:p>
    <w:p w14:paraId="4BEDA955" w14:textId="77777777" w:rsidR="001D38A7" w:rsidRPr="0099704B" w:rsidRDefault="001D38A7" w:rsidP="001D38A7">
      <w:pPr>
        <w:tabs>
          <w:tab w:val="left" w:pos="1170"/>
        </w:tabs>
        <w:suppressAutoHyphens/>
        <w:ind w:left="360"/>
        <w:jc w:val="both"/>
        <w:rPr>
          <w:rFonts w:ascii="Cambria" w:eastAsia="Aptos" w:hAnsi="Cambria"/>
          <w:sz w:val="20"/>
          <w:szCs w:val="20"/>
          <w14:ligatures w14:val="standardContextual"/>
        </w:rPr>
      </w:pPr>
    </w:p>
    <w:p w14:paraId="7785F6FF" w14:textId="77777777" w:rsidR="001D38A7" w:rsidRPr="000A5982" w:rsidRDefault="001D38A7" w:rsidP="001D38A7">
      <w:pPr>
        <w:spacing w:after="160"/>
        <w:jc w:val="both"/>
        <w:rPr>
          <w:rFonts w:ascii="Cambria" w:eastAsia="Aptos" w:hAnsi="Cambria"/>
          <w:sz w:val="20"/>
          <w:szCs w:val="20"/>
          <w14:ligatures w14:val="standardContextual"/>
        </w:rPr>
      </w:pPr>
      <w:r w:rsidRPr="000A5982">
        <w:rPr>
          <w:rFonts w:ascii="Cambria" w:eastAsia="Aptos" w:hAnsi="Cambria"/>
          <w:sz w:val="20"/>
          <w:szCs w:val="20"/>
          <w14:ligatures w14:val="standardContextual"/>
        </w:rPr>
        <w:t>F</w:t>
      </w:r>
      <w:r w:rsidRPr="000A5982">
        <w:rPr>
          <w:rFonts w:ascii="Cambria" w:eastAsia="Aptos" w:hAnsi="Cambria"/>
          <w:b/>
          <w:bCs/>
          <w:sz w:val="20"/>
          <w:szCs w:val="20"/>
          <w14:ligatures w14:val="standardContextual"/>
        </w:rPr>
        <w:t>igura 19.4</w:t>
      </w:r>
      <w:r>
        <w:rPr>
          <w:rFonts w:ascii="Cambria" w:eastAsia="Aptos" w:hAnsi="Cambria"/>
          <w:b/>
          <w:bCs/>
          <w:sz w:val="20"/>
          <w:szCs w:val="20"/>
          <w14:ligatures w14:val="standardContextual"/>
        </w:rPr>
        <w:t>3</w:t>
      </w:r>
      <w:r w:rsidRPr="000A5982">
        <w:rPr>
          <w:rFonts w:ascii="Cambria" w:eastAsia="Aptos" w:hAnsi="Cambria"/>
          <w:b/>
          <w:bCs/>
          <w:sz w:val="20"/>
          <w:szCs w:val="20"/>
          <w14:ligatures w14:val="standardContextual"/>
        </w:rPr>
        <w:t xml:space="preserve">.1 </w:t>
      </w:r>
      <w:r w:rsidRPr="000A5982">
        <w:rPr>
          <w:rFonts w:ascii="Cambria" w:eastAsia="Aptos" w:hAnsi="Cambria"/>
          <w:sz w:val="20"/>
          <w:szCs w:val="20"/>
          <w14:ligatures w14:val="standardContextual"/>
        </w:rPr>
        <w:t>Gráfica que muestra el índice combinado en relación con el conjunto de OM de referencia.  La zona sombreada en gris recoge los percentiles de los nueve OM * 100 simulaciones = 900 trayectorias proyectadas; la línea discontinua corresponde al índice de condicionamiento de los modelos, y el punto verde representa la observación de 2025.</w:t>
      </w:r>
    </w:p>
    <w:p w14:paraId="69617BA9" w14:textId="77777777" w:rsidR="001D38A7" w:rsidRPr="000A5982" w:rsidRDefault="001D38A7" w:rsidP="001D38A7">
      <w:pPr>
        <w:widowControl w:val="0"/>
        <w:numPr>
          <w:ilvl w:val="1"/>
          <w:numId w:val="46"/>
        </w:numPr>
        <w:tabs>
          <w:tab w:val="left" w:pos="1137"/>
          <w:tab w:val="left" w:pos="1170"/>
        </w:tabs>
        <w:suppressAutoHyphens/>
        <w:spacing w:after="160"/>
        <w:ind w:left="360" w:right="-1"/>
        <w:jc w:val="both"/>
        <w:rPr>
          <w:rFonts w:ascii="Cambria" w:eastAsia="Aptos" w:hAnsi="Cambria"/>
          <w:sz w:val="20"/>
          <w:szCs w:val="20"/>
          <w14:ligatures w14:val="standardContextual"/>
        </w:rPr>
      </w:pPr>
      <w:r w:rsidRPr="000A5982">
        <w:rPr>
          <w:rFonts w:ascii="Cambria" w:eastAsia="Aptos" w:hAnsi="Cambria"/>
          <w:sz w:val="20"/>
          <w:szCs w:val="20"/>
          <w14:ligatures w14:val="standardContextual"/>
        </w:rPr>
        <w:t>Abundancia y ciclo vital o dinámica de la pesquería No hay nuevas pruebas de que la abundancia, el ciclo vital o la dinámica de la pesquería sean sustancialmente diferentes de los probados en los OM,</w:t>
      </w:r>
    </w:p>
    <w:p w14:paraId="5BD1F94E" w14:textId="77777777" w:rsidR="001D38A7" w:rsidRPr="000A5982" w:rsidRDefault="001D38A7" w:rsidP="001D38A7">
      <w:pPr>
        <w:widowControl w:val="0"/>
        <w:numPr>
          <w:ilvl w:val="0"/>
          <w:numId w:val="46"/>
        </w:numPr>
        <w:tabs>
          <w:tab w:val="left" w:pos="1170"/>
        </w:tabs>
        <w:suppressAutoHyphens/>
        <w:spacing w:after="160"/>
        <w:ind w:left="360" w:hanging="427"/>
        <w:jc w:val="both"/>
        <w:rPr>
          <w:rFonts w:ascii="Cambria" w:eastAsia="Aptos" w:hAnsi="Cambria"/>
          <w:i/>
          <w:sz w:val="20"/>
          <w:szCs w:val="20"/>
          <w14:ligatures w14:val="standardContextual"/>
        </w:rPr>
      </w:pPr>
      <w:r w:rsidRPr="000A5982">
        <w:rPr>
          <w:rFonts w:ascii="Cambria" w:eastAsia="Aptos" w:hAnsi="Cambria"/>
          <w:i/>
          <w:sz w:val="20"/>
          <w:szCs w:val="20"/>
          <w14:ligatures w14:val="standardContextual"/>
        </w:rPr>
        <w:t>Disponibilidad de datos para el MP</w:t>
      </w:r>
    </w:p>
    <w:p w14:paraId="2156094B" w14:textId="77777777" w:rsidR="001D38A7" w:rsidRPr="0099704B" w:rsidRDefault="001D38A7" w:rsidP="001D38A7">
      <w:pPr>
        <w:tabs>
          <w:tab w:val="left" w:pos="1170"/>
        </w:tabs>
        <w:suppressAutoHyphens/>
        <w:ind w:left="360" w:right="-1"/>
        <w:jc w:val="both"/>
        <w:rPr>
          <w:rFonts w:ascii="Cambria" w:eastAsia="Aptos" w:hAnsi="Cambria"/>
          <w:sz w:val="20"/>
          <w:szCs w:val="20"/>
          <w14:ligatures w14:val="standardContextual"/>
        </w:rPr>
      </w:pPr>
      <w:r w:rsidRPr="000A5982">
        <w:rPr>
          <w:rFonts w:ascii="Cambria" w:eastAsia="Aptos" w:hAnsi="Cambria"/>
          <w:sz w:val="20"/>
          <w:szCs w:val="20"/>
          <w14:ligatures w14:val="standardContextual"/>
        </w:rPr>
        <w:t xml:space="preserve">El índice de abundancia combinado se actualizó en 2026 con datos hasta 2025. Se disponía de datos de Venezuela hasta el año 2024 inclusive, pero no para 2025. Por lo tanto, la estimación del índice para 2025 se basa únicamente en datos de Brasil y Estados Unidos, lo que no se considera una «EC» según la definición de la </w:t>
      </w:r>
      <w:r w:rsidRPr="000A5982">
        <w:rPr>
          <w:rFonts w:ascii="Cambria" w:eastAsia="Aptos" w:hAnsi="Cambria"/>
          <w:b/>
          <w:bCs/>
          <w:sz w:val="20"/>
          <w:szCs w:val="20"/>
          <w14:ligatures w14:val="standardContextual"/>
        </w:rPr>
        <w:t>tabla 19.4</w:t>
      </w:r>
      <w:r>
        <w:rPr>
          <w:rFonts w:ascii="Cambria" w:eastAsia="Aptos" w:hAnsi="Cambria"/>
          <w:b/>
          <w:bCs/>
          <w:sz w:val="20"/>
          <w:szCs w:val="20"/>
          <w14:ligatures w14:val="standardContextual"/>
        </w:rPr>
        <w:t>3</w:t>
      </w:r>
      <w:r w:rsidRPr="000A5982">
        <w:rPr>
          <w:rFonts w:ascii="Cambria" w:eastAsia="Aptos" w:hAnsi="Cambria"/>
          <w:b/>
          <w:bCs/>
          <w:sz w:val="20"/>
          <w:szCs w:val="20"/>
          <w14:ligatures w14:val="standardContextual"/>
        </w:rPr>
        <w:t>.1.</w:t>
      </w:r>
    </w:p>
    <w:p w14:paraId="7CAF418F" w14:textId="77777777" w:rsidR="001D38A7" w:rsidRPr="0099704B" w:rsidRDefault="001D38A7" w:rsidP="001D38A7">
      <w:pPr>
        <w:tabs>
          <w:tab w:val="left" w:pos="1170"/>
        </w:tabs>
        <w:suppressAutoHyphens/>
        <w:ind w:right="284"/>
        <w:jc w:val="both"/>
        <w:rPr>
          <w:rFonts w:ascii="Cambria" w:eastAsia="Aptos" w:hAnsi="Cambria"/>
          <w:sz w:val="20"/>
          <w:szCs w:val="20"/>
          <w14:ligatures w14:val="standardContextual"/>
        </w:rPr>
      </w:pPr>
    </w:p>
    <w:p w14:paraId="6A72F771" w14:textId="77777777" w:rsidR="001D38A7" w:rsidRPr="000A5982" w:rsidRDefault="001D38A7" w:rsidP="001D38A7">
      <w:pPr>
        <w:widowControl w:val="0"/>
        <w:numPr>
          <w:ilvl w:val="0"/>
          <w:numId w:val="46"/>
        </w:numPr>
        <w:tabs>
          <w:tab w:val="left" w:pos="1170"/>
        </w:tabs>
        <w:suppressAutoHyphens/>
        <w:spacing w:after="160"/>
        <w:ind w:left="426" w:hanging="426"/>
        <w:jc w:val="both"/>
        <w:rPr>
          <w:rFonts w:ascii="Cambria" w:eastAsia="Aptos" w:hAnsi="Cambria"/>
          <w:i/>
          <w:sz w:val="20"/>
          <w:szCs w:val="20"/>
          <w14:ligatures w14:val="standardContextual"/>
        </w:rPr>
      </w:pPr>
      <w:r w:rsidRPr="000A5982">
        <w:rPr>
          <w:rFonts w:ascii="Cambria" w:eastAsia="Aptos" w:hAnsi="Cambria"/>
          <w:i/>
          <w:sz w:val="20"/>
          <w:szCs w:val="20"/>
          <w14:ligatures w14:val="standardContextual"/>
        </w:rPr>
        <w:t>Implementación del TAC</w:t>
      </w:r>
    </w:p>
    <w:p w14:paraId="578BAADA" w14:textId="77777777" w:rsidR="001D38A7" w:rsidRPr="0099704B" w:rsidRDefault="001D38A7" w:rsidP="001D38A7">
      <w:pPr>
        <w:tabs>
          <w:tab w:val="left" w:pos="1170"/>
        </w:tabs>
        <w:suppressAutoHyphens/>
        <w:ind w:left="426" w:right="-1"/>
        <w:jc w:val="both"/>
        <w:rPr>
          <w:rFonts w:ascii="Cambria" w:eastAsia="Aptos" w:hAnsi="Cambria"/>
          <w:spacing w:val="-4"/>
          <w:sz w:val="20"/>
          <w:szCs w:val="20"/>
          <w14:ligatures w14:val="standardContextual"/>
        </w:rPr>
      </w:pPr>
      <w:r w:rsidRPr="000A5982">
        <w:rPr>
          <w:rFonts w:ascii="Cambria" w:eastAsia="Aptos" w:hAnsi="Cambria"/>
          <w:sz w:val="20"/>
          <w:szCs w:val="20"/>
          <w14:ligatures w14:val="standardContextual"/>
        </w:rPr>
        <w:t>En 2025 no se estableció ningún TAC para el listado occidental, pero los desembarques de ese año ascendieron a 23.004 t, por debajo del TAC de 30.844 t establecido para el periodo 2026-2028, basándose en el MP. En 2027, el Comité evaluará los niveles de captura en relación con este TAC.</w:t>
      </w:r>
    </w:p>
    <w:p w14:paraId="24265041" w14:textId="77777777" w:rsidR="001D38A7" w:rsidRPr="0099704B" w:rsidRDefault="001D38A7" w:rsidP="001D38A7">
      <w:pPr>
        <w:widowControl w:val="0"/>
        <w:pBdr>
          <w:top w:val="nil"/>
          <w:left w:val="nil"/>
          <w:bottom w:val="nil"/>
          <w:right w:val="nil"/>
          <w:between w:val="nil"/>
        </w:pBdr>
        <w:rPr>
          <w:rFonts w:ascii="Cambria" w:eastAsia="Cambria" w:hAnsi="Cambria" w:cs="Cambria"/>
          <w:sz w:val="20"/>
          <w:szCs w:val="20"/>
        </w:rPr>
      </w:pPr>
    </w:p>
    <w:p w14:paraId="6CE18608" w14:textId="77777777" w:rsidR="001D38A7" w:rsidRPr="000A5982" w:rsidRDefault="001D38A7" w:rsidP="001D38A7">
      <w:pPr>
        <w:jc w:val="both"/>
        <w:rPr>
          <w:rFonts w:ascii="Aptos" w:eastAsia="Aptos" w:hAnsi="Aptos" w:cs="Aptos"/>
          <w:bCs/>
          <w:iCs/>
          <w:sz w:val="28"/>
          <w:szCs w:val="28"/>
        </w:rPr>
      </w:pPr>
      <w:r w:rsidRPr="000A5982">
        <w:rPr>
          <w:rFonts w:ascii="Cambria" w:hAnsi="Cambria"/>
          <w:b/>
          <w:i/>
          <w:color w:val="000000"/>
          <w:sz w:val="20"/>
        </w:rPr>
        <w:t xml:space="preserve">19.44 El SCRS informará cada año sobre la implementación del programa de muestreo en puerto desglosado por CPC, </w:t>
      </w:r>
      <w:hyperlink r:id="rId33" w:history="1">
        <w:r w:rsidRPr="000A5982">
          <w:rPr>
            <w:rFonts w:ascii="Cambria" w:hAnsi="Cambria"/>
            <w:b/>
            <w:i/>
            <w:color w:val="0563C1" w:themeColor="hyperlink"/>
            <w:sz w:val="20"/>
          </w:rPr>
          <w:t>Rec.</w:t>
        </w:r>
      </w:hyperlink>
      <w:hyperlink r:id="rId34" w:history="1">
        <w:r w:rsidRPr="000A5982">
          <w:rPr>
            <w:rFonts w:ascii="Cambria" w:hAnsi="Cambria"/>
            <w:b/>
            <w:i/>
            <w:color w:val="0563C1" w:themeColor="hyperlink"/>
            <w:sz w:val="20"/>
          </w:rPr>
          <w:t xml:space="preserve"> 24-01</w:t>
        </w:r>
      </w:hyperlink>
      <w:r w:rsidRPr="000A5982">
        <w:rPr>
          <w:rFonts w:ascii="Cambria" w:hAnsi="Cambria"/>
          <w:b/>
          <w:i/>
          <w:sz w:val="20"/>
        </w:rPr>
        <w:t>, párr. 73</w:t>
      </w:r>
      <w:r w:rsidRPr="000A5982">
        <w:rPr>
          <w:rFonts w:ascii="Cambria" w:hAnsi="Cambria"/>
          <w:b/>
          <w:iCs/>
          <w:sz w:val="20"/>
        </w:rPr>
        <w:t xml:space="preserve"> </w:t>
      </w:r>
    </w:p>
    <w:p w14:paraId="22DFD87E" w14:textId="77777777" w:rsidR="001D38A7" w:rsidRPr="000A5982" w:rsidRDefault="001D38A7" w:rsidP="001D38A7">
      <w:pPr>
        <w:rPr>
          <w:rFonts w:ascii="Cambria" w:eastAsia="Aptos" w:hAnsi="Cambria" w:cs="Aptos"/>
          <w:color w:val="000000"/>
          <w:sz w:val="20"/>
          <w:szCs w:val="20"/>
        </w:rPr>
      </w:pPr>
    </w:p>
    <w:p w14:paraId="00812FB8" w14:textId="77777777" w:rsidR="001D38A7" w:rsidRPr="0099704B" w:rsidRDefault="001D38A7" w:rsidP="001D38A7">
      <w:pPr>
        <w:jc w:val="both"/>
        <w:rPr>
          <w:rFonts w:ascii="Aptos" w:eastAsia="Aptos" w:hAnsi="Aptos" w:cs="Aptos"/>
          <w:i/>
          <w:iCs/>
          <w:sz w:val="28"/>
          <w:szCs w:val="28"/>
        </w:rPr>
      </w:pPr>
      <w:r w:rsidRPr="000A5982">
        <w:rPr>
          <w:rFonts w:ascii="Cambria" w:hAnsi="Cambria"/>
          <w:b/>
          <w:color w:val="000000"/>
          <w:sz w:val="20"/>
        </w:rPr>
        <w:t xml:space="preserve">Contexto: </w:t>
      </w:r>
      <w:r w:rsidRPr="000A5982">
        <w:rPr>
          <w:rFonts w:ascii="Cambria" w:hAnsi="Cambria"/>
          <w:i/>
          <w:color w:val="000000"/>
          <w:sz w:val="20"/>
        </w:rPr>
        <w:t>El Programa de muestreo en puerto desarrollado por el SCRS en 2012 continuará para los puertos de desembarque o de transbordo. Los datos e información recopilados por este programa de muestreo se comunicarán a ICCAT cada año y, como mínimo, se comunicará la siguiente información por país de desembarque y trimestre: composición por especies, desembarques por especies, composición por tallas y pesos. Cuando sea viable se recogerán muestras biológicas adecuadas para determinar el ciclo vital. El SCRS informará cada año sobre la implementación del programa de muestreo en puerto desglosado por CPC.</w:t>
      </w:r>
    </w:p>
    <w:p w14:paraId="7710666E" w14:textId="77777777" w:rsidR="001D38A7" w:rsidRPr="0099704B" w:rsidRDefault="001D38A7" w:rsidP="001D38A7">
      <w:pPr>
        <w:tabs>
          <w:tab w:val="left" w:pos="0"/>
          <w:tab w:val="left" w:pos="720"/>
          <w:tab w:val="right" w:pos="8505"/>
          <w:tab w:val="right" w:pos="9072"/>
        </w:tabs>
        <w:ind w:right="4"/>
        <w:jc w:val="both"/>
        <w:rPr>
          <w:rFonts w:ascii="Cambria" w:eastAsia="Cambria" w:hAnsi="Cambria" w:cs="Cambria"/>
          <w:b/>
          <w:iCs/>
          <w:color w:val="000000"/>
          <w:sz w:val="20"/>
          <w:szCs w:val="20"/>
        </w:rPr>
      </w:pPr>
    </w:p>
    <w:p w14:paraId="4B3679D4" w14:textId="77777777" w:rsidR="001D38A7" w:rsidRPr="000A5982" w:rsidRDefault="001D38A7" w:rsidP="001D38A7">
      <w:pPr>
        <w:jc w:val="both"/>
        <w:rPr>
          <w:rFonts w:ascii="Cambria" w:hAnsi="Cambria"/>
          <w:sz w:val="20"/>
          <w:szCs w:val="20"/>
        </w:rPr>
      </w:pPr>
      <w:r w:rsidRPr="000A5982">
        <w:rPr>
          <w:rFonts w:ascii="Cambria" w:hAnsi="Cambria"/>
          <w:sz w:val="20"/>
        </w:rPr>
        <w:t xml:space="preserve">En 2025, el Comité propuso que se dejara de utilizar el formulario ST-10 para presentar los datos pesqueros obtenidos por muestreo en puerto. El SCRS y la Comisión durante su reunión anual aprobaron la propuesta, que se aplicó en la presentación de datos estadísticos de 2026.  </w:t>
      </w:r>
    </w:p>
    <w:p w14:paraId="03ECA6BE" w14:textId="77777777" w:rsidR="001D38A7" w:rsidRPr="000A5982" w:rsidRDefault="001D38A7" w:rsidP="001D38A7">
      <w:pPr>
        <w:jc w:val="both"/>
        <w:rPr>
          <w:rFonts w:ascii="Cambria" w:hAnsi="Cambria"/>
          <w:sz w:val="20"/>
          <w:szCs w:val="20"/>
        </w:rPr>
      </w:pPr>
    </w:p>
    <w:p w14:paraId="28C569A4" w14:textId="77777777" w:rsidR="001D38A7" w:rsidRPr="000A5982" w:rsidRDefault="001D38A7" w:rsidP="001D38A7">
      <w:pPr>
        <w:jc w:val="both"/>
        <w:rPr>
          <w:rFonts w:ascii="Cambria" w:hAnsi="Cambria"/>
          <w:sz w:val="20"/>
          <w:szCs w:val="20"/>
        </w:rPr>
      </w:pPr>
      <w:r w:rsidRPr="000A5982">
        <w:rPr>
          <w:rFonts w:ascii="Cambria" w:hAnsi="Cambria"/>
          <w:sz w:val="20"/>
          <w:szCs w:val="20"/>
        </w:rPr>
        <w:lastRenderedPageBreak/>
        <w:t>El apéndice 6 del Informe de la Secretaría sobre investigación y estadísticas [PLE_SCRS_07/2026]</w:t>
      </w:r>
      <w:r w:rsidRPr="0099704B">
        <w:rPr>
          <w:rFonts w:ascii="Cambria" w:hAnsi="Cambria"/>
          <w:b/>
          <w:bCs/>
          <w:sz w:val="20"/>
          <w:szCs w:val="20"/>
        </w:rPr>
        <w:t xml:space="preserve"> (tabla 19.44.1)</w:t>
      </w:r>
      <w:r w:rsidRPr="000A5982">
        <w:rPr>
          <w:rFonts w:ascii="Cambria" w:hAnsi="Cambria"/>
          <w:sz w:val="20"/>
          <w:szCs w:val="20"/>
        </w:rPr>
        <w:t xml:space="preserve"> </w:t>
      </w:r>
      <w:r w:rsidRPr="000A5982">
        <w:rPr>
          <w:rFonts w:ascii="Cambria" w:hAnsi="Cambria"/>
          <w:sz w:val="20"/>
        </w:rPr>
        <w:t xml:space="preserve">presenta un resumen de la información facilitada a través del ST10 o de los datos de la base de datos de muestreos en puerto correspondientes al periodo comprendido entre 2018 y 2025.  </w:t>
      </w:r>
    </w:p>
    <w:p w14:paraId="38728F45" w14:textId="77777777" w:rsidR="001D38A7" w:rsidRPr="000A5982" w:rsidRDefault="001D38A7" w:rsidP="001D38A7">
      <w:pPr>
        <w:jc w:val="both"/>
        <w:rPr>
          <w:rFonts w:ascii="Cambria" w:hAnsi="Cambria"/>
          <w:sz w:val="20"/>
          <w:szCs w:val="20"/>
        </w:rPr>
      </w:pPr>
    </w:p>
    <w:p w14:paraId="1DEF29FA" w14:textId="77777777" w:rsidR="001D38A7" w:rsidRPr="000A5982" w:rsidRDefault="001D38A7" w:rsidP="001D38A7">
      <w:pPr>
        <w:jc w:val="both"/>
        <w:rPr>
          <w:rFonts w:ascii="Cambria" w:hAnsi="Cambria"/>
          <w:sz w:val="20"/>
          <w:szCs w:val="20"/>
        </w:rPr>
      </w:pPr>
      <w:r w:rsidRPr="000A5982">
        <w:rPr>
          <w:rFonts w:ascii="Cambria" w:hAnsi="Cambria"/>
          <w:sz w:val="20"/>
        </w:rPr>
        <w:t>Es importante señalar que la recomendación de dejar de recopilar datos de muestreo en puerto a través del formulario ST10 se debió a que las CPC ya facilitaban esa misma información mediante las muestras de tallas de la Tarea 2 (T2SZ) y los datos de captura por talla (T2CS), así como mediante los datos de muestreo biológico de la Tarea 3. Ello incluye a las CPC con pesquerías de túnidos tropicales en la zona tropical oriental (lo que correspondía al objetivo original del ST10). El hecho de que los mismos datos se enviaran a través de dos formularios estadísticos distintos daba lugar a una duplicación y a una falta de eficiencia y generaba trabajo innecesario para los corresponsales estadísticos y las CPC.</w:t>
      </w:r>
    </w:p>
    <w:p w14:paraId="7B2A2279" w14:textId="77777777" w:rsidR="001D38A7" w:rsidRPr="000A5982" w:rsidRDefault="001D38A7" w:rsidP="001D38A7">
      <w:pPr>
        <w:spacing w:after="160"/>
        <w:rPr>
          <w:rFonts w:ascii="Cambria" w:hAnsi="Cambria"/>
          <w:b/>
          <w:bCs/>
          <w:sz w:val="16"/>
          <w:szCs w:val="16"/>
        </w:rPr>
      </w:pPr>
    </w:p>
    <w:p w14:paraId="1A79872D" w14:textId="77777777" w:rsidR="001D38A7" w:rsidRDefault="001D38A7" w:rsidP="001D38A7">
      <w:pPr>
        <w:rPr>
          <w:rFonts w:ascii="Cambria" w:hAnsi="Cambria"/>
          <w:sz w:val="20"/>
          <w:szCs w:val="20"/>
        </w:rPr>
      </w:pPr>
      <w:r w:rsidRPr="000A5982">
        <w:rPr>
          <w:rFonts w:ascii="Cambria" w:hAnsi="Cambria"/>
          <w:b/>
          <w:bCs/>
          <w:sz w:val="20"/>
          <w:szCs w:val="20"/>
        </w:rPr>
        <w:t>Tabla 19.44</w:t>
      </w:r>
      <w:r w:rsidRPr="000A5982">
        <w:rPr>
          <w:rFonts w:ascii="Cambria" w:hAnsi="Cambria"/>
          <w:sz w:val="20"/>
          <w:szCs w:val="20"/>
        </w:rPr>
        <w:t>.</w:t>
      </w:r>
      <w:r w:rsidRPr="000A5982">
        <w:rPr>
          <w:rFonts w:ascii="Cambria" w:hAnsi="Cambria"/>
          <w:b/>
          <w:bCs/>
          <w:sz w:val="20"/>
          <w:szCs w:val="20"/>
        </w:rPr>
        <w:t>1.</w:t>
      </w:r>
      <w:r w:rsidRPr="000A5982">
        <w:rPr>
          <w:rFonts w:ascii="Cambria" w:hAnsi="Cambria"/>
          <w:sz w:val="20"/>
          <w:szCs w:val="20"/>
        </w:rPr>
        <w:t xml:space="preserve"> Número de individuos de especies tropicales (BET, YFT, SKJ) muestreados en puerto y reportados mediante el formulario ST10, 2018-2025.</w:t>
      </w:r>
    </w:p>
    <w:p w14:paraId="43438FB5" w14:textId="77777777" w:rsidR="001D38A7" w:rsidRPr="000A5982" w:rsidRDefault="001D38A7" w:rsidP="001D38A7">
      <w:pPr>
        <w:rPr>
          <w:rFonts w:ascii="Cambria" w:hAnsi="Cambria"/>
          <w:sz w:val="20"/>
          <w:szCs w:val="20"/>
        </w:rPr>
      </w:pPr>
    </w:p>
    <w:p w14:paraId="2445387E" w14:textId="77F6FE17" w:rsidR="00F81087" w:rsidRDefault="001D38A7" w:rsidP="001D38A7">
      <w:pPr>
        <w:jc w:val="both"/>
        <w:rPr>
          <w:rFonts w:ascii="Cambria" w:hAnsi="Cambria"/>
          <w:b/>
          <w:bCs/>
          <w:sz w:val="20"/>
          <w:szCs w:val="20"/>
        </w:rPr>
      </w:pPr>
      <w:r w:rsidRPr="000A5982">
        <w:rPr>
          <w:noProof/>
        </w:rPr>
        <w:drawing>
          <wp:inline distT="0" distB="0" distL="0" distR="0" wp14:anchorId="7A11CA60" wp14:editId="24BBE4FE">
            <wp:extent cx="5699760" cy="6013934"/>
            <wp:effectExtent l="0" t="0" r="0" b="6350"/>
            <wp:docPr id="2383641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5">
                      <a:extLst>
                        <a:ext uri="{28A0092B-C50C-407E-A947-70E740481C1C}">
                          <a14:useLocalDpi xmlns:a14="http://schemas.microsoft.com/office/drawing/2010/main" val="0"/>
                        </a:ext>
                      </a:extLst>
                    </a:blip>
                    <a:srcRect t="5665"/>
                    <a:stretch>
                      <a:fillRect/>
                    </a:stretch>
                  </pic:blipFill>
                  <pic:spPr bwMode="auto">
                    <a:xfrm>
                      <a:off x="0" y="0"/>
                      <a:ext cx="5700362" cy="6014569"/>
                    </a:xfrm>
                    <a:prstGeom prst="rect">
                      <a:avLst/>
                    </a:prstGeom>
                    <a:noFill/>
                    <a:ln>
                      <a:noFill/>
                    </a:ln>
                    <a:extLst>
                      <a:ext uri="{53640926-AAD7-44D8-BBD7-CCE9431645EC}">
                        <a14:shadowObscured xmlns:a14="http://schemas.microsoft.com/office/drawing/2010/main"/>
                      </a:ext>
                    </a:extLst>
                  </pic:spPr>
                </pic:pic>
              </a:graphicData>
            </a:graphic>
          </wp:inline>
        </w:drawing>
      </w:r>
    </w:p>
    <w:p w14:paraId="46818349" w14:textId="77777777" w:rsidR="007C25E0" w:rsidRPr="007C25E0" w:rsidRDefault="007C25E0" w:rsidP="007C25E0">
      <w:pPr>
        <w:rPr>
          <w:rFonts w:ascii="Cambria" w:hAnsi="Cambria"/>
          <w:sz w:val="20"/>
          <w:szCs w:val="20"/>
        </w:rPr>
      </w:pPr>
    </w:p>
    <w:p w14:paraId="31303773" w14:textId="77777777" w:rsidR="007C25E0" w:rsidRPr="007C25E0" w:rsidRDefault="007C25E0" w:rsidP="007C25E0">
      <w:pPr>
        <w:rPr>
          <w:rFonts w:ascii="Cambria" w:hAnsi="Cambria"/>
          <w:sz w:val="20"/>
          <w:szCs w:val="20"/>
        </w:rPr>
      </w:pPr>
    </w:p>
    <w:p w14:paraId="29817349" w14:textId="66306D8A" w:rsidR="007C25E0" w:rsidRDefault="007C25E0" w:rsidP="007C25E0">
      <w:pPr>
        <w:tabs>
          <w:tab w:val="left" w:pos="5845"/>
        </w:tabs>
        <w:rPr>
          <w:rFonts w:ascii="Cambria" w:hAnsi="Cambria"/>
          <w:sz w:val="20"/>
          <w:szCs w:val="20"/>
        </w:rPr>
      </w:pPr>
      <w:r>
        <w:rPr>
          <w:rFonts w:ascii="Cambria" w:hAnsi="Cambria"/>
          <w:sz w:val="20"/>
          <w:szCs w:val="20"/>
        </w:rPr>
        <w:tab/>
      </w:r>
    </w:p>
    <w:p w14:paraId="4571E25F" w14:textId="1D5EB144" w:rsidR="007C25E0" w:rsidRDefault="007C25E0" w:rsidP="007C25E0">
      <w:pPr>
        <w:tabs>
          <w:tab w:val="left" w:pos="5845"/>
        </w:tabs>
        <w:rPr>
          <w:rFonts w:ascii="Cambria" w:hAnsi="Cambria"/>
          <w:b/>
          <w:bCs/>
          <w:sz w:val="20"/>
          <w:szCs w:val="20"/>
        </w:rPr>
      </w:pPr>
      <w:r w:rsidRPr="007C25E0">
        <w:rPr>
          <w:rFonts w:ascii="Cambria" w:hAnsi="Cambria"/>
          <w:b/>
          <w:bCs/>
          <w:sz w:val="20"/>
          <w:szCs w:val="20"/>
        </w:rPr>
        <w:lastRenderedPageBreak/>
        <w:t>Recomendaciones</w:t>
      </w:r>
    </w:p>
    <w:p w14:paraId="5EEC4743" w14:textId="77777777" w:rsidR="007C25E0" w:rsidRDefault="007C25E0" w:rsidP="007C25E0">
      <w:pPr>
        <w:tabs>
          <w:tab w:val="left" w:pos="5845"/>
        </w:tabs>
        <w:rPr>
          <w:rFonts w:ascii="Cambria" w:hAnsi="Cambria"/>
          <w:b/>
          <w:bCs/>
          <w:sz w:val="20"/>
          <w:szCs w:val="20"/>
        </w:rPr>
      </w:pPr>
    </w:p>
    <w:p w14:paraId="4A61BB6A" w14:textId="15C82984" w:rsidR="007C25E0" w:rsidRPr="007C25E0" w:rsidRDefault="007C25E0" w:rsidP="00ED2707">
      <w:pPr>
        <w:tabs>
          <w:tab w:val="left" w:pos="5845"/>
        </w:tabs>
        <w:jc w:val="both"/>
        <w:rPr>
          <w:rFonts w:ascii="Cambria" w:hAnsi="Cambria"/>
          <w:b/>
          <w:bCs/>
          <w:sz w:val="20"/>
          <w:szCs w:val="20"/>
        </w:rPr>
      </w:pPr>
      <w:r w:rsidRPr="00ED2707">
        <w:rPr>
          <w:rFonts w:ascii="Cambria" w:hAnsi="Cambria"/>
          <w:sz w:val="20"/>
          <w:szCs w:val="20"/>
        </w:rPr>
        <w:t>La Comisión podría querer considerar cómo los buques pesqueros autorizados de</w:t>
      </w:r>
      <w:r>
        <w:rPr>
          <w:rFonts w:ascii="Cambria" w:hAnsi="Cambria"/>
          <w:b/>
          <w:bCs/>
          <w:sz w:val="20"/>
          <w:szCs w:val="20"/>
        </w:rPr>
        <w:t xml:space="preserve"> </w:t>
      </w:r>
      <w:r w:rsidRPr="007C25E0">
        <w:rPr>
          <w:rFonts w:ascii="Cambria" w:hAnsi="Cambria"/>
          <w:sz w:val="20"/>
          <w:szCs w:val="20"/>
        </w:rPr>
        <w:t>≥20 m</w:t>
      </w:r>
      <w:r>
        <w:rPr>
          <w:rFonts w:ascii="Cambria" w:hAnsi="Cambria"/>
          <w:sz w:val="20"/>
          <w:szCs w:val="20"/>
        </w:rPr>
        <w:t xml:space="preserve"> podrían mejorar la comunicación de sus actividades </w:t>
      </w:r>
      <w:r w:rsidR="00ED2707" w:rsidRPr="00ED2707">
        <w:rPr>
          <w:rFonts w:ascii="Cambria" w:hAnsi="Cambria"/>
          <w:sz w:val="20"/>
          <w:szCs w:val="20"/>
        </w:rPr>
        <w:t>transmitiendo de forma continua datos AIS estáticos precisos y completos,</w:t>
      </w:r>
      <w:r w:rsidR="00ED2707">
        <w:rPr>
          <w:rFonts w:ascii="Cambria" w:hAnsi="Cambria"/>
          <w:sz w:val="20"/>
          <w:szCs w:val="20"/>
        </w:rPr>
        <w:t xml:space="preserve"> incluido el número OMI cuando se tenga asignado, MMSI, IRCS y el nombre del buque registrado además de la comunicación VMS de las CPC.</w:t>
      </w:r>
    </w:p>
    <w:sectPr w:rsidR="007C25E0" w:rsidRPr="007C25E0" w:rsidSect="001D38A7">
      <w:headerReference w:type="even" r:id="rId36"/>
      <w:headerReference w:type="default" r:id="rId37"/>
      <w:footerReference w:type="even" r:id="rId38"/>
      <w:footerReference w:type="default" r:id="rId39"/>
      <w:headerReference w:type="first" r:id="rId40"/>
      <w:footerReference w:type="first" r:id="rId41"/>
      <w:pgSz w:w="11907" w:h="16840" w:code="9"/>
      <w:pgMar w:top="1418" w:right="1418" w:bottom="1418" w:left="1418" w:header="851"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1300D" w14:textId="77777777" w:rsidR="001A793A" w:rsidRDefault="001A793A" w:rsidP="00DD4C39">
      <w:r>
        <w:separator/>
      </w:r>
    </w:p>
  </w:endnote>
  <w:endnote w:type="continuationSeparator" w:id="0">
    <w:p w14:paraId="064BE659" w14:textId="77777777" w:rsidR="001A793A" w:rsidRDefault="001A793A" w:rsidP="00DD4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0B1A9" w14:textId="77777777" w:rsidR="00983C8D" w:rsidRDefault="00983C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83931" w14:textId="5F29B062" w:rsidR="004F39B9" w:rsidRPr="004F39B9" w:rsidRDefault="001A793A" w:rsidP="004F39B9">
    <w:pPr>
      <w:tabs>
        <w:tab w:val="center" w:pos="4535"/>
        <w:tab w:val="center" w:pos="4680"/>
        <w:tab w:val="left" w:pos="6150"/>
        <w:tab w:val="right" w:pos="9360"/>
      </w:tabs>
      <w:jc w:val="center"/>
      <w:rPr>
        <w:rFonts w:ascii="Cambria" w:eastAsia="Calibri" w:hAnsi="Cambria" w:cs="Calibri"/>
        <w:sz w:val="20"/>
        <w:szCs w:val="22"/>
        <w:lang w:val="en-US"/>
      </w:rPr>
    </w:pPr>
    <w:sdt>
      <w:sdtPr>
        <w:rPr>
          <w:rFonts w:ascii="Calibri" w:eastAsia="Calibri" w:hAnsi="Calibri" w:cs="Calibri"/>
          <w:sz w:val="20"/>
          <w:szCs w:val="20"/>
          <w:lang w:val="en-US"/>
        </w:rPr>
        <w:id w:val="810910487"/>
        <w:docPartObj>
          <w:docPartGallery w:val="Page Numbers (Top of Page)"/>
          <w:docPartUnique/>
        </w:docPartObj>
      </w:sdtPr>
      <w:sdtEndPr/>
      <w:sdtContent>
        <w:r w:rsidR="004F39B9" w:rsidRPr="00713AD4">
          <w:rPr>
            <w:rFonts w:ascii="Cambria" w:eastAsia="Calibri" w:hAnsi="Cambria" w:cs="Calibri"/>
            <w:sz w:val="20"/>
            <w:szCs w:val="20"/>
            <w:lang w:val="en-US"/>
          </w:rPr>
          <w:fldChar w:fldCharType="begin"/>
        </w:r>
        <w:r w:rsidR="004F39B9" w:rsidRPr="00713AD4">
          <w:rPr>
            <w:rFonts w:ascii="Cambria" w:eastAsia="Calibri" w:hAnsi="Cambria" w:cs="Calibri"/>
            <w:sz w:val="20"/>
            <w:szCs w:val="20"/>
            <w:lang w:val="en-US"/>
          </w:rPr>
          <w:instrText xml:space="preserve"> PAGE </w:instrText>
        </w:r>
        <w:r w:rsidR="004F39B9" w:rsidRPr="00713AD4">
          <w:rPr>
            <w:rFonts w:ascii="Cambria" w:eastAsia="Calibri" w:hAnsi="Cambria" w:cs="Calibri"/>
            <w:sz w:val="20"/>
            <w:szCs w:val="20"/>
            <w:lang w:val="en-US"/>
          </w:rPr>
          <w:fldChar w:fldCharType="separate"/>
        </w:r>
        <w:r w:rsidR="004F39B9">
          <w:rPr>
            <w:rFonts w:ascii="Cambria" w:eastAsia="Calibri" w:hAnsi="Cambria" w:cs="Calibri"/>
            <w:sz w:val="20"/>
            <w:szCs w:val="20"/>
            <w:lang w:val="en-US"/>
          </w:rPr>
          <w:t>1</w:t>
        </w:r>
        <w:r w:rsidR="004F39B9" w:rsidRPr="00713AD4">
          <w:rPr>
            <w:rFonts w:ascii="Cambria" w:eastAsia="Calibri" w:hAnsi="Cambria" w:cs="Calibri"/>
            <w:sz w:val="20"/>
            <w:szCs w:val="20"/>
            <w:lang w:val="en-US"/>
          </w:rPr>
          <w:fldChar w:fldCharType="end"/>
        </w:r>
        <w:r w:rsidR="004F39B9" w:rsidRPr="00713AD4">
          <w:rPr>
            <w:rFonts w:ascii="Cambria" w:eastAsia="Calibri" w:hAnsi="Cambria" w:cs="Calibri"/>
            <w:sz w:val="20"/>
            <w:szCs w:val="20"/>
            <w:lang w:val="en-US"/>
          </w:rPr>
          <w:t xml:space="preserve"> / </w:t>
        </w:r>
        <w:r w:rsidR="004F39B9" w:rsidRPr="00713AD4">
          <w:rPr>
            <w:rFonts w:ascii="Cambria" w:eastAsia="Calibri" w:hAnsi="Cambria" w:cs="Calibri"/>
            <w:sz w:val="20"/>
            <w:szCs w:val="20"/>
            <w:lang w:val="en-US"/>
          </w:rPr>
          <w:fldChar w:fldCharType="begin"/>
        </w:r>
        <w:r w:rsidR="004F39B9" w:rsidRPr="00713AD4">
          <w:rPr>
            <w:rFonts w:ascii="Cambria" w:eastAsia="Calibri" w:hAnsi="Cambria" w:cs="Calibri"/>
            <w:sz w:val="20"/>
            <w:szCs w:val="20"/>
            <w:lang w:val="en-US"/>
          </w:rPr>
          <w:instrText xml:space="preserve"> NUMPAGES  </w:instrText>
        </w:r>
        <w:r w:rsidR="004F39B9" w:rsidRPr="00713AD4">
          <w:rPr>
            <w:rFonts w:ascii="Cambria" w:eastAsia="Calibri" w:hAnsi="Cambria" w:cs="Calibri"/>
            <w:sz w:val="20"/>
            <w:szCs w:val="20"/>
            <w:lang w:val="en-US"/>
          </w:rPr>
          <w:fldChar w:fldCharType="separate"/>
        </w:r>
        <w:r w:rsidR="004F39B9">
          <w:rPr>
            <w:rFonts w:ascii="Cambria" w:eastAsia="Calibri" w:hAnsi="Cambria" w:cs="Calibri"/>
            <w:sz w:val="20"/>
            <w:szCs w:val="20"/>
            <w:lang w:val="en-US"/>
          </w:rPr>
          <w:t>2</w:t>
        </w:r>
        <w:r w:rsidR="004F39B9" w:rsidRPr="00713AD4">
          <w:rPr>
            <w:rFonts w:ascii="Cambria" w:eastAsia="Calibri" w:hAnsi="Cambria" w:cs="Calibri"/>
            <w:sz w:val="20"/>
            <w:szCs w:val="20"/>
            <w:lang w:val="en-US"/>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960E5" w14:textId="77777777" w:rsidR="00983C8D" w:rsidRDefault="00983C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6C969" w14:textId="77777777" w:rsidR="001A793A" w:rsidRDefault="001A793A" w:rsidP="00DD4C39">
      <w:r>
        <w:separator/>
      </w:r>
    </w:p>
  </w:footnote>
  <w:footnote w:type="continuationSeparator" w:id="0">
    <w:p w14:paraId="327EFE6D" w14:textId="77777777" w:rsidR="001A793A" w:rsidRDefault="001A793A" w:rsidP="00DD4C39">
      <w:r>
        <w:continuationSeparator/>
      </w:r>
    </w:p>
  </w:footnote>
  <w:footnote w:id="1">
    <w:p w14:paraId="6D4498D3" w14:textId="77777777" w:rsidR="001D38A7" w:rsidRPr="0004381C" w:rsidRDefault="001D38A7" w:rsidP="001D38A7">
      <w:pPr>
        <w:pBdr>
          <w:top w:val="nil"/>
          <w:left w:val="nil"/>
          <w:bottom w:val="nil"/>
          <w:right w:val="nil"/>
          <w:between w:val="nil"/>
        </w:pBdr>
        <w:jc w:val="both"/>
        <w:rPr>
          <w:rFonts w:ascii="Cambria" w:hAnsi="Cambria"/>
          <w:color w:val="000000"/>
          <w:sz w:val="16"/>
          <w:szCs w:val="16"/>
        </w:rPr>
      </w:pPr>
      <w:r w:rsidRPr="0004381C">
        <w:rPr>
          <w:rStyle w:val="FootnoteReference"/>
          <w:rFonts w:ascii="Cambria" w:hAnsi="Cambria"/>
          <w:sz w:val="16"/>
          <w:szCs w:val="16"/>
        </w:rPr>
        <w:footnoteRef/>
      </w:r>
      <w:r w:rsidRPr="0004381C">
        <w:rPr>
          <w:rFonts w:ascii="Cambria" w:hAnsi="Cambria"/>
          <w:sz w:val="16"/>
          <w:szCs w:val="16"/>
        </w:rPr>
        <w:t xml:space="preserve"> Disponible en la Secretaría previa petición o en el sitio web de documentos de la </w:t>
      </w:r>
      <w:hyperlink r:id="rId1" w:anchor="es">
        <w:r w:rsidRPr="0004381C">
          <w:rPr>
            <w:rFonts w:ascii="Cambria" w:hAnsi="Cambria"/>
            <w:color w:val="0000FF"/>
            <w:sz w:val="16"/>
            <w:szCs w:val="16"/>
          </w:rPr>
          <w:t xml:space="preserve">Reunión anual de 2019. </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621A5" w14:textId="77777777" w:rsidR="00983C8D" w:rsidRDefault="00983C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528AA" w14:textId="2964B54F" w:rsidR="004F39B9" w:rsidRPr="00793F38" w:rsidRDefault="00857C38" w:rsidP="004F39B9">
    <w:pPr>
      <w:tabs>
        <w:tab w:val="center" w:pos="4680"/>
        <w:tab w:val="left" w:pos="6520"/>
        <w:tab w:val="right" w:pos="9360"/>
        <w:tab w:val="right" w:pos="14240"/>
      </w:tabs>
      <w:jc w:val="right"/>
      <w:rPr>
        <w:rFonts w:ascii="Cambria" w:eastAsia="Calibri" w:hAnsi="Cambria"/>
        <w:b/>
        <w:bCs/>
        <w:sz w:val="20"/>
        <w:szCs w:val="20"/>
        <w:lang w:val="en-US"/>
      </w:rPr>
    </w:pPr>
    <w:bookmarkStart w:id="1" w:name="_Hlk107908354"/>
    <w:bookmarkStart w:id="2" w:name="_Hlk107908355"/>
    <w:bookmarkStart w:id="3" w:name="_Hlk107908359"/>
    <w:bookmarkStart w:id="4" w:name="_Hlk107908360"/>
    <w:bookmarkStart w:id="5" w:name="_Hlk107908361"/>
    <w:bookmarkStart w:id="6" w:name="_Hlk107908362"/>
    <w:r>
      <w:rPr>
        <w:rFonts w:ascii="Cambria" w:eastAsia="Calibri" w:hAnsi="Cambria"/>
        <w:b/>
        <w:bCs/>
        <w:sz w:val="20"/>
        <w:szCs w:val="20"/>
        <w:lang w:val="en-US"/>
      </w:rPr>
      <w:t>PA1</w:t>
    </w:r>
    <w:r w:rsidR="004F39B9" w:rsidRPr="00793F38">
      <w:rPr>
        <w:rFonts w:ascii="Cambria" w:eastAsia="Calibri" w:hAnsi="Cambria"/>
        <w:b/>
        <w:bCs/>
        <w:sz w:val="20"/>
        <w:szCs w:val="20"/>
        <w:lang w:val="en-US"/>
      </w:rPr>
      <w:t>_</w:t>
    </w:r>
    <w:r>
      <w:rPr>
        <w:rFonts w:ascii="Cambria" w:eastAsia="Calibri" w:hAnsi="Cambria"/>
        <w:b/>
        <w:bCs/>
        <w:sz w:val="20"/>
        <w:szCs w:val="20"/>
        <w:lang w:val="en-US"/>
      </w:rPr>
      <w:t>50</w:t>
    </w:r>
    <w:r w:rsidR="00983C8D">
      <w:rPr>
        <w:rFonts w:ascii="Cambria" w:eastAsia="Calibri" w:hAnsi="Cambria"/>
        <w:b/>
        <w:bCs/>
        <w:sz w:val="20"/>
        <w:szCs w:val="20"/>
        <w:lang w:val="en-US"/>
      </w:rPr>
      <w:t>3</w:t>
    </w:r>
    <w:r w:rsidR="004F39B9" w:rsidRPr="00793F38">
      <w:rPr>
        <w:rFonts w:ascii="Cambria" w:eastAsia="Calibri" w:hAnsi="Cambria"/>
        <w:b/>
        <w:bCs/>
        <w:sz w:val="20"/>
        <w:szCs w:val="20"/>
        <w:lang w:val="en-US"/>
      </w:rPr>
      <w:t>/202</w:t>
    </w:r>
    <w:r w:rsidR="005B152F">
      <w:rPr>
        <w:rFonts w:ascii="Cambria" w:eastAsia="Calibri" w:hAnsi="Cambria"/>
        <w:b/>
        <w:bCs/>
        <w:sz w:val="20"/>
        <w:szCs w:val="20"/>
        <w:lang w:val="en-US"/>
      </w:rPr>
      <w:t>6</w:t>
    </w:r>
  </w:p>
  <w:p w14:paraId="76609AFE" w14:textId="55D70596" w:rsidR="004F39B9" w:rsidRPr="004F39B9" w:rsidRDefault="004F39B9" w:rsidP="004F39B9">
    <w:pPr>
      <w:tabs>
        <w:tab w:val="left" w:pos="7320"/>
      </w:tabs>
      <w:spacing w:line="240" w:lineRule="exact"/>
      <w:jc w:val="right"/>
      <w:rPr>
        <w:rFonts w:ascii="Cambria" w:hAnsi="Cambria"/>
        <w:b/>
        <w:bCs/>
        <w:sz w:val="16"/>
        <w:szCs w:val="16"/>
        <w:lang w:val="es-ES_tradnl"/>
      </w:rPr>
    </w:pPr>
    <w:r w:rsidRPr="00793F38">
      <w:rPr>
        <w:rFonts w:ascii="Cambria" w:hAnsi="Cambria"/>
        <w:b/>
        <w:bCs/>
        <w:sz w:val="16"/>
        <w:szCs w:val="16"/>
        <w:lang w:val="es-ES_tradnl"/>
      </w:rPr>
      <w:fldChar w:fldCharType="begin"/>
    </w:r>
    <w:r w:rsidRPr="00793F38">
      <w:rPr>
        <w:rFonts w:ascii="Cambria" w:hAnsi="Cambria"/>
        <w:b/>
        <w:bCs/>
        <w:sz w:val="16"/>
        <w:szCs w:val="16"/>
        <w:lang w:val="es-ES_tradnl"/>
      </w:rPr>
      <w:instrText xml:space="preserve"> TIME \@ "dd/MM/yyyy H:mm" </w:instrText>
    </w:r>
    <w:r w:rsidRPr="00793F38">
      <w:rPr>
        <w:rFonts w:ascii="Cambria" w:hAnsi="Cambria"/>
        <w:b/>
        <w:bCs/>
        <w:sz w:val="16"/>
        <w:szCs w:val="16"/>
        <w:lang w:val="es-ES_tradnl"/>
      </w:rPr>
      <w:fldChar w:fldCharType="separate"/>
    </w:r>
    <w:r w:rsidR="00F81087">
      <w:rPr>
        <w:rFonts w:ascii="Cambria" w:hAnsi="Cambria"/>
        <w:b/>
        <w:bCs/>
        <w:noProof/>
        <w:sz w:val="16"/>
        <w:szCs w:val="16"/>
        <w:lang w:val="es-ES_tradnl"/>
      </w:rPr>
      <w:t>13/10/2026 12:23</w:t>
    </w:r>
    <w:r w:rsidRPr="00793F38">
      <w:rPr>
        <w:rFonts w:ascii="Cambria" w:hAnsi="Cambria"/>
        <w:b/>
        <w:bCs/>
        <w:sz w:val="16"/>
        <w:szCs w:val="16"/>
        <w:lang w:val="es-ES_tradnl"/>
      </w:rPr>
      <w:fldChar w:fldCharType="end"/>
    </w:r>
    <w:bookmarkEnd w:id="1"/>
    <w:bookmarkEnd w:id="2"/>
    <w:bookmarkEnd w:id="3"/>
    <w:bookmarkEnd w:id="4"/>
    <w:bookmarkEnd w:id="5"/>
    <w:bookmarkEnd w:id="6"/>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64D18" w14:textId="77777777" w:rsidR="00983C8D" w:rsidRDefault="00983C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45AE2"/>
    <w:multiLevelType w:val="hybridMultilevel"/>
    <w:tmpl w:val="C3728716"/>
    <w:lvl w:ilvl="0" w:tplc="19D68B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01100F"/>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D21533A"/>
    <w:multiLevelType w:val="multilevel"/>
    <w:tmpl w:val="D6260EBE"/>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DE841C0"/>
    <w:multiLevelType w:val="multilevel"/>
    <w:tmpl w:val="4D065C18"/>
    <w:lvl w:ilvl="0">
      <w:start w:val="1"/>
      <w:numFmt w:val="decimal"/>
      <w:lvlText w:val="%1."/>
      <w:lvlJc w:val="left"/>
      <w:pPr>
        <w:ind w:left="780" w:hanging="420"/>
      </w:pPr>
      <w:rPr>
        <w:rFonts w:hint="default"/>
        <w:color w:val="auto"/>
      </w:rPr>
    </w:lvl>
    <w:lvl w:ilvl="1">
      <w:start w:val="1"/>
      <w:numFmt w:val="decimal"/>
      <w:isLgl/>
      <w:lvlText w:val="%1.%2"/>
      <w:lvlJc w:val="left"/>
      <w:pPr>
        <w:ind w:left="861" w:hanging="435"/>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4" w15:restartNumberingAfterBreak="0">
    <w:nsid w:val="0EE93A1F"/>
    <w:multiLevelType w:val="multilevel"/>
    <w:tmpl w:val="52003E70"/>
    <w:lvl w:ilvl="0">
      <w:start w:val="1"/>
      <w:numFmt w:val="decimal"/>
      <w:lvlText w:val="%1."/>
      <w:lvlJc w:val="left"/>
      <w:pPr>
        <w:ind w:left="472" w:hanging="471"/>
      </w:pPr>
      <w:rPr>
        <w:rFonts w:ascii="Cambria" w:eastAsia="Cambria" w:hAnsi="Cambria" w:cs="Cambria" w:hint="default"/>
        <w:b/>
        <w:bCs/>
        <w:i w:val="0"/>
        <w:iCs w:val="0"/>
        <w:spacing w:val="-1"/>
        <w:sz w:val="20"/>
        <w:szCs w:val="20"/>
        <w:lang w:val="en-US" w:eastAsia="en-US" w:bidi="ar-SA"/>
      </w:rPr>
    </w:lvl>
    <w:lvl w:ilvl="1">
      <w:start w:val="1"/>
      <w:numFmt w:val="lowerLetter"/>
      <w:lvlText w:val="%2)"/>
      <w:lvlJc w:val="left"/>
      <w:pPr>
        <w:ind w:left="853" w:hanging="435"/>
      </w:pPr>
      <w:rPr>
        <w:rFonts w:ascii="Cambria" w:eastAsia="Cambria" w:hAnsi="Cambria" w:cs="Cambria" w:hint="default"/>
        <w:b w:val="0"/>
        <w:bCs w:val="0"/>
        <w:i w:val="0"/>
        <w:iCs w:val="0"/>
        <w:spacing w:val="0"/>
        <w:sz w:val="20"/>
        <w:szCs w:val="20"/>
        <w:lang w:val="en-US" w:eastAsia="en-US" w:bidi="ar-SA"/>
      </w:rPr>
    </w:lvl>
    <w:lvl w:ilvl="2">
      <w:start w:val="1"/>
      <w:numFmt w:val="decimal"/>
      <w:lvlText w:val="%3."/>
      <w:lvlJc w:val="left"/>
      <w:pPr>
        <w:ind w:left="568" w:hanging="284"/>
      </w:pPr>
      <w:rPr>
        <w:rFonts w:ascii="Cambria" w:eastAsia="Cambria" w:hAnsi="Cambria" w:cs="Cambria" w:hint="default"/>
        <w:b w:val="0"/>
        <w:bCs w:val="0"/>
        <w:i w:val="0"/>
        <w:iCs w:val="0"/>
        <w:spacing w:val="0"/>
        <w:sz w:val="20"/>
        <w:szCs w:val="20"/>
        <w:lang w:val="en-US" w:eastAsia="en-US" w:bidi="ar-SA"/>
      </w:rPr>
    </w:lvl>
    <w:lvl w:ilvl="3">
      <w:start w:val="1"/>
      <w:numFmt w:val="decimal"/>
      <w:lvlText w:val="%4."/>
      <w:lvlJc w:val="left"/>
      <w:pPr>
        <w:ind w:left="568" w:hanging="284"/>
      </w:pPr>
      <w:rPr>
        <w:rFonts w:ascii="Cambria" w:eastAsia="Cambria" w:hAnsi="Cambria" w:cs="Cambria" w:hint="default"/>
        <w:b w:val="0"/>
        <w:bCs w:val="0"/>
        <w:i w:val="0"/>
        <w:iCs w:val="0"/>
        <w:spacing w:val="0"/>
        <w:sz w:val="20"/>
        <w:szCs w:val="20"/>
        <w:lang w:val="en-US" w:eastAsia="en-US" w:bidi="ar-SA"/>
      </w:rPr>
    </w:lvl>
    <w:lvl w:ilvl="4">
      <w:numFmt w:val="bullet"/>
      <w:lvlText w:val="•"/>
      <w:lvlJc w:val="left"/>
      <w:pPr>
        <w:ind w:left="2053" w:hanging="284"/>
      </w:pPr>
      <w:rPr>
        <w:lang w:val="en-US" w:eastAsia="en-US" w:bidi="ar-SA"/>
      </w:rPr>
    </w:lvl>
    <w:lvl w:ilvl="5">
      <w:numFmt w:val="bullet"/>
      <w:lvlText w:val="•"/>
      <w:lvlJc w:val="left"/>
      <w:pPr>
        <w:ind w:left="3246" w:hanging="284"/>
      </w:pPr>
      <w:rPr>
        <w:lang w:val="en-US" w:eastAsia="en-US" w:bidi="ar-SA"/>
      </w:rPr>
    </w:lvl>
    <w:lvl w:ilvl="6">
      <w:numFmt w:val="bullet"/>
      <w:lvlText w:val="•"/>
      <w:lvlJc w:val="left"/>
      <w:pPr>
        <w:ind w:left="4440" w:hanging="284"/>
      </w:pPr>
      <w:rPr>
        <w:lang w:val="en-US" w:eastAsia="en-US" w:bidi="ar-SA"/>
      </w:rPr>
    </w:lvl>
    <w:lvl w:ilvl="7">
      <w:numFmt w:val="bullet"/>
      <w:lvlText w:val="•"/>
      <w:lvlJc w:val="left"/>
      <w:pPr>
        <w:ind w:left="5633" w:hanging="284"/>
      </w:pPr>
      <w:rPr>
        <w:lang w:val="en-US" w:eastAsia="en-US" w:bidi="ar-SA"/>
      </w:rPr>
    </w:lvl>
    <w:lvl w:ilvl="8">
      <w:numFmt w:val="bullet"/>
      <w:lvlText w:val="•"/>
      <w:lvlJc w:val="left"/>
      <w:pPr>
        <w:ind w:left="6827" w:hanging="284"/>
      </w:pPr>
      <w:rPr>
        <w:lang w:val="en-US" w:eastAsia="en-US" w:bidi="ar-SA"/>
      </w:rPr>
    </w:lvl>
  </w:abstractNum>
  <w:abstractNum w:abstractNumId="5" w15:restartNumberingAfterBreak="0">
    <w:nsid w:val="14077D74"/>
    <w:multiLevelType w:val="hybridMultilevel"/>
    <w:tmpl w:val="7F569F7C"/>
    <w:lvl w:ilvl="0" w:tplc="7BA6EB32">
      <w:start w:val="4"/>
      <w:numFmt w:val="bullet"/>
      <w:lvlText w:val="-"/>
      <w:lvlJc w:val="left"/>
      <w:pPr>
        <w:ind w:left="720" w:hanging="360"/>
      </w:pPr>
      <w:rPr>
        <w:rFonts w:ascii="Cambria" w:eastAsia="Times New Roman" w:hAnsi="Cambria" w:cs="Times New Roman"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5D78E3"/>
    <w:multiLevelType w:val="hybridMultilevel"/>
    <w:tmpl w:val="0BB69D2A"/>
    <w:lvl w:ilvl="0" w:tplc="560A1B20">
      <w:start w:val="1"/>
      <w:numFmt w:val="lowerLetter"/>
      <w:lvlText w:val="%1)"/>
      <w:lvlJc w:val="left"/>
      <w:pPr>
        <w:ind w:left="790" w:hanging="360"/>
      </w:pPr>
      <w:rPr>
        <w:rFonts w:hint="default"/>
      </w:rPr>
    </w:lvl>
    <w:lvl w:ilvl="1" w:tplc="0C0A0019" w:tentative="1">
      <w:start w:val="1"/>
      <w:numFmt w:val="lowerLetter"/>
      <w:lvlText w:val="%2."/>
      <w:lvlJc w:val="left"/>
      <w:pPr>
        <w:ind w:left="1510" w:hanging="360"/>
      </w:pPr>
    </w:lvl>
    <w:lvl w:ilvl="2" w:tplc="0C0A001B" w:tentative="1">
      <w:start w:val="1"/>
      <w:numFmt w:val="lowerRoman"/>
      <w:lvlText w:val="%3."/>
      <w:lvlJc w:val="right"/>
      <w:pPr>
        <w:ind w:left="2230" w:hanging="180"/>
      </w:pPr>
    </w:lvl>
    <w:lvl w:ilvl="3" w:tplc="0C0A000F" w:tentative="1">
      <w:start w:val="1"/>
      <w:numFmt w:val="decimal"/>
      <w:lvlText w:val="%4."/>
      <w:lvlJc w:val="left"/>
      <w:pPr>
        <w:ind w:left="2950" w:hanging="360"/>
      </w:pPr>
    </w:lvl>
    <w:lvl w:ilvl="4" w:tplc="0C0A0019" w:tentative="1">
      <w:start w:val="1"/>
      <w:numFmt w:val="lowerLetter"/>
      <w:lvlText w:val="%5."/>
      <w:lvlJc w:val="left"/>
      <w:pPr>
        <w:ind w:left="3670" w:hanging="360"/>
      </w:pPr>
    </w:lvl>
    <w:lvl w:ilvl="5" w:tplc="0C0A001B" w:tentative="1">
      <w:start w:val="1"/>
      <w:numFmt w:val="lowerRoman"/>
      <w:lvlText w:val="%6."/>
      <w:lvlJc w:val="right"/>
      <w:pPr>
        <w:ind w:left="4390" w:hanging="180"/>
      </w:pPr>
    </w:lvl>
    <w:lvl w:ilvl="6" w:tplc="0C0A000F" w:tentative="1">
      <w:start w:val="1"/>
      <w:numFmt w:val="decimal"/>
      <w:lvlText w:val="%7."/>
      <w:lvlJc w:val="left"/>
      <w:pPr>
        <w:ind w:left="5110" w:hanging="360"/>
      </w:pPr>
    </w:lvl>
    <w:lvl w:ilvl="7" w:tplc="0C0A0019" w:tentative="1">
      <w:start w:val="1"/>
      <w:numFmt w:val="lowerLetter"/>
      <w:lvlText w:val="%8."/>
      <w:lvlJc w:val="left"/>
      <w:pPr>
        <w:ind w:left="5830" w:hanging="360"/>
      </w:pPr>
    </w:lvl>
    <w:lvl w:ilvl="8" w:tplc="0C0A001B" w:tentative="1">
      <w:start w:val="1"/>
      <w:numFmt w:val="lowerRoman"/>
      <w:lvlText w:val="%9."/>
      <w:lvlJc w:val="right"/>
      <w:pPr>
        <w:ind w:left="6550" w:hanging="180"/>
      </w:pPr>
    </w:lvl>
  </w:abstractNum>
  <w:abstractNum w:abstractNumId="7" w15:restartNumberingAfterBreak="0">
    <w:nsid w:val="193B2056"/>
    <w:multiLevelType w:val="hybridMultilevel"/>
    <w:tmpl w:val="6EC853B0"/>
    <w:lvl w:ilvl="0" w:tplc="DDCEDE30">
      <w:start w:val="1"/>
      <w:numFmt w:val="lowerLetter"/>
      <w:lvlText w:val="%1)"/>
      <w:lvlJc w:val="left"/>
      <w:pPr>
        <w:ind w:left="1068" w:hanging="360"/>
      </w:pPr>
      <w:rPr>
        <w:rFonts w:hint="default"/>
      </w:rPr>
    </w:lvl>
    <w:lvl w:ilvl="1" w:tplc="0C0A0019" w:tentative="1">
      <w:start w:val="1"/>
      <w:numFmt w:val="lowerLetter"/>
      <w:lvlText w:val="%2."/>
      <w:lvlJc w:val="left"/>
      <w:pPr>
        <w:ind w:left="1510" w:hanging="360"/>
      </w:pPr>
    </w:lvl>
    <w:lvl w:ilvl="2" w:tplc="0C0A001B" w:tentative="1">
      <w:start w:val="1"/>
      <w:numFmt w:val="lowerRoman"/>
      <w:lvlText w:val="%3."/>
      <w:lvlJc w:val="right"/>
      <w:pPr>
        <w:ind w:left="2230" w:hanging="180"/>
      </w:pPr>
    </w:lvl>
    <w:lvl w:ilvl="3" w:tplc="0C0A000F" w:tentative="1">
      <w:start w:val="1"/>
      <w:numFmt w:val="decimal"/>
      <w:lvlText w:val="%4."/>
      <w:lvlJc w:val="left"/>
      <w:pPr>
        <w:ind w:left="2950" w:hanging="360"/>
      </w:pPr>
    </w:lvl>
    <w:lvl w:ilvl="4" w:tplc="0C0A0019" w:tentative="1">
      <w:start w:val="1"/>
      <w:numFmt w:val="lowerLetter"/>
      <w:lvlText w:val="%5."/>
      <w:lvlJc w:val="left"/>
      <w:pPr>
        <w:ind w:left="3670" w:hanging="360"/>
      </w:pPr>
    </w:lvl>
    <w:lvl w:ilvl="5" w:tplc="0C0A001B" w:tentative="1">
      <w:start w:val="1"/>
      <w:numFmt w:val="lowerRoman"/>
      <w:lvlText w:val="%6."/>
      <w:lvlJc w:val="right"/>
      <w:pPr>
        <w:ind w:left="4390" w:hanging="180"/>
      </w:pPr>
    </w:lvl>
    <w:lvl w:ilvl="6" w:tplc="0C0A000F" w:tentative="1">
      <w:start w:val="1"/>
      <w:numFmt w:val="decimal"/>
      <w:lvlText w:val="%7."/>
      <w:lvlJc w:val="left"/>
      <w:pPr>
        <w:ind w:left="5110" w:hanging="360"/>
      </w:pPr>
    </w:lvl>
    <w:lvl w:ilvl="7" w:tplc="0C0A0019" w:tentative="1">
      <w:start w:val="1"/>
      <w:numFmt w:val="lowerLetter"/>
      <w:lvlText w:val="%8."/>
      <w:lvlJc w:val="left"/>
      <w:pPr>
        <w:ind w:left="5830" w:hanging="360"/>
      </w:pPr>
    </w:lvl>
    <w:lvl w:ilvl="8" w:tplc="0C0A001B" w:tentative="1">
      <w:start w:val="1"/>
      <w:numFmt w:val="lowerRoman"/>
      <w:lvlText w:val="%9."/>
      <w:lvlJc w:val="right"/>
      <w:pPr>
        <w:ind w:left="6550" w:hanging="180"/>
      </w:pPr>
    </w:lvl>
  </w:abstractNum>
  <w:abstractNum w:abstractNumId="8" w15:restartNumberingAfterBreak="0">
    <w:nsid w:val="1D0911B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EA83AD5"/>
    <w:multiLevelType w:val="hybridMultilevel"/>
    <w:tmpl w:val="4B20887C"/>
    <w:lvl w:ilvl="0" w:tplc="DB8E674C">
      <w:start w:val="1"/>
      <w:numFmt w:val="decimal"/>
      <w:lvlText w:val="%1."/>
      <w:lvlJc w:val="left"/>
      <w:pPr>
        <w:ind w:left="785" w:hanging="42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202CC1"/>
    <w:multiLevelType w:val="hybridMultilevel"/>
    <w:tmpl w:val="DDB4D152"/>
    <w:lvl w:ilvl="0" w:tplc="505C6584">
      <w:start w:val="1"/>
      <w:numFmt w:val="decimal"/>
      <w:lvlText w:val="%1."/>
      <w:lvlJc w:val="left"/>
      <w:pPr>
        <w:ind w:left="790" w:hanging="43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0227397"/>
    <w:multiLevelType w:val="multilevel"/>
    <w:tmpl w:val="78A6DAC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2AF377C1"/>
    <w:multiLevelType w:val="hybridMultilevel"/>
    <w:tmpl w:val="23467D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371C29"/>
    <w:multiLevelType w:val="multilevel"/>
    <w:tmpl w:val="72580D06"/>
    <w:lvl w:ilvl="0">
      <w:start w:val="2"/>
      <w:numFmt w:val="lowerLetter"/>
      <w:lvlText w:val="%1)"/>
      <w:lvlJc w:val="left"/>
      <w:pPr>
        <w:ind w:left="144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B3B1FCD"/>
    <w:multiLevelType w:val="multilevel"/>
    <w:tmpl w:val="66AC5AA6"/>
    <w:lvl w:ilvl="0">
      <w:start w:val="4"/>
      <w:numFmt w:val="lowerLetter"/>
      <w:lvlText w:val="%1."/>
      <w:lvlJc w:val="left"/>
      <w:pPr>
        <w:tabs>
          <w:tab w:val="num" w:pos="1276"/>
        </w:tabs>
        <w:ind w:left="1276" w:hanging="360"/>
      </w:pPr>
    </w:lvl>
    <w:lvl w:ilvl="1" w:tentative="1">
      <w:start w:val="1"/>
      <w:numFmt w:val="lowerLetter"/>
      <w:lvlText w:val="%2."/>
      <w:lvlJc w:val="left"/>
      <w:pPr>
        <w:tabs>
          <w:tab w:val="num" w:pos="1996"/>
        </w:tabs>
        <w:ind w:left="1996" w:hanging="360"/>
      </w:pPr>
    </w:lvl>
    <w:lvl w:ilvl="2" w:tentative="1">
      <w:start w:val="1"/>
      <w:numFmt w:val="lowerLetter"/>
      <w:lvlText w:val="%3."/>
      <w:lvlJc w:val="left"/>
      <w:pPr>
        <w:tabs>
          <w:tab w:val="num" w:pos="2716"/>
        </w:tabs>
        <w:ind w:left="2716" w:hanging="360"/>
      </w:pPr>
    </w:lvl>
    <w:lvl w:ilvl="3" w:tentative="1">
      <w:start w:val="1"/>
      <w:numFmt w:val="lowerLetter"/>
      <w:lvlText w:val="%4."/>
      <w:lvlJc w:val="left"/>
      <w:pPr>
        <w:tabs>
          <w:tab w:val="num" w:pos="3436"/>
        </w:tabs>
        <w:ind w:left="3436" w:hanging="360"/>
      </w:pPr>
    </w:lvl>
    <w:lvl w:ilvl="4" w:tentative="1">
      <w:start w:val="1"/>
      <w:numFmt w:val="lowerLetter"/>
      <w:lvlText w:val="%5."/>
      <w:lvlJc w:val="left"/>
      <w:pPr>
        <w:tabs>
          <w:tab w:val="num" w:pos="4156"/>
        </w:tabs>
        <w:ind w:left="4156" w:hanging="360"/>
      </w:pPr>
    </w:lvl>
    <w:lvl w:ilvl="5" w:tentative="1">
      <w:start w:val="1"/>
      <w:numFmt w:val="lowerLetter"/>
      <w:lvlText w:val="%6."/>
      <w:lvlJc w:val="left"/>
      <w:pPr>
        <w:tabs>
          <w:tab w:val="num" w:pos="4876"/>
        </w:tabs>
        <w:ind w:left="4876" w:hanging="360"/>
      </w:pPr>
    </w:lvl>
    <w:lvl w:ilvl="6" w:tentative="1">
      <w:start w:val="1"/>
      <w:numFmt w:val="lowerLetter"/>
      <w:lvlText w:val="%7."/>
      <w:lvlJc w:val="left"/>
      <w:pPr>
        <w:tabs>
          <w:tab w:val="num" w:pos="5596"/>
        </w:tabs>
        <w:ind w:left="5596" w:hanging="360"/>
      </w:pPr>
    </w:lvl>
    <w:lvl w:ilvl="7" w:tentative="1">
      <w:start w:val="1"/>
      <w:numFmt w:val="lowerLetter"/>
      <w:lvlText w:val="%8."/>
      <w:lvlJc w:val="left"/>
      <w:pPr>
        <w:tabs>
          <w:tab w:val="num" w:pos="6316"/>
        </w:tabs>
        <w:ind w:left="6316" w:hanging="360"/>
      </w:pPr>
    </w:lvl>
    <w:lvl w:ilvl="8" w:tentative="1">
      <w:start w:val="1"/>
      <w:numFmt w:val="lowerLetter"/>
      <w:lvlText w:val="%9."/>
      <w:lvlJc w:val="left"/>
      <w:pPr>
        <w:tabs>
          <w:tab w:val="num" w:pos="7036"/>
        </w:tabs>
        <w:ind w:left="7036" w:hanging="360"/>
      </w:pPr>
    </w:lvl>
  </w:abstractNum>
  <w:abstractNum w:abstractNumId="15" w15:restartNumberingAfterBreak="0">
    <w:nsid w:val="31B23705"/>
    <w:multiLevelType w:val="multilevel"/>
    <w:tmpl w:val="2E2A79EC"/>
    <w:lvl w:ilvl="0">
      <w:start w:val="1"/>
      <w:numFmt w:val="lowerLetter"/>
      <w:lvlText w:val="%1)"/>
      <w:lvlJc w:val="left"/>
      <w:pPr>
        <w:ind w:left="712" w:hanging="428"/>
      </w:pPr>
      <w:rPr>
        <w:rFonts w:ascii="Cambria" w:eastAsia="Cambria" w:hAnsi="Cambria" w:cs="Cambria" w:hint="default"/>
        <w:b w:val="0"/>
        <w:bCs w:val="0"/>
        <w:i/>
        <w:iCs/>
        <w:spacing w:val="0"/>
        <w:sz w:val="20"/>
        <w:szCs w:val="20"/>
        <w:lang w:val="en-US" w:eastAsia="en-US" w:bidi="ar-SA"/>
      </w:rPr>
    </w:lvl>
    <w:lvl w:ilvl="1">
      <w:start w:val="1"/>
      <w:numFmt w:val="lowerRoman"/>
      <w:lvlText w:val="%2."/>
      <w:lvlJc w:val="left"/>
      <w:pPr>
        <w:ind w:left="1137" w:hanging="425"/>
      </w:pPr>
      <w:rPr>
        <w:rFonts w:ascii="Cambria" w:eastAsia="Cambria" w:hAnsi="Cambria" w:cs="Cambria" w:hint="default"/>
        <w:b w:val="0"/>
        <w:bCs w:val="0"/>
        <w:i w:val="0"/>
        <w:iCs w:val="0"/>
        <w:spacing w:val="-1"/>
        <w:sz w:val="20"/>
        <w:szCs w:val="20"/>
        <w:lang w:val="en-US" w:eastAsia="en-US" w:bidi="ar-SA"/>
      </w:rPr>
    </w:lvl>
    <w:lvl w:ilvl="2">
      <w:numFmt w:val="bullet"/>
      <w:lvlText w:val="•"/>
      <w:lvlJc w:val="left"/>
      <w:pPr>
        <w:ind w:left="2084" w:hanging="425"/>
      </w:pPr>
      <w:rPr>
        <w:rFonts w:hint="default"/>
        <w:lang w:val="en-US" w:eastAsia="en-US" w:bidi="ar-SA"/>
      </w:rPr>
    </w:lvl>
    <w:lvl w:ilvl="3">
      <w:numFmt w:val="bullet"/>
      <w:lvlText w:val="•"/>
      <w:lvlJc w:val="left"/>
      <w:pPr>
        <w:ind w:left="3028" w:hanging="425"/>
      </w:pPr>
      <w:rPr>
        <w:rFonts w:hint="default"/>
        <w:lang w:val="en-US" w:eastAsia="en-US" w:bidi="ar-SA"/>
      </w:rPr>
    </w:lvl>
    <w:lvl w:ilvl="4">
      <w:numFmt w:val="bullet"/>
      <w:lvlText w:val="•"/>
      <w:lvlJc w:val="left"/>
      <w:pPr>
        <w:ind w:left="3973" w:hanging="425"/>
      </w:pPr>
      <w:rPr>
        <w:rFonts w:hint="default"/>
        <w:lang w:val="en-US" w:eastAsia="en-US" w:bidi="ar-SA"/>
      </w:rPr>
    </w:lvl>
    <w:lvl w:ilvl="5">
      <w:numFmt w:val="bullet"/>
      <w:lvlText w:val="•"/>
      <w:lvlJc w:val="left"/>
      <w:pPr>
        <w:ind w:left="4917" w:hanging="425"/>
      </w:pPr>
      <w:rPr>
        <w:rFonts w:hint="default"/>
        <w:lang w:val="en-US" w:eastAsia="en-US" w:bidi="ar-SA"/>
      </w:rPr>
    </w:lvl>
    <w:lvl w:ilvl="6">
      <w:numFmt w:val="bullet"/>
      <w:lvlText w:val="•"/>
      <w:lvlJc w:val="left"/>
      <w:pPr>
        <w:ind w:left="5862" w:hanging="425"/>
      </w:pPr>
      <w:rPr>
        <w:rFonts w:hint="default"/>
        <w:lang w:val="en-US" w:eastAsia="en-US" w:bidi="ar-SA"/>
      </w:rPr>
    </w:lvl>
    <w:lvl w:ilvl="7">
      <w:numFmt w:val="bullet"/>
      <w:lvlText w:val="•"/>
      <w:lvlJc w:val="left"/>
      <w:pPr>
        <w:ind w:left="6806" w:hanging="425"/>
      </w:pPr>
      <w:rPr>
        <w:rFonts w:hint="default"/>
        <w:lang w:val="en-US" w:eastAsia="en-US" w:bidi="ar-SA"/>
      </w:rPr>
    </w:lvl>
    <w:lvl w:ilvl="8">
      <w:numFmt w:val="bullet"/>
      <w:lvlText w:val="•"/>
      <w:lvlJc w:val="left"/>
      <w:pPr>
        <w:ind w:left="7751" w:hanging="425"/>
      </w:pPr>
      <w:rPr>
        <w:rFonts w:hint="default"/>
        <w:lang w:val="en-US" w:eastAsia="en-US" w:bidi="ar-SA"/>
      </w:rPr>
    </w:lvl>
  </w:abstractNum>
  <w:abstractNum w:abstractNumId="16" w15:restartNumberingAfterBreak="0">
    <w:nsid w:val="35ED0BB4"/>
    <w:multiLevelType w:val="multilevel"/>
    <w:tmpl w:val="51BE7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6F103F9"/>
    <w:multiLevelType w:val="hybridMultilevel"/>
    <w:tmpl w:val="8DC897CC"/>
    <w:lvl w:ilvl="0" w:tplc="04090019">
      <w:start w:val="1"/>
      <w:numFmt w:val="lowerLetter"/>
      <w:lvlText w:val="%1."/>
      <w:lvlJc w:val="left"/>
      <w:pPr>
        <w:ind w:left="106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B93869"/>
    <w:multiLevelType w:val="multilevel"/>
    <w:tmpl w:val="A0D47B4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3B0B4BC9"/>
    <w:multiLevelType w:val="multilevel"/>
    <w:tmpl w:val="0E624B0A"/>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E0E5D8C"/>
    <w:multiLevelType w:val="multilevel"/>
    <w:tmpl w:val="38A474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1F816F8"/>
    <w:multiLevelType w:val="multilevel"/>
    <w:tmpl w:val="C1FA0DDA"/>
    <w:lvl w:ilvl="0">
      <w:start w:val="14"/>
      <w:numFmt w:val="decimal"/>
      <w:lvlText w:val="%1"/>
      <w:lvlJc w:val="left"/>
      <w:pPr>
        <w:ind w:left="372" w:hanging="372"/>
      </w:pPr>
      <w:rPr>
        <w:rFonts w:hint="default"/>
      </w:rPr>
    </w:lvl>
    <w:lvl w:ilvl="1">
      <w:start w:val="1"/>
      <w:numFmt w:val="decimal"/>
      <w:lvlText w:val="%1.%2"/>
      <w:lvlJc w:val="left"/>
      <w:pPr>
        <w:ind w:left="732" w:hanging="372"/>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483E24E5"/>
    <w:multiLevelType w:val="hybridMultilevel"/>
    <w:tmpl w:val="748A6AAA"/>
    <w:lvl w:ilvl="0" w:tplc="13C6D560">
      <w:start w:val="6"/>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3" w15:restartNumberingAfterBreak="0">
    <w:nsid w:val="496A1ACE"/>
    <w:multiLevelType w:val="multilevel"/>
    <w:tmpl w:val="FC5AAB1E"/>
    <w:lvl w:ilvl="0">
      <w:start w:val="6"/>
      <w:numFmt w:val="decimal"/>
      <w:lvlText w:val="%1"/>
      <w:lvlJc w:val="left"/>
      <w:pPr>
        <w:ind w:left="360" w:hanging="360"/>
      </w:pPr>
      <w:rPr>
        <w:rFonts w:hint="default"/>
        <w:i w:val="0"/>
      </w:rPr>
    </w:lvl>
    <w:lvl w:ilvl="1">
      <w:start w:val="4"/>
      <w:numFmt w:val="decimal"/>
      <w:lvlText w:val="%1.%2"/>
      <w:lvlJc w:val="left"/>
      <w:pPr>
        <w:ind w:left="792" w:hanging="360"/>
      </w:pPr>
      <w:rPr>
        <w:rFonts w:hint="default"/>
        <w:i w:val="0"/>
      </w:rPr>
    </w:lvl>
    <w:lvl w:ilvl="2">
      <w:start w:val="1"/>
      <w:numFmt w:val="decimal"/>
      <w:lvlText w:val="%1.%2.%3"/>
      <w:lvlJc w:val="left"/>
      <w:pPr>
        <w:ind w:left="1584" w:hanging="720"/>
      </w:pPr>
      <w:rPr>
        <w:rFonts w:hint="default"/>
        <w:i w:val="0"/>
      </w:rPr>
    </w:lvl>
    <w:lvl w:ilvl="3">
      <w:start w:val="1"/>
      <w:numFmt w:val="decimal"/>
      <w:lvlText w:val="%1.%2.%3.%4"/>
      <w:lvlJc w:val="left"/>
      <w:pPr>
        <w:ind w:left="2016" w:hanging="720"/>
      </w:pPr>
      <w:rPr>
        <w:rFonts w:hint="default"/>
        <w:i w:val="0"/>
      </w:rPr>
    </w:lvl>
    <w:lvl w:ilvl="4">
      <w:start w:val="1"/>
      <w:numFmt w:val="decimal"/>
      <w:lvlText w:val="%1.%2.%3.%4.%5"/>
      <w:lvlJc w:val="left"/>
      <w:pPr>
        <w:ind w:left="2808" w:hanging="1080"/>
      </w:pPr>
      <w:rPr>
        <w:rFonts w:hint="default"/>
        <w:i w:val="0"/>
      </w:rPr>
    </w:lvl>
    <w:lvl w:ilvl="5">
      <w:start w:val="1"/>
      <w:numFmt w:val="decimal"/>
      <w:lvlText w:val="%1.%2.%3.%4.%5.%6"/>
      <w:lvlJc w:val="left"/>
      <w:pPr>
        <w:ind w:left="3240" w:hanging="1080"/>
      </w:pPr>
      <w:rPr>
        <w:rFonts w:hint="default"/>
        <w:i w:val="0"/>
      </w:rPr>
    </w:lvl>
    <w:lvl w:ilvl="6">
      <w:start w:val="1"/>
      <w:numFmt w:val="decimal"/>
      <w:lvlText w:val="%1.%2.%3.%4.%5.%6.%7"/>
      <w:lvlJc w:val="left"/>
      <w:pPr>
        <w:ind w:left="4032" w:hanging="1440"/>
      </w:pPr>
      <w:rPr>
        <w:rFonts w:hint="default"/>
        <w:i w:val="0"/>
      </w:rPr>
    </w:lvl>
    <w:lvl w:ilvl="7">
      <w:start w:val="1"/>
      <w:numFmt w:val="decimal"/>
      <w:lvlText w:val="%1.%2.%3.%4.%5.%6.%7.%8"/>
      <w:lvlJc w:val="left"/>
      <w:pPr>
        <w:ind w:left="4464" w:hanging="1440"/>
      </w:pPr>
      <w:rPr>
        <w:rFonts w:hint="default"/>
        <w:i w:val="0"/>
      </w:rPr>
    </w:lvl>
    <w:lvl w:ilvl="8">
      <w:start w:val="1"/>
      <w:numFmt w:val="decimal"/>
      <w:lvlText w:val="%1.%2.%3.%4.%5.%6.%7.%8.%9"/>
      <w:lvlJc w:val="left"/>
      <w:pPr>
        <w:ind w:left="4896" w:hanging="1440"/>
      </w:pPr>
      <w:rPr>
        <w:rFonts w:hint="default"/>
        <w:i w:val="0"/>
      </w:rPr>
    </w:lvl>
  </w:abstractNum>
  <w:abstractNum w:abstractNumId="24" w15:restartNumberingAfterBreak="0">
    <w:nsid w:val="4C4F34A4"/>
    <w:multiLevelType w:val="hybridMultilevel"/>
    <w:tmpl w:val="E9E235EC"/>
    <w:lvl w:ilvl="0" w:tplc="EA44CFB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5B0435"/>
    <w:multiLevelType w:val="hybridMultilevel"/>
    <w:tmpl w:val="100259BA"/>
    <w:lvl w:ilvl="0" w:tplc="0409000F">
      <w:start w:val="1"/>
      <w:numFmt w:val="decimal"/>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26" w15:restartNumberingAfterBreak="0">
    <w:nsid w:val="4D685163"/>
    <w:multiLevelType w:val="multilevel"/>
    <w:tmpl w:val="013A878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0CB4CE6"/>
    <w:multiLevelType w:val="multilevel"/>
    <w:tmpl w:val="1B48F666"/>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3AB7F25"/>
    <w:multiLevelType w:val="multilevel"/>
    <w:tmpl w:val="03E4A72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58BD094C"/>
    <w:multiLevelType w:val="multilevel"/>
    <w:tmpl w:val="9B8856F4"/>
    <w:lvl w:ilvl="0">
      <w:start w:val="2"/>
      <w:numFmt w:val="lowerLetter"/>
      <w:lvlText w:val="%1."/>
      <w:lvlJc w:val="left"/>
      <w:pPr>
        <w:tabs>
          <w:tab w:val="num" w:pos="998"/>
        </w:tabs>
        <w:ind w:left="998" w:hanging="360"/>
      </w:pPr>
    </w:lvl>
    <w:lvl w:ilvl="1" w:tentative="1">
      <w:start w:val="1"/>
      <w:numFmt w:val="lowerLetter"/>
      <w:lvlText w:val="%2."/>
      <w:lvlJc w:val="left"/>
      <w:pPr>
        <w:tabs>
          <w:tab w:val="num" w:pos="1718"/>
        </w:tabs>
        <w:ind w:left="1718" w:hanging="360"/>
      </w:pPr>
    </w:lvl>
    <w:lvl w:ilvl="2" w:tentative="1">
      <w:start w:val="1"/>
      <w:numFmt w:val="lowerLetter"/>
      <w:lvlText w:val="%3."/>
      <w:lvlJc w:val="left"/>
      <w:pPr>
        <w:tabs>
          <w:tab w:val="num" w:pos="2438"/>
        </w:tabs>
        <w:ind w:left="2438" w:hanging="360"/>
      </w:pPr>
    </w:lvl>
    <w:lvl w:ilvl="3" w:tentative="1">
      <w:start w:val="1"/>
      <w:numFmt w:val="lowerLetter"/>
      <w:lvlText w:val="%4."/>
      <w:lvlJc w:val="left"/>
      <w:pPr>
        <w:tabs>
          <w:tab w:val="num" w:pos="3158"/>
        </w:tabs>
        <w:ind w:left="3158" w:hanging="360"/>
      </w:pPr>
    </w:lvl>
    <w:lvl w:ilvl="4" w:tentative="1">
      <w:start w:val="1"/>
      <w:numFmt w:val="lowerLetter"/>
      <w:lvlText w:val="%5."/>
      <w:lvlJc w:val="left"/>
      <w:pPr>
        <w:tabs>
          <w:tab w:val="num" w:pos="3878"/>
        </w:tabs>
        <w:ind w:left="3878" w:hanging="360"/>
      </w:pPr>
    </w:lvl>
    <w:lvl w:ilvl="5" w:tentative="1">
      <w:start w:val="1"/>
      <w:numFmt w:val="lowerLetter"/>
      <w:lvlText w:val="%6."/>
      <w:lvlJc w:val="left"/>
      <w:pPr>
        <w:tabs>
          <w:tab w:val="num" w:pos="4598"/>
        </w:tabs>
        <w:ind w:left="4598" w:hanging="360"/>
      </w:pPr>
    </w:lvl>
    <w:lvl w:ilvl="6" w:tentative="1">
      <w:start w:val="1"/>
      <w:numFmt w:val="lowerLetter"/>
      <w:lvlText w:val="%7."/>
      <w:lvlJc w:val="left"/>
      <w:pPr>
        <w:tabs>
          <w:tab w:val="num" w:pos="5318"/>
        </w:tabs>
        <w:ind w:left="5318" w:hanging="360"/>
      </w:pPr>
    </w:lvl>
    <w:lvl w:ilvl="7" w:tentative="1">
      <w:start w:val="1"/>
      <w:numFmt w:val="lowerLetter"/>
      <w:lvlText w:val="%8."/>
      <w:lvlJc w:val="left"/>
      <w:pPr>
        <w:tabs>
          <w:tab w:val="num" w:pos="6038"/>
        </w:tabs>
        <w:ind w:left="6038" w:hanging="360"/>
      </w:pPr>
    </w:lvl>
    <w:lvl w:ilvl="8" w:tentative="1">
      <w:start w:val="1"/>
      <w:numFmt w:val="lowerLetter"/>
      <w:lvlText w:val="%9."/>
      <w:lvlJc w:val="left"/>
      <w:pPr>
        <w:tabs>
          <w:tab w:val="num" w:pos="6758"/>
        </w:tabs>
        <w:ind w:left="6758" w:hanging="360"/>
      </w:pPr>
    </w:lvl>
  </w:abstractNum>
  <w:abstractNum w:abstractNumId="30" w15:restartNumberingAfterBreak="0">
    <w:nsid w:val="58F739BE"/>
    <w:multiLevelType w:val="multilevel"/>
    <w:tmpl w:val="DA1ABD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B995643"/>
    <w:multiLevelType w:val="hybridMultilevel"/>
    <w:tmpl w:val="A18E6F28"/>
    <w:lvl w:ilvl="0" w:tplc="CA221E60">
      <w:start w:val="1"/>
      <w:numFmt w:val="lowerLetter"/>
      <w:lvlText w:val="%1)"/>
      <w:lvlJc w:val="left"/>
      <w:pPr>
        <w:ind w:left="790" w:hanging="360"/>
      </w:pPr>
      <w:rPr>
        <w:rFonts w:hint="default"/>
      </w:rPr>
    </w:lvl>
    <w:lvl w:ilvl="1" w:tplc="0C0A0019" w:tentative="1">
      <w:start w:val="1"/>
      <w:numFmt w:val="lowerLetter"/>
      <w:lvlText w:val="%2."/>
      <w:lvlJc w:val="left"/>
      <w:pPr>
        <w:ind w:left="1510" w:hanging="360"/>
      </w:pPr>
    </w:lvl>
    <w:lvl w:ilvl="2" w:tplc="0C0A001B" w:tentative="1">
      <w:start w:val="1"/>
      <w:numFmt w:val="lowerRoman"/>
      <w:lvlText w:val="%3."/>
      <w:lvlJc w:val="right"/>
      <w:pPr>
        <w:ind w:left="2230" w:hanging="180"/>
      </w:pPr>
    </w:lvl>
    <w:lvl w:ilvl="3" w:tplc="0C0A000F" w:tentative="1">
      <w:start w:val="1"/>
      <w:numFmt w:val="decimal"/>
      <w:lvlText w:val="%4."/>
      <w:lvlJc w:val="left"/>
      <w:pPr>
        <w:ind w:left="2950" w:hanging="360"/>
      </w:pPr>
    </w:lvl>
    <w:lvl w:ilvl="4" w:tplc="0C0A0019" w:tentative="1">
      <w:start w:val="1"/>
      <w:numFmt w:val="lowerLetter"/>
      <w:lvlText w:val="%5."/>
      <w:lvlJc w:val="left"/>
      <w:pPr>
        <w:ind w:left="3670" w:hanging="360"/>
      </w:pPr>
    </w:lvl>
    <w:lvl w:ilvl="5" w:tplc="0C0A001B" w:tentative="1">
      <w:start w:val="1"/>
      <w:numFmt w:val="lowerRoman"/>
      <w:lvlText w:val="%6."/>
      <w:lvlJc w:val="right"/>
      <w:pPr>
        <w:ind w:left="4390" w:hanging="180"/>
      </w:pPr>
    </w:lvl>
    <w:lvl w:ilvl="6" w:tplc="0C0A000F" w:tentative="1">
      <w:start w:val="1"/>
      <w:numFmt w:val="decimal"/>
      <w:lvlText w:val="%7."/>
      <w:lvlJc w:val="left"/>
      <w:pPr>
        <w:ind w:left="5110" w:hanging="360"/>
      </w:pPr>
    </w:lvl>
    <w:lvl w:ilvl="7" w:tplc="0C0A0019" w:tentative="1">
      <w:start w:val="1"/>
      <w:numFmt w:val="lowerLetter"/>
      <w:lvlText w:val="%8."/>
      <w:lvlJc w:val="left"/>
      <w:pPr>
        <w:ind w:left="5830" w:hanging="360"/>
      </w:pPr>
    </w:lvl>
    <w:lvl w:ilvl="8" w:tplc="0C0A001B" w:tentative="1">
      <w:start w:val="1"/>
      <w:numFmt w:val="lowerRoman"/>
      <w:lvlText w:val="%9."/>
      <w:lvlJc w:val="right"/>
      <w:pPr>
        <w:ind w:left="6550" w:hanging="180"/>
      </w:pPr>
    </w:lvl>
  </w:abstractNum>
  <w:abstractNum w:abstractNumId="32" w15:restartNumberingAfterBreak="0">
    <w:nsid w:val="5D9271F8"/>
    <w:multiLevelType w:val="multilevel"/>
    <w:tmpl w:val="006815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DB069EA"/>
    <w:multiLevelType w:val="multilevel"/>
    <w:tmpl w:val="F11670B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63341C23"/>
    <w:multiLevelType w:val="hybridMultilevel"/>
    <w:tmpl w:val="6EC853B0"/>
    <w:lvl w:ilvl="0" w:tplc="DDCEDE30">
      <w:start w:val="1"/>
      <w:numFmt w:val="lowerLetter"/>
      <w:lvlText w:val="%1)"/>
      <w:lvlJc w:val="left"/>
      <w:pPr>
        <w:ind w:left="1068" w:hanging="360"/>
      </w:pPr>
      <w:rPr>
        <w:rFonts w:hint="default"/>
      </w:rPr>
    </w:lvl>
    <w:lvl w:ilvl="1" w:tplc="0C0A0019" w:tentative="1">
      <w:start w:val="1"/>
      <w:numFmt w:val="lowerLetter"/>
      <w:lvlText w:val="%2."/>
      <w:lvlJc w:val="left"/>
      <w:pPr>
        <w:ind w:left="1510" w:hanging="360"/>
      </w:pPr>
    </w:lvl>
    <w:lvl w:ilvl="2" w:tplc="0C0A001B" w:tentative="1">
      <w:start w:val="1"/>
      <w:numFmt w:val="lowerRoman"/>
      <w:lvlText w:val="%3."/>
      <w:lvlJc w:val="right"/>
      <w:pPr>
        <w:ind w:left="2230" w:hanging="180"/>
      </w:pPr>
    </w:lvl>
    <w:lvl w:ilvl="3" w:tplc="0C0A000F" w:tentative="1">
      <w:start w:val="1"/>
      <w:numFmt w:val="decimal"/>
      <w:lvlText w:val="%4."/>
      <w:lvlJc w:val="left"/>
      <w:pPr>
        <w:ind w:left="2950" w:hanging="360"/>
      </w:pPr>
    </w:lvl>
    <w:lvl w:ilvl="4" w:tplc="0C0A0019" w:tentative="1">
      <w:start w:val="1"/>
      <w:numFmt w:val="lowerLetter"/>
      <w:lvlText w:val="%5."/>
      <w:lvlJc w:val="left"/>
      <w:pPr>
        <w:ind w:left="3670" w:hanging="360"/>
      </w:pPr>
    </w:lvl>
    <w:lvl w:ilvl="5" w:tplc="0C0A001B" w:tentative="1">
      <w:start w:val="1"/>
      <w:numFmt w:val="lowerRoman"/>
      <w:lvlText w:val="%6."/>
      <w:lvlJc w:val="right"/>
      <w:pPr>
        <w:ind w:left="4390" w:hanging="180"/>
      </w:pPr>
    </w:lvl>
    <w:lvl w:ilvl="6" w:tplc="0C0A000F" w:tentative="1">
      <w:start w:val="1"/>
      <w:numFmt w:val="decimal"/>
      <w:lvlText w:val="%7."/>
      <w:lvlJc w:val="left"/>
      <w:pPr>
        <w:ind w:left="5110" w:hanging="360"/>
      </w:pPr>
    </w:lvl>
    <w:lvl w:ilvl="7" w:tplc="0C0A0019" w:tentative="1">
      <w:start w:val="1"/>
      <w:numFmt w:val="lowerLetter"/>
      <w:lvlText w:val="%8."/>
      <w:lvlJc w:val="left"/>
      <w:pPr>
        <w:ind w:left="5830" w:hanging="360"/>
      </w:pPr>
    </w:lvl>
    <w:lvl w:ilvl="8" w:tplc="0C0A001B" w:tentative="1">
      <w:start w:val="1"/>
      <w:numFmt w:val="lowerRoman"/>
      <w:lvlText w:val="%9."/>
      <w:lvlJc w:val="right"/>
      <w:pPr>
        <w:ind w:left="6550" w:hanging="180"/>
      </w:pPr>
    </w:lvl>
  </w:abstractNum>
  <w:abstractNum w:abstractNumId="35" w15:restartNumberingAfterBreak="0">
    <w:nsid w:val="63E35756"/>
    <w:multiLevelType w:val="multilevel"/>
    <w:tmpl w:val="943654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40728CA"/>
    <w:multiLevelType w:val="multilevel"/>
    <w:tmpl w:val="2460BDBC"/>
    <w:lvl w:ilvl="0">
      <w:start w:val="11"/>
      <w:numFmt w:val="decimal"/>
      <w:lvlText w:val="%1"/>
      <w:lvlJc w:val="left"/>
      <w:pPr>
        <w:ind w:left="372" w:hanging="372"/>
      </w:pPr>
      <w:rPr>
        <w:rFonts w:hint="default"/>
      </w:rPr>
    </w:lvl>
    <w:lvl w:ilvl="1">
      <w:start w:val="1"/>
      <w:numFmt w:val="decimal"/>
      <w:lvlText w:val="%1.%2"/>
      <w:lvlJc w:val="left"/>
      <w:pPr>
        <w:ind w:left="732" w:hanging="372"/>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7" w15:restartNumberingAfterBreak="0">
    <w:nsid w:val="649C7A24"/>
    <w:multiLevelType w:val="multilevel"/>
    <w:tmpl w:val="145ED3F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57D4B5A"/>
    <w:multiLevelType w:val="multilevel"/>
    <w:tmpl w:val="01B6EB24"/>
    <w:lvl w:ilvl="0">
      <w:start w:val="1"/>
      <w:numFmt w:val="lowerLetter"/>
      <w:lvlText w:val="%1)"/>
      <w:lvlJc w:val="left"/>
      <w:pPr>
        <w:ind w:left="429" w:hanging="428"/>
      </w:pPr>
      <w:rPr>
        <w:rFonts w:ascii="Cambria" w:eastAsia="Cambria" w:hAnsi="Cambria" w:cs="Cambria" w:hint="default"/>
        <w:b w:val="0"/>
        <w:bCs w:val="0"/>
        <w:i w:val="0"/>
        <w:iCs w:val="0"/>
        <w:spacing w:val="0"/>
        <w:sz w:val="20"/>
        <w:szCs w:val="20"/>
        <w:lang w:val="en-US" w:eastAsia="en-US" w:bidi="ar-SA"/>
      </w:rPr>
    </w:lvl>
    <w:lvl w:ilvl="1">
      <w:numFmt w:val="bullet"/>
      <w:lvlText w:val="•"/>
      <w:lvlJc w:val="left"/>
      <w:pPr>
        <w:ind w:left="1299" w:hanging="428"/>
      </w:pPr>
      <w:rPr>
        <w:lang w:val="en-US" w:eastAsia="en-US" w:bidi="ar-SA"/>
      </w:rPr>
    </w:lvl>
    <w:lvl w:ilvl="2">
      <w:numFmt w:val="bullet"/>
      <w:lvlText w:val="•"/>
      <w:lvlJc w:val="left"/>
      <w:pPr>
        <w:ind w:left="2178" w:hanging="428"/>
      </w:pPr>
      <w:rPr>
        <w:lang w:val="en-US" w:eastAsia="en-US" w:bidi="ar-SA"/>
      </w:rPr>
    </w:lvl>
    <w:lvl w:ilvl="3">
      <w:numFmt w:val="bullet"/>
      <w:lvlText w:val="•"/>
      <w:lvlJc w:val="left"/>
      <w:pPr>
        <w:ind w:left="3058" w:hanging="428"/>
      </w:pPr>
      <w:rPr>
        <w:lang w:val="en-US" w:eastAsia="en-US" w:bidi="ar-SA"/>
      </w:rPr>
    </w:lvl>
    <w:lvl w:ilvl="4">
      <w:numFmt w:val="bullet"/>
      <w:lvlText w:val="•"/>
      <w:lvlJc w:val="left"/>
      <w:pPr>
        <w:ind w:left="3937" w:hanging="428"/>
      </w:pPr>
      <w:rPr>
        <w:lang w:val="en-US" w:eastAsia="en-US" w:bidi="ar-SA"/>
      </w:rPr>
    </w:lvl>
    <w:lvl w:ilvl="5">
      <w:numFmt w:val="bullet"/>
      <w:lvlText w:val="•"/>
      <w:lvlJc w:val="left"/>
      <w:pPr>
        <w:ind w:left="4817" w:hanging="428"/>
      </w:pPr>
      <w:rPr>
        <w:lang w:val="en-US" w:eastAsia="en-US" w:bidi="ar-SA"/>
      </w:rPr>
    </w:lvl>
    <w:lvl w:ilvl="6">
      <w:numFmt w:val="bullet"/>
      <w:lvlText w:val="•"/>
      <w:lvlJc w:val="left"/>
      <w:pPr>
        <w:ind w:left="5696" w:hanging="428"/>
      </w:pPr>
      <w:rPr>
        <w:lang w:val="en-US" w:eastAsia="en-US" w:bidi="ar-SA"/>
      </w:rPr>
    </w:lvl>
    <w:lvl w:ilvl="7">
      <w:numFmt w:val="bullet"/>
      <w:lvlText w:val="•"/>
      <w:lvlJc w:val="left"/>
      <w:pPr>
        <w:ind w:left="6576" w:hanging="428"/>
      </w:pPr>
      <w:rPr>
        <w:lang w:val="en-US" w:eastAsia="en-US" w:bidi="ar-SA"/>
      </w:rPr>
    </w:lvl>
    <w:lvl w:ilvl="8">
      <w:numFmt w:val="bullet"/>
      <w:lvlText w:val="•"/>
      <w:lvlJc w:val="left"/>
      <w:pPr>
        <w:ind w:left="7455" w:hanging="428"/>
      </w:pPr>
      <w:rPr>
        <w:lang w:val="en-US" w:eastAsia="en-US" w:bidi="ar-SA"/>
      </w:rPr>
    </w:lvl>
  </w:abstractNum>
  <w:abstractNum w:abstractNumId="39" w15:restartNumberingAfterBreak="0">
    <w:nsid w:val="68FE199A"/>
    <w:multiLevelType w:val="multilevel"/>
    <w:tmpl w:val="A7BC635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6A2F4AFD"/>
    <w:multiLevelType w:val="hybridMultilevel"/>
    <w:tmpl w:val="1DFA4142"/>
    <w:lvl w:ilvl="0" w:tplc="D8525C72">
      <w:start w:val="1"/>
      <w:numFmt w:val="decimal"/>
      <w:lvlText w:val="%1."/>
      <w:lvlJc w:val="left"/>
      <w:pPr>
        <w:ind w:left="785" w:hanging="42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3AF5461"/>
    <w:multiLevelType w:val="multilevel"/>
    <w:tmpl w:val="C006622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15:restartNumberingAfterBreak="0">
    <w:nsid w:val="771B137F"/>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9A45695"/>
    <w:multiLevelType w:val="multilevel"/>
    <w:tmpl w:val="D89ECFBC"/>
    <w:lvl w:ilvl="0">
      <w:start w:val="14"/>
      <w:numFmt w:val="decimal"/>
      <w:lvlText w:val="%1"/>
      <w:lvlJc w:val="left"/>
      <w:pPr>
        <w:ind w:left="528" w:hanging="528"/>
      </w:pPr>
      <w:rPr>
        <w:rFonts w:hint="default"/>
      </w:rPr>
    </w:lvl>
    <w:lvl w:ilvl="1">
      <w:start w:val="1"/>
      <w:numFmt w:val="decimal"/>
      <w:lvlText w:val="%1.%2"/>
      <w:lvlJc w:val="left"/>
      <w:pPr>
        <w:ind w:left="708" w:hanging="528"/>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4" w15:restartNumberingAfterBreak="0">
    <w:nsid w:val="7AF0260B"/>
    <w:multiLevelType w:val="multilevel"/>
    <w:tmpl w:val="FF9C962A"/>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16cid:durableId="1123421499">
    <w:abstractNumId w:val="10"/>
  </w:num>
  <w:num w:numId="2" w16cid:durableId="1449546622">
    <w:abstractNumId w:val="6"/>
  </w:num>
  <w:num w:numId="3" w16cid:durableId="1669477334">
    <w:abstractNumId w:val="31"/>
  </w:num>
  <w:num w:numId="4" w16cid:durableId="2062551615">
    <w:abstractNumId w:val="34"/>
  </w:num>
  <w:num w:numId="5" w16cid:durableId="1334332422">
    <w:abstractNumId w:val="7"/>
  </w:num>
  <w:num w:numId="6" w16cid:durableId="14255167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63663394">
    <w:abstractNumId w:val="17"/>
  </w:num>
  <w:num w:numId="8" w16cid:durableId="1031148757">
    <w:abstractNumId w:val="9"/>
  </w:num>
  <w:num w:numId="9" w16cid:durableId="1366442034">
    <w:abstractNumId w:val="12"/>
  </w:num>
  <w:num w:numId="10" w16cid:durableId="593592016">
    <w:abstractNumId w:val="24"/>
  </w:num>
  <w:num w:numId="11" w16cid:durableId="1440175051">
    <w:abstractNumId w:val="40"/>
  </w:num>
  <w:num w:numId="12" w16cid:durableId="982851329">
    <w:abstractNumId w:val="22"/>
  </w:num>
  <w:num w:numId="13" w16cid:durableId="77144801">
    <w:abstractNumId w:val="25"/>
  </w:num>
  <w:num w:numId="14" w16cid:durableId="1647279085">
    <w:abstractNumId w:val="5"/>
  </w:num>
  <w:num w:numId="15" w16cid:durableId="271133236">
    <w:abstractNumId w:val="16"/>
  </w:num>
  <w:num w:numId="16" w16cid:durableId="1738623123">
    <w:abstractNumId w:val="32"/>
  </w:num>
  <w:num w:numId="17" w16cid:durableId="913320329">
    <w:abstractNumId w:val="30"/>
  </w:num>
  <w:num w:numId="18" w16cid:durableId="418794546">
    <w:abstractNumId w:val="37"/>
  </w:num>
  <w:num w:numId="19" w16cid:durableId="1472021529">
    <w:abstractNumId w:val="26"/>
  </w:num>
  <w:num w:numId="20" w16cid:durableId="2017075213">
    <w:abstractNumId w:val="41"/>
  </w:num>
  <w:num w:numId="21" w16cid:durableId="591548215">
    <w:abstractNumId w:val="28"/>
  </w:num>
  <w:num w:numId="22" w16cid:durableId="1404647861">
    <w:abstractNumId w:val="11"/>
  </w:num>
  <w:num w:numId="23" w16cid:durableId="174223927">
    <w:abstractNumId w:val="14"/>
  </w:num>
  <w:num w:numId="24" w16cid:durableId="1101417208">
    <w:abstractNumId w:val="39"/>
  </w:num>
  <w:num w:numId="25" w16cid:durableId="801313979">
    <w:abstractNumId w:val="29"/>
  </w:num>
  <w:num w:numId="26" w16cid:durableId="1469083396">
    <w:abstractNumId w:val="18"/>
  </w:num>
  <w:num w:numId="27" w16cid:durableId="994603209">
    <w:abstractNumId w:val="33"/>
  </w:num>
  <w:num w:numId="28" w16cid:durableId="1157379616">
    <w:abstractNumId w:val="35"/>
  </w:num>
  <w:num w:numId="29" w16cid:durableId="438067770">
    <w:abstractNumId w:val="20"/>
  </w:num>
  <w:num w:numId="30" w16cid:durableId="2108188645">
    <w:abstractNumId w:val="44"/>
  </w:num>
  <w:num w:numId="31" w16cid:durableId="637416884">
    <w:abstractNumId w:val="1"/>
  </w:num>
  <w:num w:numId="32" w16cid:durableId="1707027479">
    <w:abstractNumId w:val="8"/>
  </w:num>
  <w:num w:numId="33" w16cid:durableId="220675060">
    <w:abstractNumId w:val="19"/>
  </w:num>
  <w:num w:numId="34" w16cid:durableId="683478542">
    <w:abstractNumId w:val="27"/>
  </w:num>
  <w:num w:numId="35" w16cid:durableId="374165365">
    <w:abstractNumId w:val="0"/>
  </w:num>
  <w:num w:numId="36" w16cid:durableId="133135331">
    <w:abstractNumId w:val="2"/>
  </w:num>
  <w:num w:numId="37" w16cid:durableId="1939672181">
    <w:abstractNumId w:val="3"/>
  </w:num>
  <w:num w:numId="38" w16cid:durableId="905067993">
    <w:abstractNumId w:val="42"/>
  </w:num>
  <w:num w:numId="39" w16cid:durableId="715666598">
    <w:abstractNumId w:val="2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16957195">
    <w:abstractNumId w:val="23"/>
  </w:num>
  <w:num w:numId="41" w16cid:durableId="191919274">
    <w:abstractNumId w:val="43"/>
  </w:num>
  <w:num w:numId="42" w16cid:durableId="1523088920">
    <w:abstractNumId w:val="21"/>
  </w:num>
  <w:num w:numId="43" w16cid:durableId="704985200">
    <w:abstractNumId w:val="36"/>
  </w:num>
  <w:num w:numId="44" w16cid:durableId="1439372492">
    <w:abstractNumId w:val="4"/>
    <w:lvlOverride w:ilvl="0">
      <w:startOverride w:val="1"/>
    </w:lvlOverride>
    <w:lvlOverride w:ilvl="1">
      <w:startOverride w:val="1"/>
    </w:lvlOverride>
    <w:lvlOverride w:ilvl="2">
      <w:startOverride w:val="1"/>
    </w:lvlOverride>
    <w:lvlOverride w:ilvl="3">
      <w:startOverride w:val="1"/>
    </w:lvlOverride>
  </w:num>
  <w:num w:numId="45" w16cid:durableId="1030645247">
    <w:abstractNumId w:val="38"/>
    <w:lvlOverride w:ilvl="0">
      <w:startOverride w:val="1"/>
    </w:lvlOverride>
  </w:num>
  <w:num w:numId="46" w16cid:durableId="282620428">
    <w:abstractNumId w:val="15"/>
  </w:num>
  <w:num w:numId="47" w16cid:durableId="161556344">
    <w:abstractNumId w:val="4"/>
    <w:lvlOverride w:ilvl="0">
      <w:startOverride w:val="1"/>
    </w:lvlOverride>
    <w:lvlOverride w:ilvl="1">
      <w:startOverride w:val="1"/>
    </w:lvlOverride>
    <w:lvlOverride w:ilvl="2">
      <w:startOverride w:val="1"/>
    </w:lvlOverride>
    <w:lvlOverride w:ilvl="3">
      <w:startOverride w:val="1"/>
    </w:lvlOverride>
  </w:num>
  <w:num w:numId="48" w16cid:durableId="177879154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A1NzY0Mrc0MjYwsrRQ0lEKTi0uzszPAykwqgUAQZFtqSwAAAA="/>
  </w:docVars>
  <w:rsids>
    <w:rsidRoot w:val="00DD4C39"/>
    <w:rsid w:val="00000F96"/>
    <w:rsid w:val="00001901"/>
    <w:rsid w:val="0000239E"/>
    <w:rsid w:val="00002BDA"/>
    <w:rsid w:val="00004835"/>
    <w:rsid w:val="00005B6C"/>
    <w:rsid w:val="00007744"/>
    <w:rsid w:val="00013B86"/>
    <w:rsid w:val="00016D99"/>
    <w:rsid w:val="00023580"/>
    <w:rsid w:val="00025B70"/>
    <w:rsid w:val="0003295F"/>
    <w:rsid w:val="0003757A"/>
    <w:rsid w:val="000401D8"/>
    <w:rsid w:val="00043A65"/>
    <w:rsid w:val="0004418A"/>
    <w:rsid w:val="000517FA"/>
    <w:rsid w:val="00051ACC"/>
    <w:rsid w:val="00052AC6"/>
    <w:rsid w:val="00052B90"/>
    <w:rsid w:val="0005456C"/>
    <w:rsid w:val="000554E0"/>
    <w:rsid w:val="000578FB"/>
    <w:rsid w:val="00060FB1"/>
    <w:rsid w:val="000614FA"/>
    <w:rsid w:val="00064640"/>
    <w:rsid w:val="00071189"/>
    <w:rsid w:val="000746A9"/>
    <w:rsid w:val="00074F2A"/>
    <w:rsid w:val="0007648A"/>
    <w:rsid w:val="00076E2B"/>
    <w:rsid w:val="00081466"/>
    <w:rsid w:val="000832AE"/>
    <w:rsid w:val="00083DDB"/>
    <w:rsid w:val="000853CC"/>
    <w:rsid w:val="00085DFE"/>
    <w:rsid w:val="00087339"/>
    <w:rsid w:val="00087667"/>
    <w:rsid w:val="00090861"/>
    <w:rsid w:val="00092C87"/>
    <w:rsid w:val="00095BA1"/>
    <w:rsid w:val="00095C30"/>
    <w:rsid w:val="00097856"/>
    <w:rsid w:val="000A0AA5"/>
    <w:rsid w:val="000A1303"/>
    <w:rsid w:val="000A160A"/>
    <w:rsid w:val="000A2BB3"/>
    <w:rsid w:val="000A5107"/>
    <w:rsid w:val="000A5EFA"/>
    <w:rsid w:val="000A6DB2"/>
    <w:rsid w:val="000A777B"/>
    <w:rsid w:val="000B0920"/>
    <w:rsid w:val="000C4DFD"/>
    <w:rsid w:val="000C6AE8"/>
    <w:rsid w:val="000C7D41"/>
    <w:rsid w:val="000D11D4"/>
    <w:rsid w:val="000D3D1D"/>
    <w:rsid w:val="000D5959"/>
    <w:rsid w:val="000D673E"/>
    <w:rsid w:val="000E6023"/>
    <w:rsid w:val="000F5AB1"/>
    <w:rsid w:val="0010146E"/>
    <w:rsid w:val="0010246F"/>
    <w:rsid w:val="001031B7"/>
    <w:rsid w:val="0010673C"/>
    <w:rsid w:val="00111F0F"/>
    <w:rsid w:val="00114F3C"/>
    <w:rsid w:val="0011743A"/>
    <w:rsid w:val="00120AE6"/>
    <w:rsid w:val="00120DD1"/>
    <w:rsid w:val="001211F5"/>
    <w:rsid w:val="00124AD6"/>
    <w:rsid w:val="00124E11"/>
    <w:rsid w:val="00131C64"/>
    <w:rsid w:val="00137A63"/>
    <w:rsid w:val="00140C72"/>
    <w:rsid w:val="0014300C"/>
    <w:rsid w:val="001476CD"/>
    <w:rsid w:val="00147A4F"/>
    <w:rsid w:val="001527D8"/>
    <w:rsid w:val="00152B06"/>
    <w:rsid w:val="00152E0C"/>
    <w:rsid w:val="00157B26"/>
    <w:rsid w:val="00160A09"/>
    <w:rsid w:val="00160B49"/>
    <w:rsid w:val="001630E3"/>
    <w:rsid w:val="00167923"/>
    <w:rsid w:val="00173393"/>
    <w:rsid w:val="00180C8B"/>
    <w:rsid w:val="0018126E"/>
    <w:rsid w:val="001827ED"/>
    <w:rsid w:val="00182CFC"/>
    <w:rsid w:val="001840C6"/>
    <w:rsid w:val="0018551B"/>
    <w:rsid w:val="00186533"/>
    <w:rsid w:val="00190654"/>
    <w:rsid w:val="00193480"/>
    <w:rsid w:val="001939BC"/>
    <w:rsid w:val="001A2F4C"/>
    <w:rsid w:val="001A3D9C"/>
    <w:rsid w:val="001A68AB"/>
    <w:rsid w:val="001A793A"/>
    <w:rsid w:val="001B112D"/>
    <w:rsid w:val="001B6DBE"/>
    <w:rsid w:val="001C05A3"/>
    <w:rsid w:val="001C1356"/>
    <w:rsid w:val="001C1823"/>
    <w:rsid w:val="001C18EA"/>
    <w:rsid w:val="001C5D2A"/>
    <w:rsid w:val="001D1E59"/>
    <w:rsid w:val="001D38A7"/>
    <w:rsid w:val="001D677B"/>
    <w:rsid w:val="001D7AE4"/>
    <w:rsid w:val="001E0A22"/>
    <w:rsid w:val="001E234F"/>
    <w:rsid w:val="001E47A9"/>
    <w:rsid w:val="001E5194"/>
    <w:rsid w:val="001E60F6"/>
    <w:rsid w:val="001F03E7"/>
    <w:rsid w:val="001F11FF"/>
    <w:rsid w:val="001F200E"/>
    <w:rsid w:val="001F27FB"/>
    <w:rsid w:val="001F5768"/>
    <w:rsid w:val="001F6925"/>
    <w:rsid w:val="00201363"/>
    <w:rsid w:val="002045EB"/>
    <w:rsid w:val="002053DD"/>
    <w:rsid w:val="00205823"/>
    <w:rsid w:val="002154AC"/>
    <w:rsid w:val="002209DA"/>
    <w:rsid w:val="002213FF"/>
    <w:rsid w:val="0022374D"/>
    <w:rsid w:val="00225464"/>
    <w:rsid w:val="002254CF"/>
    <w:rsid w:val="002265B1"/>
    <w:rsid w:val="00226609"/>
    <w:rsid w:val="002317E7"/>
    <w:rsid w:val="00232D1D"/>
    <w:rsid w:val="002360A7"/>
    <w:rsid w:val="00240A3D"/>
    <w:rsid w:val="00242005"/>
    <w:rsid w:val="00242111"/>
    <w:rsid w:val="00246631"/>
    <w:rsid w:val="00246705"/>
    <w:rsid w:val="00247B9A"/>
    <w:rsid w:val="00250C2F"/>
    <w:rsid w:val="0026489C"/>
    <w:rsid w:val="0027149A"/>
    <w:rsid w:val="00273D43"/>
    <w:rsid w:val="00275529"/>
    <w:rsid w:val="002762AB"/>
    <w:rsid w:val="00282F16"/>
    <w:rsid w:val="0028560B"/>
    <w:rsid w:val="00290481"/>
    <w:rsid w:val="002961C5"/>
    <w:rsid w:val="002A2405"/>
    <w:rsid w:val="002A46C2"/>
    <w:rsid w:val="002A6E00"/>
    <w:rsid w:val="002A70B6"/>
    <w:rsid w:val="002C12A9"/>
    <w:rsid w:val="002C399C"/>
    <w:rsid w:val="002D1035"/>
    <w:rsid w:val="002D2C3D"/>
    <w:rsid w:val="002D3D37"/>
    <w:rsid w:val="002D7AD8"/>
    <w:rsid w:val="002D7D0D"/>
    <w:rsid w:val="002D7E3A"/>
    <w:rsid w:val="002E24FF"/>
    <w:rsid w:val="002E25F5"/>
    <w:rsid w:val="002E724A"/>
    <w:rsid w:val="002F3C9C"/>
    <w:rsid w:val="00300FEF"/>
    <w:rsid w:val="00305FA6"/>
    <w:rsid w:val="0031725A"/>
    <w:rsid w:val="00317865"/>
    <w:rsid w:val="00321018"/>
    <w:rsid w:val="00322141"/>
    <w:rsid w:val="0032298F"/>
    <w:rsid w:val="00322F0E"/>
    <w:rsid w:val="00323B1B"/>
    <w:rsid w:val="00325293"/>
    <w:rsid w:val="0032583A"/>
    <w:rsid w:val="00326255"/>
    <w:rsid w:val="00330328"/>
    <w:rsid w:val="003345C4"/>
    <w:rsid w:val="00334B35"/>
    <w:rsid w:val="00334B5F"/>
    <w:rsid w:val="003426C8"/>
    <w:rsid w:val="0035004D"/>
    <w:rsid w:val="003517D4"/>
    <w:rsid w:val="003519D1"/>
    <w:rsid w:val="0035289C"/>
    <w:rsid w:val="00354A8F"/>
    <w:rsid w:val="00354B9B"/>
    <w:rsid w:val="003604AB"/>
    <w:rsid w:val="00360D3F"/>
    <w:rsid w:val="00363045"/>
    <w:rsid w:val="0037129A"/>
    <w:rsid w:val="0037605D"/>
    <w:rsid w:val="00377994"/>
    <w:rsid w:val="00384F12"/>
    <w:rsid w:val="00390A16"/>
    <w:rsid w:val="0039100E"/>
    <w:rsid w:val="003919F8"/>
    <w:rsid w:val="003948C5"/>
    <w:rsid w:val="00394EFC"/>
    <w:rsid w:val="00396EE8"/>
    <w:rsid w:val="00397E51"/>
    <w:rsid w:val="003A33A1"/>
    <w:rsid w:val="003A752C"/>
    <w:rsid w:val="003B474B"/>
    <w:rsid w:val="003B4A64"/>
    <w:rsid w:val="003B6DFC"/>
    <w:rsid w:val="003C1BFB"/>
    <w:rsid w:val="003D0374"/>
    <w:rsid w:val="003D22D2"/>
    <w:rsid w:val="003D3807"/>
    <w:rsid w:val="003E0A28"/>
    <w:rsid w:val="003E10FB"/>
    <w:rsid w:val="003E170E"/>
    <w:rsid w:val="003E1DCD"/>
    <w:rsid w:val="003E28FF"/>
    <w:rsid w:val="003E3614"/>
    <w:rsid w:val="003E43D2"/>
    <w:rsid w:val="003E6C5A"/>
    <w:rsid w:val="003E7F59"/>
    <w:rsid w:val="003F3F4A"/>
    <w:rsid w:val="003F4E22"/>
    <w:rsid w:val="003F5A6D"/>
    <w:rsid w:val="003F5AAA"/>
    <w:rsid w:val="00404B7F"/>
    <w:rsid w:val="00406CCF"/>
    <w:rsid w:val="00410A2C"/>
    <w:rsid w:val="00412D78"/>
    <w:rsid w:val="00413131"/>
    <w:rsid w:val="0041562C"/>
    <w:rsid w:val="00420909"/>
    <w:rsid w:val="00422679"/>
    <w:rsid w:val="00423112"/>
    <w:rsid w:val="00424411"/>
    <w:rsid w:val="00426AE7"/>
    <w:rsid w:val="00427D62"/>
    <w:rsid w:val="004329FC"/>
    <w:rsid w:val="00433870"/>
    <w:rsid w:val="00435A8B"/>
    <w:rsid w:val="00436588"/>
    <w:rsid w:val="00443067"/>
    <w:rsid w:val="00452867"/>
    <w:rsid w:val="00455EB7"/>
    <w:rsid w:val="00456B27"/>
    <w:rsid w:val="00460AA1"/>
    <w:rsid w:val="00460B96"/>
    <w:rsid w:val="0046156B"/>
    <w:rsid w:val="00467A1D"/>
    <w:rsid w:val="00467EDA"/>
    <w:rsid w:val="0047150A"/>
    <w:rsid w:val="00471FC4"/>
    <w:rsid w:val="00474272"/>
    <w:rsid w:val="00474F02"/>
    <w:rsid w:val="00475A63"/>
    <w:rsid w:val="00485575"/>
    <w:rsid w:val="00486D38"/>
    <w:rsid w:val="00490E0A"/>
    <w:rsid w:val="00492262"/>
    <w:rsid w:val="00492F08"/>
    <w:rsid w:val="004A4169"/>
    <w:rsid w:val="004A4529"/>
    <w:rsid w:val="004A6437"/>
    <w:rsid w:val="004A66B1"/>
    <w:rsid w:val="004A7629"/>
    <w:rsid w:val="004B1239"/>
    <w:rsid w:val="004B39F7"/>
    <w:rsid w:val="004C7E91"/>
    <w:rsid w:val="004D2DEB"/>
    <w:rsid w:val="004D3089"/>
    <w:rsid w:val="004D3EA4"/>
    <w:rsid w:val="004D5BBA"/>
    <w:rsid w:val="004E01C5"/>
    <w:rsid w:val="004E12AF"/>
    <w:rsid w:val="004E1379"/>
    <w:rsid w:val="004E2035"/>
    <w:rsid w:val="004E4D0A"/>
    <w:rsid w:val="004E68B8"/>
    <w:rsid w:val="004E6BB3"/>
    <w:rsid w:val="004E6F3B"/>
    <w:rsid w:val="004E7B8E"/>
    <w:rsid w:val="004F15B6"/>
    <w:rsid w:val="004F256C"/>
    <w:rsid w:val="004F39B9"/>
    <w:rsid w:val="004F5048"/>
    <w:rsid w:val="004F7857"/>
    <w:rsid w:val="00500AF3"/>
    <w:rsid w:val="00502206"/>
    <w:rsid w:val="00502568"/>
    <w:rsid w:val="0050612A"/>
    <w:rsid w:val="00506617"/>
    <w:rsid w:val="00507EB4"/>
    <w:rsid w:val="005132A0"/>
    <w:rsid w:val="00513361"/>
    <w:rsid w:val="00513F5C"/>
    <w:rsid w:val="005155C7"/>
    <w:rsid w:val="0051582C"/>
    <w:rsid w:val="00520FBB"/>
    <w:rsid w:val="00524F9F"/>
    <w:rsid w:val="00525084"/>
    <w:rsid w:val="005300EB"/>
    <w:rsid w:val="005345BC"/>
    <w:rsid w:val="0054141A"/>
    <w:rsid w:val="00544700"/>
    <w:rsid w:val="0054472B"/>
    <w:rsid w:val="00544A2C"/>
    <w:rsid w:val="00545AB7"/>
    <w:rsid w:val="005467B0"/>
    <w:rsid w:val="005529B8"/>
    <w:rsid w:val="00554AB0"/>
    <w:rsid w:val="00557E7E"/>
    <w:rsid w:val="00560E37"/>
    <w:rsid w:val="0056180A"/>
    <w:rsid w:val="005644A2"/>
    <w:rsid w:val="00565E84"/>
    <w:rsid w:val="00567271"/>
    <w:rsid w:val="00571C5B"/>
    <w:rsid w:val="00571E4A"/>
    <w:rsid w:val="005727F9"/>
    <w:rsid w:val="005729BB"/>
    <w:rsid w:val="005738EF"/>
    <w:rsid w:val="00574050"/>
    <w:rsid w:val="00574941"/>
    <w:rsid w:val="00574F9E"/>
    <w:rsid w:val="00576291"/>
    <w:rsid w:val="00581207"/>
    <w:rsid w:val="005832CF"/>
    <w:rsid w:val="005836F6"/>
    <w:rsid w:val="005847DE"/>
    <w:rsid w:val="00585A74"/>
    <w:rsid w:val="00586D4A"/>
    <w:rsid w:val="00587082"/>
    <w:rsid w:val="005903D9"/>
    <w:rsid w:val="005915D1"/>
    <w:rsid w:val="00593A75"/>
    <w:rsid w:val="00594D79"/>
    <w:rsid w:val="00595988"/>
    <w:rsid w:val="00597C04"/>
    <w:rsid w:val="005A64A9"/>
    <w:rsid w:val="005A782F"/>
    <w:rsid w:val="005B0AB8"/>
    <w:rsid w:val="005B0B6E"/>
    <w:rsid w:val="005B0C1A"/>
    <w:rsid w:val="005B152F"/>
    <w:rsid w:val="005B164B"/>
    <w:rsid w:val="005B1C74"/>
    <w:rsid w:val="005B255C"/>
    <w:rsid w:val="005B593C"/>
    <w:rsid w:val="005B7B50"/>
    <w:rsid w:val="005C03B4"/>
    <w:rsid w:val="005C35E0"/>
    <w:rsid w:val="005C5495"/>
    <w:rsid w:val="005C618B"/>
    <w:rsid w:val="005C6E63"/>
    <w:rsid w:val="005D0160"/>
    <w:rsid w:val="005D2E30"/>
    <w:rsid w:val="005D4BA9"/>
    <w:rsid w:val="005D5193"/>
    <w:rsid w:val="005D6B27"/>
    <w:rsid w:val="005E14AA"/>
    <w:rsid w:val="005E6985"/>
    <w:rsid w:val="005F12D6"/>
    <w:rsid w:val="005F3084"/>
    <w:rsid w:val="005F439A"/>
    <w:rsid w:val="005F7EB7"/>
    <w:rsid w:val="00601C14"/>
    <w:rsid w:val="00605B6D"/>
    <w:rsid w:val="0060646E"/>
    <w:rsid w:val="00614F8F"/>
    <w:rsid w:val="00615422"/>
    <w:rsid w:val="00616C33"/>
    <w:rsid w:val="006171EE"/>
    <w:rsid w:val="0062061F"/>
    <w:rsid w:val="0062519C"/>
    <w:rsid w:val="00630BEA"/>
    <w:rsid w:val="00630C1F"/>
    <w:rsid w:val="0063147D"/>
    <w:rsid w:val="00631B05"/>
    <w:rsid w:val="00635265"/>
    <w:rsid w:val="00635DBD"/>
    <w:rsid w:val="00642E30"/>
    <w:rsid w:val="006508E3"/>
    <w:rsid w:val="00650AE3"/>
    <w:rsid w:val="00652A29"/>
    <w:rsid w:val="00652C5F"/>
    <w:rsid w:val="00656849"/>
    <w:rsid w:val="0065703C"/>
    <w:rsid w:val="00657B11"/>
    <w:rsid w:val="00660C2A"/>
    <w:rsid w:val="006629AF"/>
    <w:rsid w:val="00662DE2"/>
    <w:rsid w:val="00662FA6"/>
    <w:rsid w:val="00665DE1"/>
    <w:rsid w:val="0066614E"/>
    <w:rsid w:val="006668DF"/>
    <w:rsid w:val="00667B62"/>
    <w:rsid w:val="00671533"/>
    <w:rsid w:val="006730CB"/>
    <w:rsid w:val="00674A3C"/>
    <w:rsid w:val="00675158"/>
    <w:rsid w:val="00675FA6"/>
    <w:rsid w:val="006827AF"/>
    <w:rsid w:val="00690C15"/>
    <w:rsid w:val="00691676"/>
    <w:rsid w:val="006934A4"/>
    <w:rsid w:val="00694319"/>
    <w:rsid w:val="00694524"/>
    <w:rsid w:val="006969DC"/>
    <w:rsid w:val="006A24F0"/>
    <w:rsid w:val="006A4C92"/>
    <w:rsid w:val="006A5A3E"/>
    <w:rsid w:val="006A7268"/>
    <w:rsid w:val="006B153B"/>
    <w:rsid w:val="006B3447"/>
    <w:rsid w:val="006B3FD4"/>
    <w:rsid w:val="006B517C"/>
    <w:rsid w:val="006C17C9"/>
    <w:rsid w:val="006C30BA"/>
    <w:rsid w:val="006D453E"/>
    <w:rsid w:val="006E6DA2"/>
    <w:rsid w:val="006E70BB"/>
    <w:rsid w:val="006F3876"/>
    <w:rsid w:val="006F5205"/>
    <w:rsid w:val="00705811"/>
    <w:rsid w:val="00707A33"/>
    <w:rsid w:val="007170F9"/>
    <w:rsid w:val="00720C29"/>
    <w:rsid w:val="00730A15"/>
    <w:rsid w:val="00731487"/>
    <w:rsid w:val="00733B5E"/>
    <w:rsid w:val="0073417A"/>
    <w:rsid w:val="00735255"/>
    <w:rsid w:val="007355DF"/>
    <w:rsid w:val="0073576C"/>
    <w:rsid w:val="0074052A"/>
    <w:rsid w:val="007428D6"/>
    <w:rsid w:val="0074337D"/>
    <w:rsid w:val="00743EF7"/>
    <w:rsid w:val="00745602"/>
    <w:rsid w:val="00746F4D"/>
    <w:rsid w:val="00747590"/>
    <w:rsid w:val="00747BA9"/>
    <w:rsid w:val="007519E9"/>
    <w:rsid w:val="00752795"/>
    <w:rsid w:val="007551D2"/>
    <w:rsid w:val="00755F8C"/>
    <w:rsid w:val="00760280"/>
    <w:rsid w:val="007665AC"/>
    <w:rsid w:val="007678A5"/>
    <w:rsid w:val="00767E55"/>
    <w:rsid w:val="00774632"/>
    <w:rsid w:val="00775899"/>
    <w:rsid w:val="00780453"/>
    <w:rsid w:val="0079089F"/>
    <w:rsid w:val="0079380E"/>
    <w:rsid w:val="007A4722"/>
    <w:rsid w:val="007B10F9"/>
    <w:rsid w:val="007B2DE7"/>
    <w:rsid w:val="007B4D4C"/>
    <w:rsid w:val="007C21CB"/>
    <w:rsid w:val="007C25E0"/>
    <w:rsid w:val="007C4A02"/>
    <w:rsid w:val="007C4E4F"/>
    <w:rsid w:val="007D08A0"/>
    <w:rsid w:val="007D1671"/>
    <w:rsid w:val="007D413A"/>
    <w:rsid w:val="007D5CA9"/>
    <w:rsid w:val="007E4C2D"/>
    <w:rsid w:val="007E654F"/>
    <w:rsid w:val="007E69D1"/>
    <w:rsid w:val="007F4EF3"/>
    <w:rsid w:val="0080033F"/>
    <w:rsid w:val="008042B6"/>
    <w:rsid w:val="00805EFF"/>
    <w:rsid w:val="00811FA1"/>
    <w:rsid w:val="008121F9"/>
    <w:rsid w:val="00816217"/>
    <w:rsid w:val="0081636C"/>
    <w:rsid w:val="00817E09"/>
    <w:rsid w:val="008207DE"/>
    <w:rsid w:val="00821CFF"/>
    <w:rsid w:val="00823236"/>
    <w:rsid w:val="008234F6"/>
    <w:rsid w:val="00824E8C"/>
    <w:rsid w:val="00825C70"/>
    <w:rsid w:val="00825E5C"/>
    <w:rsid w:val="00831946"/>
    <w:rsid w:val="00837424"/>
    <w:rsid w:val="00841449"/>
    <w:rsid w:val="00841ADE"/>
    <w:rsid w:val="00841D80"/>
    <w:rsid w:val="00845503"/>
    <w:rsid w:val="00847D6A"/>
    <w:rsid w:val="00850404"/>
    <w:rsid w:val="00851FAD"/>
    <w:rsid w:val="008523C2"/>
    <w:rsid w:val="00852DDF"/>
    <w:rsid w:val="0085318E"/>
    <w:rsid w:val="00857C38"/>
    <w:rsid w:val="00861DD4"/>
    <w:rsid w:val="00863871"/>
    <w:rsid w:val="00863C66"/>
    <w:rsid w:val="00864BA1"/>
    <w:rsid w:val="00866DEF"/>
    <w:rsid w:val="00867766"/>
    <w:rsid w:val="008723D3"/>
    <w:rsid w:val="0087283C"/>
    <w:rsid w:val="00873898"/>
    <w:rsid w:val="008751B8"/>
    <w:rsid w:val="00880D26"/>
    <w:rsid w:val="00881307"/>
    <w:rsid w:val="0088186C"/>
    <w:rsid w:val="00881947"/>
    <w:rsid w:val="00882B42"/>
    <w:rsid w:val="00882F42"/>
    <w:rsid w:val="00883055"/>
    <w:rsid w:val="00883FE1"/>
    <w:rsid w:val="00884CA7"/>
    <w:rsid w:val="0088641E"/>
    <w:rsid w:val="00890C67"/>
    <w:rsid w:val="00894708"/>
    <w:rsid w:val="00897FD7"/>
    <w:rsid w:val="008A362A"/>
    <w:rsid w:val="008A418E"/>
    <w:rsid w:val="008A53A4"/>
    <w:rsid w:val="008B0264"/>
    <w:rsid w:val="008B11A1"/>
    <w:rsid w:val="008B2E2E"/>
    <w:rsid w:val="008B3DC1"/>
    <w:rsid w:val="008B581C"/>
    <w:rsid w:val="008C2411"/>
    <w:rsid w:val="008C33CC"/>
    <w:rsid w:val="008C6751"/>
    <w:rsid w:val="008C6B06"/>
    <w:rsid w:val="008D0079"/>
    <w:rsid w:val="008D3608"/>
    <w:rsid w:val="008D4C1C"/>
    <w:rsid w:val="008D7545"/>
    <w:rsid w:val="008D7F94"/>
    <w:rsid w:val="008E37BD"/>
    <w:rsid w:val="008E4562"/>
    <w:rsid w:val="008E6802"/>
    <w:rsid w:val="008F449A"/>
    <w:rsid w:val="008F5322"/>
    <w:rsid w:val="008F55F5"/>
    <w:rsid w:val="008F6351"/>
    <w:rsid w:val="008F6C24"/>
    <w:rsid w:val="009009B8"/>
    <w:rsid w:val="00914A72"/>
    <w:rsid w:val="00915234"/>
    <w:rsid w:val="00921622"/>
    <w:rsid w:val="00925F1C"/>
    <w:rsid w:val="00926560"/>
    <w:rsid w:val="0093035A"/>
    <w:rsid w:val="00931531"/>
    <w:rsid w:val="009320AA"/>
    <w:rsid w:val="00932594"/>
    <w:rsid w:val="009353F0"/>
    <w:rsid w:val="0093573B"/>
    <w:rsid w:val="009373EA"/>
    <w:rsid w:val="00946422"/>
    <w:rsid w:val="009466F7"/>
    <w:rsid w:val="00947D0F"/>
    <w:rsid w:val="00952C5B"/>
    <w:rsid w:val="0095464C"/>
    <w:rsid w:val="00955E79"/>
    <w:rsid w:val="00957027"/>
    <w:rsid w:val="00961741"/>
    <w:rsid w:val="0096664A"/>
    <w:rsid w:val="00972DB9"/>
    <w:rsid w:val="00975089"/>
    <w:rsid w:val="0097663E"/>
    <w:rsid w:val="00983C8D"/>
    <w:rsid w:val="009854B5"/>
    <w:rsid w:val="00991363"/>
    <w:rsid w:val="00994404"/>
    <w:rsid w:val="0099649A"/>
    <w:rsid w:val="009A0097"/>
    <w:rsid w:val="009A0A4D"/>
    <w:rsid w:val="009A1A60"/>
    <w:rsid w:val="009A4318"/>
    <w:rsid w:val="009A5016"/>
    <w:rsid w:val="009A7DD7"/>
    <w:rsid w:val="009B06B3"/>
    <w:rsid w:val="009B2781"/>
    <w:rsid w:val="009B64E6"/>
    <w:rsid w:val="009B7444"/>
    <w:rsid w:val="009C4673"/>
    <w:rsid w:val="009D1E03"/>
    <w:rsid w:val="009D61E3"/>
    <w:rsid w:val="009E0528"/>
    <w:rsid w:val="009E1DF7"/>
    <w:rsid w:val="009E4284"/>
    <w:rsid w:val="009E49C7"/>
    <w:rsid w:val="009E5C9A"/>
    <w:rsid w:val="009E5F15"/>
    <w:rsid w:val="009E64E1"/>
    <w:rsid w:val="009F09A9"/>
    <w:rsid w:val="009F1336"/>
    <w:rsid w:val="009F5948"/>
    <w:rsid w:val="009F75B4"/>
    <w:rsid w:val="00A005BB"/>
    <w:rsid w:val="00A01DF7"/>
    <w:rsid w:val="00A03398"/>
    <w:rsid w:val="00A06AE9"/>
    <w:rsid w:val="00A10869"/>
    <w:rsid w:val="00A113D9"/>
    <w:rsid w:val="00A15828"/>
    <w:rsid w:val="00A15DC1"/>
    <w:rsid w:val="00A25934"/>
    <w:rsid w:val="00A25E82"/>
    <w:rsid w:val="00A32AC3"/>
    <w:rsid w:val="00A32CFB"/>
    <w:rsid w:val="00A34E65"/>
    <w:rsid w:val="00A3547D"/>
    <w:rsid w:val="00A354BA"/>
    <w:rsid w:val="00A370AA"/>
    <w:rsid w:val="00A40E8A"/>
    <w:rsid w:val="00A42629"/>
    <w:rsid w:val="00A434CF"/>
    <w:rsid w:val="00A43AFF"/>
    <w:rsid w:val="00A43D41"/>
    <w:rsid w:val="00A44901"/>
    <w:rsid w:val="00A471D7"/>
    <w:rsid w:val="00A47386"/>
    <w:rsid w:val="00A50095"/>
    <w:rsid w:val="00A5170D"/>
    <w:rsid w:val="00A526B0"/>
    <w:rsid w:val="00A552BF"/>
    <w:rsid w:val="00A5555F"/>
    <w:rsid w:val="00A56408"/>
    <w:rsid w:val="00A6083E"/>
    <w:rsid w:val="00A613F3"/>
    <w:rsid w:val="00A6221E"/>
    <w:rsid w:val="00A63553"/>
    <w:rsid w:val="00A70350"/>
    <w:rsid w:val="00A734A9"/>
    <w:rsid w:val="00A74E9D"/>
    <w:rsid w:val="00A757C4"/>
    <w:rsid w:val="00A758FB"/>
    <w:rsid w:val="00A80F7D"/>
    <w:rsid w:val="00A83AC9"/>
    <w:rsid w:val="00A85C55"/>
    <w:rsid w:val="00A86721"/>
    <w:rsid w:val="00A94350"/>
    <w:rsid w:val="00AA34BE"/>
    <w:rsid w:val="00AA4628"/>
    <w:rsid w:val="00AA562B"/>
    <w:rsid w:val="00AA6F06"/>
    <w:rsid w:val="00AB1FAA"/>
    <w:rsid w:val="00AB2C68"/>
    <w:rsid w:val="00AB6005"/>
    <w:rsid w:val="00AB6B4E"/>
    <w:rsid w:val="00AC07E5"/>
    <w:rsid w:val="00AC2BA9"/>
    <w:rsid w:val="00AC6334"/>
    <w:rsid w:val="00AD035E"/>
    <w:rsid w:val="00AD2163"/>
    <w:rsid w:val="00AD4DDD"/>
    <w:rsid w:val="00AD4F43"/>
    <w:rsid w:val="00AD62E3"/>
    <w:rsid w:val="00AE0D28"/>
    <w:rsid w:val="00AE1A46"/>
    <w:rsid w:val="00AE39D4"/>
    <w:rsid w:val="00AE3F2E"/>
    <w:rsid w:val="00AE4432"/>
    <w:rsid w:val="00AE51B0"/>
    <w:rsid w:val="00AF0EEA"/>
    <w:rsid w:val="00AF1282"/>
    <w:rsid w:val="00AF15D7"/>
    <w:rsid w:val="00AF6037"/>
    <w:rsid w:val="00B0104F"/>
    <w:rsid w:val="00B0169E"/>
    <w:rsid w:val="00B01D65"/>
    <w:rsid w:val="00B0363F"/>
    <w:rsid w:val="00B0515F"/>
    <w:rsid w:val="00B05282"/>
    <w:rsid w:val="00B16A90"/>
    <w:rsid w:val="00B20A06"/>
    <w:rsid w:val="00B20FCC"/>
    <w:rsid w:val="00B21B04"/>
    <w:rsid w:val="00B2266D"/>
    <w:rsid w:val="00B30CF7"/>
    <w:rsid w:val="00B333BB"/>
    <w:rsid w:val="00B3454E"/>
    <w:rsid w:val="00B3628C"/>
    <w:rsid w:val="00B36A20"/>
    <w:rsid w:val="00B41715"/>
    <w:rsid w:val="00B42DBE"/>
    <w:rsid w:val="00B43DAF"/>
    <w:rsid w:val="00B46DA7"/>
    <w:rsid w:val="00B474B6"/>
    <w:rsid w:val="00B50939"/>
    <w:rsid w:val="00B52143"/>
    <w:rsid w:val="00B611AA"/>
    <w:rsid w:val="00B62537"/>
    <w:rsid w:val="00B64A63"/>
    <w:rsid w:val="00B64BF6"/>
    <w:rsid w:val="00B67189"/>
    <w:rsid w:val="00B72E5E"/>
    <w:rsid w:val="00B7305B"/>
    <w:rsid w:val="00B741BE"/>
    <w:rsid w:val="00B75E06"/>
    <w:rsid w:val="00B85DE2"/>
    <w:rsid w:val="00B865A5"/>
    <w:rsid w:val="00B90E2B"/>
    <w:rsid w:val="00B946C1"/>
    <w:rsid w:val="00BA0669"/>
    <w:rsid w:val="00BA2134"/>
    <w:rsid w:val="00BA2617"/>
    <w:rsid w:val="00BA354A"/>
    <w:rsid w:val="00BA4D70"/>
    <w:rsid w:val="00BA6C6D"/>
    <w:rsid w:val="00BA6F52"/>
    <w:rsid w:val="00BA726F"/>
    <w:rsid w:val="00BB0EEB"/>
    <w:rsid w:val="00BB4A6C"/>
    <w:rsid w:val="00BB5896"/>
    <w:rsid w:val="00BB5E08"/>
    <w:rsid w:val="00BB63F0"/>
    <w:rsid w:val="00BB7742"/>
    <w:rsid w:val="00BC2122"/>
    <w:rsid w:val="00BC2AB1"/>
    <w:rsid w:val="00BC7A13"/>
    <w:rsid w:val="00BD07D4"/>
    <w:rsid w:val="00BD256A"/>
    <w:rsid w:val="00BD6844"/>
    <w:rsid w:val="00BE1A3D"/>
    <w:rsid w:val="00BE3A57"/>
    <w:rsid w:val="00BE4E01"/>
    <w:rsid w:val="00BF1F88"/>
    <w:rsid w:val="00BF334C"/>
    <w:rsid w:val="00BF3A15"/>
    <w:rsid w:val="00BF40F1"/>
    <w:rsid w:val="00BF4759"/>
    <w:rsid w:val="00BF6905"/>
    <w:rsid w:val="00C02495"/>
    <w:rsid w:val="00C03B13"/>
    <w:rsid w:val="00C03F15"/>
    <w:rsid w:val="00C051D4"/>
    <w:rsid w:val="00C0666F"/>
    <w:rsid w:val="00C079C8"/>
    <w:rsid w:val="00C1057F"/>
    <w:rsid w:val="00C123DC"/>
    <w:rsid w:val="00C12426"/>
    <w:rsid w:val="00C14930"/>
    <w:rsid w:val="00C150D6"/>
    <w:rsid w:val="00C160F6"/>
    <w:rsid w:val="00C174B5"/>
    <w:rsid w:val="00C23619"/>
    <w:rsid w:val="00C246EC"/>
    <w:rsid w:val="00C271DF"/>
    <w:rsid w:val="00C30735"/>
    <w:rsid w:val="00C32ABE"/>
    <w:rsid w:val="00C36FA8"/>
    <w:rsid w:val="00C40A02"/>
    <w:rsid w:val="00C4264F"/>
    <w:rsid w:val="00C450C8"/>
    <w:rsid w:val="00C455F3"/>
    <w:rsid w:val="00C46C3C"/>
    <w:rsid w:val="00C50F55"/>
    <w:rsid w:val="00C5160C"/>
    <w:rsid w:val="00C53355"/>
    <w:rsid w:val="00C54F37"/>
    <w:rsid w:val="00C56E2E"/>
    <w:rsid w:val="00C6179C"/>
    <w:rsid w:val="00C62842"/>
    <w:rsid w:val="00C65366"/>
    <w:rsid w:val="00C74DED"/>
    <w:rsid w:val="00C8048D"/>
    <w:rsid w:val="00C817DD"/>
    <w:rsid w:val="00C82FB3"/>
    <w:rsid w:val="00C84FF0"/>
    <w:rsid w:val="00C85CF6"/>
    <w:rsid w:val="00C85E5B"/>
    <w:rsid w:val="00C87626"/>
    <w:rsid w:val="00C87AF3"/>
    <w:rsid w:val="00C9215E"/>
    <w:rsid w:val="00C936BA"/>
    <w:rsid w:val="00C95774"/>
    <w:rsid w:val="00CA04AD"/>
    <w:rsid w:val="00CA0F93"/>
    <w:rsid w:val="00CA36C1"/>
    <w:rsid w:val="00CA6D93"/>
    <w:rsid w:val="00CA741F"/>
    <w:rsid w:val="00CA7E7D"/>
    <w:rsid w:val="00CA7E8D"/>
    <w:rsid w:val="00CB036C"/>
    <w:rsid w:val="00CB13C0"/>
    <w:rsid w:val="00CB63A7"/>
    <w:rsid w:val="00CB76AF"/>
    <w:rsid w:val="00CC27D4"/>
    <w:rsid w:val="00CC2898"/>
    <w:rsid w:val="00CC28FF"/>
    <w:rsid w:val="00CC2E2D"/>
    <w:rsid w:val="00CC40A4"/>
    <w:rsid w:val="00CC5949"/>
    <w:rsid w:val="00CC5C1A"/>
    <w:rsid w:val="00CD1D69"/>
    <w:rsid w:val="00CD2FE0"/>
    <w:rsid w:val="00CD343D"/>
    <w:rsid w:val="00CD57A4"/>
    <w:rsid w:val="00CD7285"/>
    <w:rsid w:val="00CE60D2"/>
    <w:rsid w:val="00CF220B"/>
    <w:rsid w:val="00CF4014"/>
    <w:rsid w:val="00D00925"/>
    <w:rsid w:val="00D03363"/>
    <w:rsid w:val="00D0610E"/>
    <w:rsid w:val="00D117BF"/>
    <w:rsid w:val="00D122FD"/>
    <w:rsid w:val="00D13812"/>
    <w:rsid w:val="00D160C2"/>
    <w:rsid w:val="00D16DB7"/>
    <w:rsid w:val="00D20F42"/>
    <w:rsid w:val="00D216D6"/>
    <w:rsid w:val="00D2317A"/>
    <w:rsid w:val="00D24241"/>
    <w:rsid w:val="00D24637"/>
    <w:rsid w:val="00D24DA6"/>
    <w:rsid w:val="00D3328D"/>
    <w:rsid w:val="00D34980"/>
    <w:rsid w:val="00D3781A"/>
    <w:rsid w:val="00D41A53"/>
    <w:rsid w:val="00D43EDA"/>
    <w:rsid w:val="00D45BBD"/>
    <w:rsid w:val="00D468EB"/>
    <w:rsid w:val="00D46DD1"/>
    <w:rsid w:val="00D50CFF"/>
    <w:rsid w:val="00D52017"/>
    <w:rsid w:val="00D5207E"/>
    <w:rsid w:val="00D53F70"/>
    <w:rsid w:val="00D554B0"/>
    <w:rsid w:val="00D56A53"/>
    <w:rsid w:val="00D56A8E"/>
    <w:rsid w:val="00D607F2"/>
    <w:rsid w:val="00D6211D"/>
    <w:rsid w:val="00D666EA"/>
    <w:rsid w:val="00D708E9"/>
    <w:rsid w:val="00D70996"/>
    <w:rsid w:val="00D7131D"/>
    <w:rsid w:val="00D71637"/>
    <w:rsid w:val="00D72773"/>
    <w:rsid w:val="00D7460D"/>
    <w:rsid w:val="00D81029"/>
    <w:rsid w:val="00D826FF"/>
    <w:rsid w:val="00D92F9B"/>
    <w:rsid w:val="00D97C35"/>
    <w:rsid w:val="00DA0BB3"/>
    <w:rsid w:val="00DA0CA2"/>
    <w:rsid w:val="00DA0CF2"/>
    <w:rsid w:val="00DA165A"/>
    <w:rsid w:val="00DA3223"/>
    <w:rsid w:val="00DA5D27"/>
    <w:rsid w:val="00DA5D99"/>
    <w:rsid w:val="00DA684F"/>
    <w:rsid w:val="00DA711E"/>
    <w:rsid w:val="00DA79F5"/>
    <w:rsid w:val="00DB026B"/>
    <w:rsid w:val="00DB0D9F"/>
    <w:rsid w:val="00DB2942"/>
    <w:rsid w:val="00DB3557"/>
    <w:rsid w:val="00DB416A"/>
    <w:rsid w:val="00DB71C2"/>
    <w:rsid w:val="00DD1B58"/>
    <w:rsid w:val="00DD4C39"/>
    <w:rsid w:val="00DD69CC"/>
    <w:rsid w:val="00DD72FD"/>
    <w:rsid w:val="00DE2507"/>
    <w:rsid w:val="00DE7887"/>
    <w:rsid w:val="00DF0742"/>
    <w:rsid w:val="00DF09DD"/>
    <w:rsid w:val="00DF3AE4"/>
    <w:rsid w:val="00DF58AA"/>
    <w:rsid w:val="00DF7A00"/>
    <w:rsid w:val="00E00018"/>
    <w:rsid w:val="00E0084B"/>
    <w:rsid w:val="00E019ED"/>
    <w:rsid w:val="00E02C6F"/>
    <w:rsid w:val="00E04270"/>
    <w:rsid w:val="00E10259"/>
    <w:rsid w:val="00E10716"/>
    <w:rsid w:val="00E1141E"/>
    <w:rsid w:val="00E12CFE"/>
    <w:rsid w:val="00E13A24"/>
    <w:rsid w:val="00E15BBC"/>
    <w:rsid w:val="00E16E70"/>
    <w:rsid w:val="00E175E6"/>
    <w:rsid w:val="00E207E9"/>
    <w:rsid w:val="00E2165E"/>
    <w:rsid w:val="00E219BD"/>
    <w:rsid w:val="00E234E9"/>
    <w:rsid w:val="00E259C9"/>
    <w:rsid w:val="00E305FB"/>
    <w:rsid w:val="00E3707C"/>
    <w:rsid w:val="00E403BF"/>
    <w:rsid w:val="00E40BBC"/>
    <w:rsid w:val="00E43856"/>
    <w:rsid w:val="00E4458D"/>
    <w:rsid w:val="00E445A6"/>
    <w:rsid w:val="00E45CF8"/>
    <w:rsid w:val="00E466CC"/>
    <w:rsid w:val="00E556A9"/>
    <w:rsid w:val="00E649BF"/>
    <w:rsid w:val="00E65734"/>
    <w:rsid w:val="00E66132"/>
    <w:rsid w:val="00E67B15"/>
    <w:rsid w:val="00E72A84"/>
    <w:rsid w:val="00E73E48"/>
    <w:rsid w:val="00E751D2"/>
    <w:rsid w:val="00E759B6"/>
    <w:rsid w:val="00E8269D"/>
    <w:rsid w:val="00E82ABA"/>
    <w:rsid w:val="00E90614"/>
    <w:rsid w:val="00E910E1"/>
    <w:rsid w:val="00E93966"/>
    <w:rsid w:val="00E93C0E"/>
    <w:rsid w:val="00EA3339"/>
    <w:rsid w:val="00EA518D"/>
    <w:rsid w:val="00EB0B5F"/>
    <w:rsid w:val="00EB3412"/>
    <w:rsid w:val="00EB6DE3"/>
    <w:rsid w:val="00EC3076"/>
    <w:rsid w:val="00EC5A9B"/>
    <w:rsid w:val="00EC6595"/>
    <w:rsid w:val="00ED0451"/>
    <w:rsid w:val="00ED2707"/>
    <w:rsid w:val="00ED3CAD"/>
    <w:rsid w:val="00ED452C"/>
    <w:rsid w:val="00ED4685"/>
    <w:rsid w:val="00EE1783"/>
    <w:rsid w:val="00EE2441"/>
    <w:rsid w:val="00EE4C65"/>
    <w:rsid w:val="00EE697E"/>
    <w:rsid w:val="00EF0D17"/>
    <w:rsid w:val="00EF1148"/>
    <w:rsid w:val="00EF24E1"/>
    <w:rsid w:val="00EF3D7B"/>
    <w:rsid w:val="00EF5A6F"/>
    <w:rsid w:val="00EF63C5"/>
    <w:rsid w:val="00EF7B6B"/>
    <w:rsid w:val="00F02E39"/>
    <w:rsid w:val="00F03E94"/>
    <w:rsid w:val="00F05E0F"/>
    <w:rsid w:val="00F075E4"/>
    <w:rsid w:val="00F149CE"/>
    <w:rsid w:val="00F158B3"/>
    <w:rsid w:val="00F17E4A"/>
    <w:rsid w:val="00F25884"/>
    <w:rsid w:val="00F30F1E"/>
    <w:rsid w:val="00F32FEA"/>
    <w:rsid w:val="00F41267"/>
    <w:rsid w:val="00F451A1"/>
    <w:rsid w:val="00F51A67"/>
    <w:rsid w:val="00F52D64"/>
    <w:rsid w:val="00F5712F"/>
    <w:rsid w:val="00F60A2E"/>
    <w:rsid w:val="00F630A8"/>
    <w:rsid w:val="00F63359"/>
    <w:rsid w:val="00F63CFC"/>
    <w:rsid w:val="00F65622"/>
    <w:rsid w:val="00F666BA"/>
    <w:rsid w:val="00F67119"/>
    <w:rsid w:val="00F70A82"/>
    <w:rsid w:val="00F71A6C"/>
    <w:rsid w:val="00F72369"/>
    <w:rsid w:val="00F723EC"/>
    <w:rsid w:val="00F749AD"/>
    <w:rsid w:val="00F75AA3"/>
    <w:rsid w:val="00F77217"/>
    <w:rsid w:val="00F7751B"/>
    <w:rsid w:val="00F800F1"/>
    <w:rsid w:val="00F81087"/>
    <w:rsid w:val="00F823E5"/>
    <w:rsid w:val="00F82C2F"/>
    <w:rsid w:val="00F83848"/>
    <w:rsid w:val="00F84A3A"/>
    <w:rsid w:val="00F85802"/>
    <w:rsid w:val="00F90DBC"/>
    <w:rsid w:val="00F9353B"/>
    <w:rsid w:val="00F95928"/>
    <w:rsid w:val="00FA0F38"/>
    <w:rsid w:val="00FA4FA0"/>
    <w:rsid w:val="00FA670F"/>
    <w:rsid w:val="00FA70AE"/>
    <w:rsid w:val="00FB0A22"/>
    <w:rsid w:val="00FB1744"/>
    <w:rsid w:val="00FB18CC"/>
    <w:rsid w:val="00FB6884"/>
    <w:rsid w:val="00FC1132"/>
    <w:rsid w:val="00FC1865"/>
    <w:rsid w:val="00FC1C55"/>
    <w:rsid w:val="00FC256E"/>
    <w:rsid w:val="00FC54AD"/>
    <w:rsid w:val="00FD1972"/>
    <w:rsid w:val="00FD1D26"/>
    <w:rsid w:val="00FD3601"/>
    <w:rsid w:val="00FD5025"/>
    <w:rsid w:val="00FD6700"/>
    <w:rsid w:val="00FD67D9"/>
    <w:rsid w:val="00FD6E5E"/>
    <w:rsid w:val="00FD7F2B"/>
    <w:rsid w:val="00FE1B78"/>
    <w:rsid w:val="00FE25D8"/>
    <w:rsid w:val="00FE6403"/>
    <w:rsid w:val="00FE69D0"/>
    <w:rsid w:val="00FE7751"/>
    <w:rsid w:val="00FF0A40"/>
    <w:rsid w:val="00FF3137"/>
    <w:rsid w:val="00FF45E0"/>
    <w:rsid w:val="00FF5D7E"/>
    <w:rsid w:val="00FF66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48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F9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4C39"/>
    <w:pPr>
      <w:ind w:left="720"/>
    </w:pPr>
    <w:rPr>
      <w:rFonts w:ascii="Calibri" w:eastAsiaTheme="minorHAnsi" w:hAnsi="Calibri" w:cs="Calibri"/>
      <w:sz w:val="22"/>
      <w:szCs w:val="22"/>
      <w:lang w:eastAsia="es-ES"/>
    </w:rPr>
  </w:style>
  <w:style w:type="paragraph" w:customStyle="1" w:styleId="Normal1">
    <w:name w:val="Normal1"/>
    <w:link w:val="normalChar"/>
    <w:qFormat/>
    <w:rsid w:val="00DD4C39"/>
    <w:pPr>
      <w:widowControl w:val="0"/>
      <w:suppressAutoHyphens/>
      <w:spacing w:after="0" w:line="240" w:lineRule="auto"/>
      <w:textAlignment w:val="baseline"/>
    </w:pPr>
    <w:rPr>
      <w:rFonts w:ascii="Courier" w:eastAsia="SimSun" w:hAnsi="Courier" w:cs="Courier"/>
      <w:sz w:val="24"/>
      <w:szCs w:val="24"/>
      <w:lang w:eastAsia="zh-CN"/>
    </w:rPr>
  </w:style>
  <w:style w:type="character" w:customStyle="1" w:styleId="normalChar">
    <w:name w:val="normal Char"/>
    <w:basedOn w:val="DefaultParagraphFont"/>
    <w:link w:val="Normal1"/>
    <w:rsid w:val="00DD4C39"/>
    <w:rPr>
      <w:rFonts w:ascii="Courier" w:eastAsia="SimSun" w:hAnsi="Courier" w:cs="Courier"/>
      <w:sz w:val="24"/>
      <w:szCs w:val="24"/>
      <w:lang w:eastAsia="zh-CN"/>
    </w:rPr>
  </w:style>
  <w:style w:type="paragraph" w:styleId="BodyText">
    <w:name w:val="Body Text"/>
    <w:basedOn w:val="Normal"/>
    <w:link w:val="BodyTextChar"/>
    <w:rsid w:val="00DD4C39"/>
    <w:pPr>
      <w:jc w:val="center"/>
    </w:pPr>
    <w:rPr>
      <w:b/>
      <w:bCs/>
      <w:lang w:eastAsia="es-ES"/>
    </w:rPr>
  </w:style>
  <w:style w:type="character" w:customStyle="1" w:styleId="BodyTextChar">
    <w:name w:val="Body Text Char"/>
    <w:basedOn w:val="DefaultParagraphFont"/>
    <w:link w:val="BodyText"/>
    <w:rsid w:val="00DD4C39"/>
    <w:rPr>
      <w:rFonts w:ascii="Times New Roman" w:eastAsia="Times New Roman" w:hAnsi="Times New Roman" w:cs="Times New Roman"/>
      <w:b/>
      <w:bCs/>
      <w:sz w:val="24"/>
      <w:szCs w:val="24"/>
      <w:lang w:val="es-ES" w:eastAsia="es-ES"/>
    </w:rPr>
  </w:style>
  <w:style w:type="character" w:styleId="Hyperlink">
    <w:name w:val="Hyperlink"/>
    <w:basedOn w:val="DefaultParagraphFont"/>
    <w:uiPriority w:val="99"/>
    <w:unhideWhenUsed/>
    <w:qFormat/>
    <w:rsid w:val="00DD4C39"/>
    <w:rPr>
      <w:color w:val="0563C1" w:themeColor="hyperlink"/>
      <w:u w:val="single"/>
    </w:rPr>
  </w:style>
  <w:style w:type="paragraph" w:styleId="FootnoteText">
    <w:name w:val="footnote text"/>
    <w:basedOn w:val="Normal"/>
    <w:link w:val="FootnoteTextChar"/>
    <w:semiHidden/>
    <w:unhideWhenUsed/>
    <w:rsid w:val="00DD4C39"/>
    <w:rPr>
      <w:sz w:val="20"/>
      <w:szCs w:val="20"/>
    </w:rPr>
  </w:style>
  <w:style w:type="character" w:customStyle="1" w:styleId="FootnoteTextChar">
    <w:name w:val="Footnote Text Char"/>
    <w:basedOn w:val="DefaultParagraphFont"/>
    <w:link w:val="FootnoteText"/>
    <w:semiHidden/>
    <w:rsid w:val="00DD4C39"/>
    <w:rPr>
      <w:rFonts w:ascii="Times New Roman" w:eastAsia="Times New Roman" w:hAnsi="Times New Roman" w:cs="Times New Roman"/>
      <w:sz w:val="20"/>
      <w:szCs w:val="20"/>
      <w:lang w:val="es-ES"/>
    </w:rPr>
  </w:style>
  <w:style w:type="character" w:styleId="FootnoteReference">
    <w:name w:val="footnote reference"/>
    <w:basedOn w:val="DefaultParagraphFont"/>
    <w:uiPriority w:val="99"/>
    <w:unhideWhenUsed/>
    <w:rsid w:val="00DD4C39"/>
    <w:rPr>
      <w:vertAlign w:val="superscript"/>
    </w:rPr>
  </w:style>
  <w:style w:type="character" w:styleId="CommentReference">
    <w:name w:val="annotation reference"/>
    <w:basedOn w:val="DefaultParagraphFont"/>
    <w:uiPriority w:val="99"/>
    <w:unhideWhenUsed/>
    <w:qFormat/>
    <w:rsid w:val="00FC1C55"/>
    <w:rPr>
      <w:sz w:val="16"/>
      <w:szCs w:val="16"/>
    </w:rPr>
  </w:style>
  <w:style w:type="paragraph" w:styleId="CommentText">
    <w:name w:val="annotation text"/>
    <w:basedOn w:val="Normal"/>
    <w:link w:val="CommentTextChar"/>
    <w:uiPriority w:val="99"/>
    <w:unhideWhenUsed/>
    <w:qFormat/>
    <w:rsid w:val="00FC1C55"/>
    <w:rPr>
      <w:sz w:val="20"/>
      <w:szCs w:val="20"/>
    </w:rPr>
  </w:style>
  <w:style w:type="character" w:customStyle="1" w:styleId="CommentTextChar">
    <w:name w:val="Comment Text Char"/>
    <w:basedOn w:val="DefaultParagraphFont"/>
    <w:link w:val="CommentText"/>
    <w:uiPriority w:val="99"/>
    <w:rsid w:val="00FC1C55"/>
    <w:rPr>
      <w:rFonts w:ascii="Times New Roman" w:eastAsia="Times New Roman" w:hAnsi="Times New Roman" w:cs="Times New Roman"/>
      <w:sz w:val="20"/>
      <w:szCs w:val="20"/>
      <w:lang w:val="es-ES"/>
    </w:rPr>
  </w:style>
  <w:style w:type="paragraph" w:styleId="CommentSubject">
    <w:name w:val="annotation subject"/>
    <w:basedOn w:val="CommentText"/>
    <w:next w:val="CommentText"/>
    <w:link w:val="CommentSubjectChar"/>
    <w:uiPriority w:val="99"/>
    <w:semiHidden/>
    <w:unhideWhenUsed/>
    <w:rsid w:val="00FC1C55"/>
    <w:rPr>
      <w:b/>
      <w:bCs/>
    </w:rPr>
  </w:style>
  <w:style w:type="character" w:customStyle="1" w:styleId="CommentSubjectChar">
    <w:name w:val="Comment Subject Char"/>
    <w:basedOn w:val="CommentTextChar"/>
    <w:link w:val="CommentSubject"/>
    <w:uiPriority w:val="99"/>
    <w:semiHidden/>
    <w:rsid w:val="00FC1C55"/>
    <w:rPr>
      <w:rFonts w:ascii="Times New Roman" w:eastAsia="Times New Roman" w:hAnsi="Times New Roman" w:cs="Times New Roman"/>
      <w:b/>
      <w:bCs/>
      <w:sz w:val="20"/>
      <w:szCs w:val="20"/>
      <w:lang w:val="es-ES"/>
    </w:rPr>
  </w:style>
  <w:style w:type="paragraph" w:styleId="Revision">
    <w:name w:val="Revision"/>
    <w:hidden/>
    <w:uiPriority w:val="99"/>
    <w:semiHidden/>
    <w:rsid w:val="00CF220B"/>
    <w:pPr>
      <w:spacing w:after="0" w:line="240" w:lineRule="auto"/>
    </w:pPr>
    <w:rPr>
      <w:rFonts w:ascii="Times New Roman" w:eastAsia="Times New Roman" w:hAnsi="Times New Roman" w:cs="Times New Roman"/>
      <w:sz w:val="24"/>
      <w:szCs w:val="24"/>
    </w:rPr>
  </w:style>
  <w:style w:type="paragraph" w:customStyle="1" w:styleId="Default">
    <w:name w:val="Default"/>
    <w:link w:val="DefaultChar"/>
    <w:qFormat/>
    <w:rsid w:val="00043A65"/>
    <w:pPr>
      <w:autoSpaceDE w:val="0"/>
      <w:autoSpaceDN w:val="0"/>
      <w:adjustRightInd w:val="0"/>
      <w:spacing w:after="0" w:line="240" w:lineRule="auto"/>
    </w:pPr>
    <w:rPr>
      <w:rFonts w:ascii="Cambria" w:hAnsi="Cambria" w:cs="Cambria"/>
      <w:color w:val="000000"/>
      <w:sz w:val="24"/>
      <w:szCs w:val="24"/>
    </w:rPr>
  </w:style>
  <w:style w:type="character" w:customStyle="1" w:styleId="cf01">
    <w:name w:val="cf01"/>
    <w:basedOn w:val="DefaultParagraphFont"/>
    <w:rsid w:val="00506617"/>
    <w:rPr>
      <w:rFonts w:ascii="Segoe UI" w:hAnsi="Segoe UI" w:cs="Segoe UI" w:hint="default"/>
      <w:b/>
      <w:bCs/>
      <w:sz w:val="18"/>
      <w:szCs w:val="18"/>
    </w:rPr>
  </w:style>
  <w:style w:type="character" w:styleId="FollowedHyperlink">
    <w:name w:val="FollowedHyperlink"/>
    <w:basedOn w:val="DefaultParagraphFont"/>
    <w:uiPriority w:val="99"/>
    <w:semiHidden/>
    <w:unhideWhenUsed/>
    <w:rsid w:val="00E234E9"/>
    <w:rPr>
      <w:color w:val="954F72" w:themeColor="followedHyperlink"/>
      <w:u w:val="single"/>
    </w:rPr>
  </w:style>
  <w:style w:type="paragraph" w:customStyle="1" w:styleId="msonormal0">
    <w:name w:val="msonormal"/>
    <w:basedOn w:val="Normal"/>
    <w:rsid w:val="004F39B9"/>
    <w:pPr>
      <w:spacing w:before="100" w:beforeAutospacing="1" w:after="100" w:afterAutospacing="1"/>
    </w:pPr>
    <w:rPr>
      <w:lang w:val="en-US"/>
    </w:rPr>
  </w:style>
  <w:style w:type="paragraph" w:customStyle="1" w:styleId="paragraph">
    <w:name w:val="paragraph"/>
    <w:basedOn w:val="Normal"/>
    <w:rsid w:val="004F39B9"/>
    <w:pPr>
      <w:spacing w:before="100" w:beforeAutospacing="1" w:after="100" w:afterAutospacing="1"/>
    </w:pPr>
    <w:rPr>
      <w:lang w:val="en-US"/>
    </w:rPr>
  </w:style>
  <w:style w:type="character" w:customStyle="1" w:styleId="textrun">
    <w:name w:val="textrun"/>
    <w:basedOn w:val="DefaultParagraphFont"/>
    <w:rsid w:val="004F39B9"/>
  </w:style>
  <w:style w:type="character" w:customStyle="1" w:styleId="normaltextrun">
    <w:name w:val="normaltextrun"/>
    <w:basedOn w:val="DefaultParagraphFont"/>
    <w:rsid w:val="004F39B9"/>
  </w:style>
  <w:style w:type="character" w:customStyle="1" w:styleId="eop">
    <w:name w:val="eop"/>
    <w:basedOn w:val="DefaultParagraphFont"/>
    <w:rsid w:val="004F39B9"/>
  </w:style>
  <w:style w:type="paragraph" w:customStyle="1" w:styleId="outlineelement">
    <w:name w:val="outlineelement"/>
    <w:basedOn w:val="Normal"/>
    <w:rsid w:val="004F39B9"/>
    <w:pPr>
      <w:spacing w:before="100" w:beforeAutospacing="1" w:after="100" w:afterAutospacing="1"/>
    </w:pPr>
    <w:rPr>
      <w:lang w:val="en-US"/>
    </w:rPr>
  </w:style>
  <w:style w:type="character" w:customStyle="1" w:styleId="tabrun">
    <w:name w:val="tabrun"/>
    <w:basedOn w:val="DefaultParagraphFont"/>
    <w:rsid w:val="004F39B9"/>
  </w:style>
  <w:style w:type="character" w:customStyle="1" w:styleId="tabchar">
    <w:name w:val="tabchar"/>
    <w:basedOn w:val="DefaultParagraphFont"/>
    <w:rsid w:val="004F39B9"/>
  </w:style>
  <w:style w:type="character" w:customStyle="1" w:styleId="tableaderchars">
    <w:name w:val="tableaderchars"/>
    <w:basedOn w:val="DefaultParagraphFont"/>
    <w:rsid w:val="004F39B9"/>
  </w:style>
  <w:style w:type="character" w:customStyle="1" w:styleId="pagebreakblob">
    <w:name w:val="pagebreakblob"/>
    <w:basedOn w:val="DefaultParagraphFont"/>
    <w:rsid w:val="004F39B9"/>
  </w:style>
  <w:style w:type="character" w:customStyle="1" w:styleId="pagebreakborderspan">
    <w:name w:val="pagebreakborderspan"/>
    <w:basedOn w:val="DefaultParagraphFont"/>
    <w:rsid w:val="004F39B9"/>
  </w:style>
  <w:style w:type="character" w:customStyle="1" w:styleId="pagebreaktextspan">
    <w:name w:val="pagebreaktextspan"/>
    <w:basedOn w:val="DefaultParagraphFont"/>
    <w:rsid w:val="004F39B9"/>
  </w:style>
  <w:style w:type="character" w:customStyle="1" w:styleId="linebreakblob">
    <w:name w:val="linebreakblob"/>
    <w:basedOn w:val="DefaultParagraphFont"/>
    <w:rsid w:val="004F39B9"/>
  </w:style>
  <w:style w:type="character" w:customStyle="1" w:styleId="scxw138215210">
    <w:name w:val="scxw138215210"/>
    <w:basedOn w:val="DefaultParagraphFont"/>
    <w:rsid w:val="004F39B9"/>
  </w:style>
  <w:style w:type="paragraph" w:styleId="Header">
    <w:name w:val="header"/>
    <w:basedOn w:val="Normal"/>
    <w:link w:val="HeaderChar"/>
    <w:uiPriority w:val="99"/>
    <w:unhideWhenUsed/>
    <w:rsid w:val="004F39B9"/>
    <w:pPr>
      <w:tabs>
        <w:tab w:val="center" w:pos="4680"/>
        <w:tab w:val="right" w:pos="9360"/>
      </w:tabs>
    </w:pPr>
  </w:style>
  <w:style w:type="character" w:customStyle="1" w:styleId="HeaderChar">
    <w:name w:val="Header Char"/>
    <w:basedOn w:val="DefaultParagraphFont"/>
    <w:link w:val="Header"/>
    <w:uiPriority w:val="99"/>
    <w:qFormat/>
    <w:rsid w:val="004F39B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F39B9"/>
    <w:pPr>
      <w:tabs>
        <w:tab w:val="center" w:pos="4680"/>
        <w:tab w:val="right" w:pos="9360"/>
      </w:tabs>
    </w:pPr>
  </w:style>
  <w:style w:type="character" w:customStyle="1" w:styleId="FooterChar">
    <w:name w:val="Footer Char"/>
    <w:basedOn w:val="DefaultParagraphFont"/>
    <w:link w:val="Footer"/>
    <w:uiPriority w:val="99"/>
    <w:qFormat/>
    <w:rsid w:val="004F39B9"/>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0A2BB3"/>
    <w:rPr>
      <w:color w:val="605E5C"/>
      <w:shd w:val="clear" w:color="auto" w:fill="E1DFDD"/>
    </w:rPr>
  </w:style>
  <w:style w:type="character" w:customStyle="1" w:styleId="DefaultChar">
    <w:name w:val="Default Char"/>
    <w:basedOn w:val="DefaultParagraphFont"/>
    <w:link w:val="Default"/>
    <w:locked/>
    <w:rsid w:val="00743EF7"/>
    <w:rPr>
      <w:rFonts w:ascii="Cambria" w:hAnsi="Cambria" w:cs="Cambria"/>
      <w:color w:val="000000"/>
      <w:sz w:val="24"/>
      <w:szCs w:val="24"/>
    </w:rPr>
  </w:style>
  <w:style w:type="character" w:customStyle="1" w:styleId="CommentReference1">
    <w:name w:val="Comment Reference1"/>
    <w:basedOn w:val="DefaultParagraphFont"/>
    <w:uiPriority w:val="99"/>
    <w:semiHidden/>
    <w:unhideWhenUsed/>
    <w:rsid w:val="00F81087"/>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6941">
      <w:bodyDiv w:val="1"/>
      <w:marLeft w:val="0"/>
      <w:marRight w:val="0"/>
      <w:marTop w:val="0"/>
      <w:marBottom w:val="0"/>
      <w:divBdr>
        <w:top w:val="none" w:sz="0" w:space="0" w:color="auto"/>
        <w:left w:val="none" w:sz="0" w:space="0" w:color="auto"/>
        <w:bottom w:val="none" w:sz="0" w:space="0" w:color="auto"/>
        <w:right w:val="none" w:sz="0" w:space="0" w:color="auto"/>
      </w:divBdr>
    </w:div>
    <w:div w:id="103812293">
      <w:bodyDiv w:val="1"/>
      <w:marLeft w:val="0"/>
      <w:marRight w:val="0"/>
      <w:marTop w:val="0"/>
      <w:marBottom w:val="0"/>
      <w:divBdr>
        <w:top w:val="none" w:sz="0" w:space="0" w:color="auto"/>
        <w:left w:val="none" w:sz="0" w:space="0" w:color="auto"/>
        <w:bottom w:val="none" w:sz="0" w:space="0" w:color="auto"/>
        <w:right w:val="none" w:sz="0" w:space="0" w:color="auto"/>
      </w:divBdr>
    </w:div>
    <w:div w:id="105003840">
      <w:bodyDiv w:val="1"/>
      <w:marLeft w:val="0"/>
      <w:marRight w:val="0"/>
      <w:marTop w:val="0"/>
      <w:marBottom w:val="0"/>
      <w:divBdr>
        <w:top w:val="none" w:sz="0" w:space="0" w:color="auto"/>
        <w:left w:val="none" w:sz="0" w:space="0" w:color="auto"/>
        <w:bottom w:val="none" w:sz="0" w:space="0" w:color="auto"/>
        <w:right w:val="none" w:sz="0" w:space="0" w:color="auto"/>
      </w:divBdr>
    </w:div>
    <w:div w:id="220295132">
      <w:bodyDiv w:val="1"/>
      <w:marLeft w:val="0"/>
      <w:marRight w:val="0"/>
      <w:marTop w:val="0"/>
      <w:marBottom w:val="0"/>
      <w:divBdr>
        <w:top w:val="none" w:sz="0" w:space="0" w:color="auto"/>
        <w:left w:val="none" w:sz="0" w:space="0" w:color="auto"/>
        <w:bottom w:val="none" w:sz="0" w:space="0" w:color="auto"/>
        <w:right w:val="none" w:sz="0" w:space="0" w:color="auto"/>
      </w:divBdr>
    </w:div>
    <w:div w:id="297689912">
      <w:bodyDiv w:val="1"/>
      <w:marLeft w:val="0"/>
      <w:marRight w:val="0"/>
      <w:marTop w:val="0"/>
      <w:marBottom w:val="0"/>
      <w:divBdr>
        <w:top w:val="none" w:sz="0" w:space="0" w:color="auto"/>
        <w:left w:val="none" w:sz="0" w:space="0" w:color="auto"/>
        <w:bottom w:val="none" w:sz="0" w:space="0" w:color="auto"/>
        <w:right w:val="none" w:sz="0" w:space="0" w:color="auto"/>
      </w:divBdr>
    </w:div>
    <w:div w:id="371152014">
      <w:bodyDiv w:val="1"/>
      <w:marLeft w:val="0"/>
      <w:marRight w:val="0"/>
      <w:marTop w:val="0"/>
      <w:marBottom w:val="0"/>
      <w:divBdr>
        <w:top w:val="none" w:sz="0" w:space="0" w:color="auto"/>
        <w:left w:val="none" w:sz="0" w:space="0" w:color="auto"/>
        <w:bottom w:val="none" w:sz="0" w:space="0" w:color="auto"/>
        <w:right w:val="none" w:sz="0" w:space="0" w:color="auto"/>
      </w:divBdr>
    </w:div>
    <w:div w:id="664356266">
      <w:bodyDiv w:val="1"/>
      <w:marLeft w:val="0"/>
      <w:marRight w:val="0"/>
      <w:marTop w:val="0"/>
      <w:marBottom w:val="0"/>
      <w:divBdr>
        <w:top w:val="none" w:sz="0" w:space="0" w:color="auto"/>
        <w:left w:val="none" w:sz="0" w:space="0" w:color="auto"/>
        <w:bottom w:val="none" w:sz="0" w:space="0" w:color="auto"/>
        <w:right w:val="none" w:sz="0" w:space="0" w:color="auto"/>
      </w:divBdr>
    </w:div>
    <w:div w:id="940917987">
      <w:bodyDiv w:val="1"/>
      <w:marLeft w:val="0"/>
      <w:marRight w:val="0"/>
      <w:marTop w:val="0"/>
      <w:marBottom w:val="0"/>
      <w:divBdr>
        <w:top w:val="none" w:sz="0" w:space="0" w:color="auto"/>
        <w:left w:val="none" w:sz="0" w:space="0" w:color="auto"/>
        <w:bottom w:val="none" w:sz="0" w:space="0" w:color="auto"/>
        <w:right w:val="none" w:sz="0" w:space="0" w:color="auto"/>
      </w:divBdr>
    </w:div>
    <w:div w:id="1235310330">
      <w:bodyDiv w:val="1"/>
      <w:marLeft w:val="0"/>
      <w:marRight w:val="0"/>
      <w:marTop w:val="0"/>
      <w:marBottom w:val="0"/>
      <w:divBdr>
        <w:top w:val="none" w:sz="0" w:space="0" w:color="auto"/>
        <w:left w:val="none" w:sz="0" w:space="0" w:color="auto"/>
        <w:bottom w:val="none" w:sz="0" w:space="0" w:color="auto"/>
        <w:right w:val="none" w:sz="0" w:space="0" w:color="auto"/>
      </w:divBdr>
    </w:div>
    <w:div w:id="1382286211">
      <w:bodyDiv w:val="1"/>
      <w:marLeft w:val="0"/>
      <w:marRight w:val="0"/>
      <w:marTop w:val="0"/>
      <w:marBottom w:val="0"/>
      <w:divBdr>
        <w:top w:val="none" w:sz="0" w:space="0" w:color="auto"/>
        <w:left w:val="none" w:sz="0" w:space="0" w:color="auto"/>
        <w:bottom w:val="none" w:sz="0" w:space="0" w:color="auto"/>
        <w:right w:val="none" w:sz="0" w:space="0" w:color="auto"/>
      </w:divBdr>
    </w:div>
    <w:div w:id="1413160078">
      <w:bodyDiv w:val="1"/>
      <w:marLeft w:val="0"/>
      <w:marRight w:val="0"/>
      <w:marTop w:val="0"/>
      <w:marBottom w:val="0"/>
      <w:divBdr>
        <w:top w:val="none" w:sz="0" w:space="0" w:color="auto"/>
        <w:left w:val="none" w:sz="0" w:space="0" w:color="auto"/>
        <w:bottom w:val="none" w:sz="0" w:space="0" w:color="auto"/>
        <w:right w:val="none" w:sz="0" w:space="0" w:color="auto"/>
      </w:divBdr>
    </w:div>
    <w:div w:id="1496073320">
      <w:bodyDiv w:val="1"/>
      <w:marLeft w:val="0"/>
      <w:marRight w:val="0"/>
      <w:marTop w:val="0"/>
      <w:marBottom w:val="0"/>
      <w:divBdr>
        <w:top w:val="none" w:sz="0" w:space="0" w:color="auto"/>
        <w:left w:val="none" w:sz="0" w:space="0" w:color="auto"/>
        <w:bottom w:val="none" w:sz="0" w:space="0" w:color="auto"/>
        <w:right w:val="none" w:sz="0" w:space="0" w:color="auto"/>
      </w:divBdr>
    </w:div>
    <w:div w:id="1516189415">
      <w:bodyDiv w:val="1"/>
      <w:marLeft w:val="0"/>
      <w:marRight w:val="0"/>
      <w:marTop w:val="0"/>
      <w:marBottom w:val="0"/>
      <w:divBdr>
        <w:top w:val="none" w:sz="0" w:space="0" w:color="auto"/>
        <w:left w:val="none" w:sz="0" w:space="0" w:color="auto"/>
        <w:bottom w:val="none" w:sz="0" w:space="0" w:color="auto"/>
        <w:right w:val="none" w:sz="0" w:space="0" w:color="auto"/>
      </w:divBdr>
      <w:divsChild>
        <w:div w:id="596002">
          <w:marLeft w:val="0"/>
          <w:marRight w:val="0"/>
          <w:marTop w:val="0"/>
          <w:marBottom w:val="0"/>
          <w:divBdr>
            <w:top w:val="none" w:sz="0" w:space="0" w:color="auto"/>
            <w:left w:val="none" w:sz="0" w:space="0" w:color="auto"/>
            <w:bottom w:val="none" w:sz="0" w:space="0" w:color="auto"/>
            <w:right w:val="none" w:sz="0" w:space="0" w:color="auto"/>
          </w:divBdr>
        </w:div>
        <w:div w:id="19934295">
          <w:marLeft w:val="0"/>
          <w:marRight w:val="0"/>
          <w:marTop w:val="0"/>
          <w:marBottom w:val="0"/>
          <w:divBdr>
            <w:top w:val="none" w:sz="0" w:space="0" w:color="auto"/>
            <w:left w:val="none" w:sz="0" w:space="0" w:color="auto"/>
            <w:bottom w:val="none" w:sz="0" w:space="0" w:color="auto"/>
            <w:right w:val="none" w:sz="0" w:space="0" w:color="auto"/>
          </w:divBdr>
        </w:div>
        <w:div w:id="53311593">
          <w:marLeft w:val="0"/>
          <w:marRight w:val="0"/>
          <w:marTop w:val="0"/>
          <w:marBottom w:val="0"/>
          <w:divBdr>
            <w:top w:val="none" w:sz="0" w:space="0" w:color="auto"/>
            <w:left w:val="none" w:sz="0" w:space="0" w:color="auto"/>
            <w:bottom w:val="none" w:sz="0" w:space="0" w:color="auto"/>
            <w:right w:val="none" w:sz="0" w:space="0" w:color="auto"/>
          </w:divBdr>
        </w:div>
        <w:div w:id="72747576">
          <w:marLeft w:val="0"/>
          <w:marRight w:val="0"/>
          <w:marTop w:val="0"/>
          <w:marBottom w:val="0"/>
          <w:divBdr>
            <w:top w:val="none" w:sz="0" w:space="0" w:color="auto"/>
            <w:left w:val="none" w:sz="0" w:space="0" w:color="auto"/>
            <w:bottom w:val="none" w:sz="0" w:space="0" w:color="auto"/>
            <w:right w:val="none" w:sz="0" w:space="0" w:color="auto"/>
          </w:divBdr>
        </w:div>
        <w:div w:id="77604553">
          <w:marLeft w:val="0"/>
          <w:marRight w:val="0"/>
          <w:marTop w:val="0"/>
          <w:marBottom w:val="0"/>
          <w:divBdr>
            <w:top w:val="none" w:sz="0" w:space="0" w:color="auto"/>
            <w:left w:val="none" w:sz="0" w:space="0" w:color="auto"/>
            <w:bottom w:val="none" w:sz="0" w:space="0" w:color="auto"/>
            <w:right w:val="none" w:sz="0" w:space="0" w:color="auto"/>
          </w:divBdr>
        </w:div>
        <w:div w:id="79524482">
          <w:marLeft w:val="0"/>
          <w:marRight w:val="0"/>
          <w:marTop w:val="0"/>
          <w:marBottom w:val="0"/>
          <w:divBdr>
            <w:top w:val="none" w:sz="0" w:space="0" w:color="auto"/>
            <w:left w:val="none" w:sz="0" w:space="0" w:color="auto"/>
            <w:bottom w:val="none" w:sz="0" w:space="0" w:color="auto"/>
            <w:right w:val="none" w:sz="0" w:space="0" w:color="auto"/>
          </w:divBdr>
        </w:div>
        <w:div w:id="89936321">
          <w:marLeft w:val="0"/>
          <w:marRight w:val="0"/>
          <w:marTop w:val="0"/>
          <w:marBottom w:val="0"/>
          <w:divBdr>
            <w:top w:val="none" w:sz="0" w:space="0" w:color="auto"/>
            <w:left w:val="none" w:sz="0" w:space="0" w:color="auto"/>
            <w:bottom w:val="none" w:sz="0" w:space="0" w:color="auto"/>
            <w:right w:val="none" w:sz="0" w:space="0" w:color="auto"/>
          </w:divBdr>
        </w:div>
        <w:div w:id="91055738">
          <w:marLeft w:val="0"/>
          <w:marRight w:val="0"/>
          <w:marTop w:val="0"/>
          <w:marBottom w:val="0"/>
          <w:divBdr>
            <w:top w:val="none" w:sz="0" w:space="0" w:color="auto"/>
            <w:left w:val="none" w:sz="0" w:space="0" w:color="auto"/>
            <w:bottom w:val="none" w:sz="0" w:space="0" w:color="auto"/>
            <w:right w:val="none" w:sz="0" w:space="0" w:color="auto"/>
          </w:divBdr>
        </w:div>
        <w:div w:id="92869904">
          <w:marLeft w:val="0"/>
          <w:marRight w:val="0"/>
          <w:marTop w:val="0"/>
          <w:marBottom w:val="0"/>
          <w:divBdr>
            <w:top w:val="none" w:sz="0" w:space="0" w:color="auto"/>
            <w:left w:val="none" w:sz="0" w:space="0" w:color="auto"/>
            <w:bottom w:val="none" w:sz="0" w:space="0" w:color="auto"/>
            <w:right w:val="none" w:sz="0" w:space="0" w:color="auto"/>
          </w:divBdr>
        </w:div>
        <w:div w:id="99226303">
          <w:marLeft w:val="0"/>
          <w:marRight w:val="0"/>
          <w:marTop w:val="0"/>
          <w:marBottom w:val="0"/>
          <w:divBdr>
            <w:top w:val="none" w:sz="0" w:space="0" w:color="auto"/>
            <w:left w:val="none" w:sz="0" w:space="0" w:color="auto"/>
            <w:bottom w:val="none" w:sz="0" w:space="0" w:color="auto"/>
            <w:right w:val="none" w:sz="0" w:space="0" w:color="auto"/>
          </w:divBdr>
        </w:div>
        <w:div w:id="108278061">
          <w:marLeft w:val="0"/>
          <w:marRight w:val="0"/>
          <w:marTop w:val="0"/>
          <w:marBottom w:val="0"/>
          <w:divBdr>
            <w:top w:val="none" w:sz="0" w:space="0" w:color="auto"/>
            <w:left w:val="none" w:sz="0" w:space="0" w:color="auto"/>
            <w:bottom w:val="none" w:sz="0" w:space="0" w:color="auto"/>
            <w:right w:val="none" w:sz="0" w:space="0" w:color="auto"/>
          </w:divBdr>
        </w:div>
        <w:div w:id="114561314">
          <w:marLeft w:val="0"/>
          <w:marRight w:val="0"/>
          <w:marTop w:val="0"/>
          <w:marBottom w:val="0"/>
          <w:divBdr>
            <w:top w:val="none" w:sz="0" w:space="0" w:color="auto"/>
            <w:left w:val="none" w:sz="0" w:space="0" w:color="auto"/>
            <w:bottom w:val="none" w:sz="0" w:space="0" w:color="auto"/>
            <w:right w:val="none" w:sz="0" w:space="0" w:color="auto"/>
          </w:divBdr>
        </w:div>
        <w:div w:id="114645056">
          <w:marLeft w:val="0"/>
          <w:marRight w:val="0"/>
          <w:marTop w:val="0"/>
          <w:marBottom w:val="0"/>
          <w:divBdr>
            <w:top w:val="none" w:sz="0" w:space="0" w:color="auto"/>
            <w:left w:val="none" w:sz="0" w:space="0" w:color="auto"/>
            <w:bottom w:val="none" w:sz="0" w:space="0" w:color="auto"/>
            <w:right w:val="none" w:sz="0" w:space="0" w:color="auto"/>
          </w:divBdr>
        </w:div>
        <w:div w:id="120154559">
          <w:marLeft w:val="0"/>
          <w:marRight w:val="0"/>
          <w:marTop w:val="0"/>
          <w:marBottom w:val="0"/>
          <w:divBdr>
            <w:top w:val="none" w:sz="0" w:space="0" w:color="auto"/>
            <w:left w:val="none" w:sz="0" w:space="0" w:color="auto"/>
            <w:bottom w:val="none" w:sz="0" w:space="0" w:color="auto"/>
            <w:right w:val="none" w:sz="0" w:space="0" w:color="auto"/>
          </w:divBdr>
        </w:div>
        <w:div w:id="127405629">
          <w:marLeft w:val="0"/>
          <w:marRight w:val="0"/>
          <w:marTop w:val="0"/>
          <w:marBottom w:val="0"/>
          <w:divBdr>
            <w:top w:val="none" w:sz="0" w:space="0" w:color="auto"/>
            <w:left w:val="none" w:sz="0" w:space="0" w:color="auto"/>
            <w:bottom w:val="none" w:sz="0" w:space="0" w:color="auto"/>
            <w:right w:val="none" w:sz="0" w:space="0" w:color="auto"/>
          </w:divBdr>
        </w:div>
        <w:div w:id="130365244">
          <w:marLeft w:val="0"/>
          <w:marRight w:val="0"/>
          <w:marTop w:val="0"/>
          <w:marBottom w:val="0"/>
          <w:divBdr>
            <w:top w:val="none" w:sz="0" w:space="0" w:color="auto"/>
            <w:left w:val="none" w:sz="0" w:space="0" w:color="auto"/>
            <w:bottom w:val="none" w:sz="0" w:space="0" w:color="auto"/>
            <w:right w:val="none" w:sz="0" w:space="0" w:color="auto"/>
          </w:divBdr>
        </w:div>
        <w:div w:id="172303857">
          <w:marLeft w:val="0"/>
          <w:marRight w:val="0"/>
          <w:marTop w:val="0"/>
          <w:marBottom w:val="0"/>
          <w:divBdr>
            <w:top w:val="none" w:sz="0" w:space="0" w:color="auto"/>
            <w:left w:val="none" w:sz="0" w:space="0" w:color="auto"/>
            <w:bottom w:val="none" w:sz="0" w:space="0" w:color="auto"/>
            <w:right w:val="none" w:sz="0" w:space="0" w:color="auto"/>
          </w:divBdr>
        </w:div>
        <w:div w:id="172768418">
          <w:marLeft w:val="0"/>
          <w:marRight w:val="0"/>
          <w:marTop w:val="0"/>
          <w:marBottom w:val="0"/>
          <w:divBdr>
            <w:top w:val="none" w:sz="0" w:space="0" w:color="auto"/>
            <w:left w:val="none" w:sz="0" w:space="0" w:color="auto"/>
            <w:bottom w:val="none" w:sz="0" w:space="0" w:color="auto"/>
            <w:right w:val="none" w:sz="0" w:space="0" w:color="auto"/>
          </w:divBdr>
        </w:div>
        <w:div w:id="189490237">
          <w:marLeft w:val="0"/>
          <w:marRight w:val="0"/>
          <w:marTop w:val="0"/>
          <w:marBottom w:val="0"/>
          <w:divBdr>
            <w:top w:val="none" w:sz="0" w:space="0" w:color="auto"/>
            <w:left w:val="none" w:sz="0" w:space="0" w:color="auto"/>
            <w:bottom w:val="none" w:sz="0" w:space="0" w:color="auto"/>
            <w:right w:val="none" w:sz="0" w:space="0" w:color="auto"/>
          </w:divBdr>
        </w:div>
        <w:div w:id="212428120">
          <w:marLeft w:val="0"/>
          <w:marRight w:val="0"/>
          <w:marTop w:val="0"/>
          <w:marBottom w:val="0"/>
          <w:divBdr>
            <w:top w:val="none" w:sz="0" w:space="0" w:color="auto"/>
            <w:left w:val="none" w:sz="0" w:space="0" w:color="auto"/>
            <w:bottom w:val="none" w:sz="0" w:space="0" w:color="auto"/>
            <w:right w:val="none" w:sz="0" w:space="0" w:color="auto"/>
          </w:divBdr>
        </w:div>
        <w:div w:id="246965377">
          <w:marLeft w:val="0"/>
          <w:marRight w:val="0"/>
          <w:marTop w:val="0"/>
          <w:marBottom w:val="0"/>
          <w:divBdr>
            <w:top w:val="none" w:sz="0" w:space="0" w:color="auto"/>
            <w:left w:val="none" w:sz="0" w:space="0" w:color="auto"/>
            <w:bottom w:val="none" w:sz="0" w:space="0" w:color="auto"/>
            <w:right w:val="none" w:sz="0" w:space="0" w:color="auto"/>
          </w:divBdr>
        </w:div>
        <w:div w:id="252055879">
          <w:marLeft w:val="0"/>
          <w:marRight w:val="0"/>
          <w:marTop w:val="0"/>
          <w:marBottom w:val="0"/>
          <w:divBdr>
            <w:top w:val="none" w:sz="0" w:space="0" w:color="auto"/>
            <w:left w:val="none" w:sz="0" w:space="0" w:color="auto"/>
            <w:bottom w:val="none" w:sz="0" w:space="0" w:color="auto"/>
            <w:right w:val="none" w:sz="0" w:space="0" w:color="auto"/>
          </w:divBdr>
        </w:div>
        <w:div w:id="269824012">
          <w:marLeft w:val="0"/>
          <w:marRight w:val="0"/>
          <w:marTop w:val="0"/>
          <w:marBottom w:val="0"/>
          <w:divBdr>
            <w:top w:val="none" w:sz="0" w:space="0" w:color="auto"/>
            <w:left w:val="none" w:sz="0" w:space="0" w:color="auto"/>
            <w:bottom w:val="none" w:sz="0" w:space="0" w:color="auto"/>
            <w:right w:val="none" w:sz="0" w:space="0" w:color="auto"/>
          </w:divBdr>
        </w:div>
        <w:div w:id="273447169">
          <w:marLeft w:val="0"/>
          <w:marRight w:val="0"/>
          <w:marTop w:val="0"/>
          <w:marBottom w:val="0"/>
          <w:divBdr>
            <w:top w:val="none" w:sz="0" w:space="0" w:color="auto"/>
            <w:left w:val="none" w:sz="0" w:space="0" w:color="auto"/>
            <w:bottom w:val="none" w:sz="0" w:space="0" w:color="auto"/>
            <w:right w:val="none" w:sz="0" w:space="0" w:color="auto"/>
          </w:divBdr>
        </w:div>
        <w:div w:id="273752185">
          <w:marLeft w:val="0"/>
          <w:marRight w:val="0"/>
          <w:marTop w:val="0"/>
          <w:marBottom w:val="0"/>
          <w:divBdr>
            <w:top w:val="none" w:sz="0" w:space="0" w:color="auto"/>
            <w:left w:val="none" w:sz="0" w:space="0" w:color="auto"/>
            <w:bottom w:val="none" w:sz="0" w:space="0" w:color="auto"/>
            <w:right w:val="none" w:sz="0" w:space="0" w:color="auto"/>
          </w:divBdr>
        </w:div>
        <w:div w:id="275986929">
          <w:marLeft w:val="0"/>
          <w:marRight w:val="0"/>
          <w:marTop w:val="0"/>
          <w:marBottom w:val="0"/>
          <w:divBdr>
            <w:top w:val="none" w:sz="0" w:space="0" w:color="auto"/>
            <w:left w:val="none" w:sz="0" w:space="0" w:color="auto"/>
            <w:bottom w:val="none" w:sz="0" w:space="0" w:color="auto"/>
            <w:right w:val="none" w:sz="0" w:space="0" w:color="auto"/>
          </w:divBdr>
        </w:div>
        <w:div w:id="276378139">
          <w:marLeft w:val="0"/>
          <w:marRight w:val="0"/>
          <w:marTop w:val="0"/>
          <w:marBottom w:val="0"/>
          <w:divBdr>
            <w:top w:val="none" w:sz="0" w:space="0" w:color="auto"/>
            <w:left w:val="none" w:sz="0" w:space="0" w:color="auto"/>
            <w:bottom w:val="none" w:sz="0" w:space="0" w:color="auto"/>
            <w:right w:val="none" w:sz="0" w:space="0" w:color="auto"/>
          </w:divBdr>
        </w:div>
        <w:div w:id="281421714">
          <w:marLeft w:val="0"/>
          <w:marRight w:val="0"/>
          <w:marTop w:val="0"/>
          <w:marBottom w:val="0"/>
          <w:divBdr>
            <w:top w:val="none" w:sz="0" w:space="0" w:color="auto"/>
            <w:left w:val="none" w:sz="0" w:space="0" w:color="auto"/>
            <w:bottom w:val="none" w:sz="0" w:space="0" w:color="auto"/>
            <w:right w:val="none" w:sz="0" w:space="0" w:color="auto"/>
          </w:divBdr>
        </w:div>
        <w:div w:id="310402605">
          <w:marLeft w:val="0"/>
          <w:marRight w:val="0"/>
          <w:marTop w:val="0"/>
          <w:marBottom w:val="0"/>
          <w:divBdr>
            <w:top w:val="none" w:sz="0" w:space="0" w:color="auto"/>
            <w:left w:val="none" w:sz="0" w:space="0" w:color="auto"/>
            <w:bottom w:val="none" w:sz="0" w:space="0" w:color="auto"/>
            <w:right w:val="none" w:sz="0" w:space="0" w:color="auto"/>
          </w:divBdr>
        </w:div>
        <w:div w:id="314074066">
          <w:marLeft w:val="0"/>
          <w:marRight w:val="0"/>
          <w:marTop w:val="0"/>
          <w:marBottom w:val="0"/>
          <w:divBdr>
            <w:top w:val="none" w:sz="0" w:space="0" w:color="auto"/>
            <w:left w:val="none" w:sz="0" w:space="0" w:color="auto"/>
            <w:bottom w:val="none" w:sz="0" w:space="0" w:color="auto"/>
            <w:right w:val="none" w:sz="0" w:space="0" w:color="auto"/>
          </w:divBdr>
        </w:div>
        <w:div w:id="320739038">
          <w:marLeft w:val="0"/>
          <w:marRight w:val="0"/>
          <w:marTop w:val="0"/>
          <w:marBottom w:val="0"/>
          <w:divBdr>
            <w:top w:val="none" w:sz="0" w:space="0" w:color="auto"/>
            <w:left w:val="none" w:sz="0" w:space="0" w:color="auto"/>
            <w:bottom w:val="none" w:sz="0" w:space="0" w:color="auto"/>
            <w:right w:val="none" w:sz="0" w:space="0" w:color="auto"/>
          </w:divBdr>
        </w:div>
        <w:div w:id="323969292">
          <w:marLeft w:val="0"/>
          <w:marRight w:val="0"/>
          <w:marTop w:val="0"/>
          <w:marBottom w:val="0"/>
          <w:divBdr>
            <w:top w:val="none" w:sz="0" w:space="0" w:color="auto"/>
            <w:left w:val="none" w:sz="0" w:space="0" w:color="auto"/>
            <w:bottom w:val="none" w:sz="0" w:space="0" w:color="auto"/>
            <w:right w:val="none" w:sz="0" w:space="0" w:color="auto"/>
          </w:divBdr>
        </w:div>
        <w:div w:id="336428288">
          <w:marLeft w:val="0"/>
          <w:marRight w:val="0"/>
          <w:marTop w:val="0"/>
          <w:marBottom w:val="0"/>
          <w:divBdr>
            <w:top w:val="none" w:sz="0" w:space="0" w:color="auto"/>
            <w:left w:val="none" w:sz="0" w:space="0" w:color="auto"/>
            <w:bottom w:val="none" w:sz="0" w:space="0" w:color="auto"/>
            <w:right w:val="none" w:sz="0" w:space="0" w:color="auto"/>
          </w:divBdr>
        </w:div>
        <w:div w:id="341512514">
          <w:marLeft w:val="0"/>
          <w:marRight w:val="0"/>
          <w:marTop w:val="0"/>
          <w:marBottom w:val="0"/>
          <w:divBdr>
            <w:top w:val="none" w:sz="0" w:space="0" w:color="auto"/>
            <w:left w:val="none" w:sz="0" w:space="0" w:color="auto"/>
            <w:bottom w:val="none" w:sz="0" w:space="0" w:color="auto"/>
            <w:right w:val="none" w:sz="0" w:space="0" w:color="auto"/>
          </w:divBdr>
        </w:div>
        <w:div w:id="356006804">
          <w:marLeft w:val="0"/>
          <w:marRight w:val="0"/>
          <w:marTop w:val="0"/>
          <w:marBottom w:val="0"/>
          <w:divBdr>
            <w:top w:val="none" w:sz="0" w:space="0" w:color="auto"/>
            <w:left w:val="none" w:sz="0" w:space="0" w:color="auto"/>
            <w:bottom w:val="none" w:sz="0" w:space="0" w:color="auto"/>
            <w:right w:val="none" w:sz="0" w:space="0" w:color="auto"/>
          </w:divBdr>
        </w:div>
        <w:div w:id="360320245">
          <w:marLeft w:val="0"/>
          <w:marRight w:val="0"/>
          <w:marTop w:val="0"/>
          <w:marBottom w:val="0"/>
          <w:divBdr>
            <w:top w:val="none" w:sz="0" w:space="0" w:color="auto"/>
            <w:left w:val="none" w:sz="0" w:space="0" w:color="auto"/>
            <w:bottom w:val="none" w:sz="0" w:space="0" w:color="auto"/>
            <w:right w:val="none" w:sz="0" w:space="0" w:color="auto"/>
          </w:divBdr>
        </w:div>
        <w:div w:id="367418310">
          <w:marLeft w:val="0"/>
          <w:marRight w:val="0"/>
          <w:marTop w:val="0"/>
          <w:marBottom w:val="0"/>
          <w:divBdr>
            <w:top w:val="none" w:sz="0" w:space="0" w:color="auto"/>
            <w:left w:val="none" w:sz="0" w:space="0" w:color="auto"/>
            <w:bottom w:val="none" w:sz="0" w:space="0" w:color="auto"/>
            <w:right w:val="none" w:sz="0" w:space="0" w:color="auto"/>
          </w:divBdr>
        </w:div>
        <w:div w:id="369309419">
          <w:marLeft w:val="0"/>
          <w:marRight w:val="0"/>
          <w:marTop w:val="0"/>
          <w:marBottom w:val="0"/>
          <w:divBdr>
            <w:top w:val="none" w:sz="0" w:space="0" w:color="auto"/>
            <w:left w:val="none" w:sz="0" w:space="0" w:color="auto"/>
            <w:bottom w:val="none" w:sz="0" w:space="0" w:color="auto"/>
            <w:right w:val="none" w:sz="0" w:space="0" w:color="auto"/>
          </w:divBdr>
        </w:div>
        <w:div w:id="384837690">
          <w:marLeft w:val="0"/>
          <w:marRight w:val="0"/>
          <w:marTop w:val="0"/>
          <w:marBottom w:val="0"/>
          <w:divBdr>
            <w:top w:val="none" w:sz="0" w:space="0" w:color="auto"/>
            <w:left w:val="none" w:sz="0" w:space="0" w:color="auto"/>
            <w:bottom w:val="none" w:sz="0" w:space="0" w:color="auto"/>
            <w:right w:val="none" w:sz="0" w:space="0" w:color="auto"/>
          </w:divBdr>
        </w:div>
        <w:div w:id="385688128">
          <w:marLeft w:val="0"/>
          <w:marRight w:val="0"/>
          <w:marTop w:val="0"/>
          <w:marBottom w:val="0"/>
          <w:divBdr>
            <w:top w:val="none" w:sz="0" w:space="0" w:color="auto"/>
            <w:left w:val="none" w:sz="0" w:space="0" w:color="auto"/>
            <w:bottom w:val="none" w:sz="0" w:space="0" w:color="auto"/>
            <w:right w:val="none" w:sz="0" w:space="0" w:color="auto"/>
          </w:divBdr>
        </w:div>
        <w:div w:id="391268548">
          <w:marLeft w:val="0"/>
          <w:marRight w:val="0"/>
          <w:marTop w:val="0"/>
          <w:marBottom w:val="0"/>
          <w:divBdr>
            <w:top w:val="none" w:sz="0" w:space="0" w:color="auto"/>
            <w:left w:val="none" w:sz="0" w:space="0" w:color="auto"/>
            <w:bottom w:val="none" w:sz="0" w:space="0" w:color="auto"/>
            <w:right w:val="none" w:sz="0" w:space="0" w:color="auto"/>
          </w:divBdr>
        </w:div>
        <w:div w:id="394665699">
          <w:marLeft w:val="0"/>
          <w:marRight w:val="0"/>
          <w:marTop w:val="0"/>
          <w:marBottom w:val="0"/>
          <w:divBdr>
            <w:top w:val="none" w:sz="0" w:space="0" w:color="auto"/>
            <w:left w:val="none" w:sz="0" w:space="0" w:color="auto"/>
            <w:bottom w:val="none" w:sz="0" w:space="0" w:color="auto"/>
            <w:right w:val="none" w:sz="0" w:space="0" w:color="auto"/>
          </w:divBdr>
          <w:divsChild>
            <w:div w:id="84502205">
              <w:marLeft w:val="0"/>
              <w:marRight w:val="0"/>
              <w:marTop w:val="0"/>
              <w:marBottom w:val="0"/>
              <w:divBdr>
                <w:top w:val="none" w:sz="0" w:space="0" w:color="auto"/>
                <w:left w:val="none" w:sz="0" w:space="0" w:color="auto"/>
                <w:bottom w:val="none" w:sz="0" w:space="0" w:color="auto"/>
                <w:right w:val="none" w:sz="0" w:space="0" w:color="auto"/>
              </w:divBdr>
            </w:div>
            <w:div w:id="157187983">
              <w:marLeft w:val="0"/>
              <w:marRight w:val="0"/>
              <w:marTop w:val="0"/>
              <w:marBottom w:val="0"/>
              <w:divBdr>
                <w:top w:val="none" w:sz="0" w:space="0" w:color="auto"/>
                <w:left w:val="none" w:sz="0" w:space="0" w:color="auto"/>
                <w:bottom w:val="none" w:sz="0" w:space="0" w:color="auto"/>
                <w:right w:val="none" w:sz="0" w:space="0" w:color="auto"/>
              </w:divBdr>
            </w:div>
            <w:div w:id="179272674">
              <w:marLeft w:val="0"/>
              <w:marRight w:val="0"/>
              <w:marTop w:val="0"/>
              <w:marBottom w:val="0"/>
              <w:divBdr>
                <w:top w:val="none" w:sz="0" w:space="0" w:color="auto"/>
                <w:left w:val="none" w:sz="0" w:space="0" w:color="auto"/>
                <w:bottom w:val="none" w:sz="0" w:space="0" w:color="auto"/>
                <w:right w:val="none" w:sz="0" w:space="0" w:color="auto"/>
              </w:divBdr>
            </w:div>
            <w:div w:id="268390551">
              <w:marLeft w:val="0"/>
              <w:marRight w:val="0"/>
              <w:marTop w:val="0"/>
              <w:marBottom w:val="0"/>
              <w:divBdr>
                <w:top w:val="none" w:sz="0" w:space="0" w:color="auto"/>
                <w:left w:val="none" w:sz="0" w:space="0" w:color="auto"/>
                <w:bottom w:val="none" w:sz="0" w:space="0" w:color="auto"/>
                <w:right w:val="none" w:sz="0" w:space="0" w:color="auto"/>
              </w:divBdr>
            </w:div>
            <w:div w:id="513109027">
              <w:marLeft w:val="0"/>
              <w:marRight w:val="0"/>
              <w:marTop w:val="0"/>
              <w:marBottom w:val="0"/>
              <w:divBdr>
                <w:top w:val="none" w:sz="0" w:space="0" w:color="auto"/>
                <w:left w:val="none" w:sz="0" w:space="0" w:color="auto"/>
                <w:bottom w:val="none" w:sz="0" w:space="0" w:color="auto"/>
                <w:right w:val="none" w:sz="0" w:space="0" w:color="auto"/>
              </w:divBdr>
            </w:div>
            <w:div w:id="736706366">
              <w:marLeft w:val="0"/>
              <w:marRight w:val="0"/>
              <w:marTop w:val="0"/>
              <w:marBottom w:val="0"/>
              <w:divBdr>
                <w:top w:val="none" w:sz="0" w:space="0" w:color="auto"/>
                <w:left w:val="none" w:sz="0" w:space="0" w:color="auto"/>
                <w:bottom w:val="none" w:sz="0" w:space="0" w:color="auto"/>
                <w:right w:val="none" w:sz="0" w:space="0" w:color="auto"/>
              </w:divBdr>
            </w:div>
            <w:div w:id="785930904">
              <w:marLeft w:val="0"/>
              <w:marRight w:val="0"/>
              <w:marTop w:val="0"/>
              <w:marBottom w:val="0"/>
              <w:divBdr>
                <w:top w:val="none" w:sz="0" w:space="0" w:color="auto"/>
                <w:left w:val="none" w:sz="0" w:space="0" w:color="auto"/>
                <w:bottom w:val="none" w:sz="0" w:space="0" w:color="auto"/>
                <w:right w:val="none" w:sz="0" w:space="0" w:color="auto"/>
              </w:divBdr>
            </w:div>
            <w:div w:id="798954008">
              <w:marLeft w:val="0"/>
              <w:marRight w:val="0"/>
              <w:marTop w:val="0"/>
              <w:marBottom w:val="0"/>
              <w:divBdr>
                <w:top w:val="none" w:sz="0" w:space="0" w:color="auto"/>
                <w:left w:val="none" w:sz="0" w:space="0" w:color="auto"/>
                <w:bottom w:val="none" w:sz="0" w:space="0" w:color="auto"/>
                <w:right w:val="none" w:sz="0" w:space="0" w:color="auto"/>
              </w:divBdr>
            </w:div>
            <w:div w:id="825585790">
              <w:marLeft w:val="0"/>
              <w:marRight w:val="0"/>
              <w:marTop w:val="0"/>
              <w:marBottom w:val="0"/>
              <w:divBdr>
                <w:top w:val="none" w:sz="0" w:space="0" w:color="auto"/>
                <w:left w:val="none" w:sz="0" w:space="0" w:color="auto"/>
                <w:bottom w:val="none" w:sz="0" w:space="0" w:color="auto"/>
                <w:right w:val="none" w:sz="0" w:space="0" w:color="auto"/>
              </w:divBdr>
            </w:div>
            <w:div w:id="843544625">
              <w:marLeft w:val="0"/>
              <w:marRight w:val="0"/>
              <w:marTop w:val="0"/>
              <w:marBottom w:val="0"/>
              <w:divBdr>
                <w:top w:val="none" w:sz="0" w:space="0" w:color="auto"/>
                <w:left w:val="none" w:sz="0" w:space="0" w:color="auto"/>
                <w:bottom w:val="none" w:sz="0" w:space="0" w:color="auto"/>
                <w:right w:val="none" w:sz="0" w:space="0" w:color="auto"/>
              </w:divBdr>
            </w:div>
            <w:div w:id="1097944785">
              <w:marLeft w:val="0"/>
              <w:marRight w:val="0"/>
              <w:marTop w:val="0"/>
              <w:marBottom w:val="0"/>
              <w:divBdr>
                <w:top w:val="none" w:sz="0" w:space="0" w:color="auto"/>
                <w:left w:val="none" w:sz="0" w:space="0" w:color="auto"/>
                <w:bottom w:val="none" w:sz="0" w:space="0" w:color="auto"/>
                <w:right w:val="none" w:sz="0" w:space="0" w:color="auto"/>
              </w:divBdr>
            </w:div>
            <w:div w:id="1177692839">
              <w:marLeft w:val="0"/>
              <w:marRight w:val="0"/>
              <w:marTop w:val="0"/>
              <w:marBottom w:val="0"/>
              <w:divBdr>
                <w:top w:val="none" w:sz="0" w:space="0" w:color="auto"/>
                <w:left w:val="none" w:sz="0" w:space="0" w:color="auto"/>
                <w:bottom w:val="none" w:sz="0" w:space="0" w:color="auto"/>
                <w:right w:val="none" w:sz="0" w:space="0" w:color="auto"/>
              </w:divBdr>
            </w:div>
            <w:div w:id="1185754284">
              <w:marLeft w:val="0"/>
              <w:marRight w:val="0"/>
              <w:marTop w:val="0"/>
              <w:marBottom w:val="0"/>
              <w:divBdr>
                <w:top w:val="none" w:sz="0" w:space="0" w:color="auto"/>
                <w:left w:val="none" w:sz="0" w:space="0" w:color="auto"/>
                <w:bottom w:val="none" w:sz="0" w:space="0" w:color="auto"/>
                <w:right w:val="none" w:sz="0" w:space="0" w:color="auto"/>
              </w:divBdr>
            </w:div>
            <w:div w:id="1192762086">
              <w:marLeft w:val="0"/>
              <w:marRight w:val="0"/>
              <w:marTop w:val="0"/>
              <w:marBottom w:val="0"/>
              <w:divBdr>
                <w:top w:val="none" w:sz="0" w:space="0" w:color="auto"/>
                <w:left w:val="none" w:sz="0" w:space="0" w:color="auto"/>
                <w:bottom w:val="none" w:sz="0" w:space="0" w:color="auto"/>
                <w:right w:val="none" w:sz="0" w:space="0" w:color="auto"/>
              </w:divBdr>
            </w:div>
            <w:div w:id="1216694881">
              <w:marLeft w:val="0"/>
              <w:marRight w:val="0"/>
              <w:marTop w:val="0"/>
              <w:marBottom w:val="0"/>
              <w:divBdr>
                <w:top w:val="none" w:sz="0" w:space="0" w:color="auto"/>
                <w:left w:val="none" w:sz="0" w:space="0" w:color="auto"/>
                <w:bottom w:val="none" w:sz="0" w:space="0" w:color="auto"/>
                <w:right w:val="none" w:sz="0" w:space="0" w:color="auto"/>
              </w:divBdr>
            </w:div>
            <w:div w:id="1312246511">
              <w:marLeft w:val="0"/>
              <w:marRight w:val="0"/>
              <w:marTop w:val="0"/>
              <w:marBottom w:val="0"/>
              <w:divBdr>
                <w:top w:val="none" w:sz="0" w:space="0" w:color="auto"/>
                <w:left w:val="none" w:sz="0" w:space="0" w:color="auto"/>
                <w:bottom w:val="none" w:sz="0" w:space="0" w:color="auto"/>
                <w:right w:val="none" w:sz="0" w:space="0" w:color="auto"/>
              </w:divBdr>
            </w:div>
            <w:div w:id="1343363514">
              <w:marLeft w:val="0"/>
              <w:marRight w:val="0"/>
              <w:marTop w:val="0"/>
              <w:marBottom w:val="0"/>
              <w:divBdr>
                <w:top w:val="none" w:sz="0" w:space="0" w:color="auto"/>
                <w:left w:val="none" w:sz="0" w:space="0" w:color="auto"/>
                <w:bottom w:val="none" w:sz="0" w:space="0" w:color="auto"/>
                <w:right w:val="none" w:sz="0" w:space="0" w:color="auto"/>
              </w:divBdr>
            </w:div>
            <w:div w:id="1480076576">
              <w:marLeft w:val="0"/>
              <w:marRight w:val="0"/>
              <w:marTop w:val="0"/>
              <w:marBottom w:val="0"/>
              <w:divBdr>
                <w:top w:val="none" w:sz="0" w:space="0" w:color="auto"/>
                <w:left w:val="none" w:sz="0" w:space="0" w:color="auto"/>
                <w:bottom w:val="none" w:sz="0" w:space="0" w:color="auto"/>
                <w:right w:val="none" w:sz="0" w:space="0" w:color="auto"/>
              </w:divBdr>
            </w:div>
            <w:div w:id="1523058235">
              <w:marLeft w:val="0"/>
              <w:marRight w:val="0"/>
              <w:marTop w:val="0"/>
              <w:marBottom w:val="0"/>
              <w:divBdr>
                <w:top w:val="none" w:sz="0" w:space="0" w:color="auto"/>
                <w:left w:val="none" w:sz="0" w:space="0" w:color="auto"/>
                <w:bottom w:val="none" w:sz="0" w:space="0" w:color="auto"/>
                <w:right w:val="none" w:sz="0" w:space="0" w:color="auto"/>
              </w:divBdr>
            </w:div>
            <w:div w:id="1757049242">
              <w:marLeft w:val="0"/>
              <w:marRight w:val="0"/>
              <w:marTop w:val="0"/>
              <w:marBottom w:val="0"/>
              <w:divBdr>
                <w:top w:val="none" w:sz="0" w:space="0" w:color="auto"/>
                <w:left w:val="none" w:sz="0" w:space="0" w:color="auto"/>
                <w:bottom w:val="none" w:sz="0" w:space="0" w:color="auto"/>
                <w:right w:val="none" w:sz="0" w:space="0" w:color="auto"/>
              </w:divBdr>
            </w:div>
          </w:divsChild>
        </w:div>
        <w:div w:id="413010660">
          <w:marLeft w:val="0"/>
          <w:marRight w:val="0"/>
          <w:marTop w:val="0"/>
          <w:marBottom w:val="0"/>
          <w:divBdr>
            <w:top w:val="none" w:sz="0" w:space="0" w:color="auto"/>
            <w:left w:val="none" w:sz="0" w:space="0" w:color="auto"/>
            <w:bottom w:val="none" w:sz="0" w:space="0" w:color="auto"/>
            <w:right w:val="none" w:sz="0" w:space="0" w:color="auto"/>
          </w:divBdr>
        </w:div>
        <w:div w:id="415051891">
          <w:marLeft w:val="0"/>
          <w:marRight w:val="0"/>
          <w:marTop w:val="0"/>
          <w:marBottom w:val="0"/>
          <w:divBdr>
            <w:top w:val="none" w:sz="0" w:space="0" w:color="auto"/>
            <w:left w:val="none" w:sz="0" w:space="0" w:color="auto"/>
            <w:bottom w:val="none" w:sz="0" w:space="0" w:color="auto"/>
            <w:right w:val="none" w:sz="0" w:space="0" w:color="auto"/>
          </w:divBdr>
        </w:div>
        <w:div w:id="423691028">
          <w:marLeft w:val="0"/>
          <w:marRight w:val="0"/>
          <w:marTop w:val="0"/>
          <w:marBottom w:val="0"/>
          <w:divBdr>
            <w:top w:val="none" w:sz="0" w:space="0" w:color="auto"/>
            <w:left w:val="none" w:sz="0" w:space="0" w:color="auto"/>
            <w:bottom w:val="none" w:sz="0" w:space="0" w:color="auto"/>
            <w:right w:val="none" w:sz="0" w:space="0" w:color="auto"/>
          </w:divBdr>
        </w:div>
        <w:div w:id="431557727">
          <w:marLeft w:val="0"/>
          <w:marRight w:val="0"/>
          <w:marTop w:val="0"/>
          <w:marBottom w:val="0"/>
          <w:divBdr>
            <w:top w:val="none" w:sz="0" w:space="0" w:color="auto"/>
            <w:left w:val="none" w:sz="0" w:space="0" w:color="auto"/>
            <w:bottom w:val="none" w:sz="0" w:space="0" w:color="auto"/>
            <w:right w:val="none" w:sz="0" w:space="0" w:color="auto"/>
          </w:divBdr>
        </w:div>
        <w:div w:id="452095112">
          <w:marLeft w:val="0"/>
          <w:marRight w:val="0"/>
          <w:marTop w:val="0"/>
          <w:marBottom w:val="0"/>
          <w:divBdr>
            <w:top w:val="none" w:sz="0" w:space="0" w:color="auto"/>
            <w:left w:val="none" w:sz="0" w:space="0" w:color="auto"/>
            <w:bottom w:val="none" w:sz="0" w:space="0" w:color="auto"/>
            <w:right w:val="none" w:sz="0" w:space="0" w:color="auto"/>
          </w:divBdr>
        </w:div>
        <w:div w:id="457842505">
          <w:marLeft w:val="0"/>
          <w:marRight w:val="0"/>
          <w:marTop w:val="0"/>
          <w:marBottom w:val="0"/>
          <w:divBdr>
            <w:top w:val="none" w:sz="0" w:space="0" w:color="auto"/>
            <w:left w:val="none" w:sz="0" w:space="0" w:color="auto"/>
            <w:bottom w:val="none" w:sz="0" w:space="0" w:color="auto"/>
            <w:right w:val="none" w:sz="0" w:space="0" w:color="auto"/>
          </w:divBdr>
        </w:div>
        <w:div w:id="471138874">
          <w:marLeft w:val="0"/>
          <w:marRight w:val="0"/>
          <w:marTop w:val="0"/>
          <w:marBottom w:val="0"/>
          <w:divBdr>
            <w:top w:val="none" w:sz="0" w:space="0" w:color="auto"/>
            <w:left w:val="none" w:sz="0" w:space="0" w:color="auto"/>
            <w:bottom w:val="none" w:sz="0" w:space="0" w:color="auto"/>
            <w:right w:val="none" w:sz="0" w:space="0" w:color="auto"/>
          </w:divBdr>
        </w:div>
        <w:div w:id="480733173">
          <w:marLeft w:val="0"/>
          <w:marRight w:val="0"/>
          <w:marTop w:val="0"/>
          <w:marBottom w:val="0"/>
          <w:divBdr>
            <w:top w:val="none" w:sz="0" w:space="0" w:color="auto"/>
            <w:left w:val="none" w:sz="0" w:space="0" w:color="auto"/>
            <w:bottom w:val="none" w:sz="0" w:space="0" w:color="auto"/>
            <w:right w:val="none" w:sz="0" w:space="0" w:color="auto"/>
          </w:divBdr>
        </w:div>
        <w:div w:id="486482495">
          <w:marLeft w:val="0"/>
          <w:marRight w:val="0"/>
          <w:marTop w:val="0"/>
          <w:marBottom w:val="0"/>
          <w:divBdr>
            <w:top w:val="none" w:sz="0" w:space="0" w:color="auto"/>
            <w:left w:val="none" w:sz="0" w:space="0" w:color="auto"/>
            <w:bottom w:val="none" w:sz="0" w:space="0" w:color="auto"/>
            <w:right w:val="none" w:sz="0" w:space="0" w:color="auto"/>
          </w:divBdr>
        </w:div>
        <w:div w:id="493841048">
          <w:marLeft w:val="0"/>
          <w:marRight w:val="0"/>
          <w:marTop w:val="0"/>
          <w:marBottom w:val="0"/>
          <w:divBdr>
            <w:top w:val="none" w:sz="0" w:space="0" w:color="auto"/>
            <w:left w:val="none" w:sz="0" w:space="0" w:color="auto"/>
            <w:bottom w:val="none" w:sz="0" w:space="0" w:color="auto"/>
            <w:right w:val="none" w:sz="0" w:space="0" w:color="auto"/>
          </w:divBdr>
          <w:divsChild>
            <w:div w:id="169226026">
              <w:marLeft w:val="0"/>
              <w:marRight w:val="0"/>
              <w:marTop w:val="0"/>
              <w:marBottom w:val="0"/>
              <w:divBdr>
                <w:top w:val="none" w:sz="0" w:space="0" w:color="auto"/>
                <w:left w:val="none" w:sz="0" w:space="0" w:color="auto"/>
                <w:bottom w:val="none" w:sz="0" w:space="0" w:color="auto"/>
                <w:right w:val="none" w:sz="0" w:space="0" w:color="auto"/>
              </w:divBdr>
            </w:div>
            <w:div w:id="275672503">
              <w:marLeft w:val="0"/>
              <w:marRight w:val="0"/>
              <w:marTop w:val="0"/>
              <w:marBottom w:val="0"/>
              <w:divBdr>
                <w:top w:val="none" w:sz="0" w:space="0" w:color="auto"/>
                <w:left w:val="none" w:sz="0" w:space="0" w:color="auto"/>
                <w:bottom w:val="none" w:sz="0" w:space="0" w:color="auto"/>
                <w:right w:val="none" w:sz="0" w:space="0" w:color="auto"/>
              </w:divBdr>
            </w:div>
            <w:div w:id="370573145">
              <w:marLeft w:val="0"/>
              <w:marRight w:val="0"/>
              <w:marTop w:val="0"/>
              <w:marBottom w:val="0"/>
              <w:divBdr>
                <w:top w:val="none" w:sz="0" w:space="0" w:color="auto"/>
                <w:left w:val="none" w:sz="0" w:space="0" w:color="auto"/>
                <w:bottom w:val="none" w:sz="0" w:space="0" w:color="auto"/>
                <w:right w:val="none" w:sz="0" w:space="0" w:color="auto"/>
              </w:divBdr>
            </w:div>
            <w:div w:id="900823441">
              <w:marLeft w:val="0"/>
              <w:marRight w:val="0"/>
              <w:marTop w:val="0"/>
              <w:marBottom w:val="0"/>
              <w:divBdr>
                <w:top w:val="none" w:sz="0" w:space="0" w:color="auto"/>
                <w:left w:val="none" w:sz="0" w:space="0" w:color="auto"/>
                <w:bottom w:val="none" w:sz="0" w:space="0" w:color="auto"/>
                <w:right w:val="none" w:sz="0" w:space="0" w:color="auto"/>
              </w:divBdr>
            </w:div>
            <w:div w:id="942300175">
              <w:marLeft w:val="0"/>
              <w:marRight w:val="0"/>
              <w:marTop w:val="0"/>
              <w:marBottom w:val="0"/>
              <w:divBdr>
                <w:top w:val="none" w:sz="0" w:space="0" w:color="auto"/>
                <w:left w:val="none" w:sz="0" w:space="0" w:color="auto"/>
                <w:bottom w:val="none" w:sz="0" w:space="0" w:color="auto"/>
                <w:right w:val="none" w:sz="0" w:space="0" w:color="auto"/>
              </w:divBdr>
            </w:div>
            <w:div w:id="1123304958">
              <w:marLeft w:val="0"/>
              <w:marRight w:val="0"/>
              <w:marTop w:val="0"/>
              <w:marBottom w:val="0"/>
              <w:divBdr>
                <w:top w:val="none" w:sz="0" w:space="0" w:color="auto"/>
                <w:left w:val="none" w:sz="0" w:space="0" w:color="auto"/>
                <w:bottom w:val="none" w:sz="0" w:space="0" w:color="auto"/>
                <w:right w:val="none" w:sz="0" w:space="0" w:color="auto"/>
              </w:divBdr>
            </w:div>
            <w:div w:id="1165436309">
              <w:marLeft w:val="0"/>
              <w:marRight w:val="0"/>
              <w:marTop w:val="0"/>
              <w:marBottom w:val="0"/>
              <w:divBdr>
                <w:top w:val="none" w:sz="0" w:space="0" w:color="auto"/>
                <w:left w:val="none" w:sz="0" w:space="0" w:color="auto"/>
                <w:bottom w:val="none" w:sz="0" w:space="0" w:color="auto"/>
                <w:right w:val="none" w:sz="0" w:space="0" w:color="auto"/>
              </w:divBdr>
            </w:div>
            <w:div w:id="1272469766">
              <w:marLeft w:val="0"/>
              <w:marRight w:val="0"/>
              <w:marTop w:val="0"/>
              <w:marBottom w:val="0"/>
              <w:divBdr>
                <w:top w:val="none" w:sz="0" w:space="0" w:color="auto"/>
                <w:left w:val="none" w:sz="0" w:space="0" w:color="auto"/>
                <w:bottom w:val="none" w:sz="0" w:space="0" w:color="auto"/>
                <w:right w:val="none" w:sz="0" w:space="0" w:color="auto"/>
              </w:divBdr>
            </w:div>
            <w:div w:id="1387678848">
              <w:marLeft w:val="0"/>
              <w:marRight w:val="0"/>
              <w:marTop w:val="0"/>
              <w:marBottom w:val="0"/>
              <w:divBdr>
                <w:top w:val="none" w:sz="0" w:space="0" w:color="auto"/>
                <w:left w:val="none" w:sz="0" w:space="0" w:color="auto"/>
                <w:bottom w:val="none" w:sz="0" w:space="0" w:color="auto"/>
                <w:right w:val="none" w:sz="0" w:space="0" w:color="auto"/>
              </w:divBdr>
            </w:div>
            <w:div w:id="1469202522">
              <w:marLeft w:val="0"/>
              <w:marRight w:val="0"/>
              <w:marTop w:val="0"/>
              <w:marBottom w:val="0"/>
              <w:divBdr>
                <w:top w:val="none" w:sz="0" w:space="0" w:color="auto"/>
                <w:left w:val="none" w:sz="0" w:space="0" w:color="auto"/>
                <w:bottom w:val="none" w:sz="0" w:space="0" w:color="auto"/>
                <w:right w:val="none" w:sz="0" w:space="0" w:color="auto"/>
              </w:divBdr>
            </w:div>
            <w:div w:id="1488739621">
              <w:marLeft w:val="0"/>
              <w:marRight w:val="0"/>
              <w:marTop w:val="0"/>
              <w:marBottom w:val="0"/>
              <w:divBdr>
                <w:top w:val="none" w:sz="0" w:space="0" w:color="auto"/>
                <w:left w:val="none" w:sz="0" w:space="0" w:color="auto"/>
                <w:bottom w:val="none" w:sz="0" w:space="0" w:color="auto"/>
                <w:right w:val="none" w:sz="0" w:space="0" w:color="auto"/>
              </w:divBdr>
            </w:div>
            <w:div w:id="1596132359">
              <w:marLeft w:val="0"/>
              <w:marRight w:val="0"/>
              <w:marTop w:val="0"/>
              <w:marBottom w:val="0"/>
              <w:divBdr>
                <w:top w:val="none" w:sz="0" w:space="0" w:color="auto"/>
                <w:left w:val="none" w:sz="0" w:space="0" w:color="auto"/>
                <w:bottom w:val="none" w:sz="0" w:space="0" w:color="auto"/>
                <w:right w:val="none" w:sz="0" w:space="0" w:color="auto"/>
              </w:divBdr>
            </w:div>
            <w:div w:id="1616980999">
              <w:marLeft w:val="0"/>
              <w:marRight w:val="0"/>
              <w:marTop w:val="0"/>
              <w:marBottom w:val="0"/>
              <w:divBdr>
                <w:top w:val="none" w:sz="0" w:space="0" w:color="auto"/>
                <w:left w:val="none" w:sz="0" w:space="0" w:color="auto"/>
                <w:bottom w:val="none" w:sz="0" w:space="0" w:color="auto"/>
                <w:right w:val="none" w:sz="0" w:space="0" w:color="auto"/>
              </w:divBdr>
            </w:div>
            <w:div w:id="1668941097">
              <w:marLeft w:val="0"/>
              <w:marRight w:val="0"/>
              <w:marTop w:val="0"/>
              <w:marBottom w:val="0"/>
              <w:divBdr>
                <w:top w:val="none" w:sz="0" w:space="0" w:color="auto"/>
                <w:left w:val="none" w:sz="0" w:space="0" w:color="auto"/>
                <w:bottom w:val="none" w:sz="0" w:space="0" w:color="auto"/>
                <w:right w:val="none" w:sz="0" w:space="0" w:color="auto"/>
              </w:divBdr>
            </w:div>
            <w:div w:id="1707751686">
              <w:marLeft w:val="0"/>
              <w:marRight w:val="0"/>
              <w:marTop w:val="0"/>
              <w:marBottom w:val="0"/>
              <w:divBdr>
                <w:top w:val="none" w:sz="0" w:space="0" w:color="auto"/>
                <w:left w:val="none" w:sz="0" w:space="0" w:color="auto"/>
                <w:bottom w:val="none" w:sz="0" w:space="0" w:color="auto"/>
                <w:right w:val="none" w:sz="0" w:space="0" w:color="auto"/>
              </w:divBdr>
            </w:div>
            <w:div w:id="1710564463">
              <w:marLeft w:val="0"/>
              <w:marRight w:val="0"/>
              <w:marTop w:val="0"/>
              <w:marBottom w:val="0"/>
              <w:divBdr>
                <w:top w:val="none" w:sz="0" w:space="0" w:color="auto"/>
                <w:left w:val="none" w:sz="0" w:space="0" w:color="auto"/>
                <w:bottom w:val="none" w:sz="0" w:space="0" w:color="auto"/>
                <w:right w:val="none" w:sz="0" w:space="0" w:color="auto"/>
              </w:divBdr>
            </w:div>
            <w:div w:id="1778790873">
              <w:marLeft w:val="0"/>
              <w:marRight w:val="0"/>
              <w:marTop w:val="0"/>
              <w:marBottom w:val="0"/>
              <w:divBdr>
                <w:top w:val="none" w:sz="0" w:space="0" w:color="auto"/>
                <w:left w:val="none" w:sz="0" w:space="0" w:color="auto"/>
                <w:bottom w:val="none" w:sz="0" w:space="0" w:color="auto"/>
                <w:right w:val="none" w:sz="0" w:space="0" w:color="auto"/>
              </w:divBdr>
            </w:div>
            <w:div w:id="1794057625">
              <w:marLeft w:val="0"/>
              <w:marRight w:val="0"/>
              <w:marTop w:val="0"/>
              <w:marBottom w:val="0"/>
              <w:divBdr>
                <w:top w:val="none" w:sz="0" w:space="0" w:color="auto"/>
                <w:left w:val="none" w:sz="0" w:space="0" w:color="auto"/>
                <w:bottom w:val="none" w:sz="0" w:space="0" w:color="auto"/>
                <w:right w:val="none" w:sz="0" w:space="0" w:color="auto"/>
              </w:divBdr>
            </w:div>
            <w:div w:id="1841004261">
              <w:marLeft w:val="0"/>
              <w:marRight w:val="0"/>
              <w:marTop w:val="0"/>
              <w:marBottom w:val="0"/>
              <w:divBdr>
                <w:top w:val="none" w:sz="0" w:space="0" w:color="auto"/>
                <w:left w:val="none" w:sz="0" w:space="0" w:color="auto"/>
                <w:bottom w:val="none" w:sz="0" w:space="0" w:color="auto"/>
                <w:right w:val="none" w:sz="0" w:space="0" w:color="auto"/>
              </w:divBdr>
            </w:div>
            <w:div w:id="1851673291">
              <w:marLeft w:val="0"/>
              <w:marRight w:val="0"/>
              <w:marTop w:val="0"/>
              <w:marBottom w:val="0"/>
              <w:divBdr>
                <w:top w:val="none" w:sz="0" w:space="0" w:color="auto"/>
                <w:left w:val="none" w:sz="0" w:space="0" w:color="auto"/>
                <w:bottom w:val="none" w:sz="0" w:space="0" w:color="auto"/>
                <w:right w:val="none" w:sz="0" w:space="0" w:color="auto"/>
              </w:divBdr>
            </w:div>
          </w:divsChild>
        </w:div>
        <w:div w:id="494688851">
          <w:marLeft w:val="0"/>
          <w:marRight w:val="0"/>
          <w:marTop w:val="0"/>
          <w:marBottom w:val="0"/>
          <w:divBdr>
            <w:top w:val="none" w:sz="0" w:space="0" w:color="auto"/>
            <w:left w:val="none" w:sz="0" w:space="0" w:color="auto"/>
            <w:bottom w:val="none" w:sz="0" w:space="0" w:color="auto"/>
            <w:right w:val="none" w:sz="0" w:space="0" w:color="auto"/>
          </w:divBdr>
        </w:div>
        <w:div w:id="494732579">
          <w:marLeft w:val="0"/>
          <w:marRight w:val="0"/>
          <w:marTop w:val="0"/>
          <w:marBottom w:val="0"/>
          <w:divBdr>
            <w:top w:val="none" w:sz="0" w:space="0" w:color="auto"/>
            <w:left w:val="none" w:sz="0" w:space="0" w:color="auto"/>
            <w:bottom w:val="none" w:sz="0" w:space="0" w:color="auto"/>
            <w:right w:val="none" w:sz="0" w:space="0" w:color="auto"/>
          </w:divBdr>
        </w:div>
        <w:div w:id="510264991">
          <w:marLeft w:val="0"/>
          <w:marRight w:val="0"/>
          <w:marTop w:val="0"/>
          <w:marBottom w:val="0"/>
          <w:divBdr>
            <w:top w:val="none" w:sz="0" w:space="0" w:color="auto"/>
            <w:left w:val="none" w:sz="0" w:space="0" w:color="auto"/>
            <w:bottom w:val="none" w:sz="0" w:space="0" w:color="auto"/>
            <w:right w:val="none" w:sz="0" w:space="0" w:color="auto"/>
          </w:divBdr>
        </w:div>
        <w:div w:id="523134212">
          <w:marLeft w:val="0"/>
          <w:marRight w:val="0"/>
          <w:marTop w:val="0"/>
          <w:marBottom w:val="0"/>
          <w:divBdr>
            <w:top w:val="none" w:sz="0" w:space="0" w:color="auto"/>
            <w:left w:val="none" w:sz="0" w:space="0" w:color="auto"/>
            <w:bottom w:val="none" w:sz="0" w:space="0" w:color="auto"/>
            <w:right w:val="none" w:sz="0" w:space="0" w:color="auto"/>
          </w:divBdr>
        </w:div>
        <w:div w:id="538128397">
          <w:marLeft w:val="0"/>
          <w:marRight w:val="0"/>
          <w:marTop w:val="0"/>
          <w:marBottom w:val="0"/>
          <w:divBdr>
            <w:top w:val="none" w:sz="0" w:space="0" w:color="auto"/>
            <w:left w:val="none" w:sz="0" w:space="0" w:color="auto"/>
            <w:bottom w:val="none" w:sz="0" w:space="0" w:color="auto"/>
            <w:right w:val="none" w:sz="0" w:space="0" w:color="auto"/>
          </w:divBdr>
        </w:div>
        <w:div w:id="541405244">
          <w:marLeft w:val="0"/>
          <w:marRight w:val="0"/>
          <w:marTop w:val="0"/>
          <w:marBottom w:val="0"/>
          <w:divBdr>
            <w:top w:val="none" w:sz="0" w:space="0" w:color="auto"/>
            <w:left w:val="none" w:sz="0" w:space="0" w:color="auto"/>
            <w:bottom w:val="none" w:sz="0" w:space="0" w:color="auto"/>
            <w:right w:val="none" w:sz="0" w:space="0" w:color="auto"/>
          </w:divBdr>
        </w:div>
        <w:div w:id="547179804">
          <w:marLeft w:val="0"/>
          <w:marRight w:val="0"/>
          <w:marTop w:val="0"/>
          <w:marBottom w:val="0"/>
          <w:divBdr>
            <w:top w:val="none" w:sz="0" w:space="0" w:color="auto"/>
            <w:left w:val="none" w:sz="0" w:space="0" w:color="auto"/>
            <w:bottom w:val="none" w:sz="0" w:space="0" w:color="auto"/>
            <w:right w:val="none" w:sz="0" w:space="0" w:color="auto"/>
          </w:divBdr>
        </w:div>
        <w:div w:id="563033449">
          <w:marLeft w:val="0"/>
          <w:marRight w:val="0"/>
          <w:marTop w:val="0"/>
          <w:marBottom w:val="0"/>
          <w:divBdr>
            <w:top w:val="none" w:sz="0" w:space="0" w:color="auto"/>
            <w:left w:val="none" w:sz="0" w:space="0" w:color="auto"/>
            <w:bottom w:val="none" w:sz="0" w:space="0" w:color="auto"/>
            <w:right w:val="none" w:sz="0" w:space="0" w:color="auto"/>
          </w:divBdr>
        </w:div>
        <w:div w:id="567569255">
          <w:marLeft w:val="0"/>
          <w:marRight w:val="0"/>
          <w:marTop w:val="0"/>
          <w:marBottom w:val="0"/>
          <w:divBdr>
            <w:top w:val="none" w:sz="0" w:space="0" w:color="auto"/>
            <w:left w:val="none" w:sz="0" w:space="0" w:color="auto"/>
            <w:bottom w:val="none" w:sz="0" w:space="0" w:color="auto"/>
            <w:right w:val="none" w:sz="0" w:space="0" w:color="auto"/>
          </w:divBdr>
        </w:div>
        <w:div w:id="571165340">
          <w:marLeft w:val="0"/>
          <w:marRight w:val="0"/>
          <w:marTop w:val="0"/>
          <w:marBottom w:val="0"/>
          <w:divBdr>
            <w:top w:val="none" w:sz="0" w:space="0" w:color="auto"/>
            <w:left w:val="none" w:sz="0" w:space="0" w:color="auto"/>
            <w:bottom w:val="none" w:sz="0" w:space="0" w:color="auto"/>
            <w:right w:val="none" w:sz="0" w:space="0" w:color="auto"/>
          </w:divBdr>
        </w:div>
        <w:div w:id="583495789">
          <w:marLeft w:val="0"/>
          <w:marRight w:val="0"/>
          <w:marTop w:val="0"/>
          <w:marBottom w:val="0"/>
          <w:divBdr>
            <w:top w:val="none" w:sz="0" w:space="0" w:color="auto"/>
            <w:left w:val="none" w:sz="0" w:space="0" w:color="auto"/>
            <w:bottom w:val="none" w:sz="0" w:space="0" w:color="auto"/>
            <w:right w:val="none" w:sz="0" w:space="0" w:color="auto"/>
          </w:divBdr>
        </w:div>
        <w:div w:id="583606717">
          <w:marLeft w:val="0"/>
          <w:marRight w:val="0"/>
          <w:marTop w:val="0"/>
          <w:marBottom w:val="0"/>
          <w:divBdr>
            <w:top w:val="none" w:sz="0" w:space="0" w:color="auto"/>
            <w:left w:val="none" w:sz="0" w:space="0" w:color="auto"/>
            <w:bottom w:val="none" w:sz="0" w:space="0" w:color="auto"/>
            <w:right w:val="none" w:sz="0" w:space="0" w:color="auto"/>
          </w:divBdr>
        </w:div>
        <w:div w:id="586689757">
          <w:marLeft w:val="0"/>
          <w:marRight w:val="0"/>
          <w:marTop w:val="0"/>
          <w:marBottom w:val="0"/>
          <w:divBdr>
            <w:top w:val="none" w:sz="0" w:space="0" w:color="auto"/>
            <w:left w:val="none" w:sz="0" w:space="0" w:color="auto"/>
            <w:bottom w:val="none" w:sz="0" w:space="0" w:color="auto"/>
            <w:right w:val="none" w:sz="0" w:space="0" w:color="auto"/>
          </w:divBdr>
        </w:div>
        <w:div w:id="597983111">
          <w:marLeft w:val="0"/>
          <w:marRight w:val="0"/>
          <w:marTop w:val="0"/>
          <w:marBottom w:val="0"/>
          <w:divBdr>
            <w:top w:val="none" w:sz="0" w:space="0" w:color="auto"/>
            <w:left w:val="none" w:sz="0" w:space="0" w:color="auto"/>
            <w:bottom w:val="none" w:sz="0" w:space="0" w:color="auto"/>
            <w:right w:val="none" w:sz="0" w:space="0" w:color="auto"/>
          </w:divBdr>
        </w:div>
        <w:div w:id="611940775">
          <w:marLeft w:val="0"/>
          <w:marRight w:val="0"/>
          <w:marTop w:val="0"/>
          <w:marBottom w:val="0"/>
          <w:divBdr>
            <w:top w:val="none" w:sz="0" w:space="0" w:color="auto"/>
            <w:left w:val="none" w:sz="0" w:space="0" w:color="auto"/>
            <w:bottom w:val="none" w:sz="0" w:space="0" w:color="auto"/>
            <w:right w:val="none" w:sz="0" w:space="0" w:color="auto"/>
          </w:divBdr>
        </w:div>
        <w:div w:id="623467927">
          <w:marLeft w:val="0"/>
          <w:marRight w:val="0"/>
          <w:marTop w:val="0"/>
          <w:marBottom w:val="0"/>
          <w:divBdr>
            <w:top w:val="none" w:sz="0" w:space="0" w:color="auto"/>
            <w:left w:val="none" w:sz="0" w:space="0" w:color="auto"/>
            <w:bottom w:val="none" w:sz="0" w:space="0" w:color="auto"/>
            <w:right w:val="none" w:sz="0" w:space="0" w:color="auto"/>
          </w:divBdr>
        </w:div>
        <w:div w:id="641930830">
          <w:marLeft w:val="0"/>
          <w:marRight w:val="0"/>
          <w:marTop w:val="0"/>
          <w:marBottom w:val="0"/>
          <w:divBdr>
            <w:top w:val="none" w:sz="0" w:space="0" w:color="auto"/>
            <w:left w:val="none" w:sz="0" w:space="0" w:color="auto"/>
            <w:bottom w:val="none" w:sz="0" w:space="0" w:color="auto"/>
            <w:right w:val="none" w:sz="0" w:space="0" w:color="auto"/>
          </w:divBdr>
        </w:div>
        <w:div w:id="656880145">
          <w:marLeft w:val="0"/>
          <w:marRight w:val="0"/>
          <w:marTop w:val="0"/>
          <w:marBottom w:val="0"/>
          <w:divBdr>
            <w:top w:val="none" w:sz="0" w:space="0" w:color="auto"/>
            <w:left w:val="none" w:sz="0" w:space="0" w:color="auto"/>
            <w:bottom w:val="none" w:sz="0" w:space="0" w:color="auto"/>
            <w:right w:val="none" w:sz="0" w:space="0" w:color="auto"/>
          </w:divBdr>
        </w:div>
        <w:div w:id="657654103">
          <w:marLeft w:val="0"/>
          <w:marRight w:val="0"/>
          <w:marTop w:val="0"/>
          <w:marBottom w:val="0"/>
          <w:divBdr>
            <w:top w:val="none" w:sz="0" w:space="0" w:color="auto"/>
            <w:left w:val="none" w:sz="0" w:space="0" w:color="auto"/>
            <w:bottom w:val="none" w:sz="0" w:space="0" w:color="auto"/>
            <w:right w:val="none" w:sz="0" w:space="0" w:color="auto"/>
          </w:divBdr>
        </w:div>
        <w:div w:id="694425488">
          <w:marLeft w:val="0"/>
          <w:marRight w:val="0"/>
          <w:marTop w:val="0"/>
          <w:marBottom w:val="0"/>
          <w:divBdr>
            <w:top w:val="none" w:sz="0" w:space="0" w:color="auto"/>
            <w:left w:val="none" w:sz="0" w:space="0" w:color="auto"/>
            <w:bottom w:val="none" w:sz="0" w:space="0" w:color="auto"/>
            <w:right w:val="none" w:sz="0" w:space="0" w:color="auto"/>
          </w:divBdr>
        </w:div>
        <w:div w:id="709913833">
          <w:marLeft w:val="0"/>
          <w:marRight w:val="0"/>
          <w:marTop w:val="0"/>
          <w:marBottom w:val="0"/>
          <w:divBdr>
            <w:top w:val="none" w:sz="0" w:space="0" w:color="auto"/>
            <w:left w:val="none" w:sz="0" w:space="0" w:color="auto"/>
            <w:bottom w:val="none" w:sz="0" w:space="0" w:color="auto"/>
            <w:right w:val="none" w:sz="0" w:space="0" w:color="auto"/>
          </w:divBdr>
          <w:divsChild>
            <w:div w:id="26415232">
              <w:marLeft w:val="0"/>
              <w:marRight w:val="0"/>
              <w:marTop w:val="0"/>
              <w:marBottom w:val="0"/>
              <w:divBdr>
                <w:top w:val="none" w:sz="0" w:space="0" w:color="auto"/>
                <w:left w:val="none" w:sz="0" w:space="0" w:color="auto"/>
                <w:bottom w:val="none" w:sz="0" w:space="0" w:color="auto"/>
                <w:right w:val="none" w:sz="0" w:space="0" w:color="auto"/>
              </w:divBdr>
            </w:div>
            <w:div w:id="74322586">
              <w:marLeft w:val="0"/>
              <w:marRight w:val="0"/>
              <w:marTop w:val="0"/>
              <w:marBottom w:val="0"/>
              <w:divBdr>
                <w:top w:val="none" w:sz="0" w:space="0" w:color="auto"/>
                <w:left w:val="none" w:sz="0" w:space="0" w:color="auto"/>
                <w:bottom w:val="none" w:sz="0" w:space="0" w:color="auto"/>
                <w:right w:val="none" w:sz="0" w:space="0" w:color="auto"/>
              </w:divBdr>
            </w:div>
            <w:div w:id="99105330">
              <w:marLeft w:val="0"/>
              <w:marRight w:val="0"/>
              <w:marTop w:val="0"/>
              <w:marBottom w:val="0"/>
              <w:divBdr>
                <w:top w:val="none" w:sz="0" w:space="0" w:color="auto"/>
                <w:left w:val="none" w:sz="0" w:space="0" w:color="auto"/>
                <w:bottom w:val="none" w:sz="0" w:space="0" w:color="auto"/>
                <w:right w:val="none" w:sz="0" w:space="0" w:color="auto"/>
              </w:divBdr>
            </w:div>
            <w:div w:id="115219513">
              <w:marLeft w:val="0"/>
              <w:marRight w:val="0"/>
              <w:marTop w:val="0"/>
              <w:marBottom w:val="0"/>
              <w:divBdr>
                <w:top w:val="none" w:sz="0" w:space="0" w:color="auto"/>
                <w:left w:val="none" w:sz="0" w:space="0" w:color="auto"/>
                <w:bottom w:val="none" w:sz="0" w:space="0" w:color="auto"/>
                <w:right w:val="none" w:sz="0" w:space="0" w:color="auto"/>
              </w:divBdr>
            </w:div>
            <w:div w:id="291791592">
              <w:marLeft w:val="0"/>
              <w:marRight w:val="0"/>
              <w:marTop w:val="0"/>
              <w:marBottom w:val="0"/>
              <w:divBdr>
                <w:top w:val="none" w:sz="0" w:space="0" w:color="auto"/>
                <w:left w:val="none" w:sz="0" w:space="0" w:color="auto"/>
                <w:bottom w:val="none" w:sz="0" w:space="0" w:color="auto"/>
                <w:right w:val="none" w:sz="0" w:space="0" w:color="auto"/>
              </w:divBdr>
            </w:div>
            <w:div w:id="296181997">
              <w:marLeft w:val="0"/>
              <w:marRight w:val="0"/>
              <w:marTop w:val="0"/>
              <w:marBottom w:val="0"/>
              <w:divBdr>
                <w:top w:val="none" w:sz="0" w:space="0" w:color="auto"/>
                <w:left w:val="none" w:sz="0" w:space="0" w:color="auto"/>
                <w:bottom w:val="none" w:sz="0" w:space="0" w:color="auto"/>
                <w:right w:val="none" w:sz="0" w:space="0" w:color="auto"/>
              </w:divBdr>
            </w:div>
            <w:div w:id="597520651">
              <w:marLeft w:val="0"/>
              <w:marRight w:val="0"/>
              <w:marTop w:val="0"/>
              <w:marBottom w:val="0"/>
              <w:divBdr>
                <w:top w:val="none" w:sz="0" w:space="0" w:color="auto"/>
                <w:left w:val="none" w:sz="0" w:space="0" w:color="auto"/>
                <w:bottom w:val="none" w:sz="0" w:space="0" w:color="auto"/>
                <w:right w:val="none" w:sz="0" w:space="0" w:color="auto"/>
              </w:divBdr>
            </w:div>
            <w:div w:id="664478255">
              <w:marLeft w:val="0"/>
              <w:marRight w:val="0"/>
              <w:marTop w:val="0"/>
              <w:marBottom w:val="0"/>
              <w:divBdr>
                <w:top w:val="none" w:sz="0" w:space="0" w:color="auto"/>
                <w:left w:val="none" w:sz="0" w:space="0" w:color="auto"/>
                <w:bottom w:val="none" w:sz="0" w:space="0" w:color="auto"/>
                <w:right w:val="none" w:sz="0" w:space="0" w:color="auto"/>
              </w:divBdr>
            </w:div>
            <w:div w:id="702091662">
              <w:marLeft w:val="0"/>
              <w:marRight w:val="0"/>
              <w:marTop w:val="0"/>
              <w:marBottom w:val="0"/>
              <w:divBdr>
                <w:top w:val="none" w:sz="0" w:space="0" w:color="auto"/>
                <w:left w:val="none" w:sz="0" w:space="0" w:color="auto"/>
                <w:bottom w:val="none" w:sz="0" w:space="0" w:color="auto"/>
                <w:right w:val="none" w:sz="0" w:space="0" w:color="auto"/>
              </w:divBdr>
            </w:div>
            <w:div w:id="972448898">
              <w:marLeft w:val="0"/>
              <w:marRight w:val="0"/>
              <w:marTop w:val="0"/>
              <w:marBottom w:val="0"/>
              <w:divBdr>
                <w:top w:val="none" w:sz="0" w:space="0" w:color="auto"/>
                <w:left w:val="none" w:sz="0" w:space="0" w:color="auto"/>
                <w:bottom w:val="none" w:sz="0" w:space="0" w:color="auto"/>
                <w:right w:val="none" w:sz="0" w:space="0" w:color="auto"/>
              </w:divBdr>
            </w:div>
            <w:div w:id="1207138697">
              <w:marLeft w:val="0"/>
              <w:marRight w:val="0"/>
              <w:marTop w:val="0"/>
              <w:marBottom w:val="0"/>
              <w:divBdr>
                <w:top w:val="none" w:sz="0" w:space="0" w:color="auto"/>
                <w:left w:val="none" w:sz="0" w:space="0" w:color="auto"/>
                <w:bottom w:val="none" w:sz="0" w:space="0" w:color="auto"/>
                <w:right w:val="none" w:sz="0" w:space="0" w:color="auto"/>
              </w:divBdr>
            </w:div>
            <w:div w:id="1258753379">
              <w:marLeft w:val="0"/>
              <w:marRight w:val="0"/>
              <w:marTop w:val="0"/>
              <w:marBottom w:val="0"/>
              <w:divBdr>
                <w:top w:val="none" w:sz="0" w:space="0" w:color="auto"/>
                <w:left w:val="none" w:sz="0" w:space="0" w:color="auto"/>
                <w:bottom w:val="none" w:sz="0" w:space="0" w:color="auto"/>
                <w:right w:val="none" w:sz="0" w:space="0" w:color="auto"/>
              </w:divBdr>
            </w:div>
            <w:div w:id="1335567248">
              <w:marLeft w:val="0"/>
              <w:marRight w:val="0"/>
              <w:marTop w:val="0"/>
              <w:marBottom w:val="0"/>
              <w:divBdr>
                <w:top w:val="none" w:sz="0" w:space="0" w:color="auto"/>
                <w:left w:val="none" w:sz="0" w:space="0" w:color="auto"/>
                <w:bottom w:val="none" w:sz="0" w:space="0" w:color="auto"/>
                <w:right w:val="none" w:sz="0" w:space="0" w:color="auto"/>
              </w:divBdr>
            </w:div>
            <w:div w:id="1358920675">
              <w:marLeft w:val="0"/>
              <w:marRight w:val="0"/>
              <w:marTop w:val="0"/>
              <w:marBottom w:val="0"/>
              <w:divBdr>
                <w:top w:val="none" w:sz="0" w:space="0" w:color="auto"/>
                <w:left w:val="none" w:sz="0" w:space="0" w:color="auto"/>
                <w:bottom w:val="none" w:sz="0" w:space="0" w:color="auto"/>
                <w:right w:val="none" w:sz="0" w:space="0" w:color="auto"/>
              </w:divBdr>
            </w:div>
            <w:div w:id="1447390767">
              <w:marLeft w:val="0"/>
              <w:marRight w:val="0"/>
              <w:marTop w:val="0"/>
              <w:marBottom w:val="0"/>
              <w:divBdr>
                <w:top w:val="none" w:sz="0" w:space="0" w:color="auto"/>
                <w:left w:val="none" w:sz="0" w:space="0" w:color="auto"/>
                <w:bottom w:val="none" w:sz="0" w:space="0" w:color="auto"/>
                <w:right w:val="none" w:sz="0" w:space="0" w:color="auto"/>
              </w:divBdr>
            </w:div>
            <w:div w:id="1521428676">
              <w:marLeft w:val="0"/>
              <w:marRight w:val="0"/>
              <w:marTop w:val="0"/>
              <w:marBottom w:val="0"/>
              <w:divBdr>
                <w:top w:val="none" w:sz="0" w:space="0" w:color="auto"/>
                <w:left w:val="none" w:sz="0" w:space="0" w:color="auto"/>
                <w:bottom w:val="none" w:sz="0" w:space="0" w:color="auto"/>
                <w:right w:val="none" w:sz="0" w:space="0" w:color="auto"/>
              </w:divBdr>
            </w:div>
            <w:div w:id="1918592270">
              <w:marLeft w:val="0"/>
              <w:marRight w:val="0"/>
              <w:marTop w:val="0"/>
              <w:marBottom w:val="0"/>
              <w:divBdr>
                <w:top w:val="none" w:sz="0" w:space="0" w:color="auto"/>
                <w:left w:val="none" w:sz="0" w:space="0" w:color="auto"/>
                <w:bottom w:val="none" w:sz="0" w:space="0" w:color="auto"/>
                <w:right w:val="none" w:sz="0" w:space="0" w:color="auto"/>
              </w:divBdr>
            </w:div>
            <w:div w:id="1945116638">
              <w:marLeft w:val="0"/>
              <w:marRight w:val="0"/>
              <w:marTop w:val="0"/>
              <w:marBottom w:val="0"/>
              <w:divBdr>
                <w:top w:val="none" w:sz="0" w:space="0" w:color="auto"/>
                <w:left w:val="none" w:sz="0" w:space="0" w:color="auto"/>
                <w:bottom w:val="none" w:sz="0" w:space="0" w:color="auto"/>
                <w:right w:val="none" w:sz="0" w:space="0" w:color="auto"/>
              </w:divBdr>
            </w:div>
            <w:div w:id="1999339336">
              <w:marLeft w:val="0"/>
              <w:marRight w:val="0"/>
              <w:marTop w:val="0"/>
              <w:marBottom w:val="0"/>
              <w:divBdr>
                <w:top w:val="none" w:sz="0" w:space="0" w:color="auto"/>
                <w:left w:val="none" w:sz="0" w:space="0" w:color="auto"/>
                <w:bottom w:val="none" w:sz="0" w:space="0" w:color="auto"/>
                <w:right w:val="none" w:sz="0" w:space="0" w:color="auto"/>
              </w:divBdr>
            </w:div>
            <w:div w:id="2115782593">
              <w:marLeft w:val="0"/>
              <w:marRight w:val="0"/>
              <w:marTop w:val="0"/>
              <w:marBottom w:val="0"/>
              <w:divBdr>
                <w:top w:val="none" w:sz="0" w:space="0" w:color="auto"/>
                <w:left w:val="none" w:sz="0" w:space="0" w:color="auto"/>
                <w:bottom w:val="none" w:sz="0" w:space="0" w:color="auto"/>
                <w:right w:val="none" w:sz="0" w:space="0" w:color="auto"/>
              </w:divBdr>
            </w:div>
          </w:divsChild>
        </w:div>
        <w:div w:id="727999462">
          <w:marLeft w:val="0"/>
          <w:marRight w:val="0"/>
          <w:marTop w:val="0"/>
          <w:marBottom w:val="0"/>
          <w:divBdr>
            <w:top w:val="none" w:sz="0" w:space="0" w:color="auto"/>
            <w:left w:val="none" w:sz="0" w:space="0" w:color="auto"/>
            <w:bottom w:val="none" w:sz="0" w:space="0" w:color="auto"/>
            <w:right w:val="none" w:sz="0" w:space="0" w:color="auto"/>
          </w:divBdr>
        </w:div>
        <w:div w:id="738480996">
          <w:marLeft w:val="0"/>
          <w:marRight w:val="0"/>
          <w:marTop w:val="0"/>
          <w:marBottom w:val="0"/>
          <w:divBdr>
            <w:top w:val="none" w:sz="0" w:space="0" w:color="auto"/>
            <w:left w:val="none" w:sz="0" w:space="0" w:color="auto"/>
            <w:bottom w:val="none" w:sz="0" w:space="0" w:color="auto"/>
            <w:right w:val="none" w:sz="0" w:space="0" w:color="auto"/>
          </w:divBdr>
        </w:div>
        <w:div w:id="741608471">
          <w:marLeft w:val="0"/>
          <w:marRight w:val="0"/>
          <w:marTop w:val="0"/>
          <w:marBottom w:val="0"/>
          <w:divBdr>
            <w:top w:val="none" w:sz="0" w:space="0" w:color="auto"/>
            <w:left w:val="none" w:sz="0" w:space="0" w:color="auto"/>
            <w:bottom w:val="none" w:sz="0" w:space="0" w:color="auto"/>
            <w:right w:val="none" w:sz="0" w:space="0" w:color="auto"/>
          </w:divBdr>
        </w:div>
        <w:div w:id="746809963">
          <w:marLeft w:val="0"/>
          <w:marRight w:val="0"/>
          <w:marTop w:val="0"/>
          <w:marBottom w:val="0"/>
          <w:divBdr>
            <w:top w:val="none" w:sz="0" w:space="0" w:color="auto"/>
            <w:left w:val="none" w:sz="0" w:space="0" w:color="auto"/>
            <w:bottom w:val="none" w:sz="0" w:space="0" w:color="auto"/>
            <w:right w:val="none" w:sz="0" w:space="0" w:color="auto"/>
          </w:divBdr>
        </w:div>
        <w:div w:id="764812452">
          <w:marLeft w:val="0"/>
          <w:marRight w:val="0"/>
          <w:marTop w:val="0"/>
          <w:marBottom w:val="0"/>
          <w:divBdr>
            <w:top w:val="none" w:sz="0" w:space="0" w:color="auto"/>
            <w:left w:val="none" w:sz="0" w:space="0" w:color="auto"/>
            <w:bottom w:val="none" w:sz="0" w:space="0" w:color="auto"/>
            <w:right w:val="none" w:sz="0" w:space="0" w:color="auto"/>
          </w:divBdr>
        </w:div>
        <w:div w:id="769551518">
          <w:marLeft w:val="0"/>
          <w:marRight w:val="0"/>
          <w:marTop w:val="0"/>
          <w:marBottom w:val="0"/>
          <w:divBdr>
            <w:top w:val="none" w:sz="0" w:space="0" w:color="auto"/>
            <w:left w:val="none" w:sz="0" w:space="0" w:color="auto"/>
            <w:bottom w:val="none" w:sz="0" w:space="0" w:color="auto"/>
            <w:right w:val="none" w:sz="0" w:space="0" w:color="auto"/>
          </w:divBdr>
        </w:div>
        <w:div w:id="782842913">
          <w:marLeft w:val="0"/>
          <w:marRight w:val="0"/>
          <w:marTop w:val="0"/>
          <w:marBottom w:val="0"/>
          <w:divBdr>
            <w:top w:val="none" w:sz="0" w:space="0" w:color="auto"/>
            <w:left w:val="none" w:sz="0" w:space="0" w:color="auto"/>
            <w:bottom w:val="none" w:sz="0" w:space="0" w:color="auto"/>
            <w:right w:val="none" w:sz="0" w:space="0" w:color="auto"/>
          </w:divBdr>
        </w:div>
        <w:div w:id="794131641">
          <w:marLeft w:val="0"/>
          <w:marRight w:val="0"/>
          <w:marTop w:val="0"/>
          <w:marBottom w:val="0"/>
          <w:divBdr>
            <w:top w:val="none" w:sz="0" w:space="0" w:color="auto"/>
            <w:left w:val="none" w:sz="0" w:space="0" w:color="auto"/>
            <w:bottom w:val="none" w:sz="0" w:space="0" w:color="auto"/>
            <w:right w:val="none" w:sz="0" w:space="0" w:color="auto"/>
          </w:divBdr>
        </w:div>
        <w:div w:id="801994882">
          <w:marLeft w:val="0"/>
          <w:marRight w:val="0"/>
          <w:marTop w:val="0"/>
          <w:marBottom w:val="0"/>
          <w:divBdr>
            <w:top w:val="none" w:sz="0" w:space="0" w:color="auto"/>
            <w:left w:val="none" w:sz="0" w:space="0" w:color="auto"/>
            <w:bottom w:val="none" w:sz="0" w:space="0" w:color="auto"/>
            <w:right w:val="none" w:sz="0" w:space="0" w:color="auto"/>
          </w:divBdr>
        </w:div>
        <w:div w:id="813718450">
          <w:marLeft w:val="0"/>
          <w:marRight w:val="0"/>
          <w:marTop w:val="0"/>
          <w:marBottom w:val="0"/>
          <w:divBdr>
            <w:top w:val="none" w:sz="0" w:space="0" w:color="auto"/>
            <w:left w:val="none" w:sz="0" w:space="0" w:color="auto"/>
            <w:bottom w:val="none" w:sz="0" w:space="0" w:color="auto"/>
            <w:right w:val="none" w:sz="0" w:space="0" w:color="auto"/>
          </w:divBdr>
        </w:div>
        <w:div w:id="829518221">
          <w:marLeft w:val="0"/>
          <w:marRight w:val="0"/>
          <w:marTop w:val="0"/>
          <w:marBottom w:val="0"/>
          <w:divBdr>
            <w:top w:val="none" w:sz="0" w:space="0" w:color="auto"/>
            <w:left w:val="none" w:sz="0" w:space="0" w:color="auto"/>
            <w:bottom w:val="none" w:sz="0" w:space="0" w:color="auto"/>
            <w:right w:val="none" w:sz="0" w:space="0" w:color="auto"/>
          </w:divBdr>
        </w:div>
        <w:div w:id="845168271">
          <w:marLeft w:val="0"/>
          <w:marRight w:val="0"/>
          <w:marTop w:val="0"/>
          <w:marBottom w:val="0"/>
          <w:divBdr>
            <w:top w:val="none" w:sz="0" w:space="0" w:color="auto"/>
            <w:left w:val="none" w:sz="0" w:space="0" w:color="auto"/>
            <w:bottom w:val="none" w:sz="0" w:space="0" w:color="auto"/>
            <w:right w:val="none" w:sz="0" w:space="0" w:color="auto"/>
          </w:divBdr>
        </w:div>
        <w:div w:id="851652565">
          <w:marLeft w:val="0"/>
          <w:marRight w:val="0"/>
          <w:marTop w:val="0"/>
          <w:marBottom w:val="0"/>
          <w:divBdr>
            <w:top w:val="none" w:sz="0" w:space="0" w:color="auto"/>
            <w:left w:val="none" w:sz="0" w:space="0" w:color="auto"/>
            <w:bottom w:val="none" w:sz="0" w:space="0" w:color="auto"/>
            <w:right w:val="none" w:sz="0" w:space="0" w:color="auto"/>
          </w:divBdr>
        </w:div>
        <w:div w:id="858737742">
          <w:marLeft w:val="0"/>
          <w:marRight w:val="0"/>
          <w:marTop w:val="0"/>
          <w:marBottom w:val="0"/>
          <w:divBdr>
            <w:top w:val="none" w:sz="0" w:space="0" w:color="auto"/>
            <w:left w:val="none" w:sz="0" w:space="0" w:color="auto"/>
            <w:bottom w:val="none" w:sz="0" w:space="0" w:color="auto"/>
            <w:right w:val="none" w:sz="0" w:space="0" w:color="auto"/>
          </w:divBdr>
        </w:div>
        <w:div w:id="884760498">
          <w:marLeft w:val="0"/>
          <w:marRight w:val="0"/>
          <w:marTop w:val="0"/>
          <w:marBottom w:val="0"/>
          <w:divBdr>
            <w:top w:val="none" w:sz="0" w:space="0" w:color="auto"/>
            <w:left w:val="none" w:sz="0" w:space="0" w:color="auto"/>
            <w:bottom w:val="none" w:sz="0" w:space="0" w:color="auto"/>
            <w:right w:val="none" w:sz="0" w:space="0" w:color="auto"/>
          </w:divBdr>
        </w:div>
        <w:div w:id="908345198">
          <w:marLeft w:val="0"/>
          <w:marRight w:val="0"/>
          <w:marTop w:val="0"/>
          <w:marBottom w:val="0"/>
          <w:divBdr>
            <w:top w:val="none" w:sz="0" w:space="0" w:color="auto"/>
            <w:left w:val="none" w:sz="0" w:space="0" w:color="auto"/>
            <w:bottom w:val="none" w:sz="0" w:space="0" w:color="auto"/>
            <w:right w:val="none" w:sz="0" w:space="0" w:color="auto"/>
          </w:divBdr>
        </w:div>
        <w:div w:id="910240626">
          <w:marLeft w:val="0"/>
          <w:marRight w:val="0"/>
          <w:marTop w:val="0"/>
          <w:marBottom w:val="0"/>
          <w:divBdr>
            <w:top w:val="none" w:sz="0" w:space="0" w:color="auto"/>
            <w:left w:val="none" w:sz="0" w:space="0" w:color="auto"/>
            <w:bottom w:val="none" w:sz="0" w:space="0" w:color="auto"/>
            <w:right w:val="none" w:sz="0" w:space="0" w:color="auto"/>
          </w:divBdr>
        </w:div>
        <w:div w:id="917180385">
          <w:marLeft w:val="0"/>
          <w:marRight w:val="0"/>
          <w:marTop w:val="0"/>
          <w:marBottom w:val="0"/>
          <w:divBdr>
            <w:top w:val="none" w:sz="0" w:space="0" w:color="auto"/>
            <w:left w:val="none" w:sz="0" w:space="0" w:color="auto"/>
            <w:bottom w:val="none" w:sz="0" w:space="0" w:color="auto"/>
            <w:right w:val="none" w:sz="0" w:space="0" w:color="auto"/>
          </w:divBdr>
        </w:div>
        <w:div w:id="924071531">
          <w:marLeft w:val="0"/>
          <w:marRight w:val="0"/>
          <w:marTop w:val="0"/>
          <w:marBottom w:val="0"/>
          <w:divBdr>
            <w:top w:val="none" w:sz="0" w:space="0" w:color="auto"/>
            <w:left w:val="none" w:sz="0" w:space="0" w:color="auto"/>
            <w:bottom w:val="none" w:sz="0" w:space="0" w:color="auto"/>
            <w:right w:val="none" w:sz="0" w:space="0" w:color="auto"/>
          </w:divBdr>
        </w:div>
        <w:div w:id="935014725">
          <w:marLeft w:val="0"/>
          <w:marRight w:val="0"/>
          <w:marTop w:val="0"/>
          <w:marBottom w:val="0"/>
          <w:divBdr>
            <w:top w:val="none" w:sz="0" w:space="0" w:color="auto"/>
            <w:left w:val="none" w:sz="0" w:space="0" w:color="auto"/>
            <w:bottom w:val="none" w:sz="0" w:space="0" w:color="auto"/>
            <w:right w:val="none" w:sz="0" w:space="0" w:color="auto"/>
          </w:divBdr>
        </w:div>
        <w:div w:id="956790516">
          <w:marLeft w:val="0"/>
          <w:marRight w:val="0"/>
          <w:marTop w:val="0"/>
          <w:marBottom w:val="0"/>
          <w:divBdr>
            <w:top w:val="none" w:sz="0" w:space="0" w:color="auto"/>
            <w:left w:val="none" w:sz="0" w:space="0" w:color="auto"/>
            <w:bottom w:val="none" w:sz="0" w:space="0" w:color="auto"/>
            <w:right w:val="none" w:sz="0" w:space="0" w:color="auto"/>
          </w:divBdr>
        </w:div>
        <w:div w:id="961378622">
          <w:marLeft w:val="0"/>
          <w:marRight w:val="0"/>
          <w:marTop w:val="0"/>
          <w:marBottom w:val="0"/>
          <w:divBdr>
            <w:top w:val="none" w:sz="0" w:space="0" w:color="auto"/>
            <w:left w:val="none" w:sz="0" w:space="0" w:color="auto"/>
            <w:bottom w:val="none" w:sz="0" w:space="0" w:color="auto"/>
            <w:right w:val="none" w:sz="0" w:space="0" w:color="auto"/>
          </w:divBdr>
        </w:div>
        <w:div w:id="963072850">
          <w:marLeft w:val="0"/>
          <w:marRight w:val="0"/>
          <w:marTop w:val="0"/>
          <w:marBottom w:val="0"/>
          <w:divBdr>
            <w:top w:val="none" w:sz="0" w:space="0" w:color="auto"/>
            <w:left w:val="none" w:sz="0" w:space="0" w:color="auto"/>
            <w:bottom w:val="none" w:sz="0" w:space="0" w:color="auto"/>
            <w:right w:val="none" w:sz="0" w:space="0" w:color="auto"/>
          </w:divBdr>
        </w:div>
        <w:div w:id="969822605">
          <w:marLeft w:val="0"/>
          <w:marRight w:val="0"/>
          <w:marTop w:val="0"/>
          <w:marBottom w:val="0"/>
          <w:divBdr>
            <w:top w:val="none" w:sz="0" w:space="0" w:color="auto"/>
            <w:left w:val="none" w:sz="0" w:space="0" w:color="auto"/>
            <w:bottom w:val="none" w:sz="0" w:space="0" w:color="auto"/>
            <w:right w:val="none" w:sz="0" w:space="0" w:color="auto"/>
          </w:divBdr>
        </w:div>
        <w:div w:id="971599868">
          <w:marLeft w:val="0"/>
          <w:marRight w:val="0"/>
          <w:marTop w:val="0"/>
          <w:marBottom w:val="0"/>
          <w:divBdr>
            <w:top w:val="none" w:sz="0" w:space="0" w:color="auto"/>
            <w:left w:val="none" w:sz="0" w:space="0" w:color="auto"/>
            <w:bottom w:val="none" w:sz="0" w:space="0" w:color="auto"/>
            <w:right w:val="none" w:sz="0" w:space="0" w:color="auto"/>
          </w:divBdr>
        </w:div>
        <w:div w:id="973218231">
          <w:marLeft w:val="0"/>
          <w:marRight w:val="0"/>
          <w:marTop w:val="0"/>
          <w:marBottom w:val="0"/>
          <w:divBdr>
            <w:top w:val="none" w:sz="0" w:space="0" w:color="auto"/>
            <w:left w:val="none" w:sz="0" w:space="0" w:color="auto"/>
            <w:bottom w:val="none" w:sz="0" w:space="0" w:color="auto"/>
            <w:right w:val="none" w:sz="0" w:space="0" w:color="auto"/>
          </w:divBdr>
        </w:div>
        <w:div w:id="983436408">
          <w:marLeft w:val="0"/>
          <w:marRight w:val="0"/>
          <w:marTop w:val="0"/>
          <w:marBottom w:val="0"/>
          <w:divBdr>
            <w:top w:val="none" w:sz="0" w:space="0" w:color="auto"/>
            <w:left w:val="none" w:sz="0" w:space="0" w:color="auto"/>
            <w:bottom w:val="none" w:sz="0" w:space="0" w:color="auto"/>
            <w:right w:val="none" w:sz="0" w:space="0" w:color="auto"/>
          </w:divBdr>
        </w:div>
        <w:div w:id="985360357">
          <w:marLeft w:val="0"/>
          <w:marRight w:val="0"/>
          <w:marTop w:val="0"/>
          <w:marBottom w:val="0"/>
          <w:divBdr>
            <w:top w:val="none" w:sz="0" w:space="0" w:color="auto"/>
            <w:left w:val="none" w:sz="0" w:space="0" w:color="auto"/>
            <w:bottom w:val="none" w:sz="0" w:space="0" w:color="auto"/>
            <w:right w:val="none" w:sz="0" w:space="0" w:color="auto"/>
          </w:divBdr>
        </w:div>
        <w:div w:id="985818266">
          <w:marLeft w:val="0"/>
          <w:marRight w:val="0"/>
          <w:marTop w:val="0"/>
          <w:marBottom w:val="0"/>
          <w:divBdr>
            <w:top w:val="none" w:sz="0" w:space="0" w:color="auto"/>
            <w:left w:val="none" w:sz="0" w:space="0" w:color="auto"/>
            <w:bottom w:val="none" w:sz="0" w:space="0" w:color="auto"/>
            <w:right w:val="none" w:sz="0" w:space="0" w:color="auto"/>
          </w:divBdr>
        </w:div>
        <w:div w:id="1036583047">
          <w:marLeft w:val="0"/>
          <w:marRight w:val="0"/>
          <w:marTop w:val="0"/>
          <w:marBottom w:val="0"/>
          <w:divBdr>
            <w:top w:val="none" w:sz="0" w:space="0" w:color="auto"/>
            <w:left w:val="none" w:sz="0" w:space="0" w:color="auto"/>
            <w:bottom w:val="none" w:sz="0" w:space="0" w:color="auto"/>
            <w:right w:val="none" w:sz="0" w:space="0" w:color="auto"/>
          </w:divBdr>
        </w:div>
        <w:div w:id="1059864940">
          <w:marLeft w:val="0"/>
          <w:marRight w:val="0"/>
          <w:marTop w:val="0"/>
          <w:marBottom w:val="0"/>
          <w:divBdr>
            <w:top w:val="none" w:sz="0" w:space="0" w:color="auto"/>
            <w:left w:val="none" w:sz="0" w:space="0" w:color="auto"/>
            <w:bottom w:val="none" w:sz="0" w:space="0" w:color="auto"/>
            <w:right w:val="none" w:sz="0" w:space="0" w:color="auto"/>
          </w:divBdr>
        </w:div>
        <w:div w:id="1062413225">
          <w:marLeft w:val="0"/>
          <w:marRight w:val="0"/>
          <w:marTop w:val="0"/>
          <w:marBottom w:val="0"/>
          <w:divBdr>
            <w:top w:val="none" w:sz="0" w:space="0" w:color="auto"/>
            <w:left w:val="none" w:sz="0" w:space="0" w:color="auto"/>
            <w:bottom w:val="none" w:sz="0" w:space="0" w:color="auto"/>
            <w:right w:val="none" w:sz="0" w:space="0" w:color="auto"/>
          </w:divBdr>
        </w:div>
        <w:div w:id="1071662338">
          <w:marLeft w:val="0"/>
          <w:marRight w:val="0"/>
          <w:marTop w:val="0"/>
          <w:marBottom w:val="0"/>
          <w:divBdr>
            <w:top w:val="none" w:sz="0" w:space="0" w:color="auto"/>
            <w:left w:val="none" w:sz="0" w:space="0" w:color="auto"/>
            <w:bottom w:val="none" w:sz="0" w:space="0" w:color="auto"/>
            <w:right w:val="none" w:sz="0" w:space="0" w:color="auto"/>
          </w:divBdr>
        </w:div>
        <w:div w:id="1078668455">
          <w:marLeft w:val="0"/>
          <w:marRight w:val="0"/>
          <w:marTop w:val="0"/>
          <w:marBottom w:val="0"/>
          <w:divBdr>
            <w:top w:val="none" w:sz="0" w:space="0" w:color="auto"/>
            <w:left w:val="none" w:sz="0" w:space="0" w:color="auto"/>
            <w:bottom w:val="none" w:sz="0" w:space="0" w:color="auto"/>
            <w:right w:val="none" w:sz="0" w:space="0" w:color="auto"/>
          </w:divBdr>
        </w:div>
        <w:div w:id="1080635732">
          <w:marLeft w:val="0"/>
          <w:marRight w:val="0"/>
          <w:marTop w:val="0"/>
          <w:marBottom w:val="0"/>
          <w:divBdr>
            <w:top w:val="none" w:sz="0" w:space="0" w:color="auto"/>
            <w:left w:val="none" w:sz="0" w:space="0" w:color="auto"/>
            <w:bottom w:val="none" w:sz="0" w:space="0" w:color="auto"/>
            <w:right w:val="none" w:sz="0" w:space="0" w:color="auto"/>
          </w:divBdr>
        </w:div>
        <w:div w:id="1091779242">
          <w:marLeft w:val="0"/>
          <w:marRight w:val="0"/>
          <w:marTop w:val="0"/>
          <w:marBottom w:val="0"/>
          <w:divBdr>
            <w:top w:val="none" w:sz="0" w:space="0" w:color="auto"/>
            <w:left w:val="none" w:sz="0" w:space="0" w:color="auto"/>
            <w:bottom w:val="none" w:sz="0" w:space="0" w:color="auto"/>
            <w:right w:val="none" w:sz="0" w:space="0" w:color="auto"/>
          </w:divBdr>
        </w:div>
        <w:div w:id="1130048121">
          <w:marLeft w:val="0"/>
          <w:marRight w:val="0"/>
          <w:marTop w:val="0"/>
          <w:marBottom w:val="0"/>
          <w:divBdr>
            <w:top w:val="none" w:sz="0" w:space="0" w:color="auto"/>
            <w:left w:val="none" w:sz="0" w:space="0" w:color="auto"/>
            <w:bottom w:val="none" w:sz="0" w:space="0" w:color="auto"/>
            <w:right w:val="none" w:sz="0" w:space="0" w:color="auto"/>
          </w:divBdr>
        </w:div>
        <w:div w:id="1143087088">
          <w:marLeft w:val="0"/>
          <w:marRight w:val="0"/>
          <w:marTop w:val="0"/>
          <w:marBottom w:val="0"/>
          <w:divBdr>
            <w:top w:val="none" w:sz="0" w:space="0" w:color="auto"/>
            <w:left w:val="none" w:sz="0" w:space="0" w:color="auto"/>
            <w:bottom w:val="none" w:sz="0" w:space="0" w:color="auto"/>
            <w:right w:val="none" w:sz="0" w:space="0" w:color="auto"/>
          </w:divBdr>
        </w:div>
        <w:div w:id="1145312472">
          <w:marLeft w:val="0"/>
          <w:marRight w:val="0"/>
          <w:marTop w:val="0"/>
          <w:marBottom w:val="0"/>
          <w:divBdr>
            <w:top w:val="none" w:sz="0" w:space="0" w:color="auto"/>
            <w:left w:val="none" w:sz="0" w:space="0" w:color="auto"/>
            <w:bottom w:val="none" w:sz="0" w:space="0" w:color="auto"/>
            <w:right w:val="none" w:sz="0" w:space="0" w:color="auto"/>
          </w:divBdr>
        </w:div>
        <w:div w:id="1175068970">
          <w:marLeft w:val="0"/>
          <w:marRight w:val="0"/>
          <w:marTop w:val="0"/>
          <w:marBottom w:val="0"/>
          <w:divBdr>
            <w:top w:val="none" w:sz="0" w:space="0" w:color="auto"/>
            <w:left w:val="none" w:sz="0" w:space="0" w:color="auto"/>
            <w:bottom w:val="none" w:sz="0" w:space="0" w:color="auto"/>
            <w:right w:val="none" w:sz="0" w:space="0" w:color="auto"/>
          </w:divBdr>
        </w:div>
        <w:div w:id="1176262988">
          <w:marLeft w:val="0"/>
          <w:marRight w:val="0"/>
          <w:marTop w:val="0"/>
          <w:marBottom w:val="0"/>
          <w:divBdr>
            <w:top w:val="none" w:sz="0" w:space="0" w:color="auto"/>
            <w:left w:val="none" w:sz="0" w:space="0" w:color="auto"/>
            <w:bottom w:val="none" w:sz="0" w:space="0" w:color="auto"/>
            <w:right w:val="none" w:sz="0" w:space="0" w:color="auto"/>
          </w:divBdr>
        </w:div>
        <w:div w:id="1180657373">
          <w:marLeft w:val="0"/>
          <w:marRight w:val="0"/>
          <w:marTop w:val="0"/>
          <w:marBottom w:val="0"/>
          <w:divBdr>
            <w:top w:val="none" w:sz="0" w:space="0" w:color="auto"/>
            <w:left w:val="none" w:sz="0" w:space="0" w:color="auto"/>
            <w:bottom w:val="none" w:sz="0" w:space="0" w:color="auto"/>
            <w:right w:val="none" w:sz="0" w:space="0" w:color="auto"/>
          </w:divBdr>
        </w:div>
        <w:div w:id="1186359183">
          <w:marLeft w:val="0"/>
          <w:marRight w:val="0"/>
          <w:marTop w:val="0"/>
          <w:marBottom w:val="0"/>
          <w:divBdr>
            <w:top w:val="none" w:sz="0" w:space="0" w:color="auto"/>
            <w:left w:val="none" w:sz="0" w:space="0" w:color="auto"/>
            <w:bottom w:val="none" w:sz="0" w:space="0" w:color="auto"/>
            <w:right w:val="none" w:sz="0" w:space="0" w:color="auto"/>
          </w:divBdr>
        </w:div>
        <w:div w:id="1186671353">
          <w:marLeft w:val="0"/>
          <w:marRight w:val="0"/>
          <w:marTop w:val="0"/>
          <w:marBottom w:val="0"/>
          <w:divBdr>
            <w:top w:val="none" w:sz="0" w:space="0" w:color="auto"/>
            <w:left w:val="none" w:sz="0" w:space="0" w:color="auto"/>
            <w:bottom w:val="none" w:sz="0" w:space="0" w:color="auto"/>
            <w:right w:val="none" w:sz="0" w:space="0" w:color="auto"/>
          </w:divBdr>
        </w:div>
        <w:div w:id="1189221917">
          <w:marLeft w:val="0"/>
          <w:marRight w:val="0"/>
          <w:marTop w:val="0"/>
          <w:marBottom w:val="0"/>
          <w:divBdr>
            <w:top w:val="none" w:sz="0" w:space="0" w:color="auto"/>
            <w:left w:val="none" w:sz="0" w:space="0" w:color="auto"/>
            <w:bottom w:val="none" w:sz="0" w:space="0" w:color="auto"/>
            <w:right w:val="none" w:sz="0" w:space="0" w:color="auto"/>
          </w:divBdr>
        </w:div>
        <w:div w:id="1193424593">
          <w:marLeft w:val="0"/>
          <w:marRight w:val="0"/>
          <w:marTop w:val="0"/>
          <w:marBottom w:val="0"/>
          <w:divBdr>
            <w:top w:val="none" w:sz="0" w:space="0" w:color="auto"/>
            <w:left w:val="none" w:sz="0" w:space="0" w:color="auto"/>
            <w:bottom w:val="none" w:sz="0" w:space="0" w:color="auto"/>
            <w:right w:val="none" w:sz="0" w:space="0" w:color="auto"/>
          </w:divBdr>
        </w:div>
        <w:div w:id="1195465826">
          <w:marLeft w:val="0"/>
          <w:marRight w:val="0"/>
          <w:marTop w:val="0"/>
          <w:marBottom w:val="0"/>
          <w:divBdr>
            <w:top w:val="none" w:sz="0" w:space="0" w:color="auto"/>
            <w:left w:val="none" w:sz="0" w:space="0" w:color="auto"/>
            <w:bottom w:val="none" w:sz="0" w:space="0" w:color="auto"/>
            <w:right w:val="none" w:sz="0" w:space="0" w:color="auto"/>
          </w:divBdr>
        </w:div>
        <w:div w:id="1224752473">
          <w:marLeft w:val="0"/>
          <w:marRight w:val="0"/>
          <w:marTop w:val="0"/>
          <w:marBottom w:val="0"/>
          <w:divBdr>
            <w:top w:val="none" w:sz="0" w:space="0" w:color="auto"/>
            <w:left w:val="none" w:sz="0" w:space="0" w:color="auto"/>
            <w:bottom w:val="none" w:sz="0" w:space="0" w:color="auto"/>
            <w:right w:val="none" w:sz="0" w:space="0" w:color="auto"/>
          </w:divBdr>
        </w:div>
        <w:div w:id="1239291218">
          <w:marLeft w:val="0"/>
          <w:marRight w:val="0"/>
          <w:marTop w:val="0"/>
          <w:marBottom w:val="0"/>
          <w:divBdr>
            <w:top w:val="none" w:sz="0" w:space="0" w:color="auto"/>
            <w:left w:val="none" w:sz="0" w:space="0" w:color="auto"/>
            <w:bottom w:val="none" w:sz="0" w:space="0" w:color="auto"/>
            <w:right w:val="none" w:sz="0" w:space="0" w:color="auto"/>
          </w:divBdr>
        </w:div>
        <w:div w:id="1243175072">
          <w:marLeft w:val="0"/>
          <w:marRight w:val="0"/>
          <w:marTop w:val="0"/>
          <w:marBottom w:val="0"/>
          <w:divBdr>
            <w:top w:val="none" w:sz="0" w:space="0" w:color="auto"/>
            <w:left w:val="none" w:sz="0" w:space="0" w:color="auto"/>
            <w:bottom w:val="none" w:sz="0" w:space="0" w:color="auto"/>
            <w:right w:val="none" w:sz="0" w:space="0" w:color="auto"/>
          </w:divBdr>
        </w:div>
        <w:div w:id="1262027573">
          <w:marLeft w:val="0"/>
          <w:marRight w:val="0"/>
          <w:marTop w:val="0"/>
          <w:marBottom w:val="0"/>
          <w:divBdr>
            <w:top w:val="none" w:sz="0" w:space="0" w:color="auto"/>
            <w:left w:val="none" w:sz="0" w:space="0" w:color="auto"/>
            <w:bottom w:val="none" w:sz="0" w:space="0" w:color="auto"/>
            <w:right w:val="none" w:sz="0" w:space="0" w:color="auto"/>
          </w:divBdr>
        </w:div>
        <w:div w:id="1262102462">
          <w:marLeft w:val="0"/>
          <w:marRight w:val="0"/>
          <w:marTop w:val="0"/>
          <w:marBottom w:val="0"/>
          <w:divBdr>
            <w:top w:val="none" w:sz="0" w:space="0" w:color="auto"/>
            <w:left w:val="none" w:sz="0" w:space="0" w:color="auto"/>
            <w:bottom w:val="none" w:sz="0" w:space="0" w:color="auto"/>
            <w:right w:val="none" w:sz="0" w:space="0" w:color="auto"/>
          </w:divBdr>
        </w:div>
        <w:div w:id="1264650981">
          <w:marLeft w:val="0"/>
          <w:marRight w:val="0"/>
          <w:marTop w:val="0"/>
          <w:marBottom w:val="0"/>
          <w:divBdr>
            <w:top w:val="none" w:sz="0" w:space="0" w:color="auto"/>
            <w:left w:val="none" w:sz="0" w:space="0" w:color="auto"/>
            <w:bottom w:val="none" w:sz="0" w:space="0" w:color="auto"/>
            <w:right w:val="none" w:sz="0" w:space="0" w:color="auto"/>
          </w:divBdr>
        </w:div>
        <w:div w:id="1266691511">
          <w:marLeft w:val="0"/>
          <w:marRight w:val="0"/>
          <w:marTop w:val="0"/>
          <w:marBottom w:val="0"/>
          <w:divBdr>
            <w:top w:val="none" w:sz="0" w:space="0" w:color="auto"/>
            <w:left w:val="none" w:sz="0" w:space="0" w:color="auto"/>
            <w:bottom w:val="none" w:sz="0" w:space="0" w:color="auto"/>
            <w:right w:val="none" w:sz="0" w:space="0" w:color="auto"/>
          </w:divBdr>
        </w:div>
        <w:div w:id="1326133422">
          <w:marLeft w:val="0"/>
          <w:marRight w:val="0"/>
          <w:marTop w:val="0"/>
          <w:marBottom w:val="0"/>
          <w:divBdr>
            <w:top w:val="none" w:sz="0" w:space="0" w:color="auto"/>
            <w:left w:val="none" w:sz="0" w:space="0" w:color="auto"/>
            <w:bottom w:val="none" w:sz="0" w:space="0" w:color="auto"/>
            <w:right w:val="none" w:sz="0" w:space="0" w:color="auto"/>
          </w:divBdr>
        </w:div>
        <w:div w:id="1327636575">
          <w:marLeft w:val="0"/>
          <w:marRight w:val="0"/>
          <w:marTop w:val="0"/>
          <w:marBottom w:val="0"/>
          <w:divBdr>
            <w:top w:val="none" w:sz="0" w:space="0" w:color="auto"/>
            <w:left w:val="none" w:sz="0" w:space="0" w:color="auto"/>
            <w:bottom w:val="none" w:sz="0" w:space="0" w:color="auto"/>
            <w:right w:val="none" w:sz="0" w:space="0" w:color="auto"/>
          </w:divBdr>
        </w:div>
        <w:div w:id="1334726640">
          <w:marLeft w:val="0"/>
          <w:marRight w:val="0"/>
          <w:marTop w:val="0"/>
          <w:marBottom w:val="0"/>
          <w:divBdr>
            <w:top w:val="none" w:sz="0" w:space="0" w:color="auto"/>
            <w:left w:val="none" w:sz="0" w:space="0" w:color="auto"/>
            <w:bottom w:val="none" w:sz="0" w:space="0" w:color="auto"/>
            <w:right w:val="none" w:sz="0" w:space="0" w:color="auto"/>
          </w:divBdr>
        </w:div>
        <w:div w:id="1338383780">
          <w:marLeft w:val="0"/>
          <w:marRight w:val="0"/>
          <w:marTop w:val="0"/>
          <w:marBottom w:val="0"/>
          <w:divBdr>
            <w:top w:val="none" w:sz="0" w:space="0" w:color="auto"/>
            <w:left w:val="none" w:sz="0" w:space="0" w:color="auto"/>
            <w:bottom w:val="none" w:sz="0" w:space="0" w:color="auto"/>
            <w:right w:val="none" w:sz="0" w:space="0" w:color="auto"/>
          </w:divBdr>
        </w:div>
        <w:div w:id="1342007913">
          <w:marLeft w:val="0"/>
          <w:marRight w:val="0"/>
          <w:marTop w:val="0"/>
          <w:marBottom w:val="0"/>
          <w:divBdr>
            <w:top w:val="none" w:sz="0" w:space="0" w:color="auto"/>
            <w:left w:val="none" w:sz="0" w:space="0" w:color="auto"/>
            <w:bottom w:val="none" w:sz="0" w:space="0" w:color="auto"/>
            <w:right w:val="none" w:sz="0" w:space="0" w:color="auto"/>
          </w:divBdr>
        </w:div>
        <w:div w:id="1360619114">
          <w:marLeft w:val="0"/>
          <w:marRight w:val="0"/>
          <w:marTop w:val="0"/>
          <w:marBottom w:val="0"/>
          <w:divBdr>
            <w:top w:val="none" w:sz="0" w:space="0" w:color="auto"/>
            <w:left w:val="none" w:sz="0" w:space="0" w:color="auto"/>
            <w:bottom w:val="none" w:sz="0" w:space="0" w:color="auto"/>
            <w:right w:val="none" w:sz="0" w:space="0" w:color="auto"/>
          </w:divBdr>
        </w:div>
        <w:div w:id="1371802028">
          <w:marLeft w:val="0"/>
          <w:marRight w:val="0"/>
          <w:marTop w:val="0"/>
          <w:marBottom w:val="0"/>
          <w:divBdr>
            <w:top w:val="none" w:sz="0" w:space="0" w:color="auto"/>
            <w:left w:val="none" w:sz="0" w:space="0" w:color="auto"/>
            <w:bottom w:val="none" w:sz="0" w:space="0" w:color="auto"/>
            <w:right w:val="none" w:sz="0" w:space="0" w:color="auto"/>
          </w:divBdr>
        </w:div>
        <w:div w:id="1385131290">
          <w:marLeft w:val="0"/>
          <w:marRight w:val="0"/>
          <w:marTop w:val="0"/>
          <w:marBottom w:val="0"/>
          <w:divBdr>
            <w:top w:val="none" w:sz="0" w:space="0" w:color="auto"/>
            <w:left w:val="none" w:sz="0" w:space="0" w:color="auto"/>
            <w:bottom w:val="none" w:sz="0" w:space="0" w:color="auto"/>
            <w:right w:val="none" w:sz="0" w:space="0" w:color="auto"/>
          </w:divBdr>
        </w:div>
        <w:div w:id="1385448433">
          <w:marLeft w:val="0"/>
          <w:marRight w:val="0"/>
          <w:marTop w:val="0"/>
          <w:marBottom w:val="0"/>
          <w:divBdr>
            <w:top w:val="none" w:sz="0" w:space="0" w:color="auto"/>
            <w:left w:val="none" w:sz="0" w:space="0" w:color="auto"/>
            <w:bottom w:val="none" w:sz="0" w:space="0" w:color="auto"/>
            <w:right w:val="none" w:sz="0" w:space="0" w:color="auto"/>
          </w:divBdr>
        </w:div>
        <w:div w:id="1388989785">
          <w:marLeft w:val="0"/>
          <w:marRight w:val="0"/>
          <w:marTop w:val="0"/>
          <w:marBottom w:val="0"/>
          <w:divBdr>
            <w:top w:val="none" w:sz="0" w:space="0" w:color="auto"/>
            <w:left w:val="none" w:sz="0" w:space="0" w:color="auto"/>
            <w:bottom w:val="none" w:sz="0" w:space="0" w:color="auto"/>
            <w:right w:val="none" w:sz="0" w:space="0" w:color="auto"/>
          </w:divBdr>
        </w:div>
        <w:div w:id="1404571216">
          <w:marLeft w:val="0"/>
          <w:marRight w:val="0"/>
          <w:marTop w:val="0"/>
          <w:marBottom w:val="0"/>
          <w:divBdr>
            <w:top w:val="none" w:sz="0" w:space="0" w:color="auto"/>
            <w:left w:val="none" w:sz="0" w:space="0" w:color="auto"/>
            <w:bottom w:val="none" w:sz="0" w:space="0" w:color="auto"/>
            <w:right w:val="none" w:sz="0" w:space="0" w:color="auto"/>
          </w:divBdr>
        </w:div>
        <w:div w:id="1417554624">
          <w:marLeft w:val="0"/>
          <w:marRight w:val="0"/>
          <w:marTop w:val="0"/>
          <w:marBottom w:val="0"/>
          <w:divBdr>
            <w:top w:val="none" w:sz="0" w:space="0" w:color="auto"/>
            <w:left w:val="none" w:sz="0" w:space="0" w:color="auto"/>
            <w:bottom w:val="none" w:sz="0" w:space="0" w:color="auto"/>
            <w:right w:val="none" w:sz="0" w:space="0" w:color="auto"/>
          </w:divBdr>
        </w:div>
        <w:div w:id="1423917871">
          <w:marLeft w:val="0"/>
          <w:marRight w:val="0"/>
          <w:marTop w:val="0"/>
          <w:marBottom w:val="0"/>
          <w:divBdr>
            <w:top w:val="none" w:sz="0" w:space="0" w:color="auto"/>
            <w:left w:val="none" w:sz="0" w:space="0" w:color="auto"/>
            <w:bottom w:val="none" w:sz="0" w:space="0" w:color="auto"/>
            <w:right w:val="none" w:sz="0" w:space="0" w:color="auto"/>
          </w:divBdr>
        </w:div>
        <w:div w:id="1434400650">
          <w:marLeft w:val="0"/>
          <w:marRight w:val="0"/>
          <w:marTop w:val="0"/>
          <w:marBottom w:val="0"/>
          <w:divBdr>
            <w:top w:val="none" w:sz="0" w:space="0" w:color="auto"/>
            <w:left w:val="none" w:sz="0" w:space="0" w:color="auto"/>
            <w:bottom w:val="none" w:sz="0" w:space="0" w:color="auto"/>
            <w:right w:val="none" w:sz="0" w:space="0" w:color="auto"/>
          </w:divBdr>
        </w:div>
        <w:div w:id="1466196259">
          <w:marLeft w:val="0"/>
          <w:marRight w:val="0"/>
          <w:marTop w:val="0"/>
          <w:marBottom w:val="0"/>
          <w:divBdr>
            <w:top w:val="none" w:sz="0" w:space="0" w:color="auto"/>
            <w:left w:val="none" w:sz="0" w:space="0" w:color="auto"/>
            <w:bottom w:val="none" w:sz="0" w:space="0" w:color="auto"/>
            <w:right w:val="none" w:sz="0" w:space="0" w:color="auto"/>
          </w:divBdr>
        </w:div>
        <w:div w:id="1469937282">
          <w:marLeft w:val="0"/>
          <w:marRight w:val="0"/>
          <w:marTop w:val="0"/>
          <w:marBottom w:val="0"/>
          <w:divBdr>
            <w:top w:val="none" w:sz="0" w:space="0" w:color="auto"/>
            <w:left w:val="none" w:sz="0" w:space="0" w:color="auto"/>
            <w:bottom w:val="none" w:sz="0" w:space="0" w:color="auto"/>
            <w:right w:val="none" w:sz="0" w:space="0" w:color="auto"/>
          </w:divBdr>
        </w:div>
        <w:div w:id="1485008305">
          <w:marLeft w:val="0"/>
          <w:marRight w:val="0"/>
          <w:marTop w:val="0"/>
          <w:marBottom w:val="0"/>
          <w:divBdr>
            <w:top w:val="none" w:sz="0" w:space="0" w:color="auto"/>
            <w:left w:val="none" w:sz="0" w:space="0" w:color="auto"/>
            <w:bottom w:val="none" w:sz="0" w:space="0" w:color="auto"/>
            <w:right w:val="none" w:sz="0" w:space="0" w:color="auto"/>
          </w:divBdr>
        </w:div>
        <w:div w:id="1510828223">
          <w:marLeft w:val="0"/>
          <w:marRight w:val="0"/>
          <w:marTop w:val="0"/>
          <w:marBottom w:val="0"/>
          <w:divBdr>
            <w:top w:val="none" w:sz="0" w:space="0" w:color="auto"/>
            <w:left w:val="none" w:sz="0" w:space="0" w:color="auto"/>
            <w:bottom w:val="none" w:sz="0" w:space="0" w:color="auto"/>
            <w:right w:val="none" w:sz="0" w:space="0" w:color="auto"/>
          </w:divBdr>
        </w:div>
        <w:div w:id="1516503438">
          <w:marLeft w:val="0"/>
          <w:marRight w:val="0"/>
          <w:marTop w:val="0"/>
          <w:marBottom w:val="0"/>
          <w:divBdr>
            <w:top w:val="none" w:sz="0" w:space="0" w:color="auto"/>
            <w:left w:val="none" w:sz="0" w:space="0" w:color="auto"/>
            <w:bottom w:val="none" w:sz="0" w:space="0" w:color="auto"/>
            <w:right w:val="none" w:sz="0" w:space="0" w:color="auto"/>
          </w:divBdr>
        </w:div>
        <w:div w:id="1518234007">
          <w:marLeft w:val="0"/>
          <w:marRight w:val="0"/>
          <w:marTop w:val="0"/>
          <w:marBottom w:val="0"/>
          <w:divBdr>
            <w:top w:val="none" w:sz="0" w:space="0" w:color="auto"/>
            <w:left w:val="none" w:sz="0" w:space="0" w:color="auto"/>
            <w:bottom w:val="none" w:sz="0" w:space="0" w:color="auto"/>
            <w:right w:val="none" w:sz="0" w:space="0" w:color="auto"/>
          </w:divBdr>
        </w:div>
        <w:div w:id="1545170127">
          <w:marLeft w:val="0"/>
          <w:marRight w:val="0"/>
          <w:marTop w:val="0"/>
          <w:marBottom w:val="0"/>
          <w:divBdr>
            <w:top w:val="none" w:sz="0" w:space="0" w:color="auto"/>
            <w:left w:val="none" w:sz="0" w:space="0" w:color="auto"/>
            <w:bottom w:val="none" w:sz="0" w:space="0" w:color="auto"/>
            <w:right w:val="none" w:sz="0" w:space="0" w:color="auto"/>
          </w:divBdr>
        </w:div>
        <w:div w:id="1552228919">
          <w:marLeft w:val="0"/>
          <w:marRight w:val="0"/>
          <w:marTop w:val="0"/>
          <w:marBottom w:val="0"/>
          <w:divBdr>
            <w:top w:val="none" w:sz="0" w:space="0" w:color="auto"/>
            <w:left w:val="none" w:sz="0" w:space="0" w:color="auto"/>
            <w:bottom w:val="none" w:sz="0" w:space="0" w:color="auto"/>
            <w:right w:val="none" w:sz="0" w:space="0" w:color="auto"/>
          </w:divBdr>
        </w:div>
        <w:div w:id="1553157255">
          <w:marLeft w:val="0"/>
          <w:marRight w:val="0"/>
          <w:marTop w:val="0"/>
          <w:marBottom w:val="0"/>
          <w:divBdr>
            <w:top w:val="none" w:sz="0" w:space="0" w:color="auto"/>
            <w:left w:val="none" w:sz="0" w:space="0" w:color="auto"/>
            <w:bottom w:val="none" w:sz="0" w:space="0" w:color="auto"/>
            <w:right w:val="none" w:sz="0" w:space="0" w:color="auto"/>
          </w:divBdr>
        </w:div>
        <w:div w:id="1553887175">
          <w:marLeft w:val="0"/>
          <w:marRight w:val="0"/>
          <w:marTop w:val="0"/>
          <w:marBottom w:val="0"/>
          <w:divBdr>
            <w:top w:val="none" w:sz="0" w:space="0" w:color="auto"/>
            <w:left w:val="none" w:sz="0" w:space="0" w:color="auto"/>
            <w:bottom w:val="none" w:sz="0" w:space="0" w:color="auto"/>
            <w:right w:val="none" w:sz="0" w:space="0" w:color="auto"/>
          </w:divBdr>
        </w:div>
        <w:div w:id="1557736180">
          <w:marLeft w:val="0"/>
          <w:marRight w:val="0"/>
          <w:marTop w:val="0"/>
          <w:marBottom w:val="0"/>
          <w:divBdr>
            <w:top w:val="none" w:sz="0" w:space="0" w:color="auto"/>
            <w:left w:val="none" w:sz="0" w:space="0" w:color="auto"/>
            <w:bottom w:val="none" w:sz="0" w:space="0" w:color="auto"/>
            <w:right w:val="none" w:sz="0" w:space="0" w:color="auto"/>
          </w:divBdr>
        </w:div>
        <w:div w:id="1560239104">
          <w:marLeft w:val="0"/>
          <w:marRight w:val="0"/>
          <w:marTop w:val="0"/>
          <w:marBottom w:val="0"/>
          <w:divBdr>
            <w:top w:val="none" w:sz="0" w:space="0" w:color="auto"/>
            <w:left w:val="none" w:sz="0" w:space="0" w:color="auto"/>
            <w:bottom w:val="none" w:sz="0" w:space="0" w:color="auto"/>
            <w:right w:val="none" w:sz="0" w:space="0" w:color="auto"/>
          </w:divBdr>
        </w:div>
        <w:div w:id="1581711671">
          <w:marLeft w:val="0"/>
          <w:marRight w:val="0"/>
          <w:marTop w:val="0"/>
          <w:marBottom w:val="0"/>
          <w:divBdr>
            <w:top w:val="none" w:sz="0" w:space="0" w:color="auto"/>
            <w:left w:val="none" w:sz="0" w:space="0" w:color="auto"/>
            <w:bottom w:val="none" w:sz="0" w:space="0" w:color="auto"/>
            <w:right w:val="none" w:sz="0" w:space="0" w:color="auto"/>
          </w:divBdr>
        </w:div>
        <w:div w:id="1586068706">
          <w:marLeft w:val="0"/>
          <w:marRight w:val="0"/>
          <w:marTop w:val="0"/>
          <w:marBottom w:val="0"/>
          <w:divBdr>
            <w:top w:val="none" w:sz="0" w:space="0" w:color="auto"/>
            <w:left w:val="none" w:sz="0" w:space="0" w:color="auto"/>
            <w:bottom w:val="none" w:sz="0" w:space="0" w:color="auto"/>
            <w:right w:val="none" w:sz="0" w:space="0" w:color="auto"/>
          </w:divBdr>
        </w:div>
        <w:div w:id="1594588153">
          <w:marLeft w:val="0"/>
          <w:marRight w:val="0"/>
          <w:marTop w:val="0"/>
          <w:marBottom w:val="0"/>
          <w:divBdr>
            <w:top w:val="none" w:sz="0" w:space="0" w:color="auto"/>
            <w:left w:val="none" w:sz="0" w:space="0" w:color="auto"/>
            <w:bottom w:val="none" w:sz="0" w:space="0" w:color="auto"/>
            <w:right w:val="none" w:sz="0" w:space="0" w:color="auto"/>
          </w:divBdr>
          <w:divsChild>
            <w:div w:id="110708195">
              <w:marLeft w:val="0"/>
              <w:marRight w:val="0"/>
              <w:marTop w:val="0"/>
              <w:marBottom w:val="0"/>
              <w:divBdr>
                <w:top w:val="none" w:sz="0" w:space="0" w:color="auto"/>
                <w:left w:val="none" w:sz="0" w:space="0" w:color="auto"/>
                <w:bottom w:val="none" w:sz="0" w:space="0" w:color="auto"/>
                <w:right w:val="none" w:sz="0" w:space="0" w:color="auto"/>
              </w:divBdr>
            </w:div>
            <w:div w:id="356851333">
              <w:marLeft w:val="0"/>
              <w:marRight w:val="0"/>
              <w:marTop w:val="0"/>
              <w:marBottom w:val="0"/>
              <w:divBdr>
                <w:top w:val="none" w:sz="0" w:space="0" w:color="auto"/>
                <w:left w:val="none" w:sz="0" w:space="0" w:color="auto"/>
                <w:bottom w:val="none" w:sz="0" w:space="0" w:color="auto"/>
                <w:right w:val="none" w:sz="0" w:space="0" w:color="auto"/>
              </w:divBdr>
            </w:div>
            <w:div w:id="550338148">
              <w:marLeft w:val="0"/>
              <w:marRight w:val="0"/>
              <w:marTop w:val="0"/>
              <w:marBottom w:val="0"/>
              <w:divBdr>
                <w:top w:val="none" w:sz="0" w:space="0" w:color="auto"/>
                <w:left w:val="none" w:sz="0" w:space="0" w:color="auto"/>
                <w:bottom w:val="none" w:sz="0" w:space="0" w:color="auto"/>
                <w:right w:val="none" w:sz="0" w:space="0" w:color="auto"/>
              </w:divBdr>
            </w:div>
            <w:div w:id="758021332">
              <w:marLeft w:val="0"/>
              <w:marRight w:val="0"/>
              <w:marTop w:val="0"/>
              <w:marBottom w:val="0"/>
              <w:divBdr>
                <w:top w:val="none" w:sz="0" w:space="0" w:color="auto"/>
                <w:left w:val="none" w:sz="0" w:space="0" w:color="auto"/>
                <w:bottom w:val="none" w:sz="0" w:space="0" w:color="auto"/>
                <w:right w:val="none" w:sz="0" w:space="0" w:color="auto"/>
              </w:divBdr>
            </w:div>
            <w:div w:id="825632949">
              <w:marLeft w:val="0"/>
              <w:marRight w:val="0"/>
              <w:marTop w:val="0"/>
              <w:marBottom w:val="0"/>
              <w:divBdr>
                <w:top w:val="none" w:sz="0" w:space="0" w:color="auto"/>
                <w:left w:val="none" w:sz="0" w:space="0" w:color="auto"/>
                <w:bottom w:val="none" w:sz="0" w:space="0" w:color="auto"/>
                <w:right w:val="none" w:sz="0" w:space="0" w:color="auto"/>
              </w:divBdr>
            </w:div>
            <w:div w:id="850026915">
              <w:marLeft w:val="0"/>
              <w:marRight w:val="0"/>
              <w:marTop w:val="0"/>
              <w:marBottom w:val="0"/>
              <w:divBdr>
                <w:top w:val="none" w:sz="0" w:space="0" w:color="auto"/>
                <w:left w:val="none" w:sz="0" w:space="0" w:color="auto"/>
                <w:bottom w:val="none" w:sz="0" w:space="0" w:color="auto"/>
                <w:right w:val="none" w:sz="0" w:space="0" w:color="auto"/>
              </w:divBdr>
            </w:div>
            <w:div w:id="927152596">
              <w:marLeft w:val="0"/>
              <w:marRight w:val="0"/>
              <w:marTop w:val="0"/>
              <w:marBottom w:val="0"/>
              <w:divBdr>
                <w:top w:val="none" w:sz="0" w:space="0" w:color="auto"/>
                <w:left w:val="none" w:sz="0" w:space="0" w:color="auto"/>
                <w:bottom w:val="none" w:sz="0" w:space="0" w:color="auto"/>
                <w:right w:val="none" w:sz="0" w:space="0" w:color="auto"/>
              </w:divBdr>
            </w:div>
            <w:div w:id="1388912316">
              <w:marLeft w:val="0"/>
              <w:marRight w:val="0"/>
              <w:marTop w:val="0"/>
              <w:marBottom w:val="0"/>
              <w:divBdr>
                <w:top w:val="none" w:sz="0" w:space="0" w:color="auto"/>
                <w:left w:val="none" w:sz="0" w:space="0" w:color="auto"/>
                <w:bottom w:val="none" w:sz="0" w:space="0" w:color="auto"/>
                <w:right w:val="none" w:sz="0" w:space="0" w:color="auto"/>
              </w:divBdr>
            </w:div>
            <w:div w:id="1421173648">
              <w:marLeft w:val="0"/>
              <w:marRight w:val="0"/>
              <w:marTop w:val="0"/>
              <w:marBottom w:val="0"/>
              <w:divBdr>
                <w:top w:val="none" w:sz="0" w:space="0" w:color="auto"/>
                <w:left w:val="none" w:sz="0" w:space="0" w:color="auto"/>
                <w:bottom w:val="none" w:sz="0" w:space="0" w:color="auto"/>
                <w:right w:val="none" w:sz="0" w:space="0" w:color="auto"/>
              </w:divBdr>
            </w:div>
            <w:div w:id="1663776120">
              <w:marLeft w:val="0"/>
              <w:marRight w:val="0"/>
              <w:marTop w:val="0"/>
              <w:marBottom w:val="0"/>
              <w:divBdr>
                <w:top w:val="none" w:sz="0" w:space="0" w:color="auto"/>
                <w:left w:val="none" w:sz="0" w:space="0" w:color="auto"/>
                <w:bottom w:val="none" w:sz="0" w:space="0" w:color="auto"/>
                <w:right w:val="none" w:sz="0" w:space="0" w:color="auto"/>
              </w:divBdr>
            </w:div>
            <w:div w:id="1678532380">
              <w:marLeft w:val="0"/>
              <w:marRight w:val="0"/>
              <w:marTop w:val="0"/>
              <w:marBottom w:val="0"/>
              <w:divBdr>
                <w:top w:val="none" w:sz="0" w:space="0" w:color="auto"/>
                <w:left w:val="none" w:sz="0" w:space="0" w:color="auto"/>
                <w:bottom w:val="none" w:sz="0" w:space="0" w:color="auto"/>
                <w:right w:val="none" w:sz="0" w:space="0" w:color="auto"/>
              </w:divBdr>
            </w:div>
            <w:div w:id="1692148137">
              <w:marLeft w:val="0"/>
              <w:marRight w:val="0"/>
              <w:marTop w:val="0"/>
              <w:marBottom w:val="0"/>
              <w:divBdr>
                <w:top w:val="none" w:sz="0" w:space="0" w:color="auto"/>
                <w:left w:val="none" w:sz="0" w:space="0" w:color="auto"/>
                <w:bottom w:val="none" w:sz="0" w:space="0" w:color="auto"/>
                <w:right w:val="none" w:sz="0" w:space="0" w:color="auto"/>
              </w:divBdr>
            </w:div>
            <w:div w:id="1719082809">
              <w:marLeft w:val="0"/>
              <w:marRight w:val="0"/>
              <w:marTop w:val="0"/>
              <w:marBottom w:val="0"/>
              <w:divBdr>
                <w:top w:val="none" w:sz="0" w:space="0" w:color="auto"/>
                <w:left w:val="none" w:sz="0" w:space="0" w:color="auto"/>
                <w:bottom w:val="none" w:sz="0" w:space="0" w:color="auto"/>
                <w:right w:val="none" w:sz="0" w:space="0" w:color="auto"/>
              </w:divBdr>
            </w:div>
            <w:div w:id="1732389744">
              <w:marLeft w:val="0"/>
              <w:marRight w:val="0"/>
              <w:marTop w:val="0"/>
              <w:marBottom w:val="0"/>
              <w:divBdr>
                <w:top w:val="none" w:sz="0" w:space="0" w:color="auto"/>
                <w:left w:val="none" w:sz="0" w:space="0" w:color="auto"/>
                <w:bottom w:val="none" w:sz="0" w:space="0" w:color="auto"/>
                <w:right w:val="none" w:sz="0" w:space="0" w:color="auto"/>
              </w:divBdr>
            </w:div>
            <w:div w:id="1738431850">
              <w:marLeft w:val="0"/>
              <w:marRight w:val="0"/>
              <w:marTop w:val="0"/>
              <w:marBottom w:val="0"/>
              <w:divBdr>
                <w:top w:val="none" w:sz="0" w:space="0" w:color="auto"/>
                <w:left w:val="none" w:sz="0" w:space="0" w:color="auto"/>
                <w:bottom w:val="none" w:sz="0" w:space="0" w:color="auto"/>
                <w:right w:val="none" w:sz="0" w:space="0" w:color="auto"/>
              </w:divBdr>
            </w:div>
            <w:div w:id="1770589601">
              <w:marLeft w:val="0"/>
              <w:marRight w:val="0"/>
              <w:marTop w:val="0"/>
              <w:marBottom w:val="0"/>
              <w:divBdr>
                <w:top w:val="none" w:sz="0" w:space="0" w:color="auto"/>
                <w:left w:val="none" w:sz="0" w:space="0" w:color="auto"/>
                <w:bottom w:val="none" w:sz="0" w:space="0" w:color="auto"/>
                <w:right w:val="none" w:sz="0" w:space="0" w:color="auto"/>
              </w:divBdr>
            </w:div>
            <w:div w:id="1815177241">
              <w:marLeft w:val="0"/>
              <w:marRight w:val="0"/>
              <w:marTop w:val="0"/>
              <w:marBottom w:val="0"/>
              <w:divBdr>
                <w:top w:val="none" w:sz="0" w:space="0" w:color="auto"/>
                <w:left w:val="none" w:sz="0" w:space="0" w:color="auto"/>
                <w:bottom w:val="none" w:sz="0" w:space="0" w:color="auto"/>
                <w:right w:val="none" w:sz="0" w:space="0" w:color="auto"/>
              </w:divBdr>
            </w:div>
            <w:div w:id="1821312673">
              <w:marLeft w:val="0"/>
              <w:marRight w:val="0"/>
              <w:marTop w:val="0"/>
              <w:marBottom w:val="0"/>
              <w:divBdr>
                <w:top w:val="none" w:sz="0" w:space="0" w:color="auto"/>
                <w:left w:val="none" w:sz="0" w:space="0" w:color="auto"/>
                <w:bottom w:val="none" w:sz="0" w:space="0" w:color="auto"/>
                <w:right w:val="none" w:sz="0" w:space="0" w:color="auto"/>
              </w:divBdr>
            </w:div>
            <w:div w:id="1838186137">
              <w:marLeft w:val="0"/>
              <w:marRight w:val="0"/>
              <w:marTop w:val="0"/>
              <w:marBottom w:val="0"/>
              <w:divBdr>
                <w:top w:val="none" w:sz="0" w:space="0" w:color="auto"/>
                <w:left w:val="none" w:sz="0" w:space="0" w:color="auto"/>
                <w:bottom w:val="none" w:sz="0" w:space="0" w:color="auto"/>
                <w:right w:val="none" w:sz="0" w:space="0" w:color="auto"/>
              </w:divBdr>
            </w:div>
            <w:div w:id="1870753912">
              <w:marLeft w:val="0"/>
              <w:marRight w:val="0"/>
              <w:marTop w:val="0"/>
              <w:marBottom w:val="0"/>
              <w:divBdr>
                <w:top w:val="none" w:sz="0" w:space="0" w:color="auto"/>
                <w:left w:val="none" w:sz="0" w:space="0" w:color="auto"/>
                <w:bottom w:val="none" w:sz="0" w:space="0" w:color="auto"/>
                <w:right w:val="none" w:sz="0" w:space="0" w:color="auto"/>
              </w:divBdr>
            </w:div>
          </w:divsChild>
        </w:div>
        <w:div w:id="1601644492">
          <w:marLeft w:val="0"/>
          <w:marRight w:val="0"/>
          <w:marTop w:val="0"/>
          <w:marBottom w:val="0"/>
          <w:divBdr>
            <w:top w:val="none" w:sz="0" w:space="0" w:color="auto"/>
            <w:left w:val="none" w:sz="0" w:space="0" w:color="auto"/>
            <w:bottom w:val="none" w:sz="0" w:space="0" w:color="auto"/>
            <w:right w:val="none" w:sz="0" w:space="0" w:color="auto"/>
          </w:divBdr>
        </w:div>
        <w:div w:id="1611744533">
          <w:marLeft w:val="0"/>
          <w:marRight w:val="0"/>
          <w:marTop w:val="0"/>
          <w:marBottom w:val="0"/>
          <w:divBdr>
            <w:top w:val="none" w:sz="0" w:space="0" w:color="auto"/>
            <w:left w:val="none" w:sz="0" w:space="0" w:color="auto"/>
            <w:bottom w:val="none" w:sz="0" w:space="0" w:color="auto"/>
            <w:right w:val="none" w:sz="0" w:space="0" w:color="auto"/>
          </w:divBdr>
        </w:div>
        <w:div w:id="1615402231">
          <w:marLeft w:val="0"/>
          <w:marRight w:val="0"/>
          <w:marTop w:val="0"/>
          <w:marBottom w:val="0"/>
          <w:divBdr>
            <w:top w:val="none" w:sz="0" w:space="0" w:color="auto"/>
            <w:left w:val="none" w:sz="0" w:space="0" w:color="auto"/>
            <w:bottom w:val="none" w:sz="0" w:space="0" w:color="auto"/>
            <w:right w:val="none" w:sz="0" w:space="0" w:color="auto"/>
          </w:divBdr>
        </w:div>
        <w:div w:id="1627814614">
          <w:marLeft w:val="0"/>
          <w:marRight w:val="0"/>
          <w:marTop w:val="0"/>
          <w:marBottom w:val="0"/>
          <w:divBdr>
            <w:top w:val="none" w:sz="0" w:space="0" w:color="auto"/>
            <w:left w:val="none" w:sz="0" w:space="0" w:color="auto"/>
            <w:bottom w:val="none" w:sz="0" w:space="0" w:color="auto"/>
            <w:right w:val="none" w:sz="0" w:space="0" w:color="auto"/>
          </w:divBdr>
        </w:div>
        <w:div w:id="1640114859">
          <w:marLeft w:val="0"/>
          <w:marRight w:val="0"/>
          <w:marTop w:val="0"/>
          <w:marBottom w:val="0"/>
          <w:divBdr>
            <w:top w:val="none" w:sz="0" w:space="0" w:color="auto"/>
            <w:left w:val="none" w:sz="0" w:space="0" w:color="auto"/>
            <w:bottom w:val="none" w:sz="0" w:space="0" w:color="auto"/>
            <w:right w:val="none" w:sz="0" w:space="0" w:color="auto"/>
          </w:divBdr>
        </w:div>
        <w:div w:id="1640457989">
          <w:marLeft w:val="0"/>
          <w:marRight w:val="0"/>
          <w:marTop w:val="0"/>
          <w:marBottom w:val="0"/>
          <w:divBdr>
            <w:top w:val="none" w:sz="0" w:space="0" w:color="auto"/>
            <w:left w:val="none" w:sz="0" w:space="0" w:color="auto"/>
            <w:bottom w:val="none" w:sz="0" w:space="0" w:color="auto"/>
            <w:right w:val="none" w:sz="0" w:space="0" w:color="auto"/>
          </w:divBdr>
        </w:div>
        <w:div w:id="1642421897">
          <w:marLeft w:val="0"/>
          <w:marRight w:val="0"/>
          <w:marTop w:val="0"/>
          <w:marBottom w:val="0"/>
          <w:divBdr>
            <w:top w:val="none" w:sz="0" w:space="0" w:color="auto"/>
            <w:left w:val="none" w:sz="0" w:space="0" w:color="auto"/>
            <w:bottom w:val="none" w:sz="0" w:space="0" w:color="auto"/>
            <w:right w:val="none" w:sz="0" w:space="0" w:color="auto"/>
          </w:divBdr>
        </w:div>
        <w:div w:id="1686321237">
          <w:marLeft w:val="0"/>
          <w:marRight w:val="0"/>
          <w:marTop w:val="0"/>
          <w:marBottom w:val="0"/>
          <w:divBdr>
            <w:top w:val="none" w:sz="0" w:space="0" w:color="auto"/>
            <w:left w:val="none" w:sz="0" w:space="0" w:color="auto"/>
            <w:bottom w:val="none" w:sz="0" w:space="0" w:color="auto"/>
            <w:right w:val="none" w:sz="0" w:space="0" w:color="auto"/>
          </w:divBdr>
        </w:div>
        <w:div w:id="1690132840">
          <w:marLeft w:val="0"/>
          <w:marRight w:val="0"/>
          <w:marTop w:val="0"/>
          <w:marBottom w:val="0"/>
          <w:divBdr>
            <w:top w:val="none" w:sz="0" w:space="0" w:color="auto"/>
            <w:left w:val="none" w:sz="0" w:space="0" w:color="auto"/>
            <w:bottom w:val="none" w:sz="0" w:space="0" w:color="auto"/>
            <w:right w:val="none" w:sz="0" w:space="0" w:color="auto"/>
          </w:divBdr>
        </w:div>
        <w:div w:id="1692493844">
          <w:marLeft w:val="0"/>
          <w:marRight w:val="0"/>
          <w:marTop w:val="0"/>
          <w:marBottom w:val="0"/>
          <w:divBdr>
            <w:top w:val="none" w:sz="0" w:space="0" w:color="auto"/>
            <w:left w:val="none" w:sz="0" w:space="0" w:color="auto"/>
            <w:bottom w:val="none" w:sz="0" w:space="0" w:color="auto"/>
            <w:right w:val="none" w:sz="0" w:space="0" w:color="auto"/>
          </w:divBdr>
        </w:div>
        <w:div w:id="1709866372">
          <w:marLeft w:val="0"/>
          <w:marRight w:val="0"/>
          <w:marTop w:val="0"/>
          <w:marBottom w:val="0"/>
          <w:divBdr>
            <w:top w:val="none" w:sz="0" w:space="0" w:color="auto"/>
            <w:left w:val="none" w:sz="0" w:space="0" w:color="auto"/>
            <w:bottom w:val="none" w:sz="0" w:space="0" w:color="auto"/>
            <w:right w:val="none" w:sz="0" w:space="0" w:color="auto"/>
          </w:divBdr>
        </w:div>
        <w:div w:id="1720350374">
          <w:marLeft w:val="0"/>
          <w:marRight w:val="0"/>
          <w:marTop w:val="0"/>
          <w:marBottom w:val="0"/>
          <w:divBdr>
            <w:top w:val="none" w:sz="0" w:space="0" w:color="auto"/>
            <w:left w:val="none" w:sz="0" w:space="0" w:color="auto"/>
            <w:bottom w:val="none" w:sz="0" w:space="0" w:color="auto"/>
            <w:right w:val="none" w:sz="0" w:space="0" w:color="auto"/>
          </w:divBdr>
        </w:div>
        <w:div w:id="1723361076">
          <w:marLeft w:val="0"/>
          <w:marRight w:val="0"/>
          <w:marTop w:val="0"/>
          <w:marBottom w:val="0"/>
          <w:divBdr>
            <w:top w:val="none" w:sz="0" w:space="0" w:color="auto"/>
            <w:left w:val="none" w:sz="0" w:space="0" w:color="auto"/>
            <w:bottom w:val="none" w:sz="0" w:space="0" w:color="auto"/>
            <w:right w:val="none" w:sz="0" w:space="0" w:color="auto"/>
          </w:divBdr>
        </w:div>
        <w:div w:id="1733625538">
          <w:marLeft w:val="0"/>
          <w:marRight w:val="0"/>
          <w:marTop w:val="0"/>
          <w:marBottom w:val="0"/>
          <w:divBdr>
            <w:top w:val="none" w:sz="0" w:space="0" w:color="auto"/>
            <w:left w:val="none" w:sz="0" w:space="0" w:color="auto"/>
            <w:bottom w:val="none" w:sz="0" w:space="0" w:color="auto"/>
            <w:right w:val="none" w:sz="0" w:space="0" w:color="auto"/>
          </w:divBdr>
        </w:div>
        <w:div w:id="1742944248">
          <w:marLeft w:val="0"/>
          <w:marRight w:val="0"/>
          <w:marTop w:val="0"/>
          <w:marBottom w:val="0"/>
          <w:divBdr>
            <w:top w:val="none" w:sz="0" w:space="0" w:color="auto"/>
            <w:left w:val="none" w:sz="0" w:space="0" w:color="auto"/>
            <w:bottom w:val="none" w:sz="0" w:space="0" w:color="auto"/>
            <w:right w:val="none" w:sz="0" w:space="0" w:color="auto"/>
          </w:divBdr>
        </w:div>
        <w:div w:id="1746998982">
          <w:marLeft w:val="0"/>
          <w:marRight w:val="0"/>
          <w:marTop w:val="0"/>
          <w:marBottom w:val="0"/>
          <w:divBdr>
            <w:top w:val="none" w:sz="0" w:space="0" w:color="auto"/>
            <w:left w:val="none" w:sz="0" w:space="0" w:color="auto"/>
            <w:bottom w:val="none" w:sz="0" w:space="0" w:color="auto"/>
            <w:right w:val="none" w:sz="0" w:space="0" w:color="auto"/>
          </w:divBdr>
        </w:div>
        <w:div w:id="1757169543">
          <w:marLeft w:val="0"/>
          <w:marRight w:val="0"/>
          <w:marTop w:val="0"/>
          <w:marBottom w:val="0"/>
          <w:divBdr>
            <w:top w:val="none" w:sz="0" w:space="0" w:color="auto"/>
            <w:left w:val="none" w:sz="0" w:space="0" w:color="auto"/>
            <w:bottom w:val="none" w:sz="0" w:space="0" w:color="auto"/>
            <w:right w:val="none" w:sz="0" w:space="0" w:color="auto"/>
          </w:divBdr>
        </w:div>
        <w:div w:id="1766531976">
          <w:marLeft w:val="0"/>
          <w:marRight w:val="0"/>
          <w:marTop w:val="0"/>
          <w:marBottom w:val="0"/>
          <w:divBdr>
            <w:top w:val="none" w:sz="0" w:space="0" w:color="auto"/>
            <w:left w:val="none" w:sz="0" w:space="0" w:color="auto"/>
            <w:bottom w:val="none" w:sz="0" w:space="0" w:color="auto"/>
            <w:right w:val="none" w:sz="0" w:space="0" w:color="auto"/>
          </w:divBdr>
        </w:div>
        <w:div w:id="1771008135">
          <w:marLeft w:val="0"/>
          <w:marRight w:val="0"/>
          <w:marTop w:val="0"/>
          <w:marBottom w:val="0"/>
          <w:divBdr>
            <w:top w:val="none" w:sz="0" w:space="0" w:color="auto"/>
            <w:left w:val="none" w:sz="0" w:space="0" w:color="auto"/>
            <w:bottom w:val="none" w:sz="0" w:space="0" w:color="auto"/>
            <w:right w:val="none" w:sz="0" w:space="0" w:color="auto"/>
          </w:divBdr>
        </w:div>
        <w:div w:id="1792432117">
          <w:marLeft w:val="0"/>
          <w:marRight w:val="0"/>
          <w:marTop w:val="0"/>
          <w:marBottom w:val="0"/>
          <w:divBdr>
            <w:top w:val="none" w:sz="0" w:space="0" w:color="auto"/>
            <w:left w:val="none" w:sz="0" w:space="0" w:color="auto"/>
            <w:bottom w:val="none" w:sz="0" w:space="0" w:color="auto"/>
            <w:right w:val="none" w:sz="0" w:space="0" w:color="auto"/>
          </w:divBdr>
        </w:div>
        <w:div w:id="1800144909">
          <w:marLeft w:val="0"/>
          <w:marRight w:val="0"/>
          <w:marTop w:val="0"/>
          <w:marBottom w:val="0"/>
          <w:divBdr>
            <w:top w:val="none" w:sz="0" w:space="0" w:color="auto"/>
            <w:left w:val="none" w:sz="0" w:space="0" w:color="auto"/>
            <w:bottom w:val="none" w:sz="0" w:space="0" w:color="auto"/>
            <w:right w:val="none" w:sz="0" w:space="0" w:color="auto"/>
          </w:divBdr>
        </w:div>
        <w:div w:id="1803231151">
          <w:marLeft w:val="0"/>
          <w:marRight w:val="0"/>
          <w:marTop w:val="0"/>
          <w:marBottom w:val="0"/>
          <w:divBdr>
            <w:top w:val="none" w:sz="0" w:space="0" w:color="auto"/>
            <w:left w:val="none" w:sz="0" w:space="0" w:color="auto"/>
            <w:bottom w:val="none" w:sz="0" w:space="0" w:color="auto"/>
            <w:right w:val="none" w:sz="0" w:space="0" w:color="auto"/>
          </w:divBdr>
        </w:div>
        <w:div w:id="1803498020">
          <w:marLeft w:val="0"/>
          <w:marRight w:val="0"/>
          <w:marTop w:val="0"/>
          <w:marBottom w:val="0"/>
          <w:divBdr>
            <w:top w:val="none" w:sz="0" w:space="0" w:color="auto"/>
            <w:left w:val="none" w:sz="0" w:space="0" w:color="auto"/>
            <w:bottom w:val="none" w:sz="0" w:space="0" w:color="auto"/>
            <w:right w:val="none" w:sz="0" w:space="0" w:color="auto"/>
          </w:divBdr>
        </w:div>
        <w:div w:id="1842888420">
          <w:marLeft w:val="0"/>
          <w:marRight w:val="0"/>
          <w:marTop w:val="0"/>
          <w:marBottom w:val="0"/>
          <w:divBdr>
            <w:top w:val="none" w:sz="0" w:space="0" w:color="auto"/>
            <w:left w:val="none" w:sz="0" w:space="0" w:color="auto"/>
            <w:bottom w:val="none" w:sz="0" w:space="0" w:color="auto"/>
            <w:right w:val="none" w:sz="0" w:space="0" w:color="auto"/>
          </w:divBdr>
          <w:divsChild>
            <w:div w:id="58752026">
              <w:marLeft w:val="0"/>
              <w:marRight w:val="0"/>
              <w:marTop w:val="0"/>
              <w:marBottom w:val="0"/>
              <w:divBdr>
                <w:top w:val="none" w:sz="0" w:space="0" w:color="auto"/>
                <w:left w:val="none" w:sz="0" w:space="0" w:color="auto"/>
                <w:bottom w:val="none" w:sz="0" w:space="0" w:color="auto"/>
                <w:right w:val="none" w:sz="0" w:space="0" w:color="auto"/>
              </w:divBdr>
            </w:div>
            <w:div w:id="202178959">
              <w:marLeft w:val="0"/>
              <w:marRight w:val="0"/>
              <w:marTop w:val="0"/>
              <w:marBottom w:val="0"/>
              <w:divBdr>
                <w:top w:val="none" w:sz="0" w:space="0" w:color="auto"/>
                <w:left w:val="none" w:sz="0" w:space="0" w:color="auto"/>
                <w:bottom w:val="none" w:sz="0" w:space="0" w:color="auto"/>
                <w:right w:val="none" w:sz="0" w:space="0" w:color="auto"/>
              </w:divBdr>
            </w:div>
            <w:div w:id="306739115">
              <w:marLeft w:val="0"/>
              <w:marRight w:val="0"/>
              <w:marTop w:val="0"/>
              <w:marBottom w:val="0"/>
              <w:divBdr>
                <w:top w:val="none" w:sz="0" w:space="0" w:color="auto"/>
                <w:left w:val="none" w:sz="0" w:space="0" w:color="auto"/>
                <w:bottom w:val="none" w:sz="0" w:space="0" w:color="auto"/>
                <w:right w:val="none" w:sz="0" w:space="0" w:color="auto"/>
              </w:divBdr>
            </w:div>
            <w:div w:id="495147628">
              <w:marLeft w:val="0"/>
              <w:marRight w:val="0"/>
              <w:marTop w:val="0"/>
              <w:marBottom w:val="0"/>
              <w:divBdr>
                <w:top w:val="none" w:sz="0" w:space="0" w:color="auto"/>
                <w:left w:val="none" w:sz="0" w:space="0" w:color="auto"/>
                <w:bottom w:val="none" w:sz="0" w:space="0" w:color="auto"/>
                <w:right w:val="none" w:sz="0" w:space="0" w:color="auto"/>
              </w:divBdr>
            </w:div>
            <w:div w:id="513956402">
              <w:marLeft w:val="0"/>
              <w:marRight w:val="0"/>
              <w:marTop w:val="0"/>
              <w:marBottom w:val="0"/>
              <w:divBdr>
                <w:top w:val="none" w:sz="0" w:space="0" w:color="auto"/>
                <w:left w:val="none" w:sz="0" w:space="0" w:color="auto"/>
                <w:bottom w:val="none" w:sz="0" w:space="0" w:color="auto"/>
                <w:right w:val="none" w:sz="0" w:space="0" w:color="auto"/>
              </w:divBdr>
            </w:div>
            <w:div w:id="565339553">
              <w:marLeft w:val="0"/>
              <w:marRight w:val="0"/>
              <w:marTop w:val="0"/>
              <w:marBottom w:val="0"/>
              <w:divBdr>
                <w:top w:val="none" w:sz="0" w:space="0" w:color="auto"/>
                <w:left w:val="none" w:sz="0" w:space="0" w:color="auto"/>
                <w:bottom w:val="none" w:sz="0" w:space="0" w:color="auto"/>
                <w:right w:val="none" w:sz="0" w:space="0" w:color="auto"/>
              </w:divBdr>
            </w:div>
            <w:div w:id="1021130775">
              <w:marLeft w:val="0"/>
              <w:marRight w:val="0"/>
              <w:marTop w:val="0"/>
              <w:marBottom w:val="0"/>
              <w:divBdr>
                <w:top w:val="none" w:sz="0" w:space="0" w:color="auto"/>
                <w:left w:val="none" w:sz="0" w:space="0" w:color="auto"/>
                <w:bottom w:val="none" w:sz="0" w:space="0" w:color="auto"/>
                <w:right w:val="none" w:sz="0" w:space="0" w:color="auto"/>
              </w:divBdr>
            </w:div>
            <w:div w:id="1158889088">
              <w:marLeft w:val="0"/>
              <w:marRight w:val="0"/>
              <w:marTop w:val="0"/>
              <w:marBottom w:val="0"/>
              <w:divBdr>
                <w:top w:val="none" w:sz="0" w:space="0" w:color="auto"/>
                <w:left w:val="none" w:sz="0" w:space="0" w:color="auto"/>
                <w:bottom w:val="none" w:sz="0" w:space="0" w:color="auto"/>
                <w:right w:val="none" w:sz="0" w:space="0" w:color="auto"/>
              </w:divBdr>
            </w:div>
            <w:div w:id="1368992567">
              <w:marLeft w:val="0"/>
              <w:marRight w:val="0"/>
              <w:marTop w:val="0"/>
              <w:marBottom w:val="0"/>
              <w:divBdr>
                <w:top w:val="none" w:sz="0" w:space="0" w:color="auto"/>
                <w:left w:val="none" w:sz="0" w:space="0" w:color="auto"/>
                <w:bottom w:val="none" w:sz="0" w:space="0" w:color="auto"/>
                <w:right w:val="none" w:sz="0" w:space="0" w:color="auto"/>
              </w:divBdr>
            </w:div>
            <w:div w:id="1388916573">
              <w:marLeft w:val="0"/>
              <w:marRight w:val="0"/>
              <w:marTop w:val="0"/>
              <w:marBottom w:val="0"/>
              <w:divBdr>
                <w:top w:val="none" w:sz="0" w:space="0" w:color="auto"/>
                <w:left w:val="none" w:sz="0" w:space="0" w:color="auto"/>
                <w:bottom w:val="none" w:sz="0" w:space="0" w:color="auto"/>
                <w:right w:val="none" w:sz="0" w:space="0" w:color="auto"/>
              </w:divBdr>
            </w:div>
            <w:div w:id="1418789928">
              <w:marLeft w:val="0"/>
              <w:marRight w:val="0"/>
              <w:marTop w:val="0"/>
              <w:marBottom w:val="0"/>
              <w:divBdr>
                <w:top w:val="none" w:sz="0" w:space="0" w:color="auto"/>
                <w:left w:val="none" w:sz="0" w:space="0" w:color="auto"/>
                <w:bottom w:val="none" w:sz="0" w:space="0" w:color="auto"/>
                <w:right w:val="none" w:sz="0" w:space="0" w:color="auto"/>
              </w:divBdr>
            </w:div>
            <w:div w:id="1421685103">
              <w:marLeft w:val="0"/>
              <w:marRight w:val="0"/>
              <w:marTop w:val="0"/>
              <w:marBottom w:val="0"/>
              <w:divBdr>
                <w:top w:val="none" w:sz="0" w:space="0" w:color="auto"/>
                <w:left w:val="none" w:sz="0" w:space="0" w:color="auto"/>
                <w:bottom w:val="none" w:sz="0" w:space="0" w:color="auto"/>
                <w:right w:val="none" w:sz="0" w:space="0" w:color="auto"/>
              </w:divBdr>
            </w:div>
            <w:div w:id="1461805289">
              <w:marLeft w:val="0"/>
              <w:marRight w:val="0"/>
              <w:marTop w:val="0"/>
              <w:marBottom w:val="0"/>
              <w:divBdr>
                <w:top w:val="none" w:sz="0" w:space="0" w:color="auto"/>
                <w:left w:val="none" w:sz="0" w:space="0" w:color="auto"/>
                <w:bottom w:val="none" w:sz="0" w:space="0" w:color="auto"/>
                <w:right w:val="none" w:sz="0" w:space="0" w:color="auto"/>
              </w:divBdr>
            </w:div>
            <w:div w:id="1583299514">
              <w:marLeft w:val="0"/>
              <w:marRight w:val="0"/>
              <w:marTop w:val="0"/>
              <w:marBottom w:val="0"/>
              <w:divBdr>
                <w:top w:val="none" w:sz="0" w:space="0" w:color="auto"/>
                <w:left w:val="none" w:sz="0" w:space="0" w:color="auto"/>
                <w:bottom w:val="none" w:sz="0" w:space="0" w:color="auto"/>
                <w:right w:val="none" w:sz="0" w:space="0" w:color="auto"/>
              </w:divBdr>
            </w:div>
            <w:div w:id="1900902405">
              <w:marLeft w:val="0"/>
              <w:marRight w:val="0"/>
              <w:marTop w:val="0"/>
              <w:marBottom w:val="0"/>
              <w:divBdr>
                <w:top w:val="none" w:sz="0" w:space="0" w:color="auto"/>
                <w:left w:val="none" w:sz="0" w:space="0" w:color="auto"/>
                <w:bottom w:val="none" w:sz="0" w:space="0" w:color="auto"/>
                <w:right w:val="none" w:sz="0" w:space="0" w:color="auto"/>
              </w:divBdr>
            </w:div>
            <w:div w:id="1953776764">
              <w:marLeft w:val="0"/>
              <w:marRight w:val="0"/>
              <w:marTop w:val="0"/>
              <w:marBottom w:val="0"/>
              <w:divBdr>
                <w:top w:val="none" w:sz="0" w:space="0" w:color="auto"/>
                <w:left w:val="none" w:sz="0" w:space="0" w:color="auto"/>
                <w:bottom w:val="none" w:sz="0" w:space="0" w:color="auto"/>
                <w:right w:val="none" w:sz="0" w:space="0" w:color="auto"/>
              </w:divBdr>
            </w:div>
            <w:div w:id="2006207138">
              <w:marLeft w:val="0"/>
              <w:marRight w:val="0"/>
              <w:marTop w:val="0"/>
              <w:marBottom w:val="0"/>
              <w:divBdr>
                <w:top w:val="none" w:sz="0" w:space="0" w:color="auto"/>
                <w:left w:val="none" w:sz="0" w:space="0" w:color="auto"/>
                <w:bottom w:val="none" w:sz="0" w:space="0" w:color="auto"/>
                <w:right w:val="none" w:sz="0" w:space="0" w:color="auto"/>
              </w:divBdr>
            </w:div>
            <w:div w:id="2014334090">
              <w:marLeft w:val="0"/>
              <w:marRight w:val="0"/>
              <w:marTop w:val="0"/>
              <w:marBottom w:val="0"/>
              <w:divBdr>
                <w:top w:val="none" w:sz="0" w:space="0" w:color="auto"/>
                <w:left w:val="none" w:sz="0" w:space="0" w:color="auto"/>
                <w:bottom w:val="none" w:sz="0" w:space="0" w:color="auto"/>
                <w:right w:val="none" w:sz="0" w:space="0" w:color="auto"/>
              </w:divBdr>
            </w:div>
            <w:div w:id="2026058610">
              <w:marLeft w:val="0"/>
              <w:marRight w:val="0"/>
              <w:marTop w:val="0"/>
              <w:marBottom w:val="0"/>
              <w:divBdr>
                <w:top w:val="none" w:sz="0" w:space="0" w:color="auto"/>
                <w:left w:val="none" w:sz="0" w:space="0" w:color="auto"/>
                <w:bottom w:val="none" w:sz="0" w:space="0" w:color="auto"/>
                <w:right w:val="none" w:sz="0" w:space="0" w:color="auto"/>
              </w:divBdr>
            </w:div>
            <w:div w:id="2077702733">
              <w:marLeft w:val="0"/>
              <w:marRight w:val="0"/>
              <w:marTop w:val="0"/>
              <w:marBottom w:val="0"/>
              <w:divBdr>
                <w:top w:val="none" w:sz="0" w:space="0" w:color="auto"/>
                <w:left w:val="none" w:sz="0" w:space="0" w:color="auto"/>
                <w:bottom w:val="none" w:sz="0" w:space="0" w:color="auto"/>
                <w:right w:val="none" w:sz="0" w:space="0" w:color="auto"/>
              </w:divBdr>
            </w:div>
          </w:divsChild>
        </w:div>
        <w:div w:id="1843277717">
          <w:marLeft w:val="0"/>
          <w:marRight w:val="0"/>
          <w:marTop w:val="0"/>
          <w:marBottom w:val="0"/>
          <w:divBdr>
            <w:top w:val="none" w:sz="0" w:space="0" w:color="auto"/>
            <w:left w:val="none" w:sz="0" w:space="0" w:color="auto"/>
            <w:bottom w:val="none" w:sz="0" w:space="0" w:color="auto"/>
            <w:right w:val="none" w:sz="0" w:space="0" w:color="auto"/>
          </w:divBdr>
        </w:div>
        <w:div w:id="1845436494">
          <w:marLeft w:val="0"/>
          <w:marRight w:val="0"/>
          <w:marTop w:val="0"/>
          <w:marBottom w:val="0"/>
          <w:divBdr>
            <w:top w:val="none" w:sz="0" w:space="0" w:color="auto"/>
            <w:left w:val="none" w:sz="0" w:space="0" w:color="auto"/>
            <w:bottom w:val="none" w:sz="0" w:space="0" w:color="auto"/>
            <w:right w:val="none" w:sz="0" w:space="0" w:color="auto"/>
          </w:divBdr>
        </w:div>
        <w:div w:id="1852407743">
          <w:marLeft w:val="0"/>
          <w:marRight w:val="0"/>
          <w:marTop w:val="0"/>
          <w:marBottom w:val="0"/>
          <w:divBdr>
            <w:top w:val="none" w:sz="0" w:space="0" w:color="auto"/>
            <w:left w:val="none" w:sz="0" w:space="0" w:color="auto"/>
            <w:bottom w:val="none" w:sz="0" w:space="0" w:color="auto"/>
            <w:right w:val="none" w:sz="0" w:space="0" w:color="auto"/>
          </w:divBdr>
        </w:div>
        <w:div w:id="1861435336">
          <w:marLeft w:val="0"/>
          <w:marRight w:val="0"/>
          <w:marTop w:val="0"/>
          <w:marBottom w:val="0"/>
          <w:divBdr>
            <w:top w:val="none" w:sz="0" w:space="0" w:color="auto"/>
            <w:left w:val="none" w:sz="0" w:space="0" w:color="auto"/>
            <w:bottom w:val="none" w:sz="0" w:space="0" w:color="auto"/>
            <w:right w:val="none" w:sz="0" w:space="0" w:color="auto"/>
          </w:divBdr>
        </w:div>
        <w:div w:id="1885215085">
          <w:marLeft w:val="0"/>
          <w:marRight w:val="0"/>
          <w:marTop w:val="0"/>
          <w:marBottom w:val="0"/>
          <w:divBdr>
            <w:top w:val="none" w:sz="0" w:space="0" w:color="auto"/>
            <w:left w:val="none" w:sz="0" w:space="0" w:color="auto"/>
            <w:bottom w:val="none" w:sz="0" w:space="0" w:color="auto"/>
            <w:right w:val="none" w:sz="0" w:space="0" w:color="auto"/>
          </w:divBdr>
        </w:div>
        <w:div w:id="1889603333">
          <w:marLeft w:val="0"/>
          <w:marRight w:val="0"/>
          <w:marTop w:val="0"/>
          <w:marBottom w:val="0"/>
          <w:divBdr>
            <w:top w:val="none" w:sz="0" w:space="0" w:color="auto"/>
            <w:left w:val="none" w:sz="0" w:space="0" w:color="auto"/>
            <w:bottom w:val="none" w:sz="0" w:space="0" w:color="auto"/>
            <w:right w:val="none" w:sz="0" w:space="0" w:color="auto"/>
          </w:divBdr>
        </w:div>
        <w:div w:id="1890217990">
          <w:marLeft w:val="0"/>
          <w:marRight w:val="0"/>
          <w:marTop w:val="0"/>
          <w:marBottom w:val="0"/>
          <w:divBdr>
            <w:top w:val="none" w:sz="0" w:space="0" w:color="auto"/>
            <w:left w:val="none" w:sz="0" w:space="0" w:color="auto"/>
            <w:bottom w:val="none" w:sz="0" w:space="0" w:color="auto"/>
            <w:right w:val="none" w:sz="0" w:space="0" w:color="auto"/>
          </w:divBdr>
        </w:div>
        <w:div w:id="1890264268">
          <w:marLeft w:val="0"/>
          <w:marRight w:val="0"/>
          <w:marTop w:val="0"/>
          <w:marBottom w:val="0"/>
          <w:divBdr>
            <w:top w:val="none" w:sz="0" w:space="0" w:color="auto"/>
            <w:left w:val="none" w:sz="0" w:space="0" w:color="auto"/>
            <w:bottom w:val="none" w:sz="0" w:space="0" w:color="auto"/>
            <w:right w:val="none" w:sz="0" w:space="0" w:color="auto"/>
          </w:divBdr>
        </w:div>
        <w:div w:id="1891651416">
          <w:marLeft w:val="0"/>
          <w:marRight w:val="0"/>
          <w:marTop w:val="0"/>
          <w:marBottom w:val="0"/>
          <w:divBdr>
            <w:top w:val="none" w:sz="0" w:space="0" w:color="auto"/>
            <w:left w:val="none" w:sz="0" w:space="0" w:color="auto"/>
            <w:bottom w:val="none" w:sz="0" w:space="0" w:color="auto"/>
            <w:right w:val="none" w:sz="0" w:space="0" w:color="auto"/>
          </w:divBdr>
        </w:div>
        <w:div w:id="1893229924">
          <w:marLeft w:val="0"/>
          <w:marRight w:val="0"/>
          <w:marTop w:val="0"/>
          <w:marBottom w:val="0"/>
          <w:divBdr>
            <w:top w:val="none" w:sz="0" w:space="0" w:color="auto"/>
            <w:left w:val="none" w:sz="0" w:space="0" w:color="auto"/>
            <w:bottom w:val="none" w:sz="0" w:space="0" w:color="auto"/>
            <w:right w:val="none" w:sz="0" w:space="0" w:color="auto"/>
          </w:divBdr>
        </w:div>
        <w:div w:id="1904758857">
          <w:marLeft w:val="0"/>
          <w:marRight w:val="0"/>
          <w:marTop w:val="0"/>
          <w:marBottom w:val="0"/>
          <w:divBdr>
            <w:top w:val="none" w:sz="0" w:space="0" w:color="auto"/>
            <w:left w:val="none" w:sz="0" w:space="0" w:color="auto"/>
            <w:bottom w:val="none" w:sz="0" w:space="0" w:color="auto"/>
            <w:right w:val="none" w:sz="0" w:space="0" w:color="auto"/>
          </w:divBdr>
        </w:div>
        <w:div w:id="1934194032">
          <w:marLeft w:val="0"/>
          <w:marRight w:val="0"/>
          <w:marTop w:val="0"/>
          <w:marBottom w:val="0"/>
          <w:divBdr>
            <w:top w:val="none" w:sz="0" w:space="0" w:color="auto"/>
            <w:left w:val="none" w:sz="0" w:space="0" w:color="auto"/>
            <w:bottom w:val="none" w:sz="0" w:space="0" w:color="auto"/>
            <w:right w:val="none" w:sz="0" w:space="0" w:color="auto"/>
          </w:divBdr>
        </w:div>
        <w:div w:id="1945065869">
          <w:marLeft w:val="0"/>
          <w:marRight w:val="0"/>
          <w:marTop w:val="0"/>
          <w:marBottom w:val="0"/>
          <w:divBdr>
            <w:top w:val="none" w:sz="0" w:space="0" w:color="auto"/>
            <w:left w:val="none" w:sz="0" w:space="0" w:color="auto"/>
            <w:bottom w:val="none" w:sz="0" w:space="0" w:color="auto"/>
            <w:right w:val="none" w:sz="0" w:space="0" w:color="auto"/>
          </w:divBdr>
        </w:div>
        <w:div w:id="1966766615">
          <w:marLeft w:val="0"/>
          <w:marRight w:val="0"/>
          <w:marTop w:val="0"/>
          <w:marBottom w:val="0"/>
          <w:divBdr>
            <w:top w:val="none" w:sz="0" w:space="0" w:color="auto"/>
            <w:left w:val="none" w:sz="0" w:space="0" w:color="auto"/>
            <w:bottom w:val="none" w:sz="0" w:space="0" w:color="auto"/>
            <w:right w:val="none" w:sz="0" w:space="0" w:color="auto"/>
          </w:divBdr>
        </w:div>
        <w:div w:id="1971478410">
          <w:marLeft w:val="0"/>
          <w:marRight w:val="0"/>
          <w:marTop w:val="0"/>
          <w:marBottom w:val="0"/>
          <w:divBdr>
            <w:top w:val="none" w:sz="0" w:space="0" w:color="auto"/>
            <w:left w:val="none" w:sz="0" w:space="0" w:color="auto"/>
            <w:bottom w:val="none" w:sz="0" w:space="0" w:color="auto"/>
            <w:right w:val="none" w:sz="0" w:space="0" w:color="auto"/>
          </w:divBdr>
        </w:div>
        <w:div w:id="2033803254">
          <w:marLeft w:val="0"/>
          <w:marRight w:val="0"/>
          <w:marTop w:val="0"/>
          <w:marBottom w:val="0"/>
          <w:divBdr>
            <w:top w:val="none" w:sz="0" w:space="0" w:color="auto"/>
            <w:left w:val="none" w:sz="0" w:space="0" w:color="auto"/>
            <w:bottom w:val="none" w:sz="0" w:space="0" w:color="auto"/>
            <w:right w:val="none" w:sz="0" w:space="0" w:color="auto"/>
          </w:divBdr>
        </w:div>
        <w:div w:id="2044205784">
          <w:marLeft w:val="0"/>
          <w:marRight w:val="0"/>
          <w:marTop w:val="0"/>
          <w:marBottom w:val="0"/>
          <w:divBdr>
            <w:top w:val="none" w:sz="0" w:space="0" w:color="auto"/>
            <w:left w:val="none" w:sz="0" w:space="0" w:color="auto"/>
            <w:bottom w:val="none" w:sz="0" w:space="0" w:color="auto"/>
            <w:right w:val="none" w:sz="0" w:space="0" w:color="auto"/>
          </w:divBdr>
        </w:div>
        <w:div w:id="2059545802">
          <w:marLeft w:val="0"/>
          <w:marRight w:val="0"/>
          <w:marTop w:val="0"/>
          <w:marBottom w:val="0"/>
          <w:divBdr>
            <w:top w:val="none" w:sz="0" w:space="0" w:color="auto"/>
            <w:left w:val="none" w:sz="0" w:space="0" w:color="auto"/>
            <w:bottom w:val="none" w:sz="0" w:space="0" w:color="auto"/>
            <w:right w:val="none" w:sz="0" w:space="0" w:color="auto"/>
          </w:divBdr>
        </w:div>
        <w:div w:id="2067793628">
          <w:marLeft w:val="0"/>
          <w:marRight w:val="0"/>
          <w:marTop w:val="0"/>
          <w:marBottom w:val="0"/>
          <w:divBdr>
            <w:top w:val="none" w:sz="0" w:space="0" w:color="auto"/>
            <w:left w:val="none" w:sz="0" w:space="0" w:color="auto"/>
            <w:bottom w:val="none" w:sz="0" w:space="0" w:color="auto"/>
            <w:right w:val="none" w:sz="0" w:space="0" w:color="auto"/>
          </w:divBdr>
        </w:div>
        <w:div w:id="2107922491">
          <w:marLeft w:val="0"/>
          <w:marRight w:val="0"/>
          <w:marTop w:val="0"/>
          <w:marBottom w:val="0"/>
          <w:divBdr>
            <w:top w:val="none" w:sz="0" w:space="0" w:color="auto"/>
            <w:left w:val="none" w:sz="0" w:space="0" w:color="auto"/>
            <w:bottom w:val="none" w:sz="0" w:space="0" w:color="auto"/>
            <w:right w:val="none" w:sz="0" w:space="0" w:color="auto"/>
          </w:divBdr>
        </w:div>
        <w:div w:id="2112161264">
          <w:marLeft w:val="0"/>
          <w:marRight w:val="0"/>
          <w:marTop w:val="0"/>
          <w:marBottom w:val="0"/>
          <w:divBdr>
            <w:top w:val="none" w:sz="0" w:space="0" w:color="auto"/>
            <w:left w:val="none" w:sz="0" w:space="0" w:color="auto"/>
            <w:bottom w:val="none" w:sz="0" w:space="0" w:color="auto"/>
            <w:right w:val="none" w:sz="0" w:space="0" w:color="auto"/>
          </w:divBdr>
        </w:div>
        <w:div w:id="2125533654">
          <w:marLeft w:val="0"/>
          <w:marRight w:val="0"/>
          <w:marTop w:val="0"/>
          <w:marBottom w:val="0"/>
          <w:divBdr>
            <w:top w:val="none" w:sz="0" w:space="0" w:color="auto"/>
            <w:left w:val="none" w:sz="0" w:space="0" w:color="auto"/>
            <w:bottom w:val="none" w:sz="0" w:space="0" w:color="auto"/>
            <w:right w:val="none" w:sz="0" w:space="0" w:color="auto"/>
          </w:divBdr>
        </w:div>
        <w:div w:id="2134979518">
          <w:marLeft w:val="0"/>
          <w:marRight w:val="0"/>
          <w:marTop w:val="0"/>
          <w:marBottom w:val="0"/>
          <w:divBdr>
            <w:top w:val="none" w:sz="0" w:space="0" w:color="auto"/>
            <w:left w:val="none" w:sz="0" w:space="0" w:color="auto"/>
            <w:bottom w:val="none" w:sz="0" w:space="0" w:color="auto"/>
            <w:right w:val="none" w:sz="0" w:space="0" w:color="auto"/>
          </w:divBdr>
        </w:div>
      </w:divsChild>
    </w:div>
    <w:div w:id="1787894173">
      <w:bodyDiv w:val="1"/>
      <w:marLeft w:val="0"/>
      <w:marRight w:val="0"/>
      <w:marTop w:val="0"/>
      <w:marBottom w:val="0"/>
      <w:divBdr>
        <w:top w:val="none" w:sz="0" w:space="0" w:color="auto"/>
        <w:left w:val="none" w:sz="0" w:space="0" w:color="auto"/>
        <w:bottom w:val="none" w:sz="0" w:space="0" w:color="auto"/>
        <w:right w:val="none" w:sz="0" w:space="0" w:color="auto"/>
      </w:divBdr>
    </w:div>
    <w:div w:id="1825930663">
      <w:bodyDiv w:val="1"/>
      <w:marLeft w:val="0"/>
      <w:marRight w:val="0"/>
      <w:marTop w:val="0"/>
      <w:marBottom w:val="0"/>
      <w:divBdr>
        <w:top w:val="none" w:sz="0" w:space="0" w:color="auto"/>
        <w:left w:val="none" w:sz="0" w:space="0" w:color="auto"/>
        <w:bottom w:val="none" w:sz="0" w:space="0" w:color="auto"/>
        <w:right w:val="none" w:sz="0" w:space="0" w:color="auto"/>
      </w:divBdr>
    </w:div>
    <w:div w:id="18926893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ccat.int/Documents/Recs/compendiopdf-s/2024-01-s.pdf" TargetMode="External"/><Relationship Id="rId18" Type="http://schemas.openxmlformats.org/officeDocument/2006/relationships/hyperlink" Target="https://www.iccat.int/Documents/Recs/compendiopdf-s/2024-02-s.pdf" TargetMode="External"/><Relationship Id="rId26" Type="http://schemas.openxmlformats.org/officeDocument/2006/relationships/hyperlink" Target="https://www.iccat.int/Documents/Recs/compendiopdf-s/2025-02-s.pdf" TargetMode="External"/><Relationship Id="rId39" Type="http://schemas.openxmlformats.org/officeDocument/2006/relationships/footer" Target="footer2.xml"/><Relationship Id="rId21" Type="http://schemas.openxmlformats.org/officeDocument/2006/relationships/hyperlink" Target="https://www.iccat.int/Documents/Recs/compendiopdf-s/2024-02-s.pdf" TargetMode="External"/><Relationship Id="rId34" Type="http://schemas.openxmlformats.org/officeDocument/2006/relationships/hyperlink" Target="https://www.iccat.int/Documents/Recs/compendiopdf-s/2024-01-s.pdf"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s://www.iccat.int/Documents/Recs/compendiopdf-s/2024-02-s.pdf" TargetMode="External"/><Relationship Id="rId29" Type="http://schemas.openxmlformats.org/officeDocument/2006/relationships/hyperlink" Target="https://www.iccat.int/Documents/Recs/compendiopdf-s/2023-07-s.pdf"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ccat.int/Documents/Recs/compendiopdf-s/2024-01-s.pdf" TargetMode="External"/><Relationship Id="rId24" Type="http://schemas.openxmlformats.org/officeDocument/2006/relationships/image" Target="media/image4.emf"/><Relationship Id="rId32" Type="http://schemas.openxmlformats.org/officeDocument/2006/relationships/image" Target="media/image6.emf"/><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www.iccat.int/Documents/CVSP/CV083_2026/n_5/CV083050103.pdf" TargetMode="External"/><Relationship Id="rId28" Type="http://schemas.openxmlformats.org/officeDocument/2006/relationships/hyperlink" Target="https://iccat.int/Documents/Recs/compendiopdf-s/2025-10-s.pdf" TargetMode="External"/><Relationship Id="rId36" Type="http://schemas.openxmlformats.org/officeDocument/2006/relationships/header" Target="header1.xml"/><Relationship Id="rId10" Type="http://schemas.openxmlformats.org/officeDocument/2006/relationships/hyperlink" Target="https://www.iccat.int/Documents/Recs/compendiopdf-s/2024-01-s.pdf" TargetMode="External"/><Relationship Id="rId19" Type="http://schemas.openxmlformats.org/officeDocument/2006/relationships/hyperlink" Target="https://www.iccat.int/Documents/Recs/compendiopdf-s/2024-02-s.pdf" TargetMode="External"/><Relationship Id="rId31"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hyperlink" Target="https://www.iccat.int/Documents/Recs/compendiopdf-s/2024-01-s.pdf" TargetMode="External"/><Relationship Id="rId22" Type="http://schemas.openxmlformats.org/officeDocument/2006/relationships/hyperlink" Target="https://www.iccat.int/Documents/Recs/compendiopdf-s/2024-01-s.pdf" TargetMode="External"/><Relationship Id="rId27" Type="http://schemas.openxmlformats.org/officeDocument/2006/relationships/hyperlink" Target="https://www.iccat.int/Documents/Recs/compendiopdf-s/2025-02-s.pdf" TargetMode="External"/><Relationship Id="rId30" Type="http://schemas.openxmlformats.org/officeDocument/2006/relationships/hyperlink" Target="https://www.iccat.int/Documents/Recs/compendiopdf-s/2021-04-s.pdf" TargetMode="External"/><Relationship Id="rId35" Type="http://schemas.openxmlformats.org/officeDocument/2006/relationships/image" Target="media/image7.emf"/><Relationship Id="rId43" Type="http://schemas.openxmlformats.org/officeDocument/2006/relationships/theme" Target="theme/theme1.xml"/><Relationship Id="rId8" Type="http://schemas.openxmlformats.org/officeDocument/2006/relationships/hyperlink" Target="https://www.iccat.int/Documents/Recs/compendiopdf-s/2024-01-s.pdf" TargetMode="External"/><Relationship Id="rId3" Type="http://schemas.openxmlformats.org/officeDocument/2006/relationships/styles" Target="styles.xml"/><Relationship Id="rId12" Type="http://schemas.openxmlformats.org/officeDocument/2006/relationships/hyperlink" Target="https://www.iccat.int/Documents/Recs/compendiopdf-s/2024-01-s.pdf" TargetMode="External"/><Relationship Id="rId17" Type="http://schemas.openxmlformats.org/officeDocument/2006/relationships/hyperlink" Target="https://www.iccat.int/Documents/Recs/compendiopdf-s/2024-01-s.pdf" TargetMode="External"/><Relationship Id="rId25" Type="http://schemas.openxmlformats.org/officeDocument/2006/relationships/hyperlink" Target="https://www.iccat.int/Documents/Recs/compendiopdf-s/2024-02-s.pdf" TargetMode="External"/><Relationship Id="rId33" Type="http://schemas.openxmlformats.org/officeDocument/2006/relationships/hyperlink" Target="https://www.iccat.int/Documents/Recs/compendiopdf-s/2024-01-s.pdf" TargetMode="External"/><Relationship Id="rId38"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iccat.int/com2019/index.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6A31EF-0C65-46A4-B703-297961243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6206</Words>
  <Characters>35376</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41500</CharactersWithSpaces>
  <SharedDoc>false</SharedDoc>
  <HLinks>
    <vt:vector size="216" baseType="variant">
      <vt:variant>
        <vt:i4>5177346</vt:i4>
      </vt:variant>
      <vt:variant>
        <vt:i4>105</vt:i4>
      </vt:variant>
      <vt:variant>
        <vt:i4>0</vt:i4>
      </vt:variant>
      <vt:variant>
        <vt:i4>5</vt:i4>
      </vt:variant>
      <vt:variant>
        <vt:lpwstr>https://www.iccat.int/Documents/Recs/compendiopdf-e/2019-08-e.pdf</vt:lpwstr>
      </vt:variant>
      <vt:variant>
        <vt:lpwstr/>
      </vt:variant>
      <vt:variant>
        <vt:i4>4456456</vt:i4>
      </vt:variant>
      <vt:variant>
        <vt:i4>102</vt:i4>
      </vt:variant>
      <vt:variant>
        <vt:i4>0</vt:i4>
      </vt:variant>
      <vt:variant>
        <vt:i4>5</vt:i4>
      </vt:variant>
      <vt:variant>
        <vt:lpwstr>https://www.iccat.int/Documents/Recs/compendiopdf-e/2023-11-e.pdf</vt:lpwstr>
      </vt:variant>
      <vt:variant>
        <vt:lpwstr/>
      </vt:variant>
      <vt:variant>
        <vt:i4>5177357</vt:i4>
      </vt:variant>
      <vt:variant>
        <vt:i4>99</vt:i4>
      </vt:variant>
      <vt:variant>
        <vt:i4>0</vt:i4>
      </vt:variant>
      <vt:variant>
        <vt:i4>5</vt:i4>
      </vt:variant>
      <vt:variant>
        <vt:lpwstr>https://www.iccat.int/Documents/Recs/compendiopdf-e/2019-07-e.pdf</vt:lpwstr>
      </vt:variant>
      <vt:variant>
        <vt:lpwstr/>
      </vt:variant>
      <vt:variant>
        <vt:i4>4456457</vt:i4>
      </vt:variant>
      <vt:variant>
        <vt:i4>96</vt:i4>
      </vt:variant>
      <vt:variant>
        <vt:i4>0</vt:i4>
      </vt:variant>
      <vt:variant>
        <vt:i4>5</vt:i4>
      </vt:variant>
      <vt:variant>
        <vt:lpwstr>https://www.iccat.int/Documents/Recs/compendiopdf-e/2023-10-e.pdf</vt:lpwstr>
      </vt:variant>
      <vt:variant>
        <vt:lpwstr/>
      </vt:variant>
      <vt:variant>
        <vt:i4>4521992</vt:i4>
      </vt:variant>
      <vt:variant>
        <vt:i4>93</vt:i4>
      </vt:variant>
      <vt:variant>
        <vt:i4>0</vt:i4>
      </vt:variant>
      <vt:variant>
        <vt:i4>5</vt:i4>
      </vt:variant>
      <vt:variant>
        <vt:lpwstr>https://www.iccat.int/Documents/Recs/compendiopdf-e/2022-11-e.pdf</vt:lpwstr>
      </vt:variant>
      <vt:variant>
        <vt:lpwstr/>
      </vt:variant>
      <vt:variant>
        <vt:i4>5177359</vt:i4>
      </vt:variant>
      <vt:variant>
        <vt:i4>90</vt:i4>
      </vt:variant>
      <vt:variant>
        <vt:i4>0</vt:i4>
      </vt:variant>
      <vt:variant>
        <vt:i4>5</vt:i4>
      </vt:variant>
      <vt:variant>
        <vt:lpwstr>https://www.iccat.int/Documents/Recs/compendiopdf-e/2019-05-e.pdf</vt:lpwstr>
      </vt:variant>
      <vt:variant>
        <vt:lpwstr/>
      </vt:variant>
      <vt:variant>
        <vt:i4>4325385</vt:i4>
      </vt:variant>
      <vt:variant>
        <vt:i4>87</vt:i4>
      </vt:variant>
      <vt:variant>
        <vt:i4>0</vt:i4>
      </vt:variant>
      <vt:variant>
        <vt:i4>5</vt:i4>
      </vt:variant>
      <vt:variant>
        <vt:lpwstr>https://www.iccat.int/Documents/Recs/compendiopdf-e/2015-13-e.pdf</vt:lpwstr>
      </vt:variant>
      <vt:variant>
        <vt:lpwstr/>
      </vt:variant>
      <vt:variant>
        <vt:i4>4325385</vt:i4>
      </vt:variant>
      <vt:variant>
        <vt:i4>84</vt:i4>
      </vt:variant>
      <vt:variant>
        <vt:i4>0</vt:i4>
      </vt:variant>
      <vt:variant>
        <vt:i4>5</vt:i4>
      </vt:variant>
      <vt:variant>
        <vt:lpwstr>https://www.iccat.int/Documents/Recs/compendiopdf-e/2015-13-e.pdf</vt:lpwstr>
      </vt:variant>
      <vt:variant>
        <vt:lpwstr/>
      </vt:variant>
      <vt:variant>
        <vt:i4>4456463</vt:i4>
      </vt:variant>
      <vt:variant>
        <vt:i4>81</vt:i4>
      </vt:variant>
      <vt:variant>
        <vt:i4>0</vt:i4>
      </vt:variant>
      <vt:variant>
        <vt:i4>5</vt:i4>
      </vt:variant>
      <vt:variant>
        <vt:lpwstr>https://www.iccat.int/Documents/Recs/compendiopdf-e/2022-06-e.pdf</vt:lpwstr>
      </vt:variant>
      <vt:variant>
        <vt:lpwstr/>
      </vt:variant>
      <vt:variant>
        <vt:i4>4325388</vt:i4>
      </vt:variant>
      <vt:variant>
        <vt:i4>78</vt:i4>
      </vt:variant>
      <vt:variant>
        <vt:i4>0</vt:i4>
      </vt:variant>
      <vt:variant>
        <vt:i4>5</vt:i4>
      </vt:variant>
      <vt:variant>
        <vt:lpwstr>https://www.iccat.int/Documents/Recs/compendiopdf-e/2024-05-e.pdf</vt:lpwstr>
      </vt:variant>
      <vt:variant>
        <vt:lpwstr/>
      </vt:variant>
      <vt:variant>
        <vt:i4>4325388</vt:i4>
      </vt:variant>
      <vt:variant>
        <vt:i4>75</vt:i4>
      </vt:variant>
      <vt:variant>
        <vt:i4>0</vt:i4>
      </vt:variant>
      <vt:variant>
        <vt:i4>5</vt:i4>
      </vt:variant>
      <vt:variant>
        <vt:lpwstr>https://www.iccat.int/Documents/Recs/compendiopdf-e/2024-05-e.pdf</vt:lpwstr>
      </vt:variant>
      <vt:variant>
        <vt:lpwstr/>
      </vt:variant>
      <vt:variant>
        <vt:i4>4325385</vt:i4>
      </vt:variant>
      <vt:variant>
        <vt:i4>72</vt:i4>
      </vt:variant>
      <vt:variant>
        <vt:i4>0</vt:i4>
      </vt:variant>
      <vt:variant>
        <vt:i4>5</vt:i4>
      </vt:variant>
      <vt:variant>
        <vt:lpwstr>https://www.iccat.int/Documents/Recs/compendiopdf-e/2015-13-e.pdf</vt:lpwstr>
      </vt:variant>
      <vt:variant>
        <vt:lpwstr/>
      </vt:variant>
      <vt:variant>
        <vt:i4>4325389</vt:i4>
      </vt:variant>
      <vt:variant>
        <vt:i4>69</vt:i4>
      </vt:variant>
      <vt:variant>
        <vt:i4>0</vt:i4>
      </vt:variant>
      <vt:variant>
        <vt:i4>5</vt:i4>
      </vt:variant>
      <vt:variant>
        <vt:lpwstr>https://www.iccat.int/Documents/Recs/compendiopdf-e/2024-04-e.pdf</vt:lpwstr>
      </vt:variant>
      <vt:variant>
        <vt:lpwstr/>
      </vt:variant>
      <vt:variant>
        <vt:i4>4325384</vt:i4>
      </vt:variant>
      <vt:variant>
        <vt:i4>66</vt:i4>
      </vt:variant>
      <vt:variant>
        <vt:i4>0</vt:i4>
      </vt:variant>
      <vt:variant>
        <vt:i4>5</vt:i4>
      </vt:variant>
      <vt:variant>
        <vt:lpwstr>https://www.iccat.int/Documents/Recs/compendiopdf-e/2024-01-e.pdf</vt:lpwstr>
      </vt:variant>
      <vt:variant>
        <vt:lpwstr/>
      </vt:variant>
      <vt:variant>
        <vt:i4>4325385</vt:i4>
      </vt:variant>
      <vt:variant>
        <vt:i4>63</vt:i4>
      </vt:variant>
      <vt:variant>
        <vt:i4>0</vt:i4>
      </vt:variant>
      <vt:variant>
        <vt:i4>5</vt:i4>
      </vt:variant>
      <vt:variant>
        <vt:lpwstr>https://www.iccat.int/Documents/Recs/compendiopdf-e/2015-13-e.pdf</vt:lpwstr>
      </vt:variant>
      <vt:variant>
        <vt:lpwstr/>
      </vt:variant>
      <vt:variant>
        <vt:i4>4653129</vt:i4>
      </vt:variant>
      <vt:variant>
        <vt:i4>60</vt:i4>
      </vt:variant>
      <vt:variant>
        <vt:i4>0</vt:i4>
      </vt:variant>
      <vt:variant>
        <vt:i4>5</vt:i4>
      </vt:variant>
      <vt:variant>
        <vt:lpwstr>https://secretariat.iccat.online/index.php/s/YxK8jPqkysM3nj3</vt:lpwstr>
      </vt:variant>
      <vt:variant>
        <vt:lpwstr/>
      </vt:variant>
      <vt:variant>
        <vt:i4>4325388</vt:i4>
      </vt:variant>
      <vt:variant>
        <vt:i4>57</vt:i4>
      </vt:variant>
      <vt:variant>
        <vt:i4>0</vt:i4>
      </vt:variant>
      <vt:variant>
        <vt:i4>5</vt:i4>
      </vt:variant>
      <vt:variant>
        <vt:lpwstr>https://www.iccat.int/Documents/Recs/compendiopdf-e/2024-05-e.pdf</vt:lpwstr>
      </vt:variant>
      <vt:variant>
        <vt:lpwstr/>
      </vt:variant>
      <vt:variant>
        <vt:i4>4587599</vt:i4>
      </vt:variant>
      <vt:variant>
        <vt:i4>54</vt:i4>
      </vt:variant>
      <vt:variant>
        <vt:i4>0</vt:i4>
      </vt:variant>
      <vt:variant>
        <vt:i4>5</vt:i4>
      </vt:variant>
      <vt:variant>
        <vt:lpwstr>http://www.iccat.int/en/vesselsrecord.asp</vt:lpwstr>
      </vt:variant>
      <vt:variant>
        <vt:lpwstr/>
      </vt:variant>
      <vt:variant>
        <vt:i4>4390924</vt:i4>
      </vt:variant>
      <vt:variant>
        <vt:i4>51</vt:i4>
      </vt:variant>
      <vt:variant>
        <vt:i4>0</vt:i4>
      </vt:variant>
      <vt:variant>
        <vt:i4>5</vt:i4>
      </vt:variant>
      <vt:variant>
        <vt:lpwstr>https://www.iccat.int/Documents/Recs/compendiopdf-e/2024-15-e.pdf</vt:lpwstr>
      </vt:variant>
      <vt:variant>
        <vt:lpwstr/>
      </vt:variant>
      <vt:variant>
        <vt:i4>8126501</vt:i4>
      </vt:variant>
      <vt:variant>
        <vt:i4>48</vt:i4>
      </vt:variant>
      <vt:variant>
        <vt:i4>0</vt:i4>
      </vt:variant>
      <vt:variant>
        <vt:i4>5</vt:i4>
      </vt:variant>
      <vt:variant>
        <vt:lpwstr>https://www.iccat.int/Documents/BienRep/REP_EN_24-25-I-1.pdf</vt:lpwstr>
      </vt:variant>
      <vt:variant>
        <vt:lpwstr/>
      </vt:variant>
      <vt:variant>
        <vt:i4>4521985</vt:i4>
      </vt:variant>
      <vt:variant>
        <vt:i4>45</vt:i4>
      </vt:variant>
      <vt:variant>
        <vt:i4>0</vt:i4>
      </vt:variant>
      <vt:variant>
        <vt:i4>5</vt:i4>
      </vt:variant>
      <vt:variant>
        <vt:lpwstr>https://www.iccat.int/Documents/Recs/compendiopdf-e/2022-18-e.pdf</vt:lpwstr>
      </vt:variant>
      <vt:variant>
        <vt:lpwstr/>
      </vt:variant>
      <vt:variant>
        <vt:i4>4259848</vt:i4>
      </vt:variant>
      <vt:variant>
        <vt:i4>42</vt:i4>
      </vt:variant>
      <vt:variant>
        <vt:i4>0</vt:i4>
      </vt:variant>
      <vt:variant>
        <vt:i4>5</vt:i4>
      </vt:variant>
      <vt:variant>
        <vt:lpwstr>https://www.iccat.int/Documents/Recs/compendiopdf-e/2006-13-e.pdf</vt:lpwstr>
      </vt:variant>
      <vt:variant>
        <vt:lpwstr/>
      </vt:variant>
      <vt:variant>
        <vt:i4>4259848</vt:i4>
      </vt:variant>
      <vt:variant>
        <vt:i4>39</vt:i4>
      </vt:variant>
      <vt:variant>
        <vt:i4>0</vt:i4>
      </vt:variant>
      <vt:variant>
        <vt:i4>5</vt:i4>
      </vt:variant>
      <vt:variant>
        <vt:lpwstr>https://www.iccat.int/Documents/Recs/compendiopdf-e/2006-13-e.pdf</vt:lpwstr>
      </vt:variant>
      <vt:variant>
        <vt:lpwstr/>
      </vt:variant>
      <vt:variant>
        <vt:i4>5111810</vt:i4>
      </vt:variant>
      <vt:variant>
        <vt:i4>36</vt:i4>
      </vt:variant>
      <vt:variant>
        <vt:i4>0</vt:i4>
      </vt:variant>
      <vt:variant>
        <vt:i4>5</vt:i4>
      </vt:variant>
      <vt:variant>
        <vt:lpwstr>https://www.iccat.int/Documents/Recs/compendiopdf-e/2008-09-e.pdf</vt:lpwstr>
      </vt:variant>
      <vt:variant>
        <vt:lpwstr/>
      </vt:variant>
      <vt:variant>
        <vt:i4>4587535</vt:i4>
      </vt:variant>
      <vt:variant>
        <vt:i4>33</vt:i4>
      </vt:variant>
      <vt:variant>
        <vt:i4>0</vt:i4>
      </vt:variant>
      <vt:variant>
        <vt:i4>5</vt:i4>
      </vt:variant>
      <vt:variant>
        <vt:lpwstr>https://www.iccat.int/Documents/Recs/compendiopdf-e/2011-15-e.pdf</vt:lpwstr>
      </vt:variant>
      <vt:variant>
        <vt:lpwstr/>
      </vt:variant>
      <vt:variant>
        <vt:i4>4390914</vt:i4>
      </vt:variant>
      <vt:variant>
        <vt:i4>30</vt:i4>
      </vt:variant>
      <vt:variant>
        <vt:i4>0</vt:i4>
      </vt:variant>
      <vt:variant>
        <vt:i4>5</vt:i4>
      </vt:variant>
      <vt:variant>
        <vt:lpwstr>https://www.iccat.int/Documents/Recs/compendiopdf-e/2005-09-e.pdf</vt:lpwstr>
      </vt:variant>
      <vt:variant>
        <vt:lpwstr/>
      </vt:variant>
      <vt:variant>
        <vt:i4>4259851</vt:i4>
      </vt:variant>
      <vt:variant>
        <vt:i4>27</vt:i4>
      </vt:variant>
      <vt:variant>
        <vt:i4>0</vt:i4>
      </vt:variant>
      <vt:variant>
        <vt:i4>5</vt:i4>
      </vt:variant>
      <vt:variant>
        <vt:lpwstr>https://www.iccat.int/Documents/Recs/compendiopdf-e/2016-11-e.pdf</vt:lpwstr>
      </vt:variant>
      <vt:variant>
        <vt:lpwstr/>
      </vt:variant>
      <vt:variant>
        <vt:i4>4456458</vt:i4>
      </vt:variant>
      <vt:variant>
        <vt:i4>24</vt:i4>
      </vt:variant>
      <vt:variant>
        <vt:i4>0</vt:i4>
      </vt:variant>
      <vt:variant>
        <vt:i4>5</vt:i4>
      </vt:variant>
      <vt:variant>
        <vt:lpwstr>https://www.iccat.int/Documents/Recs/compendiopdf-e/2023-13-e.pdf</vt:lpwstr>
      </vt:variant>
      <vt:variant>
        <vt:lpwstr/>
      </vt:variant>
      <vt:variant>
        <vt:i4>4521995</vt:i4>
      </vt:variant>
      <vt:variant>
        <vt:i4>21</vt:i4>
      </vt:variant>
      <vt:variant>
        <vt:i4>0</vt:i4>
      </vt:variant>
      <vt:variant>
        <vt:i4>5</vt:i4>
      </vt:variant>
      <vt:variant>
        <vt:lpwstr>https://www.iccat.int/Documents/Recs/compendiopdf-e/2022-12-e.pdf</vt:lpwstr>
      </vt:variant>
      <vt:variant>
        <vt:lpwstr/>
      </vt:variant>
      <vt:variant>
        <vt:i4>4259854</vt:i4>
      </vt:variant>
      <vt:variant>
        <vt:i4>18</vt:i4>
      </vt:variant>
      <vt:variant>
        <vt:i4>0</vt:i4>
      </vt:variant>
      <vt:variant>
        <vt:i4>5</vt:i4>
      </vt:variant>
      <vt:variant>
        <vt:lpwstr>https://www.iccat.int/Documents/Recs/compendiopdf-e/2016-14-e.pdf</vt:lpwstr>
      </vt:variant>
      <vt:variant>
        <vt:lpwstr/>
      </vt:variant>
      <vt:variant>
        <vt:i4>5111820</vt:i4>
      </vt:variant>
      <vt:variant>
        <vt:i4>15</vt:i4>
      </vt:variant>
      <vt:variant>
        <vt:i4>0</vt:i4>
      </vt:variant>
      <vt:variant>
        <vt:i4>5</vt:i4>
      </vt:variant>
      <vt:variant>
        <vt:lpwstr>https://www.iccat.int/Documents/Recs/compendiopdf-e/2018-06-e.pdf</vt:lpwstr>
      </vt:variant>
      <vt:variant>
        <vt:lpwstr/>
      </vt:variant>
      <vt:variant>
        <vt:i4>5111823</vt:i4>
      </vt:variant>
      <vt:variant>
        <vt:i4>12</vt:i4>
      </vt:variant>
      <vt:variant>
        <vt:i4>0</vt:i4>
      </vt:variant>
      <vt:variant>
        <vt:i4>5</vt:i4>
      </vt:variant>
      <vt:variant>
        <vt:lpwstr>https://www.iccat.int/Documents/Recs/compendiopdf-e/2018-05-e.pdf</vt:lpwstr>
      </vt:variant>
      <vt:variant>
        <vt:lpwstr/>
      </vt:variant>
      <vt:variant>
        <vt:i4>4456462</vt:i4>
      </vt:variant>
      <vt:variant>
        <vt:i4>9</vt:i4>
      </vt:variant>
      <vt:variant>
        <vt:i4>0</vt:i4>
      </vt:variant>
      <vt:variant>
        <vt:i4>5</vt:i4>
      </vt:variant>
      <vt:variant>
        <vt:lpwstr>https://www.iccat.int/Documents/Recs/compendiopdf-e/2023-17-e.pdf</vt:lpwstr>
      </vt:variant>
      <vt:variant>
        <vt:lpwstr/>
      </vt:variant>
      <vt:variant>
        <vt:i4>2883619</vt:i4>
      </vt:variant>
      <vt:variant>
        <vt:i4>6</vt:i4>
      </vt:variant>
      <vt:variant>
        <vt:i4>0</vt:i4>
      </vt:variant>
      <vt:variant>
        <vt:i4>5</vt:i4>
      </vt:variant>
      <vt:variant>
        <vt:lpwstr>https://www.fao.org/iuu-fishing/en/</vt:lpwstr>
      </vt:variant>
      <vt:variant>
        <vt:lpwstr/>
      </vt:variant>
      <vt:variant>
        <vt:i4>4259853</vt:i4>
      </vt:variant>
      <vt:variant>
        <vt:i4>3</vt:i4>
      </vt:variant>
      <vt:variant>
        <vt:i4>0</vt:i4>
      </vt:variant>
      <vt:variant>
        <vt:i4>5</vt:i4>
      </vt:variant>
      <vt:variant>
        <vt:lpwstr>https://www.iccat.int/Documents/Recs/compendiopdf-e/2016-17-e.pdf</vt:lpwstr>
      </vt:variant>
      <vt:variant>
        <vt:lpwstr/>
      </vt:variant>
      <vt:variant>
        <vt:i4>5898320</vt:i4>
      </vt:variant>
      <vt:variant>
        <vt:i4>0</vt:i4>
      </vt:variant>
      <vt:variant>
        <vt:i4>0</vt:i4>
      </vt:variant>
      <vt:variant>
        <vt:i4>5</vt:i4>
      </vt:variant>
      <vt:variant>
        <vt:lpwstr>https://www.iccat.int/com2025/index.htm</vt:lpwstr>
      </vt:variant>
      <vt:variant>
        <vt:lpwstr>en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2026-10-13T13:14:00Z</dcterms:created>
  <dcterms:modified xsi:type="dcterms:W3CDTF">2026-10-13T13:14:00Z</dcterms:modified>
</cp:coreProperties>
</file>