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BEAC9" w14:textId="6A7474ED" w:rsidR="000B0920" w:rsidRPr="00554AB0" w:rsidRDefault="00857C38" w:rsidP="00857C38">
      <w:pPr>
        <w:jc w:val="right"/>
        <w:rPr>
          <w:rFonts w:ascii="Cambria" w:hAnsi="Cambria"/>
          <w:sz w:val="20"/>
          <w:szCs w:val="20"/>
          <w:lang w:val="fr-FR"/>
        </w:rPr>
      </w:pPr>
      <w:r w:rsidRPr="00554AB0">
        <w:rPr>
          <w:rFonts w:ascii="Cambria" w:hAnsi="Cambria"/>
          <w:b/>
          <w:bCs/>
          <w:sz w:val="20"/>
          <w:szCs w:val="20"/>
          <w:lang w:val="fr-FR"/>
        </w:rPr>
        <w:t>Original</w:t>
      </w:r>
      <w:r w:rsidR="00506FB9">
        <w:rPr>
          <w:rFonts w:ascii="Cambria" w:hAnsi="Cambria"/>
          <w:b/>
          <w:bCs/>
          <w:sz w:val="20"/>
          <w:szCs w:val="20"/>
          <w:lang w:val="fr-FR"/>
        </w:rPr>
        <w:t xml:space="preserve"> </w:t>
      </w:r>
      <w:r w:rsidRPr="00554AB0">
        <w:rPr>
          <w:rFonts w:ascii="Cambria" w:hAnsi="Cambria"/>
          <w:sz w:val="20"/>
          <w:szCs w:val="20"/>
          <w:lang w:val="fr-FR"/>
        </w:rPr>
        <w:t xml:space="preserve">: </w:t>
      </w:r>
      <w:r w:rsidR="009353F0" w:rsidRPr="00554AB0">
        <w:rPr>
          <w:rFonts w:ascii="Cambria" w:hAnsi="Cambria"/>
          <w:sz w:val="20"/>
          <w:szCs w:val="20"/>
          <w:lang w:val="fr-FR"/>
        </w:rPr>
        <w:t>anglais</w:t>
      </w:r>
    </w:p>
    <w:p w14:paraId="546FFD34" w14:textId="77777777" w:rsidR="00857C38" w:rsidRPr="00554AB0" w:rsidRDefault="00857C38" w:rsidP="00857C38">
      <w:pPr>
        <w:jc w:val="right"/>
        <w:rPr>
          <w:rFonts w:ascii="Cambria" w:hAnsi="Cambria"/>
          <w:sz w:val="20"/>
          <w:szCs w:val="20"/>
          <w:lang w:val="fr-FR"/>
        </w:rPr>
      </w:pPr>
    </w:p>
    <w:p w14:paraId="3CB6C27F" w14:textId="77777777" w:rsidR="00554AB0" w:rsidRDefault="00554AB0" w:rsidP="00554AB0">
      <w:pPr>
        <w:jc w:val="center"/>
        <w:rPr>
          <w:rFonts w:ascii="Cambria" w:hAnsi="Cambria"/>
          <w:b/>
          <w:bCs/>
          <w:sz w:val="20"/>
          <w:szCs w:val="20"/>
          <w:lang w:val="fr-FR"/>
        </w:rPr>
      </w:pPr>
      <w:r w:rsidRPr="009353F0">
        <w:rPr>
          <w:rFonts w:ascii="Cambria" w:hAnsi="Cambria"/>
          <w:b/>
          <w:bCs/>
          <w:sz w:val="20"/>
          <w:szCs w:val="20"/>
          <w:lang w:val="fr-FR"/>
        </w:rPr>
        <w:t>Réponses et recommandations du SCRS concernant la Sous-commission 1</w:t>
      </w:r>
    </w:p>
    <w:p w14:paraId="16DB48D3" w14:textId="77777777" w:rsidR="009353F0" w:rsidRPr="00554AB0" w:rsidRDefault="009353F0" w:rsidP="00857C38">
      <w:pPr>
        <w:jc w:val="center"/>
        <w:rPr>
          <w:rFonts w:ascii="Cambria" w:hAnsi="Cambria"/>
          <w:b/>
          <w:bCs/>
          <w:sz w:val="20"/>
          <w:szCs w:val="20"/>
          <w:lang w:val="fr-FR"/>
        </w:rPr>
      </w:pPr>
    </w:p>
    <w:p w14:paraId="6ADB0791" w14:textId="77777777" w:rsidR="009353F0" w:rsidRPr="009353F0" w:rsidRDefault="009353F0" w:rsidP="009353F0">
      <w:pPr>
        <w:jc w:val="both"/>
        <w:rPr>
          <w:rFonts w:ascii="Cambria" w:eastAsia="Aptos" w:hAnsi="Cambria" w:cs="Aptos"/>
          <w:sz w:val="20"/>
          <w:szCs w:val="20"/>
          <w:lang w:val="fr-FR"/>
          <w14:ligatures w14:val="standardContextual"/>
        </w:rPr>
      </w:pPr>
      <w:r w:rsidRPr="009353F0">
        <w:rPr>
          <w:rFonts w:ascii="Cambria" w:eastAsia="Aptos" w:hAnsi="Cambria" w:cs="Aptos"/>
          <w:sz w:val="20"/>
          <w:szCs w:val="20"/>
          <w:lang w:val="fr-FR"/>
          <w14:ligatures w14:val="standardContextual"/>
        </w:rPr>
        <w:t xml:space="preserve">Les réponses de 2026 adressées à la Commission et les recommandations du SCRS concernant la </w:t>
      </w:r>
      <w:r w:rsidRPr="00F81087">
        <w:rPr>
          <w:rFonts w:ascii="Cambria" w:hAnsi="Cambria"/>
          <w:sz w:val="20"/>
          <w:szCs w:val="20"/>
          <w:lang w:val="fr-FR"/>
        </w:rPr>
        <w:t>Sous</w:t>
      </w:r>
      <w:r w:rsidRPr="009353F0">
        <w:rPr>
          <w:rFonts w:ascii="Cambria" w:eastAsia="Aptos" w:hAnsi="Cambria" w:cs="Aptos"/>
          <w:sz w:val="20"/>
          <w:szCs w:val="20"/>
          <w:lang w:val="fr-FR"/>
          <w14:ligatures w14:val="standardContextual"/>
        </w:rPr>
        <w:t>-commission 1 ont été compilées par le Secrétariat directement à partir du rapport de la réunion plénière du SCRS de 2026 (document PLE-104). Les recommandations ayant des implications financières ne figurent pas dans le présent document, car elles sont incluses dans l’appendice 2 du budget de l’ICCAT (document STF-203).</w:t>
      </w:r>
    </w:p>
    <w:p w14:paraId="206D36BB" w14:textId="77777777" w:rsidR="009353F0" w:rsidRDefault="009353F0" w:rsidP="009353F0">
      <w:pPr>
        <w:rPr>
          <w:rFonts w:ascii="Cambria" w:hAnsi="Cambria"/>
          <w:b/>
          <w:bCs/>
          <w:sz w:val="20"/>
          <w:szCs w:val="20"/>
          <w:lang w:val="fr-FR"/>
        </w:rPr>
      </w:pPr>
    </w:p>
    <w:p w14:paraId="6FBDB035" w14:textId="4422AA64" w:rsidR="00F81087" w:rsidRDefault="009353F0" w:rsidP="009353F0">
      <w:pPr>
        <w:rPr>
          <w:rFonts w:ascii="Cambria" w:hAnsi="Cambria"/>
          <w:b/>
          <w:bCs/>
          <w:sz w:val="20"/>
          <w:szCs w:val="20"/>
          <w:lang w:val="fr-FR"/>
        </w:rPr>
      </w:pPr>
      <w:r w:rsidRPr="009353F0">
        <w:rPr>
          <w:rFonts w:ascii="Cambria" w:hAnsi="Cambria"/>
          <w:b/>
          <w:bCs/>
          <w:sz w:val="20"/>
          <w:szCs w:val="20"/>
          <w:lang w:val="fr-FR"/>
        </w:rPr>
        <w:t xml:space="preserve">Réponses </w:t>
      </w:r>
      <w:r w:rsidR="00554AB0">
        <w:rPr>
          <w:rFonts w:ascii="Cambria" w:hAnsi="Cambria"/>
          <w:b/>
          <w:bCs/>
          <w:sz w:val="20"/>
          <w:szCs w:val="20"/>
          <w:lang w:val="fr-FR"/>
        </w:rPr>
        <w:t>à la Commission</w:t>
      </w:r>
      <w:r w:rsidR="00554AB0">
        <w:rPr>
          <w:rFonts w:ascii="Cambria" w:hAnsi="Cambria"/>
          <w:b/>
          <w:bCs/>
          <w:sz w:val="20"/>
          <w:szCs w:val="20"/>
          <w:lang w:val="fr-FR"/>
        </w:rPr>
        <w:br/>
      </w:r>
    </w:p>
    <w:p w14:paraId="0E94F977" w14:textId="77777777" w:rsidR="00F81087" w:rsidRPr="00F81087" w:rsidRDefault="00F81087" w:rsidP="00F81087">
      <w:pPr>
        <w:jc w:val="both"/>
        <w:rPr>
          <w:rFonts w:ascii="Cambria" w:hAnsi="Cambria"/>
          <w:i/>
          <w:iCs/>
          <w:sz w:val="20"/>
          <w:szCs w:val="20"/>
          <w:lang w:val="fr-FR"/>
        </w:rPr>
      </w:pPr>
      <w:r w:rsidRPr="00F81087">
        <w:rPr>
          <w:rFonts w:ascii="Cambria" w:hAnsi="Cambria"/>
          <w:b/>
          <w:i/>
          <w:sz w:val="20"/>
          <w:szCs w:val="20"/>
          <w:lang w:val="fr-FR"/>
        </w:rPr>
        <w:t>19.34</w:t>
      </w:r>
      <w:r w:rsidRPr="00F81087">
        <w:rPr>
          <w:rFonts w:ascii="Cambria" w:hAnsi="Cambria"/>
          <w:sz w:val="20"/>
          <w:szCs w:val="20"/>
          <w:lang w:val="fr-FR"/>
        </w:rPr>
        <w:t xml:space="preserve"> </w:t>
      </w:r>
      <w:r w:rsidRPr="00F81087">
        <w:rPr>
          <w:rFonts w:ascii="Cambria" w:hAnsi="Cambria"/>
          <w:b/>
          <w:i/>
          <w:sz w:val="20"/>
          <w:szCs w:val="20"/>
          <w:lang w:val="fr-FR"/>
        </w:rPr>
        <w:t xml:space="preserve">Proportion maximale de navires de support, </w:t>
      </w:r>
      <w:hyperlink r:id="rId8" w:history="1">
        <w:r w:rsidRPr="00F81087">
          <w:rPr>
            <w:rStyle w:val="Hyperlink"/>
            <w:rFonts w:ascii="Cambria" w:hAnsi="Cambria"/>
            <w:b/>
            <w:i/>
            <w:sz w:val="20"/>
            <w:szCs w:val="20"/>
            <w:u w:val="none"/>
            <w:lang w:val="fr-FR"/>
          </w:rPr>
          <w:t>Rec. 24-01</w:t>
        </w:r>
      </w:hyperlink>
      <w:r w:rsidRPr="00F81087">
        <w:rPr>
          <w:rFonts w:ascii="Cambria" w:hAnsi="Cambria"/>
          <w:b/>
          <w:i/>
          <w:sz w:val="20"/>
          <w:szCs w:val="20"/>
          <w:lang w:val="fr-FR"/>
        </w:rPr>
        <w:t xml:space="preserve">, </w:t>
      </w:r>
      <w:r w:rsidRPr="00F81087">
        <w:rPr>
          <w:rFonts w:ascii="Cambria" w:hAnsi="Cambria"/>
          <w:b/>
          <w:bCs/>
          <w:i/>
          <w:iCs/>
          <w:sz w:val="20"/>
          <w:szCs w:val="20"/>
          <w:lang w:val="fr-FR"/>
        </w:rPr>
        <w:t>paragraphe</w:t>
      </w:r>
      <w:r w:rsidRPr="00F81087">
        <w:rPr>
          <w:rFonts w:ascii="Cambria" w:hAnsi="Cambria"/>
          <w:b/>
          <w:i/>
          <w:sz w:val="20"/>
          <w:szCs w:val="20"/>
          <w:lang w:val="fr-FR"/>
        </w:rPr>
        <w:t xml:space="preserve"> 27 </w:t>
      </w:r>
    </w:p>
    <w:p w14:paraId="04330CD8" w14:textId="77777777" w:rsidR="00F81087" w:rsidRPr="00F81087" w:rsidRDefault="00F81087" w:rsidP="00F81087">
      <w:pPr>
        <w:jc w:val="both"/>
        <w:rPr>
          <w:rFonts w:ascii="Cambria" w:hAnsi="Cambria"/>
          <w:sz w:val="8"/>
          <w:szCs w:val="8"/>
          <w:lang w:val="fr-FR"/>
        </w:rPr>
      </w:pPr>
    </w:p>
    <w:p w14:paraId="3580804E" w14:textId="77777777" w:rsidR="00F81087" w:rsidRPr="00F81087" w:rsidRDefault="00F81087" w:rsidP="00F81087">
      <w:pPr>
        <w:tabs>
          <w:tab w:val="left" w:pos="7655"/>
        </w:tabs>
        <w:jc w:val="both"/>
        <w:rPr>
          <w:rFonts w:ascii="Cambria" w:hAnsi="Cambria"/>
          <w:i/>
          <w:sz w:val="20"/>
          <w:szCs w:val="20"/>
          <w:lang w:val="fr-FR"/>
        </w:rPr>
      </w:pPr>
      <w:r w:rsidRPr="00F81087">
        <w:rPr>
          <w:rFonts w:ascii="Cambria" w:hAnsi="Cambria"/>
          <w:b/>
          <w:i/>
          <w:sz w:val="20"/>
          <w:szCs w:val="20"/>
          <w:lang w:val="fr-FR"/>
        </w:rPr>
        <w:t>Contexte :</w:t>
      </w:r>
      <w:r w:rsidRPr="00F81087">
        <w:rPr>
          <w:rFonts w:ascii="Cambria" w:hAnsi="Cambria"/>
          <w:color w:val="212529"/>
          <w:sz w:val="20"/>
          <w:szCs w:val="20"/>
          <w:shd w:val="clear" w:color="auto" w:fill="FFFFFF"/>
          <w:lang w:val="fr-FR"/>
        </w:rPr>
        <w:t xml:space="preserve"> </w:t>
      </w:r>
      <w:r w:rsidRPr="00F81087">
        <w:rPr>
          <w:rFonts w:ascii="Cambria" w:hAnsi="Cambria"/>
          <w:i/>
          <w:sz w:val="20"/>
          <w:szCs w:val="20"/>
          <w:lang w:val="fr-FR"/>
        </w:rPr>
        <w:t>Toute CPC dont les navires opèrent, à temps partiel ou à temps plein, en appui à des senneurs, devra communiquer au Secrétariat de l’ICCAT les noms et caractéristiques de tous ses navires, y compris ceux qui étaient actifs en 2019 dans la zone de la Convention de l’ICCAT et les noms des senneurs qui ont bénéficié de l’appui de chaque navire de support. Le Secrétariat de l’ICCAT devra compiler ces informations et préparer un rapport à l'intention de la Commission, lui permettant d'examiner le type de limitation auquel les navires de support devront être soumis à l’avenir, y compris un plan d’élimination progressive, si nécessaire. Nonobstant ce qui précède, les CPC ne devront pas augmenter le nombre de navires de support par rapport au nombre actif en 2019 ; ceci ne s'applique pas aux nouveaux participants aux pêcheries de senneurs pour lesquels une proportion maximale de navires de support peut être définie en 2025 sur la base d'une recommandation du SCRS.</w:t>
      </w:r>
    </w:p>
    <w:p w14:paraId="1DC6EEE7" w14:textId="77777777" w:rsidR="00F81087" w:rsidRPr="00F81087" w:rsidRDefault="00F81087" w:rsidP="00F81087">
      <w:pPr>
        <w:jc w:val="both"/>
        <w:rPr>
          <w:rFonts w:ascii="Cambria" w:hAnsi="Cambria"/>
          <w:lang w:val="fr-FR"/>
        </w:rPr>
      </w:pPr>
    </w:p>
    <w:p w14:paraId="73C7E117" w14:textId="77777777" w:rsidR="00F81087" w:rsidRPr="00F81087" w:rsidRDefault="00F81087" w:rsidP="00F81087">
      <w:pPr>
        <w:jc w:val="both"/>
        <w:rPr>
          <w:rFonts w:ascii="Cambria" w:hAnsi="Cambria"/>
          <w:sz w:val="20"/>
          <w:szCs w:val="20"/>
          <w:lang w:val="fr-FR"/>
        </w:rPr>
      </w:pPr>
      <w:r w:rsidRPr="00F81087">
        <w:rPr>
          <w:rFonts w:ascii="Cambria" w:hAnsi="Cambria"/>
          <w:sz w:val="20"/>
          <w:szCs w:val="20"/>
          <w:lang w:val="fr-FR"/>
        </w:rPr>
        <w:t xml:space="preserve">L’appendice 5 du Rapport du Secrétariat sur les statistiques et la recherche (PLE-SCRS_07/2026) présente un résumé de la liste des navires de support déclarés par les CPC (formulaire ST07) pour la période allant de 2010 à 2025 (voir le </w:t>
      </w:r>
      <w:r w:rsidRPr="00F81087">
        <w:rPr>
          <w:rFonts w:ascii="Cambria" w:hAnsi="Cambria"/>
          <w:b/>
          <w:bCs/>
          <w:sz w:val="20"/>
          <w:szCs w:val="20"/>
          <w:lang w:val="fr-FR"/>
        </w:rPr>
        <w:t>tableau</w:t>
      </w:r>
      <w:r w:rsidRPr="00F81087">
        <w:rPr>
          <w:rFonts w:ascii="Cambria" w:hAnsi="Cambria"/>
          <w:sz w:val="20"/>
          <w:szCs w:val="20"/>
          <w:lang w:val="fr-FR"/>
        </w:rPr>
        <w:t xml:space="preserve"> </w:t>
      </w:r>
      <w:r w:rsidRPr="00F81087">
        <w:rPr>
          <w:rFonts w:ascii="Cambria" w:hAnsi="Cambria"/>
          <w:b/>
          <w:bCs/>
          <w:sz w:val="20"/>
          <w:szCs w:val="20"/>
          <w:lang w:val="fr-FR"/>
        </w:rPr>
        <w:t xml:space="preserve">19.34.1 </w:t>
      </w:r>
      <w:r w:rsidRPr="00F81087">
        <w:rPr>
          <w:rFonts w:ascii="Cambria" w:hAnsi="Cambria"/>
          <w:sz w:val="20"/>
          <w:szCs w:val="20"/>
          <w:lang w:val="fr-FR"/>
        </w:rPr>
        <w:t>ci-dessous). Toutefois, comme indiqué dans les réponses précédentes, le Comité n'est pas en mesure d'établir un lien entre l'activité d'un navire de support donné et les captures, l'effort ou les taux de capture globaux des navires bénéficiant de ces activités de soutien, car les CPC ne fournissent aucune donnée sur les captures totales ou l'effort de pêche (tâche 2 CE ETRO) par navire. Par conséquent, le Comité n'est pas en mesure de recommander un nombre précis de navires de support ni de proposer un indicateur permettant d'estimer une « activité de support limitée ». Le Comité a constaté que le nombre de navires de support déclaré par les CPC avait diminué ces dernières années.</w:t>
      </w:r>
    </w:p>
    <w:p w14:paraId="56133301" w14:textId="77777777" w:rsidR="00F81087" w:rsidRPr="00F81087" w:rsidRDefault="00F81087" w:rsidP="00F81087">
      <w:pPr>
        <w:jc w:val="both"/>
        <w:rPr>
          <w:rFonts w:ascii="Cambria" w:hAnsi="Cambria"/>
          <w:sz w:val="20"/>
          <w:szCs w:val="20"/>
          <w:lang w:val="fr-FR"/>
        </w:rPr>
      </w:pPr>
    </w:p>
    <w:p w14:paraId="39988CBF" w14:textId="77777777" w:rsidR="00F81087" w:rsidRPr="00F81087" w:rsidRDefault="00F81087" w:rsidP="00F81087">
      <w:pPr>
        <w:jc w:val="both"/>
        <w:rPr>
          <w:rFonts w:ascii="Cambria" w:hAnsi="Cambria"/>
          <w:sz w:val="20"/>
          <w:szCs w:val="20"/>
          <w:lang w:val="fr-FR"/>
        </w:rPr>
      </w:pPr>
      <w:r w:rsidRPr="00F81087">
        <w:rPr>
          <w:rFonts w:ascii="Cambria" w:hAnsi="Cambria"/>
          <w:sz w:val="20"/>
          <w:szCs w:val="20"/>
          <w:lang w:val="fr-FR"/>
        </w:rPr>
        <w:t>Le Comité demande à la Commission de fournir une définition plus claire et plus précise du type d'analyse requis.</w:t>
      </w:r>
    </w:p>
    <w:p w14:paraId="2C5C5DFE" w14:textId="77777777" w:rsidR="00F81087" w:rsidRPr="00F81087" w:rsidRDefault="00F81087" w:rsidP="00F81087">
      <w:pPr>
        <w:jc w:val="both"/>
        <w:rPr>
          <w:rFonts w:ascii="Cambria" w:hAnsi="Cambria"/>
          <w:lang w:val="fr-FR"/>
        </w:rPr>
      </w:pPr>
    </w:p>
    <w:p w14:paraId="6E8EB49C" w14:textId="77777777" w:rsidR="00F81087" w:rsidRPr="00F81087" w:rsidRDefault="00F81087" w:rsidP="00F81087">
      <w:pPr>
        <w:jc w:val="both"/>
        <w:rPr>
          <w:rFonts w:ascii="Cambria" w:hAnsi="Cambria"/>
          <w:sz w:val="20"/>
          <w:szCs w:val="20"/>
          <w:lang w:val="fr-FR"/>
        </w:rPr>
      </w:pPr>
      <w:r w:rsidRPr="00F81087">
        <w:rPr>
          <w:rFonts w:ascii="Cambria" w:hAnsi="Cambria"/>
          <w:b/>
          <w:bCs/>
          <w:sz w:val="20"/>
          <w:szCs w:val="20"/>
          <w:lang w:val="fr-FR"/>
        </w:rPr>
        <w:t>Tableau 19.34.1</w:t>
      </w:r>
      <w:r w:rsidRPr="00F81087">
        <w:rPr>
          <w:rFonts w:ascii="Cambria" w:hAnsi="Cambria"/>
          <w:sz w:val="20"/>
          <w:szCs w:val="20"/>
          <w:lang w:val="fr-FR"/>
        </w:rPr>
        <w:t xml:space="preserve"> – Nombre de navires de support et nombre total de navires de pêche soutenus par ces navires, tels que déclarés par la CPC du pavillon (formulaire ST07) au cours de la période de déclaration (appendice 5 du Rapport du Secrétariat sur les statistiques et la recherche (PLE-SCRS_07/2026).</w:t>
      </w:r>
    </w:p>
    <w:p w14:paraId="73B3AE9E" w14:textId="77777777" w:rsidR="00F81087" w:rsidRPr="00F81087" w:rsidRDefault="00F81087" w:rsidP="00F81087">
      <w:pPr>
        <w:jc w:val="both"/>
        <w:rPr>
          <w:rFonts w:ascii="Cambria" w:hAnsi="Cambria"/>
          <w:lang w:val="fr-FR"/>
        </w:rPr>
      </w:pPr>
    </w:p>
    <w:p w14:paraId="4F3EDD9B" w14:textId="77777777" w:rsidR="00F81087" w:rsidRPr="007B779F" w:rsidRDefault="00F81087" w:rsidP="00F81087">
      <w:pPr>
        <w:jc w:val="both"/>
        <w:rPr>
          <w:rFonts w:ascii="Cambria" w:hAnsi="Cambria"/>
        </w:rPr>
      </w:pPr>
      <w:r w:rsidRPr="007B779F">
        <w:rPr>
          <w:noProof/>
        </w:rPr>
        <w:drawing>
          <wp:inline distT="0" distB="0" distL="0" distR="0" wp14:anchorId="5825BB68" wp14:editId="3A935747">
            <wp:extent cx="5756275" cy="2114031"/>
            <wp:effectExtent l="0" t="0" r="0" b="635"/>
            <wp:docPr id="742024090" name="Picture 1" descr="P257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024090" name="Picture 1" descr="P2571#yIS1"/>
                    <pic:cNvPicPr>
                      <a:picLocks noChangeAspect="1" noChangeArrowheads="1"/>
                    </pic:cNvPicPr>
                  </pic:nvPicPr>
                  <pic:blipFill rotWithShape="1">
                    <a:blip r:embed="rId9" r:link="rId10">
                      <a:extLst>
                        <a:ext uri="{28A0092B-C50C-407E-A947-70E740481C1C}">
                          <a14:useLocalDpi xmlns:a14="http://schemas.microsoft.com/office/drawing/2010/main" val="0"/>
                        </a:ext>
                      </a:extLst>
                    </a:blip>
                    <a:srcRect t="22775"/>
                    <a:stretch>
                      <a:fillRect/>
                    </a:stretch>
                  </pic:blipFill>
                  <pic:spPr bwMode="auto">
                    <a:xfrm>
                      <a:off x="0" y="0"/>
                      <a:ext cx="5756275" cy="2114031"/>
                    </a:xfrm>
                    <a:prstGeom prst="rect">
                      <a:avLst/>
                    </a:prstGeom>
                    <a:noFill/>
                    <a:ln>
                      <a:noFill/>
                    </a:ln>
                    <a:extLst>
                      <a:ext uri="{53640926-AAD7-44D8-BBD7-CCE9431645EC}">
                        <a14:shadowObscured xmlns:a14="http://schemas.microsoft.com/office/drawing/2010/main"/>
                      </a:ext>
                    </a:extLst>
                  </pic:spPr>
                </pic:pic>
              </a:graphicData>
            </a:graphic>
          </wp:inline>
        </w:drawing>
      </w:r>
    </w:p>
    <w:p w14:paraId="39C8670A" w14:textId="77777777" w:rsidR="00F81087" w:rsidRDefault="00F81087" w:rsidP="00F81087">
      <w:pPr>
        <w:widowControl w:val="0"/>
        <w:pBdr>
          <w:top w:val="nil"/>
          <w:left w:val="nil"/>
          <w:bottom w:val="nil"/>
          <w:right w:val="nil"/>
          <w:between w:val="nil"/>
        </w:pBdr>
        <w:tabs>
          <w:tab w:val="left" w:pos="142"/>
        </w:tabs>
        <w:jc w:val="both"/>
        <w:rPr>
          <w:rFonts w:ascii="Cambria" w:hAnsi="Cambria"/>
          <w:b/>
          <w:i/>
          <w:color w:val="000000"/>
          <w:sz w:val="20"/>
          <w:szCs w:val="20"/>
        </w:rPr>
      </w:pPr>
    </w:p>
    <w:p w14:paraId="4957D8B0" w14:textId="77777777" w:rsidR="00F81087" w:rsidRDefault="00F81087" w:rsidP="00F81087">
      <w:pPr>
        <w:widowControl w:val="0"/>
        <w:pBdr>
          <w:top w:val="nil"/>
          <w:left w:val="nil"/>
          <w:bottom w:val="nil"/>
          <w:right w:val="nil"/>
          <w:between w:val="nil"/>
        </w:pBdr>
        <w:tabs>
          <w:tab w:val="left" w:pos="142"/>
        </w:tabs>
        <w:jc w:val="both"/>
        <w:rPr>
          <w:rFonts w:ascii="Cambria" w:hAnsi="Cambria"/>
          <w:b/>
          <w:i/>
          <w:color w:val="000000"/>
          <w:sz w:val="20"/>
          <w:szCs w:val="20"/>
          <w:lang w:val="fr-FR"/>
        </w:rPr>
      </w:pPr>
    </w:p>
    <w:p w14:paraId="6200A018" w14:textId="77777777" w:rsidR="00F81087" w:rsidRDefault="00F81087" w:rsidP="00F81087">
      <w:pPr>
        <w:widowControl w:val="0"/>
        <w:pBdr>
          <w:top w:val="nil"/>
          <w:left w:val="nil"/>
          <w:bottom w:val="nil"/>
          <w:right w:val="nil"/>
          <w:between w:val="nil"/>
        </w:pBdr>
        <w:tabs>
          <w:tab w:val="left" w:pos="142"/>
        </w:tabs>
        <w:jc w:val="both"/>
        <w:rPr>
          <w:rFonts w:ascii="Cambria" w:hAnsi="Cambria"/>
          <w:b/>
          <w:i/>
          <w:color w:val="000000"/>
          <w:sz w:val="20"/>
          <w:szCs w:val="20"/>
          <w:lang w:val="fr-FR"/>
        </w:rPr>
      </w:pPr>
    </w:p>
    <w:p w14:paraId="488245B4" w14:textId="4A20A902" w:rsidR="00F81087" w:rsidRPr="00F81087" w:rsidRDefault="00F81087" w:rsidP="00F81087">
      <w:pPr>
        <w:widowControl w:val="0"/>
        <w:pBdr>
          <w:top w:val="nil"/>
          <w:left w:val="nil"/>
          <w:bottom w:val="nil"/>
          <w:right w:val="nil"/>
          <w:between w:val="nil"/>
        </w:pBdr>
        <w:tabs>
          <w:tab w:val="left" w:pos="142"/>
        </w:tabs>
        <w:jc w:val="both"/>
        <w:rPr>
          <w:rFonts w:ascii="Cambria" w:hAnsi="Cambria"/>
          <w:bCs/>
          <w:i/>
          <w:sz w:val="20"/>
          <w:szCs w:val="20"/>
          <w:lang w:val="fr-FR"/>
        </w:rPr>
      </w:pPr>
      <w:r w:rsidRPr="00F81087">
        <w:rPr>
          <w:rFonts w:ascii="Cambria" w:hAnsi="Cambria"/>
          <w:b/>
          <w:i/>
          <w:color w:val="000000"/>
          <w:sz w:val="20"/>
          <w:szCs w:val="20"/>
          <w:lang w:val="fr-FR"/>
        </w:rPr>
        <w:lastRenderedPageBreak/>
        <w:t xml:space="preserve">19.35 </w:t>
      </w:r>
      <w:r w:rsidRPr="00F81087">
        <w:rPr>
          <w:rFonts w:ascii="Cambria" w:hAnsi="Cambria"/>
          <w:b/>
          <w:i/>
          <w:sz w:val="20"/>
          <w:szCs w:val="20"/>
          <w:lang w:val="fr-FR"/>
        </w:rPr>
        <w:t>Le SCRS devra réaliser une analyse plus approfondie en ce qui concerne l’effet des navires de support sur les prises d’albacore et de thon obèse juvéniles</w:t>
      </w:r>
      <w:r w:rsidRPr="00F81087">
        <w:rPr>
          <w:rFonts w:ascii="Cambria" w:hAnsi="Cambria"/>
          <w:b/>
          <w:i/>
          <w:color w:val="000000"/>
          <w:sz w:val="20"/>
          <w:szCs w:val="20"/>
          <w:lang w:val="fr-FR"/>
        </w:rPr>
        <w:t xml:space="preserve">, </w:t>
      </w:r>
      <w:hyperlink r:id="rId11" w:history="1">
        <w:r w:rsidRPr="00F81087">
          <w:rPr>
            <w:rStyle w:val="Hyperlink"/>
            <w:rFonts w:ascii="Cambria" w:hAnsi="Cambria"/>
            <w:b/>
            <w:i/>
            <w:sz w:val="20"/>
            <w:szCs w:val="20"/>
            <w:u w:val="none"/>
            <w:lang w:val="fr-FR"/>
          </w:rPr>
          <w:t>Rec. 24-01</w:t>
        </w:r>
      </w:hyperlink>
      <w:r w:rsidRPr="00F81087">
        <w:rPr>
          <w:rFonts w:ascii="Cambria" w:hAnsi="Cambria"/>
          <w:b/>
          <w:i/>
          <w:sz w:val="20"/>
          <w:szCs w:val="20"/>
          <w:lang w:val="fr-FR"/>
        </w:rPr>
        <w:t>,</w:t>
      </w:r>
      <w:r w:rsidRPr="00F81087">
        <w:rPr>
          <w:rFonts w:ascii="Cambria" w:hAnsi="Cambria"/>
          <w:b/>
          <w:i/>
          <w:color w:val="000000"/>
          <w:sz w:val="20"/>
          <w:szCs w:val="20"/>
          <w:lang w:val="fr-FR"/>
        </w:rPr>
        <w:t xml:space="preserve"> </w:t>
      </w:r>
      <w:r w:rsidRPr="00F81087">
        <w:rPr>
          <w:rFonts w:ascii="Cambria" w:hAnsi="Cambria"/>
          <w:b/>
          <w:i/>
          <w:sz w:val="20"/>
          <w:szCs w:val="20"/>
          <w:lang w:val="fr-FR"/>
        </w:rPr>
        <w:t>paragraphe</w:t>
      </w:r>
      <w:r w:rsidRPr="00F81087">
        <w:rPr>
          <w:rFonts w:ascii="Cambria" w:hAnsi="Cambria"/>
          <w:b/>
          <w:i/>
          <w:color w:val="000000"/>
          <w:sz w:val="20"/>
          <w:szCs w:val="20"/>
          <w:lang w:val="fr-FR"/>
        </w:rPr>
        <w:t xml:space="preserve"> 36</w:t>
      </w:r>
    </w:p>
    <w:p w14:paraId="48B8E235" w14:textId="77777777" w:rsidR="00F81087" w:rsidRPr="00F81087" w:rsidRDefault="00F81087" w:rsidP="00F81087">
      <w:pPr>
        <w:widowControl w:val="0"/>
        <w:pBdr>
          <w:top w:val="nil"/>
          <w:left w:val="nil"/>
          <w:bottom w:val="nil"/>
          <w:right w:val="nil"/>
          <w:between w:val="nil"/>
        </w:pBdr>
        <w:tabs>
          <w:tab w:val="left" w:pos="142"/>
        </w:tabs>
        <w:jc w:val="both"/>
        <w:rPr>
          <w:rFonts w:ascii="Cambria" w:eastAsia="Cambria" w:hAnsi="Cambria" w:cs="Cambria"/>
          <w:sz w:val="20"/>
          <w:szCs w:val="20"/>
          <w:lang w:val="fr-FR"/>
        </w:rPr>
      </w:pPr>
    </w:p>
    <w:p w14:paraId="77CAE098" w14:textId="77777777" w:rsidR="00F81087" w:rsidRPr="00F81087" w:rsidRDefault="00F81087" w:rsidP="00F81087">
      <w:pPr>
        <w:widowControl w:val="0"/>
        <w:pBdr>
          <w:top w:val="nil"/>
          <w:left w:val="nil"/>
          <w:bottom w:val="nil"/>
          <w:right w:val="nil"/>
          <w:between w:val="nil"/>
        </w:pBdr>
        <w:tabs>
          <w:tab w:val="left" w:pos="142"/>
        </w:tabs>
        <w:jc w:val="both"/>
        <w:rPr>
          <w:rFonts w:ascii="Cambria" w:eastAsia="Aptos" w:hAnsi="Cambria" w:cs="Aptos"/>
          <w:color w:val="000000"/>
          <w:sz w:val="20"/>
          <w:szCs w:val="20"/>
          <w:lang w:val="fr-FR"/>
        </w:rPr>
      </w:pPr>
      <w:r w:rsidRPr="00F81087">
        <w:rPr>
          <w:rFonts w:ascii="Cambria" w:hAnsi="Cambria"/>
          <w:b/>
          <w:sz w:val="20"/>
          <w:szCs w:val="20"/>
          <w:lang w:val="fr-FR"/>
        </w:rPr>
        <w:t>Contexte :</w:t>
      </w:r>
      <w:r w:rsidRPr="00F81087">
        <w:rPr>
          <w:rFonts w:ascii="Cambria" w:hAnsi="Cambria"/>
          <w:sz w:val="20"/>
          <w:szCs w:val="20"/>
          <w:lang w:val="fr-FR"/>
        </w:rPr>
        <w:t xml:space="preserve"> </w:t>
      </w:r>
      <w:r w:rsidRPr="00F81087">
        <w:rPr>
          <w:rFonts w:ascii="Cambria" w:hAnsi="Cambria"/>
          <w:i/>
          <w:sz w:val="20"/>
          <w:szCs w:val="20"/>
          <w:lang w:val="fr-FR"/>
        </w:rPr>
        <w:t>Le SCRS devra réaliser une analyse plus approfondie, pour examen en 2025, en ce qui concerne l’effet des navires de support sur les prises d’albacore et de thon obèse juvéniles.</w:t>
      </w:r>
    </w:p>
    <w:p w14:paraId="3D172327" w14:textId="77777777" w:rsidR="00F81087" w:rsidRPr="00F81087" w:rsidRDefault="00F81087" w:rsidP="00F81087">
      <w:pPr>
        <w:tabs>
          <w:tab w:val="left" w:pos="0"/>
          <w:tab w:val="left" w:pos="720"/>
          <w:tab w:val="right" w:pos="8505"/>
          <w:tab w:val="right" w:pos="9072"/>
        </w:tabs>
        <w:ind w:right="4"/>
        <w:jc w:val="both"/>
        <w:rPr>
          <w:rFonts w:ascii="Cambria" w:eastAsia="Cambria" w:hAnsi="Cambria" w:cs="Cambria"/>
          <w:b/>
          <w:iCs/>
          <w:color w:val="000000"/>
          <w:sz w:val="20"/>
          <w:szCs w:val="20"/>
          <w:lang w:val="fr-FR"/>
        </w:rPr>
      </w:pPr>
    </w:p>
    <w:p w14:paraId="3BAC536E" w14:textId="77777777" w:rsidR="00F81087" w:rsidRPr="00F81087" w:rsidRDefault="00F81087" w:rsidP="00F81087">
      <w:pPr>
        <w:contextualSpacing/>
        <w:jc w:val="both"/>
        <w:rPr>
          <w:rFonts w:ascii="Cambria" w:hAnsi="Cambria"/>
          <w:sz w:val="20"/>
          <w:szCs w:val="20"/>
          <w:lang w:val="fr-FR"/>
        </w:rPr>
      </w:pPr>
      <w:r w:rsidRPr="00F81087">
        <w:rPr>
          <w:rFonts w:ascii="Cambria" w:hAnsi="Cambria"/>
          <w:sz w:val="20"/>
          <w:lang w:val="fr-FR"/>
        </w:rPr>
        <w:t xml:space="preserve">Le Comité n'est pas en mesure d'établir un lien entre l'activité d'un navire de support donné et les captures, l'effort ou les taux de capture globaux des navires bénéficiant de ces activités de soutien, car les CPC ne fournissent aucune donnée sur les captures totales ou l'effort de pêche (tâche 2 CE ETRO) par navire. Par conséquent, le Comité n'est pas en mesure d'analyser l'impact des navires de support sur les captures de juvéniles d’albacore et de thon obèse.  </w:t>
      </w:r>
    </w:p>
    <w:p w14:paraId="5D0968A5" w14:textId="77777777" w:rsidR="00F81087" w:rsidRPr="00F81087" w:rsidRDefault="00F81087" w:rsidP="00F81087">
      <w:pPr>
        <w:tabs>
          <w:tab w:val="left" w:pos="0"/>
          <w:tab w:val="left" w:pos="720"/>
          <w:tab w:val="right" w:pos="8505"/>
          <w:tab w:val="right" w:pos="9072"/>
        </w:tabs>
        <w:ind w:right="4"/>
        <w:jc w:val="both"/>
        <w:rPr>
          <w:rFonts w:ascii="Cambria" w:eastAsia="Cambria" w:hAnsi="Cambria" w:cs="Cambria"/>
          <w:b/>
          <w:iCs/>
          <w:color w:val="000000"/>
          <w:sz w:val="20"/>
          <w:szCs w:val="20"/>
          <w:lang w:val="fr-FR"/>
        </w:rPr>
      </w:pPr>
    </w:p>
    <w:p w14:paraId="4D0058EF" w14:textId="77777777" w:rsidR="00F81087" w:rsidRPr="00F81087" w:rsidRDefault="00F81087" w:rsidP="00F81087">
      <w:pPr>
        <w:widowControl w:val="0"/>
        <w:pBdr>
          <w:top w:val="nil"/>
          <w:left w:val="nil"/>
          <w:bottom w:val="nil"/>
          <w:right w:val="nil"/>
          <w:between w:val="nil"/>
        </w:pBdr>
        <w:tabs>
          <w:tab w:val="left" w:pos="142"/>
        </w:tabs>
        <w:jc w:val="both"/>
        <w:rPr>
          <w:rFonts w:ascii="Cambria" w:eastAsia="Cambria" w:hAnsi="Cambria" w:cs="Cambria"/>
          <w:i/>
          <w:iCs/>
          <w:sz w:val="20"/>
          <w:szCs w:val="20"/>
          <w:lang w:val="fr-FR"/>
        </w:rPr>
      </w:pPr>
      <w:bookmarkStart w:id="0" w:name="bookmark=id.lnxbz9"/>
      <w:bookmarkEnd w:id="0"/>
      <w:r w:rsidRPr="00F81087">
        <w:rPr>
          <w:rFonts w:ascii="Cambria" w:hAnsi="Cambria"/>
          <w:b/>
          <w:bCs/>
          <w:i/>
          <w:iCs/>
          <w:sz w:val="20"/>
          <w:szCs w:val="20"/>
          <w:lang w:val="fr-FR"/>
        </w:rPr>
        <w:t>19.36 En 2025, le SCRS devra examiner l'information déclarée par les CPC et fournir des recommandations sur des options de gestion supplémentaires pour les DCP dérivants, y compris des recommandations sur des conceptions améliorées de DCP dérivants</w:t>
      </w:r>
      <w:r w:rsidRPr="00F81087">
        <w:rPr>
          <w:rFonts w:ascii="Cambria" w:hAnsi="Cambria"/>
          <w:sz w:val="20"/>
          <w:szCs w:val="20"/>
          <w:lang w:val="fr-FR"/>
        </w:rPr>
        <w:t xml:space="preserve">, </w:t>
      </w:r>
      <w:hyperlink r:id="rId12" w:history="1">
        <w:r w:rsidRPr="00F81087">
          <w:rPr>
            <w:rStyle w:val="Hyperlink"/>
            <w:rFonts w:ascii="Cambria" w:hAnsi="Cambria"/>
            <w:b/>
            <w:i/>
            <w:sz w:val="20"/>
            <w:szCs w:val="20"/>
            <w:u w:val="none"/>
            <w:lang w:val="fr-FR"/>
          </w:rPr>
          <w:t>Rec. 24-01</w:t>
        </w:r>
      </w:hyperlink>
      <w:r w:rsidRPr="00F81087">
        <w:rPr>
          <w:rFonts w:ascii="Cambria" w:hAnsi="Cambria"/>
          <w:b/>
          <w:i/>
          <w:sz w:val="20"/>
          <w:szCs w:val="20"/>
          <w:lang w:val="fr-FR"/>
        </w:rPr>
        <w:t xml:space="preserve">, </w:t>
      </w:r>
      <w:r w:rsidRPr="00F81087">
        <w:rPr>
          <w:rFonts w:ascii="Cambria" w:hAnsi="Cambria"/>
          <w:b/>
          <w:bCs/>
          <w:i/>
          <w:iCs/>
          <w:sz w:val="20"/>
          <w:szCs w:val="20"/>
          <w:lang w:val="fr-FR"/>
        </w:rPr>
        <w:t>paragraphe</w:t>
      </w:r>
      <w:r w:rsidRPr="00F81087">
        <w:rPr>
          <w:rFonts w:ascii="Cambria" w:hAnsi="Cambria"/>
          <w:b/>
          <w:i/>
          <w:sz w:val="20"/>
          <w:szCs w:val="20"/>
          <w:lang w:val="fr-FR"/>
        </w:rPr>
        <w:t xml:space="preserve"> 51 </w:t>
      </w:r>
    </w:p>
    <w:p w14:paraId="21609E3F" w14:textId="77777777" w:rsidR="00F81087" w:rsidRPr="00F81087" w:rsidRDefault="00F81087" w:rsidP="00F81087">
      <w:pPr>
        <w:widowControl w:val="0"/>
        <w:pBdr>
          <w:top w:val="nil"/>
          <w:left w:val="nil"/>
          <w:bottom w:val="nil"/>
          <w:right w:val="nil"/>
          <w:between w:val="nil"/>
        </w:pBdr>
        <w:tabs>
          <w:tab w:val="left" w:pos="142"/>
        </w:tabs>
        <w:jc w:val="both"/>
        <w:rPr>
          <w:rFonts w:ascii="Cambria" w:eastAsia="Cambria" w:hAnsi="Cambria" w:cs="Cambria"/>
          <w:b/>
          <w:bCs/>
          <w:i/>
          <w:iCs/>
          <w:sz w:val="20"/>
          <w:szCs w:val="20"/>
          <w:lang w:val="fr-FR"/>
        </w:rPr>
      </w:pPr>
    </w:p>
    <w:p w14:paraId="12A38D10" w14:textId="77777777" w:rsidR="00F81087" w:rsidRPr="00F81087" w:rsidRDefault="00F81087" w:rsidP="00F81087">
      <w:pPr>
        <w:widowControl w:val="0"/>
        <w:pBdr>
          <w:top w:val="nil"/>
          <w:left w:val="nil"/>
          <w:bottom w:val="nil"/>
          <w:right w:val="nil"/>
          <w:between w:val="nil"/>
        </w:pBdr>
        <w:tabs>
          <w:tab w:val="left" w:pos="142"/>
        </w:tabs>
        <w:jc w:val="both"/>
        <w:rPr>
          <w:rFonts w:ascii="Cambria" w:eastAsia="Cambria" w:hAnsi="Cambria" w:cs="Cambria"/>
          <w:i/>
          <w:iCs/>
          <w:sz w:val="20"/>
          <w:szCs w:val="20"/>
          <w:lang w:val="fr-FR"/>
        </w:rPr>
      </w:pPr>
      <w:r w:rsidRPr="00F81087">
        <w:rPr>
          <w:rFonts w:ascii="Cambria" w:hAnsi="Cambria"/>
          <w:b/>
          <w:sz w:val="20"/>
          <w:szCs w:val="20"/>
          <w:lang w:val="fr-FR"/>
        </w:rPr>
        <w:t xml:space="preserve">Contexte : </w:t>
      </w:r>
      <w:r w:rsidRPr="00F81087">
        <w:rPr>
          <w:rFonts w:ascii="Cambria" w:hAnsi="Cambria"/>
          <w:i/>
          <w:sz w:val="20"/>
          <w:szCs w:val="20"/>
          <w:lang w:val="fr-FR"/>
        </w:rPr>
        <w:t>Le SCRS et le Groupe de travail IMM devront examiner l'information déclarée par les CPC et fourniront, le cas échéant, des recommandations sur des options de gestion supplémentaires pour les DCP dérivants aux fins de considération par la Commission, y compris des recommandations sur des conceptions améliorées de DCP dérivants.</w:t>
      </w:r>
    </w:p>
    <w:p w14:paraId="27675ECE" w14:textId="77777777" w:rsidR="00F81087" w:rsidRPr="00F81087" w:rsidRDefault="00F81087" w:rsidP="00F81087">
      <w:pPr>
        <w:widowControl w:val="0"/>
        <w:pBdr>
          <w:top w:val="nil"/>
          <w:left w:val="nil"/>
          <w:bottom w:val="nil"/>
          <w:right w:val="nil"/>
          <w:between w:val="nil"/>
        </w:pBdr>
        <w:tabs>
          <w:tab w:val="left" w:pos="142"/>
        </w:tabs>
        <w:jc w:val="both"/>
        <w:rPr>
          <w:rFonts w:ascii="Cambria" w:eastAsia="Cambria" w:hAnsi="Cambria" w:cs="Cambria"/>
          <w:b/>
          <w:bCs/>
          <w:i/>
          <w:iCs/>
          <w:sz w:val="20"/>
          <w:szCs w:val="20"/>
          <w:lang w:val="fr-FR"/>
        </w:rPr>
      </w:pPr>
    </w:p>
    <w:p w14:paraId="43ACBCF5" w14:textId="77777777" w:rsidR="00F81087" w:rsidRPr="00F81087" w:rsidRDefault="00F81087" w:rsidP="00F81087">
      <w:pPr>
        <w:widowControl w:val="0"/>
        <w:tabs>
          <w:tab w:val="left" w:pos="142"/>
        </w:tabs>
        <w:jc w:val="both"/>
        <w:rPr>
          <w:rFonts w:ascii="Cambria" w:eastAsia="Cambria" w:hAnsi="Cambria" w:cs="Cambria"/>
          <w:sz w:val="20"/>
          <w:szCs w:val="20"/>
          <w:lang w:val="fr-FR"/>
        </w:rPr>
      </w:pPr>
      <w:r w:rsidRPr="00F81087">
        <w:rPr>
          <w:rFonts w:ascii="Cambria" w:hAnsi="Cambria"/>
          <w:sz w:val="20"/>
          <w:szCs w:val="20"/>
          <w:lang w:val="fr-FR"/>
        </w:rPr>
        <w:t xml:space="preserve">Aucune nouvelle information n’a été présentée au Comité en 2026 et le Groupe de travail IMM n’a formulé aucune recommandation spécifique. La Commission doit savoir que le secteur continue de mener des initiatives visant à adapter les conceptions aux exigences définies dans la </w:t>
      </w:r>
      <w:hyperlink r:id="rId13" w:history="1">
        <w:r w:rsidRPr="00F81087">
          <w:rPr>
            <w:rStyle w:val="Hyperlink"/>
            <w:rFonts w:ascii="Cambria" w:hAnsi="Cambria"/>
            <w:sz w:val="20"/>
            <w:szCs w:val="20"/>
            <w:u w:val="none"/>
            <w:lang w:val="fr-FR"/>
          </w:rPr>
          <w:t>Rec. 24-01</w:t>
        </w:r>
      </w:hyperlink>
      <w:r w:rsidRPr="00F81087">
        <w:rPr>
          <w:rFonts w:ascii="Cambria" w:hAnsi="Cambria"/>
          <w:sz w:val="20"/>
          <w:szCs w:val="20"/>
          <w:lang w:val="fr-FR"/>
        </w:rPr>
        <w:t>. Le Comité a été informé de certaines difficultés rencontrées dans la mise en œuvre des lignes directrices et a donc continué à suggérer qu'un atelier spécifique réunissant des représentants du monde scientifique et de l'industrie pourrait s'avérer utile à un moment donné pour partager les expériences et rechercher des synergies.</w:t>
      </w:r>
    </w:p>
    <w:p w14:paraId="54D9DEB7" w14:textId="77777777" w:rsidR="00F81087" w:rsidRPr="00F81087" w:rsidRDefault="00F81087" w:rsidP="00F81087">
      <w:pPr>
        <w:widowControl w:val="0"/>
        <w:pBdr>
          <w:top w:val="nil"/>
          <w:left w:val="nil"/>
          <w:bottom w:val="nil"/>
          <w:right w:val="nil"/>
          <w:between w:val="nil"/>
        </w:pBdr>
        <w:tabs>
          <w:tab w:val="left" w:pos="142"/>
        </w:tabs>
        <w:jc w:val="both"/>
        <w:rPr>
          <w:rFonts w:ascii="Cambria" w:eastAsia="Cambria" w:hAnsi="Cambria" w:cs="Cambria"/>
          <w:b/>
          <w:bCs/>
          <w:i/>
          <w:iCs/>
          <w:sz w:val="20"/>
          <w:szCs w:val="20"/>
          <w:lang w:val="fr-FR"/>
        </w:rPr>
      </w:pPr>
    </w:p>
    <w:p w14:paraId="4541F8E8" w14:textId="77777777" w:rsidR="00F81087" w:rsidRPr="00F81087" w:rsidRDefault="00F81087" w:rsidP="00F81087">
      <w:pPr>
        <w:jc w:val="both"/>
        <w:rPr>
          <w:rFonts w:ascii="Cambria" w:eastAsia="Aptos" w:hAnsi="Cambria" w:cs="Aptos"/>
          <w:b/>
          <w:bCs/>
          <w:i/>
          <w:iCs/>
          <w:sz w:val="20"/>
          <w:szCs w:val="20"/>
          <w:lang w:val="fr-FR"/>
        </w:rPr>
      </w:pPr>
      <w:r w:rsidRPr="00F81087">
        <w:rPr>
          <w:rFonts w:ascii="Cambria" w:hAnsi="Cambria"/>
          <w:b/>
          <w:i/>
          <w:color w:val="000000"/>
          <w:sz w:val="20"/>
          <w:szCs w:val="20"/>
          <w:lang w:val="fr-FR"/>
        </w:rPr>
        <w:t>19.37 Le SCRS devra affiner le processus de MSE conformément à la feuille de route adoptée par la Commission,</w:t>
      </w:r>
      <w:r w:rsidRPr="00F81087">
        <w:rPr>
          <w:rFonts w:ascii="Cambria" w:hAnsi="Cambria"/>
          <w:b/>
          <w:i/>
          <w:sz w:val="20"/>
          <w:szCs w:val="20"/>
          <w:lang w:val="fr-FR"/>
        </w:rPr>
        <w:t xml:space="preserve"> </w:t>
      </w:r>
      <w:hyperlink r:id="rId14" w:history="1">
        <w:r w:rsidRPr="00F81087">
          <w:rPr>
            <w:rStyle w:val="Hyperlink"/>
            <w:rFonts w:ascii="Cambria" w:hAnsi="Cambria"/>
            <w:b/>
            <w:i/>
            <w:sz w:val="20"/>
            <w:szCs w:val="20"/>
            <w:u w:val="none"/>
            <w:lang w:val="fr-FR"/>
          </w:rPr>
          <w:t>Rec. 24-01</w:t>
        </w:r>
      </w:hyperlink>
      <w:r w:rsidRPr="00F81087">
        <w:rPr>
          <w:rFonts w:ascii="Cambria" w:hAnsi="Cambria"/>
          <w:b/>
          <w:i/>
          <w:sz w:val="20"/>
          <w:szCs w:val="20"/>
          <w:lang w:val="fr-FR"/>
        </w:rPr>
        <w:t>,</w:t>
      </w:r>
      <w:r w:rsidRPr="00F81087">
        <w:rPr>
          <w:rFonts w:ascii="Cambria" w:hAnsi="Cambria"/>
          <w:b/>
          <w:i/>
          <w:color w:val="000000"/>
          <w:sz w:val="20"/>
          <w:szCs w:val="20"/>
          <w:lang w:val="fr-FR"/>
        </w:rPr>
        <w:t xml:space="preserve"> </w:t>
      </w:r>
      <w:r w:rsidRPr="00F81087">
        <w:rPr>
          <w:rFonts w:ascii="Cambria" w:hAnsi="Cambria"/>
          <w:b/>
          <w:bCs/>
          <w:i/>
          <w:iCs/>
          <w:sz w:val="20"/>
          <w:szCs w:val="20"/>
          <w:lang w:val="fr-FR"/>
        </w:rPr>
        <w:t>paragraphe</w:t>
      </w:r>
      <w:r w:rsidRPr="00F81087">
        <w:rPr>
          <w:rFonts w:ascii="Cambria" w:hAnsi="Cambria"/>
          <w:b/>
          <w:i/>
          <w:color w:val="000000"/>
          <w:sz w:val="20"/>
          <w:szCs w:val="20"/>
          <w:lang w:val="fr-FR"/>
        </w:rPr>
        <w:t xml:space="preserve"> 75 </w:t>
      </w:r>
    </w:p>
    <w:p w14:paraId="0EF6C1BD" w14:textId="77777777" w:rsidR="00F81087" w:rsidRPr="00F81087" w:rsidRDefault="00F81087" w:rsidP="00F81087">
      <w:pPr>
        <w:jc w:val="both"/>
        <w:rPr>
          <w:rFonts w:ascii="Cambria" w:eastAsia="Aptos" w:hAnsi="Cambria" w:cs="Aptos"/>
          <w:color w:val="000000"/>
          <w:sz w:val="20"/>
          <w:szCs w:val="20"/>
          <w:lang w:val="fr-FR"/>
        </w:rPr>
      </w:pPr>
    </w:p>
    <w:p w14:paraId="2B7320E4" w14:textId="77777777" w:rsidR="00F81087" w:rsidRPr="00F81087" w:rsidRDefault="00F81087" w:rsidP="00F81087">
      <w:pPr>
        <w:jc w:val="both"/>
        <w:rPr>
          <w:rFonts w:ascii="Cambria" w:eastAsia="Aptos" w:hAnsi="Cambria" w:cs="Aptos"/>
          <w:i/>
          <w:iCs/>
          <w:sz w:val="20"/>
          <w:szCs w:val="20"/>
          <w:lang w:val="fr-FR"/>
        </w:rPr>
      </w:pPr>
      <w:r w:rsidRPr="00F81087">
        <w:rPr>
          <w:rFonts w:ascii="Cambria" w:hAnsi="Cambria"/>
          <w:b/>
          <w:bCs/>
          <w:color w:val="000000"/>
          <w:sz w:val="20"/>
          <w:szCs w:val="20"/>
          <w:lang w:val="fr-FR"/>
        </w:rPr>
        <w:t xml:space="preserve">Contexte : </w:t>
      </w:r>
      <w:r w:rsidRPr="00F81087">
        <w:rPr>
          <w:rFonts w:ascii="Cambria" w:hAnsi="Cambria"/>
          <w:i/>
          <w:iCs/>
          <w:color w:val="000000"/>
          <w:sz w:val="20"/>
          <w:szCs w:val="20"/>
          <w:lang w:val="fr-FR"/>
        </w:rPr>
        <w:t>Le SCRS devra affiner le processus de MSE conformément à la feuille de route adoptée par la Commission. Sur la base des commentaires de la Sous-commission 1 sur les objectifs de gestion opérationnels provisoires de la Résolution de l’ICCAT sur les objectifs de gestion opérationnels provisoires pour le thon obèse, l’albacore et le stock oriental de listao de l'Atlantique (Rés. 24-02) à partir de 2025, le SCRS devrait continuer à tester les procédures de gestion potentielles. En 2026, ou dès que possible par la suite, la Commission devra examiner les procédures de gestion potentielles, y compris des mesures de gestion préalablement convenues prises selon diverses conditions du stock. Celles-ci devront prendre en compte les impacts différentiels des opérations de pêche (par exemple, senneurs, palangriers et canneurs) sur la mortalité des juvéniles et la production au niveau de la PME, ainsi que d’autres impacts de ces pêcheries, y compris les impacts sur les prises accessoires, les répercussions écosystémiques et les répercussions socio-économiques.</w:t>
      </w:r>
    </w:p>
    <w:p w14:paraId="7AC18B43" w14:textId="77777777" w:rsidR="00F81087" w:rsidRPr="00F81087" w:rsidRDefault="00F81087" w:rsidP="00F81087">
      <w:pPr>
        <w:rPr>
          <w:rFonts w:ascii="Cambria" w:hAnsi="Cambria"/>
          <w:sz w:val="20"/>
          <w:szCs w:val="20"/>
          <w:lang w:val="fr-FR"/>
        </w:rPr>
      </w:pPr>
    </w:p>
    <w:p w14:paraId="6E0891A2" w14:textId="77777777" w:rsidR="00F81087" w:rsidRPr="00F81087" w:rsidRDefault="00F81087" w:rsidP="00F81087">
      <w:pPr>
        <w:rPr>
          <w:rFonts w:ascii="Cambria" w:hAnsi="Cambria"/>
          <w:bCs/>
          <w:i/>
          <w:iCs/>
          <w:sz w:val="20"/>
          <w:szCs w:val="20"/>
          <w:lang w:val="fr-FR"/>
        </w:rPr>
      </w:pPr>
      <w:r w:rsidRPr="00F81087">
        <w:rPr>
          <w:rFonts w:ascii="Cambria" w:hAnsi="Cambria"/>
          <w:i/>
          <w:iCs/>
          <w:sz w:val="20"/>
          <w:szCs w:val="20"/>
          <w:lang w:val="fr-FR"/>
        </w:rPr>
        <w:t>MSE pour le listao de l'Atlantique Ouest</w:t>
      </w:r>
    </w:p>
    <w:p w14:paraId="59C7DD46" w14:textId="77777777" w:rsidR="00F81087" w:rsidRPr="00F81087" w:rsidRDefault="00F81087" w:rsidP="00F81087">
      <w:pPr>
        <w:jc w:val="both"/>
        <w:rPr>
          <w:rFonts w:ascii="Cambria" w:hAnsi="Cambria"/>
          <w:sz w:val="20"/>
          <w:szCs w:val="20"/>
          <w:lang w:val="fr-FR"/>
        </w:rPr>
      </w:pPr>
    </w:p>
    <w:p w14:paraId="6380B625" w14:textId="77777777" w:rsidR="00F81087" w:rsidRPr="00F81087" w:rsidRDefault="00F81087" w:rsidP="00F81087">
      <w:pPr>
        <w:jc w:val="both"/>
        <w:rPr>
          <w:rFonts w:ascii="Cambria" w:hAnsi="Cambria"/>
          <w:sz w:val="20"/>
          <w:szCs w:val="20"/>
          <w:lang w:val="fr-FR"/>
        </w:rPr>
      </w:pPr>
      <w:r w:rsidRPr="00F81087">
        <w:rPr>
          <w:rFonts w:ascii="Cambria" w:hAnsi="Cambria"/>
          <w:sz w:val="20"/>
          <w:szCs w:val="20"/>
          <w:lang w:val="fr-FR"/>
        </w:rPr>
        <w:t>Le développement de la MSE pour le listao de l’Atlantique Ouest s’est totalement déroulé conformément à la feuille de route du SCRS, ne nécessitant aucune replanification des phases ni de révision du calendrier initialement convenu. La MSE a été achevée en 2025 avec l’adoption de la MP à l’occasion de la réunion annuelle de la Commission et l’établissement du TAC pour la période de trois ans 2026-2028. Par conséquent, le processus a évolué depuis la phase de développement vers la phase opérationnelle de la règle de décision.</w:t>
      </w:r>
    </w:p>
    <w:p w14:paraId="5BD8A2F9" w14:textId="77777777" w:rsidR="00F81087" w:rsidRPr="00F81087" w:rsidRDefault="00F81087" w:rsidP="00F81087">
      <w:pPr>
        <w:jc w:val="both"/>
        <w:rPr>
          <w:rFonts w:ascii="Cambria" w:hAnsi="Cambria"/>
          <w:sz w:val="20"/>
          <w:szCs w:val="20"/>
          <w:lang w:val="fr-FR"/>
        </w:rPr>
      </w:pPr>
    </w:p>
    <w:p w14:paraId="20F11C20" w14:textId="77777777" w:rsidR="00F81087" w:rsidRPr="00F81087" w:rsidRDefault="00F81087" w:rsidP="00F81087">
      <w:pPr>
        <w:jc w:val="both"/>
        <w:rPr>
          <w:rFonts w:ascii="Cambria" w:hAnsi="Cambria"/>
          <w:sz w:val="20"/>
          <w:szCs w:val="20"/>
          <w:lang w:val="fr-FR"/>
        </w:rPr>
      </w:pPr>
      <w:r w:rsidRPr="00F81087">
        <w:rPr>
          <w:rFonts w:ascii="Cambria" w:hAnsi="Cambria"/>
          <w:sz w:val="20"/>
          <w:szCs w:val="20"/>
          <w:lang w:val="fr-FR"/>
        </w:rPr>
        <w:t>Les phases ultérieures ont donc été de nature opérationnelle. En 2026, le SCRS a été chargé de développer des critères de suivi spécifiques à l’appui de l’ECP dont l’adoption par la Commission est prévue à la réunion annuelle de cette année, et de procéder à la vérification annuelle du suivi. La prochaine étape clé se produira en 2028, lorsque la MP sera déclenchée pour générer le TAC de la période 2029-2031, à des fins d’adoption par la Commission à la réunion annuelle de cette année-là. L’examen de la MP et la prochaine révision de l'état du stock restent prévus pour 2031, marquant l’achèvement du premier cycle complet de l’application de la règle de décision.</w:t>
      </w:r>
    </w:p>
    <w:p w14:paraId="5CD0C027" w14:textId="77777777" w:rsidR="00F81087" w:rsidRPr="00F81087" w:rsidRDefault="00F81087" w:rsidP="00F81087">
      <w:pPr>
        <w:jc w:val="both"/>
        <w:rPr>
          <w:rFonts w:ascii="Cambria" w:hAnsi="Cambria"/>
          <w:sz w:val="20"/>
          <w:szCs w:val="20"/>
          <w:lang w:val="fr-FR"/>
        </w:rPr>
      </w:pPr>
    </w:p>
    <w:p w14:paraId="4F6891C7" w14:textId="77777777" w:rsidR="00F81087" w:rsidRPr="00F81087" w:rsidRDefault="00F81087" w:rsidP="00F81087">
      <w:pPr>
        <w:jc w:val="both"/>
        <w:rPr>
          <w:rFonts w:ascii="Cambria" w:hAnsi="Cambria"/>
          <w:i/>
          <w:iCs/>
          <w:sz w:val="20"/>
          <w:szCs w:val="20"/>
          <w:lang w:val="fr-FR"/>
        </w:rPr>
      </w:pPr>
      <w:r w:rsidRPr="00F81087">
        <w:rPr>
          <w:rFonts w:ascii="Cambria" w:hAnsi="Cambria"/>
          <w:i/>
          <w:iCs/>
          <w:sz w:val="20"/>
          <w:szCs w:val="20"/>
          <w:lang w:val="fr-FR"/>
        </w:rPr>
        <w:lastRenderedPageBreak/>
        <w:t>MSE multi-stocks pour les thonidés tropicaux</w:t>
      </w:r>
    </w:p>
    <w:p w14:paraId="79AD5190" w14:textId="77777777" w:rsidR="00F81087" w:rsidRPr="00F81087" w:rsidRDefault="00F81087" w:rsidP="00F81087">
      <w:pPr>
        <w:jc w:val="both"/>
        <w:rPr>
          <w:rFonts w:ascii="Cambria" w:hAnsi="Cambria"/>
          <w:sz w:val="20"/>
          <w:szCs w:val="20"/>
          <w:lang w:val="fr-FR"/>
        </w:rPr>
      </w:pPr>
    </w:p>
    <w:p w14:paraId="091EEC17" w14:textId="77777777" w:rsidR="00F81087" w:rsidRPr="00F81087" w:rsidRDefault="00F81087" w:rsidP="00F81087">
      <w:pPr>
        <w:jc w:val="both"/>
        <w:rPr>
          <w:rFonts w:ascii="Cambria" w:hAnsi="Cambria"/>
          <w:sz w:val="20"/>
          <w:szCs w:val="20"/>
          <w:lang w:val="fr-FR"/>
        </w:rPr>
      </w:pPr>
      <w:r w:rsidRPr="00F81087">
        <w:rPr>
          <w:rFonts w:ascii="Cambria" w:hAnsi="Cambria"/>
          <w:sz w:val="20"/>
          <w:szCs w:val="20"/>
          <w:lang w:val="fr-FR"/>
        </w:rPr>
        <w:t xml:space="preserve">Le plan de travail pour le processus de MSE multi-stocks pour les thonidés tropicaux a été révisé après que le Comité a reconnu que plusieurs éléments clés du cadre de MSE doivent être développés davantage avant de pouvoir soumettre des procédures de gestion potentielles (CMP) pour examen de la Commission. Une composante centrale de ces travaux est l’évaluation du stock actualisée du listao de l’Atlantique Est (E-SKJ) dont les résultats sont nécessaires pour reconditionner les modèles opérationnels (OM) pour ce stock. Sans cette actualisation, le listao de l’Atlantique Est ne pourrait pas être représenté dans le cadre conjoint sur une base analytique appropriée, et les interactions techniques entre les trois stocks, y compris les effets potentiels associés à une espèce limitante, resteraient insuffisamment caractérisées. En conséquence, le Comité prévoit désormais que les travaux techniques relatifs à la MSE multi-stocks ne seront pas achevés avant 2028, et non en 2027 comme indiqué précédemment (réunion intersessions de la Sous-commission 1, 5-7 mai 2026) </w:t>
      </w:r>
    </w:p>
    <w:p w14:paraId="0253DBB1" w14:textId="77777777" w:rsidR="00F81087" w:rsidRPr="00F81087" w:rsidRDefault="00F81087" w:rsidP="00F81087">
      <w:pPr>
        <w:jc w:val="both"/>
        <w:rPr>
          <w:rFonts w:ascii="Cambria" w:hAnsi="Cambria"/>
          <w:sz w:val="20"/>
          <w:szCs w:val="20"/>
          <w:lang w:val="fr-FR"/>
        </w:rPr>
      </w:pPr>
    </w:p>
    <w:p w14:paraId="661FC4A7" w14:textId="77777777" w:rsidR="00F81087" w:rsidRPr="00F81087" w:rsidRDefault="00F81087" w:rsidP="00F81087">
      <w:pPr>
        <w:jc w:val="both"/>
        <w:rPr>
          <w:rFonts w:ascii="Cambria" w:hAnsi="Cambria"/>
          <w:sz w:val="20"/>
          <w:szCs w:val="20"/>
          <w:lang w:val="fr-FR"/>
        </w:rPr>
      </w:pPr>
      <w:r w:rsidRPr="00F81087">
        <w:rPr>
          <w:rFonts w:ascii="Cambria" w:hAnsi="Cambria"/>
          <w:sz w:val="20"/>
          <w:szCs w:val="20"/>
          <w:lang w:val="fr-FR"/>
        </w:rPr>
        <w:t>L’approche révisée vise à maintenir la dynamique du processus global en permettant la poursuite du développement et de l’évaluation des CMP de l’albacore (YFT) et du thon obèse (BET) de manière indépendante et en parallèle tandis que les OM de E-SKJ sont en cours de reconditionnement. En conséquence, en 2027, le Comité placera l’accent sur le perfectionnement du cadre de MSE et l’évaluation des CMP pour BET et YFT, en y intégrant les orientations fournies par la réunion plénière du SCRS et la Sous-commission 1 (notamment en comparant les résultats des CMP obtenus au moyen de méthodes qui, soit rééchantillonnent les indices historiques, soit utilisent des indices historiques fixes). Dans le même temps, les modèles opérationnels de E-SKJ seront reconditionnés à l’aide des résultats de l’évaluation du stock actualisée, tandis que le développement du cadre multi-stocks se poursuivra en utilisant les CMP de BET et de YFT afin d’illustrer les conséquences des interactions techniques et de l’effet potentiel des espèces limitantes. En séparant les éléments qui peuvent progresser immédiatement de ceux qui dépendent d’une base analytique actualisée, cette approche favorise le développement continu et la compréhension de la MSE multi-stocks sans retarder les avancées sur les autres éléments.</w:t>
      </w:r>
    </w:p>
    <w:p w14:paraId="6BC83314" w14:textId="77777777" w:rsidR="00F81087" w:rsidRPr="00F81087" w:rsidRDefault="00F81087" w:rsidP="00F81087">
      <w:pPr>
        <w:jc w:val="both"/>
        <w:rPr>
          <w:rFonts w:ascii="Cambria" w:hAnsi="Cambria"/>
          <w:sz w:val="20"/>
          <w:szCs w:val="20"/>
          <w:lang w:val="fr-FR"/>
        </w:rPr>
      </w:pPr>
    </w:p>
    <w:p w14:paraId="7A5C7322" w14:textId="77777777" w:rsidR="00F81087" w:rsidRPr="00F81087" w:rsidRDefault="00F81087" w:rsidP="00F81087">
      <w:pPr>
        <w:jc w:val="both"/>
        <w:rPr>
          <w:rFonts w:ascii="Cambria" w:hAnsi="Cambria"/>
          <w:sz w:val="20"/>
          <w:szCs w:val="20"/>
          <w:lang w:val="fr-FR"/>
        </w:rPr>
      </w:pPr>
      <w:r w:rsidRPr="00F81087">
        <w:rPr>
          <w:rFonts w:ascii="Cambria" w:hAnsi="Cambria"/>
          <w:sz w:val="20"/>
          <w:szCs w:val="20"/>
          <w:lang w:val="fr-FR"/>
        </w:rPr>
        <w:t>En 2028, des procédures de gestion pour BET, YFT et E-SKJ seront évaluées individuellement et dans le cadre d’une MSE multi-stocks. Ces travaux s’accompagneront de la standardisation et de l’actualisation des indices d’abondance nécessaires pour la mise en œuvre des CMP, y compris des indices conjoints de PLL, BAI et PSFAD. L’objectif est de faciliter l’examen de l’adoption de la MP à la réunion annuelle de 2028, ainsi que les TAC correspondants pour la période de gestion 2029-2031. Cela serait précédé d’une réunion intersessions de la Sous-commission 1 destinée à fournir des orientations sur la conception des CMP ainsi que d’une réunion des ambassadeurs. Le Comité procédera également à un examen par les pairs du cadre MSE multi-stocks en 2028.</w:t>
      </w:r>
    </w:p>
    <w:p w14:paraId="47B9DCB5" w14:textId="77777777" w:rsidR="00F81087" w:rsidRPr="00F81087" w:rsidRDefault="00F81087" w:rsidP="00F81087">
      <w:pPr>
        <w:jc w:val="both"/>
        <w:rPr>
          <w:rFonts w:ascii="Cambria" w:hAnsi="Cambria"/>
          <w:sz w:val="20"/>
          <w:szCs w:val="20"/>
          <w:lang w:val="fr-FR"/>
        </w:rPr>
      </w:pPr>
    </w:p>
    <w:p w14:paraId="4054E13F" w14:textId="77777777" w:rsidR="00F81087" w:rsidRPr="00F81087" w:rsidRDefault="00F81087" w:rsidP="00F81087">
      <w:pPr>
        <w:jc w:val="both"/>
        <w:rPr>
          <w:rFonts w:ascii="Cambria" w:hAnsi="Cambria"/>
          <w:sz w:val="20"/>
          <w:szCs w:val="20"/>
          <w:lang w:val="fr-FR"/>
        </w:rPr>
      </w:pPr>
      <w:r w:rsidRPr="00F81087">
        <w:rPr>
          <w:rFonts w:ascii="Cambria" w:hAnsi="Cambria"/>
          <w:sz w:val="20"/>
          <w:szCs w:val="20"/>
          <w:lang w:val="fr-FR"/>
        </w:rPr>
        <w:t>En 2029, le Comité développerait et évaluerait les critères relatifs aux circonstances exceptionnelles, suivi d’un examen du protocole de circonstances exceptionnelles (ECP) à des fins d’adoption éventuelle par la Commission à sa réunion annuelle.</w:t>
      </w:r>
    </w:p>
    <w:p w14:paraId="13521165" w14:textId="77777777" w:rsidR="00F81087" w:rsidRPr="00F81087" w:rsidRDefault="00F81087" w:rsidP="00F81087">
      <w:pPr>
        <w:jc w:val="both"/>
        <w:rPr>
          <w:rFonts w:ascii="Cambria" w:hAnsi="Cambria"/>
          <w:sz w:val="20"/>
          <w:szCs w:val="20"/>
          <w:lang w:val="fr-FR"/>
        </w:rPr>
      </w:pPr>
    </w:p>
    <w:p w14:paraId="4E720B8F" w14:textId="77777777" w:rsidR="00F81087" w:rsidRPr="00F81087" w:rsidRDefault="00F81087" w:rsidP="00F81087">
      <w:pPr>
        <w:jc w:val="both"/>
        <w:rPr>
          <w:rFonts w:ascii="Cambria" w:hAnsi="Cambria"/>
          <w:sz w:val="20"/>
          <w:szCs w:val="20"/>
          <w:lang w:val="fr-FR"/>
        </w:rPr>
      </w:pPr>
      <w:r w:rsidRPr="00F81087">
        <w:rPr>
          <w:rFonts w:ascii="Cambria" w:hAnsi="Cambria"/>
          <w:sz w:val="20"/>
          <w:szCs w:val="20"/>
          <w:lang w:val="fr-FR"/>
        </w:rPr>
        <w:t>Ces révisions s'accompagnent d’un renforcement délibéré des éléments de communication et de participation des parties prenantes du processus de MSE. Cela comprend le développement continu de produits graphiques et de l’application Shiny en tant qu’outils pour étudier et communiquer les résultats de la MSE, conjointement avec une interaction plus intense avec la Sous-commission 1 à travers des réunions intersessions et des webinaires des ambassadeurs. L’objectif est de communiquer les progrès, les activités prévues et les résultats préliminaires de la MSE pour un seul stock et de la MSE multi-stocks, tout en permettant également à la Sous-commission 1 de fournir des orientations sur le développement ultérieur du processus. Cet engagement revêt une importance particulière compte tenu de la nature des décisions de gestion en question. La démonstration des compromis entre des productions spécifiques aux stocks dans un cadre qui représente explicitement les interactions techniques nécessite un accord préalable sur les objectifs de gestion opérationnels.</w:t>
      </w:r>
    </w:p>
    <w:p w14:paraId="08324BD0" w14:textId="77777777" w:rsidR="00F81087" w:rsidRPr="00F81087" w:rsidRDefault="00F81087" w:rsidP="00F81087">
      <w:pPr>
        <w:jc w:val="both"/>
        <w:rPr>
          <w:rFonts w:ascii="Cambria" w:hAnsi="Cambria"/>
          <w:b/>
          <w:i/>
          <w:color w:val="000000"/>
          <w:sz w:val="20"/>
          <w:szCs w:val="20"/>
          <w:lang w:val="fr-FR"/>
        </w:rPr>
      </w:pPr>
    </w:p>
    <w:p w14:paraId="0C931C65" w14:textId="77777777" w:rsidR="00F81087" w:rsidRPr="00F81087" w:rsidRDefault="00F81087" w:rsidP="00F81087">
      <w:pPr>
        <w:jc w:val="both"/>
        <w:rPr>
          <w:rFonts w:ascii="Cambria" w:eastAsia="Cambria" w:hAnsi="Cambria" w:cs="Cambria"/>
          <w:bCs/>
          <w:i/>
          <w:color w:val="000000"/>
          <w:sz w:val="20"/>
          <w:szCs w:val="20"/>
          <w:lang w:val="fr-FR"/>
        </w:rPr>
      </w:pPr>
      <w:r w:rsidRPr="00F81087">
        <w:rPr>
          <w:rFonts w:ascii="Cambria" w:hAnsi="Cambria"/>
          <w:b/>
          <w:i/>
          <w:color w:val="000000"/>
          <w:sz w:val="20"/>
          <w:szCs w:val="20"/>
          <w:lang w:val="fr-FR"/>
        </w:rPr>
        <w:t xml:space="preserve">19.38 </w:t>
      </w:r>
      <w:r w:rsidRPr="00F81087">
        <w:rPr>
          <w:rFonts w:ascii="Cambria" w:hAnsi="Cambria"/>
          <w:b/>
          <w:i/>
          <w:sz w:val="20"/>
          <w:szCs w:val="20"/>
          <w:lang w:val="fr-FR"/>
        </w:rPr>
        <w:t>Le SCRS devra étudier l’efficacité potentielle des fermetures complètes de pêcheries pour réduire les prises de thonidés tropicaux aux niveaux convenus</w:t>
      </w:r>
      <w:r w:rsidRPr="00F81087">
        <w:rPr>
          <w:rFonts w:ascii="Cambria" w:hAnsi="Cambria"/>
          <w:b/>
          <w:i/>
          <w:color w:val="000000"/>
          <w:sz w:val="20"/>
          <w:szCs w:val="20"/>
          <w:lang w:val="fr-FR"/>
        </w:rPr>
        <w:t xml:space="preserve">, </w:t>
      </w:r>
      <w:hyperlink r:id="rId15" w:history="1">
        <w:r w:rsidRPr="00F81087">
          <w:rPr>
            <w:rStyle w:val="Hyperlink"/>
            <w:rFonts w:ascii="Cambria" w:hAnsi="Cambria"/>
            <w:b/>
            <w:i/>
            <w:sz w:val="20"/>
            <w:szCs w:val="20"/>
            <w:u w:val="none"/>
            <w:lang w:val="fr-FR"/>
          </w:rPr>
          <w:t>Rec. 24-01</w:t>
        </w:r>
      </w:hyperlink>
      <w:r w:rsidRPr="00F81087">
        <w:rPr>
          <w:rFonts w:ascii="Cambria" w:hAnsi="Cambria"/>
          <w:b/>
          <w:i/>
          <w:sz w:val="20"/>
          <w:szCs w:val="20"/>
          <w:lang w:val="fr-FR"/>
        </w:rPr>
        <w:t>,</w:t>
      </w:r>
      <w:r w:rsidRPr="00F81087">
        <w:rPr>
          <w:rFonts w:ascii="Cambria" w:hAnsi="Cambria"/>
          <w:b/>
          <w:i/>
          <w:color w:val="000000"/>
          <w:sz w:val="20"/>
          <w:szCs w:val="20"/>
          <w:lang w:val="fr-FR"/>
        </w:rPr>
        <w:t xml:space="preserve"> </w:t>
      </w:r>
      <w:r w:rsidRPr="00F81087">
        <w:rPr>
          <w:rFonts w:ascii="Cambria" w:hAnsi="Cambria"/>
          <w:b/>
          <w:bCs/>
          <w:i/>
          <w:sz w:val="20"/>
          <w:szCs w:val="20"/>
          <w:lang w:val="fr-FR"/>
        </w:rPr>
        <w:t>paragraphe</w:t>
      </w:r>
      <w:r w:rsidRPr="00F81087">
        <w:rPr>
          <w:rFonts w:ascii="Cambria" w:hAnsi="Cambria"/>
          <w:b/>
          <w:i/>
          <w:color w:val="000000"/>
          <w:sz w:val="20"/>
          <w:szCs w:val="20"/>
          <w:lang w:val="fr-FR"/>
        </w:rPr>
        <w:t xml:space="preserve"> 79a </w:t>
      </w:r>
    </w:p>
    <w:p w14:paraId="02B4FA27" w14:textId="77777777" w:rsidR="00F81087" w:rsidRPr="00F81087" w:rsidRDefault="00F81087" w:rsidP="00F81087">
      <w:pPr>
        <w:tabs>
          <w:tab w:val="left" w:pos="0"/>
          <w:tab w:val="left" w:pos="720"/>
          <w:tab w:val="right" w:pos="8505"/>
          <w:tab w:val="right" w:pos="9072"/>
        </w:tabs>
        <w:ind w:right="4"/>
        <w:jc w:val="both"/>
        <w:rPr>
          <w:rFonts w:ascii="Cambria" w:eastAsia="Cambria" w:hAnsi="Cambria" w:cs="Cambria"/>
          <w:b/>
          <w:i/>
          <w:color w:val="000000"/>
          <w:sz w:val="20"/>
          <w:szCs w:val="20"/>
          <w:lang w:val="fr-FR"/>
        </w:rPr>
      </w:pPr>
    </w:p>
    <w:p w14:paraId="73ED6B21" w14:textId="77777777" w:rsidR="00F81087" w:rsidRPr="00F81087" w:rsidRDefault="00F81087" w:rsidP="00F81087">
      <w:pPr>
        <w:widowControl w:val="0"/>
        <w:pBdr>
          <w:top w:val="nil"/>
          <w:left w:val="nil"/>
          <w:bottom w:val="nil"/>
          <w:right w:val="nil"/>
          <w:between w:val="nil"/>
        </w:pBdr>
        <w:tabs>
          <w:tab w:val="left" w:pos="142"/>
        </w:tabs>
        <w:jc w:val="both"/>
        <w:rPr>
          <w:rFonts w:ascii="Cambria" w:eastAsia="Cambria" w:hAnsi="Cambria" w:cs="Cambria"/>
          <w:i/>
          <w:iCs/>
          <w:sz w:val="20"/>
          <w:szCs w:val="20"/>
          <w:lang w:val="fr-FR"/>
        </w:rPr>
      </w:pPr>
      <w:r w:rsidRPr="00F81087">
        <w:rPr>
          <w:rFonts w:ascii="Cambria" w:hAnsi="Cambria"/>
          <w:b/>
          <w:sz w:val="20"/>
          <w:szCs w:val="20"/>
          <w:lang w:val="fr-FR"/>
        </w:rPr>
        <w:t>Contexte :</w:t>
      </w:r>
      <w:r w:rsidRPr="00F81087">
        <w:rPr>
          <w:rFonts w:ascii="Cambria" w:hAnsi="Cambria"/>
          <w:sz w:val="20"/>
          <w:szCs w:val="20"/>
          <w:lang w:val="fr-FR"/>
        </w:rPr>
        <w:t xml:space="preserve"> </w:t>
      </w:r>
      <w:r w:rsidRPr="00F81087">
        <w:rPr>
          <w:rFonts w:ascii="Cambria" w:hAnsi="Cambria"/>
          <w:i/>
          <w:sz w:val="20"/>
          <w:szCs w:val="20"/>
          <w:lang w:val="fr-FR"/>
        </w:rPr>
        <w:t xml:space="preserve">Le SCRS devra étudier l'efficacité potentielle des fermetures complètes de pêcheries sur le modèle </w:t>
      </w:r>
      <w:r w:rsidRPr="00F81087">
        <w:rPr>
          <w:rFonts w:ascii="Cambria" w:hAnsi="Cambria"/>
          <w:i/>
          <w:sz w:val="20"/>
          <w:szCs w:val="20"/>
          <w:lang w:val="fr-FR"/>
        </w:rPr>
        <w:lastRenderedPageBreak/>
        <w:t>de celles proposées dans le PA1_505A/2019</w:t>
      </w:r>
      <w:r w:rsidRPr="00F81087">
        <w:rPr>
          <w:rFonts w:ascii="ZWAdobeF" w:hAnsi="ZWAdobeF" w:cs="ZWAdobeF"/>
          <w:sz w:val="2"/>
          <w:szCs w:val="2"/>
          <w:lang w:val="fr-FR"/>
        </w:rPr>
        <w:t>0F0F0F</w:t>
      </w:r>
      <w:r w:rsidRPr="007B779F">
        <w:rPr>
          <w:rStyle w:val="FootnoteReference"/>
          <w:rFonts w:ascii="Cambria" w:hAnsi="Cambria"/>
          <w:i/>
          <w:sz w:val="20"/>
          <w:szCs w:val="20"/>
        </w:rPr>
        <w:footnoteReference w:id="1"/>
      </w:r>
      <w:r w:rsidRPr="00F81087">
        <w:rPr>
          <w:rFonts w:ascii="Cambria" w:hAnsi="Cambria"/>
          <w:i/>
          <w:sz w:val="20"/>
          <w:szCs w:val="20"/>
          <w:lang w:val="fr-FR"/>
        </w:rPr>
        <w:t xml:space="preserve"> pour réduire les prises de thonidés tropicaux aux niveaux convenus et le potentiel d'un tel programme pour réduire les prises de thons obèses et d’albacores juvéniles, en accord avec les recommandations du SCRS ;</w:t>
      </w:r>
    </w:p>
    <w:p w14:paraId="7633BD55" w14:textId="77777777" w:rsidR="00F81087" w:rsidRPr="00F81087" w:rsidRDefault="00F81087" w:rsidP="00F81087">
      <w:pPr>
        <w:widowControl w:val="0"/>
        <w:pBdr>
          <w:top w:val="nil"/>
          <w:left w:val="nil"/>
          <w:bottom w:val="nil"/>
          <w:right w:val="nil"/>
          <w:between w:val="nil"/>
        </w:pBdr>
        <w:jc w:val="both"/>
        <w:rPr>
          <w:rFonts w:ascii="Cambria" w:eastAsia="Cambria" w:hAnsi="Cambria" w:cs="Cambria"/>
          <w:sz w:val="20"/>
          <w:szCs w:val="20"/>
          <w:lang w:val="fr-FR"/>
        </w:rPr>
      </w:pPr>
    </w:p>
    <w:p w14:paraId="39F36FD3" w14:textId="77777777" w:rsidR="00F81087" w:rsidRPr="00F81087" w:rsidRDefault="00F81087" w:rsidP="00F81087">
      <w:pPr>
        <w:widowControl w:val="0"/>
        <w:pBdr>
          <w:top w:val="nil"/>
          <w:left w:val="nil"/>
          <w:bottom w:val="nil"/>
          <w:right w:val="nil"/>
          <w:between w:val="nil"/>
        </w:pBdr>
        <w:jc w:val="both"/>
        <w:rPr>
          <w:rFonts w:ascii="Cambria" w:eastAsia="Cambria" w:hAnsi="Cambria" w:cs="Cambria"/>
          <w:sz w:val="20"/>
          <w:szCs w:val="20"/>
          <w:lang w:val="fr-FR"/>
        </w:rPr>
      </w:pPr>
      <w:r w:rsidRPr="00F81087">
        <w:rPr>
          <w:rFonts w:ascii="Cambria" w:hAnsi="Cambria"/>
          <w:sz w:val="20"/>
          <w:lang w:val="fr-FR"/>
        </w:rPr>
        <w:t>Le SCRS/2026/185 a mis à jour l'étude de 2024 (SCRS/2024/135) en utilisant les derniers modèles d'évaluation des stocks pour le thon obèse, l’albacore et le listao de l'Est. À l'instar de l'étude précédente, il a été conclu que l'efficacité d'une fermeture pouvait être compromise en cas de redistribution des captures. L’étude a également donné lieu à une analyse exploratoire des tendances récentes (2018-2024) des captures et de l'effort de pêche sous DCP en s'appuyant sur les données de la tâche 2 issues de la base de données de l’ICCAT. L’effort de pêche sous DCP, mesuré en nombre de calées, a diminué au premier trimestre mais est resté relativement stable sur l'année tout au long de la période analysée (</w:t>
      </w:r>
      <w:r w:rsidRPr="00F81087">
        <w:rPr>
          <w:rFonts w:ascii="Cambria" w:hAnsi="Cambria"/>
          <w:b/>
          <w:sz w:val="20"/>
          <w:lang w:val="fr-FR"/>
        </w:rPr>
        <w:t>figure 19.38.1</w:t>
      </w:r>
      <w:r w:rsidRPr="00F81087">
        <w:rPr>
          <w:rFonts w:ascii="Cambria" w:hAnsi="Cambria"/>
          <w:sz w:val="20"/>
          <w:lang w:val="fr-FR"/>
        </w:rPr>
        <w:t>). De même, les captures au cours du premier trimestre ont diminué pour les trois stocks de thonidés tropicaux au cours de la période durant laquelle les récentes fermetures ont été mises en œuvre (</w:t>
      </w:r>
      <w:r w:rsidRPr="00F81087">
        <w:rPr>
          <w:rFonts w:ascii="Cambria" w:hAnsi="Cambria"/>
          <w:b/>
          <w:sz w:val="20"/>
          <w:lang w:val="fr-FR"/>
        </w:rPr>
        <w:t>figure 19.38.2</w:t>
      </w:r>
      <w:r w:rsidRPr="00F81087">
        <w:rPr>
          <w:rFonts w:ascii="Cambria" w:hAnsi="Cambria"/>
          <w:sz w:val="20"/>
          <w:lang w:val="fr-FR"/>
        </w:rPr>
        <w:t>). Toutefois, les tendances des captures annuelles ont varié d'un stock à l'autre : les captures annuelles ont sensiblement diminué pour le thon obèse, qui était soumis à des limites de capture après 2020, tandis que celles de l’albacore et du listao sont restées relativement stables. Ces tendances indiquent que les fermetures ont peut-être entraîné une redistribution de l'effort de pêche entre les trimestres plutôt qu'une réduction de l'effort annuel. Néanmoins, l’effet des fermetures sur les prises n’est pas concluant et le Comité recommande de poursuivre l'analyse des données de prise et d’effort afin de continuer à évaluer l'efficacité globale de la fermeture.</w:t>
      </w:r>
    </w:p>
    <w:p w14:paraId="4B15B490" w14:textId="77777777" w:rsidR="00F81087" w:rsidRPr="00F81087" w:rsidRDefault="00F81087" w:rsidP="00F81087">
      <w:pPr>
        <w:widowControl w:val="0"/>
        <w:pBdr>
          <w:top w:val="nil"/>
          <w:left w:val="nil"/>
          <w:bottom w:val="nil"/>
          <w:right w:val="nil"/>
          <w:between w:val="nil"/>
        </w:pBdr>
        <w:jc w:val="both"/>
        <w:rPr>
          <w:rFonts w:ascii="Cambria" w:eastAsia="Cambria" w:hAnsi="Cambria" w:cs="Cambria"/>
          <w:sz w:val="20"/>
          <w:szCs w:val="20"/>
          <w:lang w:val="fr-FR"/>
        </w:rPr>
      </w:pPr>
    </w:p>
    <w:p w14:paraId="1ABCDA06" w14:textId="77777777" w:rsidR="00F81087" w:rsidRPr="00F81087" w:rsidRDefault="00F81087" w:rsidP="00F81087">
      <w:pPr>
        <w:widowControl w:val="0"/>
        <w:pBdr>
          <w:top w:val="nil"/>
          <w:left w:val="nil"/>
          <w:bottom w:val="nil"/>
          <w:right w:val="nil"/>
          <w:between w:val="nil"/>
        </w:pBdr>
        <w:jc w:val="both"/>
        <w:rPr>
          <w:rFonts w:ascii="Cambria" w:eastAsia="Cambria" w:hAnsi="Cambria" w:cs="Cambria"/>
          <w:sz w:val="20"/>
          <w:szCs w:val="20"/>
          <w:lang w:val="fr-FR"/>
        </w:rPr>
      </w:pPr>
    </w:p>
    <w:p w14:paraId="5A04C642" w14:textId="77777777" w:rsidR="00F81087" w:rsidRPr="007B779F" w:rsidRDefault="00F81087" w:rsidP="00F81087">
      <w:pPr>
        <w:widowControl w:val="0"/>
        <w:pBdr>
          <w:top w:val="nil"/>
          <w:left w:val="nil"/>
          <w:bottom w:val="nil"/>
          <w:right w:val="nil"/>
          <w:between w:val="nil"/>
        </w:pBdr>
        <w:rPr>
          <w:rFonts w:ascii="Cambria" w:eastAsia="Cambria" w:hAnsi="Cambria" w:cs="Cambria"/>
          <w:sz w:val="20"/>
          <w:szCs w:val="20"/>
        </w:rPr>
      </w:pPr>
      <w:r w:rsidRPr="007B779F">
        <w:rPr>
          <w:rFonts w:ascii="Aptos" w:hAnsi="Aptos"/>
          <w:noProof/>
          <w:color w:val="000000"/>
          <w:sz w:val="22"/>
          <w:szCs w:val="22"/>
        </w:rPr>
        <w:drawing>
          <wp:inline distT="0" distB="0" distL="0" distR="0" wp14:anchorId="6D5DCF05" wp14:editId="42DBD9C5">
            <wp:extent cx="5396230" cy="3181350"/>
            <wp:effectExtent l="0" t="0" r="0" b="0"/>
            <wp:docPr id="304840313" name="Picture 1" descr="P261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840313" name="Picture 1" descr="P2616#yIS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96230" cy="3181350"/>
                    </a:xfrm>
                    <a:prstGeom prst="rect">
                      <a:avLst/>
                    </a:prstGeom>
                    <a:noFill/>
                    <a:ln>
                      <a:noFill/>
                    </a:ln>
                  </pic:spPr>
                </pic:pic>
              </a:graphicData>
            </a:graphic>
          </wp:inline>
        </w:drawing>
      </w:r>
    </w:p>
    <w:p w14:paraId="0436C705" w14:textId="77777777" w:rsidR="00F81087" w:rsidRPr="00F81087" w:rsidRDefault="00F81087" w:rsidP="00F81087">
      <w:pPr>
        <w:widowControl w:val="0"/>
        <w:pBdr>
          <w:top w:val="nil"/>
          <w:left w:val="nil"/>
          <w:bottom w:val="nil"/>
          <w:right w:val="nil"/>
          <w:between w:val="nil"/>
        </w:pBdr>
        <w:jc w:val="both"/>
        <w:rPr>
          <w:rFonts w:ascii="Cambria" w:hAnsi="Cambria"/>
          <w:sz w:val="20"/>
          <w:szCs w:val="20"/>
          <w:lang w:val="fr-FR"/>
        </w:rPr>
      </w:pPr>
      <w:r w:rsidRPr="00F81087">
        <w:rPr>
          <w:rFonts w:ascii="Cambria" w:hAnsi="Cambria"/>
          <w:b/>
          <w:sz w:val="20"/>
          <w:szCs w:val="20"/>
          <w:lang w:val="fr-FR"/>
        </w:rPr>
        <w:t>Figure 19.38.1.</w:t>
      </w:r>
      <w:r w:rsidRPr="00F81087">
        <w:rPr>
          <w:rFonts w:ascii="Cambria" w:hAnsi="Cambria"/>
          <w:sz w:val="20"/>
          <w:szCs w:val="20"/>
          <w:lang w:val="fr-FR"/>
        </w:rPr>
        <w:t xml:space="preserve"> Tendances récentes de l’effort par saison de la pêcherie de senneurs opérant sur bancs libres (PSFS) et sous objets flottants (PSLS). </w:t>
      </w:r>
    </w:p>
    <w:p w14:paraId="447DB3A7" w14:textId="77777777" w:rsidR="00F81087" w:rsidRPr="00F81087" w:rsidRDefault="00F81087" w:rsidP="00F81087">
      <w:pPr>
        <w:widowControl w:val="0"/>
        <w:pBdr>
          <w:top w:val="nil"/>
          <w:left w:val="nil"/>
          <w:bottom w:val="nil"/>
          <w:right w:val="nil"/>
          <w:between w:val="nil"/>
        </w:pBdr>
        <w:jc w:val="both"/>
        <w:rPr>
          <w:rFonts w:ascii="Cambria" w:hAnsi="Cambria"/>
          <w:sz w:val="20"/>
          <w:szCs w:val="20"/>
          <w:lang w:val="fr-FR"/>
        </w:rPr>
      </w:pPr>
    </w:p>
    <w:p w14:paraId="2561E749" w14:textId="77777777" w:rsidR="00F81087" w:rsidRPr="007B779F" w:rsidRDefault="00F81087" w:rsidP="00F81087">
      <w:pPr>
        <w:widowControl w:val="0"/>
        <w:pBdr>
          <w:top w:val="nil"/>
          <w:left w:val="nil"/>
          <w:bottom w:val="nil"/>
          <w:right w:val="nil"/>
          <w:between w:val="nil"/>
        </w:pBdr>
        <w:rPr>
          <w:rFonts w:ascii="Cambria" w:eastAsia="Cambria" w:hAnsi="Cambria" w:cs="Cambria"/>
          <w:sz w:val="20"/>
          <w:szCs w:val="20"/>
        </w:rPr>
      </w:pPr>
      <w:r w:rsidRPr="007B779F">
        <w:rPr>
          <w:rFonts w:ascii="Aptos" w:hAnsi="Aptos"/>
          <w:noProof/>
          <w:color w:val="000000"/>
          <w:sz w:val="22"/>
          <w:szCs w:val="22"/>
        </w:rPr>
        <w:lastRenderedPageBreak/>
        <w:drawing>
          <wp:inline distT="0" distB="0" distL="0" distR="0" wp14:anchorId="073E243A" wp14:editId="76006762">
            <wp:extent cx="5396230" cy="4133850"/>
            <wp:effectExtent l="0" t="0" r="0" b="0"/>
            <wp:docPr id="1029051151" name="Picture 2" descr="P261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051151" name="Picture 2" descr="P2619#yIS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96230" cy="4133850"/>
                    </a:xfrm>
                    <a:prstGeom prst="rect">
                      <a:avLst/>
                    </a:prstGeom>
                    <a:noFill/>
                    <a:ln>
                      <a:noFill/>
                    </a:ln>
                  </pic:spPr>
                </pic:pic>
              </a:graphicData>
            </a:graphic>
          </wp:inline>
        </w:drawing>
      </w:r>
    </w:p>
    <w:p w14:paraId="37F2984A" w14:textId="77777777" w:rsidR="00F81087" w:rsidRPr="00F81087" w:rsidRDefault="00F81087" w:rsidP="00F81087">
      <w:pPr>
        <w:widowControl w:val="0"/>
        <w:pBdr>
          <w:top w:val="nil"/>
          <w:left w:val="nil"/>
          <w:bottom w:val="nil"/>
          <w:right w:val="nil"/>
          <w:between w:val="nil"/>
        </w:pBdr>
        <w:jc w:val="both"/>
        <w:rPr>
          <w:rFonts w:ascii="Cambria" w:eastAsia="Cambria" w:hAnsi="Cambria" w:cs="Cambria"/>
          <w:sz w:val="20"/>
          <w:szCs w:val="20"/>
          <w:lang w:val="fr-FR"/>
        </w:rPr>
      </w:pPr>
      <w:r w:rsidRPr="00F81087">
        <w:rPr>
          <w:rFonts w:ascii="Cambria" w:hAnsi="Cambria"/>
          <w:b/>
          <w:sz w:val="20"/>
          <w:szCs w:val="20"/>
          <w:lang w:val="fr-FR"/>
        </w:rPr>
        <w:t>Figure 19.38.2.</w:t>
      </w:r>
      <w:r w:rsidRPr="00F81087">
        <w:rPr>
          <w:rFonts w:ascii="Cambria" w:hAnsi="Cambria"/>
          <w:sz w:val="20"/>
          <w:szCs w:val="20"/>
          <w:lang w:val="fr-FR"/>
        </w:rPr>
        <w:t xml:space="preserve"> Tendances récentes de la capture par saison de la pêcherie de senneurs opérant sur bancs libres (PSFS) et sous objets flottants (PSLS) pour chaque stock.</w:t>
      </w:r>
    </w:p>
    <w:p w14:paraId="70C90E45" w14:textId="77777777" w:rsidR="00F81087" w:rsidRPr="00F81087" w:rsidRDefault="00F81087" w:rsidP="00F81087">
      <w:pPr>
        <w:widowControl w:val="0"/>
        <w:pBdr>
          <w:top w:val="nil"/>
          <w:left w:val="nil"/>
          <w:bottom w:val="nil"/>
          <w:right w:val="nil"/>
          <w:between w:val="nil"/>
        </w:pBdr>
        <w:rPr>
          <w:rFonts w:ascii="Cambria" w:eastAsia="Cambria" w:hAnsi="Cambria" w:cs="Cambria"/>
          <w:sz w:val="20"/>
          <w:szCs w:val="20"/>
          <w:lang w:val="fr-FR"/>
        </w:rPr>
      </w:pPr>
    </w:p>
    <w:p w14:paraId="6C356087" w14:textId="77777777" w:rsidR="00F81087" w:rsidRPr="00F81087" w:rsidRDefault="00F81087" w:rsidP="00F81087">
      <w:pPr>
        <w:tabs>
          <w:tab w:val="left" w:pos="0"/>
          <w:tab w:val="left" w:pos="720"/>
          <w:tab w:val="right" w:pos="8505"/>
          <w:tab w:val="right" w:pos="9072"/>
        </w:tabs>
        <w:ind w:right="4"/>
        <w:jc w:val="both"/>
        <w:rPr>
          <w:rFonts w:ascii="Cambria" w:eastAsia="Cambria" w:hAnsi="Cambria" w:cs="Cambria"/>
          <w:b/>
          <w:iCs/>
          <w:color w:val="000000"/>
          <w:sz w:val="20"/>
          <w:szCs w:val="20"/>
          <w:lang w:val="fr-FR"/>
        </w:rPr>
      </w:pPr>
    </w:p>
    <w:p w14:paraId="56C517CC" w14:textId="77777777" w:rsidR="00F81087" w:rsidRPr="00F81087" w:rsidRDefault="00F81087" w:rsidP="00F81087">
      <w:pPr>
        <w:tabs>
          <w:tab w:val="left" w:pos="0"/>
          <w:tab w:val="left" w:pos="720"/>
          <w:tab w:val="right" w:pos="8505"/>
          <w:tab w:val="right" w:pos="9072"/>
        </w:tabs>
        <w:ind w:right="4"/>
        <w:jc w:val="both"/>
        <w:rPr>
          <w:rFonts w:ascii="Cambria" w:eastAsia="Cambria" w:hAnsi="Cambria" w:cs="Cambria"/>
          <w:b/>
          <w:i/>
          <w:color w:val="000000"/>
          <w:sz w:val="20"/>
          <w:szCs w:val="20"/>
          <w:lang w:val="fr-FR"/>
        </w:rPr>
      </w:pPr>
      <w:r w:rsidRPr="00F81087">
        <w:rPr>
          <w:rFonts w:ascii="Cambria" w:hAnsi="Cambria"/>
          <w:b/>
          <w:i/>
          <w:iCs/>
          <w:sz w:val="20"/>
          <w:szCs w:val="20"/>
          <w:lang w:val="fr-FR"/>
        </w:rPr>
        <w:t>19.39 Le SCRS devra estimer la capacité dans la zone de la Convention, pour inclure au moins toutes les unités de pêche à grande échelle ou opérant en dehors de la ZEE de la CPC où elles sont enregistrées,</w:t>
      </w:r>
      <w:r w:rsidRPr="00F81087">
        <w:rPr>
          <w:rFonts w:ascii="Cambria" w:hAnsi="Cambria"/>
          <w:i/>
          <w:iCs/>
          <w:sz w:val="20"/>
          <w:szCs w:val="20"/>
          <w:lang w:val="fr-FR"/>
        </w:rPr>
        <w:t xml:space="preserve"> </w:t>
      </w:r>
      <w:hyperlink r:id="rId18" w:history="1">
        <w:r w:rsidRPr="00F81087">
          <w:rPr>
            <w:rStyle w:val="Hyperlink"/>
            <w:rFonts w:ascii="Cambria" w:hAnsi="Cambria"/>
            <w:b/>
            <w:i/>
            <w:sz w:val="20"/>
            <w:szCs w:val="20"/>
            <w:u w:val="none"/>
            <w:lang w:val="fr-FR"/>
          </w:rPr>
          <w:t>Rec. 24-01</w:t>
        </w:r>
      </w:hyperlink>
      <w:r w:rsidRPr="00F81087">
        <w:rPr>
          <w:rFonts w:ascii="Cambria" w:hAnsi="Cambria"/>
          <w:b/>
          <w:i/>
          <w:sz w:val="20"/>
          <w:szCs w:val="20"/>
          <w:lang w:val="fr-FR"/>
        </w:rPr>
        <w:t>,</w:t>
      </w:r>
      <w:r w:rsidRPr="00F81087">
        <w:rPr>
          <w:rFonts w:ascii="Cambria" w:hAnsi="Cambria"/>
          <w:b/>
          <w:i/>
          <w:color w:val="000000"/>
          <w:sz w:val="20"/>
          <w:szCs w:val="20"/>
          <w:lang w:val="fr-FR"/>
        </w:rPr>
        <w:t xml:space="preserve"> </w:t>
      </w:r>
      <w:r w:rsidRPr="00F81087">
        <w:rPr>
          <w:rFonts w:ascii="Cambria" w:hAnsi="Cambria"/>
          <w:b/>
          <w:bCs/>
          <w:i/>
          <w:iCs/>
          <w:sz w:val="20"/>
          <w:szCs w:val="20"/>
          <w:lang w:val="fr-FR"/>
        </w:rPr>
        <w:t>paragraphe</w:t>
      </w:r>
      <w:r w:rsidRPr="00F81087">
        <w:rPr>
          <w:rFonts w:ascii="Cambria" w:hAnsi="Cambria"/>
          <w:b/>
          <w:i/>
          <w:color w:val="000000"/>
          <w:sz w:val="20"/>
          <w:szCs w:val="20"/>
          <w:lang w:val="fr-FR"/>
        </w:rPr>
        <w:t xml:space="preserve"> 79b </w:t>
      </w:r>
    </w:p>
    <w:p w14:paraId="622ED795" w14:textId="77777777" w:rsidR="00F81087" w:rsidRPr="00F81087" w:rsidRDefault="00F81087" w:rsidP="00F81087">
      <w:pPr>
        <w:tabs>
          <w:tab w:val="left" w:pos="0"/>
          <w:tab w:val="left" w:pos="720"/>
          <w:tab w:val="right" w:pos="8505"/>
          <w:tab w:val="right" w:pos="9072"/>
        </w:tabs>
        <w:ind w:right="4"/>
        <w:jc w:val="both"/>
        <w:rPr>
          <w:rFonts w:ascii="Cambria" w:eastAsia="Cambria" w:hAnsi="Cambria" w:cs="Cambria"/>
          <w:b/>
          <w:iCs/>
          <w:color w:val="000000"/>
          <w:sz w:val="20"/>
          <w:szCs w:val="20"/>
          <w:lang w:val="fr-FR"/>
        </w:rPr>
      </w:pPr>
    </w:p>
    <w:p w14:paraId="3A114D3D" w14:textId="77777777" w:rsidR="00F81087" w:rsidRPr="00F81087" w:rsidRDefault="00F81087" w:rsidP="00F81087">
      <w:pPr>
        <w:widowControl w:val="0"/>
        <w:pBdr>
          <w:top w:val="nil"/>
          <w:left w:val="nil"/>
          <w:bottom w:val="nil"/>
          <w:right w:val="nil"/>
          <w:between w:val="nil"/>
        </w:pBdr>
        <w:tabs>
          <w:tab w:val="left" w:pos="142"/>
        </w:tabs>
        <w:jc w:val="both"/>
        <w:rPr>
          <w:rFonts w:ascii="Cambria" w:eastAsia="Cambria" w:hAnsi="Cambria" w:cs="Cambria"/>
          <w:i/>
          <w:iCs/>
          <w:sz w:val="20"/>
          <w:szCs w:val="20"/>
          <w:lang w:val="fr-FR"/>
        </w:rPr>
      </w:pPr>
      <w:r w:rsidRPr="00F81087">
        <w:rPr>
          <w:rFonts w:ascii="Cambria" w:hAnsi="Cambria"/>
          <w:b/>
          <w:sz w:val="20"/>
          <w:szCs w:val="20"/>
          <w:lang w:val="fr-FR"/>
        </w:rPr>
        <w:t>Contexte :</w:t>
      </w:r>
      <w:r w:rsidRPr="00F81087">
        <w:rPr>
          <w:rFonts w:ascii="Cambria" w:hAnsi="Cambria"/>
          <w:sz w:val="20"/>
          <w:szCs w:val="20"/>
          <w:lang w:val="fr-FR"/>
        </w:rPr>
        <w:t xml:space="preserve"> </w:t>
      </w:r>
      <w:r w:rsidRPr="00F81087">
        <w:rPr>
          <w:rFonts w:ascii="Cambria" w:hAnsi="Cambria"/>
          <w:i/>
          <w:sz w:val="20"/>
          <w:szCs w:val="20"/>
          <w:lang w:val="fr-FR"/>
        </w:rPr>
        <w:t>Actions requises de la part du SCRS et du Secrétariat de l’ICCAT :</w:t>
      </w:r>
    </w:p>
    <w:p w14:paraId="44CCFC65" w14:textId="77777777" w:rsidR="00F81087" w:rsidRPr="00F81087" w:rsidRDefault="00F81087" w:rsidP="00F81087">
      <w:pPr>
        <w:widowControl w:val="0"/>
        <w:pBdr>
          <w:top w:val="nil"/>
          <w:left w:val="nil"/>
          <w:bottom w:val="nil"/>
          <w:right w:val="nil"/>
          <w:between w:val="nil"/>
        </w:pBdr>
        <w:rPr>
          <w:rFonts w:ascii="Cambria" w:eastAsia="Cambria" w:hAnsi="Cambria" w:cs="Cambria"/>
          <w:i/>
          <w:iCs/>
          <w:sz w:val="20"/>
          <w:szCs w:val="20"/>
          <w:lang w:val="fr-FR"/>
        </w:rPr>
      </w:pPr>
    </w:p>
    <w:p w14:paraId="06FB835D" w14:textId="77777777" w:rsidR="00F81087" w:rsidRPr="00F81087" w:rsidRDefault="00F81087" w:rsidP="00F81087">
      <w:pPr>
        <w:widowControl w:val="0"/>
        <w:numPr>
          <w:ilvl w:val="0"/>
          <w:numId w:val="48"/>
        </w:numPr>
        <w:pBdr>
          <w:top w:val="nil"/>
          <w:left w:val="nil"/>
          <w:bottom w:val="nil"/>
          <w:right w:val="nil"/>
          <w:between w:val="nil"/>
        </w:pBdr>
        <w:tabs>
          <w:tab w:val="left" w:pos="709"/>
        </w:tabs>
        <w:ind w:left="284" w:hanging="284"/>
        <w:jc w:val="both"/>
        <w:rPr>
          <w:rFonts w:ascii="Cambria" w:eastAsia="Cambria" w:hAnsi="Cambria" w:cs="Cambria"/>
          <w:i/>
          <w:iCs/>
          <w:sz w:val="20"/>
          <w:szCs w:val="20"/>
          <w:lang w:val="fr-FR"/>
        </w:rPr>
      </w:pPr>
      <w:proofErr w:type="gramStart"/>
      <w:r w:rsidRPr="00F81087">
        <w:rPr>
          <w:rFonts w:ascii="Cambria" w:hAnsi="Cambria"/>
          <w:i/>
          <w:sz w:val="20"/>
          <w:szCs w:val="20"/>
          <w:lang w:val="fr-FR"/>
        </w:rPr>
        <w:t>le</w:t>
      </w:r>
      <w:proofErr w:type="gramEnd"/>
      <w:r w:rsidRPr="00F81087">
        <w:rPr>
          <w:rFonts w:ascii="Cambria" w:hAnsi="Cambria"/>
          <w:i/>
          <w:sz w:val="20"/>
          <w:szCs w:val="20"/>
          <w:lang w:val="fr-FR"/>
        </w:rPr>
        <w:t xml:space="preserve"> Secrétariat de l'ICCAT devra travailler avec le SCRS à la préparation d'une estimation de la capacité dans la zone de la Convention, pour inclure au moins toutes les unités de pêche à grande échelle ou opérant en dehors de la ZEE de la CPC où elles sont enregistrées. Toutes les CPC devront coopérer à ces travaux en fournissant des estimations du nombre d'unités de pêche pêchant les thonidés et les espèces voisines sous leur pavillon, et les espèces ou groupes d'espèces que chaque unité de pêche cible (par exemple, thonidés tropicaux, thonidés tempérés, espadons, autres </w:t>
      </w:r>
      <w:proofErr w:type="spellStart"/>
      <w:r w:rsidRPr="00F81087">
        <w:rPr>
          <w:rFonts w:ascii="Cambria" w:hAnsi="Cambria"/>
          <w:i/>
          <w:sz w:val="20"/>
          <w:szCs w:val="20"/>
          <w:lang w:val="fr-FR"/>
        </w:rPr>
        <w:t>istiophoridés</w:t>
      </w:r>
      <w:proofErr w:type="spellEnd"/>
      <w:r w:rsidRPr="00F81087">
        <w:rPr>
          <w:rFonts w:ascii="Cambria" w:hAnsi="Cambria"/>
          <w:i/>
          <w:sz w:val="20"/>
          <w:szCs w:val="20"/>
          <w:lang w:val="fr-FR"/>
        </w:rPr>
        <w:t>, thonidés mineurs, requins, etc.). Ce travail devra être présenté à la prochaine réunion du SCRS en 2025 et renvoyé devant la Commission pour examen.</w:t>
      </w:r>
    </w:p>
    <w:p w14:paraId="79EB4400" w14:textId="77777777" w:rsidR="00F81087" w:rsidRPr="00F81087" w:rsidRDefault="00F81087" w:rsidP="00F81087">
      <w:pPr>
        <w:widowControl w:val="0"/>
        <w:jc w:val="both"/>
        <w:rPr>
          <w:rFonts w:ascii="Cambria" w:eastAsia="Cambria" w:hAnsi="Cambria" w:cs="Cambria"/>
          <w:sz w:val="8"/>
          <w:szCs w:val="8"/>
          <w:lang w:val="fr-FR"/>
        </w:rPr>
      </w:pPr>
    </w:p>
    <w:p w14:paraId="519C9D33" w14:textId="77777777" w:rsidR="00F81087" w:rsidRPr="00F81087" w:rsidRDefault="00F81087" w:rsidP="00F81087">
      <w:pPr>
        <w:widowControl w:val="0"/>
        <w:jc w:val="both"/>
        <w:rPr>
          <w:rFonts w:ascii="Cambria" w:eastAsia="Cambria" w:hAnsi="Cambria" w:cs="Cambria"/>
          <w:sz w:val="20"/>
          <w:szCs w:val="20"/>
          <w:lang w:val="fr-FR"/>
        </w:rPr>
      </w:pPr>
      <w:r w:rsidRPr="00F81087">
        <w:rPr>
          <w:rFonts w:ascii="Cambria" w:hAnsi="Cambria"/>
          <w:sz w:val="20"/>
          <w:szCs w:val="20"/>
          <w:lang w:val="fr-FR"/>
        </w:rPr>
        <w:t xml:space="preserve">Le Comité a apporté une première réponse à cette demande en 2025, en se concentrant sur l'activité de pêche au cours de l'année 2024. Cette année, Restrepo </w:t>
      </w:r>
      <w:r w:rsidRPr="00F81087">
        <w:rPr>
          <w:rFonts w:ascii="Cambria" w:hAnsi="Cambria"/>
          <w:i/>
          <w:iCs/>
          <w:sz w:val="20"/>
          <w:szCs w:val="20"/>
          <w:lang w:val="fr-FR"/>
        </w:rPr>
        <w:t>et al.</w:t>
      </w:r>
      <w:r w:rsidRPr="00F81087">
        <w:rPr>
          <w:rFonts w:ascii="Cambria" w:hAnsi="Cambria"/>
          <w:sz w:val="20"/>
          <w:szCs w:val="20"/>
          <w:lang w:val="fr-FR"/>
        </w:rPr>
        <w:t xml:space="preserve">, 2026 (SCRS/2026/150) a présenté une estimation actualisée de la capacité de pêche de thonidés tropicaux dans la zone de la Convention de l’ICCAT pendant l’année 2025, en plaçant à nouveau l’accent sur les grands navires (de 20 mètres ou plus de longueur hors-tout - LOA) qui ciblent les thonidés tropicaux en utilisant les données principalement soumises à travers le formulaire ST01-T1FC. Cette étude s'est également appuyée sur les données du système d’identification automatique (AIS) pour déduire l'activité de pêche dans l'océan Atlantique, ces données étant considérées comme complémentaires aux rapports des CPC. Le Comité a rédigé cette réponse actualisée en s'appuyant sur ce document. </w:t>
      </w:r>
      <w:r w:rsidRPr="00F81087">
        <w:rPr>
          <w:rFonts w:ascii="Cambria" w:eastAsia="Cambria" w:hAnsi="Cambria" w:cs="Cambria"/>
          <w:sz w:val="20"/>
          <w:szCs w:val="20"/>
          <w:lang w:val="fr-FR"/>
        </w:rPr>
        <w:t>Il convient toutefois de noter que plusieurs CPC ont exprimé leur désaccord quant aux données relatives aux navires battant leur pavillon, qui constituent la base de l'analyse.</w:t>
      </w:r>
    </w:p>
    <w:p w14:paraId="00478845" w14:textId="77777777" w:rsidR="00F81087" w:rsidRPr="00F81087" w:rsidRDefault="00F81087" w:rsidP="00F81087">
      <w:pPr>
        <w:jc w:val="both"/>
        <w:rPr>
          <w:rFonts w:ascii="Cambria" w:eastAsia="Cambria" w:hAnsi="Cambria" w:cs="Cambria"/>
          <w:sz w:val="20"/>
          <w:szCs w:val="20"/>
          <w:lang w:val="fr-FR"/>
        </w:rPr>
      </w:pPr>
    </w:p>
    <w:p w14:paraId="53437144" w14:textId="77777777" w:rsidR="00F81087" w:rsidRPr="00F81087" w:rsidRDefault="00F81087" w:rsidP="00F81087">
      <w:pPr>
        <w:jc w:val="both"/>
        <w:rPr>
          <w:rFonts w:ascii="Cambria" w:hAnsi="Cambria"/>
          <w:sz w:val="20"/>
          <w:szCs w:val="20"/>
          <w:lang w:val="fr-FR"/>
        </w:rPr>
      </w:pPr>
      <w:r w:rsidRPr="00F81087">
        <w:rPr>
          <w:rFonts w:ascii="Cambria" w:hAnsi="Cambria"/>
          <w:sz w:val="20"/>
          <w:szCs w:val="20"/>
          <w:lang w:val="fr-FR"/>
        </w:rPr>
        <w:t>Le Comité a comparé ces estimations du nombre de navires et de leur jauge brute (JB) pour les navires probablement en activité en 2025 à celles obtenues l'année dernière pour les navires probablement en activité en 2024 (</w:t>
      </w:r>
      <w:r w:rsidRPr="00F81087">
        <w:rPr>
          <w:rFonts w:ascii="Cambria" w:hAnsi="Cambria"/>
          <w:b/>
          <w:sz w:val="20"/>
          <w:szCs w:val="20"/>
          <w:lang w:val="fr-FR"/>
        </w:rPr>
        <w:t>tableau 19.38.1</w:t>
      </w:r>
      <w:r w:rsidRPr="00F81087">
        <w:rPr>
          <w:rFonts w:ascii="Cambria" w:hAnsi="Cambria"/>
          <w:sz w:val="20"/>
          <w:szCs w:val="20"/>
          <w:lang w:val="fr-FR"/>
        </w:rPr>
        <w:t xml:space="preserve">). L'augmentation apparente de 39% du nombre de navires et de 22% de </w:t>
      </w:r>
      <w:r w:rsidRPr="00F81087">
        <w:rPr>
          <w:rFonts w:ascii="Cambria" w:hAnsi="Cambria"/>
          <w:sz w:val="20"/>
          <w:szCs w:val="20"/>
          <w:lang w:val="fr-FR"/>
        </w:rPr>
        <w:lastRenderedPageBreak/>
        <w:t>la jauge brute entre 2024 et 2025 ne reflète pas nécessairement des hausses réelles. Il se peut que la déclaration du ST01 ait été plus complète en 2025. Il convient également de noter que les données AIS n'ont pas été utilisées dans le cadre des travaux menés l'année dernière pour détecter ou confirmer l'activité des navires dans la zone de l'ICCAT, alors que l'AIS a été utilisé cette année en complément des rapports ST01 pour estimer le nombre de navires actifs.</w:t>
      </w:r>
    </w:p>
    <w:p w14:paraId="5D5D325E" w14:textId="77777777" w:rsidR="00F81087" w:rsidRPr="00F81087" w:rsidRDefault="00F81087" w:rsidP="00F81087">
      <w:pPr>
        <w:jc w:val="both"/>
        <w:rPr>
          <w:rFonts w:ascii="Cambria" w:eastAsia="Cambria" w:hAnsi="Cambria" w:cs="Cambria"/>
          <w:sz w:val="20"/>
          <w:szCs w:val="20"/>
          <w:lang w:val="fr-FR"/>
        </w:rPr>
      </w:pPr>
    </w:p>
    <w:p w14:paraId="5B622141" w14:textId="77777777" w:rsidR="00F81087" w:rsidRPr="00F81087" w:rsidRDefault="00F81087" w:rsidP="00F81087">
      <w:pPr>
        <w:jc w:val="both"/>
        <w:rPr>
          <w:rFonts w:ascii="Cambria" w:hAnsi="Cambria"/>
          <w:sz w:val="20"/>
          <w:szCs w:val="20"/>
          <w:lang w:val="fr-FR"/>
        </w:rPr>
      </w:pPr>
      <w:r w:rsidRPr="00F81087">
        <w:rPr>
          <w:rFonts w:ascii="Cambria" w:hAnsi="Cambria"/>
          <w:b/>
          <w:sz w:val="20"/>
          <w:szCs w:val="20"/>
          <w:lang w:val="fr-FR"/>
        </w:rPr>
        <w:t>Tableau 19.39.1.</w:t>
      </w:r>
      <w:r w:rsidRPr="00F81087">
        <w:rPr>
          <w:rFonts w:ascii="Cambria" w:hAnsi="Cambria"/>
          <w:sz w:val="20"/>
          <w:szCs w:val="20"/>
          <w:lang w:val="fr-FR"/>
        </w:rPr>
        <w:t xml:space="preserve"> Comparaison des estimations du nombre de navires actifs et de la jauge brute (JB) associée en 2024 et en 2025 pour les navires ≥ 20 m. Les valeurs de 2025 proviennent de cette réponse, tandis que celles de 2024 proviennent du rapport annuel du SCRS de 2025.</w:t>
      </w:r>
    </w:p>
    <w:p w14:paraId="5EA2A409" w14:textId="77777777" w:rsidR="00F81087" w:rsidRPr="00F81087" w:rsidRDefault="00F81087" w:rsidP="00F81087">
      <w:pPr>
        <w:jc w:val="both"/>
        <w:rPr>
          <w:rFonts w:ascii="Cambria" w:hAnsi="Cambria"/>
          <w:sz w:val="20"/>
          <w:szCs w:val="20"/>
          <w:lang w:val="fr-FR"/>
        </w:rPr>
      </w:pPr>
    </w:p>
    <w:tbl>
      <w:tblPr>
        <w:tblW w:w="5000" w:type="pct"/>
        <w:tblLook w:val="04A0" w:firstRow="1" w:lastRow="0" w:firstColumn="1" w:lastColumn="0" w:noHBand="0" w:noVBand="1"/>
      </w:tblPr>
      <w:tblGrid>
        <w:gridCol w:w="1513"/>
        <w:gridCol w:w="1879"/>
        <w:gridCol w:w="1896"/>
        <w:gridCol w:w="1879"/>
        <w:gridCol w:w="1894"/>
      </w:tblGrid>
      <w:tr w:rsidR="00F81087" w:rsidRPr="007B779F" w14:paraId="57F92A27" w14:textId="77777777" w:rsidTr="007C17C6">
        <w:trPr>
          <w:trHeight w:val="57"/>
        </w:trPr>
        <w:tc>
          <w:tcPr>
            <w:tcW w:w="835" w:type="pct"/>
            <w:tcBorders>
              <w:top w:val="single" w:sz="4" w:space="0" w:color="auto"/>
              <w:left w:val="single" w:sz="4" w:space="0" w:color="auto"/>
              <w:bottom w:val="nil"/>
              <w:right w:val="single" w:sz="4" w:space="0" w:color="auto"/>
            </w:tcBorders>
            <w:noWrap/>
            <w:vAlign w:val="bottom"/>
            <w:hideMark/>
          </w:tcPr>
          <w:p w14:paraId="207BDCEA" w14:textId="77777777" w:rsidR="00F81087" w:rsidRPr="00F81087" w:rsidRDefault="00F81087" w:rsidP="007C17C6">
            <w:pPr>
              <w:rPr>
                <w:rFonts w:ascii="Cambria" w:hAnsi="Cambria"/>
                <w:color w:val="000000"/>
                <w:sz w:val="20"/>
                <w:szCs w:val="20"/>
                <w:lang w:val="fr-FR"/>
              </w:rPr>
            </w:pPr>
            <w:r w:rsidRPr="00F81087">
              <w:rPr>
                <w:rFonts w:ascii="Cambria" w:hAnsi="Cambria"/>
                <w:color w:val="000000"/>
                <w:sz w:val="20"/>
                <w:szCs w:val="20"/>
                <w:lang w:val="fr-FR"/>
              </w:rPr>
              <w:t> </w:t>
            </w:r>
          </w:p>
        </w:tc>
        <w:tc>
          <w:tcPr>
            <w:tcW w:w="2083" w:type="pct"/>
            <w:gridSpan w:val="2"/>
            <w:tcBorders>
              <w:top w:val="single" w:sz="4" w:space="0" w:color="auto"/>
              <w:left w:val="nil"/>
              <w:bottom w:val="single" w:sz="4" w:space="0" w:color="auto"/>
              <w:right w:val="single" w:sz="4" w:space="0" w:color="000000"/>
            </w:tcBorders>
            <w:noWrap/>
            <w:vAlign w:val="bottom"/>
            <w:hideMark/>
          </w:tcPr>
          <w:p w14:paraId="4AD6C936" w14:textId="77777777" w:rsidR="00F81087" w:rsidRPr="007B779F" w:rsidRDefault="00F81087" w:rsidP="007C17C6">
            <w:pPr>
              <w:jc w:val="center"/>
              <w:rPr>
                <w:rFonts w:ascii="Cambria" w:hAnsi="Cambria"/>
                <w:b/>
                <w:bCs/>
                <w:color w:val="000000"/>
                <w:sz w:val="20"/>
                <w:szCs w:val="20"/>
              </w:rPr>
            </w:pPr>
            <w:r w:rsidRPr="007B779F">
              <w:rPr>
                <w:rFonts w:ascii="Cambria" w:hAnsi="Cambria"/>
                <w:b/>
                <w:color w:val="000000"/>
                <w:sz w:val="20"/>
                <w:szCs w:val="20"/>
              </w:rPr>
              <w:t>2024</w:t>
            </w:r>
          </w:p>
        </w:tc>
        <w:tc>
          <w:tcPr>
            <w:tcW w:w="2083" w:type="pct"/>
            <w:gridSpan w:val="2"/>
            <w:tcBorders>
              <w:top w:val="single" w:sz="4" w:space="0" w:color="auto"/>
              <w:left w:val="nil"/>
              <w:bottom w:val="single" w:sz="4" w:space="0" w:color="auto"/>
              <w:right w:val="single" w:sz="4" w:space="0" w:color="000000"/>
            </w:tcBorders>
            <w:noWrap/>
            <w:vAlign w:val="bottom"/>
            <w:hideMark/>
          </w:tcPr>
          <w:p w14:paraId="2CF1EC0B" w14:textId="77777777" w:rsidR="00F81087" w:rsidRPr="007B779F" w:rsidRDefault="00F81087" w:rsidP="007C17C6">
            <w:pPr>
              <w:jc w:val="center"/>
              <w:rPr>
                <w:rFonts w:ascii="Cambria" w:hAnsi="Cambria"/>
                <w:b/>
                <w:bCs/>
                <w:color w:val="000000"/>
                <w:sz w:val="20"/>
                <w:szCs w:val="20"/>
              </w:rPr>
            </w:pPr>
            <w:r w:rsidRPr="007B779F">
              <w:rPr>
                <w:rFonts w:ascii="Cambria" w:hAnsi="Cambria"/>
                <w:b/>
                <w:color w:val="000000"/>
                <w:sz w:val="20"/>
                <w:szCs w:val="20"/>
              </w:rPr>
              <w:t>2025</w:t>
            </w:r>
          </w:p>
        </w:tc>
      </w:tr>
      <w:tr w:rsidR="00F81087" w:rsidRPr="007B779F" w14:paraId="6AD49BB1" w14:textId="77777777" w:rsidTr="007C17C6">
        <w:trPr>
          <w:trHeight w:val="57"/>
        </w:trPr>
        <w:tc>
          <w:tcPr>
            <w:tcW w:w="835" w:type="pct"/>
            <w:tcBorders>
              <w:top w:val="nil"/>
              <w:left w:val="single" w:sz="4" w:space="0" w:color="auto"/>
              <w:bottom w:val="single" w:sz="4" w:space="0" w:color="auto"/>
              <w:right w:val="single" w:sz="4" w:space="0" w:color="auto"/>
            </w:tcBorders>
            <w:noWrap/>
            <w:vAlign w:val="bottom"/>
            <w:hideMark/>
          </w:tcPr>
          <w:p w14:paraId="0CD2F0F0" w14:textId="77777777" w:rsidR="00F81087" w:rsidRPr="007B779F" w:rsidRDefault="00F81087" w:rsidP="007C17C6">
            <w:pPr>
              <w:rPr>
                <w:rFonts w:ascii="Cambria" w:hAnsi="Cambria"/>
                <w:b/>
                <w:bCs/>
                <w:color w:val="000000"/>
                <w:sz w:val="20"/>
                <w:szCs w:val="20"/>
              </w:rPr>
            </w:pPr>
            <w:r w:rsidRPr="007B779F">
              <w:rPr>
                <w:rFonts w:ascii="Cambria" w:hAnsi="Cambria"/>
                <w:b/>
                <w:color w:val="000000"/>
                <w:sz w:val="20"/>
                <w:szCs w:val="20"/>
              </w:rPr>
              <w:t>Engin</w:t>
            </w:r>
          </w:p>
        </w:tc>
        <w:tc>
          <w:tcPr>
            <w:tcW w:w="1037" w:type="pct"/>
            <w:tcBorders>
              <w:top w:val="nil"/>
              <w:left w:val="nil"/>
              <w:bottom w:val="single" w:sz="4" w:space="0" w:color="auto"/>
              <w:right w:val="nil"/>
            </w:tcBorders>
            <w:noWrap/>
            <w:vAlign w:val="bottom"/>
            <w:hideMark/>
          </w:tcPr>
          <w:p w14:paraId="1371E7B4" w14:textId="77777777" w:rsidR="00F81087" w:rsidRPr="007B779F" w:rsidRDefault="00F81087" w:rsidP="007C17C6">
            <w:pPr>
              <w:jc w:val="right"/>
              <w:rPr>
                <w:rFonts w:ascii="Cambria" w:hAnsi="Cambria"/>
                <w:b/>
                <w:bCs/>
                <w:color w:val="000000"/>
                <w:sz w:val="20"/>
                <w:szCs w:val="20"/>
              </w:rPr>
            </w:pPr>
            <w:proofErr w:type="spellStart"/>
            <w:r w:rsidRPr="007B779F">
              <w:rPr>
                <w:rFonts w:ascii="Cambria" w:hAnsi="Cambria"/>
                <w:b/>
                <w:color w:val="000000"/>
                <w:sz w:val="20"/>
                <w:szCs w:val="20"/>
              </w:rPr>
              <w:t>Navires</w:t>
            </w:r>
            <w:proofErr w:type="spellEnd"/>
          </w:p>
        </w:tc>
        <w:tc>
          <w:tcPr>
            <w:tcW w:w="1046" w:type="pct"/>
            <w:tcBorders>
              <w:top w:val="nil"/>
              <w:left w:val="nil"/>
              <w:bottom w:val="single" w:sz="4" w:space="0" w:color="auto"/>
              <w:right w:val="single" w:sz="4" w:space="0" w:color="auto"/>
            </w:tcBorders>
            <w:noWrap/>
            <w:vAlign w:val="bottom"/>
            <w:hideMark/>
          </w:tcPr>
          <w:p w14:paraId="13D2A6EE" w14:textId="77777777" w:rsidR="00F81087" w:rsidRPr="007B779F" w:rsidRDefault="00F81087" w:rsidP="007C17C6">
            <w:pPr>
              <w:jc w:val="right"/>
              <w:rPr>
                <w:rFonts w:ascii="Cambria" w:hAnsi="Cambria"/>
                <w:b/>
                <w:bCs/>
                <w:color w:val="000000"/>
                <w:sz w:val="20"/>
                <w:szCs w:val="20"/>
              </w:rPr>
            </w:pPr>
            <w:r w:rsidRPr="007B779F">
              <w:rPr>
                <w:rFonts w:ascii="Cambria" w:hAnsi="Cambria"/>
                <w:b/>
                <w:color w:val="000000"/>
                <w:sz w:val="20"/>
                <w:szCs w:val="20"/>
              </w:rPr>
              <w:t>JB</w:t>
            </w:r>
          </w:p>
        </w:tc>
        <w:tc>
          <w:tcPr>
            <w:tcW w:w="1037" w:type="pct"/>
            <w:tcBorders>
              <w:top w:val="nil"/>
              <w:left w:val="nil"/>
              <w:bottom w:val="single" w:sz="4" w:space="0" w:color="auto"/>
              <w:right w:val="nil"/>
            </w:tcBorders>
            <w:noWrap/>
            <w:vAlign w:val="bottom"/>
            <w:hideMark/>
          </w:tcPr>
          <w:p w14:paraId="135AB754" w14:textId="77777777" w:rsidR="00F81087" w:rsidRPr="007B779F" w:rsidRDefault="00F81087" w:rsidP="007C17C6">
            <w:pPr>
              <w:jc w:val="right"/>
              <w:rPr>
                <w:rFonts w:ascii="Cambria" w:hAnsi="Cambria"/>
                <w:b/>
                <w:bCs/>
                <w:color w:val="000000"/>
                <w:sz w:val="20"/>
                <w:szCs w:val="20"/>
              </w:rPr>
            </w:pPr>
            <w:proofErr w:type="spellStart"/>
            <w:r w:rsidRPr="007B779F">
              <w:rPr>
                <w:rFonts w:ascii="Cambria" w:hAnsi="Cambria"/>
                <w:b/>
                <w:color w:val="000000"/>
                <w:sz w:val="20"/>
                <w:szCs w:val="20"/>
              </w:rPr>
              <w:t>Navires</w:t>
            </w:r>
            <w:proofErr w:type="spellEnd"/>
          </w:p>
        </w:tc>
        <w:tc>
          <w:tcPr>
            <w:tcW w:w="1046" w:type="pct"/>
            <w:tcBorders>
              <w:top w:val="nil"/>
              <w:left w:val="nil"/>
              <w:bottom w:val="single" w:sz="4" w:space="0" w:color="auto"/>
              <w:right w:val="single" w:sz="4" w:space="0" w:color="auto"/>
            </w:tcBorders>
            <w:noWrap/>
            <w:vAlign w:val="bottom"/>
            <w:hideMark/>
          </w:tcPr>
          <w:p w14:paraId="1A37D434" w14:textId="77777777" w:rsidR="00F81087" w:rsidRPr="007B779F" w:rsidRDefault="00F81087" w:rsidP="007C17C6">
            <w:pPr>
              <w:jc w:val="right"/>
              <w:rPr>
                <w:rFonts w:ascii="Cambria" w:hAnsi="Cambria"/>
                <w:b/>
                <w:bCs/>
                <w:color w:val="000000"/>
                <w:sz w:val="20"/>
                <w:szCs w:val="20"/>
              </w:rPr>
            </w:pPr>
            <w:r w:rsidRPr="007B779F">
              <w:rPr>
                <w:rFonts w:ascii="Cambria" w:hAnsi="Cambria"/>
                <w:b/>
                <w:color w:val="000000"/>
                <w:sz w:val="20"/>
                <w:szCs w:val="20"/>
              </w:rPr>
              <w:t>JB</w:t>
            </w:r>
          </w:p>
        </w:tc>
      </w:tr>
      <w:tr w:rsidR="00F81087" w:rsidRPr="007B779F" w14:paraId="6C0827D5" w14:textId="77777777" w:rsidTr="007C17C6">
        <w:trPr>
          <w:trHeight w:val="57"/>
        </w:trPr>
        <w:tc>
          <w:tcPr>
            <w:tcW w:w="835" w:type="pct"/>
            <w:tcBorders>
              <w:top w:val="nil"/>
              <w:left w:val="single" w:sz="4" w:space="0" w:color="auto"/>
              <w:bottom w:val="nil"/>
              <w:right w:val="single" w:sz="4" w:space="0" w:color="auto"/>
            </w:tcBorders>
            <w:noWrap/>
            <w:vAlign w:val="bottom"/>
            <w:hideMark/>
          </w:tcPr>
          <w:p w14:paraId="7965B61B" w14:textId="77777777" w:rsidR="00F81087" w:rsidRPr="007B779F" w:rsidRDefault="00F81087" w:rsidP="007C17C6">
            <w:pPr>
              <w:rPr>
                <w:rFonts w:ascii="Cambria" w:hAnsi="Cambria"/>
                <w:b/>
                <w:bCs/>
                <w:color w:val="000000"/>
                <w:sz w:val="20"/>
                <w:szCs w:val="20"/>
              </w:rPr>
            </w:pPr>
            <w:r w:rsidRPr="007B779F">
              <w:rPr>
                <w:rFonts w:ascii="Cambria" w:hAnsi="Cambria"/>
                <w:b/>
                <w:color w:val="000000"/>
                <w:sz w:val="20"/>
                <w:szCs w:val="20"/>
              </w:rPr>
              <w:t>BB</w:t>
            </w:r>
          </w:p>
        </w:tc>
        <w:tc>
          <w:tcPr>
            <w:tcW w:w="1037" w:type="pct"/>
            <w:tcBorders>
              <w:top w:val="nil"/>
              <w:left w:val="nil"/>
              <w:bottom w:val="nil"/>
              <w:right w:val="nil"/>
            </w:tcBorders>
            <w:noWrap/>
            <w:vAlign w:val="bottom"/>
            <w:hideMark/>
          </w:tcPr>
          <w:p w14:paraId="4E081DB9" w14:textId="77777777" w:rsidR="00F81087" w:rsidRPr="007B779F" w:rsidRDefault="00F81087" w:rsidP="007C17C6">
            <w:pPr>
              <w:jc w:val="right"/>
              <w:rPr>
                <w:rFonts w:ascii="Cambria" w:hAnsi="Cambria"/>
                <w:color w:val="000000"/>
                <w:sz w:val="20"/>
                <w:szCs w:val="20"/>
              </w:rPr>
            </w:pPr>
            <w:r w:rsidRPr="007B779F">
              <w:rPr>
                <w:rFonts w:ascii="Cambria" w:hAnsi="Cambria"/>
                <w:color w:val="000000"/>
                <w:sz w:val="20"/>
                <w:szCs w:val="20"/>
              </w:rPr>
              <w:t>26</w:t>
            </w:r>
          </w:p>
        </w:tc>
        <w:tc>
          <w:tcPr>
            <w:tcW w:w="1046" w:type="pct"/>
            <w:tcBorders>
              <w:top w:val="nil"/>
              <w:left w:val="nil"/>
              <w:bottom w:val="nil"/>
              <w:right w:val="single" w:sz="4" w:space="0" w:color="auto"/>
            </w:tcBorders>
            <w:noWrap/>
            <w:vAlign w:val="bottom"/>
            <w:hideMark/>
          </w:tcPr>
          <w:p w14:paraId="28691C0C" w14:textId="77777777" w:rsidR="00F81087" w:rsidRPr="007B779F" w:rsidRDefault="00F81087" w:rsidP="007C17C6">
            <w:pPr>
              <w:jc w:val="right"/>
              <w:rPr>
                <w:rFonts w:ascii="Cambria" w:hAnsi="Cambria"/>
                <w:color w:val="000000"/>
                <w:sz w:val="20"/>
                <w:szCs w:val="20"/>
              </w:rPr>
            </w:pPr>
            <w:r w:rsidRPr="007B779F">
              <w:rPr>
                <w:rFonts w:ascii="Cambria" w:hAnsi="Cambria"/>
                <w:color w:val="000000"/>
                <w:sz w:val="20"/>
                <w:szCs w:val="20"/>
              </w:rPr>
              <w:t>4721</w:t>
            </w:r>
          </w:p>
        </w:tc>
        <w:tc>
          <w:tcPr>
            <w:tcW w:w="1037" w:type="pct"/>
            <w:tcBorders>
              <w:top w:val="nil"/>
              <w:left w:val="nil"/>
              <w:bottom w:val="nil"/>
              <w:right w:val="nil"/>
            </w:tcBorders>
            <w:noWrap/>
            <w:vAlign w:val="bottom"/>
            <w:hideMark/>
          </w:tcPr>
          <w:p w14:paraId="6365CA08" w14:textId="77777777" w:rsidR="00F81087" w:rsidRPr="007B779F" w:rsidRDefault="00F81087" w:rsidP="007C17C6">
            <w:pPr>
              <w:jc w:val="right"/>
              <w:rPr>
                <w:rFonts w:ascii="Cambria" w:hAnsi="Cambria"/>
                <w:color w:val="000000"/>
                <w:sz w:val="20"/>
                <w:szCs w:val="20"/>
              </w:rPr>
            </w:pPr>
            <w:r w:rsidRPr="007B779F">
              <w:rPr>
                <w:rFonts w:ascii="Cambria" w:hAnsi="Cambria"/>
                <w:color w:val="000000"/>
                <w:sz w:val="20"/>
                <w:szCs w:val="20"/>
              </w:rPr>
              <w:t>191</w:t>
            </w:r>
          </w:p>
        </w:tc>
        <w:tc>
          <w:tcPr>
            <w:tcW w:w="1046" w:type="pct"/>
            <w:tcBorders>
              <w:top w:val="nil"/>
              <w:left w:val="nil"/>
              <w:bottom w:val="nil"/>
              <w:right w:val="single" w:sz="4" w:space="0" w:color="auto"/>
            </w:tcBorders>
            <w:noWrap/>
            <w:vAlign w:val="bottom"/>
            <w:hideMark/>
          </w:tcPr>
          <w:p w14:paraId="53046E4B" w14:textId="77777777" w:rsidR="00F81087" w:rsidRPr="007B779F" w:rsidRDefault="00F81087" w:rsidP="007C17C6">
            <w:pPr>
              <w:jc w:val="right"/>
              <w:rPr>
                <w:rFonts w:ascii="Cambria" w:hAnsi="Cambria"/>
                <w:color w:val="000000"/>
                <w:sz w:val="20"/>
                <w:szCs w:val="20"/>
              </w:rPr>
            </w:pPr>
            <w:r w:rsidRPr="007B779F">
              <w:rPr>
                <w:rFonts w:ascii="Cambria" w:hAnsi="Cambria"/>
                <w:color w:val="000000"/>
                <w:sz w:val="20"/>
                <w:szCs w:val="20"/>
              </w:rPr>
              <w:t>39514</w:t>
            </w:r>
          </w:p>
        </w:tc>
      </w:tr>
      <w:tr w:rsidR="00F81087" w:rsidRPr="007B779F" w14:paraId="423CFDE8" w14:textId="77777777" w:rsidTr="007C17C6">
        <w:trPr>
          <w:trHeight w:val="57"/>
        </w:trPr>
        <w:tc>
          <w:tcPr>
            <w:tcW w:w="835" w:type="pct"/>
            <w:tcBorders>
              <w:top w:val="nil"/>
              <w:left w:val="single" w:sz="4" w:space="0" w:color="auto"/>
              <w:bottom w:val="nil"/>
              <w:right w:val="single" w:sz="4" w:space="0" w:color="auto"/>
            </w:tcBorders>
            <w:noWrap/>
            <w:vAlign w:val="bottom"/>
            <w:hideMark/>
          </w:tcPr>
          <w:p w14:paraId="0FED087F" w14:textId="77777777" w:rsidR="00F81087" w:rsidRPr="007B779F" w:rsidRDefault="00F81087" w:rsidP="007C17C6">
            <w:pPr>
              <w:rPr>
                <w:rFonts w:ascii="Cambria" w:hAnsi="Cambria"/>
                <w:b/>
                <w:bCs/>
                <w:color w:val="000000"/>
                <w:sz w:val="20"/>
                <w:szCs w:val="20"/>
              </w:rPr>
            </w:pPr>
            <w:r w:rsidRPr="007B779F">
              <w:rPr>
                <w:rFonts w:ascii="Cambria" w:hAnsi="Cambria"/>
                <w:b/>
                <w:color w:val="000000"/>
                <w:sz w:val="20"/>
                <w:szCs w:val="20"/>
              </w:rPr>
              <w:t>HL</w:t>
            </w:r>
          </w:p>
        </w:tc>
        <w:tc>
          <w:tcPr>
            <w:tcW w:w="1037" w:type="pct"/>
            <w:tcBorders>
              <w:top w:val="nil"/>
              <w:left w:val="nil"/>
              <w:bottom w:val="nil"/>
              <w:right w:val="nil"/>
            </w:tcBorders>
            <w:noWrap/>
            <w:vAlign w:val="bottom"/>
            <w:hideMark/>
          </w:tcPr>
          <w:p w14:paraId="136BBC31" w14:textId="77777777" w:rsidR="00F81087" w:rsidRPr="007B779F" w:rsidRDefault="00F81087" w:rsidP="007C17C6">
            <w:pPr>
              <w:jc w:val="right"/>
              <w:rPr>
                <w:rFonts w:ascii="Cambria" w:hAnsi="Cambria"/>
                <w:color w:val="000000"/>
                <w:sz w:val="20"/>
                <w:szCs w:val="20"/>
              </w:rPr>
            </w:pPr>
            <w:r w:rsidRPr="007B779F">
              <w:rPr>
                <w:rFonts w:ascii="Cambria" w:hAnsi="Cambria"/>
                <w:color w:val="000000"/>
                <w:sz w:val="20"/>
                <w:szCs w:val="20"/>
              </w:rPr>
              <w:t>39</w:t>
            </w:r>
          </w:p>
        </w:tc>
        <w:tc>
          <w:tcPr>
            <w:tcW w:w="1046" w:type="pct"/>
            <w:tcBorders>
              <w:top w:val="nil"/>
              <w:left w:val="nil"/>
              <w:bottom w:val="nil"/>
              <w:right w:val="single" w:sz="4" w:space="0" w:color="auto"/>
            </w:tcBorders>
            <w:noWrap/>
            <w:vAlign w:val="bottom"/>
            <w:hideMark/>
          </w:tcPr>
          <w:p w14:paraId="271F654A" w14:textId="77777777" w:rsidR="00F81087" w:rsidRPr="007B779F" w:rsidRDefault="00F81087" w:rsidP="007C17C6">
            <w:pPr>
              <w:jc w:val="right"/>
              <w:rPr>
                <w:rFonts w:ascii="Cambria" w:hAnsi="Cambria"/>
                <w:color w:val="000000"/>
                <w:sz w:val="20"/>
                <w:szCs w:val="20"/>
              </w:rPr>
            </w:pPr>
            <w:r w:rsidRPr="007B779F">
              <w:rPr>
                <w:rFonts w:ascii="Cambria" w:hAnsi="Cambria"/>
                <w:color w:val="000000"/>
                <w:sz w:val="20"/>
                <w:szCs w:val="20"/>
              </w:rPr>
              <w:t>8387</w:t>
            </w:r>
          </w:p>
        </w:tc>
        <w:tc>
          <w:tcPr>
            <w:tcW w:w="1037" w:type="pct"/>
            <w:tcBorders>
              <w:top w:val="nil"/>
              <w:left w:val="nil"/>
              <w:bottom w:val="nil"/>
              <w:right w:val="nil"/>
            </w:tcBorders>
            <w:noWrap/>
            <w:vAlign w:val="bottom"/>
            <w:hideMark/>
          </w:tcPr>
          <w:p w14:paraId="7A7D9847" w14:textId="77777777" w:rsidR="00F81087" w:rsidRPr="007B779F" w:rsidRDefault="00F81087" w:rsidP="007C17C6">
            <w:pPr>
              <w:jc w:val="right"/>
              <w:rPr>
                <w:rFonts w:ascii="Cambria" w:hAnsi="Cambria"/>
                <w:color w:val="000000"/>
                <w:sz w:val="20"/>
                <w:szCs w:val="20"/>
              </w:rPr>
            </w:pPr>
            <w:r w:rsidRPr="007B779F">
              <w:rPr>
                <w:rFonts w:ascii="Cambria" w:hAnsi="Cambria"/>
                <w:color w:val="000000"/>
                <w:sz w:val="20"/>
                <w:szCs w:val="20"/>
              </w:rPr>
              <w:t>3</w:t>
            </w:r>
          </w:p>
        </w:tc>
        <w:tc>
          <w:tcPr>
            <w:tcW w:w="1046" w:type="pct"/>
            <w:tcBorders>
              <w:top w:val="nil"/>
              <w:left w:val="nil"/>
              <w:bottom w:val="nil"/>
              <w:right w:val="single" w:sz="4" w:space="0" w:color="auto"/>
            </w:tcBorders>
            <w:noWrap/>
            <w:vAlign w:val="bottom"/>
            <w:hideMark/>
          </w:tcPr>
          <w:p w14:paraId="3F47D82D" w14:textId="77777777" w:rsidR="00F81087" w:rsidRPr="007B779F" w:rsidRDefault="00F81087" w:rsidP="007C17C6">
            <w:pPr>
              <w:jc w:val="right"/>
              <w:rPr>
                <w:rFonts w:ascii="Cambria" w:hAnsi="Cambria"/>
                <w:color w:val="000000"/>
                <w:sz w:val="20"/>
                <w:szCs w:val="20"/>
              </w:rPr>
            </w:pPr>
            <w:r w:rsidRPr="007B779F">
              <w:rPr>
                <w:rFonts w:ascii="Cambria" w:hAnsi="Cambria"/>
                <w:color w:val="000000"/>
                <w:sz w:val="20"/>
                <w:szCs w:val="20"/>
              </w:rPr>
              <w:t>232</w:t>
            </w:r>
          </w:p>
        </w:tc>
      </w:tr>
      <w:tr w:rsidR="00F81087" w:rsidRPr="007B779F" w14:paraId="1A197740" w14:textId="77777777" w:rsidTr="007C17C6">
        <w:trPr>
          <w:trHeight w:val="57"/>
        </w:trPr>
        <w:tc>
          <w:tcPr>
            <w:tcW w:w="835" w:type="pct"/>
            <w:tcBorders>
              <w:top w:val="nil"/>
              <w:left w:val="single" w:sz="4" w:space="0" w:color="auto"/>
              <w:bottom w:val="nil"/>
              <w:right w:val="single" w:sz="4" w:space="0" w:color="auto"/>
            </w:tcBorders>
            <w:noWrap/>
            <w:vAlign w:val="bottom"/>
            <w:hideMark/>
          </w:tcPr>
          <w:p w14:paraId="38E572AA" w14:textId="77777777" w:rsidR="00F81087" w:rsidRPr="007B779F" w:rsidRDefault="00F81087" w:rsidP="007C17C6">
            <w:pPr>
              <w:rPr>
                <w:rFonts w:ascii="Cambria" w:hAnsi="Cambria"/>
                <w:b/>
                <w:bCs/>
                <w:color w:val="000000"/>
                <w:sz w:val="20"/>
                <w:szCs w:val="20"/>
              </w:rPr>
            </w:pPr>
            <w:r w:rsidRPr="007B779F">
              <w:rPr>
                <w:rFonts w:ascii="Cambria" w:hAnsi="Cambria"/>
                <w:b/>
                <w:color w:val="000000"/>
                <w:sz w:val="20"/>
                <w:szCs w:val="20"/>
              </w:rPr>
              <w:t>LL</w:t>
            </w:r>
          </w:p>
        </w:tc>
        <w:tc>
          <w:tcPr>
            <w:tcW w:w="1037" w:type="pct"/>
            <w:tcBorders>
              <w:top w:val="nil"/>
              <w:left w:val="nil"/>
              <w:bottom w:val="nil"/>
              <w:right w:val="nil"/>
            </w:tcBorders>
            <w:noWrap/>
            <w:vAlign w:val="bottom"/>
            <w:hideMark/>
          </w:tcPr>
          <w:p w14:paraId="556CC53D" w14:textId="77777777" w:rsidR="00F81087" w:rsidRPr="007B779F" w:rsidRDefault="00F81087" w:rsidP="007C17C6">
            <w:pPr>
              <w:jc w:val="right"/>
              <w:rPr>
                <w:rFonts w:ascii="Cambria" w:hAnsi="Cambria"/>
                <w:color w:val="000000"/>
                <w:sz w:val="20"/>
                <w:szCs w:val="20"/>
              </w:rPr>
            </w:pPr>
            <w:r w:rsidRPr="007B779F">
              <w:rPr>
                <w:rFonts w:ascii="Cambria" w:hAnsi="Cambria"/>
                <w:color w:val="000000"/>
                <w:sz w:val="20"/>
                <w:szCs w:val="20"/>
              </w:rPr>
              <w:t>342</w:t>
            </w:r>
          </w:p>
        </w:tc>
        <w:tc>
          <w:tcPr>
            <w:tcW w:w="1046" w:type="pct"/>
            <w:tcBorders>
              <w:top w:val="nil"/>
              <w:left w:val="nil"/>
              <w:bottom w:val="nil"/>
              <w:right w:val="single" w:sz="4" w:space="0" w:color="auto"/>
            </w:tcBorders>
            <w:noWrap/>
            <w:vAlign w:val="bottom"/>
            <w:hideMark/>
          </w:tcPr>
          <w:p w14:paraId="48D79B10" w14:textId="77777777" w:rsidR="00F81087" w:rsidRPr="007B779F" w:rsidRDefault="00F81087" w:rsidP="007C17C6">
            <w:pPr>
              <w:jc w:val="right"/>
              <w:rPr>
                <w:rFonts w:ascii="Cambria" w:hAnsi="Cambria"/>
                <w:color w:val="000000"/>
                <w:sz w:val="20"/>
                <w:szCs w:val="20"/>
              </w:rPr>
            </w:pPr>
            <w:r w:rsidRPr="007B779F">
              <w:rPr>
                <w:rFonts w:ascii="Cambria" w:hAnsi="Cambria"/>
                <w:color w:val="000000"/>
                <w:sz w:val="20"/>
                <w:szCs w:val="20"/>
              </w:rPr>
              <w:t>115557</w:t>
            </w:r>
          </w:p>
        </w:tc>
        <w:tc>
          <w:tcPr>
            <w:tcW w:w="1037" w:type="pct"/>
            <w:tcBorders>
              <w:top w:val="nil"/>
              <w:left w:val="nil"/>
              <w:bottom w:val="nil"/>
              <w:right w:val="nil"/>
            </w:tcBorders>
            <w:noWrap/>
            <w:vAlign w:val="bottom"/>
            <w:hideMark/>
          </w:tcPr>
          <w:p w14:paraId="12648FDA" w14:textId="77777777" w:rsidR="00F81087" w:rsidRPr="007B779F" w:rsidRDefault="00F81087" w:rsidP="007C17C6">
            <w:pPr>
              <w:jc w:val="right"/>
              <w:rPr>
                <w:rFonts w:ascii="Cambria" w:hAnsi="Cambria"/>
                <w:color w:val="000000"/>
                <w:sz w:val="20"/>
                <w:szCs w:val="20"/>
              </w:rPr>
            </w:pPr>
            <w:r w:rsidRPr="007B779F">
              <w:rPr>
                <w:rFonts w:ascii="Cambria" w:hAnsi="Cambria"/>
                <w:color w:val="000000"/>
                <w:sz w:val="20"/>
                <w:szCs w:val="20"/>
              </w:rPr>
              <w:t>370</w:t>
            </w:r>
          </w:p>
        </w:tc>
        <w:tc>
          <w:tcPr>
            <w:tcW w:w="1046" w:type="pct"/>
            <w:tcBorders>
              <w:top w:val="nil"/>
              <w:left w:val="nil"/>
              <w:bottom w:val="nil"/>
              <w:right w:val="single" w:sz="4" w:space="0" w:color="auto"/>
            </w:tcBorders>
            <w:noWrap/>
            <w:vAlign w:val="bottom"/>
            <w:hideMark/>
          </w:tcPr>
          <w:p w14:paraId="36EF6C45" w14:textId="77777777" w:rsidR="00F81087" w:rsidRPr="007B779F" w:rsidRDefault="00F81087" w:rsidP="007C17C6">
            <w:pPr>
              <w:jc w:val="right"/>
              <w:rPr>
                <w:rFonts w:ascii="Cambria" w:hAnsi="Cambria"/>
                <w:color w:val="000000"/>
                <w:sz w:val="20"/>
                <w:szCs w:val="20"/>
              </w:rPr>
            </w:pPr>
            <w:r w:rsidRPr="007B779F">
              <w:rPr>
                <w:rFonts w:ascii="Cambria" w:hAnsi="Cambria"/>
                <w:color w:val="000000"/>
                <w:sz w:val="20"/>
                <w:szCs w:val="20"/>
              </w:rPr>
              <w:t>121393</w:t>
            </w:r>
          </w:p>
        </w:tc>
      </w:tr>
      <w:tr w:rsidR="00F81087" w:rsidRPr="007B779F" w14:paraId="2E82C038" w14:textId="77777777" w:rsidTr="007C17C6">
        <w:trPr>
          <w:trHeight w:val="57"/>
        </w:trPr>
        <w:tc>
          <w:tcPr>
            <w:tcW w:w="835" w:type="pct"/>
            <w:tcBorders>
              <w:top w:val="nil"/>
              <w:left w:val="single" w:sz="4" w:space="0" w:color="auto"/>
              <w:bottom w:val="nil"/>
              <w:right w:val="single" w:sz="4" w:space="0" w:color="auto"/>
            </w:tcBorders>
            <w:noWrap/>
            <w:vAlign w:val="bottom"/>
            <w:hideMark/>
          </w:tcPr>
          <w:p w14:paraId="5E00801B" w14:textId="77777777" w:rsidR="00F81087" w:rsidRPr="007B779F" w:rsidRDefault="00F81087" w:rsidP="007C17C6">
            <w:pPr>
              <w:rPr>
                <w:rFonts w:ascii="Cambria" w:hAnsi="Cambria"/>
                <w:b/>
                <w:bCs/>
                <w:color w:val="000000"/>
                <w:sz w:val="20"/>
                <w:szCs w:val="20"/>
              </w:rPr>
            </w:pPr>
            <w:r w:rsidRPr="007B779F">
              <w:rPr>
                <w:rFonts w:ascii="Cambria" w:hAnsi="Cambria"/>
                <w:b/>
                <w:color w:val="000000"/>
                <w:sz w:val="20"/>
                <w:szCs w:val="20"/>
              </w:rPr>
              <w:t>PS</w:t>
            </w:r>
          </w:p>
        </w:tc>
        <w:tc>
          <w:tcPr>
            <w:tcW w:w="1037" w:type="pct"/>
            <w:tcBorders>
              <w:top w:val="nil"/>
              <w:left w:val="nil"/>
              <w:bottom w:val="nil"/>
              <w:right w:val="nil"/>
            </w:tcBorders>
            <w:noWrap/>
            <w:vAlign w:val="bottom"/>
            <w:hideMark/>
          </w:tcPr>
          <w:p w14:paraId="543F6BF1" w14:textId="77777777" w:rsidR="00F81087" w:rsidRPr="007B779F" w:rsidRDefault="00F81087" w:rsidP="007C17C6">
            <w:pPr>
              <w:jc w:val="right"/>
              <w:rPr>
                <w:rFonts w:ascii="Cambria" w:hAnsi="Cambria"/>
                <w:color w:val="000000"/>
                <w:sz w:val="20"/>
                <w:szCs w:val="20"/>
              </w:rPr>
            </w:pPr>
            <w:r w:rsidRPr="007B779F">
              <w:rPr>
                <w:rFonts w:ascii="Cambria" w:hAnsi="Cambria"/>
                <w:color w:val="000000"/>
                <w:sz w:val="20"/>
                <w:szCs w:val="20"/>
              </w:rPr>
              <w:t>54</w:t>
            </w:r>
          </w:p>
        </w:tc>
        <w:tc>
          <w:tcPr>
            <w:tcW w:w="1046" w:type="pct"/>
            <w:tcBorders>
              <w:top w:val="nil"/>
              <w:left w:val="nil"/>
              <w:bottom w:val="nil"/>
              <w:right w:val="single" w:sz="4" w:space="0" w:color="auto"/>
            </w:tcBorders>
            <w:noWrap/>
            <w:vAlign w:val="bottom"/>
            <w:hideMark/>
          </w:tcPr>
          <w:p w14:paraId="201CD81E" w14:textId="77777777" w:rsidR="00F81087" w:rsidRPr="007B779F" w:rsidRDefault="00F81087" w:rsidP="007C17C6">
            <w:pPr>
              <w:jc w:val="right"/>
              <w:rPr>
                <w:rFonts w:ascii="Cambria" w:hAnsi="Cambria"/>
                <w:color w:val="000000"/>
                <w:sz w:val="20"/>
                <w:szCs w:val="20"/>
              </w:rPr>
            </w:pPr>
            <w:r w:rsidRPr="007B779F">
              <w:rPr>
                <w:rFonts w:ascii="Cambria" w:hAnsi="Cambria"/>
                <w:color w:val="000000"/>
                <w:sz w:val="20"/>
                <w:szCs w:val="20"/>
              </w:rPr>
              <w:t>74594</w:t>
            </w:r>
          </w:p>
        </w:tc>
        <w:tc>
          <w:tcPr>
            <w:tcW w:w="1037" w:type="pct"/>
            <w:tcBorders>
              <w:top w:val="nil"/>
              <w:left w:val="nil"/>
              <w:bottom w:val="nil"/>
              <w:right w:val="nil"/>
            </w:tcBorders>
            <w:noWrap/>
            <w:vAlign w:val="bottom"/>
            <w:hideMark/>
          </w:tcPr>
          <w:p w14:paraId="0D9BA907" w14:textId="77777777" w:rsidR="00F81087" w:rsidRPr="007B779F" w:rsidRDefault="00F81087" w:rsidP="007C17C6">
            <w:pPr>
              <w:jc w:val="right"/>
              <w:rPr>
                <w:rFonts w:ascii="Cambria" w:hAnsi="Cambria"/>
                <w:color w:val="000000"/>
                <w:sz w:val="20"/>
                <w:szCs w:val="20"/>
              </w:rPr>
            </w:pPr>
            <w:r w:rsidRPr="007B779F">
              <w:rPr>
                <w:rFonts w:ascii="Cambria" w:hAnsi="Cambria"/>
                <w:color w:val="000000"/>
                <w:sz w:val="20"/>
                <w:szCs w:val="20"/>
              </w:rPr>
              <w:t>64</w:t>
            </w:r>
          </w:p>
        </w:tc>
        <w:tc>
          <w:tcPr>
            <w:tcW w:w="1046" w:type="pct"/>
            <w:tcBorders>
              <w:top w:val="nil"/>
              <w:left w:val="nil"/>
              <w:bottom w:val="nil"/>
              <w:right w:val="single" w:sz="4" w:space="0" w:color="auto"/>
            </w:tcBorders>
            <w:noWrap/>
            <w:vAlign w:val="bottom"/>
            <w:hideMark/>
          </w:tcPr>
          <w:p w14:paraId="27B038E0" w14:textId="77777777" w:rsidR="00F81087" w:rsidRPr="007B779F" w:rsidRDefault="00F81087" w:rsidP="007C17C6">
            <w:pPr>
              <w:jc w:val="right"/>
              <w:rPr>
                <w:rFonts w:ascii="Cambria" w:hAnsi="Cambria"/>
                <w:color w:val="000000"/>
                <w:sz w:val="20"/>
                <w:szCs w:val="20"/>
              </w:rPr>
            </w:pPr>
            <w:r w:rsidRPr="007B779F">
              <w:rPr>
                <w:rFonts w:ascii="Cambria" w:hAnsi="Cambria"/>
                <w:color w:val="000000"/>
                <w:sz w:val="20"/>
                <w:szCs w:val="20"/>
              </w:rPr>
              <w:t>84647</w:t>
            </w:r>
          </w:p>
        </w:tc>
      </w:tr>
      <w:tr w:rsidR="00F81087" w:rsidRPr="007B779F" w14:paraId="7989C26F" w14:textId="77777777" w:rsidTr="007C17C6">
        <w:trPr>
          <w:trHeight w:val="57"/>
        </w:trPr>
        <w:tc>
          <w:tcPr>
            <w:tcW w:w="835" w:type="pct"/>
            <w:tcBorders>
              <w:top w:val="nil"/>
              <w:left w:val="single" w:sz="4" w:space="0" w:color="auto"/>
              <w:bottom w:val="nil"/>
              <w:right w:val="single" w:sz="4" w:space="0" w:color="auto"/>
            </w:tcBorders>
            <w:noWrap/>
            <w:vAlign w:val="bottom"/>
            <w:hideMark/>
          </w:tcPr>
          <w:p w14:paraId="6914EBD3" w14:textId="77777777" w:rsidR="00F81087" w:rsidRPr="007B779F" w:rsidRDefault="00F81087" w:rsidP="007C17C6">
            <w:pPr>
              <w:rPr>
                <w:rFonts w:ascii="Cambria" w:hAnsi="Cambria"/>
                <w:b/>
                <w:bCs/>
                <w:color w:val="000000"/>
                <w:sz w:val="20"/>
                <w:szCs w:val="20"/>
              </w:rPr>
            </w:pPr>
            <w:r w:rsidRPr="007B779F">
              <w:rPr>
                <w:rFonts w:ascii="Cambria" w:hAnsi="Cambria"/>
                <w:b/>
                <w:color w:val="000000"/>
                <w:sz w:val="20"/>
                <w:szCs w:val="20"/>
              </w:rPr>
              <w:t>RR</w:t>
            </w:r>
          </w:p>
        </w:tc>
        <w:tc>
          <w:tcPr>
            <w:tcW w:w="1037" w:type="pct"/>
            <w:tcBorders>
              <w:top w:val="nil"/>
              <w:left w:val="nil"/>
              <w:bottom w:val="nil"/>
              <w:right w:val="nil"/>
            </w:tcBorders>
            <w:noWrap/>
            <w:vAlign w:val="bottom"/>
            <w:hideMark/>
          </w:tcPr>
          <w:p w14:paraId="62A7E26E" w14:textId="77777777" w:rsidR="00F81087" w:rsidRPr="007B779F" w:rsidRDefault="00F81087" w:rsidP="007C17C6">
            <w:pPr>
              <w:jc w:val="right"/>
              <w:rPr>
                <w:rFonts w:ascii="Cambria" w:hAnsi="Cambria"/>
                <w:color w:val="000000"/>
                <w:sz w:val="20"/>
                <w:szCs w:val="20"/>
              </w:rPr>
            </w:pPr>
            <w:r w:rsidRPr="007B779F">
              <w:rPr>
                <w:rFonts w:ascii="Cambria" w:hAnsi="Cambria"/>
                <w:color w:val="000000"/>
                <w:sz w:val="20"/>
                <w:szCs w:val="20"/>
              </w:rPr>
              <w:t> -</w:t>
            </w:r>
          </w:p>
        </w:tc>
        <w:tc>
          <w:tcPr>
            <w:tcW w:w="1046" w:type="pct"/>
            <w:tcBorders>
              <w:top w:val="nil"/>
              <w:left w:val="nil"/>
              <w:bottom w:val="nil"/>
              <w:right w:val="single" w:sz="4" w:space="0" w:color="auto"/>
            </w:tcBorders>
            <w:noWrap/>
            <w:vAlign w:val="bottom"/>
            <w:hideMark/>
          </w:tcPr>
          <w:p w14:paraId="5DA67B90" w14:textId="77777777" w:rsidR="00F81087" w:rsidRPr="007B779F" w:rsidRDefault="00F81087" w:rsidP="007C17C6">
            <w:pPr>
              <w:jc w:val="right"/>
              <w:rPr>
                <w:rFonts w:ascii="Cambria" w:hAnsi="Cambria"/>
                <w:color w:val="000000"/>
                <w:sz w:val="20"/>
                <w:szCs w:val="20"/>
              </w:rPr>
            </w:pPr>
            <w:r w:rsidRPr="007B779F">
              <w:rPr>
                <w:rFonts w:ascii="Cambria" w:hAnsi="Cambria"/>
                <w:color w:val="000000"/>
                <w:sz w:val="20"/>
                <w:szCs w:val="20"/>
              </w:rPr>
              <w:t> -</w:t>
            </w:r>
          </w:p>
        </w:tc>
        <w:tc>
          <w:tcPr>
            <w:tcW w:w="1037" w:type="pct"/>
            <w:tcBorders>
              <w:top w:val="nil"/>
              <w:left w:val="nil"/>
              <w:bottom w:val="nil"/>
              <w:right w:val="nil"/>
            </w:tcBorders>
            <w:noWrap/>
            <w:vAlign w:val="bottom"/>
            <w:hideMark/>
          </w:tcPr>
          <w:p w14:paraId="56DF28D7" w14:textId="77777777" w:rsidR="00F81087" w:rsidRPr="007B779F" w:rsidRDefault="00F81087" w:rsidP="007C17C6">
            <w:pPr>
              <w:jc w:val="right"/>
              <w:rPr>
                <w:rFonts w:ascii="Cambria" w:hAnsi="Cambria"/>
                <w:color w:val="000000"/>
                <w:sz w:val="20"/>
                <w:szCs w:val="20"/>
              </w:rPr>
            </w:pPr>
            <w:r w:rsidRPr="007B779F">
              <w:rPr>
                <w:rFonts w:ascii="Cambria" w:hAnsi="Cambria"/>
                <w:color w:val="000000"/>
                <w:sz w:val="20"/>
                <w:szCs w:val="20"/>
              </w:rPr>
              <w:t>6</w:t>
            </w:r>
          </w:p>
        </w:tc>
        <w:tc>
          <w:tcPr>
            <w:tcW w:w="1046" w:type="pct"/>
            <w:tcBorders>
              <w:top w:val="nil"/>
              <w:left w:val="nil"/>
              <w:bottom w:val="nil"/>
              <w:right w:val="single" w:sz="4" w:space="0" w:color="auto"/>
            </w:tcBorders>
            <w:noWrap/>
            <w:vAlign w:val="bottom"/>
            <w:hideMark/>
          </w:tcPr>
          <w:p w14:paraId="4A2E9EAA" w14:textId="77777777" w:rsidR="00F81087" w:rsidRPr="007B779F" w:rsidRDefault="00F81087" w:rsidP="007C17C6">
            <w:pPr>
              <w:jc w:val="right"/>
              <w:rPr>
                <w:rFonts w:ascii="Cambria" w:hAnsi="Cambria"/>
                <w:color w:val="000000"/>
                <w:sz w:val="20"/>
                <w:szCs w:val="20"/>
              </w:rPr>
            </w:pPr>
            <w:r w:rsidRPr="007B779F">
              <w:rPr>
                <w:rFonts w:ascii="Cambria" w:hAnsi="Cambria"/>
                <w:color w:val="000000"/>
                <w:sz w:val="20"/>
                <w:szCs w:val="20"/>
              </w:rPr>
              <w:t>837</w:t>
            </w:r>
          </w:p>
        </w:tc>
      </w:tr>
      <w:tr w:rsidR="00F81087" w:rsidRPr="007B779F" w14:paraId="0522EA4A" w14:textId="77777777" w:rsidTr="007C17C6">
        <w:trPr>
          <w:trHeight w:val="57"/>
        </w:trPr>
        <w:tc>
          <w:tcPr>
            <w:tcW w:w="835" w:type="pct"/>
            <w:tcBorders>
              <w:top w:val="nil"/>
              <w:left w:val="single" w:sz="4" w:space="0" w:color="auto"/>
              <w:bottom w:val="single" w:sz="4" w:space="0" w:color="auto"/>
              <w:right w:val="single" w:sz="4" w:space="0" w:color="auto"/>
            </w:tcBorders>
            <w:noWrap/>
            <w:vAlign w:val="bottom"/>
            <w:hideMark/>
          </w:tcPr>
          <w:p w14:paraId="34F524FF" w14:textId="77777777" w:rsidR="00F81087" w:rsidRPr="007B779F" w:rsidRDefault="00F81087" w:rsidP="007C17C6">
            <w:pPr>
              <w:rPr>
                <w:rFonts w:ascii="Cambria" w:hAnsi="Cambria"/>
                <w:b/>
                <w:bCs/>
                <w:color w:val="000000"/>
                <w:sz w:val="20"/>
                <w:szCs w:val="20"/>
              </w:rPr>
            </w:pPr>
            <w:r w:rsidRPr="007B779F">
              <w:rPr>
                <w:rFonts w:ascii="Cambria" w:hAnsi="Cambria"/>
                <w:b/>
                <w:color w:val="000000"/>
                <w:sz w:val="20"/>
                <w:szCs w:val="20"/>
              </w:rPr>
              <w:t>UN</w:t>
            </w:r>
          </w:p>
        </w:tc>
        <w:tc>
          <w:tcPr>
            <w:tcW w:w="1037" w:type="pct"/>
            <w:tcBorders>
              <w:top w:val="nil"/>
              <w:left w:val="nil"/>
              <w:bottom w:val="single" w:sz="4" w:space="0" w:color="auto"/>
              <w:right w:val="nil"/>
            </w:tcBorders>
            <w:noWrap/>
            <w:vAlign w:val="bottom"/>
            <w:hideMark/>
          </w:tcPr>
          <w:p w14:paraId="3B990A1A" w14:textId="77777777" w:rsidR="00F81087" w:rsidRPr="007B779F" w:rsidRDefault="00F81087" w:rsidP="007C17C6">
            <w:pPr>
              <w:jc w:val="right"/>
              <w:rPr>
                <w:rFonts w:ascii="Cambria" w:hAnsi="Cambria"/>
                <w:color w:val="000000"/>
                <w:sz w:val="20"/>
                <w:szCs w:val="20"/>
              </w:rPr>
            </w:pPr>
            <w:r w:rsidRPr="007B779F">
              <w:rPr>
                <w:rFonts w:ascii="Cambria" w:hAnsi="Cambria"/>
                <w:color w:val="000000"/>
                <w:sz w:val="20"/>
                <w:szCs w:val="20"/>
              </w:rPr>
              <w:t>22</w:t>
            </w:r>
          </w:p>
        </w:tc>
        <w:tc>
          <w:tcPr>
            <w:tcW w:w="1046" w:type="pct"/>
            <w:tcBorders>
              <w:top w:val="nil"/>
              <w:left w:val="nil"/>
              <w:bottom w:val="single" w:sz="4" w:space="0" w:color="auto"/>
              <w:right w:val="single" w:sz="4" w:space="0" w:color="auto"/>
            </w:tcBorders>
            <w:noWrap/>
            <w:vAlign w:val="bottom"/>
            <w:hideMark/>
          </w:tcPr>
          <w:p w14:paraId="79255B83" w14:textId="77777777" w:rsidR="00F81087" w:rsidRPr="007B779F" w:rsidRDefault="00F81087" w:rsidP="007C17C6">
            <w:pPr>
              <w:jc w:val="right"/>
              <w:rPr>
                <w:rFonts w:ascii="Cambria" w:hAnsi="Cambria"/>
                <w:color w:val="000000"/>
                <w:sz w:val="20"/>
                <w:szCs w:val="20"/>
              </w:rPr>
            </w:pPr>
            <w:r w:rsidRPr="007B779F">
              <w:rPr>
                <w:rFonts w:ascii="Cambria" w:hAnsi="Cambria"/>
                <w:color w:val="000000"/>
                <w:sz w:val="20"/>
                <w:szCs w:val="20"/>
              </w:rPr>
              <w:t>2612</w:t>
            </w:r>
          </w:p>
        </w:tc>
        <w:tc>
          <w:tcPr>
            <w:tcW w:w="1037" w:type="pct"/>
            <w:tcBorders>
              <w:top w:val="nil"/>
              <w:left w:val="nil"/>
              <w:bottom w:val="single" w:sz="4" w:space="0" w:color="auto"/>
              <w:right w:val="nil"/>
            </w:tcBorders>
            <w:noWrap/>
            <w:vAlign w:val="bottom"/>
            <w:hideMark/>
          </w:tcPr>
          <w:p w14:paraId="2934A927" w14:textId="77777777" w:rsidR="00F81087" w:rsidRPr="007B779F" w:rsidRDefault="00F81087" w:rsidP="007C17C6">
            <w:pPr>
              <w:jc w:val="right"/>
              <w:rPr>
                <w:rFonts w:ascii="Cambria" w:hAnsi="Cambria"/>
                <w:color w:val="000000"/>
                <w:sz w:val="20"/>
                <w:szCs w:val="20"/>
              </w:rPr>
            </w:pPr>
            <w:r w:rsidRPr="007B779F">
              <w:rPr>
                <w:rFonts w:ascii="Cambria" w:hAnsi="Cambria"/>
                <w:color w:val="000000"/>
                <w:sz w:val="20"/>
                <w:szCs w:val="20"/>
              </w:rPr>
              <w:t>37</w:t>
            </w:r>
          </w:p>
        </w:tc>
        <w:tc>
          <w:tcPr>
            <w:tcW w:w="1046" w:type="pct"/>
            <w:tcBorders>
              <w:top w:val="nil"/>
              <w:left w:val="nil"/>
              <w:bottom w:val="single" w:sz="4" w:space="0" w:color="auto"/>
              <w:right w:val="single" w:sz="4" w:space="0" w:color="auto"/>
            </w:tcBorders>
            <w:noWrap/>
            <w:vAlign w:val="bottom"/>
            <w:hideMark/>
          </w:tcPr>
          <w:p w14:paraId="6449FAAF" w14:textId="77777777" w:rsidR="00F81087" w:rsidRPr="007B779F" w:rsidRDefault="00F81087" w:rsidP="007C17C6">
            <w:pPr>
              <w:jc w:val="right"/>
              <w:rPr>
                <w:rFonts w:ascii="Cambria" w:hAnsi="Cambria"/>
                <w:color w:val="000000"/>
                <w:sz w:val="20"/>
                <w:szCs w:val="20"/>
              </w:rPr>
            </w:pPr>
            <w:r w:rsidRPr="007B779F">
              <w:rPr>
                <w:rFonts w:ascii="Cambria" w:hAnsi="Cambria"/>
                <w:color w:val="000000"/>
                <w:sz w:val="20"/>
                <w:szCs w:val="20"/>
              </w:rPr>
              <w:t>4779</w:t>
            </w:r>
          </w:p>
        </w:tc>
      </w:tr>
      <w:tr w:rsidR="00F81087" w:rsidRPr="007B779F" w14:paraId="6EF859A2" w14:textId="77777777" w:rsidTr="007C17C6">
        <w:trPr>
          <w:trHeight w:val="57"/>
        </w:trPr>
        <w:tc>
          <w:tcPr>
            <w:tcW w:w="835" w:type="pct"/>
            <w:tcBorders>
              <w:top w:val="nil"/>
              <w:left w:val="single" w:sz="4" w:space="0" w:color="auto"/>
              <w:bottom w:val="single" w:sz="4" w:space="0" w:color="auto"/>
              <w:right w:val="single" w:sz="4" w:space="0" w:color="auto"/>
            </w:tcBorders>
            <w:noWrap/>
            <w:vAlign w:val="bottom"/>
            <w:hideMark/>
          </w:tcPr>
          <w:p w14:paraId="2782BCC6" w14:textId="77777777" w:rsidR="00F81087" w:rsidRPr="007B779F" w:rsidRDefault="00F81087" w:rsidP="007C17C6">
            <w:pPr>
              <w:jc w:val="right"/>
              <w:rPr>
                <w:rFonts w:ascii="Cambria" w:hAnsi="Cambria"/>
                <w:b/>
                <w:bCs/>
                <w:color w:val="000000"/>
                <w:sz w:val="20"/>
                <w:szCs w:val="20"/>
              </w:rPr>
            </w:pPr>
            <w:r w:rsidRPr="007B779F">
              <w:rPr>
                <w:rFonts w:ascii="Cambria" w:hAnsi="Cambria"/>
                <w:b/>
                <w:color w:val="000000"/>
                <w:sz w:val="20"/>
                <w:szCs w:val="20"/>
              </w:rPr>
              <w:t>Total</w:t>
            </w:r>
          </w:p>
        </w:tc>
        <w:tc>
          <w:tcPr>
            <w:tcW w:w="1037" w:type="pct"/>
            <w:tcBorders>
              <w:top w:val="nil"/>
              <w:left w:val="nil"/>
              <w:bottom w:val="single" w:sz="4" w:space="0" w:color="auto"/>
              <w:right w:val="nil"/>
            </w:tcBorders>
            <w:noWrap/>
            <w:vAlign w:val="bottom"/>
            <w:hideMark/>
          </w:tcPr>
          <w:p w14:paraId="5D90D1FE" w14:textId="77777777" w:rsidR="00F81087" w:rsidRPr="007B779F" w:rsidRDefault="00F81087" w:rsidP="007C17C6">
            <w:pPr>
              <w:jc w:val="right"/>
              <w:rPr>
                <w:rFonts w:ascii="Cambria" w:hAnsi="Cambria"/>
                <w:b/>
                <w:bCs/>
                <w:color w:val="000000"/>
                <w:sz w:val="20"/>
                <w:szCs w:val="20"/>
              </w:rPr>
            </w:pPr>
            <w:r w:rsidRPr="007B779F">
              <w:rPr>
                <w:rFonts w:ascii="Cambria" w:hAnsi="Cambria"/>
                <w:b/>
                <w:color w:val="000000"/>
                <w:sz w:val="20"/>
                <w:szCs w:val="20"/>
              </w:rPr>
              <w:t>483</w:t>
            </w:r>
          </w:p>
        </w:tc>
        <w:tc>
          <w:tcPr>
            <w:tcW w:w="1046" w:type="pct"/>
            <w:tcBorders>
              <w:top w:val="nil"/>
              <w:left w:val="nil"/>
              <w:bottom w:val="single" w:sz="4" w:space="0" w:color="auto"/>
              <w:right w:val="single" w:sz="4" w:space="0" w:color="auto"/>
            </w:tcBorders>
            <w:noWrap/>
            <w:vAlign w:val="bottom"/>
            <w:hideMark/>
          </w:tcPr>
          <w:p w14:paraId="17D4E3DA" w14:textId="77777777" w:rsidR="00F81087" w:rsidRPr="007B779F" w:rsidRDefault="00F81087" w:rsidP="007C17C6">
            <w:pPr>
              <w:jc w:val="right"/>
              <w:rPr>
                <w:rFonts w:ascii="Cambria" w:hAnsi="Cambria"/>
                <w:b/>
                <w:bCs/>
                <w:color w:val="000000"/>
                <w:sz w:val="20"/>
                <w:szCs w:val="20"/>
              </w:rPr>
            </w:pPr>
            <w:r w:rsidRPr="007B779F">
              <w:rPr>
                <w:rFonts w:ascii="Cambria" w:hAnsi="Cambria"/>
                <w:b/>
                <w:color w:val="000000"/>
                <w:sz w:val="20"/>
                <w:szCs w:val="20"/>
              </w:rPr>
              <w:t>205871</w:t>
            </w:r>
          </w:p>
        </w:tc>
        <w:tc>
          <w:tcPr>
            <w:tcW w:w="1037" w:type="pct"/>
            <w:tcBorders>
              <w:top w:val="nil"/>
              <w:left w:val="nil"/>
              <w:bottom w:val="single" w:sz="4" w:space="0" w:color="auto"/>
              <w:right w:val="nil"/>
            </w:tcBorders>
            <w:noWrap/>
            <w:vAlign w:val="bottom"/>
            <w:hideMark/>
          </w:tcPr>
          <w:p w14:paraId="5D35EF38" w14:textId="77777777" w:rsidR="00F81087" w:rsidRPr="007B779F" w:rsidRDefault="00F81087" w:rsidP="007C17C6">
            <w:pPr>
              <w:jc w:val="right"/>
              <w:rPr>
                <w:rFonts w:ascii="Cambria" w:hAnsi="Cambria"/>
                <w:b/>
                <w:bCs/>
                <w:color w:val="000000"/>
                <w:sz w:val="20"/>
                <w:szCs w:val="20"/>
              </w:rPr>
            </w:pPr>
            <w:r w:rsidRPr="007B779F">
              <w:rPr>
                <w:rFonts w:ascii="Cambria" w:hAnsi="Cambria"/>
                <w:b/>
                <w:color w:val="000000"/>
                <w:sz w:val="20"/>
                <w:szCs w:val="20"/>
              </w:rPr>
              <w:t>671</w:t>
            </w:r>
          </w:p>
        </w:tc>
        <w:tc>
          <w:tcPr>
            <w:tcW w:w="1046" w:type="pct"/>
            <w:tcBorders>
              <w:top w:val="nil"/>
              <w:left w:val="nil"/>
              <w:bottom w:val="single" w:sz="4" w:space="0" w:color="auto"/>
              <w:right w:val="single" w:sz="4" w:space="0" w:color="auto"/>
            </w:tcBorders>
            <w:noWrap/>
            <w:vAlign w:val="bottom"/>
            <w:hideMark/>
          </w:tcPr>
          <w:p w14:paraId="79272D0E" w14:textId="77777777" w:rsidR="00F81087" w:rsidRPr="007B779F" w:rsidRDefault="00F81087" w:rsidP="007C17C6">
            <w:pPr>
              <w:jc w:val="right"/>
              <w:rPr>
                <w:rFonts w:ascii="Cambria" w:hAnsi="Cambria"/>
                <w:b/>
                <w:bCs/>
                <w:color w:val="000000"/>
                <w:sz w:val="20"/>
                <w:szCs w:val="20"/>
              </w:rPr>
            </w:pPr>
            <w:r w:rsidRPr="007B779F">
              <w:rPr>
                <w:rFonts w:ascii="Cambria" w:hAnsi="Cambria"/>
                <w:b/>
                <w:color w:val="000000"/>
                <w:sz w:val="20"/>
                <w:szCs w:val="20"/>
              </w:rPr>
              <w:t>251401</w:t>
            </w:r>
          </w:p>
        </w:tc>
      </w:tr>
    </w:tbl>
    <w:p w14:paraId="48939D41" w14:textId="77777777" w:rsidR="00F81087" w:rsidRPr="007B779F" w:rsidRDefault="00F81087" w:rsidP="00F81087">
      <w:pPr>
        <w:rPr>
          <w:rFonts w:ascii="Cambria" w:eastAsia="Cambria" w:hAnsi="Cambria" w:cs="Cambria"/>
          <w:sz w:val="20"/>
          <w:szCs w:val="20"/>
        </w:rPr>
      </w:pPr>
    </w:p>
    <w:p w14:paraId="620494C3" w14:textId="77777777" w:rsidR="00F81087" w:rsidRPr="00F81087" w:rsidRDefault="00F81087" w:rsidP="00F81087">
      <w:pPr>
        <w:jc w:val="both"/>
        <w:rPr>
          <w:rFonts w:ascii="Cambria" w:hAnsi="Cambria"/>
          <w:sz w:val="20"/>
          <w:szCs w:val="20"/>
          <w:lang w:val="fr-FR"/>
        </w:rPr>
      </w:pPr>
      <w:r w:rsidRPr="00F81087">
        <w:rPr>
          <w:rFonts w:ascii="Cambria" w:eastAsia="Cambria" w:hAnsi="Cambria" w:cs="Cambria"/>
          <w:sz w:val="20"/>
          <w:szCs w:val="20"/>
          <w:lang w:val="fr-FR"/>
        </w:rPr>
        <w:t>Le Comité a conclu que, bien que le système VMS reste la source d'informations de positionnement la plus fiable et la plus précise pour les navires de pêche, les données AIS pourraient constituer un complément utile aux efforts déployés par les CPC pour suivre et étudier l'activité des navires.</w:t>
      </w:r>
    </w:p>
    <w:p w14:paraId="64CBE7FC" w14:textId="77777777" w:rsidR="00F81087" w:rsidRPr="00F81087" w:rsidRDefault="00F81087" w:rsidP="00F81087">
      <w:pPr>
        <w:jc w:val="both"/>
        <w:rPr>
          <w:rFonts w:ascii="Cambria" w:hAnsi="Cambria"/>
          <w:sz w:val="20"/>
          <w:szCs w:val="20"/>
          <w:lang w:val="fr-FR"/>
        </w:rPr>
      </w:pPr>
    </w:p>
    <w:p w14:paraId="7D8FA501" w14:textId="77777777" w:rsidR="00F81087" w:rsidRPr="00F81087" w:rsidRDefault="00F81087" w:rsidP="00F81087">
      <w:pPr>
        <w:jc w:val="both"/>
        <w:rPr>
          <w:rFonts w:ascii="Cambria" w:eastAsia="Cambria" w:hAnsi="Cambria" w:cs="Cambria"/>
          <w:sz w:val="20"/>
          <w:szCs w:val="20"/>
          <w:lang w:val="fr-FR"/>
        </w:rPr>
      </w:pPr>
      <w:r w:rsidRPr="00F81087">
        <w:rPr>
          <w:rFonts w:ascii="Cambria" w:hAnsi="Cambria"/>
          <w:sz w:val="20"/>
          <w:lang w:val="fr-FR"/>
        </w:rPr>
        <w:t>Le Comité a conclu qu'en l'absence de rapports sur l'activité des navires, le système AIS peut s'avérer utile pour identifier l'activité des navires de pêche en mer. Toutefois, le système AIS présente certaines limites potentielles (par exemple, il n'est pas inviolable, la saisie des données se fait manuellement, etc.) qui nécessitent d'être soigneusement prises en compte lors de son utilisation.</w:t>
      </w:r>
    </w:p>
    <w:p w14:paraId="0ABA1E3D" w14:textId="77777777" w:rsidR="00F81087" w:rsidRPr="00F81087" w:rsidRDefault="00F81087" w:rsidP="00F81087">
      <w:pPr>
        <w:tabs>
          <w:tab w:val="left" w:pos="0"/>
          <w:tab w:val="left" w:pos="720"/>
          <w:tab w:val="right" w:pos="8505"/>
          <w:tab w:val="right" w:pos="9072"/>
        </w:tabs>
        <w:ind w:right="4"/>
        <w:jc w:val="both"/>
        <w:rPr>
          <w:rFonts w:ascii="Cambria" w:hAnsi="Cambria"/>
          <w:b/>
          <w:bCs/>
          <w:i/>
          <w:iCs/>
          <w:sz w:val="20"/>
          <w:szCs w:val="20"/>
          <w:lang w:val="fr-FR"/>
        </w:rPr>
      </w:pPr>
    </w:p>
    <w:p w14:paraId="2126BBD7" w14:textId="77777777" w:rsidR="00F81087" w:rsidRPr="00F81087" w:rsidRDefault="00F81087" w:rsidP="00F81087">
      <w:pPr>
        <w:tabs>
          <w:tab w:val="left" w:pos="0"/>
          <w:tab w:val="left" w:pos="720"/>
          <w:tab w:val="right" w:pos="8505"/>
          <w:tab w:val="right" w:pos="9072"/>
        </w:tabs>
        <w:ind w:right="4"/>
        <w:jc w:val="both"/>
        <w:rPr>
          <w:rFonts w:ascii="Cambria" w:hAnsi="Cambria"/>
          <w:i/>
          <w:color w:val="000000"/>
          <w:sz w:val="20"/>
          <w:szCs w:val="20"/>
          <w:lang w:val="fr-FR"/>
        </w:rPr>
      </w:pPr>
      <w:r w:rsidRPr="00F81087">
        <w:rPr>
          <w:rFonts w:ascii="Cambria" w:hAnsi="Cambria"/>
          <w:b/>
          <w:bCs/>
          <w:i/>
          <w:iCs/>
          <w:sz w:val="20"/>
          <w:szCs w:val="20"/>
          <w:lang w:val="fr-FR"/>
        </w:rPr>
        <w:t>19.40 Le SCRS formulera un avis sur les LRP finaux pour le thon obèse, l'albacore et le stock oriental de listao de l'Atlantique,</w:t>
      </w:r>
      <w:r w:rsidRPr="00F81087">
        <w:rPr>
          <w:rFonts w:ascii="Cambria" w:hAnsi="Cambria"/>
          <w:sz w:val="20"/>
          <w:szCs w:val="20"/>
          <w:lang w:val="fr-FR"/>
        </w:rPr>
        <w:t xml:space="preserve"> </w:t>
      </w:r>
      <w:hyperlink r:id="rId19" w:history="1">
        <w:r w:rsidRPr="00F81087">
          <w:rPr>
            <w:rStyle w:val="Hyperlink"/>
            <w:rFonts w:ascii="Cambria" w:hAnsi="Cambria"/>
            <w:b/>
            <w:i/>
            <w:sz w:val="20"/>
            <w:szCs w:val="20"/>
            <w:u w:val="none"/>
            <w:lang w:val="fr-FR"/>
          </w:rPr>
          <w:t>Rés. 24-02</w:t>
        </w:r>
      </w:hyperlink>
      <w:r w:rsidRPr="00F81087">
        <w:rPr>
          <w:rFonts w:ascii="Cambria" w:hAnsi="Cambria"/>
          <w:b/>
          <w:i/>
          <w:sz w:val="20"/>
          <w:szCs w:val="20"/>
          <w:lang w:val="fr-FR"/>
        </w:rPr>
        <w:t>,</w:t>
      </w:r>
      <w:r w:rsidRPr="00F81087">
        <w:rPr>
          <w:rFonts w:ascii="Cambria" w:hAnsi="Cambria"/>
          <w:b/>
          <w:i/>
          <w:color w:val="000000"/>
          <w:sz w:val="20"/>
          <w:szCs w:val="20"/>
          <w:lang w:val="fr-FR"/>
        </w:rPr>
        <w:t xml:space="preserve"> </w:t>
      </w:r>
      <w:r w:rsidRPr="00F81087">
        <w:rPr>
          <w:rFonts w:ascii="Cambria" w:hAnsi="Cambria"/>
          <w:b/>
          <w:bCs/>
          <w:i/>
          <w:iCs/>
          <w:sz w:val="20"/>
          <w:szCs w:val="20"/>
          <w:lang w:val="fr-FR"/>
        </w:rPr>
        <w:t>paragraphe</w:t>
      </w:r>
      <w:r w:rsidRPr="00F81087">
        <w:rPr>
          <w:rFonts w:ascii="Cambria" w:hAnsi="Cambria"/>
          <w:b/>
          <w:i/>
          <w:color w:val="000000"/>
          <w:sz w:val="20"/>
          <w:szCs w:val="20"/>
          <w:lang w:val="fr-FR"/>
        </w:rPr>
        <w:t xml:space="preserve"> 2 </w:t>
      </w:r>
    </w:p>
    <w:p w14:paraId="6600EAFD" w14:textId="77777777" w:rsidR="00F81087" w:rsidRPr="00F81087" w:rsidRDefault="00F81087" w:rsidP="00F81087">
      <w:pPr>
        <w:tabs>
          <w:tab w:val="left" w:pos="0"/>
          <w:tab w:val="left" w:pos="720"/>
          <w:tab w:val="right" w:pos="8505"/>
          <w:tab w:val="right" w:pos="9072"/>
        </w:tabs>
        <w:ind w:right="4"/>
        <w:jc w:val="both"/>
        <w:rPr>
          <w:rFonts w:ascii="Cambria" w:eastAsia="Cambria" w:hAnsi="Cambria" w:cs="Cambria"/>
          <w:b/>
          <w:iCs/>
          <w:color w:val="000000"/>
          <w:sz w:val="20"/>
          <w:szCs w:val="20"/>
          <w:lang w:val="fr-FR"/>
        </w:rPr>
      </w:pPr>
    </w:p>
    <w:p w14:paraId="4C43DB7A" w14:textId="77777777" w:rsidR="00F81087" w:rsidRPr="00F81087" w:rsidRDefault="00F81087" w:rsidP="00F81087">
      <w:pPr>
        <w:jc w:val="both"/>
        <w:rPr>
          <w:rFonts w:ascii="Cambria" w:eastAsia="Cambria" w:hAnsi="Cambria" w:cs="Cambria"/>
          <w:i/>
          <w:iCs/>
          <w:color w:val="000000"/>
          <w:sz w:val="20"/>
          <w:szCs w:val="20"/>
          <w:lang w:val="fr-FR"/>
        </w:rPr>
      </w:pPr>
      <w:r w:rsidRPr="00F81087">
        <w:rPr>
          <w:rFonts w:ascii="Cambria" w:hAnsi="Cambria"/>
          <w:b/>
          <w:color w:val="000000"/>
          <w:sz w:val="20"/>
          <w:szCs w:val="20"/>
          <w:lang w:val="fr-FR"/>
        </w:rPr>
        <w:t xml:space="preserve">Contexte : </w:t>
      </w:r>
      <w:r w:rsidRPr="00F81087">
        <w:rPr>
          <w:rFonts w:ascii="Cambria" w:hAnsi="Cambria"/>
          <w:i/>
          <w:color w:val="000000"/>
          <w:sz w:val="20"/>
          <w:szCs w:val="20"/>
          <w:lang w:val="fr-FR"/>
        </w:rPr>
        <w:t>Lorsqu’il évaluera la situation des stocks et qu’il formulera des recommandations de gestion à la Commission, le SCRS devra tenir compte du point de référence limite (« LRP ») provisoire de 0,4*B</w:t>
      </w:r>
      <w:r w:rsidRPr="00F81087">
        <w:rPr>
          <w:rFonts w:ascii="Cambria" w:hAnsi="Cambria"/>
          <w:i/>
          <w:color w:val="000000"/>
          <w:sz w:val="20"/>
          <w:szCs w:val="20"/>
          <w:vertAlign w:val="subscript"/>
          <w:lang w:val="fr-FR"/>
        </w:rPr>
        <w:t>PME</w:t>
      </w:r>
      <w:r w:rsidRPr="00F81087">
        <w:rPr>
          <w:rFonts w:ascii="Cambria" w:hAnsi="Cambria"/>
          <w:i/>
          <w:color w:val="000000"/>
          <w:sz w:val="20"/>
          <w:szCs w:val="20"/>
          <w:lang w:val="fr-FR"/>
        </w:rPr>
        <w:t xml:space="preserve"> pour</w:t>
      </w:r>
      <w:r w:rsidRPr="00F81087">
        <w:rPr>
          <w:rFonts w:ascii="Cambria" w:hAnsi="Cambria"/>
          <w:i/>
          <w:color w:val="000000"/>
          <w:sz w:val="20"/>
          <w:szCs w:val="20"/>
          <w:vertAlign w:val="subscript"/>
          <w:lang w:val="fr-FR"/>
        </w:rPr>
        <w:t xml:space="preserve"> </w:t>
      </w:r>
      <w:r w:rsidRPr="00F81087">
        <w:rPr>
          <w:rFonts w:ascii="Cambria" w:hAnsi="Cambria"/>
          <w:i/>
          <w:color w:val="000000"/>
          <w:sz w:val="20"/>
          <w:szCs w:val="20"/>
          <w:lang w:val="fr-FR"/>
        </w:rPr>
        <w:t xml:space="preserve">le thon obèse, l'albacore et le stock oriental de listao de l'Atlantique. </w:t>
      </w:r>
      <w:r w:rsidRPr="00F81087">
        <w:rPr>
          <w:rFonts w:ascii="Cambria" w:hAnsi="Cambria"/>
          <w:i/>
          <w:sz w:val="20"/>
          <w:szCs w:val="20"/>
          <w:lang w:val="fr-FR"/>
        </w:rPr>
        <w:t>Le SCRS formulera un avis sur les LRP finaux pour le thon obèse, l'albacore et le stock oriental de listao de l'Atlantique.</w:t>
      </w:r>
    </w:p>
    <w:p w14:paraId="6247C2EA" w14:textId="77777777" w:rsidR="00F81087" w:rsidRPr="00F81087" w:rsidRDefault="00F81087" w:rsidP="00F81087">
      <w:pPr>
        <w:jc w:val="both"/>
        <w:rPr>
          <w:rFonts w:ascii="Cambria" w:hAnsi="Cambria"/>
          <w:sz w:val="20"/>
          <w:szCs w:val="20"/>
          <w:lang w:val="fr-FR"/>
        </w:rPr>
      </w:pPr>
    </w:p>
    <w:p w14:paraId="760D84EA" w14:textId="77777777" w:rsidR="00F81087" w:rsidRPr="00F81087" w:rsidRDefault="00F81087" w:rsidP="00F81087">
      <w:pPr>
        <w:jc w:val="both"/>
        <w:rPr>
          <w:rFonts w:ascii="Cambria" w:hAnsi="Cambria"/>
          <w:sz w:val="20"/>
          <w:szCs w:val="20"/>
          <w:lang w:val="fr-FR"/>
        </w:rPr>
      </w:pPr>
      <w:r w:rsidRPr="00F81087">
        <w:rPr>
          <w:rFonts w:ascii="Cambria" w:hAnsi="Cambria"/>
          <w:sz w:val="20"/>
          <w:szCs w:val="20"/>
          <w:lang w:val="fr-FR"/>
        </w:rPr>
        <w:t>La MSE multi-stocks est construite sur la base du point de référence limite provisoire (LRP) de 0,4*B</w:t>
      </w:r>
      <w:r w:rsidRPr="00F81087">
        <w:rPr>
          <w:rFonts w:ascii="Cambria" w:hAnsi="Cambria"/>
          <w:sz w:val="20"/>
          <w:szCs w:val="20"/>
          <w:vertAlign w:val="subscript"/>
          <w:lang w:val="fr-FR"/>
        </w:rPr>
        <w:t>PME</w:t>
      </w:r>
      <w:r w:rsidRPr="00F81087">
        <w:rPr>
          <w:rFonts w:ascii="Cambria" w:hAnsi="Cambria"/>
          <w:sz w:val="20"/>
          <w:szCs w:val="20"/>
          <w:lang w:val="fr-FR"/>
        </w:rPr>
        <w:t xml:space="preserve"> comme indiqué par la Commission dans la </w:t>
      </w:r>
      <w:hyperlink r:id="rId20" w:history="1">
        <w:r w:rsidRPr="00F81087">
          <w:rPr>
            <w:rStyle w:val="Hyperlink"/>
            <w:rFonts w:ascii="Cambria" w:hAnsi="Cambria"/>
            <w:i/>
            <w:iCs/>
            <w:sz w:val="20"/>
            <w:szCs w:val="20"/>
            <w:u w:val="none"/>
            <w:lang w:val="fr-FR"/>
          </w:rPr>
          <w:t xml:space="preserve">Résolution de l’ICCAT sur les objectifs de gestion opérationnels provisoires pour le thon obèse, l’albacore et le stock oriental de listao de l'Atlantique </w:t>
        </w:r>
        <w:r w:rsidRPr="00F81087">
          <w:rPr>
            <w:rStyle w:val="Hyperlink"/>
            <w:rFonts w:ascii="Cambria" w:hAnsi="Cambria"/>
            <w:sz w:val="20"/>
            <w:szCs w:val="20"/>
            <w:u w:val="none"/>
            <w:lang w:val="fr-FR"/>
          </w:rPr>
          <w:t>(Rés. 24-02</w:t>
        </w:r>
      </w:hyperlink>
      <w:r w:rsidRPr="00F81087">
        <w:rPr>
          <w:rFonts w:ascii="Cambria" w:hAnsi="Cambria"/>
          <w:sz w:val="20"/>
          <w:szCs w:val="20"/>
          <w:lang w:val="fr-FR"/>
        </w:rPr>
        <w:t xml:space="preserve">). </w:t>
      </w:r>
      <w:r w:rsidRPr="00F81087">
        <w:rPr>
          <w:rFonts w:ascii="Cambria" w:hAnsi="Cambria"/>
          <w:sz w:val="20"/>
          <w:szCs w:val="20"/>
          <w:lang w:val="fr-FR"/>
        </w:rPr>
        <w:tab/>
      </w:r>
    </w:p>
    <w:p w14:paraId="7FB0F326" w14:textId="77777777" w:rsidR="00F81087" w:rsidRPr="00F81087" w:rsidRDefault="00F81087" w:rsidP="00F81087">
      <w:pPr>
        <w:pBdr>
          <w:top w:val="nil"/>
          <w:left w:val="nil"/>
          <w:bottom w:val="nil"/>
          <w:right w:val="nil"/>
          <w:between w:val="nil"/>
        </w:pBdr>
        <w:jc w:val="both"/>
        <w:rPr>
          <w:rFonts w:ascii="Cambria" w:hAnsi="Cambria"/>
          <w:b/>
          <w:i/>
          <w:color w:val="000000"/>
          <w:sz w:val="20"/>
          <w:szCs w:val="20"/>
          <w:lang w:val="fr-FR"/>
        </w:rPr>
      </w:pPr>
    </w:p>
    <w:p w14:paraId="426CF99B" w14:textId="77777777" w:rsidR="00F81087" w:rsidRPr="00F81087" w:rsidRDefault="00F81087" w:rsidP="00F81087">
      <w:pPr>
        <w:tabs>
          <w:tab w:val="left" w:pos="0"/>
          <w:tab w:val="left" w:pos="720"/>
          <w:tab w:val="right" w:pos="8505"/>
          <w:tab w:val="right" w:pos="9072"/>
        </w:tabs>
        <w:ind w:right="4"/>
        <w:jc w:val="both"/>
        <w:rPr>
          <w:rFonts w:ascii="Cambria" w:eastAsia="Cambria" w:hAnsi="Cambria" w:cs="Cambria"/>
          <w:b/>
          <w:i/>
          <w:iCs/>
          <w:color w:val="000000"/>
          <w:sz w:val="20"/>
          <w:szCs w:val="20"/>
          <w:lang w:val="fr-FR"/>
        </w:rPr>
      </w:pPr>
      <w:r w:rsidRPr="00F81087">
        <w:rPr>
          <w:rFonts w:ascii="Cambria" w:hAnsi="Cambria"/>
          <w:b/>
          <w:bCs/>
          <w:i/>
          <w:iCs/>
          <w:color w:val="000000"/>
          <w:sz w:val="20"/>
          <w:szCs w:val="20"/>
          <w:lang w:val="fr-FR"/>
        </w:rPr>
        <w:t>19.41 Le SCRS évaluera les impacts différentiels des opérations de pêche sur l'ensemble de la gamme du stock, y compris sur la mortalité des juvéniles et la production au niveau de la PME, ainsi que d'autres impacts de ces pêcheries, y compris les impacts sur les prises accessoires, les impacts sur l'écosystème et les impacts socio-économiques</w:t>
      </w:r>
      <w:r w:rsidRPr="00F81087">
        <w:rPr>
          <w:rFonts w:ascii="Cambria" w:hAnsi="Cambria"/>
          <w:color w:val="000000"/>
          <w:sz w:val="20"/>
          <w:szCs w:val="20"/>
          <w:lang w:val="fr-FR"/>
        </w:rPr>
        <w:t xml:space="preserve">, </w:t>
      </w:r>
      <w:hyperlink r:id="rId21" w:history="1">
        <w:r w:rsidRPr="00F81087">
          <w:rPr>
            <w:rStyle w:val="Hyperlink"/>
            <w:rFonts w:ascii="Cambria" w:hAnsi="Cambria"/>
            <w:b/>
            <w:i/>
            <w:sz w:val="20"/>
            <w:szCs w:val="20"/>
            <w:u w:val="none"/>
            <w:lang w:val="fr-FR"/>
          </w:rPr>
          <w:t>Rés. 24-02</w:t>
        </w:r>
      </w:hyperlink>
      <w:r w:rsidRPr="00F81087">
        <w:rPr>
          <w:rFonts w:ascii="Cambria" w:hAnsi="Cambria"/>
          <w:b/>
          <w:i/>
          <w:sz w:val="20"/>
          <w:szCs w:val="20"/>
          <w:lang w:val="fr-FR"/>
        </w:rPr>
        <w:t>,</w:t>
      </w:r>
      <w:r w:rsidRPr="00F81087">
        <w:rPr>
          <w:rFonts w:ascii="Cambria" w:hAnsi="Cambria"/>
          <w:b/>
          <w:i/>
          <w:color w:val="000000"/>
          <w:sz w:val="20"/>
          <w:szCs w:val="20"/>
          <w:lang w:val="fr-FR"/>
        </w:rPr>
        <w:t xml:space="preserve"> </w:t>
      </w:r>
      <w:r w:rsidRPr="00F81087">
        <w:rPr>
          <w:rFonts w:ascii="Cambria" w:hAnsi="Cambria"/>
          <w:b/>
          <w:bCs/>
          <w:i/>
          <w:iCs/>
          <w:sz w:val="20"/>
          <w:szCs w:val="20"/>
          <w:lang w:val="fr-FR"/>
        </w:rPr>
        <w:t>paragraphe</w:t>
      </w:r>
      <w:r w:rsidRPr="00F81087">
        <w:rPr>
          <w:rFonts w:ascii="Cambria" w:hAnsi="Cambria"/>
          <w:b/>
          <w:i/>
          <w:color w:val="000000"/>
          <w:sz w:val="20"/>
          <w:szCs w:val="20"/>
          <w:lang w:val="fr-FR"/>
        </w:rPr>
        <w:t xml:space="preserve"> 4</w:t>
      </w:r>
    </w:p>
    <w:p w14:paraId="69B09270" w14:textId="77777777" w:rsidR="00F81087" w:rsidRPr="00F81087" w:rsidRDefault="00F81087" w:rsidP="00F81087">
      <w:pPr>
        <w:tabs>
          <w:tab w:val="left" w:pos="0"/>
          <w:tab w:val="left" w:pos="720"/>
          <w:tab w:val="right" w:pos="8505"/>
          <w:tab w:val="right" w:pos="9072"/>
        </w:tabs>
        <w:ind w:right="4"/>
        <w:jc w:val="both"/>
        <w:rPr>
          <w:rFonts w:ascii="Cambria" w:eastAsia="Cambria" w:hAnsi="Cambria" w:cs="Cambria"/>
          <w:b/>
          <w:i/>
          <w:iCs/>
          <w:color w:val="000000"/>
          <w:sz w:val="20"/>
          <w:szCs w:val="20"/>
          <w:lang w:val="fr-FR"/>
        </w:rPr>
      </w:pPr>
    </w:p>
    <w:p w14:paraId="35EEB871" w14:textId="77777777" w:rsidR="00F81087" w:rsidRPr="00F81087" w:rsidRDefault="00F81087" w:rsidP="00F81087">
      <w:pPr>
        <w:pBdr>
          <w:top w:val="nil"/>
          <w:left w:val="nil"/>
          <w:bottom w:val="nil"/>
          <w:right w:val="nil"/>
          <w:between w:val="nil"/>
        </w:pBdr>
        <w:jc w:val="both"/>
        <w:rPr>
          <w:rFonts w:ascii="Cambria" w:eastAsia="Cambria" w:hAnsi="Cambria" w:cs="Cambria"/>
          <w:i/>
          <w:iCs/>
          <w:color w:val="000000"/>
          <w:sz w:val="20"/>
          <w:szCs w:val="20"/>
          <w:lang w:val="fr-FR"/>
        </w:rPr>
      </w:pPr>
      <w:r w:rsidRPr="00F81087">
        <w:rPr>
          <w:rFonts w:ascii="Cambria" w:hAnsi="Cambria"/>
          <w:b/>
          <w:color w:val="000000"/>
          <w:sz w:val="20"/>
          <w:szCs w:val="20"/>
          <w:lang w:val="fr-FR"/>
        </w:rPr>
        <w:t xml:space="preserve">Contexte : </w:t>
      </w:r>
      <w:r w:rsidRPr="00F81087">
        <w:rPr>
          <w:rFonts w:ascii="Cambria" w:hAnsi="Cambria"/>
          <w:i/>
          <w:sz w:val="20"/>
          <w:szCs w:val="20"/>
          <w:lang w:val="fr-FR"/>
        </w:rPr>
        <w:t>Dans le cadre de l'élaboration des modèles opérationnels pour la MSE multi-stocks pour les thonidés tropicaux, la Commission</w:t>
      </w:r>
      <w:r w:rsidRPr="00F81087">
        <w:rPr>
          <w:rFonts w:ascii="Cambria" w:hAnsi="Cambria"/>
          <w:sz w:val="20"/>
          <w:szCs w:val="20"/>
          <w:lang w:val="fr-FR"/>
        </w:rPr>
        <w:t xml:space="preserve"> </w:t>
      </w:r>
      <w:r w:rsidRPr="00F81087">
        <w:rPr>
          <w:rFonts w:ascii="Cambria" w:hAnsi="Cambria"/>
          <w:color w:val="000000"/>
          <w:sz w:val="20"/>
          <w:szCs w:val="20"/>
          <w:lang w:val="fr-FR"/>
        </w:rPr>
        <w:t xml:space="preserve">demande au SCRS, conformément au </w:t>
      </w:r>
      <w:r w:rsidRPr="00F81087">
        <w:rPr>
          <w:rFonts w:ascii="Cambria" w:hAnsi="Cambria"/>
          <w:sz w:val="20"/>
          <w:szCs w:val="20"/>
          <w:lang w:val="fr-FR"/>
        </w:rPr>
        <w:t>paragraphe 75 de la</w:t>
      </w:r>
      <w:r w:rsidRPr="00F81087">
        <w:rPr>
          <w:rFonts w:ascii="Cambria" w:hAnsi="Cambria"/>
          <w:i/>
          <w:sz w:val="20"/>
          <w:szCs w:val="20"/>
          <w:lang w:val="fr-FR"/>
        </w:rPr>
        <w:t xml:space="preserve"> </w:t>
      </w:r>
      <w:hyperlink r:id="rId22" w:history="1"/>
      <w:r w:rsidRPr="00F81087">
        <w:rPr>
          <w:rFonts w:ascii="Cambria" w:hAnsi="Cambria"/>
          <w:i/>
          <w:sz w:val="20"/>
          <w:szCs w:val="20"/>
          <w:lang w:val="fr-FR"/>
        </w:rPr>
        <w:t>Recommandation de l’ICCAT remplaçant la Recommandation 22-01 sur un programme pluriannuel de conservation et de gestion pour les thonidés tropicaux</w:t>
      </w:r>
      <w:hyperlink r:id="rId23" w:history="1"/>
      <w:r w:rsidRPr="00F81087">
        <w:rPr>
          <w:rFonts w:ascii="Cambria" w:hAnsi="Cambria"/>
          <w:sz w:val="20"/>
          <w:szCs w:val="20"/>
          <w:lang w:val="fr-FR"/>
        </w:rPr>
        <w:t xml:space="preserve"> </w:t>
      </w:r>
      <w:r w:rsidRPr="00F81087">
        <w:rPr>
          <w:rFonts w:ascii="Cambria" w:hAnsi="Cambria"/>
          <w:i/>
          <w:iCs/>
          <w:sz w:val="20"/>
          <w:szCs w:val="20"/>
          <w:lang w:val="fr-FR"/>
        </w:rPr>
        <w:t>(</w:t>
      </w:r>
      <w:r w:rsidRPr="00F81087">
        <w:rPr>
          <w:rFonts w:ascii="Cambria" w:hAnsi="Cambria"/>
          <w:i/>
          <w:iCs/>
          <w:color w:val="000000"/>
          <w:sz w:val="20"/>
          <w:szCs w:val="20"/>
          <w:lang w:val="fr-FR"/>
        </w:rPr>
        <w:t>Rec. 24-01), d’évaluer les impacts différentiels des opérations de pêche (par exemple, la senne, la palangre et la canne) sur l'ensemble de la gamme du stock, y compris sur la mortalité des juvéniles et la production au niveau de la PME, ainsi que d'autres impacts de ces pêcheries, y compris les impacts sur les prises accessoires, les impacts sur l'écosystème et les impacts socio-économiques.</w:t>
      </w:r>
    </w:p>
    <w:p w14:paraId="22269427" w14:textId="77777777" w:rsidR="00F81087" w:rsidRPr="00F81087" w:rsidRDefault="00F81087" w:rsidP="00F81087">
      <w:pPr>
        <w:tabs>
          <w:tab w:val="left" w:pos="0"/>
          <w:tab w:val="left" w:pos="720"/>
          <w:tab w:val="right" w:pos="8505"/>
          <w:tab w:val="right" w:pos="9072"/>
        </w:tabs>
        <w:ind w:right="4"/>
        <w:jc w:val="both"/>
        <w:rPr>
          <w:rFonts w:ascii="Cambria" w:eastAsia="Cambria" w:hAnsi="Cambria" w:cs="Cambria"/>
          <w:b/>
          <w:color w:val="000000"/>
          <w:sz w:val="20"/>
          <w:szCs w:val="20"/>
          <w:lang w:val="fr-FR"/>
        </w:rPr>
      </w:pPr>
    </w:p>
    <w:p w14:paraId="3D0E727C" w14:textId="77777777" w:rsidR="00F81087" w:rsidRPr="00F81087" w:rsidRDefault="00F81087" w:rsidP="00F81087">
      <w:pPr>
        <w:jc w:val="both"/>
        <w:rPr>
          <w:rFonts w:ascii="Cambria" w:hAnsi="Cambria"/>
          <w:color w:val="000000"/>
          <w:sz w:val="20"/>
          <w:lang w:val="fr-FR"/>
        </w:rPr>
      </w:pPr>
      <w:r w:rsidRPr="00F81087">
        <w:rPr>
          <w:rFonts w:ascii="Cambria" w:hAnsi="Cambria"/>
          <w:color w:val="000000"/>
          <w:sz w:val="20"/>
          <w:lang w:val="fr-FR"/>
        </w:rPr>
        <w:t xml:space="preserve">En examinant les résultats de la PME pour une seule espèce, le Comité a pris note de la portée plus large de la demande de la Commission et, en particulier, du caractère </w:t>
      </w:r>
      <w:proofErr w:type="spellStart"/>
      <w:r w:rsidRPr="00F81087">
        <w:rPr>
          <w:rFonts w:ascii="Cambria" w:hAnsi="Cambria"/>
          <w:color w:val="000000"/>
          <w:sz w:val="20"/>
          <w:lang w:val="fr-FR"/>
        </w:rPr>
        <w:t>multispécifique</w:t>
      </w:r>
      <w:proofErr w:type="spellEnd"/>
      <w:r w:rsidRPr="00F81087">
        <w:rPr>
          <w:rFonts w:ascii="Cambria" w:hAnsi="Cambria"/>
          <w:color w:val="000000"/>
          <w:sz w:val="20"/>
          <w:lang w:val="fr-FR"/>
        </w:rPr>
        <w:t xml:space="preserve"> des pêcheries de thonidés tropicaux. Le Comité a constaté que, souvent, ces trois espèces sont capturées ensemble dans les pêcheries de surface, et que le thon obèse et l’albacore sont couramment capturés ensemble dans les pêcheries palangrières. Par ailleurs, il a été reconnu que d'autres espèces, qui préoccupent la Commission, sont </w:t>
      </w:r>
      <w:r w:rsidRPr="00F81087">
        <w:rPr>
          <w:rFonts w:ascii="Cambria" w:hAnsi="Cambria"/>
          <w:color w:val="000000"/>
          <w:sz w:val="20"/>
          <w:lang w:val="fr-FR"/>
        </w:rPr>
        <w:lastRenderedPageBreak/>
        <w:t>capturées accidentellement dans ces pêcheries. Les mesures envisagées pour une espèce pourraient entraîner des répercussions sur d’autres espèces, notamment des répercussions socio-économiques. Cela souligne l'importance de prendre en compte à la fois les impacts sur une seule espèce et ceux sur plusieurs espèces des opérations de pêche.</w:t>
      </w:r>
    </w:p>
    <w:p w14:paraId="6E4AE279" w14:textId="77777777" w:rsidR="00F81087" w:rsidRPr="00F81087" w:rsidRDefault="00F81087" w:rsidP="00F81087">
      <w:pPr>
        <w:jc w:val="both"/>
        <w:rPr>
          <w:rFonts w:ascii="Cambria" w:eastAsia="Aptos" w:hAnsi="Cambria" w:cs="Aptos"/>
          <w:color w:val="000000"/>
          <w:sz w:val="20"/>
          <w:szCs w:val="20"/>
          <w:lang w:val="fr-FR"/>
        </w:rPr>
      </w:pPr>
    </w:p>
    <w:p w14:paraId="49DF3D95" w14:textId="77777777" w:rsidR="00F81087" w:rsidRPr="00F81087" w:rsidRDefault="00F81087" w:rsidP="00F81087">
      <w:pPr>
        <w:jc w:val="both"/>
        <w:rPr>
          <w:rFonts w:ascii="Cambria" w:eastAsia="Aptos" w:hAnsi="Cambria" w:cs="Aptos"/>
          <w:color w:val="000000"/>
          <w:sz w:val="20"/>
          <w:szCs w:val="20"/>
          <w:lang w:val="fr-FR"/>
        </w:rPr>
      </w:pPr>
      <w:r w:rsidRPr="00F81087">
        <w:rPr>
          <w:rFonts w:ascii="Cambria" w:hAnsi="Cambria"/>
          <w:color w:val="000000"/>
          <w:sz w:val="20"/>
          <w:szCs w:val="20"/>
          <w:lang w:val="fr-FR"/>
        </w:rPr>
        <w:t>L'évaluation des impacts différentiels des opérations de pêche sur les stocks de thonidés tropicaux, y compris la mortalité́ des juvéniles et la production au niveau de la PME, sera évaluée dans le cadre de la MSE multi-stocks pour les thonidés tropicaux.</w:t>
      </w:r>
    </w:p>
    <w:p w14:paraId="144A6043" w14:textId="77777777" w:rsidR="00F81087" w:rsidRPr="00F81087" w:rsidRDefault="00F81087" w:rsidP="00F81087">
      <w:pPr>
        <w:jc w:val="both"/>
        <w:rPr>
          <w:rFonts w:ascii="Cambria" w:eastAsia="Aptos" w:hAnsi="Cambria" w:cs="Aptos"/>
          <w:color w:val="000000"/>
          <w:sz w:val="20"/>
          <w:szCs w:val="20"/>
          <w:lang w:val="fr-FR"/>
        </w:rPr>
      </w:pPr>
    </w:p>
    <w:p w14:paraId="045BA9BC" w14:textId="77777777" w:rsidR="00F81087" w:rsidRPr="00F81087" w:rsidRDefault="00F81087" w:rsidP="00F81087">
      <w:pPr>
        <w:jc w:val="both"/>
        <w:rPr>
          <w:rFonts w:ascii="Cambria" w:eastAsia="Aptos" w:hAnsi="Cambria" w:cs="Aptos"/>
          <w:color w:val="000000"/>
          <w:sz w:val="20"/>
          <w:szCs w:val="20"/>
          <w:lang w:val="fr-FR"/>
        </w:rPr>
      </w:pPr>
      <w:r w:rsidRPr="00F81087">
        <w:rPr>
          <w:rFonts w:ascii="Cambria" w:hAnsi="Cambria"/>
          <w:color w:val="000000"/>
          <w:sz w:val="20"/>
          <w:szCs w:val="20"/>
          <w:lang w:val="fr-FR"/>
        </w:rPr>
        <w:t xml:space="preserve">Lauretta </w:t>
      </w:r>
      <w:r w:rsidRPr="00F81087">
        <w:rPr>
          <w:rFonts w:ascii="Cambria" w:hAnsi="Cambria"/>
          <w:i/>
          <w:color w:val="000000"/>
          <w:sz w:val="20"/>
          <w:szCs w:val="20"/>
          <w:lang w:val="fr-FR"/>
        </w:rPr>
        <w:t>et al.</w:t>
      </w:r>
      <w:r w:rsidRPr="00F81087">
        <w:rPr>
          <w:rFonts w:ascii="Cambria" w:hAnsi="Cambria"/>
          <w:color w:val="000000"/>
          <w:sz w:val="20"/>
          <w:szCs w:val="20"/>
          <w:lang w:val="fr-FR"/>
        </w:rPr>
        <w:t>, (sous presse) (SCRS/2026/239) ont évalué les tendances historiques de la PME pour sept stocks de thonidés de l'Atlantique, y compris les quatre thonidés tropicaux, en s'appuyant sur les évaluations de stocks adoptées pour chaque espèce.  L'analyse a mis en évidence une baisse à long terme de la PME pour le thon obèse et l’albacore (</w:t>
      </w:r>
      <w:r w:rsidRPr="00F81087">
        <w:rPr>
          <w:rFonts w:ascii="Cambria" w:hAnsi="Cambria"/>
          <w:b/>
          <w:color w:val="000000"/>
          <w:sz w:val="20"/>
          <w:szCs w:val="20"/>
          <w:lang w:val="fr-FR"/>
        </w:rPr>
        <w:t>tableau 19.41.1</w:t>
      </w:r>
      <w:r w:rsidRPr="00F81087">
        <w:rPr>
          <w:rFonts w:ascii="Cambria" w:hAnsi="Cambria"/>
          <w:color w:val="000000"/>
          <w:sz w:val="20"/>
          <w:szCs w:val="20"/>
          <w:lang w:val="fr-FR"/>
        </w:rPr>
        <w:t>), associée à une augmentation de la proportion en nombres de juvéniles dans les captures. Il convient de noter que les juvéniles représentaient plus de 90% des captures d'albacore en nombre de poissons ces dernières années, ce qui a conduit à une PME qui se situe actuellement à un niveau proche de son plus bas historique, soit environ 60% de l'estimation de la PME maximale (</w:t>
      </w:r>
      <w:r w:rsidRPr="00F81087">
        <w:rPr>
          <w:rFonts w:ascii="Cambria" w:hAnsi="Cambria"/>
          <w:b/>
          <w:color w:val="000000"/>
          <w:sz w:val="20"/>
          <w:szCs w:val="20"/>
          <w:lang w:val="fr-FR"/>
        </w:rPr>
        <w:t>figure 19.41.1</w:t>
      </w:r>
      <w:r w:rsidRPr="00F81087">
        <w:rPr>
          <w:rFonts w:ascii="Cambria" w:hAnsi="Cambria"/>
          <w:color w:val="000000"/>
          <w:sz w:val="20"/>
          <w:szCs w:val="20"/>
          <w:lang w:val="fr-FR"/>
        </w:rPr>
        <w:t xml:space="preserve">). Les résultats ont montré que la PME constitue une référence variable susceptible d’être considérablement réduite ou augmentée au fil du temps, en fonction de l’évolution de la sélectivité de la flottille et de la composition par âge globale des captures. On a indiqué également que les niveaux de capture durables actuels pourraient différer considérablement des moyennes historiques, en particulier pour les espèces de grande taille qui grandissent rapidement au cours de leurs premières années de vie et qui ont été soumises à une mortalité par pêche élevée des juvéniles, comme l’albacore de l'Atlantique et le thon obèse. </w:t>
      </w:r>
      <w:r w:rsidRPr="00F81087">
        <w:rPr>
          <w:rFonts w:ascii="Cambria" w:hAnsi="Cambria"/>
          <w:color w:val="000000"/>
          <w:sz w:val="20"/>
          <w:lang w:val="fr-FR"/>
        </w:rPr>
        <w:t>Le Comité a suggéré de mener la même analyse pour l'ensemble des configurations du modèle pour chaque stock.</w:t>
      </w:r>
    </w:p>
    <w:p w14:paraId="4B8B3809" w14:textId="77777777" w:rsidR="00F81087" w:rsidRPr="00F81087" w:rsidRDefault="00F81087" w:rsidP="00F81087">
      <w:pPr>
        <w:jc w:val="both"/>
        <w:rPr>
          <w:rFonts w:ascii="Cambria" w:eastAsia="Aptos" w:hAnsi="Cambria" w:cs="Aptos"/>
          <w:color w:val="000000"/>
          <w:sz w:val="20"/>
          <w:szCs w:val="20"/>
          <w:lang w:val="fr-FR"/>
        </w:rPr>
      </w:pPr>
    </w:p>
    <w:p w14:paraId="36F18796" w14:textId="77777777" w:rsidR="00F81087" w:rsidRPr="00F81087" w:rsidRDefault="00F81087" w:rsidP="00F81087">
      <w:pPr>
        <w:jc w:val="both"/>
        <w:rPr>
          <w:rFonts w:ascii="Cambria" w:hAnsi="Cambria"/>
          <w:color w:val="000000"/>
          <w:sz w:val="20"/>
          <w:szCs w:val="20"/>
          <w:lang w:val="fr-FR"/>
        </w:rPr>
      </w:pPr>
      <w:r w:rsidRPr="00F81087">
        <w:rPr>
          <w:rFonts w:ascii="Cambria" w:hAnsi="Cambria"/>
          <w:b/>
          <w:color w:val="000000"/>
          <w:sz w:val="20"/>
          <w:szCs w:val="20"/>
          <w:lang w:val="fr-FR"/>
        </w:rPr>
        <w:t>Tableau 19.41.1.</w:t>
      </w:r>
      <w:r w:rsidRPr="00F81087">
        <w:rPr>
          <w:rFonts w:ascii="Cambria" w:hAnsi="Cambria"/>
          <w:color w:val="000000"/>
          <w:sz w:val="20"/>
          <w:szCs w:val="20"/>
          <w:lang w:val="fr-FR"/>
        </w:rPr>
        <w:t xml:space="preserve"> Statistiques récapitulatives de la production maximale équilibrée (PME) des stocks de thonidés de l'Atlantique, estimées pour la période allant de 1975 à l'année terminale du cas de base des récentes évaluations de stocks.</w:t>
      </w:r>
    </w:p>
    <w:p w14:paraId="6AEB68EB" w14:textId="77777777" w:rsidR="00F81087" w:rsidRPr="00F81087" w:rsidRDefault="00F81087" w:rsidP="00F81087">
      <w:pPr>
        <w:jc w:val="both"/>
        <w:rPr>
          <w:rFonts w:ascii="Cambria" w:hAnsi="Cambria"/>
          <w:color w:val="000000"/>
          <w:sz w:val="20"/>
          <w:szCs w:val="20"/>
          <w:lang w:val="fr-FR"/>
        </w:rPr>
      </w:pPr>
    </w:p>
    <w:tbl>
      <w:tblPr>
        <w:tblW w:w="9172" w:type="dxa"/>
        <w:tblCellMar>
          <w:left w:w="0" w:type="dxa"/>
          <w:right w:w="0" w:type="dxa"/>
        </w:tblCellMar>
        <w:tblLook w:val="04A0" w:firstRow="1" w:lastRow="0" w:firstColumn="1" w:lastColumn="0" w:noHBand="0" w:noVBand="1"/>
      </w:tblPr>
      <w:tblGrid>
        <w:gridCol w:w="532"/>
        <w:gridCol w:w="1357"/>
        <w:gridCol w:w="1027"/>
        <w:gridCol w:w="1109"/>
        <w:gridCol w:w="701"/>
        <w:gridCol w:w="1136"/>
        <w:gridCol w:w="727"/>
        <w:gridCol w:w="1233"/>
        <w:gridCol w:w="1350"/>
      </w:tblGrid>
      <w:tr w:rsidR="00F81087" w:rsidRPr="007B779F" w14:paraId="40B2E064" w14:textId="77777777" w:rsidTr="007C17C6">
        <w:trPr>
          <w:trHeight w:val="540"/>
        </w:trPr>
        <w:tc>
          <w:tcPr>
            <w:tcW w:w="0" w:type="auto"/>
            <w:tcBorders>
              <w:top w:val="single" w:sz="6" w:space="0" w:color="000000"/>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642500FF" w14:textId="77777777" w:rsidR="00F81087" w:rsidRPr="007B779F" w:rsidRDefault="00F81087" w:rsidP="007C17C6">
            <w:pPr>
              <w:jc w:val="both"/>
              <w:rPr>
                <w:rFonts w:ascii="Cambria" w:eastAsia="Aptos" w:hAnsi="Cambria" w:cs="Aptos"/>
                <w:i/>
                <w:iCs/>
                <w:color w:val="000000"/>
                <w:sz w:val="16"/>
                <w:szCs w:val="16"/>
              </w:rPr>
            </w:pPr>
            <w:r w:rsidRPr="007B779F">
              <w:rPr>
                <w:rFonts w:ascii="Cambria" w:hAnsi="Cambria"/>
                <w:i/>
                <w:iCs/>
                <w:color w:val="000000"/>
                <w:sz w:val="16"/>
                <w:szCs w:val="16"/>
              </w:rPr>
              <w:t>Stock</w:t>
            </w:r>
          </w:p>
        </w:tc>
        <w:tc>
          <w:tcPr>
            <w:tcW w:w="0" w:type="auto"/>
            <w:tcBorders>
              <w:top w:val="single" w:sz="6" w:space="0" w:color="000000"/>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7AA419C3" w14:textId="77777777" w:rsidR="00F81087" w:rsidRPr="007B779F" w:rsidRDefault="00F81087" w:rsidP="007C17C6">
            <w:pPr>
              <w:jc w:val="center"/>
              <w:rPr>
                <w:rFonts w:ascii="Cambria" w:eastAsia="Aptos" w:hAnsi="Cambria" w:cs="Aptos"/>
                <w:i/>
                <w:iCs/>
                <w:color w:val="000000"/>
                <w:sz w:val="16"/>
                <w:szCs w:val="16"/>
              </w:rPr>
            </w:pPr>
            <w:proofErr w:type="spellStart"/>
            <w:r w:rsidRPr="007B779F">
              <w:rPr>
                <w:rFonts w:ascii="Cambria" w:hAnsi="Cambria"/>
                <w:i/>
                <w:iCs/>
                <w:color w:val="000000"/>
                <w:sz w:val="16"/>
                <w:szCs w:val="16"/>
              </w:rPr>
              <w:t>Production</w:t>
            </w:r>
            <w:proofErr w:type="spellEnd"/>
            <w:r w:rsidRPr="007B779F">
              <w:rPr>
                <w:rFonts w:ascii="Cambria" w:hAnsi="Cambria"/>
                <w:i/>
                <w:iCs/>
                <w:color w:val="000000"/>
                <w:sz w:val="16"/>
                <w:szCs w:val="16"/>
              </w:rPr>
              <w:t xml:space="preserve"> </w:t>
            </w:r>
            <w:proofErr w:type="spellStart"/>
            <w:r w:rsidRPr="007B779F">
              <w:rPr>
                <w:rFonts w:ascii="Cambria" w:hAnsi="Cambria"/>
                <w:i/>
                <w:iCs/>
                <w:color w:val="000000"/>
                <w:sz w:val="16"/>
                <w:szCs w:val="16"/>
              </w:rPr>
              <w:t>actuelle</w:t>
            </w:r>
            <w:proofErr w:type="spellEnd"/>
            <w:r w:rsidRPr="007B779F">
              <w:rPr>
                <w:rFonts w:ascii="Cambria" w:hAnsi="Cambria"/>
                <w:i/>
                <w:iCs/>
                <w:color w:val="000000"/>
                <w:sz w:val="16"/>
                <w:szCs w:val="16"/>
              </w:rPr>
              <w:t xml:space="preserve"> (t)</w:t>
            </w:r>
          </w:p>
        </w:tc>
        <w:tc>
          <w:tcPr>
            <w:tcW w:w="0" w:type="auto"/>
            <w:tcBorders>
              <w:top w:val="single" w:sz="6" w:space="0" w:color="000000"/>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047D59F6" w14:textId="77777777" w:rsidR="00F81087" w:rsidRPr="007B779F" w:rsidRDefault="00F81087" w:rsidP="007C17C6">
            <w:pPr>
              <w:jc w:val="center"/>
              <w:rPr>
                <w:rFonts w:ascii="Cambria" w:eastAsia="Aptos" w:hAnsi="Cambria" w:cs="Aptos"/>
                <w:i/>
                <w:iCs/>
                <w:color w:val="000000"/>
                <w:sz w:val="16"/>
                <w:szCs w:val="16"/>
              </w:rPr>
            </w:pPr>
            <w:r w:rsidRPr="007B779F">
              <w:rPr>
                <w:rFonts w:ascii="Cambria" w:hAnsi="Cambria"/>
                <w:i/>
                <w:iCs/>
                <w:color w:val="000000"/>
                <w:sz w:val="16"/>
                <w:szCs w:val="16"/>
              </w:rPr>
              <w:t xml:space="preserve">PME </w:t>
            </w:r>
            <w:proofErr w:type="spellStart"/>
            <w:r w:rsidRPr="007B779F">
              <w:rPr>
                <w:rFonts w:ascii="Cambria" w:hAnsi="Cambria"/>
                <w:i/>
                <w:iCs/>
                <w:color w:val="000000"/>
                <w:sz w:val="16"/>
                <w:szCs w:val="16"/>
              </w:rPr>
              <w:t>actuelle</w:t>
            </w:r>
            <w:proofErr w:type="spellEnd"/>
            <w:r w:rsidRPr="007B779F">
              <w:rPr>
                <w:rFonts w:ascii="Cambria" w:hAnsi="Cambria"/>
                <w:i/>
                <w:iCs/>
                <w:color w:val="000000"/>
                <w:sz w:val="16"/>
                <w:szCs w:val="16"/>
              </w:rPr>
              <w:t xml:space="preserve"> (t)</w:t>
            </w:r>
          </w:p>
        </w:tc>
        <w:tc>
          <w:tcPr>
            <w:tcW w:w="0" w:type="auto"/>
            <w:tcBorders>
              <w:top w:val="single" w:sz="6" w:space="0" w:color="000000"/>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57F0D941" w14:textId="77777777" w:rsidR="00F81087" w:rsidRPr="007B779F" w:rsidRDefault="00F81087" w:rsidP="007C17C6">
            <w:pPr>
              <w:jc w:val="center"/>
              <w:rPr>
                <w:rFonts w:ascii="Cambria" w:eastAsia="Aptos" w:hAnsi="Cambria" w:cs="Aptos"/>
                <w:i/>
                <w:iCs/>
                <w:color w:val="000000"/>
                <w:sz w:val="16"/>
                <w:szCs w:val="16"/>
              </w:rPr>
            </w:pPr>
            <w:r w:rsidRPr="007B779F">
              <w:rPr>
                <w:rFonts w:ascii="Cambria" w:hAnsi="Cambria"/>
                <w:i/>
                <w:iCs/>
                <w:color w:val="000000"/>
                <w:sz w:val="16"/>
                <w:szCs w:val="16"/>
              </w:rPr>
              <w:t xml:space="preserve">PME </w:t>
            </w:r>
            <w:proofErr w:type="spellStart"/>
            <w:r w:rsidRPr="007B779F">
              <w:rPr>
                <w:rFonts w:ascii="Cambria" w:hAnsi="Cambria"/>
                <w:i/>
                <w:iCs/>
                <w:color w:val="000000"/>
                <w:sz w:val="16"/>
                <w:szCs w:val="16"/>
              </w:rPr>
              <w:t>minimum</w:t>
            </w:r>
            <w:proofErr w:type="spellEnd"/>
            <w:r w:rsidRPr="007B779F">
              <w:rPr>
                <w:rFonts w:ascii="Cambria" w:hAnsi="Cambria"/>
                <w:i/>
                <w:iCs/>
                <w:color w:val="000000"/>
                <w:sz w:val="16"/>
                <w:szCs w:val="16"/>
              </w:rPr>
              <w:t xml:space="preserve"> (t)</w:t>
            </w:r>
          </w:p>
        </w:tc>
        <w:tc>
          <w:tcPr>
            <w:tcW w:w="0" w:type="auto"/>
            <w:tcBorders>
              <w:top w:val="single" w:sz="6" w:space="0" w:color="000000"/>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4DCB76DE" w14:textId="77777777" w:rsidR="00F81087" w:rsidRPr="007B779F" w:rsidRDefault="00F81087" w:rsidP="007C17C6">
            <w:pPr>
              <w:jc w:val="center"/>
              <w:rPr>
                <w:rFonts w:ascii="Cambria" w:eastAsia="Aptos" w:hAnsi="Cambria" w:cs="Aptos"/>
                <w:i/>
                <w:iCs/>
                <w:color w:val="000000"/>
                <w:sz w:val="16"/>
                <w:szCs w:val="16"/>
              </w:rPr>
            </w:pPr>
            <w:proofErr w:type="spellStart"/>
            <w:r w:rsidRPr="007B779F">
              <w:rPr>
                <w:rFonts w:ascii="Cambria" w:hAnsi="Cambria"/>
                <w:i/>
                <w:iCs/>
                <w:color w:val="000000"/>
                <w:sz w:val="16"/>
                <w:szCs w:val="16"/>
              </w:rPr>
              <w:t>Année</w:t>
            </w:r>
            <w:proofErr w:type="spellEnd"/>
            <w:r w:rsidRPr="007B779F">
              <w:rPr>
                <w:rFonts w:ascii="Cambria" w:hAnsi="Cambria"/>
                <w:i/>
                <w:iCs/>
                <w:color w:val="000000"/>
                <w:sz w:val="16"/>
                <w:szCs w:val="16"/>
              </w:rPr>
              <w:t xml:space="preserve"> Min</w:t>
            </w:r>
          </w:p>
        </w:tc>
        <w:tc>
          <w:tcPr>
            <w:tcW w:w="0" w:type="auto"/>
            <w:tcBorders>
              <w:top w:val="single" w:sz="6" w:space="0" w:color="000000"/>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119BFDD7" w14:textId="77777777" w:rsidR="00F81087" w:rsidRPr="007B779F" w:rsidRDefault="00F81087" w:rsidP="007C17C6">
            <w:pPr>
              <w:jc w:val="center"/>
              <w:rPr>
                <w:rFonts w:ascii="Cambria" w:eastAsia="Aptos" w:hAnsi="Cambria" w:cs="Aptos"/>
                <w:i/>
                <w:iCs/>
                <w:color w:val="000000"/>
                <w:sz w:val="16"/>
                <w:szCs w:val="16"/>
              </w:rPr>
            </w:pPr>
            <w:r w:rsidRPr="007B779F">
              <w:rPr>
                <w:rFonts w:ascii="Cambria" w:hAnsi="Cambria"/>
                <w:i/>
                <w:iCs/>
                <w:color w:val="000000"/>
                <w:sz w:val="16"/>
                <w:szCs w:val="16"/>
              </w:rPr>
              <w:t xml:space="preserve">PME </w:t>
            </w:r>
            <w:proofErr w:type="spellStart"/>
            <w:r w:rsidRPr="007B779F">
              <w:rPr>
                <w:rFonts w:ascii="Cambria" w:hAnsi="Cambria"/>
                <w:i/>
                <w:iCs/>
                <w:color w:val="000000"/>
                <w:sz w:val="16"/>
                <w:szCs w:val="16"/>
              </w:rPr>
              <w:t>maximum</w:t>
            </w:r>
            <w:proofErr w:type="spellEnd"/>
            <w:r w:rsidRPr="007B779F">
              <w:rPr>
                <w:rFonts w:ascii="Cambria" w:hAnsi="Cambria"/>
                <w:i/>
                <w:iCs/>
                <w:color w:val="000000"/>
                <w:sz w:val="16"/>
                <w:szCs w:val="16"/>
              </w:rPr>
              <w:t xml:space="preserve"> (t)</w:t>
            </w:r>
          </w:p>
        </w:tc>
        <w:tc>
          <w:tcPr>
            <w:tcW w:w="0" w:type="auto"/>
            <w:tcBorders>
              <w:top w:val="single" w:sz="6" w:space="0" w:color="000000"/>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2865D6C2" w14:textId="77777777" w:rsidR="00F81087" w:rsidRPr="007B779F" w:rsidRDefault="00F81087" w:rsidP="007C17C6">
            <w:pPr>
              <w:jc w:val="center"/>
              <w:rPr>
                <w:rFonts w:ascii="Cambria" w:eastAsia="Aptos" w:hAnsi="Cambria" w:cs="Aptos"/>
                <w:i/>
                <w:iCs/>
                <w:color w:val="000000"/>
                <w:sz w:val="16"/>
                <w:szCs w:val="16"/>
              </w:rPr>
            </w:pPr>
            <w:proofErr w:type="spellStart"/>
            <w:r w:rsidRPr="007B779F">
              <w:rPr>
                <w:rFonts w:ascii="Cambria" w:hAnsi="Cambria"/>
                <w:i/>
                <w:iCs/>
                <w:color w:val="000000"/>
                <w:sz w:val="16"/>
                <w:szCs w:val="16"/>
              </w:rPr>
              <w:t>Année</w:t>
            </w:r>
            <w:proofErr w:type="spellEnd"/>
            <w:r w:rsidRPr="007B779F">
              <w:rPr>
                <w:rFonts w:ascii="Cambria" w:hAnsi="Cambria"/>
                <w:i/>
                <w:iCs/>
                <w:color w:val="000000"/>
                <w:sz w:val="16"/>
                <w:szCs w:val="16"/>
              </w:rPr>
              <w:t xml:space="preserve"> Max</w:t>
            </w:r>
          </w:p>
        </w:tc>
        <w:tc>
          <w:tcPr>
            <w:tcW w:w="1233" w:type="dxa"/>
            <w:tcBorders>
              <w:top w:val="single" w:sz="6" w:space="0" w:color="000000"/>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65EC860C" w14:textId="77777777" w:rsidR="00F81087" w:rsidRPr="00F81087" w:rsidRDefault="00F81087" w:rsidP="007C17C6">
            <w:pPr>
              <w:jc w:val="center"/>
              <w:rPr>
                <w:rFonts w:ascii="Cambria" w:eastAsia="Aptos" w:hAnsi="Cambria" w:cs="Aptos"/>
                <w:i/>
                <w:iCs/>
                <w:color w:val="000000"/>
                <w:sz w:val="16"/>
                <w:szCs w:val="16"/>
                <w:lang w:val="fr-FR"/>
              </w:rPr>
            </w:pPr>
            <w:r w:rsidRPr="00F81087">
              <w:rPr>
                <w:rFonts w:ascii="Cambria" w:hAnsi="Cambria"/>
                <w:i/>
                <w:iCs/>
                <w:color w:val="000000"/>
                <w:sz w:val="16"/>
                <w:szCs w:val="16"/>
                <w:lang w:val="fr-FR"/>
              </w:rPr>
              <w:t>PME max - PME min (t)</w:t>
            </w:r>
          </w:p>
        </w:tc>
        <w:tc>
          <w:tcPr>
            <w:tcW w:w="1350" w:type="dxa"/>
            <w:tcBorders>
              <w:top w:val="single" w:sz="6" w:space="0" w:color="000000"/>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3DDF75B1" w14:textId="77777777" w:rsidR="00F81087" w:rsidRPr="007B779F" w:rsidRDefault="00F81087" w:rsidP="007C17C6">
            <w:pPr>
              <w:jc w:val="center"/>
              <w:rPr>
                <w:rFonts w:ascii="Cambria" w:eastAsia="Aptos" w:hAnsi="Cambria" w:cs="Aptos"/>
                <w:i/>
                <w:iCs/>
                <w:color w:val="000000"/>
                <w:sz w:val="16"/>
                <w:szCs w:val="16"/>
              </w:rPr>
            </w:pPr>
            <w:r w:rsidRPr="007B779F">
              <w:rPr>
                <w:rFonts w:ascii="Cambria" w:hAnsi="Cambria"/>
                <w:i/>
                <w:iCs/>
                <w:color w:val="000000"/>
                <w:sz w:val="16"/>
                <w:szCs w:val="16"/>
              </w:rPr>
              <w:t xml:space="preserve">PME </w:t>
            </w:r>
            <w:proofErr w:type="spellStart"/>
            <w:proofErr w:type="gramStart"/>
            <w:r w:rsidRPr="007B779F">
              <w:rPr>
                <w:rFonts w:ascii="Cambria" w:hAnsi="Cambria"/>
                <w:i/>
                <w:iCs/>
                <w:color w:val="000000"/>
                <w:sz w:val="16"/>
                <w:szCs w:val="16"/>
              </w:rPr>
              <w:t>actuelle</w:t>
            </w:r>
            <w:proofErr w:type="spellEnd"/>
            <w:r w:rsidRPr="007B779F">
              <w:rPr>
                <w:rFonts w:ascii="Cambria" w:hAnsi="Cambria"/>
                <w:i/>
                <w:iCs/>
                <w:color w:val="000000"/>
                <w:sz w:val="16"/>
                <w:szCs w:val="16"/>
              </w:rPr>
              <w:t xml:space="preserve"> :</w:t>
            </w:r>
            <w:proofErr w:type="gramEnd"/>
            <w:r w:rsidRPr="007B779F">
              <w:rPr>
                <w:rFonts w:ascii="Cambria" w:hAnsi="Cambria"/>
                <w:i/>
                <w:iCs/>
                <w:color w:val="000000"/>
                <w:sz w:val="16"/>
                <w:szCs w:val="16"/>
              </w:rPr>
              <w:t xml:space="preserve"> PME </w:t>
            </w:r>
            <w:proofErr w:type="spellStart"/>
            <w:r w:rsidRPr="007B779F">
              <w:rPr>
                <w:rFonts w:ascii="Cambria" w:hAnsi="Cambria"/>
                <w:i/>
                <w:iCs/>
                <w:color w:val="000000"/>
                <w:sz w:val="16"/>
                <w:szCs w:val="16"/>
              </w:rPr>
              <w:t>max</w:t>
            </w:r>
            <w:proofErr w:type="spellEnd"/>
            <w:r w:rsidRPr="007B779F">
              <w:rPr>
                <w:rFonts w:ascii="Cambria" w:hAnsi="Cambria"/>
                <w:i/>
                <w:iCs/>
                <w:color w:val="000000"/>
                <w:sz w:val="16"/>
                <w:szCs w:val="16"/>
              </w:rPr>
              <w:t xml:space="preserve"> (%)</w:t>
            </w:r>
          </w:p>
        </w:tc>
      </w:tr>
      <w:tr w:rsidR="00F81087" w:rsidRPr="007B779F" w14:paraId="5B7B9772" w14:textId="77777777" w:rsidTr="007C17C6">
        <w:trPr>
          <w:trHeight w:val="240"/>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957350C" w14:textId="77777777" w:rsidR="00F81087" w:rsidRPr="007B779F" w:rsidRDefault="00F81087" w:rsidP="007C17C6">
            <w:pPr>
              <w:jc w:val="both"/>
              <w:rPr>
                <w:rFonts w:ascii="Cambria" w:eastAsia="Aptos" w:hAnsi="Cambria" w:cs="Aptos"/>
                <w:color w:val="000000"/>
                <w:sz w:val="18"/>
                <w:szCs w:val="18"/>
              </w:rPr>
            </w:pPr>
            <w:r w:rsidRPr="007B779F">
              <w:rPr>
                <w:rFonts w:ascii="Cambria" w:hAnsi="Cambria"/>
                <w:color w:val="000000"/>
                <w:sz w:val="18"/>
                <w:szCs w:val="18"/>
              </w:rPr>
              <w:t>BET</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119AC33C"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 xml:space="preserve">51.052 </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79409F46"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 xml:space="preserve">88.889 </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3F2B2F66"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 xml:space="preserve">84.684 </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76C63657"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2014</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2D1FA317"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 xml:space="preserve">107.385 </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31C06A05"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1.977</w:t>
            </w:r>
          </w:p>
        </w:tc>
        <w:tc>
          <w:tcPr>
            <w:tcW w:w="123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3DB0124A"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 xml:space="preserve">22.701 </w:t>
            </w:r>
          </w:p>
        </w:tc>
        <w:tc>
          <w:tcPr>
            <w:tcW w:w="135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26BA7DDF"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83%</w:t>
            </w:r>
          </w:p>
        </w:tc>
      </w:tr>
      <w:tr w:rsidR="00F81087" w:rsidRPr="007B779F" w14:paraId="157B69C9" w14:textId="77777777" w:rsidTr="007C17C6">
        <w:trPr>
          <w:trHeight w:val="240"/>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F6DDC89" w14:textId="77777777" w:rsidR="00F81087" w:rsidRPr="007B779F" w:rsidRDefault="00F81087" w:rsidP="007C17C6">
            <w:pPr>
              <w:jc w:val="both"/>
              <w:rPr>
                <w:rFonts w:ascii="Cambria" w:eastAsia="Aptos" w:hAnsi="Cambria" w:cs="Aptos"/>
                <w:color w:val="000000"/>
                <w:sz w:val="18"/>
                <w:szCs w:val="18"/>
              </w:rPr>
            </w:pPr>
            <w:r w:rsidRPr="007B779F">
              <w:rPr>
                <w:rFonts w:ascii="Cambria" w:hAnsi="Cambria"/>
                <w:color w:val="000000"/>
                <w:sz w:val="18"/>
                <w:szCs w:val="18"/>
              </w:rPr>
              <w:t>YFT</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24B251BB"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 xml:space="preserve">109.526 </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67F6443B"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 xml:space="preserve">124.274 </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6DA46858"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 xml:space="preserve">122.029 </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5743DACC"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2016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612DB46D"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 xml:space="preserve">208.298 </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316F9E27"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1987</w:t>
            </w:r>
          </w:p>
        </w:tc>
        <w:tc>
          <w:tcPr>
            <w:tcW w:w="123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22130EDE"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 xml:space="preserve">86.269 </w:t>
            </w:r>
          </w:p>
        </w:tc>
        <w:tc>
          <w:tcPr>
            <w:tcW w:w="135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502E262D"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60%</w:t>
            </w:r>
          </w:p>
        </w:tc>
      </w:tr>
      <w:tr w:rsidR="00F81087" w:rsidRPr="007B779F" w14:paraId="0E2EF757" w14:textId="77777777" w:rsidTr="007C17C6">
        <w:trPr>
          <w:trHeight w:val="240"/>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A960AE7" w14:textId="77777777" w:rsidR="00F81087" w:rsidRPr="007B779F" w:rsidRDefault="00F81087" w:rsidP="007C17C6">
            <w:pPr>
              <w:jc w:val="both"/>
              <w:rPr>
                <w:rFonts w:ascii="Cambria" w:eastAsia="Aptos" w:hAnsi="Cambria" w:cs="Aptos"/>
                <w:color w:val="000000"/>
                <w:sz w:val="18"/>
                <w:szCs w:val="18"/>
              </w:rPr>
            </w:pPr>
            <w:r w:rsidRPr="007B779F">
              <w:rPr>
                <w:rFonts w:ascii="Cambria" w:hAnsi="Cambria"/>
                <w:color w:val="000000"/>
                <w:sz w:val="18"/>
                <w:szCs w:val="18"/>
              </w:rPr>
              <w:t>SKJE</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292D1351"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 xml:space="preserve">237.859 </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414AC445"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 xml:space="preserve">192.319 </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6C586D98"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 xml:space="preserve">192.319 </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17715AF4"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2020</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72BB0A7E"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 xml:space="preserve">207.712 </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0C8E8B66"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1984</w:t>
            </w:r>
          </w:p>
        </w:tc>
        <w:tc>
          <w:tcPr>
            <w:tcW w:w="123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538672D6"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 xml:space="preserve">15.393 </w:t>
            </w:r>
          </w:p>
        </w:tc>
        <w:tc>
          <w:tcPr>
            <w:tcW w:w="135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67F07114"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93%</w:t>
            </w:r>
          </w:p>
        </w:tc>
      </w:tr>
      <w:tr w:rsidR="00F81087" w:rsidRPr="007B779F" w14:paraId="57754452" w14:textId="77777777" w:rsidTr="007C17C6">
        <w:trPr>
          <w:trHeight w:val="240"/>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AD38DBC" w14:textId="77777777" w:rsidR="00F81087" w:rsidRPr="007B779F" w:rsidRDefault="00F81087" w:rsidP="007C17C6">
            <w:pPr>
              <w:jc w:val="both"/>
              <w:rPr>
                <w:rFonts w:ascii="Cambria" w:eastAsia="Aptos" w:hAnsi="Cambria" w:cs="Aptos"/>
                <w:color w:val="000000"/>
                <w:sz w:val="18"/>
                <w:szCs w:val="18"/>
              </w:rPr>
            </w:pPr>
            <w:r w:rsidRPr="007B779F">
              <w:rPr>
                <w:rFonts w:ascii="Cambria" w:hAnsi="Cambria"/>
                <w:color w:val="000000"/>
                <w:sz w:val="18"/>
                <w:szCs w:val="18"/>
              </w:rPr>
              <w:t>SKJW</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60F149ED"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 xml:space="preserve">23.005 </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23ADE0C4"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 xml:space="preserve">33.497 </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6094869C"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 xml:space="preserve">31.695 </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3CFCEC7C"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1984</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4E091468"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 xml:space="preserve">33.730 </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4D60BEEF"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2017</w:t>
            </w:r>
          </w:p>
        </w:tc>
        <w:tc>
          <w:tcPr>
            <w:tcW w:w="1233"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1389B8E9"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 xml:space="preserve">2.035 </w:t>
            </w:r>
          </w:p>
        </w:tc>
        <w:tc>
          <w:tcPr>
            <w:tcW w:w="135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25876D35"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99%</w:t>
            </w:r>
          </w:p>
        </w:tc>
      </w:tr>
      <w:tr w:rsidR="00F81087" w:rsidRPr="007B779F" w14:paraId="1B66F8FC" w14:textId="77777777" w:rsidTr="007C17C6">
        <w:trPr>
          <w:trHeight w:val="240"/>
        </w:trPr>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48CAF539" w14:textId="77777777" w:rsidR="00F81087" w:rsidRPr="007B779F" w:rsidRDefault="00F81087" w:rsidP="007C17C6">
            <w:pPr>
              <w:jc w:val="both"/>
              <w:rPr>
                <w:rFonts w:ascii="Cambria" w:eastAsia="Aptos" w:hAnsi="Cambria" w:cs="Aptos"/>
                <w:color w:val="000000"/>
                <w:sz w:val="18"/>
                <w:szCs w:val="18"/>
              </w:rPr>
            </w:pPr>
            <w:r w:rsidRPr="007B779F">
              <w:rPr>
                <w:rFonts w:ascii="Cambria" w:hAnsi="Cambria"/>
                <w:color w:val="000000"/>
                <w:sz w:val="18"/>
                <w:szCs w:val="18"/>
              </w:rPr>
              <w:t>ALBN</w:t>
            </w: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hideMark/>
          </w:tcPr>
          <w:p w14:paraId="2D2E7A14"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 xml:space="preserve">28.471 </w:t>
            </w: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hideMark/>
          </w:tcPr>
          <w:p w14:paraId="6B0E1A18"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 xml:space="preserve">42.270 </w:t>
            </w: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hideMark/>
          </w:tcPr>
          <w:p w14:paraId="170BF9D7"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 xml:space="preserve">42.188 </w:t>
            </w: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hideMark/>
          </w:tcPr>
          <w:p w14:paraId="417C6EF8"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2016</w:t>
            </w: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hideMark/>
          </w:tcPr>
          <w:p w14:paraId="5DB9ECF8"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 xml:space="preserve">42.687 </w:t>
            </w: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hideMark/>
          </w:tcPr>
          <w:p w14:paraId="40C4CDDF"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1984</w:t>
            </w:r>
          </w:p>
        </w:tc>
        <w:tc>
          <w:tcPr>
            <w:tcW w:w="1233"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hideMark/>
          </w:tcPr>
          <w:p w14:paraId="591AAD71"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 xml:space="preserve">499 </w:t>
            </w:r>
          </w:p>
        </w:tc>
        <w:tc>
          <w:tcPr>
            <w:tcW w:w="1350"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hideMark/>
          </w:tcPr>
          <w:p w14:paraId="6F7CA230" w14:textId="77777777" w:rsidR="00F81087" w:rsidRPr="007B779F" w:rsidRDefault="00F81087" w:rsidP="007C17C6">
            <w:pPr>
              <w:jc w:val="right"/>
              <w:rPr>
                <w:rFonts w:ascii="Cambria" w:eastAsia="Aptos" w:hAnsi="Cambria" w:cs="Aptos"/>
                <w:color w:val="000000"/>
                <w:sz w:val="18"/>
                <w:szCs w:val="18"/>
              </w:rPr>
            </w:pPr>
            <w:r w:rsidRPr="007B779F">
              <w:rPr>
                <w:rFonts w:ascii="Cambria" w:hAnsi="Cambria"/>
                <w:color w:val="000000"/>
                <w:sz w:val="18"/>
                <w:szCs w:val="18"/>
              </w:rPr>
              <w:t>99%</w:t>
            </w:r>
          </w:p>
        </w:tc>
      </w:tr>
    </w:tbl>
    <w:p w14:paraId="586AA49A" w14:textId="77777777" w:rsidR="00F81087" w:rsidRPr="007B779F" w:rsidRDefault="00F81087" w:rsidP="00F81087">
      <w:pPr>
        <w:rPr>
          <w:rFonts w:ascii="Cambria" w:hAnsi="Cambria"/>
          <w:color w:val="000000"/>
          <w:sz w:val="20"/>
          <w:szCs w:val="20"/>
        </w:rPr>
      </w:pPr>
    </w:p>
    <w:p w14:paraId="0E39859C" w14:textId="77777777" w:rsidR="00F81087" w:rsidRPr="00F81087" w:rsidRDefault="00F81087" w:rsidP="00F81087">
      <w:pPr>
        <w:jc w:val="both"/>
        <w:rPr>
          <w:rFonts w:ascii="Cambria" w:eastAsia="Aptos" w:hAnsi="Cambria" w:cs="Aptos"/>
          <w:color w:val="000000"/>
          <w:sz w:val="20"/>
          <w:szCs w:val="20"/>
          <w:lang w:val="fr-FR"/>
        </w:rPr>
      </w:pPr>
      <w:r w:rsidRPr="00F81087">
        <w:rPr>
          <w:rFonts w:ascii="Cambria" w:hAnsi="Cambria"/>
          <w:color w:val="000000"/>
          <w:sz w:val="20"/>
          <w:szCs w:val="20"/>
          <w:lang w:val="fr-FR"/>
        </w:rPr>
        <w:t xml:space="preserve">L'impact sur les prises accessoires et l'écosystème pourrait être étudié grâce à la mise au point d'un modèle </w:t>
      </w:r>
      <w:proofErr w:type="spellStart"/>
      <w:r w:rsidRPr="00F81087">
        <w:rPr>
          <w:rFonts w:ascii="Cambria" w:hAnsi="Cambria"/>
          <w:color w:val="000000"/>
          <w:sz w:val="20"/>
          <w:szCs w:val="20"/>
          <w:lang w:val="fr-FR"/>
        </w:rPr>
        <w:t>Ecopath</w:t>
      </w:r>
      <w:proofErr w:type="spellEnd"/>
      <w:r w:rsidRPr="00F81087">
        <w:rPr>
          <w:rFonts w:ascii="Cambria" w:hAnsi="Cambria"/>
          <w:color w:val="000000"/>
          <w:sz w:val="20"/>
          <w:szCs w:val="20"/>
          <w:lang w:val="fr-FR"/>
        </w:rPr>
        <w:t xml:space="preserve"> avec </w:t>
      </w:r>
      <w:proofErr w:type="spellStart"/>
      <w:r w:rsidRPr="00F81087">
        <w:rPr>
          <w:rFonts w:ascii="Cambria" w:hAnsi="Cambria"/>
          <w:color w:val="000000"/>
          <w:sz w:val="20"/>
          <w:szCs w:val="20"/>
          <w:lang w:val="fr-FR"/>
        </w:rPr>
        <w:t>EcoSim</w:t>
      </w:r>
      <w:proofErr w:type="spellEnd"/>
      <w:r w:rsidRPr="00F81087">
        <w:rPr>
          <w:rFonts w:ascii="Cambria" w:hAnsi="Cambria"/>
          <w:color w:val="000000"/>
          <w:sz w:val="20"/>
          <w:szCs w:val="20"/>
          <w:lang w:val="fr-FR"/>
        </w:rPr>
        <w:t xml:space="preserve">. Meléndez-Arteaga </w:t>
      </w:r>
      <w:r w:rsidRPr="00F81087">
        <w:rPr>
          <w:rFonts w:ascii="Cambria" w:hAnsi="Cambria"/>
          <w:i/>
          <w:iCs/>
          <w:color w:val="000000"/>
          <w:sz w:val="20"/>
          <w:szCs w:val="20"/>
          <w:lang w:val="fr-FR"/>
        </w:rPr>
        <w:t>et al.,</w:t>
      </w:r>
      <w:r w:rsidRPr="00F81087">
        <w:rPr>
          <w:rFonts w:ascii="Cambria" w:hAnsi="Cambria"/>
          <w:color w:val="000000"/>
          <w:sz w:val="20"/>
          <w:szCs w:val="20"/>
          <w:lang w:val="fr-FR"/>
        </w:rPr>
        <w:t xml:space="preserve"> (</w:t>
      </w:r>
      <w:hyperlink r:id="rId24" w:history="1">
        <w:r w:rsidRPr="00F81087">
          <w:rPr>
            <w:rStyle w:val="Hyperlink"/>
            <w:rFonts w:ascii="Cambria" w:hAnsi="Cambria"/>
            <w:sz w:val="20"/>
            <w:szCs w:val="20"/>
            <w:u w:val="none"/>
            <w:lang w:val="fr-FR"/>
          </w:rPr>
          <w:t>Anon., 2026</w:t>
        </w:r>
      </w:hyperlink>
      <w:r w:rsidRPr="00F81087">
        <w:rPr>
          <w:rFonts w:ascii="Cambria" w:hAnsi="Cambria"/>
          <w:color w:val="000000"/>
          <w:sz w:val="20"/>
          <w:szCs w:val="20"/>
          <w:lang w:val="fr-FR"/>
        </w:rPr>
        <w:t>) présentaient une synthèse des premières avancées vers un modèle intégré et fondé sur les écosystèmes pour l'océan Atlantique tropical. À l'heure actuelle, le modèle est capable de reproduire les tendances de la biomasse et des captures pour plusieurs espèces et groupes fonctionnels. Toutefois, des travaux supplémentaires sont nécessaires pour améliorer les performances du modèle et réduire les incertitudes.</w:t>
      </w:r>
    </w:p>
    <w:p w14:paraId="4FC76718" w14:textId="77777777" w:rsidR="00F81087" w:rsidRPr="00F81087" w:rsidRDefault="00F81087" w:rsidP="00F81087">
      <w:pPr>
        <w:jc w:val="both"/>
        <w:rPr>
          <w:rFonts w:ascii="Cambria" w:eastAsia="Aptos" w:hAnsi="Cambria" w:cs="Aptos"/>
          <w:color w:val="000000"/>
          <w:sz w:val="20"/>
          <w:szCs w:val="20"/>
          <w:lang w:val="fr-FR"/>
        </w:rPr>
      </w:pPr>
    </w:p>
    <w:p w14:paraId="2FCAF11E" w14:textId="77777777" w:rsidR="00F81087" w:rsidRPr="00F81087" w:rsidRDefault="00F81087" w:rsidP="00F81087">
      <w:pPr>
        <w:jc w:val="both"/>
        <w:rPr>
          <w:rFonts w:ascii="Cambria" w:hAnsi="Cambria"/>
          <w:color w:val="000000"/>
          <w:sz w:val="20"/>
          <w:szCs w:val="20"/>
          <w:lang w:val="fr-FR"/>
        </w:rPr>
      </w:pPr>
      <w:r w:rsidRPr="00F81087">
        <w:rPr>
          <w:rFonts w:ascii="Cambria" w:hAnsi="Cambria"/>
          <w:color w:val="000000"/>
          <w:sz w:val="20"/>
          <w:szCs w:val="20"/>
          <w:lang w:val="fr-FR"/>
        </w:rPr>
        <w:t>Le Comité a noté que la Commission pourrait envisager d’allouer des fonds à la réalisation d’une étude socio-économique visant à analyser les impacts de différents scénarios de gestion des thonidés tropicaux sur les CPC qui exploitent les pêcheries de thonidés tropicaux relevant de l’ICCAT ou qui en dépendent, et a convenu d’élaborer en 2027 des termes de référence et une estimation budgétaire en vue de la réalisation de ces travaux, qui seront soumis à l’examen de la Commission.</w:t>
      </w:r>
    </w:p>
    <w:p w14:paraId="1790C6DF" w14:textId="77777777" w:rsidR="00F81087" w:rsidRPr="00F81087" w:rsidRDefault="00F81087" w:rsidP="00F81087">
      <w:pPr>
        <w:jc w:val="both"/>
        <w:rPr>
          <w:rFonts w:ascii="Cambria" w:eastAsia="Aptos" w:hAnsi="Cambria" w:cs="Aptos"/>
          <w:color w:val="000000"/>
          <w:sz w:val="20"/>
          <w:szCs w:val="20"/>
          <w:lang w:val="fr-FR"/>
        </w:rPr>
      </w:pPr>
    </w:p>
    <w:p w14:paraId="282A0A9E" w14:textId="77777777" w:rsidR="00F81087" w:rsidRPr="007B779F" w:rsidRDefault="00F81087" w:rsidP="00F81087">
      <w:pPr>
        <w:jc w:val="center"/>
        <w:rPr>
          <w:rFonts w:ascii="Cambria" w:eastAsia="Aptos" w:hAnsi="Cambria" w:cs="Aptos"/>
          <w:color w:val="000000"/>
          <w:sz w:val="20"/>
          <w:szCs w:val="20"/>
        </w:rPr>
      </w:pPr>
      <w:r w:rsidRPr="007B779F">
        <w:rPr>
          <w:rFonts w:ascii="Cambria" w:hAnsi="Cambria"/>
          <w:noProof/>
          <w:sz w:val="20"/>
          <w:szCs w:val="20"/>
        </w:rPr>
        <w:lastRenderedPageBreak/>
        <w:drawing>
          <wp:inline distT="0" distB="0" distL="0" distR="0" wp14:anchorId="088B2227" wp14:editId="5CA9D5E8">
            <wp:extent cx="4459605" cy="4080164"/>
            <wp:effectExtent l="0" t="0" r="0" b="0"/>
            <wp:docPr id="550078498" name="Picture 1" descr="P277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078498" name="Picture 1" descr="P2778#yIS1"/>
                    <pic:cNvPicPr>
                      <a:picLocks noChangeAspect="1" noChangeArrowheads="1"/>
                    </pic:cNvPicPr>
                  </pic:nvPicPr>
                  <pic:blipFill rotWithShape="1">
                    <a:blip r:embed="rId25">
                      <a:extLst>
                        <a:ext uri="{28A0092B-C50C-407E-A947-70E740481C1C}">
                          <a14:useLocalDpi xmlns:a14="http://schemas.microsoft.com/office/drawing/2010/main" val="0"/>
                        </a:ext>
                      </a:extLst>
                    </a:blip>
                    <a:srcRect t="4187"/>
                    <a:stretch>
                      <a:fillRect/>
                    </a:stretch>
                  </pic:blipFill>
                  <pic:spPr bwMode="auto">
                    <a:xfrm>
                      <a:off x="0" y="0"/>
                      <a:ext cx="4465368" cy="4085436"/>
                    </a:xfrm>
                    <a:prstGeom prst="rect">
                      <a:avLst/>
                    </a:prstGeom>
                    <a:noFill/>
                    <a:ln>
                      <a:noFill/>
                    </a:ln>
                    <a:extLst>
                      <a:ext uri="{53640926-AAD7-44D8-BBD7-CCE9431645EC}">
                        <a14:shadowObscured xmlns:a14="http://schemas.microsoft.com/office/drawing/2010/main"/>
                      </a:ext>
                    </a:extLst>
                  </pic:spPr>
                </pic:pic>
              </a:graphicData>
            </a:graphic>
          </wp:inline>
        </w:drawing>
      </w:r>
    </w:p>
    <w:p w14:paraId="6FE60C50" w14:textId="77777777" w:rsidR="00F81087" w:rsidRPr="00F81087" w:rsidRDefault="00F81087" w:rsidP="00F81087">
      <w:pPr>
        <w:jc w:val="both"/>
        <w:rPr>
          <w:rFonts w:ascii="Cambria" w:eastAsia="Aptos" w:hAnsi="Cambria" w:cs="Aptos"/>
          <w:color w:val="000000"/>
          <w:sz w:val="20"/>
          <w:szCs w:val="20"/>
          <w:lang w:val="fr-FR"/>
        </w:rPr>
      </w:pPr>
      <w:r w:rsidRPr="00F81087">
        <w:rPr>
          <w:rFonts w:ascii="Cambria" w:hAnsi="Cambria"/>
          <w:b/>
          <w:color w:val="000000"/>
          <w:sz w:val="20"/>
          <w:szCs w:val="20"/>
          <w:lang w:val="fr-FR"/>
        </w:rPr>
        <w:t>Figure 19.41.1.</w:t>
      </w:r>
      <w:r w:rsidRPr="00F81087">
        <w:rPr>
          <w:rFonts w:ascii="Cambria" w:hAnsi="Cambria"/>
          <w:color w:val="000000"/>
          <w:sz w:val="20"/>
          <w:szCs w:val="20"/>
          <w:lang w:val="fr-FR"/>
        </w:rPr>
        <w:t xml:space="preserve"> Proportion estimée (en nombre de poissons) de juvéniles dans les captures de thonidés tropicaux de l'Atlantique (diagrammes de la colonne de gauche) au fil du temps, comparée aux estimations dynamiques dans le temps de la PME (diagrammes de la colonne de droite).</w:t>
      </w:r>
    </w:p>
    <w:p w14:paraId="67734CC0" w14:textId="77777777" w:rsidR="00F81087" w:rsidRPr="00F81087" w:rsidRDefault="00F81087" w:rsidP="00F81087">
      <w:pPr>
        <w:spacing w:after="160" w:line="259" w:lineRule="auto"/>
        <w:rPr>
          <w:rFonts w:ascii="Cambria" w:hAnsi="Cambria"/>
          <w:b/>
          <w:i/>
          <w:color w:val="000000"/>
          <w:sz w:val="20"/>
          <w:szCs w:val="20"/>
          <w:lang w:val="fr-FR"/>
        </w:rPr>
      </w:pPr>
    </w:p>
    <w:p w14:paraId="4D544CF9" w14:textId="77777777" w:rsidR="00F81087" w:rsidRPr="00F81087" w:rsidRDefault="00F81087" w:rsidP="00F81087">
      <w:pPr>
        <w:jc w:val="both"/>
        <w:rPr>
          <w:rFonts w:ascii="Cambria" w:hAnsi="Cambria"/>
          <w:b/>
          <w:i/>
          <w:sz w:val="20"/>
          <w:szCs w:val="20"/>
          <w:lang w:val="fr-FR"/>
        </w:rPr>
      </w:pPr>
      <w:r w:rsidRPr="00F81087">
        <w:rPr>
          <w:rFonts w:ascii="Cambria" w:hAnsi="Cambria"/>
          <w:b/>
          <w:i/>
          <w:color w:val="000000"/>
          <w:sz w:val="20"/>
          <w:szCs w:val="20"/>
          <w:lang w:val="fr-FR"/>
        </w:rPr>
        <w:t xml:space="preserve">19.42 La Sous-commission 1 formulera ses recommandations à la Commission pour examen afin de confirmer ou d’amender les objectifs de gestion pour le thon obèse, l’albacore et le stock oriental de listao de l'Atlantique, en tenant compte de la contribution du SCRS, dans le cadre de la sélection d'une procédure de gestion, à sa réunion annuelle de 2026, ou dès que possible par la suite. </w:t>
      </w:r>
      <w:r w:rsidRPr="00F81087">
        <w:rPr>
          <w:rFonts w:ascii="Cambria" w:hAnsi="Cambria"/>
          <w:b/>
          <w:bCs/>
          <w:i/>
          <w:iCs/>
          <w:sz w:val="20"/>
          <w:szCs w:val="20"/>
          <w:lang w:val="fr-FR"/>
        </w:rPr>
        <w:t>La Sous-commission 1 devrait examiner s’il conviendrait que les objectifs de gestion soient les mêmes pour les trois stocks ou si une approche asymétrique pour chaque stock serait plus appropriée</w:t>
      </w:r>
      <w:r w:rsidRPr="00F81087">
        <w:rPr>
          <w:rFonts w:ascii="Cambria" w:hAnsi="Cambria"/>
          <w:b/>
          <w:bCs/>
          <w:i/>
          <w:iCs/>
          <w:color w:val="000000"/>
          <w:sz w:val="20"/>
          <w:szCs w:val="20"/>
          <w:lang w:val="fr-FR"/>
        </w:rPr>
        <w:t xml:space="preserve">, </w:t>
      </w:r>
      <w:hyperlink r:id="rId26" w:history="1">
        <w:r w:rsidRPr="00F81087">
          <w:rPr>
            <w:rStyle w:val="Hyperlink"/>
            <w:rFonts w:ascii="Cambria" w:hAnsi="Cambria"/>
            <w:b/>
            <w:i/>
            <w:sz w:val="20"/>
            <w:szCs w:val="20"/>
            <w:u w:val="none"/>
            <w:lang w:val="fr-FR"/>
          </w:rPr>
          <w:t>Rés. 24-02</w:t>
        </w:r>
      </w:hyperlink>
      <w:r w:rsidRPr="00F81087">
        <w:rPr>
          <w:rFonts w:ascii="Cambria" w:hAnsi="Cambria"/>
          <w:b/>
          <w:i/>
          <w:sz w:val="20"/>
          <w:szCs w:val="20"/>
          <w:lang w:val="fr-FR"/>
        </w:rPr>
        <w:t xml:space="preserve">, </w:t>
      </w:r>
      <w:r w:rsidRPr="00F81087">
        <w:rPr>
          <w:rFonts w:ascii="Cambria" w:hAnsi="Cambria"/>
          <w:b/>
          <w:bCs/>
          <w:i/>
          <w:iCs/>
          <w:sz w:val="20"/>
          <w:szCs w:val="20"/>
          <w:lang w:val="fr-FR"/>
        </w:rPr>
        <w:t>paragraphe</w:t>
      </w:r>
      <w:r w:rsidRPr="00F81087">
        <w:rPr>
          <w:rFonts w:ascii="Cambria" w:hAnsi="Cambria"/>
          <w:b/>
          <w:bCs/>
          <w:i/>
          <w:iCs/>
          <w:color w:val="000000"/>
          <w:sz w:val="20"/>
          <w:szCs w:val="20"/>
          <w:lang w:val="fr-FR"/>
        </w:rPr>
        <w:t xml:space="preserve"> 6 </w:t>
      </w:r>
    </w:p>
    <w:p w14:paraId="3619C386" w14:textId="77777777" w:rsidR="00F81087" w:rsidRPr="00F81087" w:rsidRDefault="00F81087" w:rsidP="00F81087">
      <w:pPr>
        <w:jc w:val="both"/>
        <w:rPr>
          <w:rFonts w:ascii="Cambria" w:eastAsia="Aptos" w:hAnsi="Cambria" w:cs="Aptos"/>
          <w:b/>
          <w:bCs/>
          <w:color w:val="000000"/>
          <w:sz w:val="20"/>
          <w:szCs w:val="20"/>
          <w:lang w:val="fr-FR"/>
        </w:rPr>
      </w:pPr>
    </w:p>
    <w:p w14:paraId="156EC812" w14:textId="77777777" w:rsidR="00F81087" w:rsidRPr="00F81087" w:rsidRDefault="00F81087" w:rsidP="00F81087">
      <w:pPr>
        <w:jc w:val="both"/>
        <w:rPr>
          <w:rFonts w:ascii="Cambria" w:hAnsi="Cambria"/>
          <w:i/>
          <w:color w:val="000000"/>
          <w:sz w:val="20"/>
          <w:szCs w:val="20"/>
          <w:lang w:val="fr-FR"/>
        </w:rPr>
      </w:pPr>
      <w:r w:rsidRPr="00F81087">
        <w:rPr>
          <w:rFonts w:ascii="Cambria" w:hAnsi="Cambria"/>
          <w:b/>
          <w:color w:val="000000"/>
          <w:sz w:val="20"/>
          <w:szCs w:val="20"/>
          <w:lang w:val="fr-FR"/>
        </w:rPr>
        <w:t xml:space="preserve">Contexte : </w:t>
      </w:r>
      <w:r w:rsidRPr="00F81087">
        <w:rPr>
          <w:rFonts w:ascii="Cambria" w:hAnsi="Cambria"/>
          <w:i/>
          <w:color w:val="000000"/>
          <w:sz w:val="20"/>
          <w:szCs w:val="20"/>
          <w:lang w:val="fr-FR"/>
        </w:rPr>
        <w:t>La Sous-commission 1 formulera ses recommandations à la Commission pour examen afin de confirmer ou d’amender les objectifs de gestion pour le thon obèse, l’albacore et le stock oriental de listao de l'Atlantique, en tenant compte de la contribution du SCRS, dans le cadre de la sélection d'une procédure de gestion, à sa réunion annuelle de 2026, ou dès que possible par la suite. La Sous-commission 1 devrait examiner s’il conviendrait que les objectifs de gestion soient les mêmes pour les trois stocks ou si une approche asymétrique pour chaque stock serait plus appropriée.</w:t>
      </w:r>
    </w:p>
    <w:p w14:paraId="55FE0C97" w14:textId="77777777" w:rsidR="00F81087" w:rsidRPr="00F81087" w:rsidRDefault="00F81087" w:rsidP="00F81087">
      <w:pPr>
        <w:jc w:val="both"/>
        <w:rPr>
          <w:rFonts w:ascii="Cambria" w:hAnsi="Cambria"/>
          <w:b/>
          <w:bCs/>
          <w:i/>
          <w:iCs/>
          <w:sz w:val="20"/>
          <w:szCs w:val="20"/>
          <w:lang w:val="fr-FR"/>
        </w:rPr>
      </w:pPr>
    </w:p>
    <w:p w14:paraId="0E35E396" w14:textId="77777777" w:rsidR="00F81087" w:rsidRPr="00F81087" w:rsidRDefault="00F81087" w:rsidP="00F81087">
      <w:pPr>
        <w:jc w:val="both"/>
        <w:rPr>
          <w:rFonts w:ascii="Cambria" w:hAnsi="Cambria"/>
          <w:sz w:val="20"/>
          <w:szCs w:val="20"/>
          <w:lang w:val="fr-FR"/>
        </w:rPr>
      </w:pPr>
      <w:r w:rsidRPr="00F81087">
        <w:rPr>
          <w:rFonts w:ascii="Cambria" w:hAnsi="Cambria"/>
          <w:color w:val="000000"/>
          <w:sz w:val="20"/>
          <w:lang w:val="fr-FR"/>
        </w:rPr>
        <w:t>En raison de contraintes de temps et compte tenu de l'état d'avancement actuel de la MSE multi-stocks, le Comité n'a pas été en mesure de donner suite à cette demande en 2026.</w:t>
      </w:r>
    </w:p>
    <w:p w14:paraId="4468A618" w14:textId="77777777" w:rsidR="00F81087" w:rsidRPr="00F81087" w:rsidRDefault="00F81087" w:rsidP="00F81087">
      <w:pPr>
        <w:jc w:val="both"/>
        <w:rPr>
          <w:rFonts w:ascii="Cambria" w:hAnsi="Cambria"/>
          <w:b/>
          <w:bCs/>
          <w:i/>
          <w:iCs/>
          <w:sz w:val="20"/>
          <w:szCs w:val="20"/>
          <w:lang w:val="fr-FR"/>
        </w:rPr>
      </w:pPr>
    </w:p>
    <w:p w14:paraId="7DB8ADD2" w14:textId="77777777" w:rsidR="00F81087" w:rsidRPr="00F81087" w:rsidRDefault="00F81087" w:rsidP="00F81087">
      <w:pPr>
        <w:jc w:val="both"/>
        <w:rPr>
          <w:rFonts w:ascii="Cambria" w:hAnsi="Cambria"/>
          <w:sz w:val="20"/>
          <w:szCs w:val="20"/>
          <w:lang w:val="fr-FR"/>
        </w:rPr>
      </w:pPr>
      <w:r w:rsidRPr="00F81087">
        <w:rPr>
          <w:rFonts w:ascii="Cambria" w:hAnsi="Cambria"/>
          <w:b/>
          <w:bCs/>
          <w:i/>
          <w:iCs/>
          <w:sz w:val="20"/>
          <w:szCs w:val="20"/>
          <w:lang w:val="fr-FR"/>
        </w:rPr>
        <w:t>19.43 Le SCRS devra évaluer annuellement la survenance de circonstances exceptionnelles,</w:t>
      </w:r>
      <w:r w:rsidRPr="00F81087">
        <w:rPr>
          <w:rFonts w:ascii="Cambria" w:hAnsi="Cambria"/>
          <w:sz w:val="20"/>
          <w:szCs w:val="20"/>
          <w:lang w:val="fr-FR"/>
        </w:rPr>
        <w:t xml:space="preserve"> </w:t>
      </w:r>
      <w:hyperlink r:id="rId27" w:history="1">
        <w:r w:rsidRPr="00F81087">
          <w:rPr>
            <w:rStyle w:val="Hyperlink"/>
            <w:rFonts w:ascii="Cambria" w:hAnsi="Cambria"/>
            <w:b/>
            <w:i/>
            <w:sz w:val="20"/>
            <w:szCs w:val="20"/>
            <w:u w:val="none"/>
            <w:lang w:val="fr-FR"/>
          </w:rPr>
          <w:t>Rec. 25-02</w:t>
        </w:r>
      </w:hyperlink>
      <w:r w:rsidRPr="00F81087">
        <w:rPr>
          <w:rFonts w:ascii="Cambria" w:hAnsi="Cambria"/>
          <w:b/>
          <w:i/>
          <w:sz w:val="20"/>
          <w:szCs w:val="20"/>
          <w:lang w:val="fr-FR"/>
        </w:rPr>
        <w:t>,</w:t>
      </w:r>
      <w:r w:rsidRPr="00F81087">
        <w:rPr>
          <w:rFonts w:ascii="Cambria" w:hAnsi="Cambria"/>
          <w:b/>
          <w:i/>
          <w:color w:val="000000"/>
          <w:sz w:val="20"/>
          <w:szCs w:val="20"/>
          <w:lang w:val="fr-FR"/>
        </w:rPr>
        <w:t xml:space="preserve"> </w:t>
      </w:r>
      <w:r w:rsidRPr="00F81087">
        <w:rPr>
          <w:rFonts w:ascii="Cambria" w:hAnsi="Cambria"/>
          <w:b/>
          <w:bCs/>
          <w:i/>
          <w:iCs/>
          <w:sz w:val="20"/>
          <w:szCs w:val="20"/>
          <w:lang w:val="fr-FR"/>
        </w:rPr>
        <w:t>paragraphe</w:t>
      </w:r>
      <w:r w:rsidRPr="00F81087">
        <w:rPr>
          <w:rFonts w:ascii="Cambria" w:hAnsi="Cambria"/>
          <w:b/>
          <w:i/>
          <w:color w:val="000000"/>
          <w:sz w:val="20"/>
          <w:szCs w:val="20"/>
          <w:lang w:val="fr-FR"/>
        </w:rPr>
        <w:t xml:space="preserve"> 8</w:t>
      </w:r>
    </w:p>
    <w:p w14:paraId="30F15FF4" w14:textId="77777777" w:rsidR="00F81087" w:rsidRPr="00F81087" w:rsidRDefault="00F81087" w:rsidP="00F81087">
      <w:pPr>
        <w:widowControl w:val="0"/>
        <w:pBdr>
          <w:top w:val="nil"/>
          <w:left w:val="nil"/>
          <w:bottom w:val="nil"/>
          <w:right w:val="nil"/>
          <w:between w:val="nil"/>
        </w:pBdr>
        <w:tabs>
          <w:tab w:val="left" w:pos="142"/>
        </w:tabs>
        <w:jc w:val="both"/>
        <w:rPr>
          <w:rFonts w:ascii="Cambria" w:eastAsia="Cambria" w:hAnsi="Cambria" w:cs="Cambria"/>
          <w:b/>
          <w:bCs/>
          <w:sz w:val="20"/>
          <w:szCs w:val="20"/>
          <w:lang w:val="fr-FR"/>
        </w:rPr>
      </w:pPr>
    </w:p>
    <w:p w14:paraId="36FAE77C" w14:textId="77777777" w:rsidR="00F81087" w:rsidRPr="00F81087" w:rsidRDefault="00F81087" w:rsidP="00F81087">
      <w:pPr>
        <w:widowControl w:val="0"/>
        <w:pBdr>
          <w:top w:val="nil"/>
          <w:left w:val="nil"/>
          <w:bottom w:val="nil"/>
          <w:right w:val="nil"/>
          <w:between w:val="nil"/>
        </w:pBdr>
        <w:jc w:val="both"/>
        <w:rPr>
          <w:rFonts w:ascii="Cambria" w:eastAsia="Cambria" w:hAnsi="Cambria" w:cs="Cambria"/>
          <w:sz w:val="20"/>
          <w:szCs w:val="20"/>
          <w:lang w:val="fr-FR"/>
        </w:rPr>
      </w:pPr>
      <w:r w:rsidRPr="00F81087">
        <w:rPr>
          <w:rFonts w:ascii="Cambria" w:hAnsi="Cambria"/>
          <w:b/>
          <w:sz w:val="20"/>
          <w:szCs w:val="20"/>
          <w:lang w:val="fr-FR"/>
        </w:rPr>
        <w:t>Contexte :</w:t>
      </w:r>
      <w:r w:rsidRPr="00F81087">
        <w:rPr>
          <w:rFonts w:ascii="Cambria" w:hAnsi="Cambria"/>
          <w:sz w:val="20"/>
          <w:szCs w:val="20"/>
          <w:lang w:val="fr-FR"/>
        </w:rPr>
        <w:t xml:space="preserve"> </w:t>
      </w:r>
      <w:r w:rsidRPr="00F81087">
        <w:rPr>
          <w:rFonts w:ascii="Cambria" w:hAnsi="Cambria"/>
          <w:i/>
          <w:sz w:val="20"/>
          <w:szCs w:val="20"/>
          <w:lang w:val="fr-FR"/>
        </w:rPr>
        <w:t>Le SCRS devra évaluer annuellement la survenance de circonstances exceptionnelles et la Commission devra agir conformément au protocole de circonstances exceptionnelles, élaboré sur la base de l'avis scientifique fourni par le SCRS et adopté par la Commission.</w:t>
      </w:r>
    </w:p>
    <w:p w14:paraId="528F63B3" w14:textId="77777777" w:rsidR="00F81087" w:rsidRPr="00F81087" w:rsidRDefault="00F81087" w:rsidP="00F81087">
      <w:pPr>
        <w:tabs>
          <w:tab w:val="right" w:leader="dot" w:pos="8505"/>
          <w:tab w:val="right" w:pos="9072"/>
        </w:tabs>
        <w:ind w:right="-1"/>
        <w:contextualSpacing/>
        <w:jc w:val="both"/>
        <w:rPr>
          <w:rFonts w:ascii="Cambria" w:hAnsi="Cambria"/>
          <w:sz w:val="20"/>
          <w:szCs w:val="20"/>
          <w:lang w:val="fr-FR"/>
        </w:rPr>
      </w:pPr>
    </w:p>
    <w:p w14:paraId="61F0BA31" w14:textId="77777777" w:rsidR="00F81087" w:rsidRPr="00F81087" w:rsidRDefault="00F81087" w:rsidP="00F81087">
      <w:pPr>
        <w:pStyle w:val="BodyText"/>
        <w:suppressAutoHyphens/>
        <w:ind w:right="-1"/>
        <w:jc w:val="both"/>
        <w:rPr>
          <w:rFonts w:ascii="Cambria" w:hAnsi="Cambria"/>
          <w:b w:val="0"/>
          <w:bCs w:val="0"/>
          <w:sz w:val="20"/>
          <w:szCs w:val="20"/>
          <w:lang w:val="fr-FR"/>
        </w:rPr>
      </w:pPr>
      <w:r w:rsidRPr="00F81087">
        <w:rPr>
          <w:rFonts w:ascii="Cambria" w:hAnsi="Cambria"/>
          <w:b w:val="0"/>
          <w:bCs w:val="0"/>
          <w:sz w:val="20"/>
          <w:szCs w:val="20"/>
          <w:lang w:val="fr-FR"/>
        </w:rPr>
        <w:t xml:space="preserve">Sur la base du paragraphe 9 de la </w:t>
      </w:r>
      <w:hyperlink r:id="rId28" w:tooltip="https://www.iccat.int/Documents/Recs/compendiopdf-f/2025-02-f.pdf" w:history="1">
        <w:r w:rsidRPr="00F81087">
          <w:rPr>
            <w:rStyle w:val="Hyperlink"/>
            <w:rFonts w:ascii="Cambria" w:hAnsi="Cambria"/>
            <w:b w:val="0"/>
            <w:bCs w:val="0"/>
            <w:sz w:val="20"/>
            <w:szCs w:val="20"/>
            <w:u w:val="none"/>
            <w:lang w:val="fr-FR"/>
          </w:rPr>
          <w:t>Rec. 25-02</w:t>
        </w:r>
      </w:hyperlink>
      <w:r w:rsidRPr="00F81087">
        <w:rPr>
          <w:rFonts w:ascii="Cambria" w:hAnsi="Cambria"/>
          <w:b w:val="0"/>
          <w:bCs w:val="0"/>
          <w:sz w:val="20"/>
          <w:szCs w:val="20"/>
          <w:lang w:val="fr-FR"/>
        </w:rPr>
        <w:t>, le Comité soumet à l'examen de la Commission ses recommandations pour un Protocole de circonstances exceptionnelles (ECP). Ce projet d’ECP pour le SKJ-</w:t>
      </w:r>
      <w:r w:rsidRPr="00F81087">
        <w:rPr>
          <w:rFonts w:ascii="Cambria" w:hAnsi="Cambria"/>
          <w:b w:val="0"/>
          <w:bCs w:val="0"/>
          <w:sz w:val="20"/>
          <w:szCs w:val="20"/>
          <w:lang w:val="fr-FR"/>
        </w:rPr>
        <w:lastRenderedPageBreak/>
        <w:t>W se base sur l’ECP pour le SWO-N (</w:t>
      </w:r>
      <w:hyperlink r:id="rId29" w:tooltip="https://iccat.int/Documents/Recs/compendiopdf-f/2025-10-f.pdf" w:history="1">
        <w:r w:rsidRPr="00F81087">
          <w:rPr>
            <w:rStyle w:val="Hyperlink"/>
            <w:rFonts w:ascii="Cambria" w:hAnsi="Cambria"/>
            <w:b w:val="0"/>
            <w:bCs w:val="0"/>
            <w:sz w:val="20"/>
            <w:szCs w:val="20"/>
            <w:u w:val="none"/>
            <w:lang w:val="fr-FR"/>
          </w:rPr>
          <w:t>Rec. 25-10</w:t>
        </w:r>
      </w:hyperlink>
      <w:r w:rsidRPr="00F81087">
        <w:rPr>
          <w:rFonts w:ascii="Cambria" w:hAnsi="Cambria"/>
          <w:b w:val="0"/>
          <w:bCs w:val="0"/>
          <w:sz w:val="20"/>
          <w:szCs w:val="20"/>
          <w:lang w:val="fr-FR"/>
        </w:rPr>
        <w:t xml:space="preserve">), ainsi que sur ceux pour le BFT </w:t>
      </w:r>
      <w:hyperlink r:id="rId30" w:tooltip="https://www.iccat.int/Documents/Recs/compendiopdf-f/2023-07-f.pdf" w:history="1">
        <w:r w:rsidRPr="00F81087">
          <w:rPr>
            <w:rFonts w:ascii="Cambria" w:hAnsi="Cambria"/>
            <w:b w:val="0"/>
            <w:bCs w:val="0"/>
            <w:sz w:val="20"/>
            <w:szCs w:val="20"/>
            <w:lang w:val="fr-FR"/>
          </w:rPr>
          <w:t>(</w:t>
        </w:r>
        <w:r w:rsidRPr="00F81087">
          <w:rPr>
            <w:rFonts w:ascii="Cambria" w:hAnsi="Cambria"/>
            <w:b w:val="0"/>
            <w:bCs w:val="0"/>
            <w:color w:val="467885"/>
            <w:sz w:val="20"/>
            <w:szCs w:val="20"/>
            <w:lang w:val="fr-FR"/>
          </w:rPr>
          <w:t>Rec. 23-07</w:t>
        </w:r>
        <w:r w:rsidRPr="00F81087">
          <w:rPr>
            <w:rFonts w:ascii="Cambria" w:hAnsi="Cambria"/>
            <w:b w:val="0"/>
            <w:bCs w:val="0"/>
            <w:sz w:val="20"/>
            <w:szCs w:val="20"/>
            <w:lang w:val="fr-FR"/>
          </w:rPr>
          <w:t>)</w:t>
        </w:r>
      </w:hyperlink>
      <w:r w:rsidRPr="00F81087">
        <w:rPr>
          <w:rFonts w:ascii="Cambria" w:hAnsi="Cambria"/>
          <w:b w:val="0"/>
          <w:bCs w:val="0"/>
          <w:sz w:val="20"/>
          <w:szCs w:val="20"/>
          <w:lang w:val="fr-FR"/>
        </w:rPr>
        <w:t xml:space="preserve"> et l’ALB-N </w:t>
      </w:r>
      <w:hyperlink r:id="rId31" w:tooltip="https://www.iccat.int/Documents/Recs/compendiopdf-f/2021-04-f.pdf" w:history="1">
        <w:r w:rsidRPr="00F81087">
          <w:rPr>
            <w:rFonts w:ascii="Cambria" w:hAnsi="Cambria"/>
            <w:b w:val="0"/>
            <w:bCs w:val="0"/>
            <w:sz w:val="20"/>
            <w:szCs w:val="20"/>
            <w:lang w:val="fr-FR"/>
          </w:rPr>
          <w:t>(</w:t>
        </w:r>
        <w:r w:rsidRPr="00F81087">
          <w:rPr>
            <w:rFonts w:ascii="Cambria" w:hAnsi="Cambria"/>
            <w:b w:val="0"/>
            <w:bCs w:val="0"/>
            <w:color w:val="467885"/>
            <w:sz w:val="20"/>
            <w:szCs w:val="20"/>
            <w:lang w:val="fr-FR"/>
          </w:rPr>
          <w:t>Rec. 21-04</w:t>
        </w:r>
        <w:r w:rsidRPr="00F81087">
          <w:rPr>
            <w:rFonts w:ascii="Cambria" w:hAnsi="Cambria"/>
            <w:b w:val="0"/>
            <w:bCs w:val="0"/>
            <w:sz w:val="20"/>
            <w:szCs w:val="20"/>
            <w:lang w:val="fr-FR"/>
          </w:rPr>
          <w:t>)</w:t>
        </w:r>
      </w:hyperlink>
      <w:r w:rsidRPr="00F81087">
        <w:rPr>
          <w:rFonts w:ascii="Cambria" w:hAnsi="Cambria"/>
          <w:b w:val="0"/>
          <w:bCs w:val="0"/>
          <w:sz w:val="20"/>
          <w:szCs w:val="20"/>
          <w:lang w:val="fr-FR"/>
        </w:rPr>
        <w:t>.</w:t>
      </w:r>
    </w:p>
    <w:p w14:paraId="6B23E6C7" w14:textId="77777777" w:rsidR="00F81087" w:rsidRPr="00F81087" w:rsidRDefault="00F81087" w:rsidP="00F81087">
      <w:pPr>
        <w:pStyle w:val="BodyText"/>
        <w:suppressAutoHyphens/>
        <w:ind w:right="286"/>
        <w:jc w:val="both"/>
        <w:rPr>
          <w:rFonts w:ascii="Cambria" w:hAnsi="Cambria"/>
          <w:sz w:val="20"/>
          <w:szCs w:val="20"/>
          <w:lang w:val="fr-FR"/>
        </w:rPr>
      </w:pPr>
    </w:p>
    <w:p w14:paraId="5B595F98" w14:textId="77777777" w:rsidR="00F81087" w:rsidRPr="00F81087" w:rsidRDefault="00F81087" w:rsidP="00F81087">
      <w:pPr>
        <w:widowControl w:val="0"/>
        <w:suppressAutoHyphens/>
        <w:jc w:val="both"/>
        <w:rPr>
          <w:rFonts w:ascii="Cambria" w:eastAsia="Cambria" w:hAnsi="Cambria" w:cs="Cambria"/>
          <w:b/>
          <w:sz w:val="20"/>
          <w:szCs w:val="20"/>
          <w:lang w:val="fr-FR"/>
        </w:rPr>
      </w:pPr>
      <w:r w:rsidRPr="00F81087">
        <w:rPr>
          <w:rFonts w:ascii="Cambria" w:hAnsi="Cambria"/>
          <w:b/>
          <w:sz w:val="20"/>
          <w:szCs w:val="20"/>
          <w:lang w:val="fr-FR"/>
        </w:rPr>
        <w:t>Projet de protocole de circonstances exceptionnelles (ECP) pour le listao de l'Atlantique Ouest</w:t>
      </w:r>
    </w:p>
    <w:p w14:paraId="0EB53B70" w14:textId="77777777" w:rsidR="00F81087" w:rsidRPr="00F81087" w:rsidRDefault="00F81087" w:rsidP="00F81087">
      <w:pPr>
        <w:widowControl w:val="0"/>
        <w:suppressAutoHyphens/>
        <w:jc w:val="both"/>
        <w:rPr>
          <w:rFonts w:ascii="Cambria" w:eastAsia="Cambria" w:hAnsi="Cambria" w:cs="Cambria"/>
          <w:b/>
          <w:sz w:val="20"/>
          <w:szCs w:val="20"/>
          <w:lang w:val="fr-FR"/>
        </w:rPr>
      </w:pPr>
    </w:p>
    <w:p w14:paraId="59B5FCC5" w14:textId="77777777" w:rsidR="00F81087" w:rsidRPr="00F81087" w:rsidRDefault="00F81087" w:rsidP="00F81087">
      <w:pPr>
        <w:widowControl w:val="0"/>
        <w:numPr>
          <w:ilvl w:val="0"/>
          <w:numId w:val="44"/>
        </w:numPr>
        <w:suppressAutoHyphens/>
        <w:jc w:val="both"/>
        <w:rPr>
          <w:rFonts w:ascii="Cambria" w:eastAsia="Cambria" w:hAnsi="Cambria" w:cs="Cambria"/>
          <w:b/>
          <w:sz w:val="20"/>
          <w:szCs w:val="20"/>
          <w:lang w:val="fr-FR"/>
        </w:rPr>
      </w:pPr>
      <w:r w:rsidRPr="00F81087">
        <w:rPr>
          <w:rFonts w:ascii="Cambria" w:hAnsi="Cambria"/>
          <w:b/>
          <w:sz w:val="20"/>
          <w:szCs w:val="20"/>
          <w:lang w:val="fr-FR"/>
        </w:rPr>
        <w:t>Principes de circonstances exceptionnelles (EC)</w:t>
      </w:r>
    </w:p>
    <w:p w14:paraId="35AEFD8A" w14:textId="77777777" w:rsidR="00F81087" w:rsidRPr="00F81087" w:rsidRDefault="00F81087" w:rsidP="00F81087">
      <w:pPr>
        <w:widowControl w:val="0"/>
        <w:suppressAutoHyphens/>
        <w:jc w:val="both"/>
        <w:rPr>
          <w:rFonts w:ascii="Cambria" w:eastAsia="Cambria" w:hAnsi="Cambria" w:cs="Cambria"/>
          <w:b/>
          <w:sz w:val="20"/>
          <w:szCs w:val="20"/>
          <w:lang w:val="fr-FR"/>
        </w:rPr>
      </w:pPr>
    </w:p>
    <w:p w14:paraId="15416729" w14:textId="77777777" w:rsidR="00F81087" w:rsidRPr="00F81087" w:rsidRDefault="00F81087" w:rsidP="00F81087">
      <w:pPr>
        <w:widowControl w:val="0"/>
        <w:suppressAutoHyphens/>
        <w:jc w:val="both"/>
        <w:rPr>
          <w:rFonts w:ascii="Cambria" w:eastAsia="Cambria" w:hAnsi="Cambria" w:cs="Cambria"/>
          <w:sz w:val="20"/>
          <w:szCs w:val="20"/>
          <w:lang w:val="fr-FR"/>
        </w:rPr>
      </w:pPr>
      <w:r w:rsidRPr="00F81087">
        <w:rPr>
          <w:rFonts w:ascii="Cambria" w:hAnsi="Cambria"/>
          <w:sz w:val="20"/>
          <w:szCs w:val="20"/>
          <w:lang w:val="fr-FR"/>
        </w:rPr>
        <w:t>Les trois principes généraux suivants devraient être considérés comme un signal indiquant qu’il est possible que des EC existent :</w:t>
      </w:r>
    </w:p>
    <w:p w14:paraId="091F4313" w14:textId="77777777" w:rsidR="00F81087" w:rsidRPr="00F81087" w:rsidRDefault="00F81087" w:rsidP="00F81087">
      <w:pPr>
        <w:widowControl w:val="0"/>
        <w:suppressAutoHyphens/>
        <w:jc w:val="both"/>
        <w:rPr>
          <w:rFonts w:ascii="Cambria" w:eastAsia="Cambria" w:hAnsi="Cambria" w:cs="Cambria"/>
          <w:sz w:val="20"/>
          <w:szCs w:val="20"/>
          <w:lang w:val="fr-FR"/>
        </w:rPr>
      </w:pPr>
    </w:p>
    <w:p w14:paraId="0F5CE5B4" w14:textId="77777777" w:rsidR="00F81087" w:rsidRPr="00F81087" w:rsidRDefault="00F81087" w:rsidP="00F81087">
      <w:pPr>
        <w:widowControl w:val="0"/>
        <w:numPr>
          <w:ilvl w:val="1"/>
          <w:numId w:val="44"/>
        </w:numPr>
        <w:suppressAutoHyphens/>
        <w:jc w:val="both"/>
        <w:rPr>
          <w:rFonts w:ascii="Cambria" w:eastAsia="Cambria" w:hAnsi="Cambria" w:cs="Cambria"/>
          <w:sz w:val="20"/>
          <w:szCs w:val="20"/>
          <w:lang w:val="fr-FR"/>
        </w:rPr>
      </w:pPr>
      <w:r w:rsidRPr="00F81087">
        <w:rPr>
          <w:rFonts w:ascii="Cambria" w:hAnsi="Cambria"/>
          <w:sz w:val="20"/>
          <w:szCs w:val="20"/>
          <w:lang w:val="fr-FR"/>
        </w:rPr>
        <w:t>Lorsqu'il existe des preuves que le stock et/ou la dynamique de la pêcherie se trouvent dans des états (comme définis dans le</w:t>
      </w:r>
      <w:r w:rsidRPr="00F81087">
        <w:rPr>
          <w:rFonts w:ascii="Cambria" w:hAnsi="Cambria"/>
          <w:b/>
          <w:bCs/>
          <w:sz w:val="20"/>
          <w:szCs w:val="20"/>
          <w:lang w:val="fr-FR"/>
        </w:rPr>
        <w:t xml:space="preserve"> tableau 19.43.1a</w:t>
      </w:r>
      <w:r w:rsidRPr="00F81087">
        <w:rPr>
          <w:rFonts w:ascii="Cambria" w:hAnsi="Cambria"/>
          <w:sz w:val="20"/>
          <w:szCs w:val="20"/>
          <w:lang w:val="fr-FR"/>
        </w:rPr>
        <w:t>) qui ne relèvent pas des modèles opérationnels (OM) de la MSE et/ou ne sont plus considérés comme plausibles dans le contexte de la MSE ou lorsqu'il existe des preuves que les états du stock ou la dynamique de la pêcherie inclus dans les OM pour tester la MSE ne sont plus considérés comme plausibles.</w:t>
      </w:r>
    </w:p>
    <w:p w14:paraId="79E4EDE6" w14:textId="77777777" w:rsidR="00F81087" w:rsidRPr="00F81087" w:rsidRDefault="00F81087" w:rsidP="00F81087">
      <w:pPr>
        <w:widowControl w:val="0"/>
        <w:suppressAutoHyphens/>
        <w:jc w:val="both"/>
        <w:rPr>
          <w:rFonts w:ascii="Cambria" w:eastAsia="Cambria" w:hAnsi="Cambria" w:cs="Cambria"/>
          <w:sz w:val="20"/>
          <w:szCs w:val="20"/>
          <w:lang w:val="fr-FR"/>
        </w:rPr>
      </w:pPr>
    </w:p>
    <w:p w14:paraId="5E8783A5" w14:textId="77777777" w:rsidR="00F81087" w:rsidRPr="00F81087" w:rsidRDefault="00F81087" w:rsidP="00F81087">
      <w:pPr>
        <w:widowControl w:val="0"/>
        <w:numPr>
          <w:ilvl w:val="1"/>
          <w:numId w:val="44"/>
        </w:numPr>
        <w:suppressAutoHyphens/>
        <w:jc w:val="both"/>
        <w:rPr>
          <w:rFonts w:ascii="Cambria" w:eastAsia="Cambria" w:hAnsi="Cambria" w:cs="Cambria"/>
          <w:sz w:val="20"/>
          <w:szCs w:val="20"/>
          <w:lang w:val="fr-FR"/>
        </w:rPr>
      </w:pPr>
      <w:r w:rsidRPr="00F81087">
        <w:rPr>
          <w:rFonts w:ascii="Cambria" w:hAnsi="Cambria"/>
          <w:sz w:val="20"/>
          <w:szCs w:val="20"/>
          <w:lang w:val="fr-FR"/>
        </w:rPr>
        <w:t xml:space="preserve">Lorsqu'il existe des preuves que les données requises pour appliquer la MP ne sont pas disponibles ou suffisantes ou ne sont plus appropriées (comme défini dans le </w:t>
      </w:r>
      <w:r w:rsidRPr="00F81087">
        <w:rPr>
          <w:rFonts w:ascii="Cambria" w:hAnsi="Cambria"/>
          <w:b/>
          <w:sz w:val="20"/>
          <w:szCs w:val="20"/>
          <w:lang w:val="fr-FR"/>
        </w:rPr>
        <w:t>tableau 19.43.1</w:t>
      </w:r>
      <w:r w:rsidRPr="00F81087">
        <w:rPr>
          <w:rFonts w:ascii="Cambria" w:hAnsi="Cambria"/>
          <w:b/>
          <w:bCs/>
          <w:sz w:val="20"/>
          <w:szCs w:val="20"/>
          <w:lang w:val="fr-FR"/>
        </w:rPr>
        <w:t>b</w:t>
      </w:r>
      <w:r w:rsidRPr="00F81087">
        <w:rPr>
          <w:rFonts w:ascii="Cambria" w:hAnsi="Cambria"/>
          <w:sz w:val="20"/>
          <w:szCs w:val="20"/>
          <w:lang w:val="fr-FR"/>
        </w:rPr>
        <w:t>) ; et/ou</w:t>
      </w:r>
    </w:p>
    <w:p w14:paraId="0FD22AC9" w14:textId="77777777" w:rsidR="00F81087" w:rsidRPr="00F81087" w:rsidRDefault="00F81087" w:rsidP="00F81087">
      <w:pPr>
        <w:widowControl w:val="0"/>
        <w:suppressAutoHyphens/>
        <w:jc w:val="both"/>
        <w:rPr>
          <w:rFonts w:ascii="Cambria" w:eastAsia="Cambria" w:hAnsi="Cambria" w:cs="Cambria"/>
          <w:sz w:val="20"/>
          <w:szCs w:val="20"/>
          <w:lang w:val="fr-FR"/>
        </w:rPr>
      </w:pPr>
    </w:p>
    <w:p w14:paraId="0CC00C55" w14:textId="77777777" w:rsidR="00F81087" w:rsidRPr="00F81087" w:rsidRDefault="00F81087" w:rsidP="00F81087">
      <w:pPr>
        <w:widowControl w:val="0"/>
        <w:numPr>
          <w:ilvl w:val="1"/>
          <w:numId w:val="44"/>
        </w:numPr>
        <w:suppressAutoHyphens/>
        <w:jc w:val="both"/>
        <w:rPr>
          <w:rFonts w:ascii="Cambria" w:eastAsia="Cambria" w:hAnsi="Cambria" w:cs="Cambria"/>
          <w:sz w:val="20"/>
          <w:szCs w:val="20"/>
          <w:lang w:val="fr-FR"/>
        </w:rPr>
      </w:pPr>
      <w:r w:rsidRPr="00F81087">
        <w:rPr>
          <w:rFonts w:ascii="Cambria" w:hAnsi="Cambria"/>
          <w:sz w:val="20"/>
          <w:szCs w:val="20"/>
          <w:lang w:val="fr-FR"/>
        </w:rPr>
        <w:t xml:space="preserve">Lorsqu'il existe des preuves que le total des captures dépasse de manière significative (comme défini dans le </w:t>
      </w:r>
      <w:r w:rsidRPr="00F81087">
        <w:rPr>
          <w:rFonts w:ascii="Cambria" w:hAnsi="Cambria"/>
          <w:b/>
          <w:sz w:val="20"/>
          <w:szCs w:val="20"/>
          <w:lang w:val="fr-FR"/>
        </w:rPr>
        <w:t>tableau 19.43.1</w:t>
      </w:r>
      <w:r w:rsidRPr="00F81087">
        <w:rPr>
          <w:rFonts w:ascii="Cambria" w:hAnsi="Cambria"/>
          <w:b/>
          <w:bCs/>
          <w:sz w:val="20"/>
          <w:szCs w:val="20"/>
          <w:lang w:val="fr-FR"/>
        </w:rPr>
        <w:t>c</w:t>
      </w:r>
      <w:r w:rsidRPr="00F81087">
        <w:rPr>
          <w:rFonts w:ascii="Cambria" w:hAnsi="Cambria"/>
          <w:sz w:val="20"/>
          <w:szCs w:val="20"/>
          <w:lang w:val="fr-FR"/>
        </w:rPr>
        <w:t>) le TAC fixé au moyen de la MP.</w:t>
      </w:r>
    </w:p>
    <w:p w14:paraId="3EA5CBE8" w14:textId="77777777" w:rsidR="00F81087" w:rsidRPr="00F81087" w:rsidRDefault="00F81087" w:rsidP="00F81087">
      <w:pPr>
        <w:widowControl w:val="0"/>
        <w:suppressAutoHyphens/>
        <w:jc w:val="both"/>
        <w:rPr>
          <w:rFonts w:ascii="Cambria" w:eastAsia="Cambria" w:hAnsi="Cambria" w:cs="Cambria"/>
          <w:sz w:val="20"/>
          <w:szCs w:val="20"/>
          <w:lang w:val="fr-FR"/>
        </w:rPr>
      </w:pPr>
    </w:p>
    <w:p w14:paraId="798C5181" w14:textId="77777777" w:rsidR="00F81087" w:rsidRPr="00F81087" w:rsidRDefault="00F81087" w:rsidP="00F81087">
      <w:pPr>
        <w:widowControl w:val="0"/>
        <w:suppressAutoHyphens/>
        <w:jc w:val="both"/>
        <w:rPr>
          <w:rFonts w:ascii="Cambria" w:eastAsia="Cambria" w:hAnsi="Cambria" w:cs="Cambria"/>
          <w:sz w:val="20"/>
          <w:szCs w:val="20"/>
          <w:lang w:val="fr-FR"/>
        </w:rPr>
      </w:pPr>
      <w:r w:rsidRPr="00F81087">
        <w:rPr>
          <w:rFonts w:ascii="Cambria" w:hAnsi="Cambria"/>
          <w:sz w:val="20"/>
          <w:szCs w:val="20"/>
          <w:lang w:val="fr-FR"/>
        </w:rPr>
        <w:t>Il n'est pas possible de définir dans le présent protocole tous les scénarios dans lesquels les EC peuvent se produire. Un protocole contenant des orientations générales pour déterminer s'il existe des EC et si les implications qui en découlent sont suffisamment graves pour justifier la révision de l'avis de la MP est décrit ci-dessous. Le protocole ne doit pas être considéré comme un ensemble définitif de critères/réponses. Il ne doit pas non plus être considéré comme un mécanisme permettant de procéder à de petits ajustements. La détection de EC doit s’accompagner de preuves scientifiques irréfutables, et les actions à prendre découlant des EC ne devraient être prises que lorsque le maintien de la MP actuelle est considéré comme très risqué ou très inapproprié.</w:t>
      </w:r>
    </w:p>
    <w:p w14:paraId="171FB3FB" w14:textId="77777777" w:rsidR="00F81087" w:rsidRPr="00F81087" w:rsidRDefault="00F81087" w:rsidP="00F81087">
      <w:pPr>
        <w:widowControl w:val="0"/>
        <w:suppressAutoHyphens/>
        <w:jc w:val="both"/>
        <w:rPr>
          <w:rFonts w:ascii="Cambria" w:eastAsia="Cambria" w:hAnsi="Cambria" w:cs="Cambria"/>
          <w:sz w:val="20"/>
          <w:szCs w:val="20"/>
          <w:lang w:val="fr-FR"/>
        </w:rPr>
      </w:pPr>
    </w:p>
    <w:p w14:paraId="3648703D" w14:textId="77777777" w:rsidR="00F81087" w:rsidRPr="00F81087" w:rsidRDefault="00F81087" w:rsidP="00F81087">
      <w:pPr>
        <w:widowControl w:val="0"/>
        <w:numPr>
          <w:ilvl w:val="0"/>
          <w:numId w:val="44"/>
        </w:numPr>
        <w:suppressAutoHyphens/>
        <w:jc w:val="both"/>
        <w:rPr>
          <w:rFonts w:ascii="Cambria" w:eastAsia="Cambria" w:hAnsi="Cambria" w:cs="Cambria"/>
          <w:b/>
          <w:bCs/>
          <w:sz w:val="20"/>
          <w:szCs w:val="20"/>
          <w:lang w:val="fr-FR"/>
        </w:rPr>
      </w:pPr>
      <w:r w:rsidRPr="00F81087">
        <w:rPr>
          <w:rFonts w:ascii="Cambria" w:hAnsi="Cambria"/>
          <w:b/>
          <w:sz w:val="20"/>
          <w:szCs w:val="20"/>
          <w:lang w:val="fr-FR"/>
        </w:rPr>
        <w:t>Indicateurs pour les EC et processus visant à déterminer si des EC se produisent</w:t>
      </w:r>
    </w:p>
    <w:p w14:paraId="140695A7" w14:textId="77777777" w:rsidR="00F81087" w:rsidRPr="00F81087" w:rsidRDefault="00F81087" w:rsidP="00F81087">
      <w:pPr>
        <w:widowControl w:val="0"/>
        <w:suppressAutoHyphens/>
        <w:jc w:val="both"/>
        <w:rPr>
          <w:rFonts w:ascii="Cambria" w:eastAsia="Cambria" w:hAnsi="Cambria" w:cs="Cambria"/>
          <w:b/>
          <w:sz w:val="20"/>
          <w:szCs w:val="20"/>
          <w:lang w:val="fr-FR"/>
        </w:rPr>
      </w:pPr>
    </w:p>
    <w:p w14:paraId="5BA7D1B4" w14:textId="77777777" w:rsidR="00F81087" w:rsidRPr="00F81087" w:rsidRDefault="00F81087" w:rsidP="00F81087">
      <w:pPr>
        <w:widowControl w:val="0"/>
        <w:suppressAutoHyphens/>
        <w:jc w:val="both"/>
        <w:rPr>
          <w:rFonts w:ascii="Cambria" w:eastAsia="Cambria" w:hAnsi="Cambria" w:cs="Cambria"/>
          <w:sz w:val="20"/>
          <w:szCs w:val="20"/>
          <w:lang w:val="fr-FR"/>
        </w:rPr>
      </w:pPr>
      <w:r w:rsidRPr="00F81087">
        <w:rPr>
          <w:rFonts w:ascii="Cambria" w:hAnsi="Cambria"/>
          <w:sz w:val="20"/>
          <w:szCs w:val="20"/>
          <w:lang w:val="fr-FR"/>
        </w:rPr>
        <w:t xml:space="preserve">À la lumière des principes énoncés à la section 1, le SCRS devrait utiliser les orientations générales fournies dans le </w:t>
      </w:r>
      <w:r w:rsidRPr="00F81087">
        <w:rPr>
          <w:rFonts w:ascii="Cambria" w:hAnsi="Cambria"/>
          <w:b/>
          <w:bCs/>
          <w:sz w:val="20"/>
          <w:szCs w:val="20"/>
          <w:lang w:val="fr-FR"/>
        </w:rPr>
        <w:t>tableau 19.43.1</w:t>
      </w:r>
      <w:r w:rsidRPr="00F81087">
        <w:rPr>
          <w:rFonts w:ascii="Cambria" w:hAnsi="Cambria"/>
          <w:sz w:val="20"/>
          <w:szCs w:val="20"/>
          <w:lang w:val="fr-FR"/>
        </w:rPr>
        <w:t xml:space="preserve"> et toute autre information pertinente pour déterminer annuellement l'existence d’EC. Si le SCRS détermine qu'il existe des preuves de l'existence de EC, il examinera la nature et la gravité des EC (par exemple, la mesure dans laquelle les valeurs de CPUE se situent en dehors de la fourchette prévue et si elles sont plus élevées ou plus basses que prévu) et, si possible, examinera ses impacts potentiels sur la performance de la MP.</w:t>
      </w:r>
    </w:p>
    <w:p w14:paraId="5024BC68" w14:textId="77777777" w:rsidR="00F81087" w:rsidRPr="00F81087" w:rsidRDefault="00F81087" w:rsidP="00F81087">
      <w:pPr>
        <w:widowControl w:val="0"/>
        <w:suppressAutoHyphens/>
        <w:jc w:val="both"/>
        <w:rPr>
          <w:rFonts w:ascii="Cambria" w:eastAsia="Cambria" w:hAnsi="Cambria" w:cs="Cambria"/>
          <w:sz w:val="20"/>
          <w:szCs w:val="20"/>
          <w:lang w:val="fr-FR"/>
        </w:rPr>
      </w:pPr>
    </w:p>
    <w:p w14:paraId="2C5CCFB4" w14:textId="77777777" w:rsidR="00F81087" w:rsidRPr="00F81087" w:rsidRDefault="00F81087" w:rsidP="00F81087">
      <w:pPr>
        <w:widowControl w:val="0"/>
        <w:suppressAutoHyphens/>
        <w:jc w:val="both"/>
        <w:rPr>
          <w:rFonts w:ascii="Cambria" w:eastAsia="Cambria" w:hAnsi="Cambria" w:cs="Cambria"/>
          <w:sz w:val="20"/>
          <w:szCs w:val="20"/>
          <w:lang w:val="fr-FR"/>
        </w:rPr>
      </w:pPr>
      <w:r w:rsidRPr="00F81087">
        <w:rPr>
          <w:rFonts w:ascii="Cambria" w:hAnsi="Cambria"/>
          <w:sz w:val="20"/>
          <w:szCs w:val="20"/>
          <w:lang w:val="fr-FR"/>
        </w:rPr>
        <w:t xml:space="preserve">Le SCRS informera ensuite la Commission si ce cas se produit et lui indiquera la réponse la plus appropriée. Le déclenchement de EC n'entraîne pas immédiatement l'annulation de l'avis sur le TAC formulé par la MP ; cela signifie plutôt que le SCRS doit examiner les preuves fournies par les indicateurs du </w:t>
      </w:r>
      <w:r w:rsidRPr="00F81087">
        <w:rPr>
          <w:rFonts w:ascii="Cambria" w:hAnsi="Cambria"/>
          <w:b/>
          <w:bCs/>
          <w:sz w:val="20"/>
          <w:szCs w:val="20"/>
          <w:lang w:val="fr-FR"/>
        </w:rPr>
        <w:t>tableau 19.43.1</w:t>
      </w:r>
      <w:r w:rsidRPr="00F81087">
        <w:rPr>
          <w:rFonts w:ascii="Cambria" w:hAnsi="Cambria"/>
          <w:sz w:val="20"/>
          <w:szCs w:val="20"/>
          <w:lang w:val="fr-FR"/>
        </w:rPr>
        <w:t>, ainsi que toute autre information pertinente, et déterminer si une modification de l'avis est justifiée et si des travaux de recherche supplémentaires ou des ajustements du calendrier de la MSE sont nécessaires.</w:t>
      </w:r>
    </w:p>
    <w:p w14:paraId="7F98F1C5" w14:textId="77777777" w:rsidR="00F81087" w:rsidRPr="00F81087" w:rsidRDefault="00F81087" w:rsidP="00F81087">
      <w:pPr>
        <w:widowControl w:val="0"/>
        <w:suppressAutoHyphens/>
        <w:jc w:val="both"/>
        <w:rPr>
          <w:rFonts w:ascii="Cambria" w:eastAsia="Cambria" w:hAnsi="Cambria" w:cs="Cambria"/>
          <w:sz w:val="20"/>
          <w:szCs w:val="20"/>
          <w:lang w:val="fr-FR"/>
        </w:rPr>
      </w:pPr>
    </w:p>
    <w:p w14:paraId="29801A6A" w14:textId="77777777" w:rsidR="00F81087" w:rsidRPr="00F81087" w:rsidRDefault="00F81087" w:rsidP="00F81087">
      <w:pPr>
        <w:widowControl w:val="0"/>
        <w:suppressAutoHyphens/>
        <w:jc w:val="both"/>
        <w:rPr>
          <w:rFonts w:ascii="Cambria" w:hAnsi="Cambria"/>
          <w:sz w:val="20"/>
          <w:szCs w:val="20"/>
          <w:lang w:val="fr-FR"/>
        </w:rPr>
      </w:pPr>
      <w:r w:rsidRPr="00F81087">
        <w:rPr>
          <w:rFonts w:ascii="Cambria" w:hAnsi="Cambria"/>
          <w:sz w:val="20"/>
          <w:szCs w:val="20"/>
          <w:lang w:val="fr-FR"/>
        </w:rPr>
        <w:t>En ce qui concerne les EC identifiées, ces preuves devraient être suffisamment importantes pour affecter de manière significative l'avis sur le TAC formulé par la MP.</w:t>
      </w:r>
    </w:p>
    <w:p w14:paraId="32821420" w14:textId="77777777" w:rsidR="00F81087" w:rsidRPr="00F81087" w:rsidRDefault="00F81087" w:rsidP="00F81087">
      <w:pPr>
        <w:widowControl w:val="0"/>
        <w:suppressAutoHyphens/>
        <w:jc w:val="both"/>
        <w:rPr>
          <w:rFonts w:ascii="Cambria" w:hAnsi="Cambria"/>
          <w:sz w:val="20"/>
          <w:szCs w:val="20"/>
          <w:lang w:val="fr-FR"/>
        </w:rPr>
      </w:pPr>
    </w:p>
    <w:p w14:paraId="434ACB45" w14:textId="77777777" w:rsidR="00F81087" w:rsidRPr="00F81087" w:rsidRDefault="00F81087" w:rsidP="00F81087">
      <w:pPr>
        <w:widowControl w:val="0"/>
        <w:suppressAutoHyphens/>
        <w:jc w:val="both"/>
        <w:rPr>
          <w:rFonts w:ascii="Cambria" w:eastAsia="Cambria" w:hAnsi="Cambria" w:cs="Cambria"/>
          <w:sz w:val="20"/>
          <w:szCs w:val="20"/>
          <w:lang w:val="fr-FR"/>
        </w:rPr>
      </w:pPr>
      <w:r w:rsidRPr="00F81087">
        <w:rPr>
          <w:rFonts w:ascii="Cambria" w:hAnsi="Cambria"/>
          <w:b/>
          <w:sz w:val="20"/>
          <w:szCs w:val="20"/>
          <w:lang w:val="fr-FR"/>
        </w:rPr>
        <w:t>Tableau 19.43.1.</w:t>
      </w:r>
      <w:r w:rsidRPr="00F81087">
        <w:rPr>
          <w:rFonts w:ascii="Cambria" w:hAnsi="Cambria"/>
          <w:sz w:val="20"/>
          <w:szCs w:val="20"/>
          <w:lang w:val="fr-FR"/>
        </w:rPr>
        <w:t xml:space="preserve"> Orientation générale sur les indicateurs pour les EC du listao de l'Atlantique Ouest et calendrier pour la réalisation de l'évaluation.</w:t>
      </w:r>
    </w:p>
    <w:p w14:paraId="2764E006" w14:textId="77777777" w:rsidR="00F81087" w:rsidRPr="00F81087" w:rsidRDefault="00F81087" w:rsidP="00F81087">
      <w:pPr>
        <w:widowControl w:val="0"/>
        <w:suppressAutoHyphens/>
        <w:jc w:val="both"/>
        <w:rPr>
          <w:rFonts w:ascii="Cambria" w:eastAsia="Cambria" w:hAnsi="Cambria" w:cs="Cambria"/>
          <w:sz w:val="20"/>
          <w:szCs w:val="20"/>
          <w:lang w:val="fr-FR"/>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8"/>
        <w:gridCol w:w="1275"/>
        <w:gridCol w:w="3670"/>
        <w:gridCol w:w="2281"/>
      </w:tblGrid>
      <w:tr w:rsidR="00F81087" w:rsidRPr="007B779F" w14:paraId="78FD069E" w14:textId="77777777" w:rsidTr="007C17C6">
        <w:trPr>
          <w:trHeight w:val="285"/>
          <w:tblHeader/>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F3045E" w14:textId="77777777" w:rsidR="00F81087" w:rsidRPr="007B779F" w:rsidRDefault="00F81087" w:rsidP="007C17C6">
            <w:pPr>
              <w:widowControl w:val="0"/>
              <w:suppressAutoHyphens/>
              <w:ind w:right="143"/>
              <w:jc w:val="both"/>
              <w:rPr>
                <w:rFonts w:ascii="Cambria" w:eastAsia="Cambria" w:hAnsi="Cambria" w:cs="Cambria"/>
                <w:b/>
                <w:i/>
                <w:sz w:val="20"/>
                <w:szCs w:val="20"/>
              </w:rPr>
            </w:pPr>
            <w:r w:rsidRPr="007B779F">
              <w:rPr>
                <w:rFonts w:ascii="Cambria" w:hAnsi="Cambria"/>
                <w:b/>
                <w:i/>
                <w:sz w:val="20"/>
                <w:szCs w:val="20"/>
              </w:rPr>
              <w:t>Principe</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FB8135" w14:textId="77777777" w:rsidR="00F81087" w:rsidRPr="007B779F" w:rsidRDefault="00F81087" w:rsidP="007C17C6">
            <w:pPr>
              <w:widowControl w:val="0"/>
              <w:suppressAutoHyphens/>
              <w:ind w:right="158"/>
              <w:jc w:val="both"/>
              <w:rPr>
                <w:rFonts w:ascii="Cambria" w:eastAsia="Cambria" w:hAnsi="Cambria" w:cs="Cambria"/>
                <w:b/>
                <w:i/>
                <w:sz w:val="20"/>
                <w:szCs w:val="20"/>
              </w:rPr>
            </w:pPr>
            <w:proofErr w:type="spellStart"/>
            <w:r w:rsidRPr="007B779F">
              <w:rPr>
                <w:rFonts w:ascii="Cambria" w:hAnsi="Cambria"/>
                <w:b/>
                <w:i/>
                <w:sz w:val="20"/>
                <w:szCs w:val="20"/>
              </w:rPr>
              <w:t>Indicateur</w:t>
            </w:r>
            <w:proofErr w:type="spellEnd"/>
          </w:p>
        </w:tc>
        <w:tc>
          <w:tcPr>
            <w:tcW w:w="3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98C025" w14:textId="77777777" w:rsidR="00F81087" w:rsidRPr="007B779F" w:rsidRDefault="00F81087" w:rsidP="007C17C6">
            <w:pPr>
              <w:widowControl w:val="0"/>
              <w:suppressAutoHyphens/>
              <w:ind w:right="135"/>
              <w:jc w:val="both"/>
              <w:rPr>
                <w:rFonts w:ascii="Cambria" w:eastAsia="Cambria" w:hAnsi="Cambria" w:cs="Cambria"/>
                <w:b/>
                <w:i/>
                <w:sz w:val="20"/>
                <w:szCs w:val="20"/>
              </w:rPr>
            </w:pPr>
            <w:proofErr w:type="spellStart"/>
            <w:r w:rsidRPr="007B779F">
              <w:rPr>
                <w:rFonts w:ascii="Cambria" w:hAnsi="Cambria"/>
                <w:b/>
                <w:i/>
                <w:sz w:val="20"/>
                <w:szCs w:val="20"/>
              </w:rPr>
              <w:t>Critère</w:t>
            </w:r>
            <w:proofErr w:type="spellEnd"/>
          </w:p>
        </w:tc>
        <w:tc>
          <w:tcPr>
            <w:tcW w:w="2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1028E1" w14:textId="77777777" w:rsidR="00F81087" w:rsidRPr="007B779F" w:rsidRDefault="00F81087" w:rsidP="007C17C6">
            <w:pPr>
              <w:widowControl w:val="0"/>
              <w:suppressAutoHyphens/>
              <w:ind w:right="165"/>
              <w:jc w:val="both"/>
              <w:rPr>
                <w:rFonts w:ascii="Cambria" w:eastAsia="Cambria" w:hAnsi="Cambria" w:cs="Cambria"/>
                <w:b/>
                <w:i/>
                <w:sz w:val="20"/>
                <w:szCs w:val="20"/>
              </w:rPr>
            </w:pPr>
            <w:proofErr w:type="spellStart"/>
            <w:r w:rsidRPr="007B779F">
              <w:rPr>
                <w:rFonts w:ascii="Cambria" w:hAnsi="Cambria"/>
                <w:b/>
                <w:i/>
                <w:sz w:val="20"/>
                <w:szCs w:val="20"/>
              </w:rPr>
              <w:t>Fréquence</w:t>
            </w:r>
            <w:proofErr w:type="spellEnd"/>
          </w:p>
        </w:tc>
      </w:tr>
      <w:tr w:rsidR="00F81087" w:rsidRPr="007B779F" w14:paraId="2B4A23FC" w14:textId="77777777" w:rsidTr="007C17C6">
        <w:trPr>
          <w:trHeight w:val="1214"/>
        </w:trPr>
        <w:tc>
          <w:tcPr>
            <w:tcW w:w="183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F3D529" w14:textId="77777777" w:rsidR="00F81087" w:rsidRPr="00F81087" w:rsidRDefault="00F81087" w:rsidP="007C17C6">
            <w:pPr>
              <w:widowControl w:val="0"/>
              <w:suppressAutoHyphens/>
              <w:ind w:right="143"/>
              <w:jc w:val="both"/>
              <w:rPr>
                <w:rFonts w:ascii="Cambria" w:eastAsia="Cambria" w:hAnsi="Cambria" w:cs="Cambria"/>
                <w:sz w:val="20"/>
                <w:szCs w:val="20"/>
                <w:lang w:val="fr-FR"/>
              </w:rPr>
            </w:pPr>
          </w:p>
          <w:p w14:paraId="2E453FD1" w14:textId="77777777" w:rsidR="00F81087" w:rsidRPr="00F81087" w:rsidRDefault="00F81087" w:rsidP="007C17C6">
            <w:pPr>
              <w:widowControl w:val="0"/>
              <w:suppressAutoHyphens/>
              <w:ind w:right="143"/>
              <w:jc w:val="both"/>
              <w:rPr>
                <w:rFonts w:ascii="Cambria" w:eastAsia="Cambria" w:hAnsi="Cambria" w:cs="Cambria"/>
                <w:sz w:val="20"/>
                <w:szCs w:val="20"/>
                <w:lang w:val="fr-FR"/>
              </w:rPr>
            </w:pPr>
          </w:p>
          <w:p w14:paraId="31ADF810" w14:textId="77777777" w:rsidR="00F81087" w:rsidRPr="00F81087" w:rsidRDefault="00F81087" w:rsidP="007C17C6">
            <w:pPr>
              <w:widowControl w:val="0"/>
              <w:suppressAutoHyphens/>
              <w:ind w:right="143"/>
              <w:jc w:val="both"/>
              <w:rPr>
                <w:rFonts w:ascii="Cambria" w:eastAsia="Cambria" w:hAnsi="Cambria" w:cs="Cambria"/>
                <w:sz w:val="20"/>
                <w:szCs w:val="20"/>
                <w:lang w:val="fr-FR"/>
              </w:rPr>
            </w:pPr>
          </w:p>
          <w:p w14:paraId="7A124E0F" w14:textId="77777777" w:rsidR="00F81087" w:rsidRPr="00F81087" w:rsidRDefault="00F81087" w:rsidP="007C17C6">
            <w:pPr>
              <w:widowControl w:val="0"/>
              <w:suppressAutoHyphens/>
              <w:ind w:right="143"/>
              <w:jc w:val="both"/>
              <w:rPr>
                <w:rFonts w:ascii="Cambria" w:eastAsia="Cambria" w:hAnsi="Cambria" w:cs="Cambria"/>
                <w:sz w:val="20"/>
                <w:szCs w:val="20"/>
                <w:lang w:val="fr-FR"/>
              </w:rPr>
            </w:pPr>
          </w:p>
          <w:p w14:paraId="2B4983E5" w14:textId="77777777" w:rsidR="00F81087" w:rsidRPr="00F81087" w:rsidRDefault="00F81087" w:rsidP="007C17C6">
            <w:pPr>
              <w:widowControl w:val="0"/>
              <w:suppressAutoHyphens/>
              <w:ind w:right="143"/>
              <w:jc w:val="both"/>
              <w:rPr>
                <w:rFonts w:ascii="Cambria" w:eastAsia="Cambria" w:hAnsi="Cambria" w:cs="Cambria"/>
                <w:sz w:val="20"/>
                <w:szCs w:val="20"/>
                <w:lang w:val="fr-FR"/>
              </w:rPr>
            </w:pPr>
          </w:p>
          <w:p w14:paraId="3E55B824" w14:textId="77777777" w:rsidR="00F81087" w:rsidRPr="00F81087" w:rsidRDefault="00F81087" w:rsidP="007C17C6">
            <w:pPr>
              <w:widowControl w:val="0"/>
              <w:suppressAutoHyphens/>
              <w:ind w:right="143"/>
              <w:jc w:val="both"/>
              <w:rPr>
                <w:rFonts w:ascii="Cambria" w:eastAsia="Cambria" w:hAnsi="Cambria" w:cs="Cambria"/>
                <w:sz w:val="20"/>
                <w:szCs w:val="20"/>
                <w:lang w:val="fr-FR"/>
              </w:rPr>
            </w:pPr>
            <w:r w:rsidRPr="00F81087">
              <w:rPr>
                <w:rFonts w:ascii="Cambria" w:hAnsi="Cambria"/>
                <w:sz w:val="20"/>
                <w:szCs w:val="20"/>
                <w:lang w:val="fr-FR"/>
              </w:rPr>
              <w:lastRenderedPageBreak/>
              <w:t>a) Stock et dynamique de la pêcherie</w:t>
            </w:r>
          </w:p>
          <w:p w14:paraId="79860FA5" w14:textId="77777777" w:rsidR="00F81087" w:rsidRPr="00F81087" w:rsidRDefault="00F81087" w:rsidP="007C17C6">
            <w:pPr>
              <w:widowControl w:val="0"/>
              <w:suppressAutoHyphens/>
              <w:ind w:right="143"/>
              <w:jc w:val="both"/>
              <w:rPr>
                <w:rFonts w:ascii="Cambria" w:eastAsia="Cambria" w:hAnsi="Cambria" w:cs="Cambria"/>
                <w:sz w:val="20"/>
                <w:szCs w:val="20"/>
                <w:lang w:val="fr-FR"/>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133397" w14:textId="77777777" w:rsidR="00F81087" w:rsidRPr="00F81087" w:rsidRDefault="00F81087" w:rsidP="007C17C6">
            <w:pPr>
              <w:widowControl w:val="0"/>
              <w:suppressAutoHyphens/>
              <w:ind w:right="158"/>
              <w:jc w:val="both"/>
              <w:rPr>
                <w:rFonts w:ascii="Cambria" w:eastAsia="Cambria" w:hAnsi="Cambria" w:cs="Cambria"/>
                <w:sz w:val="20"/>
                <w:szCs w:val="20"/>
                <w:lang w:val="fr-FR"/>
              </w:rPr>
            </w:pPr>
          </w:p>
          <w:p w14:paraId="26AEEB11" w14:textId="77777777" w:rsidR="00F81087" w:rsidRPr="00F81087" w:rsidRDefault="00F81087" w:rsidP="007C17C6">
            <w:pPr>
              <w:widowControl w:val="0"/>
              <w:suppressAutoHyphens/>
              <w:ind w:right="158"/>
              <w:jc w:val="both"/>
              <w:rPr>
                <w:rFonts w:ascii="Cambria" w:eastAsia="Cambria" w:hAnsi="Cambria" w:cs="Cambria"/>
                <w:sz w:val="20"/>
                <w:szCs w:val="20"/>
                <w:lang w:val="fr-FR"/>
              </w:rPr>
            </w:pPr>
          </w:p>
          <w:p w14:paraId="1F7CC265" w14:textId="77777777" w:rsidR="00F81087" w:rsidRPr="007B779F" w:rsidRDefault="00F81087" w:rsidP="007C17C6">
            <w:pPr>
              <w:widowControl w:val="0"/>
              <w:suppressAutoHyphens/>
              <w:ind w:right="158"/>
              <w:jc w:val="both"/>
              <w:rPr>
                <w:rFonts w:ascii="Cambria" w:eastAsia="Cambria" w:hAnsi="Cambria" w:cs="Cambria"/>
                <w:sz w:val="20"/>
                <w:szCs w:val="20"/>
              </w:rPr>
            </w:pPr>
            <w:proofErr w:type="spellStart"/>
            <w:r w:rsidRPr="007B779F">
              <w:rPr>
                <w:rFonts w:ascii="Cambria" w:hAnsi="Cambria"/>
                <w:sz w:val="20"/>
                <w:szCs w:val="20"/>
              </w:rPr>
              <w:t>Indices</w:t>
            </w:r>
            <w:proofErr w:type="spellEnd"/>
          </w:p>
        </w:tc>
        <w:tc>
          <w:tcPr>
            <w:tcW w:w="3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3A60A8" w14:textId="77777777" w:rsidR="00F81087" w:rsidRPr="00F81087" w:rsidRDefault="00F81087" w:rsidP="007C17C6">
            <w:pPr>
              <w:widowControl w:val="0"/>
              <w:suppressAutoHyphens/>
              <w:ind w:right="135"/>
              <w:jc w:val="both"/>
              <w:rPr>
                <w:rFonts w:ascii="Cambria" w:eastAsia="Cambria" w:hAnsi="Cambria" w:cs="Cambria"/>
                <w:sz w:val="20"/>
                <w:szCs w:val="20"/>
                <w:lang w:val="fr-FR"/>
              </w:rPr>
            </w:pPr>
            <w:r w:rsidRPr="00F81087">
              <w:rPr>
                <w:rFonts w:ascii="Cambria" w:hAnsi="Cambria"/>
                <w:sz w:val="20"/>
                <w:szCs w:val="20"/>
                <w:lang w:val="fr-FR"/>
              </w:rPr>
              <w:t xml:space="preserve">Si, pour une année donnée, les valeurs observées de l'indice combiné se situent en dehors de la fourchette allant du percentile 2,5 au percentile 97,5 de l'indice combiné simulé utilisé dans les </w:t>
            </w:r>
            <w:r w:rsidRPr="00F81087">
              <w:rPr>
                <w:rFonts w:ascii="Cambria" w:hAnsi="Cambria"/>
                <w:sz w:val="20"/>
                <w:szCs w:val="20"/>
                <w:lang w:val="fr-FR"/>
              </w:rPr>
              <w:lastRenderedPageBreak/>
              <w:t>projections pour tester la MP adoptée.</w:t>
            </w:r>
          </w:p>
        </w:tc>
        <w:tc>
          <w:tcPr>
            <w:tcW w:w="2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9AB6D8" w14:textId="77777777" w:rsidR="00F81087" w:rsidRPr="00F81087" w:rsidRDefault="00F81087" w:rsidP="007C17C6">
            <w:pPr>
              <w:widowControl w:val="0"/>
              <w:suppressAutoHyphens/>
              <w:ind w:right="165"/>
              <w:jc w:val="both"/>
              <w:rPr>
                <w:rFonts w:ascii="Cambria" w:eastAsia="Cambria" w:hAnsi="Cambria" w:cs="Cambria"/>
                <w:sz w:val="20"/>
                <w:szCs w:val="20"/>
                <w:lang w:val="fr-FR"/>
              </w:rPr>
            </w:pPr>
          </w:p>
          <w:p w14:paraId="0C653D96" w14:textId="77777777" w:rsidR="00F81087" w:rsidRPr="00F81087" w:rsidRDefault="00F81087" w:rsidP="007C17C6">
            <w:pPr>
              <w:widowControl w:val="0"/>
              <w:suppressAutoHyphens/>
              <w:ind w:right="165"/>
              <w:jc w:val="both"/>
              <w:rPr>
                <w:rFonts w:ascii="Cambria" w:eastAsia="Cambria" w:hAnsi="Cambria" w:cs="Cambria"/>
                <w:sz w:val="20"/>
                <w:szCs w:val="20"/>
                <w:lang w:val="fr-FR"/>
              </w:rPr>
            </w:pPr>
          </w:p>
          <w:p w14:paraId="22F8510D" w14:textId="77777777" w:rsidR="00F81087" w:rsidRPr="007B779F" w:rsidRDefault="00F81087" w:rsidP="007C17C6">
            <w:pPr>
              <w:widowControl w:val="0"/>
              <w:suppressAutoHyphens/>
              <w:ind w:right="165"/>
              <w:jc w:val="both"/>
              <w:rPr>
                <w:rFonts w:ascii="Cambria" w:eastAsia="Cambria" w:hAnsi="Cambria" w:cs="Cambria"/>
                <w:sz w:val="20"/>
                <w:szCs w:val="20"/>
              </w:rPr>
            </w:pPr>
            <w:proofErr w:type="spellStart"/>
            <w:r w:rsidRPr="007B779F">
              <w:rPr>
                <w:rFonts w:ascii="Cambria" w:hAnsi="Cambria"/>
                <w:sz w:val="20"/>
                <w:szCs w:val="20"/>
              </w:rPr>
              <w:t>Annuellement</w:t>
            </w:r>
            <w:proofErr w:type="spellEnd"/>
          </w:p>
        </w:tc>
      </w:tr>
      <w:tr w:rsidR="00F81087" w:rsidRPr="00A515E4" w14:paraId="52D7F236" w14:textId="77777777" w:rsidTr="007C17C6">
        <w:trPr>
          <w:trHeight w:val="1915"/>
        </w:trPr>
        <w:tc>
          <w:tcPr>
            <w:tcW w:w="1838" w:type="dxa"/>
            <w:vMerge/>
            <w:vAlign w:val="center"/>
          </w:tcPr>
          <w:p w14:paraId="5653403B" w14:textId="77777777" w:rsidR="00F81087" w:rsidRPr="007B779F" w:rsidRDefault="00F81087" w:rsidP="007C17C6">
            <w:pPr>
              <w:widowControl w:val="0"/>
              <w:suppressAutoHyphens/>
              <w:ind w:right="143"/>
              <w:jc w:val="both"/>
              <w:rPr>
                <w:rFonts w:ascii="Cambria" w:eastAsia="Cambria" w:hAnsi="Cambria" w:cs="Cambria"/>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D3EE6D" w14:textId="77777777" w:rsidR="00F81087" w:rsidRPr="00F81087" w:rsidRDefault="00F81087" w:rsidP="007C17C6">
            <w:pPr>
              <w:widowControl w:val="0"/>
              <w:suppressAutoHyphens/>
              <w:ind w:right="158"/>
              <w:jc w:val="both"/>
              <w:rPr>
                <w:rFonts w:ascii="Cambria" w:eastAsia="Cambria" w:hAnsi="Cambria" w:cs="Cambria"/>
                <w:sz w:val="20"/>
                <w:szCs w:val="20"/>
                <w:lang w:val="fr-FR"/>
              </w:rPr>
            </w:pPr>
          </w:p>
          <w:p w14:paraId="276EA105" w14:textId="77777777" w:rsidR="00F81087" w:rsidRPr="00F81087" w:rsidRDefault="00F81087" w:rsidP="007C17C6">
            <w:pPr>
              <w:widowControl w:val="0"/>
              <w:suppressAutoHyphens/>
              <w:ind w:right="158"/>
              <w:jc w:val="both"/>
              <w:rPr>
                <w:rFonts w:ascii="Cambria" w:eastAsia="Cambria" w:hAnsi="Cambria" w:cs="Cambria"/>
                <w:sz w:val="20"/>
                <w:szCs w:val="20"/>
                <w:lang w:val="fr-FR"/>
              </w:rPr>
            </w:pPr>
          </w:p>
          <w:p w14:paraId="5A23F2FD" w14:textId="77777777" w:rsidR="00F81087" w:rsidRPr="00F81087" w:rsidRDefault="00F81087" w:rsidP="007C17C6">
            <w:pPr>
              <w:widowControl w:val="0"/>
              <w:suppressAutoHyphens/>
              <w:ind w:right="158"/>
              <w:jc w:val="both"/>
              <w:rPr>
                <w:rFonts w:ascii="Cambria" w:eastAsia="Cambria" w:hAnsi="Cambria" w:cs="Cambria"/>
                <w:sz w:val="20"/>
                <w:szCs w:val="20"/>
                <w:lang w:val="fr-FR"/>
              </w:rPr>
            </w:pPr>
            <w:r w:rsidRPr="00F81087">
              <w:rPr>
                <w:rFonts w:ascii="Cambria" w:hAnsi="Cambria"/>
                <w:sz w:val="20"/>
                <w:szCs w:val="20"/>
                <w:lang w:val="fr-FR"/>
              </w:rPr>
              <w:t>Abondance, cycle vital et dynamique des pêcheries</w:t>
            </w:r>
          </w:p>
        </w:tc>
        <w:tc>
          <w:tcPr>
            <w:tcW w:w="3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2DBA43" w14:textId="77777777" w:rsidR="00F81087" w:rsidRPr="00F81087" w:rsidRDefault="00F81087" w:rsidP="007C17C6">
            <w:pPr>
              <w:widowControl w:val="0"/>
              <w:suppressAutoHyphens/>
              <w:ind w:right="135"/>
              <w:jc w:val="both"/>
              <w:rPr>
                <w:rFonts w:ascii="Cambria" w:eastAsia="Cambria" w:hAnsi="Cambria" w:cs="Cambria"/>
                <w:sz w:val="20"/>
                <w:szCs w:val="20"/>
                <w:lang w:val="fr-FR"/>
              </w:rPr>
            </w:pPr>
            <w:r w:rsidRPr="00F81087">
              <w:rPr>
                <w:rFonts w:ascii="Cambria" w:hAnsi="Cambria"/>
                <w:sz w:val="20"/>
                <w:szCs w:val="20"/>
                <w:lang w:val="fr-FR"/>
              </w:rPr>
              <w:t>Lorsqu'il existe des preuves que le stock et/ou la dynamique de la pêcherie se trouve(nt) dans des états qui n'étaient pas auparavant et/ou ne sont plus considérés comme plausibles dans le contexte de la MSE ou lorsqu'il existe des preuves que les états du stock ou la dynamique de la pêcherie inclus dans les OM pour tester la MSE ne sont plus considérés comme plausibles.</w:t>
            </w:r>
          </w:p>
        </w:tc>
        <w:tc>
          <w:tcPr>
            <w:tcW w:w="2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4F7AD3" w14:textId="77777777" w:rsidR="00F81087" w:rsidRPr="00F81087" w:rsidRDefault="00F81087" w:rsidP="007C17C6">
            <w:pPr>
              <w:widowControl w:val="0"/>
              <w:suppressAutoHyphens/>
              <w:ind w:right="165"/>
              <w:jc w:val="both"/>
              <w:rPr>
                <w:rFonts w:ascii="Cambria" w:eastAsia="Cambria" w:hAnsi="Cambria" w:cs="Cambria"/>
                <w:sz w:val="20"/>
                <w:szCs w:val="20"/>
                <w:lang w:val="fr-FR"/>
              </w:rPr>
            </w:pPr>
            <w:r w:rsidRPr="00F81087">
              <w:rPr>
                <w:rFonts w:ascii="Cambria" w:hAnsi="Cambria"/>
                <w:sz w:val="20"/>
                <w:szCs w:val="20"/>
                <w:lang w:val="fr-FR"/>
              </w:rPr>
              <w:t>Dès que les informations sont disponibles et après achèvement, présentation et acceptation par le SCRS d'une étude comme nouvelle référence.</w:t>
            </w:r>
          </w:p>
          <w:p w14:paraId="3527CC5E" w14:textId="77777777" w:rsidR="00F81087" w:rsidRPr="00F81087" w:rsidRDefault="00F81087" w:rsidP="007C17C6">
            <w:pPr>
              <w:widowControl w:val="0"/>
              <w:suppressAutoHyphens/>
              <w:ind w:right="165"/>
              <w:jc w:val="both"/>
              <w:rPr>
                <w:rFonts w:ascii="Cambria" w:eastAsia="Cambria" w:hAnsi="Cambria" w:cs="Cambria"/>
                <w:sz w:val="20"/>
                <w:szCs w:val="20"/>
                <w:lang w:val="fr-FR"/>
              </w:rPr>
            </w:pPr>
          </w:p>
        </w:tc>
      </w:tr>
      <w:tr w:rsidR="00F81087" w:rsidRPr="007B779F" w14:paraId="3F388EF8" w14:textId="77777777" w:rsidTr="007C17C6">
        <w:trPr>
          <w:trHeight w:val="748"/>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73E712" w14:textId="77777777" w:rsidR="00F81087" w:rsidRPr="00F81087" w:rsidRDefault="00F81087" w:rsidP="007C17C6">
            <w:pPr>
              <w:widowControl w:val="0"/>
              <w:suppressAutoHyphens/>
              <w:ind w:right="143"/>
              <w:jc w:val="both"/>
              <w:rPr>
                <w:rFonts w:ascii="Cambria" w:eastAsia="Cambria" w:hAnsi="Cambria" w:cs="Cambria"/>
                <w:sz w:val="20"/>
                <w:szCs w:val="20"/>
                <w:lang w:val="fr-FR"/>
              </w:rPr>
            </w:pPr>
            <w:r w:rsidRPr="00F81087">
              <w:rPr>
                <w:rFonts w:ascii="Cambria" w:hAnsi="Cambria"/>
                <w:sz w:val="20"/>
                <w:szCs w:val="20"/>
                <w:lang w:val="fr-FR"/>
              </w:rPr>
              <w:t>b) Disponibilité des données pour la MP</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747522" w14:textId="77777777" w:rsidR="00F81087" w:rsidRPr="00F81087" w:rsidRDefault="00F81087" w:rsidP="007C17C6">
            <w:pPr>
              <w:widowControl w:val="0"/>
              <w:suppressAutoHyphens/>
              <w:ind w:right="158"/>
              <w:jc w:val="both"/>
              <w:rPr>
                <w:rFonts w:ascii="Cambria" w:eastAsia="Cambria" w:hAnsi="Cambria" w:cs="Cambria"/>
                <w:sz w:val="20"/>
                <w:szCs w:val="20"/>
                <w:lang w:val="fr-FR"/>
              </w:rPr>
            </w:pPr>
          </w:p>
          <w:p w14:paraId="0CBE59CB" w14:textId="77777777" w:rsidR="00F81087" w:rsidRPr="007B779F" w:rsidRDefault="00F81087" w:rsidP="007C17C6">
            <w:pPr>
              <w:widowControl w:val="0"/>
              <w:suppressAutoHyphens/>
              <w:ind w:right="158"/>
              <w:jc w:val="both"/>
              <w:rPr>
                <w:rFonts w:ascii="Cambria" w:eastAsia="Cambria" w:hAnsi="Cambria" w:cs="Cambria"/>
                <w:sz w:val="20"/>
                <w:szCs w:val="20"/>
              </w:rPr>
            </w:pPr>
            <w:proofErr w:type="spellStart"/>
            <w:r w:rsidRPr="007B779F">
              <w:rPr>
                <w:rFonts w:ascii="Cambria" w:hAnsi="Cambria"/>
                <w:sz w:val="20"/>
                <w:szCs w:val="20"/>
              </w:rPr>
              <w:t>Indices</w:t>
            </w:r>
            <w:proofErr w:type="spellEnd"/>
          </w:p>
        </w:tc>
        <w:tc>
          <w:tcPr>
            <w:tcW w:w="3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877C50" w14:textId="77777777" w:rsidR="00F81087" w:rsidRPr="00F81087" w:rsidRDefault="00F81087" w:rsidP="007C17C6">
            <w:pPr>
              <w:widowControl w:val="0"/>
              <w:suppressAutoHyphens/>
              <w:ind w:right="135"/>
              <w:jc w:val="both"/>
              <w:rPr>
                <w:rFonts w:ascii="Cambria" w:eastAsia="Cambria" w:hAnsi="Cambria" w:cs="Cambria"/>
                <w:sz w:val="20"/>
                <w:szCs w:val="20"/>
                <w:lang w:val="fr-FR"/>
              </w:rPr>
            </w:pPr>
            <w:r w:rsidRPr="00F81087">
              <w:rPr>
                <w:rFonts w:ascii="Cambria" w:hAnsi="Cambria"/>
                <w:sz w:val="20"/>
                <w:szCs w:val="20"/>
                <w:lang w:val="fr-FR"/>
              </w:rPr>
              <w:t xml:space="preserve">Si les données provenant du Brésil ou des deux autres pays (le Venezuela et les États-Unis) contribuant à l'indice combiné font défaut. </w:t>
            </w:r>
          </w:p>
        </w:tc>
        <w:tc>
          <w:tcPr>
            <w:tcW w:w="2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B8F269" w14:textId="77777777" w:rsidR="00F81087" w:rsidRPr="007B779F" w:rsidRDefault="00F81087" w:rsidP="007C17C6">
            <w:pPr>
              <w:widowControl w:val="0"/>
              <w:suppressAutoHyphens/>
              <w:ind w:right="165"/>
              <w:jc w:val="both"/>
              <w:rPr>
                <w:rFonts w:ascii="Cambria" w:eastAsia="Cambria" w:hAnsi="Cambria" w:cs="Cambria"/>
                <w:sz w:val="20"/>
                <w:szCs w:val="20"/>
              </w:rPr>
            </w:pPr>
            <w:proofErr w:type="spellStart"/>
            <w:r w:rsidRPr="007B779F">
              <w:rPr>
                <w:rFonts w:ascii="Cambria" w:hAnsi="Cambria"/>
                <w:sz w:val="20"/>
                <w:szCs w:val="20"/>
              </w:rPr>
              <w:t>Annuellement</w:t>
            </w:r>
            <w:proofErr w:type="spellEnd"/>
            <w:r w:rsidRPr="007B779F">
              <w:rPr>
                <w:rFonts w:ascii="Cambria" w:hAnsi="Cambria"/>
                <w:sz w:val="20"/>
                <w:szCs w:val="20"/>
              </w:rPr>
              <w:t xml:space="preserve"> </w:t>
            </w:r>
          </w:p>
        </w:tc>
      </w:tr>
      <w:tr w:rsidR="00F81087" w:rsidRPr="007B779F" w14:paraId="5A1A307B" w14:textId="77777777" w:rsidTr="007C17C6">
        <w:trPr>
          <w:trHeight w:val="558"/>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D19E5A" w14:textId="77777777" w:rsidR="00F81087" w:rsidRPr="00F81087" w:rsidRDefault="00F81087" w:rsidP="007C17C6">
            <w:pPr>
              <w:widowControl w:val="0"/>
              <w:suppressAutoHyphens/>
              <w:ind w:right="143"/>
              <w:jc w:val="both"/>
              <w:rPr>
                <w:rFonts w:ascii="Cambria" w:eastAsia="Cambria" w:hAnsi="Cambria" w:cs="Cambria"/>
                <w:sz w:val="20"/>
                <w:szCs w:val="20"/>
                <w:lang w:val="fr-FR"/>
              </w:rPr>
            </w:pPr>
            <w:r w:rsidRPr="00F81087">
              <w:rPr>
                <w:rFonts w:ascii="Cambria" w:hAnsi="Cambria"/>
                <w:sz w:val="20"/>
                <w:szCs w:val="20"/>
                <w:lang w:val="fr-FR"/>
              </w:rPr>
              <w:t>c) Mise en œuvre du TAC</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B4CFDE" w14:textId="77777777" w:rsidR="00F81087" w:rsidRPr="007B779F" w:rsidRDefault="00F81087" w:rsidP="007C17C6">
            <w:pPr>
              <w:widowControl w:val="0"/>
              <w:suppressAutoHyphens/>
              <w:ind w:right="158"/>
              <w:jc w:val="both"/>
              <w:rPr>
                <w:rFonts w:ascii="Cambria" w:eastAsia="Cambria" w:hAnsi="Cambria" w:cs="Cambria"/>
                <w:sz w:val="20"/>
                <w:szCs w:val="20"/>
              </w:rPr>
            </w:pPr>
            <w:r w:rsidRPr="007B779F">
              <w:rPr>
                <w:rFonts w:ascii="Cambria" w:hAnsi="Cambria"/>
                <w:sz w:val="20"/>
                <w:szCs w:val="20"/>
              </w:rPr>
              <w:t>Capture</w:t>
            </w:r>
          </w:p>
        </w:tc>
        <w:tc>
          <w:tcPr>
            <w:tcW w:w="3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974427" w14:textId="77777777" w:rsidR="00F81087" w:rsidRPr="00F81087" w:rsidRDefault="00F81087" w:rsidP="007C17C6">
            <w:pPr>
              <w:widowControl w:val="0"/>
              <w:suppressAutoHyphens/>
              <w:ind w:right="135"/>
              <w:jc w:val="both"/>
              <w:rPr>
                <w:rFonts w:ascii="Cambria" w:eastAsia="Cambria" w:hAnsi="Cambria" w:cs="Cambria"/>
                <w:sz w:val="20"/>
                <w:szCs w:val="20"/>
                <w:lang w:val="fr-FR"/>
              </w:rPr>
            </w:pPr>
            <w:r w:rsidRPr="00F81087">
              <w:rPr>
                <w:rFonts w:ascii="Cambria" w:hAnsi="Cambria"/>
                <w:sz w:val="20"/>
                <w:szCs w:val="20"/>
                <w:lang w:val="fr-FR"/>
              </w:rPr>
              <w:t>Si la prise totale dépasse de 5% ou plus le TAC établi au moyen de la MP pendant deux années consécutives.</w:t>
            </w:r>
          </w:p>
        </w:tc>
        <w:tc>
          <w:tcPr>
            <w:tcW w:w="2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1E511A" w14:textId="77777777" w:rsidR="00F81087" w:rsidRPr="007B779F" w:rsidRDefault="00F81087" w:rsidP="007C17C6">
            <w:pPr>
              <w:widowControl w:val="0"/>
              <w:suppressAutoHyphens/>
              <w:ind w:right="165"/>
              <w:jc w:val="both"/>
              <w:rPr>
                <w:rFonts w:ascii="Cambria" w:eastAsia="Cambria" w:hAnsi="Cambria" w:cs="Cambria"/>
                <w:sz w:val="20"/>
                <w:szCs w:val="20"/>
              </w:rPr>
            </w:pPr>
            <w:proofErr w:type="spellStart"/>
            <w:r w:rsidRPr="007B779F">
              <w:rPr>
                <w:rFonts w:ascii="Cambria" w:hAnsi="Cambria"/>
                <w:sz w:val="20"/>
                <w:szCs w:val="20"/>
              </w:rPr>
              <w:t>Annuellement</w:t>
            </w:r>
            <w:proofErr w:type="spellEnd"/>
          </w:p>
        </w:tc>
      </w:tr>
    </w:tbl>
    <w:p w14:paraId="39C2B6F3" w14:textId="77777777" w:rsidR="00F81087" w:rsidRPr="007B779F" w:rsidRDefault="00F81087" w:rsidP="00F81087">
      <w:pPr>
        <w:widowControl w:val="0"/>
        <w:suppressAutoHyphens/>
        <w:jc w:val="both"/>
        <w:rPr>
          <w:rFonts w:ascii="Cambria" w:eastAsia="Cambria" w:hAnsi="Cambria" w:cs="Cambria"/>
          <w:sz w:val="20"/>
          <w:szCs w:val="20"/>
        </w:rPr>
      </w:pPr>
    </w:p>
    <w:p w14:paraId="7DF16110" w14:textId="77777777" w:rsidR="00F81087" w:rsidRPr="00F81087" w:rsidRDefault="00F81087" w:rsidP="00F81087">
      <w:pPr>
        <w:widowControl w:val="0"/>
        <w:numPr>
          <w:ilvl w:val="0"/>
          <w:numId w:val="44"/>
        </w:numPr>
        <w:suppressAutoHyphens/>
        <w:jc w:val="both"/>
        <w:rPr>
          <w:rFonts w:ascii="Cambria" w:eastAsia="Cambria" w:hAnsi="Cambria" w:cs="Cambria"/>
          <w:b/>
          <w:bCs/>
          <w:sz w:val="20"/>
          <w:szCs w:val="20"/>
          <w:lang w:val="fr-FR"/>
        </w:rPr>
      </w:pPr>
      <w:r w:rsidRPr="00F81087">
        <w:rPr>
          <w:rFonts w:ascii="Cambria" w:hAnsi="Cambria"/>
          <w:b/>
          <w:sz w:val="20"/>
          <w:szCs w:val="20"/>
          <w:lang w:val="fr-FR"/>
        </w:rPr>
        <w:t>Mesures à prendre en cas de EC</w:t>
      </w:r>
    </w:p>
    <w:p w14:paraId="3025AC62" w14:textId="77777777" w:rsidR="00F81087" w:rsidRPr="00F81087" w:rsidRDefault="00F81087" w:rsidP="00F81087">
      <w:pPr>
        <w:widowControl w:val="0"/>
        <w:suppressAutoHyphens/>
        <w:jc w:val="both"/>
        <w:rPr>
          <w:rFonts w:ascii="Cambria" w:eastAsia="Cambria" w:hAnsi="Cambria" w:cs="Cambria"/>
          <w:b/>
          <w:sz w:val="20"/>
          <w:szCs w:val="20"/>
          <w:lang w:val="fr-FR"/>
        </w:rPr>
      </w:pPr>
    </w:p>
    <w:p w14:paraId="3052F1F6" w14:textId="77777777" w:rsidR="00F81087" w:rsidRPr="00F81087" w:rsidRDefault="00F81087" w:rsidP="00F81087">
      <w:pPr>
        <w:widowControl w:val="0"/>
        <w:suppressAutoHyphens/>
        <w:jc w:val="both"/>
        <w:rPr>
          <w:rFonts w:ascii="Cambria" w:eastAsia="Cambria" w:hAnsi="Cambria" w:cs="Cambria"/>
          <w:sz w:val="20"/>
          <w:szCs w:val="20"/>
          <w:lang w:val="fr-FR"/>
        </w:rPr>
      </w:pPr>
      <w:r w:rsidRPr="00F81087">
        <w:rPr>
          <w:rFonts w:ascii="Cambria" w:hAnsi="Cambria"/>
          <w:sz w:val="20"/>
          <w:szCs w:val="20"/>
          <w:lang w:val="fr-FR"/>
        </w:rPr>
        <w:t>Si le SCRS détermine que des EC empêchent l'application de la MP ou rendent l'application de la MP ou la mise en œuvre de ses résultats déconseillée sur la base des principes décrits dans la section 1, le SCRS devra évaluer la nature de l’EC et conseiller la Commission en ce qui concerne :</w:t>
      </w:r>
    </w:p>
    <w:p w14:paraId="79193358" w14:textId="77777777" w:rsidR="00F81087" w:rsidRPr="00F81087" w:rsidRDefault="00F81087" w:rsidP="00F81087">
      <w:pPr>
        <w:widowControl w:val="0"/>
        <w:suppressAutoHyphens/>
        <w:jc w:val="both"/>
        <w:rPr>
          <w:rFonts w:ascii="Cambria" w:eastAsia="Cambria" w:hAnsi="Cambria" w:cs="Cambria"/>
          <w:sz w:val="20"/>
          <w:szCs w:val="20"/>
          <w:lang w:val="fr-FR"/>
        </w:rPr>
      </w:pPr>
    </w:p>
    <w:p w14:paraId="56D3B406" w14:textId="77777777" w:rsidR="00F81087" w:rsidRPr="00F81087" w:rsidRDefault="00F81087" w:rsidP="00F81087">
      <w:pPr>
        <w:widowControl w:val="0"/>
        <w:numPr>
          <w:ilvl w:val="1"/>
          <w:numId w:val="44"/>
        </w:numPr>
        <w:suppressAutoHyphens/>
        <w:jc w:val="both"/>
        <w:rPr>
          <w:rFonts w:ascii="Cambria" w:eastAsia="Cambria" w:hAnsi="Cambria" w:cs="Cambria"/>
          <w:sz w:val="20"/>
          <w:szCs w:val="20"/>
          <w:lang w:val="fr-FR"/>
        </w:rPr>
      </w:pPr>
      <w:r w:rsidRPr="00F81087">
        <w:rPr>
          <w:rFonts w:ascii="Cambria" w:hAnsi="Cambria"/>
          <w:sz w:val="20"/>
          <w:szCs w:val="20"/>
          <w:lang w:val="fr-FR"/>
        </w:rPr>
        <w:t>Des recherches supplémentaires qui pourraient apporter plus de clarté sur la nécessité de s'écarter du calendrier actuel de révision des MP et du TAC.</w:t>
      </w:r>
    </w:p>
    <w:p w14:paraId="12AE2A2A" w14:textId="77777777" w:rsidR="00F81087" w:rsidRPr="00F81087" w:rsidRDefault="00F81087" w:rsidP="00F81087">
      <w:pPr>
        <w:widowControl w:val="0"/>
        <w:suppressAutoHyphens/>
        <w:jc w:val="both"/>
        <w:rPr>
          <w:rFonts w:ascii="Cambria" w:eastAsia="Cambria" w:hAnsi="Cambria" w:cs="Cambria"/>
          <w:sz w:val="20"/>
          <w:szCs w:val="20"/>
          <w:lang w:val="fr-FR"/>
        </w:rPr>
      </w:pPr>
    </w:p>
    <w:p w14:paraId="3E945AE2" w14:textId="77777777" w:rsidR="00F81087" w:rsidRPr="00F81087" w:rsidRDefault="00F81087" w:rsidP="00F81087">
      <w:pPr>
        <w:widowControl w:val="0"/>
        <w:numPr>
          <w:ilvl w:val="1"/>
          <w:numId w:val="44"/>
        </w:numPr>
        <w:suppressAutoHyphens/>
        <w:jc w:val="both"/>
        <w:rPr>
          <w:rFonts w:ascii="Cambria" w:eastAsia="Cambria" w:hAnsi="Cambria" w:cs="Cambria"/>
          <w:sz w:val="20"/>
          <w:szCs w:val="20"/>
          <w:lang w:val="fr-FR"/>
        </w:rPr>
      </w:pPr>
      <w:r w:rsidRPr="00F81087">
        <w:rPr>
          <w:rFonts w:ascii="Cambria" w:hAnsi="Cambria"/>
          <w:sz w:val="20"/>
          <w:szCs w:val="20"/>
          <w:lang w:val="fr-FR"/>
        </w:rPr>
        <w:t>Options de gestion alternatives pour la prochaine année de pêche visant à assurer, au minimum, la stabilité de l'état du stock, y compris les implications : (i) le maintien de l’avis sur le TAC établi dans le cadre de la MP, (ii) la réduction de l’avis sur le TAC à la lumière des indications de déclin du stock, (iii) l'augmentation de l’avis sur le TAC à la lumière des indications d'augmentation du stock qui n'ont pas été jugées plausibles au cours des tests de la MSE, et (iv) toute autre mesure de conservation et de gestion appropriée ;</w:t>
      </w:r>
    </w:p>
    <w:p w14:paraId="5C6F70D5" w14:textId="77777777" w:rsidR="00F81087" w:rsidRPr="00F81087" w:rsidRDefault="00F81087" w:rsidP="00F81087">
      <w:pPr>
        <w:widowControl w:val="0"/>
        <w:suppressAutoHyphens/>
        <w:jc w:val="both"/>
        <w:rPr>
          <w:rFonts w:ascii="Cambria" w:eastAsia="Cambria" w:hAnsi="Cambria" w:cs="Cambria"/>
          <w:sz w:val="20"/>
          <w:szCs w:val="20"/>
          <w:lang w:val="fr-FR"/>
        </w:rPr>
      </w:pPr>
    </w:p>
    <w:p w14:paraId="3A488853" w14:textId="77777777" w:rsidR="00F81087" w:rsidRPr="00F81087" w:rsidRDefault="00F81087" w:rsidP="00F81087">
      <w:pPr>
        <w:widowControl w:val="0"/>
        <w:numPr>
          <w:ilvl w:val="1"/>
          <w:numId w:val="44"/>
        </w:numPr>
        <w:suppressAutoHyphens/>
        <w:jc w:val="both"/>
        <w:rPr>
          <w:rFonts w:ascii="Cambria" w:eastAsia="Cambria" w:hAnsi="Cambria" w:cs="Cambria"/>
          <w:sz w:val="20"/>
          <w:szCs w:val="20"/>
          <w:lang w:val="fr-FR"/>
        </w:rPr>
      </w:pPr>
      <w:r w:rsidRPr="00F81087">
        <w:rPr>
          <w:rFonts w:ascii="Cambria" w:hAnsi="Cambria"/>
          <w:sz w:val="20"/>
          <w:szCs w:val="20"/>
          <w:lang w:val="fr-FR"/>
        </w:rPr>
        <w:t>La question de savoir si la MP existante devrait être ajustée ou si une nouvelle MP doit être développée ; et</w:t>
      </w:r>
    </w:p>
    <w:p w14:paraId="0BA2B60A" w14:textId="77777777" w:rsidR="00F81087" w:rsidRPr="00F81087" w:rsidRDefault="00F81087" w:rsidP="00F81087">
      <w:pPr>
        <w:widowControl w:val="0"/>
        <w:suppressAutoHyphens/>
        <w:jc w:val="both"/>
        <w:rPr>
          <w:rFonts w:ascii="Cambria" w:eastAsia="Cambria" w:hAnsi="Cambria" w:cs="Cambria"/>
          <w:sz w:val="20"/>
          <w:szCs w:val="20"/>
          <w:lang w:val="fr-FR"/>
        </w:rPr>
      </w:pPr>
    </w:p>
    <w:p w14:paraId="7C2E67F5" w14:textId="77777777" w:rsidR="00F81087" w:rsidRPr="00F81087" w:rsidRDefault="00F81087" w:rsidP="00F81087">
      <w:pPr>
        <w:widowControl w:val="0"/>
        <w:numPr>
          <w:ilvl w:val="1"/>
          <w:numId w:val="44"/>
        </w:numPr>
        <w:suppressAutoHyphens/>
        <w:jc w:val="both"/>
        <w:rPr>
          <w:rFonts w:ascii="Cambria" w:eastAsia="Cambria" w:hAnsi="Cambria" w:cs="Cambria"/>
          <w:sz w:val="20"/>
          <w:szCs w:val="20"/>
          <w:lang w:val="fr-FR"/>
        </w:rPr>
      </w:pPr>
      <w:r w:rsidRPr="00F81087">
        <w:rPr>
          <w:rFonts w:ascii="Cambria" w:hAnsi="Cambria"/>
          <w:sz w:val="20"/>
          <w:szCs w:val="20"/>
          <w:lang w:val="fr-FR"/>
        </w:rPr>
        <w:t>Si une évaluation du stock ou une autre méthode approuvée par le SCRS pour déterminer les TAC est nécessaire pour fournir un avis de gestion dans l'intervalle, pendant qu'une MP révisée est élaborée.</w:t>
      </w:r>
    </w:p>
    <w:p w14:paraId="1B572967" w14:textId="77777777" w:rsidR="00F81087" w:rsidRPr="00F81087" w:rsidRDefault="00F81087" w:rsidP="00F81087">
      <w:pPr>
        <w:widowControl w:val="0"/>
        <w:suppressAutoHyphens/>
        <w:jc w:val="both"/>
        <w:rPr>
          <w:rFonts w:ascii="Cambria" w:eastAsia="Cambria" w:hAnsi="Cambria" w:cs="Cambria"/>
          <w:sz w:val="20"/>
          <w:szCs w:val="20"/>
          <w:lang w:val="fr-FR"/>
        </w:rPr>
      </w:pPr>
    </w:p>
    <w:p w14:paraId="79DC1095" w14:textId="77777777" w:rsidR="00F81087" w:rsidRPr="00F81087" w:rsidRDefault="00F81087" w:rsidP="00F81087">
      <w:pPr>
        <w:widowControl w:val="0"/>
        <w:suppressAutoHyphens/>
        <w:jc w:val="both"/>
        <w:rPr>
          <w:rFonts w:ascii="Cambria" w:eastAsia="Cambria" w:hAnsi="Cambria" w:cs="Cambria"/>
          <w:sz w:val="20"/>
          <w:szCs w:val="20"/>
          <w:lang w:val="fr-FR"/>
        </w:rPr>
      </w:pPr>
      <w:r w:rsidRPr="00F81087">
        <w:rPr>
          <w:rFonts w:ascii="Cambria" w:hAnsi="Cambria"/>
          <w:sz w:val="20"/>
          <w:szCs w:val="20"/>
          <w:lang w:val="fr-FR"/>
        </w:rPr>
        <w:t>Sur la base de l'avis du SCRS sur ce qui précède, la Commission devra décider de la ou des mesures de gestion alternatives à prendre. Si nécessaire et approprié, le SCRS devra réaliser une nouvelle évaluation du stock et/ou formuler un avis sur les nouvelles MP potentielles, dès que possible.</w:t>
      </w:r>
    </w:p>
    <w:p w14:paraId="0A751EDD" w14:textId="77777777" w:rsidR="00F81087" w:rsidRPr="00F81087" w:rsidRDefault="00F81087" w:rsidP="00F81087">
      <w:pPr>
        <w:rPr>
          <w:rFonts w:ascii="Cambria" w:hAnsi="Cambria"/>
          <w:sz w:val="20"/>
          <w:szCs w:val="20"/>
          <w:lang w:val="fr-FR"/>
        </w:rPr>
      </w:pPr>
    </w:p>
    <w:p w14:paraId="4A2DCC24" w14:textId="77777777" w:rsidR="00F81087" w:rsidRPr="00F81087" w:rsidRDefault="00F81087" w:rsidP="00F81087">
      <w:pPr>
        <w:widowControl w:val="0"/>
        <w:suppressAutoHyphens/>
        <w:jc w:val="both"/>
        <w:rPr>
          <w:rFonts w:ascii="Cambria" w:eastAsia="Cambria" w:hAnsi="Cambria" w:cs="Cambria"/>
          <w:sz w:val="20"/>
          <w:szCs w:val="20"/>
          <w:lang w:val="fr-FR"/>
        </w:rPr>
      </w:pPr>
      <w:r w:rsidRPr="00F81087">
        <w:rPr>
          <w:rFonts w:ascii="Cambria" w:hAnsi="Cambria"/>
          <w:sz w:val="20"/>
          <w:szCs w:val="20"/>
          <w:lang w:val="fr-FR"/>
        </w:rPr>
        <w:t>Voir le diagramme ci-dessous pour une représentation schématique du processus décrit ci-dessus :</w:t>
      </w:r>
    </w:p>
    <w:p w14:paraId="59FD6255" w14:textId="77777777" w:rsidR="00F81087" w:rsidRPr="00F81087" w:rsidRDefault="00F81087" w:rsidP="00F81087">
      <w:pPr>
        <w:widowControl w:val="0"/>
        <w:suppressAutoHyphens/>
        <w:jc w:val="both"/>
        <w:rPr>
          <w:rFonts w:ascii="Cambria" w:eastAsia="Cambria" w:hAnsi="Cambria" w:cs="Cambria"/>
          <w:sz w:val="20"/>
          <w:szCs w:val="20"/>
          <w:lang w:val="fr-FR"/>
        </w:rPr>
      </w:pPr>
    </w:p>
    <w:p w14:paraId="68B24E3D" w14:textId="77777777" w:rsidR="00F81087" w:rsidRPr="00F81087" w:rsidRDefault="00F81087" w:rsidP="00F81087">
      <w:pPr>
        <w:widowControl w:val="0"/>
        <w:suppressAutoHyphens/>
        <w:jc w:val="both"/>
        <w:rPr>
          <w:rFonts w:ascii="Cambria" w:eastAsia="Cambria" w:hAnsi="Cambria" w:cs="Cambria"/>
          <w:sz w:val="20"/>
          <w:szCs w:val="20"/>
          <w:lang w:val="fr-FR"/>
        </w:rPr>
      </w:pPr>
      <w:r w:rsidRPr="00F81087">
        <w:rPr>
          <w:rFonts w:ascii="Cambria" w:hAnsi="Cambria"/>
          <w:sz w:val="20"/>
          <w:szCs w:val="20"/>
          <w:lang w:val="fr-FR"/>
        </w:rPr>
        <w:t xml:space="preserve">Le SCRS devra vérifier l'existence des EC à l'aide des indicateurs et des critères spécifiés au </w:t>
      </w:r>
      <w:r w:rsidRPr="00F81087">
        <w:rPr>
          <w:rFonts w:ascii="Cambria" w:hAnsi="Cambria"/>
          <w:b/>
          <w:sz w:val="20"/>
          <w:szCs w:val="20"/>
          <w:lang w:val="fr-FR"/>
        </w:rPr>
        <w:t>tableau 19.43.1</w:t>
      </w:r>
      <w:r w:rsidRPr="00F81087">
        <w:rPr>
          <w:rFonts w:ascii="Cambria" w:hAnsi="Cambria"/>
          <w:sz w:val="20"/>
          <w:szCs w:val="20"/>
          <w:lang w:val="fr-FR"/>
        </w:rPr>
        <w:t xml:space="preserve"> et selon la fréquence indiquée.</w:t>
      </w:r>
    </w:p>
    <w:p w14:paraId="1B706190" w14:textId="77777777" w:rsidR="00F81087" w:rsidRPr="00F81087" w:rsidRDefault="00F81087" w:rsidP="00F81087">
      <w:pPr>
        <w:widowControl w:val="0"/>
        <w:suppressAutoHyphens/>
        <w:jc w:val="both"/>
        <w:rPr>
          <w:rFonts w:ascii="Cambria" w:eastAsia="Cambria" w:hAnsi="Cambria" w:cs="Cambria"/>
          <w:sz w:val="20"/>
          <w:szCs w:val="20"/>
          <w:lang w:val="fr-FR"/>
        </w:rPr>
        <w:sectPr w:rsidR="00F81087" w:rsidRPr="00F81087" w:rsidSect="00F81087">
          <w:headerReference w:type="default" r:id="rId32"/>
          <w:footerReference w:type="default" r:id="rId33"/>
          <w:pgSz w:w="11907" w:h="16840" w:code="9"/>
          <w:pgMar w:top="1418" w:right="1418" w:bottom="1418" w:left="1418" w:header="851" w:footer="1134" w:gutter="0"/>
          <w:cols w:space="720"/>
        </w:sectPr>
      </w:pPr>
    </w:p>
    <w:p w14:paraId="415B9E44" w14:textId="77777777" w:rsidR="00F81087" w:rsidRPr="007B779F" w:rsidRDefault="00F81087" w:rsidP="00F81087">
      <w:pPr>
        <w:widowControl w:val="0"/>
        <w:suppressAutoHyphens/>
        <w:jc w:val="both"/>
        <w:rPr>
          <w:rFonts w:ascii="Cambria" w:hAnsi="Cambria"/>
          <w:sz w:val="20"/>
          <w:szCs w:val="20"/>
        </w:rPr>
      </w:pPr>
      <w:proofErr w:type="spellStart"/>
      <w:r w:rsidRPr="007B779F">
        <w:rPr>
          <w:rFonts w:ascii="Cambria" w:hAnsi="Cambria"/>
          <w:sz w:val="20"/>
          <w:szCs w:val="20"/>
        </w:rPr>
        <w:lastRenderedPageBreak/>
        <w:t>Années</w:t>
      </w:r>
      <w:proofErr w:type="spellEnd"/>
      <w:r w:rsidRPr="007B779F">
        <w:rPr>
          <w:rFonts w:ascii="Cambria" w:hAnsi="Cambria"/>
          <w:sz w:val="20"/>
          <w:szCs w:val="20"/>
        </w:rPr>
        <w:t xml:space="preserve"> 1 et </w:t>
      </w:r>
      <w:proofErr w:type="gramStart"/>
      <w:r w:rsidRPr="007B779F">
        <w:rPr>
          <w:rFonts w:ascii="Cambria" w:hAnsi="Cambria"/>
          <w:sz w:val="20"/>
          <w:szCs w:val="20"/>
        </w:rPr>
        <w:t>2 :</w:t>
      </w:r>
      <w:proofErr w:type="gramEnd"/>
    </w:p>
    <w:p w14:paraId="72D35F15" w14:textId="77777777" w:rsidR="00F81087" w:rsidRPr="007B779F" w:rsidRDefault="00F81087" w:rsidP="00F81087">
      <w:pPr>
        <w:widowControl w:val="0"/>
        <w:suppressAutoHyphens/>
        <w:jc w:val="both"/>
        <w:rPr>
          <w:rFonts w:ascii="Cambria" w:eastAsia="Cambria" w:hAnsi="Cambria" w:cs="Cambria"/>
          <w:sz w:val="20"/>
          <w:szCs w:val="20"/>
        </w:rPr>
      </w:pPr>
    </w:p>
    <w:p w14:paraId="31F3944D" w14:textId="77777777" w:rsidR="00F81087" w:rsidRPr="00F81087" w:rsidRDefault="00F81087" w:rsidP="00F81087">
      <w:pPr>
        <w:widowControl w:val="0"/>
        <w:numPr>
          <w:ilvl w:val="3"/>
          <w:numId w:val="47"/>
        </w:numPr>
        <w:suppressAutoHyphens/>
        <w:jc w:val="both"/>
        <w:rPr>
          <w:rFonts w:ascii="Cambria" w:eastAsia="Cambria" w:hAnsi="Cambria" w:cs="Cambria"/>
          <w:sz w:val="20"/>
          <w:szCs w:val="20"/>
          <w:lang w:val="fr-FR"/>
        </w:rPr>
      </w:pPr>
      <w:r w:rsidRPr="00F81087">
        <w:rPr>
          <w:rFonts w:ascii="Cambria" w:hAnsi="Cambria"/>
          <w:sz w:val="20"/>
          <w:szCs w:val="20"/>
          <w:lang w:val="fr-FR"/>
        </w:rPr>
        <w:t>Mettre à jour l'indice d'abondance combiné</w:t>
      </w:r>
    </w:p>
    <w:p w14:paraId="688D288F" w14:textId="77777777" w:rsidR="00F81087" w:rsidRPr="00F81087" w:rsidRDefault="00F81087" w:rsidP="00F81087">
      <w:pPr>
        <w:widowControl w:val="0"/>
        <w:numPr>
          <w:ilvl w:val="2"/>
          <w:numId w:val="44"/>
        </w:numPr>
        <w:suppressAutoHyphens/>
        <w:jc w:val="both"/>
        <w:rPr>
          <w:rFonts w:ascii="Cambria" w:eastAsia="Cambria" w:hAnsi="Cambria" w:cs="Cambria"/>
          <w:sz w:val="20"/>
          <w:szCs w:val="20"/>
          <w:lang w:val="fr-FR"/>
        </w:rPr>
      </w:pPr>
      <w:r w:rsidRPr="00F81087">
        <w:rPr>
          <w:rFonts w:ascii="Cambria" w:hAnsi="Cambria"/>
          <w:sz w:val="20"/>
          <w:szCs w:val="20"/>
          <w:lang w:val="fr-FR"/>
        </w:rPr>
        <w:t>Mettre à jour la capture.</w:t>
      </w:r>
    </w:p>
    <w:p w14:paraId="0A59E6F2" w14:textId="77777777" w:rsidR="00F81087" w:rsidRPr="00F81087" w:rsidRDefault="00F81087" w:rsidP="00F81087">
      <w:pPr>
        <w:widowControl w:val="0"/>
        <w:numPr>
          <w:ilvl w:val="2"/>
          <w:numId w:val="44"/>
        </w:numPr>
        <w:suppressAutoHyphens/>
        <w:jc w:val="both"/>
        <w:rPr>
          <w:rFonts w:ascii="Cambria" w:eastAsia="Cambria" w:hAnsi="Cambria" w:cs="Cambria"/>
          <w:sz w:val="20"/>
          <w:szCs w:val="20"/>
          <w:lang w:val="fr-FR"/>
        </w:rPr>
      </w:pPr>
      <w:r w:rsidRPr="00F81087">
        <w:rPr>
          <w:rFonts w:ascii="Cambria" w:hAnsi="Cambria"/>
          <w:sz w:val="20"/>
          <w:szCs w:val="20"/>
          <w:lang w:val="fr-FR"/>
        </w:rPr>
        <w:t>Examiner les preuves que les états du stock et la dynamique de la pêcherie se trouvent dans des états qui n'étaient pas auparavant et/ou ne sont plus considérés comme plausibles dans le contexte de la MSE ou lorsqu'il existe des preuves que les états du stock ou la dynamique de la pêcherie inclus dans les OM pour tester la MSE ne sont plus considérés comme plausibles, et toute autre information pertinente.</w:t>
      </w:r>
    </w:p>
    <w:p w14:paraId="35FD8218" w14:textId="77777777" w:rsidR="00F81087" w:rsidRPr="00F81087" w:rsidRDefault="00F81087" w:rsidP="00F81087">
      <w:pPr>
        <w:widowControl w:val="0"/>
        <w:suppressAutoHyphens/>
        <w:jc w:val="both"/>
        <w:rPr>
          <w:rFonts w:ascii="Cambria" w:hAnsi="Cambria"/>
          <w:sz w:val="20"/>
          <w:szCs w:val="20"/>
          <w:lang w:val="fr-FR"/>
        </w:rPr>
      </w:pPr>
    </w:p>
    <w:p w14:paraId="5974A4B0" w14:textId="77777777" w:rsidR="00F81087" w:rsidRPr="007B779F" w:rsidRDefault="00F81087" w:rsidP="00F81087">
      <w:pPr>
        <w:widowControl w:val="0"/>
        <w:suppressAutoHyphens/>
        <w:jc w:val="both"/>
        <w:rPr>
          <w:rFonts w:ascii="Cambria" w:hAnsi="Cambria"/>
          <w:sz w:val="20"/>
          <w:szCs w:val="20"/>
        </w:rPr>
      </w:pPr>
      <w:proofErr w:type="spellStart"/>
      <w:r w:rsidRPr="007B779F">
        <w:rPr>
          <w:rFonts w:ascii="Cambria" w:hAnsi="Cambria"/>
          <w:sz w:val="20"/>
          <w:szCs w:val="20"/>
        </w:rPr>
        <w:t>Année</w:t>
      </w:r>
      <w:proofErr w:type="spellEnd"/>
      <w:r w:rsidRPr="007B779F">
        <w:rPr>
          <w:rFonts w:ascii="Cambria" w:hAnsi="Cambria"/>
          <w:sz w:val="20"/>
          <w:szCs w:val="20"/>
        </w:rPr>
        <w:t xml:space="preserve"> </w:t>
      </w:r>
      <w:proofErr w:type="gramStart"/>
      <w:r w:rsidRPr="007B779F">
        <w:rPr>
          <w:rFonts w:ascii="Cambria" w:hAnsi="Cambria"/>
          <w:sz w:val="20"/>
          <w:szCs w:val="20"/>
        </w:rPr>
        <w:t>3 :</w:t>
      </w:r>
      <w:proofErr w:type="gramEnd"/>
    </w:p>
    <w:p w14:paraId="6ADEE933" w14:textId="77777777" w:rsidR="00F81087" w:rsidRPr="007B779F" w:rsidRDefault="00F81087" w:rsidP="00F81087">
      <w:pPr>
        <w:widowControl w:val="0"/>
        <w:suppressAutoHyphens/>
        <w:jc w:val="both"/>
        <w:rPr>
          <w:rFonts w:ascii="Cambria" w:eastAsia="Cambria" w:hAnsi="Cambria" w:cs="Cambria"/>
          <w:sz w:val="20"/>
          <w:szCs w:val="20"/>
        </w:rPr>
      </w:pPr>
    </w:p>
    <w:p w14:paraId="04A52DA3" w14:textId="77777777" w:rsidR="00F81087" w:rsidRPr="00F81087" w:rsidRDefault="00F81087" w:rsidP="00F81087">
      <w:pPr>
        <w:widowControl w:val="0"/>
        <w:numPr>
          <w:ilvl w:val="3"/>
          <w:numId w:val="44"/>
        </w:numPr>
        <w:suppressAutoHyphens/>
        <w:jc w:val="both"/>
        <w:rPr>
          <w:rFonts w:ascii="Cambria" w:eastAsia="Cambria" w:hAnsi="Cambria" w:cs="Cambria"/>
          <w:sz w:val="20"/>
          <w:szCs w:val="20"/>
          <w:lang w:val="fr-FR"/>
        </w:rPr>
      </w:pPr>
      <w:r w:rsidRPr="00F81087">
        <w:rPr>
          <w:rFonts w:ascii="Cambria" w:hAnsi="Cambria"/>
          <w:sz w:val="20"/>
          <w:szCs w:val="20"/>
          <w:lang w:val="fr-FR"/>
        </w:rPr>
        <w:t>Vérifier que tous les jeux de données nécessaires à l’exécution de la MP sont disponibles</w:t>
      </w:r>
    </w:p>
    <w:p w14:paraId="4FD46D1A" w14:textId="77777777" w:rsidR="00F81087" w:rsidRPr="007B779F" w:rsidRDefault="00F81087" w:rsidP="00F81087">
      <w:pPr>
        <w:widowControl w:val="0"/>
        <w:numPr>
          <w:ilvl w:val="3"/>
          <w:numId w:val="44"/>
        </w:numPr>
        <w:suppressAutoHyphens/>
        <w:jc w:val="both"/>
        <w:rPr>
          <w:rFonts w:ascii="Cambria" w:eastAsia="Cambria" w:hAnsi="Cambria" w:cs="Cambria"/>
          <w:sz w:val="20"/>
          <w:szCs w:val="20"/>
        </w:rPr>
      </w:pPr>
      <w:r w:rsidRPr="007B779F">
        <w:rPr>
          <w:rFonts w:ascii="Cambria" w:hAnsi="Cambria"/>
          <w:sz w:val="20"/>
          <w:szCs w:val="20"/>
        </w:rPr>
        <w:t>Ré-</w:t>
      </w:r>
      <w:proofErr w:type="spellStart"/>
      <w:r w:rsidRPr="007B779F">
        <w:rPr>
          <w:rFonts w:ascii="Cambria" w:hAnsi="Cambria"/>
          <w:sz w:val="20"/>
          <w:szCs w:val="20"/>
        </w:rPr>
        <w:t>exécuter</w:t>
      </w:r>
      <w:proofErr w:type="spellEnd"/>
      <w:r w:rsidRPr="007B779F">
        <w:rPr>
          <w:rFonts w:ascii="Cambria" w:hAnsi="Cambria"/>
          <w:sz w:val="20"/>
          <w:szCs w:val="20"/>
        </w:rPr>
        <w:t xml:space="preserve"> la MP</w:t>
      </w:r>
    </w:p>
    <w:p w14:paraId="236A62B4" w14:textId="77777777" w:rsidR="00F81087" w:rsidRPr="00F81087" w:rsidRDefault="00F81087" w:rsidP="00F81087">
      <w:pPr>
        <w:widowControl w:val="0"/>
        <w:numPr>
          <w:ilvl w:val="3"/>
          <w:numId w:val="44"/>
        </w:numPr>
        <w:suppressAutoHyphens/>
        <w:jc w:val="both"/>
        <w:rPr>
          <w:rFonts w:ascii="Cambria" w:eastAsia="Cambria" w:hAnsi="Cambria" w:cs="Cambria"/>
          <w:sz w:val="20"/>
          <w:szCs w:val="20"/>
          <w:lang w:val="fr-FR"/>
        </w:rPr>
      </w:pPr>
      <w:r w:rsidRPr="007B779F">
        <w:rPr>
          <w:rFonts w:ascii="Cambria" w:hAnsi="Cambria"/>
          <w:noProof/>
          <w:sz w:val="20"/>
          <w:szCs w:val="20"/>
        </w:rPr>
        <mc:AlternateContent>
          <mc:Choice Requires="wpg">
            <w:drawing>
              <wp:anchor distT="0" distB="0" distL="0" distR="0" simplePos="0" relativeHeight="251660288" behindDoc="0" locked="0" layoutInCell="1" allowOverlap="1" wp14:anchorId="7A8017C5" wp14:editId="1F1CCF63">
                <wp:simplePos x="0" y="0"/>
                <wp:positionH relativeFrom="page">
                  <wp:posOffset>4043680</wp:posOffset>
                </wp:positionH>
                <wp:positionV relativeFrom="paragraph">
                  <wp:posOffset>557530</wp:posOffset>
                </wp:positionV>
                <wp:extent cx="883285" cy="405765"/>
                <wp:effectExtent l="0" t="0" r="12065" b="13335"/>
                <wp:wrapNone/>
                <wp:docPr id="3" name="Group 18" descr="P2885#y1"/>
                <wp:cNvGraphicFramePr/>
                <a:graphic xmlns:a="http://schemas.openxmlformats.org/drawingml/2006/main">
                  <a:graphicData uri="http://schemas.microsoft.com/office/word/2010/wordprocessingGroup">
                    <wpg:wgp>
                      <wpg:cNvGrpSpPr/>
                      <wpg:grpSpPr bwMode="auto">
                        <a:xfrm>
                          <a:off x="0" y="0"/>
                          <a:ext cx="883285" cy="405765"/>
                          <a:chOff x="12700" y="12700"/>
                          <a:chExt cx="857885" cy="380365"/>
                        </a:xfrm>
                      </wpg:grpSpPr>
                      <wps:wsp>
                        <wps:cNvPr id="316658129" name="Graphic 19"/>
                        <wps:cNvSpPr/>
                        <wps:spPr bwMode="auto">
                          <a:xfrm>
                            <a:off x="12700" y="12700"/>
                            <a:ext cx="857885" cy="380365"/>
                          </a:xfrm>
                          <a:custGeom>
                            <a:avLst/>
                            <a:gdLst/>
                            <a:ahLst/>
                            <a:cxnLst/>
                            <a:rect l="l" t="t" r="r" b="b"/>
                            <a:pathLst>
                              <a:path w="857885" h="380365" extrusionOk="0">
                                <a:moveTo>
                                  <a:pt x="857885" y="0"/>
                                </a:moveTo>
                                <a:lnTo>
                                  <a:pt x="47498" y="0"/>
                                </a:lnTo>
                                <a:lnTo>
                                  <a:pt x="47498" y="285368"/>
                                </a:lnTo>
                                <a:lnTo>
                                  <a:pt x="0" y="285368"/>
                                </a:lnTo>
                                <a:lnTo>
                                  <a:pt x="95123" y="380364"/>
                                </a:lnTo>
                                <a:lnTo>
                                  <a:pt x="190119" y="285368"/>
                                </a:lnTo>
                                <a:lnTo>
                                  <a:pt x="142621" y="285368"/>
                                </a:lnTo>
                                <a:lnTo>
                                  <a:pt x="142621" y="95123"/>
                                </a:lnTo>
                                <a:lnTo>
                                  <a:pt x="857885" y="95123"/>
                                </a:lnTo>
                                <a:lnTo>
                                  <a:pt x="857885" y="0"/>
                                </a:lnTo>
                                <a:close/>
                              </a:path>
                            </a:pathLst>
                          </a:custGeom>
                          <a:solidFill>
                            <a:srgbClr val="4F81BB"/>
                          </a:solidFill>
                        </wps:spPr>
                        <wps:bodyPr rot="0">
                          <a:prstTxWarp prst="textNoShape">
                            <a:avLst/>
                          </a:prstTxWarp>
                          <a:noAutofit/>
                        </wps:bodyPr>
                      </wps:wsp>
                      <wps:wsp>
                        <wps:cNvPr id="1294407570" name="Graphic 20"/>
                        <wps:cNvSpPr/>
                        <wps:spPr bwMode="auto">
                          <a:xfrm>
                            <a:off x="12700" y="12700"/>
                            <a:ext cx="857885" cy="380365"/>
                          </a:xfrm>
                          <a:custGeom>
                            <a:avLst/>
                            <a:gdLst/>
                            <a:ahLst/>
                            <a:cxnLst/>
                            <a:rect l="l" t="t" r="r" b="b"/>
                            <a:pathLst>
                              <a:path w="857885" h="380365" extrusionOk="0">
                                <a:moveTo>
                                  <a:pt x="857885" y="95123"/>
                                </a:moveTo>
                                <a:lnTo>
                                  <a:pt x="142621" y="95123"/>
                                </a:lnTo>
                                <a:lnTo>
                                  <a:pt x="142621" y="285368"/>
                                </a:lnTo>
                                <a:lnTo>
                                  <a:pt x="190119" y="285368"/>
                                </a:lnTo>
                                <a:lnTo>
                                  <a:pt x="95123" y="380364"/>
                                </a:lnTo>
                                <a:lnTo>
                                  <a:pt x="0" y="285368"/>
                                </a:lnTo>
                                <a:lnTo>
                                  <a:pt x="47498" y="285368"/>
                                </a:lnTo>
                                <a:lnTo>
                                  <a:pt x="47498" y="0"/>
                                </a:lnTo>
                                <a:lnTo>
                                  <a:pt x="857885" y="0"/>
                                </a:lnTo>
                                <a:lnTo>
                                  <a:pt x="857885" y="95123"/>
                                </a:lnTo>
                                <a:close/>
                              </a:path>
                            </a:pathLst>
                          </a:custGeom>
                          <a:ln w="25400">
                            <a:solidFill>
                              <a:srgbClr val="385D88"/>
                            </a:solidFill>
                            <a:prstDash val="solid"/>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52C5C1D" id="Group 18" o:spid="_x0000_s1026" alt="P2885#y1" style="position:absolute;margin-left:318.4pt;margin-top:43.9pt;width:69.55pt;height:31.95pt;z-index:251660288;mso-wrap-distance-left:0;mso-wrap-distance-right:0;mso-position-horizontal-relative:page" coordorigin="127,127" coordsize="8578,3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">
                <v:shape id="Graphic 19" o:spid="_x0000_s1027" style="position:absolute;left:127;top:127;width:8578;height:3803;visibility:visible;mso-wrap-style:square;v-text-anchor:top" coordsize="857885,380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" path="m857885,l47498,r,285368l,285368r95123,94996l190119,285368r-47498,l142621,95123r715264,l857885,xe" fillcolor="#4f81bb" stroked="f">
                  <v:path arrowok="t" o:extrusionok="f"/>
                </v:shape>
                <v:shape id="Graphic 20" o:spid="_x0000_s1028" style="position:absolute;left:127;top:127;width:8578;height:3803;visibility:visible;mso-wrap-style:square;v-text-anchor:top" coordsize="857885,380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" path="m857885,95123r-715264,l142621,285368r47498,l95123,380364,,285368r47498,l47498,,857885,r,95123xe" filled="f" strokecolor="#385d88" strokeweight="2pt">
                  <v:path arrowok="t" o:extrusionok="f"/>
                </v:shape>
                <w10:wrap anchorx="page"/>
              </v:group>
            </w:pict>
          </mc:Fallback>
        </mc:AlternateContent>
      </w:r>
      <w:r w:rsidRPr="00F81087">
        <w:rPr>
          <w:rFonts w:ascii="Cambria" w:hAnsi="Cambria"/>
          <w:sz w:val="20"/>
          <w:szCs w:val="20"/>
          <w:lang w:val="fr-FR"/>
        </w:rPr>
        <w:t>Mêmes vérifications que celles effectuées au cours des années 1 et 2</w:t>
      </w:r>
    </w:p>
    <w:p w14:paraId="43594837" w14:textId="77777777" w:rsidR="00F81087" w:rsidRPr="00F81087" w:rsidRDefault="00F81087" w:rsidP="00F81087">
      <w:pPr>
        <w:widowControl w:val="0"/>
        <w:suppressAutoHyphens/>
        <w:jc w:val="both"/>
        <w:rPr>
          <w:rFonts w:ascii="Cambria" w:eastAsia="Cambria" w:hAnsi="Cambria" w:cs="Cambria"/>
          <w:sz w:val="20"/>
          <w:szCs w:val="20"/>
          <w:lang w:val="fr-FR"/>
        </w:rPr>
      </w:pPr>
    </w:p>
    <w:p w14:paraId="533441FE" w14:textId="77777777" w:rsidR="00F81087" w:rsidRPr="00F81087" w:rsidRDefault="00F81087" w:rsidP="00F81087">
      <w:pPr>
        <w:widowControl w:val="0"/>
        <w:suppressAutoHyphens/>
        <w:jc w:val="both"/>
        <w:rPr>
          <w:rFonts w:ascii="Cambria" w:eastAsia="Cambria" w:hAnsi="Cambria" w:cs="Cambria"/>
          <w:sz w:val="20"/>
          <w:szCs w:val="20"/>
          <w:lang w:val="fr-FR"/>
        </w:rPr>
      </w:pPr>
      <w:r w:rsidRPr="007B779F">
        <w:rPr>
          <w:rFonts w:ascii="Cambria" w:hAnsi="Cambria"/>
          <w:noProof/>
          <w:sz w:val="20"/>
          <w:szCs w:val="20"/>
        </w:rPr>
        <mc:AlternateContent>
          <mc:Choice Requires="wps">
            <w:drawing>
              <wp:anchor distT="0" distB="0" distL="0" distR="0" simplePos="0" relativeHeight="251664384" behindDoc="0" locked="0" layoutInCell="1" allowOverlap="1" wp14:anchorId="2F4CD551" wp14:editId="31A061CA">
                <wp:simplePos x="0" y="0"/>
                <wp:positionH relativeFrom="page">
                  <wp:posOffset>4992986</wp:posOffset>
                </wp:positionH>
                <wp:positionV relativeFrom="paragraph">
                  <wp:posOffset>160787</wp:posOffset>
                </wp:positionV>
                <wp:extent cx="1158844" cy="326390"/>
                <wp:effectExtent l="0" t="0" r="22860" b="16510"/>
                <wp:wrapNone/>
                <wp:docPr id="5" name="Text Box 14" descr="P2887TB6#y1"/>
                <wp:cNvGraphicFramePr/>
                <a:graphic xmlns:a="http://schemas.openxmlformats.org/drawingml/2006/main">
                  <a:graphicData uri="http://schemas.microsoft.com/office/word/2010/wordprocessingShape">
                    <wps:wsp>
                      <wps:cNvSpPr txBox="1"/>
                      <wps:spPr bwMode="auto">
                        <a:xfrm>
                          <a:off x="0" y="0"/>
                          <a:ext cx="1158844" cy="326390"/>
                        </a:xfrm>
                        <a:prstGeom prst="rect">
                          <a:avLst/>
                        </a:prstGeom>
                        <a:ln w="6096">
                          <a:solidFill>
                            <a:srgbClr val="000000"/>
                          </a:solidFill>
                          <a:prstDash val="solid"/>
                        </a:ln>
                      </wps:spPr>
                      <wps:txbx>
                        <w:txbxContent>
                          <w:p w14:paraId="48A716FA" w14:textId="77777777" w:rsidR="00F81087" w:rsidRPr="00F81087" w:rsidRDefault="00F81087" w:rsidP="00F81087">
                            <w:pPr>
                              <w:pStyle w:val="BodyText"/>
                              <w:spacing w:before="102"/>
                              <w:ind w:left="143"/>
                              <w:rPr>
                                <w:rFonts w:ascii="Cambria" w:hAnsi="Cambria"/>
                                <w:b w:val="0"/>
                                <w:bCs w:val="0"/>
                                <w:sz w:val="20"/>
                                <w:szCs w:val="20"/>
                              </w:rPr>
                            </w:pPr>
                            <w:r w:rsidRPr="00F81087">
                              <w:rPr>
                                <w:rFonts w:ascii="Cambria" w:hAnsi="Cambria"/>
                                <w:b w:val="0"/>
                                <w:bCs w:val="0"/>
                                <w:sz w:val="20"/>
                              </w:rPr>
                              <w:t>Si des EC existent</w:t>
                            </w:r>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2F4CD551" id="_x0000_t202" coordsize="21600,21600" o:spt="202" path="m,l,21600r21600,l21600,xe">
                <v:stroke joinstyle="miter"/>
                <v:path gradientshapeok="t" o:connecttype="rect"/>
              </v:shapetype>
              <v:shape id="Text Box 14" o:spid="_x0000_s1026" type="#_x0000_t202" alt="P2887TB6#y1" style="position:absolute;left:0;text-align:left;margin-left:393.15pt;margin-top:12.65pt;width:91.25pt;height:25.7pt;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" filled="f" strokeweight=".48pt">
                <v:textbox inset="0,0,0,0">
                  <w:txbxContent>
                    <w:p w14:paraId="48A716FA" w14:textId="77777777" w:rsidR="00F81087" w:rsidRPr="00F81087" w:rsidRDefault="00F81087" w:rsidP="00F81087">
                      <w:pPr>
                        <w:pStyle w:val="BodyText"/>
                        <w:spacing w:before="102"/>
                        <w:ind w:left="143"/>
                        <w:rPr>
                          <w:rFonts w:ascii="Cambria" w:hAnsi="Cambria"/>
                          <w:b w:val="0"/>
                          <w:bCs w:val="0"/>
                          <w:sz w:val="20"/>
                          <w:szCs w:val="20"/>
                        </w:rPr>
                      </w:pPr>
                      <w:r w:rsidRPr="00F81087">
                        <w:rPr>
                          <w:rFonts w:ascii="Cambria" w:hAnsi="Cambria"/>
                          <w:b w:val="0"/>
                          <w:bCs w:val="0"/>
                          <w:sz w:val="20"/>
                        </w:rPr>
                        <w:t>Si des EC existent</w:t>
                      </w:r>
                    </w:p>
                  </w:txbxContent>
                </v:textbox>
                <w10:wrap anchorx="page"/>
              </v:shape>
            </w:pict>
          </mc:Fallback>
        </mc:AlternateContent>
      </w:r>
      <w:r w:rsidRPr="007B779F">
        <w:rPr>
          <w:rFonts w:ascii="Cambria" w:hAnsi="Cambria"/>
          <w:noProof/>
          <w:sz w:val="20"/>
          <w:szCs w:val="20"/>
        </w:rPr>
        <mc:AlternateContent>
          <mc:Choice Requires="wps">
            <w:drawing>
              <wp:anchor distT="0" distB="0" distL="0" distR="0" simplePos="0" relativeHeight="251665408" behindDoc="1" locked="0" layoutInCell="1" allowOverlap="1" wp14:anchorId="70D4424B" wp14:editId="1A003521">
                <wp:simplePos x="0" y="0"/>
                <wp:positionH relativeFrom="page">
                  <wp:posOffset>1131570</wp:posOffset>
                </wp:positionH>
                <wp:positionV relativeFrom="paragraph">
                  <wp:posOffset>182880</wp:posOffset>
                </wp:positionV>
                <wp:extent cx="1425575" cy="306705"/>
                <wp:effectExtent l="0" t="0" r="22225" b="17145"/>
                <wp:wrapTopAndBottom/>
                <wp:docPr id="6" name="Text Box 13" descr="P2887TB7#y1"/>
                <wp:cNvGraphicFramePr/>
                <a:graphic xmlns:a="http://schemas.openxmlformats.org/drawingml/2006/main">
                  <a:graphicData uri="http://schemas.microsoft.com/office/word/2010/wordprocessingShape">
                    <wps:wsp>
                      <wps:cNvSpPr txBox="1"/>
                      <wps:spPr bwMode="auto">
                        <a:xfrm>
                          <a:off x="0" y="0"/>
                          <a:ext cx="1425575" cy="306705"/>
                        </a:xfrm>
                        <a:prstGeom prst="rect">
                          <a:avLst/>
                        </a:prstGeom>
                        <a:ln w="6096">
                          <a:solidFill>
                            <a:srgbClr val="000000"/>
                          </a:solidFill>
                          <a:prstDash val="solid"/>
                        </a:ln>
                      </wps:spPr>
                      <wps:txbx>
                        <w:txbxContent>
                          <w:p w14:paraId="469005FC" w14:textId="77777777" w:rsidR="00F81087" w:rsidRPr="00F81087" w:rsidRDefault="00F81087" w:rsidP="00F81087">
                            <w:pPr>
                              <w:pStyle w:val="BodyText"/>
                              <w:spacing w:before="105"/>
                              <w:ind w:left="143"/>
                              <w:rPr>
                                <w:rFonts w:ascii="Cambria" w:hAnsi="Cambria"/>
                                <w:b w:val="0"/>
                                <w:bCs w:val="0"/>
                                <w:sz w:val="20"/>
                                <w:szCs w:val="20"/>
                              </w:rPr>
                            </w:pPr>
                            <w:r w:rsidRPr="00F81087">
                              <w:rPr>
                                <w:rFonts w:ascii="Cambria" w:hAnsi="Cambria"/>
                                <w:b w:val="0"/>
                                <w:bCs w:val="0"/>
                                <w:sz w:val="20"/>
                              </w:rPr>
                              <w:t>S'il n'existe pas d’EC</w:t>
                            </w:r>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0D4424B" id="Text Box 13" o:spid="_x0000_s1027" type="#_x0000_t202" alt="P2887TB7#y1" style="position:absolute;left:0;text-align:left;margin-left:89.1pt;margin-top:14.4pt;width:112.25pt;height:24.1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" filled="f" strokeweight=".48pt">
                <v:textbox inset="0,0,0,0">
                  <w:txbxContent>
                    <w:p w14:paraId="469005FC" w14:textId="77777777" w:rsidR="00F81087" w:rsidRPr="00F81087" w:rsidRDefault="00F81087" w:rsidP="00F81087">
                      <w:pPr>
                        <w:pStyle w:val="BodyText"/>
                        <w:spacing w:before="105"/>
                        <w:ind w:left="143"/>
                        <w:rPr>
                          <w:rFonts w:ascii="Cambria" w:hAnsi="Cambria"/>
                          <w:b w:val="0"/>
                          <w:bCs w:val="0"/>
                          <w:sz w:val="20"/>
                          <w:szCs w:val="20"/>
                        </w:rPr>
                      </w:pPr>
                      <w:r w:rsidRPr="00F81087">
                        <w:rPr>
                          <w:rFonts w:ascii="Cambria" w:hAnsi="Cambria"/>
                          <w:b w:val="0"/>
                          <w:bCs w:val="0"/>
                          <w:sz w:val="20"/>
                        </w:rPr>
                        <w:t>S'il n'existe pas d’EC</w:t>
                      </w:r>
                    </w:p>
                  </w:txbxContent>
                </v:textbox>
                <w10:wrap type="topAndBottom" anchorx="page"/>
              </v:shape>
            </w:pict>
          </mc:Fallback>
        </mc:AlternateContent>
      </w:r>
    </w:p>
    <w:p w14:paraId="16D48937" w14:textId="77777777" w:rsidR="00F81087" w:rsidRPr="00F81087" w:rsidRDefault="00F81087" w:rsidP="00F81087">
      <w:pPr>
        <w:widowControl w:val="0"/>
        <w:suppressAutoHyphens/>
        <w:jc w:val="both"/>
        <w:rPr>
          <w:rFonts w:ascii="Cambria" w:eastAsia="Cambria" w:hAnsi="Cambria" w:cs="Cambria"/>
          <w:sz w:val="20"/>
          <w:szCs w:val="20"/>
          <w:lang w:val="fr-FR"/>
        </w:rPr>
      </w:pPr>
      <w:r w:rsidRPr="007B779F">
        <w:rPr>
          <w:rFonts w:ascii="Cambria" w:hAnsi="Cambria"/>
          <w:noProof/>
          <w:sz w:val="20"/>
          <w:szCs w:val="20"/>
        </w:rPr>
        <mc:AlternateContent>
          <mc:Choice Requires="wpg">
            <w:drawing>
              <wp:anchor distT="0" distB="0" distL="0" distR="0" simplePos="0" relativeHeight="251667456" behindDoc="0" locked="0" layoutInCell="1" allowOverlap="1" wp14:anchorId="1502EC76" wp14:editId="2C362A8F">
                <wp:simplePos x="0" y="0"/>
                <wp:positionH relativeFrom="margin">
                  <wp:posOffset>491836</wp:posOffset>
                </wp:positionH>
                <wp:positionV relativeFrom="paragraph">
                  <wp:posOffset>412519</wp:posOffset>
                </wp:positionV>
                <wp:extent cx="285750" cy="226291"/>
                <wp:effectExtent l="0" t="0" r="19050" b="21590"/>
                <wp:wrapNone/>
                <wp:docPr id="1995843779" name="Group 19" descr="P2888#y2"/>
                <wp:cNvGraphicFramePr/>
                <a:graphic xmlns:a="http://schemas.openxmlformats.org/drawingml/2006/main">
                  <a:graphicData uri="http://schemas.microsoft.com/office/word/2010/wordprocessingGroup">
                    <wpg:wgp>
                      <wpg:cNvGrpSpPr/>
                      <wpg:grpSpPr bwMode="auto">
                        <a:xfrm>
                          <a:off x="0" y="0"/>
                          <a:ext cx="285750" cy="226291"/>
                          <a:chOff x="12700" y="12700"/>
                          <a:chExt cx="260350" cy="152400"/>
                        </a:xfrm>
                      </wpg:grpSpPr>
                      <wps:wsp>
                        <wps:cNvPr id="1993635994" name="Graphic 16"/>
                        <wps:cNvSpPr/>
                        <wps:spPr bwMode="auto">
                          <a:xfrm>
                            <a:off x="12700" y="12700"/>
                            <a:ext cx="260350" cy="152400"/>
                          </a:xfrm>
                          <a:custGeom>
                            <a:avLst/>
                            <a:gdLst/>
                            <a:ahLst/>
                            <a:cxnLst/>
                            <a:rect l="l" t="t" r="r" b="b"/>
                            <a:pathLst>
                              <a:path w="260350" h="152400" extrusionOk="0">
                                <a:moveTo>
                                  <a:pt x="195199" y="0"/>
                                </a:moveTo>
                                <a:lnTo>
                                  <a:pt x="65024" y="0"/>
                                </a:lnTo>
                                <a:lnTo>
                                  <a:pt x="65024" y="76200"/>
                                </a:lnTo>
                                <a:lnTo>
                                  <a:pt x="0" y="76200"/>
                                </a:lnTo>
                                <a:lnTo>
                                  <a:pt x="130175" y="152400"/>
                                </a:lnTo>
                                <a:lnTo>
                                  <a:pt x="260350" y="76200"/>
                                </a:lnTo>
                                <a:lnTo>
                                  <a:pt x="195199" y="76200"/>
                                </a:lnTo>
                                <a:lnTo>
                                  <a:pt x="195199" y="0"/>
                                </a:lnTo>
                                <a:close/>
                              </a:path>
                            </a:pathLst>
                          </a:custGeom>
                          <a:solidFill>
                            <a:srgbClr val="4F81BB"/>
                          </a:solidFill>
                        </wps:spPr>
                        <wps:bodyPr rot="0">
                          <a:prstTxWarp prst="textNoShape">
                            <a:avLst/>
                          </a:prstTxWarp>
                          <a:noAutofit/>
                        </wps:bodyPr>
                      </wps:wsp>
                      <wps:wsp>
                        <wps:cNvPr id="1039587609" name="Graphic 17"/>
                        <wps:cNvSpPr/>
                        <wps:spPr bwMode="auto">
                          <a:xfrm>
                            <a:off x="12700" y="12700"/>
                            <a:ext cx="260350" cy="152400"/>
                          </a:xfrm>
                          <a:custGeom>
                            <a:avLst/>
                            <a:gdLst/>
                            <a:ahLst/>
                            <a:cxnLst/>
                            <a:rect l="l" t="t" r="r" b="b"/>
                            <a:pathLst>
                              <a:path w="260350" h="152400" extrusionOk="0">
                                <a:moveTo>
                                  <a:pt x="0" y="76200"/>
                                </a:moveTo>
                                <a:lnTo>
                                  <a:pt x="65024" y="76200"/>
                                </a:lnTo>
                                <a:lnTo>
                                  <a:pt x="65024" y="0"/>
                                </a:lnTo>
                                <a:lnTo>
                                  <a:pt x="195199" y="0"/>
                                </a:lnTo>
                                <a:lnTo>
                                  <a:pt x="195199" y="76200"/>
                                </a:lnTo>
                                <a:lnTo>
                                  <a:pt x="260350" y="76200"/>
                                </a:lnTo>
                                <a:lnTo>
                                  <a:pt x="130175" y="152400"/>
                                </a:lnTo>
                                <a:lnTo>
                                  <a:pt x="0" y="76200"/>
                                </a:lnTo>
                                <a:close/>
                              </a:path>
                            </a:pathLst>
                          </a:custGeom>
                          <a:ln w="25400">
                            <a:solidFill>
                              <a:srgbClr val="385D88"/>
                            </a:solidFill>
                            <a:prstDash val="solid"/>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DC7DF7A" id="Group 19" o:spid="_x0000_s1026" alt="P2888#y2" style="position:absolute;margin-left:38.75pt;margin-top:32.5pt;width:22.5pt;height:17.8pt;z-index:251667456;mso-wrap-distance-left:0;mso-wrap-distance-right:0;mso-position-horizontal-relative:margin" coordorigin="12700,12700" coordsize="26035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">
                <v:shape id="Graphic 16" o:spid="_x0000_s1027" style="position:absolute;left:12700;top:12700;width:260350;height:152400;visibility:visible;mso-wrap-style:square;v-text-anchor:top" coordsize="26035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" path="m195199,l65024,r,76200l,76200r130175,76200l260350,76200r-65151,l195199,xe" fillcolor="#4f81bb" stroked="f">
                  <v:path arrowok="t" o:extrusionok="f"/>
                </v:shape>
                <v:shape id="Graphic 17" o:spid="_x0000_s1028" style="position:absolute;left:12700;top:12700;width:260350;height:152400;visibility:visible;mso-wrap-style:square;v-text-anchor:top" coordsize="26035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" path="m,76200r65024,l65024,,195199,r,76200l260350,76200,130175,152400,,76200xe" filled="f" strokecolor="#385d88" strokeweight="2pt">
                  <v:path arrowok="t" o:extrusionok="f"/>
                </v:shape>
                <w10:wrap anchorx="margin"/>
              </v:group>
            </w:pict>
          </mc:Fallback>
        </mc:AlternateContent>
      </w:r>
      <w:r w:rsidRPr="007B779F">
        <w:rPr>
          <w:rFonts w:ascii="Cambria" w:hAnsi="Cambria"/>
          <w:noProof/>
          <w:sz w:val="20"/>
          <w:szCs w:val="20"/>
        </w:rPr>
        <mc:AlternateContent>
          <mc:Choice Requires="wpg">
            <w:drawing>
              <wp:anchor distT="0" distB="0" distL="0" distR="0" simplePos="0" relativeHeight="251659264" behindDoc="0" locked="0" layoutInCell="1" allowOverlap="1" wp14:anchorId="350B7290" wp14:editId="1336C426">
                <wp:simplePos x="0" y="0"/>
                <wp:positionH relativeFrom="page">
                  <wp:posOffset>5458691</wp:posOffset>
                </wp:positionH>
                <wp:positionV relativeFrom="paragraph">
                  <wp:posOffset>399242</wp:posOffset>
                </wp:positionV>
                <wp:extent cx="285750" cy="207933"/>
                <wp:effectExtent l="0" t="0" r="19050" b="20955"/>
                <wp:wrapNone/>
                <wp:docPr id="2" name="Group 19" descr="P2888#y1"/>
                <wp:cNvGraphicFramePr/>
                <a:graphic xmlns:a="http://schemas.openxmlformats.org/drawingml/2006/main">
                  <a:graphicData uri="http://schemas.microsoft.com/office/word/2010/wordprocessingGroup">
                    <wpg:wgp>
                      <wpg:cNvGrpSpPr/>
                      <wpg:grpSpPr bwMode="auto">
                        <a:xfrm>
                          <a:off x="0" y="0"/>
                          <a:ext cx="285750" cy="207933"/>
                          <a:chOff x="12700" y="12700"/>
                          <a:chExt cx="260350" cy="152400"/>
                        </a:xfrm>
                      </wpg:grpSpPr>
                      <wps:wsp>
                        <wps:cNvPr id="1631872348" name="Graphic 16"/>
                        <wps:cNvSpPr/>
                        <wps:spPr bwMode="auto">
                          <a:xfrm>
                            <a:off x="12700" y="12700"/>
                            <a:ext cx="260350" cy="152400"/>
                          </a:xfrm>
                          <a:custGeom>
                            <a:avLst/>
                            <a:gdLst/>
                            <a:ahLst/>
                            <a:cxnLst/>
                            <a:rect l="l" t="t" r="r" b="b"/>
                            <a:pathLst>
                              <a:path w="260350" h="152400" extrusionOk="0">
                                <a:moveTo>
                                  <a:pt x="195199" y="0"/>
                                </a:moveTo>
                                <a:lnTo>
                                  <a:pt x="65024" y="0"/>
                                </a:lnTo>
                                <a:lnTo>
                                  <a:pt x="65024" y="76200"/>
                                </a:lnTo>
                                <a:lnTo>
                                  <a:pt x="0" y="76200"/>
                                </a:lnTo>
                                <a:lnTo>
                                  <a:pt x="130175" y="152400"/>
                                </a:lnTo>
                                <a:lnTo>
                                  <a:pt x="260350" y="76200"/>
                                </a:lnTo>
                                <a:lnTo>
                                  <a:pt x="195199" y="76200"/>
                                </a:lnTo>
                                <a:lnTo>
                                  <a:pt x="195199" y="0"/>
                                </a:lnTo>
                                <a:close/>
                              </a:path>
                            </a:pathLst>
                          </a:custGeom>
                          <a:solidFill>
                            <a:srgbClr val="4F81BB"/>
                          </a:solidFill>
                        </wps:spPr>
                        <wps:bodyPr rot="0">
                          <a:prstTxWarp prst="textNoShape">
                            <a:avLst/>
                          </a:prstTxWarp>
                          <a:noAutofit/>
                        </wps:bodyPr>
                      </wps:wsp>
                      <wps:wsp>
                        <wps:cNvPr id="1017858021" name="Graphic 17"/>
                        <wps:cNvSpPr/>
                        <wps:spPr bwMode="auto">
                          <a:xfrm>
                            <a:off x="12700" y="12700"/>
                            <a:ext cx="260350" cy="152400"/>
                          </a:xfrm>
                          <a:custGeom>
                            <a:avLst/>
                            <a:gdLst/>
                            <a:ahLst/>
                            <a:cxnLst/>
                            <a:rect l="l" t="t" r="r" b="b"/>
                            <a:pathLst>
                              <a:path w="260350" h="152400" extrusionOk="0">
                                <a:moveTo>
                                  <a:pt x="0" y="76200"/>
                                </a:moveTo>
                                <a:lnTo>
                                  <a:pt x="65024" y="76200"/>
                                </a:lnTo>
                                <a:lnTo>
                                  <a:pt x="65024" y="0"/>
                                </a:lnTo>
                                <a:lnTo>
                                  <a:pt x="195199" y="0"/>
                                </a:lnTo>
                                <a:lnTo>
                                  <a:pt x="195199" y="76200"/>
                                </a:lnTo>
                                <a:lnTo>
                                  <a:pt x="260350" y="76200"/>
                                </a:lnTo>
                                <a:lnTo>
                                  <a:pt x="130175" y="152400"/>
                                </a:lnTo>
                                <a:lnTo>
                                  <a:pt x="0" y="76200"/>
                                </a:lnTo>
                                <a:close/>
                              </a:path>
                            </a:pathLst>
                          </a:custGeom>
                          <a:ln w="25400">
                            <a:solidFill>
                              <a:srgbClr val="385D88"/>
                            </a:solidFill>
                            <a:prstDash val="solid"/>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5AFF51C" id="Group 19" o:spid="_x0000_s1026" alt="P2888#y1" style="position:absolute;margin-left:429.8pt;margin-top:31.45pt;width:22.5pt;height:16.35pt;z-index:251659264;mso-wrap-distance-left:0;mso-wrap-distance-right:0;mso-position-horizontal-relative:page" coordorigin="12700,12700" coordsize="26035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">
                <v:shape id="Graphic 16" o:spid="_x0000_s1027" style="position:absolute;left:12700;top:12700;width:260350;height:152400;visibility:visible;mso-wrap-style:square;v-text-anchor:top" coordsize="26035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" path="m195199,l65024,r,76200l,76200r130175,76200l260350,76200r-65151,l195199,xe" fillcolor="#4f81bb" stroked="f">
                  <v:path arrowok="t" o:extrusionok="f"/>
                </v:shape>
                <v:shape id="Graphic 17" o:spid="_x0000_s1028" style="position:absolute;left:12700;top:12700;width:260350;height:152400;visibility:visible;mso-wrap-style:square;v-text-anchor:top" coordsize="26035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" path="m,76200r65024,l65024,,195199,r,76200l260350,76200,130175,152400,,76200xe" filled="f" strokecolor="#385d88" strokeweight="2pt">
                  <v:path arrowok="t" o:extrusionok="f"/>
                </v:shape>
                <w10:wrap anchorx="page"/>
              </v:group>
            </w:pict>
          </mc:Fallback>
        </mc:AlternateContent>
      </w:r>
    </w:p>
    <w:p w14:paraId="72A0B195" w14:textId="77777777" w:rsidR="00F81087" w:rsidRPr="00F81087" w:rsidRDefault="00F81087" w:rsidP="00F81087">
      <w:pPr>
        <w:widowControl w:val="0"/>
        <w:suppressAutoHyphens/>
        <w:jc w:val="both"/>
        <w:rPr>
          <w:rFonts w:ascii="Cambria" w:eastAsia="Cambria" w:hAnsi="Cambria" w:cs="Cambria"/>
          <w:sz w:val="20"/>
          <w:szCs w:val="20"/>
          <w:lang w:val="fr-FR"/>
        </w:rPr>
      </w:pPr>
      <w:r w:rsidRPr="007B779F">
        <w:rPr>
          <w:rFonts w:ascii="Cambria" w:hAnsi="Cambria"/>
          <w:noProof/>
          <w:sz w:val="20"/>
          <w:szCs w:val="20"/>
        </w:rPr>
        <mc:AlternateContent>
          <mc:Choice Requires="wps">
            <w:drawing>
              <wp:anchor distT="0" distB="0" distL="0" distR="0" simplePos="0" relativeHeight="251663360" behindDoc="0" locked="0" layoutInCell="1" allowOverlap="1" wp14:anchorId="370FA45F" wp14:editId="6E219DAF">
                <wp:simplePos x="0" y="0"/>
                <wp:positionH relativeFrom="page">
                  <wp:posOffset>808990</wp:posOffset>
                </wp:positionH>
                <wp:positionV relativeFrom="paragraph">
                  <wp:posOffset>154940</wp:posOffset>
                </wp:positionV>
                <wp:extent cx="1807845" cy="1282700"/>
                <wp:effectExtent l="0" t="0" r="20955" b="12700"/>
                <wp:wrapNone/>
                <wp:docPr id="7" name="Text Box 15" descr="P2889TB5#y1"/>
                <wp:cNvGraphicFramePr/>
                <a:graphic xmlns:a="http://schemas.openxmlformats.org/drawingml/2006/main">
                  <a:graphicData uri="http://schemas.microsoft.com/office/word/2010/wordprocessingShape">
                    <wps:wsp>
                      <wps:cNvSpPr txBox="1"/>
                      <wps:spPr bwMode="auto">
                        <a:xfrm>
                          <a:off x="0" y="0"/>
                          <a:ext cx="1807845" cy="1282700"/>
                        </a:xfrm>
                        <a:prstGeom prst="rect">
                          <a:avLst/>
                        </a:prstGeom>
                        <a:ln w="6096">
                          <a:solidFill>
                            <a:srgbClr val="000000"/>
                          </a:solidFill>
                          <a:prstDash val="solid"/>
                        </a:ln>
                      </wps:spPr>
                      <wps:txbx>
                        <w:txbxContent>
                          <w:p w14:paraId="7851DDF3" w14:textId="77777777" w:rsidR="00F81087" w:rsidRPr="00F81087" w:rsidRDefault="00F81087" w:rsidP="00F81087">
                            <w:pPr>
                              <w:pStyle w:val="BodyText"/>
                              <w:spacing w:before="98"/>
                              <w:ind w:left="143" w:right="121"/>
                              <w:rPr>
                                <w:rFonts w:ascii="Cambria" w:hAnsi="Cambria"/>
                                <w:b w:val="0"/>
                                <w:bCs w:val="0"/>
                                <w:sz w:val="20"/>
                                <w:szCs w:val="20"/>
                                <w:lang w:val="fr-FR"/>
                              </w:rPr>
                            </w:pPr>
                            <w:r w:rsidRPr="00F81087">
                              <w:rPr>
                                <w:rFonts w:ascii="Cambria" w:hAnsi="Cambria"/>
                                <w:b w:val="0"/>
                                <w:bCs w:val="0"/>
                                <w:sz w:val="20"/>
                                <w:lang w:val="fr-FR"/>
                              </w:rPr>
                              <w:t>Les TAC calculés par la MP restent valides (dans l’année 1-3) et la MP continue d'être appliquée dans l’année 3 pour calculer les TAC pour la prochaine période de gestion de trois ans</w:t>
                            </w:r>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70FA45F" id="Text Box 15" o:spid="_x0000_s1028" type="#_x0000_t202" alt="P2889TB5#y1" style="position:absolute;left:0;text-align:left;margin-left:63.7pt;margin-top:12.2pt;width:142.35pt;height:101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" filled="f" strokeweight=".48pt">
                <v:textbox inset="0,0,0,0">
                  <w:txbxContent>
                    <w:p w14:paraId="7851DDF3" w14:textId="77777777" w:rsidR="00F81087" w:rsidRPr="00F81087" w:rsidRDefault="00F81087" w:rsidP="00F81087">
                      <w:pPr>
                        <w:pStyle w:val="BodyText"/>
                        <w:spacing w:before="98"/>
                        <w:ind w:left="143" w:right="121"/>
                        <w:rPr>
                          <w:rFonts w:ascii="Cambria" w:hAnsi="Cambria"/>
                          <w:b w:val="0"/>
                          <w:bCs w:val="0"/>
                          <w:sz w:val="20"/>
                          <w:szCs w:val="20"/>
                          <w:lang w:val="fr-FR"/>
                        </w:rPr>
                      </w:pPr>
                      <w:r w:rsidRPr="00F81087">
                        <w:rPr>
                          <w:rFonts w:ascii="Cambria" w:hAnsi="Cambria"/>
                          <w:b w:val="0"/>
                          <w:bCs w:val="0"/>
                          <w:sz w:val="20"/>
                          <w:lang w:val="fr-FR"/>
                        </w:rPr>
                        <w:t>Les TAC calculés par la MP restent valides (dans l’année 1-3) et la MP continue d'être appliquée dans l’année 3 pour calculer les TAC pour la prochaine période de gestion de trois ans</w:t>
                      </w:r>
                    </w:p>
                  </w:txbxContent>
                </v:textbox>
                <w10:wrap anchorx="page"/>
              </v:shape>
            </w:pict>
          </mc:Fallback>
        </mc:AlternateContent>
      </w:r>
      <w:r w:rsidRPr="007B779F">
        <w:rPr>
          <w:rFonts w:ascii="Cambria" w:hAnsi="Cambria"/>
          <w:noProof/>
          <w:sz w:val="20"/>
          <w:szCs w:val="20"/>
        </w:rPr>
        <mc:AlternateContent>
          <mc:Choice Requires="wps">
            <w:drawing>
              <wp:anchor distT="0" distB="0" distL="0" distR="0" simplePos="0" relativeHeight="251662336" behindDoc="0" locked="0" layoutInCell="1" allowOverlap="1" wp14:anchorId="1AAB463A" wp14:editId="37B1D817">
                <wp:simplePos x="0" y="0"/>
                <wp:positionH relativeFrom="page">
                  <wp:posOffset>2895600</wp:posOffset>
                </wp:positionH>
                <wp:positionV relativeFrom="paragraph">
                  <wp:posOffset>148821</wp:posOffset>
                </wp:positionV>
                <wp:extent cx="1772920" cy="1004454"/>
                <wp:effectExtent l="0" t="0" r="17780" b="24765"/>
                <wp:wrapNone/>
                <wp:docPr id="4" name="Text Box 16" descr="P2889TB4#y1"/>
                <wp:cNvGraphicFramePr/>
                <a:graphic xmlns:a="http://schemas.openxmlformats.org/drawingml/2006/main">
                  <a:graphicData uri="http://schemas.microsoft.com/office/word/2010/wordprocessingShape">
                    <wps:wsp>
                      <wps:cNvSpPr txBox="1"/>
                      <wps:spPr bwMode="auto">
                        <a:xfrm>
                          <a:off x="0" y="0"/>
                          <a:ext cx="1772920" cy="1004454"/>
                        </a:xfrm>
                        <a:prstGeom prst="rect">
                          <a:avLst/>
                        </a:prstGeom>
                        <a:ln w="6096">
                          <a:solidFill>
                            <a:srgbClr val="000000"/>
                          </a:solidFill>
                          <a:prstDash val="solid"/>
                        </a:ln>
                      </wps:spPr>
                      <wps:txbx>
                        <w:txbxContent>
                          <w:p w14:paraId="1B587D5D" w14:textId="77777777" w:rsidR="00F81087" w:rsidRPr="00F81087" w:rsidRDefault="00F81087" w:rsidP="00F81087">
                            <w:pPr>
                              <w:pStyle w:val="BodyText"/>
                              <w:tabs>
                                <w:tab w:val="left" w:pos="866"/>
                              </w:tabs>
                              <w:spacing w:before="110"/>
                              <w:ind w:left="146" w:right="154"/>
                              <w:jc w:val="both"/>
                              <w:rPr>
                                <w:rFonts w:ascii="Cambria" w:hAnsi="Cambria"/>
                                <w:b w:val="0"/>
                                <w:bCs w:val="0"/>
                                <w:sz w:val="20"/>
                                <w:szCs w:val="20"/>
                                <w:lang w:val="fr-FR"/>
                              </w:rPr>
                            </w:pPr>
                            <w:r w:rsidRPr="00F81087">
                              <w:rPr>
                                <w:rFonts w:ascii="Cambria" w:hAnsi="Cambria"/>
                                <w:b w:val="0"/>
                                <w:bCs w:val="0"/>
                                <w:sz w:val="20"/>
                                <w:lang w:val="fr-FR"/>
                              </w:rPr>
                              <w:t>Le SCRS détermine que les EC n'empêchent pas l'application de la MP et la mise en œuvre de ses résultats (c'est-</w:t>
                            </w:r>
                            <w:r w:rsidRPr="00F81087">
                              <w:rPr>
                                <w:rFonts w:ascii="Cambria" w:hAnsi="Cambria"/>
                                <w:b w:val="0"/>
                                <w:bCs w:val="0"/>
                                <w:sz w:val="20"/>
                                <w:lang w:val="fr-FR"/>
                              </w:rPr>
                              <w:t>à-dire le TAC).</w:t>
                            </w:r>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AAB463A" id="Text Box 16" o:spid="_x0000_s1029" type="#_x0000_t202" alt="P2889TB4#y1" style="position:absolute;left:0;text-align:left;margin-left:228pt;margin-top:11.7pt;width:139.6pt;height:79.1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" filled="f" strokeweight=".48pt">
                <v:textbox inset="0,0,0,0">
                  <w:txbxContent>
                    <w:p w14:paraId="1B587D5D" w14:textId="77777777" w:rsidR="00F81087" w:rsidRPr="00F81087" w:rsidRDefault="00F81087" w:rsidP="00F81087">
                      <w:pPr>
                        <w:pStyle w:val="BodyText"/>
                        <w:tabs>
                          <w:tab w:val="left" w:pos="866"/>
                        </w:tabs>
                        <w:spacing w:before="110"/>
                        <w:ind w:left="146" w:right="154"/>
                        <w:jc w:val="both"/>
                        <w:rPr>
                          <w:rFonts w:ascii="Cambria" w:hAnsi="Cambria"/>
                          <w:b w:val="0"/>
                          <w:bCs w:val="0"/>
                          <w:sz w:val="20"/>
                          <w:szCs w:val="20"/>
                          <w:lang w:val="fr-FR"/>
                        </w:rPr>
                      </w:pPr>
                      <w:r w:rsidRPr="00F81087">
                        <w:rPr>
                          <w:rFonts w:ascii="Cambria" w:hAnsi="Cambria"/>
                          <w:b w:val="0"/>
                          <w:bCs w:val="0"/>
                          <w:sz w:val="20"/>
                          <w:lang w:val="fr-FR"/>
                        </w:rPr>
                        <w:t>Le SCRS détermine que les EC n'empêchent pas l'application de la MP et la mise en œuvre de ses résultats (c'est-</w:t>
                      </w:r>
                      <w:r w:rsidRPr="00F81087">
                        <w:rPr>
                          <w:rFonts w:ascii="Cambria" w:hAnsi="Cambria"/>
                          <w:b w:val="0"/>
                          <w:bCs w:val="0"/>
                          <w:sz w:val="20"/>
                          <w:lang w:val="fr-FR"/>
                        </w:rPr>
                        <w:t>à-dire le TAC).</w:t>
                      </w:r>
                    </w:p>
                  </w:txbxContent>
                </v:textbox>
                <w10:wrap anchorx="page"/>
              </v:shape>
            </w:pict>
          </mc:Fallback>
        </mc:AlternateContent>
      </w:r>
    </w:p>
    <w:p w14:paraId="19C9A096" w14:textId="77777777" w:rsidR="00F81087" w:rsidRPr="00F81087" w:rsidRDefault="00F81087" w:rsidP="00F81087">
      <w:pPr>
        <w:widowControl w:val="0"/>
        <w:suppressAutoHyphens/>
        <w:jc w:val="both"/>
        <w:rPr>
          <w:rFonts w:ascii="Cambria" w:eastAsia="Cambria" w:hAnsi="Cambria" w:cs="Cambria"/>
          <w:sz w:val="20"/>
          <w:szCs w:val="20"/>
          <w:lang w:val="fr-FR"/>
        </w:rPr>
      </w:pPr>
      <w:r w:rsidRPr="007B779F">
        <w:rPr>
          <w:rFonts w:ascii="Cambria" w:hAnsi="Cambria"/>
          <w:noProof/>
          <w:sz w:val="20"/>
          <w:szCs w:val="20"/>
        </w:rPr>
        <mc:AlternateContent>
          <mc:Choice Requires="wps">
            <w:drawing>
              <wp:anchor distT="0" distB="0" distL="0" distR="0" simplePos="0" relativeHeight="251661312" behindDoc="0" locked="0" layoutInCell="1" allowOverlap="1" wp14:anchorId="3CBBCCF6" wp14:editId="0BB2D4B5">
                <wp:simplePos x="0" y="0"/>
                <wp:positionH relativeFrom="page">
                  <wp:posOffset>4794250</wp:posOffset>
                </wp:positionH>
                <wp:positionV relativeFrom="paragraph">
                  <wp:posOffset>4445</wp:posOffset>
                </wp:positionV>
                <wp:extent cx="2070100" cy="1015365"/>
                <wp:effectExtent l="0" t="0" r="25400" b="13335"/>
                <wp:wrapNone/>
                <wp:docPr id="8" name="Text Box 17" descr="P2890TB3#y1"/>
                <wp:cNvGraphicFramePr/>
                <a:graphic xmlns:a="http://schemas.openxmlformats.org/drawingml/2006/main">
                  <a:graphicData uri="http://schemas.microsoft.com/office/word/2010/wordprocessingShape">
                    <wps:wsp>
                      <wps:cNvSpPr txBox="1"/>
                      <wps:spPr bwMode="auto">
                        <a:xfrm>
                          <a:off x="0" y="0"/>
                          <a:ext cx="2070100" cy="1015365"/>
                        </a:xfrm>
                        <a:prstGeom prst="rect">
                          <a:avLst/>
                        </a:prstGeom>
                        <a:ln w="6096">
                          <a:solidFill>
                            <a:srgbClr val="000000"/>
                          </a:solidFill>
                          <a:prstDash val="solid"/>
                        </a:ln>
                      </wps:spPr>
                      <wps:txbx>
                        <w:txbxContent>
                          <w:p w14:paraId="7AA49662" w14:textId="77777777" w:rsidR="00F81087" w:rsidRPr="00F81087" w:rsidRDefault="00F81087" w:rsidP="00F81087">
                            <w:pPr>
                              <w:pStyle w:val="BodyText"/>
                              <w:spacing w:before="90" w:line="234" w:lineRule="exact"/>
                              <w:ind w:left="143"/>
                              <w:rPr>
                                <w:rFonts w:ascii="Cambria" w:hAnsi="Cambria"/>
                                <w:sz w:val="20"/>
                                <w:szCs w:val="20"/>
                                <w:lang w:val="fr-FR"/>
                              </w:rPr>
                            </w:pPr>
                            <w:r w:rsidRPr="00F81087">
                              <w:rPr>
                                <w:rFonts w:ascii="Cambria" w:hAnsi="Cambria"/>
                                <w:sz w:val="20"/>
                                <w:lang w:val="fr-FR"/>
                              </w:rPr>
                              <w:t>Le SCRS détermine que l’EC empêche l'application de la MP ou rend l'application de la MP ou la mise en œuvre de ses résultats (c'est-à-dire le TAC) déconseillée.</w:t>
                            </w:r>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CBBCCF6" id="Text Box 17" o:spid="_x0000_s1030" type="#_x0000_t202" alt="P2890TB3#y1" style="position:absolute;left:0;text-align:left;margin-left:377.5pt;margin-top:.35pt;width:163pt;height:79.9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" filled="f" strokeweight=".48pt">
                <v:textbox inset="0,0,0,0">
                  <w:txbxContent>
                    <w:p w14:paraId="7AA49662" w14:textId="77777777" w:rsidR="00F81087" w:rsidRPr="00F81087" w:rsidRDefault="00F81087" w:rsidP="00F81087">
                      <w:pPr>
                        <w:pStyle w:val="BodyText"/>
                        <w:spacing w:before="90" w:line="234" w:lineRule="exact"/>
                        <w:ind w:left="143"/>
                        <w:rPr>
                          <w:rFonts w:ascii="Cambria" w:hAnsi="Cambria"/>
                          <w:sz w:val="20"/>
                          <w:szCs w:val="20"/>
                          <w:lang w:val="fr-FR"/>
                        </w:rPr>
                      </w:pPr>
                      <w:r w:rsidRPr="00F81087">
                        <w:rPr>
                          <w:rFonts w:ascii="Cambria" w:hAnsi="Cambria"/>
                          <w:sz w:val="20"/>
                          <w:lang w:val="fr-FR"/>
                        </w:rPr>
                        <w:t>Le SCRS détermine que l’EC empêche l'application de la MP ou rend l'application de la MP ou la mise en œuvre de ses résultats (c'est-à-dire le TAC) déconseillée.</w:t>
                      </w:r>
                    </w:p>
                  </w:txbxContent>
                </v:textbox>
                <w10:wrap anchorx="page"/>
              </v:shape>
            </w:pict>
          </mc:Fallback>
        </mc:AlternateContent>
      </w:r>
    </w:p>
    <w:p w14:paraId="67224CEB" w14:textId="77777777" w:rsidR="00F81087" w:rsidRPr="00F81087" w:rsidRDefault="00F81087" w:rsidP="00F81087">
      <w:pPr>
        <w:widowControl w:val="0"/>
        <w:suppressAutoHyphens/>
        <w:jc w:val="both"/>
        <w:rPr>
          <w:rFonts w:ascii="Cambria" w:eastAsia="Cambria" w:hAnsi="Cambria" w:cs="Cambria"/>
          <w:sz w:val="20"/>
          <w:szCs w:val="20"/>
          <w:lang w:val="fr-FR"/>
        </w:rPr>
      </w:pPr>
    </w:p>
    <w:p w14:paraId="29EDB694" w14:textId="77777777" w:rsidR="00F81087" w:rsidRPr="00F81087" w:rsidRDefault="00F81087" w:rsidP="00F81087">
      <w:pPr>
        <w:widowControl w:val="0"/>
        <w:suppressAutoHyphens/>
        <w:jc w:val="both"/>
        <w:rPr>
          <w:rFonts w:ascii="Cambria" w:eastAsia="Cambria" w:hAnsi="Cambria" w:cs="Cambria"/>
          <w:sz w:val="20"/>
          <w:szCs w:val="20"/>
          <w:lang w:val="fr-FR"/>
        </w:rPr>
      </w:pPr>
      <w:r w:rsidRPr="007B779F">
        <w:rPr>
          <w:rFonts w:ascii="Cambria" w:hAnsi="Cambria"/>
          <w:noProof/>
          <w:sz w:val="20"/>
          <w:szCs w:val="20"/>
          <w:lang w:val="en-US"/>
        </w:rPr>
        <w:drawing>
          <wp:anchor distT="0" distB="0" distL="114300" distR="114300" simplePos="0" relativeHeight="251668480" behindDoc="0" locked="0" layoutInCell="1" allowOverlap="1" wp14:anchorId="6696E756" wp14:editId="4635C84D">
            <wp:simplePos x="0" y="0"/>
            <wp:positionH relativeFrom="column">
              <wp:posOffset>1728470</wp:posOffset>
            </wp:positionH>
            <wp:positionV relativeFrom="paragraph">
              <wp:posOffset>95885</wp:posOffset>
            </wp:positionV>
            <wp:extent cx="243840" cy="228600"/>
            <wp:effectExtent l="0" t="0" r="3810" b="0"/>
            <wp:wrapSquare wrapText="bothSides"/>
            <wp:docPr id="1317899006" name="Picture 15" descr="P289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899006" name="Picture 15" descr="P2892#y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43840" cy="228600"/>
                    </a:xfrm>
                    <a:prstGeom prst="rect">
                      <a:avLst/>
                    </a:prstGeom>
                    <a:noFill/>
                    <a:ln>
                      <a:noFill/>
                    </a:ln>
                  </pic:spPr>
                </pic:pic>
              </a:graphicData>
            </a:graphic>
          </wp:anchor>
        </w:drawing>
      </w:r>
    </w:p>
    <w:p w14:paraId="1F821220" w14:textId="77777777" w:rsidR="00F81087" w:rsidRPr="00F81087" w:rsidRDefault="00F81087" w:rsidP="00F81087">
      <w:pPr>
        <w:widowControl w:val="0"/>
        <w:suppressAutoHyphens/>
        <w:jc w:val="both"/>
        <w:rPr>
          <w:rFonts w:ascii="Cambria" w:eastAsia="Cambria" w:hAnsi="Cambria" w:cs="Cambria"/>
          <w:sz w:val="20"/>
          <w:szCs w:val="20"/>
          <w:lang w:val="fr-FR"/>
        </w:rPr>
      </w:pPr>
    </w:p>
    <w:p w14:paraId="5BFE1E9B" w14:textId="77777777" w:rsidR="00F81087" w:rsidRPr="00F81087" w:rsidRDefault="00F81087" w:rsidP="00F81087">
      <w:pPr>
        <w:widowControl w:val="0"/>
        <w:suppressAutoHyphens/>
        <w:jc w:val="both"/>
        <w:rPr>
          <w:rFonts w:ascii="Cambria" w:eastAsia="Cambria" w:hAnsi="Cambria" w:cs="Cambria"/>
          <w:sz w:val="20"/>
          <w:szCs w:val="20"/>
          <w:lang w:val="fr-FR"/>
        </w:rPr>
      </w:pPr>
    </w:p>
    <w:p w14:paraId="3EE8F700" w14:textId="77777777" w:rsidR="00F81087" w:rsidRPr="00F81087" w:rsidRDefault="00F81087" w:rsidP="00F81087">
      <w:pPr>
        <w:widowControl w:val="0"/>
        <w:suppressAutoHyphens/>
        <w:jc w:val="both"/>
        <w:rPr>
          <w:rFonts w:ascii="Cambria" w:eastAsia="Cambria" w:hAnsi="Cambria" w:cs="Cambria"/>
          <w:sz w:val="20"/>
          <w:szCs w:val="20"/>
          <w:lang w:val="fr-FR"/>
        </w:rPr>
      </w:pPr>
    </w:p>
    <w:p w14:paraId="0A589AE9" w14:textId="77777777" w:rsidR="00F81087" w:rsidRPr="00F81087" w:rsidRDefault="00F81087" w:rsidP="00F81087">
      <w:pPr>
        <w:widowControl w:val="0"/>
        <w:suppressAutoHyphens/>
        <w:jc w:val="both"/>
        <w:rPr>
          <w:rFonts w:ascii="Cambria" w:eastAsia="Cambria" w:hAnsi="Cambria" w:cs="Cambria"/>
          <w:sz w:val="20"/>
          <w:szCs w:val="20"/>
          <w:lang w:val="fr-FR"/>
        </w:rPr>
      </w:pPr>
    </w:p>
    <w:p w14:paraId="043BA34E" w14:textId="77777777" w:rsidR="00F81087" w:rsidRPr="00F81087" w:rsidRDefault="00F81087" w:rsidP="00F81087">
      <w:pPr>
        <w:widowControl w:val="0"/>
        <w:suppressAutoHyphens/>
        <w:jc w:val="both"/>
        <w:rPr>
          <w:rFonts w:ascii="Cambria" w:eastAsia="Cambria" w:hAnsi="Cambria" w:cs="Cambria"/>
          <w:sz w:val="20"/>
          <w:szCs w:val="20"/>
          <w:lang w:val="fr-FR"/>
        </w:rPr>
      </w:pPr>
    </w:p>
    <w:p w14:paraId="7EF4A5D3" w14:textId="77777777" w:rsidR="00F81087" w:rsidRPr="00F81087" w:rsidRDefault="00F81087" w:rsidP="00F81087">
      <w:pPr>
        <w:widowControl w:val="0"/>
        <w:suppressAutoHyphens/>
        <w:jc w:val="both"/>
        <w:rPr>
          <w:rFonts w:ascii="Cambria" w:eastAsia="Cambria" w:hAnsi="Cambria" w:cs="Cambria"/>
          <w:sz w:val="20"/>
          <w:szCs w:val="20"/>
          <w:lang w:val="fr-FR"/>
        </w:rPr>
      </w:pPr>
      <w:r w:rsidRPr="007B779F">
        <w:rPr>
          <w:rFonts w:ascii="Cambria" w:hAnsi="Cambria"/>
          <w:noProof/>
          <w:sz w:val="20"/>
          <w:szCs w:val="20"/>
        </w:rPr>
        <mc:AlternateContent>
          <mc:Choice Requires="wpg">
            <w:drawing>
              <wp:anchor distT="0" distB="0" distL="0" distR="0" simplePos="0" relativeHeight="251666432" behindDoc="0" locked="0" layoutInCell="1" allowOverlap="1" wp14:anchorId="185207B2" wp14:editId="1DFDE35A">
                <wp:simplePos x="0" y="0"/>
                <wp:positionH relativeFrom="page">
                  <wp:posOffset>5562484</wp:posOffset>
                </wp:positionH>
                <wp:positionV relativeFrom="paragraph">
                  <wp:posOffset>10045</wp:posOffset>
                </wp:positionV>
                <wp:extent cx="285750" cy="177800"/>
                <wp:effectExtent l="0" t="0" r="0" b="12700"/>
                <wp:wrapNone/>
                <wp:docPr id="1248660167" name="Group 19" descr="P2898#y1"/>
                <wp:cNvGraphicFramePr/>
                <a:graphic xmlns:a="http://schemas.openxmlformats.org/drawingml/2006/main">
                  <a:graphicData uri="http://schemas.microsoft.com/office/word/2010/wordprocessingGroup">
                    <wpg:wgp>
                      <wpg:cNvGrpSpPr/>
                      <wpg:grpSpPr bwMode="auto">
                        <a:xfrm>
                          <a:off x="0" y="0"/>
                          <a:ext cx="285750" cy="177800"/>
                          <a:chOff x="12700" y="12700"/>
                          <a:chExt cx="260350" cy="152400"/>
                        </a:xfrm>
                      </wpg:grpSpPr>
                      <wps:wsp>
                        <wps:cNvPr id="1446734033" name="Graphic 16"/>
                        <wps:cNvSpPr/>
                        <wps:spPr bwMode="auto">
                          <a:xfrm>
                            <a:off x="12700" y="12700"/>
                            <a:ext cx="260350" cy="152400"/>
                          </a:xfrm>
                          <a:custGeom>
                            <a:avLst/>
                            <a:gdLst/>
                            <a:ahLst/>
                            <a:cxnLst/>
                            <a:rect l="l" t="t" r="r" b="b"/>
                            <a:pathLst>
                              <a:path w="260350" h="152400" extrusionOk="0">
                                <a:moveTo>
                                  <a:pt x="195199" y="0"/>
                                </a:moveTo>
                                <a:lnTo>
                                  <a:pt x="65024" y="0"/>
                                </a:lnTo>
                                <a:lnTo>
                                  <a:pt x="65024" y="76200"/>
                                </a:lnTo>
                                <a:lnTo>
                                  <a:pt x="0" y="76200"/>
                                </a:lnTo>
                                <a:lnTo>
                                  <a:pt x="130175" y="152400"/>
                                </a:lnTo>
                                <a:lnTo>
                                  <a:pt x="260350" y="76200"/>
                                </a:lnTo>
                                <a:lnTo>
                                  <a:pt x="195199" y="76200"/>
                                </a:lnTo>
                                <a:lnTo>
                                  <a:pt x="195199" y="0"/>
                                </a:lnTo>
                                <a:close/>
                              </a:path>
                            </a:pathLst>
                          </a:custGeom>
                          <a:solidFill>
                            <a:srgbClr val="4F81BB"/>
                          </a:solidFill>
                        </wps:spPr>
                        <wps:bodyPr rot="0">
                          <a:prstTxWarp prst="textNoShape">
                            <a:avLst/>
                          </a:prstTxWarp>
                          <a:noAutofit/>
                        </wps:bodyPr>
                      </wps:wsp>
                      <wps:wsp>
                        <wps:cNvPr id="775957283" name="Graphic 17"/>
                        <wps:cNvSpPr/>
                        <wps:spPr bwMode="auto">
                          <a:xfrm>
                            <a:off x="12700" y="12700"/>
                            <a:ext cx="260350" cy="152400"/>
                          </a:xfrm>
                          <a:custGeom>
                            <a:avLst/>
                            <a:gdLst/>
                            <a:ahLst/>
                            <a:cxnLst/>
                            <a:rect l="l" t="t" r="r" b="b"/>
                            <a:pathLst>
                              <a:path w="260350" h="152400" extrusionOk="0">
                                <a:moveTo>
                                  <a:pt x="0" y="76200"/>
                                </a:moveTo>
                                <a:lnTo>
                                  <a:pt x="65024" y="76200"/>
                                </a:lnTo>
                                <a:lnTo>
                                  <a:pt x="65024" y="0"/>
                                </a:lnTo>
                                <a:lnTo>
                                  <a:pt x="195199" y="0"/>
                                </a:lnTo>
                                <a:lnTo>
                                  <a:pt x="195199" y="76200"/>
                                </a:lnTo>
                                <a:lnTo>
                                  <a:pt x="260350" y="76200"/>
                                </a:lnTo>
                                <a:lnTo>
                                  <a:pt x="130175" y="152400"/>
                                </a:lnTo>
                                <a:lnTo>
                                  <a:pt x="0" y="76200"/>
                                </a:lnTo>
                                <a:close/>
                              </a:path>
                            </a:pathLst>
                          </a:custGeom>
                          <a:ln w="25400">
                            <a:solidFill>
                              <a:srgbClr val="385D88"/>
                            </a:solidFill>
                            <a:prstDash val="solid"/>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EAAEC01" id="Group 19" o:spid="_x0000_s1026" alt="P2898#y1" style="position:absolute;margin-left:438pt;margin-top:.8pt;width:22.5pt;height:14pt;z-index:251666432;mso-wrap-distance-left:0;mso-wrap-distance-right:0;mso-position-horizontal-relative:page" coordorigin="12700,12700" coordsize="26035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">
                <v:shape id="Graphic 16" o:spid="_x0000_s1027" style="position:absolute;left:12700;top:12700;width:260350;height:152400;visibility:visible;mso-wrap-style:square;v-text-anchor:top" coordsize="26035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" path="m195199,l65024,r,76200l,76200r130175,76200l260350,76200r-65151,l195199,xe" fillcolor="#4f81bb" stroked="f">
                  <v:path arrowok="t" o:extrusionok="f"/>
                </v:shape>
                <v:shape id="Graphic 17" o:spid="_x0000_s1028" style="position:absolute;left:12700;top:12700;width:260350;height:152400;visibility:visible;mso-wrap-style:square;v-text-anchor:top" coordsize="26035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" path="m,76200r65024,l65024,,195199,r,76200l260350,76200,130175,152400,,76200xe" filled="f" strokecolor="#385d88" strokeweight="2pt">
                  <v:path arrowok="t" o:extrusionok="f"/>
                </v:shape>
                <w10:wrap anchorx="page"/>
              </v:group>
            </w:pict>
          </mc:Fallback>
        </mc:AlternateContent>
      </w:r>
    </w:p>
    <w:p w14:paraId="0A8A7C3A" w14:textId="77777777" w:rsidR="00F81087" w:rsidRPr="00F81087" w:rsidRDefault="00F81087" w:rsidP="00F81087">
      <w:pPr>
        <w:widowControl w:val="0"/>
        <w:suppressAutoHyphens/>
        <w:jc w:val="both"/>
        <w:rPr>
          <w:rFonts w:ascii="Cambria" w:eastAsia="Cambria" w:hAnsi="Cambria" w:cs="Cambria"/>
          <w:sz w:val="20"/>
          <w:szCs w:val="20"/>
          <w:lang w:val="fr-FR"/>
        </w:rPr>
      </w:pPr>
    </w:p>
    <w:p w14:paraId="7DCC782F" w14:textId="77777777" w:rsidR="00F81087" w:rsidRPr="00F81087" w:rsidRDefault="00F81087" w:rsidP="00F81087">
      <w:pPr>
        <w:widowControl w:val="0"/>
        <w:suppressAutoHyphens/>
        <w:jc w:val="both"/>
        <w:rPr>
          <w:rFonts w:ascii="Cambria" w:hAnsi="Cambria"/>
          <w:sz w:val="20"/>
          <w:szCs w:val="20"/>
          <w:lang w:val="fr-FR"/>
        </w:rPr>
      </w:pPr>
      <w:r w:rsidRPr="00F81087">
        <w:rPr>
          <w:rFonts w:ascii="Cambria" w:hAnsi="Cambria"/>
          <w:sz w:val="20"/>
          <w:szCs w:val="20"/>
          <w:lang w:val="fr-FR"/>
        </w:rPr>
        <w:t>Le SCRS devra conseiller la Commission sur :</w:t>
      </w:r>
      <w:r w:rsidRPr="00F81087">
        <w:rPr>
          <w:lang w:val="fr-FR"/>
        </w:rPr>
        <w:t xml:space="preserve"> </w:t>
      </w:r>
    </w:p>
    <w:p w14:paraId="282BAF57" w14:textId="77777777" w:rsidR="00F81087" w:rsidRPr="00F81087" w:rsidRDefault="00F81087" w:rsidP="00F81087">
      <w:pPr>
        <w:widowControl w:val="0"/>
        <w:suppressAutoHyphens/>
        <w:jc w:val="both"/>
        <w:rPr>
          <w:rFonts w:ascii="Cambria" w:eastAsia="Cambria" w:hAnsi="Cambria" w:cs="Cambria"/>
          <w:sz w:val="20"/>
          <w:szCs w:val="20"/>
          <w:lang w:val="fr-FR"/>
        </w:rPr>
      </w:pPr>
    </w:p>
    <w:p w14:paraId="2EF277A5" w14:textId="77777777" w:rsidR="00F81087" w:rsidRPr="00F81087" w:rsidRDefault="00F81087" w:rsidP="00F81087">
      <w:pPr>
        <w:widowControl w:val="0"/>
        <w:numPr>
          <w:ilvl w:val="0"/>
          <w:numId w:val="45"/>
        </w:numPr>
        <w:suppressAutoHyphens/>
        <w:jc w:val="both"/>
        <w:rPr>
          <w:rFonts w:ascii="Cambria" w:eastAsia="Cambria" w:hAnsi="Cambria" w:cs="Cambria"/>
          <w:sz w:val="20"/>
          <w:szCs w:val="20"/>
          <w:lang w:val="fr-FR"/>
        </w:rPr>
      </w:pPr>
      <w:r w:rsidRPr="00F81087">
        <w:rPr>
          <w:rFonts w:ascii="Cambria" w:hAnsi="Cambria"/>
          <w:sz w:val="20"/>
          <w:szCs w:val="20"/>
          <w:lang w:val="fr-FR"/>
        </w:rPr>
        <w:t>Des recherches supplémentaires qui pourraient apporter plus de clarté sur la nécessité de s'écarter du calendrier actuel de révision des MP et du TAC.</w:t>
      </w:r>
    </w:p>
    <w:p w14:paraId="26E4C305" w14:textId="77777777" w:rsidR="00F81087" w:rsidRPr="00F81087" w:rsidRDefault="00F81087" w:rsidP="00F81087">
      <w:pPr>
        <w:widowControl w:val="0"/>
        <w:suppressAutoHyphens/>
        <w:jc w:val="both"/>
        <w:rPr>
          <w:rFonts w:ascii="Cambria" w:eastAsia="Cambria" w:hAnsi="Cambria" w:cs="Cambria"/>
          <w:sz w:val="20"/>
          <w:szCs w:val="20"/>
          <w:lang w:val="fr-FR"/>
        </w:rPr>
      </w:pPr>
    </w:p>
    <w:p w14:paraId="311A54A2" w14:textId="77777777" w:rsidR="00F81087" w:rsidRPr="00F81087" w:rsidRDefault="00F81087" w:rsidP="00F81087">
      <w:pPr>
        <w:widowControl w:val="0"/>
        <w:numPr>
          <w:ilvl w:val="0"/>
          <w:numId w:val="45"/>
        </w:numPr>
        <w:suppressAutoHyphens/>
        <w:jc w:val="both"/>
        <w:rPr>
          <w:rFonts w:ascii="Cambria" w:eastAsia="Cambria" w:hAnsi="Cambria" w:cs="Cambria"/>
          <w:sz w:val="20"/>
          <w:szCs w:val="20"/>
          <w:lang w:val="fr-FR"/>
        </w:rPr>
      </w:pPr>
      <w:r w:rsidRPr="00F81087">
        <w:rPr>
          <w:rFonts w:ascii="Cambria" w:hAnsi="Cambria"/>
          <w:sz w:val="20"/>
          <w:szCs w:val="20"/>
          <w:lang w:val="fr-FR"/>
        </w:rPr>
        <w:t>Options de gestion alternatives pour la prochaine année de pêche visant à assurer, au minimum, la stabilité de l'état du stock, y compris les implications : (i) le maintien du TAC établi dans le cadre de la MP, (ii) la réduction du TAC à la lumière des indications de déclin du stock, (iii) l'augmentation du TAC à la lumière des indications d'augmentation du stock qui n'ont pas été jugées plausibles au cours des tests de la MSE, et (iv) toute autre mesure de conservation et de gestion appropriée ;</w:t>
      </w:r>
    </w:p>
    <w:p w14:paraId="5A2D9F12" w14:textId="77777777" w:rsidR="00F81087" w:rsidRPr="00F81087" w:rsidRDefault="00F81087" w:rsidP="00F81087">
      <w:pPr>
        <w:widowControl w:val="0"/>
        <w:suppressAutoHyphens/>
        <w:jc w:val="both"/>
        <w:rPr>
          <w:rFonts w:ascii="Cambria" w:eastAsia="Cambria" w:hAnsi="Cambria" w:cs="Cambria"/>
          <w:sz w:val="20"/>
          <w:szCs w:val="20"/>
          <w:lang w:val="fr-FR"/>
        </w:rPr>
      </w:pPr>
    </w:p>
    <w:p w14:paraId="233C55AD" w14:textId="77777777" w:rsidR="00F81087" w:rsidRPr="00F81087" w:rsidRDefault="00F81087" w:rsidP="00F81087">
      <w:pPr>
        <w:widowControl w:val="0"/>
        <w:numPr>
          <w:ilvl w:val="0"/>
          <w:numId w:val="45"/>
        </w:numPr>
        <w:suppressAutoHyphens/>
        <w:jc w:val="both"/>
        <w:rPr>
          <w:rFonts w:ascii="Cambria" w:eastAsia="Cambria" w:hAnsi="Cambria" w:cs="Cambria"/>
          <w:sz w:val="20"/>
          <w:szCs w:val="20"/>
          <w:lang w:val="fr-FR"/>
        </w:rPr>
      </w:pPr>
      <w:r w:rsidRPr="00F81087">
        <w:rPr>
          <w:rFonts w:ascii="Cambria" w:hAnsi="Cambria"/>
          <w:sz w:val="20"/>
          <w:szCs w:val="20"/>
          <w:lang w:val="fr-FR"/>
        </w:rPr>
        <w:t>La question de savoir si la MP existante devrait être légèrement ajustée ou si une nouvelle MP doit être développée ; et</w:t>
      </w:r>
    </w:p>
    <w:p w14:paraId="5CAF830C" w14:textId="77777777" w:rsidR="00F81087" w:rsidRPr="00F81087" w:rsidRDefault="00F81087" w:rsidP="00F81087">
      <w:pPr>
        <w:widowControl w:val="0"/>
        <w:suppressAutoHyphens/>
        <w:jc w:val="both"/>
        <w:rPr>
          <w:rFonts w:ascii="Cambria" w:eastAsia="Cambria" w:hAnsi="Cambria" w:cs="Cambria"/>
          <w:sz w:val="20"/>
          <w:szCs w:val="20"/>
          <w:lang w:val="fr-FR"/>
        </w:rPr>
      </w:pPr>
    </w:p>
    <w:p w14:paraId="54433BD9" w14:textId="77777777" w:rsidR="00F81087" w:rsidRPr="00F81087" w:rsidRDefault="00F81087" w:rsidP="00F81087">
      <w:pPr>
        <w:widowControl w:val="0"/>
        <w:numPr>
          <w:ilvl w:val="0"/>
          <w:numId w:val="45"/>
        </w:numPr>
        <w:suppressAutoHyphens/>
        <w:jc w:val="both"/>
        <w:rPr>
          <w:rFonts w:ascii="Cambria" w:eastAsia="Cambria" w:hAnsi="Cambria" w:cs="Cambria"/>
          <w:sz w:val="20"/>
          <w:szCs w:val="20"/>
          <w:lang w:val="fr-FR"/>
        </w:rPr>
      </w:pPr>
      <w:r w:rsidRPr="00F81087">
        <w:rPr>
          <w:rFonts w:ascii="Cambria" w:hAnsi="Cambria"/>
          <w:sz w:val="20"/>
          <w:szCs w:val="20"/>
          <w:lang w:val="fr-FR"/>
        </w:rPr>
        <w:t>Si une évaluation du stock ou une autre méthode approuvée par le SCRS pour déterminer les TAC est nécessaire pour fournir un avis de gestion dans l'intervalle, pendant qu'une MP révisée est élaborée.</w:t>
      </w:r>
    </w:p>
    <w:p w14:paraId="325BE187" w14:textId="77777777" w:rsidR="00F81087" w:rsidRPr="00F81087" w:rsidRDefault="00F81087" w:rsidP="00F81087">
      <w:pPr>
        <w:widowControl w:val="0"/>
        <w:suppressAutoHyphens/>
        <w:jc w:val="both"/>
        <w:rPr>
          <w:rFonts w:ascii="Cambria" w:eastAsia="Cambria" w:hAnsi="Cambria" w:cs="Cambria"/>
          <w:sz w:val="20"/>
          <w:szCs w:val="20"/>
          <w:lang w:val="fr-FR"/>
        </w:rPr>
      </w:pPr>
    </w:p>
    <w:p w14:paraId="09E7CEE3" w14:textId="77777777" w:rsidR="00F81087" w:rsidRPr="00F81087" w:rsidRDefault="00F81087" w:rsidP="00F81087">
      <w:pPr>
        <w:widowControl w:val="0"/>
        <w:suppressAutoHyphens/>
        <w:jc w:val="both"/>
        <w:rPr>
          <w:rFonts w:ascii="Cambria" w:eastAsia="Cambria" w:hAnsi="Cambria" w:cs="Cambria"/>
          <w:sz w:val="20"/>
          <w:szCs w:val="20"/>
          <w:lang w:val="fr-FR"/>
        </w:rPr>
      </w:pPr>
      <w:r w:rsidRPr="00F81087">
        <w:rPr>
          <w:rFonts w:ascii="Cambria" w:hAnsi="Cambria"/>
          <w:sz w:val="20"/>
          <w:szCs w:val="20"/>
          <w:lang w:val="fr-FR"/>
        </w:rPr>
        <w:t>Sur la base de l'avis du SCRS sur ce qui précède, la Commission devra décider de la ou des mesures de gestion alternatives à prendre. Si nécessaire et approprié, le SCRS devra réaliser une nouvelle évaluation du stock et/ou formuler un avis sur les nouvelles MP potentielles, dès que possible.</w:t>
      </w:r>
    </w:p>
    <w:p w14:paraId="1CF8A1F3" w14:textId="77777777" w:rsidR="00F81087" w:rsidRPr="00F81087" w:rsidRDefault="00F81087" w:rsidP="00F81087">
      <w:pPr>
        <w:widowControl w:val="0"/>
        <w:suppressAutoHyphens/>
        <w:jc w:val="both"/>
        <w:rPr>
          <w:rFonts w:ascii="Cambria" w:eastAsia="Cambria" w:hAnsi="Cambria" w:cs="Cambria"/>
          <w:sz w:val="20"/>
          <w:szCs w:val="20"/>
          <w:lang w:val="fr-FR"/>
        </w:rPr>
      </w:pPr>
    </w:p>
    <w:p w14:paraId="0969A5B2" w14:textId="77777777" w:rsidR="00F81087" w:rsidRPr="00F81087" w:rsidRDefault="00F81087" w:rsidP="00F81087">
      <w:pPr>
        <w:widowControl w:val="0"/>
        <w:suppressAutoHyphens/>
        <w:jc w:val="both"/>
        <w:rPr>
          <w:rFonts w:ascii="Cambria" w:hAnsi="Cambria"/>
          <w:sz w:val="20"/>
          <w:szCs w:val="20"/>
          <w:lang w:val="fr-FR"/>
        </w:rPr>
      </w:pPr>
      <w:r w:rsidRPr="00F81087">
        <w:rPr>
          <w:rFonts w:ascii="Cambria" w:hAnsi="Cambria"/>
          <w:sz w:val="20"/>
          <w:szCs w:val="20"/>
          <w:lang w:val="fr-FR"/>
        </w:rPr>
        <w:t>La procédure de gestion (MP) adoptée a été exécutée en 2025 et a fourni un avis sur le total admissible de captures (TAC) pour le premier cycle de gestion (2026-2028). Le Comité a entrepris des analyses pour soutenir l'élaboration d'un projet de protocole de circonstances exceptionnelles (ECP) qui est présenté́ ci-dessus. L'adoption du protocole par la Commission est prévue pour 2026 et il devrait entrer en vigueur en 2027. Les critères définitifs associés aux trois principes fondamentaux du protocole n'ont pas été officiellement adoptés par la Commission. Le Comité a néanmoins procédé à une évaluation conformément aux projets de spécifications pour les présentes EC.</w:t>
      </w:r>
      <w:r w:rsidRPr="00F81087">
        <w:rPr>
          <w:rFonts w:ascii="Cambria" w:hAnsi="Cambria"/>
          <w:sz w:val="20"/>
          <w:szCs w:val="20"/>
          <w:lang w:val="fr-FR"/>
        </w:rPr>
        <w:br w:type="page"/>
      </w:r>
    </w:p>
    <w:p w14:paraId="35065CE8" w14:textId="77777777" w:rsidR="00F81087" w:rsidRPr="00F81087" w:rsidRDefault="00F81087" w:rsidP="00F81087">
      <w:pPr>
        <w:widowControl w:val="0"/>
        <w:suppressAutoHyphens/>
        <w:jc w:val="both"/>
        <w:rPr>
          <w:rFonts w:ascii="Cambria" w:hAnsi="Cambria"/>
          <w:sz w:val="20"/>
          <w:szCs w:val="20"/>
          <w:lang w:val="fr-FR"/>
        </w:rPr>
      </w:pPr>
      <w:r w:rsidRPr="00F81087">
        <w:rPr>
          <w:rFonts w:ascii="Cambria" w:hAnsi="Cambria"/>
          <w:sz w:val="20"/>
          <w:szCs w:val="20"/>
          <w:lang w:val="fr-FR"/>
        </w:rPr>
        <w:lastRenderedPageBreak/>
        <w:t>Le Comité a conclu qu'il n'y avait pas de EC pour la détermination de EC de 2026. Cette conclusion est basée sur une évaluation des projets de critères, et développée ici.</w:t>
      </w:r>
    </w:p>
    <w:p w14:paraId="5026EF72" w14:textId="77777777" w:rsidR="00F81087" w:rsidRPr="00F81087" w:rsidRDefault="00F81087" w:rsidP="00F81087">
      <w:pPr>
        <w:pStyle w:val="BodyText"/>
        <w:suppressAutoHyphens/>
        <w:ind w:right="285"/>
        <w:jc w:val="both"/>
        <w:rPr>
          <w:rFonts w:ascii="Cambria" w:hAnsi="Cambria"/>
          <w:sz w:val="20"/>
          <w:szCs w:val="20"/>
          <w:lang w:val="fr-FR"/>
        </w:rPr>
      </w:pPr>
    </w:p>
    <w:p w14:paraId="00BCC6FA" w14:textId="77777777" w:rsidR="00F81087" w:rsidRPr="007B779F" w:rsidRDefault="00F81087" w:rsidP="00F81087">
      <w:pPr>
        <w:pStyle w:val="ListParagraph"/>
        <w:widowControl w:val="0"/>
        <w:numPr>
          <w:ilvl w:val="0"/>
          <w:numId w:val="46"/>
        </w:numPr>
        <w:tabs>
          <w:tab w:val="left" w:pos="1170"/>
        </w:tabs>
        <w:suppressAutoHyphens/>
        <w:ind w:left="360" w:hanging="360"/>
        <w:jc w:val="both"/>
        <w:rPr>
          <w:rFonts w:ascii="Cambria" w:hAnsi="Cambria"/>
          <w:i/>
          <w:sz w:val="20"/>
          <w:szCs w:val="20"/>
        </w:rPr>
      </w:pPr>
      <w:proofErr w:type="spellStart"/>
      <w:r w:rsidRPr="007B779F">
        <w:rPr>
          <w:rFonts w:ascii="Cambria" w:hAnsi="Cambria"/>
          <w:i/>
          <w:sz w:val="20"/>
          <w:szCs w:val="20"/>
        </w:rPr>
        <w:t>Dynamique</w:t>
      </w:r>
      <w:proofErr w:type="spellEnd"/>
      <w:r w:rsidRPr="007B779F">
        <w:rPr>
          <w:rFonts w:ascii="Cambria" w:hAnsi="Cambria"/>
          <w:i/>
          <w:sz w:val="20"/>
          <w:szCs w:val="20"/>
        </w:rPr>
        <w:t xml:space="preserve"> des stocks</w:t>
      </w:r>
    </w:p>
    <w:p w14:paraId="652A2123" w14:textId="77777777" w:rsidR="00F81087" w:rsidRPr="007B779F" w:rsidRDefault="00F81087" w:rsidP="00F81087">
      <w:pPr>
        <w:pStyle w:val="ListParagraph"/>
        <w:tabs>
          <w:tab w:val="left" w:pos="1170"/>
        </w:tabs>
        <w:suppressAutoHyphens/>
        <w:ind w:left="360"/>
        <w:jc w:val="both"/>
        <w:rPr>
          <w:rFonts w:ascii="Cambria" w:hAnsi="Cambria"/>
          <w:i/>
          <w:sz w:val="20"/>
          <w:szCs w:val="20"/>
        </w:rPr>
      </w:pPr>
    </w:p>
    <w:p w14:paraId="1C461E06" w14:textId="77777777" w:rsidR="00F81087" w:rsidRPr="00F81087" w:rsidRDefault="00F81087" w:rsidP="00F81087">
      <w:pPr>
        <w:pStyle w:val="ListParagraph"/>
        <w:widowControl w:val="0"/>
        <w:numPr>
          <w:ilvl w:val="1"/>
          <w:numId w:val="46"/>
        </w:numPr>
        <w:tabs>
          <w:tab w:val="left" w:pos="1137"/>
          <w:tab w:val="left" w:pos="1170"/>
        </w:tabs>
        <w:suppressAutoHyphens/>
        <w:ind w:left="360" w:right="-1" w:hanging="360"/>
        <w:jc w:val="both"/>
        <w:rPr>
          <w:rFonts w:ascii="Cambria" w:hAnsi="Cambria"/>
          <w:sz w:val="20"/>
          <w:szCs w:val="20"/>
          <w:lang w:val="fr-FR"/>
        </w:rPr>
      </w:pPr>
      <w:r w:rsidRPr="00F81087">
        <w:rPr>
          <w:rFonts w:ascii="Cambria" w:hAnsi="Cambria"/>
          <w:sz w:val="20"/>
          <w:szCs w:val="20"/>
          <w:lang w:val="fr-FR"/>
        </w:rPr>
        <w:t>Indices pour 2025, l'indice d'abondance combiné ne se situe pas en dehors des intervalles de prédiction conventionnels de 95% (c'est-à-dire du 2,5e au 97,5e centile) (</w:t>
      </w:r>
      <w:r w:rsidRPr="00F81087">
        <w:rPr>
          <w:rFonts w:ascii="Cambria" w:hAnsi="Cambria"/>
          <w:b/>
          <w:sz w:val="20"/>
          <w:szCs w:val="20"/>
          <w:lang w:val="fr-FR"/>
        </w:rPr>
        <w:t>figure 19.43.1</w:t>
      </w:r>
      <w:r w:rsidRPr="00F81087">
        <w:rPr>
          <w:rFonts w:ascii="Cambria" w:hAnsi="Cambria"/>
          <w:sz w:val="20"/>
          <w:szCs w:val="20"/>
          <w:lang w:val="fr-FR"/>
        </w:rPr>
        <w:t>).</w:t>
      </w:r>
    </w:p>
    <w:p w14:paraId="48FA971C" w14:textId="77777777" w:rsidR="00F81087" w:rsidRPr="00F81087" w:rsidRDefault="00F81087" w:rsidP="00F81087">
      <w:pPr>
        <w:pStyle w:val="BodyText"/>
        <w:tabs>
          <w:tab w:val="left" w:pos="1170"/>
        </w:tabs>
        <w:suppressAutoHyphens/>
        <w:ind w:left="360"/>
        <w:jc w:val="both"/>
        <w:rPr>
          <w:rFonts w:ascii="Cambria" w:hAnsi="Cambria"/>
          <w:sz w:val="20"/>
          <w:szCs w:val="20"/>
          <w:lang w:val="fr-FR"/>
        </w:rPr>
      </w:pPr>
    </w:p>
    <w:p w14:paraId="5083D939" w14:textId="77777777" w:rsidR="00F81087" w:rsidRPr="007B779F" w:rsidRDefault="00F81087" w:rsidP="00F81087">
      <w:pPr>
        <w:pStyle w:val="BodyText"/>
        <w:tabs>
          <w:tab w:val="left" w:pos="1170"/>
        </w:tabs>
        <w:suppressAutoHyphens/>
        <w:ind w:left="360"/>
        <w:jc w:val="both"/>
        <w:rPr>
          <w:rFonts w:ascii="Cambria" w:hAnsi="Cambria"/>
          <w:sz w:val="20"/>
          <w:szCs w:val="20"/>
        </w:rPr>
      </w:pPr>
      <w:r w:rsidRPr="007B779F">
        <w:rPr>
          <w:rFonts w:ascii="Cambria" w:hAnsi="Cambria"/>
          <w:noProof/>
          <w:sz w:val="20"/>
          <w:szCs w:val="20"/>
        </w:rPr>
        <w:drawing>
          <wp:inline distT="0" distB="0" distL="0" distR="0" wp14:anchorId="3007A333" wp14:editId="300CBB83">
            <wp:extent cx="5943600" cy="3622675"/>
            <wp:effectExtent l="0" t="0" r="0" b="0"/>
            <wp:docPr id="11" name="Picture 1" descr="P291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P2919#yIS1"/>
                    <pic:cNvPicPr>
                      <a:picLocks noChangeAspect="1"/>
                    </pic:cNvPicPr>
                  </pic:nvPicPr>
                  <pic:blipFill rotWithShape="1">
                    <a:blip r:embed="rId35"/>
                    <a:stretch/>
                  </pic:blipFill>
                  <pic:spPr bwMode="auto">
                    <a:xfrm>
                      <a:off x="0" y="0"/>
                      <a:ext cx="5943600" cy="3622675"/>
                    </a:xfrm>
                    <a:prstGeom prst="rect">
                      <a:avLst/>
                    </a:prstGeom>
                  </pic:spPr>
                </pic:pic>
              </a:graphicData>
            </a:graphic>
          </wp:inline>
        </w:drawing>
      </w:r>
    </w:p>
    <w:p w14:paraId="6D31478E" w14:textId="77777777" w:rsidR="00F81087" w:rsidRPr="007B779F" w:rsidRDefault="00F81087" w:rsidP="00F81087">
      <w:pPr>
        <w:pStyle w:val="BodyText"/>
        <w:tabs>
          <w:tab w:val="left" w:pos="1170"/>
        </w:tabs>
        <w:suppressAutoHyphens/>
        <w:ind w:right="-1"/>
        <w:jc w:val="both"/>
        <w:rPr>
          <w:rFonts w:ascii="Cambria" w:hAnsi="Cambria"/>
          <w:b w:val="0"/>
          <w:sz w:val="20"/>
          <w:szCs w:val="20"/>
        </w:rPr>
      </w:pPr>
    </w:p>
    <w:p w14:paraId="1693095A" w14:textId="77777777" w:rsidR="00F81087" w:rsidRPr="00F81087" w:rsidRDefault="00F81087" w:rsidP="00F81087">
      <w:pPr>
        <w:pStyle w:val="BodyText"/>
        <w:tabs>
          <w:tab w:val="left" w:pos="1170"/>
        </w:tabs>
        <w:suppressAutoHyphens/>
        <w:ind w:right="-1"/>
        <w:jc w:val="both"/>
        <w:rPr>
          <w:rFonts w:ascii="Cambria" w:hAnsi="Cambria"/>
          <w:b w:val="0"/>
          <w:bCs w:val="0"/>
          <w:sz w:val="20"/>
          <w:szCs w:val="20"/>
          <w:lang w:val="fr-FR"/>
        </w:rPr>
      </w:pPr>
      <w:r w:rsidRPr="00F81087">
        <w:rPr>
          <w:rFonts w:ascii="Cambria" w:hAnsi="Cambria"/>
          <w:sz w:val="20"/>
          <w:szCs w:val="20"/>
          <w:lang w:val="fr-FR"/>
        </w:rPr>
        <w:t>Figure 19.43.1.</w:t>
      </w:r>
      <w:r w:rsidRPr="00F81087">
        <w:rPr>
          <w:rFonts w:ascii="Cambria" w:hAnsi="Cambria"/>
          <w:b w:val="0"/>
          <w:bCs w:val="0"/>
          <w:sz w:val="20"/>
          <w:szCs w:val="20"/>
          <w:lang w:val="fr-FR"/>
        </w:rPr>
        <w:t xml:space="preserve"> Le graphique représente l'indice combiné par rapport à l’ensemble de référence des OM</w:t>
      </w:r>
      <w:r w:rsidRPr="00F81087">
        <w:rPr>
          <w:rFonts w:ascii="Cambria" w:hAnsi="Cambria"/>
          <w:b w:val="0"/>
          <w:bCs w:val="0"/>
          <w:color w:val="EE0000"/>
          <w:sz w:val="20"/>
          <w:szCs w:val="20"/>
          <w:lang w:val="fr-FR"/>
        </w:rPr>
        <w:t xml:space="preserve">.  </w:t>
      </w:r>
      <w:r w:rsidRPr="00F81087">
        <w:rPr>
          <w:rFonts w:ascii="Cambria" w:hAnsi="Cambria"/>
          <w:b w:val="0"/>
          <w:bCs w:val="0"/>
          <w:sz w:val="20"/>
          <w:szCs w:val="20"/>
          <w:lang w:val="fr-FR"/>
        </w:rPr>
        <w:t>La zone ombrée en gris regroupe les centiles des 9 OM * 100 simulations = 900 trajectoires projetées ; la ligne pointillée correspond à l'indice de conditionnement des modèles ; et le point vert représente l'observation de 2025.</w:t>
      </w:r>
    </w:p>
    <w:p w14:paraId="21DA716D" w14:textId="77777777" w:rsidR="00F81087" w:rsidRPr="00F81087" w:rsidRDefault="00F81087" w:rsidP="00F81087">
      <w:pPr>
        <w:pStyle w:val="BodyText"/>
        <w:tabs>
          <w:tab w:val="left" w:pos="1170"/>
        </w:tabs>
        <w:suppressAutoHyphens/>
        <w:ind w:right="281"/>
        <w:jc w:val="both"/>
        <w:rPr>
          <w:rFonts w:ascii="Cambria" w:hAnsi="Cambria"/>
          <w:sz w:val="20"/>
          <w:szCs w:val="20"/>
          <w:lang w:val="fr-FR"/>
        </w:rPr>
      </w:pPr>
    </w:p>
    <w:p w14:paraId="543E311F" w14:textId="77777777" w:rsidR="00F81087" w:rsidRPr="00F81087" w:rsidRDefault="00F81087" w:rsidP="00F81087">
      <w:pPr>
        <w:pStyle w:val="ListParagraph"/>
        <w:widowControl w:val="0"/>
        <w:numPr>
          <w:ilvl w:val="1"/>
          <w:numId w:val="46"/>
        </w:numPr>
        <w:tabs>
          <w:tab w:val="left" w:pos="1137"/>
          <w:tab w:val="left" w:pos="1170"/>
        </w:tabs>
        <w:suppressAutoHyphens/>
        <w:ind w:left="360" w:right="-1"/>
        <w:jc w:val="both"/>
        <w:rPr>
          <w:rFonts w:ascii="Cambria" w:hAnsi="Cambria"/>
          <w:sz w:val="20"/>
          <w:szCs w:val="20"/>
          <w:lang w:val="fr-FR"/>
        </w:rPr>
      </w:pPr>
      <w:r w:rsidRPr="00F81087">
        <w:rPr>
          <w:rFonts w:ascii="Cambria" w:hAnsi="Cambria"/>
          <w:sz w:val="20"/>
          <w:szCs w:val="20"/>
          <w:lang w:val="fr-FR"/>
        </w:rPr>
        <w:t>Abondance et cycle vital ou dynamique de la pêcherie. Il n'existe aucune nouvelle preuve que l’abondance, le cycle vital ou la dynamique de la pêcherie soient substantiellement différents de ceux testés dans les OM.</w:t>
      </w:r>
    </w:p>
    <w:p w14:paraId="70EF59E3" w14:textId="77777777" w:rsidR="00F81087" w:rsidRPr="00F81087" w:rsidRDefault="00F81087" w:rsidP="00F81087">
      <w:pPr>
        <w:pStyle w:val="ListParagraph"/>
        <w:tabs>
          <w:tab w:val="left" w:pos="1137"/>
          <w:tab w:val="left" w:pos="1170"/>
        </w:tabs>
        <w:suppressAutoHyphens/>
        <w:ind w:left="360" w:right="282"/>
        <w:jc w:val="both"/>
        <w:rPr>
          <w:rFonts w:ascii="Cambria" w:hAnsi="Cambria"/>
          <w:sz w:val="20"/>
          <w:szCs w:val="20"/>
          <w:lang w:val="fr-FR"/>
        </w:rPr>
      </w:pPr>
    </w:p>
    <w:p w14:paraId="29583B53" w14:textId="77777777" w:rsidR="00F81087" w:rsidRPr="00F81087" w:rsidRDefault="00F81087" w:rsidP="00F81087">
      <w:pPr>
        <w:pStyle w:val="ListParagraph"/>
        <w:widowControl w:val="0"/>
        <w:numPr>
          <w:ilvl w:val="0"/>
          <w:numId w:val="46"/>
        </w:numPr>
        <w:tabs>
          <w:tab w:val="left" w:pos="1170"/>
        </w:tabs>
        <w:suppressAutoHyphens/>
        <w:ind w:left="360" w:hanging="427"/>
        <w:jc w:val="both"/>
        <w:rPr>
          <w:rFonts w:ascii="Cambria" w:hAnsi="Cambria"/>
          <w:i/>
          <w:sz w:val="20"/>
          <w:szCs w:val="20"/>
          <w:lang w:val="fr-FR"/>
        </w:rPr>
      </w:pPr>
      <w:r w:rsidRPr="00F81087">
        <w:rPr>
          <w:rFonts w:ascii="Cambria" w:hAnsi="Cambria"/>
          <w:i/>
          <w:sz w:val="20"/>
          <w:szCs w:val="20"/>
          <w:lang w:val="fr-FR"/>
        </w:rPr>
        <w:t>Disponibilité des données pour la MP</w:t>
      </w:r>
    </w:p>
    <w:p w14:paraId="38E89B52" w14:textId="77777777" w:rsidR="00F81087" w:rsidRPr="00F81087" w:rsidRDefault="00F81087" w:rsidP="00F81087">
      <w:pPr>
        <w:pStyle w:val="ListParagraph"/>
        <w:tabs>
          <w:tab w:val="left" w:pos="1170"/>
        </w:tabs>
        <w:suppressAutoHyphens/>
        <w:ind w:left="360"/>
        <w:jc w:val="both"/>
        <w:rPr>
          <w:rFonts w:ascii="Cambria" w:hAnsi="Cambria"/>
          <w:i/>
          <w:sz w:val="20"/>
          <w:szCs w:val="20"/>
          <w:lang w:val="fr-FR"/>
        </w:rPr>
      </w:pPr>
    </w:p>
    <w:p w14:paraId="4E9B6D28" w14:textId="77777777" w:rsidR="00F81087" w:rsidRPr="00F81087" w:rsidRDefault="00F81087" w:rsidP="00F81087">
      <w:pPr>
        <w:pStyle w:val="BodyText"/>
        <w:tabs>
          <w:tab w:val="left" w:pos="1170"/>
        </w:tabs>
        <w:suppressAutoHyphens/>
        <w:ind w:left="360" w:right="-1"/>
        <w:jc w:val="both"/>
        <w:rPr>
          <w:rStyle w:val="CommentReference1"/>
          <w:rFonts w:ascii="Cambria" w:hAnsi="Cambria"/>
          <w:sz w:val="20"/>
          <w:szCs w:val="20"/>
          <w:lang w:val="fr-FR"/>
        </w:rPr>
      </w:pPr>
      <w:r w:rsidRPr="00F81087">
        <w:rPr>
          <w:rFonts w:ascii="Cambria" w:hAnsi="Cambria"/>
          <w:b w:val="0"/>
          <w:bCs w:val="0"/>
          <w:sz w:val="20"/>
          <w:szCs w:val="20"/>
          <w:lang w:val="fr-FR"/>
        </w:rPr>
        <w:t xml:space="preserve">L'indice d'abondance combiné a été mis à jour en 2026 avec des données jusqu'en 2025. Les données du Venezuela étaient disponibles jusqu'en 2024 compris, mais pas pour 2025. Par conséquent, l'estimation de l'indice pour 2025 repose uniquement sur les données du Brésil et des États-Unis, ce qui n'est pas considéré comme une EC au sens du </w:t>
      </w:r>
      <w:r w:rsidRPr="00F81087">
        <w:rPr>
          <w:rFonts w:ascii="Cambria" w:hAnsi="Cambria"/>
          <w:sz w:val="20"/>
          <w:szCs w:val="20"/>
          <w:lang w:val="fr-FR"/>
        </w:rPr>
        <w:t>tableau 19.43.1.</w:t>
      </w:r>
    </w:p>
    <w:p w14:paraId="3BB7859A" w14:textId="77777777" w:rsidR="00F81087" w:rsidRPr="00F81087" w:rsidRDefault="00F81087" w:rsidP="00F81087">
      <w:pPr>
        <w:pStyle w:val="BodyText"/>
        <w:tabs>
          <w:tab w:val="left" w:pos="1170"/>
        </w:tabs>
        <w:suppressAutoHyphens/>
        <w:ind w:right="284"/>
        <w:jc w:val="both"/>
        <w:rPr>
          <w:rFonts w:ascii="Cambria" w:hAnsi="Cambria"/>
          <w:sz w:val="20"/>
          <w:szCs w:val="20"/>
          <w:lang w:val="fr-FR"/>
        </w:rPr>
      </w:pPr>
    </w:p>
    <w:p w14:paraId="0A8D3845" w14:textId="77777777" w:rsidR="00F81087" w:rsidRPr="007B779F" w:rsidRDefault="00F81087" w:rsidP="00F81087">
      <w:pPr>
        <w:pStyle w:val="ListParagraph"/>
        <w:widowControl w:val="0"/>
        <w:numPr>
          <w:ilvl w:val="0"/>
          <w:numId w:val="46"/>
        </w:numPr>
        <w:tabs>
          <w:tab w:val="left" w:pos="1170"/>
        </w:tabs>
        <w:suppressAutoHyphens/>
        <w:ind w:left="426" w:hanging="426"/>
        <w:jc w:val="both"/>
        <w:rPr>
          <w:rFonts w:ascii="Cambria" w:hAnsi="Cambria"/>
          <w:i/>
          <w:sz w:val="20"/>
          <w:szCs w:val="20"/>
        </w:rPr>
      </w:pPr>
      <w:r w:rsidRPr="007B779F">
        <w:rPr>
          <w:rFonts w:ascii="Cambria" w:hAnsi="Cambria"/>
          <w:i/>
          <w:sz w:val="20"/>
          <w:szCs w:val="20"/>
        </w:rPr>
        <w:t xml:space="preserve">Mise en </w:t>
      </w:r>
      <w:proofErr w:type="spellStart"/>
      <w:r w:rsidRPr="007B779F">
        <w:rPr>
          <w:rFonts w:ascii="Cambria" w:hAnsi="Cambria"/>
          <w:i/>
          <w:sz w:val="20"/>
          <w:szCs w:val="20"/>
        </w:rPr>
        <w:t>œuvre</w:t>
      </w:r>
      <w:proofErr w:type="spellEnd"/>
      <w:r w:rsidRPr="007B779F">
        <w:rPr>
          <w:rFonts w:ascii="Cambria" w:hAnsi="Cambria"/>
          <w:i/>
          <w:sz w:val="20"/>
          <w:szCs w:val="20"/>
        </w:rPr>
        <w:t xml:space="preserve"> du TAC</w:t>
      </w:r>
    </w:p>
    <w:p w14:paraId="66B461F1" w14:textId="77777777" w:rsidR="00F81087" w:rsidRPr="007B779F" w:rsidRDefault="00F81087" w:rsidP="00F81087">
      <w:pPr>
        <w:pStyle w:val="BodyText"/>
        <w:tabs>
          <w:tab w:val="left" w:pos="1170"/>
        </w:tabs>
        <w:suppressAutoHyphens/>
        <w:ind w:left="360"/>
        <w:jc w:val="both"/>
        <w:rPr>
          <w:rFonts w:ascii="Cambria" w:hAnsi="Cambria"/>
          <w:i/>
          <w:sz w:val="20"/>
          <w:szCs w:val="20"/>
        </w:rPr>
      </w:pPr>
    </w:p>
    <w:p w14:paraId="311E4134" w14:textId="77777777" w:rsidR="00F81087" w:rsidRPr="00F81087" w:rsidRDefault="00F81087" w:rsidP="00F81087">
      <w:pPr>
        <w:pStyle w:val="BodyText"/>
        <w:tabs>
          <w:tab w:val="left" w:pos="1170"/>
        </w:tabs>
        <w:suppressAutoHyphens/>
        <w:ind w:left="426" w:right="-1"/>
        <w:jc w:val="both"/>
        <w:rPr>
          <w:rFonts w:ascii="Cambria" w:hAnsi="Cambria"/>
          <w:b w:val="0"/>
          <w:bCs w:val="0"/>
          <w:spacing w:val="-4"/>
          <w:sz w:val="20"/>
          <w:szCs w:val="20"/>
          <w:lang w:val="fr-FR"/>
        </w:rPr>
      </w:pPr>
      <w:r w:rsidRPr="00F81087">
        <w:rPr>
          <w:rFonts w:ascii="Cambria" w:hAnsi="Cambria"/>
          <w:b w:val="0"/>
          <w:bCs w:val="0"/>
          <w:sz w:val="20"/>
          <w:szCs w:val="20"/>
          <w:lang w:val="fr-FR"/>
        </w:rPr>
        <w:t>Il n'y avait pas de TAC pour le listao de l'Ouest en 2025, mais les débarquements de 2025 se sont élevés à 23.004 t, soit un niveau inférieur au TAC de 30.844 t fixé pour la période 2026-2028 sur la base de la MP. En 2027, le Comité évaluera les niveaux de capture par rapport à ce TAC.</w:t>
      </w:r>
    </w:p>
    <w:p w14:paraId="70B83BE2" w14:textId="77777777" w:rsidR="00F81087" w:rsidRPr="00F81087" w:rsidRDefault="00F81087" w:rsidP="00F81087">
      <w:pPr>
        <w:tabs>
          <w:tab w:val="right" w:leader="dot" w:pos="8505"/>
          <w:tab w:val="right" w:pos="9072"/>
        </w:tabs>
        <w:ind w:right="-1"/>
        <w:contextualSpacing/>
        <w:jc w:val="both"/>
        <w:rPr>
          <w:rFonts w:ascii="Cambria" w:hAnsi="Cambria"/>
          <w:sz w:val="20"/>
          <w:szCs w:val="20"/>
          <w:lang w:val="fr-FR"/>
        </w:rPr>
      </w:pPr>
    </w:p>
    <w:p w14:paraId="66DE3EB1" w14:textId="77777777" w:rsidR="00F81087" w:rsidRPr="00F81087" w:rsidRDefault="00F81087" w:rsidP="00F81087">
      <w:pPr>
        <w:jc w:val="both"/>
        <w:rPr>
          <w:rFonts w:ascii="Cambria" w:hAnsi="Cambria"/>
          <w:i/>
          <w:color w:val="000000"/>
          <w:sz w:val="20"/>
          <w:szCs w:val="20"/>
          <w:lang w:val="fr-FR"/>
        </w:rPr>
      </w:pPr>
    </w:p>
    <w:p w14:paraId="7717F439" w14:textId="77777777" w:rsidR="00F81087" w:rsidRPr="00F81087" w:rsidRDefault="00F81087" w:rsidP="00F81087">
      <w:pPr>
        <w:jc w:val="both"/>
        <w:rPr>
          <w:rFonts w:ascii="Cambria" w:hAnsi="Cambria"/>
          <w:b/>
          <w:i/>
          <w:color w:val="000000"/>
          <w:sz w:val="20"/>
          <w:szCs w:val="20"/>
          <w:lang w:val="fr-FR"/>
        </w:rPr>
      </w:pPr>
    </w:p>
    <w:p w14:paraId="6D012C6F" w14:textId="77777777" w:rsidR="00F81087" w:rsidRPr="00F81087" w:rsidRDefault="00F81087" w:rsidP="00F81087">
      <w:pPr>
        <w:jc w:val="both"/>
        <w:rPr>
          <w:rFonts w:ascii="Cambria" w:hAnsi="Cambria"/>
          <w:b/>
          <w:i/>
          <w:color w:val="000000"/>
          <w:sz w:val="20"/>
          <w:szCs w:val="20"/>
          <w:lang w:val="fr-FR"/>
        </w:rPr>
      </w:pPr>
    </w:p>
    <w:p w14:paraId="611296BB" w14:textId="77777777" w:rsidR="00F81087" w:rsidRPr="00F81087" w:rsidRDefault="00F81087" w:rsidP="00F81087">
      <w:pPr>
        <w:jc w:val="both"/>
        <w:rPr>
          <w:rFonts w:ascii="Cambria" w:eastAsia="Aptos" w:hAnsi="Cambria" w:cs="Aptos"/>
          <w:bCs/>
          <w:i/>
          <w:iCs/>
          <w:sz w:val="20"/>
          <w:szCs w:val="20"/>
          <w:lang w:val="fr-FR"/>
        </w:rPr>
      </w:pPr>
      <w:r w:rsidRPr="00F81087">
        <w:rPr>
          <w:rFonts w:ascii="Cambria" w:hAnsi="Cambria"/>
          <w:b/>
          <w:i/>
          <w:color w:val="000000"/>
          <w:sz w:val="20"/>
          <w:szCs w:val="20"/>
          <w:lang w:val="fr-FR"/>
        </w:rPr>
        <w:lastRenderedPageBreak/>
        <w:t xml:space="preserve">19.44 Le SCRS devra faire rapport chaque année sur la mise en œuvre du programme d'échantillonnage portuaire, ventilé par CPC, </w:t>
      </w:r>
      <w:hyperlink r:id="rId36" w:history="1">
        <w:r w:rsidRPr="00F81087">
          <w:rPr>
            <w:rFonts w:ascii="Cambria" w:hAnsi="Cambria"/>
            <w:b/>
            <w:i/>
            <w:color w:val="0563C1" w:themeColor="hyperlink"/>
            <w:sz w:val="20"/>
            <w:szCs w:val="20"/>
            <w:lang w:val="fr-FR"/>
          </w:rPr>
          <w:t>Rec.</w:t>
        </w:r>
      </w:hyperlink>
      <w:hyperlink r:id="rId37" w:history="1">
        <w:r w:rsidRPr="00F81087">
          <w:rPr>
            <w:rFonts w:ascii="Cambria" w:hAnsi="Cambria"/>
            <w:b/>
            <w:i/>
            <w:color w:val="0563C1" w:themeColor="hyperlink"/>
            <w:sz w:val="20"/>
            <w:szCs w:val="20"/>
            <w:lang w:val="fr-FR"/>
          </w:rPr>
          <w:t xml:space="preserve"> 24-01</w:t>
        </w:r>
      </w:hyperlink>
      <w:r w:rsidRPr="00F81087">
        <w:rPr>
          <w:rFonts w:ascii="Cambria" w:hAnsi="Cambria"/>
          <w:b/>
          <w:i/>
          <w:sz w:val="20"/>
          <w:szCs w:val="20"/>
          <w:lang w:val="fr-FR"/>
        </w:rPr>
        <w:t xml:space="preserve">, paragraphe 73 </w:t>
      </w:r>
    </w:p>
    <w:p w14:paraId="212D803E" w14:textId="77777777" w:rsidR="00F81087" w:rsidRPr="00F81087" w:rsidRDefault="00F81087" w:rsidP="00F81087">
      <w:pPr>
        <w:rPr>
          <w:rFonts w:ascii="Cambria" w:eastAsia="Aptos" w:hAnsi="Cambria" w:cs="Aptos"/>
          <w:color w:val="000000"/>
          <w:sz w:val="20"/>
          <w:szCs w:val="20"/>
          <w:lang w:val="fr-FR"/>
        </w:rPr>
      </w:pPr>
    </w:p>
    <w:p w14:paraId="699D8B1C" w14:textId="77777777" w:rsidR="00F81087" w:rsidRPr="00F81087" w:rsidRDefault="00F81087" w:rsidP="00F81087">
      <w:pPr>
        <w:jc w:val="both"/>
        <w:rPr>
          <w:rFonts w:ascii="Cambria" w:eastAsia="Aptos" w:hAnsi="Cambria" w:cs="Aptos"/>
          <w:i/>
          <w:iCs/>
          <w:sz w:val="20"/>
          <w:szCs w:val="20"/>
          <w:lang w:val="fr-FR"/>
        </w:rPr>
      </w:pPr>
      <w:r w:rsidRPr="00F81087">
        <w:rPr>
          <w:rFonts w:ascii="Cambria" w:hAnsi="Cambria"/>
          <w:b/>
          <w:color w:val="000000"/>
          <w:sz w:val="20"/>
          <w:szCs w:val="20"/>
          <w:lang w:val="fr-FR"/>
        </w:rPr>
        <w:t xml:space="preserve">Contexte : </w:t>
      </w:r>
      <w:r w:rsidRPr="00F81087">
        <w:rPr>
          <w:rFonts w:ascii="Cambria" w:hAnsi="Cambria"/>
          <w:i/>
          <w:color w:val="000000"/>
          <w:sz w:val="20"/>
          <w:szCs w:val="20"/>
          <w:lang w:val="fr-FR"/>
        </w:rPr>
        <w:t>Le programme d’échantillonnage au port élaboré par le SCRS en 2012 devra être poursuivi pour les ports de débarquement ou de transbordement. Les données et les informations collectées dans le cadre de ce programme d’échantillonnage devront être déclarées à l’ICCAT chaque année, avec une description, au minimum, des éléments suivants par pays de débarquement et par trimestre : composition par espèce, débarquements par espèce, composition par taille et poids. Les échantillons biologiques appropriés pour déterminer le cycle vital devraient être prélevés dans la mesure du possible. Le SCRS devra faire rapport chaque année sur la mise en œuvre du programme d'échantillonnage portuaire, ventilé par CPC.</w:t>
      </w:r>
    </w:p>
    <w:p w14:paraId="5BEEA10A" w14:textId="77777777" w:rsidR="00F81087" w:rsidRPr="00F81087" w:rsidRDefault="00F81087" w:rsidP="00F81087">
      <w:pPr>
        <w:rPr>
          <w:rFonts w:ascii="Cambria" w:hAnsi="Cambria"/>
          <w:sz w:val="20"/>
          <w:szCs w:val="20"/>
          <w:lang w:val="fr-FR"/>
        </w:rPr>
      </w:pPr>
    </w:p>
    <w:p w14:paraId="6CA4DDBD" w14:textId="77777777" w:rsidR="00F81087" w:rsidRPr="00F81087" w:rsidRDefault="00F81087" w:rsidP="00F81087">
      <w:pPr>
        <w:jc w:val="both"/>
        <w:rPr>
          <w:rFonts w:ascii="Cambria" w:hAnsi="Cambria"/>
          <w:sz w:val="20"/>
          <w:szCs w:val="20"/>
          <w:lang w:val="fr-FR"/>
        </w:rPr>
      </w:pPr>
      <w:r w:rsidRPr="00F81087">
        <w:rPr>
          <w:rFonts w:ascii="Cambria" w:hAnsi="Cambria"/>
          <w:sz w:val="20"/>
          <w:szCs w:val="20"/>
          <w:lang w:val="fr-FR"/>
        </w:rPr>
        <w:t xml:space="preserve">En 2025, le Comité a proposé de supprimer le formulaire ST-10 servant à transmettre les données de pêche issues de l'échantillonnage au port. Le SCRS et la Commission, lors de sa réunion annuelle, ont approuvé la proposition, qui a été mise en œuvre pour la transmission des données statistiques de 2026.  </w:t>
      </w:r>
    </w:p>
    <w:p w14:paraId="0BDB8516" w14:textId="77777777" w:rsidR="00F81087" w:rsidRPr="00F81087" w:rsidRDefault="00F81087" w:rsidP="00F81087">
      <w:pPr>
        <w:jc w:val="both"/>
        <w:rPr>
          <w:rFonts w:ascii="Cambria" w:hAnsi="Cambria"/>
          <w:sz w:val="20"/>
          <w:szCs w:val="20"/>
          <w:lang w:val="fr-FR"/>
        </w:rPr>
      </w:pPr>
    </w:p>
    <w:p w14:paraId="7F8D6658" w14:textId="77777777" w:rsidR="00F81087" w:rsidRPr="00F81087" w:rsidRDefault="00F81087" w:rsidP="00F81087">
      <w:pPr>
        <w:jc w:val="both"/>
        <w:rPr>
          <w:rFonts w:ascii="Cambria" w:hAnsi="Cambria"/>
          <w:sz w:val="20"/>
          <w:szCs w:val="20"/>
          <w:lang w:val="fr-FR"/>
        </w:rPr>
      </w:pPr>
      <w:r w:rsidRPr="00F81087">
        <w:rPr>
          <w:rFonts w:ascii="Cambria" w:hAnsi="Cambria"/>
          <w:sz w:val="20"/>
          <w:szCs w:val="20"/>
          <w:lang w:val="fr-FR"/>
        </w:rPr>
        <w:t>L'appendice 6 du Rapport du Secrétariat sur la recherche et les statistiques (PLE-SCRS-07/2026) (</w:t>
      </w:r>
      <w:r w:rsidRPr="00F81087">
        <w:rPr>
          <w:rFonts w:ascii="Cambria" w:hAnsi="Cambria"/>
          <w:b/>
          <w:bCs/>
          <w:sz w:val="20"/>
          <w:szCs w:val="20"/>
          <w:lang w:val="fr-FR"/>
        </w:rPr>
        <w:t>tableau 19.44.1</w:t>
      </w:r>
      <w:r w:rsidRPr="00F81087">
        <w:rPr>
          <w:rFonts w:ascii="Cambria" w:hAnsi="Cambria"/>
          <w:sz w:val="20"/>
          <w:szCs w:val="20"/>
          <w:lang w:val="fr-FR"/>
        </w:rPr>
        <w:t xml:space="preserve">) présente un résumé des informations fournies au moyen du formulaire ST10 ou des données issues de la base de données d'échantillonnage portuaire pour la période allant de 2018 à 2025.  </w:t>
      </w:r>
    </w:p>
    <w:p w14:paraId="6E9C3780" w14:textId="77777777" w:rsidR="00F81087" w:rsidRPr="00F81087" w:rsidRDefault="00F81087" w:rsidP="00F81087">
      <w:pPr>
        <w:jc w:val="both"/>
        <w:rPr>
          <w:rFonts w:ascii="Cambria" w:hAnsi="Cambria"/>
          <w:sz w:val="20"/>
          <w:szCs w:val="20"/>
          <w:lang w:val="fr-FR"/>
        </w:rPr>
      </w:pPr>
    </w:p>
    <w:p w14:paraId="7A0A1B50" w14:textId="77777777" w:rsidR="00F81087" w:rsidRPr="00F81087" w:rsidRDefault="00F81087" w:rsidP="00F81087">
      <w:pPr>
        <w:jc w:val="both"/>
        <w:rPr>
          <w:rFonts w:ascii="Cambria" w:hAnsi="Cambria"/>
          <w:sz w:val="20"/>
          <w:szCs w:val="20"/>
          <w:lang w:val="fr-FR"/>
        </w:rPr>
      </w:pPr>
      <w:r w:rsidRPr="00F81087">
        <w:rPr>
          <w:rFonts w:ascii="Cambria" w:hAnsi="Cambria"/>
          <w:sz w:val="20"/>
          <w:szCs w:val="20"/>
          <w:lang w:val="fr-FR"/>
        </w:rPr>
        <w:t>Il est important de noter que la recommandation visant à ne plus recueillir les données d’échantillonnage au port au moyen du formulaire ST10 reposait sur le fait que ces mêmes informations étaient déjà fournies par les CPC au moyen des échantillons de taille de la tâche 2 (T2SZ), des données de capture par taille (T2CS) et des données d'échantillonnage biologique de la tâche 3. Cela inclut les CPC disposant de pêcheries de thonidés tropicaux dans la zone tropicale orientale (ce qui correspondait à l'objectif initial du ST10). Ces mêmes données ayant été transmises dans deux formulaires statistiques différents, cela a entraîné des duplications, un manque d'efficacité et des tâches superflues pour les correspondants statistiques et les CPC.</w:t>
      </w:r>
    </w:p>
    <w:p w14:paraId="70C6C8F7" w14:textId="77777777" w:rsidR="00F81087" w:rsidRPr="00F81087" w:rsidRDefault="00F81087" w:rsidP="00F81087">
      <w:pPr>
        <w:jc w:val="both"/>
        <w:rPr>
          <w:rFonts w:ascii="Cambria" w:hAnsi="Cambria"/>
          <w:sz w:val="20"/>
          <w:szCs w:val="20"/>
          <w:lang w:val="fr-FR"/>
        </w:rPr>
      </w:pPr>
    </w:p>
    <w:p w14:paraId="1702FDEF" w14:textId="77777777" w:rsidR="00A515E4" w:rsidRPr="00A515E4" w:rsidRDefault="00F81087" w:rsidP="00A515E4">
      <w:pPr>
        <w:jc w:val="both"/>
        <w:rPr>
          <w:rFonts w:ascii="Cambria" w:hAnsi="Cambria"/>
          <w:sz w:val="20"/>
          <w:szCs w:val="20"/>
          <w:lang w:val="fr-FR"/>
        </w:rPr>
      </w:pPr>
      <w:r w:rsidRPr="00F81087">
        <w:rPr>
          <w:rFonts w:ascii="Cambria" w:hAnsi="Cambria"/>
          <w:b/>
          <w:bCs/>
          <w:sz w:val="20"/>
          <w:szCs w:val="20"/>
          <w:lang w:val="fr-FR"/>
        </w:rPr>
        <w:br w:type="page"/>
      </w:r>
      <w:r w:rsidR="00A515E4" w:rsidRPr="00A515E4">
        <w:rPr>
          <w:rFonts w:ascii="Cambria" w:hAnsi="Cambria"/>
          <w:b/>
          <w:bCs/>
          <w:sz w:val="20"/>
          <w:szCs w:val="20"/>
          <w:lang w:val="fr-FR"/>
        </w:rPr>
        <w:lastRenderedPageBreak/>
        <w:t>Tableau 19.44.1</w:t>
      </w:r>
      <w:r w:rsidR="00A515E4" w:rsidRPr="00A515E4">
        <w:rPr>
          <w:rFonts w:ascii="Cambria" w:hAnsi="Cambria"/>
          <w:sz w:val="20"/>
          <w:szCs w:val="20"/>
          <w:lang w:val="fr-FR"/>
        </w:rPr>
        <w:t xml:space="preserve"> – Nombre de spécimens d’espèces tropicales (BET, YFT, SKJ) échantillonnés au port et déclarés au moyen du formulaire ST10 (2018-2025). </w:t>
      </w:r>
    </w:p>
    <w:p w14:paraId="6520F728" w14:textId="5B1DEEB8" w:rsidR="00F81087" w:rsidRPr="00F81087" w:rsidRDefault="00A515E4" w:rsidP="00F81087">
      <w:pPr>
        <w:spacing w:after="160" w:line="259" w:lineRule="auto"/>
        <w:rPr>
          <w:rFonts w:ascii="Cambria" w:hAnsi="Cambria"/>
          <w:b/>
          <w:bCs/>
          <w:sz w:val="20"/>
          <w:szCs w:val="20"/>
          <w:lang w:val="fr-FR"/>
        </w:rPr>
      </w:pPr>
      <w:r w:rsidRPr="007B779F">
        <w:rPr>
          <w:rFonts w:ascii="Cambria" w:hAnsi="Cambria"/>
          <w:noProof/>
          <w:sz w:val="20"/>
          <w:szCs w:val="20"/>
        </w:rPr>
        <w:drawing>
          <wp:inline distT="0" distB="0" distL="0" distR="0" wp14:anchorId="265BEC20" wp14:editId="540A2D96">
            <wp:extent cx="5760085" cy="5972396"/>
            <wp:effectExtent l="0" t="0" r="0" b="9525"/>
            <wp:docPr id="238364185" name="Picture 2" descr="P294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364185" name="Picture 2" descr="P2946#yIS1"/>
                    <pic:cNvPicPr>
                      <a:picLocks noChangeAspect="1" noChangeArrowheads="1"/>
                    </pic:cNvPicPr>
                  </pic:nvPicPr>
                  <pic:blipFill rotWithShape="1">
                    <a:blip r:embed="rId38">
                      <a:extLst>
                        <a:ext uri="{28A0092B-C50C-407E-A947-70E740481C1C}">
                          <a14:useLocalDpi xmlns:a14="http://schemas.microsoft.com/office/drawing/2010/main" val="0"/>
                        </a:ext>
                      </a:extLst>
                    </a:blip>
                    <a:srcRect t="7294"/>
                    <a:stretch>
                      <a:fillRect/>
                    </a:stretch>
                  </pic:blipFill>
                  <pic:spPr bwMode="auto">
                    <a:xfrm>
                      <a:off x="0" y="0"/>
                      <a:ext cx="5760085" cy="5972396"/>
                    </a:xfrm>
                    <a:prstGeom prst="rect">
                      <a:avLst/>
                    </a:prstGeom>
                    <a:noFill/>
                    <a:ln>
                      <a:noFill/>
                    </a:ln>
                    <a:extLst>
                      <a:ext uri="{53640926-AAD7-44D8-BBD7-CCE9431645EC}">
                        <a14:shadowObscured xmlns:a14="http://schemas.microsoft.com/office/drawing/2010/main"/>
                      </a:ext>
                    </a:extLst>
                  </pic:spPr>
                </pic:pic>
              </a:graphicData>
            </a:graphic>
          </wp:inline>
        </w:drawing>
      </w:r>
    </w:p>
    <w:p w14:paraId="604441CB" w14:textId="77777777" w:rsidR="00A515E4" w:rsidRPr="00A515E4" w:rsidRDefault="00A515E4" w:rsidP="00A515E4">
      <w:pPr>
        <w:rPr>
          <w:rFonts w:ascii="Cambria" w:hAnsi="Cambria"/>
          <w:b/>
          <w:bCs/>
          <w:sz w:val="20"/>
          <w:szCs w:val="20"/>
          <w:lang w:val="fr-FR"/>
        </w:rPr>
      </w:pPr>
      <w:r w:rsidRPr="00A515E4">
        <w:rPr>
          <w:rFonts w:ascii="Cambria" w:hAnsi="Cambria"/>
          <w:b/>
          <w:bCs/>
          <w:sz w:val="20"/>
          <w:szCs w:val="20"/>
          <w:lang w:val="fr-FR"/>
        </w:rPr>
        <w:t>Recommandations</w:t>
      </w:r>
    </w:p>
    <w:p w14:paraId="359CE9C7" w14:textId="77777777" w:rsidR="00A515E4" w:rsidRPr="00A515E4" w:rsidRDefault="00A515E4" w:rsidP="00A515E4">
      <w:pPr>
        <w:rPr>
          <w:rFonts w:ascii="Cambria" w:hAnsi="Cambria"/>
          <w:b/>
          <w:bCs/>
          <w:sz w:val="20"/>
          <w:szCs w:val="20"/>
          <w:lang w:val="fr-FR"/>
        </w:rPr>
      </w:pPr>
    </w:p>
    <w:p w14:paraId="5FC159BF" w14:textId="77777777" w:rsidR="00A515E4" w:rsidRPr="00A515E4" w:rsidRDefault="00A515E4" w:rsidP="00A515E4">
      <w:pPr>
        <w:jc w:val="both"/>
        <w:rPr>
          <w:rFonts w:ascii="Cambria" w:hAnsi="Cambria"/>
          <w:sz w:val="20"/>
          <w:szCs w:val="20"/>
          <w:lang w:val="fr-FR"/>
        </w:rPr>
      </w:pPr>
      <w:r w:rsidRPr="00A515E4">
        <w:rPr>
          <w:rFonts w:ascii="Cambria" w:hAnsi="Cambria"/>
          <w:sz w:val="20"/>
          <w:szCs w:val="20"/>
          <w:lang w:val="fr-FR"/>
        </w:rPr>
        <w:t>La Commission pourrait envisager de réfléchir à la manière de permettre aux navires de pêche autorisés d’une longueur ≥ 20 m d’améliorer la déclaration de leurs activités en diffusant en continu des données AIS statiques précises et complètes, comprenant notamment le numéro de l’OMI (le cas échéant), le MMSI, l’IRCS et le nom d’enregistrement du navire, en complément des données VMS fournies par les CPC.</w:t>
      </w:r>
    </w:p>
    <w:p w14:paraId="2445387E" w14:textId="77777777" w:rsidR="00F81087" w:rsidRPr="009353F0" w:rsidRDefault="00F81087" w:rsidP="00A515E4">
      <w:pPr>
        <w:rPr>
          <w:rFonts w:ascii="Cambria" w:hAnsi="Cambria"/>
          <w:b/>
          <w:bCs/>
          <w:sz w:val="20"/>
          <w:szCs w:val="20"/>
          <w:lang w:val="fr-FR"/>
        </w:rPr>
      </w:pPr>
    </w:p>
    <w:sectPr w:rsidR="00F81087" w:rsidRPr="009353F0" w:rsidSect="009B2781">
      <w:headerReference w:type="even" r:id="rId39"/>
      <w:headerReference w:type="default" r:id="rId40"/>
      <w:footerReference w:type="even" r:id="rId41"/>
      <w:footerReference w:type="default" r:id="rId42"/>
      <w:headerReference w:type="first" r:id="rId43"/>
      <w:footerReference w:type="first" r:id="rId44"/>
      <w:pgSz w:w="11907" w:h="16840"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FA78F" w14:textId="77777777" w:rsidR="007C560A" w:rsidRDefault="007C560A" w:rsidP="00DD4C39">
      <w:r>
        <w:separator/>
      </w:r>
    </w:p>
  </w:endnote>
  <w:endnote w:type="continuationSeparator" w:id="0">
    <w:p w14:paraId="041716E6" w14:textId="77777777" w:rsidR="007C560A" w:rsidRDefault="007C560A" w:rsidP="00DD4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ZWAdobeF">
    <w:panose1 w:val="00000000000000000000"/>
    <w:charset w:val="00"/>
    <w:family w:val="auto"/>
    <w:pitch w:val="variable"/>
    <w:sig w:usb0="20002A87" w:usb1="00000000" w:usb2="00000000"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F9D1D" w14:textId="7A647F12" w:rsidR="00F81087" w:rsidRPr="005836F6" w:rsidRDefault="007C560A" w:rsidP="005836F6">
    <w:pPr>
      <w:tabs>
        <w:tab w:val="center" w:pos="4535"/>
        <w:tab w:val="center" w:pos="4680"/>
        <w:tab w:val="left" w:pos="6150"/>
        <w:tab w:val="right" w:pos="9360"/>
      </w:tabs>
      <w:jc w:val="center"/>
      <w:rPr>
        <w:rFonts w:ascii="Cambria" w:eastAsia="Calibri" w:hAnsi="Cambria" w:cs="Calibri"/>
        <w:sz w:val="20"/>
        <w:szCs w:val="22"/>
        <w:lang w:val="en-US"/>
      </w:rPr>
    </w:pPr>
    <w:sdt>
      <w:sdtPr>
        <w:rPr>
          <w:rFonts w:ascii="Calibri" w:eastAsia="Calibri" w:hAnsi="Calibri" w:cs="Calibri"/>
          <w:sz w:val="20"/>
          <w:szCs w:val="20"/>
          <w:lang w:val="en-US"/>
        </w:rPr>
        <w:id w:val="1548794066"/>
        <w:docPartObj>
          <w:docPartGallery w:val="Page Numbers (Top of Page)"/>
          <w:docPartUnique/>
        </w:docPartObj>
      </w:sdtPr>
      <w:sdtEndPr/>
      <w:sdtContent>
        <w:r w:rsidR="005836F6" w:rsidRPr="00713AD4">
          <w:rPr>
            <w:rFonts w:ascii="Cambria" w:eastAsia="Calibri" w:hAnsi="Cambria" w:cs="Calibri"/>
            <w:sz w:val="20"/>
            <w:szCs w:val="20"/>
            <w:lang w:val="en-US"/>
          </w:rPr>
          <w:fldChar w:fldCharType="begin"/>
        </w:r>
        <w:r w:rsidR="005836F6" w:rsidRPr="00713AD4">
          <w:rPr>
            <w:rFonts w:ascii="Cambria" w:eastAsia="Calibri" w:hAnsi="Cambria" w:cs="Calibri"/>
            <w:sz w:val="20"/>
            <w:szCs w:val="20"/>
            <w:lang w:val="en-US"/>
          </w:rPr>
          <w:instrText xml:space="preserve"> PAGE </w:instrText>
        </w:r>
        <w:r w:rsidR="005836F6" w:rsidRPr="00713AD4">
          <w:rPr>
            <w:rFonts w:ascii="Cambria" w:eastAsia="Calibri" w:hAnsi="Cambria" w:cs="Calibri"/>
            <w:sz w:val="20"/>
            <w:szCs w:val="20"/>
            <w:lang w:val="en-US"/>
          </w:rPr>
          <w:fldChar w:fldCharType="separate"/>
        </w:r>
        <w:r w:rsidR="005836F6">
          <w:rPr>
            <w:rFonts w:ascii="Cambria" w:eastAsia="Calibri" w:hAnsi="Cambria" w:cs="Calibri"/>
            <w:sz w:val="20"/>
            <w:szCs w:val="20"/>
            <w:lang w:val="en-US"/>
          </w:rPr>
          <w:t>11</w:t>
        </w:r>
        <w:r w:rsidR="005836F6" w:rsidRPr="00713AD4">
          <w:rPr>
            <w:rFonts w:ascii="Cambria" w:eastAsia="Calibri" w:hAnsi="Cambria" w:cs="Calibri"/>
            <w:sz w:val="20"/>
            <w:szCs w:val="20"/>
            <w:lang w:val="en-US"/>
          </w:rPr>
          <w:fldChar w:fldCharType="end"/>
        </w:r>
        <w:r w:rsidR="005836F6" w:rsidRPr="00713AD4">
          <w:rPr>
            <w:rFonts w:ascii="Cambria" w:eastAsia="Calibri" w:hAnsi="Cambria" w:cs="Calibri"/>
            <w:sz w:val="20"/>
            <w:szCs w:val="20"/>
            <w:lang w:val="en-US"/>
          </w:rPr>
          <w:t xml:space="preserve"> / </w:t>
        </w:r>
        <w:r w:rsidR="005836F6" w:rsidRPr="00713AD4">
          <w:rPr>
            <w:rFonts w:ascii="Cambria" w:eastAsia="Calibri" w:hAnsi="Cambria" w:cs="Calibri"/>
            <w:sz w:val="20"/>
            <w:szCs w:val="20"/>
            <w:lang w:val="en-US"/>
          </w:rPr>
          <w:fldChar w:fldCharType="begin"/>
        </w:r>
        <w:r w:rsidR="005836F6" w:rsidRPr="00713AD4">
          <w:rPr>
            <w:rFonts w:ascii="Cambria" w:eastAsia="Calibri" w:hAnsi="Cambria" w:cs="Calibri"/>
            <w:sz w:val="20"/>
            <w:szCs w:val="20"/>
            <w:lang w:val="en-US"/>
          </w:rPr>
          <w:instrText xml:space="preserve"> NUMPAGES  </w:instrText>
        </w:r>
        <w:r w:rsidR="005836F6" w:rsidRPr="00713AD4">
          <w:rPr>
            <w:rFonts w:ascii="Cambria" w:eastAsia="Calibri" w:hAnsi="Cambria" w:cs="Calibri"/>
            <w:sz w:val="20"/>
            <w:szCs w:val="20"/>
            <w:lang w:val="en-US"/>
          </w:rPr>
          <w:fldChar w:fldCharType="separate"/>
        </w:r>
        <w:r w:rsidR="005836F6">
          <w:rPr>
            <w:rFonts w:ascii="Cambria" w:eastAsia="Calibri" w:hAnsi="Cambria" w:cs="Calibri"/>
            <w:sz w:val="20"/>
            <w:szCs w:val="20"/>
            <w:lang w:val="en-US"/>
          </w:rPr>
          <w:t>13</w:t>
        </w:r>
        <w:r w:rsidR="005836F6" w:rsidRPr="00713AD4">
          <w:rPr>
            <w:rFonts w:ascii="Cambria" w:eastAsia="Calibri" w:hAnsi="Cambria" w:cs="Calibri"/>
            <w:sz w:val="20"/>
            <w:szCs w:val="20"/>
            <w:lang w:val="en-US"/>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0B1A9" w14:textId="77777777" w:rsidR="00983C8D" w:rsidRDefault="00983C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83931" w14:textId="5F29B062" w:rsidR="004F39B9" w:rsidRPr="004F39B9" w:rsidRDefault="007C560A" w:rsidP="004F39B9">
    <w:pPr>
      <w:tabs>
        <w:tab w:val="center" w:pos="4535"/>
        <w:tab w:val="center" w:pos="4680"/>
        <w:tab w:val="left" w:pos="6150"/>
        <w:tab w:val="right" w:pos="9360"/>
      </w:tabs>
      <w:jc w:val="center"/>
      <w:rPr>
        <w:rFonts w:ascii="Cambria" w:eastAsia="Calibri" w:hAnsi="Cambria" w:cs="Calibri"/>
        <w:sz w:val="20"/>
        <w:szCs w:val="22"/>
        <w:lang w:val="en-US"/>
      </w:rPr>
    </w:pPr>
    <w:sdt>
      <w:sdtPr>
        <w:rPr>
          <w:rFonts w:ascii="Calibri" w:eastAsia="Calibri" w:hAnsi="Calibri" w:cs="Calibri"/>
          <w:sz w:val="20"/>
          <w:szCs w:val="20"/>
          <w:lang w:val="en-US"/>
        </w:rPr>
        <w:id w:val="810910487"/>
        <w:docPartObj>
          <w:docPartGallery w:val="Page Numbers (Top of Page)"/>
          <w:docPartUnique/>
        </w:docPartObj>
      </w:sdtPr>
      <w:sdtEndPr/>
      <w:sdtContent>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PAGE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1</w:t>
        </w:r>
        <w:r w:rsidR="004F39B9" w:rsidRPr="00713AD4">
          <w:rPr>
            <w:rFonts w:ascii="Cambria" w:eastAsia="Calibri" w:hAnsi="Cambria" w:cs="Calibri"/>
            <w:sz w:val="20"/>
            <w:szCs w:val="20"/>
            <w:lang w:val="en-US"/>
          </w:rPr>
          <w:fldChar w:fldCharType="end"/>
        </w:r>
        <w:r w:rsidR="004F39B9" w:rsidRPr="00713AD4">
          <w:rPr>
            <w:rFonts w:ascii="Cambria" w:eastAsia="Calibri" w:hAnsi="Cambria" w:cs="Calibri"/>
            <w:sz w:val="20"/>
            <w:szCs w:val="20"/>
            <w:lang w:val="en-US"/>
          </w:rPr>
          <w:t xml:space="preserve"> / </w:t>
        </w:r>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NUMPAGES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2</w:t>
        </w:r>
        <w:r w:rsidR="004F39B9" w:rsidRPr="00713AD4">
          <w:rPr>
            <w:rFonts w:ascii="Cambria" w:eastAsia="Calibri" w:hAnsi="Cambria" w:cs="Calibri"/>
            <w:sz w:val="20"/>
            <w:szCs w:val="20"/>
            <w:lang w:val="en-US"/>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960E5" w14:textId="77777777" w:rsidR="00983C8D" w:rsidRDefault="00983C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06DA5" w14:textId="77777777" w:rsidR="007C560A" w:rsidRDefault="007C560A" w:rsidP="00DD4C39">
      <w:r>
        <w:separator/>
      </w:r>
    </w:p>
  </w:footnote>
  <w:footnote w:type="continuationSeparator" w:id="0">
    <w:p w14:paraId="650BBBDE" w14:textId="77777777" w:rsidR="007C560A" w:rsidRDefault="007C560A" w:rsidP="00DD4C39">
      <w:r>
        <w:continuationSeparator/>
      </w:r>
    </w:p>
  </w:footnote>
  <w:footnote w:id="1">
    <w:p w14:paraId="73825E36" w14:textId="77777777" w:rsidR="00F81087" w:rsidRPr="00F81087" w:rsidRDefault="00F81087" w:rsidP="00F81087">
      <w:pPr>
        <w:pStyle w:val="Footer"/>
        <w:jc w:val="both"/>
        <w:rPr>
          <w:lang w:val="fr-FR"/>
        </w:rPr>
      </w:pPr>
      <w:r>
        <w:rPr>
          <w:rStyle w:val="FootnoteReference"/>
        </w:rPr>
        <w:footnoteRef/>
      </w:r>
      <w:r w:rsidRPr="00F81087">
        <w:rPr>
          <w:rFonts w:ascii="Cambria" w:hAnsi="Cambria"/>
          <w:sz w:val="16"/>
          <w:szCs w:val="16"/>
          <w:lang w:val="fr-FR"/>
        </w:rPr>
        <w:t xml:space="preserve"> Disponible sur demande auprès du Secrétariat de l’ICCAT ou sur la </w:t>
      </w:r>
      <w:hyperlink r:id="rId1" w:anchor="fr" w:history="1"/>
      <w:hyperlink r:id="rId2" w:anchor="fr" w:history="1">
        <w:r w:rsidRPr="00F81087">
          <w:rPr>
            <w:rStyle w:val="Hyperlink"/>
            <w:rFonts w:ascii="Cambria" w:hAnsi="Cambria"/>
            <w:sz w:val="16"/>
            <w:szCs w:val="16"/>
            <w:u w:val="none"/>
            <w:lang w:val="fr-FR"/>
          </w:rPr>
          <w:t>page web des documents de la réunion de la Commission de 2019</w:t>
        </w:r>
      </w:hyperlink>
      <w:r w:rsidRPr="00F81087">
        <w:rPr>
          <w:rFonts w:ascii="Cambria" w:hAnsi="Cambria"/>
          <w:sz w:val="16"/>
          <w:szCs w:val="16"/>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DBC7" w14:textId="77777777" w:rsidR="005836F6" w:rsidRPr="00793F38" w:rsidRDefault="005836F6" w:rsidP="005836F6">
    <w:pPr>
      <w:tabs>
        <w:tab w:val="center" w:pos="4680"/>
        <w:tab w:val="left" w:pos="6520"/>
        <w:tab w:val="right" w:pos="9360"/>
        <w:tab w:val="right" w:pos="14240"/>
      </w:tabs>
      <w:jc w:val="right"/>
      <w:rPr>
        <w:rFonts w:ascii="Cambria" w:eastAsia="Calibri" w:hAnsi="Cambria"/>
        <w:b/>
        <w:bCs/>
        <w:sz w:val="20"/>
        <w:szCs w:val="20"/>
        <w:lang w:val="en-US"/>
      </w:rPr>
    </w:pPr>
    <w:r>
      <w:rPr>
        <w:rFonts w:ascii="Cambria" w:eastAsia="Calibri" w:hAnsi="Cambria"/>
        <w:b/>
        <w:bCs/>
        <w:sz w:val="20"/>
        <w:szCs w:val="20"/>
        <w:lang w:val="en-US"/>
      </w:rPr>
      <w:t>PA1</w:t>
    </w:r>
    <w:r w:rsidRPr="00793F38">
      <w:rPr>
        <w:rFonts w:ascii="Cambria" w:eastAsia="Calibri" w:hAnsi="Cambria"/>
        <w:b/>
        <w:bCs/>
        <w:sz w:val="20"/>
        <w:szCs w:val="20"/>
        <w:lang w:val="en-US"/>
      </w:rPr>
      <w:t>_</w:t>
    </w:r>
    <w:r>
      <w:rPr>
        <w:rFonts w:ascii="Cambria" w:eastAsia="Calibri" w:hAnsi="Cambria"/>
        <w:b/>
        <w:bCs/>
        <w:sz w:val="20"/>
        <w:szCs w:val="20"/>
        <w:lang w:val="en-US"/>
      </w:rPr>
      <w:t>503</w:t>
    </w:r>
    <w:r w:rsidRPr="00793F38">
      <w:rPr>
        <w:rFonts w:ascii="Cambria" w:eastAsia="Calibri" w:hAnsi="Cambria"/>
        <w:b/>
        <w:bCs/>
        <w:sz w:val="20"/>
        <w:szCs w:val="20"/>
        <w:lang w:val="en-US"/>
      </w:rPr>
      <w:t>/202</w:t>
    </w:r>
    <w:r>
      <w:rPr>
        <w:rFonts w:ascii="Cambria" w:eastAsia="Calibri" w:hAnsi="Cambria"/>
        <w:b/>
        <w:bCs/>
        <w:sz w:val="20"/>
        <w:szCs w:val="20"/>
        <w:lang w:val="en-US"/>
      </w:rPr>
      <w:t>6</w:t>
    </w:r>
  </w:p>
  <w:p w14:paraId="2709E724" w14:textId="6BEF7CC6" w:rsidR="00F81087" w:rsidRPr="005836F6" w:rsidRDefault="005836F6" w:rsidP="005836F6">
    <w:pPr>
      <w:tabs>
        <w:tab w:val="left" w:pos="7320"/>
      </w:tabs>
      <w:spacing w:line="240" w:lineRule="exact"/>
      <w:jc w:val="right"/>
      <w:rPr>
        <w:rFonts w:ascii="Cambria" w:hAnsi="Cambria"/>
        <w:b/>
        <w:bCs/>
        <w:sz w:val="16"/>
        <w:szCs w:val="16"/>
        <w:lang w:val="es-ES_tradnl"/>
      </w:rPr>
    </w:pPr>
    <w:r w:rsidRPr="00793F38">
      <w:rPr>
        <w:rFonts w:ascii="Cambria" w:hAnsi="Cambria"/>
        <w:b/>
        <w:bCs/>
        <w:sz w:val="16"/>
        <w:szCs w:val="16"/>
        <w:lang w:val="es-ES_tradnl"/>
      </w:rPr>
      <w:fldChar w:fldCharType="begin"/>
    </w:r>
    <w:r w:rsidRPr="00793F38">
      <w:rPr>
        <w:rFonts w:ascii="Cambria" w:hAnsi="Cambria"/>
        <w:b/>
        <w:bCs/>
        <w:sz w:val="16"/>
        <w:szCs w:val="16"/>
        <w:lang w:val="es-ES_tradnl"/>
      </w:rPr>
      <w:instrText xml:space="preserve"> TIME \@ "dd/MM/yyyy H:mm" </w:instrText>
    </w:r>
    <w:r w:rsidRPr="00793F38">
      <w:rPr>
        <w:rFonts w:ascii="Cambria" w:hAnsi="Cambria"/>
        <w:b/>
        <w:bCs/>
        <w:sz w:val="16"/>
        <w:szCs w:val="16"/>
        <w:lang w:val="es-ES_tradnl"/>
      </w:rPr>
      <w:fldChar w:fldCharType="separate"/>
    </w:r>
    <w:r w:rsidR="00A515E4">
      <w:rPr>
        <w:rFonts w:ascii="Cambria" w:hAnsi="Cambria"/>
        <w:b/>
        <w:bCs/>
        <w:noProof/>
        <w:sz w:val="16"/>
        <w:szCs w:val="16"/>
        <w:lang w:val="es-ES_tradnl"/>
      </w:rPr>
      <w:t>13/10/2026 15:07</w:t>
    </w:r>
    <w:r w:rsidRPr="00793F38">
      <w:rPr>
        <w:rFonts w:ascii="Cambria" w:hAnsi="Cambria"/>
        <w:b/>
        <w:bCs/>
        <w:sz w:val="16"/>
        <w:szCs w:val="16"/>
        <w:lang w:val="es-ES_tradn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621A5" w14:textId="77777777" w:rsidR="00983C8D" w:rsidRDefault="00983C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28AA" w14:textId="2964B54F" w:rsidR="004F39B9" w:rsidRPr="00793F38" w:rsidRDefault="00857C38" w:rsidP="004F39B9">
    <w:pPr>
      <w:tabs>
        <w:tab w:val="center" w:pos="4680"/>
        <w:tab w:val="left" w:pos="6520"/>
        <w:tab w:val="right" w:pos="9360"/>
        <w:tab w:val="right" w:pos="14240"/>
      </w:tabs>
      <w:jc w:val="right"/>
      <w:rPr>
        <w:rFonts w:ascii="Cambria" w:eastAsia="Calibri" w:hAnsi="Cambria"/>
        <w:b/>
        <w:bCs/>
        <w:sz w:val="20"/>
        <w:szCs w:val="20"/>
        <w:lang w:val="en-US"/>
      </w:rPr>
    </w:pPr>
    <w:bookmarkStart w:id="1" w:name="_Hlk107908354"/>
    <w:bookmarkStart w:id="2" w:name="_Hlk107908355"/>
    <w:bookmarkStart w:id="3" w:name="_Hlk107908359"/>
    <w:bookmarkStart w:id="4" w:name="_Hlk107908360"/>
    <w:bookmarkStart w:id="5" w:name="_Hlk107908361"/>
    <w:bookmarkStart w:id="6" w:name="_Hlk107908362"/>
    <w:r>
      <w:rPr>
        <w:rFonts w:ascii="Cambria" w:eastAsia="Calibri" w:hAnsi="Cambria"/>
        <w:b/>
        <w:bCs/>
        <w:sz w:val="20"/>
        <w:szCs w:val="20"/>
        <w:lang w:val="en-US"/>
      </w:rPr>
      <w:t>PA1</w:t>
    </w:r>
    <w:r w:rsidR="004F39B9" w:rsidRPr="00793F38">
      <w:rPr>
        <w:rFonts w:ascii="Cambria" w:eastAsia="Calibri" w:hAnsi="Cambria"/>
        <w:b/>
        <w:bCs/>
        <w:sz w:val="20"/>
        <w:szCs w:val="20"/>
        <w:lang w:val="en-US"/>
      </w:rPr>
      <w:t>_</w:t>
    </w:r>
    <w:r>
      <w:rPr>
        <w:rFonts w:ascii="Cambria" w:eastAsia="Calibri" w:hAnsi="Cambria"/>
        <w:b/>
        <w:bCs/>
        <w:sz w:val="20"/>
        <w:szCs w:val="20"/>
        <w:lang w:val="en-US"/>
      </w:rPr>
      <w:t>50</w:t>
    </w:r>
    <w:r w:rsidR="00983C8D">
      <w:rPr>
        <w:rFonts w:ascii="Cambria" w:eastAsia="Calibri" w:hAnsi="Cambria"/>
        <w:b/>
        <w:bCs/>
        <w:sz w:val="20"/>
        <w:szCs w:val="20"/>
        <w:lang w:val="en-US"/>
      </w:rPr>
      <w:t>3</w:t>
    </w:r>
    <w:r w:rsidR="004F39B9" w:rsidRPr="00793F38">
      <w:rPr>
        <w:rFonts w:ascii="Cambria" w:eastAsia="Calibri" w:hAnsi="Cambria"/>
        <w:b/>
        <w:bCs/>
        <w:sz w:val="20"/>
        <w:szCs w:val="20"/>
        <w:lang w:val="en-US"/>
      </w:rPr>
      <w:t>/202</w:t>
    </w:r>
    <w:r w:rsidR="005B152F">
      <w:rPr>
        <w:rFonts w:ascii="Cambria" w:eastAsia="Calibri" w:hAnsi="Cambria"/>
        <w:b/>
        <w:bCs/>
        <w:sz w:val="20"/>
        <w:szCs w:val="20"/>
        <w:lang w:val="en-US"/>
      </w:rPr>
      <w:t>6</w:t>
    </w:r>
  </w:p>
  <w:p w14:paraId="76609AFE" w14:textId="23C76B85" w:rsidR="004F39B9" w:rsidRPr="004F39B9" w:rsidRDefault="004F39B9" w:rsidP="004F39B9">
    <w:pPr>
      <w:tabs>
        <w:tab w:val="left" w:pos="7320"/>
      </w:tabs>
      <w:spacing w:line="240" w:lineRule="exact"/>
      <w:jc w:val="right"/>
      <w:rPr>
        <w:rFonts w:ascii="Cambria" w:hAnsi="Cambria"/>
        <w:b/>
        <w:bCs/>
        <w:sz w:val="16"/>
        <w:szCs w:val="16"/>
        <w:lang w:val="es-ES_tradnl"/>
      </w:rPr>
    </w:pPr>
    <w:r w:rsidRPr="00793F38">
      <w:rPr>
        <w:rFonts w:ascii="Cambria" w:hAnsi="Cambria"/>
        <w:b/>
        <w:bCs/>
        <w:sz w:val="16"/>
        <w:szCs w:val="16"/>
        <w:lang w:val="es-ES_tradnl"/>
      </w:rPr>
      <w:fldChar w:fldCharType="begin"/>
    </w:r>
    <w:r w:rsidRPr="00793F38">
      <w:rPr>
        <w:rFonts w:ascii="Cambria" w:hAnsi="Cambria"/>
        <w:b/>
        <w:bCs/>
        <w:sz w:val="16"/>
        <w:szCs w:val="16"/>
        <w:lang w:val="es-ES_tradnl"/>
      </w:rPr>
      <w:instrText xml:space="preserve"> TIME \@ "dd/MM/yyyy H:mm" </w:instrText>
    </w:r>
    <w:r w:rsidRPr="00793F38">
      <w:rPr>
        <w:rFonts w:ascii="Cambria" w:hAnsi="Cambria"/>
        <w:b/>
        <w:bCs/>
        <w:sz w:val="16"/>
        <w:szCs w:val="16"/>
        <w:lang w:val="es-ES_tradnl"/>
      </w:rPr>
      <w:fldChar w:fldCharType="separate"/>
    </w:r>
    <w:r w:rsidR="00A515E4">
      <w:rPr>
        <w:rFonts w:ascii="Cambria" w:hAnsi="Cambria"/>
        <w:b/>
        <w:bCs/>
        <w:noProof/>
        <w:sz w:val="16"/>
        <w:szCs w:val="16"/>
        <w:lang w:val="es-ES_tradnl"/>
      </w:rPr>
      <w:t>13/10/2026 15:07</w:t>
    </w:r>
    <w:r w:rsidRPr="00793F38">
      <w:rPr>
        <w:rFonts w:ascii="Cambria" w:hAnsi="Cambria"/>
        <w:b/>
        <w:bCs/>
        <w:sz w:val="16"/>
        <w:szCs w:val="16"/>
        <w:lang w:val="es-ES_tradnl"/>
      </w:rPr>
      <w:fldChar w:fldCharType="end"/>
    </w:r>
    <w:bookmarkEnd w:id="1"/>
    <w:bookmarkEnd w:id="2"/>
    <w:bookmarkEnd w:id="3"/>
    <w:bookmarkEnd w:id="4"/>
    <w:bookmarkEnd w:id="5"/>
    <w:bookmarkEnd w:id="6"/>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64D18" w14:textId="77777777" w:rsidR="00983C8D" w:rsidRDefault="00983C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45AE2"/>
    <w:multiLevelType w:val="hybridMultilevel"/>
    <w:tmpl w:val="C3728716"/>
    <w:lvl w:ilvl="0" w:tplc="19D68B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01100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21533A"/>
    <w:multiLevelType w:val="multilevel"/>
    <w:tmpl w:val="D6260EBE"/>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E841C0"/>
    <w:multiLevelType w:val="multilevel"/>
    <w:tmpl w:val="4D065C18"/>
    <w:lvl w:ilvl="0">
      <w:start w:val="1"/>
      <w:numFmt w:val="decimal"/>
      <w:lvlText w:val="%1."/>
      <w:lvlJc w:val="left"/>
      <w:pPr>
        <w:ind w:left="780" w:hanging="420"/>
      </w:pPr>
      <w:rPr>
        <w:rFonts w:hint="default"/>
        <w:color w:val="auto"/>
      </w:rPr>
    </w:lvl>
    <w:lvl w:ilvl="1">
      <w:start w:val="1"/>
      <w:numFmt w:val="decimal"/>
      <w:isLgl/>
      <w:lvlText w:val="%1.%2"/>
      <w:lvlJc w:val="left"/>
      <w:pPr>
        <w:ind w:left="861" w:hanging="43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 w15:restartNumberingAfterBreak="0">
    <w:nsid w:val="0EE93A1F"/>
    <w:multiLevelType w:val="multilevel"/>
    <w:tmpl w:val="52003E70"/>
    <w:lvl w:ilvl="0">
      <w:start w:val="1"/>
      <w:numFmt w:val="decimal"/>
      <w:lvlText w:val="%1."/>
      <w:lvlJc w:val="left"/>
      <w:pPr>
        <w:ind w:left="472" w:hanging="471"/>
      </w:pPr>
      <w:rPr>
        <w:rFonts w:ascii="Cambria" w:eastAsia="Cambria" w:hAnsi="Cambria" w:cs="Cambria" w:hint="default"/>
        <w:b/>
        <w:bCs/>
        <w:i w:val="0"/>
        <w:iCs w:val="0"/>
        <w:spacing w:val="-1"/>
        <w:sz w:val="20"/>
        <w:szCs w:val="20"/>
        <w:lang w:val="en-US" w:eastAsia="en-US" w:bidi="ar-SA"/>
      </w:rPr>
    </w:lvl>
    <w:lvl w:ilvl="1">
      <w:start w:val="1"/>
      <w:numFmt w:val="lowerLetter"/>
      <w:lvlText w:val="%2)"/>
      <w:lvlJc w:val="left"/>
      <w:pPr>
        <w:ind w:left="853" w:hanging="435"/>
      </w:pPr>
      <w:rPr>
        <w:rFonts w:ascii="Cambria" w:eastAsia="Cambria" w:hAnsi="Cambria" w:cs="Cambria" w:hint="default"/>
        <w:b w:val="0"/>
        <w:bCs w:val="0"/>
        <w:i w:val="0"/>
        <w:iCs w:val="0"/>
        <w:spacing w:val="0"/>
        <w:sz w:val="20"/>
        <w:szCs w:val="20"/>
        <w:lang w:val="en-US" w:eastAsia="en-US" w:bidi="ar-SA"/>
      </w:rPr>
    </w:lvl>
    <w:lvl w:ilvl="2">
      <w:start w:val="1"/>
      <w:numFmt w:val="decimal"/>
      <w:lvlText w:val="%3."/>
      <w:lvlJc w:val="left"/>
      <w:pPr>
        <w:ind w:left="568" w:hanging="284"/>
      </w:pPr>
      <w:rPr>
        <w:rFonts w:ascii="Cambria" w:eastAsia="Cambria" w:hAnsi="Cambria" w:cs="Cambria" w:hint="default"/>
        <w:b w:val="0"/>
        <w:bCs w:val="0"/>
        <w:i w:val="0"/>
        <w:iCs w:val="0"/>
        <w:spacing w:val="0"/>
        <w:sz w:val="20"/>
        <w:szCs w:val="20"/>
        <w:lang w:val="en-US" w:eastAsia="en-US" w:bidi="ar-SA"/>
      </w:rPr>
    </w:lvl>
    <w:lvl w:ilvl="3">
      <w:start w:val="1"/>
      <w:numFmt w:val="decimal"/>
      <w:lvlText w:val="%4."/>
      <w:lvlJc w:val="left"/>
      <w:pPr>
        <w:ind w:left="568" w:hanging="284"/>
      </w:pPr>
      <w:rPr>
        <w:rFonts w:ascii="Cambria" w:eastAsia="Cambria" w:hAnsi="Cambria" w:cs="Cambria" w:hint="default"/>
        <w:b w:val="0"/>
        <w:bCs w:val="0"/>
        <w:i w:val="0"/>
        <w:iCs w:val="0"/>
        <w:spacing w:val="0"/>
        <w:sz w:val="20"/>
        <w:szCs w:val="20"/>
        <w:lang w:val="en-US" w:eastAsia="en-US" w:bidi="ar-SA"/>
      </w:rPr>
    </w:lvl>
    <w:lvl w:ilvl="4">
      <w:numFmt w:val="bullet"/>
      <w:lvlText w:val="•"/>
      <w:lvlJc w:val="left"/>
      <w:pPr>
        <w:ind w:left="2053" w:hanging="284"/>
      </w:pPr>
      <w:rPr>
        <w:lang w:val="en-US" w:eastAsia="en-US" w:bidi="ar-SA"/>
      </w:rPr>
    </w:lvl>
    <w:lvl w:ilvl="5">
      <w:numFmt w:val="bullet"/>
      <w:lvlText w:val="•"/>
      <w:lvlJc w:val="left"/>
      <w:pPr>
        <w:ind w:left="3246" w:hanging="284"/>
      </w:pPr>
      <w:rPr>
        <w:lang w:val="en-US" w:eastAsia="en-US" w:bidi="ar-SA"/>
      </w:rPr>
    </w:lvl>
    <w:lvl w:ilvl="6">
      <w:numFmt w:val="bullet"/>
      <w:lvlText w:val="•"/>
      <w:lvlJc w:val="left"/>
      <w:pPr>
        <w:ind w:left="4440" w:hanging="284"/>
      </w:pPr>
      <w:rPr>
        <w:lang w:val="en-US" w:eastAsia="en-US" w:bidi="ar-SA"/>
      </w:rPr>
    </w:lvl>
    <w:lvl w:ilvl="7">
      <w:numFmt w:val="bullet"/>
      <w:lvlText w:val="•"/>
      <w:lvlJc w:val="left"/>
      <w:pPr>
        <w:ind w:left="5633" w:hanging="284"/>
      </w:pPr>
      <w:rPr>
        <w:lang w:val="en-US" w:eastAsia="en-US" w:bidi="ar-SA"/>
      </w:rPr>
    </w:lvl>
    <w:lvl w:ilvl="8">
      <w:numFmt w:val="bullet"/>
      <w:lvlText w:val="•"/>
      <w:lvlJc w:val="left"/>
      <w:pPr>
        <w:ind w:left="6827" w:hanging="284"/>
      </w:pPr>
      <w:rPr>
        <w:lang w:val="en-US" w:eastAsia="en-US" w:bidi="ar-SA"/>
      </w:rPr>
    </w:lvl>
  </w:abstractNum>
  <w:abstractNum w:abstractNumId="5" w15:restartNumberingAfterBreak="0">
    <w:nsid w:val="14077D74"/>
    <w:multiLevelType w:val="hybridMultilevel"/>
    <w:tmpl w:val="7F569F7C"/>
    <w:lvl w:ilvl="0" w:tplc="7BA6EB32">
      <w:start w:val="4"/>
      <w:numFmt w:val="bullet"/>
      <w:lvlText w:val="-"/>
      <w:lvlJc w:val="left"/>
      <w:pPr>
        <w:ind w:left="720" w:hanging="360"/>
      </w:pPr>
      <w:rPr>
        <w:rFonts w:ascii="Cambria" w:eastAsia="Times New Roman" w:hAnsi="Cambria" w:cs="Times New Roman"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5D78E3"/>
    <w:multiLevelType w:val="hybridMultilevel"/>
    <w:tmpl w:val="0BB69D2A"/>
    <w:lvl w:ilvl="0" w:tplc="560A1B20">
      <w:start w:val="1"/>
      <w:numFmt w:val="lowerLetter"/>
      <w:lvlText w:val="%1)"/>
      <w:lvlJc w:val="left"/>
      <w:pPr>
        <w:ind w:left="790"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7" w15:restartNumberingAfterBreak="0">
    <w:nsid w:val="193B2056"/>
    <w:multiLevelType w:val="hybridMultilevel"/>
    <w:tmpl w:val="6EC853B0"/>
    <w:lvl w:ilvl="0" w:tplc="DDCEDE30">
      <w:start w:val="1"/>
      <w:numFmt w:val="lowerLetter"/>
      <w:lvlText w:val="%1)"/>
      <w:lvlJc w:val="left"/>
      <w:pPr>
        <w:ind w:left="1068"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8" w15:restartNumberingAfterBreak="0">
    <w:nsid w:val="1D0911B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A83AD5"/>
    <w:multiLevelType w:val="hybridMultilevel"/>
    <w:tmpl w:val="4B20887C"/>
    <w:lvl w:ilvl="0" w:tplc="DB8E674C">
      <w:start w:val="1"/>
      <w:numFmt w:val="decimal"/>
      <w:lvlText w:val="%1."/>
      <w:lvlJc w:val="left"/>
      <w:pPr>
        <w:ind w:left="785" w:hanging="4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202CC1"/>
    <w:multiLevelType w:val="hybridMultilevel"/>
    <w:tmpl w:val="DDB4D152"/>
    <w:lvl w:ilvl="0" w:tplc="505C6584">
      <w:start w:val="1"/>
      <w:numFmt w:val="decimal"/>
      <w:lvlText w:val="%1."/>
      <w:lvlJc w:val="left"/>
      <w:pPr>
        <w:ind w:left="790" w:hanging="43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0227397"/>
    <w:multiLevelType w:val="multilevel"/>
    <w:tmpl w:val="78A6DAC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AF377C1"/>
    <w:multiLevelType w:val="hybridMultilevel"/>
    <w:tmpl w:val="23467D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371C29"/>
    <w:multiLevelType w:val="multilevel"/>
    <w:tmpl w:val="72580D06"/>
    <w:lvl w:ilvl="0">
      <w:start w:val="2"/>
      <w:numFmt w:val="lowerLetter"/>
      <w:lvlText w:val="%1)"/>
      <w:lvlJc w:val="left"/>
      <w:pPr>
        <w:ind w:left="144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B3B1FCD"/>
    <w:multiLevelType w:val="multilevel"/>
    <w:tmpl w:val="66AC5AA6"/>
    <w:lvl w:ilvl="0">
      <w:start w:val="4"/>
      <w:numFmt w:val="lowerLetter"/>
      <w:lvlText w:val="%1."/>
      <w:lvlJc w:val="left"/>
      <w:pPr>
        <w:tabs>
          <w:tab w:val="num" w:pos="1276"/>
        </w:tabs>
        <w:ind w:left="1276" w:hanging="360"/>
      </w:pPr>
    </w:lvl>
    <w:lvl w:ilvl="1" w:tentative="1">
      <w:start w:val="1"/>
      <w:numFmt w:val="lowerLetter"/>
      <w:lvlText w:val="%2."/>
      <w:lvlJc w:val="left"/>
      <w:pPr>
        <w:tabs>
          <w:tab w:val="num" w:pos="1996"/>
        </w:tabs>
        <w:ind w:left="1996" w:hanging="360"/>
      </w:pPr>
    </w:lvl>
    <w:lvl w:ilvl="2" w:tentative="1">
      <w:start w:val="1"/>
      <w:numFmt w:val="lowerLetter"/>
      <w:lvlText w:val="%3."/>
      <w:lvlJc w:val="left"/>
      <w:pPr>
        <w:tabs>
          <w:tab w:val="num" w:pos="2716"/>
        </w:tabs>
        <w:ind w:left="2716" w:hanging="360"/>
      </w:pPr>
    </w:lvl>
    <w:lvl w:ilvl="3" w:tentative="1">
      <w:start w:val="1"/>
      <w:numFmt w:val="lowerLetter"/>
      <w:lvlText w:val="%4."/>
      <w:lvlJc w:val="left"/>
      <w:pPr>
        <w:tabs>
          <w:tab w:val="num" w:pos="3436"/>
        </w:tabs>
        <w:ind w:left="3436" w:hanging="360"/>
      </w:pPr>
    </w:lvl>
    <w:lvl w:ilvl="4" w:tentative="1">
      <w:start w:val="1"/>
      <w:numFmt w:val="lowerLetter"/>
      <w:lvlText w:val="%5."/>
      <w:lvlJc w:val="left"/>
      <w:pPr>
        <w:tabs>
          <w:tab w:val="num" w:pos="4156"/>
        </w:tabs>
        <w:ind w:left="4156" w:hanging="360"/>
      </w:pPr>
    </w:lvl>
    <w:lvl w:ilvl="5" w:tentative="1">
      <w:start w:val="1"/>
      <w:numFmt w:val="lowerLetter"/>
      <w:lvlText w:val="%6."/>
      <w:lvlJc w:val="left"/>
      <w:pPr>
        <w:tabs>
          <w:tab w:val="num" w:pos="4876"/>
        </w:tabs>
        <w:ind w:left="4876" w:hanging="360"/>
      </w:pPr>
    </w:lvl>
    <w:lvl w:ilvl="6" w:tentative="1">
      <w:start w:val="1"/>
      <w:numFmt w:val="lowerLetter"/>
      <w:lvlText w:val="%7."/>
      <w:lvlJc w:val="left"/>
      <w:pPr>
        <w:tabs>
          <w:tab w:val="num" w:pos="5596"/>
        </w:tabs>
        <w:ind w:left="5596" w:hanging="360"/>
      </w:pPr>
    </w:lvl>
    <w:lvl w:ilvl="7" w:tentative="1">
      <w:start w:val="1"/>
      <w:numFmt w:val="lowerLetter"/>
      <w:lvlText w:val="%8."/>
      <w:lvlJc w:val="left"/>
      <w:pPr>
        <w:tabs>
          <w:tab w:val="num" w:pos="6316"/>
        </w:tabs>
        <w:ind w:left="6316" w:hanging="360"/>
      </w:pPr>
    </w:lvl>
    <w:lvl w:ilvl="8" w:tentative="1">
      <w:start w:val="1"/>
      <w:numFmt w:val="lowerLetter"/>
      <w:lvlText w:val="%9."/>
      <w:lvlJc w:val="left"/>
      <w:pPr>
        <w:tabs>
          <w:tab w:val="num" w:pos="7036"/>
        </w:tabs>
        <w:ind w:left="7036" w:hanging="360"/>
      </w:pPr>
    </w:lvl>
  </w:abstractNum>
  <w:abstractNum w:abstractNumId="15" w15:restartNumberingAfterBreak="0">
    <w:nsid w:val="31B23705"/>
    <w:multiLevelType w:val="multilevel"/>
    <w:tmpl w:val="2E2A79EC"/>
    <w:lvl w:ilvl="0">
      <w:start w:val="1"/>
      <w:numFmt w:val="lowerLetter"/>
      <w:lvlText w:val="%1)"/>
      <w:lvlJc w:val="left"/>
      <w:pPr>
        <w:ind w:left="712" w:hanging="428"/>
      </w:pPr>
      <w:rPr>
        <w:rFonts w:ascii="Cambria" w:eastAsia="Cambria" w:hAnsi="Cambria" w:cs="Cambria" w:hint="default"/>
        <w:b w:val="0"/>
        <w:bCs w:val="0"/>
        <w:i/>
        <w:iCs/>
        <w:spacing w:val="0"/>
        <w:sz w:val="20"/>
        <w:szCs w:val="20"/>
        <w:lang w:val="en-US" w:eastAsia="en-US" w:bidi="ar-SA"/>
      </w:rPr>
    </w:lvl>
    <w:lvl w:ilvl="1">
      <w:start w:val="1"/>
      <w:numFmt w:val="lowerRoman"/>
      <w:lvlText w:val="%2."/>
      <w:lvlJc w:val="left"/>
      <w:pPr>
        <w:ind w:left="1137" w:hanging="425"/>
      </w:pPr>
      <w:rPr>
        <w:rFonts w:ascii="Cambria" w:eastAsia="Cambria" w:hAnsi="Cambria" w:cs="Cambria" w:hint="default"/>
        <w:b w:val="0"/>
        <w:bCs w:val="0"/>
        <w:i w:val="0"/>
        <w:iCs w:val="0"/>
        <w:spacing w:val="-1"/>
        <w:sz w:val="20"/>
        <w:szCs w:val="20"/>
        <w:lang w:val="en-US" w:eastAsia="en-US" w:bidi="ar-SA"/>
      </w:rPr>
    </w:lvl>
    <w:lvl w:ilvl="2">
      <w:numFmt w:val="bullet"/>
      <w:lvlText w:val="•"/>
      <w:lvlJc w:val="left"/>
      <w:pPr>
        <w:ind w:left="2084" w:hanging="425"/>
      </w:pPr>
      <w:rPr>
        <w:rFonts w:hint="default"/>
        <w:lang w:val="en-US" w:eastAsia="en-US" w:bidi="ar-SA"/>
      </w:rPr>
    </w:lvl>
    <w:lvl w:ilvl="3">
      <w:numFmt w:val="bullet"/>
      <w:lvlText w:val="•"/>
      <w:lvlJc w:val="left"/>
      <w:pPr>
        <w:ind w:left="3028" w:hanging="425"/>
      </w:pPr>
      <w:rPr>
        <w:rFonts w:hint="default"/>
        <w:lang w:val="en-US" w:eastAsia="en-US" w:bidi="ar-SA"/>
      </w:rPr>
    </w:lvl>
    <w:lvl w:ilvl="4">
      <w:numFmt w:val="bullet"/>
      <w:lvlText w:val="•"/>
      <w:lvlJc w:val="left"/>
      <w:pPr>
        <w:ind w:left="3973" w:hanging="425"/>
      </w:pPr>
      <w:rPr>
        <w:rFonts w:hint="default"/>
        <w:lang w:val="en-US" w:eastAsia="en-US" w:bidi="ar-SA"/>
      </w:rPr>
    </w:lvl>
    <w:lvl w:ilvl="5">
      <w:numFmt w:val="bullet"/>
      <w:lvlText w:val="•"/>
      <w:lvlJc w:val="left"/>
      <w:pPr>
        <w:ind w:left="4917" w:hanging="425"/>
      </w:pPr>
      <w:rPr>
        <w:rFonts w:hint="default"/>
        <w:lang w:val="en-US" w:eastAsia="en-US" w:bidi="ar-SA"/>
      </w:rPr>
    </w:lvl>
    <w:lvl w:ilvl="6">
      <w:numFmt w:val="bullet"/>
      <w:lvlText w:val="•"/>
      <w:lvlJc w:val="left"/>
      <w:pPr>
        <w:ind w:left="5862" w:hanging="425"/>
      </w:pPr>
      <w:rPr>
        <w:rFonts w:hint="default"/>
        <w:lang w:val="en-US" w:eastAsia="en-US" w:bidi="ar-SA"/>
      </w:rPr>
    </w:lvl>
    <w:lvl w:ilvl="7">
      <w:numFmt w:val="bullet"/>
      <w:lvlText w:val="•"/>
      <w:lvlJc w:val="left"/>
      <w:pPr>
        <w:ind w:left="6806" w:hanging="425"/>
      </w:pPr>
      <w:rPr>
        <w:rFonts w:hint="default"/>
        <w:lang w:val="en-US" w:eastAsia="en-US" w:bidi="ar-SA"/>
      </w:rPr>
    </w:lvl>
    <w:lvl w:ilvl="8">
      <w:numFmt w:val="bullet"/>
      <w:lvlText w:val="•"/>
      <w:lvlJc w:val="left"/>
      <w:pPr>
        <w:ind w:left="7751" w:hanging="425"/>
      </w:pPr>
      <w:rPr>
        <w:rFonts w:hint="default"/>
        <w:lang w:val="en-US" w:eastAsia="en-US" w:bidi="ar-SA"/>
      </w:rPr>
    </w:lvl>
  </w:abstractNum>
  <w:abstractNum w:abstractNumId="16" w15:restartNumberingAfterBreak="0">
    <w:nsid w:val="35ED0BB4"/>
    <w:multiLevelType w:val="multilevel"/>
    <w:tmpl w:val="51BE7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6F103F9"/>
    <w:multiLevelType w:val="hybridMultilevel"/>
    <w:tmpl w:val="8DC897CC"/>
    <w:lvl w:ilvl="0" w:tplc="04090019">
      <w:start w:val="1"/>
      <w:numFmt w:val="lowerLetter"/>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B93869"/>
    <w:multiLevelType w:val="multilevel"/>
    <w:tmpl w:val="A0D47B4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3B0B4BC9"/>
    <w:multiLevelType w:val="multilevel"/>
    <w:tmpl w:val="0E624B0A"/>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E0E5D8C"/>
    <w:multiLevelType w:val="multilevel"/>
    <w:tmpl w:val="38A474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1F816F8"/>
    <w:multiLevelType w:val="multilevel"/>
    <w:tmpl w:val="C1FA0DDA"/>
    <w:lvl w:ilvl="0">
      <w:start w:val="14"/>
      <w:numFmt w:val="decimal"/>
      <w:lvlText w:val="%1"/>
      <w:lvlJc w:val="left"/>
      <w:pPr>
        <w:ind w:left="372" w:hanging="372"/>
      </w:pPr>
      <w:rPr>
        <w:rFonts w:hint="default"/>
      </w:rPr>
    </w:lvl>
    <w:lvl w:ilvl="1">
      <w:start w:val="1"/>
      <w:numFmt w:val="decimal"/>
      <w:lvlText w:val="%1.%2"/>
      <w:lvlJc w:val="left"/>
      <w:pPr>
        <w:ind w:left="732" w:hanging="37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483E24E5"/>
    <w:multiLevelType w:val="hybridMultilevel"/>
    <w:tmpl w:val="748A6AAA"/>
    <w:lvl w:ilvl="0" w:tplc="13C6D560">
      <w:start w:val="6"/>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3" w15:restartNumberingAfterBreak="0">
    <w:nsid w:val="496A1ACE"/>
    <w:multiLevelType w:val="multilevel"/>
    <w:tmpl w:val="FC5AAB1E"/>
    <w:lvl w:ilvl="0">
      <w:start w:val="6"/>
      <w:numFmt w:val="decimal"/>
      <w:lvlText w:val="%1"/>
      <w:lvlJc w:val="left"/>
      <w:pPr>
        <w:ind w:left="360" w:hanging="360"/>
      </w:pPr>
      <w:rPr>
        <w:rFonts w:hint="default"/>
        <w:i w:val="0"/>
      </w:rPr>
    </w:lvl>
    <w:lvl w:ilvl="1">
      <w:start w:val="4"/>
      <w:numFmt w:val="decimal"/>
      <w:lvlText w:val="%1.%2"/>
      <w:lvlJc w:val="left"/>
      <w:pPr>
        <w:ind w:left="792" w:hanging="360"/>
      </w:pPr>
      <w:rPr>
        <w:rFonts w:hint="default"/>
        <w:i w:val="0"/>
      </w:rPr>
    </w:lvl>
    <w:lvl w:ilvl="2">
      <w:start w:val="1"/>
      <w:numFmt w:val="decimal"/>
      <w:lvlText w:val="%1.%2.%3"/>
      <w:lvlJc w:val="left"/>
      <w:pPr>
        <w:ind w:left="1584" w:hanging="720"/>
      </w:pPr>
      <w:rPr>
        <w:rFonts w:hint="default"/>
        <w:i w:val="0"/>
      </w:rPr>
    </w:lvl>
    <w:lvl w:ilvl="3">
      <w:start w:val="1"/>
      <w:numFmt w:val="decimal"/>
      <w:lvlText w:val="%1.%2.%3.%4"/>
      <w:lvlJc w:val="left"/>
      <w:pPr>
        <w:ind w:left="2016" w:hanging="720"/>
      </w:pPr>
      <w:rPr>
        <w:rFonts w:hint="default"/>
        <w:i w:val="0"/>
      </w:rPr>
    </w:lvl>
    <w:lvl w:ilvl="4">
      <w:start w:val="1"/>
      <w:numFmt w:val="decimal"/>
      <w:lvlText w:val="%1.%2.%3.%4.%5"/>
      <w:lvlJc w:val="left"/>
      <w:pPr>
        <w:ind w:left="2808" w:hanging="1080"/>
      </w:pPr>
      <w:rPr>
        <w:rFonts w:hint="default"/>
        <w:i w:val="0"/>
      </w:rPr>
    </w:lvl>
    <w:lvl w:ilvl="5">
      <w:start w:val="1"/>
      <w:numFmt w:val="decimal"/>
      <w:lvlText w:val="%1.%2.%3.%4.%5.%6"/>
      <w:lvlJc w:val="left"/>
      <w:pPr>
        <w:ind w:left="3240" w:hanging="1080"/>
      </w:pPr>
      <w:rPr>
        <w:rFonts w:hint="default"/>
        <w:i w:val="0"/>
      </w:rPr>
    </w:lvl>
    <w:lvl w:ilvl="6">
      <w:start w:val="1"/>
      <w:numFmt w:val="decimal"/>
      <w:lvlText w:val="%1.%2.%3.%4.%5.%6.%7"/>
      <w:lvlJc w:val="left"/>
      <w:pPr>
        <w:ind w:left="4032" w:hanging="1440"/>
      </w:pPr>
      <w:rPr>
        <w:rFonts w:hint="default"/>
        <w:i w:val="0"/>
      </w:rPr>
    </w:lvl>
    <w:lvl w:ilvl="7">
      <w:start w:val="1"/>
      <w:numFmt w:val="decimal"/>
      <w:lvlText w:val="%1.%2.%3.%4.%5.%6.%7.%8"/>
      <w:lvlJc w:val="left"/>
      <w:pPr>
        <w:ind w:left="4464" w:hanging="1440"/>
      </w:pPr>
      <w:rPr>
        <w:rFonts w:hint="default"/>
        <w:i w:val="0"/>
      </w:rPr>
    </w:lvl>
    <w:lvl w:ilvl="8">
      <w:start w:val="1"/>
      <w:numFmt w:val="decimal"/>
      <w:lvlText w:val="%1.%2.%3.%4.%5.%6.%7.%8.%9"/>
      <w:lvlJc w:val="left"/>
      <w:pPr>
        <w:ind w:left="4896" w:hanging="1440"/>
      </w:pPr>
      <w:rPr>
        <w:rFonts w:hint="default"/>
        <w:i w:val="0"/>
      </w:rPr>
    </w:lvl>
  </w:abstractNum>
  <w:abstractNum w:abstractNumId="24" w15:restartNumberingAfterBreak="0">
    <w:nsid w:val="4C4F34A4"/>
    <w:multiLevelType w:val="hybridMultilevel"/>
    <w:tmpl w:val="E9E235EC"/>
    <w:lvl w:ilvl="0" w:tplc="EA44CFB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5B0435"/>
    <w:multiLevelType w:val="hybridMultilevel"/>
    <w:tmpl w:val="100259BA"/>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26" w15:restartNumberingAfterBreak="0">
    <w:nsid w:val="4D685163"/>
    <w:multiLevelType w:val="multilevel"/>
    <w:tmpl w:val="013A87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0CB4CE6"/>
    <w:multiLevelType w:val="multilevel"/>
    <w:tmpl w:val="1B48F666"/>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3AB7F25"/>
    <w:multiLevelType w:val="multilevel"/>
    <w:tmpl w:val="03E4A72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58BD094C"/>
    <w:multiLevelType w:val="multilevel"/>
    <w:tmpl w:val="9B8856F4"/>
    <w:lvl w:ilvl="0">
      <w:start w:val="2"/>
      <w:numFmt w:val="lowerLetter"/>
      <w:lvlText w:val="%1."/>
      <w:lvlJc w:val="left"/>
      <w:pPr>
        <w:tabs>
          <w:tab w:val="num" w:pos="998"/>
        </w:tabs>
        <w:ind w:left="998" w:hanging="360"/>
      </w:pPr>
    </w:lvl>
    <w:lvl w:ilvl="1" w:tentative="1">
      <w:start w:val="1"/>
      <w:numFmt w:val="lowerLetter"/>
      <w:lvlText w:val="%2."/>
      <w:lvlJc w:val="left"/>
      <w:pPr>
        <w:tabs>
          <w:tab w:val="num" w:pos="1718"/>
        </w:tabs>
        <w:ind w:left="1718" w:hanging="360"/>
      </w:pPr>
    </w:lvl>
    <w:lvl w:ilvl="2" w:tentative="1">
      <w:start w:val="1"/>
      <w:numFmt w:val="lowerLetter"/>
      <w:lvlText w:val="%3."/>
      <w:lvlJc w:val="left"/>
      <w:pPr>
        <w:tabs>
          <w:tab w:val="num" w:pos="2438"/>
        </w:tabs>
        <w:ind w:left="2438" w:hanging="360"/>
      </w:pPr>
    </w:lvl>
    <w:lvl w:ilvl="3" w:tentative="1">
      <w:start w:val="1"/>
      <w:numFmt w:val="lowerLetter"/>
      <w:lvlText w:val="%4."/>
      <w:lvlJc w:val="left"/>
      <w:pPr>
        <w:tabs>
          <w:tab w:val="num" w:pos="3158"/>
        </w:tabs>
        <w:ind w:left="3158" w:hanging="360"/>
      </w:pPr>
    </w:lvl>
    <w:lvl w:ilvl="4" w:tentative="1">
      <w:start w:val="1"/>
      <w:numFmt w:val="lowerLetter"/>
      <w:lvlText w:val="%5."/>
      <w:lvlJc w:val="left"/>
      <w:pPr>
        <w:tabs>
          <w:tab w:val="num" w:pos="3878"/>
        </w:tabs>
        <w:ind w:left="3878" w:hanging="360"/>
      </w:pPr>
    </w:lvl>
    <w:lvl w:ilvl="5" w:tentative="1">
      <w:start w:val="1"/>
      <w:numFmt w:val="lowerLetter"/>
      <w:lvlText w:val="%6."/>
      <w:lvlJc w:val="left"/>
      <w:pPr>
        <w:tabs>
          <w:tab w:val="num" w:pos="4598"/>
        </w:tabs>
        <w:ind w:left="4598" w:hanging="360"/>
      </w:pPr>
    </w:lvl>
    <w:lvl w:ilvl="6" w:tentative="1">
      <w:start w:val="1"/>
      <w:numFmt w:val="lowerLetter"/>
      <w:lvlText w:val="%7."/>
      <w:lvlJc w:val="left"/>
      <w:pPr>
        <w:tabs>
          <w:tab w:val="num" w:pos="5318"/>
        </w:tabs>
        <w:ind w:left="5318" w:hanging="360"/>
      </w:pPr>
    </w:lvl>
    <w:lvl w:ilvl="7" w:tentative="1">
      <w:start w:val="1"/>
      <w:numFmt w:val="lowerLetter"/>
      <w:lvlText w:val="%8."/>
      <w:lvlJc w:val="left"/>
      <w:pPr>
        <w:tabs>
          <w:tab w:val="num" w:pos="6038"/>
        </w:tabs>
        <w:ind w:left="6038" w:hanging="360"/>
      </w:pPr>
    </w:lvl>
    <w:lvl w:ilvl="8" w:tentative="1">
      <w:start w:val="1"/>
      <w:numFmt w:val="lowerLetter"/>
      <w:lvlText w:val="%9."/>
      <w:lvlJc w:val="left"/>
      <w:pPr>
        <w:tabs>
          <w:tab w:val="num" w:pos="6758"/>
        </w:tabs>
        <w:ind w:left="6758" w:hanging="360"/>
      </w:pPr>
    </w:lvl>
  </w:abstractNum>
  <w:abstractNum w:abstractNumId="30" w15:restartNumberingAfterBreak="0">
    <w:nsid w:val="58F739BE"/>
    <w:multiLevelType w:val="multilevel"/>
    <w:tmpl w:val="DA1ABD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995643"/>
    <w:multiLevelType w:val="hybridMultilevel"/>
    <w:tmpl w:val="A18E6F28"/>
    <w:lvl w:ilvl="0" w:tplc="CA221E60">
      <w:start w:val="1"/>
      <w:numFmt w:val="lowerLetter"/>
      <w:lvlText w:val="%1)"/>
      <w:lvlJc w:val="left"/>
      <w:pPr>
        <w:ind w:left="790"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32" w15:restartNumberingAfterBreak="0">
    <w:nsid w:val="5D9271F8"/>
    <w:multiLevelType w:val="multilevel"/>
    <w:tmpl w:val="006815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DB069EA"/>
    <w:multiLevelType w:val="multilevel"/>
    <w:tmpl w:val="F11670B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3341C23"/>
    <w:multiLevelType w:val="hybridMultilevel"/>
    <w:tmpl w:val="6EC853B0"/>
    <w:lvl w:ilvl="0" w:tplc="DDCEDE30">
      <w:start w:val="1"/>
      <w:numFmt w:val="lowerLetter"/>
      <w:lvlText w:val="%1)"/>
      <w:lvlJc w:val="left"/>
      <w:pPr>
        <w:ind w:left="1068"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35" w15:restartNumberingAfterBreak="0">
    <w:nsid w:val="63E35756"/>
    <w:multiLevelType w:val="multilevel"/>
    <w:tmpl w:val="943654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0728CA"/>
    <w:multiLevelType w:val="multilevel"/>
    <w:tmpl w:val="2460BDBC"/>
    <w:lvl w:ilvl="0">
      <w:start w:val="11"/>
      <w:numFmt w:val="decimal"/>
      <w:lvlText w:val="%1"/>
      <w:lvlJc w:val="left"/>
      <w:pPr>
        <w:ind w:left="372" w:hanging="372"/>
      </w:pPr>
      <w:rPr>
        <w:rFonts w:hint="default"/>
      </w:rPr>
    </w:lvl>
    <w:lvl w:ilvl="1">
      <w:start w:val="1"/>
      <w:numFmt w:val="decimal"/>
      <w:lvlText w:val="%1.%2"/>
      <w:lvlJc w:val="left"/>
      <w:pPr>
        <w:ind w:left="732" w:hanging="37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649C7A24"/>
    <w:multiLevelType w:val="multilevel"/>
    <w:tmpl w:val="145ED3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57D4B5A"/>
    <w:multiLevelType w:val="multilevel"/>
    <w:tmpl w:val="01B6EB24"/>
    <w:lvl w:ilvl="0">
      <w:start w:val="1"/>
      <w:numFmt w:val="lowerLetter"/>
      <w:lvlText w:val="%1)"/>
      <w:lvlJc w:val="left"/>
      <w:pPr>
        <w:ind w:left="429" w:hanging="428"/>
      </w:pPr>
      <w:rPr>
        <w:rFonts w:ascii="Cambria" w:eastAsia="Cambria" w:hAnsi="Cambria" w:cs="Cambria" w:hint="default"/>
        <w:b w:val="0"/>
        <w:bCs w:val="0"/>
        <w:i w:val="0"/>
        <w:iCs w:val="0"/>
        <w:spacing w:val="0"/>
        <w:sz w:val="20"/>
        <w:szCs w:val="20"/>
        <w:lang w:val="en-US" w:eastAsia="en-US" w:bidi="ar-SA"/>
      </w:rPr>
    </w:lvl>
    <w:lvl w:ilvl="1">
      <w:numFmt w:val="bullet"/>
      <w:lvlText w:val="•"/>
      <w:lvlJc w:val="left"/>
      <w:pPr>
        <w:ind w:left="1299" w:hanging="428"/>
      </w:pPr>
      <w:rPr>
        <w:lang w:val="en-US" w:eastAsia="en-US" w:bidi="ar-SA"/>
      </w:rPr>
    </w:lvl>
    <w:lvl w:ilvl="2">
      <w:numFmt w:val="bullet"/>
      <w:lvlText w:val="•"/>
      <w:lvlJc w:val="left"/>
      <w:pPr>
        <w:ind w:left="2178" w:hanging="428"/>
      </w:pPr>
      <w:rPr>
        <w:lang w:val="en-US" w:eastAsia="en-US" w:bidi="ar-SA"/>
      </w:rPr>
    </w:lvl>
    <w:lvl w:ilvl="3">
      <w:numFmt w:val="bullet"/>
      <w:lvlText w:val="•"/>
      <w:lvlJc w:val="left"/>
      <w:pPr>
        <w:ind w:left="3058" w:hanging="428"/>
      </w:pPr>
      <w:rPr>
        <w:lang w:val="en-US" w:eastAsia="en-US" w:bidi="ar-SA"/>
      </w:rPr>
    </w:lvl>
    <w:lvl w:ilvl="4">
      <w:numFmt w:val="bullet"/>
      <w:lvlText w:val="•"/>
      <w:lvlJc w:val="left"/>
      <w:pPr>
        <w:ind w:left="3937" w:hanging="428"/>
      </w:pPr>
      <w:rPr>
        <w:lang w:val="en-US" w:eastAsia="en-US" w:bidi="ar-SA"/>
      </w:rPr>
    </w:lvl>
    <w:lvl w:ilvl="5">
      <w:numFmt w:val="bullet"/>
      <w:lvlText w:val="•"/>
      <w:lvlJc w:val="left"/>
      <w:pPr>
        <w:ind w:left="4817" w:hanging="428"/>
      </w:pPr>
      <w:rPr>
        <w:lang w:val="en-US" w:eastAsia="en-US" w:bidi="ar-SA"/>
      </w:rPr>
    </w:lvl>
    <w:lvl w:ilvl="6">
      <w:numFmt w:val="bullet"/>
      <w:lvlText w:val="•"/>
      <w:lvlJc w:val="left"/>
      <w:pPr>
        <w:ind w:left="5696" w:hanging="428"/>
      </w:pPr>
      <w:rPr>
        <w:lang w:val="en-US" w:eastAsia="en-US" w:bidi="ar-SA"/>
      </w:rPr>
    </w:lvl>
    <w:lvl w:ilvl="7">
      <w:numFmt w:val="bullet"/>
      <w:lvlText w:val="•"/>
      <w:lvlJc w:val="left"/>
      <w:pPr>
        <w:ind w:left="6576" w:hanging="428"/>
      </w:pPr>
      <w:rPr>
        <w:lang w:val="en-US" w:eastAsia="en-US" w:bidi="ar-SA"/>
      </w:rPr>
    </w:lvl>
    <w:lvl w:ilvl="8">
      <w:numFmt w:val="bullet"/>
      <w:lvlText w:val="•"/>
      <w:lvlJc w:val="left"/>
      <w:pPr>
        <w:ind w:left="7455" w:hanging="428"/>
      </w:pPr>
      <w:rPr>
        <w:lang w:val="en-US" w:eastAsia="en-US" w:bidi="ar-SA"/>
      </w:rPr>
    </w:lvl>
  </w:abstractNum>
  <w:abstractNum w:abstractNumId="39" w15:restartNumberingAfterBreak="0">
    <w:nsid w:val="68FE199A"/>
    <w:multiLevelType w:val="multilevel"/>
    <w:tmpl w:val="A7BC635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6A2F4AFD"/>
    <w:multiLevelType w:val="hybridMultilevel"/>
    <w:tmpl w:val="1DFA4142"/>
    <w:lvl w:ilvl="0" w:tplc="D8525C72">
      <w:start w:val="1"/>
      <w:numFmt w:val="decimal"/>
      <w:lvlText w:val="%1."/>
      <w:lvlJc w:val="left"/>
      <w:pPr>
        <w:ind w:left="785" w:hanging="4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AF5461"/>
    <w:multiLevelType w:val="multilevel"/>
    <w:tmpl w:val="C006622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771B137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9A45695"/>
    <w:multiLevelType w:val="multilevel"/>
    <w:tmpl w:val="D89ECFBC"/>
    <w:lvl w:ilvl="0">
      <w:start w:val="14"/>
      <w:numFmt w:val="decimal"/>
      <w:lvlText w:val="%1"/>
      <w:lvlJc w:val="left"/>
      <w:pPr>
        <w:ind w:left="528" w:hanging="528"/>
      </w:pPr>
      <w:rPr>
        <w:rFonts w:hint="default"/>
      </w:rPr>
    </w:lvl>
    <w:lvl w:ilvl="1">
      <w:start w:val="1"/>
      <w:numFmt w:val="decimal"/>
      <w:lvlText w:val="%1.%2"/>
      <w:lvlJc w:val="left"/>
      <w:pPr>
        <w:ind w:left="708" w:hanging="528"/>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4" w15:restartNumberingAfterBreak="0">
    <w:nsid w:val="7AF0260B"/>
    <w:multiLevelType w:val="multilevel"/>
    <w:tmpl w:val="FF9C962A"/>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1123421499">
    <w:abstractNumId w:val="10"/>
  </w:num>
  <w:num w:numId="2" w16cid:durableId="1449546622">
    <w:abstractNumId w:val="6"/>
  </w:num>
  <w:num w:numId="3" w16cid:durableId="1669477334">
    <w:abstractNumId w:val="31"/>
  </w:num>
  <w:num w:numId="4" w16cid:durableId="2062551615">
    <w:abstractNumId w:val="34"/>
  </w:num>
  <w:num w:numId="5" w16cid:durableId="1334332422">
    <w:abstractNumId w:val="7"/>
  </w:num>
  <w:num w:numId="6" w16cid:durableId="14255167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63663394">
    <w:abstractNumId w:val="17"/>
  </w:num>
  <w:num w:numId="8" w16cid:durableId="1031148757">
    <w:abstractNumId w:val="9"/>
  </w:num>
  <w:num w:numId="9" w16cid:durableId="1366442034">
    <w:abstractNumId w:val="12"/>
  </w:num>
  <w:num w:numId="10" w16cid:durableId="593592016">
    <w:abstractNumId w:val="24"/>
  </w:num>
  <w:num w:numId="11" w16cid:durableId="1440175051">
    <w:abstractNumId w:val="40"/>
  </w:num>
  <w:num w:numId="12" w16cid:durableId="982851329">
    <w:abstractNumId w:val="22"/>
  </w:num>
  <w:num w:numId="13" w16cid:durableId="77144801">
    <w:abstractNumId w:val="25"/>
  </w:num>
  <w:num w:numId="14" w16cid:durableId="1647279085">
    <w:abstractNumId w:val="5"/>
  </w:num>
  <w:num w:numId="15" w16cid:durableId="271133236">
    <w:abstractNumId w:val="16"/>
  </w:num>
  <w:num w:numId="16" w16cid:durableId="1738623123">
    <w:abstractNumId w:val="32"/>
  </w:num>
  <w:num w:numId="17" w16cid:durableId="913320329">
    <w:abstractNumId w:val="30"/>
  </w:num>
  <w:num w:numId="18" w16cid:durableId="418794546">
    <w:abstractNumId w:val="37"/>
  </w:num>
  <w:num w:numId="19" w16cid:durableId="1472021529">
    <w:abstractNumId w:val="26"/>
  </w:num>
  <w:num w:numId="20" w16cid:durableId="2017075213">
    <w:abstractNumId w:val="41"/>
  </w:num>
  <w:num w:numId="21" w16cid:durableId="591548215">
    <w:abstractNumId w:val="28"/>
  </w:num>
  <w:num w:numId="22" w16cid:durableId="1404647861">
    <w:abstractNumId w:val="11"/>
  </w:num>
  <w:num w:numId="23" w16cid:durableId="174223927">
    <w:abstractNumId w:val="14"/>
  </w:num>
  <w:num w:numId="24" w16cid:durableId="1101417208">
    <w:abstractNumId w:val="39"/>
  </w:num>
  <w:num w:numId="25" w16cid:durableId="801313979">
    <w:abstractNumId w:val="29"/>
  </w:num>
  <w:num w:numId="26" w16cid:durableId="1469083396">
    <w:abstractNumId w:val="18"/>
  </w:num>
  <w:num w:numId="27" w16cid:durableId="994603209">
    <w:abstractNumId w:val="33"/>
  </w:num>
  <w:num w:numId="28" w16cid:durableId="1157379616">
    <w:abstractNumId w:val="35"/>
  </w:num>
  <w:num w:numId="29" w16cid:durableId="438067770">
    <w:abstractNumId w:val="20"/>
  </w:num>
  <w:num w:numId="30" w16cid:durableId="2108188645">
    <w:abstractNumId w:val="44"/>
  </w:num>
  <w:num w:numId="31" w16cid:durableId="637416884">
    <w:abstractNumId w:val="1"/>
  </w:num>
  <w:num w:numId="32" w16cid:durableId="1707027479">
    <w:abstractNumId w:val="8"/>
  </w:num>
  <w:num w:numId="33" w16cid:durableId="220675060">
    <w:abstractNumId w:val="19"/>
  </w:num>
  <w:num w:numId="34" w16cid:durableId="683478542">
    <w:abstractNumId w:val="27"/>
  </w:num>
  <w:num w:numId="35" w16cid:durableId="374165365">
    <w:abstractNumId w:val="0"/>
  </w:num>
  <w:num w:numId="36" w16cid:durableId="133135331">
    <w:abstractNumId w:val="2"/>
  </w:num>
  <w:num w:numId="37" w16cid:durableId="1939672181">
    <w:abstractNumId w:val="3"/>
  </w:num>
  <w:num w:numId="38" w16cid:durableId="905067993">
    <w:abstractNumId w:val="42"/>
  </w:num>
  <w:num w:numId="39" w16cid:durableId="715666598">
    <w:abstractNumId w:val="2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16957195">
    <w:abstractNumId w:val="23"/>
  </w:num>
  <w:num w:numId="41" w16cid:durableId="191919274">
    <w:abstractNumId w:val="43"/>
  </w:num>
  <w:num w:numId="42" w16cid:durableId="1523088920">
    <w:abstractNumId w:val="21"/>
  </w:num>
  <w:num w:numId="43" w16cid:durableId="704985200">
    <w:abstractNumId w:val="36"/>
  </w:num>
  <w:num w:numId="44" w16cid:durableId="1439372492">
    <w:abstractNumId w:val="4"/>
    <w:lvlOverride w:ilvl="0">
      <w:startOverride w:val="1"/>
    </w:lvlOverride>
    <w:lvlOverride w:ilvl="1">
      <w:startOverride w:val="1"/>
    </w:lvlOverride>
    <w:lvlOverride w:ilvl="2">
      <w:startOverride w:val="1"/>
    </w:lvlOverride>
    <w:lvlOverride w:ilvl="3">
      <w:startOverride w:val="1"/>
    </w:lvlOverride>
  </w:num>
  <w:num w:numId="45" w16cid:durableId="1030645247">
    <w:abstractNumId w:val="38"/>
    <w:lvlOverride w:ilvl="0">
      <w:startOverride w:val="1"/>
    </w:lvlOverride>
  </w:num>
  <w:num w:numId="46" w16cid:durableId="282620428">
    <w:abstractNumId w:val="15"/>
  </w:num>
  <w:num w:numId="47" w16cid:durableId="161556344">
    <w:abstractNumId w:val="4"/>
    <w:lvlOverride w:ilvl="0">
      <w:startOverride w:val="1"/>
    </w:lvlOverride>
    <w:lvlOverride w:ilvl="1">
      <w:startOverride w:val="1"/>
    </w:lvlOverride>
    <w:lvlOverride w:ilvl="2">
      <w:startOverride w:val="1"/>
    </w:lvlOverride>
    <w:lvlOverride w:ilvl="3">
      <w:startOverride w:val="1"/>
    </w:lvlOverride>
  </w:num>
  <w:num w:numId="48" w16cid:durableId="17787915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A1NzY0Mrc0MjYwsrRQ0lEKTi0uzszPAykwqgUAQZFtqSwAAAA="/>
  </w:docVars>
  <w:rsids>
    <w:rsidRoot w:val="00DD4C39"/>
    <w:rsid w:val="00000F96"/>
    <w:rsid w:val="00001901"/>
    <w:rsid w:val="0000239E"/>
    <w:rsid w:val="00002BDA"/>
    <w:rsid w:val="00004835"/>
    <w:rsid w:val="00005B6C"/>
    <w:rsid w:val="00007744"/>
    <w:rsid w:val="00013B86"/>
    <w:rsid w:val="00016D99"/>
    <w:rsid w:val="00023580"/>
    <w:rsid w:val="00025B70"/>
    <w:rsid w:val="0003295F"/>
    <w:rsid w:val="0003757A"/>
    <w:rsid w:val="000401D8"/>
    <w:rsid w:val="00043A65"/>
    <w:rsid w:val="0004418A"/>
    <w:rsid w:val="000517FA"/>
    <w:rsid w:val="00051ACC"/>
    <w:rsid w:val="00052AC6"/>
    <w:rsid w:val="00052B90"/>
    <w:rsid w:val="0005456C"/>
    <w:rsid w:val="000554E0"/>
    <w:rsid w:val="000578FB"/>
    <w:rsid w:val="00060FB1"/>
    <w:rsid w:val="000614FA"/>
    <w:rsid w:val="00064640"/>
    <w:rsid w:val="00071189"/>
    <w:rsid w:val="000746A9"/>
    <w:rsid w:val="00074F2A"/>
    <w:rsid w:val="0007648A"/>
    <w:rsid w:val="00076E2B"/>
    <w:rsid w:val="00081466"/>
    <w:rsid w:val="000832AE"/>
    <w:rsid w:val="00083DDB"/>
    <w:rsid w:val="000853CC"/>
    <w:rsid w:val="00085DFE"/>
    <w:rsid w:val="00087339"/>
    <w:rsid w:val="00087667"/>
    <w:rsid w:val="00090861"/>
    <w:rsid w:val="00092C87"/>
    <w:rsid w:val="00095BA1"/>
    <w:rsid w:val="00095C30"/>
    <w:rsid w:val="00097856"/>
    <w:rsid w:val="000A0AA5"/>
    <w:rsid w:val="000A1303"/>
    <w:rsid w:val="000A160A"/>
    <w:rsid w:val="000A2BB3"/>
    <w:rsid w:val="000A5107"/>
    <w:rsid w:val="000A5EFA"/>
    <w:rsid w:val="000A6DB2"/>
    <w:rsid w:val="000A777B"/>
    <w:rsid w:val="000B0920"/>
    <w:rsid w:val="000C4DFD"/>
    <w:rsid w:val="000C6AE8"/>
    <w:rsid w:val="000C7D41"/>
    <w:rsid w:val="000D11D4"/>
    <w:rsid w:val="000D3D1D"/>
    <w:rsid w:val="000D5959"/>
    <w:rsid w:val="000D673E"/>
    <w:rsid w:val="000E6023"/>
    <w:rsid w:val="000F5AB1"/>
    <w:rsid w:val="0010146E"/>
    <w:rsid w:val="0010246F"/>
    <w:rsid w:val="001031B7"/>
    <w:rsid w:val="0010673C"/>
    <w:rsid w:val="00111F0F"/>
    <w:rsid w:val="00114F3C"/>
    <w:rsid w:val="0011743A"/>
    <w:rsid w:val="00120AE6"/>
    <w:rsid w:val="00120DD1"/>
    <w:rsid w:val="001211F5"/>
    <w:rsid w:val="00124AD6"/>
    <w:rsid w:val="00124E11"/>
    <w:rsid w:val="00131C64"/>
    <w:rsid w:val="00137A63"/>
    <w:rsid w:val="00140C72"/>
    <w:rsid w:val="0014300C"/>
    <w:rsid w:val="001476CD"/>
    <w:rsid w:val="00147A4F"/>
    <w:rsid w:val="001527D8"/>
    <w:rsid w:val="00152B06"/>
    <w:rsid w:val="00152E0C"/>
    <w:rsid w:val="00157B26"/>
    <w:rsid w:val="00160A09"/>
    <w:rsid w:val="00160B49"/>
    <w:rsid w:val="001630E3"/>
    <w:rsid w:val="00167923"/>
    <w:rsid w:val="00173393"/>
    <w:rsid w:val="00180C8B"/>
    <w:rsid w:val="0018126E"/>
    <w:rsid w:val="001827ED"/>
    <w:rsid w:val="00182CFC"/>
    <w:rsid w:val="001840C6"/>
    <w:rsid w:val="0018551B"/>
    <w:rsid w:val="00186533"/>
    <w:rsid w:val="00190654"/>
    <w:rsid w:val="00193480"/>
    <w:rsid w:val="001939BC"/>
    <w:rsid w:val="001A2F4C"/>
    <w:rsid w:val="001A3D9C"/>
    <w:rsid w:val="001A68AB"/>
    <w:rsid w:val="001B112D"/>
    <w:rsid w:val="001B6DBE"/>
    <w:rsid w:val="001C05A3"/>
    <w:rsid w:val="001C1356"/>
    <w:rsid w:val="001C1823"/>
    <w:rsid w:val="001C18EA"/>
    <w:rsid w:val="001C5D2A"/>
    <w:rsid w:val="001D1E59"/>
    <w:rsid w:val="001D677B"/>
    <w:rsid w:val="001D7AE4"/>
    <w:rsid w:val="001E0A22"/>
    <w:rsid w:val="001E234F"/>
    <w:rsid w:val="001E47A9"/>
    <w:rsid w:val="001E5194"/>
    <w:rsid w:val="001E60F6"/>
    <w:rsid w:val="001F03E7"/>
    <w:rsid w:val="001F11FF"/>
    <w:rsid w:val="001F200E"/>
    <w:rsid w:val="001F27FB"/>
    <w:rsid w:val="001F5768"/>
    <w:rsid w:val="001F6925"/>
    <w:rsid w:val="00201363"/>
    <w:rsid w:val="002045EB"/>
    <w:rsid w:val="002053DD"/>
    <w:rsid w:val="00205823"/>
    <w:rsid w:val="002154AC"/>
    <w:rsid w:val="002209DA"/>
    <w:rsid w:val="002213FF"/>
    <w:rsid w:val="0022374D"/>
    <w:rsid w:val="00225464"/>
    <w:rsid w:val="002254CF"/>
    <w:rsid w:val="002265B1"/>
    <w:rsid w:val="00226609"/>
    <w:rsid w:val="002317E7"/>
    <w:rsid w:val="00232D1D"/>
    <w:rsid w:val="002360A7"/>
    <w:rsid w:val="00240A3D"/>
    <w:rsid w:val="00242005"/>
    <w:rsid w:val="00242111"/>
    <w:rsid w:val="00246631"/>
    <w:rsid w:val="00246705"/>
    <w:rsid w:val="00247B9A"/>
    <w:rsid w:val="00250C2F"/>
    <w:rsid w:val="0026489C"/>
    <w:rsid w:val="0027149A"/>
    <w:rsid w:val="00273D43"/>
    <w:rsid w:val="00275529"/>
    <w:rsid w:val="002762AB"/>
    <w:rsid w:val="00282F16"/>
    <w:rsid w:val="0028560B"/>
    <w:rsid w:val="00290481"/>
    <w:rsid w:val="002961C5"/>
    <w:rsid w:val="002A2405"/>
    <w:rsid w:val="002A46C2"/>
    <w:rsid w:val="002A6E00"/>
    <w:rsid w:val="002A70B6"/>
    <w:rsid w:val="002C12A9"/>
    <w:rsid w:val="002C399C"/>
    <w:rsid w:val="002D1035"/>
    <w:rsid w:val="002D2C3D"/>
    <w:rsid w:val="002D3D37"/>
    <w:rsid w:val="002D7AD8"/>
    <w:rsid w:val="002D7D0D"/>
    <w:rsid w:val="002D7E3A"/>
    <w:rsid w:val="002E24FF"/>
    <w:rsid w:val="002E25F5"/>
    <w:rsid w:val="002E724A"/>
    <w:rsid w:val="002F3C9C"/>
    <w:rsid w:val="00300FEF"/>
    <w:rsid w:val="00305FA6"/>
    <w:rsid w:val="0031725A"/>
    <w:rsid w:val="00317865"/>
    <w:rsid w:val="00321018"/>
    <w:rsid w:val="00322141"/>
    <w:rsid w:val="0032298F"/>
    <w:rsid w:val="00322F0E"/>
    <w:rsid w:val="00323B1B"/>
    <w:rsid w:val="00325293"/>
    <w:rsid w:val="0032583A"/>
    <w:rsid w:val="00326255"/>
    <w:rsid w:val="00330328"/>
    <w:rsid w:val="003345C4"/>
    <w:rsid w:val="00334B35"/>
    <w:rsid w:val="00334B5F"/>
    <w:rsid w:val="003426C8"/>
    <w:rsid w:val="0035004D"/>
    <w:rsid w:val="003517D4"/>
    <w:rsid w:val="003519D1"/>
    <w:rsid w:val="0035289C"/>
    <w:rsid w:val="00354A8F"/>
    <w:rsid w:val="00354B9B"/>
    <w:rsid w:val="003604AB"/>
    <w:rsid w:val="00360D3F"/>
    <w:rsid w:val="00363045"/>
    <w:rsid w:val="0037129A"/>
    <w:rsid w:val="0037605D"/>
    <w:rsid w:val="00377994"/>
    <w:rsid w:val="00384F12"/>
    <w:rsid w:val="00390A16"/>
    <w:rsid w:val="0039100E"/>
    <w:rsid w:val="003919F8"/>
    <w:rsid w:val="003948C5"/>
    <w:rsid w:val="00394EFC"/>
    <w:rsid w:val="00396EE8"/>
    <w:rsid w:val="00397E51"/>
    <w:rsid w:val="003A33A1"/>
    <w:rsid w:val="003A752C"/>
    <w:rsid w:val="003B474B"/>
    <w:rsid w:val="003B4A64"/>
    <w:rsid w:val="003B6DFC"/>
    <w:rsid w:val="003C1BFB"/>
    <w:rsid w:val="003D0374"/>
    <w:rsid w:val="003D22D2"/>
    <w:rsid w:val="003D3807"/>
    <w:rsid w:val="003E0A28"/>
    <w:rsid w:val="003E10FB"/>
    <w:rsid w:val="003E170E"/>
    <w:rsid w:val="003E1DCD"/>
    <w:rsid w:val="003E28FF"/>
    <w:rsid w:val="003E3614"/>
    <w:rsid w:val="003E43D2"/>
    <w:rsid w:val="003E6C5A"/>
    <w:rsid w:val="003E7F59"/>
    <w:rsid w:val="003F3F4A"/>
    <w:rsid w:val="003F4E22"/>
    <w:rsid w:val="003F5A6D"/>
    <w:rsid w:val="003F5AAA"/>
    <w:rsid w:val="00404B7F"/>
    <w:rsid w:val="00406CCF"/>
    <w:rsid w:val="00410A2C"/>
    <w:rsid w:val="00412D78"/>
    <w:rsid w:val="00413131"/>
    <w:rsid w:val="0041562C"/>
    <w:rsid w:val="00420909"/>
    <w:rsid w:val="00422679"/>
    <w:rsid w:val="00423112"/>
    <w:rsid w:val="00424411"/>
    <w:rsid w:val="00426AE7"/>
    <w:rsid w:val="00427D62"/>
    <w:rsid w:val="004329FC"/>
    <w:rsid w:val="00433870"/>
    <w:rsid w:val="00435A8B"/>
    <w:rsid w:val="00436588"/>
    <w:rsid w:val="00443067"/>
    <w:rsid w:val="00452867"/>
    <w:rsid w:val="00455EB7"/>
    <w:rsid w:val="00456B27"/>
    <w:rsid w:val="00460AA1"/>
    <w:rsid w:val="00460B96"/>
    <w:rsid w:val="0046156B"/>
    <w:rsid w:val="00467A1D"/>
    <w:rsid w:val="00467EDA"/>
    <w:rsid w:val="0047150A"/>
    <w:rsid w:val="00471FC4"/>
    <w:rsid w:val="00474272"/>
    <w:rsid w:val="00474F02"/>
    <w:rsid w:val="00475A63"/>
    <w:rsid w:val="00485575"/>
    <w:rsid w:val="00486D38"/>
    <w:rsid w:val="00490E0A"/>
    <w:rsid w:val="00492262"/>
    <w:rsid w:val="00492F08"/>
    <w:rsid w:val="004A4169"/>
    <w:rsid w:val="004A4529"/>
    <w:rsid w:val="004A6437"/>
    <w:rsid w:val="004A66B1"/>
    <w:rsid w:val="004A7629"/>
    <w:rsid w:val="004B1239"/>
    <w:rsid w:val="004B39F7"/>
    <w:rsid w:val="004C7E91"/>
    <w:rsid w:val="004D2DEB"/>
    <w:rsid w:val="004D3089"/>
    <w:rsid w:val="004D3EA4"/>
    <w:rsid w:val="004D5BBA"/>
    <w:rsid w:val="004E01C5"/>
    <w:rsid w:val="004E12AF"/>
    <w:rsid w:val="004E2035"/>
    <w:rsid w:val="004E4D0A"/>
    <w:rsid w:val="004E68B8"/>
    <w:rsid w:val="004E6BB3"/>
    <w:rsid w:val="004E6F3B"/>
    <w:rsid w:val="004E7B8E"/>
    <w:rsid w:val="004F15B6"/>
    <w:rsid w:val="004F256C"/>
    <w:rsid w:val="004F39B9"/>
    <w:rsid w:val="004F5048"/>
    <w:rsid w:val="004F7857"/>
    <w:rsid w:val="00500AF3"/>
    <w:rsid w:val="00502206"/>
    <w:rsid w:val="00502568"/>
    <w:rsid w:val="0050612A"/>
    <w:rsid w:val="00506617"/>
    <w:rsid w:val="00506FB9"/>
    <w:rsid w:val="00507EB4"/>
    <w:rsid w:val="005132A0"/>
    <w:rsid w:val="00513361"/>
    <w:rsid w:val="00513F5C"/>
    <w:rsid w:val="005155C7"/>
    <w:rsid w:val="0051582C"/>
    <w:rsid w:val="00520FBB"/>
    <w:rsid w:val="00524F9F"/>
    <w:rsid w:val="00525084"/>
    <w:rsid w:val="005300EB"/>
    <w:rsid w:val="005345BC"/>
    <w:rsid w:val="0054141A"/>
    <w:rsid w:val="00544700"/>
    <w:rsid w:val="0054472B"/>
    <w:rsid w:val="00544A2C"/>
    <w:rsid w:val="00545AB7"/>
    <w:rsid w:val="005467B0"/>
    <w:rsid w:val="005529B8"/>
    <w:rsid w:val="00554AB0"/>
    <w:rsid w:val="00557E7E"/>
    <w:rsid w:val="00560E37"/>
    <w:rsid w:val="0056180A"/>
    <w:rsid w:val="005644A2"/>
    <w:rsid w:val="00565E84"/>
    <w:rsid w:val="00567271"/>
    <w:rsid w:val="00571C5B"/>
    <w:rsid w:val="00571E4A"/>
    <w:rsid w:val="005727F9"/>
    <w:rsid w:val="005729BB"/>
    <w:rsid w:val="005738EF"/>
    <w:rsid w:val="00574050"/>
    <w:rsid w:val="00574941"/>
    <w:rsid w:val="00574F9E"/>
    <w:rsid w:val="00576291"/>
    <w:rsid w:val="00581207"/>
    <w:rsid w:val="005832CF"/>
    <w:rsid w:val="005836F6"/>
    <w:rsid w:val="005847DE"/>
    <w:rsid w:val="00585A74"/>
    <w:rsid w:val="00586D4A"/>
    <w:rsid w:val="00587082"/>
    <w:rsid w:val="005903D9"/>
    <w:rsid w:val="005915D1"/>
    <w:rsid w:val="00593A75"/>
    <w:rsid w:val="00594D79"/>
    <w:rsid w:val="00595988"/>
    <w:rsid w:val="00597C04"/>
    <w:rsid w:val="005A64A9"/>
    <w:rsid w:val="005A782F"/>
    <w:rsid w:val="005B0AB8"/>
    <w:rsid w:val="005B0B6E"/>
    <w:rsid w:val="005B0C1A"/>
    <w:rsid w:val="005B152F"/>
    <w:rsid w:val="005B164B"/>
    <w:rsid w:val="005B1C74"/>
    <w:rsid w:val="005B255C"/>
    <w:rsid w:val="005B593C"/>
    <w:rsid w:val="005B7B50"/>
    <w:rsid w:val="005C03B4"/>
    <w:rsid w:val="005C1827"/>
    <w:rsid w:val="005C35E0"/>
    <w:rsid w:val="005C5495"/>
    <w:rsid w:val="005C618B"/>
    <w:rsid w:val="005C6E63"/>
    <w:rsid w:val="005D0160"/>
    <w:rsid w:val="005D2E30"/>
    <w:rsid w:val="005D4BA9"/>
    <w:rsid w:val="005D5193"/>
    <w:rsid w:val="005D6B27"/>
    <w:rsid w:val="005E14AA"/>
    <w:rsid w:val="005E6985"/>
    <w:rsid w:val="005F12D6"/>
    <w:rsid w:val="005F3084"/>
    <w:rsid w:val="005F439A"/>
    <w:rsid w:val="005F7EB7"/>
    <w:rsid w:val="00601C14"/>
    <w:rsid w:val="00605B6D"/>
    <w:rsid w:val="0060646E"/>
    <w:rsid w:val="00614F8F"/>
    <w:rsid w:val="00615422"/>
    <w:rsid w:val="00616C33"/>
    <w:rsid w:val="006171EE"/>
    <w:rsid w:val="0062061F"/>
    <w:rsid w:val="0062519C"/>
    <w:rsid w:val="00630BEA"/>
    <w:rsid w:val="00630C1F"/>
    <w:rsid w:val="0063147D"/>
    <w:rsid w:val="00631B05"/>
    <w:rsid w:val="00635265"/>
    <w:rsid w:val="00635DBD"/>
    <w:rsid w:val="00642E30"/>
    <w:rsid w:val="006508E3"/>
    <w:rsid w:val="00650AE3"/>
    <w:rsid w:val="00652A29"/>
    <w:rsid w:val="00652C5F"/>
    <w:rsid w:val="00656849"/>
    <w:rsid w:val="0065703C"/>
    <w:rsid w:val="00657B11"/>
    <w:rsid w:val="00660C2A"/>
    <w:rsid w:val="006629AF"/>
    <w:rsid w:val="00662DE2"/>
    <w:rsid w:val="00662FA6"/>
    <w:rsid w:val="00665DE1"/>
    <w:rsid w:val="0066614E"/>
    <w:rsid w:val="006668DF"/>
    <w:rsid w:val="00667B62"/>
    <w:rsid w:val="00671533"/>
    <w:rsid w:val="006730CB"/>
    <w:rsid w:val="00674A3C"/>
    <w:rsid w:val="00675158"/>
    <w:rsid w:val="00675FA6"/>
    <w:rsid w:val="006827AF"/>
    <w:rsid w:val="00690C15"/>
    <w:rsid w:val="00691676"/>
    <w:rsid w:val="006934A4"/>
    <w:rsid w:val="00694319"/>
    <w:rsid w:val="00694524"/>
    <w:rsid w:val="006969DC"/>
    <w:rsid w:val="006A24F0"/>
    <w:rsid w:val="006A4C92"/>
    <w:rsid w:val="006A5A3E"/>
    <w:rsid w:val="006A7268"/>
    <w:rsid w:val="006B153B"/>
    <w:rsid w:val="006B3447"/>
    <w:rsid w:val="006B3FD4"/>
    <w:rsid w:val="006B517C"/>
    <w:rsid w:val="006C17C9"/>
    <w:rsid w:val="006C30BA"/>
    <w:rsid w:val="006D453E"/>
    <w:rsid w:val="006E6DA2"/>
    <w:rsid w:val="006E70BB"/>
    <w:rsid w:val="006F3876"/>
    <w:rsid w:val="006F5205"/>
    <w:rsid w:val="00705811"/>
    <w:rsid w:val="00707A33"/>
    <w:rsid w:val="007170F9"/>
    <w:rsid w:val="00720C29"/>
    <w:rsid w:val="00730A15"/>
    <w:rsid w:val="00731487"/>
    <w:rsid w:val="00733B5E"/>
    <w:rsid w:val="0073417A"/>
    <w:rsid w:val="00735255"/>
    <w:rsid w:val="007355DF"/>
    <w:rsid w:val="0073576C"/>
    <w:rsid w:val="0074052A"/>
    <w:rsid w:val="007428D6"/>
    <w:rsid w:val="0074337D"/>
    <w:rsid w:val="00743EF7"/>
    <w:rsid w:val="00745602"/>
    <w:rsid w:val="00746F4D"/>
    <w:rsid w:val="00747590"/>
    <w:rsid w:val="00747BA9"/>
    <w:rsid w:val="007519E9"/>
    <w:rsid w:val="00752795"/>
    <w:rsid w:val="007551D2"/>
    <w:rsid w:val="00755F8C"/>
    <w:rsid w:val="00760280"/>
    <w:rsid w:val="007665AC"/>
    <w:rsid w:val="007678A5"/>
    <w:rsid w:val="00767E55"/>
    <w:rsid w:val="00774632"/>
    <w:rsid w:val="00775899"/>
    <w:rsid w:val="00780453"/>
    <w:rsid w:val="0079089F"/>
    <w:rsid w:val="0079380E"/>
    <w:rsid w:val="007A4722"/>
    <w:rsid w:val="007B10F9"/>
    <w:rsid w:val="007B2DE7"/>
    <w:rsid w:val="007B4D4C"/>
    <w:rsid w:val="007C21CB"/>
    <w:rsid w:val="007C4A02"/>
    <w:rsid w:val="007C4E4F"/>
    <w:rsid w:val="007C560A"/>
    <w:rsid w:val="007D08A0"/>
    <w:rsid w:val="007D1671"/>
    <w:rsid w:val="007D413A"/>
    <w:rsid w:val="007D5CA9"/>
    <w:rsid w:val="007E4C2D"/>
    <w:rsid w:val="007E654F"/>
    <w:rsid w:val="007E69D1"/>
    <w:rsid w:val="007F4EF3"/>
    <w:rsid w:val="0080033F"/>
    <w:rsid w:val="008042B6"/>
    <w:rsid w:val="00805EFF"/>
    <w:rsid w:val="00811FA1"/>
    <w:rsid w:val="008121F9"/>
    <w:rsid w:val="00816217"/>
    <w:rsid w:val="0081636C"/>
    <w:rsid w:val="00817E09"/>
    <w:rsid w:val="008207DE"/>
    <w:rsid w:val="00821CFF"/>
    <w:rsid w:val="00823236"/>
    <w:rsid w:val="008234F6"/>
    <w:rsid w:val="00824E8C"/>
    <w:rsid w:val="00825C70"/>
    <w:rsid w:val="00825E5C"/>
    <w:rsid w:val="00831946"/>
    <w:rsid w:val="00837424"/>
    <w:rsid w:val="00841449"/>
    <w:rsid w:val="00841ADE"/>
    <w:rsid w:val="00841D80"/>
    <w:rsid w:val="00845503"/>
    <w:rsid w:val="00847D6A"/>
    <w:rsid w:val="00850404"/>
    <w:rsid w:val="00851FAD"/>
    <w:rsid w:val="008523C2"/>
    <w:rsid w:val="00852DDF"/>
    <w:rsid w:val="0085318E"/>
    <w:rsid w:val="00857C38"/>
    <w:rsid w:val="00861DD4"/>
    <w:rsid w:val="00863C66"/>
    <w:rsid w:val="00864BA1"/>
    <w:rsid w:val="00866DEF"/>
    <w:rsid w:val="00867766"/>
    <w:rsid w:val="008723D3"/>
    <w:rsid w:val="0087283C"/>
    <w:rsid w:val="00873898"/>
    <w:rsid w:val="008751B8"/>
    <w:rsid w:val="00880D26"/>
    <w:rsid w:val="00881307"/>
    <w:rsid w:val="0088186C"/>
    <w:rsid w:val="00882B42"/>
    <w:rsid w:val="00882F42"/>
    <w:rsid w:val="00883055"/>
    <w:rsid w:val="00883FE1"/>
    <w:rsid w:val="00884CA7"/>
    <w:rsid w:val="0088641E"/>
    <w:rsid w:val="00890C67"/>
    <w:rsid w:val="00894708"/>
    <w:rsid w:val="00897FD7"/>
    <w:rsid w:val="008A362A"/>
    <w:rsid w:val="008A418E"/>
    <w:rsid w:val="008A53A4"/>
    <w:rsid w:val="008B0264"/>
    <w:rsid w:val="008B11A1"/>
    <w:rsid w:val="008B2E2E"/>
    <w:rsid w:val="008B3DC1"/>
    <w:rsid w:val="008B581C"/>
    <w:rsid w:val="008C2411"/>
    <w:rsid w:val="008C33CC"/>
    <w:rsid w:val="008C6751"/>
    <w:rsid w:val="008C6B06"/>
    <w:rsid w:val="008D0079"/>
    <w:rsid w:val="008D3608"/>
    <w:rsid w:val="008D4C1C"/>
    <w:rsid w:val="008D7545"/>
    <w:rsid w:val="008D7F94"/>
    <w:rsid w:val="008E37BD"/>
    <w:rsid w:val="008E4562"/>
    <w:rsid w:val="008E6802"/>
    <w:rsid w:val="008F449A"/>
    <w:rsid w:val="008F5322"/>
    <w:rsid w:val="008F55F5"/>
    <w:rsid w:val="008F6351"/>
    <w:rsid w:val="008F6C24"/>
    <w:rsid w:val="009009B8"/>
    <w:rsid w:val="00914A72"/>
    <w:rsid w:val="00915234"/>
    <w:rsid w:val="00921622"/>
    <w:rsid w:val="00925F1C"/>
    <w:rsid w:val="00926560"/>
    <w:rsid w:val="0093035A"/>
    <w:rsid w:val="00931531"/>
    <w:rsid w:val="009320AA"/>
    <w:rsid w:val="00932594"/>
    <w:rsid w:val="009353F0"/>
    <w:rsid w:val="0093573B"/>
    <w:rsid w:val="009373EA"/>
    <w:rsid w:val="00946422"/>
    <w:rsid w:val="009466F7"/>
    <w:rsid w:val="00947D0F"/>
    <w:rsid w:val="00952C5B"/>
    <w:rsid w:val="0095464C"/>
    <w:rsid w:val="00955E79"/>
    <w:rsid w:val="00957027"/>
    <w:rsid w:val="00961741"/>
    <w:rsid w:val="0096664A"/>
    <w:rsid w:val="00972DB9"/>
    <w:rsid w:val="00975089"/>
    <w:rsid w:val="0097663E"/>
    <w:rsid w:val="00983C8D"/>
    <w:rsid w:val="009854B5"/>
    <w:rsid w:val="00991363"/>
    <w:rsid w:val="00994404"/>
    <w:rsid w:val="0099649A"/>
    <w:rsid w:val="009A0097"/>
    <w:rsid w:val="009A0A4D"/>
    <w:rsid w:val="009A1A60"/>
    <w:rsid w:val="009A4318"/>
    <w:rsid w:val="009A5016"/>
    <w:rsid w:val="009A7DD7"/>
    <w:rsid w:val="009B06B3"/>
    <w:rsid w:val="009B2781"/>
    <w:rsid w:val="009B64E6"/>
    <w:rsid w:val="009B7444"/>
    <w:rsid w:val="009C4673"/>
    <w:rsid w:val="009D1E03"/>
    <w:rsid w:val="009D61E3"/>
    <w:rsid w:val="009E0528"/>
    <w:rsid w:val="009E1DF7"/>
    <w:rsid w:val="009E4284"/>
    <w:rsid w:val="009E49C7"/>
    <w:rsid w:val="009E5C9A"/>
    <w:rsid w:val="009E5F15"/>
    <w:rsid w:val="009E64E1"/>
    <w:rsid w:val="009F09A9"/>
    <w:rsid w:val="009F1336"/>
    <w:rsid w:val="009F5948"/>
    <w:rsid w:val="009F75B4"/>
    <w:rsid w:val="00A005BB"/>
    <w:rsid w:val="00A01DF7"/>
    <w:rsid w:val="00A03398"/>
    <w:rsid w:val="00A06AE9"/>
    <w:rsid w:val="00A10869"/>
    <w:rsid w:val="00A113D9"/>
    <w:rsid w:val="00A15828"/>
    <w:rsid w:val="00A15DC1"/>
    <w:rsid w:val="00A25934"/>
    <w:rsid w:val="00A25E82"/>
    <w:rsid w:val="00A32AC3"/>
    <w:rsid w:val="00A32CFB"/>
    <w:rsid w:val="00A34E65"/>
    <w:rsid w:val="00A3547D"/>
    <w:rsid w:val="00A354BA"/>
    <w:rsid w:val="00A370AA"/>
    <w:rsid w:val="00A40E8A"/>
    <w:rsid w:val="00A42629"/>
    <w:rsid w:val="00A434CF"/>
    <w:rsid w:val="00A43AFF"/>
    <w:rsid w:val="00A43D41"/>
    <w:rsid w:val="00A44901"/>
    <w:rsid w:val="00A471D7"/>
    <w:rsid w:val="00A47386"/>
    <w:rsid w:val="00A50095"/>
    <w:rsid w:val="00A515E4"/>
    <w:rsid w:val="00A5170D"/>
    <w:rsid w:val="00A526B0"/>
    <w:rsid w:val="00A552BF"/>
    <w:rsid w:val="00A5555F"/>
    <w:rsid w:val="00A56408"/>
    <w:rsid w:val="00A6083E"/>
    <w:rsid w:val="00A613F3"/>
    <w:rsid w:val="00A6221E"/>
    <w:rsid w:val="00A63553"/>
    <w:rsid w:val="00A70350"/>
    <w:rsid w:val="00A734A9"/>
    <w:rsid w:val="00A74E9D"/>
    <w:rsid w:val="00A757C4"/>
    <w:rsid w:val="00A758FB"/>
    <w:rsid w:val="00A80F7D"/>
    <w:rsid w:val="00A83AC9"/>
    <w:rsid w:val="00A85C55"/>
    <w:rsid w:val="00A86721"/>
    <w:rsid w:val="00A94350"/>
    <w:rsid w:val="00AA34BE"/>
    <w:rsid w:val="00AA4628"/>
    <w:rsid w:val="00AA562B"/>
    <w:rsid w:val="00AA6F06"/>
    <w:rsid w:val="00AB1FAA"/>
    <w:rsid w:val="00AB2C68"/>
    <w:rsid w:val="00AB6005"/>
    <w:rsid w:val="00AB6B4E"/>
    <w:rsid w:val="00AC07E5"/>
    <w:rsid w:val="00AC2BA9"/>
    <w:rsid w:val="00AC6334"/>
    <w:rsid w:val="00AD035E"/>
    <w:rsid w:val="00AD2163"/>
    <w:rsid w:val="00AD4DDD"/>
    <w:rsid w:val="00AD4F43"/>
    <w:rsid w:val="00AD62E3"/>
    <w:rsid w:val="00AE0D28"/>
    <w:rsid w:val="00AE1A46"/>
    <w:rsid w:val="00AE39D4"/>
    <w:rsid w:val="00AE3F2E"/>
    <w:rsid w:val="00AE4432"/>
    <w:rsid w:val="00AE51B0"/>
    <w:rsid w:val="00AF0EEA"/>
    <w:rsid w:val="00AF1282"/>
    <w:rsid w:val="00AF15D7"/>
    <w:rsid w:val="00AF6037"/>
    <w:rsid w:val="00B0104F"/>
    <w:rsid w:val="00B0169E"/>
    <w:rsid w:val="00B01D65"/>
    <w:rsid w:val="00B0363F"/>
    <w:rsid w:val="00B0515F"/>
    <w:rsid w:val="00B05282"/>
    <w:rsid w:val="00B16A90"/>
    <w:rsid w:val="00B20A06"/>
    <w:rsid w:val="00B20FCC"/>
    <w:rsid w:val="00B21B04"/>
    <w:rsid w:val="00B2266D"/>
    <w:rsid w:val="00B30CF7"/>
    <w:rsid w:val="00B333BB"/>
    <w:rsid w:val="00B3454E"/>
    <w:rsid w:val="00B3628C"/>
    <w:rsid w:val="00B36A20"/>
    <w:rsid w:val="00B41715"/>
    <w:rsid w:val="00B42DBE"/>
    <w:rsid w:val="00B46DA7"/>
    <w:rsid w:val="00B474B6"/>
    <w:rsid w:val="00B50939"/>
    <w:rsid w:val="00B52143"/>
    <w:rsid w:val="00B611AA"/>
    <w:rsid w:val="00B62537"/>
    <w:rsid w:val="00B64A63"/>
    <w:rsid w:val="00B64BF6"/>
    <w:rsid w:val="00B67189"/>
    <w:rsid w:val="00B72E5E"/>
    <w:rsid w:val="00B7305B"/>
    <w:rsid w:val="00B741BE"/>
    <w:rsid w:val="00B75E06"/>
    <w:rsid w:val="00B85DE2"/>
    <w:rsid w:val="00B865A5"/>
    <w:rsid w:val="00B90E2B"/>
    <w:rsid w:val="00B946C1"/>
    <w:rsid w:val="00BA0669"/>
    <w:rsid w:val="00BA2134"/>
    <w:rsid w:val="00BA2617"/>
    <w:rsid w:val="00BA354A"/>
    <w:rsid w:val="00BA4D70"/>
    <w:rsid w:val="00BA6C6D"/>
    <w:rsid w:val="00BA6F52"/>
    <w:rsid w:val="00BA726F"/>
    <w:rsid w:val="00BB0EEB"/>
    <w:rsid w:val="00BB4A6C"/>
    <w:rsid w:val="00BB5896"/>
    <w:rsid w:val="00BB5E08"/>
    <w:rsid w:val="00BB63F0"/>
    <w:rsid w:val="00BB7742"/>
    <w:rsid w:val="00BC2122"/>
    <w:rsid w:val="00BC2AB1"/>
    <w:rsid w:val="00BC7A13"/>
    <w:rsid w:val="00BD07D4"/>
    <w:rsid w:val="00BD256A"/>
    <w:rsid w:val="00BD6844"/>
    <w:rsid w:val="00BE1A3D"/>
    <w:rsid w:val="00BE3A57"/>
    <w:rsid w:val="00BE4E01"/>
    <w:rsid w:val="00BF1F88"/>
    <w:rsid w:val="00BF334C"/>
    <w:rsid w:val="00BF3A15"/>
    <w:rsid w:val="00BF40F1"/>
    <w:rsid w:val="00BF4759"/>
    <w:rsid w:val="00BF6905"/>
    <w:rsid w:val="00C02495"/>
    <w:rsid w:val="00C03B13"/>
    <w:rsid w:val="00C03F15"/>
    <w:rsid w:val="00C051D4"/>
    <w:rsid w:val="00C0666F"/>
    <w:rsid w:val="00C079C8"/>
    <w:rsid w:val="00C1057F"/>
    <w:rsid w:val="00C123DC"/>
    <w:rsid w:val="00C12426"/>
    <w:rsid w:val="00C14930"/>
    <w:rsid w:val="00C150D6"/>
    <w:rsid w:val="00C160F6"/>
    <w:rsid w:val="00C174B5"/>
    <w:rsid w:val="00C23619"/>
    <w:rsid w:val="00C246EC"/>
    <w:rsid w:val="00C271DF"/>
    <w:rsid w:val="00C30735"/>
    <w:rsid w:val="00C32ABE"/>
    <w:rsid w:val="00C36FA8"/>
    <w:rsid w:val="00C40A02"/>
    <w:rsid w:val="00C4264F"/>
    <w:rsid w:val="00C450C8"/>
    <w:rsid w:val="00C455F3"/>
    <w:rsid w:val="00C46C3C"/>
    <w:rsid w:val="00C4752D"/>
    <w:rsid w:val="00C50F55"/>
    <w:rsid w:val="00C5160C"/>
    <w:rsid w:val="00C53355"/>
    <w:rsid w:val="00C54F37"/>
    <w:rsid w:val="00C56E2E"/>
    <w:rsid w:val="00C6179C"/>
    <w:rsid w:val="00C62842"/>
    <w:rsid w:val="00C65366"/>
    <w:rsid w:val="00C74DED"/>
    <w:rsid w:val="00C8048D"/>
    <w:rsid w:val="00C817DD"/>
    <w:rsid w:val="00C82FB3"/>
    <w:rsid w:val="00C84FF0"/>
    <w:rsid w:val="00C85CF6"/>
    <w:rsid w:val="00C85E5B"/>
    <w:rsid w:val="00C87626"/>
    <w:rsid w:val="00C87AF3"/>
    <w:rsid w:val="00C9215E"/>
    <w:rsid w:val="00C936BA"/>
    <w:rsid w:val="00C95774"/>
    <w:rsid w:val="00CA04AD"/>
    <w:rsid w:val="00CA0F93"/>
    <w:rsid w:val="00CA36C1"/>
    <w:rsid w:val="00CA6D93"/>
    <w:rsid w:val="00CA741F"/>
    <w:rsid w:val="00CA7E7D"/>
    <w:rsid w:val="00CA7E8D"/>
    <w:rsid w:val="00CB036C"/>
    <w:rsid w:val="00CB13C0"/>
    <w:rsid w:val="00CB63A7"/>
    <w:rsid w:val="00CB76AF"/>
    <w:rsid w:val="00CC27D4"/>
    <w:rsid w:val="00CC2898"/>
    <w:rsid w:val="00CC28FF"/>
    <w:rsid w:val="00CC2E2D"/>
    <w:rsid w:val="00CC40A4"/>
    <w:rsid w:val="00CC5949"/>
    <w:rsid w:val="00CC5C1A"/>
    <w:rsid w:val="00CD1D69"/>
    <w:rsid w:val="00CD2FE0"/>
    <w:rsid w:val="00CD343D"/>
    <w:rsid w:val="00CD57A4"/>
    <w:rsid w:val="00CD7285"/>
    <w:rsid w:val="00CE60D2"/>
    <w:rsid w:val="00CF220B"/>
    <w:rsid w:val="00CF4014"/>
    <w:rsid w:val="00D00925"/>
    <w:rsid w:val="00D03363"/>
    <w:rsid w:val="00D0610E"/>
    <w:rsid w:val="00D117BF"/>
    <w:rsid w:val="00D122FD"/>
    <w:rsid w:val="00D13812"/>
    <w:rsid w:val="00D160C2"/>
    <w:rsid w:val="00D16DB7"/>
    <w:rsid w:val="00D20F42"/>
    <w:rsid w:val="00D216D6"/>
    <w:rsid w:val="00D2317A"/>
    <w:rsid w:val="00D24241"/>
    <w:rsid w:val="00D24637"/>
    <w:rsid w:val="00D24DA6"/>
    <w:rsid w:val="00D3328D"/>
    <w:rsid w:val="00D34980"/>
    <w:rsid w:val="00D3781A"/>
    <w:rsid w:val="00D41A53"/>
    <w:rsid w:val="00D43EDA"/>
    <w:rsid w:val="00D45BBD"/>
    <w:rsid w:val="00D468EB"/>
    <w:rsid w:val="00D46DD1"/>
    <w:rsid w:val="00D50CFF"/>
    <w:rsid w:val="00D52017"/>
    <w:rsid w:val="00D5207E"/>
    <w:rsid w:val="00D53F70"/>
    <w:rsid w:val="00D554B0"/>
    <w:rsid w:val="00D56A53"/>
    <w:rsid w:val="00D56A8E"/>
    <w:rsid w:val="00D607F2"/>
    <w:rsid w:val="00D6211D"/>
    <w:rsid w:val="00D666EA"/>
    <w:rsid w:val="00D708E9"/>
    <w:rsid w:val="00D70996"/>
    <w:rsid w:val="00D7131D"/>
    <w:rsid w:val="00D71637"/>
    <w:rsid w:val="00D72773"/>
    <w:rsid w:val="00D7460D"/>
    <w:rsid w:val="00D81029"/>
    <w:rsid w:val="00D826FF"/>
    <w:rsid w:val="00D92F9B"/>
    <w:rsid w:val="00D97C35"/>
    <w:rsid w:val="00DA0BB3"/>
    <w:rsid w:val="00DA0CA2"/>
    <w:rsid w:val="00DA0CF2"/>
    <w:rsid w:val="00DA165A"/>
    <w:rsid w:val="00DA3223"/>
    <w:rsid w:val="00DA5D27"/>
    <w:rsid w:val="00DA5D99"/>
    <w:rsid w:val="00DA684F"/>
    <w:rsid w:val="00DA711E"/>
    <w:rsid w:val="00DA79F5"/>
    <w:rsid w:val="00DB026B"/>
    <w:rsid w:val="00DB0D9F"/>
    <w:rsid w:val="00DB2942"/>
    <w:rsid w:val="00DB3557"/>
    <w:rsid w:val="00DB416A"/>
    <w:rsid w:val="00DB71C2"/>
    <w:rsid w:val="00DD1B58"/>
    <w:rsid w:val="00DD4C39"/>
    <w:rsid w:val="00DD69CC"/>
    <w:rsid w:val="00DD72FD"/>
    <w:rsid w:val="00DE2507"/>
    <w:rsid w:val="00DE7887"/>
    <w:rsid w:val="00DF0742"/>
    <w:rsid w:val="00DF09DD"/>
    <w:rsid w:val="00DF3AE4"/>
    <w:rsid w:val="00DF58AA"/>
    <w:rsid w:val="00DF7A00"/>
    <w:rsid w:val="00E00018"/>
    <w:rsid w:val="00E0084B"/>
    <w:rsid w:val="00E019ED"/>
    <w:rsid w:val="00E02C6F"/>
    <w:rsid w:val="00E04270"/>
    <w:rsid w:val="00E10259"/>
    <w:rsid w:val="00E10716"/>
    <w:rsid w:val="00E1141E"/>
    <w:rsid w:val="00E12CFE"/>
    <w:rsid w:val="00E13A24"/>
    <w:rsid w:val="00E15BBC"/>
    <w:rsid w:val="00E16E70"/>
    <w:rsid w:val="00E175E6"/>
    <w:rsid w:val="00E207E9"/>
    <w:rsid w:val="00E2165E"/>
    <w:rsid w:val="00E219BD"/>
    <w:rsid w:val="00E234E9"/>
    <w:rsid w:val="00E259C9"/>
    <w:rsid w:val="00E305FB"/>
    <w:rsid w:val="00E3707C"/>
    <w:rsid w:val="00E403BF"/>
    <w:rsid w:val="00E40BBC"/>
    <w:rsid w:val="00E43856"/>
    <w:rsid w:val="00E4458D"/>
    <w:rsid w:val="00E445A6"/>
    <w:rsid w:val="00E45CF8"/>
    <w:rsid w:val="00E466CC"/>
    <w:rsid w:val="00E556A9"/>
    <w:rsid w:val="00E649BF"/>
    <w:rsid w:val="00E65734"/>
    <w:rsid w:val="00E66132"/>
    <w:rsid w:val="00E67B15"/>
    <w:rsid w:val="00E72A84"/>
    <w:rsid w:val="00E73E48"/>
    <w:rsid w:val="00E751D2"/>
    <w:rsid w:val="00E759B6"/>
    <w:rsid w:val="00E8269D"/>
    <w:rsid w:val="00E82ABA"/>
    <w:rsid w:val="00E90614"/>
    <w:rsid w:val="00E910E1"/>
    <w:rsid w:val="00E93966"/>
    <w:rsid w:val="00E93C0E"/>
    <w:rsid w:val="00EA3339"/>
    <w:rsid w:val="00EA518D"/>
    <w:rsid w:val="00EB0B5F"/>
    <w:rsid w:val="00EB3412"/>
    <w:rsid w:val="00EB6DE3"/>
    <w:rsid w:val="00EC3076"/>
    <w:rsid w:val="00EC5A9B"/>
    <w:rsid w:val="00EC6595"/>
    <w:rsid w:val="00ED0451"/>
    <w:rsid w:val="00ED3CAD"/>
    <w:rsid w:val="00ED452C"/>
    <w:rsid w:val="00ED4685"/>
    <w:rsid w:val="00EE1783"/>
    <w:rsid w:val="00EE2441"/>
    <w:rsid w:val="00EE4C65"/>
    <w:rsid w:val="00EE697E"/>
    <w:rsid w:val="00EF0D17"/>
    <w:rsid w:val="00EF1148"/>
    <w:rsid w:val="00EF24E1"/>
    <w:rsid w:val="00EF3D7B"/>
    <w:rsid w:val="00EF5A6F"/>
    <w:rsid w:val="00EF63C5"/>
    <w:rsid w:val="00EF7B6B"/>
    <w:rsid w:val="00F02E39"/>
    <w:rsid w:val="00F03E94"/>
    <w:rsid w:val="00F05E0F"/>
    <w:rsid w:val="00F075E4"/>
    <w:rsid w:val="00F149CE"/>
    <w:rsid w:val="00F158B3"/>
    <w:rsid w:val="00F17E4A"/>
    <w:rsid w:val="00F25884"/>
    <w:rsid w:val="00F30F1E"/>
    <w:rsid w:val="00F32FEA"/>
    <w:rsid w:val="00F41267"/>
    <w:rsid w:val="00F451A1"/>
    <w:rsid w:val="00F51A67"/>
    <w:rsid w:val="00F52D64"/>
    <w:rsid w:val="00F5712F"/>
    <w:rsid w:val="00F60A2E"/>
    <w:rsid w:val="00F630A8"/>
    <w:rsid w:val="00F63359"/>
    <w:rsid w:val="00F63CFC"/>
    <w:rsid w:val="00F65622"/>
    <w:rsid w:val="00F666BA"/>
    <w:rsid w:val="00F67119"/>
    <w:rsid w:val="00F70A82"/>
    <w:rsid w:val="00F71A6C"/>
    <w:rsid w:val="00F72369"/>
    <w:rsid w:val="00F723EC"/>
    <w:rsid w:val="00F749AD"/>
    <w:rsid w:val="00F75AA3"/>
    <w:rsid w:val="00F77217"/>
    <w:rsid w:val="00F7751B"/>
    <w:rsid w:val="00F800F1"/>
    <w:rsid w:val="00F81087"/>
    <w:rsid w:val="00F823E5"/>
    <w:rsid w:val="00F82C2F"/>
    <w:rsid w:val="00F83848"/>
    <w:rsid w:val="00F84A3A"/>
    <w:rsid w:val="00F85802"/>
    <w:rsid w:val="00F90DBC"/>
    <w:rsid w:val="00F9353B"/>
    <w:rsid w:val="00F95928"/>
    <w:rsid w:val="00FA0F38"/>
    <w:rsid w:val="00FA4FA0"/>
    <w:rsid w:val="00FA670F"/>
    <w:rsid w:val="00FA70AE"/>
    <w:rsid w:val="00FB0A22"/>
    <w:rsid w:val="00FB1744"/>
    <w:rsid w:val="00FB18CC"/>
    <w:rsid w:val="00FB6884"/>
    <w:rsid w:val="00FC1132"/>
    <w:rsid w:val="00FC1865"/>
    <w:rsid w:val="00FC1C55"/>
    <w:rsid w:val="00FC256E"/>
    <w:rsid w:val="00FC54AD"/>
    <w:rsid w:val="00FD1972"/>
    <w:rsid w:val="00FD1D26"/>
    <w:rsid w:val="00FD3601"/>
    <w:rsid w:val="00FD5025"/>
    <w:rsid w:val="00FD6700"/>
    <w:rsid w:val="00FD67D9"/>
    <w:rsid w:val="00FD6E5E"/>
    <w:rsid w:val="00FD7F2B"/>
    <w:rsid w:val="00FE1B78"/>
    <w:rsid w:val="00FE25D8"/>
    <w:rsid w:val="00FE6403"/>
    <w:rsid w:val="00FE69D0"/>
    <w:rsid w:val="00FE7751"/>
    <w:rsid w:val="00FF0A40"/>
    <w:rsid w:val="00FF3137"/>
    <w:rsid w:val="00FF45E0"/>
    <w:rsid w:val="00FF5D7E"/>
    <w:rsid w:val="00FF66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48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F9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4C39"/>
    <w:pPr>
      <w:ind w:left="720"/>
    </w:pPr>
    <w:rPr>
      <w:rFonts w:ascii="Calibri" w:eastAsiaTheme="minorHAnsi" w:hAnsi="Calibri" w:cs="Calibri"/>
      <w:sz w:val="22"/>
      <w:szCs w:val="22"/>
      <w:lang w:eastAsia="es-ES"/>
    </w:rPr>
  </w:style>
  <w:style w:type="paragraph" w:customStyle="1" w:styleId="Normal1">
    <w:name w:val="Normal1"/>
    <w:link w:val="normalChar"/>
    <w:qFormat/>
    <w:rsid w:val="00DD4C39"/>
    <w:pPr>
      <w:widowControl w:val="0"/>
      <w:suppressAutoHyphens/>
      <w:spacing w:after="0" w:line="240" w:lineRule="auto"/>
      <w:textAlignment w:val="baseline"/>
    </w:pPr>
    <w:rPr>
      <w:rFonts w:ascii="Courier" w:eastAsia="SimSun" w:hAnsi="Courier" w:cs="Courier"/>
      <w:sz w:val="24"/>
      <w:szCs w:val="24"/>
      <w:lang w:eastAsia="zh-CN"/>
    </w:rPr>
  </w:style>
  <w:style w:type="character" w:customStyle="1" w:styleId="normalChar">
    <w:name w:val="normal Char"/>
    <w:basedOn w:val="DefaultParagraphFont"/>
    <w:link w:val="Normal1"/>
    <w:rsid w:val="00DD4C39"/>
    <w:rPr>
      <w:rFonts w:ascii="Courier" w:eastAsia="SimSun" w:hAnsi="Courier" w:cs="Courier"/>
      <w:sz w:val="24"/>
      <w:szCs w:val="24"/>
      <w:lang w:eastAsia="zh-CN"/>
    </w:rPr>
  </w:style>
  <w:style w:type="paragraph" w:styleId="BodyText">
    <w:name w:val="Body Text"/>
    <w:basedOn w:val="Normal"/>
    <w:link w:val="BodyTextChar"/>
    <w:rsid w:val="00DD4C39"/>
    <w:pPr>
      <w:jc w:val="center"/>
    </w:pPr>
    <w:rPr>
      <w:b/>
      <w:bCs/>
      <w:lang w:eastAsia="es-ES"/>
    </w:rPr>
  </w:style>
  <w:style w:type="character" w:customStyle="1" w:styleId="BodyTextChar">
    <w:name w:val="Body Text Char"/>
    <w:basedOn w:val="DefaultParagraphFont"/>
    <w:link w:val="BodyText"/>
    <w:rsid w:val="00DD4C39"/>
    <w:rPr>
      <w:rFonts w:ascii="Times New Roman" w:eastAsia="Times New Roman" w:hAnsi="Times New Roman" w:cs="Times New Roman"/>
      <w:b/>
      <w:bCs/>
      <w:sz w:val="24"/>
      <w:szCs w:val="24"/>
      <w:lang w:val="es-ES" w:eastAsia="es-ES"/>
    </w:rPr>
  </w:style>
  <w:style w:type="character" w:styleId="Hyperlink">
    <w:name w:val="Hyperlink"/>
    <w:basedOn w:val="DefaultParagraphFont"/>
    <w:uiPriority w:val="99"/>
    <w:unhideWhenUsed/>
    <w:qFormat/>
    <w:rsid w:val="00DD4C39"/>
    <w:rPr>
      <w:color w:val="0563C1" w:themeColor="hyperlink"/>
      <w:u w:val="single"/>
    </w:rPr>
  </w:style>
  <w:style w:type="paragraph" w:styleId="FootnoteText">
    <w:name w:val="footnote text"/>
    <w:basedOn w:val="Normal"/>
    <w:link w:val="FootnoteTextChar"/>
    <w:semiHidden/>
    <w:unhideWhenUsed/>
    <w:rsid w:val="00DD4C39"/>
    <w:rPr>
      <w:sz w:val="20"/>
      <w:szCs w:val="20"/>
    </w:rPr>
  </w:style>
  <w:style w:type="character" w:customStyle="1" w:styleId="FootnoteTextChar">
    <w:name w:val="Footnote Text Char"/>
    <w:basedOn w:val="DefaultParagraphFont"/>
    <w:link w:val="FootnoteText"/>
    <w:semiHidden/>
    <w:rsid w:val="00DD4C39"/>
    <w:rPr>
      <w:rFonts w:ascii="Times New Roman" w:eastAsia="Times New Roman" w:hAnsi="Times New Roman" w:cs="Times New Roman"/>
      <w:sz w:val="20"/>
      <w:szCs w:val="20"/>
      <w:lang w:val="es-ES"/>
    </w:rPr>
  </w:style>
  <w:style w:type="character" w:styleId="FootnoteReference">
    <w:name w:val="footnote reference"/>
    <w:basedOn w:val="DefaultParagraphFont"/>
    <w:uiPriority w:val="99"/>
    <w:unhideWhenUsed/>
    <w:rsid w:val="00DD4C39"/>
    <w:rPr>
      <w:vertAlign w:val="superscript"/>
    </w:rPr>
  </w:style>
  <w:style w:type="character" w:styleId="CommentReference">
    <w:name w:val="annotation reference"/>
    <w:basedOn w:val="DefaultParagraphFont"/>
    <w:uiPriority w:val="99"/>
    <w:unhideWhenUsed/>
    <w:qFormat/>
    <w:rsid w:val="00FC1C55"/>
    <w:rPr>
      <w:sz w:val="16"/>
      <w:szCs w:val="16"/>
    </w:rPr>
  </w:style>
  <w:style w:type="paragraph" w:styleId="CommentText">
    <w:name w:val="annotation text"/>
    <w:basedOn w:val="Normal"/>
    <w:link w:val="CommentTextChar"/>
    <w:uiPriority w:val="99"/>
    <w:unhideWhenUsed/>
    <w:qFormat/>
    <w:rsid w:val="00FC1C55"/>
    <w:rPr>
      <w:sz w:val="20"/>
      <w:szCs w:val="20"/>
    </w:rPr>
  </w:style>
  <w:style w:type="character" w:customStyle="1" w:styleId="CommentTextChar">
    <w:name w:val="Comment Text Char"/>
    <w:basedOn w:val="DefaultParagraphFont"/>
    <w:link w:val="CommentText"/>
    <w:uiPriority w:val="99"/>
    <w:rsid w:val="00FC1C55"/>
    <w:rPr>
      <w:rFonts w:ascii="Times New Roman" w:eastAsia="Times New Roman" w:hAnsi="Times New Roman" w:cs="Times New Roman"/>
      <w:sz w:val="20"/>
      <w:szCs w:val="20"/>
      <w:lang w:val="es-ES"/>
    </w:rPr>
  </w:style>
  <w:style w:type="paragraph" w:styleId="CommentSubject">
    <w:name w:val="annotation subject"/>
    <w:basedOn w:val="CommentText"/>
    <w:next w:val="CommentText"/>
    <w:link w:val="CommentSubjectChar"/>
    <w:uiPriority w:val="99"/>
    <w:semiHidden/>
    <w:unhideWhenUsed/>
    <w:rsid w:val="00FC1C55"/>
    <w:rPr>
      <w:b/>
      <w:bCs/>
    </w:rPr>
  </w:style>
  <w:style w:type="character" w:customStyle="1" w:styleId="CommentSubjectChar">
    <w:name w:val="Comment Subject Char"/>
    <w:basedOn w:val="CommentTextChar"/>
    <w:link w:val="CommentSubject"/>
    <w:uiPriority w:val="99"/>
    <w:semiHidden/>
    <w:rsid w:val="00FC1C55"/>
    <w:rPr>
      <w:rFonts w:ascii="Times New Roman" w:eastAsia="Times New Roman" w:hAnsi="Times New Roman" w:cs="Times New Roman"/>
      <w:b/>
      <w:bCs/>
      <w:sz w:val="20"/>
      <w:szCs w:val="20"/>
      <w:lang w:val="es-ES"/>
    </w:rPr>
  </w:style>
  <w:style w:type="paragraph" w:styleId="Revision">
    <w:name w:val="Revision"/>
    <w:hidden/>
    <w:uiPriority w:val="99"/>
    <w:semiHidden/>
    <w:rsid w:val="00CF220B"/>
    <w:pPr>
      <w:spacing w:after="0" w:line="240" w:lineRule="auto"/>
    </w:pPr>
    <w:rPr>
      <w:rFonts w:ascii="Times New Roman" w:eastAsia="Times New Roman" w:hAnsi="Times New Roman" w:cs="Times New Roman"/>
      <w:sz w:val="24"/>
      <w:szCs w:val="24"/>
    </w:rPr>
  </w:style>
  <w:style w:type="paragraph" w:customStyle="1" w:styleId="Default">
    <w:name w:val="Default"/>
    <w:link w:val="DefaultChar"/>
    <w:qFormat/>
    <w:rsid w:val="00043A65"/>
    <w:pPr>
      <w:autoSpaceDE w:val="0"/>
      <w:autoSpaceDN w:val="0"/>
      <w:adjustRightInd w:val="0"/>
      <w:spacing w:after="0" w:line="240" w:lineRule="auto"/>
    </w:pPr>
    <w:rPr>
      <w:rFonts w:ascii="Cambria" w:hAnsi="Cambria" w:cs="Cambria"/>
      <w:color w:val="000000"/>
      <w:sz w:val="24"/>
      <w:szCs w:val="24"/>
    </w:rPr>
  </w:style>
  <w:style w:type="character" w:customStyle="1" w:styleId="cf01">
    <w:name w:val="cf01"/>
    <w:basedOn w:val="DefaultParagraphFont"/>
    <w:rsid w:val="00506617"/>
    <w:rPr>
      <w:rFonts w:ascii="Segoe UI" w:hAnsi="Segoe UI" w:cs="Segoe UI" w:hint="default"/>
      <w:b/>
      <w:bCs/>
      <w:sz w:val="18"/>
      <w:szCs w:val="18"/>
    </w:rPr>
  </w:style>
  <w:style w:type="character" w:styleId="FollowedHyperlink">
    <w:name w:val="FollowedHyperlink"/>
    <w:basedOn w:val="DefaultParagraphFont"/>
    <w:uiPriority w:val="99"/>
    <w:semiHidden/>
    <w:unhideWhenUsed/>
    <w:rsid w:val="00E234E9"/>
    <w:rPr>
      <w:color w:val="954F72" w:themeColor="followedHyperlink"/>
      <w:u w:val="single"/>
    </w:rPr>
  </w:style>
  <w:style w:type="paragraph" w:customStyle="1" w:styleId="msonormal0">
    <w:name w:val="msonormal"/>
    <w:basedOn w:val="Normal"/>
    <w:rsid w:val="004F39B9"/>
    <w:pPr>
      <w:spacing w:before="100" w:beforeAutospacing="1" w:after="100" w:afterAutospacing="1"/>
    </w:pPr>
    <w:rPr>
      <w:lang w:val="en-US"/>
    </w:rPr>
  </w:style>
  <w:style w:type="paragraph" w:customStyle="1" w:styleId="paragraph">
    <w:name w:val="paragraph"/>
    <w:basedOn w:val="Normal"/>
    <w:rsid w:val="004F39B9"/>
    <w:pPr>
      <w:spacing w:before="100" w:beforeAutospacing="1" w:after="100" w:afterAutospacing="1"/>
    </w:pPr>
    <w:rPr>
      <w:lang w:val="en-US"/>
    </w:rPr>
  </w:style>
  <w:style w:type="character" w:customStyle="1" w:styleId="textrun">
    <w:name w:val="textrun"/>
    <w:basedOn w:val="DefaultParagraphFont"/>
    <w:rsid w:val="004F39B9"/>
  </w:style>
  <w:style w:type="character" w:customStyle="1" w:styleId="normaltextrun">
    <w:name w:val="normaltextrun"/>
    <w:basedOn w:val="DefaultParagraphFont"/>
    <w:rsid w:val="004F39B9"/>
  </w:style>
  <w:style w:type="character" w:customStyle="1" w:styleId="eop">
    <w:name w:val="eop"/>
    <w:basedOn w:val="DefaultParagraphFont"/>
    <w:rsid w:val="004F39B9"/>
  </w:style>
  <w:style w:type="paragraph" w:customStyle="1" w:styleId="outlineelement">
    <w:name w:val="outlineelement"/>
    <w:basedOn w:val="Normal"/>
    <w:rsid w:val="004F39B9"/>
    <w:pPr>
      <w:spacing w:before="100" w:beforeAutospacing="1" w:after="100" w:afterAutospacing="1"/>
    </w:pPr>
    <w:rPr>
      <w:lang w:val="en-US"/>
    </w:rPr>
  </w:style>
  <w:style w:type="character" w:customStyle="1" w:styleId="tabrun">
    <w:name w:val="tabrun"/>
    <w:basedOn w:val="DefaultParagraphFont"/>
    <w:rsid w:val="004F39B9"/>
  </w:style>
  <w:style w:type="character" w:customStyle="1" w:styleId="tabchar">
    <w:name w:val="tabchar"/>
    <w:basedOn w:val="DefaultParagraphFont"/>
    <w:rsid w:val="004F39B9"/>
  </w:style>
  <w:style w:type="character" w:customStyle="1" w:styleId="tableaderchars">
    <w:name w:val="tableaderchars"/>
    <w:basedOn w:val="DefaultParagraphFont"/>
    <w:rsid w:val="004F39B9"/>
  </w:style>
  <w:style w:type="character" w:customStyle="1" w:styleId="pagebreakblob">
    <w:name w:val="pagebreakblob"/>
    <w:basedOn w:val="DefaultParagraphFont"/>
    <w:rsid w:val="004F39B9"/>
  </w:style>
  <w:style w:type="character" w:customStyle="1" w:styleId="pagebreakborderspan">
    <w:name w:val="pagebreakborderspan"/>
    <w:basedOn w:val="DefaultParagraphFont"/>
    <w:rsid w:val="004F39B9"/>
  </w:style>
  <w:style w:type="character" w:customStyle="1" w:styleId="pagebreaktextspan">
    <w:name w:val="pagebreaktextspan"/>
    <w:basedOn w:val="DefaultParagraphFont"/>
    <w:rsid w:val="004F39B9"/>
  </w:style>
  <w:style w:type="character" w:customStyle="1" w:styleId="linebreakblob">
    <w:name w:val="linebreakblob"/>
    <w:basedOn w:val="DefaultParagraphFont"/>
    <w:rsid w:val="004F39B9"/>
  </w:style>
  <w:style w:type="character" w:customStyle="1" w:styleId="scxw138215210">
    <w:name w:val="scxw138215210"/>
    <w:basedOn w:val="DefaultParagraphFont"/>
    <w:rsid w:val="004F39B9"/>
  </w:style>
  <w:style w:type="paragraph" w:styleId="Header">
    <w:name w:val="header"/>
    <w:basedOn w:val="Normal"/>
    <w:link w:val="HeaderChar"/>
    <w:uiPriority w:val="99"/>
    <w:unhideWhenUsed/>
    <w:rsid w:val="004F39B9"/>
    <w:pPr>
      <w:tabs>
        <w:tab w:val="center" w:pos="4680"/>
        <w:tab w:val="right" w:pos="9360"/>
      </w:tabs>
    </w:pPr>
  </w:style>
  <w:style w:type="character" w:customStyle="1" w:styleId="HeaderChar">
    <w:name w:val="Header Char"/>
    <w:basedOn w:val="DefaultParagraphFont"/>
    <w:link w:val="Header"/>
    <w:uiPriority w:val="99"/>
    <w:qFormat/>
    <w:rsid w:val="004F39B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F39B9"/>
    <w:pPr>
      <w:tabs>
        <w:tab w:val="center" w:pos="4680"/>
        <w:tab w:val="right" w:pos="9360"/>
      </w:tabs>
    </w:pPr>
  </w:style>
  <w:style w:type="character" w:customStyle="1" w:styleId="FooterChar">
    <w:name w:val="Footer Char"/>
    <w:basedOn w:val="DefaultParagraphFont"/>
    <w:link w:val="Footer"/>
    <w:uiPriority w:val="99"/>
    <w:qFormat/>
    <w:rsid w:val="004F39B9"/>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0A2BB3"/>
    <w:rPr>
      <w:color w:val="605E5C"/>
      <w:shd w:val="clear" w:color="auto" w:fill="E1DFDD"/>
    </w:rPr>
  </w:style>
  <w:style w:type="character" w:customStyle="1" w:styleId="DefaultChar">
    <w:name w:val="Default Char"/>
    <w:basedOn w:val="DefaultParagraphFont"/>
    <w:link w:val="Default"/>
    <w:locked/>
    <w:rsid w:val="00743EF7"/>
    <w:rPr>
      <w:rFonts w:ascii="Cambria" w:hAnsi="Cambria" w:cs="Cambria"/>
      <w:color w:val="000000"/>
      <w:sz w:val="24"/>
      <w:szCs w:val="24"/>
    </w:rPr>
  </w:style>
  <w:style w:type="character" w:customStyle="1" w:styleId="CommentReference1">
    <w:name w:val="Comment Reference1"/>
    <w:basedOn w:val="DefaultParagraphFont"/>
    <w:uiPriority w:val="99"/>
    <w:semiHidden/>
    <w:unhideWhenUsed/>
    <w:rsid w:val="00F8108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6941">
      <w:bodyDiv w:val="1"/>
      <w:marLeft w:val="0"/>
      <w:marRight w:val="0"/>
      <w:marTop w:val="0"/>
      <w:marBottom w:val="0"/>
      <w:divBdr>
        <w:top w:val="none" w:sz="0" w:space="0" w:color="auto"/>
        <w:left w:val="none" w:sz="0" w:space="0" w:color="auto"/>
        <w:bottom w:val="none" w:sz="0" w:space="0" w:color="auto"/>
        <w:right w:val="none" w:sz="0" w:space="0" w:color="auto"/>
      </w:divBdr>
    </w:div>
    <w:div w:id="103812293">
      <w:bodyDiv w:val="1"/>
      <w:marLeft w:val="0"/>
      <w:marRight w:val="0"/>
      <w:marTop w:val="0"/>
      <w:marBottom w:val="0"/>
      <w:divBdr>
        <w:top w:val="none" w:sz="0" w:space="0" w:color="auto"/>
        <w:left w:val="none" w:sz="0" w:space="0" w:color="auto"/>
        <w:bottom w:val="none" w:sz="0" w:space="0" w:color="auto"/>
        <w:right w:val="none" w:sz="0" w:space="0" w:color="auto"/>
      </w:divBdr>
    </w:div>
    <w:div w:id="105003840">
      <w:bodyDiv w:val="1"/>
      <w:marLeft w:val="0"/>
      <w:marRight w:val="0"/>
      <w:marTop w:val="0"/>
      <w:marBottom w:val="0"/>
      <w:divBdr>
        <w:top w:val="none" w:sz="0" w:space="0" w:color="auto"/>
        <w:left w:val="none" w:sz="0" w:space="0" w:color="auto"/>
        <w:bottom w:val="none" w:sz="0" w:space="0" w:color="auto"/>
        <w:right w:val="none" w:sz="0" w:space="0" w:color="auto"/>
      </w:divBdr>
    </w:div>
    <w:div w:id="220295132">
      <w:bodyDiv w:val="1"/>
      <w:marLeft w:val="0"/>
      <w:marRight w:val="0"/>
      <w:marTop w:val="0"/>
      <w:marBottom w:val="0"/>
      <w:divBdr>
        <w:top w:val="none" w:sz="0" w:space="0" w:color="auto"/>
        <w:left w:val="none" w:sz="0" w:space="0" w:color="auto"/>
        <w:bottom w:val="none" w:sz="0" w:space="0" w:color="auto"/>
        <w:right w:val="none" w:sz="0" w:space="0" w:color="auto"/>
      </w:divBdr>
    </w:div>
    <w:div w:id="297689912">
      <w:bodyDiv w:val="1"/>
      <w:marLeft w:val="0"/>
      <w:marRight w:val="0"/>
      <w:marTop w:val="0"/>
      <w:marBottom w:val="0"/>
      <w:divBdr>
        <w:top w:val="none" w:sz="0" w:space="0" w:color="auto"/>
        <w:left w:val="none" w:sz="0" w:space="0" w:color="auto"/>
        <w:bottom w:val="none" w:sz="0" w:space="0" w:color="auto"/>
        <w:right w:val="none" w:sz="0" w:space="0" w:color="auto"/>
      </w:divBdr>
    </w:div>
    <w:div w:id="371152014">
      <w:bodyDiv w:val="1"/>
      <w:marLeft w:val="0"/>
      <w:marRight w:val="0"/>
      <w:marTop w:val="0"/>
      <w:marBottom w:val="0"/>
      <w:divBdr>
        <w:top w:val="none" w:sz="0" w:space="0" w:color="auto"/>
        <w:left w:val="none" w:sz="0" w:space="0" w:color="auto"/>
        <w:bottom w:val="none" w:sz="0" w:space="0" w:color="auto"/>
        <w:right w:val="none" w:sz="0" w:space="0" w:color="auto"/>
      </w:divBdr>
    </w:div>
    <w:div w:id="664356266">
      <w:bodyDiv w:val="1"/>
      <w:marLeft w:val="0"/>
      <w:marRight w:val="0"/>
      <w:marTop w:val="0"/>
      <w:marBottom w:val="0"/>
      <w:divBdr>
        <w:top w:val="none" w:sz="0" w:space="0" w:color="auto"/>
        <w:left w:val="none" w:sz="0" w:space="0" w:color="auto"/>
        <w:bottom w:val="none" w:sz="0" w:space="0" w:color="auto"/>
        <w:right w:val="none" w:sz="0" w:space="0" w:color="auto"/>
      </w:divBdr>
    </w:div>
    <w:div w:id="940917987">
      <w:bodyDiv w:val="1"/>
      <w:marLeft w:val="0"/>
      <w:marRight w:val="0"/>
      <w:marTop w:val="0"/>
      <w:marBottom w:val="0"/>
      <w:divBdr>
        <w:top w:val="none" w:sz="0" w:space="0" w:color="auto"/>
        <w:left w:val="none" w:sz="0" w:space="0" w:color="auto"/>
        <w:bottom w:val="none" w:sz="0" w:space="0" w:color="auto"/>
        <w:right w:val="none" w:sz="0" w:space="0" w:color="auto"/>
      </w:divBdr>
    </w:div>
    <w:div w:id="1235310330">
      <w:bodyDiv w:val="1"/>
      <w:marLeft w:val="0"/>
      <w:marRight w:val="0"/>
      <w:marTop w:val="0"/>
      <w:marBottom w:val="0"/>
      <w:divBdr>
        <w:top w:val="none" w:sz="0" w:space="0" w:color="auto"/>
        <w:left w:val="none" w:sz="0" w:space="0" w:color="auto"/>
        <w:bottom w:val="none" w:sz="0" w:space="0" w:color="auto"/>
        <w:right w:val="none" w:sz="0" w:space="0" w:color="auto"/>
      </w:divBdr>
    </w:div>
    <w:div w:id="1382286211">
      <w:bodyDiv w:val="1"/>
      <w:marLeft w:val="0"/>
      <w:marRight w:val="0"/>
      <w:marTop w:val="0"/>
      <w:marBottom w:val="0"/>
      <w:divBdr>
        <w:top w:val="none" w:sz="0" w:space="0" w:color="auto"/>
        <w:left w:val="none" w:sz="0" w:space="0" w:color="auto"/>
        <w:bottom w:val="none" w:sz="0" w:space="0" w:color="auto"/>
        <w:right w:val="none" w:sz="0" w:space="0" w:color="auto"/>
      </w:divBdr>
    </w:div>
    <w:div w:id="1413160078">
      <w:bodyDiv w:val="1"/>
      <w:marLeft w:val="0"/>
      <w:marRight w:val="0"/>
      <w:marTop w:val="0"/>
      <w:marBottom w:val="0"/>
      <w:divBdr>
        <w:top w:val="none" w:sz="0" w:space="0" w:color="auto"/>
        <w:left w:val="none" w:sz="0" w:space="0" w:color="auto"/>
        <w:bottom w:val="none" w:sz="0" w:space="0" w:color="auto"/>
        <w:right w:val="none" w:sz="0" w:space="0" w:color="auto"/>
      </w:divBdr>
    </w:div>
    <w:div w:id="1496073320">
      <w:bodyDiv w:val="1"/>
      <w:marLeft w:val="0"/>
      <w:marRight w:val="0"/>
      <w:marTop w:val="0"/>
      <w:marBottom w:val="0"/>
      <w:divBdr>
        <w:top w:val="none" w:sz="0" w:space="0" w:color="auto"/>
        <w:left w:val="none" w:sz="0" w:space="0" w:color="auto"/>
        <w:bottom w:val="none" w:sz="0" w:space="0" w:color="auto"/>
        <w:right w:val="none" w:sz="0" w:space="0" w:color="auto"/>
      </w:divBdr>
    </w:div>
    <w:div w:id="1516189415">
      <w:bodyDiv w:val="1"/>
      <w:marLeft w:val="0"/>
      <w:marRight w:val="0"/>
      <w:marTop w:val="0"/>
      <w:marBottom w:val="0"/>
      <w:divBdr>
        <w:top w:val="none" w:sz="0" w:space="0" w:color="auto"/>
        <w:left w:val="none" w:sz="0" w:space="0" w:color="auto"/>
        <w:bottom w:val="none" w:sz="0" w:space="0" w:color="auto"/>
        <w:right w:val="none" w:sz="0" w:space="0" w:color="auto"/>
      </w:divBdr>
      <w:divsChild>
        <w:div w:id="596002">
          <w:marLeft w:val="0"/>
          <w:marRight w:val="0"/>
          <w:marTop w:val="0"/>
          <w:marBottom w:val="0"/>
          <w:divBdr>
            <w:top w:val="none" w:sz="0" w:space="0" w:color="auto"/>
            <w:left w:val="none" w:sz="0" w:space="0" w:color="auto"/>
            <w:bottom w:val="none" w:sz="0" w:space="0" w:color="auto"/>
            <w:right w:val="none" w:sz="0" w:space="0" w:color="auto"/>
          </w:divBdr>
        </w:div>
        <w:div w:id="19934295">
          <w:marLeft w:val="0"/>
          <w:marRight w:val="0"/>
          <w:marTop w:val="0"/>
          <w:marBottom w:val="0"/>
          <w:divBdr>
            <w:top w:val="none" w:sz="0" w:space="0" w:color="auto"/>
            <w:left w:val="none" w:sz="0" w:space="0" w:color="auto"/>
            <w:bottom w:val="none" w:sz="0" w:space="0" w:color="auto"/>
            <w:right w:val="none" w:sz="0" w:space="0" w:color="auto"/>
          </w:divBdr>
        </w:div>
        <w:div w:id="53311593">
          <w:marLeft w:val="0"/>
          <w:marRight w:val="0"/>
          <w:marTop w:val="0"/>
          <w:marBottom w:val="0"/>
          <w:divBdr>
            <w:top w:val="none" w:sz="0" w:space="0" w:color="auto"/>
            <w:left w:val="none" w:sz="0" w:space="0" w:color="auto"/>
            <w:bottom w:val="none" w:sz="0" w:space="0" w:color="auto"/>
            <w:right w:val="none" w:sz="0" w:space="0" w:color="auto"/>
          </w:divBdr>
        </w:div>
        <w:div w:id="72747576">
          <w:marLeft w:val="0"/>
          <w:marRight w:val="0"/>
          <w:marTop w:val="0"/>
          <w:marBottom w:val="0"/>
          <w:divBdr>
            <w:top w:val="none" w:sz="0" w:space="0" w:color="auto"/>
            <w:left w:val="none" w:sz="0" w:space="0" w:color="auto"/>
            <w:bottom w:val="none" w:sz="0" w:space="0" w:color="auto"/>
            <w:right w:val="none" w:sz="0" w:space="0" w:color="auto"/>
          </w:divBdr>
        </w:div>
        <w:div w:id="77604553">
          <w:marLeft w:val="0"/>
          <w:marRight w:val="0"/>
          <w:marTop w:val="0"/>
          <w:marBottom w:val="0"/>
          <w:divBdr>
            <w:top w:val="none" w:sz="0" w:space="0" w:color="auto"/>
            <w:left w:val="none" w:sz="0" w:space="0" w:color="auto"/>
            <w:bottom w:val="none" w:sz="0" w:space="0" w:color="auto"/>
            <w:right w:val="none" w:sz="0" w:space="0" w:color="auto"/>
          </w:divBdr>
        </w:div>
        <w:div w:id="79524482">
          <w:marLeft w:val="0"/>
          <w:marRight w:val="0"/>
          <w:marTop w:val="0"/>
          <w:marBottom w:val="0"/>
          <w:divBdr>
            <w:top w:val="none" w:sz="0" w:space="0" w:color="auto"/>
            <w:left w:val="none" w:sz="0" w:space="0" w:color="auto"/>
            <w:bottom w:val="none" w:sz="0" w:space="0" w:color="auto"/>
            <w:right w:val="none" w:sz="0" w:space="0" w:color="auto"/>
          </w:divBdr>
        </w:div>
        <w:div w:id="89936321">
          <w:marLeft w:val="0"/>
          <w:marRight w:val="0"/>
          <w:marTop w:val="0"/>
          <w:marBottom w:val="0"/>
          <w:divBdr>
            <w:top w:val="none" w:sz="0" w:space="0" w:color="auto"/>
            <w:left w:val="none" w:sz="0" w:space="0" w:color="auto"/>
            <w:bottom w:val="none" w:sz="0" w:space="0" w:color="auto"/>
            <w:right w:val="none" w:sz="0" w:space="0" w:color="auto"/>
          </w:divBdr>
        </w:div>
        <w:div w:id="91055738">
          <w:marLeft w:val="0"/>
          <w:marRight w:val="0"/>
          <w:marTop w:val="0"/>
          <w:marBottom w:val="0"/>
          <w:divBdr>
            <w:top w:val="none" w:sz="0" w:space="0" w:color="auto"/>
            <w:left w:val="none" w:sz="0" w:space="0" w:color="auto"/>
            <w:bottom w:val="none" w:sz="0" w:space="0" w:color="auto"/>
            <w:right w:val="none" w:sz="0" w:space="0" w:color="auto"/>
          </w:divBdr>
        </w:div>
        <w:div w:id="92869904">
          <w:marLeft w:val="0"/>
          <w:marRight w:val="0"/>
          <w:marTop w:val="0"/>
          <w:marBottom w:val="0"/>
          <w:divBdr>
            <w:top w:val="none" w:sz="0" w:space="0" w:color="auto"/>
            <w:left w:val="none" w:sz="0" w:space="0" w:color="auto"/>
            <w:bottom w:val="none" w:sz="0" w:space="0" w:color="auto"/>
            <w:right w:val="none" w:sz="0" w:space="0" w:color="auto"/>
          </w:divBdr>
        </w:div>
        <w:div w:id="99226303">
          <w:marLeft w:val="0"/>
          <w:marRight w:val="0"/>
          <w:marTop w:val="0"/>
          <w:marBottom w:val="0"/>
          <w:divBdr>
            <w:top w:val="none" w:sz="0" w:space="0" w:color="auto"/>
            <w:left w:val="none" w:sz="0" w:space="0" w:color="auto"/>
            <w:bottom w:val="none" w:sz="0" w:space="0" w:color="auto"/>
            <w:right w:val="none" w:sz="0" w:space="0" w:color="auto"/>
          </w:divBdr>
        </w:div>
        <w:div w:id="108278061">
          <w:marLeft w:val="0"/>
          <w:marRight w:val="0"/>
          <w:marTop w:val="0"/>
          <w:marBottom w:val="0"/>
          <w:divBdr>
            <w:top w:val="none" w:sz="0" w:space="0" w:color="auto"/>
            <w:left w:val="none" w:sz="0" w:space="0" w:color="auto"/>
            <w:bottom w:val="none" w:sz="0" w:space="0" w:color="auto"/>
            <w:right w:val="none" w:sz="0" w:space="0" w:color="auto"/>
          </w:divBdr>
        </w:div>
        <w:div w:id="114561314">
          <w:marLeft w:val="0"/>
          <w:marRight w:val="0"/>
          <w:marTop w:val="0"/>
          <w:marBottom w:val="0"/>
          <w:divBdr>
            <w:top w:val="none" w:sz="0" w:space="0" w:color="auto"/>
            <w:left w:val="none" w:sz="0" w:space="0" w:color="auto"/>
            <w:bottom w:val="none" w:sz="0" w:space="0" w:color="auto"/>
            <w:right w:val="none" w:sz="0" w:space="0" w:color="auto"/>
          </w:divBdr>
        </w:div>
        <w:div w:id="114645056">
          <w:marLeft w:val="0"/>
          <w:marRight w:val="0"/>
          <w:marTop w:val="0"/>
          <w:marBottom w:val="0"/>
          <w:divBdr>
            <w:top w:val="none" w:sz="0" w:space="0" w:color="auto"/>
            <w:left w:val="none" w:sz="0" w:space="0" w:color="auto"/>
            <w:bottom w:val="none" w:sz="0" w:space="0" w:color="auto"/>
            <w:right w:val="none" w:sz="0" w:space="0" w:color="auto"/>
          </w:divBdr>
        </w:div>
        <w:div w:id="120154559">
          <w:marLeft w:val="0"/>
          <w:marRight w:val="0"/>
          <w:marTop w:val="0"/>
          <w:marBottom w:val="0"/>
          <w:divBdr>
            <w:top w:val="none" w:sz="0" w:space="0" w:color="auto"/>
            <w:left w:val="none" w:sz="0" w:space="0" w:color="auto"/>
            <w:bottom w:val="none" w:sz="0" w:space="0" w:color="auto"/>
            <w:right w:val="none" w:sz="0" w:space="0" w:color="auto"/>
          </w:divBdr>
        </w:div>
        <w:div w:id="127405629">
          <w:marLeft w:val="0"/>
          <w:marRight w:val="0"/>
          <w:marTop w:val="0"/>
          <w:marBottom w:val="0"/>
          <w:divBdr>
            <w:top w:val="none" w:sz="0" w:space="0" w:color="auto"/>
            <w:left w:val="none" w:sz="0" w:space="0" w:color="auto"/>
            <w:bottom w:val="none" w:sz="0" w:space="0" w:color="auto"/>
            <w:right w:val="none" w:sz="0" w:space="0" w:color="auto"/>
          </w:divBdr>
        </w:div>
        <w:div w:id="130365244">
          <w:marLeft w:val="0"/>
          <w:marRight w:val="0"/>
          <w:marTop w:val="0"/>
          <w:marBottom w:val="0"/>
          <w:divBdr>
            <w:top w:val="none" w:sz="0" w:space="0" w:color="auto"/>
            <w:left w:val="none" w:sz="0" w:space="0" w:color="auto"/>
            <w:bottom w:val="none" w:sz="0" w:space="0" w:color="auto"/>
            <w:right w:val="none" w:sz="0" w:space="0" w:color="auto"/>
          </w:divBdr>
        </w:div>
        <w:div w:id="172303857">
          <w:marLeft w:val="0"/>
          <w:marRight w:val="0"/>
          <w:marTop w:val="0"/>
          <w:marBottom w:val="0"/>
          <w:divBdr>
            <w:top w:val="none" w:sz="0" w:space="0" w:color="auto"/>
            <w:left w:val="none" w:sz="0" w:space="0" w:color="auto"/>
            <w:bottom w:val="none" w:sz="0" w:space="0" w:color="auto"/>
            <w:right w:val="none" w:sz="0" w:space="0" w:color="auto"/>
          </w:divBdr>
        </w:div>
        <w:div w:id="172768418">
          <w:marLeft w:val="0"/>
          <w:marRight w:val="0"/>
          <w:marTop w:val="0"/>
          <w:marBottom w:val="0"/>
          <w:divBdr>
            <w:top w:val="none" w:sz="0" w:space="0" w:color="auto"/>
            <w:left w:val="none" w:sz="0" w:space="0" w:color="auto"/>
            <w:bottom w:val="none" w:sz="0" w:space="0" w:color="auto"/>
            <w:right w:val="none" w:sz="0" w:space="0" w:color="auto"/>
          </w:divBdr>
        </w:div>
        <w:div w:id="189490237">
          <w:marLeft w:val="0"/>
          <w:marRight w:val="0"/>
          <w:marTop w:val="0"/>
          <w:marBottom w:val="0"/>
          <w:divBdr>
            <w:top w:val="none" w:sz="0" w:space="0" w:color="auto"/>
            <w:left w:val="none" w:sz="0" w:space="0" w:color="auto"/>
            <w:bottom w:val="none" w:sz="0" w:space="0" w:color="auto"/>
            <w:right w:val="none" w:sz="0" w:space="0" w:color="auto"/>
          </w:divBdr>
        </w:div>
        <w:div w:id="212428120">
          <w:marLeft w:val="0"/>
          <w:marRight w:val="0"/>
          <w:marTop w:val="0"/>
          <w:marBottom w:val="0"/>
          <w:divBdr>
            <w:top w:val="none" w:sz="0" w:space="0" w:color="auto"/>
            <w:left w:val="none" w:sz="0" w:space="0" w:color="auto"/>
            <w:bottom w:val="none" w:sz="0" w:space="0" w:color="auto"/>
            <w:right w:val="none" w:sz="0" w:space="0" w:color="auto"/>
          </w:divBdr>
        </w:div>
        <w:div w:id="246965377">
          <w:marLeft w:val="0"/>
          <w:marRight w:val="0"/>
          <w:marTop w:val="0"/>
          <w:marBottom w:val="0"/>
          <w:divBdr>
            <w:top w:val="none" w:sz="0" w:space="0" w:color="auto"/>
            <w:left w:val="none" w:sz="0" w:space="0" w:color="auto"/>
            <w:bottom w:val="none" w:sz="0" w:space="0" w:color="auto"/>
            <w:right w:val="none" w:sz="0" w:space="0" w:color="auto"/>
          </w:divBdr>
        </w:div>
        <w:div w:id="252055879">
          <w:marLeft w:val="0"/>
          <w:marRight w:val="0"/>
          <w:marTop w:val="0"/>
          <w:marBottom w:val="0"/>
          <w:divBdr>
            <w:top w:val="none" w:sz="0" w:space="0" w:color="auto"/>
            <w:left w:val="none" w:sz="0" w:space="0" w:color="auto"/>
            <w:bottom w:val="none" w:sz="0" w:space="0" w:color="auto"/>
            <w:right w:val="none" w:sz="0" w:space="0" w:color="auto"/>
          </w:divBdr>
        </w:div>
        <w:div w:id="269824012">
          <w:marLeft w:val="0"/>
          <w:marRight w:val="0"/>
          <w:marTop w:val="0"/>
          <w:marBottom w:val="0"/>
          <w:divBdr>
            <w:top w:val="none" w:sz="0" w:space="0" w:color="auto"/>
            <w:left w:val="none" w:sz="0" w:space="0" w:color="auto"/>
            <w:bottom w:val="none" w:sz="0" w:space="0" w:color="auto"/>
            <w:right w:val="none" w:sz="0" w:space="0" w:color="auto"/>
          </w:divBdr>
        </w:div>
        <w:div w:id="273447169">
          <w:marLeft w:val="0"/>
          <w:marRight w:val="0"/>
          <w:marTop w:val="0"/>
          <w:marBottom w:val="0"/>
          <w:divBdr>
            <w:top w:val="none" w:sz="0" w:space="0" w:color="auto"/>
            <w:left w:val="none" w:sz="0" w:space="0" w:color="auto"/>
            <w:bottom w:val="none" w:sz="0" w:space="0" w:color="auto"/>
            <w:right w:val="none" w:sz="0" w:space="0" w:color="auto"/>
          </w:divBdr>
        </w:div>
        <w:div w:id="273752185">
          <w:marLeft w:val="0"/>
          <w:marRight w:val="0"/>
          <w:marTop w:val="0"/>
          <w:marBottom w:val="0"/>
          <w:divBdr>
            <w:top w:val="none" w:sz="0" w:space="0" w:color="auto"/>
            <w:left w:val="none" w:sz="0" w:space="0" w:color="auto"/>
            <w:bottom w:val="none" w:sz="0" w:space="0" w:color="auto"/>
            <w:right w:val="none" w:sz="0" w:space="0" w:color="auto"/>
          </w:divBdr>
        </w:div>
        <w:div w:id="275986929">
          <w:marLeft w:val="0"/>
          <w:marRight w:val="0"/>
          <w:marTop w:val="0"/>
          <w:marBottom w:val="0"/>
          <w:divBdr>
            <w:top w:val="none" w:sz="0" w:space="0" w:color="auto"/>
            <w:left w:val="none" w:sz="0" w:space="0" w:color="auto"/>
            <w:bottom w:val="none" w:sz="0" w:space="0" w:color="auto"/>
            <w:right w:val="none" w:sz="0" w:space="0" w:color="auto"/>
          </w:divBdr>
        </w:div>
        <w:div w:id="276378139">
          <w:marLeft w:val="0"/>
          <w:marRight w:val="0"/>
          <w:marTop w:val="0"/>
          <w:marBottom w:val="0"/>
          <w:divBdr>
            <w:top w:val="none" w:sz="0" w:space="0" w:color="auto"/>
            <w:left w:val="none" w:sz="0" w:space="0" w:color="auto"/>
            <w:bottom w:val="none" w:sz="0" w:space="0" w:color="auto"/>
            <w:right w:val="none" w:sz="0" w:space="0" w:color="auto"/>
          </w:divBdr>
        </w:div>
        <w:div w:id="281421714">
          <w:marLeft w:val="0"/>
          <w:marRight w:val="0"/>
          <w:marTop w:val="0"/>
          <w:marBottom w:val="0"/>
          <w:divBdr>
            <w:top w:val="none" w:sz="0" w:space="0" w:color="auto"/>
            <w:left w:val="none" w:sz="0" w:space="0" w:color="auto"/>
            <w:bottom w:val="none" w:sz="0" w:space="0" w:color="auto"/>
            <w:right w:val="none" w:sz="0" w:space="0" w:color="auto"/>
          </w:divBdr>
        </w:div>
        <w:div w:id="310402605">
          <w:marLeft w:val="0"/>
          <w:marRight w:val="0"/>
          <w:marTop w:val="0"/>
          <w:marBottom w:val="0"/>
          <w:divBdr>
            <w:top w:val="none" w:sz="0" w:space="0" w:color="auto"/>
            <w:left w:val="none" w:sz="0" w:space="0" w:color="auto"/>
            <w:bottom w:val="none" w:sz="0" w:space="0" w:color="auto"/>
            <w:right w:val="none" w:sz="0" w:space="0" w:color="auto"/>
          </w:divBdr>
        </w:div>
        <w:div w:id="314074066">
          <w:marLeft w:val="0"/>
          <w:marRight w:val="0"/>
          <w:marTop w:val="0"/>
          <w:marBottom w:val="0"/>
          <w:divBdr>
            <w:top w:val="none" w:sz="0" w:space="0" w:color="auto"/>
            <w:left w:val="none" w:sz="0" w:space="0" w:color="auto"/>
            <w:bottom w:val="none" w:sz="0" w:space="0" w:color="auto"/>
            <w:right w:val="none" w:sz="0" w:space="0" w:color="auto"/>
          </w:divBdr>
        </w:div>
        <w:div w:id="320739038">
          <w:marLeft w:val="0"/>
          <w:marRight w:val="0"/>
          <w:marTop w:val="0"/>
          <w:marBottom w:val="0"/>
          <w:divBdr>
            <w:top w:val="none" w:sz="0" w:space="0" w:color="auto"/>
            <w:left w:val="none" w:sz="0" w:space="0" w:color="auto"/>
            <w:bottom w:val="none" w:sz="0" w:space="0" w:color="auto"/>
            <w:right w:val="none" w:sz="0" w:space="0" w:color="auto"/>
          </w:divBdr>
        </w:div>
        <w:div w:id="323969292">
          <w:marLeft w:val="0"/>
          <w:marRight w:val="0"/>
          <w:marTop w:val="0"/>
          <w:marBottom w:val="0"/>
          <w:divBdr>
            <w:top w:val="none" w:sz="0" w:space="0" w:color="auto"/>
            <w:left w:val="none" w:sz="0" w:space="0" w:color="auto"/>
            <w:bottom w:val="none" w:sz="0" w:space="0" w:color="auto"/>
            <w:right w:val="none" w:sz="0" w:space="0" w:color="auto"/>
          </w:divBdr>
        </w:div>
        <w:div w:id="336428288">
          <w:marLeft w:val="0"/>
          <w:marRight w:val="0"/>
          <w:marTop w:val="0"/>
          <w:marBottom w:val="0"/>
          <w:divBdr>
            <w:top w:val="none" w:sz="0" w:space="0" w:color="auto"/>
            <w:left w:val="none" w:sz="0" w:space="0" w:color="auto"/>
            <w:bottom w:val="none" w:sz="0" w:space="0" w:color="auto"/>
            <w:right w:val="none" w:sz="0" w:space="0" w:color="auto"/>
          </w:divBdr>
        </w:div>
        <w:div w:id="341512514">
          <w:marLeft w:val="0"/>
          <w:marRight w:val="0"/>
          <w:marTop w:val="0"/>
          <w:marBottom w:val="0"/>
          <w:divBdr>
            <w:top w:val="none" w:sz="0" w:space="0" w:color="auto"/>
            <w:left w:val="none" w:sz="0" w:space="0" w:color="auto"/>
            <w:bottom w:val="none" w:sz="0" w:space="0" w:color="auto"/>
            <w:right w:val="none" w:sz="0" w:space="0" w:color="auto"/>
          </w:divBdr>
        </w:div>
        <w:div w:id="356006804">
          <w:marLeft w:val="0"/>
          <w:marRight w:val="0"/>
          <w:marTop w:val="0"/>
          <w:marBottom w:val="0"/>
          <w:divBdr>
            <w:top w:val="none" w:sz="0" w:space="0" w:color="auto"/>
            <w:left w:val="none" w:sz="0" w:space="0" w:color="auto"/>
            <w:bottom w:val="none" w:sz="0" w:space="0" w:color="auto"/>
            <w:right w:val="none" w:sz="0" w:space="0" w:color="auto"/>
          </w:divBdr>
        </w:div>
        <w:div w:id="360320245">
          <w:marLeft w:val="0"/>
          <w:marRight w:val="0"/>
          <w:marTop w:val="0"/>
          <w:marBottom w:val="0"/>
          <w:divBdr>
            <w:top w:val="none" w:sz="0" w:space="0" w:color="auto"/>
            <w:left w:val="none" w:sz="0" w:space="0" w:color="auto"/>
            <w:bottom w:val="none" w:sz="0" w:space="0" w:color="auto"/>
            <w:right w:val="none" w:sz="0" w:space="0" w:color="auto"/>
          </w:divBdr>
        </w:div>
        <w:div w:id="367418310">
          <w:marLeft w:val="0"/>
          <w:marRight w:val="0"/>
          <w:marTop w:val="0"/>
          <w:marBottom w:val="0"/>
          <w:divBdr>
            <w:top w:val="none" w:sz="0" w:space="0" w:color="auto"/>
            <w:left w:val="none" w:sz="0" w:space="0" w:color="auto"/>
            <w:bottom w:val="none" w:sz="0" w:space="0" w:color="auto"/>
            <w:right w:val="none" w:sz="0" w:space="0" w:color="auto"/>
          </w:divBdr>
        </w:div>
        <w:div w:id="369309419">
          <w:marLeft w:val="0"/>
          <w:marRight w:val="0"/>
          <w:marTop w:val="0"/>
          <w:marBottom w:val="0"/>
          <w:divBdr>
            <w:top w:val="none" w:sz="0" w:space="0" w:color="auto"/>
            <w:left w:val="none" w:sz="0" w:space="0" w:color="auto"/>
            <w:bottom w:val="none" w:sz="0" w:space="0" w:color="auto"/>
            <w:right w:val="none" w:sz="0" w:space="0" w:color="auto"/>
          </w:divBdr>
        </w:div>
        <w:div w:id="384837690">
          <w:marLeft w:val="0"/>
          <w:marRight w:val="0"/>
          <w:marTop w:val="0"/>
          <w:marBottom w:val="0"/>
          <w:divBdr>
            <w:top w:val="none" w:sz="0" w:space="0" w:color="auto"/>
            <w:left w:val="none" w:sz="0" w:space="0" w:color="auto"/>
            <w:bottom w:val="none" w:sz="0" w:space="0" w:color="auto"/>
            <w:right w:val="none" w:sz="0" w:space="0" w:color="auto"/>
          </w:divBdr>
        </w:div>
        <w:div w:id="385688128">
          <w:marLeft w:val="0"/>
          <w:marRight w:val="0"/>
          <w:marTop w:val="0"/>
          <w:marBottom w:val="0"/>
          <w:divBdr>
            <w:top w:val="none" w:sz="0" w:space="0" w:color="auto"/>
            <w:left w:val="none" w:sz="0" w:space="0" w:color="auto"/>
            <w:bottom w:val="none" w:sz="0" w:space="0" w:color="auto"/>
            <w:right w:val="none" w:sz="0" w:space="0" w:color="auto"/>
          </w:divBdr>
        </w:div>
        <w:div w:id="391268548">
          <w:marLeft w:val="0"/>
          <w:marRight w:val="0"/>
          <w:marTop w:val="0"/>
          <w:marBottom w:val="0"/>
          <w:divBdr>
            <w:top w:val="none" w:sz="0" w:space="0" w:color="auto"/>
            <w:left w:val="none" w:sz="0" w:space="0" w:color="auto"/>
            <w:bottom w:val="none" w:sz="0" w:space="0" w:color="auto"/>
            <w:right w:val="none" w:sz="0" w:space="0" w:color="auto"/>
          </w:divBdr>
        </w:div>
        <w:div w:id="394665699">
          <w:marLeft w:val="0"/>
          <w:marRight w:val="0"/>
          <w:marTop w:val="0"/>
          <w:marBottom w:val="0"/>
          <w:divBdr>
            <w:top w:val="none" w:sz="0" w:space="0" w:color="auto"/>
            <w:left w:val="none" w:sz="0" w:space="0" w:color="auto"/>
            <w:bottom w:val="none" w:sz="0" w:space="0" w:color="auto"/>
            <w:right w:val="none" w:sz="0" w:space="0" w:color="auto"/>
          </w:divBdr>
          <w:divsChild>
            <w:div w:id="84502205">
              <w:marLeft w:val="0"/>
              <w:marRight w:val="0"/>
              <w:marTop w:val="0"/>
              <w:marBottom w:val="0"/>
              <w:divBdr>
                <w:top w:val="none" w:sz="0" w:space="0" w:color="auto"/>
                <w:left w:val="none" w:sz="0" w:space="0" w:color="auto"/>
                <w:bottom w:val="none" w:sz="0" w:space="0" w:color="auto"/>
                <w:right w:val="none" w:sz="0" w:space="0" w:color="auto"/>
              </w:divBdr>
            </w:div>
            <w:div w:id="157187983">
              <w:marLeft w:val="0"/>
              <w:marRight w:val="0"/>
              <w:marTop w:val="0"/>
              <w:marBottom w:val="0"/>
              <w:divBdr>
                <w:top w:val="none" w:sz="0" w:space="0" w:color="auto"/>
                <w:left w:val="none" w:sz="0" w:space="0" w:color="auto"/>
                <w:bottom w:val="none" w:sz="0" w:space="0" w:color="auto"/>
                <w:right w:val="none" w:sz="0" w:space="0" w:color="auto"/>
              </w:divBdr>
            </w:div>
            <w:div w:id="179272674">
              <w:marLeft w:val="0"/>
              <w:marRight w:val="0"/>
              <w:marTop w:val="0"/>
              <w:marBottom w:val="0"/>
              <w:divBdr>
                <w:top w:val="none" w:sz="0" w:space="0" w:color="auto"/>
                <w:left w:val="none" w:sz="0" w:space="0" w:color="auto"/>
                <w:bottom w:val="none" w:sz="0" w:space="0" w:color="auto"/>
                <w:right w:val="none" w:sz="0" w:space="0" w:color="auto"/>
              </w:divBdr>
            </w:div>
            <w:div w:id="268390551">
              <w:marLeft w:val="0"/>
              <w:marRight w:val="0"/>
              <w:marTop w:val="0"/>
              <w:marBottom w:val="0"/>
              <w:divBdr>
                <w:top w:val="none" w:sz="0" w:space="0" w:color="auto"/>
                <w:left w:val="none" w:sz="0" w:space="0" w:color="auto"/>
                <w:bottom w:val="none" w:sz="0" w:space="0" w:color="auto"/>
                <w:right w:val="none" w:sz="0" w:space="0" w:color="auto"/>
              </w:divBdr>
            </w:div>
            <w:div w:id="513109027">
              <w:marLeft w:val="0"/>
              <w:marRight w:val="0"/>
              <w:marTop w:val="0"/>
              <w:marBottom w:val="0"/>
              <w:divBdr>
                <w:top w:val="none" w:sz="0" w:space="0" w:color="auto"/>
                <w:left w:val="none" w:sz="0" w:space="0" w:color="auto"/>
                <w:bottom w:val="none" w:sz="0" w:space="0" w:color="auto"/>
                <w:right w:val="none" w:sz="0" w:space="0" w:color="auto"/>
              </w:divBdr>
            </w:div>
            <w:div w:id="736706366">
              <w:marLeft w:val="0"/>
              <w:marRight w:val="0"/>
              <w:marTop w:val="0"/>
              <w:marBottom w:val="0"/>
              <w:divBdr>
                <w:top w:val="none" w:sz="0" w:space="0" w:color="auto"/>
                <w:left w:val="none" w:sz="0" w:space="0" w:color="auto"/>
                <w:bottom w:val="none" w:sz="0" w:space="0" w:color="auto"/>
                <w:right w:val="none" w:sz="0" w:space="0" w:color="auto"/>
              </w:divBdr>
            </w:div>
            <w:div w:id="785930904">
              <w:marLeft w:val="0"/>
              <w:marRight w:val="0"/>
              <w:marTop w:val="0"/>
              <w:marBottom w:val="0"/>
              <w:divBdr>
                <w:top w:val="none" w:sz="0" w:space="0" w:color="auto"/>
                <w:left w:val="none" w:sz="0" w:space="0" w:color="auto"/>
                <w:bottom w:val="none" w:sz="0" w:space="0" w:color="auto"/>
                <w:right w:val="none" w:sz="0" w:space="0" w:color="auto"/>
              </w:divBdr>
            </w:div>
            <w:div w:id="798954008">
              <w:marLeft w:val="0"/>
              <w:marRight w:val="0"/>
              <w:marTop w:val="0"/>
              <w:marBottom w:val="0"/>
              <w:divBdr>
                <w:top w:val="none" w:sz="0" w:space="0" w:color="auto"/>
                <w:left w:val="none" w:sz="0" w:space="0" w:color="auto"/>
                <w:bottom w:val="none" w:sz="0" w:space="0" w:color="auto"/>
                <w:right w:val="none" w:sz="0" w:space="0" w:color="auto"/>
              </w:divBdr>
            </w:div>
            <w:div w:id="825585790">
              <w:marLeft w:val="0"/>
              <w:marRight w:val="0"/>
              <w:marTop w:val="0"/>
              <w:marBottom w:val="0"/>
              <w:divBdr>
                <w:top w:val="none" w:sz="0" w:space="0" w:color="auto"/>
                <w:left w:val="none" w:sz="0" w:space="0" w:color="auto"/>
                <w:bottom w:val="none" w:sz="0" w:space="0" w:color="auto"/>
                <w:right w:val="none" w:sz="0" w:space="0" w:color="auto"/>
              </w:divBdr>
            </w:div>
            <w:div w:id="843544625">
              <w:marLeft w:val="0"/>
              <w:marRight w:val="0"/>
              <w:marTop w:val="0"/>
              <w:marBottom w:val="0"/>
              <w:divBdr>
                <w:top w:val="none" w:sz="0" w:space="0" w:color="auto"/>
                <w:left w:val="none" w:sz="0" w:space="0" w:color="auto"/>
                <w:bottom w:val="none" w:sz="0" w:space="0" w:color="auto"/>
                <w:right w:val="none" w:sz="0" w:space="0" w:color="auto"/>
              </w:divBdr>
            </w:div>
            <w:div w:id="1097944785">
              <w:marLeft w:val="0"/>
              <w:marRight w:val="0"/>
              <w:marTop w:val="0"/>
              <w:marBottom w:val="0"/>
              <w:divBdr>
                <w:top w:val="none" w:sz="0" w:space="0" w:color="auto"/>
                <w:left w:val="none" w:sz="0" w:space="0" w:color="auto"/>
                <w:bottom w:val="none" w:sz="0" w:space="0" w:color="auto"/>
                <w:right w:val="none" w:sz="0" w:space="0" w:color="auto"/>
              </w:divBdr>
            </w:div>
            <w:div w:id="1177692839">
              <w:marLeft w:val="0"/>
              <w:marRight w:val="0"/>
              <w:marTop w:val="0"/>
              <w:marBottom w:val="0"/>
              <w:divBdr>
                <w:top w:val="none" w:sz="0" w:space="0" w:color="auto"/>
                <w:left w:val="none" w:sz="0" w:space="0" w:color="auto"/>
                <w:bottom w:val="none" w:sz="0" w:space="0" w:color="auto"/>
                <w:right w:val="none" w:sz="0" w:space="0" w:color="auto"/>
              </w:divBdr>
            </w:div>
            <w:div w:id="1185754284">
              <w:marLeft w:val="0"/>
              <w:marRight w:val="0"/>
              <w:marTop w:val="0"/>
              <w:marBottom w:val="0"/>
              <w:divBdr>
                <w:top w:val="none" w:sz="0" w:space="0" w:color="auto"/>
                <w:left w:val="none" w:sz="0" w:space="0" w:color="auto"/>
                <w:bottom w:val="none" w:sz="0" w:space="0" w:color="auto"/>
                <w:right w:val="none" w:sz="0" w:space="0" w:color="auto"/>
              </w:divBdr>
            </w:div>
            <w:div w:id="1192762086">
              <w:marLeft w:val="0"/>
              <w:marRight w:val="0"/>
              <w:marTop w:val="0"/>
              <w:marBottom w:val="0"/>
              <w:divBdr>
                <w:top w:val="none" w:sz="0" w:space="0" w:color="auto"/>
                <w:left w:val="none" w:sz="0" w:space="0" w:color="auto"/>
                <w:bottom w:val="none" w:sz="0" w:space="0" w:color="auto"/>
                <w:right w:val="none" w:sz="0" w:space="0" w:color="auto"/>
              </w:divBdr>
            </w:div>
            <w:div w:id="1216694881">
              <w:marLeft w:val="0"/>
              <w:marRight w:val="0"/>
              <w:marTop w:val="0"/>
              <w:marBottom w:val="0"/>
              <w:divBdr>
                <w:top w:val="none" w:sz="0" w:space="0" w:color="auto"/>
                <w:left w:val="none" w:sz="0" w:space="0" w:color="auto"/>
                <w:bottom w:val="none" w:sz="0" w:space="0" w:color="auto"/>
                <w:right w:val="none" w:sz="0" w:space="0" w:color="auto"/>
              </w:divBdr>
            </w:div>
            <w:div w:id="1312246511">
              <w:marLeft w:val="0"/>
              <w:marRight w:val="0"/>
              <w:marTop w:val="0"/>
              <w:marBottom w:val="0"/>
              <w:divBdr>
                <w:top w:val="none" w:sz="0" w:space="0" w:color="auto"/>
                <w:left w:val="none" w:sz="0" w:space="0" w:color="auto"/>
                <w:bottom w:val="none" w:sz="0" w:space="0" w:color="auto"/>
                <w:right w:val="none" w:sz="0" w:space="0" w:color="auto"/>
              </w:divBdr>
            </w:div>
            <w:div w:id="1343363514">
              <w:marLeft w:val="0"/>
              <w:marRight w:val="0"/>
              <w:marTop w:val="0"/>
              <w:marBottom w:val="0"/>
              <w:divBdr>
                <w:top w:val="none" w:sz="0" w:space="0" w:color="auto"/>
                <w:left w:val="none" w:sz="0" w:space="0" w:color="auto"/>
                <w:bottom w:val="none" w:sz="0" w:space="0" w:color="auto"/>
                <w:right w:val="none" w:sz="0" w:space="0" w:color="auto"/>
              </w:divBdr>
            </w:div>
            <w:div w:id="1480076576">
              <w:marLeft w:val="0"/>
              <w:marRight w:val="0"/>
              <w:marTop w:val="0"/>
              <w:marBottom w:val="0"/>
              <w:divBdr>
                <w:top w:val="none" w:sz="0" w:space="0" w:color="auto"/>
                <w:left w:val="none" w:sz="0" w:space="0" w:color="auto"/>
                <w:bottom w:val="none" w:sz="0" w:space="0" w:color="auto"/>
                <w:right w:val="none" w:sz="0" w:space="0" w:color="auto"/>
              </w:divBdr>
            </w:div>
            <w:div w:id="1523058235">
              <w:marLeft w:val="0"/>
              <w:marRight w:val="0"/>
              <w:marTop w:val="0"/>
              <w:marBottom w:val="0"/>
              <w:divBdr>
                <w:top w:val="none" w:sz="0" w:space="0" w:color="auto"/>
                <w:left w:val="none" w:sz="0" w:space="0" w:color="auto"/>
                <w:bottom w:val="none" w:sz="0" w:space="0" w:color="auto"/>
                <w:right w:val="none" w:sz="0" w:space="0" w:color="auto"/>
              </w:divBdr>
            </w:div>
            <w:div w:id="1757049242">
              <w:marLeft w:val="0"/>
              <w:marRight w:val="0"/>
              <w:marTop w:val="0"/>
              <w:marBottom w:val="0"/>
              <w:divBdr>
                <w:top w:val="none" w:sz="0" w:space="0" w:color="auto"/>
                <w:left w:val="none" w:sz="0" w:space="0" w:color="auto"/>
                <w:bottom w:val="none" w:sz="0" w:space="0" w:color="auto"/>
                <w:right w:val="none" w:sz="0" w:space="0" w:color="auto"/>
              </w:divBdr>
            </w:div>
          </w:divsChild>
        </w:div>
        <w:div w:id="413010660">
          <w:marLeft w:val="0"/>
          <w:marRight w:val="0"/>
          <w:marTop w:val="0"/>
          <w:marBottom w:val="0"/>
          <w:divBdr>
            <w:top w:val="none" w:sz="0" w:space="0" w:color="auto"/>
            <w:left w:val="none" w:sz="0" w:space="0" w:color="auto"/>
            <w:bottom w:val="none" w:sz="0" w:space="0" w:color="auto"/>
            <w:right w:val="none" w:sz="0" w:space="0" w:color="auto"/>
          </w:divBdr>
        </w:div>
        <w:div w:id="415051891">
          <w:marLeft w:val="0"/>
          <w:marRight w:val="0"/>
          <w:marTop w:val="0"/>
          <w:marBottom w:val="0"/>
          <w:divBdr>
            <w:top w:val="none" w:sz="0" w:space="0" w:color="auto"/>
            <w:left w:val="none" w:sz="0" w:space="0" w:color="auto"/>
            <w:bottom w:val="none" w:sz="0" w:space="0" w:color="auto"/>
            <w:right w:val="none" w:sz="0" w:space="0" w:color="auto"/>
          </w:divBdr>
        </w:div>
        <w:div w:id="423691028">
          <w:marLeft w:val="0"/>
          <w:marRight w:val="0"/>
          <w:marTop w:val="0"/>
          <w:marBottom w:val="0"/>
          <w:divBdr>
            <w:top w:val="none" w:sz="0" w:space="0" w:color="auto"/>
            <w:left w:val="none" w:sz="0" w:space="0" w:color="auto"/>
            <w:bottom w:val="none" w:sz="0" w:space="0" w:color="auto"/>
            <w:right w:val="none" w:sz="0" w:space="0" w:color="auto"/>
          </w:divBdr>
        </w:div>
        <w:div w:id="431557727">
          <w:marLeft w:val="0"/>
          <w:marRight w:val="0"/>
          <w:marTop w:val="0"/>
          <w:marBottom w:val="0"/>
          <w:divBdr>
            <w:top w:val="none" w:sz="0" w:space="0" w:color="auto"/>
            <w:left w:val="none" w:sz="0" w:space="0" w:color="auto"/>
            <w:bottom w:val="none" w:sz="0" w:space="0" w:color="auto"/>
            <w:right w:val="none" w:sz="0" w:space="0" w:color="auto"/>
          </w:divBdr>
        </w:div>
        <w:div w:id="452095112">
          <w:marLeft w:val="0"/>
          <w:marRight w:val="0"/>
          <w:marTop w:val="0"/>
          <w:marBottom w:val="0"/>
          <w:divBdr>
            <w:top w:val="none" w:sz="0" w:space="0" w:color="auto"/>
            <w:left w:val="none" w:sz="0" w:space="0" w:color="auto"/>
            <w:bottom w:val="none" w:sz="0" w:space="0" w:color="auto"/>
            <w:right w:val="none" w:sz="0" w:space="0" w:color="auto"/>
          </w:divBdr>
        </w:div>
        <w:div w:id="457842505">
          <w:marLeft w:val="0"/>
          <w:marRight w:val="0"/>
          <w:marTop w:val="0"/>
          <w:marBottom w:val="0"/>
          <w:divBdr>
            <w:top w:val="none" w:sz="0" w:space="0" w:color="auto"/>
            <w:left w:val="none" w:sz="0" w:space="0" w:color="auto"/>
            <w:bottom w:val="none" w:sz="0" w:space="0" w:color="auto"/>
            <w:right w:val="none" w:sz="0" w:space="0" w:color="auto"/>
          </w:divBdr>
        </w:div>
        <w:div w:id="471138874">
          <w:marLeft w:val="0"/>
          <w:marRight w:val="0"/>
          <w:marTop w:val="0"/>
          <w:marBottom w:val="0"/>
          <w:divBdr>
            <w:top w:val="none" w:sz="0" w:space="0" w:color="auto"/>
            <w:left w:val="none" w:sz="0" w:space="0" w:color="auto"/>
            <w:bottom w:val="none" w:sz="0" w:space="0" w:color="auto"/>
            <w:right w:val="none" w:sz="0" w:space="0" w:color="auto"/>
          </w:divBdr>
        </w:div>
        <w:div w:id="480733173">
          <w:marLeft w:val="0"/>
          <w:marRight w:val="0"/>
          <w:marTop w:val="0"/>
          <w:marBottom w:val="0"/>
          <w:divBdr>
            <w:top w:val="none" w:sz="0" w:space="0" w:color="auto"/>
            <w:left w:val="none" w:sz="0" w:space="0" w:color="auto"/>
            <w:bottom w:val="none" w:sz="0" w:space="0" w:color="auto"/>
            <w:right w:val="none" w:sz="0" w:space="0" w:color="auto"/>
          </w:divBdr>
        </w:div>
        <w:div w:id="486482495">
          <w:marLeft w:val="0"/>
          <w:marRight w:val="0"/>
          <w:marTop w:val="0"/>
          <w:marBottom w:val="0"/>
          <w:divBdr>
            <w:top w:val="none" w:sz="0" w:space="0" w:color="auto"/>
            <w:left w:val="none" w:sz="0" w:space="0" w:color="auto"/>
            <w:bottom w:val="none" w:sz="0" w:space="0" w:color="auto"/>
            <w:right w:val="none" w:sz="0" w:space="0" w:color="auto"/>
          </w:divBdr>
        </w:div>
        <w:div w:id="493841048">
          <w:marLeft w:val="0"/>
          <w:marRight w:val="0"/>
          <w:marTop w:val="0"/>
          <w:marBottom w:val="0"/>
          <w:divBdr>
            <w:top w:val="none" w:sz="0" w:space="0" w:color="auto"/>
            <w:left w:val="none" w:sz="0" w:space="0" w:color="auto"/>
            <w:bottom w:val="none" w:sz="0" w:space="0" w:color="auto"/>
            <w:right w:val="none" w:sz="0" w:space="0" w:color="auto"/>
          </w:divBdr>
          <w:divsChild>
            <w:div w:id="169226026">
              <w:marLeft w:val="0"/>
              <w:marRight w:val="0"/>
              <w:marTop w:val="0"/>
              <w:marBottom w:val="0"/>
              <w:divBdr>
                <w:top w:val="none" w:sz="0" w:space="0" w:color="auto"/>
                <w:left w:val="none" w:sz="0" w:space="0" w:color="auto"/>
                <w:bottom w:val="none" w:sz="0" w:space="0" w:color="auto"/>
                <w:right w:val="none" w:sz="0" w:space="0" w:color="auto"/>
              </w:divBdr>
            </w:div>
            <w:div w:id="275672503">
              <w:marLeft w:val="0"/>
              <w:marRight w:val="0"/>
              <w:marTop w:val="0"/>
              <w:marBottom w:val="0"/>
              <w:divBdr>
                <w:top w:val="none" w:sz="0" w:space="0" w:color="auto"/>
                <w:left w:val="none" w:sz="0" w:space="0" w:color="auto"/>
                <w:bottom w:val="none" w:sz="0" w:space="0" w:color="auto"/>
                <w:right w:val="none" w:sz="0" w:space="0" w:color="auto"/>
              </w:divBdr>
            </w:div>
            <w:div w:id="370573145">
              <w:marLeft w:val="0"/>
              <w:marRight w:val="0"/>
              <w:marTop w:val="0"/>
              <w:marBottom w:val="0"/>
              <w:divBdr>
                <w:top w:val="none" w:sz="0" w:space="0" w:color="auto"/>
                <w:left w:val="none" w:sz="0" w:space="0" w:color="auto"/>
                <w:bottom w:val="none" w:sz="0" w:space="0" w:color="auto"/>
                <w:right w:val="none" w:sz="0" w:space="0" w:color="auto"/>
              </w:divBdr>
            </w:div>
            <w:div w:id="900823441">
              <w:marLeft w:val="0"/>
              <w:marRight w:val="0"/>
              <w:marTop w:val="0"/>
              <w:marBottom w:val="0"/>
              <w:divBdr>
                <w:top w:val="none" w:sz="0" w:space="0" w:color="auto"/>
                <w:left w:val="none" w:sz="0" w:space="0" w:color="auto"/>
                <w:bottom w:val="none" w:sz="0" w:space="0" w:color="auto"/>
                <w:right w:val="none" w:sz="0" w:space="0" w:color="auto"/>
              </w:divBdr>
            </w:div>
            <w:div w:id="942300175">
              <w:marLeft w:val="0"/>
              <w:marRight w:val="0"/>
              <w:marTop w:val="0"/>
              <w:marBottom w:val="0"/>
              <w:divBdr>
                <w:top w:val="none" w:sz="0" w:space="0" w:color="auto"/>
                <w:left w:val="none" w:sz="0" w:space="0" w:color="auto"/>
                <w:bottom w:val="none" w:sz="0" w:space="0" w:color="auto"/>
                <w:right w:val="none" w:sz="0" w:space="0" w:color="auto"/>
              </w:divBdr>
            </w:div>
            <w:div w:id="1123304958">
              <w:marLeft w:val="0"/>
              <w:marRight w:val="0"/>
              <w:marTop w:val="0"/>
              <w:marBottom w:val="0"/>
              <w:divBdr>
                <w:top w:val="none" w:sz="0" w:space="0" w:color="auto"/>
                <w:left w:val="none" w:sz="0" w:space="0" w:color="auto"/>
                <w:bottom w:val="none" w:sz="0" w:space="0" w:color="auto"/>
                <w:right w:val="none" w:sz="0" w:space="0" w:color="auto"/>
              </w:divBdr>
            </w:div>
            <w:div w:id="1165436309">
              <w:marLeft w:val="0"/>
              <w:marRight w:val="0"/>
              <w:marTop w:val="0"/>
              <w:marBottom w:val="0"/>
              <w:divBdr>
                <w:top w:val="none" w:sz="0" w:space="0" w:color="auto"/>
                <w:left w:val="none" w:sz="0" w:space="0" w:color="auto"/>
                <w:bottom w:val="none" w:sz="0" w:space="0" w:color="auto"/>
                <w:right w:val="none" w:sz="0" w:space="0" w:color="auto"/>
              </w:divBdr>
            </w:div>
            <w:div w:id="1272469766">
              <w:marLeft w:val="0"/>
              <w:marRight w:val="0"/>
              <w:marTop w:val="0"/>
              <w:marBottom w:val="0"/>
              <w:divBdr>
                <w:top w:val="none" w:sz="0" w:space="0" w:color="auto"/>
                <w:left w:val="none" w:sz="0" w:space="0" w:color="auto"/>
                <w:bottom w:val="none" w:sz="0" w:space="0" w:color="auto"/>
                <w:right w:val="none" w:sz="0" w:space="0" w:color="auto"/>
              </w:divBdr>
            </w:div>
            <w:div w:id="1387678848">
              <w:marLeft w:val="0"/>
              <w:marRight w:val="0"/>
              <w:marTop w:val="0"/>
              <w:marBottom w:val="0"/>
              <w:divBdr>
                <w:top w:val="none" w:sz="0" w:space="0" w:color="auto"/>
                <w:left w:val="none" w:sz="0" w:space="0" w:color="auto"/>
                <w:bottom w:val="none" w:sz="0" w:space="0" w:color="auto"/>
                <w:right w:val="none" w:sz="0" w:space="0" w:color="auto"/>
              </w:divBdr>
            </w:div>
            <w:div w:id="1469202522">
              <w:marLeft w:val="0"/>
              <w:marRight w:val="0"/>
              <w:marTop w:val="0"/>
              <w:marBottom w:val="0"/>
              <w:divBdr>
                <w:top w:val="none" w:sz="0" w:space="0" w:color="auto"/>
                <w:left w:val="none" w:sz="0" w:space="0" w:color="auto"/>
                <w:bottom w:val="none" w:sz="0" w:space="0" w:color="auto"/>
                <w:right w:val="none" w:sz="0" w:space="0" w:color="auto"/>
              </w:divBdr>
            </w:div>
            <w:div w:id="1488739621">
              <w:marLeft w:val="0"/>
              <w:marRight w:val="0"/>
              <w:marTop w:val="0"/>
              <w:marBottom w:val="0"/>
              <w:divBdr>
                <w:top w:val="none" w:sz="0" w:space="0" w:color="auto"/>
                <w:left w:val="none" w:sz="0" w:space="0" w:color="auto"/>
                <w:bottom w:val="none" w:sz="0" w:space="0" w:color="auto"/>
                <w:right w:val="none" w:sz="0" w:space="0" w:color="auto"/>
              </w:divBdr>
            </w:div>
            <w:div w:id="1596132359">
              <w:marLeft w:val="0"/>
              <w:marRight w:val="0"/>
              <w:marTop w:val="0"/>
              <w:marBottom w:val="0"/>
              <w:divBdr>
                <w:top w:val="none" w:sz="0" w:space="0" w:color="auto"/>
                <w:left w:val="none" w:sz="0" w:space="0" w:color="auto"/>
                <w:bottom w:val="none" w:sz="0" w:space="0" w:color="auto"/>
                <w:right w:val="none" w:sz="0" w:space="0" w:color="auto"/>
              </w:divBdr>
            </w:div>
            <w:div w:id="1616980999">
              <w:marLeft w:val="0"/>
              <w:marRight w:val="0"/>
              <w:marTop w:val="0"/>
              <w:marBottom w:val="0"/>
              <w:divBdr>
                <w:top w:val="none" w:sz="0" w:space="0" w:color="auto"/>
                <w:left w:val="none" w:sz="0" w:space="0" w:color="auto"/>
                <w:bottom w:val="none" w:sz="0" w:space="0" w:color="auto"/>
                <w:right w:val="none" w:sz="0" w:space="0" w:color="auto"/>
              </w:divBdr>
            </w:div>
            <w:div w:id="1668941097">
              <w:marLeft w:val="0"/>
              <w:marRight w:val="0"/>
              <w:marTop w:val="0"/>
              <w:marBottom w:val="0"/>
              <w:divBdr>
                <w:top w:val="none" w:sz="0" w:space="0" w:color="auto"/>
                <w:left w:val="none" w:sz="0" w:space="0" w:color="auto"/>
                <w:bottom w:val="none" w:sz="0" w:space="0" w:color="auto"/>
                <w:right w:val="none" w:sz="0" w:space="0" w:color="auto"/>
              </w:divBdr>
            </w:div>
            <w:div w:id="1707751686">
              <w:marLeft w:val="0"/>
              <w:marRight w:val="0"/>
              <w:marTop w:val="0"/>
              <w:marBottom w:val="0"/>
              <w:divBdr>
                <w:top w:val="none" w:sz="0" w:space="0" w:color="auto"/>
                <w:left w:val="none" w:sz="0" w:space="0" w:color="auto"/>
                <w:bottom w:val="none" w:sz="0" w:space="0" w:color="auto"/>
                <w:right w:val="none" w:sz="0" w:space="0" w:color="auto"/>
              </w:divBdr>
            </w:div>
            <w:div w:id="1710564463">
              <w:marLeft w:val="0"/>
              <w:marRight w:val="0"/>
              <w:marTop w:val="0"/>
              <w:marBottom w:val="0"/>
              <w:divBdr>
                <w:top w:val="none" w:sz="0" w:space="0" w:color="auto"/>
                <w:left w:val="none" w:sz="0" w:space="0" w:color="auto"/>
                <w:bottom w:val="none" w:sz="0" w:space="0" w:color="auto"/>
                <w:right w:val="none" w:sz="0" w:space="0" w:color="auto"/>
              </w:divBdr>
            </w:div>
            <w:div w:id="1778790873">
              <w:marLeft w:val="0"/>
              <w:marRight w:val="0"/>
              <w:marTop w:val="0"/>
              <w:marBottom w:val="0"/>
              <w:divBdr>
                <w:top w:val="none" w:sz="0" w:space="0" w:color="auto"/>
                <w:left w:val="none" w:sz="0" w:space="0" w:color="auto"/>
                <w:bottom w:val="none" w:sz="0" w:space="0" w:color="auto"/>
                <w:right w:val="none" w:sz="0" w:space="0" w:color="auto"/>
              </w:divBdr>
            </w:div>
            <w:div w:id="1794057625">
              <w:marLeft w:val="0"/>
              <w:marRight w:val="0"/>
              <w:marTop w:val="0"/>
              <w:marBottom w:val="0"/>
              <w:divBdr>
                <w:top w:val="none" w:sz="0" w:space="0" w:color="auto"/>
                <w:left w:val="none" w:sz="0" w:space="0" w:color="auto"/>
                <w:bottom w:val="none" w:sz="0" w:space="0" w:color="auto"/>
                <w:right w:val="none" w:sz="0" w:space="0" w:color="auto"/>
              </w:divBdr>
            </w:div>
            <w:div w:id="1841004261">
              <w:marLeft w:val="0"/>
              <w:marRight w:val="0"/>
              <w:marTop w:val="0"/>
              <w:marBottom w:val="0"/>
              <w:divBdr>
                <w:top w:val="none" w:sz="0" w:space="0" w:color="auto"/>
                <w:left w:val="none" w:sz="0" w:space="0" w:color="auto"/>
                <w:bottom w:val="none" w:sz="0" w:space="0" w:color="auto"/>
                <w:right w:val="none" w:sz="0" w:space="0" w:color="auto"/>
              </w:divBdr>
            </w:div>
            <w:div w:id="1851673291">
              <w:marLeft w:val="0"/>
              <w:marRight w:val="0"/>
              <w:marTop w:val="0"/>
              <w:marBottom w:val="0"/>
              <w:divBdr>
                <w:top w:val="none" w:sz="0" w:space="0" w:color="auto"/>
                <w:left w:val="none" w:sz="0" w:space="0" w:color="auto"/>
                <w:bottom w:val="none" w:sz="0" w:space="0" w:color="auto"/>
                <w:right w:val="none" w:sz="0" w:space="0" w:color="auto"/>
              </w:divBdr>
            </w:div>
          </w:divsChild>
        </w:div>
        <w:div w:id="494688851">
          <w:marLeft w:val="0"/>
          <w:marRight w:val="0"/>
          <w:marTop w:val="0"/>
          <w:marBottom w:val="0"/>
          <w:divBdr>
            <w:top w:val="none" w:sz="0" w:space="0" w:color="auto"/>
            <w:left w:val="none" w:sz="0" w:space="0" w:color="auto"/>
            <w:bottom w:val="none" w:sz="0" w:space="0" w:color="auto"/>
            <w:right w:val="none" w:sz="0" w:space="0" w:color="auto"/>
          </w:divBdr>
        </w:div>
        <w:div w:id="494732579">
          <w:marLeft w:val="0"/>
          <w:marRight w:val="0"/>
          <w:marTop w:val="0"/>
          <w:marBottom w:val="0"/>
          <w:divBdr>
            <w:top w:val="none" w:sz="0" w:space="0" w:color="auto"/>
            <w:left w:val="none" w:sz="0" w:space="0" w:color="auto"/>
            <w:bottom w:val="none" w:sz="0" w:space="0" w:color="auto"/>
            <w:right w:val="none" w:sz="0" w:space="0" w:color="auto"/>
          </w:divBdr>
        </w:div>
        <w:div w:id="510264991">
          <w:marLeft w:val="0"/>
          <w:marRight w:val="0"/>
          <w:marTop w:val="0"/>
          <w:marBottom w:val="0"/>
          <w:divBdr>
            <w:top w:val="none" w:sz="0" w:space="0" w:color="auto"/>
            <w:left w:val="none" w:sz="0" w:space="0" w:color="auto"/>
            <w:bottom w:val="none" w:sz="0" w:space="0" w:color="auto"/>
            <w:right w:val="none" w:sz="0" w:space="0" w:color="auto"/>
          </w:divBdr>
        </w:div>
        <w:div w:id="523134212">
          <w:marLeft w:val="0"/>
          <w:marRight w:val="0"/>
          <w:marTop w:val="0"/>
          <w:marBottom w:val="0"/>
          <w:divBdr>
            <w:top w:val="none" w:sz="0" w:space="0" w:color="auto"/>
            <w:left w:val="none" w:sz="0" w:space="0" w:color="auto"/>
            <w:bottom w:val="none" w:sz="0" w:space="0" w:color="auto"/>
            <w:right w:val="none" w:sz="0" w:space="0" w:color="auto"/>
          </w:divBdr>
        </w:div>
        <w:div w:id="538128397">
          <w:marLeft w:val="0"/>
          <w:marRight w:val="0"/>
          <w:marTop w:val="0"/>
          <w:marBottom w:val="0"/>
          <w:divBdr>
            <w:top w:val="none" w:sz="0" w:space="0" w:color="auto"/>
            <w:left w:val="none" w:sz="0" w:space="0" w:color="auto"/>
            <w:bottom w:val="none" w:sz="0" w:space="0" w:color="auto"/>
            <w:right w:val="none" w:sz="0" w:space="0" w:color="auto"/>
          </w:divBdr>
        </w:div>
        <w:div w:id="541405244">
          <w:marLeft w:val="0"/>
          <w:marRight w:val="0"/>
          <w:marTop w:val="0"/>
          <w:marBottom w:val="0"/>
          <w:divBdr>
            <w:top w:val="none" w:sz="0" w:space="0" w:color="auto"/>
            <w:left w:val="none" w:sz="0" w:space="0" w:color="auto"/>
            <w:bottom w:val="none" w:sz="0" w:space="0" w:color="auto"/>
            <w:right w:val="none" w:sz="0" w:space="0" w:color="auto"/>
          </w:divBdr>
        </w:div>
        <w:div w:id="547179804">
          <w:marLeft w:val="0"/>
          <w:marRight w:val="0"/>
          <w:marTop w:val="0"/>
          <w:marBottom w:val="0"/>
          <w:divBdr>
            <w:top w:val="none" w:sz="0" w:space="0" w:color="auto"/>
            <w:left w:val="none" w:sz="0" w:space="0" w:color="auto"/>
            <w:bottom w:val="none" w:sz="0" w:space="0" w:color="auto"/>
            <w:right w:val="none" w:sz="0" w:space="0" w:color="auto"/>
          </w:divBdr>
        </w:div>
        <w:div w:id="563033449">
          <w:marLeft w:val="0"/>
          <w:marRight w:val="0"/>
          <w:marTop w:val="0"/>
          <w:marBottom w:val="0"/>
          <w:divBdr>
            <w:top w:val="none" w:sz="0" w:space="0" w:color="auto"/>
            <w:left w:val="none" w:sz="0" w:space="0" w:color="auto"/>
            <w:bottom w:val="none" w:sz="0" w:space="0" w:color="auto"/>
            <w:right w:val="none" w:sz="0" w:space="0" w:color="auto"/>
          </w:divBdr>
        </w:div>
        <w:div w:id="567569255">
          <w:marLeft w:val="0"/>
          <w:marRight w:val="0"/>
          <w:marTop w:val="0"/>
          <w:marBottom w:val="0"/>
          <w:divBdr>
            <w:top w:val="none" w:sz="0" w:space="0" w:color="auto"/>
            <w:left w:val="none" w:sz="0" w:space="0" w:color="auto"/>
            <w:bottom w:val="none" w:sz="0" w:space="0" w:color="auto"/>
            <w:right w:val="none" w:sz="0" w:space="0" w:color="auto"/>
          </w:divBdr>
        </w:div>
        <w:div w:id="571165340">
          <w:marLeft w:val="0"/>
          <w:marRight w:val="0"/>
          <w:marTop w:val="0"/>
          <w:marBottom w:val="0"/>
          <w:divBdr>
            <w:top w:val="none" w:sz="0" w:space="0" w:color="auto"/>
            <w:left w:val="none" w:sz="0" w:space="0" w:color="auto"/>
            <w:bottom w:val="none" w:sz="0" w:space="0" w:color="auto"/>
            <w:right w:val="none" w:sz="0" w:space="0" w:color="auto"/>
          </w:divBdr>
        </w:div>
        <w:div w:id="583495789">
          <w:marLeft w:val="0"/>
          <w:marRight w:val="0"/>
          <w:marTop w:val="0"/>
          <w:marBottom w:val="0"/>
          <w:divBdr>
            <w:top w:val="none" w:sz="0" w:space="0" w:color="auto"/>
            <w:left w:val="none" w:sz="0" w:space="0" w:color="auto"/>
            <w:bottom w:val="none" w:sz="0" w:space="0" w:color="auto"/>
            <w:right w:val="none" w:sz="0" w:space="0" w:color="auto"/>
          </w:divBdr>
        </w:div>
        <w:div w:id="583606717">
          <w:marLeft w:val="0"/>
          <w:marRight w:val="0"/>
          <w:marTop w:val="0"/>
          <w:marBottom w:val="0"/>
          <w:divBdr>
            <w:top w:val="none" w:sz="0" w:space="0" w:color="auto"/>
            <w:left w:val="none" w:sz="0" w:space="0" w:color="auto"/>
            <w:bottom w:val="none" w:sz="0" w:space="0" w:color="auto"/>
            <w:right w:val="none" w:sz="0" w:space="0" w:color="auto"/>
          </w:divBdr>
        </w:div>
        <w:div w:id="586689757">
          <w:marLeft w:val="0"/>
          <w:marRight w:val="0"/>
          <w:marTop w:val="0"/>
          <w:marBottom w:val="0"/>
          <w:divBdr>
            <w:top w:val="none" w:sz="0" w:space="0" w:color="auto"/>
            <w:left w:val="none" w:sz="0" w:space="0" w:color="auto"/>
            <w:bottom w:val="none" w:sz="0" w:space="0" w:color="auto"/>
            <w:right w:val="none" w:sz="0" w:space="0" w:color="auto"/>
          </w:divBdr>
        </w:div>
        <w:div w:id="597983111">
          <w:marLeft w:val="0"/>
          <w:marRight w:val="0"/>
          <w:marTop w:val="0"/>
          <w:marBottom w:val="0"/>
          <w:divBdr>
            <w:top w:val="none" w:sz="0" w:space="0" w:color="auto"/>
            <w:left w:val="none" w:sz="0" w:space="0" w:color="auto"/>
            <w:bottom w:val="none" w:sz="0" w:space="0" w:color="auto"/>
            <w:right w:val="none" w:sz="0" w:space="0" w:color="auto"/>
          </w:divBdr>
        </w:div>
        <w:div w:id="611940775">
          <w:marLeft w:val="0"/>
          <w:marRight w:val="0"/>
          <w:marTop w:val="0"/>
          <w:marBottom w:val="0"/>
          <w:divBdr>
            <w:top w:val="none" w:sz="0" w:space="0" w:color="auto"/>
            <w:left w:val="none" w:sz="0" w:space="0" w:color="auto"/>
            <w:bottom w:val="none" w:sz="0" w:space="0" w:color="auto"/>
            <w:right w:val="none" w:sz="0" w:space="0" w:color="auto"/>
          </w:divBdr>
        </w:div>
        <w:div w:id="623467927">
          <w:marLeft w:val="0"/>
          <w:marRight w:val="0"/>
          <w:marTop w:val="0"/>
          <w:marBottom w:val="0"/>
          <w:divBdr>
            <w:top w:val="none" w:sz="0" w:space="0" w:color="auto"/>
            <w:left w:val="none" w:sz="0" w:space="0" w:color="auto"/>
            <w:bottom w:val="none" w:sz="0" w:space="0" w:color="auto"/>
            <w:right w:val="none" w:sz="0" w:space="0" w:color="auto"/>
          </w:divBdr>
        </w:div>
        <w:div w:id="641930830">
          <w:marLeft w:val="0"/>
          <w:marRight w:val="0"/>
          <w:marTop w:val="0"/>
          <w:marBottom w:val="0"/>
          <w:divBdr>
            <w:top w:val="none" w:sz="0" w:space="0" w:color="auto"/>
            <w:left w:val="none" w:sz="0" w:space="0" w:color="auto"/>
            <w:bottom w:val="none" w:sz="0" w:space="0" w:color="auto"/>
            <w:right w:val="none" w:sz="0" w:space="0" w:color="auto"/>
          </w:divBdr>
        </w:div>
        <w:div w:id="656880145">
          <w:marLeft w:val="0"/>
          <w:marRight w:val="0"/>
          <w:marTop w:val="0"/>
          <w:marBottom w:val="0"/>
          <w:divBdr>
            <w:top w:val="none" w:sz="0" w:space="0" w:color="auto"/>
            <w:left w:val="none" w:sz="0" w:space="0" w:color="auto"/>
            <w:bottom w:val="none" w:sz="0" w:space="0" w:color="auto"/>
            <w:right w:val="none" w:sz="0" w:space="0" w:color="auto"/>
          </w:divBdr>
        </w:div>
        <w:div w:id="657654103">
          <w:marLeft w:val="0"/>
          <w:marRight w:val="0"/>
          <w:marTop w:val="0"/>
          <w:marBottom w:val="0"/>
          <w:divBdr>
            <w:top w:val="none" w:sz="0" w:space="0" w:color="auto"/>
            <w:left w:val="none" w:sz="0" w:space="0" w:color="auto"/>
            <w:bottom w:val="none" w:sz="0" w:space="0" w:color="auto"/>
            <w:right w:val="none" w:sz="0" w:space="0" w:color="auto"/>
          </w:divBdr>
        </w:div>
        <w:div w:id="694425488">
          <w:marLeft w:val="0"/>
          <w:marRight w:val="0"/>
          <w:marTop w:val="0"/>
          <w:marBottom w:val="0"/>
          <w:divBdr>
            <w:top w:val="none" w:sz="0" w:space="0" w:color="auto"/>
            <w:left w:val="none" w:sz="0" w:space="0" w:color="auto"/>
            <w:bottom w:val="none" w:sz="0" w:space="0" w:color="auto"/>
            <w:right w:val="none" w:sz="0" w:space="0" w:color="auto"/>
          </w:divBdr>
        </w:div>
        <w:div w:id="709913833">
          <w:marLeft w:val="0"/>
          <w:marRight w:val="0"/>
          <w:marTop w:val="0"/>
          <w:marBottom w:val="0"/>
          <w:divBdr>
            <w:top w:val="none" w:sz="0" w:space="0" w:color="auto"/>
            <w:left w:val="none" w:sz="0" w:space="0" w:color="auto"/>
            <w:bottom w:val="none" w:sz="0" w:space="0" w:color="auto"/>
            <w:right w:val="none" w:sz="0" w:space="0" w:color="auto"/>
          </w:divBdr>
          <w:divsChild>
            <w:div w:id="26415232">
              <w:marLeft w:val="0"/>
              <w:marRight w:val="0"/>
              <w:marTop w:val="0"/>
              <w:marBottom w:val="0"/>
              <w:divBdr>
                <w:top w:val="none" w:sz="0" w:space="0" w:color="auto"/>
                <w:left w:val="none" w:sz="0" w:space="0" w:color="auto"/>
                <w:bottom w:val="none" w:sz="0" w:space="0" w:color="auto"/>
                <w:right w:val="none" w:sz="0" w:space="0" w:color="auto"/>
              </w:divBdr>
            </w:div>
            <w:div w:id="74322586">
              <w:marLeft w:val="0"/>
              <w:marRight w:val="0"/>
              <w:marTop w:val="0"/>
              <w:marBottom w:val="0"/>
              <w:divBdr>
                <w:top w:val="none" w:sz="0" w:space="0" w:color="auto"/>
                <w:left w:val="none" w:sz="0" w:space="0" w:color="auto"/>
                <w:bottom w:val="none" w:sz="0" w:space="0" w:color="auto"/>
                <w:right w:val="none" w:sz="0" w:space="0" w:color="auto"/>
              </w:divBdr>
            </w:div>
            <w:div w:id="99105330">
              <w:marLeft w:val="0"/>
              <w:marRight w:val="0"/>
              <w:marTop w:val="0"/>
              <w:marBottom w:val="0"/>
              <w:divBdr>
                <w:top w:val="none" w:sz="0" w:space="0" w:color="auto"/>
                <w:left w:val="none" w:sz="0" w:space="0" w:color="auto"/>
                <w:bottom w:val="none" w:sz="0" w:space="0" w:color="auto"/>
                <w:right w:val="none" w:sz="0" w:space="0" w:color="auto"/>
              </w:divBdr>
            </w:div>
            <w:div w:id="115219513">
              <w:marLeft w:val="0"/>
              <w:marRight w:val="0"/>
              <w:marTop w:val="0"/>
              <w:marBottom w:val="0"/>
              <w:divBdr>
                <w:top w:val="none" w:sz="0" w:space="0" w:color="auto"/>
                <w:left w:val="none" w:sz="0" w:space="0" w:color="auto"/>
                <w:bottom w:val="none" w:sz="0" w:space="0" w:color="auto"/>
                <w:right w:val="none" w:sz="0" w:space="0" w:color="auto"/>
              </w:divBdr>
            </w:div>
            <w:div w:id="291791592">
              <w:marLeft w:val="0"/>
              <w:marRight w:val="0"/>
              <w:marTop w:val="0"/>
              <w:marBottom w:val="0"/>
              <w:divBdr>
                <w:top w:val="none" w:sz="0" w:space="0" w:color="auto"/>
                <w:left w:val="none" w:sz="0" w:space="0" w:color="auto"/>
                <w:bottom w:val="none" w:sz="0" w:space="0" w:color="auto"/>
                <w:right w:val="none" w:sz="0" w:space="0" w:color="auto"/>
              </w:divBdr>
            </w:div>
            <w:div w:id="296181997">
              <w:marLeft w:val="0"/>
              <w:marRight w:val="0"/>
              <w:marTop w:val="0"/>
              <w:marBottom w:val="0"/>
              <w:divBdr>
                <w:top w:val="none" w:sz="0" w:space="0" w:color="auto"/>
                <w:left w:val="none" w:sz="0" w:space="0" w:color="auto"/>
                <w:bottom w:val="none" w:sz="0" w:space="0" w:color="auto"/>
                <w:right w:val="none" w:sz="0" w:space="0" w:color="auto"/>
              </w:divBdr>
            </w:div>
            <w:div w:id="597520651">
              <w:marLeft w:val="0"/>
              <w:marRight w:val="0"/>
              <w:marTop w:val="0"/>
              <w:marBottom w:val="0"/>
              <w:divBdr>
                <w:top w:val="none" w:sz="0" w:space="0" w:color="auto"/>
                <w:left w:val="none" w:sz="0" w:space="0" w:color="auto"/>
                <w:bottom w:val="none" w:sz="0" w:space="0" w:color="auto"/>
                <w:right w:val="none" w:sz="0" w:space="0" w:color="auto"/>
              </w:divBdr>
            </w:div>
            <w:div w:id="664478255">
              <w:marLeft w:val="0"/>
              <w:marRight w:val="0"/>
              <w:marTop w:val="0"/>
              <w:marBottom w:val="0"/>
              <w:divBdr>
                <w:top w:val="none" w:sz="0" w:space="0" w:color="auto"/>
                <w:left w:val="none" w:sz="0" w:space="0" w:color="auto"/>
                <w:bottom w:val="none" w:sz="0" w:space="0" w:color="auto"/>
                <w:right w:val="none" w:sz="0" w:space="0" w:color="auto"/>
              </w:divBdr>
            </w:div>
            <w:div w:id="702091662">
              <w:marLeft w:val="0"/>
              <w:marRight w:val="0"/>
              <w:marTop w:val="0"/>
              <w:marBottom w:val="0"/>
              <w:divBdr>
                <w:top w:val="none" w:sz="0" w:space="0" w:color="auto"/>
                <w:left w:val="none" w:sz="0" w:space="0" w:color="auto"/>
                <w:bottom w:val="none" w:sz="0" w:space="0" w:color="auto"/>
                <w:right w:val="none" w:sz="0" w:space="0" w:color="auto"/>
              </w:divBdr>
            </w:div>
            <w:div w:id="972448898">
              <w:marLeft w:val="0"/>
              <w:marRight w:val="0"/>
              <w:marTop w:val="0"/>
              <w:marBottom w:val="0"/>
              <w:divBdr>
                <w:top w:val="none" w:sz="0" w:space="0" w:color="auto"/>
                <w:left w:val="none" w:sz="0" w:space="0" w:color="auto"/>
                <w:bottom w:val="none" w:sz="0" w:space="0" w:color="auto"/>
                <w:right w:val="none" w:sz="0" w:space="0" w:color="auto"/>
              </w:divBdr>
            </w:div>
            <w:div w:id="1207138697">
              <w:marLeft w:val="0"/>
              <w:marRight w:val="0"/>
              <w:marTop w:val="0"/>
              <w:marBottom w:val="0"/>
              <w:divBdr>
                <w:top w:val="none" w:sz="0" w:space="0" w:color="auto"/>
                <w:left w:val="none" w:sz="0" w:space="0" w:color="auto"/>
                <w:bottom w:val="none" w:sz="0" w:space="0" w:color="auto"/>
                <w:right w:val="none" w:sz="0" w:space="0" w:color="auto"/>
              </w:divBdr>
            </w:div>
            <w:div w:id="1258753379">
              <w:marLeft w:val="0"/>
              <w:marRight w:val="0"/>
              <w:marTop w:val="0"/>
              <w:marBottom w:val="0"/>
              <w:divBdr>
                <w:top w:val="none" w:sz="0" w:space="0" w:color="auto"/>
                <w:left w:val="none" w:sz="0" w:space="0" w:color="auto"/>
                <w:bottom w:val="none" w:sz="0" w:space="0" w:color="auto"/>
                <w:right w:val="none" w:sz="0" w:space="0" w:color="auto"/>
              </w:divBdr>
            </w:div>
            <w:div w:id="1335567248">
              <w:marLeft w:val="0"/>
              <w:marRight w:val="0"/>
              <w:marTop w:val="0"/>
              <w:marBottom w:val="0"/>
              <w:divBdr>
                <w:top w:val="none" w:sz="0" w:space="0" w:color="auto"/>
                <w:left w:val="none" w:sz="0" w:space="0" w:color="auto"/>
                <w:bottom w:val="none" w:sz="0" w:space="0" w:color="auto"/>
                <w:right w:val="none" w:sz="0" w:space="0" w:color="auto"/>
              </w:divBdr>
            </w:div>
            <w:div w:id="1358920675">
              <w:marLeft w:val="0"/>
              <w:marRight w:val="0"/>
              <w:marTop w:val="0"/>
              <w:marBottom w:val="0"/>
              <w:divBdr>
                <w:top w:val="none" w:sz="0" w:space="0" w:color="auto"/>
                <w:left w:val="none" w:sz="0" w:space="0" w:color="auto"/>
                <w:bottom w:val="none" w:sz="0" w:space="0" w:color="auto"/>
                <w:right w:val="none" w:sz="0" w:space="0" w:color="auto"/>
              </w:divBdr>
            </w:div>
            <w:div w:id="1447390767">
              <w:marLeft w:val="0"/>
              <w:marRight w:val="0"/>
              <w:marTop w:val="0"/>
              <w:marBottom w:val="0"/>
              <w:divBdr>
                <w:top w:val="none" w:sz="0" w:space="0" w:color="auto"/>
                <w:left w:val="none" w:sz="0" w:space="0" w:color="auto"/>
                <w:bottom w:val="none" w:sz="0" w:space="0" w:color="auto"/>
                <w:right w:val="none" w:sz="0" w:space="0" w:color="auto"/>
              </w:divBdr>
            </w:div>
            <w:div w:id="1521428676">
              <w:marLeft w:val="0"/>
              <w:marRight w:val="0"/>
              <w:marTop w:val="0"/>
              <w:marBottom w:val="0"/>
              <w:divBdr>
                <w:top w:val="none" w:sz="0" w:space="0" w:color="auto"/>
                <w:left w:val="none" w:sz="0" w:space="0" w:color="auto"/>
                <w:bottom w:val="none" w:sz="0" w:space="0" w:color="auto"/>
                <w:right w:val="none" w:sz="0" w:space="0" w:color="auto"/>
              </w:divBdr>
            </w:div>
            <w:div w:id="1918592270">
              <w:marLeft w:val="0"/>
              <w:marRight w:val="0"/>
              <w:marTop w:val="0"/>
              <w:marBottom w:val="0"/>
              <w:divBdr>
                <w:top w:val="none" w:sz="0" w:space="0" w:color="auto"/>
                <w:left w:val="none" w:sz="0" w:space="0" w:color="auto"/>
                <w:bottom w:val="none" w:sz="0" w:space="0" w:color="auto"/>
                <w:right w:val="none" w:sz="0" w:space="0" w:color="auto"/>
              </w:divBdr>
            </w:div>
            <w:div w:id="1945116638">
              <w:marLeft w:val="0"/>
              <w:marRight w:val="0"/>
              <w:marTop w:val="0"/>
              <w:marBottom w:val="0"/>
              <w:divBdr>
                <w:top w:val="none" w:sz="0" w:space="0" w:color="auto"/>
                <w:left w:val="none" w:sz="0" w:space="0" w:color="auto"/>
                <w:bottom w:val="none" w:sz="0" w:space="0" w:color="auto"/>
                <w:right w:val="none" w:sz="0" w:space="0" w:color="auto"/>
              </w:divBdr>
            </w:div>
            <w:div w:id="1999339336">
              <w:marLeft w:val="0"/>
              <w:marRight w:val="0"/>
              <w:marTop w:val="0"/>
              <w:marBottom w:val="0"/>
              <w:divBdr>
                <w:top w:val="none" w:sz="0" w:space="0" w:color="auto"/>
                <w:left w:val="none" w:sz="0" w:space="0" w:color="auto"/>
                <w:bottom w:val="none" w:sz="0" w:space="0" w:color="auto"/>
                <w:right w:val="none" w:sz="0" w:space="0" w:color="auto"/>
              </w:divBdr>
            </w:div>
            <w:div w:id="2115782593">
              <w:marLeft w:val="0"/>
              <w:marRight w:val="0"/>
              <w:marTop w:val="0"/>
              <w:marBottom w:val="0"/>
              <w:divBdr>
                <w:top w:val="none" w:sz="0" w:space="0" w:color="auto"/>
                <w:left w:val="none" w:sz="0" w:space="0" w:color="auto"/>
                <w:bottom w:val="none" w:sz="0" w:space="0" w:color="auto"/>
                <w:right w:val="none" w:sz="0" w:space="0" w:color="auto"/>
              </w:divBdr>
            </w:div>
          </w:divsChild>
        </w:div>
        <w:div w:id="727999462">
          <w:marLeft w:val="0"/>
          <w:marRight w:val="0"/>
          <w:marTop w:val="0"/>
          <w:marBottom w:val="0"/>
          <w:divBdr>
            <w:top w:val="none" w:sz="0" w:space="0" w:color="auto"/>
            <w:left w:val="none" w:sz="0" w:space="0" w:color="auto"/>
            <w:bottom w:val="none" w:sz="0" w:space="0" w:color="auto"/>
            <w:right w:val="none" w:sz="0" w:space="0" w:color="auto"/>
          </w:divBdr>
        </w:div>
        <w:div w:id="738480996">
          <w:marLeft w:val="0"/>
          <w:marRight w:val="0"/>
          <w:marTop w:val="0"/>
          <w:marBottom w:val="0"/>
          <w:divBdr>
            <w:top w:val="none" w:sz="0" w:space="0" w:color="auto"/>
            <w:left w:val="none" w:sz="0" w:space="0" w:color="auto"/>
            <w:bottom w:val="none" w:sz="0" w:space="0" w:color="auto"/>
            <w:right w:val="none" w:sz="0" w:space="0" w:color="auto"/>
          </w:divBdr>
        </w:div>
        <w:div w:id="741608471">
          <w:marLeft w:val="0"/>
          <w:marRight w:val="0"/>
          <w:marTop w:val="0"/>
          <w:marBottom w:val="0"/>
          <w:divBdr>
            <w:top w:val="none" w:sz="0" w:space="0" w:color="auto"/>
            <w:left w:val="none" w:sz="0" w:space="0" w:color="auto"/>
            <w:bottom w:val="none" w:sz="0" w:space="0" w:color="auto"/>
            <w:right w:val="none" w:sz="0" w:space="0" w:color="auto"/>
          </w:divBdr>
        </w:div>
        <w:div w:id="746809963">
          <w:marLeft w:val="0"/>
          <w:marRight w:val="0"/>
          <w:marTop w:val="0"/>
          <w:marBottom w:val="0"/>
          <w:divBdr>
            <w:top w:val="none" w:sz="0" w:space="0" w:color="auto"/>
            <w:left w:val="none" w:sz="0" w:space="0" w:color="auto"/>
            <w:bottom w:val="none" w:sz="0" w:space="0" w:color="auto"/>
            <w:right w:val="none" w:sz="0" w:space="0" w:color="auto"/>
          </w:divBdr>
        </w:div>
        <w:div w:id="764812452">
          <w:marLeft w:val="0"/>
          <w:marRight w:val="0"/>
          <w:marTop w:val="0"/>
          <w:marBottom w:val="0"/>
          <w:divBdr>
            <w:top w:val="none" w:sz="0" w:space="0" w:color="auto"/>
            <w:left w:val="none" w:sz="0" w:space="0" w:color="auto"/>
            <w:bottom w:val="none" w:sz="0" w:space="0" w:color="auto"/>
            <w:right w:val="none" w:sz="0" w:space="0" w:color="auto"/>
          </w:divBdr>
        </w:div>
        <w:div w:id="769551518">
          <w:marLeft w:val="0"/>
          <w:marRight w:val="0"/>
          <w:marTop w:val="0"/>
          <w:marBottom w:val="0"/>
          <w:divBdr>
            <w:top w:val="none" w:sz="0" w:space="0" w:color="auto"/>
            <w:left w:val="none" w:sz="0" w:space="0" w:color="auto"/>
            <w:bottom w:val="none" w:sz="0" w:space="0" w:color="auto"/>
            <w:right w:val="none" w:sz="0" w:space="0" w:color="auto"/>
          </w:divBdr>
        </w:div>
        <w:div w:id="782842913">
          <w:marLeft w:val="0"/>
          <w:marRight w:val="0"/>
          <w:marTop w:val="0"/>
          <w:marBottom w:val="0"/>
          <w:divBdr>
            <w:top w:val="none" w:sz="0" w:space="0" w:color="auto"/>
            <w:left w:val="none" w:sz="0" w:space="0" w:color="auto"/>
            <w:bottom w:val="none" w:sz="0" w:space="0" w:color="auto"/>
            <w:right w:val="none" w:sz="0" w:space="0" w:color="auto"/>
          </w:divBdr>
        </w:div>
        <w:div w:id="794131641">
          <w:marLeft w:val="0"/>
          <w:marRight w:val="0"/>
          <w:marTop w:val="0"/>
          <w:marBottom w:val="0"/>
          <w:divBdr>
            <w:top w:val="none" w:sz="0" w:space="0" w:color="auto"/>
            <w:left w:val="none" w:sz="0" w:space="0" w:color="auto"/>
            <w:bottom w:val="none" w:sz="0" w:space="0" w:color="auto"/>
            <w:right w:val="none" w:sz="0" w:space="0" w:color="auto"/>
          </w:divBdr>
        </w:div>
        <w:div w:id="801994882">
          <w:marLeft w:val="0"/>
          <w:marRight w:val="0"/>
          <w:marTop w:val="0"/>
          <w:marBottom w:val="0"/>
          <w:divBdr>
            <w:top w:val="none" w:sz="0" w:space="0" w:color="auto"/>
            <w:left w:val="none" w:sz="0" w:space="0" w:color="auto"/>
            <w:bottom w:val="none" w:sz="0" w:space="0" w:color="auto"/>
            <w:right w:val="none" w:sz="0" w:space="0" w:color="auto"/>
          </w:divBdr>
        </w:div>
        <w:div w:id="813718450">
          <w:marLeft w:val="0"/>
          <w:marRight w:val="0"/>
          <w:marTop w:val="0"/>
          <w:marBottom w:val="0"/>
          <w:divBdr>
            <w:top w:val="none" w:sz="0" w:space="0" w:color="auto"/>
            <w:left w:val="none" w:sz="0" w:space="0" w:color="auto"/>
            <w:bottom w:val="none" w:sz="0" w:space="0" w:color="auto"/>
            <w:right w:val="none" w:sz="0" w:space="0" w:color="auto"/>
          </w:divBdr>
        </w:div>
        <w:div w:id="829518221">
          <w:marLeft w:val="0"/>
          <w:marRight w:val="0"/>
          <w:marTop w:val="0"/>
          <w:marBottom w:val="0"/>
          <w:divBdr>
            <w:top w:val="none" w:sz="0" w:space="0" w:color="auto"/>
            <w:left w:val="none" w:sz="0" w:space="0" w:color="auto"/>
            <w:bottom w:val="none" w:sz="0" w:space="0" w:color="auto"/>
            <w:right w:val="none" w:sz="0" w:space="0" w:color="auto"/>
          </w:divBdr>
        </w:div>
        <w:div w:id="845168271">
          <w:marLeft w:val="0"/>
          <w:marRight w:val="0"/>
          <w:marTop w:val="0"/>
          <w:marBottom w:val="0"/>
          <w:divBdr>
            <w:top w:val="none" w:sz="0" w:space="0" w:color="auto"/>
            <w:left w:val="none" w:sz="0" w:space="0" w:color="auto"/>
            <w:bottom w:val="none" w:sz="0" w:space="0" w:color="auto"/>
            <w:right w:val="none" w:sz="0" w:space="0" w:color="auto"/>
          </w:divBdr>
        </w:div>
        <w:div w:id="851652565">
          <w:marLeft w:val="0"/>
          <w:marRight w:val="0"/>
          <w:marTop w:val="0"/>
          <w:marBottom w:val="0"/>
          <w:divBdr>
            <w:top w:val="none" w:sz="0" w:space="0" w:color="auto"/>
            <w:left w:val="none" w:sz="0" w:space="0" w:color="auto"/>
            <w:bottom w:val="none" w:sz="0" w:space="0" w:color="auto"/>
            <w:right w:val="none" w:sz="0" w:space="0" w:color="auto"/>
          </w:divBdr>
        </w:div>
        <w:div w:id="858737742">
          <w:marLeft w:val="0"/>
          <w:marRight w:val="0"/>
          <w:marTop w:val="0"/>
          <w:marBottom w:val="0"/>
          <w:divBdr>
            <w:top w:val="none" w:sz="0" w:space="0" w:color="auto"/>
            <w:left w:val="none" w:sz="0" w:space="0" w:color="auto"/>
            <w:bottom w:val="none" w:sz="0" w:space="0" w:color="auto"/>
            <w:right w:val="none" w:sz="0" w:space="0" w:color="auto"/>
          </w:divBdr>
        </w:div>
        <w:div w:id="884760498">
          <w:marLeft w:val="0"/>
          <w:marRight w:val="0"/>
          <w:marTop w:val="0"/>
          <w:marBottom w:val="0"/>
          <w:divBdr>
            <w:top w:val="none" w:sz="0" w:space="0" w:color="auto"/>
            <w:left w:val="none" w:sz="0" w:space="0" w:color="auto"/>
            <w:bottom w:val="none" w:sz="0" w:space="0" w:color="auto"/>
            <w:right w:val="none" w:sz="0" w:space="0" w:color="auto"/>
          </w:divBdr>
        </w:div>
        <w:div w:id="908345198">
          <w:marLeft w:val="0"/>
          <w:marRight w:val="0"/>
          <w:marTop w:val="0"/>
          <w:marBottom w:val="0"/>
          <w:divBdr>
            <w:top w:val="none" w:sz="0" w:space="0" w:color="auto"/>
            <w:left w:val="none" w:sz="0" w:space="0" w:color="auto"/>
            <w:bottom w:val="none" w:sz="0" w:space="0" w:color="auto"/>
            <w:right w:val="none" w:sz="0" w:space="0" w:color="auto"/>
          </w:divBdr>
        </w:div>
        <w:div w:id="910240626">
          <w:marLeft w:val="0"/>
          <w:marRight w:val="0"/>
          <w:marTop w:val="0"/>
          <w:marBottom w:val="0"/>
          <w:divBdr>
            <w:top w:val="none" w:sz="0" w:space="0" w:color="auto"/>
            <w:left w:val="none" w:sz="0" w:space="0" w:color="auto"/>
            <w:bottom w:val="none" w:sz="0" w:space="0" w:color="auto"/>
            <w:right w:val="none" w:sz="0" w:space="0" w:color="auto"/>
          </w:divBdr>
        </w:div>
        <w:div w:id="917180385">
          <w:marLeft w:val="0"/>
          <w:marRight w:val="0"/>
          <w:marTop w:val="0"/>
          <w:marBottom w:val="0"/>
          <w:divBdr>
            <w:top w:val="none" w:sz="0" w:space="0" w:color="auto"/>
            <w:left w:val="none" w:sz="0" w:space="0" w:color="auto"/>
            <w:bottom w:val="none" w:sz="0" w:space="0" w:color="auto"/>
            <w:right w:val="none" w:sz="0" w:space="0" w:color="auto"/>
          </w:divBdr>
        </w:div>
        <w:div w:id="924071531">
          <w:marLeft w:val="0"/>
          <w:marRight w:val="0"/>
          <w:marTop w:val="0"/>
          <w:marBottom w:val="0"/>
          <w:divBdr>
            <w:top w:val="none" w:sz="0" w:space="0" w:color="auto"/>
            <w:left w:val="none" w:sz="0" w:space="0" w:color="auto"/>
            <w:bottom w:val="none" w:sz="0" w:space="0" w:color="auto"/>
            <w:right w:val="none" w:sz="0" w:space="0" w:color="auto"/>
          </w:divBdr>
        </w:div>
        <w:div w:id="935014725">
          <w:marLeft w:val="0"/>
          <w:marRight w:val="0"/>
          <w:marTop w:val="0"/>
          <w:marBottom w:val="0"/>
          <w:divBdr>
            <w:top w:val="none" w:sz="0" w:space="0" w:color="auto"/>
            <w:left w:val="none" w:sz="0" w:space="0" w:color="auto"/>
            <w:bottom w:val="none" w:sz="0" w:space="0" w:color="auto"/>
            <w:right w:val="none" w:sz="0" w:space="0" w:color="auto"/>
          </w:divBdr>
        </w:div>
        <w:div w:id="956790516">
          <w:marLeft w:val="0"/>
          <w:marRight w:val="0"/>
          <w:marTop w:val="0"/>
          <w:marBottom w:val="0"/>
          <w:divBdr>
            <w:top w:val="none" w:sz="0" w:space="0" w:color="auto"/>
            <w:left w:val="none" w:sz="0" w:space="0" w:color="auto"/>
            <w:bottom w:val="none" w:sz="0" w:space="0" w:color="auto"/>
            <w:right w:val="none" w:sz="0" w:space="0" w:color="auto"/>
          </w:divBdr>
        </w:div>
        <w:div w:id="961378622">
          <w:marLeft w:val="0"/>
          <w:marRight w:val="0"/>
          <w:marTop w:val="0"/>
          <w:marBottom w:val="0"/>
          <w:divBdr>
            <w:top w:val="none" w:sz="0" w:space="0" w:color="auto"/>
            <w:left w:val="none" w:sz="0" w:space="0" w:color="auto"/>
            <w:bottom w:val="none" w:sz="0" w:space="0" w:color="auto"/>
            <w:right w:val="none" w:sz="0" w:space="0" w:color="auto"/>
          </w:divBdr>
        </w:div>
        <w:div w:id="963072850">
          <w:marLeft w:val="0"/>
          <w:marRight w:val="0"/>
          <w:marTop w:val="0"/>
          <w:marBottom w:val="0"/>
          <w:divBdr>
            <w:top w:val="none" w:sz="0" w:space="0" w:color="auto"/>
            <w:left w:val="none" w:sz="0" w:space="0" w:color="auto"/>
            <w:bottom w:val="none" w:sz="0" w:space="0" w:color="auto"/>
            <w:right w:val="none" w:sz="0" w:space="0" w:color="auto"/>
          </w:divBdr>
        </w:div>
        <w:div w:id="969822605">
          <w:marLeft w:val="0"/>
          <w:marRight w:val="0"/>
          <w:marTop w:val="0"/>
          <w:marBottom w:val="0"/>
          <w:divBdr>
            <w:top w:val="none" w:sz="0" w:space="0" w:color="auto"/>
            <w:left w:val="none" w:sz="0" w:space="0" w:color="auto"/>
            <w:bottom w:val="none" w:sz="0" w:space="0" w:color="auto"/>
            <w:right w:val="none" w:sz="0" w:space="0" w:color="auto"/>
          </w:divBdr>
        </w:div>
        <w:div w:id="971599868">
          <w:marLeft w:val="0"/>
          <w:marRight w:val="0"/>
          <w:marTop w:val="0"/>
          <w:marBottom w:val="0"/>
          <w:divBdr>
            <w:top w:val="none" w:sz="0" w:space="0" w:color="auto"/>
            <w:left w:val="none" w:sz="0" w:space="0" w:color="auto"/>
            <w:bottom w:val="none" w:sz="0" w:space="0" w:color="auto"/>
            <w:right w:val="none" w:sz="0" w:space="0" w:color="auto"/>
          </w:divBdr>
        </w:div>
        <w:div w:id="973218231">
          <w:marLeft w:val="0"/>
          <w:marRight w:val="0"/>
          <w:marTop w:val="0"/>
          <w:marBottom w:val="0"/>
          <w:divBdr>
            <w:top w:val="none" w:sz="0" w:space="0" w:color="auto"/>
            <w:left w:val="none" w:sz="0" w:space="0" w:color="auto"/>
            <w:bottom w:val="none" w:sz="0" w:space="0" w:color="auto"/>
            <w:right w:val="none" w:sz="0" w:space="0" w:color="auto"/>
          </w:divBdr>
        </w:div>
        <w:div w:id="983436408">
          <w:marLeft w:val="0"/>
          <w:marRight w:val="0"/>
          <w:marTop w:val="0"/>
          <w:marBottom w:val="0"/>
          <w:divBdr>
            <w:top w:val="none" w:sz="0" w:space="0" w:color="auto"/>
            <w:left w:val="none" w:sz="0" w:space="0" w:color="auto"/>
            <w:bottom w:val="none" w:sz="0" w:space="0" w:color="auto"/>
            <w:right w:val="none" w:sz="0" w:space="0" w:color="auto"/>
          </w:divBdr>
        </w:div>
        <w:div w:id="985360357">
          <w:marLeft w:val="0"/>
          <w:marRight w:val="0"/>
          <w:marTop w:val="0"/>
          <w:marBottom w:val="0"/>
          <w:divBdr>
            <w:top w:val="none" w:sz="0" w:space="0" w:color="auto"/>
            <w:left w:val="none" w:sz="0" w:space="0" w:color="auto"/>
            <w:bottom w:val="none" w:sz="0" w:space="0" w:color="auto"/>
            <w:right w:val="none" w:sz="0" w:space="0" w:color="auto"/>
          </w:divBdr>
        </w:div>
        <w:div w:id="985818266">
          <w:marLeft w:val="0"/>
          <w:marRight w:val="0"/>
          <w:marTop w:val="0"/>
          <w:marBottom w:val="0"/>
          <w:divBdr>
            <w:top w:val="none" w:sz="0" w:space="0" w:color="auto"/>
            <w:left w:val="none" w:sz="0" w:space="0" w:color="auto"/>
            <w:bottom w:val="none" w:sz="0" w:space="0" w:color="auto"/>
            <w:right w:val="none" w:sz="0" w:space="0" w:color="auto"/>
          </w:divBdr>
        </w:div>
        <w:div w:id="1036583047">
          <w:marLeft w:val="0"/>
          <w:marRight w:val="0"/>
          <w:marTop w:val="0"/>
          <w:marBottom w:val="0"/>
          <w:divBdr>
            <w:top w:val="none" w:sz="0" w:space="0" w:color="auto"/>
            <w:left w:val="none" w:sz="0" w:space="0" w:color="auto"/>
            <w:bottom w:val="none" w:sz="0" w:space="0" w:color="auto"/>
            <w:right w:val="none" w:sz="0" w:space="0" w:color="auto"/>
          </w:divBdr>
        </w:div>
        <w:div w:id="1059864940">
          <w:marLeft w:val="0"/>
          <w:marRight w:val="0"/>
          <w:marTop w:val="0"/>
          <w:marBottom w:val="0"/>
          <w:divBdr>
            <w:top w:val="none" w:sz="0" w:space="0" w:color="auto"/>
            <w:left w:val="none" w:sz="0" w:space="0" w:color="auto"/>
            <w:bottom w:val="none" w:sz="0" w:space="0" w:color="auto"/>
            <w:right w:val="none" w:sz="0" w:space="0" w:color="auto"/>
          </w:divBdr>
        </w:div>
        <w:div w:id="1062413225">
          <w:marLeft w:val="0"/>
          <w:marRight w:val="0"/>
          <w:marTop w:val="0"/>
          <w:marBottom w:val="0"/>
          <w:divBdr>
            <w:top w:val="none" w:sz="0" w:space="0" w:color="auto"/>
            <w:left w:val="none" w:sz="0" w:space="0" w:color="auto"/>
            <w:bottom w:val="none" w:sz="0" w:space="0" w:color="auto"/>
            <w:right w:val="none" w:sz="0" w:space="0" w:color="auto"/>
          </w:divBdr>
        </w:div>
        <w:div w:id="1071662338">
          <w:marLeft w:val="0"/>
          <w:marRight w:val="0"/>
          <w:marTop w:val="0"/>
          <w:marBottom w:val="0"/>
          <w:divBdr>
            <w:top w:val="none" w:sz="0" w:space="0" w:color="auto"/>
            <w:left w:val="none" w:sz="0" w:space="0" w:color="auto"/>
            <w:bottom w:val="none" w:sz="0" w:space="0" w:color="auto"/>
            <w:right w:val="none" w:sz="0" w:space="0" w:color="auto"/>
          </w:divBdr>
        </w:div>
        <w:div w:id="1078668455">
          <w:marLeft w:val="0"/>
          <w:marRight w:val="0"/>
          <w:marTop w:val="0"/>
          <w:marBottom w:val="0"/>
          <w:divBdr>
            <w:top w:val="none" w:sz="0" w:space="0" w:color="auto"/>
            <w:left w:val="none" w:sz="0" w:space="0" w:color="auto"/>
            <w:bottom w:val="none" w:sz="0" w:space="0" w:color="auto"/>
            <w:right w:val="none" w:sz="0" w:space="0" w:color="auto"/>
          </w:divBdr>
        </w:div>
        <w:div w:id="1080635732">
          <w:marLeft w:val="0"/>
          <w:marRight w:val="0"/>
          <w:marTop w:val="0"/>
          <w:marBottom w:val="0"/>
          <w:divBdr>
            <w:top w:val="none" w:sz="0" w:space="0" w:color="auto"/>
            <w:left w:val="none" w:sz="0" w:space="0" w:color="auto"/>
            <w:bottom w:val="none" w:sz="0" w:space="0" w:color="auto"/>
            <w:right w:val="none" w:sz="0" w:space="0" w:color="auto"/>
          </w:divBdr>
        </w:div>
        <w:div w:id="1091779242">
          <w:marLeft w:val="0"/>
          <w:marRight w:val="0"/>
          <w:marTop w:val="0"/>
          <w:marBottom w:val="0"/>
          <w:divBdr>
            <w:top w:val="none" w:sz="0" w:space="0" w:color="auto"/>
            <w:left w:val="none" w:sz="0" w:space="0" w:color="auto"/>
            <w:bottom w:val="none" w:sz="0" w:space="0" w:color="auto"/>
            <w:right w:val="none" w:sz="0" w:space="0" w:color="auto"/>
          </w:divBdr>
        </w:div>
        <w:div w:id="1130048121">
          <w:marLeft w:val="0"/>
          <w:marRight w:val="0"/>
          <w:marTop w:val="0"/>
          <w:marBottom w:val="0"/>
          <w:divBdr>
            <w:top w:val="none" w:sz="0" w:space="0" w:color="auto"/>
            <w:left w:val="none" w:sz="0" w:space="0" w:color="auto"/>
            <w:bottom w:val="none" w:sz="0" w:space="0" w:color="auto"/>
            <w:right w:val="none" w:sz="0" w:space="0" w:color="auto"/>
          </w:divBdr>
        </w:div>
        <w:div w:id="1143087088">
          <w:marLeft w:val="0"/>
          <w:marRight w:val="0"/>
          <w:marTop w:val="0"/>
          <w:marBottom w:val="0"/>
          <w:divBdr>
            <w:top w:val="none" w:sz="0" w:space="0" w:color="auto"/>
            <w:left w:val="none" w:sz="0" w:space="0" w:color="auto"/>
            <w:bottom w:val="none" w:sz="0" w:space="0" w:color="auto"/>
            <w:right w:val="none" w:sz="0" w:space="0" w:color="auto"/>
          </w:divBdr>
        </w:div>
        <w:div w:id="1145312472">
          <w:marLeft w:val="0"/>
          <w:marRight w:val="0"/>
          <w:marTop w:val="0"/>
          <w:marBottom w:val="0"/>
          <w:divBdr>
            <w:top w:val="none" w:sz="0" w:space="0" w:color="auto"/>
            <w:left w:val="none" w:sz="0" w:space="0" w:color="auto"/>
            <w:bottom w:val="none" w:sz="0" w:space="0" w:color="auto"/>
            <w:right w:val="none" w:sz="0" w:space="0" w:color="auto"/>
          </w:divBdr>
        </w:div>
        <w:div w:id="1175068970">
          <w:marLeft w:val="0"/>
          <w:marRight w:val="0"/>
          <w:marTop w:val="0"/>
          <w:marBottom w:val="0"/>
          <w:divBdr>
            <w:top w:val="none" w:sz="0" w:space="0" w:color="auto"/>
            <w:left w:val="none" w:sz="0" w:space="0" w:color="auto"/>
            <w:bottom w:val="none" w:sz="0" w:space="0" w:color="auto"/>
            <w:right w:val="none" w:sz="0" w:space="0" w:color="auto"/>
          </w:divBdr>
        </w:div>
        <w:div w:id="1176262988">
          <w:marLeft w:val="0"/>
          <w:marRight w:val="0"/>
          <w:marTop w:val="0"/>
          <w:marBottom w:val="0"/>
          <w:divBdr>
            <w:top w:val="none" w:sz="0" w:space="0" w:color="auto"/>
            <w:left w:val="none" w:sz="0" w:space="0" w:color="auto"/>
            <w:bottom w:val="none" w:sz="0" w:space="0" w:color="auto"/>
            <w:right w:val="none" w:sz="0" w:space="0" w:color="auto"/>
          </w:divBdr>
        </w:div>
        <w:div w:id="1180657373">
          <w:marLeft w:val="0"/>
          <w:marRight w:val="0"/>
          <w:marTop w:val="0"/>
          <w:marBottom w:val="0"/>
          <w:divBdr>
            <w:top w:val="none" w:sz="0" w:space="0" w:color="auto"/>
            <w:left w:val="none" w:sz="0" w:space="0" w:color="auto"/>
            <w:bottom w:val="none" w:sz="0" w:space="0" w:color="auto"/>
            <w:right w:val="none" w:sz="0" w:space="0" w:color="auto"/>
          </w:divBdr>
        </w:div>
        <w:div w:id="1186359183">
          <w:marLeft w:val="0"/>
          <w:marRight w:val="0"/>
          <w:marTop w:val="0"/>
          <w:marBottom w:val="0"/>
          <w:divBdr>
            <w:top w:val="none" w:sz="0" w:space="0" w:color="auto"/>
            <w:left w:val="none" w:sz="0" w:space="0" w:color="auto"/>
            <w:bottom w:val="none" w:sz="0" w:space="0" w:color="auto"/>
            <w:right w:val="none" w:sz="0" w:space="0" w:color="auto"/>
          </w:divBdr>
        </w:div>
        <w:div w:id="1186671353">
          <w:marLeft w:val="0"/>
          <w:marRight w:val="0"/>
          <w:marTop w:val="0"/>
          <w:marBottom w:val="0"/>
          <w:divBdr>
            <w:top w:val="none" w:sz="0" w:space="0" w:color="auto"/>
            <w:left w:val="none" w:sz="0" w:space="0" w:color="auto"/>
            <w:bottom w:val="none" w:sz="0" w:space="0" w:color="auto"/>
            <w:right w:val="none" w:sz="0" w:space="0" w:color="auto"/>
          </w:divBdr>
        </w:div>
        <w:div w:id="1189221917">
          <w:marLeft w:val="0"/>
          <w:marRight w:val="0"/>
          <w:marTop w:val="0"/>
          <w:marBottom w:val="0"/>
          <w:divBdr>
            <w:top w:val="none" w:sz="0" w:space="0" w:color="auto"/>
            <w:left w:val="none" w:sz="0" w:space="0" w:color="auto"/>
            <w:bottom w:val="none" w:sz="0" w:space="0" w:color="auto"/>
            <w:right w:val="none" w:sz="0" w:space="0" w:color="auto"/>
          </w:divBdr>
        </w:div>
        <w:div w:id="1193424593">
          <w:marLeft w:val="0"/>
          <w:marRight w:val="0"/>
          <w:marTop w:val="0"/>
          <w:marBottom w:val="0"/>
          <w:divBdr>
            <w:top w:val="none" w:sz="0" w:space="0" w:color="auto"/>
            <w:left w:val="none" w:sz="0" w:space="0" w:color="auto"/>
            <w:bottom w:val="none" w:sz="0" w:space="0" w:color="auto"/>
            <w:right w:val="none" w:sz="0" w:space="0" w:color="auto"/>
          </w:divBdr>
        </w:div>
        <w:div w:id="1195465826">
          <w:marLeft w:val="0"/>
          <w:marRight w:val="0"/>
          <w:marTop w:val="0"/>
          <w:marBottom w:val="0"/>
          <w:divBdr>
            <w:top w:val="none" w:sz="0" w:space="0" w:color="auto"/>
            <w:left w:val="none" w:sz="0" w:space="0" w:color="auto"/>
            <w:bottom w:val="none" w:sz="0" w:space="0" w:color="auto"/>
            <w:right w:val="none" w:sz="0" w:space="0" w:color="auto"/>
          </w:divBdr>
        </w:div>
        <w:div w:id="1224752473">
          <w:marLeft w:val="0"/>
          <w:marRight w:val="0"/>
          <w:marTop w:val="0"/>
          <w:marBottom w:val="0"/>
          <w:divBdr>
            <w:top w:val="none" w:sz="0" w:space="0" w:color="auto"/>
            <w:left w:val="none" w:sz="0" w:space="0" w:color="auto"/>
            <w:bottom w:val="none" w:sz="0" w:space="0" w:color="auto"/>
            <w:right w:val="none" w:sz="0" w:space="0" w:color="auto"/>
          </w:divBdr>
        </w:div>
        <w:div w:id="1239291218">
          <w:marLeft w:val="0"/>
          <w:marRight w:val="0"/>
          <w:marTop w:val="0"/>
          <w:marBottom w:val="0"/>
          <w:divBdr>
            <w:top w:val="none" w:sz="0" w:space="0" w:color="auto"/>
            <w:left w:val="none" w:sz="0" w:space="0" w:color="auto"/>
            <w:bottom w:val="none" w:sz="0" w:space="0" w:color="auto"/>
            <w:right w:val="none" w:sz="0" w:space="0" w:color="auto"/>
          </w:divBdr>
        </w:div>
        <w:div w:id="1243175072">
          <w:marLeft w:val="0"/>
          <w:marRight w:val="0"/>
          <w:marTop w:val="0"/>
          <w:marBottom w:val="0"/>
          <w:divBdr>
            <w:top w:val="none" w:sz="0" w:space="0" w:color="auto"/>
            <w:left w:val="none" w:sz="0" w:space="0" w:color="auto"/>
            <w:bottom w:val="none" w:sz="0" w:space="0" w:color="auto"/>
            <w:right w:val="none" w:sz="0" w:space="0" w:color="auto"/>
          </w:divBdr>
        </w:div>
        <w:div w:id="1262027573">
          <w:marLeft w:val="0"/>
          <w:marRight w:val="0"/>
          <w:marTop w:val="0"/>
          <w:marBottom w:val="0"/>
          <w:divBdr>
            <w:top w:val="none" w:sz="0" w:space="0" w:color="auto"/>
            <w:left w:val="none" w:sz="0" w:space="0" w:color="auto"/>
            <w:bottom w:val="none" w:sz="0" w:space="0" w:color="auto"/>
            <w:right w:val="none" w:sz="0" w:space="0" w:color="auto"/>
          </w:divBdr>
        </w:div>
        <w:div w:id="1262102462">
          <w:marLeft w:val="0"/>
          <w:marRight w:val="0"/>
          <w:marTop w:val="0"/>
          <w:marBottom w:val="0"/>
          <w:divBdr>
            <w:top w:val="none" w:sz="0" w:space="0" w:color="auto"/>
            <w:left w:val="none" w:sz="0" w:space="0" w:color="auto"/>
            <w:bottom w:val="none" w:sz="0" w:space="0" w:color="auto"/>
            <w:right w:val="none" w:sz="0" w:space="0" w:color="auto"/>
          </w:divBdr>
        </w:div>
        <w:div w:id="1264650981">
          <w:marLeft w:val="0"/>
          <w:marRight w:val="0"/>
          <w:marTop w:val="0"/>
          <w:marBottom w:val="0"/>
          <w:divBdr>
            <w:top w:val="none" w:sz="0" w:space="0" w:color="auto"/>
            <w:left w:val="none" w:sz="0" w:space="0" w:color="auto"/>
            <w:bottom w:val="none" w:sz="0" w:space="0" w:color="auto"/>
            <w:right w:val="none" w:sz="0" w:space="0" w:color="auto"/>
          </w:divBdr>
        </w:div>
        <w:div w:id="1266691511">
          <w:marLeft w:val="0"/>
          <w:marRight w:val="0"/>
          <w:marTop w:val="0"/>
          <w:marBottom w:val="0"/>
          <w:divBdr>
            <w:top w:val="none" w:sz="0" w:space="0" w:color="auto"/>
            <w:left w:val="none" w:sz="0" w:space="0" w:color="auto"/>
            <w:bottom w:val="none" w:sz="0" w:space="0" w:color="auto"/>
            <w:right w:val="none" w:sz="0" w:space="0" w:color="auto"/>
          </w:divBdr>
        </w:div>
        <w:div w:id="1326133422">
          <w:marLeft w:val="0"/>
          <w:marRight w:val="0"/>
          <w:marTop w:val="0"/>
          <w:marBottom w:val="0"/>
          <w:divBdr>
            <w:top w:val="none" w:sz="0" w:space="0" w:color="auto"/>
            <w:left w:val="none" w:sz="0" w:space="0" w:color="auto"/>
            <w:bottom w:val="none" w:sz="0" w:space="0" w:color="auto"/>
            <w:right w:val="none" w:sz="0" w:space="0" w:color="auto"/>
          </w:divBdr>
        </w:div>
        <w:div w:id="1327636575">
          <w:marLeft w:val="0"/>
          <w:marRight w:val="0"/>
          <w:marTop w:val="0"/>
          <w:marBottom w:val="0"/>
          <w:divBdr>
            <w:top w:val="none" w:sz="0" w:space="0" w:color="auto"/>
            <w:left w:val="none" w:sz="0" w:space="0" w:color="auto"/>
            <w:bottom w:val="none" w:sz="0" w:space="0" w:color="auto"/>
            <w:right w:val="none" w:sz="0" w:space="0" w:color="auto"/>
          </w:divBdr>
        </w:div>
        <w:div w:id="1334726640">
          <w:marLeft w:val="0"/>
          <w:marRight w:val="0"/>
          <w:marTop w:val="0"/>
          <w:marBottom w:val="0"/>
          <w:divBdr>
            <w:top w:val="none" w:sz="0" w:space="0" w:color="auto"/>
            <w:left w:val="none" w:sz="0" w:space="0" w:color="auto"/>
            <w:bottom w:val="none" w:sz="0" w:space="0" w:color="auto"/>
            <w:right w:val="none" w:sz="0" w:space="0" w:color="auto"/>
          </w:divBdr>
        </w:div>
        <w:div w:id="1338383780">
          <w:marLeft w:val="0"/>
          <w:marRight w:val="0"/>
          <w:marTop w:val="0"/>
          <w:marBottom w:val="0"/>
          <w:divBdr>
            <w:top w:val="none" w:sz="0" w:space="0" w:color="auto"/>
            <w:left w:val="none" w:sz="0" w:space="0" w:color="auto"/>
            <w:bottom w:val="none" w:sz="0" w:space="0" w:color="auto"/>
            <w:right w:val="none" w:sz="0" w:space="0" w:color="auto"/>
          </w:divBdr>
        </w:div>
        <w:div w:id="1342007913">
          <w:marLeft w:val="0"/>
          <w:marRight w:val="0"/>
          <w:marTop w:val="0"/>
          <w:marBottom w:val="0"/>
          <w:divBdr>
            <w:top w:val="none" w:sz="0" w:space="0" w:color="auto"/>
            <w:left w:val="none" w:sz="0" w:space="0" w:color="auto"/>
            <w:bottom w:val="none" w:sz="0" w:space="0" w:color="auto"/>
            <w:right w:val="none" w:sz="0" w:space="0" w:color="auto"/>
          </w:divBdr>
        </w:div>
        <w:div w:id="1360619114">
          <w:marLeft w:val="0"/>
          <w:marRight w:val="0"/>
          <w:marTop w:val="0"/>
          <w:marBottom w:val="0"/>
          <w:divBdr>
            <w:top w:val="none" w:sz="0" w:space="0" w:color="auto"/>
            <w:left w:val="none" w:sz="0" w:space="0" w:color="auto"/>
            <w:bottom w:val="none" w:sz="0" w:space="0" w:color="auto"/>
            <w:right w:val="none" w:sz="0" w:space="0" w:color="auto"/>
          </w:divBdr>
        </w:div>
        <w:div w:id="1371802028">
          <w:marLeft w:val="0"/>
          <w:marRight w:val="0"/>
          <w:marTop w:val="0"/>
          <w:marBottom w:val="0"/>
          <w:divBdr>
            <w:top w:val="none" w:sz="0" w:space="0" w:color="auto"/>
            <w:left w:val="none" w:sz="0" w:space="0" w:color="auto"/>
            <w:bottom w:val="none" w:sz="0" w:space="0" w:color="auto"/>
            <w:right w:val="none" w:sz="0" w:space="0" w:color="auto"/>
          </w:divBdr>
        </w:div>
        <w:div w:id="1385131290">
          <w:marLeft w:val="0"/>
          <w:marRight w:val="0"/>
          <w:marTop w:val="0"/>
          <w:marBottom w:val="0"/>
          <w:divBdr>
            <w:top w:val="none" w:sz="0" w:space="0" w:color="auto"/>
            <w:left w:val="none" w:sz="0" w:space="0" w:color="auto"/>
            <w:bottom w:val="none" w:sz="0" w:space="0" w:color="auto"/>
            <w:right w:val="none" w:sz="0" w:space="0" w:color="auto"/>
          </w:divBdr>
        </w:div>
        <w:div w:id="1385448433">
          <w:marLeft w:val="0"/>
          <w:marRight w:val="0"/>
          <w:marTop w:val="0"/>
          <w:marBottom w:val="0"/>
          <w:divBdr>
            <w:top w:val="none" w:sz="0" w:space="0" w:color="auto"/>
            <w:left w:val="none" w:sz="0" w:space="0" w:color="auto"/>
            <w:bottom w:val="none" w:sz="0" w:space="0" w:color="auto"/>
            <w:right w:val="none" w:sz="0" w:space="0" w:color="auto"/>
          </w:divBdr>
        </w:div>
        <w:div w:id="1388989785">
          <w:marLeft w:val="0"/>
          <w:marRight w:val="0"/>
          <w:marTop w:val="0"/>
          <w:marBottom w:val="0"/>
          <w:divBdr>
            <w:top w:val="none" w:sz="0" w:space="0" w:color="auto"/>
            <w:left w:val="none" w:sz="0" w:space="0" w:color="auto"/>
            <w:bottom w:val="none" w:sz="0" w:space="0" w:color="auto"/>
            <w:right w:val="none" w:sz="0" w:space="0" w:color="auto"/>
          </w:divBdr>
        </w:div>
        <w:div w:id="1404571216">
          <w:marLeft w:val="0"/>
          <w:marRight w:val="0"/>
          <w:marTop w:val="0"/>
          <w:marBottom w:val="0"/>
          <w:divBdr>
            <w:top w:val="none" w:sz="0" w:space="0" w:color="auto"/>
            <w:left w:val="none" w:sz="0" w:space="0" w:color="auto"/>
            <w:bottom w:val="none" w:sz="0" w:space="0" w:color="auto"/>
            <w:right w:val="none" w:sz="0" w:space="0" w:color="auto"/>
          </w:divBdr>
        </w:div>
        <w:div w:id="1417554624">
          <w:marLeft w:val="0"/>
          <w:marRight w:val="0"/>
          <w:marTop w:val="0"/>
          <w:marBottom w:val="0"/>
          <w:divBdr>
            <w:top w:val="none" w:sz="0" w:space="0" w:color="auto"/>
            <w:left w:val="none" w:sz="0" w:space="0" w:color="auto"/>
            <w:bottom w:val="none" w:sz="0" w:space="0" w:color="auto"/>
            <w:right w:val="none" w:sz="0" w:space="0" w:color="auto"/>
          </w:divBdr>
        </w:div>
        <w:div w:id="1423917871">
          <w:marLeft w:val="0"/>
          <w:marRight w:val="0"/>
          <w:marTop w:val="0"/>
          <w:marBottom w:val="0"/>
          <w:divBdr>
            <w:top w:val="none" w:sz="0" w:space="0" w:color="auto"/>
            <w:left w:val="none" w:sz="0" w:space="0" w:color="auto"/>
            <w:bottom w:val="none" w:sz="0" w:space="0" w:color="auto"/>
            <w:right w:val="none" w:sz="0" w:space="0" w:color="auto"/>
          </w:divBdr>
        </w:div>
        <w:div w:id="1434400650">
          <w:marLeft w:val="0"/>
          <w:marRight w:val="0"/>
          <w:marTop w:val="0"/>
          <w:marBottom w:val="0"/>
          <w:divBdr>
            <w:top w:val="none" w:sz="0" w:space="0" w:color="auto"/>
            <w:left w:val="none" w:sz="0" w:space="0" w:color="auto"/>
            <w:bottom w:val="none" w:sz="0" w:space="0" w:color="auto"/>
            <w:right w:val="none" w:sz="0" w:space="0" w:color="auto"/>
          </w:divBdr>
        </w:div>
        <w:div w:id="1466196259">
          <w:marLeft w:val="0"/>
          <w:marRight w:val="0"/>
          <w:marTop w:val="0"/>
          <w:marBottom w:val="0"/>
          <w:divBdr>
            <w:top w:val="none" w:sz="0" w:space="0" w:color="auto"/>
            <w:left w:val="none" w:sz="0" w:space="0" w:color="auto"/>
            <w:bottom w:val="none" w:sz="0" w:space="0" w:color="auto"/>
            <w:right w:val="none" w:sz="0" w:space="0" w:color="auto"/>
          </w:divBdr>
        </w:div>
        <w:div w:id="1469937282">
          <w:marLeft w:val="0"/>
          <w:marRight w:val="0"/>
          <w:marTop w:val="0"/>
          <w:marBottom w:val="0"/>
          <w:divBdr>
            <w:top w:val="none" w:sz="0" w:space="0" w:color="auto"/>
            <w:left w:val="none" w:sz="0" w:space="0" w:color="auto"/>
            <w:bottom w:val="none" w:sz="0" w:space="0" w:color="auto"/>
            <w:right w:val="none" w:sz="0" w:space="0" w:color="auto"/>
          </w:divBdr>
        </w:div>
        <w:div w:id="1485008305">
          <w:marLeft w:val="0"/>
          <w:marRight w:val="0"/>
          <w:marTop w:val="0"/>
          <w:marBottom w:val="0"/>
          <w:divBdr>
            <w:top w:val="none" w:sz="0" w:space="0" w:color="auto"/>
            <w:left w:val="none" w:sz="0" w:space="0" w:color="auto"/>
            <w:bottom w:val="none" w:sz="0" w:space="0" w:color="auto"/>
            <w:right w:val="none" w:sz="0" w:space="0" w:color="auto"/>
          </w:divBdr>
        </w:div>
        <w:div w:id="1510828223">
          <w:marLeft w:val="0"/>
          <w:marRight w:val="0"/>
          <w:marTop w:val="0"/>
          <w:marBottom w:val="0"/>
          <w:divBdr>
            <w:top w:val="none" w:sz="0" w:space="0" w:color="auto"/>
            <w:left w:val="none" w:sz="0" w:space="0" w:color="auto"/>
            <w:bottom w:val="none" w:sz="0" w:space="0" w:color="auto"/>
            <w:right w:val="none" w:sz="0" w:space="0" w:color="auto"/>
          </w:divBdr>
        </w:div>
        <w:div w:id="1516503438">
          <w:marLeft w:val="0"/>
          <w:marRight w:val="0"/>
          <w:marTop w:val="0"/>
          <w:marBottom w:val="0"/>
          <w:divBdr>
            <w:top w:val="none" w:sz="0" w:space="0" w:color="auto"/>
            <w:left w:val="none" w:sz="0" w:space="0" w:color="auto"/>
            <w:bottom w:val="none" w:sz="0" w:space="0" w:color="auto"/>
            <w:right w:val="none" w:sz="0" w:space="0" w:color="auto"/>
          </w:divBdr>
        </w:div>
        <w:div w:id="1518234007">
          <w:marLeft w:val="0"/>
          <w:marRight w:val="0"/>
          <w:marTop w:val="0"/>
          <w:marBottom w:val="0"/>
          <w:divBdr>
            <w:top w:val="none" w:sz="0" w:space="0" w:color="auto"/>
            <w:left w:val="none" w:sz="0" w:space="0" w:color="auto"/>
            <w:bottom w:val="none" w:sz="0" w:space="0" w:color="auto"/>
            <w:right w:val="none" w:sz="0" w:space="0" w:color="auto"/>
          </w:divBdr>
        </w:div>
        <w:div w:id="1545170127">
          <w:marLeft w:val="0"/>
          <w:marRight w:val="0"/>
          <w:marTop w:val="0"/>
          <w:marBottom w:val="0"/>
          <w:divBdr>
            <w:top w:val="none" w:sz="0" w:space="0" w:color="auto"/>
            <w:left w:val="none" w:sz="0" w:space="0" w:color="auto"/>
            <w:bottom w:val="none" w:sz="0" w:space="0" w:color="auto"/>
            <w:right w:val="none" w:sz="0" w:space="0" w:color="auto"/>
          </w:divBdr>
        </w:div>
        <w:div w:id="1552228919">
          <w:marLeft w:val="0"/>
          <w:marRight w:val="0"/>
          <w:marTop w:val="0"/>
          <w:marBottom w:val="0"/>
          <w:divBdr>
            <w:top w:val="none" w:sz="0" w:space="0" w:color="auto"/>
            <w:left w:val="none" w:sz="0" w:space="0" w:color="auto"/>
            <w:bottom w:val="none" w:sz="0" w:space="0" w:color="auto"/>
            <w:right w:val="none" w:sz="0" w:space="0" w:color="auto"/>
          </w:divBdr>
        </w:div>
        <w:div w:id="1553157255">
          <w:marLeft w:val="0"/>
          <w:marRight w:val="0"/>
          <w:marTop w:val="0"/>
          <w:marBottom w:val="0"/>
          <w:divBdr>
            <w:top w:val="none" w:sz="0" w:space="0" w:color="auto"/>
            <w:left w:val="none" w:sz="0" w:space="0" w:color="auto"/>
            <w:bottom w:val="none" w:sz="0" w:space="0" w:color="auto"/>
            <w:right w:val="none" w:sz="0" w:space="0" w:color="auto"/>
          </w:divBdr>
        </w:div>
        <w:div w:id="1553887175">
          <w:marLeft w:val="0"/>
          <w:marRight w:val="0"/>
          <w:marTop w:val="0"/>
          <w:marBottom w:val="0"/>
          <w:divBdr>
            <w:top w:val="none" w:sz="0" w:space="0" w:color="auto"/>
            <w:left w:val="none" w:sz="0" w:space="0" w:color="auto"/>
            <w:bottom w:val="none" w:sz="0" w:space="0" w:color="auto"/>
            <w:right w:val="none" w:sz="0" w:space="0" w:color="auto"/>
          </w:divBdr>
        </w:div>
        <w:div w:id="1557736180">
          <w:marLeft w:val="0"/>
          <w:marRight w:val="0"/>
          <w:marTop w:val="0"/>
          <w:marBottom w:val="0"/>
          <w:divBdr>
            <w:top w:val="none" w:sz="0" w:space="0" w:color="auto"/>
            <w:left w:val="none" w:sz="0" w:space="0" w:color="auto"/>
            <w:bottom w:val="none" w:sz="0" w:space="0" w:color="auto"/>
            <w:right w:val="none" w:sz="0" w:space="0" w:color="auto"/>
          </w:divBdr>
        </w:div>
        <w:div w:id="1560239104">
          <w:marLeft w:val="0"/>
          <w:marRight w:val="0"/>
          <w:marTop w:val="0"/>
          <w:marBottom w:val="0"/>
          <w:divBdr>
            <w:top w:val="none" w:sz="0" w:space="0" w:color="auto"/>
            <w:left w:val="none" w:sz="0" w:space="0" w:color="auto"/>
            <w:bottom w:val="none" w:sz="0" w:space="0" w:color="auto"/>
            <w:right w:val="none" w:sz="0" w:space="0" w:color="auto"/>
          </w:divBdr>
        </w:div>
        <w:div w:id="1581711671">
          <w:marLeft w:val="0"/>
          <w:marRight w:val="0"/>
          <w:marTop w:val="0"/>
          <w:marBottom w:val="0"/>
          <w:divBdr>
            <w:top w:val="none" w:sz="0" w:space="0" w:color="auto"/>
            <w:left w:val="none" w:sz="0" w:space="0" w:color="auto"/>
            <w:bottom w:val="none" w:sz="0" w:space="0" w:color="auto"/>
            <w:right w:val="none" w:sz="0" w:space="0" w:color="auto"/>
          </w:divBdr>
        </w:div>
        <w:div w:id="1586068706">
          <w:marLeft w:val="0"/>
          <w:marRight w:val="0"/>
          <w:marTop w:val="0"/>
          <w:marBottom w:val="0"/>
          <w:divBdr>
            <w:top w:val="none" w:sz="0" w:space="0" w:color="auto"/>
            <w:left w:val="none" w:sz="0" w:space="0" w:color="auto"/>
            <w:bottom w:val="none" w:sz="0" w:space="0" w:color="auto"/>
            <w:right w:val="none" w:sz="0" w:space="0" w:color="auto"/>
          </w:divBdr>
        </w:div>
        <w:div w:id="1594588153">
          <w:marLeft w:val="0"/>
          <w:marRight w:val="0"/>
          <w:marTop w:val="0"/>
          <w:marBottom w:val="0"/>
          <w:divBdr>
            <w:top w:val="none" w:sz="0" w:space="0" w:color="auto"/>
            <w:left w:val="none" w:sz="0" w:space="0" w:color="auto"/>
            <w:bottom w:val="none" w:sz="0" w:space="0" w:color="auto"/>
            <w:right w:val="none" w:sz="0" w:space="0" w:color="auto"/>
          </w:divBdr>
          <w:divsChild>
            <w:div w:id="110708195">
              <w:marLeft w:val="0"/>
              <w:marRight w:val="0"/>
              <w:marTop w:val="0"/>
              <w:marBottom w:val="0"/>
              <w:divBdr>
                <w:top w:val="none" w:sz="0" w:space="0" w:color="auto"/>
                <w:left w:val="none" w:sz="0" w:space="0" w:color="auto"/>
                <w:bottom w:val="none" w:sz="0" w:space="0" w:color="auto"/>
                <w:right w:val="none" w:sz="0" w:space="0" w:color="auto"/>
              </w:divBdr>
            </w:div>
            <w:div w:id="356851333">
              <w:marLeft w:val="0"/>
              <w:marRight w:val="0"/>
              <w:marTop w:val="0"/>
              <w:marBottom w:val="0"/>
              <w:divBdr>
                <w:top w:val="none" w:sz="0" w:space="0" w:color="auto"/>
                <w:left w:val="none" w:sz="0" w:space="0" w:color="auto"/>
                <w:bottom w:val="none" w:sz="0" w:space="0" w:color="auto"/>
                <w:right w:val="none" w:sz="0" w:space="0" w:color="auto"/>
              </w:divBdr>
            </w:div>
            <w:div w:id="550338148">
              <w:marLeft w:val="0"/>
              <w:marRight w:val="0"/>
              <w:marTop w:val="0"/>
              <w:marBottom w:val="0"/>
              <w:divBdr>
                <w:top w:val="none" w:sz="0" w:space="0" w:color="auto"/>
                <w:left w:val="none" w:sz="0" w:space="0" w:color="auto"/>
                <w:bottom w:val="none" w:sz="0" w:space="0" w:color="auto"/>
                <w:right w:val="none" w:sz="0" w:space="0" w:color="auto"/>
              </w:divBdr>
            </w:div>
            <w:div w:id="758021332">
              <w:marLeft w:val="0"/>
              <w:marRight w:val="0"/>
              <w:marTop w:val="0"/>
              <w:marBottom w:val="0"/>
              <w:divBdr>
                <w:top w:val="none" w:sz="0" w:space="0" w:color="auto"/>
                <w:left w:val="none" w:sz="0" w:space="0" w:color="auto"/>
                <w:bottom w:val="none" w:sz="0" w:space="0" w:color="auto"/>
                <w:right w:val="none" w:sz="0" w:space="0" w:color="auto"/>
              </w:divBdr>
            </w:div>
            <w:div w:id="825632949">
              <w:marLeft w:val="0"/>
              <w:marRight w:val="0"/>
              <w:marTop w:val="0"/>
              <w:marBottom w:val="0"/>
              <w:divBdr>
                <w:top w:val="none" w:sz="0" w:space="0" w:color="auto"/>
                <w:left w:val="none" w:sz="0" w:space="0" w:color="auto"/>
                <w:bottom w:val="none" w:sz="0" w:space="0" w:color="auto"/>
                <w:right w:val="none" w:sz="0" w:space="0" w:color="auto"/>
              </w:divBdr>
            </w:div>
            <w:div w:id="850026915">
              <w:marLeft w:val="0"/>
              <w:marRight w:val="0"/>
              <w:marTop w:val="0"/>
              <w:marBottom w:val="0"/>
              <w:divBdr>
                <w:top w:val="none" w:sz="0" w:space="0" w:color="auto"/>
                <w:left w:val="none" w:sz="0" w:space="0" w:color="auto"/>
                <w:bottom w:val="none" w:sz="0" w:space="0" w:color="auto"/>
                <w:right w:val="none" w:sz="0" w:space="0" w:color="auto"/>
              </w:divBdr>
            </w:div>
            <w:div w:id="927152596">
              <w:marLeft w:val="0"/>
              <w:marRight w:val="0"/>
              <w:marTop w:val="0"/>
              <w:marBottom w:val="0"/>
              <w:divBdr>
                <w:top w:val="none" w:sz="0" w:space="0" w:color="auto"/>
                <w:left w:val="none" w:sz="0" w:space="0" w:color="auto"/>
                <w:bottom w:val="none" w:sz="0" w:space="0" w:color="auto"/>
                <w:right w:val="none" w:sz="0" w:space="0" w:color="auto"/>
              </w:divBdr>
            </w:div>
            <w:div w:id="1388912316">
              <w:marLeft w:val="0"/>
              <w:marRight w:val="0"/>
              <w:marTop w:val="0"/>
              <w:marBottom w:val="0"/>
              <w:divBdr>
                <w:top w:val="none" w:sz="0" w:space="0" w:color="auto"/>
                <w:left w:val="none" w:sz="0" w:space="0" w:color="auto"/>
                <w:bottom w:val="none" w:sz="0" w:space="0" w:color="auto"/>
                <w:right w:val="none" w:sz="0" w:space="0" w:color="auto"/>
              </w:divBdr>
            </w:div>
            <w:div w:id="1421173648">
              <w:marLeft w:val="0"/>
              <w:marRight w:val="0"/>
              <w:marTop w:val="0"/>
              <w:marBottom w:val="0"/>
              <w:divBdr>
                <w:top w:val="none" w:sz="0" w:space="0" w:color="auto"/>
                <w:left w:val="none" w:sz="0" w:space="0" w:color="auto"/>
                <w:bottom w:val="none" w:sz="0" w:space="0" w:color="auto"/>
                <w:right w:val="none" w:sz="0" w:space="0" w:color="auto"/>
              </w:divBdr>
            </w:div>
            <w:div w:id="1663776120">
              <w:marLeft w:val="0"/>
              <w:marRight w:val="0"/>
              <w:marTop w:val="0"/>
              <w:marBottom w:val="0"/>
              <w:divBdr>
                <w:top w:val="none" w:sz="0" w:space="0" w:color="auto"/>
                <w:left w:val="none" w:sz="0" w:space="0" w:color="auto"/>
                <w:bottom w:val="none" w:sz="0" w:space="0" w:color="auto"/>
                <w:right w:val="none" w:sz="0" w:space="0" w:color="auto"/>
              </w:divBdr>
            </w:div>
            <w:div w:id="1678532380">
              <w:marLeft w:val="0"/>
              <w:marRight w:val="0"/>
              <w:marTop w:val="0"/>
              <w:marBottom w:val="0"/>
              <w:divBdr>
                <w:top w:val="none" w:sz="0" w:space="0" w:color="auto"/>
                <w:left w:val="none" w:sz="0" w:space="0" w:color="auto"/>
                <w:bottom w:val="none" w:sz="0" w:space="0" w:color="auto"/>
                <w:right w:val="none" w:sz="0" w:space="0" w:color="auto"/>
              </w:divBdr>
            </w:div>
            <w:div w:id="1692148137">
              <w:marLeft w:val="0"/>
              <w:marRight w:val="0"/>
              <w:marTop w:val="0"/>
              <w:marBottom w:val="0"/>
              <w:divBdr>
                <w:top w:val="none" w:sz="0" w:space="0" w:color="auto"/>
                <w:left w:val="none" w:sz="0" w:space="0" w:color="auto"/>
                <w:bottom w:val="none" w:sz="0" w:space="0" w:color="auto"/>
                <w:right w:val="none" w:sz="0" w:space="0" w:color="auto"/>
              </w:divBdr>
            </w:div>
            <w:div w:id="1719082809">
              <w:marLeft w:val="0"/>
              <w:marRight w:val="0"/>
              <w:marTop w:val="0"/>
              <w:marBottom w:val="0"/>
              <w:divBdr>
                <w:top w:val="none" w:sz="0" w:space="0" w:color="auto"/>
                <w:left w:val="none" w:sz="0" w:space="0" w:color="auto"/>
                <w:bottom w:val="none" w:sz="0" w:space="0" w:color="auto"/>
                <w:right w:val="none" w:sz="0" w:space="0" w:color="auto"/>
              </w:divBdr>
            </w:div>
            <w:div w:id="1732389744">
              <w:marLeft w:val="0"/>
              <w:marRight w:val="0"/>
              <w:marTop w:val="0"/>
              <w:marBottom w:val="0"/>
              <w:divBdr>
                <w:top w:val="none" w:sz="0" w:space="0" w:color="auto"/>
                <w:left w:val="none" w:sz="0" w:space="0" w:color="auto"/>
                <w:bottom w:val="none" w:sz="0" w:space="0" w:color="auto"/>
                <w:right w:val="none" w:sz="0" w:space="0" w:color="auto"/>
              </w:divBdr>
            </w:div>
            <w:div w:id="1738431850">
              <w:marLeft w:val="0"/>
              <w:marRight w:val="0"/>
              <w:marTop w:val="0"/>
              <w:marBottom w:val="0"/>
              <w:divBdr>
                <w:top w:val="none" w:sz="0" w:space="0" w:color="auto"/>
                <w:left w:val="none" w:sz="0" w:space="0" w:color="auto"/>
                <w:bottom w:val="none" w:sz="0" w:space="0" w:color="auto"/>
                <w:right w:val="none" w:sz="0" w:space="0" w:color="auto"/>
              </w:divBdr>
            </w:div>
            <w:div w:id="1770589601">
              <w:marLeft w:val="0"/>
              <w:marRight w:val="0"/>
              <w:marTop w:val="0"/>
              <w:marBottom w:val="0"/>
              <w:divBdr>
                <w:top w:val="none" w:sz="0" w:space="0" w:color="auto"/>
                <w:left w:val="none" w:sz="0" w:space="0" w:color="auto"/>
                <w:bottom w:val="none" w:sz="0" w:space="0" w:color="auto"/>
                <w:right w:val="none" w:sz="0" w:space="0" w:color="auto"/>
              </w:divBdr>
            </w:div>
            <w:div w:id="1815177241">
              <w:marLeft w:val="0"/>
              <w:marRight w:val="0"/>
              <w:marTop w:val="0"/>
              <w:marBottom w:val="0"/>
              <w:divBdr>
                <w:top w:val="none" w:sz="0" w:space="0" w:color="auto"/>
                <w:left w:val="none" w:sz="0" w:space="0" w:color="auto"/>
                <w:bottom w:val="none" w:sz="0" w:space="0" w:color="auto"/>
                <w:right w:val="none" w:sz="0" w:space="0" w:color="auto"/>
              </w:divBdr>
            </w:div>
            <w:div w:id="1821312673">
              <w:marLeft w:val="0"/>
              <w:marRight w:val="0"/>
              <w:marTop w:val="0"/>
              <w:marBottom w:val="0"/>
              <w:divBdr>
                <w:top w:val="none" w:sz="0" w:space="0" w:color="auto"/>
                <w:left w:val="none" w:sz="0" w:space="0" w:color="auto"/>
                <w:bottom w:val="none" w:sz="0" w:space="0" w:color="auto"/>
                <w:right w:val="none" w:sz="0" w:space="0" w:color="auto"/>
              </w:divBdr>
            </w:div>
            <w:div w:id="1838186137">
              <w:marLeft w:val="0"/>
              <w:marRight w:val="0"/>
              <w:marTop w:val="0"/>
              <w:marBottom w:val="0"/>
              <w:divBdr>
                <w:top w:val="none" w:sz="0" w:space="0" w:color="auto"/>
                <w:left w:val="none" w:sz="0" w:space="0" w:color="auto"/>
                <w:bottom w:val="none" w:sz="0" w:space="0" w:color="auto"/>
                <w:right w:val="none" w:sz="0" w:space="0" w:color="auto"/>
              </w:divBdr>
            </w:div>
            <w:div w:id="1870753912">
              <w:marLeft w:val="0"/>
              <w:marRight w:val="0"/>
              <w:marTop w:val="0"/>
              <w:marBottom w:val="0"/>
              <w:divBdr>
                <w:top w:val="none" w:sz="0" w:space="0" w:color="auto"/>
                <w:left w:val="none" w:sz="0" w:space="0" w:color="auto"/>
                <w:bottom w:val="none" w:sz="0" w:space="0" w:color="auto"/>
                <w:right w:val="none" w:sz="0" w:space="0" w:color="auto"/>
              </w:divBdr>
            </w:div>
          </w:divsChild>
        </w:div>
        <w:div w:id="1601644492">
          <w:marLeft w:val="0"/>
          <w:marRight w:val="0"/>
          <w:marTop w:val="0"/>
          <w:marBottom w:val="0"/>
          <w:divBdr>
            <w:top w:val="none" w:sz="0" w:space="0" w:color="auto"/>
            <w:left w:val="none" w:sz="0" w:space="0" w:color="auto"/>
            <w:bottom w:val="none" w:sz="0" w:space="0" w:color="auto"/>
            <w:right w:val="none" w:sz="0" w:space="0" w:color="auto"/>
          </w:divBdr>
        </w:div>
        <w:div w:id="1611744533">
          <w:marLeft w:val="0"/>
          <w:marRight w:val="0"/>
          <w:marTop w:val="0"/>
          <w:marBottom w:val="0"/>
          <w:divBdr>
            <w:top w:val="none" w:sz="0" w:space="0" w:color="auto"/>
            <w:left w:val="none" w:sz="0" w:space="0" w:color="auto"/>
            <w:bottom w:val="none" w:sz="0" w:space="0" w:color="auto"/>
            <w:right w:val="none" w:sz="0" w:space="0" w:color="auto"/>
          </w:divBdr>
        </w:div>
        <w:div w:id="1615402231">
          <w:marLeft w:val="0"/>
          <w:marRight w:val="0"/>
          <w:marTop w:val="0"/>
          <w:marBottom w:val="0"/>
          <w:divBdr>
            <w:top w:val="none" w:sz="0" w:space="0" w:color="auto"/>
            <w:left w:val="none" w:sz="0" w:space="0" w:color="auto"/>
            <w:bottom w:val="none" w:sz="0" w:space="0" w:color="auto"/>
            <w:right w:val="none" w:sz="0" w:space="0" w:color="auto"/>
          </w:divBdr>
        </w:div>
        <w:div w:id="1627814614">
          <w:marLeft w:val="0"/>
          <w:marRight w:val="0"/>
          <w:marTop w:val="0"/>
          <w:marBottom w:val="0"/>
          <w:divBdr>
            <w:top w:val="none" w:sz="0" w:space="0" w:color="auto"/>
            <w:left w:val="none" w:sz="0" w:space="0" w:color="auto"/>
            <w:bottom w:val="none" w:sz="0" w:space="0" w:color="auto"/>
            <w:right w:val="none" w:sz="0" w:space="0" w:color="auto"/>
          </w:divBdr>
        </w:div>
        <w:div w:id="1640114859">
          <w:marLeft w:val="0"/>
          <w:marRight w:val="0"/>
          <w:marTop w:val="0"/>
          <w:marBottom w:val="0"/>
          <w:divBdr>
            <w:top w:val="none" w:sz="0" w:space="0" w:color="auto"/>
            <w:left w:val="none" w:sz="0" w:space="0" w:color="auto"/>
            <w:bottom w:val="none" w:sz="0" w:space="0" w:color="auto"/>
            <w:right w:val="none" w:sz="0" w:space="0" w:color="auto"/>
          </w:divBdr>
        </w:div>
        <w:div w:id="1640457989">
          <w:marLeft w:val="0"/>
          <w:marRight w:val="0"/>
          <w:marTop w:val="0"/>
          <w:marBottom w:val="0"/>
          <w:divBdr>
            <w:top w:val="none" w:sz="0" w:space="0" w:color="auto"/>
            <w:left w:val="none" w:sz="0" w:space="0" w:color="auto"/>
            <w:bottom w:val="none" w:sz="0" w:space="0" w:color="auto"/>
            <w:right w:val="none" w:sz="0" w:space="0" w:color="auto"/>
          </w:divBdr>
        </w:div>
        <w:div w:id="1642421897">
          <w:marLeft w:val="0"/>
          <w:marRight w:val="0"/>
          <w:marTop w:val="0"/>
          <w:marBottom w:val="0"/>
          <w:divBdr>
            <w:top w:val="none" w:sz="0" w:space="0" w:color="auto"/>
            <w:left w:val="none" w:sz="0" w:space="0" w:color="auto"/>
            <w:bottom w:val="none" w:sz="0" w:space="0" w:color="auto"/>
            <w:right w:val="none" w:sz="0" w:space="0" w:color="auto"/>
          </w:divBdr>
        </w:div>
        <w:div w:id="1686321237">
          <w:marLeft w:val="0"/>
          <w:marRight w:val="0"/>
          <w:marTop w:val="0"/>
          <w:marBottom w:val="0"/>
          <w:divBdr>
            <w:top w:val="none" w:sz="0" w:space="0" w:color="auto"/>
            <w:left w:val="none" w:sz="0" w:space="0" w:color="auto"/>
            <w:bottom w:val="none" w:sz="0" w:space="0" w:color="auto"/>
            <w:right w:val="none" w:sz="0" w:space="0" w:color="auto"/>
          </w:divBdr>
        </w:div>
        <w:div w:id="1690132840">
          <w:marLeft w:val="0"/>
          <w:marRight w:val="0"/>
          <w:marTop w:val="0"/>
          <w:marBottom w:val="0"/>
          <w:divBdr>
            <w:top w:val="none" w:sz="0" w:space="0" w:color="auto"/>
            <w:left w:val="none" w:sz="0" w:space="0" w:color="auto"/>
            <w:bottom w:val="none" w:sz="0" w:space="0" w:color="auto"/>
            <w:right w:val="none" w:sz="0" w:space="0" w:color="auto"/>
          </w:divBdr>
        </w:div>
        <w:div w:id="1692493844">
          <w:marLeft w:val="0"/>
          <w:marRight w:val="0"/>
          <w:marTop w:val="0"/>
          <w:marBottom w:val="0"/>
          <w:divBdr>
            <w:top w:val="none" w:sz="0" w:space="0" w:color="auto"/>
            <w:left w:val="none" w:sz="0" w:space="0" w:color="auto"/>
            <w:bottom w:val="none" w:sz="0" w:space="0" w:color="auto"/>
            <w:right w:val="none" w:sz="0" w:space="0" w:color="auto"/>
          </w:divBdr>
        </w:div>
        <w:div w:id="1709866372">
          <w:marLeft w:val="0"/>
          <w:marRight w:val="0"/>
          <w:marTop w:val="0"/>
          <w:marBottom w:val="0"/>
          <w:divBdr>
            <w:top w:val="none" w:sz="0" w:space="0" w:color="auto"/>
            <w:left w:val="none" w:sz="0" w:space="0" w:color="auto"/>
            <w:bottom w:val="none" w:sz="0" w:space="0" w:color="auto"/>
            <w:right w:val="none" w:sz="0" w:space="0" w:color="auto"/>
          </w:divBdr>
        </w:div>
        <w:div w:id="1720350374">
          <w:marLeft w:val="0"/>
          <w:marRight w:val="0"/>
          <w:marTop w:val="0"/>
          <w:marBottom w:val="0"/>
          <w:divBdr>
            <w:top w:val="none" w:sz="0" w:space="0" w:color="auto"/>
            <w:left w:val="none" w:sz="0" w:space="0" w:color="auto"/>
            <w:bottom w:val="none" w:sz="0" w:space="0" w:color="auto"/>
            <w:right w:val="none" w:sz="0" w:space="0" w:color="auto"/>
          </w:divBdr>
        </w:div>
        <w:div w:id="1723361076">
          <w:marLeft w:val="0"/>
          <w:marRight w:val="0"/>
          <w:marTop w:val="0"/>
          <w:marBottom w:val="0"/>
          <w:divBdr>
            <w:top w:val="none" w:sz="0" w:space="0" w:color="auto"/>
            <w:left w:val="none" w:sz="0" w:space="0" w:color="auto"/>
            <w:bottom w:val="none" w:sz="0" w:space="0" w:color="auto"/>
            <w:right w:val="none" w:sz="0" w:space="0" w:color="auto"/>
          </w:divBdr>
        </w:div>
        <w:div w:id="1733625538">
          <w:marLeft w:val="0"/>
          <w:marRight w:val="0"/>
          <w:marTop w:val="0"/>
          <w:marBottom w:val="0"/>
          <w:divBdr>
            <w:top w:val="none" w:sz="0" w:space="0" w:color="auto"/>
            <w:left w:val="none" w:sz="0" w:space="0" w:color="auto"/>
            <w:bottom w:val="none" w:sz="0" w:space="0" w:color="auto"/>
            <w:right w:val="none" w:sz="0" w:space="0" w:color="auto"/>
          </w:divBdr>
        </w:div>
        <w:div w:id="1742944248">
          <w:marLeft w:val="0"/>
          <w:marRight w:val="0"/>
          <w:marTop w:val="0"/>
          <w:marBottom w:val="0"/>
          <w:divBdr>
            <w:top w:val="none" w:sz="0" w:space="0" w:color="auto"/>
            <w:left w:val="none" w:sz="0" w:space="0" w:color="auto"/>
            <w:bottom w:val="none" w:sz="0" w:space="0" w:color="auto"/>
            <w:right w:val="none" w:sz="0" w:space="0" w:color="auto"/>
          </w:divBdr>
        </w:div>
        <w:div w:id="1746998982">
          <w:marLeft w:val="0"/>
          <w:marRight w:val="0"/>
          <w:marTop w:val="0"/>
          <w:marBottom w:val="0"/>
          <w:divBdr>
            <w:top w:val="none" w:sz="0" w:space="0" w:color="auto"/>
            <w:left w:val="none" w:sz="0" w:space="0" w:color="auto"/>
            <w:bottom w:val="none" w:sz="0" w:space="0" w:color="auto"/>
            <w:right w:val="none" w:sz="0" w:space="0" w:color="auto"/>
          </w:divBdr>
        </w:div>
        <w:div w:id="1757169543">
          <w:marLeft w:val="0"/>
          <w:marRight w:val="0"/>
          <w:marTop w:val="0"/>
          <w:marBottom w:val="0"/>
          <w:divBdr>
            <w:top w:val="none" w:sz="0" w:space="0" w:color="auto"/>
            <w:left w:val="none" w:sz="0" w:space="0" w:color="auto"/>
            <w:bottom w:val="none" w:sz="0" w:space="0" w:color="auto"/>
            <w:right w:val="none" w:sz="0" w:space="0" w:color="auto"/>
          </w:divBdr>
        </w:div>
        <w:div w:id="1766531976">
          <w:marLeft w:val="0"/>
          <w:marRight w:val="0"/>
          <w:marTop w:val="0"/>
          <w:marBottom w:val="0"/>
          <w:divBdr>
            <w:top w:val="none" w:sz="0" w:space="0" w:color="auto"/>
            <w:left w:val="none" w:sz="0" w:space="0" w:color="auto"/>
            <w:bottom w:val="none" w:sz="0" w:space="0" w:color="auto"/>
            <w:right w:val="none" w:sz="0" w:space="0" w:color="auto"/>
          </w:divBdr>
        </w:div>
        <w:div w:id="1771008135">
          <w:marLeft w:val="0"/>
          <w:marRight w:val="0"/>
          <w:marTop w:val="0"/>
          <w:marBottom w:val="0"/>
          <w:divBdr>
            <w:top w:val="none" w:sz="0" w:space="0" w:color="auto"/>
            <w:left w:val="none" w:sz="0" w:space="0" w:color="auto"/>
            <w:bottom w:val="none" w:sz="0" w:space="0" w:color="auto"/>
            <w:right w:val="none" w:sz="0" w:space="0" w:color="auto"/>
          </w:divBdr>
        </w:div>
        <w:div w:id="1792432117">
          <w:marLeft w:val="0"/>
          <w:marRight w:val="0"/>
          <w:marTop w:val="0"/>
          <w:marBottom w:val="0"/>
          <w:divBdr>
            <w:top w:val="none" w:sz="0" w:space="0" w:color="auto"/>
            <w:left w:val="none" w:sz="0" w:space="0" w:color="auto"/>
            <w:bottom w:val="none" w:sz="0" w:space="0" w:color="auto"/>
            <w:right w:val="none" w:sz="0" w:space="0" w:color="auto"/>
          </w:divBdr>
        </w:div>
        <w:div w:id="1800144909">
          <w:marLeft w:val="0"/>
          <w:marRight w:val="0"/>
          <w:marTop w:val="0"/>
          <w:marBottom w:val="0"/>
          <w:divBdr>
            <w:top w:val="none" w:sz="0" w:space="0" w:color="auto"/>
            <w:left w:val="none" w:sz="0" w:space="0" w:color="auto"/>
            <w:bottom w:val="none" w:sz="0" w:space="0" w:color="auto"/>
            <w:right w:val="none" w:sz="0" w:space="0" w:color="auto"/>
          </w:divBdr>
        </w:div>
        <w:div w:id="1803231151">
          <w:marLeft w:val="0"/>
          <w:marRight w:val="0"/>
          <w:marTop w:val="0"/>
          <w:marBottom w:val="0"/>
          <w:divBdr>
            <w:top w:val="none" w:sz="0" w:space="0" w:color="auto"/>
            <w:left w:val="none" w:sz="0" w:space="0" w:color="auto"/>
            <w:bottom w:val="none" w:sz="0" w:space="0" w:color="auto"/>
            <w:right w:val="none" w:sz="0" w:space="0" w:color="auto"/>
          </w:divBdr>
        </w:div>
        <w:div w:id="1803498020">
          <w:marLeft w:val="0"/>
          <w:marRight w:val="0"/>
          <w:marTop w:val="0"/>
          <w:marBottom w:val="0"/>
          <w:divBdr>
            <w:top w:val="none" w:sz="0" w:space="0" w:color="auto"/>
            <w:left w:val="none" w:sz="0" w:space="0" w:color="auto"/>
            <w:bottom w:val="none" w:sz="0" w:space="0" w:color="auto"/>
            <w:right w:val="none" w:sz="0" w:space="0" w:color="auto"/>
          </w:divBdr>
        </w:div>
        <w:div w:id="1842888420">
          <w:marLeft w:val="0"/>
          <w:marRight w:val="0"/>
          <w:marTop w:val="0"/>
          <w:marBottom w:val="0"/>
          <w:divBdr>
            <w:top w:val="none" w:sz="0" w:space="0" w:color="auto"/>
            <w:left w:val="none" w:sz="0" w:space="0" w:color="auto"/>
            <w:bottom w:val="none" w:sz="0" w:space="0" w:color="auto"/>
            <w:right w:val="none" w:sz="0" w:space="0" w:color="auto"/>
          </w:divBdr>
          <w:divsChild>
            <w:div w:id="58752026">
              <w:marLeft w:val="0"/>
              <w:marRight w:val="0"/>
              <w:marTop w:val="0"/>
              <w:marBottom w:val="0"/>
              <w:divBdr>
                <w:top w:val="none" w:sz="0" w:space="0" w:color="auto"/>
                <w:left w:val="none" w:sz="0" w:space="0" w:color="auto"/>
                <w:bottom w:val="none" w:sz="0" w:space="0" w:color="auto"/>
                <w:right w:val="none" w:sz="0" w:space="0" w:color="auto"/>
              </w:divBdr>
            </w:div>
            <w:div w:id="202178959">
              <w:marLeft w:val="0"/>
              <w:marRight w:val="0"/>
              <w:marTop w:val="0"/>
              <w:marBottom w:val="0"/>
              <w:divBdr>
                <w:top w:val="none" w:sz="0" w:space="0" w:color="auto"/>
                <w:left w:val="none" w:sz="0" w:space="0" w:color="auto"/>
                <w:bottom w:val="none" w:sz="0" w:space="0" w:color="auto"/>
                <w:right w:val="none" w:sz="0" w:space="0" w:color="auto"/>
              </w:divBdr>
            </w:div>
            <w:div w:id="306739115">
              <w:marLeft w:val="0"/>
              <w:marRight w:val="0"/>
              <w:marTop w:val="0"/>
              <w:marBottom w:val="0"/>
              <w:divBdr>
                <w:top w:val="none" w:sz="0" w:space="0" w:color="auto"/>
                <w:left w:val="none" w:sz="0" w:space="0" w:color="auto"/>
                <w:bottom w:val="none" w:sz="0" w:space="0" w:color="auto"/>
                <w:right w:val="none" w:sz="0" w:space="0" w:color="auto"/>
              </w:divBdr>
            </w:div>
            <w:div w:id="495147628">
              <w:marLeft w:val="0"/>
              <w:marRight w:val="0"/>
              <w:marTop w:val="0"/>
              <w:marBottom w:val="0"/>
              <w:divBdr>
                <w:top w:val="none" w:sz="0" w:space="0" w:color="auto"/>
                <w:left w:val="none" w:sz="0" w:space="0" w:color="auto"/>
                <w:bottom w:val="none" w:sz="0" w:space="0" w:color="auto"/>
                <w:right w:val="none" w:sz="0" w:space="0" w:color="auto"/>
              </w:divBdr>
            </w:div>
            <w:div w:id="513956402">
              <w:marLeft w:val="0"/>
              <w:marRight w:val="0"/>
              <w:marTop w:val="0"/>
              <w:marBottom w:val="0"/>
              <w:divBdr>
                <w:top w:val="none" w:sz="0" w:space="0" w:color="auto"/>
                <w:left w:val="none" w:sz="0" w:space="0" w:color="auto"/>
                <w:bottom w:val="none" w:sz="0" w:space="0" w:color="auto"/>
                <w:right w:val="none" w:sz="0" w:space="0" w:color="auto"/>
              </w:divBdr>
            </w:div>
            <w:div w:id="565339553">
              <w:marLeft w:val="0"/>
              <w:marRight w:val="0"/>
              <w:marTop w:val="0"/>
              <w:marBottom w:val="0"/>
              <w:divBdr>
                <w:top w:val="none" w:sz="0" w:space="0" w:color="auto"/>
                <w:left w:val="none" w:sz="0" w:space="0" w:color="auto"/>
                <w:bottom w:val="none" w:sz="0" w:space="0" w:color="auto"/>
                <w:right w:val="none" w:sz="0" w:space="0" w:color="auto"/>
              </w:divBdr>
            </w:div>
            <w:div w:id="1021130775">
              <w:marLeft w:val="0"/>
              <w:marRight w:val="0"/>
              <w:marTop w:val="0"/>
              <w:marBottom w:val="0"/>
              <w:divBdr>
                <w:top w:val="none" w:sz="0" w:space="0" w:color="auto"/>
                <w:left w:val="none" w:sz="0" w:space="0" w:color="auto"/>
                <w:bottom w:val="none" w:sz="0" w:space="0" w:color="auto"/>
                <w:right w:val="none" w:sz="0" w:space="0" w:color="auto"/>
              </w:divBdr>
            </w:div>
            <w:div w:id="1158889088">
              <w:marLeft w:val="0"/>
              <w:marRight w:val="0"/>
              <w:marTop w:val="0"/>
              <w:marBottom w:val="0"/>
              <w:divBdr>
                <w:top w:val="none" w:sz="0" w:space="0" w:color="auto"/>
                <w:left w:val="none" w:sz="0" w:space="0" w:color="auto"/>
                <w:bottom w:val="none" w:sz="0" w:space="0" w:color="auto"/>
                <w:right w:val="none" w:sz="0" w:space="0" w:color="auto"/>
              </w:divBdr>
            </w:div>
            <w:div w:id="1368992567">
              <w:marLeft w:val="0"/>
              <w:marRight w:val="0"/>
              <w:marTop w:val="0"/>
              <w:marBottom w:val="0"/>
              <w:divBdr>
                <w:top w:val="none" w:sz="0" w:space="0" w:color="auto"/>
                <w:left w:val="none" w:sz="0" w:space="0" w:color="auto"/>
                <w:bottom w:val="none" w:sz="0" w:space="0" w:color="auto"/>
                <w:right w:val="none" w:sz="0" w:space="0" w:color="auto"/>
              </w:divBdr>
            </w:div>
            <w:div w:id="1388916573">
              <w:marLeft w:val="0"/>
              <w:marRight w:val="0"/>
              <w:marTop w:val="0"/>
              <w:marBottom w:val="0"/>
              <w:divBdr>
                <w:top w:val="none" w:sz="0" w:space="0" w:color="auto"/>
                <w:left w:val="none" w:sz="0" w:space="0" w:color="auto"/>
                <w:bottom w:val="none" w:sz="0" w:space="0" w:color="auto"/>
                <w:right w:val="none" w:sz="0" w:space="0" w:color="auto"/>
              </w:divBdr>
            </w:div>
            <w:div w:id="1418789928">
              <w:marLeft w:val="0"/>
              <w:marRight w:val="0"/>
              <w:marTop w:val="0"/>
              <w:marBottom w:val="0"/>
              <w:divBdr>
                <w:top w:val="none" w:sz="0" w:space="0" w:color="auto"/>
                <w:left w:val="none" w:sz="0" w:space="0" w:color="auto"/>
                <w:bottom w:val="none" w:sz="0" w:space="0" w:color="auto"/>
                <w:right w:val="none" w:sz="0" w:space="0" w:color="auto"/>
              </w:divBdr>
            </w:div>
            <w:div w:id="1421685103">
              <w:marLeft w:val="0"/>
              <w:marRight w:val="0"/>
              <w:marTop w:val="0"/>
              <w:marBottom w:val="0"/>
              <w:divBdr>
                <w:top w:val="none" w:sz="0" w:space="0" w:color="auto"/>
                <w:left w:val="none" w:sz="0" w:space="0" w:color="auto"/>
                <w:bottom w:val="none" w:sz="0" w:space="0" w:color="auto"/>
                <w:right w:val="none" w:sz="0" w:space="0" w:color="auto"/>
              </w:divBdr>
            </w:div>
            <w:div w:id="1461805289">
              <w:marLeft w:val="0"/>
              <w:marRight w:val="0"/>
              <w:marTop w:val="0"/>
              <w:marBottom w:val="0"/>
              <w:divBdr>
                <w:top w:val="none" w:sz="0" w:space="0" w:color="auto"/>
                <w:left w:val="none" w:sz="0" w:space="0" w:color="auto"/>
                <w:bottom w:val="none" w:sz="0" w:space="0" w:color="auto"/>
                <w:right w:val="none" w:sz="0" w:space="0" w:color="auto"/>
              </w:divBdr>
            </w:div>
            <w:div w:id="1583299514">
              <w:marLeft w:val="0"/>
              <w:marRight w:val="0"/>
              <w:marTop w:val="0"/>
              <w:marBottom w:val="0"/>
              <w:divBdr>
                <w:top w:val="none" w:sz="0" w:space="0" w:color="auto"/>
                <w:left w:val="none" w:sz="0" w:space="0" w:color="auto"/>
                <w:bottom w:val="none" w:sz="0" w:space="0" w:color="auto"/>
                <w:right w:val="none" w:sz="0" w:space="0" w:color="auto"/>
              </w:divBdr>
            </w:div>
            <w:div w:id="1900902405">
              <w:marLeft w:val="0"/>
              <w:marRight w:val="0"/>
              <w:marTop w:val="0"/>
              <w:marBottom w:val="0"/>
              <w:divBdr>
                <w:top w:val="none" w:sz="0" w:space="0" w:color="auto"/>
                <w:left w:val="none" w:sz="0" w:space="0" w:color="auto"/>
                <w:bottom w:val="none" w:sz="0" w:space="0" w:color="auto"/>
                <w:right w:val="none" w:sz="0" w:space="0" w:color="auto"/>
              </w:divBdr>
            </w:div>
            <w:div w:id="1953776764">
              <w:marLeft w:val="0"/>
              <w:marRight w:val="0"/>
              <w:marTop w:val="0"/>
              <w:marBottom w:val="0"/>
              <w:divBdr>
                <w:top w:val="none" w:sz="0" w:space="0" w:color="auto"/>
                <w:left w:val="none" w:sz="0" w:space="0" w:color="auto"/>
                <w:bottom w:val="none" w:sz="0" w:space="0" w:color="auto"/>
                <w:right w:val="none" w:sz="0" w:space="0" w:color="auto"/>
              </w:divBdr>
            </w:div>
            <w:div w:id="2006207138">
              <w:marLeft w:val="0"/>
              <w:marRight w:val="0"/>
              <w:marTop w:val="0"/>
              <w:marBottom w:val="0"/>
              <w:divBdr>
                <w:top w:val="none" w:sz="0" w:space="0" w:color="auto"/>
                <w:left w:val="none" w:sz="0" w:space="0" w:color="auto"/>
                <w:bottom w:val="none" w:sz="0" w:space="0" w:color="auto"/>
                <w:right w:val="none" w:sz="0" w:space="0" w:color="auto"/>
              </w:divBdr>
            </w:div>
            <w:div w:id="2014334090">
              <w:marLeft w:val="0"/>
              <w:marRight w:val="0"/>
              <w:marTop w:val="0"/>
              <w:marBottom w:val="0"/>
              <w:divBdr>
                <w:top w:val="none" w:sz="0" w:space="0" w:color="auto"/>
                <w:left w:val="none" w:sz="0" w:space="0" w:color="auto"/>
                <w:bottom w:val="none" w:sz="0" w:space="0" w:color="auto"/>
                <w:right w:val="none" w:sz="0" w:space="0" w:color="auto"/>
              </w:divBdr>
            </w:div>
            <w:div w:id="2026058610">
              <w:marLeft w:val="0"/>
              <w:marRight w:val="0"/>
              <w:marTop w:val="0"/>
              <w:marBottom w:val="0"/>
              <w:divBdr>
                <w:top w:val="none" w:sz="0" w:space="0" w:color="auto"/>
                <w:left w:val="none" w:sz="0" w:space="0" w:color="auto"/>
                <w:bottom w:val="none" w:sz="0" w:space="0" w:color="auto"/>
                <w:right w:val="none" w:sz="0" w:space="0" w:color="auto"/>
              </w:divBdr>
            </w:div>
            <w:div w:id="2077702733">
              <w:marLeft w:val="0"/>
              <w:marRight w:val="0"/>
              <w:marTop w:val="0"/>
              <w:marBottom w:val="0"/>
              <w:divBdr>
                <w:top w:val="none" w:sz="0" w:space="0" w:color="auto"/>
                <w:left w:val="none" w:sz="0" w:space="0" w:color="auto"/>
                <w:bottom w:val="none" w:sz="0" w:space="0" w:color="auto"/>
                <w:right w:val="none" w:sz="0" w:space="0" w:color="auto"/>
              </w:divBdr>
            </w:div>
          </w:divsChild>
        </w:div>
        <w:div w:id="1843277717">
          <w:marLeft w:val="0"/>
          <w:marRight w:val="0"/>
          <w:marTop w:val="0"/>
          <w:marBottom w:val="0"/>
          <w:divBdr>
            <w:top w:val="none" w:sz="0" w:space="0" w:color="auto"/>
            <w:left w:val="none" w:sz="0" w:space="0" w:color="auto"/>
            <w:bottom w:val="none" w:sz="0" w:space="0" w:color="auto"/>
            <w:right w:val="none" w:sz="0" w:space="0" w:color="auto"/>
          </w:divBdr>
        </w:div>
        <w:div w:id="1845436494">
          <w:marLeft w:val="0"/>
          <w:marRight w:val="0"/>
          <w:marTop w:val="0"/>
          <w:marBottom w:val="0"/>
          <w:divBdr>
            <w:top w:val="none" w:sz="0" w:space="0" w:color="auto"/>
            <w:left w:val="none" w:sz="0" w:space="0" w:color="auto"/>
            <w:bottom w:val="none" w:sz="0" w:space="0" w:color="auto"/>
            <w:right w:val="none" w:sz="0" w:space="0" w:color="auto"/>
          </w:divBdr>
        </w:div>
        <w:div w:id="1852407743">
          <w:marLeft w:val="0"/>
          <w:marRight w:val="0"/>
          <w:marTop w:val="0"/>
          <w:marBottom w:val="0"/>
          <w:divBdr>
            <w:top w:val="none" w:sz="0" w:space="0" w:color="auto"/>
            <w:left w:val="none" w:sz="0" w:space="0" w:color="auto"/>
            <w:bottom w:val="none" w:sz="0" w:space="0" w:color="auto"/>
            <w:right w:val="none" w:sz="0" w:space="0" w:color="auto"/>
          </w:divBdr>
        </w:div>
        <w:div w:id="1861435336">
          <w:marLeft w:val="0"/>
          <w:marRight w:val="0"/>
          <w:marTop w:val="0"/>
          <w:marBottom w:val="0"/>
          <w:divBdr>
            <w:top w:val="none" w:sz="0" w:space="0" w:color="auto"/>
            <w:left w:val="none" w:sz="0" w:space="0" w:color="auto"/>
            <w:bottom w:val="none" w:sz="0" w:space="0" w:color="auto"/>
            <w:right w:val="none" w:sz="0" w:space="0" w:color="auto"/>
          </w:divBdr>
        </w:div>
        <w:div w:id="1885215085">
          <w:marLeft w:val="0"/>
          <w:marRight w:val="0"/>
          <w:marTop w:val="0"/>
          <w:marBottom w:val="0"/>
          <w:divBdr>
            <w:top w:val="none" w:sz="0" w:space="0" w:color="auto"/>
            <w:left w:val="none" w:sz="0" w:space="0" w:color="auto"/>
            <w:bottom w:val="none" w:sz="0" w:space="0" w:color="auto"/>
            <w:right w:val="none" w:sz="0" w:space="0" w:color="auto"/>
          </w:divBdr>
        </w:div>
        <w:div w:id="1889603333">
          <w:marLeft w:val="0"/>
          <w:marRight w:val="0"/>
          <w:marTop w:val="0"/>
          <w:marBottom w:val="0"/>
          <w:divBdr>
            <w:top w:val="none" w:sz="0" w:space="0" w:color="auto"/>
            <w:left w:val="none" w:sz="0" w:space="0" w:color="auto"/>
            <w:bottom w:val="none" w:sz="0" w:space="0" w:color="auto"/>
            <w:right w:val="none" w:sz="0" w:space="0" w:color="auto"/>
          </w:divBdr>
        </w:div>
        <w:div w:id="1890217990">
          <w:marLeft w:val="0"/>
          <w:marRight w:val="0"/>
          <w:marTop w:val="0"/>
          <w:marBottom w:val="0"/>
          <w:divBdr>
            <w:top w:val="none" w:sz="0" w:space="0" w:color="auto"/>
            <w:left w:val="none" w:sz="0" w:space="0" w:color="auto"/>
            <w:bottom w:val="none" w:sz="0" w:space="0" w:color="auto"/>
            <w:right w:val="none" w:sz="0" w:space="0" w:color="auto"/>
          </w:divBdr>
        </w:div>
        <w:div w:id="1890264268">
          <w:marLeft w:val="0"/>
          <w:marRight w:val="0"/>
          <w:marTop w:val="0"/>
          <w:marBottom w:val="0"/>
          <w:divBdr>
            <w:top w:val="none" w:sz="0" w:space="0" w:color="auto"/>
            <w:left w:val="none" w:sz="0" w:space="0" w:color="auto"/>
            <w:bottom w:val="none" w:sz="0" w:space="0" w:color="auto"/>
            <w:right w:val="none" w:sz="0" w:space="0" w:color="auto"/>
          </w:divBdr>
        </w:div>
        <w:div w:id="1891651416">
          <w:marLeft w:val="0"/>
          <w:marRight w:val="0"/>
          <w:marTop w:val="0"/>
          <w:marBottom w:val="0"/>
          <w:divBdr>
            <w:top w:val="none" w:sz="0" w:space="0" w:color="auto"/>
            <w:left w:val="none" w:sz="0" w:space="0" w:color="auto"/>
            <w:bottom w:val="none" w:sz="0" w:space="0" w:color="auto"/>
            <w:right w:val="none" w:sz="0" w:space="0" w:color="auto"/>
          </w:divBdr>
        </w:div>
        <w:div w:id="1893229924">
          <w:marLeft w:val="0"/>
          <w:marRight w:val="0"/>
          <w:marTop w:val="0"/>
          <w:marBottom w:val="0"/>
          <w:divBdr>
            <w:top w:val="none" w:sz="0" w:space="0" w:color="auto"/>
            <w:left w:val="none" w:sz="0" w:space="0" w:color="auto"/>
            <w:bottom w:val="none" w:sz="0" w:space="0" w:color="auto"/>
            <w:right w:val="none" w:sz="0" w:space="0" w:color="auto"/>
          </w:divBdr>
        </w:div>
        <w:div w:id="1904758857">
          <w:marLeft w:val="0"/>
          <w:marRight w:val="0"/>
          <w:marTop w:val="0"/>
          <w:marBottom w:val="0"/>
          <w:divBdr>
            <w:top w:val="none" w:sz="0" w:space="0" w:color="auto"/>
            <w:left w:val="none" w:sz="0" w:space="0" w:color="auto"/>
            <w:bottom w:val="none" w:sz="0" w:space="0" w:color="auto"/>
            <w:right w:val="none" w:sz="0" w:space="0" w:color="auto"/>
          </w:divBdr>
        </w:div>
        <w:div w:id="1934194032">
          <w:marLeft w:val="0"/>
          <w:marRight w:val="0"/>
          <w:marTop w:val="0"/>
          <w:marBottom w:val="0"/>
          <w:divBdr>
            <w:top w:val="none" w:sz="0" w:space="0" w:color="auto"/>
            <w:left w:val="none" w:sz="0" w:space="0" w:color="auto"/>
            <w:bottom w:val="none" w:sz="0" w:space="0" w:color="auto"/>
            <w:right w:val="none" w:sz="0" w:space="0" w:color="auto"/>
          </w:divBdr>
        </w:div>
        <w:div w:id="1945065869">
          <w:marLeft w:val="0"/>
          <w:marRight w:val="0"/>
          <w:marTop w:val="0"/>
          <w:marBottom w:val="0"/>
          <w:divBdr>
            <w:top w:val="none" w:sz="0" w:space="0" w:color="auto"/>
            <w:left w:val="none" w:sz="0" w:space="0" w:color="auto"/>
            <w:bottom w:val="none" w:sz="0" w:space="0" w:color="auto"/>
            <w:right w:val="none" w:sz="0" w:space="0" w:color="auto"/>
          </w:divBdr>
        </w:div>
        <w:div w:id="1966766615">
          <w:marLeft w:val="0"/>
          <w:marRight w:val="0"/>
          <w:marTop w:val="0"/>
          <w:marBottom w:val="0"/>
          <w:divBdr>
            <w:top w:val="none" w:sz="0" w:space="0" w:color="auto"/>
            <w:left w:val="none" w:sz="0" w:space="0" w:color="auto"/>
            <w:bottom w:val="none" w:sz="0" w:space="0" w:color="auto"/>
            <w:right w:val="none" w:sz="0" w:space="0" w:color="auto"/>
          </w:divBdr>
        </w:div>
        <w:div w:id="1971478410">
          <w:marLeft w:val="0"/>
          <w:marRight w:val="0"/>
          <w:marTop w:val="0"/>
          <w:marBottom w:val="0"/>
          <w:divBdr>
            <w:top w:val="none" w:sz="0" w:space="0" w:color="auto"/>
            <w:left w:val="none" w:sz="0" w:space="0" w:color="auto"/>
            <w:bottom w:val="none" w:sz="0" w:space="0" w:color="auto"/>
            <w:right w:val="none" w:sz="0" w:space="0" w:color="auto"/>
          </w:divBdr>
        </w:div>
        <w:div w:id="2033803254">
          <w:marLeft w:val="0"/>
          <w:marRight w:val="0"/>
          <w:marTop w:val="0"/>
          <w:marBottom w:val="0"/>
          <w:divBdr>
            <w:top w:val="none" w:sz="0" w:space="0" w:color="auto"/>
            <w:left w:val="none" w:sz="0" w:space="0" w:color="auto"/>
            <w:bottom w:val="none" w:sz="0" w:space="0" w:color="auto"/>
            <w:right w:val="none" w:sz="0" w:space="0" w:color="auto"/>
          </w:divBdr>
        </w:div>
        <w:div w:id="2044205784">
          <w:marLeft w:val="0"/>
          <w:marRight w:val="0"/>
          <w:marTop w:val="0"/>
          <w:marBottom w:val="0"/>
          <w:divBdr>
            <w:top w:val="none" w:sz="0" w:space="0" w:color="auto"/>
            <w:left w:val="none" w:sz="0" w:space="0" w:color="auto"/>
            <w:bottom w:val="none" w:sz="0" w:space="0" w:color="auto"/>
            <w:right w:val="none" w:sz="0" w:space="0" w:color="auto"/>
          </w:divBdr>
        </w:div>
        <w:div w:id="2059545802">
          <w:marLeft w:val="0"/>
          <w:marRight w:val="0"/>
          <w:marTop w:val="0"/>
          <w:marBottom w:val="0"/>
          <w:divBdr>
            <w:top w:val="none" w:sz="0" w:space="0" w:color="auto"/>
            <w:left w:val="none" w:sz="0" w:space="0" w:color="auto"/>
            <w:bottom w:val="none" w:sz="0" w:space="0" w:color="auto"/>
            <w:right w:val="none" w:sz="0" w:space="0" w:color="auto"/>
          </w:divBdr>
        </w:div>
        <w:div w:id="2067793628">
          <w:marLeft w:val="0"/>
          <w:marRight w:val="0"/>
          <w:marTop w:val="0"/>
          <w:marBottom w:val="0"/>
          <w:divBdr>
            <w:top w:val="none" w:sz="0" w:space="0" w:color="auto"/>
            <w:left w:val="none" w:sz="0" w:space="0" w:color="auto"/>
            <w:bottom w:val="none" w:sz="0" w:space="0" w:color="auto"/>
            <w:right w:val="none" w:sz="0" w:space="0" w:color="auto"/>
          </w:divBdr>
        </w:div>
        <w:div w:id="2107922491">
          <w:marLeft w:val="0"/>
          <w:marRight w:val="0"/>
          <w:marTop w:val="0"/>
          <w:marBottom w:val="0"/>
          <w:divBdr>
            <w:top w:val="none" w:sz="0" w:space="0" w:color="auto"/>
            <w:left w:val="none" w:sz="0" w:space="0" w:color="auto"/>
            <w:bottom w:val="none" w:sz="0" w:space="0" w:color="auto"/>
            <w:right w:val="none" w:sz="0" w:space="0" w:color="auto"/>
          </w:divBdr>
        </w:div>
        <w:div w:id="2112161264">
          <w:marLeft w:val="0"/>
          <w:marRight w:val="0"/>
          <w:marTop w:val="0"/>
          <w:marBottom w:val="0"/>
          <w:divBdr>
            <w:top w:val="none" w:sz="0" w:space="0" w:color="auto"/>
            <w:left w:val="none" w:sz="0" w:space="0" w:color="auto"/>
            <w:bottom w:val="none" w:sz="0" w:space="0" w:color="auto"/>
            <w:right w:val="none" w:sz="0" w:space="0" w:color="auto"/>
          </w:divBdr>
        </w:div>
        <w:div w:id="2125533654">
          <w:marLeft w:val="0"/>
          <w:marRight w:val="0"/>
          <w:marTop w:val="0"/>
          <w:marBottom w:val="0"/>
          <w:divBdr>
            <w:top w:val="none" w:sz="0" w:space="0" w:color="auto"/>
            <w:left w:val="none" w:sz="0" w:space="0" w:color="auto"/>
            <w:bottom w:val="none" w:sz="0" w:space="0" w:color="auto"/>
            <w:right w:val="none" w:sz="0" w:space="0" w:color="auto"/>
          </w:divBdr>
        </w:div>
        <w:div w:id="2134979518">
          <w:marLeft w:val="0"/>
          <w:marRight w:val="0"/>
          <w:marTop w:val="0"/>
          <w:marBottom w:val="0"/>
          <w:divBdr>
            <w:top w:val="none" w:sz="0" w:space="0" w:color="auto"/>
            <w:left w:val="none" w:sz="0" w:space="0" w:color="auto"/>
            <w:bottom w:val="none" w:sz="0" w:space="0" w:color="auto"/>
            <w:right w:val="none" w:sz="0" w:space="0" w:color="auto"/>
          </w:divBdr>
        </w:div>
      </w:divsChild>
    </w:div>
    <w:div w:id="1787894173">
      <w:bodyDiv w:val="1"/>
      <w:marLeft w:val="0"/>
      <w:marRight w:val="0"/>
      <w:marTop w:val="0"/>
      <w:marBottom w:val="0"/>
      <w:divBdr>
        <w:top w:val="none" w:sz="0" w:space="0" w:color="auto"/>
        <w:left w:val="none" w:sz="0" w:space="0" w:color="auto"/>
        <w:bottom w:val="none" w:sz="0" w:space="0" w:color="auto"/>
        <w:right w:val="none" w:sz="0" w:space="0" w:color="auto"/>
      </w:divBdr>
    </w:div>
    <w:div w:id="1825930663">
      <w:bodyDiv w:val="1"/>
      <w:marLeft w:val="0"/>
      <w:marRight w:val="0"/>
      <w:marTop w:val="0"/>
      <w:marBottom w:val="0"/>
      <w:divBdr>
        <w:top w:val="none" w:sz="0" w:space="0" w:color="auto"/>
        <w:left w:val="none" w:sz="0" w:space="0" w:color="auto"/>
        <w:bottom w:val="none" w:sz="0" w:space="0" w:color="auto"/>
        <w:right w:val="none" w:sz="0" w:space="0" w:color="auto"/>
      </w:divBdr>
    </w:div>
    <w:div w:id="18926893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ccat.int/Documents/Recs/compendiopdf-f/2024-01-f.pdf" TargetMode="External"/><Relationship Id="rId18" Type="http://schemas.openxmlformats.org/officeDocument/2006/relationships/hyperlink" Target="https://www.iccat.int/Documents/Recs/compendiopdf-f/2024-01-f.pdf" TargetMode="External"/><Relationship Id="rId26" Type="http://schemas.openxmlformats.org/officeDocument/2006/relationships/hyperlink" Target="https://www.iccat.int/Documents/Recs/compendiopdf-f/2024-02-f.pdf" TargetMode="External"/><Relationship Id="rId39" Type="http://schemas.openxmlformats.org/officeDocument/2006/relationships/header" Target="header2.xml"/><Relationship Id="rId21" Type="http://schemas.openxmlformats.org/officeDocument/2006/relationships/hyperlink" Target="https://www.iccat.int/Documents/Recs/compendiopdf-f/2024-02-f.pdf" TargetMode="External"/><Relationship Id="rId34" Type="http://schemas.openxmlformats.org/officeDocument/2006/relationships/image" Target="media/image5.png"/><Relationship Id="rId42"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hyperlink" Target="https://iccat.int/Documents/Recs/compendiopdf-f/2025-10-f.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cat.int/Documents/Recs/compendiopdf-f/2024-01-f.pdf" TargetMode="External"/><Relationship Id="rId24" Type="http://schemas.openxmlformats.org/officeDocument/2006/relationships/hyperlink" Target="https://www.iccat.int/Documents/CVSP/CV083_2026/n_5/CV083050103.pdf" TargetMode="External"/><Relationship Id="rId32" Type="http://schemas.openxmlformats.org/officeDocument/2006/relationships/header" Target="header1.xml"/><Relationship Id="rId37" Type="http://schemas.openxmlformats.org/officeDocument/2006/relationships/hyperlink" Target="https://www.iccat.int/Documents/Recs/compendiopdf-f/2024-01-f.pdf" TargetMode="External"/><Relationship Id="rId40" Type="http://schemas.openxmlformats.org/officeDocument/2006/relationships/header" Target="header3.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iccat.int/Documents/Recs/compendiopdf-f/2024-01-f.pdf" TargetMode="External"/><Relationship Id="rId23" Type="http://schemas.openxmlformats.org/officeDocument/2006/relationships/hyperlink" Target="https://www.iccat.int/Documents/Recs/compendiopdf-f/2024-01-f.pdf" TargetMode="External"/><Relationship Id="rId28" Type="http://schemas.openxmlformats.org/officeDocument/2006/relationships/hyperlink" Target="https://www.iccat.int/Documents/Recs/compendiopdf-f/2025-02-f.pdf" TargetMode="External"/><Relationship Id="rId36" Type="http://schemas.openxmlformats.org/officeDocument/2006/relationships/hyperlink" Target="https://www.iccat.int/Documents/Recs/compendiopdf-f/2024-01-f.pdf" TargetMode="External"/><Relationship Id="rId10" Type="http://schemas.openxmlformats.org/officeDocument/2006/relationships/image" Target="cid:image001.png@01DD46C8.7CB08690" TargetMode="External"/><Relationship Id="rId19" Type="http://schemas.openxmlformats.org/officeDocument/2006/relationships/hyperlink" Target="https://www.iccat.int/Documents/Recs/compendiopdf-f/2024-02-f.pdf" TargetMode="External"/><Relationship Id="rId31" Type="http://schemas.openxmlformats.org/officeDocument/2006/relationships/hyperlink" Target="https://www.iccat.int/Documents/Recs/compendiopdf-f/2021-04-f.pdf" TargetMode="External"/><Relationship Id="rId44"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iccat.int/Documents/Recs/compendiopdf-f/2024-01-f.pdf" TargetMode="External"/><Relationship Id="rId22" Type="http://schemas.openxmlformats.org/officeDocument/2006/relationships/hyperlink" Target="https://www.iccat.int/Documents/Recs/compendiopdf-f/2025-09-f.pdf" TargetMode="External"/><Relationship Id="rId27" Type="http://schemas.openxmlformats.org/officeDocument/2006/relationships/hyperlink" Target="https://www.iccat.int/Documents/Recs/compendiopdf-f/2025-02-f.pdf" TargetMode="External"/><Relationship Id="rId30" Type="http://schemas.openxmlformats.org/officeDocument/2006/relationships/hyperlink" Target="https://www.iccat.int/Documents/Recs/compendiopdf-f/2023-07-f.pdf" TargetMode="External"/><Relationship Id="rId35" Type="http://schemas.openxmlformats.org/officeDocument/2006/relationships/image" Target="media/image6.png"/><Relationship Id="rId43" Type="http://schemas.openxmlformats.org/officeDocument/2006/relationships/header" Target="header4.xml"/><Relationship Id="rId8" Type="http://schemas.openxmlformats.org/officeDocument/2006/relationships/hyperlink" Target="https://www.iccat.int/Documents/Recs/compendiopdf-f/2024-01-f.pdf" TargetMode="External"/><Relationship Id="rId3" Type="http://schemas.openxmlformats.org/officeDocument/2006/relationships/styles" Target="styles.xml"/><Relationship Id="rId12" Type="http://schemas.openxmlformats.org/officeDocument/2006/relationships/hyperlink" Target="https://www.iccat.int/Documents/Recs/compendiopdf-f/2024-01-f.pdf" TargetMode="External"/><Relationship Id="rId17" Type="http://schemas.openxmlformats.org/officeDocument/2006/relationships/image" Target="media/image3.png"/><Relationship Id="rId25" Type="http://schemas.openxmlformats.org/officeDocument/2006/relationships/image" Target="media/image4.emf"/><Relationship Id="rId33" Type="http://schemas.openxmlformats.org/officeDocument/2006/relationships/footer" Target="footer1.xml"/><Relationship Id="rId38" Type="http://schemas.openxmlformats.org/officeDocument/2006/relationships/image" Target="media/image7.emf"/><Relationship Id="rId46" Type="http://schemas.openxmlformats.org/officeDocument/2006/relationships/theme" Target="theme/theme1.xml"/><Relationship Id="rId20" Type="http://schemas.openxmlformats.org/officeDocument/2006/relationships/hyperlink" Target="https://www.iccat.int/Documents/Recs/compendiopdf-f/2024-02-f.pdf" TargetMode="External"/><Relationship Id="rId41"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iccat.int/com2019/index.htm" TargetMode="External"/><Relationship Id="rId1" Type="http://schemas.openxmlformats.org/officeDocument/2006/relationships/hyperlink" Target="https://iccat.int/com2019/inde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A31EF-0C65-46A4-B703-297961243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6408</Words>
  <Characters>36527</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42850</CharactersWithSpaces>
  <SharedDoc>false</SharedDoc>
  <HLinks>
    <vt:vector size="216" baseType="variant">
      <vt:variant>
        <vt:i4>5177346</vt:i4>
      </vt:variant>
      <vt:variant>
        <vt:i4>105</vt:i4>
      </vt:variant>
      <vt:variant>
        <vt:i4>0</vt:i4>
      </vt:variant>
      <vt:variant>
        <vt:i4>5</vt:i4>
      </vt:variant>
      <vt:variant>
        <vt:lpwstr>https://www.iccat.int/Documents/Recs/compendiopdf-e/2019-08-e.pdf</vt:lpwstr>
      </vt:variant>
      <vt:variant>
        <vt:lpwstr/>
      </vt:variant>
      <vt:variant>
        <vt:i4>4456456</vt:i4>
      </vt:variant>
      <vt:variant>
        <vt:i4>102</vt:i4>
      </vt:variant>
      <vt:variant>
        <vt:i4>0</vt:i4>
      </vt:variant>
      <vt:variant>
        <vt:i4>5</vt:i4>
      </vt:variant>
      <vt:variant>
        <vt:lpwstr>https://www.iccat.int/Documents/Recs/compendiopdf-e/2023-11-e.pdf</vt:lpwstr>
      </vt:variant>
      <vt:variant>
        <vt:lpwstr/>
      </vt:variant>
      <vt:variant>
        <vt:i4>5177357</vt:i4>
      </vt:variant>
      <vt:variant>
        <vt:i4>99</vt:i4>
      </vt:variant>
      <vt:variant>
        <vt:i4>0</vt:i4>
      </vt:variant>
      <vt:variant>
        <vt:i4>5</vt:i4>
      </vt:variant>
      <vt:variant>
        <vt:lpwstr>https://www.iccat.int/Documents/Recs/compendiopdf-e/2019-07-e.pdf</vt:lpwstr>
      </vt:variant>
      <vt:variant>
        <vt:lpwstr/>
      </vt:variant>
      <vt:variant>
        <vt:i4>4456457</vt:i4>
      </vt:variant>
      <vt:variant>
        <vt:i4>96</vt:i4>
      </vt:variant>
      <vt:variant>
        <vt:i4>0</vt:i4>
      </vt:variant>
      <vt:variant>
        <vt:i4>5</vt:i4>
      </vt:variant>
      <vt:variant>
        <vt:lpwstr>https://www.iccat.int/Documents/Recs/compendiopdf-e/2023-10-e.pdf</vt:lpwstr>
      </vt:variant>
      <vt:variant>
        <vt:lpwstr/>
      </vt:variant>
      <vt:variant>
        <vt:i4>4521992</vt:i4>
      </vt:variant>
      <vt:variant>
        <vt:i4>93</vt:i4>
      </vt:variant>
      <vt:variant>
        <vt:i4>0</vt:i4>
      </vt:variant>
      <vt:variant>
        <vt:i4>5</vt:i4>
      </vt:variant>
      <vt:variant>
        <vt:lpwstr>https://www.iccat.int/Documents/Recs/compendiopdf-e/2022-11-e.pdf</vt:lpwstr>
      </vt:variant>
      <vt:variant>
        <vt:lpwstr/>
      </vt:variant>
      <vt:variant>
        <vt:i4>5177359</vt:i4>
      </vt:variant>
      <vt:variant>
        <vt:i4>90</vt:i4>
      </vt:variant>
      <vt:variant>
        <vt:i4>0</vt:i4>
      </vt:variant>
      <vt:variant>
        <vt:i4>5</vt:i4>
      </vt:variant>
      <vt:variant>
        <vt:lpwstr>https://www.iccat.int/Documents/Recs/compendiopdf-e/2019-05-e.pdf</vt:lpwstr>
      </vt:variant>
      <vt:variant>
        <vt:lpwstr/>
      </vt:variant>
      <vt:variant>
        <vt:i4>4325385</vt:i4>
      </vt:variant>
      <vt:variant>
        <vt:i4>87</vt:i4>
      </vt:variant>
      <vt:variant>
        <vt:i4>0</vt:i4>
      </vt:variant>
      <vt:variant>
        <vt:i4>5</vt:i4>
      </vt:variant>
      <vt:variant>
        <vt:lpwstr>https://www.iccat.int/Documents/Recs/compendiopdf-e/2015-13-e.pdf</vt:lpwstr>
      </vt:variant>
      <vt:variant>
        <vt:lpwstr/>
      </vt:variant>
      <vt:variant>
        <vt:i4>4325385</vt:i4>
      </vt:variant>
      <vt:variant>
        <vt:i4>84</vt:i4>
      </vt:variant>
      <vt:variant>
        <vt:i4>0</vt:i4>
      </vt:variant>
      <vt:variant>
        <vt:i4>5</vt:i4>
      </vt:variant>
      <vt:variant>
        <vt:lpwstr>https://www.iccat.int/Documents/Recs/compendiopdf-e/2015-13-e.pdf</vt:lpwstr>
      </vt:variant>
      <vt:variant>
        <vt:lpwstr/>
      </vt:variant>
      <vt:variant>
        <vt:i4>4456463</vt:i4>
      </vt:variant>
      <vt:variant>
        <vt:i4>81</vt:i4>
      </vt:variant>
      <vt:variant>
        <vt:i4>0</vt:i4>
      </vt:variant>
      <vt:variant>
        <vt:i4>5</vt:i4>
      </vt:variant>
      <vt:variant>
        <vt:lpwstr>https://www.iccat.int/Documents/Recs/compendiopdf-e/2022-06-e.pdf</vt:lpwstr>
      </vt:variant>
      <vt:variant>
        <vt:lpwstr/>
      </vt:variant>
      <vt:variant>
        <vt:i4>4325388</vt:i4>
      </vt:variant>
      <vt:variant>
        <vt:i4>78</vt:i4>
      </vt:variant>
      <vt:variant>
        <vt:i4>0</vt:i4>
      </vt:variant>
      <vt:variant>
        <vt:i4>5</vt:i4>
      </vt:variant>
      <vt:variant>
        <vt:lpwstr>https://www.iccat.int/Documents/Recs/compendiopdf-e/2024-05-e.pdf</vt:lpwstr>
      </vt:variant>
      <vt:variant>
        <vt:lpwstr/>
      </vt:variant>
      <vt:variant>
        <vt:i4>4325388</vt:i4>
      </vt:variant>
      <vt:variant>
        <vt:i4>75</vt:i4>
      </vt:variant>
      <vt:variant>
        <vt:i4>0</vt:i4>
      </vt:variant>
      <vt:variant>
        <vt:i4>5</vt:i4>
      </vt:variant>
      <vt:variant>
        <vt:lpwstr>https://www.iccat.int/Documents/Recs/compendiopdf-e/2024-05-e.pdf</vt:lpwstr>
      </vt:variant>
      <vt:variant>
        <vt:lpwstr/>
      </vt:variant>
      <vt:variant>
        <vt:i4>4325385</vt:i4>
      </vt:variant>
      <vt:variant>
        <vt:i4>72</vt:i4>
      </vt:variant>
      <vt:variant>
        <vt:i4>0</vt:i4>
      </vt:variant>
      <vt:variant>
        <vt:i4>5</vt:i4>
      </vt:variant>
      <vt:variant>
        <vt:lpwstr>https://www.iccat.int/Documents/Recs/compendiopdf-e/2015-13-e.pdf</vt:lpwstr>
      </vt:variant>
      <vt:variant>
        <vt:lpwstr/>
      </vt:variant>
      <vt:variant>
        <vt:i4>4325389</vt:i4>
      </vt:variant>
      <vt:variant>
        <vt:i4>69</vt:i4>
      </vt:variant>
      <vt:variant>
        <vt:i4>0</vt:i4>
      </vt:variant>
      <vt:variant>
        <vt:i4>5</vt:i4>
      </vt:variant>
      <vt:variant>
        <vt:lpwstr>https://www.iccat.int/Documents/Recs/compendiopdf-e/2024-04-e.pdf</vt:lpwstr>
      </vt:variant>
      <vt:variant>
        <vt:lpwstr/>
      </vt:variant>
      <vt:variant>
        <vt:i4>4325384</vt:i4>
      </vt:variant>
      <vt:variant>
        <vt:i4>66</vt:i4>
      </vt:variant>
      <vt:variant>
        <vt:i4>0</vt:i4>
      </vt:variant>
      <vt:variant>
        <vt:i4>5</vt:i4>
      </vt:variant>
      <vt:variant>
        <vt:lpwstr>https://www.iccat.int/Documents/Recs/compendiopdf-e/2024-01-e.pdf</vt:lpwstr>
      </vt:variant>
      <vt:variant>
        <vt:lpwstr/>
      </vt:variant>
      <vt:variant>
        <vt:i4>4325385</vt:i4>
      </vt:variant>
      <vt:variant>
        <vt:i4>63</vt:i4>
      </vt:variant>
      <vt:variant>
        <vt:i4>0</vt:i4>
      </vt:variant>
      <vt:variant>
        <vt:i4>5</vt:i4>
      </vt:variant>
      <vt:variant>
        <vt:lpwstr>https://www.iccat.int/Documents/Recs/compendiopdf-e/2015-13-e.pdf</vt:lpwstr>
      </vt:variant>
      <vt:variant>
        <vt:lpwstr/>
      </vt:variant>
      <vt:variant>
        <vt:i4>4653129</vt:i4>
      </vt:variant>
      <vt:variant>
        <vt:i4>60</vt:i4>
      </vt:variant>
      <vt:variant>
        <vt:i4>0</vt:i4>
      </vt:variant>
      <vt:variant>
        <vt:i4>5</vt:i4>
      </vt:variant>
      <vt:variant>
        <vt:lpwstr>https://secretariat.iccat.online/index.php/s/YxK8jPqkysM3nj3</vt:lpwstr>
      </vt:variant>
      <vt:variant>
        <vt:lpwstr/>
      </vt:variant>
      <vt:variant>
        <vt:i4>4325388</vt:i4>
      </vt:variant>
      <vt:variant>
        <vt:i4>57</vt:i4>
      </vt:variant>
      <vt:variant>
        <vt:i4>0</vt:i4>
      </vt:variant>
      <vt:variant>
        <vt:i4>5</vt:i4>
      </vt:variant>
      <vt:variant>
        <vt:lpwstr>https://www.iccat.int/Documents/Recs/compendiopdf-e/2024-05-e.pdf</vt:lpwstr>
      </vt:variant>
      <vt:variant>
        <vt:lpwstr/>
      </vt:variant>
      <vt:variant>
        <vt:i4>4587599</vt:i4>
      </vt:variant>
      <vt:variant>
        <vt:i4>54</vt:i4>
      </vt:variant>
      <vt:variant>
        <vt:i4>0</vt:i4>
      </vt:variant>
      <vt:variant>
        <vt:i4>5</vt:i4>
      </vt:variant>
      <vt:variant>
        <vt:lpwstr>http://www.iccat.int/en/vesselsrecord.asp</vt:lpwstr>
      </vt:variant>
      <vt:variant>
        <vt:lpwstr/>
      </vt:variant>
      <vt:variant>
        <vt:i4>4390924</vt:i4>
      </vt:variant>
      <vt:variant>
        <vt:i4>51</vt:i4>
      </vt:variant>
      <vt:variant>
        <vt:i4>0</vt:i4>
      </vt:variant>
      <vt:variant>
        <vt:i4>5</vt:i4>
      </vt:variant>
      <vt:variant>
        <vt:lpwstr>https://www.iccat.int/Documents/Recs/compendiopdf-e/2024-15-e.pdf</vt:lpwstr>
      </vt:variant>
      <vt:variant>
        <vt:lpwstr/>
      </vt:variant>
      <vt:variant>
        <vt:i4>8126501</vt:i4>
      </vt:variant>
      <vt:variant>
        <vt:i4>48</vt:i4>
      </vt:variant>
      <vt:variant>
        <vt:i4>0</vt:i4>
      </vt:variant>
      <vt:variant>
        <vt:i4>5</vt:i4>
      </vt:variant>
      <vt:variant>
        <vt:lpwstr>https://www.iccat.int/Documents/BienRep/REP_EN_24-25-I-1.pdf</vt:lpwstr>
      </vt:variant>
      <vt:variant>
        <vt:lpwstr/>
      </vt:variant>
      <vt:variant>
        <vt:i4>4521985</vt:i4>
      </vt:variant>
      <vt:variant>
        <vt:i4>45</vt:i4>
      </vt:variant>
      <vt:variant>
        <vt:i4>0</vt:i4>
      </vt:variant>
      <vt:variant>
        <vt:i4>5</vt:i4>
      </vt:variant>
      <vt:variant>
        <vt:lpwstr>https://www.iccat.int/Documents/Recs/compendiopdf-e/2022-18-e.pdf</vt:lpwstr>
      </vt:variant>
      <vt:variant>
        <vt:lpwstr/>
      </vt:variant>
      <vt:variant>
        <vt:i4>4259848</vt:i4>
      </vt:variant>
      <vt:variant>
        <vt:i4>42</vt:i4>
      </vt:variant>
      <vt:variant>
        <vt:i4>0</vt:i4>
      </vt:variant>
      <vt:variant>
        <vt:i4>5</vt:i4>
      </vt:variant>
      <vt:variant>
        <vt:lpwstr>https://www.iccat.int/Documents/Recs/compendiopdf-e/2006-13-e.pdf</vt:lpwstr>
      </vt:variant>
      <vt:variant>
        <vt:lpwstr/>
      </vt:variant>
      <vt:variant>
        <vt:i4>4259848</vt:i4>
      </vt:variant>
      <vt:variant>
        <vt:i4>39</vt:i4>
      </vt:variant>
      <vt:variant>
        <vt:i4>0</vt:i4>
      </vt:variant>
      <vt:variant>
        <vt:i4>5</vt:i4>
      </vt:variant>
      <vt:variant>
        <vt:lpwstr>https://www.iccat.int/Documents/Recs/compendiopdf-e/2006-13-e.pdf</vt:lpwstr>
      </vt:variant>
      <vt:variant>
        <vt:lpwstr/>
      </vt:variant>
      <vt:variant>
        <vt:i4>5111810</vt:i4>
      </vt:variant>
      <vt:variant>
        <vt:i4>36</vt:i4>
      </vt:variant>
      <vt:variant>
        <vt:i4>0</vt:i4>
      </vt:variant>
      <vt:variant>
        <vt:i4>5</vt:i4>
      </vt:variant>
      <vt:variant>
        <vt:lpwstr>https://www.iccat.int/Documents/Recs/compendiopdf-e/2008-09-e.pdf</vt:lpwstr>
      </vt:variant>
      <vt:variant>
        <vt:lpwstr/>
      </vt:variant>
      <vt:variant>
        <vt:i4>4587535</vt:i4>
      </vt:variant>
      <vt:variant>
        <vt:i4>33</vt:i4>
      </vt:variant>
      <vt:variant>
        <vt:i4>0</vt:i4>
      </vt:variant>
      <vt:variant>
        <vt:i4>5</vt:i4>
      </vt:variant>
      <vt:variant>
        <vt:lpwstr>https://www.iccat.int/Documents/Recs/compendiopdf-e/2011-15-e.pdf</vt:lpwstr>
      </vt:variant>
      <vt:variant>
        <vt:lpwstr/>
      </vt:variant>
      <vt:variant>
        <vt:i4>4390914</vt:i4>
      </vt:variant>
      <vt:variant>
        <vt:i4>30</vt:i4>
      </vt:variant>
      <vt:variant>
        <vt:i4>0</vt:i4>
      </vt:variant>
      <vt:variant>
        <vt:i4>5</vt:i4>
      </vt:variant>
      <vt:variant>
        <vt:lpwstr>https://www.iccat.int/Documents/Recs/compendiopdf-e/2005-09-e.pdf</vt:lpwstr>
      </vt:variant>
      <vt:variant>
        <vt:lpwstr/>
      </vt:variant>
      <vt:variant>
        <vt:i4>4259851</vt:i4>
      </vt:variant>
      <vt:variant>
        <vt:i4>27</vt:i4>
      </vt:variant>
      <vt:variant>
        <vt:i4>0</vt:i4>
      </vt:variant>
      <vt:variant>
        <vt:i4>5</vt:i4>
      </vt:variant>
      <vt:variant>
        <vt:lpwstr>https://www.iccat.int/Documents/Recs/compendiopdf-e/2016-11-e.pdf</vt:lpwstr>
      </vt:variant>
      <vt:variant>
        <vt:lpwstr/>
      </vt:variant>
      <vt:variant>
        <vt:i4>4456458</vt:i4>
      </vt:variant>
      <vt:variant>
        <vt:i4>24</vt:i4>
      </vt:variant>
      <vt:variant>
        <vt:i4>0</vt:i4>
      </vt:variant>
      <vt:variant>
        <vt:i4>5</vt:i4>
      </vt:variant>
      <vt:variant>
        <vt:lpwstr>https://www.iccat.int/Documents/Recs/compendiopdf-e/2023-13-e.pdf</vt:lpwstr>
      </vt:variant>
      <vt:variant>
        <vt:lpwstr/>
      </vt:variant>
      <vt:variant>
        <vt:i4>4521995</vt:i4>
      </vt:variant>
      <vt:variant>
        <vt:i4>21</vt:i4>
      </vt:variant>
      <vt:variant>
        <vt:i4>0</vt:i4>
      </vt:variant>
      <vt:variant>
        <vt:i4>5</vt:i4>
      </vt:variant>
      <vt:variant>
        <vt:lpwstr>https://www.iccat.int/Documents/Recs/compendiopdf-e/2022-12-e.pdf</vt:lpwstr>
      </vt:variant>
      <vt:variant>
        <vt:lpwstr/>
      </vt:variant>
      <vt:variant>
        <vt:i4>4259854</vt:i4>
      </vt:variant>
      <vt:variant>
        <vt:i4>18</vt:i4>
      </vt:variant>
      <vt:variant>
        <vt:i4>0</vt:i4>
      </vt:variant>
      <vt:variant>
        <vt:i4>5</vt:i4>
      </vt:variant>
      <vt:variant>
        <vt:lpwstr>https://www.iccat.int/Documents/Recs/compendiopdf-e/2016-14-e.pdf</vt:lpwstr>
      </vt:variant>
      <vt:variant>
        <vt:lpwstr/>
      </vt:variant>
      <vt:variant>
        <vt:i4>5111820</vt:i4>
      </vt:variant>
      <vt:variant>
        <vt:i4>15</vt:i4>
      </vt:variant>
      <vt:variant>
        <vt:i4>0</vt:i4>
      </vt:variant>
      <vt:variant>
        <vt:i4>5</vt:i4>
      </vt:variant>
      <vt:variant>
        <vt:lpwstr>https://www.iccat.int/Documents/Recs/compendiopdf-e/2018-06-e.pdf</vt:lpwstr>
      </vt:variant>
      <vt:variant>
        <vt:lpwstr/>
      </vt:variant>
      <vt:variant>
        <vt:i4>5111823</vt:i4>
      </vt:variant>
      <vt:variant>
        <vt:i4>12</vt:i4>
      </vt:variant>
      <vt:variant>
        <vt:i4>0</vt:i4>
      </vt:variant>
      <vt:variant>
        <vt:i4>5</vt:i4>
      </vt:variant>
      <vt:variant>
        <vt:lpwstr>https://www.iccat.int/Documents/Recs/compendiopdf-e/2018-05-e.pdf</vt:lpwstr>
      </vt:variant>
      <vt:variant>
        <vt:lpwstr/>
      </vt:variant>
      <vt:variant>
        <vt:i4>4456462</vt:i4>
      </vt:variant>
      <vt:variant>
        <vt:i4>9</vt:i4>
      </vt:variant>
      <vt:variant>
        <vt:i4>0</vt:i4>
      </vt:variant>
      <vt:variant>
        <vt:i4>5</vt:i4>
      </vt:variant>
      <vt:variant>
        <vt:lpwstr>https://www.iccat.int/Documents/Recs/compendiopdf-e/2023-17-e.pdf</vt:lpwstr>
      </vt:variant>
      <vt:variant>
        <vt:lpwstr/>
      </vt:variant>
      <vt:variant>
        <vt:i4>2883619</vt:i4>
      </vt:variant>
      <vt:variant>
        <vt:i4>6</vt:i4>
      </vt:variant>
      <vt:variant>
        <vt:i4>0</vt:i4>
      </vt:variant>
      <vt:variant>
        <vt:i4>5</vt:i4>
      </vt:variant>
      <vt:variant>
        <vt:lpwstr>https://www.fao.org/iuu-fishing/en/</vt:lpwstr>
      </vt:variant>
      <vt:variant>
        <vt:lpwstr/>
      </vt:variant>
      <vt:variant>
        <vt:i4>4259853</vt:i4>
      </vt:variant>
      <vt:variant>
        <vt:i4>3</vt:i4>
      </vt:variant>
      <vt:variant>
        <vt:i4>0</vt:i4>
      </vt:variant>
      <vt:variant>
        <vt:i4>5</vt:i4>
      </vt:variant>
      <vt:variant>
        <vt:lpwstr>https://www.iccat.int/Documents/Recs/compendiopdf-e/2016-17-e.pdf</vt:lpwstr>
      </vt:variant>
      <vt:variant>
        <vt:lpwstr/>
      </vt:variant>
      <vt:variant>
        <vt:i4>5898320</vt:i4>
      </vt:variant>
      <vt:variant>
        <vt:i4>0</vt:i4>
      </vt:variant>
      <vt:variant>
        <vt:i4>0</vt:i4>
      </vt:variant>
      <vt:variant>
        <vt:i4>5</vt:i4>
      </vt:variant>
      <vt:variant>
        <vt:lpwstr>https://www.iccat.int/com2025/index.htm</vt:lpwstr>
      </vt:variant>
      <vt:variant>
        <vt:lpwstr>en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2026-10-13T13:14:00Z</dcterms:created>
  <dcterms:modified xsi:type="dcterms:W3CDTF">2026-10-13T13:14:00Z</dcterms:modified>
</cp:coreProperties>
</file>