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68FDAF49" w:rsidR="000B0920" w:rsidRPr="00E41AEC" w:rsidRDefault="00857C38" w:rsidP="00857C38">
      <w:pPr>
        <w:jc w:val="right"/>
        <w:rPr>
          <w:rFonts w:ascii="Cambria" w:hAnsi="Cambria"/>
          <w:sz w:val="20"/>
          <w:szCs w:val="20"/>
        </w:rPr>
      </w:pPr>
      <w:r w:rsidRPr="00E41AEC">
        <w:rPr>
          <w:rFonts w:ascii="Cambria" w:hAnsi="Cambria"/>
          <w:b/>
          <w:bCs/>
          <w:sz w:val="20"/>
          <w:szCs w:val="20"/>
        </w:rPr>
        <w:t>Original</w:t>
      </w:r>
      <w:r w:rsidRPr="00E41AEC">
        <w:rPr>
          <w:rFonts w:ascii="Cambria" w:hAnsi="Cambria"/>
          <w:sz w:val="20"/>
          <w:szCs w:val="20"/>
        </w:rPr>
        <w:t xml:space="preserve">: </w:t>
      </w:r>
      <w:r w:rsidR="004E1379" w:rsidRPr="00E41AEC">
        <w:rPr>
          <w:rFonts w:ascii="Cambria" w:hAnsi="Cambria"/>
          <w:sz w:val="20"/>
          <w:szCs w:val="20"/>
        </w:rPr>
        <w:t>inglés</w:t>
      </w:r>
    </w:p>
    <w:p w14:paraId="546FFD34" w14:textId="77777777" w:rsidR="00857C38" w:rsidRPr="00E41AEC" w:rsidRDefault="00857C38" w:rsidP="00857C38">
      <w:pPr>
        <w:jc w:val="right"/>
        <w:rPr>
          <w:rFonts w:ascii="Cambria" w:hAnsi="Cambria"/>
          <w:sz w:val="20"/>
          <w:szCs w:val="20"/>
        </w:rPr>
      </w:pPr>
    </w:p>
    <w:p w14:paraId="3CB6C27F" w14:textId="687B4BDB" w:rsidR="00554AB0" w:rsidRPr="00E41AEC" w:rsidRDefault="00554AB0" w:rsidP="00554AB0">
      <w:pPr>
        <w:jc w:val="center"/>
        <w:rPr>
          <w:rFonts w:ascii="Cambria" w:hAnsi="Cambria"/>
          <w:b/>
          <w:bCs/>
          <w:sz w:val="20"/>
          <w:szCs w:val="20"/>
        </w:rPr>
      </w:pPr>
      <w:r w:rsidRPr="00E41AEC">
        <w:rPr>
          <w:rFonts w:ascii="Cambria" w:hAnsi="Cambria"/>
          <w:b/>
          <w:bCs/>
          <w:sz w:val="20"/>
          <w:szCs w:val="20"/>
        </w:rPr>
        <w:t>R</w:t>
      </w:r>
      <w:r w:rsidR="004E1379" w:rsidRPr="00E41AEC">
        <w:rPr>
          <w:rFonts w:ascii="Cambria" w:hAnsi="Cambria"/>
          <w:b/>
          <w:bCs/>
          <w:sz w:val="20"/>
          <w:szCs w:val="20"/>
        </w:rPr>
        <w:t>espuestas y recomendaciones del SCRS pertinentes para</w:t>
      </w:r>
      <w:r w:rsidR="001503B7">
        <w:rPr>
          <w:rFonts w:ascii="Cambria" w:hAnsi="Cambria"/>
          <w:b/>
          <w:bCs/>
          <w:sz w:val="20"/>
          <w:szCs w:val="20"/>
        </w:rPr>
        <w:t xml:space="preserve"> el Comité de Cumplimiento</w:t>
      </w:r>
      <w:r w:rsidR="00E6123E">
        <w:rPr>
          <w:rFonts w:ascii="Cambria" w:hAnsi="Cambria"/>
          <w:b/>
          <w:bCs/>
          <w:sz w:val="20"/>
          <w:szCs w:val="20"/>
        </w:rPr>
        <w:t xml:space="preserve"> (COC)</w:t>
      </w:r>
    </w:p>
    <w:p w14:paraId="16DB48D3" w14:textId="77777777" w:rsidR="009353F0" w:rsidRPr="00E41AEC" w:rsidRDefault="009353F0" w:rsidP="00857C38">
      <w:pPr>
        <w:jc w:val="center"/>
        <w:rPr>
          <w:rFonts w:ascii="Cambria" w:hAnsi="Cambria"/>
          <w:b/>
          <w:bCs/>
          <w:sz w:val="20"/>
          <w:szCs w:val="20"/>
        </w:rPr>
      </w:pPr>
    </w:p>
    <w:p w14:paraId="6058AC61" w14:textId="4DACF6BC" w:rsidR="004E1379" w:rsidRPr="004E1379" w:rsidRDefault="004E1379" w:rsidP="004E1379">
      <w:pPr>
        <w:jc w:val="both"/>
        <w:rPr>
          <w:rFonts w:ascii="Cambria" w:eastAsia="Aptos" w:hAnsi="Cambria" w:cs="Aptos"/>
          <w:sz w:val="20"/>
          <w:szCs w:val="20"/>
          <w14:ligatures w14:val="standardContextual"/>
        </w:rPr>
      </w:pPr>
      <w:r w:rsidRPr="004E1379">
        <w:rPr>
          <w:rFonts w:ascii="Cambria" w:eastAsia="Aptos" w:hAnsi="Cambria" w:cs="Aptos"/>
          <w:sz w:val="20"/>
          <w:szCs w:val="20"/>
          <w14:ligatures w14:val="standardContextual"/>
        </w:rPr>
        <w:t>Las respuestas de 2026 a la Comisión y las recomendaciones del SCRS relativas a</w:t>
      </w:r>
      <w:r w:rsidR="001503B7">
        <w:rPr>
          <w:rFonts w:ascii="Cambria" w:eastAsia="Aptos" w:hAnsi="Cambria" w:cs="Aptos"/>
          <w:sz w:val="20"/>
          <w:szCs w:val="20"/>
          <w14:ligatures w14:val="standardContextual"/>
        </w:rPr>
        <w:t>l COC</w:t>
      </w:r>
      <w:r w:rsidRPr="004E1379">
        <w:rPr>
          <w:rFonts w:ascii="Cambria" w:eastAsia="Aptos" w:hAnsi="Cambria" w:cs="Aptos"/>
          <w:sz w:val="20"/>
          <w:szCs w:val="20"/>
          <w14:ligatures w14:val="standardContextual"/>
        </w:rPr>
        <w:t xml:space="preserve"> fueron recopiladas por la Secretaría directamente a partir del informe de la reunión plenaria del SCRS de 2026 (documento PLE-104). Las recomendaciones con implicaciones financieras no figuran en el presente documento, ya que se incluyen en el apéndice 2 del presupuesto de ICCAT (documento STF-203).</w:t>
      </w:r>
    </w:p>
    <w:p w14:paraId="206D36BB" w14:textId="77777777" w:rsidR="009353F0" w:rsidRPr="004E1379" w:rsidRDefault="009353F0" w:rsidP="009353F0">
      <w:pPr>
        <w:rPr>
          <w:rFonts w:ascii="Cambria" w:hAnsi="Cambria"/>
          <w:b/>
          <w:bCs/>
          <w:sz w:val="20"/>
          <w:szCs w:val="20"/>
        </w:rPr>
      </w:pPr>
    </w:p>
    <w:p w14:paraId="2CE71E95" w14:textId="77777777" w:rsidR="004E1379" w:rsidRPr="00E41AEC" w:rsidRDefault="009353F0" w:rsidP="009353F0">
      <w:pPr>
        <w:rPr>
          <w:rFonts w:ascii="Cambria" w:hAnsi="Cambria"/>
          <w:b/>
          <w:bCs/>
          <w:sz w:val="20"/>
          <w:szCs w:val="20"/>
        </w:rPr>
      </w:pPr>
      <w:r w:rsidRPr="00E41AEC">
        <w:rPr>
          <w:rFonts w:ascii="Cambria" w:hAnsi="Cambria"/>
          <w:b/>
          <w:bCs/>
          <w:sz w:val="20"/>
          <w:szCs w:val="20"/>
        </w:rPr>
        <w:t>R</w:t>
      </w:r>
      <w:r w:rsidR="004E1379" w:rsidRPr="00E41AEC">
        <w:rPr>
          <w:rFonts w:ascii="Cambria" w:hAnsi="Cambria"/>
          <w:b/>
          <w:bCs/>
          <w:sz w:val="20"/>
          <w:szCs w:val="20"/>
        </w:rPr>
        <w:t>espuestas a la Comisión</w:t>
      </w:r>
    </w:p>
    <w:p w14:paraId="3961E050" w14:textId="77777777" w:rsidR="004E1379" w:rsidRPr="00E41AEC" w:rsidRDefault="004E1379" w:rsidP="00F81087">
      <w:pPr>
        <w:jc w:val="both"/>
        <w:rPr>
          <w:rFonts w:ascii="Cambria" w:hAnsi="Cambria"/>
          <w:b/>
          <w:i/>
          <w:sz w:val="20"/>
          <w:szCs w:val="20"/>
        </w:rPr>
      </w:pPr>
    </w:p>
    <w:p w14:paraId="460A2EF5" w14:textId="0B924CD6" w:rsidR="00D55CA0" w:rsidRPr="00D55CA0" w:rsidRDefault="001503B7" w:rsidP="00D55CA0">
      <w:pPr>
        <w:tabs>
          <w:tab w:val="right" w:leader="dot" w:pos="8505"/>
          <w:tab w:val="right" w:pos="9072"/>
        </w:tabs>
        <w:autoSpaceDE w:val="0"/>
        <w:autoSpaceDN w:val="0"/>
        <w:adjustRightInd w:val="0"/>
        <w:ind w:right="4"/>
        <w:jc w:val="both"/>
        <w:rPr>
          <w:rFonts w:ascii="Cambria" w:hAnsi="Cambria"/>
          <w:bCs/>
          <w:i/>
          <w:sz w:val="20"/>
          <w:szCs w:val="20"/>
        </w:rPr>
      </w:pPr>
      <w:r>
        <w:rPr>
          <w:rFonts w:ascii="Cambria" w:hAnsi="Cambria"/>
          <w:bCs/>
          <w:i/>
          <w:sz w:val="20"/>
          <w:szCs w:val="20"/>
        </w:rPr>
        <w:t>Subcomité de estadísticas</w:t>
      </w:r>
    </w:p>
    <w:p w14:paraId="0FB83A8F" w14:textId="77777777" w:rsidR="00D55CA0" w:rsidRPr="0099704B" w:rsidRDefault="00D55CA0" w:rsidP="00D55CA0">
      <w:pPr>
        <w:tabs>
          <w:tab w:val="right" w:leader="dot" w:pos="8505"/>
          <w:tab w:val="right" w:pos="9072"/>
        </w:tabs>
        <w:autoSpaceDE w:val="0"/>
        <w:autoSpaceDN w:val="0"/>
        <w:adjustRightInd w:val="0"/>
        <w:ind w:right="4"/>
        <w:jc w:val="both"/>
        <w:rPr>
          <w:rFonts w:ascii="Cambria" w:hAnsi="Cambria"/>
          <w:b/>
          <w:i/>
          <w:sz w:val="20"/>
          <w:szCs w:val="20"/>
        </w:rPr>
      </w:pPr>
    </w:p>
    <w:p w14:paraId="069A5C94" w14:textId="77777777" w:rsidR="001503B7" w:rsidRPr="000A5982" w:rsidRDefault="001503B7" w:rsidP="001503B7">
      <w:pPr>
        <w:jc w:val="both"/>
        <w:rPr>
          <w:rFonts w:ascii="Cambria" w:hAnsi="Cambria"/>
          <w:b/>
          <w:bCs/>
          <w:i/>
          <w:iCs/>
          <w:sz w:val="20"/>
          <w:szCs w:val="20"/>
        </w:rPr>
      </w:pPr>
      <w:r w:rsidRPr="000A5982">
        <w:rPr>
          <w:rFonts w:ascii="Cambria" w:hAnsi="Cambria"/>
          <w:b/>
          <w:i/>
          <w:sz w:val="20"/>
        </w:rPr>
        <w:t>19.2 Noruega solicita una exención parcial de la obligación de presentar la hoja de comprobación del cumplimiento de las medidas relacionadas con los tiburones de ICCAT, de conformidad con la</w:t>
      </w:r>
      <w:hyperlink r:id="rId8" w:tooltip="https://www.iccat.int/Documents/Recs/compendiopdf-s/2018-06-s.pdf" w:history="1">
        <w:r w:rsidRPr="000A5982">
          <w:rPr>
            <w:rStyle w:val="Hyperlink"/>
            <w:rFonts w:ascii="Cambria" w:hAnsi="Cambria"/>
            <w:b/>
            <w:i/>
            <w:sz w:val="20"/>
            <w:u w:val="none"/>
          </w:rPr>
          <w:t xml:space="preserve"> Rec.</w:t>
        </w:r>
      </w:hyperlink>
      <w:hyperlink r:id="rId9" w:tooltip="https://www.iccat.int/Documents/Recs/compendiopdf-s/2018-06-s.pdf" w:history="1">
        <w:r w:rsidRPr="000A5982">
          <w:rPr>
            <w:rStyle w:val="Hyperlink"/>
            <w:rFonts w:ascii="Cambria" w:hAnsi="Cambria"/>
            <w:b/>
            <w:i/>
            <w:sz w:val="20"/>
            <w:u w:val="none"/>
          </w:rPr>
          <w:t> 18-06</w:t>
        </w:r>
      </w:hyperlink>
      <w:r w:rsidRPr="000A5982">
        <w:rPr>
          <w:rFonts w:ascii="Cambria" w:hAnsi="Cambria"/>
          <w:b/>
          <w:i/>
          <w:sz w:val="20"/>
        </w:rPr>
        <w:t xml:space="preserve">, párr. 3 </w:t>
      </w:r>
    </w:p>
    <w:p w14:paraId="6ADE3B08" w14:textId="77777777" w:rsidR="001503B7" w:rsidRPr="000A5982" w:rsidRDefault="001503B7" w:rsidP="001503B7">
      <w:pPr>
        <w:jc w:val="both"/>
        <w:rPr>
          <w:rFonts w:ascii="Cambria" w:hAnsi="Cambria"/>
          <w:b/>
          <w:bCs/>
          <w:sz w:val="20"/>
          <w:szCs w:val="20"/>
        </w:rPr>
      </w:pPr>
    </w:p>
    <w:p w14:paraId="6A8B949F" w14:textId="77777777" w:rsidR="001503B7" w:rsidRPr="000A5982" w:rsidRDefault="001503B7" w:rsidP="001503B7">
      <w:pPr>
        <w:tabs>
          <w:tab w:val="center" w:pos="4513"/>
          <w:tab w:val="left" w:pos="6804"/>
        </w:tabs>
        <w:jc w:val="both"/>
        <w:rPr>
          <w:rFonts w:ascii="Cambria" w:hAnsi="Cambria"/>
          <w:i/>
          <w:iCs/>
          <w:sz w:val="20"/>
          <w:szCs w:val="20"/>
        </w:rPr>
      </w:pPr>
      <w:r w:rsidRPr="000A5982">
        <w:rPr>
          <w:rFonts w:ascii="Cambria" w:hAnsi="Cambria"/>
          <w:b/>
          <w:i/>
          <w:sz w:val="20"/>
        </w:rPr>
        <w:t xml:space="preserve">Contexto: </w:t>
      </w:r>
      <w:r w:rsidRPr="000A5982">
        <w:rPr>
          <w:rFonts w:ascii="Cambria" w:hAnsi="Cambria"/>
          <w:i/>
          <w:sz w:val="20"/>
        </w:rPr>
        <w:t>Noruega solicita una exención parcial de la obligación de presentar la hoja de comprobación del cumplimiento de las medidas relacionadas con los tiburones de ICCAT, de conformidad con el párrafo 3 de la Rec. 18-06, siguiendo el procedimiento adoptado en el documento COC_328/2025. Noruega cuenta con una pesquería dedicada a túnidos y especies afines en la zona del Convenio: la pesquería del atún rojo del Atlántico, que se lleva a cabo dentro de la zona económica exclusiva noruega, entre los 59,8° N y los 64,3° N, mediante redes de cerco, palangre y caña y línea. En las pesquerías noruegas se registraron tres especies incluidas en la lista de ICCAT de elasmobranquios oceánicos, pelágicos y altamente migratorios, todas ellas capturadas con artes que no se utilizan en la pesquería del atún rojo. Por lo tanto, Noruega solicita una exención limitada a seis recomendaciones relativas a especies cuya distribución no se extiende a la zona de pesca, y seguirá cumplimentando íntegramente la hoja de comprobación para todas las demás.</w:t>
      </w:r>
    </w:p>
    <w:p w14:paraId="07D17533" w14:textId="77777777" w:rsidR="001503B7" w:rsidRPr="000A5982" w:rsidRDefault="001503B7" w:rsidP="001503B7">
      <w:pPr>
        <w:jc w:val="both"/>
        <w:rPr>
          <w:rFonts w:ascii="Cambria" w:hAnsi="Cambria"/>
          <w:sz w:val="20"/>
          <w:szCs w:val="20"/>
        </w:rPr>
      </w:pPr>
    </w:p>
    <w:p w14:paraId="0989EC6A" w14:textId="77777777" w:rsidR="001503B7" w:rsidRPr="000A5982" w:rsidRDefault="001503B7" w:rsidP="001503B7">
      <w:pPr>
        <w:jc w:val="both"/>
        <w:rPr>
          <w:rFonts w:ascii="Cambria" w:hAnsi="Cambria"/>
          <w:b/>
          <w:bCs/>
          <w:sz w:val="20"/>
          <w:szCs w:val="20"/>
        </w:rPr>
      </w:pPr>
      <w:r w:rsidRPr="000A5982">
        <w:rPr>
          <w:rFonts w:ascii="Cambria" w:hAnsi="Cambria"/>
          <w:sz w:val="20"/>
        </w:rPr>
        <w:t xml:space="preserve">De conformidad con el procedimiento adoptado en «Respuesta del SCRS a la exención de la presentación de la hoja de comprobación de tiburones» [COC_328/2025], Noruega presentó al SCRS el documento Mjørlund 2026 (SCRS/2026/257), que incluye información detallada sobre las zonas de operación de sus pesquerías de ICCAT, así como información sobre las interacciones registradas con tiburones incluidos en la lista de ICCAT por parte de buques noruegos en el periodo 2015-2026. En vista de la información presentada, el Comité entiende que la solicitud de Noruega de una exención parcial para la </w:t>
      </w:r>
      <w:hyperlink r:id="rId10" w:tooltip="https://www.iccat.int/Documents/Recs/compendiopdf-s/2023-11-s.pdf" w:history="1">
        <w:r w:rsidRPr="000A5982">
          <w:rPr>
            <w:rStyle w:val="Hyperlink"/>
            <w:rFonts w:ascii="Cambria" w:hAnsi="Cambria"/>
            <w:sz w:val="20"/>
            <w:u w:val="none"/>
          </w:rPr>
          <w:t>Rec.</w:t>
        </w:r>
      </w:hyperlink>
      <w:hyperlink r:id="rId11" w:tooltip="https://www.iccat.int/Documents/Recs/compendiopdf-s/2023-11-s.pdf" w:history="1">
        <w:r w:rsidRPr="000A5982">
          <w:rPr>
            <w:rStyle w:val="Hyperlink"/>
            <w:rFonts w:ascii="Cambria" w:hAnsi="Cambria"/>
            <w:sz w:val="20"/>
            <w:u w:val="none"/>
          </w:rPr>
          <w:t xml:space="preserve"> </w:t>
        </w:r>
        <w:r w:rsidRPr="000A5982">
          <w:rPr>
            <w:rStyle w:val="Hyperlink"/>
            <w:rFonts w:ascii="Cambria" w:hAnsi="Cambria"/>
            <w:sz w:val="20"/>
            <w:u w:val="none"/>
            <w:lang w:val="fr-FR"/>
          </w:rPr>
          <w:t>23-11</w:t>
        </w:r>
      </w:hyperlink>
      <w:r w:rsidRPr="000A5982">
        <w:rPr>
          <w:rFonts w:ascii="Cambria" w:hAnsi="Cambria"/>
          <w:sz w:val="20"/>
          <w:lang w:val="fr-FR"/>
        </w:rPr>
        <w:t xml:space="preserve">, la </w:t>
      </w:r>
      <w:hyperlink r:id="rId12" w:tooltip="https://www.iccat.int/Documents/Recs/compendiopdf-s/2025-08-s.pdf" w:history="1">
        <w:r w:rsidRPr="000A5982">
          <w:rPr>
            <w:rStyle w:val="Hyperlink"/>
            <w:rFonts w:ascii="Cambria" w:hAnsi="Cambria"/>
            <w:sz w:val="20"/>
            <w:u w:val="none"/>
            <w:lang w:val="fr-FR"/>
          </w:rPr>
          <w:t>Rec.</w:t>
        </w:r>
      </w:hyperlink>
      <w:hyperlink r:id="rId13" w:tooltip="https://www.iccat.int/Documents/Recs/compendiopdf-s/2025-08-s.pdf" w:history="1">
        <w:r w:rsidRPr="000A5982">
          <w:rPr>
            <w:rStyle w:val="Hyperlink"/>
            <w:rFonts w:ascii="Cambria" w:hAnsi="Cambria"/>
            <w:sz w:val="20"/>
            <w:u w:val="none"/>
            <w:lang w:val="fr-FR"/>
          </w:rPr>
          <w:t xml:space="preserve"> 25-08</w:t>
        </w:r>
      </w:hyperlink>
      <w:r w:rsidRPr="000A5982">
        <w:rPr>
          <w:rFonts w:ascii="Cambria" w:hAnsi="Cambria"/>
          <w:sz w:val="20"/>
          <w:lang w:val="fr-FR"/>
        </w:rPr>
        <w:t xml:space="preserve">, la </w:t>
      </w:r>
      <w:hyperlink r:id="rId14" w:tooltip="https://www.iccat.int/Documents/Recs/compendiopdf-s/2010-07-s.pdf" w:history="1">
        <w:r w:rsidRPr="000A5982">
          <w:rPr>
            <w:rStyle w:val="Hyperlink"/>
            <w:rFonts w:ascii="Cambria" w:hAnsi="Cambria"/>
            <w:sz w:val="20"/>
            <w:u w:val="none"/>
            <w:lang w:val="fr-FR"/>
          </w:rPr>
          <w:t>Rec.</w:t>
        </w:r>
      </w:hyperlink>
      <w:hyperlink r:id="rId15" w:tooltip="https://www.iccat.int/Documents/Recs/compendiopdf-s/2010-07-s.pdf" w:history="1">
        <w:r w:rsidRPr="000A5982">
          <w:rPr>
            <w:rStyle w:val="Hyperlink"/>
            <w:rFonts w:ascii="Cambria" w:hAnsi="Cambria"/>
            <w:sz w:val="20"/>
            <w:u w:val="none"/>
            <w:lang w:val="fr-FR"/>
          </w:rPr>
          <w:t xml:space="preserve"> 10-07</w:t>
        </w:r>
      </w:hyperlink>
      <w:r w:rsidRPr="000A5982">
        <w:rPr>
          <w:rFonts w:ascii="Cambria" w:hAnsi="Cambria"/>
          <w:sz w:val="20"/>
          <w:lang w:val="fr-FR"/>
        </w:rPr>
        <w:t xml:space="preserve">, la </w:t>
      </w:r>
      <w:hyperlink r:id="rId16" w:tooltip="https://www.iccat.int/Documents/Recs/compendiopdf-s/2010-08-s.pdf" w:history="1">
        <w:r w:rsidRPr="000A5982">
          <w:rPr>
            <w:rStyle w:val="Hyperlink"/>
            <w:rFonts w:ascii="Cambria" w:hAnsi="Cambria"/>
            <w:sz w:val="20"/>
            <w:u w:val="none"/>
            <w:lang w:val="fr-FR"/>
          </w:rPr>
          <w:t>Rec.</w:t>
        </w:r>
      </w:hyperlink>
      <w:hyperlink r:id="rId17" w:tooltip="https://www.iccat.int/Documents/Recs/compendiopdf-s/2010-08-s.pdf" w:history="1">
        <w:r w:rsidRPr="000A5982">
          <w:rPr>
            <w:rStyle w:val="Hyperlink"/>
            <w:rFonts w:ascii="Cambria" w:hAnsi="Cambria"/>
            <w:sz w:val="20"/>
            <w:u w:val="none"/>
            <w:lang w:val="fr-FR"/>
          </w:rPr>
          <w:t xml:space="preserve"> 10-08</w:t>
        </w:r>
      </w:hyperlink>
      <w:r w:rsidRPr="000A5982">
        <w:rPr>
          <w:rFonts w:ascii="Cambria" w:hAnsi="Cambria"/>
          <w:sz w:val="20"/>
          <w:lang w:val="fr-FR"/>
        </w:rPr>
        <w:t xml:space="preserve">, la </w:t>
      </w:r>
      <w:hyperlink r:id="rId18" w:tooltip="https://www.iccat.int/Documents/Recs/compendiopdf-s/2011-08-s.pdf" w:history="1">
        <w:r w:rsidRPr="000A5982">
          <w:rPr>
            <w:rStyle w:val="Hyperlink"/>
            <w:rFonts w:ascii="Cambria" w:hAnsi="Cambria"/>
            <w:sz w:val="20"/>
            <w:u w:val="none"/>
            <w:lang w:val="fr-FR"/>
          </w:rPr>
          <w:t>Rec.</w:t>
        </w:r>
      </w:hyperlink>
      <w:hyperlink r:id="rId19" w:tooltip="https://www.iccat.int/Documents/Recs/compendiopdf-s/2011-08-s.pdf" w:history="1">
        <w:r w:rsidRPr="000A5982">
          <w:rPr>
            <w:rStyle w:val="Hyperlink"/>
            <w:rFonts w:ascii="Cambria" w:hAnsi="Cambria"/>
            <w:sz w:val="20"/>
            <w:u w:val="none"/>
            <w:lang w:val="fr-FR"/>
          </w:rPr>
          <w:t xml:space="preserve"> 11-08</w:t>
        </w:r>
      </w:hyperlink>
      <w:r w:rsidRPr="000A5982">
        <w:rPr>
          <w:rFonts w:ascii="Cambria" w:hAnsi="Cambria"/>
          <w:sz w:val="20"/>
          <w:lang w:val="fr-FR"/>
        </w:rPr>
        <w:t xml:space="preserve"> y la </w:t>
      </w:r>
      <w:hyperlink r:id="rId20" w:tooltip="https://www.iccat.int/Documents/Recs/compendiopdf-s/2011-07-s.pdf" w:history="1">
        <w:r w:rsidRPr="000A5982">
          <w:rPr>
            <w:rStyle w:val="Hyperlink"/>
            <w:rFonts w:ascii="Cambria" w:hAnsi="Cambria"/>
            <w:sz w:val="20"/>
            <w:u w:val="none"/>
            <w:lang w:val="fr-FR"/>
          </w:rPr>
          <w:t>Rec.</w:t>
        </w:r>
      </w:hyperlink>
      <w:hyperlink r:id="rId21" w:tooltip="https://www.iccat.int/Documents/Recs/compendiopdf-s/2011-07-s.pdf" w:history="1">
        <w:r w:rsidRPr="000A5982">
          <w:rPr>
            <w:rStyle w:val="Hyperlink"/>
            <w:rFonts w:ascii="Cambria" w:hAnsi="Cambria"/>
            <w:sz w:val="20"/>
            <w:u w:val="none"/>
            <w:lang w:val="fr-FR"/>
          </w:rPr>
          <w:t xml:space="preserve"> </w:t>
        </w:r>
        <w:r w:rsidRPr="000A5982">
          <w:rPr>
            <w:rStyle w:val="Hyperlink"/>
            <w:rFonts w:ascii="Cambria" w:hAnsi="Cambria"/>
            <w:sz w:val="20"/>
            <w:u w:val="none"/>
          </w:rPr>
          <w:t>09-07</w:t>
        </w:r>
      </w:hyperlink>
      <w:r w:rsidRPr="000A5982">
        <w:rPr>
          <w:rFonts w:ascii="Cambria" w:hAnsi="Cambria"/>
          <w:sz w:val="20"/>
        </w:rPr>
        <w:t xml:space="preserve"> está bien fundamentada y, por lo tanto, la acepta.</w:t>
      </w:r>
    </w:p>
    <w:p w14:paraId="0B3F4B8B" w14:textId="77777777" w:rsidR="001503B7" w:rsidRPr="000A5982" w:rsidRDefault="001503B7" w:rsidP="001503B7">
      <w:pPr>
        <w:jc w:val="both"/>
        <w:rPr>
          <w:rFonts w:ascii="Cambria" w:hAnsi="Cambria"/>
          <w:sz w:val="20"/>
          <w:szCs w:val="20"/>
        </w:rPr>
      </w:pPr>
    </w:p>
    <w:p w14:paraId="1641CD58" w14:textId="77777777" w:rsidR="001503B7" w:rsidRPr="000A5982" w:rsidRDefault="001503B7" w:rsidP="001503B7">
      <w:pPr>
        <w:jc w:val="both"/>
        <w:rPr>
          <w:rFonts w:ascii="Cambria" w:hAnsi="Cambria"/>
          <w:sz w:val="20"/>
          <w:szCs w:val="20"/>
        </w:rPr>
      </w:pPr>
      <w:r w:rsidRPr="000A5982">
        <w:rPr>
          <w:rFonts w:ascii="Cambria" w:hAnsi="Cambria"/>
          <w:sz w:val="20"/>
        </w:rPr>
        <w:t>De acuerdo con el procedimiento adoptado, la exención parcial tendrá vigencia durante el período 2027-2031. No obstante, Noruega deberá confirmar cada año en su Informe anual que no se han producido cambios en sus pesquerías.</w:t>
      </w:r>
    </w:p>
    <w:p w14:paraId="756F6522" w14:textId="77777777" w:rsidR="001503B7" w:rsidRPr="000A5982" w:rsidRDefault="001503B7" w:rsidP="001503B7">
      <w:pPr>
        <w:jc w:val="both"/>
        <w:rPr>
          <w:rFonts w:ascii="Cambria" w:hAnsi="Cambria"/>
          <w:sz w:val="20"/>
          <w:szCs w:val="20"/>
        </w:rPr>
      </w:pPr>
    </w:p>
    <w:p w14:paraId="4D87C415" w14:textId="77777777" w:rsidR="001503B7" w:rsidRPr="0099704B" w:rsidRDefault="001503B7" w:rsidP="001503B7">
      <w:pPr>
        <w:tabs>
          <w:tab w:val="center" w:pos="4513"/>
          <w:tab w:val="left" w:pos="6804"/>
        </w:tabs>
        <w:rPr>
          <w:rFonts w:ascii="Cambria" w:hAnsi="Cambria"/>
          <w:sz w:val="20"/>
          <w:szCs w:val="20"/>
        </w:rPr>
      </w:pPr>
      <w:r w:rsidRPr="000A5982">
        <w:rPr>
          <w:rFonts w:ascii="Cambria" w:hAnsi="Cambria"/>
          <w:sz w:val="20"/>
        </w:rPr>
        <w:t>Para renovar la exención, Noruega tendrá que presentar una nueva solicitud en 2031 para otro período de cinco años.</w:t>
      </w:r>
    </w:p>
    <w:p w14:paraId="29817349" w14:textId="5248985E" w:rsidR="007C25E0" w:rsidRDefault="007C25E0" w:rsidP="007C25E0">
      <w:pPr>
        <w:tabs>
          <w:tab w:val="left" w:pos="5845"/>
        </w:tabs>
        <w:rPr>
          <w:rFonts w:ascii="Cambria" w:hAnsi="Cambria"/>
          <w:sz w:val="20"/>
          <w:szCs w:val="20"/>
        </w:rPr>
      </w:pPr>
    </w:p>
    <w:p w14:paraId="4571E25F" w14:textId="1D5EB144" w:rsidR="007C25E0" w:rsidRDefault="007C25E0" w:rsidP="007C25E0">
      <w:pPr>
        <w:tabs>
          <w:tab w:val="left" w:pos="5845"/>
        </w:tabs>
        <w:rPr>
          <w:rFonts w:ascii="Cambria" w:hAnsi="Cambria"/>
          <w:b/>
          <w:bCs/>
          <w:sz w:val="20"/>
          <w:szCs w:val="20"/>
        </w:rPr>
      </w:pPr>
      <w:r w:rsidRPr="007C25E0">
        <w:rPr>
          <w:rFonts w:ascii="Cambria" w:hAnsi="Cambria"/>
          <w:b/>
          <w:bCs/>
          <w:sz w:val="20"/>
          <w:szCs w:val="20"/>
        </w:rPr>
        <w:t>Recomendaciones</w:t>
      </w:r>
    </w:p>
    <w:p w14:paraId="5EEC4743" w14:textId="77777777" w:rsidR="007C25E0" w:rsidRDefault="007C25E0" w:rsidP="007C25E0">
      <w:pPr>
        <w:tabs>
          <w:tab w:val="left" w:pos="5845"/>
        </w:tabs>
        <w:rPr>
          <w:rFonts w:ascii="Cambria" w:hAnsi="Cambria"/>
          <w:b/>
          <w:bCs/>
          <w:sz w:val="20"/>
          <w:szCs w:val="20"/>
        </w:rPr>
      </w:pPr>
    </w:p>
    <w:p w14:paraId="20ABE665" w14:textId="77777777" w:rsidR="00B37FE8" w:rsidRPr="000A5982" w:rsidRDefault="00B37FE8" w:rsidP="00AC28CF">
      <w:pPr>
        <w:numPr>
          <w:ilvl w:val="0"/>
          <w:numId w:val="1"/>
        </w:numPr>
        <w:ind w:left="851" w:hanging="425"/>
        <w:contextualSpacing/>
        <w:jc w:val="both"/>
        <w:rPr>
          <w:rFonts w:ascii="Cambria" w:hAnsi="Cambria"/>
          <w:sz w:val="20"/>
          <w:szCs w:val="20"/>
        </w:rPr>
      </w:pPr>
      <w:r w:rsidRPr="000A5982">
        <w:rPr>
          <w:rFonts w:ascii="Cambria" w:hAnsi="Cambria"/>
          <w:sz w:val="20"/>
        </w:rPr>
        <w:t>Teniendo en cuenta el interés de la Comisión por simplificar los requisitos de comunicación de información y evitar duplicaciones innecesarias en la comunicación de datos, el Comité recomienda a la Comisión que tome nota de que la información incluida en la Parte 1 de los informes anuales de las CPC ya se facilita a los órganos subsidiarios del Comité de forma más detallada, precisa y útil a través de otras fuentes. Por lo tanto, el Comité considera que la Parte 1 de los informes anuales de las CPC no aporta ningún valor añadido a su labor científica. </w:t>
      </w:r>
    </w:p>
    <w:p w14:paraId="720ABAC4" w14:textId="77777777" w:rsidR="00B37FE8" w:rsidRDefault="00B37FE8" w:rsidP="007C25E0">
      <w:pPr>
        <w:tabs>
          <w:tab w:val="left" w:pos="5845"/>
        </w:tabs>
        <w:rPr>
          <w:rFonts w:ascii="Cambria" w:hAnsi="Cambria"/>
          <w:b/>
          <w:bCs/>
          <w:sz w:val="20"/>
          <w:szCs w:val="20"/>
        </w:rPr>
      </w:pPr>
    </w:p>
    <w:sectPr w:rsidR="00B37FE8" w:rsidSect="001D38A7">
      <w:headerReference w:type="default" r:id="rId22"/>
      <w:footerReference w:type="default" r:id="rId23"/>
      <w:pgSz w:w="11907"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14F87" w14:textId="77777777" w:rsidR="00AC28CF" w:rsidRDefault="00AC28CF" w:rsidP="00DD4C39">
      <w:r>
        <w:separator/>
      </w:r>
    </w:p>
  </w:endnote>
  <w:endnote w:type="continuationSeparator" w:id="0">
    <w:p w14:paraId="3D7C6590" w14:textId="77777777" w:rsidR="00AC28CF" w:rsidRDefault="00AC28CF"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AC28CF"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CFF6C" w14:textId="77777777" w:rsidR="00AC28CF" w:rsidRDefault="00AC28CF" w:rsidP="00DD4C39">
      <w:r>
        <w:separator/>
      </w:r>
    </w:p>
  </w:footnote>
  <w:footnote w:type="continuationSeparator" w:id="0">
    <w:p w14:paraId="55BD3B44" w14:textId="77777777" w:rsidR="00AC28CF" w:rsidRDefault="00AC28CF"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31CF1744" w:rsidR="004F39B9" w:rsidRPr="00793F38" w:rsidRDefault="001503B7"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COC_318</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216C66F8"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D55CA0">
      <w:rPr>
        <w:rFonts w:ascii="Cambria" w:hAnsi="Cambria"/>
        <w:b/>
        <w:bCs/>
        <w:noProof/>
        <w:sz w:val="16"/>
        <w:szCs w:val="16"/>
        <w:lang w:val="es-ES_tradnl"/>
      </w:rPr>
      <w:t>14/10/2026 12:21</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603F1"/>
    <w:multiLevelType w:val="hybridMultilevel"/>
    <w:tmpl w:val="850450FC"/>
    <w:lvl w:ilvl="0" w:tplc="2844199A">
      <w:start w:val="7"/>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738878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48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03B7"/>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38A7"/>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65B1"/>
    <w:rsid w:val="00226609"/>
    <w:rsid w:val="002317E7"/>
    <w:rsid w:val="00232D1D"/>
    <w:rsid w:val="002360A7"/>
    <w:rsid w:val="00240A3D"/>
    <w:rsid w:val="00242005"/>
    <w:rsid w:val="00242111"/>
    <w:rsid w:val="00246631"/>
    <w:rsid w:val="00246705"/>
    <w:rsid w:val="00247B9A"/>
    <w:rsid w:val="00250C2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2C3D"/>
    <w:rsid w:val="002D3D37"/>
    <w:rsid w:val="002D7AD8"/>
    <w:rsid w:val="002D7D0D"/>
    <w:rsid w:val="002D7E3A"/>
    <w:rsid w:val="002E24FF"/>
    <w:rsid w:val="002E25F5"/>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27E2"/>
    <w:rsid w:val="00423112"/>
    <w:rsid w:val="00424411"/>
    <w:rsid w:val="00426AE7"/>
    <w:rsid w:val="00427D62"/>
    <w:rsid w:val="004329FC"/>
    <w:rsid w:val="00433870"/>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1379"/>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07EB4"/>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4AB0"/>
    <w:rsid w:val="00557E7E"/>
    <w:rsid w:val="005606E4"/>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36F6"/>
    <w:rsid w:val="005847DE"/>
    <w:rsid w:val="00585A74"/>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255C"/>
    <w:rsid w:val="005B593C"/>
    <w:rsid w:val="005B7B50"/>
    <w:rsid w:val="005C03B4"/>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30BEA"/>
    <w:rsid w:val="00630C1F"/>
    <w:rsid w:val="0063147D"/>
    <w:rsid w:val="00631B05"/>
    <w:rsid w:val="00635265"/>
    <w:rsid w:val="00635DBD"/>
    <w:rsid w:val="00642E30"/>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A4722"/>
    <w:rsid w:val="007B10F9"/>
    <w:rsid w:val="007B2DE7"/>
    <w:rsid w:val="007B4D4C"/>
    <w:rsid w:val="007C21CB"/>
    <w:rsid w:val="007C25E0"/>
    <w:rsid w:val="007C4A02"/>
    <w:rsid w:val="007C4E4F"/>
    <w:rsid w:val="007D08A0"/>
    <w:rsid w:val="007D1671"/>
    <w:rsid w:val="007D413A"/>
    <w:rsid w:val="007D5CA9"/>
    <w:rsid w:val="007E4C2D"/>
    <w:rsid w:val="007E654F"/>
    <w:rsid w:val="007E69D1"/>
    <w:rsid w:val="007F4EF3"/>
    <w:rsid w:val="0080033F"/>
    <w:rsid w:val="008042B6"/>
    <w:rsid w:val="00805EFF"/>
    <w:rsid w:val="00811FA1"/>
    <w:rsid w:val="008121F9"/>
    <w:rsid w:val="00816217"/>
    <w:rsid w:val="0081636C"/>
    <w:rsid w:val="00817E09"/>
    <w:rsid w:val="008207DE"/>
    <w:rsid w:val="00821CFF"/>
    <w:rsid w:val="00821F16"/>
    <w:rsid w:val="00823236"/>
    <w:rsid w:val="008234F6"/>
    <w:rsid w:val="00824E8C"/>
    <w:rsid w:val="00825C70"/>
    <w:rsid w:val="00825E5C"/>
    <w:rsid w:val="0082620B"/>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9B8"/>
    <w:rsid w:val="00925F1C"/>
    <w:rsid w:val="00926560"/>
    <w:rsid w:val="0093035A"/>
    <w:rsid w:val="00931531"/>
    <w:rsid w:val="009320AA"/>
    <w:rsid w:val="00932594"/>
    <w:rsid w:val="009353F0"/>
    <w:rsid w:val="0093573B"/>
    <w:rsid w:val="009373EA"/>
    <w:rsid w:val="00946422"/>
    <w:rsid w:val="009466F7"/>
    <w:rsid w:val="00947D0F"/>
    <w:rsid w:val="00952C5B"/>
    <w:rsid w:val="0095464C"/>
    <w:rsid w:val="00955E79"/>
    <w:rsid w:val="00957027"/>
    <w:rsid w:val="00961741"/>
    <w:rsid w:val="0096664A"/>
    <w:rsid w:val="00972DB9"/>
    <w:rsid w:val="00975089"/>
    <w:rsid w:val="0097663E"/>
    <w:rsid w:val="00983C8D"/>
    <w:rsid w:val="009854B5"/>
    <w:rsid w:val="00991363"/>
    <w:rsid w:val="00994404"/>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70D"/>
    <w:rsid w:val="00A526B0"/>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8CF"/>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37FE8"/>
    <w:rsid w:val="00B41715"/>
    <w:rsid w:val="00B42DBE"/>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3207"/>
    <w:rsid w:val="00C14930"/>
    <w:rsid w:val="00C150D6"/>
    <w:rsid w:val="00C160F6"/>
    <w:rsid w:val="00C174B5"/>
    <w:rsid w:val="00C23619"/>
    <w:rsid w:val="00C246EC"/>
    <w:rsid w:val="00C271DF"/>
    <w:rsid w:val="00C30735"/>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3363"/>
    <w:rsid w:val="00D0610E"/>
    <w:rsid w:val="00D117BF"/>
    <w:rsid w:val="00D122FD"/>
    <w:rsid w:val="00D13812"/>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5CA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7C35"/>
    <w:rsid w:val="00DA0BB3"/>
    <w:rsid w:val="00DA0CA2"/>
    <w:rsid w:val="00DA0CF2"/>
    <w:rsid w:val="00DA165A"/>
    <w:rsid w:val="00DA3223"/>
    <w:rsid w:val="00DA5D27"/>
    <w:rsid w:val="00DA5D99"/>
    <w:rsid w:val="00DA684F"/>
    <w:rsid w:val="00DA711E"/>
    <w:rsid w:val="00DA79F5"/>
    <w:rsid w:val="00DB026B"/>
    <w:rsid w:val="00DB0D9F"/>
    <w:rsid w:val="00DB2942"/>
    <w:rsid w:val="00DB3557"/>
    <w:rsid w:val="00DB416A"/>
    <w:rsid w:val="00DB71C2"/>
    <w:rsid w:val="00DD1B58"/>
    <w:rsid w:val="00DD4C39"/>
    <w:rsid w:val="00DD69CC"/>
    <w:rsid w:val="00DD72FD"/>
    <w:rsid w:val="00DE2507"/>
    <w:rsid w:val="00DE7887"/>
    <w:rsid w:val="00DF0742"/>
    <w:rsid w:val="00DF09DD"/>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1AEC"/>
    <w:rsid w:val="00E43856"/>
    <w:rsid w:val="00E4458D"/>
    <w:rsid w:val="00E445A6"/>
    <w:rsid w:val="00E45CF8"/>
    <w:rsid w:val="00E466CC"/>
    <w:rsid w:val="00E556A9"/>
    <w:rsid w:val="00E6123E"/>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2707"/>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1087"/>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uiPriority w:val="99"/>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qFormat/>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qFormat/>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 w:type="character" w:customStyle="1" w:styleId="CommentReference1">
    <w:name w:val="Comment Reference1"/>
    <w:basedOn w:val="DefaultParagraphFont"/>
    <w:uiPriority w:val="99"/>
    <w:semiHidden/>
    <w:unhideWhenUsed/>
    <w:rsid w:val="00F81087"/>
    <w:rPr>
      <w:sz w:val="16"/>
      <w:szCs w:val="16"/>
    </w:rPr>
  </w:style>
  <w:style w:type="table" w:styleId="TableGrid">
    <w:name w:val="Table Grid"/>
    <w:basedOn w:val="TableNormal"/>
    <w:uiPriority w:val="39"/>
    <w:rsid w:val="00D55CA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BodyText"/>
    <w:qFormat/>
    <w:rsid w:val="00D55CA0"/>
    <w:pPr>
      <w:spacing w:before="36" w:after="36"/>
      <w:jc w:val="left"/>
    </w:pPr>
    <w:rPr>
      <w:rFonts w:asciiTheme="minorHAnsi" w:eastAsiaTheme="minorHAnsi" w:hAnsiTheme="minorHAnsi" w:cstheme="minorBidi"/>
      <w:b w:val="0"/>
      <w:bCs w:val="0"/>
      <w:lang w:eastAsia="en-US"/>
    </w:rPr>
  </w:style>
  <w:style w:type="table" w:customStyle="1" w:styleId="Table">
    <w:name w:val="Table"/>
    <w:semiHidden/>
    <w:unhideWhenUsed/>
    <w:qFormat/>
    <w:rsid w:val="00D55CA0"/>
    <w:pPr>
      <w:spacing w:after="200" w:line="240" w:lineRule="auto"/>
    </w:pPr>
    <w:rPr>
      <w:sz w:val="24"/>
      <w:szCs w:val="24"/>
    </w:rPr>
    <w:tblPr>
      <w:tblInd w:w="0" w:type="dxa"/>
      <w:tblCellMar>
        <w:top w:w="0" w:type="dxa"/>
        <w:left w:w="108" w:type="dxa"/>
        <w:bottom w:w="0" w:type="dxa"/>
        <w:right w:w="108" w:type="dxa"/>
      </w:tblCellMar>
    </w:tblPr>
  </w:style>
  <w:style w:type="paragraph" w:styleId="Caption">
    <w:name w:val="caption"/>
    <w:basedOn w:val="Normal"/>
    <w:link w:val="CaptionChar"/>
    <w:qFormat/>
    <w:rsid w:val="00D55CA0"/>
    <w:pPr>
      <w:spacing w:after="120"/>
    </w:pPr>
    <w:rPr>
      <w:rFonts w:asciiTheme="minorHAnsi" w:eastAsiaTheme="minorHAnsi" w:hAnsiTheme="minorHAnsi" w:cstheme="minorBidi"/>
      <w:i/>
    </w:rPr>
  </w:style>
  <w:style w:type="character" w:customStyle="1" w:styleId="CaptionChar">
    <w:name w:val="Caption Char"/>
    <w:basedOn w:val="DefaultParagraphFont"/>
    <w:link w:val="Caption"/>
    <w:rsid w:val="00D55CA0"/>
    <w:rPr>
      <w:i/>
      <w:sz w:val="24"/>
      <w:szCs w:val="24"/>
    </w:rPr>
  </w:style>
  <w:style w:type="character" w:customStyle="1" w:styleId="InternetLink">
    <w:name w:val="Internet Link"/>
    <w:basedOn w:val="DefaultParagraphFont"/>
    <w:uiPriority w:val="99"/>
    <w:unhideWhenUsed/>
    <w:rsid w:val="00D55C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s/2018-06-s.pdf" TargetMode="External"/><Relationship Id="rId13" Type="http://schemas.openxmlformats.org/officeDocument/2006/relationships/hyperlink" Target="https://www.iccat.int/Documents/Recs/compendiopdf-s/2025-08-s.pdf" TargetMode="External"/><Relationship Id="rId18" Type="http://schemas.openxmlformats.org/officeDocument/2006/relationships/hyperlink" Target="https://www.iccat.int/Documents/Recs/compendiopdf-s/2011-08-s.pdf" TargetMode="External"/><Relationship Id="rId3" Type="http://schemas.openxmlformats.org/officeDocument/2006/relationships/styles" Target="styles.xml"/><Relationship Id="rId21" Type="http://schemas.openxmlformats.org/officeDocument/2006/relationships/hyperlink" Target="https://www.iccat.int/Documents/Recs/compendiopdf-s/2009-07-s.pdf" TargetMode="External"/><Relationship Id="rId7" Type="http://schemas.openxmlformats.org/officeDocument/2006/relationships/endnotes" Target="endnotes.xml"/><Relationship Id="rId12" Type="http://schemas.openxmlformats.org/officeDocument/2006/relationships/hyperlink" Target="https://www.iccat.int/Documents/Recs/compendiopdf-s/2025-08-s.pdf" TargetMode="External"/><Relationship Id="rId17" Type="http://schemas.openxmlformats.org/officeDocument/2006/relationships/hyperlink" Target="https://www.iccat.int/Documents/Recs/compendiopdf-s/2010-08-s.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ccat.int/Documents/Recs/compendiopdf-s/2010-08-s.pdf" TargetMode="External"/><Relationship Id="rId20" Type="http://schemas.openxmlformats.org/officeDocument/2006/relationships/hyperlink" Target="https://www.iccat.int/Documents/Recs/compendiopdf-s/2009-07-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s/2023-11-s.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ccat.int/Documents/Recs/compendiopdf-s/2010-07-s.pdf" TargetMode="External"/><Relationship Id="rId23" Type="http://schemas.openxmlformats.org/officeDocument/2006/relationships/footer" Target="footer1.xml"/><Relationship Id="rId10" Type="http://schemas.openxmlformats.org/officeDocument/2006/relationships/hyperlink" Target="https://www.iccat.int/Documents/Recs/compendiopdf-s/2023-11-s.pdf" TargetMode="External"/><Relationship Id="rId19" Type="http://schemas.openxmlformats.org/officeDocument/2006/relationships/hyperlink" Target="https://www.iccat.int/Documents/Recs/compendiopdf-s/2011-08-s.pdf" TargetMode="External"/><Relationship Id="rId4" Type="http://schemas.openxmlformats.org/officeDocument/2006/relationships/settings" Target="settings.xml"/><Relationship Id="rId9" Type="http://schemas.openxmlformats.org/officeDocument/2006/relationships/hyperlink" Target="https://www.iccat.int/Documents/Recs/compendiopdf-s/2018-06-s.pdf" TargetMode="External"/><Relationship Id="rId14" Type="http://schemas.openxmlformats.org/officeDocument/2006/relationships/hyperlink" Target="https://www.iccat.int/Documents/Recs/compendiopdf-s/2010-07-s.pdf"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5577</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2026-10-14T12:39:00Z</dcterms:created>
  <dcterms:modified xsi:type="dcterms:W3CDTF">2026-10-14T12:46:00Z</dcterms:modified>
</cp:coreProperties>
</file>