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A7474ED" w:rsidR="000B0920" w:rsidRPr="00554AB0" w:rsidRDefault="00857C38" w:rsidP="00857C38">
      <w:pPr>
        <w:jc w:val="right"/>
        <w:rPr>
          <w:rFonts w:ascii="Cambria" w:hAnsi="Cambria"/>
          <w:sz w:val="20"/>
          <w:szCs w:val="20"/>
          <w:lang w:val="fr-FR"/>
        </w:rPr>
      </w:pPr>
      <w:r w:rsidRPr="00554AB0">
        <w:rPr>
          <w:rFonts w:ascii="Cambria" w:hAnsi="Cambria"/>
          <w:b/>
          <w:bCs/>
          <w:sz w:val="20"/>
          <w:szCs w:val="20"/>
          <w:lang w:val="fr-FR"/>
        </w:rPr>
        <w:t>Original</w:t>
      </w:r>
      <w:r w:rsidR="00506FB9">
        <w:rPr>
          <w:rFonts w:ascii="Cambria" w:hAnsi="Cambria"/>
          <w:b/>
          <w:bCs/>
          <w:sz w:val="20"/>
          <w:szCs w:val="20"/>
          <w:lang w:val="fr-FR"/>
        </w:rPr>
        <w:t xml:space="preserve"> </w:t>
      </w:r>
      <w:r w:rsidRPr="00554AB0">
        <w:rPr>
          <w:rFonts w:ascii="Cambria" w:hAnsi="Cambria"/>
          <w:sz w:val="20"/>
          <w:szCs w:val="20"/>
          <w:lang w:val="fr-FR"/>
        </w:rPr>
        <w:t xml:space="preserve">: </w:t>
      </w:r>
      <w:r w:rsidR="009353F0" w:rsidRPr="00554AB0">
        <w:rPr>
          <w:rFonts w:ascii="Cambria" w:hAnsi="Cambria"/>
          <w:sz w:val="20"/>
          <w:szCs w:val="20"/>
          <w:lang w:val="fr-FR"/>
        </w:rPr>
        <w:t>anglais</w:t>
      </w:r>
    </w:p>
    <w:p w14:paraId="546FFD34" w14:textId="77777777" w:rsidR="00857C38" w:rsidRPr="00554AB0" w:rsidRDefault="00857C38" w:rsidP="00857C38">
      <w:pPr>
        <w:jc w:val="right"/>
        <w:rPr>
          <w:rFonts w:ascii="Cambria" w:hAnsi="Cambria"/>
          <w:sz w:val="20"/>
          <w:szCs w:val="20"/>
          <w:lang w:val="fr-FR"/>
        </w:rPr>
      </w:pPr>
    </w:p>
    <w:p w14:paraId="3CB6C27F" w14:textId="73D7FE7A" w:rsidR="00554AB0" w:rsidRDefault="00554AB0" w:rsidP="00554AB0">
      <w:pPr>
        <w:jc w:val="center"/>
        <w:rPr>
          <w:rFonts w:ascii="Cambria" w:hAnsi="Cambria"/>
          <w:b/>
          <w:bCs/>
          <w:sz w:val="20"/>
          <w:szCs w:val="20"/>
          <w:lang w:val="fr-FR"/>
        </w:rPr>
      </w:pPr>
      <w:r w:rsidRPr="009353F0">
        <w:rPr>
          <w:rFonts w:ascii="Cambria" w:hAnsi="Cambria"/>
          <w:b/>
          <w:bCs/>
          <w:sz w:val="20"/>
          <w:szCs w:val="20"/>
          <w:lang w:val="fr-FR"/>
        </w:rPr>
        <w:t>Réponses et recommandations du SCRS concernant l</w:t>
      </w:r>
      <w:r w:rsidR="00AB6CA9">
        <w:rPr>
          <w:rFonts w:ascii="Cambria" w:hAnsi="Cambria"/>
          <w:b/>
          <w:bCs/>
          <w:sz w:val="20"/>
          <w:szCs w:val="20"/>
          <w:lang w:val="fr-FR"/>
        </w:rPr>
        <w:t>e Comité d’application (COC)</w:t>
      </w:r>
    </w:p>
    <w:p w14:paraId="16DB48D3" w14:textId="77777777" w:rsidR="009353F0" w:rsidRPr="00554AB0" w:rsidRDefault="009353F0" w:rsidP="00857C38">
      <w:pPr>
        <w:jc w:val="center"/>
        <w:rPr>
          <w:rFonts w:ascii="Cambria" w:hAnsi="Cambria"/>
          <w:b/>
          <w:bCs/>
          <w:sz w:val="20"/>
          <w:szCs w:val="20"/>
          <w:lang w:val="fr-FR"/>
        </w:rPr>
      </w:pPr>
    </w:p>
    <w:p w14:paraId="6ADB0791" w14:textId="36E956FE" w:rsidR="009353F0" w:rsidRPr="009353F0" w:rsidRDefault="009353F0" w:rsidP="009353F0">
      <w:pPr>
        <w:jc w:val="both"/>
        <w:rPr>
          <w:rFonts w:ascii="Cambria" w:eastAsia="Aptos" w:hAnsi="Cambria" w:cs="Aptos"/>
          <w:sz w:val="20"/>
          <w:szCs w:val="20"/>
          <w:lang w:val="fr-FR"/>
          <w14:ligatures w14:val="standardContextual"/>
        </w:rPr>
      </w:pPr>
      <w:r w:rsidRPr="009353F0">
        <w:rPr>
          <w:rFonts w:ascii="Cambria" w:eastAsia="Aptos" w:hAnsi="Cambria" w:cs="Aptos"/>
          <w:sz w:val="20"/>
          <w:szCs w:val="20"/>
          <w:lang w:val="fr-FR"/>
          <w14:ligatures w14:val="standardContextual"/>
        </w:rPr>
        <w:t>Les réponses de 2026 adressées à la Commission et les recommandations du SCRS concernant l</w:t>
      </w:r>
      <w:r w:rsidR="00AB6CA9">
        <w:rPr>
          <w:rFonts w:ascii="Cambria" w:eastAsia="Aptos" w:hAnsi="Cambria" w:cs="Aptos"/>
          <w:sz w:val="20"/>
          <w:szCs w:val="20"/>
          <w:lang w:val="fr-FR"/>
          <w14:ligatures w14:val="standardContextual"/>
        </w:rPr>
        <w:t>e COC</w:t>
      </w:r>
      <w:r w:rsidRPr="009353F0">
        <w:rPr>
          <w:rFonts w:ascii="Cambria" w:eastAsia="Aptos" w:hAnsi="Cambria" w:cs="Aptos"/>
          <w:sz w:val="20"/>
          <w:szCs w:val="20"/>
          <w:lang w:val="fr-FR"/>
          <w14:ligatures w14:val="standardContextual"/>
        </w:rPr>
        <w:t xml:space="preserve"> ont été compilées par le Secrétariat directement à partir du rapport de la réunion plénière du SCRS de 2026 (document PLE-104). Les recommandations ayant des implications financières ne figurent pas dans le présent document, car elles sont incluses dans l’appendice 2 du budget de l’ICCAT (document STF-203).</w:t>
      </w:r>
    </w:p>
    <w:p w14:paraId="206D36BB" w14:textId="77777777" w:rsidR="009353F0" w:rsidRDefault="009353F0" w:rsidP="009353F0">
      <w:pPr>
        <w:rPr>
          <w:rFonts w:ascii="Cambria" w:hAnsi="Cambria"/>
          <w:b/>
          <w:bCs/>
          <w:sz w:val="20"/>
          <w:szCs w:val="20"/>
          <w:lang w:val="fr-FR"/>
        </w:rPr>
      </w:pPr>
    </w:p>
    <w:p w14:paraId="6FBDB035" w14:textId="4422AA64" w:rsidR="00F81087" w:rsidRDefault="009353F0" w:rsidP="009353F0">
      <w:pPr>
        <w:rPr>
          <w:rFonts w:ascii="Cambria" w:hAnsi="Cambria"/>
          <w:b/>
          <w:bCs/>
          <w:sz w:val="20"/>
          <w:szCs w:val="20"/>
          <w:lang w:val="fr-FR"/>
        </w:rPr>
      </w:pPr>
      <w:r w:rsidRPr="009353F0">
        <w:rPr>
          <w:rFonts w:ascii="Cambria" w:hAnsi="Cambria"/>
          <w:b/>
          <w:bCs/>
          <w:sz w:val="20"/>
          <w:szCs w:val="20"/>
          <w:lang w:val="fr-FR"/>
        </w:rPr>
        <w:t xml:space="preserve">Réponses </w:t>
      </w:r>
      <w:r w:rsidR="00554AB0">
        <w:rPr>
          <w:rFonts w:ascii="Cambria" w:hAnsi="Cambria"/>
          <w:b/>
          <w:bCs/>
          <w:sz w:val="20"/>
          <w:szCs w:val="20"/>
          <w:lang w:val="fr-FR"/>
        </w:rPr>
        <w:t>à la Commission</w:t>
      </w:r>
      <w:r w:rsidR="00554AB0">
        <w:rPr>
          <w:rFonts w:ascii="Cambria" w:hAnsi="Cambria"/>
          <w:b/>
          <w:bCs/>
          <w:sz w:val="20"/>
          <w:szCs w:val="20"/>
          <w:lang w:val="fr-FR"/>
        </w:rPr>
        <w:br/>
      </w:r>
    </w:p>
    <w:p w14:paraId="23BDDCA2" w14:textId="45C5E7C0" w:rsidR="0022126D" w:rsidRPr="0022126D" w:rsidRDefault="0022126D" w:rsidP="009353F0">
      <w:pPr>
        <w:rPr>
          <w:rFonts w:ascii="Cambria" w:hAnsi="Cambria"/>
          <w:b/>
          <w:bCs/>
          <w:i/>
          <w:iCs/>
          <w:sz w:val="20"/>
          <w:szCs w:val="20"/>
          <w:lang w:val="fr-FR"/>
        </w:rPr>
      </w:pPr>
      <w:r w:rsidRPr="0022126D">
        <w:rPr>
          <w:rFonts w:ascii="Cambria" w:hAnsi="Cambria"/>
          <w:i/>
          <w:iCs/>
          <w:sz w:val="20"/>
          <w:szCs w:val="20"/>
        </w:rPr>
        <w:t xml:space="preserve">Sous-comité des </w:t>
      </w:r>
      <w:proofErr w:type="spellStart"/>
      <w:r w:rsidRPr="0022126D">
        <w:rPr>
          <w:rFonts w:ascii="Cambria" w:hAnsi="Cambria"/>
          <w:i/>
          <w:iCs/>
          <w:sz w:val="20"/>
          <w:szCs w:val="20"/>
        </w:rPr>
        <w:t>statistiques</w:t>
      </w:r>
      <w:proofErr w:type="spellEnd"/>
    </w:p>
    <w:p w14:paraId="5377D372" w14:textId="77777777" w:rsidR="0022126D" w:rsidRDefault="0022126D" w:rsidP="00F81087">
      <w:pPr>
        <w:jc w:val="both"/>
        <w:rPr>
          <w:rFonts w:ascii="Cambria" w:hAnsi="Cambria"/>
          <w:b/>
          <w:i/>
          <w:sz w:val="20"/>
          <w:szCs w:val="20"/>
          <w:lang w:val="fr-FR"/>
        </w:rPr>
      </w:pPr>
    </w:p>
    <w:p w14:paraId="17C19975" w14:textId="77777777" w:rsidR="0022126D" w:rsidRPr="0022126D" w:rsidRDefault="0022126D" w:rsidP="0022126D">
      <w:pPr>
        <w:tabs>
          <w:tab w:val="right" w:leader="dot" w:pos="8505"/>
          <w:tab w:val="right" w:pos="9072"/>
        </w:tabs>
        <w:ind w:right="-1"/>
        <w:contextualSpacing/>
        <w:jc w:val="both"/>
        <w:rPr>
          <w:rFonts w:ascii="Cambria" w:hAnsi="Cambria"/>
          <w:b/>
          <w:i/>
          <w:iCs/>
          <w:sz w:val="20"/>
          <w:szCs w:val="20"/>
          <w:lang w:val="fr-FR"/>
        </w:rPr>
      </w:pPr>
      <w:r w:rsidRPr="0022126D">
        <w:rPr>
          <w:rFonts w:ascii="Cambria" w:hAnsi="Cambria"/>
          <w:b/>
          <w:bCs/>
          <w:i/>
          <w:iCs/>
          <w:sz w:val="20"/>
          <w:szCs w:val="20"/>
          <w:lang w:val="fr-FR"/>
        </w:rPr>
        <w:t xml:space="preserve">19.2 La Norvège demande une exemption partielle à l'obligation de soumission de la feuille de contrôle de la mise en œuvre des mesures s'appliquant aux requins de l’ICCAT, </w:t>
      </w:r>
      <w:hyperlink r:id="rId8" w:history="1">
        <w:r w:rsidRPr="0022126D">
          <w:rPr>
            <w:rStyle w:val="Hyperlink"/>
            <w:rFonts w:ascii="Cambria" w:hAnsi="Cambria"/>
            <w:b/>
            <w:i/>
            <w:iCs/>
            <w:sz w:val="20"/>
            <w:szCs w:val="20"/>
            <w:u w:val="none"/>
            <w:lang w:val="fr-FR"/>
          </w:rPr>
          <w:t>Rec. 18-06</w:t>
        </w:r>
      </w:hyperlink>
      <w:r w:rsidRPr="0022126D">
        <w:rPr>
          <w:rFonts w:ascii="Cambria" w:hAnsi="Cambria"/>
          <w:b/>
          <w:i/>
          <w:iCs/>
          <w:sz w:val="20"/>
          <w:szCs w:val="20"/>
          <w:lang w:val="fr-FR"/>
        </w:rPr>
        <w:t>, paragraphe 3</w:t>
      </w:r>
    </w:p>
    <w:p w14:paraId="7928EEB9" w14:textId="77777777" w:rsidR="0022126D" w:rsidRPr="0022126D" w:rsidRDefault="0022126D" w:rsidP="0022126D">
      <w:pPr>
        <w:tabs>
          <w:tab w:val="right" w:leader="dot" w:pos="8505"/>
          <w:tab w:val="right" w:pos="9072"/>
        </w:tabs>
        <w:ind w:right="-1"/>
        <w:contextualSpacing/>
        <w:jc w:val="both"/>
        <w:rPr>
          <w:rFonts w:ascii="Cambria" w:hAnsi="Cambria"/>
          <w:b/>
          <w:bCs/>
          <w:i/>
          <w:sz w:val="20"/>
          <w:szCs w:val="20"/>
          <w:lang w:val="fr-FR"/>
        </w:rPr>
      </w:pPr>
    </w:p>
    <w:p w14:paraId="325B2B84" w14:textId="77777777" w:rsidR="0022126D" w:rsidRPr="0022126D" w:rsidRDefault="0022126D" w:rsidP="0022126D">
      <w:pPr>
        <w:tabs>
          <w:tab w:val="right" w:leader="dot" w:pos="8505"/>
          <w:tab w:val="right" w:pos="9072"/>
        </w:tabs>
        <w:ind w:right="-1"/>
        <w:contextualSpacing/>
        <w:jc w:val="both"/>
        <w:rPr>
          <w:rFonts w:ascii="Cambria" w:hAnsi="Cambria"/>
          <w:bCs/>
          <w:i/>
          <w:iCs/>
          <w:sz w:val="20"/>
          <w:szCs w:val="20"/>
          <w:lang w:val="fr-FR"/>
        </w:rPr>
      </w:pPr>
      <w:r w:rsidRPr="0022126D">
        <w:rPr>
          <w:rFonts w:ascii="Cambria" w:hAnsi="Cambria"/>
          <w:b/>
          <w:bCs/>
          <w:i/>
          <w:sz w:val="20"/>
          <w:szCs w:val="20"/>
          <w:lang w:val="fr-FR"/>
        </w:rPr>
        <w:t>Contexte :</w:t>
      </w:r>
      <w:r w:rsidRPr="0022126D">
        <w:rPr>
          <w:rFonts w:ascii="Cambria" w:hAnsi="Cambria"/>
          <w:bCs/>
          <w:i/>
          <w:sz w:val="20"/>
          <w:szCs w:val="20"/>
          <w:lang w:val="fr-FR"/>
        </w:rPr>
        <w:t xml:space="preserve"> La Norvège demande une exemption partielle à l’obligation de soumission de la feuille de contrôle de la mise en œuvre des mesures s'appliquant aux requins de l’ICCAT, en vertu de la Rec. 18-06, paragraphe 3, conformément à la procédure adoptée dans le COC_328/2025. La Norvège pratique une seule pêche ciblant les thonidés et les espèces apparentées dans la zone de la Convention, à savoir la pêche à la senne, à la palangre et à la canne et au moulinet de thon rouge de l'Atlantique, exercée dans la Zone économique exclusive norvégienne entre 59,8°N et 64,3°N. Trois espèces figurant sur la liste de l'ICCAT des élasmobranches océaniques, pélagiques et grands migrateurs ont été recensées dans les pêcheries norvégiennes ; toutes ont été capturées à l'aide d'engins non utilisés dans la pêche au thon rouge. La Norvège demande donc une exemption limitée à six Recommandations concernant des espèces dont l'aire de distribution ne s'étend pas à la zone de pêche, et continuera à remplir intégralement la feuille de contrôle pour toutes les autres.</w:t>
      </w:r>
    </w:p>
    <w:p w14:paraId="6EA1279D" w14:textId="77777777" w:rsidR="0022126D" w:rsidRPr="0022126D" w:rsidRDefault="0022126D" w:rsidP="0022126D">
      <w:pPr>
        <w:tabs>
          <w:tab w:val="right" w:leader="dot" w:pos="8505"/>
          <w:tab w:val="right" w:pos="9072"/>
        </w:tabs>
        <w:ind w:right="-1"/>
        <w:contextualSpacing/>
        <w:jc w:val="both"/>
        <w:rPr>
          <w:rFonts w:ascii="Cambria" w:hAnsi="Cambria"/>
          <w:b/>
          <w:i/>
          <w:sz w:val="20"/>
          <w:szCs w:val="20"/>
          <w:lang w:val="fr-FR"/>
        </w:rPr>
      </w:pPr>
    </w:p>
    <w:p w14:paraId="3779A8DF" w14:textId="23A6E624" w:rsidR="0022126D" w:rsidRDefault="0022126D" w:rsidP="0022126D">
      <w:pPr>
        <w:jc w:val="both"/>
        <w:rPr>
          <w:rFonts w:ascii="Cambria" w:hAnsi="Cambria"/>
          <w:sz w:val="20"/>
          <w:szCs w:val="20"/>
          <w:lang w:val="fr-FR"/>
        </w:rPr>
      </w:pPr>
      <w:r w:rsidRPr="0022126D">
        <w:rPr>
          <w:rFonts w:ascii="Cambria" w:hAnsi="Cambria"/>
          <w:sz w:val="20"/>
          <w:szCs w:val="20"/>
          <w:lang w:val="fr-FR"/>
        </w:rPr>
        <w:t xml:space="preserve">Conformément à la procédure adoptée dans le document « Réponse du SCRS concernant l’exemption à la présentation de la feuille de contrôle s'appliquant aux requins » [COC_328/2025], la Norvège a présenté au SCRS le document Mjørlund 2026 (SCRS/2026/257) qui comporte des informations détaillées sur les zones d’opération de ses pêcheries relevant de l’ICCAT ainsi que des informations sur les interactions enregistrées entre les requins figurant sur la liste de l’ICCAT et les navires norvégiens au cours de la période 2015-2026. Sur la base des informations présentées, le Comité comprend que la demande de la Norvège d’une exemption partielle à la </w:t>
      </w:r>
      <w:hyperlink r:id="rId9" w:tooltip="https://www.iccat.int/Documents/Recs/compendiopdf-f/2023-11-f.pdf" w:history="1">
        <w:r w:rsidRPr="0022126D">
          <w:rPr>
            <w:rStyle w:val="Hyperlink"/>
            <w:rFonts w:ascii="Cambria" w:hAnsi="Cambria"/>
            <w:sz w:val="20"/>
            <w:szCs w:val="20"/>
            <w:u w:val="none"/>
            <w:lang w:val="fr-FR"/>
          </w:rPr>
          <w:t>Rec.</w:t>
        </w:r>
      </w:hyperlink>
      <w:hyperlink r:id="rId10" w:tooltip="https://www.iccat.int/Documents/Recs/compendiopdf-f/2023-11-f.pdf" w:history="1">
        <w:r w:rsidRPr="0022126D">
          <w:rPr>
            <w:rStyle w:val="Hyperlink"/>
            <w:rFonts w:ascii="Cambria" w:hAnsi="Cambria"/>
            <w:sz w:val="20"/>
            <w:szCs w:val="20"/>
            <w:u w:val="none"/>
            <w:lang w:val="fr-FR"/>
          </w:rPr>
          <w:t xml:space="preserve"> 23-11</w:t>
        </w:r>
      </w:hyperlink>
      <w:r w:rsidRPr="0022126D">
        <w:rPr>
          <w:rFonts w:ascii="Cambria" w:hAnsi="Cambria"/>
          <w:sz w:val="20"/>
          <w:szCs w:val="20"/>
          <w:lang w:val="fr-FR"/>
        </w:rPr>
        <w:t xml:space="preserve">, à la </w:t>
      </w:r>
      <w:hyperlink r:id="rId11" w:tooltip="https://www.iccat.int/Documents/Recs/compendiopdf-f/2025-08-f.pdf" w:history="1">
        <w:r w:rsidRPr="0022126D">
          <w:rPr>
            <w:rStyle w:val="Hyperlink"/>
            <w:rFonts w:ascii="Cambria" w:hAnsi="Cambria"/>
            <w:sz w:val="20"/>
            <w:szCs w:val="20"/>
            <w:u w:val="none"/>
            <w:lang w:val="fr-FR"/>
          </w:rPr>
          <w:t>Rec.</w:t>
        </w:r>
      </w:hyperlink>
      <w:hyperlink r:id="rId12" w:tooltip="https://www.iccat.int/Documents/Recs/compendiopdf-f/2025-08-f.pdf" w:history="1">
        <w:r w:rsidRPr="0022126D">
          <w:rPr>
            <w:rStyle w:val="Hyperlink"/>
            <w:rFonts w:ascii="Cambria" w:hAnsi="Cambria"/>
            <w:sz w:val="20"/>
            <w:szCs w:val="20"/>
            <w:u w:val="none"/>
            <w:lang w:val="fr-FR"/>
          </w:rPr>
          <w:t xml:space="preserve"> 25-08</w:t>
        </w:r>
      </w:hyperlink>
      <w:r w:rsidRPr="0022126D">
        <w:rPr>
          <w:rFonts w:ascii="Cambria" w:hAnsi="Cambria"/>
          <w:sz w:val="20"/>
          <w:szCs w:val="20"/>
          <w:lang w:val="fr-FR"/>
        </w:rPr>
        <w:t xml:space="preserve">, à la </w:t>
      </w:r>
      <w:hyperlink r:id="rId13" w:tooltip="https://www.iccat.int/Documents/Recs/compendiopdf-f/2010-07-f.pdf" w:history="1">
        <w:r w:rsidRPr="0022126D">
          <w:rPr>
            <w:rStyle w:val="Hyperlink"/>
            <w:rFonts w:ascii="Cambria" w:hAnsi="Cambria"/>
            <w:sz w:val="20"/>
            <w:szCs w:val="20"/>
            <w:u w:val="none"/>
            <w:lang w:val="fr-FR"/>
          </w:rPr>
          <w:t>Rec.</w:t>
        </w:r>
      </w:hyperlink>
      <w:hyperlink r:id="rId14" w:tooltip="https://www.iccat.int/Documents/Recs/compendiopdf-f/2010-07-f.pdf" w:history="1">
        <w:r w:rsidRPr="0022126D">
          <w:rPr>
            <w:rStyle w:val="Hyperlink"/>
            <w:rFonts w:ascii="Cambria" w:hAnsi="Cambria"/>
            <w:sz w:val="20"/>
            <w:szCs w:val="20"/>
            <w:u w:val="none"/>
            <w:lang w:val="fr-FR"/>
          </w:rPr>
          <w:t xml:space="preserve"> 10-07</w:t>
        </w:r>
      </w:hyperlink>
      <w:r w:rsidRPr="0022126D">
        <w:rPr>
          <w:rFonts w:ascii="Cambria" w:hAnsi="Cambria"/>
          <w:sz w:val="20"/>
          <w:szCs w:val="20"/>
          <w:lang w:val="fr-FR"/>
        </w:rPr>
        <w:t xml:space="preserve">, à la </w:t>
      </w:r>
      <w:hyperlink r:id="rId15" w:tooltip="https://www.iccat.int/Documents/Recs/compendiopdf-e/2010-08-e.pdf" w:history="1">
        <w:r w:rsidRPr="0022126D">
          <w:rPr>
            <w:rStyle w:val="Hyperlink"/>
            <w:rFonts w:ascii="Cambria" w:hAnsi="Cambria"/>
            <w:sz w:val="20"/>
            <w:szCs w:val="20"/>
            <w:u w:val="none"/>
            <w:lang w:val="fr-FR"/>
          </w:rPr>
          <w:t>Rec.</w:t>
        </w:r>
      </w:hyperlink>
      <w:hyperlink r:id="rId16" w:tooltip="https://www.iccat.int/Documents/Recs/compendiopdf-e/2010-08-e.pdf" w:history="1">
        <w:r w:rsidRPr="0022126D">
          <w:rPr>
            <w:rStyle w:val="Hyperlink"/>
            <w:rFonts w:ascii="Cambria" w:hAnsi="Cambria"/>
            <w:sz w:val="20"/>
            <w:szCs w:val="20"/>
            <w:u w:val="none"/>
            <w:lang w:val="fr-FR"/>
          </w:rPr>
          <w:t xml:space="preserve"> 10-08</w:t>
        </w:r>
      </w:hyperlink>
      <w:r w:rsidRPr="0022126D">
        <w:rPr>
          <w:rFonts w:ascii="Cambria" w:hAnsi="Cambria"/>
          <w:sz w:val="20"/>
          <w:szCs w:val="20"/>
          <w:lang w:val="fr-FR"/>
        </w:rPr>
        <w:t xml:space="preserve">, à la </w:t>
      </w:r>
      <w:hyperlink r:id="rId17" w:tooltip="https://www.iccat.int/Documents/Recs/compendiopdf-f/2011-08-f.pdf" w:history="1">
        <w:r w:rsidRPr="0022126D">
          <w:rPr>
            <w:rStyle w:val="Hyperlink"/>
            <w:rFonts w:ascii="Cambria" w:hAnsi="Cambria"/>
            <w:sz w:val="20"/>
            <w:szCs w:val="20"/>
            <w:u w:val="none"/>
            <w:lang w:val="fr-FR"/>
          </w:rPr>
          <w:t>Rec.</w:t>
        </w:r>
      </w:hyperlink>
      <w:hyperlink r:id="rId18" w:tooltip="https://www.iccat.int/Documents/Recs/compendiopdf-f/2011-08-f.pdf" w:history="1">
        <w:r w:rsidRPr="0022126D">
          <w:rPr>
            <w:rStyle w:val="Hyperlink"/>
            <w:rFonts w:ascii="Cambria" w:hAnsi="Cambria"/>
            <w:sz w:val="20"/>
            <w:szCs w:val="20"/>
            <w:u w:val="none"/>
            <w:lang w:val="fr-FR"/>
          </w:rPr>
          <w:t xml:space="preserve"> 11-08</w:t>
        </w:r>
      </w:hyperlink>
      <w:r w:rsidRPr="0022126D">
        <w:rPr>
          <w:rFonts w:ascii="Cambria" w:hAnsi="Cambria"/>
          <w:sz w:val="20"/>
          <w:szCs w:val="20"/>
          <w:lang w:val="fr-FR"/>
        </w:rPr>
        <w:t xml:space="preserve"> et à la </w:t>
      </w:r>
      <w:hyperlink r:id="rId19" w:tooltip="https://www.iccat.int/Documents/Recs/compendiopdf-f/2011-07-f.pdf" w:history="1">
        <w:r w:rsidRPr="0022126D">
          <w:rPr>
            <w:rStyle w:val="Hyperlink"/>
            <w:rFonts w:ascii="Cambria" w:hAnsi="Cambria"/>
            <w:sz w:val="20"/>
            <w:szCs w:val="20"/>
            <w:u w:val="none"/>
            <w:lang w:val="fr-FR"/>
          </w:rPr>
          <w:t>Rec.</w:t>
        </w:r>
      </w:hyperlink>
      <w:hyperlink r:id="rId20" w:tooltip="https://www.iccat.int/Documents/Recs/compendiopdf-f/2011-07-f.pdf" w:history="1">
        <w:r w:rsidRPr="0022126D">
          <w:rPr>
            <w:rStyle w:val="Hyperlink"/>
            <w:rFonts w:ascii="Cambria" w:hAnsi="Cambria"/>
            <w:sz w:val="20"/>
            <w:szCs w:val="20"/>
            <w:u w:val="none"/>
            <w:lang w:val="fr-FR"/>
          </w:rPr>
          <w:t xml:space="preserve"> 09-07</w:t>
        </w:r>
      </w:hyperlink>
      <w:r w:rsidRPr="0022126D">
        <w:rPr>
          <w:rFonts w:ascii="Cambria" w:hAnsi="Cambria"/>
          <w:sz w:val="20"/>
          <w:szCs w:val="20"/>
          <w:lang w:val="fr-FR"/>
        </w:rPr>
        <w:t xml:space="preserve"> est bien fondée et est donc acceptée</w:t>
      </w:r>
      <w:r w:rsidR="000E4D11">
        <w:rPr>
          <w:rFonts w:ascii="Cambria" w:hAnsi="Cambria"/>
          <w:sz w:val="20"/>
          <w:szCs w:val="20"/>
          <w:lang w:val="fr-FR"/>
        </w:rPr>
        <w:t>.</w:t>
      </w:r>
    </w:p>
    <w:p w14:paraId="1AD6206E" w14:textId="77777777" w:rsidR="000E4D11" w:rsidRPr="0022126D" w:rsidRDefault="000E4D11" w:rsidP="0022126D">
      <w:pPr>
        <w:jc w:val="both"/>
        <w:rPr>
          <w:rFonts w:ascii="Cambria" w:hAnsi="Cambria"/>
          <w:sz w:val="20"/>
          <w:szCs w:val="20"/>
          <w:lang w:val="fr-FR"/>
        </w:rPr>
      </w:pPr>
    </w:p>
    <w:p w14:paraId="51505026" w14:textId="77777777" w:rsidR="0022126D" w:rsidRPr="0022126D" w:rsidRDefault="0022126D" w:rsidP="0022126D">
      <w:pPr>
        <w:jc w:val="both"/>
        <w:rPr>
          <w:rFonts w:ascii="Cambria" w:hAnsi="Cambria"/>
          <w:sz w:val="20"/>
          <w:szCs w:val="20"/>
          <w:lang w:val="fr-FR"/>
        </w:rPr>
      </w:pPr>
      <w:r w:rsidRPr="0022126D">
        <w:rPr>
          <w:rFonts w:ascii="Cambria" w:hAnsi="Cambria"/>
          <w:sz w:val="20"/>
          <w:szCs w:val="20"/>
          <w:lang w:val="fr-FR"/>
        </w:rPr>
        <w:t>Conformément à la procédure adoptée, l’exemption partielle sera valide pour la période 2027–2031. Toutefois, la Norvège devra confirmer tous les ans dans son rapport annuel qu’aucun changement ne s’est produit dans ses pêcheries.</w:t>
      </w:r>
    </w:p>
    <w:p w14:paraId="111F932E" w14:textId="77777777" w:rsidR="0022126D" w:rsidRPr="0022126D" w:rsidRDefault="0022126D" w:rsidP="0022126D">
      <w:pPr>
        <w:jc w:val="both"/>
        <w:rPr>
          <w:rFonts w:ascii="Cambria" w:hAnsi="Cambria"/>
          <w:sz w:val="20"/>
          <w:szCs w:val="20"/>
          <w:lang w:val="fr-FR"/>
        </w:rPr>
      </w:pPr>
    </w:p>
    <w:p w14:paraId="035E093B" w14:textId="77777777" w:rsidR="0022126D" w:rsidRPr="0022126D" w:rsidRDefault="0022126D" w:rsidP="0022126D">
      <w:pPr>
        <w:tabs>
          <w:tab w:val="center" w:pos="4513"/>
          <w:tab w:val="left" w:pos="6804"/>
        </w:tabs>
        <w:jc w:val="both"/>
        <w:rPr>
          <w:rFonts w:ascii="Cambria" w:hAnsi="Cambria"/>
          <w:sz w:val="20"/>
          <w:szCs w:val="20"/>
          <w:lang w:val="fr-FR"/>
        </w:rPr>
      </w:pPr>
      <w:r w:rsidRPr="0022126D">
        <w:rPr>
          <w:rFonts w:ascii="Cambria" w:hAnsi="Cambria"/>
          <w:sz w:val="20"/>
          <w:szCs w:val="20"/>
          <w:lang w:val="fr-FR"/>
        </w:rPr>
        <w:t>Afin de renouveler l’exemption, la Norvège devra présenter une nouvelle demande en 2031 pour une autre période de cinq ans.</w:t>
      </w:r>
    </w:p>
    <w:p w14:paraId="6520F728" w14:textId="716B096C" w:rsidR="00F81087" w:rsidRDefault="00F81087" w:rsidP="00F81087">
      <w:pPr>
        <w:spacing w:after="160" w:line="259" w:lineRule="auto"/>
        <w:rPr>
          <w:rFonts w:ascii="Cambria" w:hAnsi="Cambria"/>
          <w:b/>
          <w:bCs/>
          <w:sz w:val="20"/>
          <w:szCs w:val="20"/>
          <w:lang w:val="fr-FR"/>
        </w:rPr>
      </w:pPr>
    </w:p>
    <w:p w14:paraId="604441CB" w14:textId="77777777" w:rsidR="00A515E4" w:rsidRPr="00A515E4" w:rsidRDefault="00A515E4" w:rsidP="00A515E4">
      <w:pPr>
        <w:rPr>
          <w:rFonts w:ascii="Cambria" w:hAnsi="Cambria"/>
          <w:b/>
          <w:bCs/>
          <w:sz w:val="20"/>
          <w:szCs w:val="20"/>
          <w:lang w:val="fr-FR"/>
        </w:rPr>
      </w:pPr>
      <w:r w:rsidRPr="00A515E4">
        <w:rPr>
          <w:rFonts w:ascii="Cambria" w:hAnsi="Cambria"/>
          <w:b/>
          <w:bCs/>
          <w:sz w:val="20"/>
          <w:szCs w:val="20"/>
          <w:lang w:val="fr-FR"/>
        </w:rPr>
        <w:t>Recommandations</w:t>
      </w:r>
    </w:p>
    <w:p w14:paraId="359CE9C7" w14:textId="77777777" w:rsidR="00A515E4" w:rsidRPr="00A515E4" w:rsidRDefault="00A515E4" w:rsidP="00A515E4">
      <w:pPr>
        <w:rPr>
          <w:rFonts w:ascii="Cambria" w:hAnsi="Cambria"/>
          <w:b/>
          <w:bCs/>
          <w:sz w:val="20"/>
          <w:szCs w:val="20"/>
          <w:lang w:val="fr-FR"/>
        </w:rPr>
      </w:pPr>
    </w:p>
    <w:p w14:paraId="64E63DEA" w14:textId="77777777" w:rsidR="0022126D" w:rsidRPr="0022126D" w:rsidRDefault="0022126D" w:rsidP="0022126D">
      <w:pPr>
        <w:pStyle w:val="ListParagraph"/>
        <w:numPr>
          <w:ilvl w:val="0"/>
          <w:numId w:val="49"/>
        </w:numPr>
        <w:contextualSpacing/>
        <w:jc w:val="both"/>
        <w:rPr>
          <w:rFonts w:ascii="Cambria" w:hAnsi="Cambria"/>
          <w:sz w:val="20"/>
          <w:szCs w:val="20"/>
          <w:lang w:val="fr-FR"/>
        </w:rPr>
      </w:pPr>
      <w:r w:rsidRPr="0022126D">
        <w:rPr>
          <w:rFonts w:ascii="Cambria" w:hAnsi="Cambria"/>
          <w:sz w:val="20"/>
          <w:lang w:val="fr-FR"/>
        </w:rPr>
        <w:t>Compte tenu de la volonté de la Commission de rationaliser les exigences en matière de déclaration et d’éviter les doublons inutiles dans la déclaration des données, le Comité recommande à la Commission de prendre acte du fait que les informations figurant dans la première partie des rapports annuels des CPC sont déjà fournies aux organes subsidiaires du Comité de manière plus détaillée, plus précise et plus utile par le biais d’autres sources. Par conséquent, le Comité estime que la première partie des rapports annuels des CPC n'apporte aucune valeur ajoutée à ses travaux scientifiques. </w:t>
      </w:r>
    </w:p>
    <w:p w14:paraId="2445387E" w14:textId="77777777" w:rsidR="00F81087" w:rsidRPr="009353F0" w:rsidRDefault="00F81087" w:rsidP="00A515E4">
      <w:pPr>
        <w:rPr>
          <w:rFonts w:ascii="Cambria" w:hAnsi="Cambria"/>
          <w:b/>
          <w:bCs/>
          <w:sz w:val="20"/>
          <w:szCs w:val="20"/>
          <w:lang w:val="fr-FR"/>
        </w:rPr>
      </w:pPr>
    </w:p>
    <w:sectPr w:rsidR="00F81087" w:rsidRPr="009353F0" w:rsidSect="009B2781">
      <w:headerReference w:type="default" r:id="rId21"/>
      <w:footerReference w:type="default" r:id="rId22"/>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5AAD7" w14:textId="77777777" w:rsidR="00770F67" w:rsidRDefault="00770F67" w:rsidP="00DD4C39">
      <w:r>
        <w:separator/>
      </w:r>
    </w:p>
  </w:endnote>
  <w:endnote w:type="continuationSeparator" w:id="0">
    <w:p w14:paraId="64DB70C6" w14:textId="77777777" w:rsidR="00770F67" w:rsidRDefault="00770F67"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770F67"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A01FF" w14:textId="77777777" w:rsidR="00770F67" w:rsidRDefault="00770F67" w:rsidP="00DD4C39">
      <w:r>
        <w:separator/>
      </w:r>
    </w:p>
  </w:footnote>
  <w:footnote w:type="continuationSeparator" w:id="0">
    <w:p w14:paraId="622AC8A9" w14:textId="77777777" w:rsidR="00770F67" w:rsidRDefault="00770F67"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3FBCDB31" w:rsidR="004F39B9" w:rsidRPr="00793F38" w:rsidRDefault="000E4D11"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COC</w:t>
    </w:r>
    <w:r w:rsidR="004F39B9" w:rsidRPr="00793F38">
      <w:rPr>
        <w:rFonts w:ascii="Cambria" w:eastAsia="Calibri" w:hAnsi="Cambria"/>
        <w:b/>
        <w:bCs/>
        <w:sz w:val="20"/>
        <w:szCs w:val="20"/>
        <w:lang w:val="en-US"/>
      </w:rPr>
      <w:t>_</w:t>
    </w:r>
    <w:r>
      <w:rPr>
        <w:rFonts w:ascii="Cambria" w:eastAsia="Calibri" w:hAnsi="Cambria"/>
        <w:b/>
        <w:bCs/>
        <w:sz w:val="20"/>
        <w:szCs w:val="20"/>
        <w:lang w:val="en-US"/>
      </w:rPr>
      <w:t>318</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07D92723"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4363FD">
      <w:rPr>
        <w:rFonts w:ascii="Cambria" w:hAnsi="Cambria"/>
        <w:b/>
        <w:bCs/>
        <w:noProof/>
        <w:sz w:val="16"/>
        <w:szCs w:val="16"/>
        <w:lang w:val="es-ES_tradnl"/>
      </w:rPr>
      <w:t>14/10/2026 14:41</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EE93A1F"/>
    <w:multiLevelType w:val="multilevel"/>
    <w:tmpl w:val="52003E70"/>
    <w:lvl w:ilvl="0">
      <w:start w:val="1"/>
      <w:numFmt w:val="decimal"/>
      <w:lvlText w:val="%1."/>
      <w:lvlJc w:val="left"/>
      <w:pPr>
        <w:ind w:left="472" w:hanging="471"/>
      </w:pPr>
      <w:rPr>
        <w:rFonts w:ascii="Cambria" w:eastAsia="Cambria" w:hAnsi="Cambria" w:cs="Cambria" w:hint="default"/>
        <w:b/>
        <w:bCs/>
        <w:i w:val="0"/>
        <w:iCs w:val="0"/>
        <w:spacing w:val="-1"/>
        <w:sz w:val="20"/>
        <w:szCs w:val="20"/>
        <w:lang w:val="en-US" w:eastAsia="en-US" w:bidi="ar-SA"/>
      </w:rPr>
    </w:lvl>
    <w:lvl w:ilvl="1">
      <w:start w:val="1"/>
      <w:numFmt w:val="lowerLetter"/>
      <w:lvlText w:val="%2)"/>
      <w:lvlJc w:val="left"/>
      <w:pPr>
        <w:ind w:left="853" w:hanging="435"/>
      </w:pPr>
      <w:rPr>
        <w:rFonts w:ascii="Cambria" w:eastAsia="Cambria" w:hAnsi="Cambria" w:cs="Cambria" w:hint="default"/>
        <w:b w:val="0"/>
        <w:bCs w:val="0"/>
        <w:i w:val="0"/>
        <w:iCs w:val="0"/>
        <w:spacing w:val="0"/>
        <w:sz w:val="20"/>
        <w:szCs w:val="20"/>
        <w:lang w:val="en-US" w:eastAsia="en-US" w:bidi="ar-SA"/>
      </w:rPr>
    </w:lvl>
    <w:lvl w:ilvl="2">
      <w:start w:val="1"/>
      <w:numFmt w:val="decimal"/>
      <w:lvlText w:val="%3."/>
      <w:lvlJc w:val="left"/>
      <w:pPr>
        <w:ind w:left="568" w:hanging="284"/>
      </w:pPr>
      <w:rPr>
        <w:rFonts w:ascii="Cambria" w:eastAsia="Cambria" w:hAnsi="Cambria" w:cs="Cambria" w:hint="default"/>
        <w:b w:val="0"/>
        <w:bCs w:val="0"/>
        <w:i w:val="0"/>
        <w:iCs w:val="0"/>
        <w:spacing w:val="0"/>
        <w:sz w:val="20"/>
        <w:szCs w:val="20"/>
        <w:lang w:val="en-US" w:eastAsia="en-US" w:bidi="ar-SA"/>
      </w:rPr>
    </w:lvl>
    <w:lvl w:ilvl="3">
      <w:start w:val="1"/>
      <w:numFmt w:val="decimal"/>
      <w:lvlText w:val="%4."/>
      <w:lvlJc w:val="left"/>
      <w:pPr>
        <w:ind w:left="568" w:hanging="284"/>
      </w:pPr>
      <w:rPr>
        <w:rFonts w:ascii="Cambria" w:eastAsia="Cambria" w:hAnsi="Cambria" w:cs="Cambria" w:hint="default"/>
        <w:b w:val="0"/>
        <w:bCs w:val="0"/>
        <w:i w:val="0"/>
        <w:iCs w:val="0"/>
        <w:spacing w:val="0"/>
        <w:sz w:val="20"/>
        <w:szCs w:val="20"/>
        <w:lang w:val="en-US" w:eastAsia="en-US" w:bidi="ar-SA"/>
      </w:rPr>
    </w:lvl>
    <w:lvl w:ilvl="4">
      <w:numFmt w:val="bullet"/>
      <w:lvlText w:val="•"/>
      <w:lvlJc w:val="left"/>
      <w:pPr>
        <w:ind w:left="2053" w:hanging="284"/>
      </w:pPr>
      <w:rPr>
        <w:lang w:val="en-US" w:eastAsia="en-US" w:bidi="ar-SA"/>
      </w:rPr>
    </w:lvl>
    <w:lvl w:ilvl="5">
      <w:numFmt w:val="bullet"/>
      <w:lvlText w:val="•"/>
      <w:lvlJc w:val="left"/>
      <w:pPr>
        <w:ind w:left="3246" w:hanging="284"/>
      </w:pPr>
      <w:rPr>
        <w:lang w:val="en-US" w:eastAsia="en-US" w:bidi="ar-SA"/>
      </w:rPr>
    </w:lvl>
    <w:lvl w:ilvl="6">
      <w:numFmt w:val="bullet"/>
      <w:lvlText w:val="•"/>
      <w:lvlJc w:val="left"/>
      <w:pPr>
        <w:ind w:left="4440" w:hanging="284"/>
      </w:pPr>
      <w:rPr>
        <w:lang w:val="en-US" w:eastAsia="en-US" w:bidi="ar-SA"/>
      </w:rPr>
    </w:lvl>
    <w:lvl w:ilvl="7">
      <w:numFmt w:val="bullet"/>
      <w:lvlText w:val="•"/>
      <w:lvlJc w:val="left"/>
      <w:pPr>
        <w:ind w:left="5633" w:hanging="284"/>
      </w:pPr>
      <w:rPr>
        <w:lang w:val="en-US" w:eastAsia="en-US" w:bidi="ar-SA"/>
      </w:rPr>
    </w:lvl>
    <w:lvl w:ilvl="8">
      <w:numFmt w:val="bullet"/>
      <w:lvlText w:val="•"/>
      <w:lvlJc w:val="left"/>
      <w:pPr>
        <w:ind w:left="6827" w:hanging="284"/>
      </w:pPr>
      <w:rPr>
        <w:lang w:val="en-US" w:eastAsia="en-US" w:bidi="ar-SA"/>
      </w:rPr>
    </w:lvl>
  </w:abstractNum>
  <w:abstractNum w:abstractNumId="5"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8"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71C29"/>
    <w:multiLevelType w:val="multilevel"/>
    <w:tmpl w:val="72580D06"/>
    <w:lvl w:ilvl="0">
      <w:start w:val="2"/>
      <w:numFmt w:val="lowerLetter"/>
      <w:lvlText w:val="%1)"/>
      <w:lvlJc w:val="left"/>
      <w:pPr>
        <w:ind w:left="144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5" w15:restartNumberingAfterBreak="0">
    <w:nsid w:val="31B23705"/>
    <w:multiLevelType w:val="multilevel"/>
    <w:tmpl w:val="2E2A79EC"/>
    <w:lvl w:ilvl="0">
      <w:start w:val="1"/>
      <w:numFmt w:val="lowerLetter"/>
      <w:lvlText w:val="%1)"/>
      <w:lvlJc w:val="left"/>
      <w:pPr>
        <w:ind w:left="712" w:hanging="428"/>
      </w:pPr>
      <w:rPr>
        <w:rFonts w:ascii="Cambria" w:eastAsia="Cambria" w:hAnsi="Cambria" w:cs="Cambria" w:hint="default"/>
        <w:b w:val="0"/>
        <w:bCs w:val="0"/>
        <w:i/>
        <w:iCs/>
        <w:spacing w:val="0"/>
        <w:sz w:val="20"/>
        <w:szCs w:val="20"/>
        <w:lang w:val="en-US" w:eastAsia="en-US" w:bidi="ar-SA"/>
      </w:rPr>
    </w:lvl>
    <w:lvl w:ilvl="1">
      <w:start w:val="1"/>
      <w:numFmt w:val="lowerRoman"/>
      <w:lvlText w:val="%2."/>
      <w:lvlJc w:val="left"/>
      <w:pPr>
        <w:ind w:left="1137" w:hanging="425"/>
      </w:pPr>
      <w:rPr>
        <w:rFonts w:ascii="Cambria" w:eastAsia="Cambria" w:hAnsi="Cambria" w:cs="Cambria" w:hint="default"/>
        <w:b w:val="0"/>
        <w:bCs w:val="0"/>
        <w:i w:val="0"/>
        <w:iCs w:val="0"/>
        <w:spacing w:val="-1"/>
        <w:sz w:val="20"/>
        <w:szCs w:val="20"/>
        <w:lang w:val="en-US" w:eastAsia="en-US" w:bidi="ar-SA"/>
      </w:rPr>
    </w:lvl>
    <w:lvl w:ilvl="2">
      <w:numFmt w:val="bullet"/>
      <w:lvlText w:val="•"/>
      <w:lvlJc w:val="left"/>
      <w:pPr>
        <w:ind w:left="2084" w:hanging="425"/>
      </w:pPr>
      <w:rPr>
        <w:rFonts w:hint="default"/>
        <w:lang w:val="en-US" w:eastAsia="en-US" w:bidi="ar-SA"/>
      </w:rPr>
    </w:lvl>
    <w:lvl w:ilvl="3">
      <w:numFmt w:val="bullet"/>
      <w:lvlText w:val="•"/>
      <w:lvlJc w:val="left"/>
      <w:pPr>
        <w:ind w:left="3028" w:hanging="425"/>
      </w:pPr>
      <w:rPr>
        <w:rFonts w:hint="default"/>
        <w:lang w:val="en-US" w:eastAsia="en-US" w:bidi="ar-SA"/>
      </w:rPr>
    </w:lvl>
    <w:lvl w:ilvl="4">
      <w:numFmt w:val="bullet"/>
      <w:lvlText w:val="•"/>
      <w:lvlJc w:val="left"/>
      <w:pPr>
        <w:ind w:left="3973" w:hanging="425"/>
      </w:pPr>
      <w:rPr>
        <w:rFonts w:hint="default"/>
        <w:lang w:val="en-US" w:eastAsia="en-US" w:bidi="ar-SA"/>
      </w:rPr>
    </w:lvl>
    <w:lvl w:ilvl="5">
      <w:numFmt w:val="bullet"/>
      <w:lvlText w:val="•"/>
      <w:lvlJc w:val="left"/>
      <w:pPr>
        <w:ind w:left="4917" w:hanging="425"/>
      </w:pPr>
      <w:rPr>
        <w:rFonts w:hint="default"/>
        <w:lang w:val="en-US" w:eastAsia="en-US" w:bidi="ar-SA"/>
      </w:rPr>
    </w:lvl>
    <w:lvl w:ilvl="6">
      <w:numFmt w:val="bullet"/>
      <w:lvlText w:val="•"/>
      <w:lvlJc w:val="left"/>
      <w:pPr>
        <w:ind w:left="5862" w:hanging="425"/>
      </w:pPr>
      <w:rPr>
        <w:rFonts w:hint="default"/>
        <w:lang w:val="en-US" w:eastAsia="en-US" w:bidi="ar-SA"/>
      </w:rPr>
    </w:lvl>
    <w:lvl w:ilvl="7">
      <w:numFmt w:val="bullet"/>
      <w:lvlText w:val="•"/>
      <w:lvlJc w:val="left"/>
      <w:pPr>
        <w:ind w:left="6806" w:hanging="425"/>
      </w:pPr>
      <w:rPr>
        <w:rFonts w:hint="default"/>
        <w:lang w:val="en-US" w:eastAsia="en-US" w:bidi="ar-SA"/>
      </w:rPr>
    </w:lvl>
    <w:lvl w:ilvl="8">
      <w:numFmt w:val="bullet"/>
      <w:lvlText w:val="•"/>
      <w:lvlJc w:val="left"/>
      <w:pPr>
        <w:ind w:left="7751" w:hanging="425"/>
      </w:pPr>
      <w:rPr>
        <w:rFonts w:hint="default"/>
        <w:lang w:val="en-US" w:eastAsia="en-US" w:bidi="ar-SA"/>
      </w:rPr>
    </w:lvl>
  </w:abstractNum>
  <w:abstractNum w:abstractNumId="16" w15:restartNumberingAfterBreak="0">
    <w:nsid w:val="35D603F1"/>
    <w:multiLevelType w:val="hybridMultilevel"/>
    <w:tmpl w:val="850450FC"/>
    <w:lvl w:ilvl="0" w:tplc="2844199A">
      <w:start w:val="7"/>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5"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7"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31"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3"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6"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7D4B5A"/>
    <w:multiLevelType w:val="multilevel"/>
    <w:tmpl w:val="01B6EB24"/>
    <w:lvl w:ilvl="0">
      <w:start w:val="1"/>
      <w:numFmt w:val="lowerLetter"/>
      <w:lvlText w:val="%1)"/>
      <w:lvlJc w:val="left"/>
      <w:pPr>
        <w:ind w:left="429" w:hanging="428"/>
      </w:pPr>
      <w:rPr>
        <w:rFonts w:ascii="Cambria" w:eastAsia="Cambria" w:hAnsi="Cambria" w:cs="Cambria" w:hint="default"/>
        <w:b w:val="0"/>
        <w:bCs w:val="0"/>
        <w:i w:val="0"/>
        <w:iCs w:val="0"/>
        <w:spacing w:val="0"/>
        <w:sz w:val="20"/>
        <w:szCs w:val="20"/>
        <w:lang w:val="en-US" w:eastAsia="en-US" w:bidi="ar-SA"/>
      </w:rPr>
    </w:lvl>
    <w:lvl w:ilvl="1">
      <w:numFmt w:val="bullet"/>
      <w:lvlText w:val="•"/>
      <w:lvlJc w:val="left"/>
      <w:pPr>
        <w:ind w:left="1299" w:hanging="428"/>
      </w:pPr>
      <w:rPr>
        <w:lang w:val="en-US" w:eastAsia="en-US" w:bidi="ar-SA"/>
      </w:rPr>
    </w:lvl>
    <w:lvl w:ilvl="2">
      <w:numFmt w:val="bullet"/>
      <w:lvlText w:val="•"/>
      <w:lvlJc w:val="left"/>
      <w:pPr>
        <w:ind w:left="2178" w:hanging="428"/>
      </w:pPr>
      <w:rPr>
        <w:lang w:val="en-US" w:eastAsia="en-US" w:bidi="ar-SA"/>
      </w:rPr>
    </w:lvl>
    <w:lvl w:ilvl="3">
      <w:numFmt w:val="bullet"/>
      <w:lvlText w:val="•"/>
      <w:lvlJc w:val="left"/>
      <w:pPr>
        <w:ind w:left="3058" w:hanging="428"/>
      </w:pPr>
      <w:rPr>
        <w:lang w:val="en-US" w:eastAsia="en-US" w:bidi="ar-SA"/>
      </w:rPr>
    </w:lvl>
    <w:lvl w:ilvl="4">
      <w:numFmt w:val="bullet"/>
      <w:lvlText w:val="•"/>
      <w:lvlJc w:val="left"/>
      <w:pPr>
        <w:ind w:left="3937" w:hanging="428"/>
      </w:pPr>
      <w:rPr>
        <w:lang w:val="en-US" w:eastAsia="en-US" w:bidi="ar-SA"/>
      </w:rPr>
    </w:lvl>
    <w:lvl w:ilvl="5">
      <w:numFmt w:val="bullet"/>
      <w:lvlText w:val="•"/>
      <w:lvlJc w:val="left"/>
      <w:pPr>
        <w:ind w:left="4817" w:hanging="428"/>
      </w:pPr>
      <w:rPr>
        <w:lang w:val="en-US" w:eastAsia="en-US" w:bidi="ar-SA"/>
      </w:rPr>
    </w:lvl>
    <w:lvl w:ilvl="6">
      <w:numFmt w:val="bullet"/>
      <w:lvlText w:val="•"/>
      <w:lvlJc w:val="left"/>
      <w:pPr>
        <w:ind w:left="5696" w:hanging="428"/>
      </w:pPr>
      <w:rPr>
        <w:lang w:val="en-US" w:eastAsia="en-US" w:bidi="ar-SA"/>
      </w:rPr>
    </w:lvl>
    <w:lvl w:ilvl="7">
      <w:numFmt w:val="bullet"/>
      <w:lvlText w:val="•"/>
      <w:lvlJc w:val="left"/>
      <w:pPr>
        <w:ind w:left="6576" w:hanging="428"/>
      </w:pPr>
      <w:rPr>
        <w:lang w:val="en-US" w:eastAsia="en-US" w:bidi="ar-SA"/>
      </w:rPr>
    </w:lvl>
    <w:lvl w:ilvl="8">
      <w:numFmt w:val="bullet"/>
      <w:lvlText w:val="•"/>
      <w:lvlJc w:val="left"/>
      <w:pPr>
        <w:ind w:left="7455" w:hanging="428"/>
      </w:pPr>
      <w:rPr>
        <w:lang w:val="en-US" w:eastAsia="en-US" w:bidi="ar-SA"/>
      </w:rPr>
    </w:lvl>
  </w:abstractNum>
  <w:abstractNum w:abstractNumId="40"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5"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10"/>
  </w:num>
  <w:num w:numId="2" w16cid:durableId="1449546622">
    <w:abstractNumId w:val="6"/>
  </w:num>
  <w:num w:numId="3" w16cid:durableId="1669477334">
    <w:abstractNumId w:val="32"/>
  </w:num>
  <w:num w:numId="4" w16cid:durableId="2062551615">
    <w:abstractNumId w:val="35"/>
  </w:num>
  <w:num w:numId="5" w16cid:durableId="1334332422">
    <w:abstractNumId w:val="7"/>
  </w:num>
  <w:num w:numId="6" w16cid:durableId="1425516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8"/>
  </w:num>
  <w:num w:numId="8" w16cid:durableId="1031148757">
    <w:abstractNumId w:val="9"/>
  </w:num>
  <w:num w:numId="9" w16cid:durableId="1366442034">
    <w:abstractNumId w:val="12"/>
  </w:num>
  <w:num w:numId="10" w16cid:durableId="593592016">
    <w:abstractNumId w:val="25"/>
  </w:num>
  <w:num w:numId="11" w16cid:durableId="1440175051">
    <w:abstractNumId w:val="41"/>
  </w:num>
  <w:num w:numId="12" w16cid:durableId="982851329">
    <w:abstractNumId w:val="23"/>
  </w:num>
  <w:num w:numId="13" w16cid:durableId="77144801">
    <w:abstractNumId w:val="26"/>
  </w:num>
  <w:num w:numId="14" w16cid:durableId="1647279085">
    <w:abstractNumId w:val="5"/>
  </w:num>
  <w:num w:numId="15" w16cid:durableId="271133236">
    <w:abstractNumId w:val="17"/>
  </w:num>
  <w:num w:numId="16" w16cid:durableId="1738623123">
    <w:abstractNumId w:val="33"/>
  </w:num>
  <w:num w:numId="17" w16cid:durableId="913320329">
    <w:abstractNumId w:val="31"/>
  </w:num>
  <w:num w:numId="18" w16cid:durableId="418794546">
    <w:abstractNumId w:val="38"/>
  </w:num>
  <w:num w:numId="19" w16cid:durableId="1472021529">
    <w:abstractNumId w:val="27"/>
  </w:num>
  <w:num w:numId="20" w16cid:durableId="2017075213">
    <w:abstractNumId w:val="42"/>
  </w:num>
  <w:num w:numId="21" w16cid:durableId="591548215">
    <w:abstractNumId w:val="29"/>
  </w:num>
  <w:num w:numId="22" w16cid:durableId="1404647861">
    <w:abstractNumId w:val="11"/>
  </w:num>
  <w:num w:numId="23" w16cid:durableId="174223927">
    <w:abstractNumId w:val="14"/>
  </w:num>
  <w:num w:numId="24" w16cid:durableId="1101417208">
    <w:abstractNumId w:val="40"/>
  </w:num>
  <w:num w:numId="25" w16cid:durableId="801313979">
    <w:abstractNumId w:val="30"/>
  </w:num>
  <w:num w:numId="26" w16cid:durableId="1469083396">
    <w:abstractNumId w:val="19"/>
  </w:num>
  <w:num w:numId="27" w16cid:durableId="994603209">
    <w:abstractNumId w:val="34"/>
  </w:num>
  <w:num w:numId="28" w16cid:durableId="1157379616">
    <w:abstractNumId w:val="36"/>
  </w:num>
  <w:num w:numId="29" w16cid:durableId="438067770">
    <w:abstractNumId w:val="21"/>
  </w:num>
  <w:num w:numId="30" w16cid:durableId="2108188645">
    <w:abstractNumId w:val="45"/>
  </w:num>
  <w:num w:numId="31" w16cid:durableId="637416884">
    <w:abstractNumId w:val="1"/>
  </w:num>
  <w:num w:numId="32" w16cid:durableId="1707027479">
    <w:abstractNumId w:val="8"/>
  </w:num>
  <w:num w:numId="33" w16cid:durableId="220675060">
    <w:abstractNumId w:val="20"/>
  </w:num>
  <w:num w:numId="34" w16cid:durableId="683478542">
    <w:abstractNumId w:val="28"/>
  </w:num>
  <w:num w:numId="35" w16cid:durableId="374165365">
    <w:abstractNumId w:val="0"/>
  </w:num>
  <w:num w:numId="36" w16cid:durableId="133135331">
    <w:abstractNumId w:val="2"/>
  </w:num>
  <w:num w:numId="37" w16cid:durableId="1939672181">
    <w:abstractNumId w:val="3"/>
  </w:num>
  <w:num w:numId="38" w16cid:durableId="905067993">
    <w:abstractNumId w:val="43"/>
  </w:num>
  <w:num w:numId="39" w16cid:durableId="715666598">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4"/>
  </w:num>
  <w:num w:numId="41" w16cid:durableId="191919274">
    <w:abstractNumId w:val="44"/>
  </w:num>
  <w:num w:numId="42" w16cid:durableId="1523088920">
    <w:abstractNumId w:val="22"/>
  </w:num>
  <w:num w:numId="43" w16cid:durableId="704985200">
    <w:abstractNumId w:val="37"/>
  </w:num>
  <w:num w:numId="44" w16cid:durableId="1439372492">
    <w:abstractNumId w:val="4"/>
    <w:lvlOverride w:ilvl="0">
      <w:startOverride w:val="1"/>
    </w:lvlOverride>
    <w:lvlOverride w:ilvl="1">
      <w:startOverride w:val="1"/>
    </w:lvlOverride>
    <w:lvlOverride w:ilvl="2">
      <w:startOverride w:val="1"/>
    </w:lvlOverride>
    <w:lvlOverride w:ilvl="3">
      <w:startOverride w:val="1"/>
    </w:lvlOverride>
  </w:num>
  <w:num w:numId="45" w16cid:durableId="1030645247">
    <w:abstractNumId w:val="39"/>
    <w:lvlOverride w:ilvl="0">
      <w:startOverride w:val="1"/>
    </w:lvlOverride>
  </w:num>
  <w:num w:numId="46" w16cid:durableId="282620428">
    <w:abstractNumId w:val="15"/>
  </w:num>
  <w:num w:numId="47" w16cid:durableId="161556344">
    <w:abstractNumId w:val="4"/>
    <w:lvlOverride w:ilvl="0">
      <w:startOverride w:val="1"/>
    </w:lvlOverride>
    <w:lvlOverride w:ilvl="1">
      <w:startOverride w:val="1"/>
    </w:lvlOverride>
    <w:lvlOverride w:ilvl="2">
      <w:startOverride w:val="1"/>
    </w:lvlOverride>
    <w:lvlOverride w:ilvl="3">
      <w:startOverride w:val="1"/>
    </w:lvlOverride>
  </w:num>
  <w:num w:numId="48" w16cid:durableId="1778791540">
    <w:abstractNumId w:val="13"/>
  </w:num>
  <w:num w:numId="49" w16cid:durableId="17173887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4D11"/>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26D"/>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29FC"/>
    <w:rsid w:val="00433870"/>
    <w:rsid w:val="00435A8B"/>
    <w:rsid w:val="004363FD"/>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6FB9"/>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4AB0"/>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1827"/>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0F67"/>
    <w:rsid w:val="00774632"/>
    <w:rsid w:val="00775899"/>
    <w:rsid w:val="00780453"/>
    <w:rsid w:val="0079089F"/>
    <w:rsid w:val="0079380E"/>
    <w:rsid w:val="007A4722"/>
    <w:rsid w:val="007B10F9"/>
    <w:rsid w:val="007B2DE7"/>
    <w:rsid w:val="007B4D4C"/>
    <w:rsid w:val="007C21CB"/>
    <w:rsid w:val="007C4A02"/>
    <w:rsid w:val="007C4E4F"/>
    <w:rsid w:val="007C560A"/>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5E4"/>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B6CA9"/>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4752D"/>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18-06-f.pdf" TargetMode="External"/><Relationship Id="rId13" Type="http://schemas.openxmlformats.org/officeDocument/2006/relationships/hyperlink" Target="https://www.iccat.int/Documents/Recs/compendiopdf-f/2010-07-f.pdf" TargetMode="External"/><Relationship Id="rId18" Type="http://schemas.openxmlformats.org/officeDocument/2006/relationships/hyperlink" Target="https://www.iccat.int/Documents/Recs/compendiopdf-f/2011-08-f.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iccat.int/Documents/Recs/compendiopdf-f/2025-08-f.pdf" TargetMode="External"/><Relationship Id="rId17" Type="http://schemas.openxmlformats.org/officeDocument/2006/relationships/hyperlink" Target="https://www.iccat.int/Documents/Recs/compendiopdf-f/2011-08-f.pdf" TargetMode="External"/><Relationship Id="rId2" Type="http://schemas.openxmlformats.org/officeDocument/2006/relationships/numbering" Target="numbering.xml"/><Relationship Id="rId16" Type="http://schemas.openxmlformats.org/officeDocument/2006/relationships/hyperlink" Target="https://www.iccat.int/Documents/Recs/compendiopdf-e/2010-08-e.pdf" TargetMode="External"/><Relationship Id="rId20" Type="http://schemas.openxmlformats.org/officeDocument/2006/relationships/hyperlink" Target="https://www.iccat.int/Documents/Recs/compendiopdf-f/2009-07-f.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f/2025-08-f.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ccat.int/Documents/Recs/compendiopdf-e/2010-08-e.pdf" TargetMode="External"/><Relationship Id="rId23" Type="http://schemas.openxmlformats.org/officeDocument/2006/relationships/fontTable" Target="fontTable.xml"/><Relationship Id="rId10" Type="http://schemas.openxmlformats.org/officeDocument/2006/relationships/hyperlink" Target="https://www.iccat.int/Documents/Recs/compendiopdf-f/2023-11-f.pdf" TargetMode="External"/><Relationship Id="rId19" Type="http://schemas.openxmlformats.org/officeDocument/2006/relationships/hyperlink" Target="https://www.iccat.int/Documents/Recs/compendiopdf-f/2009-07-f.pdf" TargetMode="External"/><Relationship Id="rId4" Type="http://schemas.openxmlformats.org/officeDocument/2006/relationships/settings" Target="settings.xml"/><Relationship Id="rId9" Type="http://schemas.openxmlformats.org/officeDocument/2006/relationships/hyperlink" Target="https://www.iccat.int/Documents/Recs/compendiopdf-f/2023-11-f.pdf" TargetMode="External"/><Relationship Id="rId14" Type="http://schemas.openxmlformats.org/officeDocument/2006/relationships/hyperlink" Target="https://www.iccat.int/Documents/Recs/compendiopdf-f/2010-07-f.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2026-10-14T12:41:00Z</dcterms:created>
  <dcterms:modified xsi:type="dcterms:W3CDTF">2026-10-14T12:46:00Z</dcterms:modified>
</cp:coreProperties>
</file>