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Default="00857C38" w:rsidP="00857C38">
      <w:pPr>
        <w:jc w:val="right"/>
        <w:rPr>
          <w:rFonts w:ascii="Cambria" w:hAnsi="Cambria"/>
          <w:sz w:val="20"/>
          <w:szCs w:val="20"/>
          <w:lang w:val="en-US"/>
        </w:rPr>
      </w:pPr>
      <w:r w:rsidRPr="00857C38">
        <w:rPr>
          <w:rFonts w:ascii="Cambria" w:hAnsi="Cambria"/>
          <w:b/>
          <w:bCs/>
          <w:sz w:val="20"/>
          <w:szCs w:val="20"/>
          <w:lang w:val="en-US"/>
        </w:rPr>
        <w:t>Original</w:t>
      </w:r>
      <w:r w:rsidRPr="00857C38">
        <w:rPr>
          <w:rFonts w:ascii="Cambria" w:hAnsi="Cambria"/>
          <w:sz w:val="20"/>
          <w:szCs w:val="20"/>
          <w:lang w:val="en-US"/>
        </w:rPr>
        <w:t>: English</w:t>
      </w:r>
    </w:p>
    <w:p w14:paraId="546FFD34" w14:textId="77777777" w:rsidR="00857C38" w:rsidRDefault="00857C38" w:rsidP="00857C38">
      <w:pPr>
        <w:jc w:val="right"/>
        <w:rPr>
          <w:rFonts w:ascii="Cambria" w:hAnsi="Cambria"/>
          <w:sz w:val="20"/>
          <w:szCs w:val="20"/>
          <w:lang w:val="en-US"/>
        </w:rPr>
      </w:pPr>
    </w:p>
    <w:p w14:paraId="3E977207" w14:textId="22C6ADB2" w:rsidR="00857C38" w:rsidRDefault="00857C38" w:rsidP="00857C38">
      <w:pPr>
        <w:jc w:val="center"/>
        <w:rPr>
          <w:rFonts w:ascii="Cambria" w:hAnsi="Cambria"/>
          <w:b/>
          <w:bCs/>
          <w:sz w:val="20"/>
          <w:szCs w:val="20"/>
          <w:lang w:val="en-US"/>
        </w:rPr>
      </w:pPr>
      <w:r w:rsidRPr="00857C38">
        <w:rPr>
          <w:rFonts w:ascii="Cambria" w:hAnsi="Cambria"/>
          <w:b/>
          <w:bCs/>
          <w:sz w:val="20"/>
          <w:szCs w:val="20"/>
          <w:lang w:val="en-US"/>
        </w:rPr>
        <w:t xml:space="preserve">Responses and recommendations from the SCRS relevant to </w:t>
      </w:r>
      <w:r w:rsidR="003C6A63">
        <w:rPr>
          <w:rFonts w:ascii="Cambria" w:hAnsi="Cambria"/>
          <w:b/>
          <w:bCs/>
          <w:sz w:val="20"/>
          <w:szCs w:val="20"/>
          <w:lang w:val="en-US"/>
        </w:rPr>
        <w:t>the Compliance Committee (COC)</w:t>
      </w:r>
    </w:p>
    <w:p w14:paraId="64281444" w14:textId="77777777" w:rsidR="003C6A63" w:rsidRDefault="003C6A63" w:rsidP="00857C38">
      <w:pPr>
        <w:jc w:val="center"/>
        <w:rPr>
          <w:rFonts w:ascii="Cambria" w:hAnsi="Cambria"/>
          <w:b/>
          <w:bCs/>
          <w:sz w:val="20"/>
          <w:szCs w:val="20"/>
          <w:lang w:val="en-US"/>
        </w:rPr>
      </w:pPr>
    </w:p>
    <w:p w14:paraId="13365194" w14:textId="2DFB5E05" w:rsidR="003C6A63" w:rsidRDefault="003C6A63" w:rsidP="003C6A63">
      <w:pPr>
        <w:jc w:val="both"/>
        <w:rPr>
          <w:rFonts w:ascii="Cambria" w:hAnsi="Cambria"/>
          <w:sz w:val="20"/>
          <w:szCs w:val="20"/>
          <w:lang w:val="en-US"/>
        </w:rPr>
      </w:pPr>
      <w:r>
        <w:rPr>
          <w:rFonts w:ascii="Cambria" w:hAnsi="Cambria"/>
          <w:sz w:val="20"/>
          <w:szCs w:val="20"/>
          <w:lang w:val="en-US"/>
        </w:rPr>
        <w:t xml:space="preserve">The 2026 responses to the Commission and recommendations from the SCRS that are relevant to </w:t>
      </w:r>
      <w:r>
        <w:rPr>
          <w:rFonts w:ascii="Cambria" w:hAnsi="Cambria"/>
          <w:sz w:val="20"/>
          <w:szCs w:val="20"/>
          <w:lang w:val="en-US"/>
        </w:rPr>
        <w:t>COC</w:t>
      </w:r>
      <w:r>
        <w:rPr>
          <w:rFonts w:ascii="Cambria" w:hAnsi="Cambria"/>
          <w:sz w:val="20"/>
          <w:szCs w:val="20"/>
          <w:lang w:val="en-US"/>
        </w:rPr>
        <w:t xml:space="preserve"> were compiled by the Secretariat directly from the 2026 SCRS Plenary meeting report (document PLE-104). The Recommendations with financial implications are not contained herein, as those are included in Appendix 2 of the ICCAT budget proposal (document STF-203).</w:t>
      </w:r>
    </w:p>
    <w:p w14:paraId="25E45450" w14:textId="77777777" w:rsidR="003C6A63" w:rsidRDefault="003C6A63" w:rsidP="003C6A63">
      <w:pPr>
        <w:jc w:val="both"/>
        <w:rPr>
          <w:rFonts w:ascii="Cambria" w:hAnsi="Cambria"/>
          <w:sz w:val="20"/>
          <w:szCs w:val="20"/>
          <w:lang w:val="en-US"/>
        </w:rPr>
      </w:pPr>
    </w:p>
    <w:p w14:paraId="438347B8" w14:textId="77777777" w:rsidR="003C6A63" w:rsidRDefault="003C6A63" w:rsidP="003C6A63">
      <w:pPr>
        <w:jc w:val="both"/>
        <w:rPr>
          <w:rFonts w:ascii="Cambria" w:hAnsi="Cambria"/>
          <w:sz w:val="20"/>
          <w:szCs w:val="20"/>
          <w:lang w:val="en-US"/>
        </w:rPr>
      </w:pPr>
    </w:p>
    <w:p w14:paraId="1E6342B3" w14:textId="77777777" w:rsidR="003C6A63" w:rsidRDefault="003C6A63" w:rsidP="003C6A63">
      <w:pPr>
        <w:jc w:val="both"/>
        <w:rPr>
          <w:rFonts w:ascii="Cambria" w:hAnsi="Cambria"/>
          <w:b/>
          <w:bCs/>
          <w:sz w:val="20"/>
          <w:szCs w:val="20"/>
          <w:lang w:val="en-US"/>
        </w:rPr>
      </w:pPr>
      <w:r w:rsidRPr="00E41357">
        <w:rPr>
          <w:rFonts w:ascii="Cambria" w:hAnsi="Cambria"/>
          <w:b/>
          <w:bCs/>
          <w:sz w:val="20"/>
          <w:szCs w:val="20"/>
          <w:lang w:val="en-US"/>
        </w:rPr>
        <w:t>Responses to the Commission</w:t>
      </w:r>
    </w:p>
    <w:p w14:paraId="6102933C" w14:textId="77777777" w:rsidR="003C6A63" w:rsidRDefault="003C6A63" w:rsidP="003C6A63">
      <w:pPr>
        <w:jc w:val="both"/>
        <w:rPr>
          <w:rFonts w:ascii="Cambria" w:hAnsi="Cambria"/>
          <w:sz w:val="20"/>
          <w:szCs w:val="20"/>
          <w:lang w:val="en-US"/>
        </w:rPr>
      </w:pPr>
    </w:p>
    <w:p w14:paraId="3AD74634" w14:textId="77777777" w:rsidR="003C6A63" w:rsidRPr="003C6A63" w:rsidRDefault="003C6A63" w:rsidP="003C6A63">
      <w:pPr>
        <w:tabs>
          <w:tab w:val="left" w:pos="3175"/>
        </w:tabs>
        <w:ind w:right="-1"/>
        <w:contextualSpacing/>
        <w:jc w:val="both"/>
        <w:rPr>
          <w:rFonts w:ascii="Cambria" w:hAnsi="Cambria"/>
          <w:bCs/>
          <w:i/>
          <w:sz w:val="20"/>
          <w:lang w:val="en-US"/>
        </w:rPr>
      </w:pPr>
      <w:r w:rsidRPr="003C6A63">
        <w:rPr>
          <w:rFonts w:ascii="Cambria" w:hAnsi="Cambria"/>
          <w:bCs/>
          <w:i/>
          <w:sz w:val="20"/>
          <w:lang w:val="en-US"/>
        </w:rPr>
        <w:t>Subcommittee on Statistics</w:t>
      </w:r>
    </w:p>
    <w:p w14:paraId="6FAD17D2" w14:textId="77777777" w:rsidR="003C6A63" w:rsidRPr="003D6520" w:rsidRDefault="003C6A63" w:rsidP="003C6A63">
      <w:pPr>
        <w:tabs>
          <w:tab w:val="left" w:pos="3175"/>
        </w:tabs>
        <w:ind w:right="-1"/>
        <w:contextualSpacing/>
        <w:jc w:val="both"/>
        <w:rPr>
          <w:rFonts w:ascii="Cambria" w:hAnsi="Cambria"/>
          <w:sz w:val="20"/>
          <w:lang w:val="en-US"/>
        </w:rPr>
      </w:pPr>
    </w:p>
    <w:p w14:paraId="5E77D8CF" w14:textId="77777777" w:rsidR="003C6A63" w:rsidRPr="003D6520" w:rsidRDefault="003C6A63" w:rsidP="003C6A63">
      <w:pPr>
        <w:suppressAutoHyphens/>
        <w:jc w:val="both"/>
        <w:rPr>
          <w:rFonts w:ascii="Cambria" w:hAnsi="Cambria"/>
          <w:i/>
          <w:iCs/>
          <w:sz w:val="20"/>
          <w:szCs w:val="20"/>
          <w:lang w:val="en-US"/>
        </w:rPr>
      </w:pPr>
      <w:r w:rsidRPr="003D6520">
        <w:rPr>
          <w:rFonts w:ascii="Cambria" w:hAnsi="Cambria"/>
          <w:b/>
          <w:bCs/>
          <w:i/>
          <w:iCs/>
          <w:sz w:val="20"/>
          <w:szCs w:val="20"/>
          <w:lang w:val="en-US"/>
        </w:rPr>
        <w:t xml:space="preserve">19.2 Norway requests a partial exemption from submission of the ICCAT Shark Implementation Check Sheet, </w:t>
      </w:r>
      <w:hyperlink r:id="rId8" w:history="1">
        <w:r w:rsidRPr="003D6520">
          <w:rPr>
            <w:rStyle w:val="Hyperlink"/>
            <w:rFonts w:ascii="Cambria" w:hAnsi="Cambria"/>
            <w:b/>
            <w:bCs/>
            <w:i/>
            <w:iCs/>
            <w:sz w:val="20"/>
            <w:szCs w:val="20"/>
            <w:u w:val="none"/>
            <w:lang w:val="en-US"/>
          </w:rPr>
          <w:t>Rec. 18-06</w:t>
        </w:r>
      </w:hyperlink>
      <w:r w:rsidRPr="003D6520">
        <w:rPr>
          <w:rFonts w:ascii="Cambria" w:hAnsi="Cambria"/>
          <w:b/>
          <w:bCs/>
          <w:i/>
          <w:iCs/>
          <w:sz w:val="20"/>
          <w:szCs w:val="20"/>
          <w:lang w:val="en-US"/>
        </w:rPr>
        <w:t xml:space="preserve">, para 3 </w:t>
      </w:r>
    </w:p>
    <w:p w14:paraId="36C5716A" w14:textId="77777777" w:rsidR="003C6A63" w:rsidRPr="003D6520" w:rsidRDefault="003C6A63" w:rsidP="003C6A63">
      <w:pPr>
        <w:suppressAutoHyphens/>
        <w:jc w:val="both"/>
        <w:rPr>
          <w:rFonts w:ascii="Cambria" w:hAnsi="Cambria"/>
          <w:b/>
          <w:bCs/>
          <w:i/>
          <w:iCs/>
          <w:sz w:val="20"/>
          <w:szCs w:val="20"/>
          <w:lang w:val="en-US"/>
        </w:rPr>
      </w:pPr>
    </w:p>
    <w:p w14:paraId="4F9CBEC8" w14:textId="77777777" w:rsidR="003C6A63" w:rsidRPr="003D6520" w:rsidRDefault="003C6A63" w:rsidP="003C6A63">
      <w:pPr>
        <w:suppressAutoHyphens/>
        <w:jc w:val="both"/>
        <w:rPr>
          <w:rFonts w:ascii="Cambria" w:hAnsi="Cambria"/>
          <w:i/>
          <w:iCs/>
          <w:sz w:val="20"/>
          <w:szCs w:val="20"/>
          <w:lang w:val="en-US"/>
        </w:rPr>
      </w:pPr>
      <w:r w:rsidRPr="003D6520">
        <w:rPr>
          <w:rFonts w:ascii="Cambria" w:hAnsi="Cambria"/>
          <w:b/>
          <w:bCs/>
          <w:i/>
          <w:iCs/>
          <w:sz w:val="20"/>
          <w:szCs w:val="20"/>
          <w:lang w:val="en-US"/>
        </w:rPr>
        <w:t xml:space="preserve">Background: </w:t>
      </w:r>
      <w:r w:rsidRPr="003D6520">
        <w:rPr>
          <w:rFonts w:ascii="Cambria" w:hAnsi="Cambria"/>
          <w:i/>
          <w:iCs/>
          <w:sz w:val="20"/>
          <w:szCs w:val="20"/>
          <w:lang w:val="en-US"/>
        </w:rPr>
        <w:t xml:space="preserve">Norway requests a partial exemption from submission of the ICCAT Shark Implementation Check Sheet under Rec. 18-06, paragraph 3, following the procedure adopted in COC_328/2025. Norway has one fishery targeting tuna and tuna-like species in the Convention area: the fishery for Atlantic bluefin tuna, prosecuted within the Norwegian Exclusive Economic Zone between 59.8°N and 64.3°N with purse seine, longline and pole and line. Three species on the ICCAT list of oceanic, pelagic and highly migratory elasmobranchs were recorded in Norwegian fisheries, all taken in gears the bluefin tuna fishery does not employ. Norway therefore requests exemption limited to six recommendations concerning species whose distributions do not extend to the area of the </w:t>
      </w:r>
      <w:proofErr w:type="gramStart"/>
      <w:r w:rsidRPr="003D6520">
        <w:rPr>
          <w:rFonts w:ascii="Cambria" w:hAnsi="Cambria"/>
          <w:i/>
          <w:iCs/>
          <w:sz w:val="20"/>
          <w:szCs w:val="20"/>
          <w:lang w:val="en-US"/>
        </w:rPr>
        <w:t>fishery, and</w:t>
      </w:r>
      <w:proofErr w:type="gramEnd"/>
      <w:r w:rsidRPr="003D6520">
        <w:rPr>
          <w:rFonts w:ascii="Cambria" w:hAnsi="Cambria"/>
          <w:i/>
          <w:iCs/>
          <w:sz w:val="20"/>
          <w:szCs w:val="20"/>
          <w:lang w:val="en-US"/>
        </w:rPr>
        <w:t xml:space="preserve"> will continue to complete the Check Sheet in full for all others.</w:t>
      </w:r>
    </w:p>
    <w:p w14:paraId="4B4FDF3D" w14:textId="77777777" w:rsidR="003C6A63" w:rsidRPr="003D6520" w:rsidRDefault="003C6A63" w:rsidP="003C6A63">
      <w:pPr>
        <w:suppressAutoHyphens/>
        <w:jc w:val="both"/>
        <w:rPr>
          <w:rFonts w:ascii="Cambria" w:hAnsi="Cambria"/>
          <w:i/>
          <w:iCs/>
          <w:sz w:val="20"/>
          <w:szCs w:val="20"/>
          <w:lang w:val="en-US"/>
        </w:rPr>
      </w:pPr>
    </w:p>
    <w:p w14:paraId="5234062B" w14:textId="77777777" w:rsidR="003C6A63" w:rsidRPr="003D6520" w:rsidRDefault="003C6A63" w:rsidP="003C6A63">
      <w:pPr>
        <w:jc w:val="both"/>
        <w:rPr>
          <w:rFonts w:ascii="Cambria" w:hAnsi="Cambria"/>
          <w:b/>
          <w:bCs/>
          <w:sz w:val="20"/>
          <w:szCs w:val="20"/>
          <w:lang w:val="en-US"/>
        </w:rPr>
      </w:pPr>
      <w:r w:rsidRPr="003D6520">
        <w:rPr>
          <w:rFonts w:ascii="Cambria" w:hAnsi="Cambria"/>
          <w:sz w:val="20"/>
          <w:szCs w:val="20"/>
          <w:lang w:val="en-US"/>
        </w:rPr>
        <w:t xml:space="preserve">Following the procedure adopted in “SCRS Response on Exemption of presentation of Shark Check Sheet” [COC_328/2025], Norway presented the document Mjørlund 2026 (SCRS/2026/257) to the SCRS with detailed information on areas of operation of their ICCAT fisheries, as well as information on recorded interactions with ICCAT-listed sharks by Norwegian vessels in the period 2015-2026. Base on the information presented, the Committee understand that Norway´s request of partial exemption for </w:t>
      </w:r>
      <w:hyperlink r:id="rId9" w:tooltip="https://www.iccat.int/Documents/Recs/compendiopdf-e/2023-11-e.pdf" w:history="1">
        <w:r w:rsidRPr="003D6520">
          <w:rPr>
            <w:rFonts w:ascii="Cambria" w:hAnsi="Cambria"/>
            <w:color w:val="0563C1"/>
            <w:sz w:val="20"/>
            <w:szCs w:val="20"/>
            <w:lang w:val="en-US"/>
          </w:rPr>
          <w:t>Rec. 23-11</w:t>
        </w:r>
      </w:hyperlink>
      <w:r w:rsidRPr="003D6520">
        <w:rPr>
          <w:rFonts w:ascii="Cambria" w:hAnsi="Cambria"/>
          <w:sz w:val="20"/>
          <w:szCs w:val="20"/>
          <w:lang w:val="en-US"/>
        </w:rPr>
        <w:t xml:space="preserve">, </w:t>
      </w:r>
      <w:hyperlink r:id="rId10" w:tooltip="https://www.iccat.int/Documents/Recs/compendiopdf-e/2025-08-e.pdf" w:history="1">
        <w:r w:rsidRPr="003D6520">
          <w:rPr>
            <w:rFonts w:ascii="Cambria" w:hAnsi="Cambria"/>
            <w:color w:val="0563C1"/>
            <w:sz w:val="20"/>
            <w:szCs w:val="20"/>
            <w:lang w:val="en-US"/>
          </w:rPr>
          <w:t>Rec. 25-08</w:t>
        </w:r>
      </w:hyperlink>
      <w:r w:rsidRPr="003D6520">
        <w:rPr>
          <w:rFonts w:ascii="Cambria" w:hAnsi="Cambria"/>
          <w:sz w:val="20"/>
          <w:szCs w:val="20"/>
          <w:lang w:val="en-US"/>
        </w:rPr>
        <w:t xml:space="preserve">, </w:t>
      </w:r>
      <w:hyperlink r:id="rId11" w:tooltip="https://www.iccat.int/Documents/Recs/compendiopdf-e/2010-07-e.pdf" w:history="1">
        <w:r w:rsidRPr="003D6520">
          <w:rPr>
            <w:rFonts w:ascii="Cambria" w:hAnsi="Cambria"/>
            <w:color w:val="0563C1"/>
            <w:sz w:val="20"/>
            <w:szCs w:val="20"/>
            <w:lang w:val="en-US"/>
          </w:rPr>
          <w:t>Rec. 10-07</w:t>
        </w:r>
      </w:hyperlink>
      <w:r w:rsidRPr="003D6520">
        <w:rPr>
          <w:rFonts w:ascii="Cambria" w:hAnsi="Cambria"/>
          <w:sz w:val="20"/>
          <w:szCs w:val="20"/>
          <w:lang w:val="en-US"/>
        </w:rPr>
        <w:t xml:space="preserve">, </w:t>
      </w:r>
      <w:hyperlink r:id="rId12" w:tooltip="https://www.iccat.int/Documents/Recs/compendiopdf-e/2010-08-e.pdf" w:history="1">
        <w:r w:rsidRPr="003D6520">
          <w:rPr>
            <w:rFonts w:ascii="Cambria" w:hAnsi="Cambria"/>
            <w:color w:val="0563C1"/>
            <w:sz w:val="20"/>
            <w:szCs w:val="20"/>
            <w:lang w:val="en-US"/>
          </w:rPr>
          <w:t>Rec. 10-08</w:t>
        </w:r>
      </w:hyperlink>
      <w:r w:rsidRPr="003D6520">
        <w:rPr>
          <w:rFonts w:ascii="Cambria" w:hAnsi="Cambria"/>
          <w:sz w:val="20"/>
          <w:szCs w:val="20"/>
          <w:lang w:val="en-US"/>
        </w:rPr>
        <w:t xml:space="preserve">, </w:t>
      </w:r>
      <w:hyperlink r:id="rId13" w:tooltip="https://www.iccat.int/Documents/Recs/compendiopdf-e/2011-08-e.pdf" w:history="1">
        <w:r w:rsidRPr="003D6520">
          <w:rPr>
            <w:rFonts w:ascii="Cambria" w:hAnsi="Cambria"/>
            <w:color w:val="0563C1"/>
            <w:sz w:val="20"/>
            <w:szCs w:val="20"/>
            <w:lang w:val="en-US"/>
          </w:rPr>
          <w:t>Rec. 11-08</w:t>
        </w:r>
      </w:hyperlink>
      <w:r w:rsidRPr="003D6520">
        <w:rPr>
          <w:rFonts w:ascii="Cambria" w:hAnsi="Cambria"/>
          <w:sz w:val="20"/>
          <w:szCs w:val="20"/>
          <w:lang w:val="en-US"/>
        </w:rPr>
        <w:t xml:space="preserve"> and </w:t>
      </w:r>
      <w:hyperlink r:id="rId14" w:tooltip="https://www.iccat.int/Documents/Recs/compendiopdf-e/2011-07-e.pdf" w:history="1">
        <w:r w:rsidRPr="003D6520">
          <w:rPr>
            <w:rFonts w:ascii="Cambria" w:hAnsi="Cambria"/>
            <w:color w:val="0563C1"/>
            <w:sz w:val="20"/>
            <w:szCs w:val="20"/>
            <w:lang w:val="en-US"/>
          </w:rPr>
          <w:t>Rec. 09-07</w:t>
        </w:r>
      </w:hyperlink>
      <w:r w:rsidRPr="003D6520">
        <w:rPr>
          <w:rFonts w:ascii="Cambria" w:hAnsi="Cambria"/>
          <w:sz w:val="20"/>
          <w:szCs w:val="20"/>
          <w:lang w:val="en-US"/>
        </w:rPr>
        <w:t>, is well founded, and therefore accepted.</w:t>
      </w:r>
    </w:p>
    <w:p w14:paraId="30DD85C0" w14:textId="77777777" w:rsidR="003C6A63" w:rsidRPr="003D6520" w:rsidRDefault="003C6A63" w:rsidP="003C6A63">
      <w:pPr>
        <w:jc w:val="both"/>
        <w:rPr>
          <w:rFonts w:ascii="Cambria" w:hAnsi="Cambria"/>
          <w:sz w:val="20"/>
          <w:szCs w:val="20"/>
          <w:lang w:val="en-US"/>
        </w:rPr>
      </w:pPr>
      <w:r w:rsidRPr="003D6520">
        <w:rPr>
          <w:rFonts w:ascii="Cambria" w:hAnsi="Cambria"/>
          <w:sz w:val="20"/>
          <w:szCs w:val="20"/>
          <w:lang w:val="en-US"/>
        </w:rPr>
        <w:t xml:space="preserve"> </w:t>
      </w:r>
    </w:p>
    <w:p w14:paraId="3D60E054" w14:textId="77777777" w:rsidR="003C6A63" w:rsidRPr="003D6520" w:rsidRDefault="003C6A63" w:rsidP="003C6A63">
      <w:pPr>
        <w:jc w:val="both"/>
        <w:rPr>
          <w:rFonts w:ascii="Cambria" w:hAnsi="Cambria"/>
          <w:sz w:val="20"/>
          <w:szCs w:val="20"/>
          <w:lang w:val="en-US"/>
        </w:rPr>
      </w:pPr>
      <w:r w:rsidRPr="003D6520">
        <w:rPr>
          <w:rFonts w:ascii="Cambria" w:hAnsi="Cambria"/>
          <w:sz w:val="20"/>
          <w:szCs w:val="20"/>
          <w:lang w:val="en-US"/>
        </w:rPr>
        <w:t>According to the adopted procedure, the partial exemption will be valid for the period 2027–2031. However, Norway will have to confirm every year in their Annual Report that no changes in their fisheries have been produced.</w:t>
      </w:r>
    </w:p>
    <w:p w14:paraId="488ADE97" w14:textId="77777777" w:rsidR="003C6A63" w:rsidRPr="003D6520" w:rsidRDefault="003C6A63" w:rsidP="003C6A63">
      <w:pPr>
        <w:jc w:val="both"/>
        <w:rPr>
          <w:rFonts w:ascii="Cambria" w:hAnsi="Cambria"/>
          <w:sz w:val="20"/>
          <w:szCs w:val="20"/>
          <w:lang w:val="en-US"/>
        </w:rPr>
      </w:pPr>
    </w:p>
    <w:p w14:paraId="128A2C29" w14:textId="77777777" w:rsidR="003C6A63" w:rsidRPr="003D6520" w:rsidRDefault="003C6A63" w:rsidP="003C6A63">
      <w:pPr>
        <w:tabs>
          <w:tab w:val="center" w:pos="4513"/>
          <w:tab w:val="left" w:pos="6804"/>
        </w:tabs>
        <w:rPr>
          <w:rFonts w:ascii="Cambria" w:hAnsi="Cambria"/>
          <w:sz w:val="20"/>
          <w:szCs w:val="20"/>
          <w:lang w:val="en-US"/>
        </w:rPr>
      </w:pPr>
      <w:r w:rsidRPr="003D6520">
        <w:rPr>
          <w:rFonts w:ascii="Cambria" w:hAnsi="Cambria"/>
          <w:sz w:val="20"/>
          <w:szCs w:val="20"/>
          <w:lang w:val="en-US"/>
        </w:rPr>
        <w:t>To renew the exemption, Norway will have to present a new request in 2031 for another five-year period.</w:t>
      </w:r>
    </w:p>
    <w:p w14:paraId="096AE04B" w14:textId="388ACA4B" w:rsidR="003C6A63" w:rsidRDefault="003C6A63" w:rsidP="00EB719E">
      <w:pPr>
        <w:rPr>
          <w:rFonts w:ascii="Cambria" w:hAnsi="Cambria"/>
          <w:b/>
          <w:bCs/>
          <w:sz w:val="20"/>
          <w:szCs w:val="20"/>
          <w:lang w:val="en-US"/>
        </w:rPr>
      </w:pPr>
    </w:p>
    <w:p w14:paraId="72DA717E" w14:textId="77777777" w:rsidR="00EB719E" w:rsidRDefault="00EB719E" w:rsidP="00EB719E">
      <w:pPr>
        <w:rPr>
          <w:rFonts w:ascii="Cambria" w:hAnsi="Cambria"/>
          <w:b/>
          <w:bCs/>
          <w:sz w:val="20"/>
          <w:szCs w:val="20"/>
          <w:lang w:val="en-US"/>
        </w:rPr>
      </w:pPr>
    </w:p>
    <w:p w14:paraId="5458532E" w14:textId="50C29337" w:rsidR="00EB719E" w:rsidRPr="00EB719E" w:rsidRDefault="00EB719E" w:rsidP="00EB719E">
      <w:pPr>
        <w:rPr>
          <w:rFonts w:ascii="Cambria" w:hAnsi="Cambria"/>
          <w:b/>
          <w:bCs/>
          <w:sz w:val="20"/>
          <w:szCs w:val="20"/>
          <w:lang w:val="en-US"/>
        </w:rPr>
      </w:pPr>
      <w:r w:rsidRPr="00EB719E">
        <w:rPr>
          <w:rFonts w:ascii="Cambria" w:hAnsi="Cambria"/>
          <w:b/>
          <w:bCs/>
          <w:sz w:val="20"/>
          <w:szCs w:val="20"/>
          <w:lang w:val="en-US"/>
        </w:rPr>
        <w:t>Recommendations</w:t>
      </w:r>
    </w:p>
    <w:p w14:paraId="72EBE0D6" w14:textId="77777777" w:rsidR="00EB719E" w:rsidRDefault="00EB719E" w:rsidP="00EB719E">
      <w:pPr>
        <w:rPr>
          <w:rFonts w:ascii="Cambria" w:hAnsi="Cambria"/>
          <w:b/>
          <w:bCs/>
          <w:sz w:val="20"/>
          <w:szCs w:val="20"/>
          <w:lang w:val="en-US"/>
        </w:rPr>
      </w:pPr>
    </w:p>
    <w:p w14:paraId="68AE11AC" w14:textId="77777777" w:rsidR="00EB719E" w:rsidRPr="003D6520" w:rsidRDefault="00EB719E" w:rsidP="00EB719E">
      <w:pPr>
        <w:pStyle w:val="ListParagraph"/>
        <w:numPr>
          <w:ilvl w:val="0"/>
          <w:numId w:val="44"/>
        </w:numPr>
        <w:ind w:left="426" w:hanging="426"/>
        <w:contextualSpacing/>
        <w:jc w:val="both"/>
        <w:rPr>
          <w:rFonts w:ascii="Cambria" w:hAnsi="Cambria"/>
          <w:sz w:val="20"/>
          <w:szCs w:val="20"/>
          <w:lang w:val="en-US"/>
        </w:rPr>
      </w:pPr>
      <w:r w:rsidRPr="003D6520">
        <w:rPr>
          <w:rFonts w:ascii="Cambria" w:hAnsi="Cambria"/>
          <w:sz w:val="20"/>
          <w:szCs w:val="20"/>
          <w:lang w:val="en-US"/>
        </w:rPr>
        <w:t>Noting the interest of the Commission to streamline the reporting requirements and avoid unnecessary duplications in data reporting, the Committee recommends that the Commission notes that the information included in the CPCs’ Annual Reports Part I is already provided to the subsidiary bodies of the Committee in a more detailed, accurate and useful manner through other sources. Therefore, the Committee is of the view that Part I of the CPCs’ Annual Reports do not provide any added value to its scientific work. </w:t>
      </w:r>
    </w:p>
    <w:p w14:paraId="2BAEB6F8" w14:textId="77777777" w:rsidR="00EB719E" w:rsidRPr="00857C38" w:rsidRDefault="00EB719E" w:rsidP="00EB719E">
      <w:pPr>
        <w:rPr>
          <w:rFonts w:ascii="Cambria" w:hAnsi="Cambria"/>
          <w:b/>
          <w:bCs/>
          <w:sz w:val="20"/>
          <w:szCs w:val="20"/>
          <w:lang w:val="en-US"/>
        </w:rPr>
      </w:pPr>
    </w:p>
    <w:sectPr w:rsidR="00EB719E" w:rsidRPr="00857C38" w:rsidSect="009B2781">
      <w:headerReference w:type="default" r:id="rId15"/>
      <w:footerReference w:type="default" r:id="rId16"/>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2B21D" w14:textId="77777777" w:rsidR="00744C0F" w:rsidRDefault="00744C0F" w:rsidP="00DD4C39">
      <w:r>
        <w:separator/>
      </w:r>
    </w:p>
  </w:endnote>
  <w:endnote w:type="continuationSeparator" w:id="0">
    <w:p w14:paraId="362CD0C5" w14:textId="77777777" w:rsidR="00744C0F" w:rsidRDefault="00744C0F"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744C0F"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F0E79" w14:textId="77777777" w:rsidR="00744C0F" w:rsidRDefault="00744C0F" w:rsidP="00DD4C39">
      <w:r>
        <w:separator/>
      </w:r>
    </w:p>
  </w:footnote>
  <w:footnote w:type="continuationSeparator" w:id="0">
    <w:p w14:paraId="428DE6C4" w14:textId="77777777" w:rsidR="00744C0F" w:rsidRDefault="00744C0F"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184C63F1" w:rsidR="004F39B9" w:rsidRPr="00793F38" w:rsidRDefault="003C6A63"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COC</w:t>
    </w:r>
    <w:r w:rsidR="004F39B9" w:rsidRPr="00793F38">
      <w:rPr>
        <w:rFonts w:ascii="Cambria" w:eastAsia="Calibri" w:hAnsi="Cambria"/>
        <w:b/>
        <w:bCs/>
        <w:sz w:val="20"/>
        <w:szCs w:val="20"/>
        <w:lang w:val="en-US"/>
      </w:rPr>
      <w:t>_</w:t>
    </w:r>
    <w:r>
      <w:rPr>
        <w:rFonts w:ascii="Cambria" w:eastAsia="Calibri" w:hAnsi="Cambria"/>
        <w:b/>
        <w:bCs/>
        <w:sz w:val="20"/>
        <w:szCs w:val="20"/>
        <w:lang w:val="en-US"/>
      </w:rPr>
      <w:t>318</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ABCCB2F"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3C6A63">
      <w:rPr>
        <w:rFonts w:ascii="Cambria" w:hAnsi="Cambria"/>
        <w:b/>
        <w:bCs/>
        <w:noProof/>
        <w:sz w:val="16"/>
        <w:szCs w:val="16"/>
        <w:lang w:val="es-ES_tradnl"/>
      </w:rPr>
      <w:t>08/10/2026 16:25</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6"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3"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2"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4"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28"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0"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3"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9"/>
  </w:num>
  <w:num w:numId="2" w16cid:durableId="1449546622">
    <w:abstractNumId w:val="5"/>
  </w:num>
  <w:num w:numId="3" w16cid:durableId="1669477334">
    <w:abstractNumId w:val="29"/>
  </w:num>
  <w:num w:numId="4" w16cid:durableId="2062551615">
    <w:abstractNumId w:val="32"/>
  </w:num>
  <w:num w:numId="5" w16cid:durableId="1334332422">
    <w:abstractNumId w:val="6"/>
  </w:num>
  <w:num w:numId="6" w16cid:durableId="1425516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5"/>
  </w:num>
  <w:num w:numId="8" w16cid:durableId="1031148757">
    <w:abstractNumId w:val="8"/>
  </w:num>
  <w:num w:numId="9" w16cid:durableId="1366442034">
    <w:abstractNumId w:val="11"/>
  </w:num>
  <w:num w:numId="10" w16cid:durableId="593592016">
    <w:abstractNumId w:val="22"/>
  </w:num>
  <w:num w:numId="11" w16cid:durableId="1440175051">
    <w:abstractNumId w:val="37"/>
  </w:num>
  <w:num w:numId="12" w16cid:durableId="982851329">
    <w:abstractNumId w:val="20"/>
  </w:num>
  <w:num w:numId="13" w16cid:durableId="77144801">
    <w:abstractNumId w:val="23"/>
  </w:num>
  <w:num w:numId="14" w16cid:durableId="1647279085">
    <w:abstractNumId w:val="4"/>
  </w:num>
  <w:num w:numId="15" w16cid:durableId="271133236">
    <w:abstractNumId w:val="14"/>
  </w:num>
  <w:num w:numId="16" w16cid:durableId="1738623123">
    <w:abstractNumId w:val="30"/>
  </w:num>
  <w:num w:numId="17" w16cid:durableId="913320329">
    <w:abstractNumId w:val="28"/>
  </w:num>
  <w:num w:numId="18" w16cid:durableId="418794546">
    <w:abstractNumId w:val="35"/>
  </w:num>
  <w:num w:numId="19" w16cid:durableId="1472021529">
    <w:abstractNumId w:val="24"/>
  </w:num>
  <w:num w:numId="20" w16cid:durableId="2017075213">
    <w:abstractNumId w:val="38"/>
  </w:num>
  <w:num w:numId="21" w16cid:durableId="591548215">
    <w:abstractNumId w:val="26"/>
  </w:num>
  <w:num w:numId="22" w16cid:durableId="1404647861">
    <w:abstractNumId w:val="10"/>
  </w:num>
  <w:num w:numId="23" w16cid:durableId="174223927">
    <w:abstractNumId w:val="12"/>
  </w:num>
  <w:num w:numId="24" w16cid:durableId="1101417208">
    <w:abstractNumId w:val="36"/>
  </w:num>
  <w:num w:numId="25" w16cid:durableId="801313979">
    <w:abstractNumId w:val="27"/>
  </w:num>
  <w:num w:numId="26" w16cid:durableId="1469083396">
    <w:abstractNumId w:val="16"/>
  </w:num>
  <w:num w:numId="27" w16cid:durableId="994603209">
    <w:abstractNumId w:val="31"/>
  </w:num>
  <w:num w:numId="28" w16cid:durableId="1157379616">
    <w:abstractNumId w:val="33"/>
  </w:num>
  <w:num w:numId="29" w16cid:durableId="438067770">
    <w:abstractNumId w:val="18"/>
  </w:num>
  <w:num w:numId="30" w16cid:durableId="2108188645">
    <w:abstractNumId w:val="41"/>
  </w:num>
  <w:num w:numId="31" w16cid:durableId="637416884">
    <w:abstractNumId w:val="1"/>
  </w:num>
  <w:num w:numId="32" w16cid:durableId="1707027479">
    <w:abstractNumId w:val="7"/>
  </w:num>
  <w:num w:numId="33" w16cid:durableId="220675060">
    <w:abstractNumId w:val="17"/>
  </w:num>
  <w:num w:numId="34" w16cid:durableId="683478542">
    <w:abstractNumId w:val="25"/>
  </w:num>
  <w:num w:numId="35" w16cid:durableId="374165365">
    <w:abstractNumId w:val="0"/>
  </w:num>
  <w:num w:numId="36" w16cid:durableId="133135331">
    <w:abstractNumId w:val="2"/>
  </w:num>
  <w:num w:numId="37" w16cid:durableId="1939672181">
    <w:abstractNumId w:val="3"/>
  </w:num>
  <w:num w:numId="38" w16cid:durableId="905067993">
    <w:abstractNumId w:val="39"/>
  </w:num>
  <w:num w:numId="39" w16cid:durableId="715666598">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1"/>
  </w:num>
  <w:num w:numId="41" w16cid:durableId="191919274">
    <w:abstractNumId w:val="40"/>
  </w:num>
  <w:num w:numId="42" w16cid:durableId="1523088920">
    <w:abstractNumId w:val="19"/>
  </w:num>
  <w:num w:numId="43" w16cid:durableId="704985200">
    <w:abstractNumId w:val="34"/>
  </w:num>
  <w:num w:numId="44" w16cid:durableId="17173887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C6A63"/>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4C0F"/>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4A02"/>
    <w:rsid w:val="007C4E4F"/>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3EA"/>
    <w:rsid w:val="00946422"/>
    <w:rsid w:val="009466F7"/>
    <w:rsid w:val="00947D0F"/>
    <w:rsid w:val="00952C5B"/>
    <w:rsid w:val="0095464C"/>
    <w:rsid w:val="00955E79"/>
    <w:rsid w:val="00957027"/>
    <w:rsid w:val="0095716F"/>
    <w:rsid w:val="00961741"/>
    <w:rsid w:val="0096664A"/>
    <w:rsid w:val="00972DB9"/>
    <w:rsid w:val="00975089"/>
    <w:rsid w:val="0097663E"/>
    <w:rsid w:val="00983C8D"/>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1E4B"/>
    <w:rsid w:val="00DB2942"/>
    <w:rsid w:val="00DB3557"/>
    <w:rsid w:val="00DB416A"/>
    <w:rsid w:val="00DB71C2"/>
    <w:rsid w:val="00DD1B58"/>
    <w:rsid w:val="00DD4C39"/>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B719E"/>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semiHidden/>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18-06-e.pdf" TargetMode="External"/><Relationship Id="rId13" Type="http://schemas.openxmlformats.org/officeDocument/2006/relationships/hyperlink" Target="https://www.iccat.int/Documents/Recs/compendiopdf-e/2011-08-e.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cat.int/Documents/Recs/compendiopdf-e/2010-08-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10-07-e.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ccat.int/Documents/Recs/compendiopdf-e/2025-08-e.pdf" TargetMode="External"/><Relationship Id="rId4" Type="http://schemas.openxmlformats.org/officeDocument/2006/relationships/settings" Target="settings.xml"/><Relationship Id="rId9" Type="http://schemas.openxmlformats.org/officeDocument/2006/relationships/hyperlink" Target="https://www.iccat.int/Documents/Recs/compendiopdf-e/2023-11-e.pdf" TargetMode="External"/><Relationship Id="rId14" Type="http://schemas.openxmlformats.org/officeDocument/2006/relationships/hyperlink" Target="https://www.iccat.int/Documents/Recs/compendiopdf-e/2009-07-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2026-10-08T14:32:00Z</dcterms:created>
  <dcterms:modified xsi:type="dcterms:W3CDTF">2026-10-08T14:33:00Z</dcterms:modified>
</cp:coreProperties>
</file>