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F3B6" w14:textId="009ACC2B" w:rsidR="003A4772" w:rsidRPr="00A24116" w:rsidRDefault="00C47B80" w:rsidP="00C47B80">
      <w:pPr>
        <w:pStyle w:val="Default"/>
        <w:jc w:val="right"/>
        <w:rPr>
          <w:rFonts w:ascii="Cambria" w:eastAsia="Arial" w:hAnsi="Cambria"/>
          <w:b/>
          <w:bCs/>
          <w:color w:val="auto"/>
          <w:sz w:val="20"/>
          <w:szCs w:val="20"/>
        </w:rPr>
      </w:pPr>
      <w:bookmarkStart w:id="0" w:name="_Hlk123827672"/>
      <w:r>
        <w:rPr>
          <w:rFonts w:ascii="Cambria" w:hAnsi="Cambria"/>
          <w:b/>
          <w:color w:val="auto"/>
          <w:sz w:val="20"/>
        </w:rPr>
        <w:t>Original: inglés</w:t>
      </w:r>
    </w:p>
    <w:p w14:paraId="3C9E054B" w14:textId="77777777" w:rsidR="00C47B80" w:rsidRPr="00A24116" w:rsidRDefault="00C47B80" w:rsidP="00C47B80">
      <w:pPr>
        <w:pStyle w:val="Default"/>
        <w:jc w:val="right"/>
        <w:rPr>
          <w:rFonts w:ascii="Cambria" w:eastAsia="Arial" w:hAnsi="Cambria"/>
          <w:b/>
          <w:bCs/>
          <w:color w:val="auto"/>
          <w:sz w:val="20"/>
          <w:szCs w:val="20"/>
        </w:rPr>
      </w:pPr>
    </w:p>
    <w:p w14:paraId="5D5AC06F" w14:textId="77777777" w:rsidR="00C47B80" w:rsidRPr="000C43BB" w:rsidRDefault="00C47B80" w:rsidP="00C47B80">
      <w:pPr>
        <w:spacing w:after="0" w:line="240" w:lineRule="auto"/>
        <w:jc w:val="center"/>
        <w:rPr>
          <w:rFonts w:ascii="Cambria" w:hAnsi="Cambria"/>
          <w:b/>
          <w:bCs/>
          <w:i/>
          <w:iCs/>
          <w:sz w:val="20"/>
          <w:szCs w:val="20"/>
        </w:rPr>
      </w:pPr>
      <w:r w:rsidRPr="000C43BB">
        <w:rPr>
          <w:rFonts w:ascii="Cambria" w:hAnsi="Cambria"/>
          <w:b/>
          <w:bCs/>
          <w:sz w:val="20"/>
        </w:rPr>
        <w:t>Correspondencia con Partes, Entidades o Entidades pesqueras no contratantes (No CPC)</w:t>
      </w:r>
    </w:p>
    <w:p w14:paraId="62121ED7" w14:textId="46FC480C" w:rsidR="00C47B80" w:rsidRPr="00A24116" w:rsidRDefault="00C47B80" w:rsidP="00996FB4">
      <w:pPr>
        <w:spacing w:after="0" w:line="240" w:lineRule="auto"/>
        <w:jc w:val="center"/>
        <w:rPr>
          <w:rFonts w:ascii="Cambria" w:hAnsi="Cambria"/>
          <w:i/>
          <w:iCs/>
          <w:sz w:val="20"/>
          <w:szCs w:val="20"/>
        </w:rPr>
      </w:pPr>
    </w:p>
    <w:p w14:paraId="092D42E8" w14:textId="1AD9AAA9" w:rsidR="00996FB4" w:rsidRPr="00A24116" w:rsidRDefault="00996FB4" w:rsidP="00996FB4">
      <w:pPr>
        <w:spacing w:after="0" w:line="240" w:lineRule="auto"/>
        <w:jc w:val="center"/>
        <w:rPr>
          <w:rFonts w:ascii="Cambria" w:hAnsi="Cambria"/>
          <w:i/>
          <w:iCs/>
          <w:sz w:val="20"/>
          <w:szCs w:val="20"/>
        </w:rPr>
      </w:pPr>
      <w:r>
        <w:rPr>
          <w:rFonts w:ascii="Cambria" w:hAnsi="Cambria"/>
          <w:i/>
          <w:sz w:val="20"/>
        </w:rPr>
        <w:t>(Secretaría de ICCAT)</w:t>
      </w:r>
    </w:p>
    <w:p w14:paraId="286C7C40" w14:textId="77777777" w:rsidR="00996FB4" w:rsidRPr="00A24116" w:rsidRDefault="00996FB4" w:rsidP="00996FB4">
      <w:pPr>
        <w:tabs>
          <w:tab w:val="left" w:pos="7392"/>
        </w:tabs>
        <w:spacing w:after="0" w:line="240" w:lineRule="auto"/>
        <w:jc w:val="both"/>
        <w:rPr>
          <w:rFonts w:ascii="Cambria" w:hAnsi="Cambria"/>
          <w:sz w:val="20"/>
          <w:szCs w:val="20"/>
        </w:rPr>
      </w:pPr>
      <w:r>
        <w:rPr>
          <w:rFonts w:ascii="Cambria" w:hAnsi="Cambria"/>
          <w:sz w:val="20"/>
        </w:rPr>
        <w:tab/>
      </w:r>
    </w:p>
    <w:p w14:paraId="64E75F0A" w14:textId="2499C90C" w:rsidR="00996FB4" w:rsidRPr="00A24116" w:rsidRDefault="00996FB4" w:rsidP="00996FB4">
      <w:pPr>
        <w:spacing w:after="0" w:line="240" w:lineRule="auto"/>
        <w:jc w:val="both"/>
        <w:rPr>
          <w:rFonts w:ascii="Cambria" w:hAnsi="Cambria"/>
          <w:sz w:val="20"/>
          <w:szCs w:val="20"/>
        </w:rPr>
      </w:pPr>
      <w:r w:rsidRPr="009303A9">
        <w:rPr>
          <w:rFonts w:ascii="Cambria" w:hAnsi="Cambria"/>
          <w:sz w:val="20"/>
        </w:rPr>
        <w:t xml:space="preserve">De conformidad con la </w:t>
      </w:r>
      <w:hyperlink r:id="rId9" w:history="1">
        <w:r>
          <w:rPr>
            <w:rStyle w:val="Hyperlink"/>
            <w:rFonts w:ascii="Cambria" w:hAnsi="Cambria"/>
            <w:i/>
            <w:iCs/>
            <w:sz w:val="20"/>
            <w:u w:val="none"/>
          </w:rPr>
          <w:t>Recomendación de ICCAT para reemplazar la Recomendación 03-20 sobre criterios para acceder al estatus de Parte, Entidad o Entidad pesquera no contratante colaboradora en ICCAT</w:t>
        </w:r>
        <w:r>
          <w:rPr>
            <w:rStyle w:val="Hyperlink"/>
            <w:rFonts w:ascii="Cambria" w:hAnsi="Cambria"/>
            <w:sz w:val="20"/>
            <w:u w:val="none"/>
          </w:rPr>
          <w:t xml:space="preserve"> (Rec. </w:t>
        </w:r>
      </w:hyperlink>
      <w:hyperlink r:id="rId10" w:history="1">
        <w:r>
          <w:rPr>
            <w:rStyle w:val="Hyperlink"/>
            <w:rFonts w:ascii="Cambria" w:hAnsi="Cambria"/>
            <w:sz w:val="20"/>
            <w:u w:val="none"/>
          </w:rPr>
          <w:t xml:space="preserve"> 21-24)</w:t>
        </w:r>
      </w:hyperlink>
      <w:r>
        <w:rPr>
          <w:rFonts w:ascii="Cambria" w:hAnsi="Cambria"/>
          <w:sz w:val="20"/>
        </w:rPr>
        <w:t xml:space="preserve">, el secretario ejecutivo envió cartas a: Colombia, Dominica, República Dominicana, Jamaica, Santa Lucía y San Cristóbal y Nieves. </w:t>
      </w:r>
    </w:p>
    <w:p w14:paraId="1B3600E4" w14:textId="77777777" w:rsidR="00996FB4" w:rsidRPr="00A24116" w:rsidRDefault="00996FB4" w:rsidP="00996FB4">
      <w:pPr>
        <w:spacing w:after="0" w:line="240" w:lineRule="auto"/>
        <w:jc w:val="both"/>
        <w:rPr>
          <w:rFonts w:ascii="Cambria" w:hAnsi="Cambria"/>
          <w:sz w:val="20"/>
          <w:szCs w:val="20"/>
        </w:rPr>
      </w:pPr>
    </w:p>
    <w:p w14:paraId="40BFF0DC" w14:textId="55F533A4" w:rsidR="00AC06D6" w:rsidRPr="00A24116" w:rsidRDefault="003A13FF" w:rsidP="003A13FF">
      <w:pPr>
        <w:spacing w:after="0" w:line="240" w:lineRule="auto"/>
        <w:jc w:val="both"/>
        <w:rPr>
          <w:rFonts w:ascii="Cambria" w:hAnsi="Cambria"/>
          <w:sz w:val="20"/>
          <w:szCs w:val="20"/>
        </w:rPr>
      </w:pPr>
      <w:r>
        <w:rPr>
          <w:rFonts w:ascii="Cambria" w:hAnsi="Cambria"/>
          <w:sz w:val="20"/>
        </w:rPr>
        <w:t>Dominica y Santa Lucía presentaron datos estadísticos tras la emisión de las cartas del secretario ejecutivo. Se recibió acuse de recibo de Colombia, Jamaica y San Cristóbal y Nieves. No se recibió ninguna otra respuesta.</w:t>
      </w:r>
    </w:p>
    <w:p w14:paraId="5E686B68" w14:textId="77777777" w:rsidR="00FA36AE" w:rsidRPr="00A24116" w:rsidRDefault="00FA36AE" w:rsidP="00996FB4">
      <w:pPr>
        <w:spacing w:after="0" w:line="240" w:lineRule="auto"/>
        <w:jc w:val="both"/>
        <w:rPr>
          <w:rFonts w:ascii="Cambria" w:hAnsi="Cambria"/>
          <w:sz w:val="20"/>
          <w:szCs w:val="20"/>
        </w:rPr>
      </w:pPr>
    </w:p>
    <w:p w14:paraId="661A4101" w14:textId="3ACAF684" w:rsidR="00191B4C" w:rsidRPr="00A24116" w:rsidRDefault="003A13FF" w:rsidP="00996FB4">
      <w:pPr>
        <w:spacing w:after="0" w:line="240" w:lineRule="auto"/>
        <w:jc w:val="both"/>
        <w:rPr>
          <w:rFonts w:ascii="Cambria" w:hAnsi="Cambria"/>
          <w:sz w:val="20"/>
          <w:szCs w:val="20"/>
        </w:rPr>
      </w:pPr>
      <w:r>
        <w:rPr>
          <w:rFonts w:ascii="Cambria" w:hAnsi="Cambria"/>
          <w:sz w:val="20"/>
        </w:rPr>
        <w:t>Además, el secretario ejecutivo envió una carta a Gibraltar solicitando información adicional sobre la ordenación y las capturas de atún rojo. Se adjunta la respuesta de Gibraltar.</w:t>
      </w:r>
    </w:p>
    <w:p w14:paraId="5FF14B57" w14:textId="77777777" w:rsidR="00E905E9" w:rsidRPr="00A24116" w:rsidRDefault="00E905E9" w:rsidP="00996FB4">
      <w:pPr>
        <w:spacing w:after="0" w:line="240" w:lineRule="auto"/>
        <w:jc w:val="both"/>
        <w:rPr>
          <w:rFonts w:ascii="Cambria" w:hAnsi="Cambria"/>
          <w:sz w:val="20"/>
          <w:szCs w:val="20"/>
        </w:rPr>
      </w:pPr>
    </w:p>
    <w:p w14:paraId="009B4D95" w14:textId="45BF27AB" w:rsidR="00996FB4" w:rsidRPr="00A24116" w:rsidRDefault="00996FB4" w:rsidP="00996FB4">
      <w:pPr>
        <w:spacing w:after="0" w:line="240" w:lineRule="auto"/>
        <w:jc w:val="both"/>
        <w:rPr>
          <w:rFonts w:ascii="Cambria" w:hAnsi="Cambria"/>
          <w:sz w:val="20"/>
          <w:szCs w:val="20"/>
        </w:rPr>
      </w:pPr>
      <w:r>
        <w:rPr>
          <w:rFonts w:ascii="Cambria" w:hAnsi="Cambria"/>
          <w:sz w:val="20"/>
        </w:rPr>
        <w:t>Para obtener información relativa a los datos de capturas recibidos de Partes, Entidades o Entidades pesqueras no contratantes sin estatus de colaboradoras, véase el «Informe de la Secretaría al Comité de cumplimiento de las medidas de conservación y ordenación de ICCAT» (COC_303/2026).</w:t>
      </w:r>
    </w:p>
    <w:p w14:paraId="3DCB8643" w14:textId="77777777" w:rsidR="00996FB4" w:rsidRPr="00A24116" w:rsidRDefault="00996FB4" w:rsidP="00996FB4">
      <w:pPr>
        <w:spacing w:after="0" w:line="240" w:lineRule="auto"/>
        <w:jc w:val="both"/>
        <w:rPr>
          <w:rFonts w:ascii="Cambria" w:hAnsi="Cambria"/>
          <w:sz w:val="20"/>
          <w:szCs w:val="20"/>
        </w:rPr>
      </w:pPr>
    </w:p>
    <w:p w14:paraId="24F569DA" w14:textId="60FBFAA5" w:rsidR="00996FB4" w:rsidRPr="00A24116" w:rsidRDefault="00996FB4" w:rsidP="00996FB4">
      <w:pPr>
        <w:spacing w:after="0" w:line="240" w:lineRule="auto"/>
        <w:jc w:val="both"/>
        <w:rPr>
          <w:rFonts w:ascii="Cambria" w:hAnsi="Cambria"/>
          <w:sz w:val="20"/>
          <w:szCs w:val="20"/>
        </w:rPr>
      </w:pPr>
      <w:r>
        <w:br w:type="page"/>
      </w:r>
    </w:p>
    <w:p w14:paraId="566DA268" w14:textId="75EAA78F" w:rsidR="00C47B80" w:rsidRPr="00A24116" w:rsidRDefault="00C47B80">
      <w:pPr>
        <w:rPr>
          <w:rFonts w:ascii="Cambria" w:hAnsi="Cambria"/>
          <w:b/>
          <w:bCs/>
          <w:sz w:val="20"/>
          <w:szCs w:val="20"/>
        </w:rPr>
      </w:pPr>
    </w:p>
    <w:p w14:paraId="4DE82DC6" w14:textId="083D8596" w:rsidR="00704874" w:rsidRPr="00A24116" w:rsidRDefault="00704874" w:rsidP="00704874">
      <w:pPr>
        <w:tabs>
          <w:tab w:val="left" w:pos="5640"/>
          <w:tab w:val="right" w:pos="10198"/>
        </w:tabs>
        <w:jc w:val="center"/>
        <w:rPr>
          <w:rFonts w:ascii="Cambria" w:hAnsi="Cambria"/>
          <w:b/>
          <w:bCs/>
          <w:sz w:val="20"/>
          <w:szCs w:val="20"/>
        </w:rPr>
      </w:pPr>
      <w:r>
        <w:rPr>
          <w:rFonts w:ascii="Cambria" w:hAnsi="Cambria"/>
          <w:b/>
          <w:sz w:val="20"/>
        </w:rPr>
        <w:t>Respuesta de Gibraltar a la carta del secretario ejecutivo</w:t>
      </w:r>
    </w:p>
    <w:p w14:paraId="41601B27" w14:textId="77777777" w:rsidR="00704874" w:rsidRPr="00A24116" w:rsidRDefault="00704874" w:rsidP="00704874">
      <w:pPr>
        <w:spacing w:after="0" w:line="240" w:lineRule="auto"/>
        <w:jc w:val="right"/>
        <w:rPr>
          <w:rFonts w:ascii="Cambria" w:eastAsia="Arial" w:hAnsi="Cambria" w:cs="Arial"/>
          <w:noProof/>
          <w:sz w:val="20"/>
          <w:szCs w:val="20"/>
          <w:lang w:eastAsia="en-GB"/>
        </w:rPr>
      </w:pPr>
    </w:p>
    <w:p w14:paraId="0EFFF5D2" w14:textId="56129F46" w:rsidR="00704874" w:rsidRPr="00A24116" w:rsidRDefault="00AC06D6" w:rsidP="00C5400E">
      <w:pPr>
        <w:spacing w:after="0" w:line="240" w:lineRule="auto"/>
        <w:rPr>
          <w:rFonts w:ascii="Cambria" w:eastAsia="Arial" w:hAnsi="Cambria" w:cs="Arial"/>
          <w:noProof/>
          <w:sz w:val="20"/>
          <w:szCs w:val="20"/>
        </w:rPr>
      </w:pPr>
      <w:r>
        <w:rPr>
          <w:rFonts w:ascii="Cambria" w:hAnsi="Cambria"/>
          <w:sz w:val="20"/>
        </w:rPr>
        <w:t>Departamento de Medio Ambiente, Alimentación y Asuntos Rurales</w:t>
      </w:r>
    </w:p>
    <w:p w14:paraId="1B5A96EC" w14:textId="13390EF8" w:rsidR="00704874" w:rsidRPr="00FE325D" w:rsidRDefault="00704874" w:rsidP="00704874">
      <w:pPr>
        <w:spacing w:after="0" w:line="240" w:lineRule="auto"/>
        <w:jc w:val="right"/>
        <w:rPr>
          <w:rFonts w:ascii="Cambria" w:eastAsia="Arial" w:hAnsi="Cambria" w:cs="Arial"/>
          <w:noProof/>
          <w:sz w:val="20"/>
          <w:szCs w:val="20"/>
          <w:lang w:val="en-US"/>
        </w:rPr>
      </w:pPr>
      <w:r w:rsidRPr="00FE325D">
        <w:rPr>
          <w:rFonts w:ascii="Cambria" w:hAnsi="Cambria"/>
          <w:sz w:val="20"/>
          <w:lang w:val="en-US"/>
        </w:rPr>
        <w:t>Seacole Wing</w:t>
      </w:r>
    </w:p>
    <w:p w14:paraId="7D5C9465" w14:textId="77777777" w:rsidR="00704874" w:rsidRPr="00FE325D" w:rsidRDefault="00704874" w:rsidP="00704874">
      <w:pPr>
        <w:spacing w:after="0" w:line="240" w:lineRule="auto"/>
        <w:jc w:val="right"/>
        <w:rPr>
          <w:rFonts w:ascii="Cambria" w:eastAsia="Arial" w:hAnsi="Cambria" w:cs="Arial"/>
          <w:sz w:val="20"/>
          <w:szCs w:val="20"/>
          <w:lang w:val="en-US"/>
        </w:rPr>
      </w:pPr>
      <w:r w:rsidRPr="00FE325D">
        <w:rPr>
          <w:rFonts w:ascii="Cambria" w:hAnsi="Cambria"/>
          <w:sz w:val="20"/>
          <w:lang w:val="en-US"/>
        </w:rPr>
        <w:t>2 Marsham Street, Londres</w:t>
      </w:r>
    </w:p>
    <w:p w14:paraId="63B5EB50" w14:textId="77777777" w:rsidR="00704874" w:rsidRPr="00FE325D" w:rsidRDefault="00704874" w:rsidP="00704874">
      <w:pPr>
        <w:spacing w:after="0" w:line="240" w:lineRule="auto"/>
        <w:jc w:val="right"/>
        <w:rPr>
          <w:rFonts w:ascii="Cambria" w:eastAsia="Arial" w:hAnsi="Cambria" w:cs="Arial"/>
          <w:sz w:val="20"/>
          <w:szCs w:val="20"/>
          <w:lang w:val="en-US"/>
        </w:rPr>
      </w:pPr>
      <w:r w:rsidRPr="00FE325D">
        <w:rPr>
          <w:rFonts w:ascii="Cambria" w:hAnsi="Cambria"/>
          <w:sz w:val="20"/>
          <w:lang w:val="en-US"/>
        </w:rPr>
        <w:t>SW1P 4DF</w:t>
      </w:r>
    </w:p>
    <w:p w14:paraId="55114962" w14:textId="77777777" w:rsidR="00704874" w:rsidRPr="00A24116" w:rsidRDefault="00704874" w:rsidP="00704874">
      <w:pPr>
        <w:spacing w:after="0" w:line="240" w:lineRule="atLeast"/>
        <w:jc w:val="right"/>
        <w:rPr>
          <w:rFonts w:ascii="Cambria" w:hAnsi="Cambria"/>
          <w:sz w:val="20"/>
          <w:szCs w:val="20"/>
        </w:rPr>
      </w:pPr>
      <w:r>
        <w:rPr>
          <w:rFonts w:ascii="Cambria" w:hAnsi="Cambria"/>
          <w:sz w:val="20"/>
        </w:rPr>
        <w:t>www.gov.uk/defra</w:t>
      </w:r>
    </w:p>
    <w:p w14:paraId="71A8342F" w14:textId="77777777" w:rsidR="00704874" w:rsidRPr="00A24116" w:rsidRDefault="00704874" w:rsidP="00704874">
      <w:pPr>
        <w:spacing w:after="0" w:line="240" w:lineRule="atLeast"/>
        <w:rPr>
          <w:rFonts w:ascii="Cambria" w:hAnsi="Cambria"/>
          <w:sz w:val="20"/>
          <w:szCs w:val="20"/>
        </w:rPr>
      </w:pPr>
    </w:p>
    <w:p w14:paraId="5CE6DAE5" w14:textId="0B3D1AF8" w:rsidR="00704874" w:rsidRPr="00A24116" w:rsidRDefault="00C676FD" w:rsidP="00704874">
      <w:pPr>
        <w:spacing w:after="0" w:line="240" w:lineRule="atLeast"/>
        <w:jc w:val="right"/>
        <w:rPr>
          <w:rFonts w:ascii="Cambria" w:hAnsi="Cambria"/>
          <w:sz w:val="20"/>
          <w:szCs w:val="20"/>
        </w:rPr>
      </w:pPr>
      <w:r>
        <w:rPr>
          <w:rFonts w:ascii="Cambria" w:hAnsi="Cambria"/>
          <w:sz w:val="20"/>
        </w:rPr>
        <w:t>21 de septiembre de 2026</w:t>
      </w:r>
    </w:p>
    <w:p w14:paraId="72F2DF88" w14:textId="77777777" w:rsidR="00704874" w:rsidRPr="00A24116" w:rsidRDefault="00704874" w:rsidP="00704874">
      <w:pPr>
        <w:tabs>
          <w:tab w:val="left" w:pos="6946"/>
        </w:tabs>
        <w:spacing w:after="0" w:line="240" w:lineRule="auto"/>
        <w:jc w:val="both"/>
        <w:rPr>
          <w:rFonts w:ascii="Cambria" w:eastAsia="Arial" w:hAnsi="Cambria" w:cs="Arial"/>
          <w:sz w:val="20"/>
          <w:szCs w:val="20"/>
        </w:rPr>
      </w:pPr>
    </w:p>
    <w:p w14:paraId="429D7CCE" w14:textId="77777777" w:rsidR="00191B4C" w:rsidRPr="00A24116" w:rsidRDefault="00191B4C" w:rsidP="00191B4C">
      <w:pPr>
        <w:pStyle w:val="Default"/>
        <w:rPr>
          <w:rFonts w:ascii="Cambria" w:eastAsia="Arial" w:hAnsi="Cambria"/>
          <w:sz w:val="20"/>
          <w:szCs w:val="20"/>
        </w:rPr>
      </w:pPr>
    </w:p>
    <w:p w14:paraId="1C7FE08A" w14:textId="092B8D89" w:rsidR="00191B4C" w:rsidRPr="00A24116" w:rsidRDefault="00191B4C" w:rsidP="00191B4C">
      <w:pPr>
        <w:pStyle w:val="Default"/>
        <w:rPr>
          <w:rFonts w:ascii="Cambria" w:eastAsia="Arial" w:hAnsi="Cambria"/>
          <w:sz w:val="20"/>
          <w:szCs w:val="20"/>
        </w:rPr>
      </w:pPr>
      <w:r>
        <w:rPr>
          <w:rFonts w:ascii="Cambria" w:hAnsi="Cambria"/>
          <w:sz w:val="20"/>
        </w:rPr>
        <w:t>Estimado Sr. Camille:</w:t>
      </w:r>
    </w:p>
    <w:p w14:paraId="55BA36D7" w14:textId="77777777" w:rsidR="00191B4C" w:rsidRPr="00A24116" w:rsidRDefault="00191B4C" w:rsidP="00191B4C">
      <w:pPr>
        <w:pStyle w:val="Default"/>
        <w:rPr>
          <w:rFonts w:ascii="Cambria" w:eastAsia="Arial" w:hAnsi="Cambria"/>
          <w:sz w:val="20"/>
          <w:szCs w:val="20"/>
        </w:rPr>
      </w:pPr>
    </w:p>
    <w:p w14:paraId="70D5E054" w14:textId="77777777" w:rsidR="00191B4C" w:rsidRPr="00A24116" w:rsidRDefault="00191B4C" w:rsidP="00191B4C">
      <w:pPr>
        <w:pStyle w:val="Default"/>
        <w:rPr>
          <w:rFonts w:ascii="Cambria" w:eastAsia="Arial" w:hAnsi="Cambria"/>
          <w:b/>
          <w:bCs/>
          <w:sz w:val="20"/>
          <w:szCs w:val="20"/>
        </w:rPr>
      </w:pPr>
      <w:r>
        <w:rPr>
          <w:rFonts w:ascii="Cambria" w:hAnsi="Cambria"/>
          <w:b/>
          <w:sz w:val="20"/>
        </w:rPr>
        <w:t>Re: Ordenación y capturas de atún rojo en Gibraltar</w:t>
      </w:r>
    </w:p>
    <w:p w14:paraId="3CFDB609" w14:textId="77777777" w:rsidR="00191B4C" w:rsidRPr="00A24116" w:rsidRDefault="00191B4C" w:rsidP="00191B4C">
      <w:pPr>
        <w:pStyle w:val="Default"/>
        <w:rPr>
          <w:rFonts w:ascii="Cambria" w:eastAsia="Arial" w:hAnsi="Cambria"/>
          <w:b/>
          <w:bCs/>
          <w:sz w:val="20"/>
          <w:szCs w:val="20"/>
        </w:rPr>
      </w:pPr>
    </w:p>
    <w:p w14:paraId="179EF1AA" w14:textId="77777777" w:rsidR="00C676FD" w:rsidRPr="00A24116" w:rsidRDefault="00C676FD" w:rsidP="003B3A9F">
      <w:pPr>
        <w:pStyle w:val="Default"/>
        <w:jc w:val="both"/>
        <w:rPr>
          <w:rFonts w:ascii="Cambria" w:eastAsia="Arial" w:hAnsi="Cambria"/>
          <w:sz w:val="20"/>
          <w:szCs w:val="20"/>
        </w:rPr>
      </w:pPr>
      <w:r>
        <w:rPr>
          <w:rFonts w:ascii="Cambria" w:hAnsi="Cambria"/>
          <w:sz w:val="20"/>
        </w:rPr>
        <w:t xml:space="preserve">En relación con su carta del 12 de mayo (Ref. 083588), me complace adjuntarle una respuesta detallada de mis compañeros de Gibraltar. Tenga en cuenta que esta respuesta se suma a los datos estadísticos que el Sr. Warr ha enviado hoy a la dirección de correo electrónico </w:t>
      </w:r>
      <w:hyperlink r:id="rId11" w:history="1">
        <w:r w:rsidRPr="003B3A9F">
          <w:rPr>
            <w:rStyle w:val="Hyperlink"/>
            <w:rFonts w:ascii="Cambria" w:hAnsi="Cambria"/>
            <w:sz w:val="20"/>
            <w:u w:val="none"/>
          </w:rPr>
          <w:t>stats_info@iccat.int</w:t>
        </w:r>
      </w:hyperlink>
      <w:r>
        <w:rPr>
          <w:rFonts w:ascii="Cambria" w:hAnsi="Cambria"/>
          <w:sz w:val="20"/>
        </w:rPr>
        <w:t>. Como ha indicado el Sr. Warr en su respuesta, en el momento de redactar este documento la temporada de atún rojo en Gibraltar aún no se había cerrado del todo, pero hemos preferido presentarle algo con prontitud y, por supuesto, podemos facilitarle cualquier actualización de los datos de capturas tras el cierre previsto de la temporada el miércoles, 14 de octubre.</w:t>
      </w:r>
    </w:p>
    <w:p w14:paraId="6E85D7E8" w14:textId="77777777" w:rsidR="00C676FD" w:rsidRPr="00A24116" w:rsidRDefault="00C676FD" w:rsidP="003B3A9F">
      <w:pPr>
        <w:pStyle w:val="Default"/>
        <w:jc w:val="both"/>
        <w:rPr>
          <w:rFonts w:ascii="Cambria" w:eastAsia="Arial" w:hAnsi="Cambria"/>
          <w:sz w:val="20"/>
          <w:szCs w:val="20"/>
        </w:rPr>
      </w:pPr>
    </w:p>
    <w:p w14:paraId="47A9CA1E" w14:textId="77777777" w:rsidR="00C676FD" w:rsidRPr="00A24116" w:rsidRDefault="00C676FD" w:rsidP="003B3A9F">
      <w:pPr>
        <w:pStyle w:val="Default"/>
        <w:jc w:val="both"/>
        <w:rPr>
          <w:rFonts w:ascii="Cambria" w:eastAsia="Arial" w:hAnsi="Cambria"/>
          <w:sz w:val="20"/>
          <w:szCs w:val="20"/>
        </w:rPr>
      </w:pPr>
      <w:r>
        <w:rPr>
          <w:rFonts w:ascii="Cambria" w:hAnsi="Cambria"/>
          <w:sz w:val="20"/>
        </w:rPr>
        <w:t>Confío en que estas dos comunicaciones proporcionen toda la información solicitada, pero les ruego que me comuniquen si necesitan algo más antes de las reuniones del Comité de Cumplimiento y la Comisión en noviembre.</w:t>
      </w:r>
    </w:p>
    <w:p w14:paraId="11121901" w14:textId="77777777" w:rsidR="00C676FD" w:rsidRPr="00A24116" w:rsidRDefault="00C676FD" w:rsidP="003B3A9F">
      <w:pPr>
        <w:pStyle w:val="Default"/>
        <w:jc w:val="both"/>
        <w:rPr>
          <w:rFonts w:ascii="Cambria" w:eastAsia="Arial" w:hAnsi="Cambria"/>
          <w:sz w:val="20"/>
          <w:szCs w:val="20"/>
        </w:rPr>
      </w:pPr>
    </w:p>
    <w:p w14:paraId="57BBC60D" w14:textId="1FB8D6B8" w:rsidR="00C676FD" w:rsidRPr="00A24116" w:rsidRDefault="00C676FD" w:rsidP="003B3A9F">
      <w:pPr>
        <w:pStyle w:val="Default"/>
        <w:jc w:val="both"/>
        <w:rPr>
          <w:rFonts w:ascii="Cambria" w:eastAsia="Arial" w:hAnsi="Cambria"/>
          <w:sz w:val="20"/>
          <w:szCs w:val="20"/>
        </w:rPr>
      </w:pPr>
      <w:r>
        <w:rPr>
          <w:rFonts w:ascii="Cambria" w:hAnsi="Cambria"/>
          <w:sz w:val="20"/>
        </w:rPr>
        <w:t xml:space="preserve">Mi agradecimiento a los compañeros de Gibraltar por su continua cooperación y amable ayuda en este asunto, y a usted una vez más por su carta. </w:t>
      </w:r>
    </w:p>
    <w:p w14:paraId="753DEA10" w14:textId="59A9C2CD" w:rsidR="00191B4C" w:rsidRPr="00A24116" w:rsidRDefault="00191B4C" w:rsidP="003B3A9F">
      <w:pPr>
        <w:pStyle w:val="Default"/>
        <w:jc w:val="both"/>
        <w:rPr>
          <w:rFonts w:ascii="Cambria" w:eastAsia="Arial" w:hAnsi="Cambria"/>
          <w:sz w:val="20"/>
          <w:szCs w:val="20"/>
        </w:rPr>
      </w:pPr>
    </w:p>
    <w:p w14:paraId="63496FCE" w14:textId="77777777" w:rsidR="00191B4C" w:rsidRPr="00A24116" w:rsidRDefault="00191B4C" w:rsidP="003B3A9F">
      <w:pPr>
        <w:pStyle w:val="Default"/>
        <w:jc w:val="both"/>
        <w:rPr>
          <w:rFonts w:ascii="Cambria" w:eastAsia="Arial" w:hAnsi="Cambria"/>
          <w:sz w:val="20"/>
          <w:szCs w:val="20"/>
        </w:rPr>
      </w:pPr>
      <w:r>
        <w:rPr>
          <w:rFonts w:ascii="Cambria" w:hAnsi="Cambria"/>
          <w:sz w:val="20"/>
        </w:rPr>
        <w:t>Atentamente,</w:t>
      </w:r>
    </w:p>
    <w:p w14:paraId="7BC671B7" w14:textId="77777777" w:rsidR="00191B4C" w:rsidRPr="00A24116" w:rsidRDefault="00191B4C" w:rsidP="003B3A9F">
      <w:pPr>
        <w:pStyle w:val="Default"/>
        <w:jc w:val="both"/>
        <w:rPr>
          <w:rFonts w:ascii="Cambria" w:eastAsia="Arial" w:hAnsi="Cambria"/>
          <w:color w:val="auto"/>
          <w:sz w:val="20"/>
          <w:szCs w:val="20"/>
        </w:rPr>
      </w:pPr>
    </w:p>
    <w:p w14:paraId="328DDAB7" w14:textId="77777777" w:rsidR="008760F8" w:rsidRPr="00A24116" w:rsidRDefault="008760F8" w:rsidP="003B3A9F">
      <w:pPr>
        <w:pStyle w:val="Default"/>
        <w:jc w:val="both"/>
        <w:rPr>
          <w:rFonts w:ascii="Cambria" w:eastAsia="Arial" w:hAnsi="Cambria"/>
          <w:color w:val="auto"/>
          <w:sz w:val="20"/>
          <w:szCs w:val="20"/>
        </w:rPr>
      </w:pPr>
    </w:p>
    <w:p w14:paraId="19568845" w14:textId="65E0C7DD" w:rsidR="4DEB1D4F" w:rsidRPr="00A24116" w:rsidRDefault="4DEB1D4F" w:rsidP="00704874">
      <w:pPr>
        <w:pStyle w:val="Default"/>
        <w:rPr>
          <w:rFonts w:ascii="Cambria" w:hAnsi="Cambria"/>
          <w:sz w:val="20"/>
          <w:szCs w:val="20"/>
        </w:rPr>
      </w:pPr>
    </w:p>
    <w:p w14:paraId="4576DE95" w14:textId="77777777" w:rsidR="006123ED" w:rsidRPr="00A24116" w:rsidRDefault="006123ED" w:rsidP="00704874">
      <w:pPr>
        <w:pStyle w:val="Default"/>
        <w:rPr>
          <w:rFonts w:ascii="Cambria" w:hAnsi="Cambria"/>
          <w:sz w:val="20"/>
          <w:szCs w:val="20"/>
        </w:rPr>
      </w:pPr>
    </w:p>
    <w:p w14:paraId="2E8189F4" w14:textId="77777777" w:rsidR="00C676FD" w:rsidRPr="00A24116" w:rsidRDefault="00C676FD" w:rsidP="00704874">
      <w:pPr>
        <w:pStyle w:val="Default"/>
        <w:rPr>
          <w:rFonts w:ascii="Cambria" w:eastAsia="Arial" w:hAnsi="Cambria"/>
          <w:color w:val="auto"/>
          <w:sz w:val="20"/>
          <w:szCs w:val="20"/>
        </w:rPr>
      </w:pPr>
      <w:r>
        <w:rPr>
          <w:rFonts w:ascii="Cambria" w:hAnsi="Cambria"/>
          <w:color w:val="auto"/>
          <w:sz w:val="20"/>
        </w:rPr>
        <w:t>Jess Keedy</w:t>
      </w:r>
    </w:p>
    <w:p w14:paraId="38C1C98F" w14:textId="67FB608F" w:rsidR="00C47B80" w:rsidRPr="00A24116" w:rsidRDefault="003C001F" w:rsidP="00A24116">
      <w:pPr>
        <w:pStyle w:val="Default"/>
        <w:rPr>
          <w:rFonts w:ascii="Cambria" w:hAnsi="Cambria"/>
          <w:sz w:val="20"/>
          <w:szCs w:val="20"/>
        </w:rPr>
      </w:pPr>
      <w:r>
        <w:rPr>
          <w:rFonts w:ascii="Cambria" w:hAnsi="Cambria"/>
          <w:color w:val="auto"/>
          <w:sz w:val="20"/>
        </w:rPr>
        <w:t>Delegación del Reino Unido ante ICCAT</w:t>
      </w:r>
    </w:p>
    <w:p w14:paraId="22D1F44B" w14:textId="77777777" w:rsidR="00C47B80" w:rsidRPr="00A24116" w:rsidRDefault="00C47B80" w:rsidP="00704874">
      <w:pPr>
        <w:pStyle w:val="Default"/>
        <w:ind w:left="1440" w:hanging="1440"/>
        <w:rPr>
          <w:rFonts w:ascii="Cambria" w:hAnsi="Cambria"/>
          <w:sz w:val="20"/>
          <w:szCs w:val="20"/>
        </w:rPr>
      </w:pPr>
    </w:p>
    <w:p w14:paraId="67E6E74E" w14:textId="77777777" w:rsidR="00C47B80" w:rsidRPr="00A24116" w:rsidRDefault="00C47B80" w:rsidP="00704874">
      <w:pPr>
        <w:pStyle w:val="Default"/>
        <w:ind w:left="1440" w:hanging="1440"/>
        <w:rPr>
          <w:rFonts w:ascii="Cambria" w:hAnsi="Cambria"/>
          <w:sz w:val="20"/>
          <w:szCs w:val="20"/>
        </w:rPr>
      </w:pPr>
    </w:p>
    <w:p w14:paraId="7DFC8942" w14:textId="77777777" w:rsidR="00C47B80" w:rsidRPr="00A24116" w:rsidRDefault="00C47B80" w:rsidP="00704874">
      <w:pPr>
        <w:pStyle w:val="Default"/>
        <w:ind w:left="1440" w:hanging="1440"/>
        <w:rPr>
          <w:rFonts w:ascii="Cambria" w:hAnsi="Cambria"/>
          <w:sz w:val="20"/>
          <w:szCs w:val="20"/>
        </w:rPr>
      </w:pPr>
    </w:p>
    <w:p w14:paraId="690879B8" w14:textId="77777777" w:rsidR="00C47B80" w:rsidRPr="00A24116" w:rsidRDefault="00C47B80" w:rsidP="00704874">
      <w:pPr>
        <w:pStyle w:val="Default"/>
        <w:ind w:left="1440" w:hanging="1440"/>
        <w:rPr>
          <w:rFonts w:ascii="Cambria" w:hAnsi="Cambria"/>
          <w:sz w:val="20"/>
          <w:szCs w:val="20"/>
        </w:rPr>
      </w:pPr>
    </w:p>
    <w:p w14:paraId="7A9D93F0" w14:textId="77777777" w:rsidR="00C47B80" w:rsidRPr="00A24116" w:rsidRDefault="00C47B80" w:rsidP="00704874">
      <w:pPr>
        <w:pStyle w:val="Default"/>
        <w:ind w:left="1440" w:hanging="1440"/>
        <w:rPr>
          <w:rFonts w:ascii="Cambria" w:hAnsi="Cambria"/>
          <w:sz w:val="20"/>
          <w:szCs w:val="20"/>
        </w:rPr>
      </w:pPr>
    </w:p>
    <w:p w14:paraId="09840C02" w14:textId="77777777" w:rsidR="00C47B80" w:rsidRPr="00A24116" w:rsidRDefault="00C47B80" w:rsidP="00704874">
      <w:pPr>
        <w:pStyle w:val="Default"/>
        <w:ind w:left="1440" w:hanging="1440"/>
        <w:rPr>
          <w:rFonts w:ascii="Cambria" w:hAnsi="Cambria"/>
          <w:sz w:val="20"/>
          <w:szCs w:val="20"/>
        </w:rPr>
      </w:pPr>
    </w:p>
    <w:p w14:paraId="5F3F7676" w14:textId="77777777" w:rsidR="00C676FD" w:rsidRPr="00A24116" w:rsidRDefault="00434D76" w:rsidP="00C676FD">
      <w:pPr>
        <w:pStyle w:val="Default"/>
        <w:ind w:left="426" w:hanging="426"/>
        <w:rPr>
          <w:rFonts w:ascii="Cambria" w:hAnsi="Cambria"/>
          <w:sz w:val="20"/>
          <w:szCs w:val="20"/>
        </w:rPr>
      </w:pPr>
      <w:proofErr w:type="spellStart"/>
      <w:r>
        <w:rPr>
          <w:rFonts w:ascii="Cambria" w:hAnsi="Cambria"/>
          <w:b/>
          <w:sz w:val="20"/>
        </w:rPr>
        <w:t>cc</w:t>
      </w:r>
      <w:proofErr w:type="spellEnd"/>
      <w:r>
        <w:rPr>
          <w:rFonts w:ascii="Cambria" w:hAnsi="Cambria"/>
          <w:b/>
          <w:sz w:val="20"/>
        </w:rPr>
        <w:t>:</w:t>
      </w:r>
      <w:r>
        <w:rPr>
          <w:rFonts w:ascii="Cambria" w:hAnsi="Cambria"/>
          <w:sz w:val="20"/>
        </w:rPr>
        <w:tab/>
      </w:r>
      <w:bookmarkEnd w:id="0"/>
      <w:r>
        <w:rPr>
          <w:rFonts w:ascii="Cambria" w:hAnsi="Cambria"/>
          <w:sz w:val="20"/>
        </w:rPr>
        <w:t>Sr. Stephen Warr, responsable senior de Medio Ambiente, Gibraltar</w:t>
      </w:r>
    </w:p>
    <w:p w14:paraId="20B086B4" w14:textId="77777777" w:rsidR="00C676FD" w:rsidRPr="00A24116" w:rsidRDefault="00C676FD" w:rsidP="00C676FD">
      <w:pPr>
        <w:pStyle w:val="Default"/>
        <w:ind w:left="426"/>
        <w:rPr>
          <w:rFonts w:ascii="Cambria" w:hAnsi="Cambria"/>
          <w:sz w:val="20"/>
          <w:szCs w:val="20"/>
        </w:rPr>
      </w:pPr>
      <w:r>
        <w:rPr>
          <w:rFonts w:ascii="Cambria" w:hAnsi="Cambria"/>
          <w:sz w:val="20"/>
        </w:rPr>
        <w:t>Sra. Z Driouich, presidenta de la Comisión</w:t>
      </w:r>
    </w:p>
    <w:p w14:paraId="510EBA39" w14:textId="2F2C6834" w:rsidR="00704874" w:rsidRDefault="00C676FD" w:rsidP="00C676FD">
      <w:pPr>
        <w:pStyle w:val="Default"/>
        <w:ind w:left="426"/>
        <w:rPr>
          <w:rFonts w:ascii="Cambria" w:hAnsi="Cambria"/>
          <w:sz w:val="20"/>
          <w:szCs w:val="20"/>
        </w:rPr>
      </w:pPr>
      <w:r>
        <w:rPr>
          <w:rFonts w:ascii="Cambria" w:hAnsi="Cambria"/>
          <w:sz w:val="20"/>
        </w:rPr>
        <w:t>Sr. S. Ota (Japón), presidente de la Subcomisión 2</w:t>
      </w:r>
    </w:p>
    <w:p w14:paraId="6A192304" w14:textId="77777777" w:rsidR="00A24116" w:rsidRDefault="00A24116" w:rsidP="00C676FD">
      <w:pPr>
        <w:pStyle w:val="Default"/>
        <w:ind w:left="426"/>
        <w:rPr>
          <w:rFonts w:ascii="Cambria" w:hAnsi="Cambria"/>
          <w:sz w:val="20"/>
          <w:szCs w:val="20"/>
        </w:rPr>
      </w:pPr>
    </w:p>
    <w:p w14:paraId="68D10335" w14:textId="77777777" w:rsidR="00A24116" w:rsidRDefault="00A24116" w:rsidP="00C676FD">
      <w:pPr>
        <w:pStyle w:val="Default"/>
        <w:ind w:left="426"/>
        <w:rPr>
          <w:rFonts w:ascii="Cambria" w:hAnsi="Cambria"/>
          <w:sz w:val="20"/>
          <w:szCs w:val="20"/>
        </w:rPr>
      </w:pPr>
    </w:p>
    <w:p w14:paraId="6387DC8E" w14:textId="77777777" w:rsidR="00A24116" w:rsidRDefault="00A24116" w:rsidP="00C676FD">
      <w:pPr>
        <w:pStyle w:val="Default"/>
        <w:ind w:left="426"/>
        <w:rPr>
          <w:rFonts w:ascii="Cambria" w:hAnsi="Cambria"/>
          <w:sz w:val="20"/>
          <w:szCs w:val="20"/>
        </w:rPr>
      </w:pPr>
    </w:p>
    <w:p w14:paraId="23B0E486" w14:textId="77777777" w:rsidR="00A24116" w:rsidRDefault="00A24116" w:rsidP="00C676FD">
      <w:pPr>
        <w:pStyle w:val="Default"/>
        <w:ind w:left="426"/>
        <w:rPr>
          <w:rFonts w:ascii="Cambria" w:hAnsi="Cambria"/>
          <w:sz w:val="20"/>
          <w:szCs w:val="20"/>
        </w:rPr>
      </w:pPr>
    </w:p>
    <w:p w14:paraId="0FF36469" w14:textId="77777777" w:rsidR="00A24116" w:rsidRDefault="00A24116" w:rsidP="00C676FD">
      <w:pPr>
        <w:pStyle w:val="Default"/>
        <w:ind w:left="426"/>
        <w:rPr>
          <w:rFonts w:ascii="Cambria" w:hAnsi="Cambria"/>
          <w:sz w:val="20"/>
          <w:szCs w:val="20"/>
        </w:rPr>
      </w:pPr>
    </w:p>
    <w:p w14:paraId="01282DB2" w14:textId="77777777" w:rsidR="00A24116" w:rsidRDefault="00A24116" w:rsidP="00C676FD">
      <w:pPr>
        <w:pStyle w:val="Default"/>
        <w:ind w:left="426"/>
        <w:rPr>
          <w:rFonts w:ascii="Cambria" w:hAnsi="Cambria"/>
          <w:sz w:val="20"/>
          <w:szCs w:val="20"/>
        </w:rPr>
      </w:pPr>
    </w:p>
    <w:p w14:paraId="73E8FCD2" w14:textId="77777777" w:rsidR="00A24116" w:rsidRDefault="00A24116" w:rsidP="00C676FD">
      <w:pPr>
        <w:pStyle w:val="Default"/>
        <w:ind w:left="426"/>
        <w:rPr>
          <w:rFonts w:ascii="Cambria" w:hAnsi="Cambria"/>
          <w:sz w:val="20"/>
          <w:szCs w:val="20"/>
        </w:rPr>
      </w:pPr>
    </w:p>
    <w:p w14:paraId="1FD2F4CD" w14:textId="77777777" w:rsidR="00A24116" w:rsidRPr="00A24116" w:rsidRDefault="00A24116" w:rsidP="00C676FD">
      <w:pPr>
        <w:pStyle w:val="Default"/>
        <w:ind w:left="426"/>
        <w:rPr>
          <w:rFonts w:ascii="Cambria" w:hAnsi="Cambria"/>
          <w:sz w:val="20"/>
          <w:szCs w:val="20"/>
        </w:rPr>
      </w:pPr>
    </w:p>
    <w:p w14:paraId="5F4CC2B3" w14:textId="77777777" w:rsidR="00C676FD" w:rsidRPr="00A24116" w:rsidRDefault="00C676FD" w:rsidP="00C676FD">
      <w:pPr>
        <w:pStyle w:val="Default"/>
        <w:ind w:left="426"/>
        <w:rPr>
          <w:rFonts w:ascii="Cambria" w:eastAsia="Arial" w:hAnsi="Cambria"/>
          <w:b/>
          <w:bCs/>
          <w:color w:val="auto"/>
          <w:sz w:val="20"/>
          <w:szCs w:val="20"/>
        </w:rPr>
      </w:pPr>
    </w:p>
    <w:p w14:paraId="72C08A83" w14:textId="77777777" w:rsidR="00191B4C" w:rsidRPr="00A24116" w:rsidRDefault="00191B4C" w:rsidP="00704874">
      <w:pPr>
        <w:pStyle w:val="Default"/>
        <w:jc w:val="both"/>
        <w:rPr>
          <w:rFonts w:ascii="Cambria" w:eastAsia="Arial" w:hAnsi="Cambria"/>
          <w:b/>
          <w:bCs/>
          <w:color w:val="auto"/>
          <w:sz w:val="20"/>
          <w:szCs w:val="20"/>
        </w:rPr>
      </w:pPr>
    </w:p>
    <w:p w14:paraId="0CA401F2" w14:textId="559E18E3" w:rsidR="00704874" w:rsidRDefault="00704874" w:rsidP="00704874">
      <w:pPr>
        <w:pStyle w:val="Default"/>
        <w:jc w:val="both"/>
        <w:rPr>
          <w:rFonts w:ascii="Cambria" w:eastAsia="Arial" w:hAnsi="Cambria"/>
          <w:color w:val="auto"/>
          <w:sz w:val="20"/>
          <w:szCs w:val="20"/>
        </w:rPr>
      </w:pPr>
      <w:r>
        <w:rPr>
          <w:rFonts w:ascii="Cambria" w:hAnsi="Cambria"/>
          <w:b/>
          <w:color w:val="auto"/>
          <w:sz w:val="20"/>
        </w:rPr>
        <w:t>Documentación adjunta:</w:t>
      </w:r>
      <w:r>
        <w:rPr>
          <w:rFonts w:ascii="Cambria" w:hAnsi="Cambria"/>
          <w:color w:val="auto"/>
          <w:sz w:val="20"/>
        </w:rPr>
        <w:t xml:space="preserve"> carta y datos remitidos por Gibraltar con fecha del 21 de septiembre de 2026.</w:t>
      </w:r>
    </w:p>
    <w:p w14:paraId="36226679" w14:textId="77777777" w:rsidR="00A24116" w:rsidRPr="00A24116" w:rsidRDefault="00A24116" w:rsidP="00704874">
      <w:pPr>
        <w:pStyle w:val="Default"/>
        <w:jc w:val="both"/>
        <w:rPr>
          <w:rFonts w:ascii="Cambria" w:eastAsia="Arial" w:hAnsi="Cambria"/>
          <w:color w:val="auto"/>
          <w:sz w:val="20"/>
          <w:szCs w:val="20"/>
        </w:rPr>
      </w:pPr>
    </w:p>
    <w:p w14:paraId="1E8559C0" w14:textId="77777777" w:rsidR="00191B4C" w:rsidRPr="00A24116" w:rsidRDefault="00191B4C" w:rsidP="00704874">
      <w:pPr>
        <w:pStyle w:val="Default"/>
        <w:jc w:val="both"/>
        <w:rPr>
          <w:rFonts w:ascii="Cambria" w:eastAsia="Arial" w:hAnsi="Cambria"/>
          <w:color w:val="auto"/>
          <w:sz w:val="20"/>
          <w:szCs w:val="20"/>
        </w:rPr>
      </w:pPr>
    </w:p>
    <w:p w14:paraId="2362B672" w14:textId="2B777565" w:rsidR="00C47B80" w:rsidRPr="00A24116" w:rsidRDefault="00191B4C" w:rsidP="00C47B80">
      <w:pPr>
        <w:pStyle w:val="BodyText"/>
        <w:jc w:val="right"/>
        <w:rPr>
          <w:rFonts w:ascii="Cambria" w:hAnsi="Cambria"/>
        </w:rPr>
      </w:pPr>
      <w:r>
        <w:rPr>
          <w:rFonts w:ascii="Cambria" w:hAnsi="Cambria"/>
        </w:rPr>
        <w:t>Departamento de Medio Ambiente, Sostenibilidad, Cambio Climático y Patrimonio</w:t>
      </w:r>
    </w:p>
    <w:p w14:paraId="1CFDF906" w14:textId="77777777" w:rsidR="00C47B80" w:rsidRPr="00A24116" w:rsidRDefault="00C47B80" w:rsidP="00C47B80">
      <w:pPr>
        <w:pStyle w:val="BodyText"/>
        <w:jc w:val="right"/>
        <w:rPr>
          <w:rFonts w:ascii="Cambria" w:hAnsi="Cambria"/>
        </w:rPr>
      </w:pPr>
      <w:r>
        <w:rPr>
          <w:rFonts w:ascii="Cambria" w:hAnsi="Cambria"/>
        </w:rPr>
        <w:t>Gobierno de SM de Gibraltar</w:t>
      </w:r>
    </w:p>
    <w:p w14:paraId="56472B34" w14:textId="77777777" w:rsidR="00C47B80" w:rsidRPr="00FE325D" w:rsidRDefault="00C47B80" w:rsidP="00C47B80">
      <w:pPr>
        <w:pStyle w:val="BodyText"/>
        <w:jc w:val="right"/>
        <w:rPr>
          <w:rFonts w:ascii="Cambria" w:hAnsi="Cambria"/>
        </w:rPr>
      </w:pPr>
    </w:p>
    <w:p w14:paraId="0351436F" w14:textId="4442DEE9" w:rsidR="00C47B80" w:rsidRPr="00A24116" w:rsidRDefault="00C676FD" w:rsidP="00C47B80">
      <w:pPr>
        <w:pStyle w:val="BodyText"/>
        <w:jc w:val="right"/>
        <w:rPr>
          <w:rFonts w:ascii="Cambria" w:hAnsi="Cambria"/>
          <w:w w:val="110"/>
        </w:rPr>
      </w:pPr>
      <w:r>
        <w:rPr>
          <w:rFonts w:ascii="Cambria" w:hAnsi="Cambria"/>
        </w:rPr>
        <w:t>21 de septiembre de 2026</w:t>
      </w:r>
    </w:p>
    <w:p w14:paraId="5F94AF1F" w14:textId="77777777" w:rsidR="00C47B80" w:rsidRPr="00A24116" w:rsidRDefault="00C47B80" w:rsidP="00C47B80">
      <w:pPr>
        <w:pStyle w:val="BodyText"/>
        <w:jc w:val="right"/>
        <w:rPr>
          <w:rFonts w:ascii="Cambria" w:hAnsi="Cambria"/>
        </w:rPr>
      </w:pPr>
    </w:p>
    <w:p w14:paraId="660F2223" w14:textId="77777777" w:rsidR="00C47B80" w:rsidRPr="00A24116" w:rsidRDefault="00C47B80" w:rsidP="00C47B80">
      <w:pPr>
        <w:pStyle w:val="BodyText"/>
        <w:jc w:val="both"/>
        <w:rPr>
          <w:rFonts w:ascii="Cambria" w:hAnsi="Cambria"/>
        </w:rPr>
      </w:pPr>
    </w:p>
    <w:p w14:paraId="71D8A2A4" w14:textId="77777777" w:rsidR="00191B4C" w:rsidRPr="00A24116" w:rsidRDefault="00191B4C" w:rsidP="00191B4C">
      <w:pPr>
        <w:pStyle w:val="BodyText"/>
        <w:jc w:val="both"/>
        <w:rPr>
          <w:rFonts w:ascii="Cambria" w:hAnsi="Cambria"/>
        </w:rPr>
      </w:pPr>
      <w:r>
        <w:rPr>
          <w:rFonts w:ascii="Cambria" w:hAnsi="Cambria"/>
        </w:rPr>
        <w:t>Sr. Marc Owen</w:t>
      </w:r>
    </w:p>
    <w:p w14:paraId="1EE4574E" w14:textId="77777777" w:rsidR="00191B4C" w:rsidRPr="00A24116" w:rsidRDefault="00191B4C" w:rsidP="00191B4C">
      <w:pPr>
        <w:pStyle w:val="BodyText"/>
        <w:jc w:val="both"/>
        <w:rPr>
          <w:rFonts w:ascii="Cambria" w:hAnsi="Cambria"/>
        </w:rPr>
      </w:pPr>
      <w:r>
        <w:rPr>
          <w:rFonts w:ascii="Cambria" w:hAnsi="Cambria"/>
        </w:rPr>
        <w:t>Jefe de equipo, Pesca Internacional</w:t>
      </w:r>
    </w:p>
    <w:p w14:paraId="2F711F5A" w14:textId="77777777" w:rsidR="00C676FD" w:rsidRPr="00A24116" w:rsidRDefault="00191B4C" w:rsidP="00191B4C">
      <w:pPr>
        <w:pStyle w:val="BodyText"/>
        <w:jc w:val="both"/>
        <w:rPr>
          <w:rFonts w:ascii="Cambria" w:hAnsi="Cambria"/>
        </w:rPr>
      </w:pPr>
      <w:r>
        <w:rPr>
          <w:rFonts w:ascii="Cambria" w:hAnsi="Cambria"/>
        </w:rPr>
        <w:t>Departamento de Medio Ambiente, Alimentación y Asuntos Rurales</w:t>
      </w:r>
    </w:p>
    <w:p w14:paraId="38F60A34" w14:textId="3CABA8A6" w:rsidR="00191B4C" w:rsidRPr="00FE325D" w:rsidRDefault="00C676FD" w:rsidP="00191B4C">
      <w:pPr>
        <w:pStyle w:val="BodyText"/>
        <w:jc w:val="both"/>
        <w:rPr>
          <w:rFonts w:ascii="Cambria" w:hAnsi="Cambria"/>
          <w:lang w:val="en-US"/>
        </w:rPr>
      </w:pPr>
      <w:r w:rsidRPr="00FE325D">
        <w:rPr>
          <w:rFonts w:ascii="Cambria" w:hAnsi="Cambria"/>
          <w:lang w:val="en-US"/>
        </w:rPr>
        <w:t>1st Floor, Seacole Wing, 2 Marsham Street</w:t>
      </w:r>
    </w:p>
    <w:p w14:paraId="46A7DD52" w14:textId="77777777" w:rsidR="00C676FD" w:rsidRPr="00A24116" w:rsidRDefault="00191B4C" w:rsidP="00191B4C">
      <w:pPr>
        <w:pStyle w:val="BodyText"/>
        <w:jc w:val="both"/>
        <w:rPr>
          <w:rFonts w:ascii="Cambria" w:hAnsi="Cambria"/>
        </w:rPr>
      </w:pPr>
      <w:r>
        <w:rPr>
          <w:rFonts w:ascii="Cambria" w:hAnsi="Cambria"/>
        </w:rPr>
        <w:t>Londres</w:t>
      </w:r>
    </w:p>
    <w:p w14:paraId="2731D71E" w14:textId="30E2722D" w:rsidR="00C47B80" w:rsidRPr="00A24116" w:rsidRDefault="00191B4C" w:rsidP="00191B4C">
      <w:pPr>
        <w:pStyle w:val="BodyText"/>
        <w:jc w:val="both"/>
        <w:rPr>
          <w:rFonts w:ascii="Cambria" w:hAnsi="Cambria"/>
        </w:rPr>
      </w:pPr>
      <w:r>
        <w:rPr>
          <w:rFonts w:ascii="Cambria" w:hAnsi="Cambria"/>
        </w:rPr>
        <w:t>SW 1P 4DF</w:t>
      </w:r>
    </w:p>
    <w:p w14:paraId="3E166A86" w14:textId="77777777" w:rsidR="00C47B80" w:rsidRPr="00A24116" w:rsidRDefault="00C47B80" w:rsidP="00C47B80">
      <w:pPr>
        <w:pStyle w:val="BodyText"/>
        <w:jc w:val="both"/>
        <w:rPr>
          <w:rFonts w:ascii="Cambria" w:hAnsi="Cambria"/>
        </w:rPr>
      </w:pPr>
    </w:p>
    <w:p w14:paraId="7D015B3C" w14:textId="77777777" w:rsidR="00C47B80" w:rsidRPr="00A24116" w:rsidRDefault="00C47B80" w:rsidP="00C47B80">
      <w:pPr>
        <w:pStyle w:val="BodyText"/>
        <w:jc w:val="both"/>
        <w:rPr>
          <w:rFonts w:ascii="Cambria" w:hAnsi="Cambria"/>
          <w:b/>
          <w:bCs/>
          <w:w w:val="110"/>
        </w:rPr>
      </w:pPr>
    </w:p>
    <w:p w14:paraId="381614B8" w14:textId="2131E90E" w:rsidR="00C47B80" w:rsidRPr="00A24116" w:rsidRDefault="00C47B80" w:rsidP="00C47B80">
      <w:pPr>
        <w:pStyle w:val="BodyText"/>
        <w:jc w:val="both"/>
        <w:rPr>
          <w:rFonts w:ascii="Cambria" w:hAnsi="Cambria"/>
          <w:b/>
          <w:bCs/>
        </w:rPr>
      </w:pPr>
      <w:r>
        <w:rPr>
          <w:rFonts w:ascii="Cambria" w:hAnsi="Cambria"/>
          <w:b/>
        </w:rPr>
        <w:t>Asunto: Ordenación y capturas de atún rojo en Gibraltar</w:t>
      </w:r>
    </w:p>
    <w:p w14:paraId="42259D80" w14:textId="77777777" w:rsidR="00C47B80" w:rsidRPr="00FE325D" w:rsidRDefault="00C47B80" w:rsidP="00C47B80">
      <w:pPr>
        <w:pStyle w:val="BodyText"/>
        <w:jc w:val="both"/>
        <w:rPr>
          <w:rFonts w:ascii="Cambria" w:hAnsi="Cambria"/>
          <w:b/>
          <w:bCs/>
        </w:rPr>
      </w:pPr>
    </w:p>
    <w:p w14:paraId="464E4886" w14:textId="77777777" w:rsidR="00191B4C" w:rsidRPr="00A24116" w:rsidRDefault="00191B4C" w:rsidP="00191B4C">
      <w:pPr>
        <w:pStyle w:val="BodyText"/>
        <w:jc w:val="both"/>
        <w:rPr>
          <w:rFonts w:ascii="Cambria" w:hAnsi="Cambria"/>
        </w:rPr>
      </w:pPr>
      <w:r>
        <w:rPr>
          <w:rFonts w:ascii="Cambria" w:hAnsi="Cambria"/>
        </w:rPr>
        <w:t>Estimado Sr. Owen:</w:t>
      </w:r>
    </w:p>
    <w:p w14:paraId="44411399" w14:textId="77777777" w:rsidR="00191B4C" w:rsidRPr="00FE325D" w:rsidRDefault="00191B4C" w:rsidP="00191B4C">
      <w:pPr>
        <w:pStyle w:val="BodyText"/>
        <w:jc w:val="both"/>
        <w:rPr>
          <w:rFonts w:ascii="Cambria" w:hAnsi="Cambria"/>
        </w:rPr>
      </w:pPr>
    </w:p>
    <w:p w14:paraId="3280B739" w14:textId="77777777" w:rsidR="00C676FD" w:rsidRPr="00A24116" w:rsidRDefault="00C676FD" w:rsidP="00C676FD">
      <w:pPr>
        <w:pStyle w:val="BodyText"/>
        <w:jc w:val="both"/>
        <w:rPr>
          <w:rFonts w:ascii="Cambria" w:hAnsi="Cambria"/>
        </w:rPr>
      </w:pPr>
      <w:r>
        <w:rPr>
          <w:rFonts w:ascii="Cambria" w:hAnsi="Cambria"/>
        </w:rPr>
        <w:t>Nos referimos a la carta del presidente del Comité de Cumplimiento de ICCAT de fecha 12 de mayo de 2026 dirigida a usted en relación con la ordenación y las capturas de atún rojo (BFT) en Gibraltar.</w:t>
      </w:r>
    </w:p>
    <w:p w14:paraId="0F01C4E0" w14:textId="77777777" w:rsidR="00C676FD" w:rsidRPr="00FE325D" w:rsidRDefault="00C676FD" w:rsidP="00C676FD">
      <w:pPr>
        <w:pStyle w:val="BodyText"/>
        <w:jc w:val="both"/>
        <w:rPr>
          <w:rFonts w:ascii="Cambria" w:hAnsi="Cambria"/>
        </w:rPr>
      </w:pPr>
    </w:p>
    <w:p w14:paraId="49034970" w14:textId="77777777" w:rsidR="00C676FD" w:rsidRPr="00A24116" w:rsidRDefault="00C676FD" w:rsidP="00C676FD">
      <w:pPr>
        <w:pStyle w:val="BodyText"/>
        <w:jc w:val="both"/>
        <w:rPr>
          <w:rFonts w:ascii="Cambria" w:hAnsi="Cambria"/>
        </w:rPr>
      </w:pPr>
      <w:r>
        <w:rPr>
          <w:rFonts w:ascii="Cambria" w:hAnsi="Cambria"/>
        </w:rPr>
        <w:t xml:space="preserve">Resulta muy tranquilizador comprobar que la Comisión aprecia la transparencia y el compromiso demostrados por Gibraltar a la hora de facilitar todos los datos estadísticos necesarios en relación con el atún rojo, así como las medidas de ordenación aplicadas en Gibraltar hasta la fecha. De acuerdo con nuestro compromiso demostrado desde hace años de cooperar plenamente con la Secretaría de ICCAT, le informamos de que las últimas estadísticas de captura de atún rojo (formulario ST02-T1NC - versión 2026b) correspondientes a la temporada abierta de atún rojo de este año (2026) han sido enviadas por el Departamento a la cuenta de correo electrónico </w:t>
      </w:r>
      <w:hyperlink r:id="rId12">
        <w:r>
          <w:rPr>
            <w:rStyle w:val="Hyperlink"/>
            <w:rFonts w:ascii="Cambria" w:hAnsi="Cambria"/>
            <w:u w:val="none"/>
          </w:rPr>
          <w:t>stats_info@iccat.int</w:t>
        </w:r>
      </w:hyperlink>
      <w:r>
        <w:rPr>
          <w:rFonts w:ascii="Cambria" w:hAnsi="Cambria"/>
        </w:rPr>
        <w:t xml:space="preserve"> de conformidad con la Circular ICCAT n.º 00620/2026.</w:t>
      </w:r>
    </w:p>
    <w:p w14:paraId="1E253697" w14:textId="77777777" w:rsidR="00C676FD" w:rsidRPr="00FE325D" w:rsidRDefault="00C676FD" w:rsidP="00C676FD">
      <w:pPr>
        <w:pStyle w:val="BodyText"/>
        <w:jc w:val="both"/>
        <w:rPr>
          <w:rFonts w:ascii="Cambria" w:hAnsi="Cambria"/>
        </w:rPr>
      </w:pPr>
    </w:p>
    <w:p w14:paraId="14AC0930" w14:textId="77777777" w:rsidR="00C676FD" w:rsidRPr="00A24116" w:rsidRDefault="00C676FD" w:rsidP="00C676FD">
      <w:pPr>
        <w:pStyle w:val="BodyText"/>
        <w:jc w:val="both"/>
        <w:rPr>
          <w:rFonts w:ascii="Cambria" w:hAnsi="Cambria"/>
        </w:rPr>
      </w:pPr>
      <w:r>
        <w:rPr>
          <w:rFonts w:ascii="Cambria" w:hAnsi="Cambria"/>
        </w:rPr>
        <w:t xml:space="preserve">Como de costumbre y a modo de información adicional, en un </w:t>
      </w:r>
      <w:r>
        <w:rPr>
          <w:rFonts w:ascii="Cambria" w:hAnsi="Cambria"/>
          <w:b/>
          <w:bCs/>
        </w:rPr>
        <w:t>Anexo</w:t>
      </w:r>
      <w:r>
        <w:rPr>
          <w:rFonts w:ascii="Cambria" w:hAnsi="Cambria"/>
        </w:rPr>
        <w:t xml:space="preserve"> a esta carta se presenta una visión general de las estadísticas de la temporada abierta de atún rojo hasta el 18 de septiembre de 2026. Los datos de capturas adicionales (si los hubiera) se facilitarán a la Secretaría una vez que se cierre la temporada el 14 de octubre de 2026.</w:t>
      </w:r>
    </w:p>
    <w:p w14:paraId="26E9311C" w14:textId="77777777" w:rsidR="00C676FD" w:rsidRPr="00FE325D" w:rsidRDefault="00C676FD" w:rsidP="00C676FD">
      <w:pPr>
        <w:pStyle w:val="BodyText"/>
        <w:jc w:val="both"/>
        <w:rPr>
          <w:rFonts w:ascii="Cambria" w:hAnsi="Cambria"/>
        </w:rPr>
      </w:pPr>
    </w:p>
    <w:p w14:paraId="5B0DBB43" w14:textId="77777777" w:rsidR="00C676FD" w:rsidRPr="00A24116" w:rsidRDefault="00C676FD" w:rsidP="00C676FD">
      <w:pPr>
        <w:pStyle w:val="BodyText"/>
        <w:jc w:val="both"/>
        <w:rPr>
          <w:rFonts w:ascii="Cambria" w:hAnsi="Cambria"/>
        </w:rPr>
      </w:pPr>
      <w:r>
        <w:rPr>
          <w:rFonts w:ascii="Cambria" w:hAnsi="Cambria"/>
        </w:rPr>
        <w:t>Aprovechamos esta oportunidad para reiterar una vez más nuestro firme deseo de continuar nuestra cooperación y compromiso positivo con la Secretaría de ICCAT de cara al futuro, y de que se considere la posibilidad de ampliar ICCAT a Gibraltar.</w:t>
      </w:r>
    </w:p>
    <w:p w14:paraId="38D5ED1B" w14:textId="77777777" w:rsidR="00C676FD" w:rsidRPr="00FE325D" w:rsidRDefault="00C676FD" w:rsidP="00C676FD">
      <w:pPr>
        <w:pStyle w:val="BodyText"/>
        <w:jc w:val="both"/>
        <w:rPr>
          <w:rFonts w:ascii="Cambria" w:hAnsi="Cambria"/>
        </w:rPr>
      </w:pPr>
    </w:p>
    <w:p w14:paraId="14D57547" w14:textId="01F5F0A4" w:rsidR="00C47B80" w:rsidRPr="00A24116" w:rsidRDefault="00C676FD" w:rsidP="00C676FD">
      <w:pPr>
        <w:pStyle w:val="BodyText"/>
        <w:jc w:val="both"/>
        <w:rPr>
          <w:rFonts w:ascii="Cambria" w:hAnsi="Cambria"/>
        </w:rPr>
      </w:pPr>
      <w:r>
        <w:rPr>
          <w:rFonts w:ascii="Cambria" w:hAnsi="Cambria"/>
        </w:rPr>
        <w:t>Quedamos a su disposición para cualquier aclaración adicional sobre los puntos mencionados y los datos estadísticos facilitados.</w:t>
      </w:r>
    </w:p>
    <w:p w14:paraId="2B64B1A9" w14:textId="77777777" w:rsidR="00C676FD" w:rsidRPr="00FE325D" w:rsidRDefault="00C676FD" w:rsidP="00C676FD">
      <w:pPr>
        <w:pStyle w:val="BodyText"/>
        <w:jc w:val="both"/>
        <w:rPr>
          <w:rFonts w:ascii="Cambria" w:hAnsi="Cambria"/>
        </w:rPr>
      </w:pPr>
    </w:p>
    <w:p w14:paraId="5C00E2E8" w14:textId="77777777" w:rsidR="00C47B80" w:rsidRPr="00A24116" w:rsidRDefault="00C47B80" w:rsidP="00C47B80">
      <w:pPr>
        <w:pStyle w:val="BodyText"/>
        <w:jc w:val="both"/>
        <w:rPr>
          <w:rFonts w:ascii="Cambria" w:hAnsi="Cambria"/>
        </w:rPr>
      </w:pPr>
      <w:r>
        <w:rPr>
          <w:rFonts w:ascii="Cambria" w:hAnsi="Cambria"/>
        </w:rPr>
        <w:t>Atentamente,</w:t>
      </w:r>
    </w:p>
    <w:p w14:paraId="290DCE60" w14:textId="77777777" w:rsidR="00C47B80" w:rsidRPr="00FE325D" w:rsidRDefault="00C47B80" w:rsidP="00C47B80">
      <w:pPr>
        <w:pStyle w:val="BodyText"/>
        <w:jc w:val="both"/>
        <w:rPr>
          <w:rFonts w:ascii="Cambria" w:hAnsi="Cambria"/>
        </w:rPr>
      </w:pPr>
    </w:p>
    <w:p w14:paraId="11B30887" w14:textId="1EE0823A" w:rsidR="00C47B80" w:rsidRPr="00A24116" w:rsidRDefault="000B03D3" w:rsidP="00C47B80">
      <w:pPr>
        <w:pStyle w:val="BodyText"/>
        <w:jc w:val="both"/>
        <w:rPr>
          <w:rFonts w:ascii="Cambria" w:hAnsi="Cambria"/>
        </w:rPr>
      </w:pPr>
      <w:r>
        <w:rPr>
          <w:rFonts w:ascii="Cambria" w:hAnsi="Cambria"/>
        </w:rPr>
        <w:t>(Firmado y sellado)</w:t>
      </w:r>
    </w:p>
    <w:p w14:paraId="1C5AD9BE" w14:textId="77777777" w:rsidR="00C47B80" w:rsidRPr="00FE325D" w:rsidRDefault="00C47B80" w:rsidP="00C47B80">
      <w:pPr>
        <w:pStyle w:val="BodyText"/>
        <w:jc w:val="both"/>
        <w:rPr>
          <w:rFonts w:ascii="Cambria" w:hAnsi="Cambria"/>
        </w:rPr>
      </w:pPr>
    </w:p>
    <w:p w14:paraId="6460186D" w14:textId="249C7EF1" w:rsidR="00C47B80" w:rsidRPr="00A24116" w:rsidRDefault="00C47B80" w:rsidP="00C47B80">
      <w:pPr>
        <w:pStyle w:val="BodyText"/>
        <w:jc w:val="both"/>
        <w:rPr>
          <w:rFonts w:ascii="Cambria" w:hAnsi="Cambria"/>
        </w:rPr>
      </w:pPr>
      <w:r>
        <w:rPr>
          <w:rFonts w:ascii="Cambria" w:hAnsi="Cambria"/>
        </w:rPr>
        <w:t>Stephen Warr</w:t>
      </w:r>
    </w:p>
    <w:p w14:paraId="5595F599" w14:textId="77777777" w:rsidR="00C47B80" w:rsidRPr="00A24116" w:rsidRDefault="00C47B80" w:rsidP="00C47B80">
      <w:pPr>
        <w:pStyle w:val="BodyText"/>
        <w:jc w:val="both"/>
        <w:rPr>
          <w:rFonts w:ascii="Cambria" w:hAnsi="Cambria"/>
        </w:rPr>
      </w:pPr>
      <w:r>
        <w:rPr>
          <w:rFonts w:ascii="Cambria" w:hAnsi="Cambria"/>
        </w:rPr>
        <w:t>Director ejecutivo (en funciones)</w:t>
      </w:r>
    </w:p>
    <w:p w14:paraId="74FBCCEA" w14:textId="77777777" w:rsidR="00C47B80" w:rsidRPr="00A24116" w:rsidRDefault="00C47B80" w:rsidP="00C47B80">
      <w:pPr>
        <w:pStyle w:val="BodyText"/>
        <w:jc w:val="both"/>
        <w:rPr>
          <w:rFonts w:ascii="Cambria" w:hAnsi="Cambria"/>
        </w:rPr>
      </w:pPr>
      <w:r>
        <w:rPr>
          <w:rFonts w:ascii="Cambria" w:hAnsi="Cambria"/>
        </w:rPr>
        <w:t>Departamento de Medio Ambiente, Sostenibilidad, Cambio Climático y Patrimonio</w:t>
      </w:r>
    </w:p>
    <w:p w14:paraId="7AF12125" w14:textId="77777777" w:rsidR="00C47B80" w:rsidRPr="00FE325D" w:rsidRDefault="00C47B80" w:rsidP="00C47B80">
      <w:pPr>
        <w:pStyle w:val="BodyText"/>
        <w:jc w:val="both"/>
        <w:rPr>
          <w:rFonts w:ascii="Cambria" w:hAnsi="Cambria"/>
        </w:rPr>
      </w:pPr>
    </w:p>
    <w:p w14:paraId="65202337" w14:textId="77777777" w:rsidR="000B03D3" w:rsidRPr="00FE325D" w:rsidRDefault="000B03D3" w:rsidP="00C47B80">
      <w:pPr>
        <w:pStyle w:val="BodyText"/>
        <w:jc w:val="both"/>
        <w:rPr>
          <w:rFonts w:ascii="Cambria" w:hAnsi="Cambria"/>
        </w:rPr>
      </w:pPr>
    </w:p>
    <w:p w14:paraId="0F917743" w14:textId="1FDE85D2" w:rsidR="00C47B80" w:rsidRPr="00A24116" w:rsidRDefault="00C47B80" w:rsidP="000B03D3">
      <w:pPr>
        <w:pStyle w:val="BodyText"/>
        <w:ind w:left="426" w:hanging="426"/>
        <w:jc w:val="both"/>
        <w:rPr>
          <w:rFonts w:ascii="Cambria" w:hAnsi="Cambria"/>
        </w:rPr>
      </w:pPr>
      <w:proofErr w:type="spellStart"/>
      <w:r>
        <w:rPr>
          <w:rFonts w:ascii="Cambria" w:hAnsi="Cambria"/>
        </w:rPr>
        <w:t>cc</w:t>
      </w:r>
      <w:proofErr w:type="spellEnd"/>
      <w:r>
        <w:rPr>
          <w:rFonts w:ascii="Cambria" w:hAnsi="Cambria"/>
        </w:rPr>
        <w:t>:</w:t>
      </w:r>
      <w:r>
        <w:rPr>
          <w:rFonts w:ascii="Cambria" w:hAnsi="Cambria"/>
        </w:rPr>
        <w:tab/>
        <w:t xml:space="preserve">El M. </w:t>
      </w:r>
      <w:proofErr w:type="spellStart"/>
      <w:r>
        <w:rPr>
          <w:rFonts w:ascii="Cambria" w:hAnsi="Cambria"/>
        </w:rPr>
        <w:t>Hble</w:t>
      </w:r>
      <w:proofErr w:type="spellEnd"/>
      <w:r>
        <w:rPr>
          <w:rFonts w:ascii="Cambria" w:hAnsi="Cambria"/>
        </w:rPr>
        <w:t>. Prof. John Cortes MBE. Ministro de Medio Ambiente, Gobierno de SM de Gibraltar</w:t>
      </w:r>
    </w:p>
    <w:p w14:paraId="5A9911B1" w14:textId="77777777" w:rsidR="00C47B80" w:rsidRPr="00A24116" w:rsidRDefault="00C47B80" w:rsidP="00C47B80">
      <w:pPr>
        <w:pStyle w:val="BodyText"/>
        <w:jc w:val="both"/>
        <w:rPr>
          <w:rFonts w:ascii="Cambria" w:hAnsi="Cambria"/>
          <w:w w:val="110"/>
        </w:rPr>
      </w:pPr>
    </w:p>
    <w:p w14:paraId="3D4890A9" w14:textId="77777777" w:rsidR="00C47B80" w:rsidRPr="00A24116" w:rsidRDefault="00C47B80" w:rsidP="00C47B80">
      <w:pPr>
        <w:pStyle w:val="BodyText"/>
        <w:jc w:val="both"/>
        <w:rPr>
          <w:rFonts w:ascii="Cambria" w:hAnsi="Cambria"/>
          <w:w w:val="110"/>
        </w:rPr>
      </w:pPr>
    </w:p>
    <w:p w14:paraId="23E289AC" w14:textId="77777777" w:rsidR="00C47B80" w:rsidRPr="00A24116" w:rsidRDefault="00C47B80" w:rsidP="00C47B80">
      <w:pPr>
        <w:pStyle w:val="BodyText"/>
        <w:ind w:left="230"/>
        <w:rPr>
          <w:rFonts w:ascii="Cambria" w:hAnsi="Cambria"/>
          <w:w w:val="110"/>
        </w:rPr>
      </w:pPr>
      <w:r>
        <w:br w:type="page"/>
      </w:r>
    </w:p>
    <w:p w14:paraId="57590D87" w14:textId="77777777" w:rsidR="00C47B80" w:rsidRPr="00A24116" w:rsidRDefault="00C47B80" w:rsidP="00C47B80">
      <w:pPr>
        <w:spacing w:after="0" w:line="240" w:lineRule="auto"/>
        <w:ind w:left="1541"/>
        <w:jc w:val="right"/>
        <w:rPr>
          <w:rFonts w:ascii="Cambria" w:hAnsi="Cambria"/>
          <w:b/>
          <w:w w:val="105"/>
          <w:sz w:val="20"/>
          <w:szCs w:val="20"/>
        </w:rPr>
      </w:pPr>
      <w:r>
        <w:rPr>
          <w:rFonts w:ascii="Cambria" w:hAnsi="Cambria"/>
          <w:b/>
          <w:sz w:val="20"/>
        </w:rPr>
        <w:lastRenderedPageBreak/>
        <w:t>Anexo</w:t>
      </w:r>
    </w:p>
    <w:p w14:paraId="65674C01" w14:textId="77777777" w:rsidR="00C47B80" w:rsidRPr="00A24116" w:rsidRDefault="00C47B80" w:rsidP="00C47B80">
      <w:pPr>
        <w:spacing w:after="0" w:line="240" w:lineRule="auto"/>
        <w:ind w:left="1541"/>
        <w:jc w:val="right"/>
        <w:rPr>
          <w:rFonts w:ascii="Cambria" w:hAnsi="Cambria"/>
          <w:b/>
          <w:w w:val="105"/>
          <w:sz w:val="20"/>
          <w:szCs w:val="20"/>
        </w:rPr>
      </w:pPr>
    </w:p>
    <w:p w14:paraId="3E6B57F0" w14:textId="6CEA6575" w:rsidR="00C47B80" w:rsidRPr="00A24116" w:rsidRDefault="00C47B80" w:rsidP="00C47B80">
      <w:pPr>
        <w:spacing w:after="0" w:line="240" w:lineRule="auto"/>
        <w:jc w:val="center"/>
        <w:rPr>
          <w:rFonts w:ascii="Cambria" w:hAnsi="Cambria"/>
          <w:b/>
          <w:sz w:val="20"/>
          <w:szCs w:val="20"/>
        </w:rPr>
      </w:pPr>
      <w:r>
        <w:rPr>
          <w:rFonts w:ascii="Cambria" w:hAnsi="Cambria"/>
          <w:b/>
          <w:sz w:val="20"/>
        </w:rPr>
        <w:t>Resumen de las estadísticas de la temporada abierta de atún rojo para el periodo 2015-2026</w:t>
      </w:r>
    </w:p>
    <w:p w14:paraId="3941D938" w14:textId="77777777" w:rsidR="000B03D3" w:rsidRPr="00A24116" w:rsidRDefault="000B03D3" w:rsidP="000B03D3">
      <w:pPr>
        <w:spacing w:after="0" w:line="240" w:lineRule="atLeast"/>
        <w:rPr>
          <w:rFonts w:ascii="Cambria" w:hAnsi="Cambria"/>
          <w:sz w:val="20"/>
          <w:szCs w:val="20"/>
        </w:rPr>
      </w:pPr>
    </w:p>
    <w:tbl>
      <w:tblPr>
        <w:tblW w:w="9782" w:type="dxa"/>
        <w:tblInd w:w="-431" w:type="dxa"/>
        <w:tblLayout w:type="fixed"/>
        <w:tblLook w:val="04A0" w:firstRow="1" w:lastRow="0" w:firstColumn="1" w:lastColumn="0" w:noHBand="0" w:noVBand="1"/>
      </w:tblPr>
      <w:tblGrid>
        <w:gridCol w:w="3828"/>
        <w:gridCol w:w="993"/>
        <w:gridCol w:w="992"/>
        <w:gridCol w:w="992"/>
        <w:gridCol w:w="988"/>
        <w:gridCol w:w="997"/>
        <w:gridCol w:w="992"/>
      </w:tblGrid>
      <w:tr w:rsidR="00C57EB9" w:rsidRPr="00A24116" w14:paraId="51A50802"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A789B0" w14:textId="77777777" w:rsidR="00C57EB9" w:rsidRPr="00A24116" w:rsidRDefault="00C57EB9" w:rsidP="00C57EB9">
            <w:pPr>
              <w:spacing w:after="0" w:line="240" w:lineRule="auto"/>
              <w:rPr>
                <w:rFonts w:ascii="Cambria" w:eastAsia="Times New Roman" w:hAnsi="Cambria" w:cs="Times New Roman"/>
                <w:b/>
                <w:bCs/>
                <w:color w:val="000000"/>
                <w:sz w:val="20"/>
                <w:szCs w:val="20"/>
              </w:rPr>
            </w:pPr>
            <w:r>
              <w:rPr>
                <w:rFonts w:ascii="Cambria" w:hAnsi="Cambria"/>
                <w:b/>
                <w:color w:val="000000"/>
                <w:sz w:val="20"/>
              </w:rPr>
              <w:t>Año</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095A0CDE"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2015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5EAC51BA"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2016</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13C8257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2017</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0050FD8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2018</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3E19D9BD"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2019</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0C2F105"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2020</w:t>
            </w:r>
          </w:p>
        </w:tc>
      </w:tr>
      <w:tr w:rsidR="00C57EB9" w:rsidRPr="00A24116" w14:paraId="7C7F225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3312199"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Total admisible de captura (t)</w:t>
            </w:r>
          </w:p>
        </w:tc>
        <w:tc>
          <w:tcPr>
            <w:tcW w:w="993" w:type="dxa"/>
            <w:tcBorders>
              <w:top w:val="single" w:sz="4" w:space="0" w:color="auto"/>
              <w:left w:val="nil"/>
              <w:bottom w:val="single" w:sz="4" w:space="0" w:color="auto"/>
              <w:right w:val="single" w:sz="4" w:space="0" w:color="auto"/>
            </w:tcBorders>
            <w:noWrap/>
            <w:vAlign w:val="center"/>
            <w:hideMark/>
          </w:tcPr>
          <w:p w14:paraId="4EE2CCF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13</w:t>
            </w:r>
          </w:p>
        </w:tc>
        <w:tc>
          <w:tcPr>
            <w:tcW w:w="992" w:type="dxa"/>
            <w:tcBorders>
              <w:top w:val="single" w:sz="4" w:space="0" w:color="auto"/>
              <w:left w:val="nil"/>
              <w:bottom w:val="single" w:sz="4" w:space="0" w:color="auto"/>
              <w:right w:val="single" w:sz="4" w:space="0" w:color="auto"/>
            </w:tcBorders>
            <w:noWrap/>
            <w:vAlign w:val="center"/>
            <w:hideMark/>
          </w:tcPr>
          <w:p w14:paraId="6DDDE629"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13</w:t>
            </w:r>
          </w:p>
        </w:tc>
        <w:tc>
          <w:tcPr>
            <w:tcW w:w="992" w:type="dxa"/>
            <w:tcBorders>
              <w:top w:val="single" w:sz="4" w:space="0" w:color="auto"/>
              <w:left w:val="nil"/>
              <w:bottom w:val="single" w:sz="4" w:space="0" w:color="auto"/>
              <w:right w:val="single" w:sz="4" w:space="0" w:color="auto"/>
            </w:tcBorders>
            <w:noWrap/>
            <w:vAlign w:val="center"/>
            <w:hideMark/>
          </w:tcPr>
          <w:p w14:paraId="74D3A934"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15,5</w:t>
            </w:r>
          </w:p>
        </w:tc>
        <w:tc>
          <w:tcPr>
            <w:tcW w:w="988" w:type="dxa"/>
            <w:tcBorders>
              <w:top w:val="single" w:sz="4" w:space="0" w:color="auto"/>
              <w:left w:val="nil"/>
              <w:bottom w:val="single" w:sz="4" w:space="0" w:color="auto"/>
              <w:right w:val="single" w:sz="4" w:space="0" w:color="auto"/>
            </w:tcBorders>
            <w:noWrap/>
            <w:vAlign w:val="center"/>
            <w:hideMark/>
          </w:tcPr>
          <w:p w14:paraId="770F28E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15,5</w:t>
            </w:r>
          </w:p>
        </w:tc>
        <w:tc>
          <w:tcPr>
            <w:tcW w:w="997" w:type="dxa"/>
            <w:tcBorders>
              <w:top w:val="single" w:sz="4" w:space="0" w:color="auto"/>
              <w:left w:val="nil"/>
              <w:bottom w:val="single" w:sz="4" w:space="0" w:color="auto"/>
              <w:right w:val="single" w:sz="4" w:space="0" w:color="auto"/>
            </w:tcBorders>
            <w:noWrap/>
            <w:vAlign w:val="center"/>
            <w:hideMark/>
          </w:tcPr>
          <w:p w14:paraId="1BA0E6E2"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16,74</w:t>
            </w:r>
          </w:p>
        </w:tc>
        <w:tc>
          <w:tcPr>
            <w:tcW w:w="992" w:type="dxa"/>
            <w:tcBorders>
              <w:top w:val="single" w:sz="4" w:space="0" w:color="auto"/>
              <w:left w:val="nil"/>
              <w:bottom w:val="single" w:sz="4" w:space="0" w:color="auto"/>
              <w:right w:val="single" w:sz="4" w:space="0" w:color="auto"/>
            </w:tcBorders>
            <w:noWrap/>
            <w:vAlign w:val="center"/>
            <w:hideMark/>
          </w:tcPr>
          <w:p w14:paraId="06C6322A"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19,81</w:t>
            </w:r>
          </w:p>
        </w:tc>
      </w:tr>
      <w:tr w:rsidR="00C57EB9" w:rsidRPr="00A24116" w14:paraId="55FA75F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345630F6"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Desembarque/captura anual (kg)</w:t>
            </w:r>
          </w:p>
        </w:tc>
        <w:tc>
          <w:tcPr>
            <w:tcW w:w="993" w:type="dxa"/>
            <w:tcBorders>
              <w:top w:val="single" w:sz="4" w:space="0" w:color="auto"/>
              <w:left w:val="nil"/>
              <w:bottom w:val="single" w:sz="4" w:space="0" w:color="auto"/>
              <w:right w:val="single" w:sz="4" w:space="0" w:color="auto"/>
            </w:tcBorders>
            <w:noWrap/>
            <w:vAlign w:val="center"/>
            <w:hideMark/>
          </w:tcPr>
          <w:p w14:paraId="69A12BD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12.746</w:t>
            </w:r>
          </w:p>
        </w:tc>
        <w:tc>
          <w:tcPr>
            <w:tcW w:w="992" w:type="dxa"/>
            <w:tcBorders>
              <w:top w:val="single" w:sz="4" w:space="0" w:color="auto"/>
              <w:left w:val="nil"/>
              <w:bottom w:val="single" w:sz="4" w:space="0" w:color="auto"/>
              <w:right w:val="single" w:sz="4" w:space="0" w:color="auto"/>
            </w:tcBorders>
            <w:noWrap/>
            <w:vAlign w:val="center"/>
            <w:hideMark/>
          </w:tcPr>
          <w:p w14:paraId="671C25E8"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13.894*</w:t>
            </w:r>
          </w:p>
        </w:tc>
        <w:tc>
          <w:tcPr>
            <w:tcW w:w="992" w:type="dxa"/>
            <w:tcBorders>
              <w:top w:val="single" w:sz="4" w:space="0" w:color="auto"/>
              <w:left w:val="nil"/>
              <w:bottom w:val="single" w:sz="4" w:space="0" w:color="auto"/>
              <w:right w:val="single" w:sz="4" w:space="0" w:color="auto"/>
            </w:tcBorders>
            <w:noWrap/>
            <w:vAlign w:val="center"/>
            <w:hideMark/>
          </w:tcPr>
          <w:p w14:paraId="3DE71BB5"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16.190*</w:t>
            </w:r>
          </w:p>
        </w:tc>
        <w:tc>
          <w:tcPr>
            <w:tcW w:w="988" w:type="dxa"/>
            <w:tcBorders>
              <w:top w:val="single" w:sz="4" w:space="0" w:color="auto"/>
              <w:left w:val="nil"/>
              <w:bottom w:val="single" w:sz="4" w:space="0" w:color="auto"/>
              <w:right w:val="single" w:sz="4" w:space="0" w:color="auto"/>
            </w:tcBorders>
            <w:noWrap/>
            <w:vAlign w:val="center"/>
            <w:hideMark/>
          </w:tcPr>
          <w:p w14:paraId="661ED434"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14.603</w:t>
            </w:r>
          </w:p>
        </w:tc>
        <w:tc>
          <w:tcPr>
            <w:tcW w:w="997" w:type="dxa"/>
            <w:tcBorders>
              <w:top w:val="single" w:sz="4" w:space="0" w:color="auto"/>
              <w:left w:val="nil"/>
              <w:bottom w:val="single" w:sz="4" w:space="0" w:color="auto"/>
              <w:right w:val="single" w:sz="4" w:space="0" w:color="auto"/>
            </w:tcBorders>
            <w:noWrap/>
            <w:vAlign w:val="center"/>
            <w:hideMark/>
          </w:tcPr>
          <w:p w14:paraId="47BFCCD8"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17.378*</w:t>
            </w:r>
          </w:p>
        </w:tc>
        <w:tc>
          <w:tcPr>
            <w:tcW w:w="992" w:type="dxa"/>
            <w:tcBorders>
              <w:top w:val="single" w:sz="4" w:space="0" w:color="auto"/>
              <w:left w:val="nil"/>
              <w:bottom w:val="single" w:sz="4" w:space="0" w:color="auto"/>
              <w:right w:val="single" w:sz="4" w:space="0" w:color="auto"/>
            </w:tcBorders>
            <w:noWrap/>
            <w:vAlign w:val="center"/>
            <w:hideMark/>
          </w:tcPr>
          <w:p w14:paraId="24226146"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20.020*</w:t>
            </w:r>
          </w:p>
        </w:tc>
      </w:tr>
      <w:tr w:rsidR="00C57EB9" w:rsidRPr="00A24116" w14:paraId="621E957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48DA0FD"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Peso medio (kg)</w:t>
            </w:r>
          </w:p>
        </w:tc>
        <w:tc>
          <w:tcPr>
            <w:tcW w:w="993" w:type="dxa"/>
            <w:tcBorders>
              <w:top w:val="single" w:sz="4" w:space="0" w:color="auto"/>
              <w:left w:val="nil"/>
              <w:bottom w:val="single" w:sz="4" w:space="0" w:color="auto"/>
              <w:right w:val="single" w:sz="4" w:space="0" w:color="auto"/>
            </w:tcBorders>
            <w:noWrap/>
            <w:vAlign w:val="center"/>
            <w:hideMark/>
          </w:tcPr>
          <w:p w14:paraId="4865CC3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47</w:t>
            </w:r>
          </w:p>
        </w:tc>
        <w:tc>
          <w:tcPr>
            <w:tcW w:w="992" w:type="dxa"/>
            <w:tcBorders>
              <w:top w:val="single" w:sz="4" w:space="0" w:color="auto"/>
              <w:left w:val="nil"/>
              <w:bottom w:val="single" w:sz="4" w:space="0" w:color="auto"/>
              <w:right w:val="single" w:sz="4" w:space="0" w:color="auto"/>
            </w:tcBorders>
            <w:noWrap/>
            <w:vAlign w:val="center"/>
            <w:hideMark/>
          </w:tcPr>
          <w:p w14:paraId="0458770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88</w:t>
            </w:r>
          </w:p>
        </w:tc>
        <w:tc>
          <w:tcPr>
            <w:tcW w:w="992" w:type="dxa"/>
            <w:tcBorders>
              <w:top w:val="single" w:sz="4" w:space="0" w:color="auto"/>
              <w:left w:val="nil"/>
              <w:bottom w:val="single" w:sz="4" w:space="0" w:color="auto"/>
              <w:right w:val="single" w:sz="4" w:space="0" w:color="auto"/>
            </w:tcBorders>
            <w:noWrap/>
            <w:vAlign w:val="center"/>
            <w:hideMark/>
          </w:tcPr>
          <w:p w14:paraId="50DB3CF4"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98</w:t>
            </w:r>
          </w:p>
        </w:tc>
        <w:tc>
          <w:tcPr>
            <w:tcW w:w="988" w:type="dxa"/>
            <w:tcBorders>
              <w:top w:val="single" w:sz="4" w:space="0" w:color="auto"/>
              <w:left w:val="nil"/>
              <w:bottom w:val="single" w:sz="4" w:space="0" w:color="auto"/>
              <w:right w:val="single" w:sz="4" w:space="0" w:color="auto"/>
            </w:tcBorders>
            <w:noWrap/>
            <w:vAlign w:val="center"/>
            <w:hideMark/>
          </w:tcPr>
          <w:p w14:paraId="05BE4EAF"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121</w:t>
            </w:r>
          </w:p>
        </w:tc>
        <w:tc>
          <w:tcPr>
            <w:tcW w:w="997" w:type="dxa"/>
            <w:tcBorders>
              <w:top w:val="single" w:sz="4" w:space="0" w:color="auto"/>
              <w:left w:val="nil"/>
              <w:bottom w:val="single" w:sz="4" w:space="0" w:color="auto"/>
              <w:right w:val="single" w:sz="4" w:space="0" w:color="auto"/>
            </w:tcBorders>
            <w:noWrap/>
            <w:vAlign w:val="center"/>
            <w:hideMark/>
          </w:tcPr>
          <w:p w14:paraId="70DD5495"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117</w:t>
            </w:r>
          </w:p>
        </w:tc>
        <w:tc>
          <w:tcPr>
            <w:tcW w:w="992" w:type="dxa"/>
            <w:tcBorders>
              <w:top w:val="single" w:sz="4" w:space="0" w:color="auto"/>
              <w:left w:val="nil"/>
              <w:bottom w:val="single" w:sz="4" w:space="0" w:color="auto"/>
              <w:right w:val="single" w:sz="4" w:space="0" w:color="auto"/>
            </w:tcBorders>
            <w:noWrap/>
            <w:vAlign w:val="center"/>
            <w:hideMark/>
          </w:tcPr>
          <w:p w14:paraId="7602BD21"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83</w:t>
            </w:r>
          </w:p>
        </w:tc>
      </w:tr>
      <w:tr w:rsidR="00C57EB9" w:rsidRPr="00A24116" w14:paraId="6F61020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A5A0260"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Ejemplar más grande (kg)</w:t>
            </w:r>
          </w:p>
        </w:tc>
        <w:tc>
          <w:tcPr>
            <w:tcW w:w="993" w:type="dxa"/>
            <w:tcBorders>
              <w:top w:val="single" w:sz="4" w:space="0" w:color="auto"/>
              <w:left w:val="nil"/>
              <w:bottom w:val="single" w:sz="4" w:space="0" w:color="auto"/>
              <w:right w:val="single" w:sz="4" w:space="0" w:color="auto"/>
            </w:tcBorders>
            <w:noWrap/>
            <w:vAlign w:val="center"/>
            <w:hideMark/>
          </w:tcPr>
          <w:p w14:paraId="7A1A0386"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271</w:t>
            </w:r>
          </w:p>
        </w:tc>
        <w:tc>
          <w:tcPr>
            <w:tcW w:w="992" w:type="dxa"/>
            <w:tcBorders>
              <w:top w:val="single" w:sz="4" w:space="0" w:color="auto"/>
              <w:left w:val="nil"/>
              <w:bottom w:val="single" w:sz="4" w:space="0" w:color="auto"/>
              <w:right w:val="single" w:sz="4" w:space="0" w:color="auto"/>
            </w:tcBorders>
            <w:noWrap/>
            <w:vAlign w:val="center"/>
            <w:hideMark/>
          </w:tcPr>
          <w:p w14:paraId="5306260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274</w:t>
            </w:r>
          </w:p>
        </w:tc>
        <w:tc>
          <w:tcPr>
            <w:tcW w:w="992" w:type="dxa"/>
            <w:tcBorders>
              <w:top w:val="single" w:sz="4" w:space="0" w:color="auto"/>
              <w:left w:val="nil"/>
              <w:bottom w:val="single" w:sz="4" w:space="0" w:color="auto"/>
              <w:right w:val="single" w:sz="4" w:space="0" w:color="auto"/>
            </w:tcBorders>
            <w:noWrap/>
            <w:vAlign w:val="center"/>
            <w:hideMark/>
          </w:tcPr>
          <w:p w14:paraId="2DEE18F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279</w:t>
            </w:r>
          </w:p>
        </w:tc>
        <w:tc>
          <w:tcPr>
            <w:tcW w:w="988" w:type="dxa"/>
            <w:tcBorders>
              <w:top w:val="single" w:sz="4" w:space="0" w:color="auto"/>
              <w:left w:val="nil"/>
              <w:bottom w:val="single" w:sz="4" w:space="0" w:color="auto"/>
              <w:right w:val="single" w:sz="4" w:space="0" w:color="auto"/>
            </w:tcBorders>
            <w:noWrap/>
            <w:vAlign w:val="center"/>
            <w:hideMark/>
          </w:tcPr>
          <w:p w14:paraId="223F77B8"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299</w:t>
            </w:r>
          </w:p>
        </w:tc>
        <w:tc>
          <w:tcPr>
            <w:tcW w:w="997" w:type="dxa"/>
            <w:tcBorders>
              <w:top w:val="single" w:sz="4" w:space="0" w:color="auto"/>
              <w:left w:val="nil"/>
              <w:bottom w:val="single" w:sz="4" w:space="0" w:color="auto"/>
              <w:right w:val="single" w:sz="4" w:space="0" w:color="auto"/>
            </w:tcBorders>
            <w:noWrap/>
            <w:vAlign w:val="center"/>
            <w:hideMark/>
          </w:tcPr>
          <w:p w14:paraId="77E0A116"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267</w:t>
            </w:r>
          </w:p>
        </w:tc>
        <w:tc>
          <w:tcPr>
            <w:tcW w:w="992" w:type="dxa"/>
            <w:tcBorders>
              <w:top w:val="single" w:sz="4" w:space="0" w:color="auto"/>
              <w:left w:val="nil"/>
              <w:bottom w:val="single" w:sz="4" w:space="0" w:color="auto"/>
              <w:right w:val="single" w:sz="4" w:space="0" w:color="auto"/>
            </w:tcBorders>
            <w:noWrap/>
            <w:vAlign w:val="center"/>
            <w:hideMark/>
          </w:tcPr>
          <w:p w14:paraId="7F90C1A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341</w:t>
            </w:r>
          </w:p>
        </w:tc>
      </w:tr>
      <w:tr w:rsidR="00C57EB9" w:rsidRPr="00A24116" w14:paraId="357911A7"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779867FD" w14:textId="38A2D700"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Total de pescadores deportivos/recreativos con licencia que desembarcan atún rojo</w:t>
            </w:r>
          </w:p>
        </w:tc>
        <w:tc>
          <w:tcPr>
            <w:tcW w:w="993" w:type="dxa"/>
            <w:tcBorders>
              <w:top w:val="single" w:sz="4" w:space="0" w:color="auto"/>
              <w:left w:val="nil"/>
              <w:bottom w:val="single" w:sz="4" w:space="0" w:color="auto"/>
              <w:right w:val="single" w:sz="4" w:space="0" w:color="auto"/>
            </w:tcBorders>
            <w:noWrap/>
            <w:vAlign w:val="center"/>
            <w:hideMark/>
          </w:tcPr>
          <w:p w14:paraId="2CDA48D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114</w:t>
            </w:r>
          </w:p>
        </w:tc>
        <w:tc>
          <w:tcPr>
            <w:tcW w:w="992" w:type="dxa"/>
            <w:tcBorders>
              <w:top w:val="single" w:sz="4" w:space="0" w:color="auto"/>
              <w:left w:val="nil"/>
              <w:bottom w:val="single" w:sz="4" w:space="0" w:color="auto"/>
              <w:right w:val="single" w:sz="4" w:space="0" w:color="auto"/>
            </w:tcBorders>
            <w:noWrap/>
            <w:vAlign w:val="center"/>
            <w:hideMark/>
          </w:tcPr>
          <w:p w14:paraId="4D28A07E"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89</w:t>
            </w:r>
          </w:p>
        </w:tc>
        <w:tc>
          <w:tcPr>
            <w:tcW w:w="992" w:type="dxa"/>
            <w:tcBorders>
              <w:top w:val="single" w:sz="4" w:space="0" w:color="auto"/>
              <w:left w:val="nil"/>
              <w:bottom w:val="single" w:sz="4" w:space="0" w:color="auto"/>
              <w:right w:val="single" w:sz="4" w:space="0" w:color="auto"/>
            </w:tcBorders>
            <w:noWrap/>
            <w:vAlign w:val="center"/>
            <w:hideMark/>
          </w:tcPr>
          <w:p w14:paraId="2AA1D372"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69</w:t>
            </w:r>
          </w:p>
        </w:tc>
        <w:tc>
          <w:tcPr>
            <w:tcW w:w="988" w:type="dxa"/>
            <w:tcBorders>
              <w:top w:val="single" w:sz="4" w:space="0" w:color="auto"/>
              <w:left w:val="nil"/>
              <w:bottom w:val="single" w:sz="4" w:space="0" w:color="auto"/>
              <w:right w:val="single" w:sz="4" w:space="0" w:color="auto"/>
            </w:tcBorders>
            <w:noWrap/>
            <w:vAlign w:val="center"/>
            <w:hideMark/>
          </w:tcPr>
          <w:p w14:paraId="1D3995CE"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63</w:t>
            </w:r>
          </w:p>
        </w:tc>
        <w:tc>
          <w:tcPr>
            <w:tcW w:w="997" w:type="dxa"/>
            <w:tcBorders>
              <w:top w:val="single" w:sz="4" w:space="0" w:color="auto"/>
              <w:left w:val="nil"/>
              <w:bottom w:val="single" w:sz="4" w:space="0" w:color="auto"/>
              <w:right w:val="single" w:sz="4" w:space="0" w:color="auto"/>
            </w:tcBorders>
            <w:noWrap/>
            <w:vAlign w:val="center"/>
            <w:hideMark/>
          </w:tcPr>
          <w:p w14:paraId="4534CE1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79</w:t>
            </w:r>
          </w:p>
        </w:tc>
        <w:tc>
          <w:tcPr>
            <w:tcW w:w="992" w:type="dxa"/>
            <w:tcBorders>
              <w:top w:val="single" w:sz="4" w:space="0" w:color="auto"/>
              <w:left w:val="nil"/>
              <w:bottom w:val="single" w:sz="4" w:space="0" w:color="auto"/>
              <w:right w:val="single" w:sz="4" w:space="0" w:color="auto"/>
            </w:tcBorders>
            <w:noWrap/>
            <w:vAlign w:val="center"/>
            <w:hideMark/>
          </w:tcPr>
          <w:p w14:paraId="15D20791"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132</w:t>
            </w:r>
          </w:p>
        </w:tc>
      </w:tr>
      <w:tr w:rsidR="00C57EB9" w:rsidRPr="00A24116" w14:paraId="4F5EC0C0"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0A7148E"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Días totales en temporada abierta</w:t>
            </w:r>
          </w:p>
        </w:tc>
        <w:tc>
          <w:tcPr>
            <w:tcW w:w="993" w:type="dxa"/>
            <w:tcBorders>
              <w:top w:val="single" w:sz="4" w:space="0" w:color="auto"/>
              <w:left w:val="nil"/>
              <w:bottom w:val="single" w:sz="4" w:space="0" w:color="auto"/>
              <w:right w:val="single" w:sz="4" w:space="0" w:color="auto"/>
            </w:tcBorders>
            <w:noWrap/>
            <w:vAlign w:val="center"/>
            <w:hideMark/>
          </w:tcPr>
          <w:p w14:paraId="24CC39BE"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123</w:t>
            </w:r>
          </w:p>
        </w:tc>
        <w:tc>
          <w:tcPr>
            <w:tcW w:w="992" w:type="dxa"/>
            <w:tcBorders>
              <w:top w:val="single" w:sz="4" w:space="0" w:color="auto"/>
              <w:left w:val="nil"/>
              <w:bottom w:val="single" w:sz="4" w:space="0" w:color="auto"/>
              <w:right w:val="single" w:sz="4" w:space="0" w:color="auto"/>
            </w:tcBorders>
            <w:noWrap/>
            <w:vAlign w:val="center"/>
            <w:hideMark/>
          </w:tcPr>
          <w:p w14:paraId="49D003AB"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121</w:t>
            </w:r>
          </w:p>
        </w:tc>
        <w:tc>
          <w:tcPr>
            <w:tcW w:w="992" w:type="dxa"/>
            <w:tcBorders>
              <w:top w:val="single" w:sz="4" w:space="0" w:color="auto"/>
              <w:left w:val="nil"/>
              <w:bottom w:val="single" w:sz="4" w:space="0" w:color="auto"/>
              <w:right w:val="single" w:sz="4" w:space="0" w:color="auto"/>
            </w:tcBorders>
            <w:noWrap/>
            <w:vAlign w:val="center"/>
            <w:hideMark/>
          </w:tcPr>
          <w:p w14:paraId="4C298DB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69,5</w:t>
            </w:r>
          </w:p>
        </w:tc>
        <w:tc>
          <w:tcPr>
            <w:tcW w:w="988" w:type="dxa"/>
            <w:tcBorders>
              <w:top w:val="single" w:sz="4" w:space="0" w:color="auto"/>
              <w:left w:val="nil"/>
              <w:bottom w:val="single" w:sz="4" w:space="0" w:color="auto"/>
              <w:right w:val="single" w:sz="4" w:space="0" w:color="auto"/>
            </w:tcBorders>
            <w:noWrap/>
            <w:vAlign w:val="center"/>
            <w:hideMark/>
          </w:tcPr>
          <w:p w14:paraId="712DF4A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93</w:t>
            </w:r>
          </w:p>
        </w:tc>
        <w:tc>
          <w:tcPr>
            <w:tcW w:w="997" w:type="dxa"/>
            <w:tcBorders>
              <w:top w:val="single" w:sz="4" w:space="0" w:color="auto"/>
              <w:left w:val="nil"/>
              <w:bottom w:val="single" w:sz="4" w:space="0" w:color="auto"/>
              <w:right w:val="single" w:sz="4" w:space="0" w:color="auto"/>
            </w:tcBorders>
            <w:noWrap/>
            <w:vAlign w:val="center"/>
            <w:hideMark/>
          </w:tcPr>
          <w:p w14:paraId="0B0E8DD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39,5</w:t>
            </w:r>
          </w:p>
        </w:tc>
        <w:tc>
          <w:tcPr>
            <w:tcW w:w="992" w:type="dxa"/>
            <w:tcBorders>
              <w:top w:val="single" w:sz="4" w:space="0" w:color="auto"/>
              <w:left w:val="nil"/>
              <w:bottom w:val="single" w:sz="4" w:space="0" w:color="auto"/>
              <w:right w:val="single" w:sz="4" w:space="0" w:color="auto"/>
            </w:tcBorders>
            <w:noWrap/>
            <w:vAlign w:val="center"/>
            <w:hideMark/>
          </w:tcPr>
          <w:p w14:paraId="48646AB7"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91</w:t>
            </w:r>
          </w:p>
        </w:tc>
      </w:tr>
      <w:tr w:rsidR="00C57EB9" w:rsidRPr="00A24116" w14:paraId="497B882D" w14:textId="77777777" w:rsidTr="00C57EB9">
        <w:tc>
          <w:tcPr>
            <w:tcW w:w="3828" w:type="dxa"/>
            <w:tcBorders>
              <w:top w:val="single" w:sz="4" w:space="0" w:color="auto"/>
            </w:tcBorders>
            <w:noWrap/>
            <w:vAlign w:val="center"/>
          </w:tcPr>
          <w:p w14:paraId="1A83E8D1" w14:textId="77777777" w:rsidR="00C57EB9" w:rsidRPr="00A24116" w:rsidRDefault="00C57EB9" w:rsidP="00C57EB9">
            <w:pPr>
              <w:spacing w:after="0" w:line="240" w:lineRule="auto"/>
              <w:rPr>
                <w:rFonts w:ascii="Cambria" w:eastAsia="Times New Roman" w:hAnsi="Cambria" w:cs="Times New Roman"/>
                <w:color w:val="000000"/>
                <w:sz w:val="20"/>
                <w:szCs w:val="20"/>
                <w:lang w:val="en-US" w:eastAsia="en-GB"/>
              </w:rPr>
            </w:pPr>
          </w:p>
        </w:tc>
        <w:tc>
          <w:tcPr>
            <w:tcW w:w="993" w:type="dxa"/>
            <w:tcBorders>
              <w:top w:val="single" w:sz="4" w:space="0" w:color="auto"/>
            </w:tcBorders>
            <w:noWrap/>
            <w:vAlign w:val="center"/>
          </w:tcPr>
          <w:p w14:paraId="51876CDF"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536883C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6B9417D2"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88" w:type="dxa"/>
            <w:tcBorders>
              <w:top w:val="single" w:sz="4" w:space="0" w:color="auto"/>
            </w:tcBorders>
            <w:noWrap/>
            <w:vAlign w:val="center"/>
          </w:tcPr>
          <w:p w14:paraId="2B62CBC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7" w:type="dxa"/>
            <w:tcBorders>
              <w:top w:val="single" w:sz="4" w:space="0" w:color="auto"/>
            </w:tcBorders>
            <w:noWrap/>
            <w:vAlign w:val="center"/>
          </w:tcPr>
          <w:p w14:paraId="083047C5"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3F3E061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r>
      <w:tr w:rsidR="00C57EB9" w:rsidRPr="00A24116" w14:paraId="781B9E7F" w14:textId="77777777" w:rsidTr="00C57EB9">
        <w:tc>
          <w:tcPr>
            <w:tcW w:w="3828" w:type="dxa"/>
            <w:tcBorders>
              <w:left w:val="nil"/>
              <w:bottom w:val="nil"/>
              <w:right w:val="nil"/>
            </w:tcBorders>
            <w:noWrap/>
            <w:vAlign w:val="center"/>
            <w:hideMark/>
          </w:tcPr>
          <w:p w14:paraId="01157087"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3" w:type="dxa"/>
            <w:tcBorders>
              <w:left w:val="nil"/>
              <w:bottom w:val="nil"/>
              <w:right w:val="nil"/>
            </w:tcBorders>
            <w:noWrap/>
            <w:vAlign w:val="center"/>
            <w:hideMark/>
          </w:tcPr>
          <w:p w14:paraId="2E8A984D"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160190BA"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5519EAE0"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88" w:type="dxa"/>
            <w:tcBorders>
              <w:left w:val="nil"/>
              <w:bottom w:val="nil"/>
              <w:right w:val="nil"/>
            </w:tcBorders>
            <w:noWrap/>
            <w:vAlign w:val="center"/>
            <w:hideMark/>
          </w:tcPr>
          <w:p w14:paraId="5E547784"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7" w:type="dxa"/>
            <w:tcBorders>
              <w:left w:val="nil"/>
              <w:bottom w:val="nil"/>
              <w:right w:val="nil"/>
            </w:tcBorders>
            <w:noWrap/>
            <w:vAlign w:val="center"/>
            <w:hideMark/>
          </w:tcPr>
          <w:p w14:paraId="6979E6E8"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049C37F7"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r>
      <w:tr w:rsidR="00C57EB9" w:rsidRPr="00A24116" w14:paraId="28E43B15"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69C6EF0" w14:textId="77777777" w:rsidR="00C57EB9" w:rsidRPr="00A24116" w:rsidRDefault="00C57EB9" w:rsidP="00C57EB9">
            <w:pPr>
              <w:spacing w:after="0" w:line="240" w:lineRule="auto"/>
              <w:rPr>
                <w:rFonts w:ascii="Cambria" w:eastAsia="Times New Roman" w:hAnsi="Cambria" w:cs="Times New Roman"/>
                <w:b/>
                <w:bCs/>
                <w:color w:val="000000"/>
                <w:sz w:val="20"/>
                <w:szCs w:val="20"/>
              </w:rPr>
            </w:pPr>
            <w:r>
              <w:rPr>
                <w:rFonts w:ascii="Cambria" w:hAnsi="Cambria"/>
                <w:b/>
                <w:color w:val="000000"/>
                <w:sz w:val="20"/>
              </w:rPr>
              <w:t>Año</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4A58D051"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2021</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C3C992E"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2022</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BCD46D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2023</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1D226FE2"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2024</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4D2AEE2B"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2FFC2E3"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rPr>
            </w:pPr>
            <w:r>
              <w:rPr>
                <w:rFonts w:ascii="Cambria" w:hAnsi="Cambria"/>
                <w:b/>
                <w:color w:val="000000"/>
                <w:sz w:val="20"/>
              </w:rPr>
              <w:t>2026**</w:t>
            </w:r>
          </w:p>
        </w:tc>
      </w:tr>
      <w:tr w:rsidR="00C57EB9" w:rsidRPr="00A24116" w14:paraId="7B8F9F50"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56BB6C72"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Total admisible de captura (t)</w:t>
            </w:r>
          </w:p>
        </w:tc>
        <w:tc>
          <w:tcPr>
            <w:tcW w:w="993" w:type="dxa"/>
            <w:tcBorders>
              <w:top w:val="nil"/>
              <w:left w:val="nil"/>
              <w:bottom w:val="single" w:sz="4" w:space="0" w:color="auto"/>
              <w:right w:val="single" w:sz="4" w:space="0" w:color="auto"/>
            </w:tcBorders>
            <w:noWrap/>
            <w:vAlign w:val="center"/>
            <w:hideMark/>
          </w:tcPr>
          <w:p w14:paraId="6F3C3DC2"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21</w:t>
            </w:r>
          </w:p>
        </w:tc>
        <w:tc>
          <w:tcPr>
            <w:tcW w:w="992" w:type="dxa"/>
            <w:tcBorders>
              <w:top w:val="nil"/>
              <w:left w:val="nil"/>
              <w:bottom w:val="single" w:sz="4" w:space="0" w:color="auto"/>
              <w:right w:val="single" w:sz="4" w:space="0" w:color="auto"/>
            </w:tcBorders>
            <w:noWrap/>
            <w:vAlign w:val="center"/>
            <w:hideMark/>
          </w:tcPr>
          <w:p w14:paraId="751A2E57"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22,5</w:t>
            </w:r>
          </w:p>
        </w:tc>
        <w:tc>
          <w:tcPr>
            <w:tcW w:w="992" w:type="dxa"/>
            <w:tcBorders>
              <w:top w:val="nil"/>
              <w:left w:val="nil"/>
              <w:bottom w:val="single" w:sz="4" w:space="0" w:color="auto"/>
              <w:right w:val="single" w:sz="4" w:space="0" w:color="auto"/>
            </w:tcBorders>
            <w:noWrap/>
            <w:vAlign w:val="center"/>
            <w:hideMark/>
          </w:tcPr>
          <w:p w14:paraId="0870AAFB"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25</w:t>
            </w:r>
          </w:p>
        </w:tc>
        <w:tc>
          <w:tcPr>
            <w:tcW w:w="988" w:type="dxa"/>
            <w:tcBorders>
              <w:top w:val="nil"/>
              <w:left w:val="nil"/>
              <w:bottom w:val="single" w:sz="4" w:space="0" w:color="auto"/>
              <w:right w:val="single" w:sz="4" w:space="0" w:color="auto"/>
            </w:tcBorders>
            <w:noWrap/>
            <w:vAlign w:val="center"/>
            <w:hideMark/>
          </w:tcPr>
          <w:p w14:paraId="655C1DE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25</w:t>
            </w:r>
          </w:p>
        </w:tc>
        <w:tc>
          <w:tcPr>
            <w:tcW w:w="997" w:type="dxa"/>
            <w:tcBorders>
              <w:top w:val="nil"/>
              <w:left w:val="nil"/>
              <w:bottom w:val="single" w:sz="4" w:space="0" w:color="auto"/>
              <w:right w:val="single" w:sz="4" w:space="0" w:color="auto"/>
            </w:tcBorders>
            <w:noWrap/>
            <w:vAlign w:val="center"/>
            <w:hideMark/>
          </w:tcPr>
          <w:p w14:paraId="19F3DBAC"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26</w:t>
            </w:r>
          </w:p>
        </w:tc>
        <w:tc>
          <w:tcPr>
            <w:tcW w:w="992" w:type="dxa"/>
            <w:tcBorders>
              <w:top w:val="nil"/>
              <w:left w:val="nil"/>
              <w:bottom w:val="single" w:sz="4" w:space="0" w:color="auto"/>
              <w:right w:val="single" w:sz="4" w:space="0" w:color="auto"/>
            </w:tcBorders>
            <w:noWrap/>
            <w:vAlign w:val="center"/>
            <w:hideMark/>
          </w:tcPr>
          <w:p w14:paraId="3B3F042A"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rPr>
            </w:pPr>
            <w:r>
              <w:rPr>
                <w:rFonts w:ascii="Cambria" w:hAnsi="Cambria"/>
                <w:b/>
                <w:color w:val="000000"/>
                <w:sz w:val="20"/>
              </w:rPr>
              <w:t>30</w:t>
            </w:r>
          </w:p>
        </w:tc>
      </w:tr>
      <w:tr w:rsidR="00C57EB9" w:rsidRPr="00A24116" w14:paraId="6E6B6685"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4FDFBB05"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Desembarque/captura anual (kg)</w:t>
            </w:r>
          </w:p>
        </w:tc>
        <w:tc>
          <w:tcPr>
            <w:tcW w:w="993" w:type="dxa"/>
            <w:tcBorders>
              <w:top w:val="nil"/>
              <w:left w:val="nil"/>
              <w:bottom w:val="single" w:sz="4" w:space="0" w:color="auto"/>
              <w:right w:val="single" w:sz="4" w:space="0" w:color="auto"/>
            </w:tcBorders>
            <w:noWrap/>
            <w:vAlign w:val="center"/>
            <w:hideMark/>
          </w:tcPr>
          <w:p w14:paraId="55168B8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21.576*</w:t>
            </w:r>
          </w:p>
        </w:tc>
        <w:tc>
          <w:tcPr>
            <w:tcW w:w="992" w:type="dxa"/>
            <w:tcBorders>
              <w:top w:val="nil"/>
              <w:left w:val="nil"/>
              <w:bottom w:val="single" w:sz="4" w:space="0" w:color="auto"/>
              <w:right w:val="single" w:sz="4" w:space="0" w:color="auto"/>
            </w:tcBorders>
            <w:noWrap/>
            <w:vAlign w:val="center"/>
            <w:hideMark/>
          </w:tcPr>
          <w:p w14:paraId="5CF2A1CA"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24.902*</w:t>
            </w:r>
          </w:p>
        </w:tc>
        <w:tc>
          <w:tcPr>
            <w:tcW w:w="992" w:type="dxa"/>
            <w:tcBorders>
              <w:top w:val="nil"/>
              <w:left w:val="nil"/>
              <w:bottom w:val="single" w:sz="4" w:space="0" w:color="auto"/>
              <w:right w:val="single" w:sz="4" w:space="0" w:color="auto"/>
            </w:tcBorders>
            <w:noWrap/>
            <w:vAlign w:val="center"/>
            <w:hideMark/>
          </w:tcPr>
          <w:p w14:paraId="633598A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27.739*</w:t>
            </w:r>
          </w:p>
        </w:tc>
        <w:tc>
          <w:tcPr>
            <w:tcW w:w="988" w:type="dxa"/>
            <w:tcBorders>
              <w:top w:val="nil"/>
              <w:left w:val="nil"/>
              <w:bottom w:val="single" w:sz="4" w:space="0" w:color="auto"/>
              <w:right w:val="single" w:sz="4" w:space="0" w:color="auto"/>
            </w:tcBorders>
            <w:noWrap/>
            <w:vAlign w:val="center"/>
            <w:hideMark/>
          </w:tcPr>
          <w:p w14:paraId="1A2D0E97"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24.555</w:t>
            </w:r>
          </w:p>
        </w:tc>
        <w:tc>
          <w:tcPr>
            <w:tcW w:w="997" w:type="dxa"/>
            <w:tcBorders>
              <w:top w:val="nil"/>
              <w:left w:val="nil"/>
              <w:bottom w:val="single" w:sz="4" w:space="0" w:color="auto"/>
              <w:right w:val="single" w:sz="4" w:space="0" w:color="auto"/>
            </w:tcBorders>
            <w:noWrap/>
            <w:vAlign w:val="center"/>
            <w:hideMark/>
          </w:tcPr>
          <w:p w14:paraId="4D956FE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26.318</w:t>
            </w:r>
          </w:p>
        </w:tc>
        <w:tc>
          <w:tcPr>
            <w:tcW w:w="992" w:type="dxa"/>
            <w:tcBorders>
              <w:top w:val="nil"/>
              <w:left w:val="nil"/>
              <w:bottom w:val="single" w:sz="4" w:space="0" w:color="auto"/>
              <w:right w:val="single" w:sz="4" w:space="0" w:color="auto"/>
            </w:tcBorders>
            <w:noWrap/>
            <w:vAlign w:val="center"/>
            <w:hideMark/>
          </w:tcPr>
          <w:p w14:paraId="78F1C6FA"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28.313</w:t>
            </w:r>
          </w:p>
        </w:tc>
      </w:tr>
      <w:tr w:rsidR="00C57EB9" w:rsidRPr="00A24116" w14:paraId="10906CF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948E657"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Peso medio (kg)</w:t>
            </w:r>
          </w:p>
        </w:tc>
        <w:tc>
          <w:tcPr>
            <w:tcW w:w="993" w:type="dxa"/>
            <w:tcBorders>
              <w:top w:val="nil"/>
              <w:left w:val="nil"/>
              <w:bottom w:val="single" w:sz="4" w:space="0" w:color="auto"/>
              <w:right w:val="single" w:sz="4" w:space="0" w:color="auto"/>
            </w:tcBorders>
            <w:noWrap/>
            <w:vAlign w:val="center"/>
            <w:hideMark/>
          </w:tcPr>
          <w:p w14:paraId="6CB97257"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128</w:t>
            </w:r>
          </w:p>
        </w:tc>
        <w:tc>
          <w:tcPr>
            <w:tcW w:w="992" w:type="dxa"/>
            <w:tcBorders>
              <w:top w:val="nil"/>
              <w:left w:val="nil"/>
              <w:bottom w:val="single" w:sz="4" w:space="0" w:color="auto"/>
              <w:right w:val="single" w:sz="4" w:space="0" w:color="auto"/>
            </w:tcBorders>
            <w:noWrap/>
            <w:vAlign w:val="center"/>
            <w:hideMark/>
          </w:tcPr>
          <w:p w14:paraId="2164728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128</w:t>
            </w:r>
          </w:p>
        </w:tc>
        <w:tc>
          <w:tcPr>
            <w:tcW w:w="992" w:type="dxa"/>
            <w:tcBorders>
              <w:top w:val="nil"/>
              <w:left w:val="nil"/>
              <w:bottom w:val="single" w:sz="4" w:space="0" w:color="auto"/>
              <w:right w:val="single" w:sz="4" w:space="0" w:color="auto"/>
            </w:tcBorders>
            <w:noWrap/>
            <w:vAlign w:val="center"/>
            <w:hideMark/>
          </w:tcPr>
          <w:p w14:paraId="258AC03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141</w:t>
            </w:r>
          </w:p>
        </w:tc>
        <w:tc>
          <w:tcPr>
            <w:tcW w:w="988" w:type="dxa"/>
            <w:tcBorders>
              <w:top w:val="nil"/>
              <w:left w:val="nil"/>
              <w:bottom w:val="single" w:sz="4" w:space="0" w:color="auto"/>
              <w:right w:val="single" w:sz="4" w:space="0" w:color="auto"/>
            </w:tcBorders>
            <w:noWrap/>
            <w:vAlign w:val="center"/>
            <w:hideMark/>
          </w:tcPr>
          <w:p w14:paraId="56FD050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177</w:t>
            </w:r>
          </w:p>
        </w:tc>
        <w:tc>
          <w:tcPr>
            <w:tcW w:w="997" w:type="dxa"/>
            <w:tcBorders>
              <w:top w:val="nil"/>
              <w:left w:val="nil"/>
              <w:bottom w:val="single" w:sz="4" w:space="0" w:color="auto"/>
              <w:right w:val="single" w:sz="4" w:space="0" w:color="auto"/>
            </w:tcBorders>
            <w:noWrap/>
            <w:vAlign w:val="center"/>
            <w:hideMark/>
          </w:tcPr>
          <w:p w14:paraId="43B5B6FA"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152</w:t>
            </w:r>
          </w:p>
        </w:tc>
        <w:tc>
          <w:tcPr>
            <w:tcW w:w="992" w:type="dxa"/>
            <w:tcBorders>
              <w:top w:val="nil"/>
              <w:left w:val="nil"/>
              <w:bottom w:val="single" w:sz="4" w:space="0" w:color="auto"/>
              <w:right w:val="single" w:sz="4" w:space="0" w:color="auto"/>
            </w:tcBorders>
            <w:noWrap/>
            <w:vAlign w:val="center"/>
            <w:hideMark/>
          </w:tcPr>
          <w:p w14:paraId="2D3976D4"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183</w:t>
            </w:r>
          </w:p>
        </w:tc>
      </w:tr>
      <w:tr w:rsidR="00C57EB9" w:rsidRPr="00A24116" w14:paraId="05C3153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0FB14AA7"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Ejemplar más grande (kg)</w:t>
            </w:r>
          </w:p>
        </w:tc>
        <w:tc>
          <w:tcPr>
            <w:tcW w:w="993" w:type="dxa"/>
            <w:tcBorders>
              <w:top w:val="nil"/>
              <w:left w:val="nil"/>
              <w:bottom w:val="single" w:sz="4" w:space="0" w:color="auto"/>
              <w:right w:val="single" w:sz="4" w:space="0" w:color="auto"/>
            </w:tcBorders>
            <w:noWrap/>
            <w:vAlign w:val="center"/>
            <w:hideMark/>
          </w:tcPr>
          <w:p w14:paraId="1F899301"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328</w:t>
            </w:r>
          </w:p>
        </w:tc>
        <w:tc>
          <w:tcPr>
            <w:tcW w:w="992" w:type="dxa"/>
            <w:tcBorders>
              <w:top w:val="nil"/>
              <w:left w:val="nil"/>
              <w:bottom w:val="single" w:sz="4" w:space="0" w:color="auto"/>
              <w:right w:val="single" w:sz="4" w:space="0" w:color="auto"/>
            </w:tcBorders>
            <w:noWrap/>
            <w:vAlign w:val="center"/>
            <w:hideMark/>
          </w:tcPr>
          <w:p w14:paraId="7BD958E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350</w:t>
            </w:r>
          </w:p>
        </w:tc>
        <w:tc>
          <w:tcPr>
            <w:tcW w:w="992" w:type="dxa"/>
            <w:tcBorders>
              <w:top w:val="nil"/>
              <w:left w:val="nil"/>
              <w:bottom w:val="single" w:sz="4" w:space="0" w:color="auto"/>
              <w:right w:val="single" w:sz="4" w:space="0" w:color="auto"/>
            </w:tcBorders>
            <w:noWrap/>
            <w:vAlign w:val="center"/>
            <w:hideMark/>
          </w:tcPr>
          <w:p w14:paraId="5C34004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376</w:t>
            </w:r>
          </w:p>
        </w:tc>
        <w:tc>
          <w:tcPr>
            <w:tcW w:w="988" w:type="dxa"/>
            <w:tcBorders>
              <w:top w:val="nil"/>
              <w:left w:val="nil"/>
              <w:bottom w:val="single" w:sz="4" w:space="0" w:color="auto"/>
              <w:right w:val="single" w:sz="4" w:space="0" w:color="auto"/>
            </w:tcBorders>
            <w:noWrap/>
            <w:vAlign w:val="center"/>
            <w:hideMark/>
          </w:tcPr>
          <w:p w14:paraId="51FAF7A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323</w:t>
            </w:r>
          </w:p>
        </w:tc>
        <w:tc>
          <w:tcPr>
            <w:tcW w:w="997" w:type="dxa"/>
            <w:tcBorders>
              <w:top w:val="nil"/>
              <w:left w:val="nil"/>
              <w:bottom w:val="single" w:sz="4" w:space="0" w:color="auto"/>
              <w:right w:val="single" w:sz="4" w:space="0" w:color="auto"/>
            </w:tcBorders>
            <w:noWrap/>
            <w:vAlign w:val="center"/>
            <w:hideMark/>
          </w:tcPr>
          <w:p w14:paraId="23FBE8C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334</w:t>
            </w:r>
          </w:p>
        </w:tc>
        <w:tc>
          <w:tcPr>
            <w:tcW w:w="992" w:type="dxa"/>
            <w:tcBorders>
              <w:top w:val="nil"/>
              <w:left w:val="nil"/>
              <w:bottom w:val="single" w:sz="4" w:space="0" w:color="auto"/>
              <w:right w:val="single" w:sz="4" w:space="0" w:color="auto"/>
            </w:tcBorders>
            <w:noWrap/>
            <w:vAlign w:val="center"/>
            <w:hideMark/>
          </w:tcPr>
          <w:p w14:paraId="121D3691"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359</w:t>
            </w:r>
          </w:p>
        </w:tc>
      </w:tr>
      <w:tr w:rsidR="00C57EB9" w:rsidRPr="00A24116" w14:paraId="166DEE7E"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811D631" w14:textId="7D54984C"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Total de pescadores deportivos/recreativos con licencia que desembarcan atún rojo</w:t>
            </w:r>
          </w:p>
        </w:tc>
        <w:tc>
          <w:tcPr>
            <w:tcW w:w="993" w:type="dxa"/>
            <w:tcBorders>
              <w:top w:val="nil"/>
              <w:left w:val="nil"/>
              <w:bottom w:val="single" w:sz="4" w:space="0" w:color="auto"/>
              <w:right w:val="single" w:sz="4" w:space="0" w:color="auto"/>
            </w:tcBorders>
            <w:noWrap/>
            <w:vAlign w:val="center"/>
            <w:hideMark/>
          </w:tcPr>
          <w:p w14:paraId="4F52EF44"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101</w:t>
            </w:r>
          </w:p>
        </w:tc>
        <w:tc>
          <w:tcPr>
            <w:tcW w:w="992" w:type="dxa"/>
            <w:tcBorders>
              <w:top w:val="nil"/>
              <w:left w:val="nil"/>
              <w:bottom w:val="single" w:sz="4" w:space="0" w:color="auto"/>
              <w:right w:val="single" w:sz="4" w:space="0" w:color="auto"/>
            </w:tcBorders>
            <w:noWrap/>
            <w:vAlign w:val="center"/>
            <w:hideMark/>
          </w:tcPr>
          <w:p w14:paraId="3BB1D8E6"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122</w:t>
            </w:r>
          </w:p>
        </w:tc>
        <w:tc>
          <w:tcPr>
            <w:tcW w:w="992" w:type="dxa"/>
            <w:tcBorders>
              <w:top w:val="nil"/>
              <w:left w:val="nil"/>
              <w:bottom w:val="single" w:sz="4" w:space="0" w:color="auto"/>
              <w:right w:val="single" w:sz="4" w:space="0" w:color="auto"/>
            </w:tcBorders>
            <w:noWrap/>
            <w:vAlign w:val="center"/>
            <w:hideMark/>
          </w:tcPr>
          <w:p w14:paraId="30DAB73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118</w:t>
            </w:r>
          </w:p>
        </w:tc>
        <w:tc>
          <w:tcPr>
            <w:tcW w:w="988" w:type="dxa"/>
            <w:tcBorders>
              <w:top w:val="nil"/>
              <w:left w:val="nil"/>
              <w:bottom w:val="single" w:sz="4" w:space="0" w:color="auto"/>
              <w:right w:val="single" w:sz="4" w:space="0" w:color="auto"/>
            </w:tcBorders>
            <w:noWrap/>
            <w:vAlign w:val="center"/>
            <w:hideMark/>
          </w:tcPr>
          <w:p w14:paraId="51B278CA"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75</w:t>
            </w:r>
          </w:p>
        </w:tc>
        <w:tc>
          <w:tcPr>
            <w:tcW w:w="997" w:type="dxa"/>
            <w:tcBorders>
              <w:top w:val="nil"/>
              <w:left w:val="nil"/>
              <w:bottom w:val="single" w:sz="4" w:space="0" w:color="auto"/>
              <w:right w:val="single" w:sz="4" w:space="0" w:color="auto"/>
            </w:tcBorders>
            <w:noWrap/>
            <w:vAlign w:val="center"/>
            <w:hideMark/>
          </w:tcPr>
          <w:p w14:paraId="46D0BABE"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77</w:t>
            </w:r>
          </w:p>
        </w:tc>
        <w:tc>
          <w:tcPr>
            <w:tcW w:w="992" w:type="dxa"/>
            <w:tcBorders>
              <w:top w:val="nil"/>
              <w:left w:val="nil"/>
              <w:bottom w:val="single" w:sz="4" w:space="0" w:color="auto"/>
              <w:right w:val="single" w:sz="4" w:space="0" w:color="auto"/>
            </w:tcBorders>
            <w:noWrap/>
            <w:vAlign w:val="center"/>
            <w:hideMark/>
          </w:tcPr>
          <w:p w14:paraId="5098F14D"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72</w:t>
            </w:r>
          </w:p>
        </w:tc>
      </w:tr>
      <w:tr w:rsidR="00C57EB9" w:rsidRPr="00A24116" w14:paraId="4B5C0B13"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1263113F" w14:textId="77777777" w:rsidR="00C57EB9" w:rsidRPr="00A24116" w:rsidRDefault="00C57EB9" w:rsidP="00C57EB9">
            <w:pPr>
              <w:spacing w:after="0" w:line="240" w:lineRule="auto"/>
              <w:rPr>
                <w:rFonts w:ascii="Cambria" w:eastAsia="Times New Roman" w:hAnsi="Cambria" w:cs="Times New Roman"/>
                <w:color w:val="000000"/>
                <w:sz w:val="20"/>
                <w:szCs w:val="20"/>
              </w:rPr>
            </w:pPr>
            <w:r>
              <w:rPr>
                <w:rFonts w:ascii="Cambria" w:hAnsi="Cambria"/>
                <w:color w:val="000000"/>
                <w:sz w:val="20"/>
              </w:rPr>
              <w:t>Días totales en temporada abierta</w:t>
            </w:r>
          </w:p>
        </w:tc>
        <w:tc>
          <w:tcPr>
            <w:tcW w:w="993" w:type="dxa"/>
            <w:tcBorders>
              <w:top w:val="nil"/>
              <w:left w:val="nil"/>
              <w:bottom w:val="single" w:sz="4" w:space="0" w:color="auto"/>
              <w:right w:val="single" w:sz="4" w:space="0" w:color="auto"/>
            </w:tcBorders>
            <w:noWrap/>
            <w:vAlign w:val="center"/>
            <w:hideMark/>
          </w:tcPr>
          <w:p w14:paraId="7D995D93"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32</w:t>
            </w:r>
          </w:p>
        </w:tc>
        <w:tc>
          <w:tcPr>
            <w:tcW w:w="992" w:type="dxa"/>
            <w:tcBorders>
              <w:top w:val="nil"/>
              <w:left w:val="nil"/>
              <w:bottom w:val="single" w:sz="4" w:space="0" w:color="auto"/>
              <w:right w:val="single" w:sz="4" w:space="0" w:color="auto"/>
            </w:tcBorders>
            <w:noWrap/>
            <w:vAlign w:val="center"/>
            <w:hideMark/>
          </w:tcPr>
          <w:p w14:paraId="7FA7B960"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71</w:t>
            </w:r>
          </w:p>
        </w:tc>
        <w:tc>
          <w:tcPr>
            <w:tcW w:w="992" w:type="dxa"/>
            <w:tcBorders>
              <w:top w:val="nil"/>
              <w:left w:val="nil"/>
              <w:bottom w:val="single" w:sz="4" w:space="0" w:color="auto"/>
              <w:right w:val="single" w:sz="4" w:space="0" w:color="auto"/>
            </w:tcBorders>
            <w:noWrap/>
            <w:vAlign w:val="center"/>
            <w:hideMark/>
          </w:tcPr>
          <w:p w14:paraId="607F8425"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33</w:t>
            </w:r>
          </w:p>
        </w:tc>
        <w:tc>
          <w:tcPr>
            <w:tcW w:w="988" w:type="dxa"/>
            <w:tcBorders>
              <w:top w:val="nil"/>
              <w:left w:val="nil"/>
              <w:bottom w:val="single" w:sz="4" w:space="0" w:color="auto"/>
              <w:right w:val="single" w:sz="4" w:space="0" w:color="auto"/>
            </w:tcBorders>
            <w:noWrap/>
            <w:vAlign w:val="center"/>
            <w:hideMark/>
          </w:tcPr>
          <w:p w14:paraId="16FD6B6A"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80</w:t>
            </w:r>
          </w:p>
        </w:tc>
        <w:tc>
          <w:tcPr>
            <w:tcW w:w="997" w:type="dxa"/>
            <w:tcBorders>
              <w:top w:val="nil"/>
              <w:left w:val="nil"/>
              <w:bottom w:val="single" w:sz="4" w:space="0" w:color="auto"/>
              <w:right w:val="single" w:sz="4" w:space="0" w:color="auto"/>
            </w:tcBorders>
            <w:noWrap/>
            <w:vAlign w:val="center"/>
            <w:hideMark/>
          </w:tcPr>
          <w:p w14:paraId="130E9189"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86</w:t>
            </w:r>
          </w:p>
        </w:tc>
        <w:tc>
          <w:tcPr>
            <w:tcW w:w="992" w:type="dxa"/>
            <w:tcBorders>
              <w:top w:val="nil"/>
              <w:left w:val="nil"/>
              <w:bottom w:val="single" w:sz="4" w:space="0" w:color="auto"/>
              <w:right w:val="single" w:sz="4" w:space="0" w:color="auto"/>
            </w:tcBorders>
            <w:noWrap/>
            <w:vAlign w:val="center"/>
            <w:hideMark/>
          </w:tcPr>
          <w:p w14:paraId="30F1E7F2" w14:textId="77777777" w:rsidR="00C57EB9" w:rsidRPr="00A24116" w:rsidRDefault="00C57EB9" w:rsidP="00C57EB9">
            <w:pPr>
              <w:spacing w:after="0" w:line="240" w:lineRule="auto"/>
              <w:jc w:val="right"/>
              <w:rPr>
                <w:rFonts w:ascii="Cambria" w:eastAsia="Times New Roman" w:hAnsi="Cambria" w:cs="Times New Roman"/>
                <w:color w:val="000000"/>
                <w:sz w:val="20"/>
                <w:szCs w:val="20"/>
              </w:rPr>
            </w:pPr>
            <w:r>
              <w:rPr>
                <w:rFonts w:ascii="Cambria" w:hAnsi="Cambria"/>
                <w:color w:val="000000"/>
                <w:sz w:val="20"/>
              </w:rPr>
              <w:t>62</w:t>
            </w:r>
          </w:p>
        </w:tc>
      </w:tr>
    </w:tbl>
    <w:p w14:paraId="4EE743CE" w14:textId="77777777" w:rsidR="00C57EB9" w:rsidRPr="00A24116" w:rsidRDefault="00C57EB9" w:rsidP="00C57EB9">
      <w:pPr>
        <w:pStyle w:val="BodyText"/>
        <w:rPr>
          <w:rFonts w:ascii="Cambria" w:eastAsia="Calibri" w:hAnsi="Cambria" w:cs="Lato Regular"/>
          <w:sz w:val="22"/>
          <w:szCs w:val="22"/>
          <w:lang w:val="en-GB" w:eastAsia="en-GB"/>
        </w:rPr>
      </w:pPr>
    </w:p>
    <w:p w14:paraId="7F97BFB3" w14:textId="72555693" w:rsidR="00C57EB9" w:rsidRPr="00A24116" w:rsidRDefault="00C57EB9" w:rsidP="00C57EB9">
      <w:pPr>
        <w:pStyle w:val="BodyText"/>
        <w:rPr>
          <w:rFonts w:ascii="Cambria" w:eastAsia="Calibri" w:hAnsi="Cambria" w:cs="Lato Regular"/>
        </w:rPr>
      </w:pPr>
      <w:r>
        <w:rPr>
          <w:rFonts w:ascii="Cambria" w:hAnsi="Cambria"/>
        </w:rPr>
        <w:t>Nota explicativa:</w:t>
      </w:r>
    </w:p>
    <w:p w14:paraId="7BA2224C" w14:textId="77777777" w:rsidR="00C57EB9" w:rsidRPr="00A24116" w:rsidRDefault="00C57EB9" w:rsidP="00C57EB9">
      <w:pPr>
        <w:pStyle w:val="BodyText"/>
        <w:rPr>
          <w:rFonts w:ascii="Cambria" w:eastAsia="Calibri" w:hAnsi="Cambria" w:cs="Lato Regular"/>
          <w:lang w:val="en-GB" w:eastAsia="en-GB"/>
        </w:rPr>
      </w:pPr>
    </w:p>
    <w:p w14:paraId="160AA995" w14:textId="77777777" w:rsidR="00C57EB9" w:rsidRPr="00A24116" w:rsidRDefault="00C57EB9" w:rsidP="00C57EB9">
      <w:pPr>
        <w:pStyle w:val="BodyText"/>
        <w:rPr>
          <w:rFonts w:ascii="Cambria" w:eastAsia="Calibri" w:hAnsi="Cambria" w:cs="Lato Regular"/>
        </w:rPr>
      </w:pPr>
      <w:r>
        <w:rPr>
          <w:rFonts w:ascii="Cambria" w:hAnsi="Cambria"/>
        </w:rPr>
        <w:t>* La captura real es ligeramente superior al TAC como resultado del tiempo administrativo necesario para implementar el cierre de la temporada.</w:t>
      </w:r>
    </w:p>
    <w:p w14:paraId="1082D884" w14:textId="3218893A" w:rsidR="00C47B80" w:rsidRPr="00A24116" w:rsidRDefault="00C57EB9" w:rsidP="00C57EB9">
      <w:pPr>
        <w:pStyle w:val="BodyText"/>
        <w:rPr>
          <w:rFonts w:ascii="Cambria" w:hAnsi="Cambria"/>
        </w:rPr>
      </w:pPr>
      <w:r>
        <w:rPr>
          <w:rFonts w:ascii="Cambria" w:hAnsi="Cambria"/>
        </w:rPr>
        <w:t>**La temporada se cierra el 14 de octubre de 2026, salvo que se alcance antes el TAC.</w:t>
      </w:r>
    </w:p>
    <w:p w14:paraId="06B8F0CF" w14:textId="77777777" w:rsidR="00C47B80" w:rsidRPr="00A24116" w:rsidRDefault="00C47B80" w:rsidP="00C47B80">
      <w:pPr>
        <w:pStyle w:val="BodyText"/>
        <w:rPr>
          <w:rFonts w:ascii="Cambria" w:hAnsi="Cambria"/>
          <w:sz w:val="18"/>
          <w:szCs w:val="18"/>
        </w:rPr>
      </w:pPr>
    </w:p>
    <w:p w14:paraId="7FFAF928" w14:textId="77777777" w:rsidR="00C47B80" w:rsidRPr="00A24116" w:rsidRDefault="00C47B80" w:rsidP="00C47B80">
      <w:pPr>
        <w:pStyle w:val="BodyText"/>
        <w:rPr>
          <w:rFonts w:ascii="Cambria" w:hAnsi="Cambria"/>
          <w:sz w:val="18"/>
          <w:szCs w:val="18"/>
        </w:rPr>
      </w:pPr>
    </w:p>
    <w:p w14:paraId="5A356A11" w14:textId="77777777" w:rsidR="00C47B80" w:rsidRPr="00A24116" w:rsidRDefault="00C47B80" w:rsidP="00C47B80">
      <w:pPr>
        <w:pStyle w:val="BodyText"/>
        <w:rPr>
          <w:rFonts w:ascii="Cambria" w:hAnsi="Cambria"/>
          <w:sz w:val="18"/>
          <w:szCs w:val="18"/>
        </w:rPr>
      </w:pPr>
    </w:p>
    <w:p w14:paraId="4E32F5CD" w14:textId="77777777" w:rsidR="00C47B80" w:rsidRPr="00A24116" w:rsidRDefault="00C47B80" w:rsidP="00C47B80">
      <w:pPr>
        <w:pStyle w:val="BodyText"/>
        <w:rPr>
          <w:rFonts w:ascii="Cambria" w:hAnsi="Cambria"/>
          <w:sz w:val="18"/>
          <w:szCs w:val="18"/>
        </w:rPr>
      </w:pPr>
    </w:p>
    <w:p w14:paraId="6978C0D4" w14:textId="2A93E909" w:rsidR="00704874" w:rsidRPr="00A24116" w:rsidRDefault="00704874" w:rsidP="00704874">
      <w:pPr>
        <w:pStyle w:val="Default"/>
        <w:jc w:val="both"/>
        <w:rPr>
          <w:rFonts w:ascii="Cambria" w:eastAsia="Arial" w:hAnsi="Cambria"/>
          <w:b/>
          <w:bCs/>
          <w:color w:val="auto"/>
          <w:sz w:val="18"/>
          <w:szCs w:val="18"/>
        </w:rPr>
      </w:pPr>
    </w:p>
    <w:sectPr w:rsidR="00704874" w:rsidRPr="00A24116" w:rsidSect="00704874">
      <w:headerReference w:type="default" r:id="rId13"/>
      <w:foot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F713E" w14:textId="77777777" w:rsidR="00114E18" w:rsidRDefault="00114E18" w:rsidP="00704874">
      <w:pPr>
        <w:spacing w:after="0" w:line="240" w:lineRule="auto"/>
      </w:pPr>
      <w:r>
        <w:separator/>
      </w:r>
    </w:p>
  </w:endnote>
  <w:endnote w:type="continuationSeparator" w:id="0">
    <w:p w14:paraId="2C2296BC" w14:textId="77777777" w:rsidR="00114E18" w:rsidRDefault="00114E18" w:rsidP="00704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Lato Regular">
    <w:charset w:val="00"/>
    <w:family w:val="auto"/>
    <w:pitch w:val="variable"/>
    <w:sig w:usb0="E10002FF" w:usb1="5000ECFF" w:usb2="00000029"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6429" w14:textId="47366C59" w:rsidR="00704874" w:rsidRDefault="00704874" w:rsidP="00704874">
    <w:pPr>
      <w:pStyle w:val="Footer"/>
      <w:jc w:val="center"/>
    </w:pPr>
    <w:r w:rsidRPr="005A7809">
      <w:rPr>
        <w:rFonts w:ascii="Cambria" w:eastAsia="Calibri" w:hAnsi="Cambria" w:cs="Calibri"/>
        <w:sz w:val="20"/>
      </w:rPr>
      <w:fldChar w:fldCharType="begin"/>
    </w:r>
    <w:r w:rsidRPr="005A7809">
      <w:rPr>
        <w:rFonts w:ascii="Cambria" w:eastAsia="Calibri" w:hAnsi="Cambria" w:cs="Calibri"/>
        <w:sz w:val="20"/>
      </w:rPr>
      <w:instrText xml:space="preserve"> PAGE </w:instrText>
    </w:r>
    <w:r w:rsidRPr="005A7809">
      <w:rPr>
        <w:rFonts w:ascii="Cambria" w:eastAsia="Calibri" w:hAnsi="Cambria" w:cs="Calibri"/>
        <w:sz w:val="20"/>
      </w:rPr>
      <w:fldChar w:fldCharType="separate"/>
    </w:r>
    <w:r>
      <w:rPr>
        <w:rFonts w:ascii="Cambria" w:eastAsia="Calibri" w:hAnsi="Cambria" w:cs="Calibri"/>
        <w:sz w:val="20"/>
      </w:rPr>
      <w:t>2</w:t>
    </w:r>
    <w:r w:rsidRPr="005A7809">
      <w:rPr>
        <w:rFonts w:ascii="Cambria" w:eastAsia="Calibri" w:hAnsi="Cambria" w:cs="Calibri"/>
        <w:sz w:val="20"/>
      </w:rPr>
      <w:fldChar w:fldCharType="end"/>
    </w:r>
    <w:r>
      <w:rPr>
        <w:rFonts w:ascii="Cambria" w:hAnsi="Cambria"/>
        <w:sz w:val="20"/>
      </w:rPr>
      <w:t xml:space="preserve"> / </w:t>
    </w:r>
    <w:r w:rsidRPr="005A7809">
      <w:rPr>
        <w:rFonts w:ascii="Cambria" w:eastAsia="Calibri" w:hAnsi="Cambria" w:cs="Calibri"/>
        <w:sz w:val="20"/>
      </w:rPr>
      <w:fldChar w:fldCharType="begin"/>
    </w:r>
    <w:r w:rsidRPr="005A7809">
      <w:rPr>
        <w:rFonts w:ascii="Cambria" w:eastAsia="Calibri" w:hAnsi="Cambria" w:cs="Calibri"/>
        <w:sz w:val="20"/>
      </w:rPr>
      <w:instrText xml:space="preserve"> NUMPAGES  </w:instrText>
    </w:r>
    <w:r w:rsidRPr="005A7809">
      <w:rPr>
        <w:rFonts w:ascii="Cambria" w:eastAsia="Calibri" w:hAnsi="Cambria" w:cs="Calibri"/>
        <w:sz w:val="20"/>
      </w:rPr>
      <w:fldChar w:fldCharType="separate"/>
    </w:r>
    <w:r>
      <w:rPr>
        <w:rFonts w:ascii="Cambria" w:eastAsia="Calibri" w:hAnsi="Cambria" w:cs="Calibri"/>
        <w:sz w:val="20"/>
      </w:rPr>
      <w:t>3</w:t>
    </w:r>
    <w:r w:rsidRPr="005A7809">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DE04B" w14:textId="77777777" w:rsidR="00114E18" w:rsidRDefault="00114E18" w:rsidP="00704874">
      <w:pPr>
        <w:spacing w:after="0" w:line="240" w:lineRule="auto"/>
      </w:pPr>
      <w:r>
        <w:separator/>
      </w:r>
    </w:p>
  </w:footnote>
  <w:footnote w:type="continuationSeparator" w:id="0">
    <w:p w14:paraId="261BE176" w14:textId="77777777" w:rsidR="00114E18" w:rsidRDefault="00114E18" w:rsidP="00704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FE6E" w14:textId="77EBDA93" w:rsidR="00704874" w:rsidRPr="00793F38" w:rsidRDefault="00704874" w:rsidP="00704874">
    <w:pPr>
      <w:tabs>
        <w:tab w:val="center" w:pos="4680"/>
        <w:tab w:val="left" w:pos="6520"/>
        <w:tab w:val="right" w:pos="9360"/>
        <w:tab w:val="right" w:pos="14240"/>
      </w:tabs>
      <w:spacing w:after="0" w:line="240" w:lineRule="atLeast"/>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COC_310/2026</w:t>
    </w:r>
  </w:p>
  <w:p w14:paraId="07F17883" w14:textId="773E489E" w:rsidR="00704874" w:rsidRDefault="00704874" w:rsidP="00704874">
    <w:pPr>
      <w:pStyle w:val="Header"/>
      <w:jc w:val="right"/>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0C43BB">
      <w:rPr>
        <w:rFonts w:ascii="Cambria" w:hAnsi="Cambria"/>
        <w:b/>
        <w:noProof/>
        <w:sz w:val="16"/>
      </w:rPr>
      <w:t>01/10/2026 16:05</w:t>
    </w:r>
    <w:r w:rsidRPr="00793F38">
      <w:rPr>
        <w:rFonts w:ascii="Cambria" w:hAnsi="Cambria"/>
        <w:b/>
        <w:bCs/>
        <w:sz w:val="16"/>
        <w:szCs w:val="16"/>
        <w:lang w:val="es-ES_tradnl"/>
      </w:rPr>
      <w:fldChar w:fldCharType="end"/>
    </w:r>
    <w:bookmarkEnd w:id="1"/>
    <w:bookmarkEnd w:id="2"/>
    <w:bookmarkEnd w:id="3"/>
    <w:bookmarkEnd w:id="4"/>
    <w:bookmarkEnd w:id="5"/>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04ADD"/>
    <w:rsid w:val="000517FB"/>
    <w:rsid w:val="00052499"/>
    <w:rsid w:val="00065145"/>
    <w:rsid w:val="00066176"/>
    <w:rsid w:val="000773A2"/>
    <w:rsid w:val="00093D8E"/>
    <w:rsid w:val="000A49B8"/>
    <w:rsid w:val="000B03D3"/>
    <w:rsid w:val="000C43BB"/>
    <w:rsid w:val="000E0E53"/>
    <w:rsid w:val="000E6DA6"/>
    <w:rsid w:val="000F234C"/>
    <w:rsid w:val="000F2A49"/>
    <w:rsid w:val="00104198"/>
    <w:rsid w:val="00105D72"/>
    <w:rsid w:val="00114E18"/>
    <w:rsid w:val="00116F0E"/>
    <w:rsid w:val="00123F10"/>
    <w:rsid w:val="001323A0"/>
    <w:rsid w:val="0013790C"/>
    <w:rsid w:val="001574DE"/>
    <w:rsid w:val="00172A45"/>
    <w:rsid w:val="00175AB3"/>
    <w:rsid w:val="00190119"/>
    <w:rsid w:val="00191B4C"/>
    <w:rsid w:val="001A7318"/>
    <w:rsid w:val="001C6578"/>
    <w:rsid w:val="001D4162"/>
    <w:rsid w:val="001F1DB7"/>
    <w:rsid w:val="00201C7E"/>
    <w:rsid w:val="00233314"/>
    <w:rsid w:val="00261C29"/>
    <w:rsid w:val="002803E8"/>
    <w:rsid w:val="0029403D"/>
    <w:rsid w:val="002A294F"/>
    <w:rsid w:val="002B0EC7"/>
    <w:rsid w:val="002E6A69"/>
    <w:rsid w:val="00311F1B"/>
    <w:rsid w:val="00317209"/>
    <w:rsid w:val="00317BD0"/>
    <w:rsid w:val="003407A0"/>
    <w:rsid w:val="003524B9"/>
    <w:rsid w:val="00362FF1"/>
    <w:rsid w:val="00383DD8"/>
    <w:rsid w:val="003860E0"/>
    <w:rsid w:val="00390608"/>
    <w:rsid w:val="00394E17"/>
    <w:rsid w:val="003A13FF"/>
    <w:rsid w:val="003A4772"/>
    <w:rsid w:val="003B3A9F"/>
    <w:rsid w:val="003B3E07"/>
    <w:rsid w:val="003C001F"/>
    <w:rsid w:val="003D1D42"/>
    <w:rsid w:val="003D55C2"/>
    <w:rsid w:val="003F4921"/>
    <w:rsid w:val="0040388B"/>
    <w:rsid w:val="00434D76"/>
    <w:rsid w:val="00483E0B"/>
    <w:rsid w:val="004926DF"/>
    <w:rsid w:val="00494C73"/>
    <w:rsid w:val="004979A8"/>
    <w:rsid w:val="004B02D3"/>
    <w:rsid w:val="004B7495"/>
    <w:rsid w:val="004E229A"/>
    <w:rsid w:val="004E4BCE"/>
    <w:rsid w:val="004F1BE3"/>
    <w:rsid w:val="005152E2"/>
    <w:rsid w:val="0055434A"/>
    <w:rsid w:val="0056213B"/>
    <w:rsid w:val="00571E79"/>
    <w:rsid w:val="00573118"/>
    <w:rsid w:val="00574D56"/>
    <w:rsid w:val="00594E14"/>
    <w:rsid w:val="005B564A"/>
    <w:rsid w:val="005E70B8"/>
    <w:rsid w:val="005F533B"/>
    <w:rsid w:val="005F735F"/>
    <w:rsid w:val="00606A6A"/>
    <w:rsid w:val="006123ED"/>
    <w:rsid w:val="0062310E"/>
    <w:rsid w:val="00630A1C"/>
    <w:rsid w:val="00632431"/>
    <w:rsid w:val="00650D49"/>
    <w:rsid w:val="00674860"/>
    <w:rsid w:val="0069789C"/>
    <w:rsid w:val="006C4C1C"/>
    <w:rsid w:val="006E3054"/>
    <w:rsid w:val="006F79F5"/>
    <w:rsid w:val="00701380"/>
    <w:rsid w:val="00703887"/>
    <w:rsid w:val="00704874"/>
    <w:rsid w:val="007052FE"/>
    <w:rsid w:val="00716747"/>
    <w:rsid w:val="0072155D"/>
    <w:rsid w:val="00746417"/>
    <w:rsid w:val="0075780A"/>
    <w:rsid w:val="007D5EDE"/>
    <w:rsid w:val="007D6018"/>
    <w:rsid w:val="00836812"/>
    <w:rsid w:val="00867331"/>
    <w:rsid w:val="00872B74"/>
    <w:rsid w:val="008760F8"/>
    <w:rsid w:val="00876522"/>
    <w:rsid w:val="008A7A00"/>
    <w:rsid w:val="008A7CCC"/>
    <w:rsid w:val="008B03B2"/>
    <w:rsid w:val="008E4E5E"/>
    <w:rsid w:val="0091439F"/>
    <w:rsid w:val="00925C92"/>
    <w:rsid w:val="009303A9"/>
    <w:rsid w:val="0094011F"/>
    <w:rsid w:val="00952123"/>
    <w:rsid w:val="00957445"/>
    <w:rsid w:val="00961883"/>
    <w:rsid w:val="00962181"/>
    <w:rsid w:val="00975101"/>
    <w:rsid w:val="0098785B"/>
    <w:rsid w:val="009919E6"/>
    <w:rsid w:val="00996FB4"/>
    <w:rsid w:val="009A7F29"/>
    <w:rsid w:val="009B56DC"/>
    <w:rsid w:val="00A04CB2"/>
    <w:rsid w:val="00A07667"/>
    <w:rsid w:val="00A24116"/>
    <w:rsid w:val="00A269C2"/>
    <w:rsid w:val="00A52845"/>
    <w:rsid w:val="00A81441"/>
    <w:rsid w:val="00AA452E"/>
    <w:rsid w:val="00AA73D5"/>
    <w:rsid w:val="00AC06D6"/>
    <w:rsid w:val="00AD6301"/>
    <w:rsid w:val="00AE4B18"/>
    <w:rsid w:val="00AF1F9E"/>
    <w:rsid w:val="00AF7142"/>
    <w:rsid w:val="00B03547"/>
    <w:rsid w:val="00B22A2E"/>
    <w:rsid w:val="00B416F8"/>
    <w:rsid w:val="00B65986"/>
    <w:rsid w:val="00B67784"/>
    <w:rsid w:val="00B759E7"/>
    <w:rsid w:val="00B93394"/>
    <w:rsid w:val="00B97392"/>
    <w:rsid w:val="00BA6C5A"/>
    <w:rsid w:val="00BB0005"/>
    <w:rsid w:val="00BB73CF"/>
    <w:rsid w:val="00BC013A"/>
    <w:rsid w:val="00BF7609"/>
    <w:rsid w:val="00C112C8"/>
    <w:rsid w:val="00C11596"/>
    <w:rsid w:val="00C34CBF"/>
    <w:rsid w:val="00C35DBF"/>
    <w:rsid w:val="00C36251"/>
    <w:rsid w:val="00C450C2"/>
    <w:rsid w:val="00C47B80"/>
    <w:rsid w:val="00C53971"/>
    <w:rsid w:val="00C5400E"/>
    <w:rsid w:val="00C57EB9"/>
    <w:rsid w:val="00C610A6"/>
    <w:rsid w:val="00C676FD"/>
    <w:rsid w:val="00C71CB6"/>
    <w:rsid w:val="00C77B5C"/>
    <w:rsid w:val="00CA4DAB"/>
    <w:rsid w:val="00CA540E"/>
    <w:rsid w:val="00CE4060"/>
    <w:rsid w:val="00D149B4"/>
    <w:rsid w:val="00D21CA8"/>
    <w:rsid w:val="00D230D8"/>
    <w:rsid w:val="00D41895"/>
    <w:rsid w:val="00D72EAA"/>
    <w:rsid w:val="00D7573C"/>
    <w:rsid w:val="00D75BAA"/>
    <w:rsid w:val="00D90E6E"/>
    <w:rsid w:val="00D93A16"/>
    <w:rsid w:val="00DD23B6"/>
    <w:rsid w:val="00DD28DB"/>
    <w:rsid w:val="00DD7CBA"/>
    <w:rsid w:val="00DE20AD"/>
    <w:rsid w:val="00DE3A8C"/>
    <w:rsid w:val="00E06BB9"/>
    <w:rsid w:val="00E2351A"/>
    <w:rsid w:val="00E279B9"/>
    <w:rsid w:val="00E40E1F"/>
    <w:rsid w:val="00E426B3"/>
    <w:rsid w:val="00E471FD"/>
    <w:rsid w:val="00E6166A"/>
    <w:rsid w:val="00E64BBF"/>
    <w:rsid w:val="00E6580E"/>
    <w:rsid w:val="00E74800"/>
    <w:rsid w:val="00E8089D"/>
    <w:rsid w:val="00E83C32"/>
    <w:rsid w:val="00E8544D"/>
    <w:rsid w:val="00E905E9"/>
    <w:rsid w:val="00EE29B2"/>
    <w:rsid w:val="00EF1446"/>
    <w:rsid w:val="00EF30D9"/>
    <w:rsid w:val="00F057B8"/>
    <w:rsid w:val="00F116D0"/>
    <w:rsid w:val="00F25269"/>
    <w:rsid w:val="00F6524B"/>
    <w:rsid w:val="00FA36AE"/>
    <w:rsid w:val="00FA37B8"/>
    <w:rsid w:val="00FA506B"/>
    <w:rsid w:val="00FB49CE"/>
    <w:rsid w:val="00FC6126"/>
    <w:rsid w:val="00FE3046"/>
    <w:rsid w:val="00FE325D"/>
    <w:rsid w:val="030F4AE3"/>
    <w:rsid w:val="04B6678D"/>
    <w:rsid w:val="05B3B496"/>
    <w:rsid w:val="06BE33EB"/>
    <w:rsid w:val="0D1CDB56"/>
    <w:rsid w:val="0DC1CBCE"/>
    <w:rsid w:val="1004DA1F"/>
    <w:rsid w:val="101FB123"/>
    <w:rsid w:val="11BB8184"/>
    <w:rsid w:val="12221D1E"/>
    <w:rsid w:val="12566963"/>
    <w:rsid w:val="1269A821"/>
    <w:rsid w:val="133108C4"/>
    <w:rsid w:val="13EFFB2E"/>
    <w:rsid w:val="1521CAF2"/>
    <w:rsid w:val="15D2F959"/>
    <w:rsid w:val="16061C44"/>
    <w:rsid w:val="1A3DBAB9"/>
    <w:rsid w:val="1D762FA7"/>
    <w:rsid w:val="1ED73E54"/>
    <w:rsid w:val="1FF62436"/>
    <w:rsid w:val="218040C5"/>
    <w:rsid w:val="21BB201A"/>
    <w:rsid w:val="23837020"/>
    <w:rsid w:val="2618F27B"/>
    <w:rsid w:val="265315D5"/>
    <w:rsid w:val="277FB107"/>
    <w:rsid w:val="29B657EE"/>
    <w:rsid w:val="2DC4FCD9"/>
    <w:rsid w:val="2E67857F"/>
    <w:rsid w:val="2EF9F935"/>
    <w:rsid w:val="2F60CD3A"/>
    <w:rsid w:val="2F8DFA0D"/>
    <w:rsid w:val="2FD60335"/>
    <w:rsid w:val="30CBE1B9"/>
    <w:rsid w:val="30E7FECA"/>
    <w:rsid w:val="379C349C"/>
    <w:rsid w:val="38C44C28"/>
    <w:rsid w:val="3937C592"/>
    <w:rsid w:val="397937F5"/>
    <w:rsid w:val="3D8BB193"/>
    <w:rsid w:val="3FA6D3EE"/>
    <w:rsid w:val="40AD1CDA"/>
    <w:rsid w:val="40B635B0"/>
    <w:rsid w:val="4160C882"/>
    <w:rsid w:val="43B42764"/>
    <w:rsid w:val="43CDC168"/>
    <w:rsid w:val="459650DD"/>
    <w:rsid w:val="45FD190C"/>
    <w:rsid w:val="47384F58"/>
    <w:rsid w:val="484C2127"/>
    <w:rsid w:val="4BFB6DBB"/>
    <w:rsid w:val="4DEB1D4F"/>
    <w:rsid w:val="4EA9BF50"/>
    <w:rsid w:val="4EFD09C3"/>
    <w:rsid w:val="4FE84A46"/>
    <w:rsid w:val="56BF78FF"/>
    <w:rsid w:val="589D2F15"/>
    <w:rsid w:val="61EB97B9"/>
    <w:rsid w:val="6305E82D"/>
    <w:rsid w:val="65195D0C"/>
    <w:rsid w:val="662293E8"/>
    <w:rsid w:val="666B88D0"/>
    <w:rsid w:val="67790BAC"/>
    <w:rsid w:val="692330A6"/>
    <w:rsid w:val="695965E1"/>
    <w:rsid w:val="6BAF4AFE"/>
    <w:rsid w:val="6C953E72"/>
    <w:rsid w:val="6D07B807"/>
    <w:rsid w:val="6DDFA210"/>
    <w:rsid w:val="6E6670C5"/>
    <w:rsid w:val="6E95AFB4"/>
    <w:rsid w:val="6EDCD1F8"/>
    <w:rsid w:val="703F58C9"/>
    <w:rsid w:val="742ED765"/>
    <w:rsid w:val="771C6B71"/>
    <w:rsid w:val="7728D58A"/>
    <w:rsid w:val="77501D8E"/>
    <w:rsid w:val="79A6346E"/>
    <w:rsid w:val="79ED4E5C"/>
    <w:rsid w:val="7A155A43"/>
    <w:rsid w:val="7B8490D4"/>
    <w:rsid w:val="7C5D0BA8"/>
    <w:rsid w:val="7E3BD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B6D26"/>
  <w15:chartTrackingRefBased/>
  <w15:docId w15:val="{701BCF35-EE53-4238-BC9A-EE5B2034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7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3A4772"/>
    <w:rPr>
      <w:sz w:val="16"/>
      <w:szCs w:val="16"/>
    </w:rPr>
  </w:style>
  <w:style w:type="paragraph" w:styleId="CommentText">
    <w:name w:val="annotation text"/>
    <w:basedOn w:val="Normal"/>
    <w:link w:val="CommentTextChar"/>
    <w:uiPriority w:val="99"/>
    <w:unhideWhenUsed/>
    <w:rsid w:val="003A4772"/>
    <w:pPr>
      <w:spacing w:line="240" w:lineRule="auto"/>
    </w:pPr>
    <w:rPr>
      <w:sz w:val="20"/>
      <w:szCs w:val="20"/>
    </w:rPr>
  </w:style>
  <w:style w:type="character" w:customStyle="1" w:styleId="CommentTextChar">
    <w:name w:val="Comment Text Char"/>
    <w:basedOn w:val="DefaultParagraphFont"/>
    <w:link w:val="CommentText"/>
    <w:uiPriority w:val="99"/>
    <w:rsid w:val="003A4772"/>
    <w:rPr>
      <w:sz w:val="20"/>
      <w:szCs w:val="20"/>
    </w:rPr>
  </w:style>
  <w:style w:type="paragraph" w:styleId="CommentSubject">
    <w:name w:val="annotation subject"/>
    <w:basedOn w:val="CommentText"/>
    <w:next w:val="CommentText"/>
    <w:link w:val="CommentSubjectChar"/>
    <w:uiPriority w:val="99"/>
    <w:semiHidden/>
    <w:unhideWhenUsed/>
    <w:rsid w:val="003A4772"/>
    <w:rPr>
      <w:b/>
      <w:bCs/>
    </w:rPr>
  </w:style>
  <w:style w:type="character" w:customStyle="1" w:styleId="CommentSubjectChar">
    <w:name w:val="Comment Subject Char"/>
    <w:basedOn w:val="CommentTextChar"/>
    <w:link w:val="CommentSubject"/>
    <w:uiPriority w:val="99"/>
    <w:semiHidden/>
    <w:rsid w:val="003A4772"/>
    <w:rPr>
      <w:b/>
      <w:bCs/>
      <w:sz w:val="20"/>
      <w:szCs w:val="20"/>
    </w:rPr>
  </w:style>
  <w:style w:type="paragraph" w:styleId="BalloonText">
    <w:name w:val="Balloon Text"/>
    <w:basedOn w:val="Normal"/>
    <w:link w:val="BalloonTextChar"/>
    <w:uiPriority w:val="99"/>
    <w:semiHidden/>
    <w:unhideWhenUsed/>
    <w:rsid w:val="003A4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772"/>
    <w:rPr>
      <w:rFonts w:ascii="Segoe UI" w:hAnsi="Segoe UI" w:cs="Segoe UI"/>
      <w:sz w:val="18"/>
      <w:szCs w:val="18"/>
    </w:rPr>
  </w:style>
  <w:style w:type="character" w:styleId="Hyperlink">
    <w:name w:val="Hyperlink"/>
    <w:basedOn w:val="DefaultParagraphFont"/>
    <w:uiPriority w:val="99"/>
    <w:unhideWhenUsed/>
    <w:rsid w:val="00E471FD"/>
    <w:rPr>
      <w:color w:val="0563C1" w:themeColor="hyperlink"/>
      <w:u w:val="single"/>
    </w:rPr>
  </w:style>
  <w:style w:type="character" w:styleId="UnresolvedMention">
    <w:name w:val="Unresolved Mention"/>
    <w:basedOn w:val="DefaultParagraphFont"/>
    <w:uiPriority w:val="99"/>
    <w:unhideWhenUsed/>
    <w:rsid w:val="00E471FD"/>
    <w:rPr>
      <w:color w:val="605E5C"/>
      <w:shd w:val="clear" w:color="auto" w:fill="E1DFDD"/>
    </w:rPr>
  </w:style>
  <w:style w:type="character" w:styleId="SmartLink">
    <w:name w:val="Smart Link"/>
    <w:basedOn w:val="DefaultParagraphFont"/>
    <w:uiPriority w:val="99"/>
    <w:semiHidden/>
    <w:unhideWhenUsed/>
    <w:rsid w:val="00D230D8"/>
    <w:rPr>
      <w:color w:val="0000FF"/>
      <w:u w:val="single"/>
      <w:shd w:val="clear" w:color="auto" w:fill="F3F2F1"/>
    </w:rPr>
  </w:style>
  <w:style w:type="character" w:styleId="Mention">
    <w:name w:val="Mention"/>
    <w:basedOn w:val="DefaultParagraphFont"/>
    <w:uiPriority w:val="99"/>
    <w:unhideWhenUsed/>
    <w:rsid w:val="00D93A16"/>
    <w:rPr>
      <w:color w:val="2B579A"/>
      <w:shd w:val="clear" w:color="auto" w:fill="E1DFDD"/>
    </w:rPr>
  </w:style>
  <w:style w:type="character" w:customStyle="1" w:styleId="eop">
    <w:name w:val="eop"/>
    <w:basedOn w:val="DefaultParagraphFont"/>
    <w:uiPriority w:val="1"/>
    <w:rsid w:val="3D8BB193"/>
  </w:style>
  <w:style w:type="paragraph" w:customStyle="1" w:styleId="paragraph">
    <w:name w:val="paragraph"/>
    <w:basedOn w:val="Normal"/>
    <w:uiPriority w:val="1"/>
    <w:rsid w:val="3D8BB193"/>
    <w:pPr>
      <w:spacing w:beforeAutospacing="1"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C77B5C"/>
    <w:pPr>
      <w:spacing w:after="0" w:line="240" w:lineRule="auto"/>
    </w:pPr>
  </w:style>
  <w:style w:type="paragraph" w:styleId="Header">
    <w:name w:val="header"/>
    <w:basedOn w:val="Normal"/>
    <w:link w:val="HeaderChar"/>
    <w:uiPriority w:val="99"/>
    <w:unhideWhenUsed/>
    <w:rsid w:val="00704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74"/>
  </w:style>
  <w:style w:type="paragraph" w:styleId="Footer">
    <w:name w:val="footer"/>
    <w:basedOn w:val="Normal"/>
    <w:link w:val="FooterChar"/>
    <w:uiPriority w:val="99"/>
    <w:unhideWhenUsed/>
    <w:rsid w:val="00704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874"/>
  </w:style>
  <w:style w:type="paragraph" w:styleId="BodyText">
    <w:name w:val="Body Text"/>
    <w:basedOn w:val="Normal"/>
    <w:link w:val="BodyTextChar"/>
    <w:uiPriority w:val="1"/>
    <w:qFormat/>
    <w:rsid w:val="00C47B80"/>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C47B80"/>
    <w:rPr>
      <w:rFonts w:ascii="Arial" w:eastAsia="Arial" w:hAnsi="Arial" w:cs="Arial"/>
      <w:sz w:val="20"/>
      <w:szCs w:val="20"/>
      <w:lang w:val="es-ES"/>
    </w:rPr>
  </w:style>
  <w:style w:type="paragraph" w:styleId="ListParagraph">
    <w:name w:val="List Paragraph"/>
    <w:basedOn w:val="Normal"/>
    <w:uiPriority w:val="34"/>
    <w:qFormat/>
    <w:rsid w:val="000B03D3"/>
    <w:pPr>
      <w:spacing w:after="200" w:line="276" w:lineRule="auto"/>
      <w:ind w:left="720"/>
    </w:pPr>
    <w:rPr>
      <w:rFonts w:ascii="Calibri" w:eastAsia="Calibri" w:hAnsi="Calibri" w:cs="Calibri"/>
      <w:lang w:eastAsia="en-GB"/>
    </w:rPr>
  </w:style>
  <w:style w:type="character" w:styleId="FollowedHyperlink">
    <w:name w:val="FollowedHyperlink"/>
    <w:basedOn w:val="DefaultParagraphFont"/>
    <w:uiPriority w:val="99"/>
    <w:semiHidden/>
    <w:unhideWhenUsed/>
    <w:rsid w:val="00996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6004">
      <w:bodyDiv w:val="1"/>
      <w:marLeft w:val="0"/>
      <w:marRight w:val="0"/>
      <w:marTop w:val="0"/>
      <w:marBottom w:val="0"/>
      <w:divBdr>
        <w:top w:val="none" w:sz="0" w:space="0" w:color="auto"/>
        <w:left w:val="none" w:sz="0" w:space="0" w:color="auto"/>
        <w:bottom w:val="none" w:sz="0" w:space="0" w:color="auto"/>
        <w:right w:val="none" w:sz="0" w:space="0" w:color="auto"/>
      </w:divBdr>
    </w:div>
    <w:div w:id="1698310898">
      <w:bodyDiv w:val="1"/>
      <w:marLeft w:val="0"/>
      <w:marRight w:val="0"/>
      <w:marTop w:val="0"/>
      <w:marBottom w:val="0"/>
      <w:divBdr>
        <w:top w:val="none" w:sz="0" w:space="0" w:color="auto"/>
        <w:left w:val="none" w:sz="0" w:space="0" w:color="auto"/>
        <w:bottom w:val="none" w:sz="0" w:space="0" w:color="auto"/>
        <w:right w:val="none" w:sz="0" w:space="0" w:color="auto"/>
      </w:divBdr>
    </w:div>
    <w:div w:id="1873690516">
      <w:bodyDiv w:val="1"/>
      <w:marLeft w:val="0"/>
      <w:marRight w:val="0"/>
      <w:marTop w:val="0"/>
      <w:marBottom w:val="0"/>
      <w:divBdr>
        <w:top w:val="none" w:sz="0" w:space="0" w:color="auto"/>
        <w:left w:val="none" w:sz="0" w:space="0" w:color="auto"/>
        <w:bottom w:val="none" w:sz="0" w:space="0" w:color="auto"/>
        <w:right w:val="none" w:sz="0" w:space="0" w:color="auto"/>
      </w:divBdr>
      <w:divsChild>
        <w:div w:id="2034728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stats_info@iccat.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ts_info@iccat.in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iccat.int/Documents/Recs/compendiopdf-s/2021-24-s.pdf" TargetMode="External"/><Relationship Id="rId4" Type="http://schemas.openxmlformats.org/officeDocument/2006/relationships/styles" Target="styles.xml"/><Relationship Id="rId9" Type="http://schemas.openxmlformats.org/officeDocument/2006/relationships/hyperlink" Target="https://www.iccat.int/Documents/Recs/compendiopdf-s/2021-24-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Value>6</Value>
      <Value>10</Value>
      <Value>9</Value>
      <Value>8</Value>
      <Value>7</Value>
    </TaxCatchAll>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742610-14C1-4EF3-A492-AA25F7A00A23}">
  <ds:schemaRefs>
    <ds:schemaRef ds:uri="http://schemas.microsoft.com/sharepoint/v3/contenttype/forms"/>
  </ds:schemaRefs>
</ds:datastoreItem>
</file>

<file path=customXml/itemProps2.xml><?xml version="1.0" encoding="utf-8"?>
<ds:datastoreItem xmlns:ds="http://schemas.openxmlformats.org/officeDocument/2006/customXml" ds:itemID="{BDCD0E52-C8A5-479A-9108-48B0434FB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67CF54-C775-4240-96FD-E13243048C9B}">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Sampson, Harry</dc:creator>
  <cp:keywords/>
  <dc:description/>
  <cp:lastModifiedBy>autor</cp:lastModifiedBy>
  <cp:revision>3</cp:revision>
  <cp:lastPrinted>2024-10-31T09:37:00Z</cp:lastPrinted>
  <dcterms:created xsi:type="dcterms:W3CDTF">2026-10-01T14:05:00Z</dcterms:created>
  <dcterms:modified xsi:type="dcterms:W3CDTF">2026-10-01T14:08:00Z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Directorate">
    <vt:lpwstr/>
  </property>
  <property fmtid="{D5CDD505-2E9C-101B-9397-08002B2CF9AE}" pid="4" name="SecurityClassification">
    <vt:lpwstr/>
  </property>
  <property fmtid="{D5CDD505-2E9C-101B-9397-08002B2CF9AE}" pid="5" name="InformationType">
    <vt:lpwstr/>
  </property>
  <property fmtid="{D5CDD505-2E9C-101B-9397-08002B2CF9AE}" pid="6" name="HOFrom">
    <vt:lpwstr/>
  </property>
  <property fmtid="{D5CDD505-2E9C-101B-9397-08002B2CF9AE}" pid="7" name="Distribution">
    <vt:lpwstr>9;#Internal Core Defra|836ac8df-3ab9-4c95-a1f0-07f825804935</vt:lpwstr>
  </property>
  <property fmtid="{D5CDD505-2E9C-101B-9397-08002B2CF9AE}" pid="8" name="HOSubject">
    <vt:lpwstr/>
  </property>
  <property fmtid="{D5CDD505-2E9C-101B-9397-08002B2CF9AE}" pid="9" name="HOCopyrightLevel">
    <vt:lpwstr>7;#Crown|69589897-2828-4761-976e-717fd8e631c9</vt:lpwstr>
  </property>
  <property fmtid="{D5CDD505-2E9C-101B-9397-08002B2CF9AE}" pid="10" name="HOGovernmentSecurityClassification">
    <vt:lpwstr>6;#Official|14c80daa-741b-422c-9722-f71693c9ede4</vt:lpwstr>
  </property>
  <property fmtid="{D5CDD505-2E9C-101B-9397-08002B2CF9AE}" pid="11" name="HOSiteType">
    <vt:lpwstr>10;#Team|ff0485df-0575-416f-802f-e999165821b7</vt:lpwstr>
  </property>
  <property fmtid="{D5CDD505-2E9C-101B-9397-08002B2CF9AE}" pid="12" name="OrganisationalUnit">
    <vt:lpwstr>8;#Core Defra|026223dd-2e56-4615-868d-7c5bfd566810</vt:lpwstr>
  </property>
  <property fmtid="{D5CDD505-2E9C-101B-9397-08002B2CF9AE}" pid="13" name="HOCC">
    <vt:lpwstr/>
  </property>
  <property fmtid="{D5CDD505-2E9C-101B-9397-08002B2CF9AE}" pid="14" name="HOTo">
    <vt:lpwstr/>
  </property>
  <property fmtid="{D5CDD505-2E9C-101B-9397-08002B2CF9AE}" pid="15" name="MediaServiceImageTags">
    <vt:lpwstr/>
  </property>
  <property fmtid="{D5CDD505-2E9C-101B-9397-08002B2CF9AE}" pid="16" name="lcf76f155ced4ddcb4097134ff3c332f">
    <vt:lpwstr/>
  </property>
</Properties>
</file>