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EF3B6" w14:textId="009ACC2B" w:rsidR="003A4772" w:rsidRPr="00D92D00" w:rsidRDefault="00C47B80" w:rsidP="00C47B80">
      <w:pPr>
        <w:pStyle w:val="Default"/>
        <w:jc w:val="right"/>
        <w:rPr>
          <w:rFonts w:ascii="Cambria" w:eastAsia="Arial" w:hAnsi="Cambria"/>
          <w:b/>
          <w:bCs/>
          <w:color w:val="auto"/>
          <w:sz w:val="20"/>
          <w:szCs w:val="20"/>
        </w:rPr>
      </w:pPr>
      <w:bookmarkStart w:id="0" w:name="_Hlk123827672"/>
      <w:r w:rsidRPr="00D92D00">
        <w:rPr>
          <w:rFonts w:ascii="Cambria" w:hAnsi="Cambria"/>
          <w:b/>
          <w:bCs/>
          <w:color w:val="auto"/>
          <w:sz w:val="20"/>
          <w:szCs w:val="20"/>
        </w:rPr>
        <w:t>Original : anglais</w:t>
      </w:r>
    </w:p>
    <w:p w14:paraId="3C9E054B" w14:textId="77777777" w:rsidR="00C47B80" w:rsidRPr="00D92D00" w:rsidRDefault="00C47B80" w:rsidP="00C47B80">
      <w:pPr>
        <w:pStyle w:val="Default"/>
        <w:jc w:val="right"/>
        <w:rPr>
          <w:rFonts w:ascii="Cambria" w:eastAsia="Arial" w:hAnsi="Cambria"/>
          <w:b/>
          <w:bCs/>
          <w:color w:val="auto"/>
          <w:sz w:val="20"/>
          <w:szCs w:val="20"/>
        </w:rPr>
      </w:pPr>
    </w:p>
    <w:p w14:paraId="5D5AC06F" w14:textId="77777777" w:rsidR="00C47B80" w:rsidRPr="00D92D00" w:rsidRDefault="00C47B80" w:rsidP="00C47B80">
      <w:pPr>
        <w:spacing w:after="0" w:line="240" w:lineRule="auto"/>
        <w:jc w:val="center"/>
        <w:rPr>
          <w:rFonts w:ascii="Cambria" w:hAnsi="Cambria"/>
          <w:sz w:val="20"/>
          <w:szCs w:val="20"/>
        </w:rPr>
      </w:pPr>
      <w:r w:rsidRPr="00D92D00">
        <w:rPr>
          <w:rFonts w:ascii="Cambria" w:hAnsi="Cambria"/>
          <w:b/>
          <w:bCs/>
          <w:sz w:val="20"/>
          <w:szCs w:val="20"/>
        </w:rPr>
        <w:t>Correspondance avec des Parties, Entités ou Entités de pêche non-contractantes (Non-</w:t>
      </w:r>
      <w:proofErr w:type="spellStart"/>
      <w:r w:rsidRPr="00D92D00">
        <w:rPr>
          <w:rFonts w:ascii="Cambria" w:hAnsi="Cambria"/>
          <w:b/>
          <w:bCs/>
          <w:sz w:val="20"/>
          <w:szCs w:val="20"/>
        </w:rPr>
        <w:t>CPC</w:t>
      </w:r>
      <w:proofErr w:type="spellEnd"/>
      <w:r w:rsidRPr="00D92D00">
        <w:rPr>
          <w:rFonts w:ascii="Cambria" w:hAnsi="Cambria"/>
          <w:sz w:val="20"/>
          <w:szCs w:val="20"/>
        </w:rPr>
        <w:t>)</w:t>
      </w:r>
    </w:p>
    <w:p w14:paraId="62121ED7" w14:textId="46FC480C" w:rsidR="00C47B80" w:rsidRPr="00D92D00" w:rsidRDefault="00C47B80" w:rsidP="00996FB4">
      <w:pPr>
        <w:spacing w:after="0" w:line="240" w:lineRule="auto"/>
        <w:jc w:val="center"/>
        <w:rPr>
          <w:rFonts w:ascii="Cambria" w:hAnsi="Cambria"/>
          <w:i/>
          <w:iCs/>
          <w:sz w:val="20"/>
          <w:szCs w:val="20"/>
        </w:rPr>
      </w:pPr>
    </w:p>
    <w:p w14:paraId="092D42E8" w14:textId="1AD9AAA9" w:rsidR="00996FB4" w:rsidRPr="00D92D00" w:rsidRDefault="00996FB4" w:rsidP="00996FB4">
      <w:pPr>
        <w:spacing w:after="0" w:line="240" w:lineRule="auto"/>
        <w:jc w:val="center"/>
        <w:rPr>
          <w:rFonts w:ascii="Cambria" w:hAnsi="Cambria"/>
          <w:i/>
          <w:iCs/>
          <w:sz w:val="20"/>
          <w:szCs w:val="20"/>
        </w:rPr>
      </w:pPr>
      <w:r w:rsidRPr="00D92D00">
        <w:rPr>
          <w:rFonts w:ascii="Cambria" w:hAnsi="Cambria"/>
          <w:i/>
          <w:iCs/>
          <w:sz w:val="20"/>
          <w:szCs w:val="20"/>
        </w:rPr>
        <w:t>(Secrétariat de l’ICCAT)</w:t>
      </w:r>
    </w:p>
    <w:p w14:paraId="286C7C40" w14:textId="1A474E5E" w:rsidR="00996FB4" w:rsidRPr="00D92D00" w:rsidRDefault="00996FB4" w:rsidP="00996FB4">
      <w:pPr>
        <w:tabs>
          <w:tab w:val="left" w:pos="7392"/>
        </w:tabs>
        <w:spacing w:after="0" w:line="240" w:lineRule="auto"/>
        <w:jc w:val="both"/>
        <w:rPr>
          <w:rFonts w:ascii="Cambria" w:hAnsi="Cambria"/>
          <w:sz w:val="20"/>
          <w:szCs w:val="20"/>
        </w:rPr>
      </w:pPr>
    </w:p>
    <w:p w14:paraId="64E75F0A" w14:textId="0D9034FA" w:rsidR="00996FB4" w:rsidRPr="00D92D00" w:rsidRDefault="00996FB4" w:rsidP="00996FB4">
      <w:pPr>
        <w:spacing w:after="0" w:line="240" w:lineRule="auto"/>
        <w:jc w:val="both"/>
        <w:rPr>
          <w:rFonts w:ascii="Cambria" w:hAnsi="Cambria"/>
          <w:sz w:val="20"/>
          <w:szCs w:val="20"/>
        </w:rPr>
      </w:pPr>
      <w:r w:rsidRPr="00D92D00">
        <w:rPr>
          <w:rFonts w:ascii="Cambria" w:hAnsi="Cambria"/>
          <w:sz w:val="20"/>
          <w:szCs w:val="20"/>
        </w:rPr>
        <w:t>Conformément à la</w:t>
      </w:r>
      <w:hyperlink r:id="rId9" w:history="1">
        <w:r w:rsidRPr="00D92D00">
          <w:rPr>
            <w:rStyle w:val="Lienhypertexte"/>
            <w:rFonts w:ascii="Cambria" w:hAnsi="Cambria"/>
            <w:i/>
            <w:iCs/>
            <w:sz w:val="20"/>
            <w:szCs w:val="20"/>
            <w:u w:val="none"/>
          </w:rPr>
          <w:t xml:space="preserve"> Recommandation de l’ICCAT remplaçant la Recommandation 03-20 sur les critères visant à l’octroi du statut de Partie, Entité ou Entité de pêche non contractante coopérante à l’ICCAT</w:t>
        </w:r>
      </w:hyperlink>
      <w:r w:rsidR="000B148B" w:rsidRPr="00D92D00">
        <w:t xml:space="preserve"> </w:t>
      </w:r>
      <w:hyperlink r:id="rId10" w:history="1">
        <w:r w:rsidR="000B148B" w:rsidRPr="00D92D00">
          <w:rPr>
            <w:rStyle w:val="Lienhypertexte"/>
            <w:rFonts w:ascii="Cambria" w:hAnsi="Cambria"/>
            <w:sz w:val="20"/>
            <w:szCs w:val="20"/>
            <w:u w:val="none"/>
          </w:rPr>
          <w:t>(Rec. 21-24)</w:t>
        </w:r>
      </w:hyperlink>
      <w:r w:rsidRPr="00D92D00">
        <w:rPr>
          <w:rFonts w:ascii="Cambria" w:hAnsi="Cambria"/>
          <w:sz w:val="20"/>
          <w:szCs w:val="20"/>
        </w:rPr>
        <w:t>, le Secrétaire exécutif a adressé des lettres : à la Colombie, à la Dominique, à la République dominicaine, à la Jamaïque, à Sainte-Lucie et à Saint Kitts et Nevis.</w:t>
      </w:r>
    </w:p>
    <w:p w14:paraId="1B3600E4" w14:textId="77777777" w:rsidR="00996FB4" w:rsidRPr="00D92D00" w:rsidRDefault="00996FB4" w:rsidP="00996FB4">
      <w:pPr>
        <w:spacing w:after="0" w:line="240" w:lineRule="auto"/>
        <w:jc w:val="both"/>
        <w:rPr>
          <w:rFonts w:ascii="Cambria" w:hAnsi="Cambria"/>
          <w:sz w:val="20"/>
          <w:szCs w:val="20"/>
        </w:rPr>
      </w:pPr>
    </w:p>
    <w:p w14:paraId="40BFF0DC" w14:textId="55F533A4" w:rsidR="00AC06D6" w:rsidRPr="00D92D00" w:rsidRDefault="003A13FF" w:rsidP="003A13FF">
      <w:pPr>
        <w:spacing w:after="0" w:line="240" w:lineRule="auto"/>
        <w:jc w:val="both"/>
        <w:rPr>
          <w:rFonts w:ascii="Cambria" w:hAnsi="Cambria"/>
          <w:sz w:val="20"/>
          <w:szCs w:val="20"/>
        </w:rPr>
      </w:pPr>
      <w:r w:rsidRPr="00D92D00">
        <w:rPr>
          <w:rFonts w:ascii="Cambria" w:hAnsi="Cambria"/>
          <w:sz w:val="20"/>
          <w:szCs w:val="20"/>
        </w:rPr>
        <w:t>La Dominique et Sainte-Lucie ont transmis des données statistiques après la diffusion des courriers du Secrétaire exécutif. Un accusé de réception a été reçu de la Colombie, de la Jamaïque et de Saint Kitts et Nevis. Aucune autre réponse n’a été reçue.</w:t>
      </w:r>
    </w:p>
    <w:p w14:paraId="5E686B68" w14:textId="77777777" w:rsidR="00FA36AE" w:rsidRPr="00D92D00" w:rsidRDefault="00FA36AE" w:rsidP="00996FB4">
      <w:pPr>
        <w:spacing w:after="0" w:line="240" w:lineRule="auto"/>
        <w:jc w:val="both"/>
        <w:rPr>
          <w:rFonts w:ascii="Cambria" w:hAnsi="Cambria"/>
          <w:sz w:val="20"/>
          <w:szCs w:val="20"/>
        </w:rPr>
      </w:pPr>
    </w:p>
    <w:p w14:paraId="661A4101" w14:textId="3ACAF684" w:rsidR="00191B4C" w:rsidRPr="00D92D00" w:rsidRDefault="003A13FF" w:rsidP="00996FB4">
      <w:pPr>
        <w:spacing w:after="0" w:line="240" w:lineRule="auto"/>
        <w:jc w:val="both"/>
        <w:rPr>
          <w:rFonts w:ascii="Cambria" w:hAnsi="Cambria"/>
          <w:sz w:val="20"/>
          <w:szCs w:val="20"/>
        </w:rPr>
      </w:pPr>
      <w:r w:rsidRPr="00D92D00">
        <w:rPr>
          <w:rFonts w:ascii="Cambria" w:hAnsi="Cambria"/>
          <w:sz w:val="20"/>
          <w:szCs w:val="20"/>
        </w:rPr>
        <w:t>En outre, le Secrétaire exécutif a adressé un courrier à Gibraltar, demandant des informations supplémentaires concernant la gestion et les captures de thon rouge. La réponse de Gibraltar est jointe au présent document.</w:t>
      </w:r>
    </w:p>
    <w:p w14:paraId="5FF14B57" w14:textId="77777777" w:rsidR="00E905E9" w:rsidRPr="00D92D00" w:rsidRDefault="00E905E9" w:rsidP="00996FB4">
      <w:pPr>
        <w:spacing w:after="0" w:line="240" w:lineRule="auto"/>
        <w:jc w:val="both"/>
        <w:rPr>
          <w:rFonts w:ascii="Cambria" w:hAnsi="Cambria"/>
          <w:sz w:val="20"/>
          <w:szCs w:val="20"/>
        </w:rPr>
      </w:pPr>
    </w:p>
    <w:p w14:paraId="3DCB8643" w14:textId="48AE507A" w:rsidR="00996FB4" w:rsidRPr="00D92D00" w:rsidRDefault="00996FB4" w:rsidP="00996FB4">
      <w:pPr>
        <w:spacing w:after="0" w:line="240" w:lineRule="auto"/>
        <w:jc w:val="both"/>
        <w:rPr>
          <w:rFonts w:ascii="Cambria" w:hAnsi="Cambria"/>
          <w:sz w:val="20"/>
          <w:szCs w:val="20"/>
        </w:rPr>
      </w:pPr>
      <w:proofErr w:type="spellStart"/>
      <w:r w:rsidRPr="00D92D00">
        <w:rPr>
          <w:rFonts w:ascii="Cambria" w:hAnsi="Cambria"/>
          <w:sz w:val="20"/>
          <w:szCs w:val="20"/>
        </w:rPr>
        <w:t>Veuillez vous</w:t>
      </w:r>
      <w:proofErr w:type="spellEnd"/>
      <w:r w:rsidRPr="00D92D00">
        <w:rPr>
          <w:rFonts w:ascii="Cambria" w:hAnsi="Cambria"/>
          <w:sz w:val="20"/>
          <w:szCs w:val="20"/>
        </w:rPr>
        <w:t xml:space="preserve"> reporter au « Rapport du Secrétariat au Comité d’application des mesures de conservation et de gestion de l’ICCAT » (COC_303/2026) pour consulter les informations relatives aux données de captures reçues de Parties, Entités ou Entités de pêche non</w:t>
      </w:r>
      <w:r w:rsidR="00F14AEF" w:rsidRPr="00D92D00">
        <w:rPr>
          <w:rFonts w:ascii="Cambria" w:hAnsi="Cambria"/>
          <w:sz w:val="20"/>
          <w:szCs w:val="20"/>
        </w:rPr>
        <w:t>-</w:t>
      </w:r>
      <w:r w:rsidRPr="00D92D00">
        <w:rPr>
          <w:rFonts w:ascii="Cambria" w:hAnsi="Cambria"/>
          <w:sz w:val="20"/>
          <w:szCs w:val="20"/>
        </w:rPr>
        <w:t>contractantes ne disposant pas du statut de coopérant.</w:t>
      </w:r>
    </w:p>
    <w:p w14:paraId="24F569DA" w14:textId="60FBFAA5" w:rsidR="00996FB4" w:rsidRPr="00D92D00" w:rsidRDefault="00996FB4" w:rsidP="00996FB4">
      <w:pPr>
        <w:spacing w:after="0" w:line="240" w:lineRule="auto"/>
        <w:jc w:val="both"/>
        <w:rPr>
          <w:rFonts w:ascii="Cambria" w:hAnsi="Cambria"/>
          <w:sz w:val="20"/>
          <w:szCs w:val="20"/>
        </w:rPr>
      </w:pPr>
      <w:r w:rsidRPr="00D92D00">
        <w:rPr>
          <w:rFonts w:ascii="Cambria" w:hAnsi="Cambria"/>
          <w:sz w:val="20"/>
          <w:szCs w:val="20"/>
        </w:rPr>
        <w:br w:type="page"/>
      </w:r>
    </w:p>
    <w:p w14:paraId="566DA268" w14:textId="75EAA78F" w:rsidR="00C47B80" w:rsidRPr="00D92D00" w:rsidRDefault="00C47B80">
      <w:pPr>
        <w:rPr>
          <w:rFonts w:ascii="Cambria" w:hAnsi="Cambria"/>
          <w:b/>
          <w:bCs/>
          <w:sz w:val="20"/>
          <w:szCs w:val="20"/>
        </w:rPr>
      </w:pPr>
    </w:p>
    <w:p w14:paraId="4DE82DC6" w14:textId="083D8596" w:rsidR="00704874" w:rsidRPr="00D92D00" w:rsidRDefault="00704874" w:rsidP="00704874">
      <w:pPr>
        <w:tabs>
          <w:tab w:val="left" w:pos="5640"/>
          <w:tab w:val="right" w:pos="10198"/>
        </w:tabs>
        <w:jc w:val="center"/>
        <w:rPr>
          <w:rFonts w:ascii="Cambria" w:hAnsi="Cambria"/>
          <w:b/>
          <w:bCs/>
          <w:sz w:val="20"/>
          <w:szCs w:val="20"/>
        </w:rPr>
      </w:pPr>
      <w:r w:rsidRPr="00D92D00">
        <w:rPr>
          <w:rFonts w:ascii="Cambria" w:hAnsi="Cambria"/>
          <w:b/>
          <w:bCs/>
          <w:sz w:val="20"/>
          <w:szCs w:val="20"/>
        </w:rPr>
        <w:t>Réponse de Gibraltar à la lettre du Secrétaire exécutif</w:t>
      </w:r>
    </w:p>
    <w:p w14:paraId="41601B27" w14:textId="77777777" w:rsidR="00704874" w:rsidRPr="00D92D00" w:rsidRDefault="00704874" w:rsidP="00704874">
      <w:pPr>
        <w:spacing w:after="0" w:line="240" w:lineRule="auto"/>
        <w:jc w:val="right"/>
        <w:rPr>
          <w:rFonts w:ascii="Cambria" w:eastAsia="Arial" w:hAnsi="Cambria" w:cs="Arial"/>
          <w:sz w:val="20"/>
          <w:szCs w:val="20"/>
          <w:lang w:eastAsia="en-GB"/>
        </w:rPr>
      </w:pPr>
    </w:p>
    <w:p w14:paraId="0EFFF5D2" w14:textId="192416FE" w:rsidR="00704874" w:rsidRPr="00D92D00" w:rsidRDefault="001451B3" w:rsidP="00C5400E">
      <w:pPr>
        <w:spacing w:after="0" w:line="240" w:lineRule="auto"/>
        <w:rPr>
          <w:rFonts w:ascii="Cambria" w:eastAsia="Arial" w:hAnsi="Cambria" w:cs="Arial"/>
          <w:sz w:val="20"/>
          <w:szCs w:val="20"/>
        </w:rPr>
      </w:pPr>
      <w:r w:rsidRPr="00D92D00">
        <w:rPr>
          <w:rFonts w:ascii="Cambria" w:hAnsi="Cambria"/>
          <w:sz w:val="20"/>
          <w:szCs w:val="20"/>
        </w:rPr>
        <w:t>Département</w:t>
      </w:r>
      <w:r w:rsidR="00AC06D6" w:rsidRPr="00D92D00">
        <w:rPr>
          <w:rFonts w:ascii="Cambria" w:hAnsi="Cambria"/>
          <w:sz w:val="20"/>
          <w:szCs w:val="20"/>
        </w:rPr>
        <w:t xml:space="preserve"> de l'environnement, de l'alimentation et des affaires rurales</w:t>
      </w:r>
    </w:p>
    <w:p w14:paraId="1B5A96EC" w14:textId="13390EF8" w:rsidR="00704874" w:rsidRPr="00D92D00" w:rsidRDefault="00704874" w:rsidP="00704874">
      <w:pPr>
        <w:spacing w:after="0" w:line="240" w:lineRule="auto"/>
        <w:jc w:val="right"/>
        <w:rPr>
          <w:rFonts w:ascii="Cambria" w:eastAsia="Arial" w:hAnsi="Cambria" w:cs="Arial"/>
          <w:sz w:val="20"/>
          <w:szCs w:val="20"/>
        </w:rPr>
      </w:pPr>
      <w:proofErr w:type="spellStart"/>
      <w:r w:rsidRPr="00D92D00">
        <w:rPr>
          <w:rFonts w:ascii="Cambria" w:hAnsi="Cambria"/>
          <w:sz w:val="20"/>
          <w:szCs w:val="20"/>
        </w:rPr>
        <w:t>Seacole</w:t>
      </w:r>
      <w:proofErr w:type="spellEnd"/>
      <w:r w:rsidRPr="00D92D00">
        <w:rPr>
          <w:rFonts w:ascii="Cambria" w:hAnsi="Cambria"/>
          <w:sz w:val="20"/>
          <w:szCs w:val="20"/>
        </w:rPr>
        <w:t xml:space="preserve"> Wing</w:t>
      </w:r>
    </w:p>
    <w:p w14:paraId="7D5C9465" w14:textId="77777777" w:rsidR="00704874" w:rsidRPr="00D92D00" w:rsidRDefault="00704874" w:rsidP="00704874">
      <w:pPr>
        <w:spacing w:after="0" w:line="240" w:lineRule="auto"/>
        <w:jc w:val="right"/>
        <w:rPr>
          <w:rFonts w:ascii="Cambria" w:eastAsia="Arial" w:hAnsi="Cambria" w:cs="Arial"/>
          <w:sz w:val="20"/>
          <w:szCs w:val="20"/>
        </w:rPr>
      </w:pPr>
      <w:r w:rsidRPr="00D92D00">
        <w:rPr>
          <w:rFonts w:ascii="Cambria" w:hAnsi="Cambria"/>
          <w:sz w:val="20"/>
          <w:szCs w:val="20"/>
        </w:rPr>
        <w:t xml:space="preserve">2 </w:t>
      </w:r>
      <w:proofErr w:type="spellStart"/>
      <w:r w:rsidRPr="00D92D00">
        <w:rPr>
          <w:rFonts w:ascii="Cambria" w:hAnsi="Cambria"/>
          <w:sz w:val="20"/>
          <w:szCs w:val="20"/>
        </w:rPr>
        <w:t>Marsham</w:t>
      </w:r>
      <w:proofErr w:type="spellEnd"/>
      <w:r w:rsidRPr="00D92D00">
        <w:rPr>
          <w:rFonts w:ascii="Cambria" w:hAnsi="Cambria"/>
          <w:sz w:val="20"/>
          <w:szCs w:val="20"/>
        </w:rPr>
        <w:t xml:space="preserve"> Street, Londres</w:t>
      </w:r>
    </w:p>
    <w:p w14:paraId="63B5EB50" w14:textId="77777777" w:rsidR="00704874" w:rsidRPr="00D92D00" w:rsidRDefault="00704874" w:rsidP="00704874">
      <w:pPr>
        <w:spacing w:after="0" w:line="240" w:lineRule="auto"/>
        <w:jc w:val="right"/>
        <w:rPr>
          <w:rFonts w:ascii="Cambria" w:eastAsia="Arial" w:hAnsi="Cambria" w:cs="Arial"/>
          <w:sz w:val="20"/>
          <w:szCs w:val="20"/>
        </w:rPr>
      </w:pPr>
      <w:r w:rsidRPr="00D92D00">
        <w:rPr>
          <w:rFonts w:ascii="Cambria" w:hAnsi="Cambria"/>
          <w:sz w:val="20"/>
          <w:szCs w:val="20"/>
        </w:rPr>
        <w:t>SW1P 4DF</w:t>
      </w:r>
    </w:p>
    <w:p w14:paraId="55114962" w14:textId="77777777" w:rsidR="00704874" w:rsidRPr="00D92D00" w:rsidRDefault="00704874" w:rsidP="00704874">
      <w:pPr>
        <w:spacing w:after="0" w:line="240" w:lineRule="atLeast"/>
        <w:jc w:val="right"/>
        <w:rPr>
          <w:rFonts w:ascii="Cambria" w:hAnsi="Cambria"/>
          <w:sz w:val="20"/>
          <w:szCs w:val="20"/>
        </w:rPr>
      </w:pPr>
      <w:r w:rsidRPr="00D92D00">
        <w:rPr>
          <w:rFonts w:ascii="Cambria" w:hAnsi="Cambria"/>
          <w:sz w:val="20"/>
          <w:szCs w:val="20"/>
        </w:rPr>
        <w:t>www.gov.uk/defra</w:t>
      </w:r>
    </w:p>
    <w:p w14:paraId="71A8342F" w14:textId="77777777" w:rsidR="00704874" w:rsidRPr="00D92D00" w:rsidRDefault="00704874" w:rsidP="00704874">
      <w:pPr>
        <w:spacing w:after="0" w:line="240" w:lineRule="atLeast"/>
        <w:rPr>
          <w:rFonts w:ascii="Cambria" w:hAnsi="Cambria"/>
          <w:sz w:val="20"/>
          <w:szCs w:val="20"/>
        </w:rPr>
      </w:pPr>
    </w:p>
    <w:p w14:paraId="5CE6DAE5" w14:textId="0B3D1AF8" w:rsidR="00704874" w:rsidRPr="00D92D00" w:rsidRDefault="00C676FD" w:rsidP="00704874">
      <w:pPr>
        <w:spacing w:after="0" w:line="240" w:lineRule="atLeast"/>
        <w:jc w:val="right"/>
        <w:rPr>
          <w:rFonts w:ascii="Cambria" w:hAnsi="Cambria"/>
          <w:sz w:val="20"/>
          <w:szCs w:val="20"/>
        </w:rPr>
      </w:pPr>
      <w:proofErr w:type="gramStart"/>
      <w:r w:rsidRPr="00D92D00">
        <w:rPr>
          <w:rFonts w:ascii="Cambria" w:hAnsi="Cambria"/>
          <w:sz w:val="20"/>
          <w:szCs w:val="20"/>
        </w:rPr>
        <w:t>le</w:t>
      </w:r>
      <w:proofErr w:type="gramEnd"/>
      <w:r w:rsidRPr="00D92D00">
        <w:rPr>
          <w:rFonts w:ascii="Cambria" w:hAnsi="Cambria"/>
          <w:sz w:val="20"/>
          <w:szCs w:val="20"/>
        </w:rPr>
        <w:t xml:space="preserve"> 21 septembre 2026</w:t>
      </w:r>
    </w:p>
    <w:p w14:paraId="72F2DF88" w14:textId="77777777" w:rsidR="00704874" w:rsidRPr="00D92D00" w:rsidRDefault="00704874" w:rsidP="00704874">
      <w:pPr>
        <w:tabs>
          <w:tab w:val="left" w:pos="6946"/>
        </w:tabs>
        <w:spacing w:after="0" w:line="240" w:lineRule="auto"/>
        <w:jc w:val="both"/>
        <w:rPr>
          <w:rFonts w:ascii="Cambria" w:eastAsia="Arial" w:hAnsi="Cambria" w:cs="Arial"/>
          <w:sz w:val="20"/>
          <w:szCs w:val="20"/>
        </w:rPr>
      </w:pPr>
    </w:p>
    <w:p w14:paraId="429D7CCE" w14:textId="77777777" w:rsidR="00191B4C" w:rsidRPr="00D92D00" w:rsidRDefault="00191B4C" w:rsidP="00191B4C">
      <w:pPr>
        <w:pStyle w:val="Default"/>
        <w:rPr>
          <w:rFonts w:ascii="Cambria" w:eastAsia="Arial" w:hAnsi="Cambria"/>
          <w:sz w:val="20"/>
          <w:szCs w:val="20"/>
        </w:rPr>
      </w:pPr>
    </w:p>
    <w:p w14:paraId="1C7FE08A" w14:textId="092B8D89" w:rsidR="00191B4C" w:rsidRPr="00D92D00" w:rsidRDefault="00191B4C" w:rsidP="00191B4C">
      <w:pPr>
        <w:pStyle w:val="Default"/>
        <w:rPr>
          <w:rFonts w:ascii="Cambria" w:eastAsia="Arial" w:hAnsi="Cambria"/>
          <w:sz w:val="20"/>
          <w:szCs w:val="20"/>
        </w:rPr>
      </w:pPr>
      <w:r w:rsidRPr="00D92D00">
        <w:rPr>
          <w:rFonts w:ascii="Cambria" w:hAnsi="Cambria"/>
          <w:sz w:val="20"/>
          <w:szCs w:val="20"/>
        </w:rPr>
        <w:t>Cher Camille,</w:t>
      </w:r>
    </w:p>
    <w:p w14:paraId="55BA36D7" w14:textId="77777777" w:rsidR="00191B4C" w:rsidRPr="00D92D00" w:rsidRDefault="00191B4C" w:rsidP="00191B4C">
      <w:pPr>
        <w:pStyle w:val="Default"/>
        <w:rPr>
          <w:rFonts w:ascii="Cambria" w:eastAsia="Arial" w:hAnsi="Cambria"/>
          <w:sz w:val="20"/>
          <w:szCs w:val="20"/>
        </w:rPr>
      </w:pPr>
    </w:p>
    <w:p w14:paraId="70D5E054" w14:textId="77777777" w:rsidR="00191B4C" w:rsidRPr="00D92D00" w:rsidRDefault="00191B4C" w:rsidP="00191B4C">
      <w:pPr>
        <w:pStyle w:val="Default"/>
        <w:rPr>
          <w:rFonts w:ascii="Cambria" w:eastAsia="Arial" w:hAnsi="Cambria"/>
          <w:b/>
          <w:bCs/>
          <w:sz w:val="20"/>
          <w:szCs w:val="20"/>
        </w:rPr>
      </w:pPr>
      <w:r w:rsidRPr="00D92D00">
        <w:rPr>
          <w:rFonts w:ascii="Cambria" w:hAnsi="Cambria"/>
          <w:b/>
          <w:bCs/>
          <w:sz w:val="20"/>
          <w:szCs w:val="20"/>
        </w:rPr>
        <w:t>Objet : Gestion et captures de thon rouge à Gibraltar</w:t>
      </w:r>
    </w:p>
    <w:p w14:paraId="3CFDB609" w14:textId="77777777" w:rsidR="00191B4C" w:rsidRPr="00D92D00" w:rsidRDefault="00191B4C" w:rsidP="00191B4C">
      <w:pPr>
        <w:pStyle w:val="Default"/>
        <w:rPr>
          <w:rFonts w:ascii="Cambria" w:eastAsia="Arial" w:hAnsi="Cambria"/>
          <w:b/>
          <w:bCs/>
          <w:sz w:val="20"/>
          <w:szCs w:val="20"/>
        </w:rPr>
      </w:pPr>
    </w:p>
    <w:p w14:paraId="179EF1AA" w14:textId="41D531F7" w:rsidR="00C676FD" w:rsidRPr="00D92D00" w:rsidRDefault="00C676FD" w:rsidP="001B0B48">
      <w:pPr>
        <w:pStyle w:val="Default"/>
        <w:jc w:val="both"/>
        <w:rPr>
          <w:rFonts w:ascii="Cambria" w:eastAsia="Arial" w:hAnsi="Cambria"/>
          <w:sz w:val="20"/>
          <w:szCs w:val="20"/>
        </w:rPr>
      </w:pPr>
      <w:r w:rsidRPr="00D92D00">
        <w:rPr>
          <w:rFonts w:ascii="Cambria" w:hAnsi="Cambria"/>
          <w:sz w:val="20"/>
          <w:szCs w:val="20"/>
        </w:rPr>
        <w:t>Suite à votre lettre du 12 mai (Réf</w:t>
      </w:r>
      <w:r w:rsidR="00BA3C5D" w:rsidRPr="00D92D00">
        <w:rPr>
          <w:rFonts w:ascii="Cambria" w:hAnsi="Cambria"/>
          <w:sz w:val="20"/>
          <w:szCs w:val="20"/>
        </w:rPr>
        <w:t xml:space="preserve"> </w:t>
      </w:r>
      <w:r w:rsidRPr="00D92D00">
        <w:rPr>
          <w:rFonts w:ascii="Cambria" w:hAnsi="Cambria"/>
          <w:sz w:val="20"/>
          <w:szCs w:val="20"/>
        </w:rPr>
        <w:t xml:space="preserve">: 083588), j'ai le plaisir de joindre une réponse détaillée de mes collègues de Gibraltar. Veuillez noter que cette réponse s'ajoute aux données statistiques que M. Warr a soumises aujourd'hui à l'adresse électronique </w:t>
      </w:r>
      <w:hyperlink r:id="rId11" w:history="1">
        <w:r w:rsidRPr="00D92D00">
          <w:rPr>
            <w:rStyle w:val="Lienhypertexte"/>
            <w:rFonts w:ascii="Cambria" w:hAnsi="Cambria"/>
            <w:sz w:val="20"/>
            <w:szCs w:val="20"/>
          </w:rPr>
          <w:t>stats_info@iccat.int</w:t>
        </w:r>
      </w:hyperlink>
      <w:r w:rsidRPr="00D92D00">
        <w:rPr>
          <w:rFonts w:ascii="Cambria" w:hAnsi="Cambria"/>
          <w:sz w:val="20"/>
          <w:szCs w:val="20"/>
        </w:rPr>
        <w:t xml:space="preserve">. Comme M. Warr l'a indiqué dans sa réponse, au moment de la rédaction de la présente, la saison de pêche </w:t>
      </w:r>
      <w:r w:rsidR="00414001" w:rsidRPr="00D92D00">
        <w:rPr>
          <w:rFonts w:ascii="Cambria" w:hAnsi="Cambria"/>
          <w:sz w:val="20"/>
          <w:szCs w:val="20"/>
        </w:rPr>
        <w:t>de</w:t>
      </w:r>
      <w:r w:rsidRPr="00D92D00">
        <w:rPr>
          <w:rFonts w:ascii="Cambria" w:hAnsi="Cambria"/>
          <w:sz w:val="20"/>
          <w:szCs w:val="20"/>
        </w:rPr>
        <w:t xml:space="preserve"> thon rouge à Gibraltar n'a pas tout </w:t>
      </w:r>
      <w:r w:rsidR="00F14AEF" w:rsidRPr="00D92D00">
        <w:rPr>
          <w:rFonts w:ascii="Cambria" w:hAnsi="Cambria"/>
          <w:sz w:val="20"/>
          <w:szCs w:val="20"/>
        </w:rPr>
        <w:t xml:space="preserve">à fait </w:t>
      </w:r>
      <w:r w:rsidRPr="00D92D00">
        <w:rPr>
          <w:rFonts w:ascii="Cambria" w:hAnsi="Cambria"/>
          <w:sz w:val="20"/>
          <w:szCs w:val="20"/>
        </w:rPr>
        <w:t>pris fin, mais nous avons préféré vous répondre rapidement et nous pouvons bien sûr vous fournir toute mise à jour des données de capture après la fermeture de la saison prévue le mercredi 14 octobre.</w:t>
      </w:r>
    </w:p>
    <w:p w14:paraId="6E85D7E8" w14:textId="77777777" w:rsidR="00C676FD" w:rsidRPr="00D92D00" w:rsidRDefault="00C676FD" w:rsidP="00C676FD">
      <w:pPr>
        <w:pStyle w:val="Default"/>
        <w:rPr>
          <w:rFonts w:ascii="Cambria" w:eastAsia="Arial" w:hAnsi="Cambria"/>
          <w:sz w:val="20"/>
          <w:szCs w:val="20"/>
        </w:rPr>
      </w:pPr>
    </w:p>
    <w:p w14:paraId="47A9CA1E" w14:textId="77777777" w:rsidR="00C676FD" w:rsidRPr="00D92D00" w:rsidRDefault="00C676FD" w:rsidP="001B0B48">
      <w:pPr>
        <w:pStyle w:val="Default"/>
        <w:jc w:val="both"/>
        <w:rPr>
          <w:rFonts w:ascii="Cambria" w:eastAsia="Arial" w:hAnsi="Cambria"/>
          <w:sz w:val="20"/>
          <w:szCs w:val="20"/>
        </w:rPr>
      </w:pPr>
      <w:r w:rsidRPr="00D92D00">
        <w:rPr>
          <w:rFonts w:ascii="Cambria" w:hAnsi="Cambria"/>
          <w:sz w:val="20"/>
          <w:szCs w:val="20"/>
        </w:rPr>
        <w:t>J'espère que ces deux soumissions fournissent toutes les informations demandées, mais n'hésitez pas à me faire savoir si vous avez besoin de plus d'informations avant les réunions du Comité d’application et de la Commission de novembre.</w:t>
      </w:r>
    </w:p>
    <w:p w14:paraId="11121901" w14:textId="77777777" w:rsidR="00C676FD" w:rsidRPr="00D92D00" w:rsidRDefault="00C676FD" w:rsidP="00C676FD">
      <w:pPr>
        <w:pStyle w:val="Default"/>
        <w:rPr>
          <w:rFonts w:ascii="Cambria" w:eastAsia="Arial" w:hAnsi="Cambria"/>
          <w:sz w:val="20"/>
          <w:szCs w:val="20"/>
        </w:rPr>
      </w:pPr>
    </w:p>
    <w:p w14:paraId="57BBC60D" w14:textId="1FB8D6B8" w:rsidR="00C676FD" w:rsidRPr="00D92D00" w:rsidRDefault="00C676FD" w:rsidP="001B0B48">
      <w:pPr>
        <w:pStyle w:val="Default"/>
        <w:jc w:val="both"/>
        <w:rPr>
          <w:rFonts w:ascii="Cambria" w:eastAsia="Arial" w:hAnsi="Cambria"/>
          <w:sz w:val="20"/>
          <w:szCs w:val="20"/>
        </w:rPr>
      </w:pPr>
      <w:r w:rsidRPr="00D92D00">
        <w:rPr>
          <w:rFonts w:ascii="Cambria" w:hAnsi="Cambria"/>
          <w:sz w:val="20"/>
          <w:szCs w:val="20"/>
        </w:rPr>
        <w:t xml:space="preserve">Je remercie mes collègues de Gibraltar pour leur coopération continue et leur assistance dans cette affaire, et je vous remercie à nouveau pour votre lettre. </w:t>
      </w:r>
    </w:p>
    <w:p w14:paraId="753DEA10" w14:textId="59A9C2CD" w:rsidR="00191B4C" w:rsidRPr="00D92D00" w:rsidRDefault="00191B4C" w:rsidP="00C676FD">
      <w:pPr>
        <w:pStyle w:val="Default"/>
        <w:rPr>
          <w:rFonts w:ascii="Cambria" w:eastAsia="Arial" w:hAnsi="Cambria"/>
          <w:sz w:val="20"/>
          <w:szCs w:val="20"/>
        </w:rPr>
      </w:pPr>
    </w:p>
    <w:p w14:paraId="63496FCE" w14:textId="77777777" w:rsidR="00191B4C" w:rsidRPr="00D92D00" w:rsidRDefault="00191B4C" w:rsidP="00191B4C">
      <w:pPr>
        <w:pStyle w:val="Default"/>
        <w:rPr>
          <w:rFonts w:ascii="Cambria" w:eastAsia="Arial" w:hAnsi="Cambria"/>
          <w:sz w:val="20"/>
          <w:szCs w:val="20"/>
        </w:rPr>
      </w:pPr>
      <w:r w:rsidRPr="00D92D00">
        <w:rPr>
          <w:rFonts w:ascii="Cambria" w:hAnsi="Cambria"/>
          <w:sz w:val="20"/>
          <w:szCs w:val="20"/>
        </w:rPr>
        <w:t>Meilleures salutations,</w:t>
      </w:r>
    </w:p>
    <w:p w14:paraId="7BC671B7" w14:textId="77777777" w:rsidR="00191B4C" w:rsidRPr="00D92D00" w:rsidRDefault="00191B4C" w:rsidP="00704874">
      <w:pPr>
        <w:pStyle w:val="Default"/>
        <w:rPr>
          <w:rFonts w:ascii="Cambria" w:eastAsia="Arial" w:hAnsi="Cambria"/>
          <w:color w:val="auto"/>
          <w:sz w:val="20"/>
          <w:szCs w:val="20"/>
        </w:rPr>
      </w:pPr>
    </w:p>
    <w:p w14:paraId="328DDAB7" w14:textId="77777777" w:rsidR="008760F8" w:rsidRPr="00D92D00" w:rsidRDefault="008760F8" w:rsidP="00704874">
      <w:pPr>
        <w:pStyle w:val="Default"/>
        <w:rPr>
          <w:rFonts w:ascii="Cambria" w:eastAsia="Arial" w:hAnsi="Cambria"/>
          <w:color w:val="auto"/>
          <w:sz w:val="20"/>
          <w:szCs w:val="20"/>
        </w:rPr>
      </w:pPr>
    </w:p>
    <w:p w14:paraId="19568845" w14:textId="65E0C7DD" w:rsidR="4DEB1D4F" w:rsidRPr="00D92D00" w:rsidRDefault="4DEB1D4F" w:rsidP="00704874">
      <w:pPr>
        <w:pStyle w:val="Default"/>
        <w:rPr>
          <w:rFonts w:ascii="Cambria" w:hAnsi="Cambria"/>
          <w:sz w:val="20"/>
          <w:szCs w:val="20"/>
        </w:rPr>
      </w:pPr>
    </w:p>
    <w:p w14:paraId="4576DE95" w14:textId="77777777" w:rsidR="006123ED" w:rsidRPr="00D92D00" w:rsidRDefault="006123ED" w:rsidP="00704874">
      <w:pPr>
        <w:pStyle w:val="Default"/>
        <w:rPr>
          <w:rFonts w:ascii="Cambria" w:hAnsi="Cambria"/>
          <w:sz w:val="20"/>
          <w:szCs w:val="20"/>
        </w:rPr>
      </w:pPr>
    </w:p>
    <w:p w14:paraId="2E8189F4" w14:textId="77777777" w:rsidR="00C676FD" w:rsidRPr="00D92D00" w:rsidRDefault="00C676FD" w:rsidP="00704874">
      <w:pPr>
        <w:pStyle w:val="Default"/>
        <w:rPr>
          <w:rFonts w:ascii="Cambria" w:eastAsia="Arial" w:hAnsi="Cambria"/>
          <w:color w:val="auto"/>
          <w:sz w:val="20"/>
          <w:szCs w:val="20"/>
        </w:rPr>
      </w:pPr>
      <w:r w:rsidRPr="00D92D00">
        <w:rPr>
          <w:rFonts w:ascii="Cambria" w:hAnsi="Cambria"/>
          <w:color w:val="auto"/>
          <w:sz w:val="20"/>
          <w:szCs w:val="20"/>
        </w:rPr>
        <w:t>Jess Keedy</w:t>
      </w:r>
    </w:p>
    <w:p w14:paraId="38C1C98F" w14:textId="67FB608F" w:rsidR="00C47B80" w:rsidRPr="00D92D00" w:rsidRDefault="003C001F" w:rsidP="00A24116">
      <w:pPr>
        <w:pStyle w:val="Default"/>
        <w:rPr>
          <w:rFonts w:ascii="Cambria" w:hAnsi="Cambria"/>
          <w:sz w:val="20"/>
          <w:szCs w:val="20"/>
        </w:rPr>
      </w:pPr>
      <w:r w:rsidRPr="00D92D00">
        <w:rPr>
          <w:rFonts w:ascii="Cambria" w:hAnsi="Cambria"/>
          <w:color w:val="auto"/>
          <w:sz w:val="20"/>
          <w:szCs w:val="20"/>
        </w:rPr>
        <w:t>Délégation du Royaume-Uni auprès de l’ICCAT</w:t>
      </w:r>
    </w:p>
    <w:p w14:paraId="22D1F44B" w14:textId="77777777" w:rsidR="00C47B80" w:rsidRPr="00D92D00" w:rsidRDefault="00C47B80" w:rsidP="00704874">
      <w:pPr>
        <w:pStyle w:val="Default"/>
        <w:ind w:left="1440" w:hanging="1440"/>
        <w:rPr>
          <w:rFonts w:ascii="Cambria" w:hAnsi="Cambria"/>
          <w:sz w:val="20"/>
          <w:szCs w:val="20"/>
        </w:rPr>
      </w:pPr>
    </w:p>
    <w:p w14:paraId="67E6E74E" w14:textId="77777777" w:rsidR="00C47B80" w:rsidRPr="00D92D00" w:rsidRDefault="00C47B80" w:rsidP="00704874">
      <w:pPr>
        <w:pStyle w:val="Default"/>
        <w:ind w:left="1440" w:hanging="1440"/>
        <w:rPr>
          <w:rFonts w:ascii="Cambria" w:hAnsi="Cambria"/>
          <w:sz w:val="20"/>
          <w:szCs w:val="20"/>
        </w:rPr>
      </w:pPr>
    </w:p>
    <w:p w14:paraId="7DFC8942" w14:textId="77777777" w:rsidR="00C47B80" w:rsidRPr="00D92D00" w:rsidRDefault="00C47B80" w:rsidP="00704874">
      <w:pPr>
        <w:pStyle w:val="Default"/>
        <w:ind w:left="1440" w:hanging="1440"/>
        <w:rPr>
          <w:rFonts w:ascii="Cambria" w:hAnsi="Cambria"/>
          <w:sz w:val="20"/>
          <w:szCs w:val="20"/>
        </w:rPr>
      </w:pPr>
    </w:p>
    <w:p w14:paraId="690879B8" w14:textId="77777777" w:rsidR="00C47B80" w:rsidRPr="00D92D00" w:rsidRDefault="00C47B80" w:rsidP="00704874">
      <w:pPr>
        <w:pStyle w:val="Default"/>
        <w:ind w:left="1440" w:hanging="1440"/>
        <w:rPr>
          <w:rFonts w:ascii="Cambria" w:hAnsi="Cambria"/>
          <w:sz w:val="20"/>
          <w:szCs w:val="20"/>
        </w:rPr>
      </w:pPr>
    </w:p>
    <w:p w14:paraId="7A9D93F0" w14:textId="77777777" w:rsidR="00C47B80" w:rsidRPr="00D92D00" w:rsidRDefault="00C47B80" w:rsidP="00704874">
      <w:pPr>
        <w:pStyle w:val="Default"/>
        <w:ind w:left="1440" w:hanging="1440"/>
        <w:rPr>
          <w:rFonts w:ascii="Cambria" w:hAnsi="Cambria"/>
          <w:sz w:val="20"/>
          <w:szCs w:val="20"/>
        </w:rPr>
      </w:pPr>
    </w:p>
    <w:p w14:paraId="09840C02" w14:textId="77777777" w:rsidR="00C47B80" w:rsidRPr="00D92D00" w:rsidRDefault="00C47B80" w:rsidP="00704874">
      <w:pPr>
        <w:pStyle w:val="Default"/>
        <w:ind w:left="1440" w:hanging="1440"/>
        <w:rPr>
          <w:rFonts w:ascii="Cambria" w:hAnsi="Cambria"/>
          <w:sz w:val="20"/>
          <w:szCs w:val="20"/>
        </w:rPr>
      </w:pPr>
    </w:p>
    <w:p w14:paraId="5F3F7676" w14:textId="5189E817" w:rsidR="00C676FD" w:rsidRPr="00D92D00" w:rsidRDefault="001B0B48" w:rsidP="001B0B48">
      <w:pPr>
        <w:pStyle w:val="Default"/>
        <w:ind w:left="426" w:hanging="426"/>
        <w:jc w:val="both"/>
        <w:rPr>
          <w:rFonts w:ascii="Cambria" w:hAnsi="Cambria"/>
          <w:sz w:val="20"/>
          <w:szCs w:val="20"/>
        </w:rPr>
      </w:pPr>
      <w:r w:rsidRPr="00D92D00">
        <w:rPr>
          <w:rFonts w:ascii="Cambria" w:hAnsi="Cambria"/>
          <w:b/>
          <w:bCs/>
          <w:sz w:val="20"/>
          <w:szCs w:val="20"/>
        </w:rPr>
        <w:t>C</w:t>
      </w:r>
      <w:r w:rsidR="00434D76" w:rsidRPr="00D92D00">
        <w:rPr>
          <w:rFonts w:ascii="Cambria" w:hAnsi="Cambria"/>
          <w:b/>
          <w:bCs/>
          <w:sz w:val="20"/>
          <w:szCs w:val="20"/>
        </w:rPr>
        <w:t>c</w:t>
      </w:r>
      <w:r w:rsidRPr="00D92D00">
        <w:rPr>
          <w:rFonts w:ascii="Cambria" w:hAnsi="Cambria"/>
          <w:b/>
          <w:bCs/>
          <w:sz w:val="20"/>
          <w:szCs w:val="20"/>
        </w:rPr>
        <w:t xml:space="preserve"> </w:t>
      </w:r>
      <w:r w:rsidR="00434D76" w:rsidRPr="00D92D00">
        <w:rPr>
          <w:rFonts w:ascii="Cambria" w:hAnsi="Cambria"/>
          <w:b/>
          <w:bCs/>
          <w:sz w:val="20"/>
          <w:szCs w:val="20"/>
        </w:rPr>
        <w:t>:</w:t>
      </w:r>
      <w:r w:rsidR="00434D76" w:rsidRPr="00D92D00">
        <w:rPr>
          <w:rFonts w:ascii="Cambria" w:hAnsi="Cambria"/>
          <w:sz w:val="20"/>
          <w:szCs w:val="20"/>
        </w:rPr>
        <w:tab/>
      </w:r>
      <w:bookmarkEnd w:id="0"/>
      <w:r w:rsidR="00434D76" w:rsidRPr="00D92D00">
        <w:rPr>
          <w:rFonts w:ascii="Cambria" w:hAnsi="Cambria"/>
          <w:sz w:val="20"/>
          <w:szCs w:val="20"/>
        </w:rPr>
        <w:t>M. Stephen Warr, Responsable des questions environnementales, Gibraltar</w:t>
      </w:r>
    </w:p>
    <w:p w14:paraId="20B086B4" w14:textId="77777777" w:rsidR="00C676FD" w:rsidRPr="00D92D00" w:rsidRDefault="00C676FD" w:rsidP="001B0B48">
      <w:pPr>
        <w:pStyle w:val="Default"/>
        <w:ind w:left="426"/>
        <w:jc w:val="both"/>
        <w:rPr>
          <w:rFonts w:ascii="Cambria" w:hAnsi="Cambria"/>
          <w:sz w:val="20"/>
          <w:szCs w:val="20"/>
        </w:rPr>
      </w:pPr>
      <w:r w:rsidRPr="00D92D00">
        <w:rPr>
          <w:rFonts w:ascii="Cambria" w:hAnsi="Cambria"/>
          <w:sz w:val="20"/>
          <w:szCs w:val="20"/>
        </w:rPr>
        <w:t xml:space="preserve">Mme Z. </w:t>
      </w:r>
      <w:proofErr w:type="spellStart"/>
      <w:r w:rsidRPr="00D92D00">
        <w:rPr>
          <w:rFonts w:ascii="Cambria" w:hAnsi="Cambria"/>
          <w:sz w:val="20"/>
          <w:szCs w:val="20"/>
        </w:rPr>
        <w:t>Driouich</w:t>
      </w:r>
      <w:proofErr w:type="spellEnd"/>
      <w:r w:rsidRPr="00D92D00">
        <w:rPr>
          <w:rFonts w:ascii="Cambria" w:hAnsi="Cambria"/>
          <w:sz w:val="20"/>
          <w:szCs w:val="20"/>
        </w:rPr>
        <w:t>, Présidente de la Commission</w:t>
      </w:r>
    </w:p>
    <w:p w14:paraId="510EBA39" w14:textId="2F2C6834" w:rsidR="00704874" w:rsidRPr="00D92D00" w:rsidRDefault="00C676FD" w:rsidP="001B0B48">
      <w:pPr>
        <w:pStyle w:val="Default"/>
        <w:ind w:left="426"/>
        <w:jc w:val="both"/>
        <w:rPr>
          <w:rFonts w:ascii="Cambria" w:hAnsi="Cambria"/>
          <w:sz w:val="20"/>
          <w:szCs w:val="20"/>
        </w:rPr>
      </w:pPr>
      <w:r w:rsidRPr="00D92D00">
        <w:rPr>
          <w:rFonts w:ascii="Cambria" w:hAnsi="Cambria"/>
          <w:sz w:val="20"/>
          <w:szCs w:val="20"/>
        </w:rPr>
        <w:t>M. S. Ota (Japon), Président de la Sous-commission 2</w:t>
      </w:r>
    </w:p>
    <w:p w14:paraId="6A192304" w14:textId="77777777" w:rsidR="00A24116" w:rsidRPr="00D92D00" w:rsidRDefault="00A24116" w:rsidP="001B0B48">
      <w:pPr>
        <w:pStyle w:val="Default"/>
        <w:ind w:left="426"/>
        <w:jc w:val="both"/>
        <w:rPr>
          <w:rFonts w:ascii="Cambria" w:hAnsi="Cambria"/>
          <w:sz w:val="20"/>
          <w:szCs w:val="20"/>
        </w:rPr>
      </w:pPr>
    </w:p>
    <w:p w14:paraId="68D10335" w14:textId="77777777" w:rsidR="00A24116" w:rsidRPr="00D92D00" w:rsidRDefault="00A24116" w:rsidP="001B0B48">
      <w:pPr>
        <w:pStyle w:val="Default"/>
        <w:ind w:left="426"/>
        <w:jc w:val="both"/>
        <w:rPr>
          <w:rFonts w:ascii="Cambria" w:hAnsi="Cambria"/>
          <w:sz w:val="20"/>
          <w:szCs w:val="20"/>
        </w:rPr>
      </w:pPr>
    </w:p>
    <w:p w14:paraId="6387DC8E" w14:textId="77777777" w:rsidR="00A24116" w:rsidRPr="00D92D00" w:rsidRDefault="00A24116" w:rsidP="001B0B48">
      <w:pPr>
        <w:pStyle w:val="Default"/>
        <w:ind w:left="426"/>
        <w:jc w:val="both"/>
        <w:rPr>
          <w:rFonts w:ascii="Cambria" w:hAnsi="Cambria"/>
          <w:sz w:val="20"/>
          <w:szCs w:val="20"/>
        </w:rPr>
      </w:pPr>
    </w:p>
    <w:p w14:paraId="23B0E486" w14:textId="77777777" w:rsidR="00A24116" w:rsidRPr="00D92D00" w:rsidRDefault="00A24116" w:rsidP="001B0B48">
      <w:pPr>
        <w:pStyle w:val="Default"/>
        <w:ind w:left="426"/>
        <w:jc w:val="both"/>
        <w:rPr>
          <w:rFonts w:ascii="Cambria" w:hAnsi="Cambria"/>
          <w:sz w:val="20"/>
          <w:szCs w:val="20"/>
        </w:rPr>
      </w:pPr>
    </w:p>
    <w:p w14:paraId="0FF36469" w14:textId="77777777" w:rsidR="00A24116" w:rsidRPr="00D92D00" w:rsidRDefault="00A24116" w:rsidP="001B0B48">
      <w:pPr>
        <w:pStyle w:val="Default"/>
        <w:ind w:left="426"/>
        <w:jc w:val="both"/>
        <w:rPr>
          <w:rFonts w:ascii="Cambria" w:hAnsi="Cambria"/>
          <w:sz w:val="20"/>
          <w:szCs w:val="20"/>
        </w:rPr>
      </w:pPr>
    </w:p>
    <w:p w14:paraId="01282DB2" w14:textId="77777777" w:rsidR="00A24116" w:rsidRPr="00D92D00" w:rsidRDefault="00A24116" w:rsidP="001B0B48">
      <w:pPr>
        <w:pStyle w:val="Default"/>
        <w:ind w:left="426"/>
        <w:jc w:val="both"/>
        <w:rPr>
          <w:rFonts w:ascii="Cambria" w:hAnsi="Cambria"/>
          <w:sz w:val="20"/>
          <w:szCs w:val="20"/>
        </w:rPr>
      </w:pPr>
    </w:p>
    <w:p w14:paraId="73E8FCD2" w14:textId="77777777" w:rsidR="00A24116" w:rsidRPr="00D92D00" w:rsidRDefault="00A24116" w:rsidP="001B0B48">
      <w:pPr>
        <w:pStyle w:val="Default"/>
        <w:ind w:left="426"/>
        <w:jc w:val="both"/>
        <w:rPr>
          <w:rFonts w:ascii="Cambria" w:hAnsi="Cambria"/>
          <w:sz w:val="20"/>
          <w:szCs w:val="20"/>
        </w:rPr>
      </w:pPr>
    </w:p>
    <w:p w14:paraId="1FD2F4CD" w14:textId="77777777" w:rsidR="00A24116" w:rsidRPr="00D92D00" w:rsidRDefault="00A24116" w:rsidP="001B0B48">
      <w:pPr>
        <w:pStyle w:val="Default"/>
        <w:ind w:left="426"/>
        <w:jc w:val="both"/>
        <w:rPr>
          <w:rFonts w:ascii="Cambria" w:hAnsi="Cambria"/>
          <w:sz w:val="20"/>
          <w:szCs w:val="20"/>
        </w:rPr>
      </w:pPr>
    </w:p>
    <w:p w14:paraId="5F4CC2B3" w14:textId="77777777" w:rsidR="00C676FD" w:rsidRPr="00D92D00" w:rsidRDefault="00C676FD" w:rsidP="001B0B48">
      <w:pPr>
        <w:pStyle w:val="Default"/>
        <w:ind w:left="426"/>
        <w:jc w:val="both"/>
        <w:rPr>
          <w:rFonts w:ascii="Cambria" w:eastAsia="Arial" w:hAnsi="Cambria"/>
          <w:b/>
          <w:bCs/>
          <w:color w:val="auto"/>
          <w:sz w:val="20"/>
          <w:szCs w:val="20"/>
        </w:rPr>
      </w:pPr>
    </w:p>
    <w:p w14:paraId="72C08A83" w14:textId="77777777" w:rsidR="00191B4C" w:rsidRPr="00D92D00" w:rsidRDefault="00191B4C" w:rsidP="001B0B48">
      <w:pPr>
        <w:pStyle w:val="Default"/>
        <w:jc w:val="both"/>
        <w:rPr>
          <w:rFonts w:ascii="Cambria" w:eastAsia="Arial" w:hAnsi="Cambria"/>
          <w:b/>
          <w:bCs/>
          <w:color w:val="auto"/>
          <w:sz w:val="20"/>
          <w:szCs w:val="20"/>
        </w:rPr>
      </w:pPr>
    </w:p>
    <w:p w14:paraId="0CA401F2" w14:textId="32998E5A" w:rsidR="00704874" w:rsidRPr="00D92D00" w:rsidRDefault="00704874" w:rsidP="001B0B48">
      <w:pPr>
        <w:pStyle w:val="Default"/>
        <w:jc w:val="both"/>
        <w:rPr>
          <w:rFonts w:ascii="Cambria" w:eastAsia="Arial" w:hAnsi="Cambria"/>
          <w:color w:val="auto"/>
          <w:sz w:val="20"/>
          <w:szCs w:val="20"/>
        </w:rPr>
      </w:pPr>
      <w:r w:rsidRPr="00D92D00">
        <w:rPr>
          <w:rFonts w:ascii="Cambria" w:hAnsi="Cambria"/>
          <w:b/>
          <w:bCs/>
          <w:color w:val="auto"/>
          <w:sz w:val="20"/>
          <w:szCs w:val="20"/>
        </w:rPr>
        <w:t>Pièce jointe</w:t>
      </w:r>
      <w:r w:rsidR="001B0B48" w:rsidRPr="00D92D00">
        <w:rPr>
          <w:rFonts w:ascii="Cambria" w:hAnsi="Cambria"/>
          <w:b/>
          <w:bCs/>
          <w:color w:val="auto"/>
          <w:sz w:val="20"/>
          <w:szCs w:val="20"/>
        </w:rPr>
        <w:t xml:space="preserve"> </w:t>
      </w:r>
      <w:r w:rsidRPr="00D92D00">
        <w:rPr>
          <w:rFonts w:ascii="Cambria" w:hAnsi="Cambria"/>
          <w:b/>
          <w:bCs/>
          <w:color w:val="auto"/>
          <w:sz w:val="20"/>
          <w:szCs w:val="20"/>
        </w:rPr>
        <w:t>:</w:t>
      </w:r>
      <w:r w:rsidRPr="00D92D00">
        <w:rPr>
          <w:rFonts w:ascii="Cambria" w:hAnsi="Cambria"/>
          <w:color w:val="auto"/>
          <w:sz w:val="20"/>
          <w:szCs w:val="20"/>
        </w:rPr>
        <w:t xml:space="preserve"> courrier et soumission des données de Gibraltar en date du 21 septembre 2026.</w:t>
      </w:r>
    </w:p>
    <w:p w14:paraId="36226679" w14:textId="77777777" w:rsidR="00A24116" w:rsidRPr="00D92D00" w:rsidRDefault="00A24116" w:rsidP="001B0B48">
      <w:pPr>
        <w:pStyle w:val="Default"/>
        <w:jc w:val="both"/>
        <w:rPr>
          <w:rFonts w:ascii="Cambria" w:eastAsia="Arial" w:hAnsi="Cambria"/>
          <w:color w:val="auto"/>
          <w:sz w:val="20"/>
          <w:szCs w:val="20"/>
        </w:rPr>
      </w:pPr>
    </w:p>
    <w:p w14:paraId="1E8559C0" w14:textId="77777777" w:rsidR="00191B4C" w:rsidRPr="00D92D00" w:rsidRDefault="00191B4C" w:rsidP="00704874">
      <w:pPr>
        <w:pStyle w:val="Default"/>
        <w:jc w:val="both"/>
        <w:rPr>
          <w:rFonts w:ascii="Cambria" w:eastAsia="Arial" w:hAnsi="Cambria"/>
          <w:color w:val="auto"/>
          <w:sz w:val="20"/>
          <w:szCs w:val="20"/>
        </w:rPr>
      </w:pPr>
    </w:p>
    <w:p w14:paraId="2362B672" w14:textId="2B777565" w:rsidR="00C47B80" w:rsidRPr="00D92D00" w:rsidRDefault="00191B4C" w:rsidP="006F0E28">
      <w:pPr>
        <w:pStyle w:val="Corpsdetexte"/>
        <w:jc w:val="right"/>
        <w:rPr>
          <w:rFonts w:ascii="Cambria" w:hAnsi="Cambria"/>
        </w:rPr>
      </w:pPr>
      <w:r w:rsidRPr="00D92D00">
        <w:rPr>
          <w:rFonts w:ascii="Cambria" w:hAnsi="Cambria"/>
        </w:rPr>
        <w:t>Département de l'environnement, de la durabilité, du changement climatique et du patrimoine</w:t>
      </w:r>
    </w:p>
    <w:p w14:paraId="1CFDF906" w14:textId="77777777" w:rsidR="00C47B80" w:rsidRPr="00D92D00" w:rsidRDefault="00C47B80" w:rsidP="006F0E28">
      <w:pPr>
        <w:pStyle w:val="Corpsdetexte"/>
        <w:jc w:val="right"/>
        <w:rPr>
          <w:rFonts w:ascii="Cambria" w:hAnsi="Cambria"/>
        </w:rPr>
      </w:pPr>
      <w:r w:rsidRPr="00D92D00">
        <w:rPr>
          <w:rFonts w:ascii="Cambria" w:hAnsi="Cambria"/>
        </w:rPr>
        <w:t>Le Gouvernement de Sa Majesté de Gibraltar</w:t>
      </w:r>
    </w:p>
    <w:p w14:paraId="56472B34" w14:textId="77777777" w:rsidR="00C47B80" w:rsidRPr="00D92D00" w:rsidRDefault="00C47B80" w:rsidP="00C47B80">
      <w:pPr>
        <w:pStyle w:val="Corpsdetexte"/>
        <w:jc w:val="right"/>
        <w:rPr>
          <w:rFonts w:ascii="Cambria" w:hAnsi="Cambria"/>
        </w:rPr>
      </w:pPr>
    </w:p>
    <w:p w14:paraId="0351436F" w14:textId="4442DEE9" w:rsidR="00C47B80" w:rsidRPr="00D92D00" w:rsidRDefault="00C676FD" w:rsidP="00C47B80">
      <w:pPr>
        <w:pStyle w:val="Corpsdetexte"/>
        <w:jc w:val="right"/>
        <w:rPr>
          <w:rFonts w:ascii="Cambria" w:hAnsi="Cambria"/>
          <w:w w:val="110"/>
        </w:rPr>
      </w:pPr>
      <w:r w:rsidRPr="00D92D00">
        <w:rPr>
          <w:rFonts w:ascii="Cambria" w:hAnsi="Cambria"/>
        </w:rPr>
        <w:t>21 septembre 2026</w:t>
      </w:r>
    </w:p>
    <w:p w14:paraId="5F94AF1F" w14:textId="77777777" w:rsidR="00C47B80" w:rsidRPr="00D92D00" w:rsidRDefault="00C47B80" w:rsidP="00C47B80">
      <w:pPr>
        <w:pStyle w:val="Corpsdetexte"/>
        <w:jc w:val="right"/>
        <w:rPr>
          <w:rFonts w:ascii="Cambria" w:hAnsi="Cambria"/>
        </w:rPr>
      </w:pPr>
    </w:p>
    <w:p w14:paraId="660F2223" w14:textId="77777777" w:rsidR="00C47B80" w:rsidRPr="00D92D00" w:rsidRDefault="00C47B80" w:rsidP="00C47B80">
      <w:pPr>
        <w:pStyle w:val="Corpsdetexte"/>
        <w:jc w:val="both"/>
        <w:rPr>
          <w:rFonts w:ascii="Cambria" w:hAnsi="Cambria"/>
        </w:rPr>
      </w:pPr>
    </w:p>
    <w:p w14:paraId="71D8A2A4" w14:textId="77777777" w:rsidR="00191B4C" w:rsidRPr="00D92D00" w:rsidRDefault="00191B4C" w:rsidP="00191B4C">
      <w:pPr>
        <w:pStyle w:val="Corpsdetexte"/>
        <w:jc w:val="both"/>
        <w:rPr>
          <w:rFonts w:ascii="Cambria" w:hAnsi="Cambria"/>
        </w:rPr>
      </w:pPr>
      <w:r w:rsidRPr="00D92D00">
        <w:rPr>
          <w:rFonts w:ascii="Cambria" w:hAnsi="Cambria"/>
        </w:rPr>
        <w:t>M. Marc Owen</w:t>
      </w:r>
    </w:p>
    <w:p w14:paraId="1EE4574E" w14:textId="77777777" w:rsidR="00191B4C" w:rsidRPr="00D92D00" w:rsidRDefault="00191B4C" w:rsidP="00191B4C">
      <w:pPr>
        <w:pStyle w:val="Corpsdetexte"/>
        <w:jc w:val="both"/>
        <w:rPr>
          <w:rFonts w:ascii="Cambria" w:hAnsi="Cambria"/>
        </w:rPr>
      </w:pPr>
      <w:r w:rsidRPr="00D92D00">
        <w:rPr>
          <w:rFonts w:ascii="Cambria" w:hAnsi="Cambria"/>
        </w:rPr>
        <w:t>Chef d’équipe, Pêches internationales</w:t>
      </w:r>
    </w:p>
    <w:p w14:paraId="2F711F5A" w14:textId="3E910CF1" w:rsidR="00C676FD" w:rsidRPr="00D92D00" w:rsidRDefault="000A6ACB" w:rsidP="00191B4C">
      <w:pPr>
        <w:pStyle w:val="Corpsdetexte"/>
        <w:jc w:val="both"/>
        <w:rPr>
          <w:rFonts w:ascii="Cambria" w:hAnsi="Cambria"/>
        </w:rPr>
      </w:pPr>
      <w:r w:rsidRPr="00D92D00">
        <w:rPr>
          <w:rFonts w:ascii="Cambria" w:hAnsi="Cambria"/>
        </w:rPr>
        <w:t>Département</w:t>
      </w:r>
      <w:r w:rsidR="00191B4C" w:rsidRPr="00D92D00">
        <w:rPr>
          <w:rFonts w:ascii="Cambria" w:hAnsi="Cambria"/>
        </w:rPr>
        <w:t xml:space="preserve"> de l'environnement, de l'alimentation et des affaires rurales</w:t>
      </w:r>
    </w:p>
    <w:p w14:paraId="38F60A34" w14:textId="3CABA8A6" w:rsidR="00191B4C" w:rsidRPr="00D92D00" w:rsidRDefault="00C676FD" w:rsidP="00191B4C">
      <w:pPr>
        <w:pStyle w:val="Corpsdetexte"/>
        <w:jc w:val="both"/>
        <w:rPr>
          <w:rFonts w:ascii="Cambria" w:hAnsi="Cambria"/>
        </w:rPr>
      </w:pPr>
      <w:r w:rsidRPr="00D92D00">
        <w:rPr>
          <w:rFonts w:ascii="Cambria" w:hAnsi="Cambria"/>
        </w:rPr>
        <w:t xml:space="preserve">1st Floor, </w:t>
      </w:r>
      <w:proofErr w:type="spellStart"/>
      <w:r w:rsidRPr="00D92D00">
        <w:rPr>
          <w:rFonts w:ascii="Cambria" w:hAnsi="Cambria"/>
        </w:rPr>
        <w:t>Seacole</w:t>
      </w:r>
      <w:proofErr w:type="spellEnd"/>
      <w:r w:rsidRPr="00D92D00">
        <w:rPr>
          <w:rFonts w:ascii="Cambria" w:hAnsi="Cambria"/>
        </w:rPr>
        <w:t xml:space="preserve"> Wing, 2 </w:t>
      </w:r>
      <w:proofErr w:type="spellStart"/>
      <w:r w:rsidRPr="00D92D00">
        <w:rPr>
          <w:rFonts w:ascii="Cambria" w:hAnsi="Cambria"/>
        </w:rPr>
        <w:t>Marsham</w:t>
      </w:r>
      <w:proofErr w:type="spellEnd"/>
      <w:r w:rsidRPr="00D92D00">
        <w:rPr>
          <w:rFonts w:ascii="Cambria" w:hAnsi="Cambria"/>
        </w:rPr>
        <w:t xml:space="preserve"> Street</w:t>
      </w:r>
    </w:p>
    <w:p w14:paraId="46A7DD52" w14:textId="77777777" w:rsidR="00C676FD" w:rsidRPr="00D92D00" w:rsidRDefault="00191B4C" w:rsidP="00191B4C">
      <w:pPr>
        <w:pStyle w:val="Corpsdetexte"/>
        <w:jc w:val="both"/>
        <w:rPr>
          <w:rFonts w:ascii="Cambria" w:hAnsi="Cambria"/>
        </w:rPr>
      </w:pPr>
      <w:r w:rsidRPr="00D92D00">
        <w:rPr>
          <w:rFonts w:ascii="Cambria" w:hAnsi="Cambria"/>
        </w:rPr>
        <w:t>Londres</w:t>
      </w:r>
    </w:p>
    <w:p w14:paraId="2731D71E" w14:textId="30E2722D" w:rsidR="00C47B80" w:rsidRPr="00D92D00" w:rsidRDefault="00191B4C" w:rsidP="00191B4C">
      <w:pPr>
        <w:pStyle w:val="Corpsdetexte"/>
        <w:jc w:val="both"/>
        <w:rPr>
          <w:rFonts w:ascii="Cambria" w:hAnsi="Cambria"/>
        </w:rPr>
      </w:pPr>
      <w:proofErr w:type="spellStart"/>
      <w:r w:rsidRPr="00D92D00">
        <w:rPr>
          <w:rFonts w:ascii="Cambria" w:hAnsi="Cambria"/>
        </w:rPr>
        <w:t>SW</w:t>
      </w:r>
      <w:proofErr w:type="spellEnd"/>
      <w:r w:rsidRPr="00D92D00">
        <w:rPr>
          <w:rFonts w:ascii="Cambria" w:hAnsi="Cambria"/>
        </w:rPr>
        <w:t xml:space="preserve"> 1P 4DF</w:t>
      </w:r>
    </w:p>
    <w:p w14:paraId="3E166A86" w14:textId="77777777" w:rsidR="00C47B80" w:rsidRPr="00D92D00" w:rsidRDefault="00C47B80" w:rsidP="00C47B80">
      <w:pPr>
        <w:pStyle w:val="Corpsdetexte"/>
        <w:jc w:val="both"/>
        <w:rPr>
          <w:rFonts w:ascii="Cambria" w:hAnsi="Cambria"/>
        </w:rPr>
      </w:pPr>
    </w:p>
    <w:p w14:paraId="7D015B3C" w14:textId="77777777" w:rsidR="00C47B80" w:rsidRPr="00D92D00" w:rsidRDefault="00C47B80" w:rsidP="00C47B80">
      <w:pPr>
        <w:pStyle w:val="Corpsdetexte"/>
        <w:jc w:val="both"/>
        <w:rPr>
          <w:rFonts w:ascii="Cambria" w:hAnsi="Cambria"/>
          <w:b/>
          <w:bCs/>
          <w:w w:val="110"/>
        </w:rPr>
      </w:pPr>
    </w:p>
    <w:p w14:paraId="381614B8" w14:textId="2131E90E" w:rsidR="00C47B80" w:rsidRPr="00D92D00" w:rsidRDefault="00C47B80" w:rsidP="00C47B80">
      <w:pPr>
        <w:pStyle w:val="Corpsdetexte"/>
        <w:jc w:val="both"/>
        <w:rPr>
          <w:rFonts w:ascii="Cambria" w:hAnsi="Cambria"/>
          <w:b/>
          <w:bCs/>
        </w:rPr>
      </w:pPr>
      <w:r w:rsidRPr="00D92D00">
        <w:rPr>
          <w:rFonts w:ascii="Cambria" w:hAnsi="Cambria"/>
          <w:b/>
          <w:bCs/>
        </w:rPr>
        <w:t>Objet : Gestion et captures de thon rouge à Gibraltar</w:t>
      </w:r>
    </w:p>
    <w:p w14:paraId="42259D80" w14:textId="77777777" w:rsidR="00C47B80" w:rsidRPr="00D92D00" w:rsidRDefault="00C47B80" w:rsidP="00C47B80">
      <w:pPr>
        <w:pStyle w:val="Corpsdetexte"/>
        <w:jc w:val="both"/>
        <w:rPr>
          <w:rFonts w:ascii="Cambria" w:hAnsi="Cambria"/>
          <w:b/>
          <w:bCs/>
        </w:rPr>
      </w:pPr>
    </w:p>
    <w:p w14:paraId="464E4886" w14:textId="77777777" w:rsidR="00191B4C" w:rsidRPr="00D92D00" w:rsidRDefault="00191B4C" w:rsidP="00191B4C">
      <w:pPr>
        <w:pStyle w:val="Corpsdetexte"/>
        <w:jc w:val="both"/>
        <w:rPr>
          <w:rFonts w:ascii="Cambria" w:hAnsi="Cambria"/>
        </w:rPr>
      </w:pPr>
      <w:r w:rsidRPr="00D92D00">
        <w:rPr>
          <w:rFonts w:ascii="Cambria" w:hAnsi="Cambria"/>
        </w:rPr>
        <w:t>Cher M. Owen,</w:t>
      </w:r>
    </w:p>
    <w:p w14:paraId="44411399" w14:textId="77777777" w:rsidR="00191B4C" w:rsidRPr="00D92D00" w:rsidRDefault="00191B4C" w:rsidP="00191B4C">
      <w:pPr>
        <w:pStyle w:val="Corpsdetexte"/>
        <w:jc w:val="both"/>
        <w:rPr>
          <w:rFonts w:ascii="Cambria" w:hAnsi="Cambria"/>
        </w:rPr>
      </w:pPr>
    </w:p>
    <w:p w14:paraId="3280B739" w14:textId="77777777" w:rsidR="00C676FD" w:rsidRPr="00D92D00" w:rsidRDefault="00C676FD" w:rsidP="00C676FD">
      <w:pPr>
        <w:pStyle w:val="Corpsdetexte"/>
        <w:jc w:val="both"/>
        <w:rPr>
          <w:rFonts w:ascii="Cambria" w:hAnsi="Cambria"/>
        </w:rPr>
      </w:pPr>
      <w:r w:rsidRPr="00D92D00">
        <w:rPr>
          <w:rFonts w:ascii="Cambria" w:hAnsi="Cambria"/>
        </w:rPr>
        <w:t>Nous nous référons à la lettre du Président du Comité d'application de l'ICCAT, datée du 12 mai 2026, qui vous a été adressée en ce qui concerne la gestion et les captures de thon rouge (</w:t>
      </w:r>
      <w:proofErr w:type="spellStart"/>
      <w:r w:rsidRPr="00D92D00">
        <w:rPr>
          <w:rFonts w:ascii="Cambria" w:hAnsi="Cambria"/>
        </w:rPr>
        <w:t>BFT</w:t>
      </w:r>
      <w:proofErr w:type="spellEnd"/>
      <w:r w:rsidRPr="00D92D00">
        <w:rPr>
          <w:rFonts w:ascii="Cambria" w:hAnsi="Cambria"/>
        </w:rPr>
        <w:t>) à Gibraltar.</w:t>
      </w:r>
    </w:p>
    <w:p w14:paraId="0F01C4E0" w14:textId="77777777" w:rsidR="00C676FD" w:rsidRPr="00D92D00" w:rsidRDefault="00C676FD" w:rsidP="00C676FD">
      <w:pPr>
        <w:pStyle w:val="Corpsdetexte"/>
        <w:jc w:val="both"/>
        <w:rPr>
          <w:rFonts w:ascii="Cambria" w:hAnsi="Cambria"/>
        </w:rPr>
      </w:pPr>
    </w:p>
    <w:p w14:paraId="49034970" w14:textId="63DA73D8" w:rsidR="00C676FD" w:rsidRPr="00D92D00" w:rsidRDefault="00C676FD" w:rsidP="00C676FD">
      <w:pPr>
        <w:pStyle w:val="Corpsdetexte"/>
        <w:jc w:val="both"/>
        <w:rPr>
          <w:rFonts w:ascii="Cambria" w:hAnsi="Cambria"/>
        </w:rPr>
      </w:pPr>
      <w:r w:rsidRPr="00D92D00">
        <w:rPr>
          <w:rFonts w:ascii="Cambria" w:hAnsi="Cambria"/>
        </w:rPr>
        <w:t xml:space="preserve">Il est très rassurant de noter que la Commission apprécie la transparence et l'engagement démontrés par Gibraltar pour fournir toutes les données statistiques nécessaires concernant le thon rouge ainsi que les mesures de gestion mises en œuvre à Gibraltar à ce jour. Dans le cadre de l’engagement dont nous avons fait preuve au fil des ans à coopérer pleinement avec le Secrétariat de l’ICCAT, veuillez noter que les statistiques de captures de thon rouge les plus récentes (formulaire ST02-T1NC </w:t>
      </w:r>
      <w:r w:rsidR="00F14AEF" w:rsidRPr="00D92D00">
        <w:rPr>
          <w:rFonts w:ascii="Cambria" w:hAnsi="Cambria"/>
        </w:rPr>
        <w:t>–</w:t>
      </w:r>
      <w:r w:rsidRPr="00D92D00">
        <w:rPr>
          <w:rFonts w:ascii="Cambria" w:hAnsi="Cambria"/>
        </w:rPr>
        <w:t xml:space="preserve"> Version</w:t>
      </w:r>
      <w:r w:rsidR="00F14AEF" w:rsidRPr="00D92D00">
        <w:rPr>
          <w:rFonts w:ascii="Cambria" w:hAnsi="Cambria"/>
        </w:rPr>
        <w:t xml:space="preserve"> </w:t>
      </w:r>
      <w:r w:rsidRPr="00D92D00">
        <w:rPr>
          <w:rFonts w:ascii="Cambria" w:hAnsi="Cambria"/>
        </w:rPr>
        <w:t xml:space="preserve">2026b), correspondant à la saison d’ouverture de la pêche de thon rouge de cette année (2026), ont été transmises par le Département au compte de messagerie électronique </w:t>
      </w:r>
      <w:hyperlink r:id="rId12">
        <w:r w:rsidRPr="00D92D00">
          <w:rPr>
            <w:rStyle w:val="Lienhypertexte"/>
            <w:rFonts w:ascii="Cambria" w:hAnsi="Cambria"/>
            <w:u w:val="none"/>
          </w:rPr>
          <w:t>stats_info@iccat.int</w:t>
        </w:r>
      </w:hyperlink>
      <w:r w:rsidRPr="00D92D00">
        <w:rPr>
          <w:rFonts w:ascii="Cambria" w:hAnsi="Cambria"/>
        </w:rPr>
        <w:t xml:space="preserve"> conformément à la circulaire nº 00620/2026 de l’ICCAT.</w:t>
      </w:r>
    </w:p>
    <w:p w14:paraId="1E253697" w14:textId="77777777" w:rsidR="00C676FD" w:rsidRPr="00D92D00" w:rsidRDefault="00C676FD" w:rsidP="00C676FD">
      <w:pPr>
        <w:pStyle w:val="Corpsdetexte"/>
        <w:jc w:val="both"/>
        <w:rPr>
          <w:rFonts w:ascii="Cambria" w:hAnsi="Cambria"/>
        </w:rPr>
      </w:pPr>
    </w:p>
    <w:p w14:paraId="14AC0930" w14:textId="77777777" w:rsidR="00C676FD" w:rsidRPr="00D92D00" w:rsidRDefault="00C676FD" w:rsidP="00C676FD">
      <w:pPr>
        <w:pStyle w:val="Corpsdetexte"/>
        <w:jc w:val="both"/>
        <w:rPr>
          <w:rFonts w:ascii="Cambria" w:hAnsi="Cambria"/>
        </w:rPr>
      </w:pPr>
      <w:r w:rsidRPr="00D92D00">
        <w:rPr>
          <w:rFonts w:ascii="Cambria" w:hAnsi="Cambria"/>
        </w:rPr>
        <w:t>Comme il est désormais de coutume et à titre d'information complémentaire, une vue d'ensemble des statistiques de la saison d’ouverture de la pêche de thon rouge jusqu'au 18 septembre 2026 figure dans une Annexe à cette lettre. Des données de capture supplémentaires (le cas échéant) seront fournies au Secrétariat une fois que la saison sera clôturée le 14 octobre 2026.</w:t>
      </w:r>
    </w:p>
    <w:p w14:paraId="26E9311C" w14:textId="77777777" w:rsidR="00C676FD" w:rsidRPr="00D92D00" w:rsidRDefault="00C676FD" w:rsidP="00C676FD">
      <w:pPr>
        <w:pStyle w:val="Corpsdetexte"/>
        <w:jc w:val="both"/>
        <w:rPr>
          <w:rFonts w:ascii="Cambria" w:hAnsi="Cambria"/>
        </w:rPr>
      </w:pPr>
    </w:p>
    <w:p w14:paraId="5B0DBB43" w14:textId="77777777" w:rsidR="00C676FD" w:rsidRPr="00D92D00" w:rsidRDefault="00C676FD" w:rsidP="00C676FD">
      <w:pPr>
        <w:pStyle w:val="Corpsdetexte"/>
        <w:jc w:val="both"/>
        <w:rPr>
          <w:rFonts w:ascii="Cambria" w:hAnsi="Cambria"/>
        </w:rPr>
      </w:pPr>
      <w:r w:rsidRPr="00D92D00">
        <w:rPr>
          <w:rFonts w:ascii="Cambria" w:hAnsi="Cambria"/>
        </w:rPr>
        <w:t>Nous saisissons cette opportunité pour réitérer fermement une fois de plus notre profond désir de poursuivre notre coopération et notre engagement positif avec le Secrétariat de l'ICCAT à l'avenir, et d'envisager la possibilité d'étendre l'ICCAT à Gibraltar.</w:t>
      </w:r>
    </w:p>
    <w:p w14:paraId="38D5ED1B" w14:textId="77777777" w:rsidR="00C676FD" w:rsidRPr="00D92D00" w:rsidRDefault="00C676FD" w:rsidP="00C676FD">
      <w:pPr>
        <w:pStyle w:val="Corpsdetexte"/>
        <w:jc w:val="both"/>
        <w:rPr>
          <w:rFonts w:ascii="Cambria" w:hAnsi="Cambria"/>
        </w:rPr>
      </w:pPr>
    </w:p>
    <w:p w14:paraId="14D57547" w14:textId="01F5F0A4" w:rsidR="00C47B80" w:rsidRPr="00D92D00" w:rsidRDefault="00C676FD" w:rsidP="00C676FD">
      <w:pPr>
        <w:pStyle w:val="Corpsdetexte"/>
        <w:jc w:val="both"/>
        <w:rPr>
          <w:rFonts w:ascii="Cambria" w:hAnsi="Cambria"/>
        </w:rPr>
      </w:pPr>
      <w:r w:rsidRPr="00D92D00">
        <w:rPr>
          <w:rFonts w:ascii="Cambria" w:hAnsi="Cambria"/>
        </w:rPr>
        <w:t>Nous restons à votre disposition pour toute explication supplémentaire sur les points susmentionnés et les données statistiques fournies.</w:t>
      </w:r>
    </w:p>
    <w:p w14:paraId="2B64B1A9" w14:textId="77777777" w:rsidR="00C676FD" w:rsidRPr="00D92D00" w:rsidRDefault="00C676FD" w:rsidP="00C676FD">
      <w:pPr>
        <w:pStyle w:val="Corpsdetexte"/>
        <w:jc w:val="both"/>
        <w:rPr>
          <w:rFonts w:ascii="Cambria" w:hAnsi="Cambria"/>
        </w:rPr>
      </w:pPr>
    </w:p>
    <w:p w14:paraId="5C00E2E8" w14:textId="77777777" w:rsidR="00C47B80" w:rsidRPr="00D92D00" w:rsidRDefault="00C47B80" w:rsidP="00C47B80">
      <w:pPr>
        <w:pStyle w:val="Corpsdetexte"/>
        <w:jc w:val="both"/>
        <w:rPr>
          <w:rFonts w:ascii="Cambria" w:hAnsi="Cambria"/>
        </w:rPr>
      </w:pPr>
      <w:r w:rsidRPr="00D92D00">
        <w:rPr>
          <w:rFonts w:ascii="Cambria" w:hAnsi="Cambria"/>
        </w:rPr>
        <w:t>Cordialement,</w:t>
      </w:r>
    </w:p>
    <w:p w14:paraId="290DCE60" w14:textId="77777777" w:rsidR="00C47B80" w:rsidRPr="00D92D00" w:rsidRDefault="00C47B80" w:rsidP="00C47B80">
      <w:pPr>
        <w:pStyle w:val="Corpsdetexte"/>
        <w:jc w:val="both"/>
        <w:rPr>
          <w:rFonts w:ascii="Cambria" w:hAnsi="Cambria"/>
        </w:rPr>
      </w:pPr>
    </w:p>
    <w:p w14:paraId="11B30887" w14:textId="1EE0823A" w:rsidR="00C47B80" w:rsidRPr="00D92D00" w:rsidRDefault="000B03D3" w:rsidP="00C47B80">
      <w:pPr>
        <w:pStyle w:val="Corpsdetexte"/>
        <w:jc w:val="both"/>
        <w:rPr>
          <w:rFonts w:ascii="Cambria" w:hAnsi="Cambria"/>
        </w:rPr>
      </w:pPr>
      <w:r w:rsidRPr="00D92D00">
        <w:rPr>
          <w:rFonts w:ascii="Cambria" w:hAnsi="Cambria"/>
        </w:rPr>
        <w:t>(Signature et sceau)</w:t>
      </w:r>
    </w:p>
    <w:p w14:paraId="1C5AD9BE" w14:textId="77777777" w:rsidR="00C47B80" w:rsidRPr="00D92D00" w:rsidRDefault="00C47B80" w:rsidP="00C47B80">
      <w:pPr>
        <w:pStyle w:val="Corpsdetexte"/>
        <w:jc w:val="both"/>
        <w:rPr>
          <w:rFonts w:ascii="Cambria" w:hAnsi="Cambria"/>
        </w:rPr>
      </w:pPr>
    </w:p>
    <w:p w14:paraId="6460186D" w14:textId="249C7EF1" w:rsidR="00C47B80" w:rsidRPr="00D92D00" w:rsidRDefault="00C47B80" w:rsidP="00C47B80">
      <w:pPr>
        <w:pStyle w:val="Corpsdetexte"/>
        <w:jc w:val="both"/>
        <w:rPr>
          <w:rFonts w:ascii="Cambria" w:hAnsi="Cambria"/>
        </w:rPr>
      </w:pPr>
      <w:r w:rsidRPr="00D92D00">
        <w:rPr>
          <w:rFonts w:ascii="Cambria" w:hAnsi="Cambria"/>
        </w:rPr>
        <w:t>M. Stephen Warr</w:t>
      </w:r>
    </w:p>
    <w:p w14:paraId="5595F599" w14:textId="77777777" w:rsidR="00C47B80" w:rsidRPr="00D92D00" w:rsidRDefault="00C47B80" w:rsidP="00C47B80">
      <w:pPr>
        <w:pStyle w:val="Corpsdetexte"/>
        <w:jc w:val="both"/>
        <w:rPr>
          <w:rFonts w:ascii="Cambria" w:hAnsi="Cambria"/>
        </w:rPr>
      </w:pPr>
      <w:r w:rsidRPr="00D92D00">
        <w:rPr>
          <w:rFonts w:ascii="Cambria" w:hAnsi="Cambria"/>
        </w:rPr>
        <w:t>Directeur général (Ag)</w:t>
      </w:r>
    </w:p>
    <w:p w14:paraId="74FBCCEA" w14:textId="77777777" w:rsidR="00C47B80" w:rsidRPr="00D92D00" w:rsidRDefault="00C47B80" w:rsidP="00C47B80">
      <w:pPr>
        <w:pStyle w:val="Corpsdetexte"/>
        <w:jc w:val="both"/>
        <w:rPr>
          <w:rFonts w:ascii="Cambria" w:hAnsi="Cambria"/>
        </w:rPr>
      </w:pPr>
      <w:r w:rsidRPr="00D92D00">
        <w:rPr>
          <w:rFonts w:ascii="Cambria" w:hAnsi="Cambria"/>
        </w:rPr>
        <w:t>Département de l'environnement, de la durabilité, du changement climatique et du patrimoine</w:t>
      </w:r>
    </w:p>
    <w:p w14:paraId="7AF12125" w14:textId="77777777" w:rsidR="00C47B80" w:rsidRPr="00D92D00" w:rsidRDefault="00C47B80" w:rsidP="00C47B80">
      <w:pPr>
        <w:pStyle w:val="Corpsdetexte"/>
        <w:jc w:val="both"/>
        <w:rPr>
          <w:rFonts w:ascii="Cambria" w:hAnsi="Cambria"/>
        </w:rPr>
      </w:pPr>
    </w:p>
    <w:p w14:paraId="65202337" w14:textId="77777777" w:rsidR="000B03D3" w:rsidRPr="00D92D00" w:rsidRDefault="000B03D3" w:rsidP="00C47B80">
      <w:pPr>
        <w:pStyle w:val="Corpsdetexte"/>
        <w:jc w:val="both"/>
        <w:rPr>
          <w:rFonts w:ascii="Cambria" w:hAnsi="Cambria"/>
        </w:rPr>
      </w:pPr>
    </w:p>
    <w:p w14:paraId="0F917743" w14:textId="47F6DDEC" w:rsidR="00C47B80" w:rsidRPr="00D92D00" w:rsidRDefault="00C47B80" w:rsidP="000B03D3">
      <w:pPr>
        <w:pStyle w:val="Corpsdetexte"/>
        <w:ind w:left="426" w:hanging="426"/>
        <w:jc w:val="both"/>
        <w:rPr>
          <w:rFonts w:ascii="Cambria" w:hAnsi="Cambria"/>
        </w:rPr>
      </w:pPr>
      <w:proofErr w:type="gramStart"/>
      <w:r w:rsidRPr="00D92D00">
        <w:rPr>
          <w:rFonts w:ascii="Cambria" w:hAnsi="Cambria"/>
        </w:rPr>
        <w:t>cc</w:t>
      </w:r>
      <w:proofErr w:type="gramEnd"/>
      <w:r w:rsidR="001B0B48" w:rsidRPr="00D92D00">
        <w:rPr>
          <w:rFonts w:ascii="Cambria" w:hAnsi="Cambria"/>
        </w:rPr>
        <w:t xml:space="preserve"> </w:t>
      </w:r>
      <w:r w:rsidRPr="00D92D00">
        <w:rPr>
          <w:rFonts w:ascii="Cambria" w:hAnsi="Cambria"/>
        </w:rPr>
        <w:t>:</w:t>
      </w:r>
      <w:r w:rsidRPr="00D92D00">
        <w:rPr>
          <w:rFonts w:ascii="Cambria" w:hAnsi="Cambria"/>
        </w:rPr>
        <w:tab/>
        <w:t>Le très honorable professeur John Cortes MBE. Ministre de l'environnement, Gouvernement de Sa Majesté de Gibraltar.</w:t>
      </w:r>
    </w:p>
    <w:p w14:paraId="5A9911B1" w14:textId="77777777" w:rsidR="00C47B80" w:rsidRPr="00D92D00" w:rsidRDefault="00C47B80" w:rsidP="00C47B80">
      <w:pPr>
        <w:pStyle w:val="Corpsdetexte"/>
        <w:jc w:val="both"/>
        <w:rPr>
          <w:rFonts w:ascii="Cambria" w:hAnsi="Cambria"/>
          <w:w w:val="110"/>
        </w:rPr>
      </w:pPr>
    </w:p>
    <w:p w14:paraId="3D4890A9" w14:textId="77777777" w:rsidR="00C47B80" w:rsidRPr="00D92D00" w:rsidRDefault="00C47B80" w:rsidP="00C47B80">
      <w:pPr>
        <w:pStyle w:val="Corpsdetexte"/>
        <w:jc w:val="both"/>
        <w:rPr>
          <w:rFonts w:ascii="Cambria" w:hAnsi="Cambria"/>
          <w:w w:val="110"/>
        </w:rPr>
      </w:pPr>
    </w:p>
    <w:p w14:paraId="23E289AC" w14:textId="77777777" w:rsidR="00C47B80" w:rsidRPr="00D92D00" w:rsidRDefault="00C47B80" w:rsidP="00C47B80">
      <w:pPr>
        <w:pStyle w:val="Corpsdetexte"/>
        <w:ind w:left="230"/>
        <w:rPr>
          <w:rFonts w:ascii="Cambria" w:hAnsi="Cambria"/>
          <w:w w:val="110"/>
        </w:rPr>
      </w:pPr>
      <w:r w:rsidRPr="00D92D00">
        <w:rPr>
          <w:rFonts w:ascii="Cambria" w:hAnsi="Cambria"/>
        </w:rPr>
        <w:br w:type="page"/>
      </w:r>
    </w:p>
    <w:p w14:paraId="57590D87" w14:textId="2A5568BC" w:rsidR="00C47B80" w:rsidRPr="00D92D00" w:rsidRDefault="00C47B80" w:rsidP="00C47B80">
      <w:pPr>
        <w:spacing w:after="0" w:line="240" w:lineRule="auto"/>
        <w:ind w:left="1541"/>
        <w:jc w:val="right"/>
        <w:rPr>
          <w:rFonts w:ascii="Cambria" w:hAnsi="Cambria"/>
          <w:b/>
          <w:w w:val="105"/>
          <w:sz w:val="20"/>
          <w:szCs w:val="20"/>
        </w:rPr>
      </w:pPr>
      <w:r w:rsidRPr="00D92D00">
        <w:rPr>
          <w:rFonts w:ascii="Cambria" w:hAnsi="Cambria"/>
          <w:b/>
          <w:sz w:val="20"/>
          <w:szCs w:val="20"/>
        </w:rPr>
        <w:lastRenderedPageBreak/>
        <w:t>A</w:t>
      </w:r>
      <w:r w:rsidR="00F14AEF" w:rsidRPr="00D92D00">
        <w:rPr>
          <w:rFonts w:ascii="Cambria" w:hAnsi="Cambria"/>
          <w:b/>
          <w:sz w:val="20"/>
          <w:szCs w:val="20"/>
        </w:rPr>
        <w:t>nnexe</w:t>
      </w:r>
    </w:p>
    <w:p w14:paraId="65674C01" w14:textId="77777777" w:rsidR="00C47B80" w:rsidRPr="00D92D00" w:rsidRDefault="00C47B80" w:rsidP="00C47B80">
      <w:pPr>
        <w:spacing w:after="0" w:line="240" w:lineRule="auto"/>
        <w:ind w:left="1541"/>
        <w:jc w:val="right"/>
        <w:rPr>
          <w:rFonts w:ascii="Cambria" w:hAnsi="Cambria"/>
          <w:b/>
          <w:w w:val="105"/>
          <w:sz w:val="20"/>
          <w:szCs w:val="20"/>
        </w:rPr>
      </w:pPr>
    </w:p>
    <w:p w14:paraId="3E6B57F0" w14:textId="2FC6FFAF" w:rsidR="00C47B80" w:rsidRPr="00D92D00" w:rsidRDefault="00C47B80" w:rsidP="00C47B80">
      <w:pPr>
        <w:spacing w:after="0" w:line="240" w:lineRule="auto"/>
        <w:jc w:val="center"/>
        <w:rPr>
          <w:rFonts w:ascii="Cambria" w:hAnsi="Cambria"/>
          <w:b/>
          <w:sz w:val="20"/>
          <w:szCs w:val="20"/>
        </w:rPr>
      </w:pPr>
      <w:r w:rsidRPr="00D92D00">
        <w:rPr>
          <w:rFonts w:ascii="Cambria" w:hAnsi="Cambria"/>
          <w:b/>
          <w:sz w:val="20"/>
          <w:szCs w:val="20"/>
        </w:rPr>
        <w:t>Statistiques récapitulatives de la saison d’ouverture de la pêche de thon rouge pour la période 2015</w:t>
      </w:r>
      <w:r w:rsidR="00F14AEF" w:rsidRPr="00D92D00">
        <w:rPr>
          <w:rFonts w:ascii="Cambria" w:hAnsi="Cambria"/>
          <w:b/>
          <w:sz w:val="20"/>
          <w:szCs w:val="20"/>
        </w:rPr>
        <w:t>-</w:t>
      </w:r>
      <w:r w:rsidRPr="00D92D00">
        <w:rPr>
          <w:rFonts w:ascii="Cambria" w:hAnsi="Cambria"/>
          <w:b/>
          <w:sz w:val="20"/>
          <w:szCs w:val="20"/>
        </w:rPr>
        <w:t>2026</w:t>
      </w:r>
    </w:p>
    <w:p w14:paraId="3941D938" w14:textId="77777777" w:rsidR="000B03D3" w:rsidRPr="00D92D00" w:rsidRDefault="000B03D3" w:rsidP="000B03D3">
      <w:pPr>
        <w:spacing w:after="0" w:line="240" w:lineRule="atLeast"/>
        <w:rPr>
          <w:rFonts w:ascii="Cambria" w:hAnsi="Cambria"/>
          <w:sz w:val="20"/>
          <w:szCs w:val="20"/>
        </w:rPr>
      </w:pPr>
    </w:p>
    <w:tbl>
      <w:tblPr>
        <w:tblW w:w="9782" w:type="dxa"/>
        <w:tblInd w:w="-431" w:type="dxa"/>
        <w:tblLayout w:type="fixed"/>
        <w:tblLook w:val="04A0" w:firstRow="1" w:lastRow="0" w:firstColumn="1" w:lastColumn="0" w:noHBand="0" w:noVBand="1"/>
      </w:tblPr>
      <w:tblGrid>
        <w:gridCol w:w="3828"/>
        <w:gridCol w:w="993"/>
        <w:gridCol w:w="992"/>
        <w:gridCol w:w="992"/>
        <w:gridCol w:w="988"/>
        <w:gridCol w:w="997"/>
        <w:gridCol w:w="992"/>
      </w:tblGrid>
      <w:tr w:rsidR="00C57EB9" w:rsidRPr="00D92D00" w14:paraId="51A50802"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A789B0" w14:textId="77777777" w:rsidR="00C57EB9" w:rsidRPr="00D92D00" w:rsidRDefault="00C57EB9" w:rsidP="00C57EB9">
            <w:pPr>
              <w:spacing w:after="0" w:line="240" w:lineRule="auto"/>
              <w:rPr>
                <w:rFonts w:ascii="Cambria" w:eastAsia="Times New Roman" w:hAnsi="Cambria" w:cs="Times New Roman"/>
                <w:b/>
                <w:bCs/>
                <w:color w:val="000000"/>
                <w:sz w:val="20"/>
                <w:szCs w:val="20"/>
              </w:rPr>
            </w:pPr>
            <w:r w:rsidRPr="00D92D00">
              <w:rPr>
                <w:rFonts w:ascii="Cambria" w:hAnsi="Cambria"/>
                <w:b/>
                <w:bCs/>
                <w:color w:val="000000"/>
                <w:sz w:val="20"/>
                <w:szCs w:val="20"/>
              </w:rPr>
              <w:t>Année</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095A0CDE"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2015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5EAC51BA"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2016</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13C82570"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2017</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0050FD80"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2018</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3E19D9BD"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2019</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0C2F105"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2020</w:t>
            </w:r>
          </w:p>
        </w:tc>
      </w:tr>
      <w:tr w:rsidR="00C57EB9" w:rsidRPr="00D92D00" w14:paraId="7C7F225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3312199"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Total admissible de captures (t)</w:t>
            </w:r>
          </w:p>
        </w:tc>
        <w:tc>
          <w:tcPr>
            <w:tcW w:w="993" w:type="dxa"/>
            <w:tcBorders>
              <w:top w:val="single" w:sz="4" w:space="0" w:color="auto"/>
              <w:left w:val="nil"/>
              <w:bottom w:val="single" w:sz="4" w:space="0" w:color="auto"/>
              <w:right w:val="single" w:sz="4" w:space="0" w:color="auto"/>
            </w:tcBorders>
            <w:noWrap/>
            <w:vAlign w:val="center"/>
            <w:hideMark/>
          </w:tcPr>
          <w:p w14:paraId="4EE2CCF6"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13</w:t>
            </w:r>
          </w:p>
        </w:tc>
        <w:tc>
          <w:tcPr>
            <w:tcW w:w="992" w:type="dxa"/>
            <w:tcBorders>
              <w:top w:val="single" w:sz="4" w:space="0" w:color="auto"/>
              <w:left w:val="nil"/>
              <w:bottom w:val="single" w:sz="4" w:space="0" w:color="auto"/>
              <w:right w:val="single" w:sz="4" w:space="0" w:color="auto"/>
            </w:tcBorders>
            <w:noWrap/>
            <w:vAlign w:val="center"/>
            <w:hideMark/>
          </w:tcPr>
          <w:p w14:paraId="6DDDE629"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13</w:t>
            </w:r>
          </w:p>
        </w:tc>
        <w:tc>
          <w:tcPr>
            <w:tcW w:w="992" w:type="dxa"/>
            <w:tcBorders>
              <w:top w:val="single" w:sz="4" w:space="0" w:color="auto"/>
              <w:left w:val="nil"/>
              <w:bottom w:val="single" w:sz="4" w:space="0" w:color="auto"/>
              <w:right w:val="single" w:sz="4" w:space="0" w:color="auto"/>
            </w:tcBorders>
            <w:noWrap/>
            <w:vAlign w:val="center"/>
            <w:hideMark/>
          </w:tcPr>
          <w:p w14:paraId="74D3A934"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15,5</w:t>
            </w:r>
          </w:p>
        </w:tc>
        <w:tc>
          <w:tcPr>
            <w:tcW w:w="988" w:type="dxa"/>
            <w:tcBorders>
              <w:top w:val="single" w:sz="4" w:space="0" w:color="auto"/>
              <w:left w:val="nil"/>
              <w:bottom w:val="single" w:sz="4" w:space="0" w:color="auto"/>
              <w:right w:val="single" w:sz="4" w:space="0" w:color="auto"/>
            </w:tcBorders>
            <w:noWrap/>
            <w:vAlign w:val="center"/>
            <w:hideMark/>
          </w:tcPr>
          <w:p w14:paraId="770F28E6"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15,5</w:t>
            </w:r>
          </w:p>
        </w:tc>
        <w:tc>
          <w:tcPr>
            <w:tcW w:w="997" w:type="dxa"/>
            <w:tcBorders>
              <w:top w:val="single" w:sz="4" w:space="0" w:color="auto"/>
              <w:left w:val="nil"/>
              <w:bottom w:val="single" w:sz="4" w:space="0" w:color="auto"/>
              <w:right w:val="single" w:sz="4" w:space="0" w:color="auto"/>
            </w:tcBorders>
            <w:noWrap/>
            <w:vAlign w:val="center"/>
            <w:hideMark/>
          </w:tcPr>
          <w:p w14:paraId="1BA0E6E2"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16,74</w:t>
            </w:r>
          </w:p>
        </w:tc>
        <w:tc>
          <w:tcPr>
            <w:tcW w:w="992" w:type="dxa"/>
            <w:tcBorders>
              <w:top w:val="single" w:sz="4" w:space="0" w:color="auto"/>
              <w:left w:val="nil"/>
              <w:bottom w:val="single" w:sz="4" w:space="0" w:color="auto"/>
              <w:right w:val="single" w:sz="4" w:space="0" w:color="auto"/>
            </w:tcBorders>
            <w:noWrap/>
            <w:vAlign w:val="center"/>
            <w:hideMark/>
          </w:tcPr>
          <w:p w14:paraId="06C6322A"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19,81</w:t>
            </w:r>
          </w:p>
        </w:tc>
      </w:tr>
      <w:tr w:rsidR="00C57EB9" w:rsidRPr="00D92D00" w14:paraId="55FA75F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345630F6"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Débarquements/ Captures réelles (kg)</w:t>
            </w:r>
          </w:p>
        </w:tc>
        <w:tc>
          <w:tcPr>
            <w:tcW w:w="993" w:type="dxa"/>
            <w:tcBorders>
              <w:top w:val="single" w:sz="4" w:space="0" w:color="auto"/>
              <w:left w:val="nil"/>
              <w:bottom w:val="single" w:sz="4" w:space="0" w:color="auto"/>
              <w:right w:val="single" w:sz="4" w:space="0" w:color="auto"/>
            </w:tcBorders>
            <w:noWrap/>
            <w:vAlign w:val="center"/>
            <w:hideMark/>
          </w:tcPr>
          <w:p w14:paraId="69A12BD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12.746</w:t>
            </w:r>
          </w:p>
        </w:tc>
        <w:tc>
          <w:tcPr>
            <w:tcW w:w="992" w:type="dxa"/>
            <w:tcBorders>
              <w:top w:val="single" w:sz="4" w:space="0" w:color="auto"/>
              <w:left w:val="nil"/>
              <w:bottom w:val="single" w:sz="4" w:space="0" w:color="auto"/>
              <w:right w:val="single" w:sz="4" w:space="0" w:color="auto"/>
            </w:tcBorders>
            <w:noWrap/>
            <w:vAlign w:val="center"/>
            <w:hideMark/>
          </w:tcPr>
          <w:p w14:paraId="671C25E8"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13.894*</w:t>
            </w:r>
          </w:p>
        </w:tc>
        <w:tc>
          <w:tcPr>
            <w:tcW w:w="992" w:type="dxa"/>
            <w:tcBorders>
              <w:top w:val="single" w:sz="4" w:space="0" w:color="auto"/>
              <w:left w:val="nil"/>
              <w:bottom w:val="single" w:sz="4" w:space="0" w:color="auto"/>
              <w:right w:val="single" w:sz="4" w:space="0" w:color="auto"/>
            </w:tcBorders>
            <w:noWrap/>
            <w:vAlign w:val="center"/>
            <w:hideMark/>
          </w:tcPr>
          <w:p w14:paraId="3DE71BB5"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16.190*</w:t>
            </w:r>
          </w:p>
        </w:tc>
        <w:tc>
          <w:tcPr>
            <w:tcW w:w="988" w:type="dxa"/>
            <w:tcBorders>
              <w:top w:val="single" w:sz="4" w:space="0" w:color="auto"/>
              <w:left w:val="nil"/>
              <w:bottom w:val="single" w:sz="4" w:space="0" w:color="auto"/>
              <w:right w:val="single" w:sz="4" w:space="0" w:color="auto"/>
            </w:tcBorders>
            <w:noWrap/>
            <w:vAlign w:val="center"/>
            <w:hideMark/>
          </w:tcPr>
          <w:p w14:paraId="661ED434"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14.603</w:t>
            </w:r>
          </w:p>
        </w:tc>
        <w:tc>
          <w:tcPr>
            <w:tcW w:w="997" w:type="dxa"/>
            <w:tcBorders>
              <w:top w:val="single" w:sz="4" w:space="0" w:color="auto"/>
              <w:left w:val="nil"/>
              <w:bottom w:val="single" w:sz="4" w:space="0" w:color="auto"/>
              <w:right w:val="single" w:sz="4" w:space="0" w:color="auto"/>
            </w:tcBorders>
            <w:noWrap/>
            <w:vAlign w:val="center"/>
            <w:hideMark/>
          </w:tcPr>
          <w:p w14:paraId="47BFCCD8"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17.378*</w:t>
            </w:r>
          </w:p>
        </w:tc>
        <w:tc>
          <w:tcPr>
            <w:tcW w:w="992" w:type="dxa"/>
            <w:tcBorders>
              <w:top w:val="single" w:sz="4" w:space="0" w:color="auto"/>
              <w:left w:val="nil"/>
              <w:bottom w:val="single" w:sz="4" w:space="0" w:color="auto"/>
              <w:right w:val="single" w:sz="4" w:space="0" w:color="auto"/>
            </w:tcBorders>
            <w:noWrap/>
            <w:vAlign w:val="center"/>
            <w:hideMark/>
          </w:tcPr>
          <w:p w14:paraId="24226146"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20.020*</w:t>
            </w:r>
          </w:p>
        </w:tc>
      </w:tr>
      <w:tr w:rsidR="00C57EB9" w:rsidRPr="00D92D00" w14:paraId="621E957F"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48DA0FD"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Poids moyen (kg)</w:t>
            </w:r>
          </w:p>
        </w:tc>
        <w:tc>
          <w:tcPr>
            <w:tcW w:w="993" w:type="dxa"/>
            <w:tcBorders>
              <w:top w:val="single" w:sz="4" w:space="0" w:color="auto"/>
              <w:left w:val="nil"/>
              <w:bottom w:val="single" w:sz="4" w:space="0" w:color="auto"/>
              <w:right w:val="single" w:sz="4" w:space="0" w:color="auto"/>
            </w:tcBorders>
            <w:noWrap/>
            <w:vAlign w:val="center"/>
            <w:hideMark/>
          </w:tcPr>
          <w:p w14:paraId="4865CC3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47</w:t>
            </w:r>
          </w:p>
        </w:tc>
        <w:tc>
          <w:tcPr>
            <w:tcW w:w="992" w:type="dxa"/>
            <w:tcBorders>
              <w:top w:val="single" w:sz="4" w:space="0" w:color="auto"/>
              <w:left w:val="nil"/>
              <w:bottom w:val="single" w:sz="4" w:space="0" w:color="auto"/>
              <w:right w:val="single" w:sz="4" w:space="0" w:color="auto"/>
            </w:tcBorders>
            <w:noWrap/>
            <w:vAlign w:val="center"/>
            <w:hideMark/>
          </w:tcPr>
          <w:p w14:paraId="0458770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88</w:t>
            </w:r>
          </w:p>
        </w:tc>
        <w:tc>
          <w:tcPr>
            <w:tcW w:w="992" w:type="dxa"/>
            <w:tcBorders>
              <w:top w:val="single" w:sz="4" w:space="0" w:color="auto"/>
              <w:left w:val="nil"/>
              <w:bottom w:val="single" w:sz="4" w:space="0" w:color="auto"/>
              <w:right w:val="single" w:sz="4" w:space="0" w:color="auto"/>
            </w:tcBorders>
            <w:noWrap/>
            <w:vAlign w:val="center"/>
            <w:hideMark/>
          </w:tcPr>
          <w:p w14:paraId="50DB3CF4"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98</w:t>
            </w:r>
          </w:p>
        </w:tc>
        <w:tc>
          <w:tcPr>
            <w:tcW w:w="988" w:type="dxa"/>
            <w:tcBorders>
              <w:top w:val="single" w:sz="4" w:space="0" w:color="auto"/>
              <w:left w:val="nil"/>
              <w:bottom w:val="single" w:sz="4" w:space="0" w:color="auto"/>
              <w:right w:val="single" w:sz="4" w:space="0" w:color="auto"/>
            </w:tcBorders>
            <w:noWrap/>
            <w:vAlign w:val="center"/>
            <w:hideMark/>
          </w:tcPr>
          <w:p w14:paraId="05BE4EAF"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121</w:t>
            </w:r>
          </w:p>
        </w:tc>
        <w:tc>
          <w:tcPr>
            <w:tcW w:w="997" w:type="dxa"/>
            <w:tcBorders>
              <w:top w:val="single" w:sz="4" w:space="0" w:color="auto"/>
              <w:left w:val="nil"/>
              <w:bottom w:val="single" w:sz="4" w:space="0" w:color="auto"/>
              <w:right w:val="single" w:sz="4" w:space="0" w:color="auto"/>
            </w:tcBorders>
            <w:noWrap/>
            <w:vAlign w:val="center"/>
            <w:hideMark/>
          </w:tcPr>
          <w:p w14:paraId="70DD5495"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117</w:t>
            </w:r>
          </w:p>
        </w:tc>
        <w:tc>
          <w:tcPr>
            <w:tcW w:w="992" w:type="dxa"/>
            <w:tcBorders>
              <w:top w:val="single" w:sz="4" w:space="0" w:color="auto"/>
              <w:left w:val="nil"/>
              <w:bottom w:val="single" w:sz="4" w:space="0" w:color="auto"/>
              <w:right w:val="single" w:sz="4" w:space="0" w:color="auto"/>
            </w:tcBorders>
            <w:noWrap/>
            <w:vAlign w:val="center"/>
            <w:hideMark/>
          </w:tcPr>
          <w:p w14:paraId="7602BD21"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83</w:t>
            </w:r>
          </w:p>
        </w:tc>
      </w:tr>
      <w:tr w:rsidR="00C57EB9" w:rsidRPr="00D92D00" w14:paraId="6F61020C"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4A5A0260"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Spécimen le plus grand (kg)</w:t>
            </w:r>
          </w:p>
        </w:tc>
        <w:tc>
          <w:tcPr>
            <w:tcW w:w="993" w:type="dxa"/>
            <w:tcBorders>
              <w:top w:val="single" w:sz="4" w:space="0" w:color="auto"/>
              <w:left w:val="nil"/>
              <w:bottom w:val="single" w:sz="4" w:space="0" w:color="auto"/>
              <w:right w:val="single" w:sz="4" w:space="0" w:color="auto"/>
            </w:tcBorders>
            <w:noWrap/>
            <w:vAlign w:val="center"/>
            <w:hideMark/>
          </w:tcPr>
          <w:p w14:paraId="7A1A0386"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271</w:t>
            </w:r>
          </w:p>
        </w:tc>
        <w:tc>
          <w:tcPr>
            <w:tcW w:w="992" w:type="dxa"/>
            <w:tcBorders>
              <w:top w:val="single" w:sz="4" w:space="0" w:color="auto"/>
              <w:left w:val="nil"/>
              <w:bottom w:val="single" w:sz="4" w:space="0" w:color="auto"/>
              <w:right w:val="single" w:sz="4" w:space="0" w:color="auto"/>
            </w:tcBorders>
            <w:noWrap/>
            <w:vAlign w:val="center"/>
            <w:hideMark/>
          </w:tcPr>
          <w:p w14:paraId="5306260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274</w:t>
            </w:r>
          </w:p>
        </w:tc>
        <w:tc>
          <w:tcPr>
            <w:tcW w:w="992" w:type="dxa"/>
            <w:tcBorders>
              <w:top w:val="single" w:sz="4" w:space="0" w:color="auto"/>
              <w:left w:val="nil"/>
              <w:bottom w:val="single" w:sz="4" w:space="0" w:color="auto"/>
              <w:right w:val="single" w:sz="4" w:space="0" w:color="auto"/>
            </w:tcBorders>
            <w:noWrap/>
            <w:vAlign w:val="center"/>
            <w:hideMark/>
          </w:tcPr>
          <w:p w14:paraId="2DEE18F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279</w:t>
            </w:r>
          </w:p>
        </w:tc>
        <w:tc>
          <w:tcPr>
            <w:tcW w:w="988" w:type="dxa"/>
            <w:tcBorders>
              <w:top w:val="single" w:sz="4" w:space="0" w:color="auto"/>
              <w:left w:val="nil"/>
              <w:bottom w:val="single" w:sz="4" w:space="0" w:color="auto"/>
              <w:right w:val="single" w:sz="4" w:space="0" w:color="auto"/>
            </w:tcBorders>
            <w:noWrap/>
            <w:vAlign w:val="center"/>
            <w:hideMark/>
          </w:tcPr>
          <w:p w14:paraId="223F77B8"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299</w:t>
            </w:r>
          </w:p>
        </w:tc>
        <w:tc>
          <w:tcPr>
            <w:tcW w:w="997" w:type="dxa"/>
            <w:tcBorders>
              <w:top w:val="single" w:sz="4" w:space="0" w:color="auto"/>
              <w:left w:val="nil"/>
              <w:bottom w:val="single" w:sz="4" w:space="0" w:color="auto"/>
              <w:right w:val="single" w:sz="4" w:space="0" w:color="auto"/>
            </w:tcBorders>
            <w:noWrap/>
            <w:vAlign w:val="center"/>
            <w:hideMark/>
          </w:tcPr>
          <w:p w14:paraId="77E0A116"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267</w:t>
            </w:r>
          </w:p>
        </w:tc>
        <w:tc>
          <w:tcPr>
            <w:tcW w:w="992" w:type="dxa"/>
            <w:tcBorders>
              <w:top w:val="single" w:sz="4" w:space="0" w:color="auto"/>
              <w:left w:val="nil"/>
              <w:bottom w:val="single" w:sz="4" w:space="0" w:color="auto"/>
              <w:right w:val="single" w:sz="4" w:space="0" w:color="auto"/>
            </w:tcBorders>
            <w:noWrap/>
            <w:vAlign w:val="center"/>
            <w:hideMark/>
          </w:tcPr>
          <w:p w14:paraId="7F90C1A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341</w:t>
            </w:r>
          </w:p>
        </w:tc>
      </w:tr>
      <w:tr w:rsidR="00C57EB9" w:rsidRPr="00D92D00" w14:paraId="357911A7"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779867FD" w14:textId="38A2D700"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 xml:space="preserve">Total des pêcheurs à la ligne récréatifs/sportifs autorisés à débarquer du </w:t>
            </w:r>
            <w:proofErr w:type="spellStart"/>
            <w:r w:rsidRPr="00D92D00">
              <w:rPr>
                <w:rFonts w:ascii="Cambria" w:hAnsi="Cambria"/>
                <w:color w:val="000000"/>
                <w:sz w:val="20"/>
                <w:szCs w:val="20"/>
              </w:rPr>
              <w:t>BFT</w:t>
            </w:r>
            <w:proofErr w:type="spellEnd"/>
          </w:p>
        </w:tc>
        <w:tc>
          <w:tcPr>
            <w:tcW w:w="993" w:type="dxa"/>
            <w:tcBorders>
              <w:top w:val="single" w:sz="4" w:space="0" w:color="auto"/>
              <w:left w:val="nil"/>
              <w:bottom w:val="single" w:sz="4" w:space="0" w:color="auto"/>
              <w:right w:val="single" w:sz="4" w:space="0" w:color="auto"/>
            </w:tcBorders>
            <w:noWrap/>
            <w:vAlign w:val="center"/>
            <w:hideMark/>
          </w:tcPr>
          <w:p w14:paraId="2CDA48D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114</w:t>
            </w:r>
          </w:p>
        </w:tc>
        <w:tc>
          <w:tcPr>
            <w:tcW w:w="992" w:type="dxa"/>
            <w:tcBorders>
              <w:top w:val="single" w:sz="4" w:space="0" w:color="auto"/>
              <w:left w:val="nil"/>
              <w:bottom w:val="single" w:sz="4" w:space="0" w:color="auto"/>
              <w:right w:val="single" w:sz="4" w:space="0" w:color="auto"/>
            </w:tcBorders>
            <w:noWrap/>
            <w:vAlign w:val="center"/>
            <w:hideMark/>
          </w:tcPr>
          <w:p w14:paraId="4D28A07E"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89</w:t>
            </w:r>
          </w:p>
        </w:tc>
        <w:tc>
          <w:tcPr>
            <w:tcW w:w="992" w:type="dxa"/>
            <w:tcBorders>
              <w:top w:val="single" w:sz="4" w:space="0" w:color="auto"/>
              <w:left w:val="nil"/>
              <w:bottom w:val="single" w:sz="4" w:space="0" w:color="auto"/>
              <w:right w:val="single" w:sz="4" w:space="0" w:color="auto"/>
            </w:tcBorders>
            <w:noWrap/>
            <w:vAlign w:val="center"/>
            <w:hideMark/>
          </w:tcPr>
          <w:p w14:paraId="2AA1D372"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69</w:t>
            </w:r>
          </w:p>
        </w:tc>
        <w:tc>
          <w:tcPr>
            <w:tcW w:w="988" w:type="dxa"/>
            <w:tcBorders>
              <w:top w:val="single" w:sz="4" w:space="0" w:color="auto"/>
              <w:left w:val="nil"/>
              <w:bottom w:val="single" w:sz="4" w:space="0" w:color="auto"/>
              <w:right w:val="single" w:sz="4" w:space="0" w:color="auto"/>
            </w:tcBorders>
            <w:noWrap/>
            <w:vAlign w:val="center"/>
            <w:hideMark/>
          </w:tcPr>
          <w:p w14:paraId="1D3995CE"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63</w:t>
            </w:r>
          </w:p>
        </w:tc>
        <w:tc>
          <w:tcPr>
            <w:tcW w:w="997" w:type="dxa"/>
            <w:tcBorders>
              <w:top w:val="single" w:sz="4" w:space="0" w:color="auto"/>
              <w:left w:val="nil"/>
              <w:bottom w:val="single" w:sz="4" w:space="0" w:color="auto"/>
              <w:right w:val="single" w:sz="4" w:space="0" w:color="auto"/>
            </w:tcBorders>
            <w:noWrap/>
            <w:vAlign w:val="center"/>
            <w:hideMark/>
          </w:tcPr>
          <w:p w14:paraId="4534CE1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79</w:t>
            </w:r>
          </w:p>
        </w:tc>
        <w:tc>
          <w:tcPr>
            <w:tcW w:w="992" w:type="dxa"/>
            <w:tcBorders>
              <w:top w:val="single" w:sz="4" w:space="0" w:color="auto"/>
              <w:left w:val="nil"/>
              <w:bottom w:val="single" w:sz="4" w:space="0" w:color="auto"/>
              <w:right w:val="single" w:sz="4" w:space="0" w:color="auto"/>
            </w:tcBorders>
            <w:noWrap/>
            <w:vAlign w:val="center"/>
            <w:hideMark/>
          </w:tcPr>
          <w:p w14:paraId="15D20791"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132</w:t>
            </w:r>
          </w:p>
        </w:tc>
      </w:tr>
      <w:tr w:rsidR="00C57EB9" w:rsidRPr="00D92D00" w14:paraId="4F5EC0C0" w14:textId="77777777" w:rsidTr="00C57EB9">
        <w:tc>
          <w:tcPr>
            <w:tcW w:w="3828" w:type="dxa"/>
            <w:tcBorders>
              <w:top w:val="single" w:sz="4" w:space="0" w:color="auto"/>
              <w:left w:val="single" w:sz="4" w:space="0" w:color="auto"/>
              <w:bottom w:val="single" w:sz="4" w:space="0" w:color="auto"/>
              <w:right w:val="single" w:sz="4" w:space="0" w:color="auto"/>
            </w:tcBorders>
            <w:noWrap/>
            <w:vAlign w:val="center"/>
            <w:hideMark/>
          </w:tcPr>
          <w:p w14:paraId="00A7148E"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Jours totaux au cours de la saison d’ouverture</w:t>
            </w:r>
          </w:p>
        </w:tc>
        <w:tc>
          <w:tcPr>
            <w:tcW w:w="993" w:type="dxa"/>
            <w:tcBorders>
              <w:top w:val="single" w:sz="4" w:space="0" w:color="auto"/>
              <w:left w:val="nil"/>
              <w:bottom w:val="single" w:sz="4" w:space="0" w:color="auto"/>
              <w:right w:val="single" w:sz="4" w:space="0" w:color="auto"/>
            </w:tcBorders>
            <w:noWrap/>
            <w:vAlign w:val="center"/>
            <w:hideMark/>
          </w:tcPr>
          <w:p w14:paraId="24CC39BE"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123</w:t>
            </w:r>
          </w:p>
        </w:tc>
        <w:tc>
          <w:tcPr>
            <w:tcW w:w="992" w:type="dxa"/>
            <w:tcBorders>
              <w:top w:val="single" w:sz="4" w:space="0" w:color="auto"/>
              <w:left w:val="nil"/>
              <w:bottom w:val="single" w:sz="4" w:space="0" w:color="auto"/>
              <w:right w:val="single" w:sz="4" w:space="0" w:color="auto"/>
            </w:tcBorders>
            <w:noWrap/>
            <w:vAlign w:val="center"/>
            <w:hideMark/>
          </w:tcPr>
          <w:p w14:paraId="49D003AB"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121</w:t>
            </w:r>
          </w:p>
        </w:tc>
        <w:tc>
          <w:tcPr>
            <w:tcW w:w="992" w:type="dxa"/>
            <w:tcBorders>
              <w:top w:val="single" w:sz="4" w:space="0" w:color="auto"/>
              <w:left w:val="nil"/>
              <w:bottom w:val="single" w:sz="4" w:space="0" w:color="auto"/>
              <w:right w:val="single" w:sz="4" w:space="0" w:color="auto"/>
            </w:tcBorders>
            <w:noWrap/>
            <w:vAlign w:val="center"/>
            <w:hideMark/>
          </w:tcPr>
          <w:p w14:paraId="4C298DB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69,5</w:t>
            </w:r>
          </w:p>
        </w:tc>
        <w:tc>
          <w:tcPr>
            <w:tcW w:w="988" w:type="dxa"/>
            <w:tcBorders>
              <w:top w:val="single" w:sz="4" w:space="0" w:color="auto"/>
              <w:left w:val="nil"/>
              <w:bottom w:val="single" w:sz="4" w:space="0" w:color="auto"/>
              <w:right w:val="single" w:sz="4" w:space="0" w:color="auto"/>
            </w:tcBorders>
            <w:noWrap/>
            <w:vAlign w:val="center"/>
            <w:hideMark/>
          </w:tcPr>
          <w:p w14:paraId="712DF4A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93</w:t>
            </w:r>
          </w:p>
        </w:tc>
        <w:tc>
          <w:tcPr>
            <w:tcW w:w="997" w:type="dxa"/>
            <w:tcBorders>
              <w:top w:val="single" w:sz="4" w:space="0" w:color="auto"/>
              <w:left w:val="nil"/>
              <w:bottom w:val="single" w:sz="4" w:space="0" w:color="auto"/>
              <w:right w:val="single" w:sz="4" w:space="0" w:color="auto"/>
            </w:tcBorders>
            <w:noWrap/>
            <w:vAlign w:val="center"/>
            <w:hideMark/>
          </w:tcPr>
          <w:p w14:paraId="0B0E8DD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39,5</w:t>
            </w:r>
          </w:p>
        </w:tc>
        <w:tc>
          <w:tcPr>
            <w:tcW w:w="992" w:type="dxa"/>
            <w:tcBorders>
              <w:top w:val="single" w:sz="4" w:space="0" w:color="auto"/>
              <w:left w:val="nil"/>
              <w:bottom w:val="single" w:sz="4" w:space="0" w:color="auto"/>
              <w:right w:val="single" w:sz="4" w:space="0" w:color="auto"/>
            </w:tcBorders>
            <w:noWrap/>
            <w:vAlign w:val="center"/>
            <w:hideMark/>
          </w:tcPr>
          <w:p w14:paraId="48646AB7"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91</w:t>
            </w:r>
          </w:p>
        </w:tc>
      </w:tr>
      <w:tr w:rsidR="00C57EB9" w:rsidRPr="00D92D00" w14:paraId="497B882D" w14:textId="77777777" w:rsidTr="00C57EB9">
        <w:tc>
          <w:tcPr>
            <w:tcW w:w="3828" w:type="dxa"/>
            <w:tcBorders>
              <w:top w:val="single" w:sz="4" w:space="0" w:color="auto"/>
            </w:tcBorders>
            <w:noWrap/>
            <w:vAlign w:val="center"/>
          </w:tcPr>
          <w:p w14:paraId="1A83E8D1" w14:textId="77777777" w:rsidR="00C57EB9" w:rsidRPr="00D92D00" w:rsidRDefault="00C57EB9" w:rsidP="00C57EB9">
            <w:pPr>
              <w:spacing w:after="0" w:line="240" w:lineRule="auto"/>
              <w:rPr>
                <w:rFonts w:ascii="Cambria" w:eastAsia="Times New Roman" w:hAnsi="Cambria" w:cs="Times New Roman"/>
                <w:color w:val="000000"/>
                <w:sz w:val="20"/>
                <w:szCs w:val="20"/>
                <w:lang w:eastAsia="en-GB"/>
              </w:rPr>
            </w:pPr>
          </w:p>
        </w:tc>
        <w:tc>
          <w:tcPr>
            <w:tcW w:w="993" w:type="dxa"/>
            <w:tcBorders>
              <w:top w:val="single" w:sz="4" w:space="0" w:color="auto"/>
            </w:tcBorders>
            <w:noWrap/>
            <w:vAlign w:val="center"/>
          </w:tcPr>
          <w:p w14:paraId="51876CDF"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2" w:type="dxa"/>
            <w:tcBorders>
              <w:top w:val="single" w:sz="4" w:space="0" w:color="auto"/>
            </w:tcBorders>
            <w:noWrap/>
            <w:vAlign w:val="center"/>
          </w:tcPr>
          <w:p w14:paraId="536883C6"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2" w:type="dxa"/>
            <w:tcBorders>
              <w:top w:val="single" w:sz="4" w:space="0" w:color="auto"/>
            </w:tcBorders>
            <w:noWrap/>
            <w:vAlign w:val="center"/>
          </w:tcPr>
          <w:p w14:paraId="6B9417D2"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88" w:type="dxa"/>
            <w:tcBorders>
              <w:top w:val="single" w:sz="4" w:space="0" w:color="auto"/>
            </w:tcBorders>
            <w:noWrap/>
            <w:vAlign w:val="center"/>
          </w:tcPr>
          <w:p w14:paraId="2B62CBC6"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7" w:type="dxa"/>
            <w:tcBorders>
              <w:top w:val="single" w:sz="4" w:space="0" w:color="auto"/>
            </w:tcBorders>
            <w:noWrap/>
            <w:vAlign w:val="center"/>
          </w:tcPr>
          <w:p w14:paraId="083047C5"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2" w:type="dxa"/>
            <w:tcBorders>
              <w:top w:val="single" w:sz="4" w:space="0" w:color="auto"/>
            </w:tcBorders>
            <w:noWrap/>
            <w:vAlign w:val="center"/>
          </w:tcPr>
          <w:p w14:paraId="3F3E0611"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r>
      <w:tr w:rsidR="00C57EB9" w:rsidRPr="00D92D00" w14:paraId="781B9E7F" w14:textId="77777777" w:rsidTr="00C57EB9">
        <w:tc>
          <w:tcPr>
            <w:tcW w:w="3828" w:type="dxa"/>
            <w:tcBorders>
              <w:left w:val="nil"/>
              <w:bottom w:val="nil"/>
              <w:right w:val="nil"/>
            </w:tcBorders>
            <w:noWrap/>
            <w:vAlign w:val="center"/>
            <w:hideMark/>
          </w:tcPr>
          <w:p w14:paraId="01157087" w14:textId="77777777" w:rsidR="00C57EB9" w:rsidRPr="00D92D00" w:rsidRDefault="00C57EB9" w:rsidP="00C57EB9">
            <w:pPr>
              <w:spacing w:after="0" w:line="240" w:lineRule="auto"/>
              <w:jc w:val="right"/>
              <w:rPr>
                <w:rFonts w:ascii="Cambria" w:eastAsia="Times New Roman" w:hAnsi="Cambria" w:cs="Times New Roman"/>
                <w:color w:val="000000"/>
                <w:sz w:val="20"/>
                <w:szCs w:val="20"/>
                <w:lang w:eastAsia="en-GB"/>
              </w:rPr>
            </w:pPr>
          </w:p>
        </w:tc>
        <w:tc>
          <w:tcPr>
            <w:tcW w:w="993" w:type="dxa"/>
            <w:tcBorders>
              <w:left w:val="nil"/>
              <w:bottom w:val="nil"/>
              <w:right w:val="nil"/>
            </w:tcBorders>
            <w:noWrap/>
            <w:vAlign w:val="center"/>
            <w:hideMark/>
          </w:tcPr>
          <w:p w14:paraId="2E8A984D"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160190BA"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5519EAE0"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c>
          <w:tcPr>
            <w:tcW w:w="988" w:type="dxa"/>
            <w:tcBorders>
              <w:left w:val="nil"/>
              <w:bottom w:val="nil"/>
              <w:right w:val="nil"/>
            </w:tcBorders>
            <w:noWrap/>
            <w:vAlign w:val="center"/>
            <w:hideMark/>
          </w:tcPr>
          <w:p w14:paraId="5E547784"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c>
          <w:tcPr>
            <w:tcW w:w="997" w:type="dxa"/>
            <w:tcBorders>
              <w:left w:val="nil"/>
              <w:bottom w:val="nil"/>
              <w:right w:val="nil"/>
            </w:tcBorders>
            <w:noWrap/>
            <w:vAlign w:val="center"/>
            <w:hideMark/>
          </w:tcPr>
          <w:p w14:paraId="6979E6E8"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c>
          <w:tcPr>
            <w:tcW w:w="992" w:type="dxa"/>
            <w:tcBorders>
              <w:left w:val="nil"/>
              <w:bottom w:val="nil"/>
              <w:right w:val="nil"/>
            </w:tcBorders>
            <w:noWrap/>
            <w:vAlign w:val="center"/>
            <w:hideMark/>
          </w:tcPr>
          <w:p w14:paraId="049C37F7" w14:textId="77777777" w:rsidR="00C57EB9" w:rsidRPr="00D92D00" w:rsidRDefault="00C57EB9" w:rsidP="00C57EB9">
            <w:pPr>
              <w:spacing w:after="0" w:line="240" w:lineRule="auto"/>
              <w:rPr>
                <w:rFonts w:ascii="Cambria" w:eastAsia="Times New Roman" w:hAnsi="Cambria" w:cs="Times New Roman"/>
                <w:sz w:val="20"/>
                <w:szCs w:val="20"/>
                <w:lang w:eastAsia="en-GB"/>
              </w:rPr>
            </w:pPr>
          </w:p>
        </w:tc>
      </w:tr>
      <w:tr w:rsidR="00C57EB9" w:rsidRPr="00D92D00" w14:paraId="28E43B15" w14:textId="77777777" w:rsidTr="00C57EB9">
        <w:tc>
          <w:tcPr>
            <w:tcW w:w="382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69C6EF0" w14:textId="77777777" w:rsidR="00C57EB9" w:rsidRPr="00D92D00" w:rsidRDefault="00C57EB9" w:rsidP="00C57EB9">
            <w:pPr>
              <w:spacing w:after="0" w:line="240" w:lineRule="auto"/>
              <w:rPr>
                <w:rFonts w:ascii="Cambria" w:eastAsia="Times New Roman" w:hAnsi="Cambria" w:cs="Times New Roman"/>
                <w:b/>
                <w:bCs/>
                <w:color w:val="000000"/>
                <w:sz w:val="20"/>
                <w:szCs w:val="20"/>
              </w:rPr>
            </w:pPr>
            <w:r w:rsidRPr="00D92D00">
              <w:rPr>
                <w:rFonts w:ascii="Cambria" w:hAnsi="Cambria"/>
                <w:b/>
                <w:bCs/>
                <w:color w:val="000000"/>
                <w:sz w:val="20"/>
                <w:szCs w:val="20"/>
              </w:rPr>
              <w:t>Année</w:t>
            </w:r>
          </w:p>
        </w:tc>
        <w:tc>
          <w:tcPr>
            <w:tcW w:w="993" w:type="dxa"/>
            <w:tcBorders>
              <w:top w:val="single" w:sz="4" w:space="0" w:color="auto"/>
              <w:left w:val="nil"/>
              <w:bottom w:val="single" w:sz="4" w:space="0" w:color="auto"/>
              <w:right w:val="single" w:sz="4" w:space="0" w:color="auto"/>
            </w:tcBorders>
            <w:shd w:val="clear" w:color="000000" w:fill="D9D9D9"/>
            <w:noWrap/>
            <w:vAlign w:val="center"/>
            <w:hideMark/>
          </w:tcPr>
          <w:p w14:paraId="4A58D051"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2021</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C3C992E"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2022</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4BCD46D0"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2023</w:t>
            </w:r>
          </w:p>
        </w:tc>
        <w:tc>
          <w:tcPr>
            <w:tcW w:w="988" w:type="dxa"/>
            <w:tcBorders>
              <w:top w:val="single" w:sz="4" w:space="0" w:color="auto"/>
              <w:left w:val="nil"/>
              <w:bottom w:val="single" w:sz="4" w:space="0" w:color="auto"/>
              <w:right w:val="single" w:sz="4" w:space="0" w:color="auto"/>
            </w:tcBorders>
            <w:shd w:val="clear" w:color="000000" w:fill="D9D9D9"/>
            <w:noWrap/>
            <w:vAlign w:val="center"/>
            <w:hideMark/>
          </w:tcPr>
          <w:p w14:paraId="1D226FE2"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2024</w:t>
            </w:r>
          </w:p>
        </w:tc>
        <w:tc>
          <w:tcPr>
            <w:tcW w:w="997" w:type="dxa"/>
            <w:tcBorders>
              <w:top w:val="single" w:sz="4" w:space="0" w:color="auto"/>
              <w:left w:val="nil"/>
              <w:bottom w:val="single" w:sz="4" w:space="0" w:color="auto"/>
              <w:right w:val="single" w:sz="4" w:space="0" w:color="auto"/>
            </w:tcBorders>
            <w:shd w:val="clear" w:color="000000" w:fill="D9D9D9"/>
            <w:noWrap/>
            <w:vAlign w:val="center"/>
            <w:hideMark/>
          </w:tcPr>
          <w:p w14:paraId="4D2AEE2B"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2025</w:t>
            </w:r>
          </w:p>
        </w:tc>
        <w:tc>
          <w:tcPr>
            <w:tcW w:w="992" w:type="dxa"/>
            <w:tcBorders>
              <w:top w:val="single" w:sz="4" w:space="0" w:color="auto"/>
              <w:left w:val="nil"/>
              <w:bottom w:val="single" w:sz="4" w:space="0" w:color="auto"/>
              <w:right w:val="single" w:sz="4" w:space="0" w:color="auto"/>
            </w:tcBorders>
            <w:shd w:val="clear" w:color="000000" w:fill="D9D9D9"/>
            <w:noWrap/>
            <w:vAlign w:val="center"/>
            <w:hideMark/>
          </w:tcPr>
          <w:p w14:paraId="02FFC2E3" w14:textId="77777777" w:rsidR="00C57EB9" w:rsidRPr="00D92D00" w:rsidRDefault="00C57EB9" w:rsidP="00C57EB9">
            <w:pPr>
              <w:spacing w:after="0" w:line="240" w:lineRule="auto"/>
              <w:jc w:val="center"/>
              <w:rPr>
                <w:rFonts w:ascii="Cambria" w:eastAsia="Times New Roman" w:hAnsi="Cambria" w:cs="Times New Roman"/>
                <w:b/>
                <w:bCs/>
                <w:color w:val="000000"/>
                <w:sz w:val="20"/>
                <w:szCs w:val="20"/>
              </w:rPr>
            </w:pPr>
            <w:r w:rsidRPr="00D92D00">
              <w:rPr>
                <w:rFonts w:ascii="Cambria" w:hAnsi="Cambria"/>
                <w:b/>
                <w:bCs/>
                <w:color w:val="000000"/>
                <w:sz w:val="20"/>
                <w:szCs w:val="20"/>
              </w:rPr>
              <w:t>2026**</w:t>
            </w:r>
          </w:p>
        </w:tc>
      </w:tr>
      <w:tr w:rsidR="00C57EB9" w:rsidRPr="00D92D00" w14:paraId="7B8F9F50"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56BB6C72"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Total admissible de captures (t)</w:t>
            </w:r>
          </w:p>
        </w:tc>
        <w:tc>
          <w:tcPr>
            <w:tcW w:w="993" w:type="dxa"/>
            <w:tcBorders>
              <w:top w:val="nil"/>
              <w:left w:val="nil"/>
              <w:bottom w:val="single" w:sz="4" w:space="0" w:color="auto"/>
              <w:right w:val="single" w:sz="4" w:space="0" w:color="auto"/>
            </w:tcBorders>
            <w:noWrap/>
            <w:vAlign w:val="center"/>
            <w:hideMark/>
          </w:tcPr>
          <w:p w14:paraId="6F3C3DC2"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21</w:t>
            </w:r>
          </w:p>
        </w:tc>
        <w:tc>
          <w:tcPr>
            <w:tcW w:w="992" w:type="dxa"/>
            <w:tcBorders>
              <w:top w:val="nil"/>
              <w:left w:val="nil"/>
              <w:bottom w:val="single" w:sz="4" w:space="0" w:color="auto"/>
              <w:right w:val="single" w:sz="4" w:space="0" w:color="auto"/>
            </w:tcBorders>
            <w:noWrap/>
            <w:vAlign w:val="center"/>
            <w:hideMark/>
          </w:tcPr>
          <w:p w14:paraId="751A2E57"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22,5</w:t>
            </w:r>
          </w:p>
        </w:tc>
        <w:tc>
          <w:tcPr>
            <w:tcW w:w="992" w:type="dxa"/>
            <w:tcBorders>
              <w:top w:val="nil"/>
              <w:left w:val="nil"/>
              <w:bottom w:val="single" w:sz="4" w:space="0" w:color="auto"/>
              <w:right w:val="single" w:sz="4" w:space="0" w:color="auto"/>
            </w:tcBorders>
            <w:noWrap/>
            <w:vAlign w:val="center"/>
            <w:hideMark/>
          </w:tcPr>
          <w:p w14:paraId="0870AAFB"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25</w:t>
            </w:r>
          </w:p>
        </w:tc>
        <w:tc>
          <w:tcPr>
            <w:tcW w:w="988" w:type="dxa"/>
            <w:tcBorders>
              <w:top w:val="nil"/>
              <w:left w:val="nil"/>
              <w:bottom w:val="single" w:sz="4" w:space="0" w:color="auto"/>
              <w:right w:val="single" w:sz="4" w:space="0" w:color="auto"/>
            </w:tcBorders>
            <w:noWrap/>
            <w:vAlign w:val="center"/>
            <w:hideMark/>
          </w:tcPr>
          <w:p w14:paraId="655C1DE6"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25</w:t>
            </w:r>
          </w:p>
        </w:tc>
        <w:tc>
          <w:tcPr>
            <w:tcW w:w="997" w:type="dxa"/>
            <w:tcBorders>
              <w:top w:val="nil"/>
              <w:left w:val="nil"/>
              <w:bottom w:val="single" w:sz="4" w:space="0" w:color="auto"/>
              <w:right w:val="single" w:sz="4" w:space="0" w:color="auto"/>
            </w:tcBorders>
            <w:noWrap/>
            <w:vAlign w:val="center"/>
            <w:hideMark/>
          </w:tcPr>
          <w:p w14:paraId="19F3DBAC"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26</w:t>
            </w:r>
          </w:p>
        </w:tc>
        <w:tc>
          <w:tcPr>
            <w:tcW w:w="992" w:type="dxa"/>
            <w:tcBorders>
              <w:top w:val="nil"/>
              <w:left w:val="nil"/>
              <w:bottom w:val="single" w:sz="4" w:space="0" w:color="auto"/>
              <w:right w:val="single" w:sz="4" w:space="0" w:color="auto"/>
            </w:tcBorders>
            <w:noWrap/>
            <w:vAlign w:val="center"/>
            <w:hideMark/>
          </w:tcPr>
          <w:p w14:paraId="3B3F042A" w14:textId="77777777" w:rsidR="00C57EB9" w:rsidRPr="00D92D00" w:rsidRDefault="00C57EB9" w:rsidP="00C57EB9">
            <w:pPr>
              <w:spacing w:after="0" w:line="240" w:lineRule="auto"/>
              <w:jc w:val="right"/>
              <w:rPr>
                <w:rFonts w:ascii="Cambria" w:eastAsia="Times New Roman" w:hAnsi="Cambria" w:cs="Times New Roman"/>
                <w:b/>
                <w:bCs/>
                <w:color w:val="000000"/>
                <w:sz w:val="20"/>
                <w:szCs w:val="20"/>
              </w:rPr>
            </w:pPr>
            <w:r w:rsidRPr="00D92D00">
              <w:rPr>
                <w:rFonts w:ascii="Cambria" w:hAnsi="Cambria"/>
                <w:b/>
                <w:bCs/>
                <w:color w:val="000000"/>
                <w:sz w:val="20"/>
                <w:szCs w:val="20"/>
              </w:rPr>
              <w:t>30</w:t>
            </w:r>
          </w:p>
        </w:tc>
      </w:tr>
      <w:tr w:rsidR="00C57EB9" w:rsidRPr="00D92D00" w14:paraId="6E6B6685"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4FDFBB05"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Débarquements/ Captures réelles (kg)</w:t>
            </w:r>
          </w:p>
        </w:tc>
        <w:tc>
          <w:tcPr>
            <w:tcW w:w="993" w:type="dxa"/>
            <w:tcBorders>
              <w:top w:val="nil"/>
              <w:left w:val="nil"/>
              <w:bottom w:val="single" w:sz="4" w:space="0" w:color="auto"/>
              <w:right w:val="single" w:sz="4" w:space="0" w:color="auto"/>
            </w:tcBorders>
            <w:noWrap/>
            <w:vAlign w:val="center"/>
            <w:hideMark/>
          </w:tcPr>
          <w:p w14:paraId="55168B8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21.576*</w:t>
            </w:r>
          </w:p>
        </w:tc>
        <w:tc>
          <w:tcPr>
            <w:tcW w:w="992" w:type="dxa"/>
            <w:tcBorders>
              <w:top w:val="nil"/>
              <w:left w:val="nil"/>
              <w:bottom w:val="single" w:sz="4" w:space="0" w:color="auto"/>
              <w:right w:val="single" w:sz="4" w:space="0" w:color="auto"/>
            </w:tcBorders>
            <w:noWrap/>
            <w:vAlign w:val="center"/>
            <w:hideMark/>
          </w:tcPr>
          <w:p w14:paraId="5CF2A1CA"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24.902*</w:t>
            </w:r>
          </w:p>
        </w:tc>
        <w:tc>
          <w:tcPr>
            <w:tcW w:w="992" w:type="dxa"/>
            <w:tcBorders>
              <w:top w:val="nil"/>
              <w:left w:val="nil"/>
              <w:bottom w:val="single" w:sz="4" w:space="0" w:color="auto"/>
              <w:right w:val="single" w:sz="4" w:space="0" w:color="auto"/>
            </w:tcBorders>
            <w:noWrap/>
            <w:vAlign w:val="center"/>
            <w:hideMark/>
          </w:tcPr>
          <w:p w14:paraId="633598A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27.739*</w:t>
            </w:r>
          </w:p>
        </w:tc>
        <w:tc>
          <w:tcPr>
            <w:tcW w:w="988" w:type="dxa"/>
            <w:tcBorders>
              <w:top w:val="nil"/>
              <w:left w:val="nil"/>
              <w:bottom w:val="single" w:sz="4" w:space="0" w:color="auto"/>
              <w:right w:val="single" w:sz="4" w:space="0" w:color="auto"/>
            </w:tcBorders>
            <w:noWrap/>
            <w:vAlign w:val="center"/>
            <w:hideMark/>
          </w:tcPr>
          <w:p w14:paraId="1A2D0E97"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24.555</w:t>
            </w:r>
          </w:p>
        </w:tc>
        <w:tc>
          <w:tcPr>
            <w:tcW w:w="997" w:type="dxa"/>
            <w:tcBorders>
              <w:top w:val="nil"/>
              <w:left w:val="nil"/>
              <w:bottom w:val="single" w:sz="4" w:space="0" w:color="auto"/>
              <w:right w:val="single" w:sz="4" w:space="0" w:color="auto"/>
            </w:tcBorders>
            <w:noWrap/>
            <w:vAlign w:val="center"/>
            <w:hideMark/>
          </w:tcPr>
          <w:p w14:paraId="4D956FE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26.318</w:t>
            </w:r>
          </w:p>
        </w:tc>
        <w:tc>
          <w:tcPr>
            <w:tcW w:w="992" w:type="dxa"/>
            <w:tcBorders>
              <w:top w:val="nil"/>
              <w:left w:val="nil"/>
              <w:bottom w:val="single" w:sz="4" w:space="0" w:color="auto"/>
              <w:right w:val="single" w:sz="4" w:space="0" w:color="auto"/>
            </w:tcBorders>
            <w:noWrap/>
            <w:vAlign w:val="center"/>
            <w:hideMark/>
          </w:tcPr>
          <w:p w14:paraId="78F1C6FA"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28.313</w:t>
            </w:r>
          </w:p>
        </w:tc>
      </w:tr>
      <w:tr w:rsidR="00C57EB9" w:rsidRPr="00D92D00" w14:paraId="10906CF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948E657"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Poids moyen (kg)</w:t>
            </w:r>
          </w:p>
        </w:tc>
        <w:tc>
          <w:tcPr>
            <w:tcW w:w="993" w:type="dxa"/>
            <w:tcBorders>
              <w:top w:val="nil"/>
              <w:left w:val="nil"/>
              <w:bottom w:val="single" w:sz="4" w:space="0" w:color="auto"/>
              <w:right w:val="single" w:sz="4" w:space="0" w:color="auto"/>
            </w:tcBorders>
            <w:noWrap/>
            <w:vAlign w:val="center"/>
            <w:hideMark/>
          </w:tcPr>
          <w:p w14:paraId="6CB97257"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128</w:t>
            </w:r>
          </w:p>
        </w:tc>
        <w:tc>
          <w:tcPr>
            <w:tcW w:w="992" w:type="dxa"/>
            <w:tcBorders>
              <w:top w:val="nil"/>
              <w:left w:val="nil"/>
              <w:bottom w:val="single" w:sz="4" w:space="0" w:color="auto"/>
              <w:right w:val="single" w:sz="4" w:space="0" w:color="auto"/>
            </w:tcBorders>
            <w:noWrap/>
            <w:vAlign w:val="center"/>
            <w:hideMark/>
          </w:tcPr>
          <w:p w14:paraId="2164728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128</w:t>
            </w:r>
          </w:p>
        </w:tc>
        <w:tc>
          <w:tcPr>
            <w:tcW w:w="992" w:type="dxa"/>
            <w:tcBorders>
              <w:top w:val="nil"/>
              <w:left w:val="nil"/>
              <w:bottom w:val="single" w:sz="4" w:space="0" w:color="auto"/>
              <w:right w:val="single" w:sz="4" w:space="0" w:color="auto"/>
            </w:tcBorders>
            <w:noWrap/>
            <w:vAlign w:val="center"/>
            <w:hideMark/>
          </w:tcPr>
          <w:p w14:paraId="258AC03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141</w:t>
            </w:r>
          </w:p>
        </w:tc>
        <w:tc>
          <w:tcPr>
            <w:tcW w:w="988" w:type="dxa"/>
            <w:tcBorders>
              <w:top w:val="nil"/>
              <w:left w:val="nil"/>
              <w:bottom w:val="single" w:sz="4" w:space="0" w:color="auto"/>
              <w:right w:val="single" w:sz="4" w:space="0" w:color="auto"/>
            </w:tcBorders>
            <w:noWrap/>
            <w:vAlign w:val="center"/>
            <w:hideMark/>
          </w:tcPr>
          <w:p w14:paraId="56FD050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177</w:t>
            </w:r>
          </w:p>
        </w:tc>
        <w:tc>
          <w:tcPr>
            <w:tcW w:w="997" w:type="dxa"/>
            <w:tcBorders>
              <w:top w:val="nil"/>
              <w:left w:val="nil"/>
              <w:bottom w:val="single" w:sz="4" w:space="0" w:color="auto"/>
              <w:right w:val="single" w:sz="4" w:space="0" w:color="auto"/>
            </w:tcBorders>
            <w:noWrap/>
            <w:vAlign w:val="center"/>
            <w:hideMark/>
          </w:tcPr>
          <w:p w14:paraId="43B5B6FA"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152</w:t>
            </w:r>
          </w:p>
        </w:tc>
        <w:tc>
          <w:tcPr>
            <w:tcW w:w="992" w:type="dxa"/>
            <w:tcBorders>
              <w:top w:val="nil"/>
              <w:left w:val="nil"/>
              <w:bottom w:val="single" w:sz="4" w:space="0" w:color="auto"/>
              <w:right w:val="single" w:sz="4" w:space="0" w:color="auto"/>
            </w:tcBorders>
            <w:noWrap/>
            <w:vAlign w:val="center"/>
            <w:hideMark/>
          </w:tcPr>
          <w:p w14:paraId="2D3976D4"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183</w:t>
            </w:r>
          </w:p>
        </w:tc>
      </w:tr>
      <w:tr w:rsidR="00C57EB9" w:rsidRPr="00D92D00" w14:paraId="05C31539"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0FB14AA7"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Spécimen le plus grand (kg)</w:t>
            </w:r>
          </w:p>
        </w:tc>
        <w:tc>
          <w:tcPr>
            <w:tcW w:w="993" w:type="dxa"/>
            <w:tcBorders>
              <w:top w:val="nil"/>
              <w:left w:val="nil"/>
              <w:bottom w:val="single" w:sz="4" w:space="0" w:color="auto"/>
              <w:right w:val="single" w:sz="4" w:space="0" w:color="auto"/>
            </w:tcBorders>
            <w:noWrap/>
            <w:vAlign w:val="center"/>
            <w:hideMark/>
          </w:tcPr>
          <w:p w14:paraId="1F899301"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328</w:t>
            </w:r>
          </w:p>
        </w:tc>
        <w:tc>
          <w:tcPr>
            <w:tcW w:w="992" w:type="dxa"/>
            <w:tcBorders>
              <w:top w:val="nil"/>
              <w:left w:val="nil"/>
              <w:bottom w:val="single" w:sz="4" w:space="0" w:color="auto"/>
              <w:right w:val="single" w:sz="4" w:space="0" w:color="auto"/>
            </w:tcBorders>
            <w:noWrap/>
            <w:vAlign w:val="center"/>
            <w:hideMark/>
          </w:tcPr>
          <w:p w14:paraId="7BD958E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350</w:t>
            </w:r>
          </w:p>
        </w:tc>
        <w:tc>
          <w:tcPr>
            <w:tcW w:w="992" w:type="dxa"/>
            <w:tcBorders>
              <w:top w:val="nil"/>
              <w:left w:val="nil"/>
              <w:bottom w:val="single" w:sz="4" w:space="0" w:color="auto"/>
              <w:right w:val="single" w:sz="4" w:space="0" w:color="auto"/>
            </w:tcBorders>
            <w:noWrap/>
            <w:vAlign w:val="center"/>
            <w:hideMark/>
          </w:tcPr>
          <w:p w14:paraId="5C34004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376</w:t>
            </w:r>
          </w:p>
        </w:tc>
        <w:tc>
          <w:tcPr>
            <w:tcW w:w="988" w:type="dxa"/>
            <w:tcBorders>
              <w:top w:val="nil"/>
              <w:left w:val="nil"/>
              <w:bottom w:val="single" w:sz="4" w:space="0" w:color="auto"/>
              <w:right w:val="single" w:sz="4" w:space="0" w:color="auto"/>
            </w:tcBorders>
            <w:noWrap/>
            <w:vAlign w:val="center"/>
            <w:hideMark/>
          </w:tcPr>
          <w:p w14:paraId="51FAF7A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323</w:t>
            </w:r>
          </w:p>
        </w:tc>
        <w:tc>
          <w:tcPr>
            <w:tcW w:w="997" w:type="dxa"/>
            <w:tcBorders>
              <w:top w:val="nil"/>
              <w:left w:val="nil"/>
              <w:bottom w:val="single" w:sz="4" w:space="0" w:color="auto"/>
              <w:right w:val="single" w:sz="4" w:space="0" w:color="auto"/>
            </w:tcBorders>
            <w:noWrap/>
            <w:vAlign w:val="center"/>
            <w:hideMark/>
          </w:tcPr>
          <w:p w14:paraId="23FBE8C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334</w:t>
            </w:r>
          </w:p>
        </w:tc>
        <w:tc>
          <w:tcPr>
            <w:tcW w:w="992" w:type="dxa"/>
            <w:tcBorders>
              <w:top w:val="nil"/>
              <w:left w:val="nil"/>
              <w:bottom w:val="single" w:sz="4" w:space="0" w:color="auto"/>
              <w:right w:val="single" w:sz="4" w:space="0" w:color="auto"/>
            </w:tcBorders>
            <w:noWrap/>
            <w:vAlign w:val="center"/>
            <w:hideMark/>
          </w:tcPr>
          <w:p w14:paraId="121D3691"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359</w:t>
            </w:r>
          </w:p>
        </w:tc>
      </w:tr>
      <w:tr w:rsidR="00C57EB9" w:rsidRPr="00D92D00" w14:paraId="166DEE7E"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2811D631" w14:textId="7D54984C"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 xml:space="preserve">Total des pêcheurs à la ligne récréatifs/sportifs autorisés à débarquer du </w:t>
            </w:r>
            <w:proofErr w:type="spellStart"/>
            <w:r w:rsidRPr="00D92D00">
              <w:rPr>
                <w:rFonts w:ascii="Cambria" w:hAnsi="Cambria"/>
                <w:color w:val="000000"/>
                <w:sz w:val="20"/>
                <w:szCs w:val="20"/>
              </w:rPr>
              <w:t>BFT</w:t>
            </w:r>
            <w:proofErr w:type="spellEnd"/>
          </w:p>
        </w:tc>
        <w:tc>
          <w:tcPr>
            <w:tcW w:w="993" w:type="dxa"/>
            <w:tcBorders>
              <w:top w:val="nil"/>
              <w:left w:val="nil"/>
              <w:bottom w:val="single" w:sz="4" w:space="0" w:color="auto"/>
              <w:right w:val="single" w:sz="4" w:space="0" w:color="auto"/>
            </w:tcBorders>
            <w:noWrap/>
            <w:vAlign w:val="center"/>
            <w:hideMark/>
          </w:tcPr>
          <w:p w14:paraId="4F52EF44"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101</w:t>
            </w:r>
          </w:p>
        </w:tc>
        <w:tc>
          <w:tcPr>
            <w:tcW w:w="992" w:type="dxa"/>
            <w:tcBorders>
              <w:top w:val="nil"/>
              <w:left w:val="nil"/>
              <w:bottom w:val="single" w:sz="4" w:space="0" w:color="auto"/>
              <w:right w:val="single" w:sz="4" w:space="0" w:color="auto"/>
            </w:tcBorders>
            <w:noWrap/>
            <w:vAlign w:val="center"/>
            <w:hideMark/>
          </w:tcPr>
          <w:p w14:paraId="3BB1D8E6"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122</w:t>
            </w:r>
          </w:p>
        </w:tc>
        <w:tc>
          <w:tcPr>
            <w:tcW w:w="992" w:type="dxa"/>
            <w:tcBorders>
              <w:top w:val="nil"/>
              <w:left w:val="nil"/>
              <w:bottom w:val="single" w:sz="4" w:space="0" w:color="auto"/>
              <w:right w:val="single" w:sz="4" w:space="0" w:color="auto"/>
            </w:tcBorders>
            <w:noWrap/>
            <w:vAlign w:val="center"/>
            <w:hideMark/>
          </w:tcPr>
          <w:p w14:paraId="30DAB73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118</w:t>
            </w:r>
          </w:p>
        </w:tc>
        <w:tc>
          <w:tcPr>
            <w:tcW w:w="988" w:type="dxa"/>
            <w:tcBorders>
              <w:top w:val="nil"/>
              <w:left w:val="nil"/>
              <w:bottom w:val="single" w:sz="4" w:space="0" w:color="auto"/>
              <w:right w:val="single" w:sz="4" w:space="0" w:color="auto"/>
            </w:tcBorders>
            <w:noWrap/>
            <w:vAlign w:val="center"/>
            <w:hideMark/>
          </w:tcPr>
          <w:p w14:paraId="51B278CA"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75</w:t>
            </w:r>
          </w:p>
        </w:tc>
        <w:tc>
          <w:tcPr>
            <w:tcW w:w="997" w:type="dxa"/>
            <w:tcBorders>
              <w:top w:val="nil"/>
              <w:left w:val="nil"/>
              <w:bottom w:val="single" w:sz="4" w:space="0" w:color="auto"/>
              <w:right w:val="single" w:sz="4" w:space="0" w:color="auto"/>
            </w:tcBorders>
            <w:noWrap/>
            <w:vAlign w:val="center"/>
            <w:hideMark/>
          </w:tcPr>
          <w:p w14:paraId="46D0BABE"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77</w:t>
            </w:r>
          </w:p>
        </w:tc>
        <w:tc>
          <w:tcPr>
            <w:tcW w:w="992" w:type="dxa"/>
            <w:tcBorders>
              <w:top w:val="nil"/>
              <w:left w:val="nil"/>
              <w:bottom w:val="single" w:sz="4" w:space="0" w:color="auto"/>
              <w:right w:val="single" w:sz="4" w:space="0" w:color="auto"/>
            </w:tcBorders>
            <w:noWrap/>
            <w:vAlign w:val="center"/>
            <w:hideMark/>
          </w:tcPr>
          <w:p w14:paraId="5098F14D"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72</w:t>
            </w:r>
          </w:p>
        </w:tc>
      </w:tr>
      <w:tr w:rsidR="00C57EB9" w:rsidRPr="00D92D00" w14:paraId="4B5C0B13" w14:textId="77777777" w:rsidTr="00C57EB9">
        <w:tc>
          <w:tcPr>
            <w:tcW w:w="3828" w:type="dxa"/>
            <w:tcBorders>
              <w:top w:val="nil"/>
              <w:left w:val="single" w:sz="4" w:space="0" w:color="auto"/>
              <w:bottom w:val="single" w:sz="4" w:space="0" w:color="auto"/>
              <w:right w:val="single" w:sz="4" w:space="0" w:color="auto"/>
            </w:tcBorders>
            <w:noWrap/>
            <w:vAlign w:val="center"/>
            <w:hideMark/>
          </w:tcPr>
          <w:p w14:paraId="1263113F" w14:textId="77777777" w:rsidR="00C57EB9" w:rsidRPr="00D92D00" w:rsidRDefault="00C57EB9" w:rsidP="00C57EB9">
            <w:pPr>
              <w:spacing w:after="0" w:line="240" w:lineRule="auto"/>
              <w:rPr>
                <w:rFonts w:ascii="Cambria" w:eastAsia="Times New Roman" w:hAnsi="Cambria" w:cs="Times New Roman"/>
                <w:color w:val="000000"/>
                <w:sz w:val="20"/>
                <w:szCs w:val="20"/>
              </w:rPr>
            </w:pPr>
            <w:r w:rsidRPr="00D92D00">
              <w:rPr>
                <w:rFonts w:ascii="Cambria" w:hAnsi="Cambria"/>
                <w:color w:val="000000"/>
                <w:sz w:val="20"/>
                <w:szCs w:val="20"/>
              </w:rPr>
              <w:t>Jours totaux au cours de la saison d’ouverture</w:t>
            </w:r>
          </w:p>
        </w:tc>
        <w:tc>
          <w:tcPr>
            <w:tcW w:w="993" w:type="dxa"/>
            <w:tcBorders>
              <w:top w:val="nil"/>
              <w:left w:val="nil"/>
              <w:bottom w:val="single" w:sz="4" w:space="0" w:color="auto"/>
              <w:right w:val="single" w:sz="4" w:space="0" w:color="auto"/>
            </w:tcBorders>
            <w:noWrap/>
            <w:vAlign w:val="center"/>
            <w:hideMark/>
          </w:tcPr>
          <w:p w14:paraId="7D995D93"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32</w:t>
            </w:r>
          </w:p>
        </w:tc>
        <w:tc>
          <w:tcPr>
            <w:tcW w:w="992" w:type="dxa"/>
            <w:tcBorders>
              <w:top w:val="nil"/>
              <w:left w:val="nil"/>
              <w:bottom w:val="single" w:sz="4" w:space="0" w:color="auto"/>
              <w:right w:val="single" w:sz="4" w:space="0" w:color="auto"/>
            </w:tcBorders>
            <w:noWrap/>
            <w:vAlign w:val="center"/>
            <w:hideMark/>
          </w:tcPr>
          <w:p w14:paraId="7FA7B960"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71</w:t>
            </w:r>
          </w:p>
        </w:tc>
        <w:tc>
          <w:tcPr>
            <w:tcW w:w="992" w:type="dxa"/>
            <w:tcBorders>
              <w:top w:val="nil"/>
              <w:left w:val="nil"/>
              <w:bottom w:val="single" w:sz="4" w:space="0" w:color="auto"/>
              <w:right w:val="single" w:sz="4" w:space="0" w:color="auto"/>
            </w:tcBorders>
            <w:noWrap/>
            <w:vAlign w:val="center"/>
            <w:hideMark/>
          </w:tcPr>
          <w:p w14:paraId="607F8425"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33</w:t>
            </w:r>
          </w:p>
        </w:tc>
        <w:tc>
          <w:tcPr>
            <w:tcW w:w="988" w:type="dxa"/>
            <w:tcBorders>
              <w:top w:val="nil"/>
              <w:left w:val="nil"/>
              <w:bottom w:val="single" w:sz="4" w:space="0" w:color="auto"/>
              <w:right w:val="single" w:sz="4" w:space="0" w:color="auto"/>
            </w:tcBorders>
            <w:noWrap/>
            <w:vAlign w:val="center"/>
            <w:hideMark/>
          </w:tcPr>
          <w:p w14:paraId="16FD6B6A"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80</w:t>
            </w:r>
          </w:p>
        </w:tc>
        <w:tc>
          <w:tcPr>
            <w:tcW w:w="997" w:type="dxa"/>
            <w:tcBorders>
              <w:top w:val="nil"/>
              <w:left w:val="nil"/>
              <w:bottom w:val="single" w:sz="4" w:space="0" w:color="auto"/>
              <w:right w:val="single" w:sz="4" w:space="0" w:color="auto"/>
            </w:tcBorders>
            <w:noWrap/>
            <w:vAlign w:val="center"/>
            <w:hideMark/>
          </w:tcPr>
          <w:p w14:paraId="130E9189"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86</w:t>
            </w:r>
          </w:p>
        </w:tc>
        <w:tc>
          <w:tcPr>
            <w:tcW w:w="992" w:type="dxa"/>
            <w:tcBorders>
              <w:top w:val="nil"/>
              <w:left w:val="nil"/>
              <w:bottom w:val="single" w:sz="4" w:space="0" w:color="auto"/>
              <w:right w:val="single" w:sz="4" w:space="0" w:color="auto"/>
            </w:tcBorders>
            <w:noWrap/>
            <w:vAlign w:val="center"/>
            <w:hideMark/>
          </w:tcPr>
          <w:p w14:paraId="30F1E7F2" w14:textId="77777777" w:rsidR="00C57EB9" w:rsidRPr="00D92D00" w:rsidRDefault="00C57EB9" w:rsidP="00C57EB9">
            <w:pPr>
              <w:spacing w:after="0" w:line="240" w:lineRule="auto"/>
              <w:jc w:val="right"/>
              <w:rPr>
                <w:rFonts w:ascii="Cambria" w:eastAsia="Times New Roman" w:hAnsi="Cambria" w:cs="Times New Roman"/>
                <w:color w:val="000000"/>
                <w:sz w:val="20"/>
                <w:szCs w:val="20"/>
              </w:rPr>
            </w:pPr>
            <w:r w:rsidRPr="00D92D00">
              <w:rPr>
                <w:rFonts w:ascii="Cambria" w:hAnsi="Cambria"/>
                <w:color w:val="000000"/>
                <w:sz w:val="20"/>
                <w:szCs w:val="20"/>
              </w:rPr>
              <w:t>62</w:t>
            </w:r>
          </w:p>
        </w:tc>
      </w:tr>
    </w:tbl>
    <w:p w14:paraId="4EE743CE" w14:textId="77777777" w:rsidR="00C57EB9" w:rsidRPr="00D92D00" w:rsidRDefault="00C57EB9" w:rsidP="00C57EB9">
      <w:pPr>
        <w:pStyle w:val="Corpsdetexte"/>
        <w:rPr>
          <w:rFonts w:ascii="Cambria" w:eastAsia="Calibri" w:hAnsi="Cambria" w:cs="Lato Regular"/>
          <w:lang w:eastAsia="en-GB"/>
        </w:rPr>
      </w:pPr>
    </w:p>
    <w:p w14:paraId="7F97BFB3" w14:textId="72555693" w:rsidR="00C57EB9" w:rsidRPr="00D92D00" w:rsidRDefault="00C57EB9" w:rsidP="00C57EB9">
      <w:pPr>
        <w:pStyle w:val="Corpsdetexte"/>
        <w:rPr>
          <w:rFonts w:ascii="Cambria" w:eastAsia="Calibri" w:hAnsi="Cambria" w:cs="Lato Regular"/>
        </w:rPr>
      </w:pPr>
      <w:r w:rsidRPr="00D92D00">
        <w:rPr>
          <w:rFonts w:ascii="Cambria" w:hAnsi="Cambria"/>
        </w:rPr>
        <w:t>Notes explicatives :</w:t>
      </w:r>
    </w:p>
    <w:p w14:paraId="7BA2224C" w14:textId="77777777" w:rsidR="00C57EB9" w:rsidRPr="00D92D00" w:rsidRDefault="00C57EB9" w:rsidP="00C57EB9">
      <w:pPr>
        <w:pStyle w:val="Corpsdetexte"/>
        <w:rPr>
          <w:rFonts w:ascii="Cambria" w:eastAsia="Calibri" w:hAnsi="Cambria" w:cs="Lato Regular"/>
          <w:lang w:eastAsia="en-GB"/>
        </w:rPr>
      </w:pPr>
    </w:p>
    <w:p w14:paraId="160AA995" w14:textId="77777777" w:rsidR="00C57EB9" w:rsidRPr="00D92D00" w:rsidRDefault="00C57EB9" w:rsidP="00F14AEF">
      <w:pPr>
        <w:pStyle w:val="Corpsdetexte"/>
        <w:jc w:val="both"/>
        <w:rPr>
          <w:rFonts w:ascii="Cambria" w:eastAsia="Calibri" w:hAnsi="Cambria" w:cs="Lato Regular"/>
        </w:rPr>
      </w:pPr>
      <w:r w:rsidRPr="00D92D00">
        <w:rPr>
          <w:rFonts w:ascii="Cambria" w:hAnsi="Cambria"/>
        </w:rPr>
        <w:t>*Les captures réelles sont légèrement supérieures au TAC en raison du temps administratif nécessaire pour donner effet à la fermeture de la saison.</w:t>
      </w:r>
    </w:p>
    <w:p w14:paraId="1082D884" w14:textId="3218893A" w:rsidR="00C47B80" w:rsidRPr="00D92D00" w:rsidRDefault="00C57EB9" w:rsidP="00F14AEF">
      <w:pPr>
        <w:pStyle w:val="Corpsdetexte"/>
        <w:jc w:val="both"/>
        <w:rPr>
          <w:rFonts w:ascii="Cambria" w:hAnsi="Cambria"/>
        </w:rPr>
      </w:pPr>
      <w:r w:rsidRPr="00D92D00">
        <w:rPr>
          <w:rFonts w:ascii="Cambria" w:hAnsi="Cambria"/>
        </w:rPr>
        <w:t>**La saison se termine le 14 octobre 2026 sauf si le TAC est atteint avant.</w:t>
      </w:r>
    </w:p>
    <w:sectPr w:rsidR="00C47B80" w:rsidRPr="00D92D00" w:rsidSect="00704874">
      <w:headerReference w:type="default" r:id="rId13"/>
      <w:footerReference w:type="default" r:id="rId1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AE612" w14:textId="77777777" w:rsidR="006429F6" w:rsidRDefault="006429F6" w:rsidP="00704874">
      <w:pPr>
        <w:spacing w:after="0" w:line="240" w:lineRule="auto"/>
      </w:pPr>
      <w:r>
        <w:separator/>
      </w:r>
    </w:p>
  </w:endnote>
  <w:endnote w:type="continuationSeparator" w:id="0">
    <w:p w14:paraId="0352CDD6" w14:textId="77777777" w:rsidR="006429F6" w:rsidRDefault="006429F6" w:rsidP="00704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Regular">
    <w:charset w:val="00"/>
    <w:family w:val="auto"/>
    <w:pitch w:val="variable"/>
    <w:sig w:usb0="E10002FF" w:usb1="5000ECFF" w:usb2="00000029"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6429" w14:textId="47366C59" w:rsidR="00704874" w:rsidRDefault="00704874" w:rsidP="00704874">
    <w:pPr>
      <w:pStyle w:val="Pieddepage"/>
      <w:jc w:val="center"/>
    </w:pPr>
    <w:r w:rsidRPr="005A7809">
      <w:rPr>
        <w:rFonts w:ascii="Cambria" w:eastAsia="Calibri" w:hAnsi="Cambria" w:cs="Calibri"/>
        <w:sz w:val="20"/>
        <w:szCs w:val="20"/>
      </w:rPr>
      <w:fldChar w:fldCharType="begin"/>
    </w:r>
    <w:r w:rsidRPr="005A7809">
      <w:rPr>
        <w:rFonts w:ascii="Cambria" w:eastAsia="Calibri" w:hAnsi="Cambria" w:cs="Calibri"/>
        <w:sz w:val="20"/>
        <w:szCs w:val="20"/>
      </w:rPr>
      <w:instrText xml:space="preserve"> PAGE </w:instrText>
    </w:r>
    <w:r w:rsidRPr="005A7809">
      <w:rPr>
        <w:rFonts w:ascii="Cambria" w:eastAsia="Calibri" w:hAnsi="Cambria" w:cs="Calibri"/>
        <w:sz w:val="20"/>
        <w:szCs w:val="20"/>
      </w:rPr>
      <w:fldChar w:fldCharType="separate"/>
    </w:r>
    <w:r>
      <w:rPr>
        <w:rFonts w:ascii="Cambria" w:eastAsia="Calibri" w:hAnsi="Cambria" w:cs="Calibri"/>
        <w:sz w:val="20"/>
        <w:szCs w:val="20"/>
      </w:rPr>
      <w:t>2</w:t>
    </w:r>
    <w:r w:rsidRPr="005A7809">
      <w:rPr>
        <w:rFonts w:ascii="Cambria" w:eastAsia="Calibri" w:hAnsi="Cambria" w:cs="Calibri"/>
        <w:sz w:val="20"/>
        <w:szCs w:val="20"/>
      </w:rPr>
      <w:fldChar w:fldCharType="end"/>
    </w:r>
    <w:r>
      <w:rPr>
        <w:rFonts w:ascii="Cambria" w:hAnsi="Cambria"/>
        <w:sz w:val="20"/>
        <w:szCs w:val="20"/>
      </w:rPr>
      <w:t xml:space="preserve"> / </w:t>
    </w:r>
    <w:r w:rsidRPr="005A7809">
      <w:rPr>
        <w:rFonts w:ascii="Cambria" w:eastAsia="Calibri" w:hAnsi="Cambria" w:cs="Calibri"/>
        <w:sz w:val="20"/>
        <w:szCs w:val="20"/>
      </w:rPr>
      <w:fldChar w:fldCharType="begin"/>
    </w:r>
    <w:r w:rsidRPr="005A7809">
      <w:rPr>
        <w:rFonts w:ascii="Cambria" w:eastAsia="Calibri" w:hAnsi="Cambria" w:cs="Calibri"/>
        <w:sz w:val="20"/>
        <w:szCs w:val="20"/>
      </w:rPr>
      <w:instrText xml:space="preserve"> NUMPAGES  </w:instrText>
    </w:r>
    <w:r w:rsidRPr="005A7809">
      <w:rPr>
        <w:rFonts w:ascii="Cambria" w:eastAsia="Calibri" w:hAnsi="Cambria" w:cs="Calibri"/>
        <w:sz w:val="20"/>
        <w:szCs w:val="20"/>
      </w:rPr>
      <w:fldChar w:fldCharType="separate"/>
    </w:r>
    <w:r>
      <w:rPr>
        <w:rFonts w:ascii="Cambria" w:eastAsia="Calibri" w:hAnsi="Cambria" w:cs="Calibri"/>
        <w:sz w:val="20"/>
        <w:szCs w:val="20"/>
      </w:rPr>
      <w:t>3</w:t>
    </w:r>
    <w:r w:rsidRPr="005A7809">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016E3" w14:textId="77777777" w:rsidR="006429F6" w:rsidRDefault="006429F6" w:rsidP="00704874">
      <w:pPr>
        <w:spacing w:after="0" w:line="240" w:lineRule="auto"/>
      </w:pPr>
      <w:r>
        <w:separator/>
      </w:r>
    </w:p>
  </w:footnote>
  <w:footnote w:type="continuationSeparator" w:id="0">
    <w:p w14:paraId="42B9F3E8" w14:textId="77777777" w:rsidR="006429F6" w:rsidRDefault="006429F6" w:rsidP="007048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0FE6E" w14:textId="77EBDA93" w:rsidR="00704874" w:rsidRPr="00793F38" w:rsidRDefault="00704874" w:rsidP="00704874">
    <w:pPr>
      <w:tabs>
        <w:tab w:val="center" w:pos="4680"/>
        <w:tab w:val="left" w:pos="6520"/>
        <w:tab w:val="right" w:pos="9360"/>
        <w:tab w:val="right" w:pos="14240"/>
      </w:tabs>
      <w:spacing w:after="0" w:line="240" w:lineRule="atLeast"/>
      <w:jc w:val="right"/>
      <w:rPr>
        <w:rFonts w:ascii="Cambria" w:eastAsia="Calibri" w:hAnsi="Cambria"/>
        <w:b/>
        <w:bCs/>
        <w:sz w:val="20"/>
        <w:szCs w:val="20"/>
      </w:rPr>
    </w:pPr>
    <w:bookmarkStart w:id="1" w:name="_Hlk107908354"/>
    <w:bookmarkStart w:id="2" w:name="_Hlk107908355"/>
    <w:bookmarkStart w:id="3" w:name="_Hlk107908359"/>
    <w:bookmarkStart w:id="4" w:name="_Hlk107908360"/>
    <w:bookmarkStart w:id="5" w:name="_Hlk107908361"/>
    <w:bookmarkStart w:id="6" w:name="_Hlk107908362"/>
    <w:r>
      <w:rPr>
        <w:rFonts w:ascii="Cambria" w:hAnsi="Cambria"/>
        <w:b/>
        <w:bCs/>
        <w:sz w:val="20"/>
        <w:szCs w:val="20"/>
      </w:rPr>
      <w:t>COC_310/2026</w:t>
    </w:r>
  </w:p>
  <w:bookmarkEnd w:id="1"/>
  <w:bookmarkEnd w:id="2"/>
  <w:bookmarkEnd w:id="3"/>
  <w:bookmarkEnd w:id="4"/>
  <w:bookmarkEnd w:id="5"/>
  <w:bookmarkEnd w:id="6"/>
  <w:p w14:paraId="07F17883" w14:textId="6FC8497C" w:rsidR="00704874" w:rsidRDefault="00BA3C5D" w:rsidP="00704874">
    <w:pPr>
      <w:pStyle w:val="En-tte"/>
      <w:jc w:val="right"/>
    </w:pPr>
    <w:r>
      <w:rPr>
        <w:rFonts w:ascii="Cambria" w:hAnsi="Cambria"/>
        <w:b/>
        <w:bCs/>
        <w:sz w:val="16"/>
        <w:szCs w:val="16"/>
      </w:rPr>
      <w:fldChar w:fldCharType="begin"/>
    </w:r>
    <w:r>
      <w:rPr>
        <w:rFonts w:ascii="Cambria" w:hAnsi="Cambria"/>
        <w:b/>
        <w:bCs/>
        <w:sz w:val="16"/>
        <w:szCs w:val="16"/>
      </w:rPr>
      <w:instrText xml:space="preserve"> TIME  \@ "dd/MM/yyyy HH:mm" </w:instrText>
    </w:r>
    <w:r>
      <w:rPr>
        <w:rFonts w:ascii="Cambria" w:hAnsi="Cambria"/>
        <w:b/>
        <w:bCs/>
        <w:sz w:val="16"/>
        <w:szCs w:val="16"/>
      </w:rPr>
      <w:fldChar w:fldCharType="separate"/>
    </w:r>
    <w:r w:rsidR="00D92D00">
      <w:rPr>
        <w:rFonts w:ascii="Cambria" w:hAnsi="Cambria"/>
        <w:b/>
        <w:bCs/>
        <w:noProof/>
        <w:sz w:val="16"/>
        <w:szCs w:val="16"/>
      </w:rPr>
      <w:t>01/10/2026 12:45</w:t>
    </w:r>
    <w:r>
      <w:rPr>
        <w:rFonts w:ascii="Cambria" w:hAnsi="Cambria"/>
        <w:b/>
        <w:bCs/>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72"/>
    <w:rsid w:val="00004ADD"/>
    <w:rsid w:val="00015D2F"/>
    <w:rsid w:val="000517FB"/>
    <w:rsid w:val="00052499"/>
    <w:rsid w:val="00065145"/>
    <w:rsid w:val="000773A2"/>
    <w:rsid w:val="00093D8E"/>
    <w:rsid w:val="000A49B8"/>
    <w:rsid w:val="000A6ACB"/>
    <w:rsid w:val="000B03D3"/>
    <w:rsid w:val="000B148B"/>
    <w:rsid w:val="000E0E53"/>
    <w:rsid w:val="000E6DA6"/>
    <w:rsid w:val="000F234C"/>
    <w:rsid w:val="000F2A49"/>
    <w:rsid w:val="00104198"/>
    <w:rsid w:val="00105D72"/>
    <w:rsid w:val="00116F0E"/>
    <w:rsid w:val="00123F10"/>
    <w:rsid w:val="001323A0"/>
    <w:rsid w:val="0013790C"/>
    <w:rsid w:val="001451B3"/>
    <w:rsid w:val="001574DE"/>
    <w:rsid w:val="0016549C"/>
    <w:rsid w:val="00172A45"/>
    <w:rsid w:val="00175AB3"/>
    <w:rsid w:val="00190119"/>
    <w:rsid w:val="00191B4C"/>
    <w:rsid w:val="001A7318"/>
    <w:rsid w:val="001B0B48"/>
    <w:rsid w:val="001C2D1A"/>
    <w:rsid w:val="001C6578"/>
    <w:rsid w:val="001D4162"/>
    <w:rsid w:val="001F1DB7"/>
    <w:rsid w:val="00201C7E"/>
    <w:rsid w:val="00233314"/>
    <w:rsid w:val="00261C29"/>
    <w:rsid w:val="002803E8"/>
    <w:rsid w:val="0029403D"/>
    <w:rsid w:val="002B0EC7"/>
    <w:rsid w:val="002E6A69"/>
    <w:rsid w:val="00311F1B"/>
    <w:rsid w:val="00317209"/>
    <w:rsid w:val="00317BD0"/>
    <w:rsid w:val="003407A0"/>
    <w:rsid w:val="003524B9"/>
    <w:rsid w:val="00362FF1"/>
    <w:rsid w:val="00383DD8"/>
    <w:rsid w:val="003860E0"/>
    <w:rsid w:val="00390608"/>
    <w:rsid w:val="00394E17"/>
    <w:rsid w:val="003A13FF"/>
    <w:rsid w:val="003A4772"/>
    <w:rsid w:val="003B3E07"/>
    <w:rsid w:val="003C001F"/>
    <w:rsid w:val="003D1D42"/>
    <w:rsid w:val="003D55C2"/>
    <w:rsid w:val="003F4921"/>
    <w:rsid w:val="0040388B"/>
    <w:rsid w:val="00414001"/>
    <w:rsid w:val="00434D76"/>
    <w:rsid w:val="00483E0B"/>
    <w:rsid w:val="004926DF"/>
    <w:rsid w:val="00494C73"/>
    <w:rsid w:val="004979A8"/>
    <w:rsid w:val="004B02D3"/>
    <w:rsid w:val="004B7495"/>
    <w:rsid w:val="004E229A"/>
    <w:rsid w:val="004E4BCE"/>
    <w:rsid w:val="004F1BE3"/>
    <w:rsid w:val="005152E2"/>
    <w:rsid w:val="0055434A"/>
    <w:rsid w:val="0056213B"/>
    <w:rsid w:val="00571E79"/>
    <w:rsid w:val="00573118"/>
    <w:rsid w:val="00594E14"/>
    <w:rsid w:val="005B564A"/>
    <w:rsid w:val="005E70B8"/>
    <w:rsid w:val="005F533B"/>
    <w:rsid w:val="005F735F"/>
    <w:rsid w:val="00606A6A"/>
    <w:rsid w:val="006123ED"/>
    <w:rsid w:val="0062310E"/>
    <w:rsid w:val="00630A1C"/>
    <w:rsid w:val="00632431"/>
    <w:rsid w:val="006429F6"/>
    <w:rsid w:val="00650D49"/>
    <w:rsid w:val="00674860"/>
    <w:rsid w:val="0069789C"/>
    <w:rsid w:val="006A1D7E"/>
    <w:rsid w:val="006C4C1C"/>
    <w:rsid w:val="006E3054"/>
    <w:rsid w:val="006F0E28"/>
    <w:rsid w:val="006F79F5"/>
    <w:rsid w:val="00701380"/>
    <w:rsid w:val="00703887"/>
    <w:rsid w:val="00704874"/>
    <w:rsid w:val="007052FE"/>
    <w:rsid w:val="00716747"/>
    <w:rsid w:val="0072155D"/>
    <w:rsid w:val="00746417"/>
    <w:rsid w:val="0075780A"/>
    <w:rsid w:val="007C12AC"/>
    <w:rsid w:val="007D5EDE"/>
    <w:rsid w:val="007D6018"/>
    <w:rsid w:val="0080324A"/>
    <w:rsid w:val="00825C01"/>
    <w:rsid w:val="00836812"/>
    <w:rsid w:val="00867331"/>
    <w:rsid w:val="00872B74"/>
    <w:rsid w:val="008760F8"/>
    <w:rsid w:val="00876522"/>
    <w:rsid w:val="008A7A00"/>
    <w:rsid w:val="008A7CCC"/>
    <w:rsid w:val="008B03B2"/>
    <w:rsid w:val="008D25AC"/>
    <w:rsid w:val="008E4E5E"/>
    <w:rsid w:val="0091439F"/>
    <w:rsid w:val="00925C92"/>
    <w:rsid w:val="0094011F"/>
    <w:rsid w:val="00952123"/>
    <w:rsid w:val="00957445"/>
    <w:rsid w:val="00961883"/>
    <w:rsid w:val="00962181"/>
    <w:rsid w:val="00975101"/>
    <w:rsid w:val="0098785B"/>
    <w:rsid w:val="009919E6"/>
    <w:rsid w:val="00996FB4"/>
    <w:rsid w:val="009A7F29"/>
    <w:rsid w:val="009B56DC"/>
    <w:rsid w:val="00A04CB2"/>
    <w:rsid w:val="00A07667"/>
    <w:rsid w:val="00A24116"/>
    <w:rsid w:val="00A269C2"/>
    <w:rsid w:val="00A52845"/>
    <w:rsid w:val="00A62721"/>
    <w:rsid w:val="00A81441"/>
    <w:rsid w:val="00AA452E"/>
    <w:rsid w:val="00AA73D5"/>
    <w:rsid w:val="00AC06D6"/>
    <w:rsid w:val="00AD6301"/>
    <w:rsid w:val="00AE4B18"/>
    <w:rsid w:val="00AF1F9E"/>
    <w:rsid w:val="00AF42CD"/>
    <w:rsid w:val="00AF7142"/>
    <w:rsid w:val="00B03547"/>
    <w:rsid w:val="00B22A2E"/>
    <w:rsid w:val="00B300E6"/>
    <w:rsid w:val="00B416F8"/>
    <w:rsid w:val="00B65986"/>
    <w:rsid w:val="00B67784"/>
    <w:rsid w:val="00B759E7"/>
    <w:rsid w:val="00B93394"/>
    <w:rsid w:val="00B97392"/>
    <w:rsid w:val="00BA3C5D"/>
    <w:rsid w:val="00BA6C5A"/>
    <w:rsid w:val="00BB0005"/>
    <w:rsid w:val="00BB73CF"/>
    <w:rsid w:val="00BC013A"/>
    <w:rsid w:val="00BE04C0"/>
    <w:rsid w:val="00BF7609"/>
    <w:rsid w:val="00C112C8"/>
    <w:rsid w:val="00C11596"/>
    <w:rsid w:val="00C34CBF"/>
    <w:rsid w:val="00C35DBF"/>
    <w:rsid w:val="00C36251"/>
    <w:rsid w:val="00C450C2"/>
    <w:rsid w:val="00C47B80"/>
    <w:rsid w:val="00C53971"/>
    <w:rsid w:val="00C5400E"/>
    <w:rsid w:val="00C57EB9"/>
    <w:rsid w:val="00C610A6"/>
    <w:rsid w:val="00C676FD"/>
    <w:rsid w:val="00C71CB6"/>
    <w:rsid w:val="00C77B5C"/>
    <w:rsid w:val="00CA4DAB"/>
    <w:rsid w:val="00CA540E"/>
    <w:rsid w:val="00CE4060"/>
    <w:rsid w:val="00D149B4"/>
    <w:rsid w:val="00D21CA8"/>
    <w:rsid w:val="00D230D8"/>
    <w:rsid w:val="00D41895"/>
    <w:rsid w:val="00D71B56"/>
    <w:rsid w:val="00D72EAA"/>
    <w:rsid w:val="00D7573C"/>
    <w:rsid w:val="00D75BAA"/>
    <w:rsid w:val="00D90E6E"/>
    <w:rsid w:val="00D92D00"/>
    <w:rsid w:val="00D93A16"/>
    <w:rsid w:val="00DD23B6"/>
    <w:rsid w:val="00DD28DB"/>
    <w:rsid w:val="00DD7CBA"/>
    <w:rsid w:val="00DE20AD"/>
    <w:rsid w:val="00DE3A8C"/>
    <w:rsid w:val="00E06BB9"/>
    <w:rsid w:val="00E14CBB"/>
    <w:rsid w:val="00E2351A"/>
    <w:rsid w:val="00E279B9"/>
    <w:rsid w:val="00E40E1F"/>
    <w:rsid w:val="00E426B3"/>
    <w:rsid w:val="00E471FD"/>
    <w:rsid w:val="00E6166A"/>
    <w:rsid w:val="00E64BBF"/>
    <w:rsid w:val="00E6580E"/>
    <w:rsid w:val="00E74800"/>
    <w:rsid w:val="00E8089D"/>
    <w:rsid w:val="00E83C32"/>
    <w:rsid w:val="00E8544D"/>
    <w:rsid w:val="00E905E9"/>
    <w:rsid w:val="00EC4ACF"/>
    <w:rsid w:val="00EE29B2"/>
    <w:rsid w:val="00EF1446"/>
    <w:rsid w:val="00EF30D9"/>
    <w:rsid w:val="00F057B8"/>
    <w:rsid w:val="00F116D0"/>
    <w:rsid w:val="00F14AEF"/>
    <w:rsid w:val="00F25269"/>
    <w:rsid w:val="00F6524B"/>
    <w:rsid w:val="00F852E0"/>
    <w:rsid w:val="00FA36AE"/>
    <w:rsid w:val="00FA506B"/>
    <w:rsid w:val="00FB49CE"/>
    <w:rsid w:val="00FE3046"/>
    <w:rsid w:val="030F4AE3"/>
    <w:rsid w:val="04B6678D"/>
    <w:rsid w:val="05B3B496"/>
    <w:rsid w:val="06BE33EB"/>
    <w:rsid w:val="0D1CDB56"/>
    <w:rsid w:val="0DC1CBCE"/>
    <w:rsid w:val="1004DA1F"/>
    <w:rsid w:val="101FB123"/>
    <w:rsid w:val="11BB8184"/>
    <w:rsid w:val="12221D1E"/>
    <w:rsid w:val="12566963"/>
    <w:rsid w:val="1269A821"/>
    <w:rsid w:val="133108C4"/>
    <w:rsid w:val="13EFFB2E"/>
    <w:rsid w:val="1521CAF2"/>
    <w:rsid w:val="15D2F959"/>
    <w:rsid w:val="16061C44"/>
    <w:rsid w:val="1A3DBAB9"/>
    <w:rsid w:val="1D762FA7"/>
    <w:rsid w:val="1ED73E54"/>
    <w:rsid w:val="1FF62436"/>
    <w:rsid w:val="218040C5"/>
    <w:rsid w:val="21BB201A"/>
    <w:rsid w:val="23837020"/>
    <w:rsid w:val="2618F27B"/>
    <w:rsid w:val="265315D5"/>
    <w:rsid w:val="277FB107"/>
    <w:rsid w:val="29B657EE"/>
    <w:rsid w:val="2DC4FCD9"/>
    <w:rsid w:val="2E67857F"/>
    <w:rsid w:val="2EF9F935"/>
    <w:rsid w:val="2F60CD3A"/>
    <w:rsid w:val="2F8DFA0D"/>
    <w:rsid w:val="2FD60335"/>
    <w:rsid w:val="30CBE1B9"/>
    <w:rsid w:val="30E7FECA"/>
    <w:rsid w:val="379C349C"/>
    <w:rsid w:val="38C44C28"/>
    <w:rsid w:val="3937C592"/>
    <w:rsid w:val="397937F5"/>
    <w:rsid w:val="3D8BB193"/>
    <w:rsid w:val="3FA6D3EE"/>
    <w:rsid w:val="40AD1CDA"/>
    <w:rsid w:val="40B635B0"/>
    <w:rsid w:val="4160C882"/>
    <w:rsid w:val="43B42764"/>
    <w:rsid w:val="43CDC168"/>
    <w:rsid w:val="459650DD"/>
    <w:rsid w:val="45FD190C"/>
    <w:rsid w:val="47384F58"/>
    <w:rsid w:val="484C2127"/>
    <w:rsid w:val="4BFB6DBB"/>
    <w:rsid w:val="4DEB1D4F"/>
    <w:rsid w:val="4EA9BF50"/>
    <w:rsid w:val="4EFD09C3"/>
    <w:rsid w:val="4FE84A46"/>
    <w:rsid w:val="56BF78FF"/>
    <w:rsid w:val="589D2F15"/>
    <w:rsid w:val="61EB97B9"/>
    <w:rsid w:val="6305E82D"/>
    <w:rsid w:val="65195D0C"/>
    <w:rsid w:val="662293E8"/>
    <w:rsid w:val="666B88D0"/>
    <w:rsid w:val="67790BAC"/>
    <w:rsid w:val="692330A6"/>
    <w:rsid w:val="695965E1"/>
    <w:rsid w:val="6BAF4AFE"/>
    <w:rsid w:val="6C953E72"/>
    <w:rsid w:val="6D07B807"/>
    <w:rsid w:val="6DDFA210"/>
    <w:rsid w:val="6E6670C5"/>
    <w:rsid w:val="6E95AFB4"/>
    <w:rsid w:val="6EDCD1F8"/>
    <w:rsid w:val="703F58C9"/>
    <w:rsid w:val="742ED765"/>
    <w:rsid w:val="771C6B71"/>
    <w:rsid w:val="7728D58A"/>
    <w:rsid w:val="77501D8E"/>
    <w:rsid w:val="79A6346E"/>
    <w:rsid w:val="79ED4E5C"/>
    <w:rsid w:val="7A155A43"/>
    <w:rsid w:val="7B8490D4"/>
    <w:rsid w:val="7C5D0BA8"/>
    <w:rsid w:val="7E3BD9B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B6D26"/>
  <w15:chartTrackingRefBased/>
  <w15:docId w15:val="{701BCF35-EE53-4238-BC9A-EE5B2034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3A4772"/>
    <w:pPr>
      <w:autoSpaceDE w:val="0"/>
      <w:autoSpaceDN w:val="0"/>
      <w:adjustRightInd w:val="0"/>
      <w:spacing w:after="0" w:line="240" w:lineRule="auto"/>
    </w:pPr>
    <w:rPr>
      <w:rFonts w:ascii="Arial" w:hAnsi="Arial" w:cs="Arial"/>
      <w:color w:val="000000"/>
      <w:sz w:val="24"/>
      <w:szCs w:val="24"/>
    </w:rPr>
  </w:style>
  <w:style w:type="character" w:styleId="Marquedecommentaire">
    <w:name w:val="annotation reference"/>
    <w:basedOn w:val="Policepardfaut"/>
    <w:uiPriority w:val="99"/>
    <w:semiHidden/>
    <w:unhideWhenUsed/>
    <w:rsid w:val="003A4772"/>
    <w:rPr>
      <w:sz w:val="16"/>
      <w:szCs w:val="16"/>
    </w:rPr>
  </w:style>
  <w:style w:type="paragraph" w:styleId="Commentaire">
    <w:name w:val="annotation text"/>
    <w:basedOn w:val="Normal"/>
    <w:link w:val="CommentaireCar"/>
    <w:uiPriority w:val="99"/>
    <w:unhideWhenUsed/>
    <w:rsid w:val="003A4772"/>
    <w:pPr>
      <w:spacing w:line="240" w:lineRule="auto"/>
    </w:pPr>
    <w:rPr>
      <w:sz w:val="20"/>
      <w:szCs w:val="20"/>
    </w:rPr>
  </w:style>
  <w:style w:type="character" w:customStyle="1" w:styleId="CommentaireCar">
    <w:name w:val="Commentaire Car"/>
    <w:basedOn w:val="Policepardfaut"/>
    <w:link w:val="Commentaire"/>
    <w:uiPriority w:val="99"/>
    <w:rsid w:val="003A4772"/>
    <w:rPr>
      <w:sz w:val="20"/>
      <w:szCs w:val="20"/>
    </w:rPr>
  </w:style>
  <w:style w:type="paragraph" w:styleId="Objetducommentaire">
    <w:name w:val="annotation subject"/>
    <w:basedOn w:val="Commentaire"/>
    <w:next w:val="Commentaire"/>
    <w:link w:val="ObjetducommentaireCar"/>
    <w:uiPriority w:val="99"/>
    <w:semiHidden/>
    <w:unhideWhenUsed/>
    <w:rsid w:val="003A4772"/>
    <w:rPr>
      <w:b/>
      <w:bCs/>
    </w:rPr>
  </w:style>
  <w:style w:type="character" w:customStyle="1" w:styleId="ObjetducommentaireCar">
    <w:name w:val="Objet du commentaire Car"/>
    <w:basedOn w:val="CommentaireCar"/>
    <w:link w:val="Objetducommentaire"/>
    <w:uiPriority w:val="99"/>
    <w:semiHidden/>
    <w:rsid w:val="003A4772"/>
    <w:rPr>
      <w:b/>
      <w:bCs/>
      <w:sz w:val="20"/>
      <w:szCs w:val="20"/>
    </w:rPr>
  </w:style>
  <w:style w:type="paragraph" w:styleId="Textedebulles">
    <w:name w:val="Balloon Text"/>
    <w:basedOn w:val="Normal"/>
    <w:link w:val="TextedebullesCar"/>
    <w:uiPriority w:val="99"/>
    <w:semiHidden/>
    <w:unhideWhenUsed/>
    <w:rsid w:val="003A477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3A4772"/>
    <w:rPr>
      <w:rFonts w:ascii="Segoe UI" w:hAnsi="Segoe UI" w:cs="Segoe UI"/>
      <w:sz w:val="18"/>
      <w:szCs w:val="18"/>
    </w:rPr>
  </w:style>
  <w:style w:type="character" w:styleId="Lienhypertexte">
    <w:name w:val="Hyperlink"/>
    <w:basedOn w:val="Policepardfaut"/>
    <w:uiPriority w:val="99"/>
    <w:unhideWhenUsed/>
    <w:rsid w:val="00E471FD"/>
    <w:rPr>
      <w:color w:val="0563C1" w:themeColor="hyperlink"/>
      <w:u w:val="single"/>
    </w:rPr>
  </w:style>
  <w:style w:type="character" w:styleId="Mentionnonrsolue">
    <w:name w:val="Unresolved Mention"/>
    <w:basedOn w:val="Policepardfaut"/>
    <w:uiPriority w:val="99"/>
    <w:unhideWhenUsed/>
    <w:rsid w:val="00E471FD"/>
    <w:rPr>
      <w:color w:val="605E5C"/>
      <w:shd w:val="clear" w:color="auto" w:fill="E1DFDD"/>
    </w:rPr>
  </w:style>
  <w:style w:type="character" w:styleId="SmartLink">
    <w:name w:val="Smart Link"/>
    <w:basedOn w:val="Policepardfaut"/>
    <w:uiPriority w:val="99"/>
    <w:semiHidden/>
    <w:unhideWhenUsed/>
    <w:rsid w:val="00D230D8"/>
    <w:rPr>
      <w:color w:val="0000FF"/>
      <w:u w:val="single"/>
      <w:shd w:val="clear" w:color="auto" w:fill="F3F2F1"/>
    </w:rPr>
  </w:style>
  <w:style w:type="character" w:styleId="Mention">
    <w:name w:val="Mention"/>
    <w:basedOn w:val="Policepardfaut"/>
    <w:uiPriority w:val="99"/>
    <w:unhideWhenUsed/>
    <w:rsid w:val="00D93A16"/>
    <w:rPr>
      <w:color w:val="2B579A"/>
      <w:shd w:val="clear" w:color="auto" w:fill="E1DFDD"/>
    </w:rPr>
  </w:style>
  <w:style w:type="character" w:customStyle="1" w:styleId="eop">
    <w:name w:val="eop"/>
    <w:basedOn w:val="Policepardfaut"/>
    <w:uiPriority w:val="1"/>
    <w:rsid w:val="3D8BB193"/>
  </w:style>
  <w:style w:type="paragraph" w:customStyle="1" w:styleId="paragraph">
    <w:name w:val="paragraph"/>
    <w:basedOn w:val="Normal"/>
    <w:uiPriority w:val="1"/>
    <w:rsid w:val="3D8BB193"/>
    <w:pPr>
      <w:spacing w:beforeAutospacing="1" w:afterAutospacing="1"/>
    </w:pPr>
    <w:rPr>
      <w:rFonts w:ascii="Times New Roman" w:eastAsia="Times New Roman" w:hAnsi="Times New Roman" w:cs="Times New Roman"/>
      <w:sz w:val="24"/>
      <w:szCs w:val="24"/>
      <w:lang w:eastAsia="en-GB"/>
    </w:rPr>
  </w:style>
  <w:style w:type="paragraph" w:styleId="Rvision">
    <w:name w:val="Revision"/>
    <w:hidden/>
    <w:uiPriority w:val="99"/>
    <w:semiHidden/>
    <w:rsid w:val="00C77B5C"/>
    <w:pPr>
      <w:spacing w:after="0" w:line="240" w:lineRule="auto"/>
    </w:pPr>
  </w:style>
  <w:style w:type="paragraph" w:styleId="En-tte">
    <w:name w:val="header"/>
    <w:basedOn w:val="Normal"/>
    <w:link w:val="En-tteCar"/>
    <w:uiPriority w:val="99"/>
    <w:unhideWhenUsed/>
    <w:rsid w:val="00704874"/>
    <w:pPr>
      <w:tabs>
        <w:tab w:val="center" w:pos="4680"/>
        <w:tab w:val="right" w:pos="9360"/>
      </w:tabs>
      <w:spacing w:after="0" w:line="240" w:lineRule="auto"/>
    </w:pPr>
  </w:style>
  <w:style w:type="character" w:customStyle="1" w:styleId="En-tteCar">
    <w:name w:val="En-tête Car"/>
    <w:basedOn w:val="Policepardfaut"/>
    <w:link w:val="En-tte"/>
    <w:uiPriority w:val="99"/>
    <w:rsid w:val="00704874"/>
  </w:style>
  <w:style w:type="paragraph" w:styleId="Pieddepage">
    <w:name w:val="footer"/>
    <w:basedOn w:val="Normal"/>
    <w:link w:val="PieddepageCar"/>
    <w:uiPriority w:val="99"/>
    <w:unhideWhenUsed/>
    <w:rsid w:val="00704874"/>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04874"/>
  </w:style>
  <w:style w:type="paragraph" w:styleId="Corpsdetexte">
    <w:name w:val="Body Text"/>
    <w:basedOn w:val="Normal"/>
    <w:link w:val="CorpsdetexteCar"/>
    <w:uiPriority w:val="1"/>
    <w:qFormat/>
    <w:rsid w:val="00C47B80"/>
    <w:pPr>
      <w:widowControl w:val="0"/>
      <w:autoSpaceDE w:val="0"/>
      <w:autoSpaceDN w:val="0"/>
      <w:spacing w:after="0" w:line="240" w:lineRule="auto"/>
    </w:pPr>
    <w:rPr>
      <w:rFonts w:ascii="Arial" w:eastAsia="Arial" w:hAnsi="Arial" w:cs="Arial"/>
      <w:sz w:val="20"/>
      <w:szCs w:val="20"/>
    </w:rPr>
  </w:style>
  <w:style w:type="character" w:customStyle="1" w:styleId="CorpsdetexteCar">
    <w:name w:val="Corps de texte Car"/>
    <w:basedOn w:val="Policepardfaut"/>
    <w:link w:val="Corpsdetexte"/>
    <w:uiPriority w:val="1"/>
    <w:rsid w:val="00C47B80"/>
    <w:rPr>
      <w:rFonts w:ascii="Arial" w:eastAsia="Arial" w:hAnsi="Arial" w:cs="Arial"/>
      <w:sz w:val="20"/>
      <w:szCs w:val="20"/>
      <w:lang w:val="fr-FR"/>
    </w:rPr>
  </w:style>
  <w:style w:type="paragraph" w:styleId="Paragraphedeliste">
    <w:name w:val="List Paragraph"/>
    <w:basedOn w:val="Normal"/>
    <w:uiPriority w:val="34"/>
    <w:qFormat/>
    <w:rsid w:val="000B03D3"/>
    <w:pPr>
      <w:spacing w:after="200" w:line="276" w:lineRule="auto"/>
      <w:ind w:left="720"/>
    </w:pPr>
    <w:rPr>
      <w:rFonts w:ascii="Calibri" w:eastAsia="Calibri" w:hAnsi="Calibri" w:cs="Calibri"/>
      <w:lang w:eastAsia="en-GB"/>
    </w:rPr>
  </w:style>
  <w:style w:type="character" w:styleId="Lienhypertextesuivivisit">
    <w:name w:val="FollowedHyperlink"/>
    <w:basedOn w:val="Policepardfaut"/>
    <w:uiPriority w:val="99"/>
    <w:semiHidden/>
    <w:unhideWhenUsed/>
    <w:rsid w:val="00996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106004">
      <w:bodyDiv w:val="1"/>
      <w:marLeft w:val="0"/>
      <w:marRight w:val="0"/>
      <w:marTop w:val="0"/>
      <w:marBottom w:val="0"/>
      <w:divBdr>
        <w:top w:val="none" w:sz="0" w:space="0" w:color="auto"/>
        <w:left w:val="none" w:sz="0" w:space="0" w:color="auto"/>
        <w:bottom w:val="none" w:sz="0" w:space="0" w:color="auto"/>
        <w:right w:val="none" w:sz="0" w:space="0" w:color="auto"/>
      </w:divBdr>
    </w:div>
    <w:div w:id="1698310898">
      <w:bodyDiv w:val="1"/>
      <w:marLeft w:val="0"/>
      <w:marRight w:val="0"/>
      <w:marTop w:val="0"/>
      <w:marBottom w:val="0"/>
      <w:divBdr>
        <w:top w:val="none" w:sz="0" w:space="0" w:color="auto"/>
        <w:left w:val="none" w:sz="0" w:space="0" w:color="auto"/>
        <w:bottom w:val="none" w:sz="0" w:space="0" w:color="auto"/>
        <w:right w:val="none" w:sz="0" w:space="0" w:color="auto"/>
      </w:divBdr>
    </w:div>
    <w:div w:id="1873690516">
      <w:bodyDiv w:val="1"/>
      <w:marLeft w:val="0"/>
      <w:marRight w:val="0"/>
      <w:marTop w:val="0"/>
      <w:marBottom w:val="0"/>
      <w:divBdr>
        <w:top w:val="none" w:sz="0" w:space="0" w:color="auto"/>
        <w:left w:val="none" w:sz="0" w:space="0" w:color="auto"/>
        <w:bottom w:val="none" w:sz="0" w:space="0" w:color="auto"/>
        <w:right w:val="none" w:sz="0" w:space="0" w:color="auto"/>
      </w:divBdr>
      <w:divsChild>
        <w:div w:id="20347284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stats_info@iccat.i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ts_info@iccat.in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iccat.int/Documents/Recs/compendiopdf-f/2021-24-f.pdf" TargetMode="External"/><Relationship Id="rId4" Type="http://schemas.openxmlformats.org/officeDocument/2006/relationships/styles" Target="styles.xml"/><Relationship Id="rId9" Type="http://schemas.openxmlformats.org/officeDocument/2006/relationships/hyperlink" Target="https://www.iccat.int/Documents/Recs/compendiopdf-f/2021-24-f.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Value>6</Value>
      <Value>10</Value>
      <Value>9</Value>
      <Value>8</Value>
      <Value>7</Value>
    </TaxCatchAll>
    <lcf76f155ced4ddcb4097134ff3c332f xmlns="04c986aa-787d-4a14-b577-9f29a18a283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67CF54-C775-4240-96FD-E13243048C9B}">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BDCD0E52-C8A5-479A-9108-48B0434FB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742610-14C1-4EF3-A492-AA25F7A00A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1068</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Sampson, Harry</dc:creator>
  <cp:keywords/>
  <dc:description/>
  <cp:lastModifiedBy>christel navarret</cp:lastModifiedBy>
  <cp:revision>90</cp:revision>
  <cp:lastPrinted>2024-10-31T09:37:00Z</cp:lastPrinted>
  <dcterms:created xsi:type="dcterms:W3CDTF">2024-10-10T14:48:00Z</dcterms:created>
  <dcterms:modified xsi:type="dcterms:W3CDTF">2026-10-01T10:45:00Z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Directorate">
    <vt:lpwstr/>
  </property>
  <property fmtid="{D5CDD505-2E9C-101B-9397-08002B2CF9AE}" pid="4" name="SecurityClassification">
    <vt:lpwstr/>
  </property>
  <property fmtid="{D5CDD505-2E9C-101B-9397-08002B2CF9AE}" pid="5" name="InformationType">
    <vt:lpwstr/>
  </property>
  <property fmtid="{D5CDD505-2E9C-101B-9397-08002B2CF9AE}" pid="6" name="HOFrom">
    <vt:lpwstr/>
  </property>
  <property fmtid="{D5CDD505-2E9C-101B-9397-08002B2CF9AE}" pid="7" name="Distribution">
    <vt:lpwstr>9;#Internal Core Defra|836ac8df-3ab9-4c95-a1f0-07f825804935</vt:lpwstr>
  </property>
  <property fmtid="{D5CDD505-2E9C-101B-9397-08002B2CF9AE}" pid="8" name="HOSubject">
    <vt:lpwstr/>
  </property>
  <property fmtid="{D5CDD505-2E9C-101B-9397-08002B2CF9AE}" pid="9" name="HOCopyrightLevel">
    <vt:lpwstr>7;#Crown|69589897-2828-4761-976e-717fd8e631c9</vt:lpwstr>
  </property>
  <property fmtid="{D5CDD505-2E9C-101B-9397-08002B2CF9AE}" pid="10" name="HOGovernmentSecurityClassification">
    <vt:lpwstr>6;#Official|14c80daa-741b-422c-9722-f71693c9ede4</vt:lpwstr>
  </property>
  <property fmtid="{D5CDD505-2E9C-101B-9397-08002B2CF9AE}" pid="11" name="HOSiteType">
    <vt:lpwstr>10;#Team|ff0485df-0575-416f-802f-e999165821b7</vt:lpwstr>
  </property>
  <property fmtid="{D5CDD505-2E9C-101B-9397-08002B2CF9AE}" pid="12" name="OrganisationalUnit">
    <vt:lpwstr>8;#Core Defra|026223dd-2e56-4615-868d-7c5bfd566810</vt:lpwstr>
  </property>
  <property fmtid="{D5CDD505-2E9C-101B-9397-08002B2CF9AE}" pid="13" name="HOCC">
    <vt:lpwstr/>
  </property>
  <property fmtid="{D5CDD505-2E9C-101B-9397-08002B2CF9AE}" pid="14" name="HOTo">
    <vt:lpwstr/>
  </property>
  <property fmtid="{D5CDD505-2E9C-101B-9397-08002B2CF9AE}" pid="15" name="MediaServiceImageTags">
    <vt:lpwstr/>
  </property>
  <property fmtid="{D5CDD505-2E9C-101B-9397-08002B2CF9AE}" pid="16" name="lcf76f155ced4ddcb4097134ff3c332f">
    <vt:lpwstr/>
  </property>
</Properties>
</file>