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9AE7F" w14:textId="79910702" w:rsidR="00601528" w:rsidRPr="00536AB6" w:rsidRDefault="003D0E42" w:rsidP="00820485">
      <w:pPr>
        <w:widowControl/>
        <w:autoSpaceDE/>
        <w:autoSpaceDN/>
        <w:adjustRightInd/>
        <w:ind w:left="5440" w:firstLine="340"/>
        <w:jc w:val="right"/>
        <w:rPr>
          <w:rFonts w:asciiTheme="majorHAnsi" w:hAnsiTheme="majorHAnsi" w:cs="Calibri"/>
          <w:b/>
        </w:rPr>
      </w:pPr>
      <w:r>
        <w:rPr>
          <w:rFonts w:asciiTheme="majorHAnsi" w:hAnsiTheme="majorHAnsi"/>
          <w:b/>
        </w:rPr>
        <w:t>Original: inglés/español/francés</w:t>
      </w:r>
    </w:p>
    <w:p w14:paraId="7D5474A4" w14:textId="77777777" w:rsidR="008F7FE7" w:rsidRPr="00364A87" w:rsidRDefault="008F7FE7" w:rsidP="00820485">
      <w:pPr>
        <w:widowControl/>
        <w:autoSpaceDE/>
        <w:autoSpaceDN/>
        <w:adjustRightInd/>
        <w:ind w:left="5440" w:firstLine="340"/>
        <w:jc w:val="right"/>
        <w:rPr>
          <w:rFonts w:asciiTheme="majorHAnsi" w:hAnsiTheme="majorHAnsi" w:cs="Calibri"/>
          <w:b/>
        </w:rPr>
      </w:pPr>
    </w:p>
    <w:p w14:paraId="70EE8C9B" w14:textId="77777777" w:rsidR="00364A87" w:rsidRDefault="006836FF" w:rsidP="00820485">
      <w:pPr>
        <w:widowControl/>
        <w:autoSpaceDE/>
        <w:autoSpaceDN/>
        <w:adjustRightInd/>
        <w:jc w:val="center"/>
        <w:rPr>
          <w:rFonts w:asciiTheme="majorHAnsi" w:hAnsiTheme="majorHAnsi"/>
          <w:b/>
        </w:rPr>
      </w:pPr>
      <w:r>
        <w:rPr>
          <w:rFonts w:asciiTheme="majorHAnsi" w:hAnsiTheme="majorHAnsi"/>
          <w:b/>
        </w:rPr>
        <w:t xml:space="preserve">Informe de la Secretaría al Comité de cumplimiento </w:t>
      </w:r>
    </w:p>
    <w:p w14:paraId="391542D9" w14:textId="200EC028" w:rsidR="003D0E42" w:rsidRPr="00536AB6" w:rsidRDefault="006836FF" w:rsidP="00820485">
      <w:pPr>
        <w:widowControl/>
        <w:autoSpaceDE/>
        <w:autoSpaceDN/>
        <w:adjustRightInd/>
        <w:jc w:val="center"/>
        <w:rPr>
          <w:rFonts w:asciiTheme="majorHAnsi" w:hAnsiTheme="majorHAnsi" w:cs="Calibri"/>
          <w:b/>
        </w:rPr>
      </w:pPr>
      <w:r>
        <w:rPr>
          <w:rFonts w:asciiTheme="majorHAnsi" w:hAnsiTheme="majorHAnsi"/>
          <w:b/>
        </w:rPr>
        <w:t>de las medidas de conservación y ordenación de ICCAT (COC)</w:t>
      </w:r>
    </w:p>
    <w:p w14:paraId="7FB262DC" w14:textId="77777777" w:rsidR="003D0E42" w:rsidRPr="00364A87" w:rsidRDefault="003D0E42" w:rsidP="00820485">
      <w:pPr>
        <w:widowControl/>
        <w:autoSpaceDE/>
        <w:autoSpaceDN/>
        <w:adjustRightInd/>
        <w:jc w:val="both"/>
        <w:rPr>
          <w:rFonts w:asciiTheme="majorHAnsi" w:hAnsiTheme="majorHAnsi" w:cs="Calibri"/>
          <w:b/>
        </w:rPr>
      </w:pPr>
    </w:p>
    <w:p w14:paraId="79877E91" w14:textId="3F38321D" w:rsidR="003D0E42" w:rsidRPr="00536AB6" w:rsidRDefault="003D0E42" w:rsidP="00820485">
      <w:pPr>
        <w:widowControl/>
        <w:tabs>
          <w:tab w:val="left" w:pos="284"/>
        </w:tabs>
        <w:autoSpaceDE/>
        <w:autoSpaceDN/>
        <w:adjustRightInd/>
        <w:jc w:val="both"/>
        <w:rPr>
          <w:rFonts w:asciiTheme="majorHAnsi" w:hAnsiTheme="majorHAnsi" w:cs="Calibri"/>
          <w:b/>
        </w:rPr>
      </w:pPr>
      <w:r>
        <w:rPr>
          <w:rFonts w:asciiTheme="majorHAnsi" w:hAnsiTheme="majorHAnsi"/>
          <w:b/>
        </w:rPr>
        <w:t>NOTA</w:t>
      </w:r>
      <w:r>
        <w:rPr>
          <w:rFonts w:asciiTheme="majorHAnsi" w:hAnsiTheme="majorHAnsi"/>
        </w:rPr>
        <w:t xml:space="preserve">: Este informe se basa en la información recibida por la Secretaria hasta el </w:t>
      </w:r>
      <w:r>
        <w:rPr>
          <w:rFonts w:asciiTheme="majorHAnsi" w:hAnsiTheme="majorHAnsi"/>
          <w:b/>
          <w:bCs/>
        </w:rPr>
        <w:t>7 de octubre de 2026</w:t>
      </w:r>
      <w:r>
        <w:rPr>
          <w:rFonts w:asciiTheme="majorHAnsi" w:hAnsiTheme="majorHAnsi"/>
        </w:rPr>
        <w:t>, a menos que se indique lo contrario. Cualquier información recibida tras dicha fecha se transmitirá a la atención del presidente del Comité de cumplimiento (COC). Esta información adicional no se traducirá.</w:t>
      </w:r>
    </w:p>
    <w:p w14:paraId="5E0F6933" w14:textId="77777777" w:rsidR="003D0E42" w:rsidRPr="00364A87" w:rsidRDefault="003D0E42" w:rsidP="00820485">
      <w:pPr>
        <w:widowControl/>
        <w:tabs>
          <w:tab w:val="left" w:pos="284"/>
        </w:tabs>
        <w:autoSpaceDE/>
        <w:autoSpaceDN/>
        <w:adjustRightInd/>
        <w:jc w:val="both"/>
        <w:rPr>
          <w:rFonts w:asciiTheme="majorHAnsi" w:hAnsiTheme="majorHAnsi" w:cs="Calibri"/>
          <w:b/>
        </w:rPr>
      </w:pPr>
    </w:p>
    <w:p w14:paraId="1043B25B" w14:textId="105A61B5" w:rsidR="003D0E42" w:rsidRPr="00536AB6" w:rsidRDefault="003D0E42" w:rsidP="00820485">
      <w:pPr>
        <w:jc w:val="both"/>
        <w:rPr>
          <w:rFonts w:asciiTheme="majorHAnsi" w:hAnsiTheme="majorHAnsi"/>
        </w:rPr>
      </w:pPr>
      <w:r>
        <w:rPr>
          <w:rFonts w:asciiTheme="majorHAnsi" w:hAnsiTheme="majorHAnsi"/>
        </w:rPr>
        <w:t xml:space="preserve">Este informe incluye aquellas medidas para las que está justificada la revisión por parte del Comité de </w:t>
      </w:r>
      <w:r w:rsidR="00364A87">
        <w:rPr>
          <w:rFonts w:asciiTheme="majorHAnsi" w:hAnsiTheme="majorHAnsi"/>
        </w:rPr>
        <w:t>cumplimiento.</w:t>
      </w:r>
      <w:r>
        <w:rPr>
          <w:rFonts w:asciiTheme="majorHAnsi" w:hAnsiTheme="majorHAnsi"/>
        </w:rPr>
        <w:t xml:space="preserve"> En algunos casos, las medidas podrían haber dejado de estar vigentes, pero lo estuvieron durante el periodo considerado (2025).</w:t>
      </w:r>
    </w:p>
    <w:p w14:paraId="27367B52" w14:textId="77777777" w:rsidR="003D0E42" w:rsidRPr="00364A87" w:rsidRDefault="003D0E42" w:rsidP="00820485">
      <w:pPr>
        <w:ind w:firstLine="426"/>
        <w:rPr>
          <w:rFonts w:asciiTheme="majorHAnsi" w:hAnsiTheme="majorHAnsi"/>
        </w:rPr>
      </w:pPr>
    </w:p>
    <w:p w14:paraId="1CBDFC3D" w14:textId="77777777" w:rsidR="001E5CEC" w:rsidRPr="00364A87" w:rsidRDefault="001E5CEC" w:rsidP="00820485">
      <w:pPr>
        <w:ind w:firstLine="426"/>
        <w:rPr>
          <w:rFonts w:asciiTheme="majorHAnsi" w:hAnsiTheme="majorHAnsi"/>
        </w:rPr>
      </w:pPr>
    </w:p>
    <w:p w14:paraId="7025AEBC" w14:textId="31352CE8" w:rsidR="00FC577E" w:rsidRPr="00536AB6" w:rsidRDefault="00FC577E" w:rsidP="00820485">
      <w:pPr>
        <w:tabs>
          <w:tab w:val="left" w:pos="1276"/>
          <w:tab w:val="left" w:pos="1418"/>
          <w:tab w:val="left" w:leader="dot" w:pos="8222"/>
          <w:tab w:val="right" w:pos="8647"/>
        </w:tabs>
        <w:jc w:val="both"/>
        <w:rPr>
          <w:rFonts w:asciiTheme="majorHAnsi" w:hAnsiTheme="majorHAnsi"/>
          <w:b/>
          <w:bCs/>
          <w:i/>
          <w:iCs/>
        </w:rPr>
      </w:pPr>
      <w:r>
        <w:rPr>
          <w:rFonts w:asciiTheme="majorHAnsi" w:hAnsiTheme="majorHAnsi"/>
          <w:b/>
        </w:rPr>
        <w:t xml:space="preserve">TRO – TÚNIDOS TROPICALES - BET - PATUDO </w:t>
      </w:r>
      <w:r>
        <w:rPr>
          <w:rFonts w:asciiTheme="majorHAnsi" w:hAnsiTheme="majorHAnsi"/>
          <w:b/>
          <w:i/>
        </w:rPr>
        <w:t xml:space="preserve">(Thunnus obesus); </w:t>
      </w:r>
      <w:r>
        <w:rPr>
          <w:rFonts w:asciiTheme="majorHAnsi" w:hAnsiTheme="majorHAnsi"/>
          <w:b/>
          <w:color w:val="FFFFFF" w:themeColor="background1"/>
        </w:rPr>
        <w:t xml:space="preserve"> </w:t>
      </w:r>
      <w:r>
        <w:rPr>
          <w:rFonts w:asciiTheme="majorHAnsi" w:hAnsiTheme="majorHAnsi"/>
          <w:b/>
        </w:rPr>
        <w:t>YFT – RABIL (</w:t>
      </w:r>
      <w:r>
        <w:rPr>
          <w:rFonts w:asciiTheme="majorHAnsi" w:hAnsiTheme="majorHAnsi"/>
          <w:b/>
          <w:i/>
        </w:rPr>
        <w:t>Thunnus albacares);</w:t>
      </w:r>
      <w:r>
        <w:rPr>
          <w:rFonts w:asciiTheme="majorHAnsi" w:hAnsiTheme="majorHAnsi"/>
          <w:b/>
        </w:rPr>
        <w:t xml:space="preserve"> - SKJ - LISTADO </w:t>
      </w:r>
      <w:r>
        <w:rPr>
          <w:rFonts w:asciiTheme="majorHAnsi" w:hAnsiTheme="majorHAnsi"/>
          <w:b/>
          <w:i/>
        </w:rPr>
        <w:t>(</w:t>
      </w:r>
      <w:proofErr w:type="spellStart"/>
      <w:r>
        <w:rPr>
          <w:rFonts w:asciiTheme="majorHAnsi" w:hAnsiTheme="majorHAnsi"/>
          <w:b/>
          <w:i/>
        </w:rPr>
        <w:t>Katsuwonus</w:t>
      </w:r>
      <w:proofErr w:type="spellEnd"/>
      <w:r>
        <w:rPr>
          <w:rFonts w:asciiTheme="majorHAnsi" w:hAnsiTheme="majorHAnsi"/>
          <w:b/>
          <w:i/>
        </w:rPr>
        <w:t xml:space="preserve"> pelamis)</w:t>
      </w:r>
    </w:p>
    <w:p w14:paraId="0838E8B1" w14:textId="77777777" w:rsidR="00D415A6" w:rsidRPr="00364A87" w:rsidRDefault="00D415A6" w:rsidP="00820485">
      <w:pPr>
        <w:tabs>
          <w:tab w:val="left" w:pos="1276"/>
          <w:tab w:val="left" w:pos="1418"/>
          <w:tab w:val="left" w:leader="dot" w:pos="8222"/>
          <w:tab w:val="right" w:pos="8647"/>
        </w:tabs>
        <w:jc w:val="both"/>
        <w:rPr>
          <w:rFonts w:asciiTheme="majorHAnsi" w:hAnsiTheme="majorHAnsi"/>
          <w:bCs/>
          <w:i/>
          <w:iCs/>
        </w:rPr>
      </w:pPr>
    </w:p>
    <w:p w14:paraId="4B03EFAF" w14:textId="67091665" w:rsidR="005428B7" w:rsidRPr="00536AB6" w:rsidRDefault="005428B7" w:rsidP="005428B7">
      <w:pPr>
        <w:tabs>
          <w:tab w:val="left" w:pos="1276"/>
          <w:tab w:val="left" w:pos="1418"/>
          <w:tab w:val="left" w:leader="dot" w:pos="8222"/>
          <w:tab w:val="right" w:pos="8647"/>
        </w:tabs>
        <w:jc w:val="both"/>
        <w:rPr>
          <w:rFonts w:asciiTheme="majorHAnsi" w:hAnsiTheme="majorHAnsi"/>
          <w:bCs/>
        </w:rPr>
      </w:pPr>
      <w:r>
        <w:rPr>
          <w:rFonts w:asciiTheme="majorHAnsi" w:hAnsiTheme="majorHAnsi"/>
          <w:i/>
        </w:rPr>
        <w:t>[Rec. 24-01] Recomendación de ICCAT que reemplaza la Recomendación 22-01 sobre un programa plurianual de conservación y ordenación para los túnidos tropicales</w:t>
      </w:r>
    </w:p>
    <w:p w14:paraId="579DFC58" w14:textId="77777777" w:rsidR="00F77C97" w:rsidRPr="00364A87" w:rsidRDefault="00F77C97" w:rsidP="00820485">
      <w:pPr>
        <w:tabs>
          <w:tab w:val="left" w:pos="1276"/>
          <w:tab w:val="left" w:pos="1418"/>
          <w:tab w:val="left" w:leader="dot" w:pos="8222"/>
          <w:tab w:val="right" w:pos="8647"/>
        </w:tabs>
        <w:jc w:val="both"/>
        <w:rPr>
          <w:rFonts w:asciiTheme="majorHAnsi" w:hAnsiTheme="majorHAnsi"/>
          <w:bCs/>
        </w:rPr>
      </w:pPr>
    </w:p>
    <w:p w14:paraId="6C0191CB" w14:textId="536F4237" w:rsidR="00792FA7" w:rsidRPr="00536AB6" w:rsidRDefault="0085595B" w:rsidP="00792FA7">
      <w:pPr>
        <w:tabs>
          <w:tab w:val="left" w:pos="1276"/>
          <w:tab w:val="left" w:pos="1418"/>
          <w:tab w:val="left" w:leader="dot" w:pos="8222"/>
          <w:tab w:val="right" w:pos="8647"/>
        </w:tabs>
        <w:jc w:val="both"/>
        <w:rPr>
          <w:rFonts w:asciiTheme="majorHAnsi" w:hAnsiTheme="majorHAnsi"/>
        </w:rPr>
      </w:pPr>
      <w:r>
        <w:rPr>
          <w:rFonts w:asciiTheme="majorHAnsi" w:hAnsiTheme="majorHAnsi"/>
          <w:b/>
          <w:i/>
          <w:color w:val="000000"/>
        </w:rPr>
        <w:t>Planes de ordenación de la pesca de túnidos tropicales y planes de ordenación de los DCP</w:t>
      </w:r>
      <w:r w:rsidR="00364A87">
        <w:rPr>
          <w:rFonts w:asciiTheme="majorHAnsi" w:hAnsiTheme="majorHAnsi"/>
          <w:b/>
          <w:i/>
          <w:color w:val="000000"/>
        </w:rPr>
        <w:t xml:space="preserve">. </w:t>
      </w:r>
      <w:r>
        <w:rPr>
          <w:rFonts w:asciiTheme="majorHAnsi" w:hAnsiTheme="majorHAnsi"/>
          <w:b/>
          <w:i/>
          <w:color w:val="000000"/>
        </w:rPr>
        <w:t xml:space="preserve"> </w:t>
      </w:r>
      <w:r>
        <w:rPr>
          <w:rFonts w:asciiTheme="majorHAnsi" w:hAnsiTheme="majorHAnsi"/>
          <w:color w:val="000000"/>
        </w:rPr>
        <w:t xml:space="preserve">Los planes de pesca recibidos se presentaron a la Segunda reunión intersesiones de la Subcomisión 1 para su revisión. </w:t>
      </w:r>
      <w:r>
        <w:rPr>
          <w:rFonts w:asciiTheme="majorHAnsi" w:hAnsiTheme="majorHAnsi"/>
        </w:rPr>
        <w:t>Todos los planes fueron aprobados y se han adjuntado al "Informe de la Segunda reunión intersesiones de la Subcomisión 1" [PA1_502/2026].</w:t>
      </w:r>
    </w:p>
    <w:p w14:paraId="4C4AB660" w14:textId="77777777" w:rsidR="001C2499" w:rsidRPr="00364A87" w:rsidRDefault="001C2499" w:rsidP="00820485">
      <w:pPr>
        <w:tabs>
          <w:tab w:val="left" w:pos="1276"/>
          <w:tab w:val="left" w:pos="1418"/>
          <w:tab w:val="left" w:leader="dot" w:pos="8222"/>
          <w:tab w:val="right" w:pos="8647"/>
        </w:tabs>
        <w:jc w:val="both"/>
        <w:rPr>
          <w:rFonts w:asciiTheme="majorHAnsi" w:hAnsiTheme="majorHAnsi" w:cs="Cambria"/>
          <w:color w:val="000000"/>
          <w:lang w:eastAsia="en-GB"/>
        </w:rPr>
      </w:pPr>
    </w:p>
    <w:p w14:paraId="63035371" w14:textId="77777777" w:rsidR="001C2499" w:rsidRPr="00536AB6" w:rsidRDefault="001C2499" w:rsidP="001C2499">
      <w:pPr>
        <w:tabs>
          <w:tab w:val="left" w:pos="1276"/>
          <w:tab w:val="left" w:pos="1418"/>
          <w:tab w:val="left" w:leader="dot" w:pos="8222"/>
          <w:tab w:val="right" w:pos="8647"/>
        </w:tabs>
        <w:jc w:val="both"/>
        <w:rPr>
          <w:rFonts w:asciiTheme="majorHAnsi" w:hAnsiTheme="majorHAnsi"/>
          <w:b/>
          <w:bCs/>
          <w:iCs/>
        </w:rPr>
      </w:pPr>
      <w:r>
        <w:rPr>
          <w:rFonts w:asciiTheme="majorHAnsi" w:hAnsiTheme="majorHAnsi"/>
          <w:b/>
          <w:i/>
        </w:rPr>
        <w:t xml:space="preserve">Ordenación de la capacidad: </w:t>
      </w:r>
      <w:r>
        <w:rPr>
          <w:rFonts w:asciiTheme="majorHAnsi" w:hAnsiTheme="majorHAnsi"/>
        </w:rPr>
        <w:t>Los planes de ordenación de la capacidad y las declaraciones de ampliación de la capacidad se incluyen en los planes de pesca</w:t>
      </w:r>
    </w:p>
    <w:p w14:paraId="11A507B8" w14:textId="77777777" w:rsidR="001C2499" w:rsidRPr="00364A87" w:rsidRDefault="001C2499" w:rsidP="001C2499">
      <w:pPr>
        <w:tabs>
          <w:tab w:val="left" w:pos="1276"/>
          <w:tab w:val="left" w:pos="1418"/>
          <w:tab w:val="left" w:leader="dot" w:pos="8222"/>
          <w:tab w:val="right" w:pos="8647"/>
        </w:tabs>
        <w:rPr>
          <w:rFonts w:asciiTheme="majorHAnsi" w:hAnsiTheme="majorHAnsi"/>
          <w:b/>
          <w:bCs/>
          <w:i/>
        </w:rPr>
      </w:pPr>
    </w:p>
    <w:p w14:paraId="0325E661" w14:textId="71F17EEC" w:rsidR="001C2499" w:rsidRPr="00536AB6" w:rsidRDefault="001C2499" w:rsidP="001C2499">
      <w:pPr>
        <w:tabs>
          <w:tab w:val="left" w:pos="1276"/>
          <w:tab w:val="left" w:pos="1418"/>
          <w:tab w:val="left" w:leader="dot" w:pos="8222"/>
          <w:tab w:val="right" w:pos="8647"/>
        </w:tabs>
        <w:jc w:val="both"/>
        <w:rPr>
          <w:rFonts w:asciiTheme="majorHAnsi" w:hAnsiTheme="majorHAnsi"/>
          <w:b/>
        </w:rPr>
      </w:pPr>
      <w:r>
        <w:rPr>
          <w:rFonts w:asciiTheme="majorHAnsi" w:hAnsiTheme="majorHAnsi"/>
          <w:b/>
          <w:i/>
        </w:rPr>
        <w:t xml:space="preserve">Planes de ordenación de DCP y acciones emprendidas para utilizar DCP que no provoquen enmallamientos: </w:t>
      </w:r>
      <w:r>
        <w:rPr>
          <w:rFonts w:asciiTheme="majorHAnsi" w:hAnsiTheme="majorHAnsi"/>
        </w:rPr>
        <w:t>Los planes de ordenación de los DCP recibidos en 2026 están disponibles en el sitio de documentos de la Subcomisión 1, incluidos en los planes de pesca presentados.</w:t>
      </w:r>
    </w:p>
    <w:p w14:paraId="6003C41E" w14:textId="77777777" w:rsidR="001C2499" w:rsidRPr="00364A87" w:rsidRDefault="001C2499" w:rsidP="001C2499">
      <w:pPr>
        <w:tabs>
          <w:tab w:val="left" w:pos="1276"/>
          <w:tab w:val="left" w:pos="1418"/>
          <w:tab w:val="left" w:leader="dot" w:pos="8222"/>
          <w:tab w:val="right" w:pos="8647"/>
        </w:tabs>
        <w:jc w:val="center"/>
        <w:rPr>
          <w:rFonts w:asciiTheme="majorHAnsi" w:hAnsiTheme="majorHAnsi"/>
          <w:i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7"/>
        <w:gridCol w:w="2369"/>
        <w:gridCol w:w="2370"/>
        <w:gridCol w:w="2369"/>
      </w:tblGrid>
      <w:tr w:rsidR="002676A7" w:rsidRPr="00536AB6" w14:paraId="580026B2" w14:textId="458E3AE2" w:rsidTr="006D1FBF">
        <w:trPr>
          <w:trHeight w:val="780"/>
          <w:jc w:val="center"/>
        </w:trPr>
        <w:tc>
          <w:tcPr>
            <w:tcW w:w="1014" w:type="pct"/>
            <w:noWrap/>
            <w:vAlign w:val="center"/>
            <w:hideMark/>
          </w:tcPr>
          <w:p w14:paraId="0B87AB8A" w14:textId="77777777" w:rsidR="002676A7" w:rsidRPr="00536AB6" w:rsidRDefault="002676A7" w:rsidP="00505320">
            <w:pPr>
              <w:widowControl/>
              <w:autoSpaceDE/>
              <w:autoSpaceDN/>
              <w:adjustRightInd/>
              <w:rPr>
                <w:rFonts w:asciiTheme="majorHAnsi" w:hAnsiTheme="majorHAnsi"/>
                <w:i/>
                <w:iCs/>
                <w:color w:val="000000"/>
              </w:rPr>
            </w:pPr>
            <w:r>
              <w:rPr>
                <w:rFonts w:asciiTheme="majorHAnsi" w:hAnsiTheme="majorHAnsi"/>
                <w:i/>
                <w:color w:val="000000"/>
              </w:rPr>
              <w:t>CPC</w:t>
            </w:r>
          </w:p>
        </w:tc>
        <w:tc>
          <w:tcPr>
            <w:tcW w:w="1329" w:type="pct"/>
            <w:vAlign w:val="center"/>
            <w:hideMark/>
          </w:tcPr>
          <w:p w14:paraId="6ECC822E" w14:textId="77777777" w:rsidR="002676A7" w:rsidRPr="00536AB6" w:rsidRDefault="002676A7" w:rsidP="00505320">
            <w:pPr>
              <w:widowControl/>
              <w:autoSpaceDE/>
              <w:autoSpaceDN/>
              <w:adjustRightInd/>
              <w:jc w:val="center"/>
              <w:rPr>
                <w:rFonts w:asciiTheme="majorHAnsi" w:hAnsiTheme="majorHAnsi"/>
                <w:i/>
                <w:iCs/>
                <w:color w:val="000000"/>
              </w:rPr>
            </w:pPr>
            <w:r>
              <w:rPr>
                <w:rFonts w:asciiTheme="majorHAnsi" w:hAnsiTheme="majorHAnsi"/>
                <w:i/>
                <w:color w:val="000000"/>
              </w:rPr>
              <w:t xml:space="preserve">Plan de ordenación de los DCP (2025) </w:t>
            </w:r>
          </w:p>
          <w:p w14:paraId="36AB0FA1" w14:textId="77777777" w:rsidR="002676A7" w:rsidRPr="00536AB6" w:rsidRDefault="002676A7" w:rsidP="00505320">
            <w:pPr>
              <w:widowControl/>
              <w:autoSpaceDE/>
              <w:autoSpaceDN/>
              <w:adjustRightInd/>
              <w:jc w:val="center"/>
              <w:rPr>
                <w:rFonts w:asciiTheme="majorHAnsi" w:hAnsiTheme="majorHAnsi"/>
                <w:i/>
                <w:iCs/>
                <w:color w:val="000000"/>
              </w:rPr>
            </w:pPr>
            <w:r>
              <w:rPr>
                <w:rFonts w:asciiTheme="majorHAnsi" w:hAnsiTheme="majorHAnsi"/>
                <w:i/>
                <w:color w:val="000000"/>
              </w:rPr>
              <w:t>Enviado:</w:t>
            </w:r>
          </w:p>
        </w:tc>
        <w:tc>
          <w:tcPr>
            <w:tcW w:w="1329" w:type="pct"/>
            <w:vAlign w:val="center"/>
            <w:hideMark/>
          </w:tcPr>
          <w:p w14:paraId="5B836323" w14:textId="633F591F" w:rsidR="002676A7" w:rsidRPr="00536AB6" w:rsidRDefault="002676A7" w:rsidP="00505320">
            <w:pPr>
              <w:widowControl/>
              <w:autoSpaceDE/>
              <w:autoSpaceDN/>
              <w:adjustRightInd/>
              <w:jc w:val="center"/>
              <w:rPr>
                <w:rFonts w:asciiTheme="majorHAnsi" w:hAnsiTheme="majorHAnsi"/>
                <w:i/>
                <w:iCs/>
                <w:color w:val="000000"/>
              </w:rPr>
            </w:pPr>
            <w:r>
              <w:rPr>
                <w:rFonts w:asciiTheme="majorHAnsi" w:hAnsiTheme="majorHAnsi"/>
                <w:i/>
                <w:color w:val="000000"/>
              </w:rPr>
              <w:t xml:space="preserve">ST-08 - Datos de DCP (2025) </w:t>
            </w:r>
          </w:p>
          <w:p w14:paraId="5A7F12C6" w14:textId="77777777" w:rsidR="002676A7" w:rsidRPr="00536AB6" w:rsidRDefault="002676A7" w:rsidP="00505320">
            <w:pPr>
              <w:widowControl/>
              <w:autoSpaceDE/>
              <w:autoSpaceDN/>
              <w:adjustRightInd/>
              <w:jc w:val="center"/>
              <w:rPr>
                <w:rFonts w:asciiTheme="majorHAnsi" w:hAnsiTheme="majorHAnsi"/>
                <w:i/>
                <w:iCs/>
                <w:color w:val="000000"/>
              </w:rPr>
            </w:pPr>
            <w:r>
              <w:rPr>
                <w:rFonts w:asciiTheme="majorHAnsi" w:hAnsiTheme="majorHAnsi"/>
                <w:i/>
                <w:color w:val="000000"/>
              </w:rPr>
              <w:t>Enviado:</w:t>
            </w:r>
          </w:p>
        </w:tc>
        <w:tc>
          <w:tcPr>
            <w:tcW w:w="1328" w:type="pct"/>
            <w:vAlign w:val="center"/>
          </w:tcPr>
          <w:p w14:paraId="22C85773" w14:textId="5201F206" w:rsidR="002676A7" w:rsidRPr="00536AB6" w:rsidRDefault="002676A7" w:rsidP="002676A7">
            <w:pPr>
              <w:widowControl/>
              <w:autoSpaceDE/>
              <w:autoSpaceDN/>
              <w:adjustRightInd/>
              <w:jc w:val="center"/>
              <w:rPr>
                <w:rFonts w:asciiTheme="majorHAnsi" w:hAnsiTheme="majorHAnsi"/>
                <w:i/>
                <w:iCs/>
                <w:color w:val="000000"/>
              </w:rPr>
            </w:pPr>
            <w:r>
              <w:rPr>
                <w:rFonts w:asciiTheme="majorHAnsi" w:hAnsiTheme="majorHAnsi"/>
                <w:i/>
                <w:color w:val="000000"/>
              </w:rPr>
              <w:t xml:space="preserve">Plan de ordenación de los DCP (2026) </w:t>
            </w:r>
          </w:p>
          <w:p w14:paraId="7C75C956" w14:textId="7ACFAC31" w:rsidR="002676A7" w:rsidRPr="00536AB6" w:rsidRDefault="002676A7" w:rsidP="002676A7">
            <w:pPr>
              <w:widowControl/>
              <w:autoSpaceDE/>
              <w:autoSpaceDN/>
              <w:adjustRightInd/>
              <w:jc w:val="center"/>
              <w:rPr>
                <w:rFonts w:asciiTheme="majorHAnsi" w:hAnsiTheme="majorHAnsi"/>
                <w:i/>
                <w:iCs/>
                <w:color w:val="000000"/>
              </w:rPr>
            </w:pPr>
            <w:r>
              <w:rPr>
                <w:rFonts w:asciiTheme="majorHAnsi" w:hAnsiTheme="majorHAnsi"/>
                <w:i/>
                <w:color w:val="000000"/>
              </w:rPr>
              <w:t>Enviado:</w:t>
            </w:r>
          </w:p>
        </w:tc>
      </w:tr>
      <w:tr w:rsidR="0043516D" w:rsidRPr="00536AB6" w14:paraId="3E1AE071" w14:textId="4DB9F542" w:rsidTr="006D1FBF">
        <w:trPr>
          <w:trHeight w:val="315"/>
          <w:jc w:val="center"/>
        </w:trPr>
        <w:tc>
          <w:tcPr>
            <w:tcW w:w="1014" w:type="pct"/>
            <w:noWrap/>
            <w:vAlign w:val="center"/>
            <w:hideMark/>
          </w:tcPr>
          <w:p w14:paraId="18D962AB" w14:textId="77777777" w:rsidR="0043516D" w:rsidRPr="00857ED3" w:rsidRDefault="0043516D" w:rsidP="0043516D">
            <w:pPr>
              <w:widowControl/>
              <w:autoSpaceDE/>
              <w:autoSpaceDN/>
              <w:adjustRightInd/>
              <w:rPr>
                <w:rFonts w:asciiTheme="majorHAnsi" w:hAnsiTheme="majorHAnsi"/>
                <w:color w:val="000000"/>
              </w:rPr>
            </w:pPr>
            <w:r w:rsidRPr="00857ED3">
              <w:rPr>
                <w:rFonts w:asciiTheme="majorHAnsi" w:hAnsiTheme="majorHAnsi"/>
                <w:color w:val="000000"/>
              </w:rPr>
              <w:t>Belice</w:t>
            </w:r>
          </w:p>
        </w:tc>
        <w:tc>
          <w:tcPr>
            <w:tcW w:w="1329" w:type="pct"/>
            <w:noWrap/>
            <w:vAlign w:val="center"/>
            <w:hideMark/>
          </w:tcPr>
          <w:p w14:paraId="66AAF217" w14:textId="69E75DB8"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c>
          <w:tcPr>
            <w:tcW w:w="1329" w:type="pct"/>
            <w:noWrap/>
            <w:vAlign w:val="center"/>
            <w:hideMark/>
          </w:tcPr>
          <w:p w14:paraId="4716507F" w14:textId="6C035E37"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Rechazado</w:t>
            </w:r>
          </w:p>
        </w:tc>
        <w:tc>
          <w:tcPr>
            <w:tcW w:w="1328" w:type="pct"/>
            <w:vAlign w:val="center"/>
          </w:tcPr>
          <w:p w14:paraId="7202B91E" w14:textId="2CB350E4"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r>
      <w:tr w:rsidR="0043516D" w:rsidRPr="00536AB6" w14:paraId="5A27D5F5" w14:textId="4CEF2E16" w:rsidTr="006D1FBF">
        <w:trPr>
          <w:trHeight w:val="315"/>
          <w:jc w:val="center"/>
        </w:trPr>
        <w:tc>
          <w:tcPr>
            <w:tcW w:w="1014" w:type="pct"/>
            <w:noWrap/>
            <w:vAlign w:val="center"/>
            <w:hideMark/>
          </w:tcPr>
          <w:p w14:paraId="6A746957" w14:textId="77777777" w:rsidR="0043516D" w:rsidRPr="00857ED3" w:rsidRDefault="0043516D" w:rsidP="0043516D">
            <w:pPr>
              <w:widowControl/>
              <w:autoSpaceDE/>
              <w:autoSpaceDN/>
              <w:adjustRightInd/>
              <w:rPr>
                <w:rFonts w:asciiTheme="majorHAnsi" w:hAnsiTheme="majorHAnsi"/>
                <w:color w:val="000000"/>
              </w:rPr>
            </w:pPr>
            <w:r w:rsidRPr="00857ED3">
              <w:rPr>
                <w:rFonts w:asciiTheme="majorHAnsi" w:hAnsiTheme="majorHAnsi"/>
                <w:color w:val="000000"/>
              </w:rPr>
              <w:t>Costa Rica</w:t>
            </w:r>
          </w:p>
        </w:tc>
        <w:tc>
          <w:tcPr>
            <w:tcW w:w="1329" w:type="pct"/>
            <w:noWrap/>
            <w:vAlign w:val="center"/>
            <w:hideMark/>
          </w:tcPr>
          <w:p w14:paraId="0EFA2585" w14:textId="059EF1A8"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c>
          <w:tcPr>
            <w:tcW w:w="1329" w:type="pct"/>
            <w:noWrap/>
            <w:vAlign w:val="center"/>
            <w:hideMark/>
          </w:tcPr>
          <w:p w14:paraId="2D7E1CE9" w14:textId="3DA9693D"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c>
          <w:tcPr>
            <w:tcW w:w="1328" w:type="pct"/>
            <w:vAlign w:val="center"/>
          </w:tcPr>
          <w:p w14:paraId="0EC7F1F0" w14:textId="360F6402"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r>
      <w:tr w:rsidR="0043516D" w:rsidRPr="00536AB6" w14:paraId="4FFC6C96" w14:textId="3D525A94" w:rsidTr="006D1FBF">
        <w:trPr>
          <w:trHeight w:val="315"/>
          <w:jc w:val="center"/>
        </w:trPr>
        <w:tc>
          <w:tcPr>
            <w:tcW w:w="1014" w:type="pct"/>
            <w:noWrap/>
            <w:vAlign w:val="center"/>
            <w:hideMark/>
          </w:tcPr>
          <w:p w14:paraId="7BD5E2A9" w14:textId="77777777" w:rsidR="0043516D" w:rsidRPr="00857ED3" w:rsidRDefault="0043516D" w:rsidP="0043516D">
            <w:pPr>
              <w:widowControl/>
              <w:autoSpaceDE/>
              <w:autoSpaceDN/>
              <w:adjustRightInd/>
              <w:rPr>
                <w:rFonts w:asciiTheme="majorHAnsi" w:hAnsiTheme="majorHAnsi"/>
                <w:color w:val="000000"/>
              </w:rPr>
            </w:pPr>
            <w:r w:rsidRPr="00857ED3">
              <w:rPr>
                <w:rFonts w:asciiTheme="majorHAnsi" w:hAnsiTheme="majorHAnsi"/>
                <w:color w:val="000000"/>
              </w:rPr>
              <w:t>El Salvador</w:t>
            </w:r>
          </w:p>
        </w:tc>
        <w:tc>
          <w:tcPr>
            <w:tcW w:w="1329" w:type="pct"/>
            <w:noWrap/>
            <w:vAlign w:val="center"/>
            <w:hideMark/>
          </w:tcPr>
          <w:p w14:paraId="57656175" w14:textId="2B9B2243"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c>
          <w:tcPr>
            <w:tcW w:w="1329" w:type="pct"/>
            <w:noWrap/>
            <w:vAlign w:val="center"/>
            <w:hideMark/>
          </w:tcPr>
          <w:p w14:paraId="6758AD47" w14:textId="797E1BB5"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c>
          <w:tcPr>
            <w:tcW w:w="1328" w:type="pct"/>
            <w:vAlign w:val="center"/>
          </w:tcPr>
          <w:p w14:paraId="1B69A873" w14:textId="793B6CE1"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r>
      <w:tr w:rsidR="0043516D" w:rsidRPr="00536AB6" w14:paraId="5F88B625" w14:textId="3F6FFE99" w:rsidTr="006D1FBF">
        <w:trPr>
          <w:trHeight w:val="315"/>
          <w:jc w:val="center"/>
        </w:trPr>
        <w:tc>
          <w:tcPr>
            <w:tcW w:w="1014" w:type="pct"/>
            <w:noWrap/>
            <w:vAlign w:val="center"/>
            <w:hideMark/>
          </w:tcPr>
          <w:p w14:paraId="21DE90A2" w14:textId="77777777" w:rsidR="0043516D" w:rsidRPr="00857ED3" w:rsidRDefault="0043516D" w:rsidP="0043516D">
            <w:pPr>
              <w:widowControl/>
              <w:autoSpaceDE/>
              <w:autoSpaceDN/>
              <w:adjustRightInd/>
              <w:rPr>
                <w:rFonts w:asciiTheme="majorHAnsi" w:hAnsiTheme="majorHAnsi"/>
                <w:color w:val="000000"/>
              </w:rPr>
            </w:pPr>
            <w:r w:rsidRPr="00857ED3">
              <w:rPr>
                <w:rFonts w:asciiTheme="majorHAnsi" w:hAnsiTheme="majorHAnsi"/>
                <w:color w:val="000000"/>
              </w:rPr>
              <w:t>UE</w:t>
            </w:r>
          </w:p>
        </w:tc>
        <w:tc>
          <w:tcPr>
            <w:tcW w:w="1329" w:type="pct"/>
            <w:noWrap/>
            <w:vAlign w:val="center"/>
            <w:hideMark/>
          </w:tcPr>
          <w:p w14:paraId="725F5E08" w14:textId="75F9F7DF"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c>
          <w:tcPr>
            <w:tcW w:w="1329" w:type="pct"/>
            <w:noWrap/>
            <w:vAlign w:val="center"/>
            <w:hideMark/>
          </w:tcPr>
          <w:p w14:paraId="4FA7482D" w14:textId="11A70F70"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c>
          <w:tcPr>
            <w:tcW w:w="1328" w:type="pct"/>
            <w:vAlign w:val="center"/>
          </w:tcPr>
          <w:p w14:paraId="4686FD9C" w14:textId="7C352261"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r>
      <w:tr w:rsidR="0043516D" w:rsidRPr="00536AB6" w14:paraId="489029E8" w14:textId="216AC3EE" w:rsidTr="006D1FBF">
        <w:trPr>
          <w:trHeight w:val="315"/>
          <w:jc w:val="center"/>
        </w:trPr>
        <w:tc>
          <w:tcPr>
            <w:tcW w:w="1014" w:type="pct"/>
            <w:noWrap/>
            <w:vAlign w:val="center"/>
            <w:hideMark/>
          </w:tcPr>
          <w:p w14:paraId="27321C0E" w14:textId="77777777" w:rsidR="0043516D" w:rsidRPr="00857ED3" w:rsidRDefault="0043516D" w:rsidP="0043516D">
            <w:pPr>
              <w:widowControl/>
              <w:autoSpaceDE/>
              <w:autoSpaceDN/>
              <w:adjustRightInd/>
              <w:rPr>
                <w:rFonts w:asciiTheme="majorHAnsi" w:hAnsiTheme="majorHAnsi"/>
                <w:color w:val="000000"/>
              </w:rPr>
            </w:pPr>
            <w:r w:rsidRPr="00857ED3">
              <w:rPr>
                <w:rFonts w:asciiTheme="majorHAnsi" w:hAnsiTheme="majorHAnsi"/>
                <w:color w:val="000000"/>
              </w:rPr>
              <w:t>Ghana</w:t>
            </w:r>
          </w:p>
        </w:tc>
        <w:tc>
          <w:tcPr>
            <w:tcW w:w="1329" w:type="pct"/>
            <w:noWrap/>
            <w:vAlign w:val="center"/>
            <w:hideMark/>
          </w:tcPr>
          <w:p w14:paraId="486B181B" w14:textId="6BE2DD90"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c>
          <w:tcPr>
            <w:tcW w:w="1329" w:type="pct"/>
            <w:noWrap/>
            <w:vAlign w:val="center"/>
            <w:hideMark/>
          </w:tcPr>
          <w:p w14:paraId="4F88A78A" w14:textId="795AD45F"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c>
          <w:tcPr>
            <w:tcW w:w="1328" w:type="pct"/>
            <w:vAlign w:val="center"/>
          </w:tcPr>
          <w:p w14:paraId="17EB3504" w14:textId="786977BC"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r>
      <w:tr w:rsidR="0043516D" w:rsidRPr="00536AB6" w14:paraId="05ABB761" w14:textId="743D147D" w:rsidTr="006D1FBF">
        <w:trPr>
          <w:trHeight w:val="315"/>
          <w:jc w:val="center"/>
        </w:trPr>
        <w:tc>
          <w:tcPr>
            <w:tcW w:w="1014" w:type="pct"/>
            <w:noWrap/>
            <w:vAlign w:val="center"/>
          </w:tcPr>
          <w:p w14:paraId="163261D9" w14:textId="77777777" w:rsidR="0043516D" w:rsidRPr="00857ED3" w:rsidRDefault="0043516D" w:rsidP="0043516D">
            <w:pPr>
              <w:widowControl/>
              <w:autoSpaceDE/>
              <w:autoSpaceDN/>
              <w:adjustRightInd/>
              <w:rPr>
                <w:rFonts w:asciiTheme="majorHAnsi" w:hAnsiTheme="majorHAnsi"/>
                <w:color w:val="000000"/>
              </w:rPr>
            </w:pPr>
            <w:r w:rsidRPr="00857ED3">
              <w:rPr>
                <w:rFonts w:asciiTheme="majorHAnsi" w:hAnsiTheme="majorHAnsi"/>
                <w:color w:val="000000"/>
              </w:rPr>
              <w:t>República de Guinea</w:t>
            </w:r>
          </w:p>
        </w:tc>
        <w:tc>
          <w:tcPr>
            <w:tcW w:w="1329" w:type="pct"/>
            <w:noWrap/>
            <w:vAlign w:val="center"/>
          </w:tcPr>
          <w:p w14:paraId="25E07FF3" w14:textId="41754834"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c>
          <w:tcPr>
            <w:tcW w:w="1329" w:type="pct"/>
            <w:noWrap/>
            <w:vAlign w:val="center"/>
          </w:tcPr>
          <w:p w14:paraId="30995702" w14:textId="4B5FD186"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No</w:t>
            </w:r>
          </w:p>
        </w:tc>
        <w:tc>
          <w:tcPr>
            <w:tcW w:w="1328" w:type="pct"/>
            <w:vAlign w:val="center"/>
          </w:tcPr>
          <w:p w14:paraId="6647EE01" w14:textId="06E63E46"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No</w:t>
            </w:r>
          </w:p>
        </w:tc>
      </w:tr>
      <w:tr w:rsidR="0043516D" w:rsidRPr="00536AB6" w14:paraId="6BB865A6" w14:textId="6E1E4E1E" w:rsidTr="006D1FBF">
        <w:trPr>
          <w:trHeight w:val="315"/>
          <w:jc w:val="center"/>
        </w:trPr>
        <w:tc>
          <w:tcPr>
            <w:tcW w:w="1014" w:type="pct"/>
            <w:noWrap/>
            <w:vAlign w:val="center"/>
            <w:hideMark/>
          </w:tcPr>
          <w:p w14:paraId="28205E49" w14:textId="77777777" w:rsidR="0043516D" w:rsidRPr="00857ED3" w:rsidRDefault="0043516D" w:rsidP="0043516D">
            <w:pPr>
              <w:widowControl/>
              <w:autoSpaceDE/>
              <w:autoSpaceDN/>
              <w:adjustRightInd/>
              <w:rPr>
                <w:rFonts w:asciiTheme="majorHAnsi" w:hAnsiTheme="majorHAnsi"/>
                <w:color w:val="000000"/>
              </w:rPr>
            </w:pPr>
            <w:r w:rsidRPr="00857ED3">
              <w:rPr>
                <w:rFonts w:asciiTheme="majorHAnsi" w:hAnsiTheme="majorHAnsi"/>
                <w:color w:val="000000"/>
              </w:rPr>
              <w:t>Marruecos</w:t>
            </w:r>
          </w:p>
        </w:tc>
        <w:tc>
          <w:tcPr>
            <w:tcW w:w="1329" w:type="pct"/>
            <w:noWrap/>
            <w:vAlign w:val="center"/>
            <w:hideMark/>
          </w:tcPr>
          <w:p w14:paraId="7CCDD083" w14:textId="4EA05266"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c>
          <w:tcPr>
            <w:tcW w:w="1329" w:type="pct"/>
            <w:noWrap/>
            <w:vAlign w:val="center"/>
            <w:hideMark/>
          </w:tcPr>
          <w:p w14:paraId="7EC5220E" w14:textId="7785DF54"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c>
          <w:tcPr>
            <w:tcW w:w="1328" w:type="pct"/>
            <w:vAlign w:val="center"/>
          </w:tcPr>
          <w:p w14:paraId="1BA7CAC3" w14:textId="43C03A5F"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No</w:t>
            </w:r>
          </w:p>
        </w:tc>
      </w:tr>
      <w:tr w:rsidR="0043516D" w:rsidRPr="00536AB6" w14:paraId="50973C22" w14:textId="0281E305" w:rsidTr="006D1FBF">
        <w:trPr>
          <w:trHeight w:val="315"/>
          <w:jc w:val="center"/>
        </w:trPr>
        <w:tc>
          <w:tcPr>
            <w:tcW w:w="1014" w:type="pct"/>
            <w:noWrap/>
            <w:vAlign w:val="center"/>
            <w:hideMark/>
          </w:tcPr>
          <w:p w14:paraId="434E9F1D" w14:textId="77777777" w:rsidR="0043516D" w:rsidRPr="00857ED3" w:rsidRDefault="0043516D" w:rsidP="0043516D">
            <w:pPr>
              <w:widowControl/>
              <w:autoSpaceDE/>
              <w:autoSpaceDN/>
              <w:adjustRightInd/>
              <w:rPr>
                <w:rFonts w:asciiTheme="majorHAnsi" w:hAnsiTheme="majorHAnsi"/>
                <w:color w:val="000000"/>
              </w:rPr>
            </w:pPr>
            <w:r w:rsidRPr="00857ED3">
              <w:rPr>
                <w:rFonts w:asciiTheme="majorHAnsi" w:hAnsiTheme="majorHAnsi"/>
                <w:color w:val="000000"/>
              </w:rPr>
              <w:t>Panamá</w:t>
            </w:r>
          </w:p>
        </w:tc>
        <w:tc>
          <w:tcPr>
            <w:tcW w:w="1329" w:type="pct"/>
            <w:noWrap/>
            <w:vAlign w:val="center"/>
            <w:hideMark/>
          </w:tcPr>
          <w:p w14:paraId="3A3AE8A4" w14:textId="43226D86"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c>
          <w:tcPr>
            <w:tcW w:w="1329" w:type="pct"/>
            <w:noWrap/>
            <w:vAlign w:val="center"/>
            <w:hideMark/>
          </w:tcPr>
          <w:p w14:paraId="00FBA28A" w14:textId="1AD0862C"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c>
          <w:tcPr>
            <w:tcW w:w="1328" w:type="pct"/>
            <w:vAlign w:val="center"/>
          </w:tcPr>
          <w:p w14:paraId="4BEEF635" w14:textId="10B057EA"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r>
      <w:tr w:rsidR="0043516D" w:rsidRPr="00536AB6" w14:paraId="3CC2E9EA" w14:textId="29681C5C" w:rsidTr="006D1FBF">
        <w:trPr>
          <w:trHeight w:val="315"/>
          <w:jc w:val="center"/>
        </w:trPr>
        <w:tc>
          <w:tcPr>
            <w:tcW w:w="1014" w:type="pct"/>
            <w:noWrap/>
            <w:vAlign w:val="center"/>
            <w:hideMark/>
          </w:tcPr>
          <w:p w14:paraId="54EAC070" w14:textId="77777777" w:rsidR="0043516D" w:rsidRPr="00857ED3" w:rsidRDefault="0043516D" w:rsidP="0043516D">
            <w:pPr>
              <w:widowControl/>
              <w:autoSpaceDE/>
              <w:autoSpaceDN/>
              <w:adjustRightInd/>
              <w:rPr>
                <w:rFonts w:asciiTheme="majorHAnsi" w:hAnsiTheme="majorHAnsi"/>
                <w:color w:val="000000"/>
              </w:rPr>
            </w:pPr>
            <w:r w:rsidRPr="00857ED3">
              <w:rPr>
                <w:rFonts w:asciiTheme="majorHAnsi" w:hAnsiTheme="majorHAnsi"/>
                <w:color w:val="000000"/>
              </w:rPr>
              <w:t>Senegal</w:t>
            </w:r>
          </w:p>
        </w:tc>
        <w:tc>
          <w:tcPr>
            <w:tcW w:w="1329" w:type="pct"/>
            <w:noWrap/>
            <w:vAlign w:val="center"/>
            <w:hideMark/>
          </w:tcPr>
          <w:p w14:paraId="4CE5770E" w14:textId="4CB80D51"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c>
          <w:tcPr>
            <w:tcW w:w="1329" w:type="pct"/>
            <w:noWrap/>
            <w:vAlign w:val="center"/>
            <w:hideMark/>
          </w:tcPr>
          <w:p w14:paraId="1A154348" w14:textId="4BE3B344"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c>
          <w:tcPr>
            <w:tcW w:w="1328" w:type="pct"/>
            <w:vAlign w:val="center"/>
          </w:tcPr>
          <w:p w14:paraId="1A14BC62" w14:textId="5532D740" w:rsidR="0043516D" w:rsidRPr="00857ED3" w:rsidRDefault="0043516D" w:rsidP="0043516D">
            <w:pPr>
              <w:widowControl/>
              <w:autoSpaceDE/>
              <w:autoSpaceDN/>
              <w:adjustRightInd/>
              <w:jc w:val="center"/>
              <w:rPr>
                <w:rFonts w:asciiTheme="majorHAnsi" w:hAnsiTheme="majorHAnsi"/>
                <w:color w:val="000000"/>
              </w:rPr>
            </w:pPr>
            <w:r w:rsidRPr="00857ED3">
              <w:rPr>
                <w:rFonts w:asciiTheme="majorHAnsi" w:hAnsiTheme="majorHAnsi"/>
                <w:color w:val="000000"/>
              </w:rPr>
              <w:t>P</w:t>
            </w:r>
          </w:p>
        </w:tc>
      </w:tr>
    </w:tbl>
    <w:p w14:paraId="6928E320" w14:textId="77777777" w:rsidR="00A17641" w:rsidRPr="00536AB6" w:rsidRDefault="00A17641" w:rsidP="001C2499">
      <w:pPr>
        <w:tabs>
          <w:tab w:val="left" w:pos="1276"/>
          <w:tab w:val="left" w:pos="1418"/>
          <w:tab w:val="left" w:leader="dot" w:pos="8222"/>
          <w:tab w:val="right" w:pos="8647"/>
        </w:tabs>
        <w:jc w:val="both"/>
        <w:rPr>
          <w:rFonts w:asciiTheme="majorHAnsi" w:hAnsiTheme="majorHAnsi"/>
          <w:bCs/>
          <w:iCs/>
          <w:lang w:val="en-GB"/>
        </w:rPr>
      </w:pPr>
    </w:p>
    <w:p w14:paraId="1D8B5AE0" w14:textId="4E4742E6" w:rsidR="00A17641" w:rsidRPr="00536AB6" w:rsidRDefault="00A17641" w:rsidP="001C2499">
      <w:pPr>
        <w:tabs>
          <w:tab w:val="left" w:pos="1276"/>
          <w:tab w:val="left" w:pos="1418"/>
          <w:tab w:val="left" w:leader="dot" w:pos="8222"/>
          <w:tab w:val="right" w:pos="8647"/>
        </w:tabs>
        <w:jc w:val="both"/>
        <w:rPr>
          <w:rFonts w:asciiTheme="majorHAnsi" w:hAnsiTheme="majorHAnsi"/>
          <w:bCs/>
          <w:iCs/>
        </w:rPr>
      </w:pPr>
      <w:r>
        <w:rPr>
          <w:rFonts w:asciiTheme="majorHAnsi" w:hAnsiTheme="majorHAnsi"/>
        </w:rPr>
        <w:t xml:space="preserve">Cabe señalar que en la tabla anterior solo figuran las CPC que han presentado planes de ordenación de DCP para 2025 y/o 2026 y que han pescado activamente </w:t>
      </w:r>
      <w:r w:rsidR="00857ED3">
        <w:rPr>
          <w:rFonts w:asciiTheme="majorHAnsi" w:hAnsiTheme="majorHAnsi"/>
        </w:rPr>
        <w:t>túnidos tropicales</w:t>
      </w:r>
      <w:r>
        <w:rPr>
          <w:rFonts w:asciiTheme="majorHAnsi" w:hAnsiTheme="majorHAnsi"/>
        </w:rPr>
        <w:t xml:space="preserve"> en 2025.</w:t>
      </w:r>
    </w:p>
    <w:p w14:paraId="77765EAF" w14:textId="77777777" w:rsidR="0043516D" w:rsidRPr="00364A87" w:rsidRDefault="0043516D" w:rsidP="001C2499">
      <w:pPr>
        <w:tabs>
          <w:tab w:val="left" w:pos="1276"/>
          <w:tab w:val="left" w:pos="1418"/>
          <w:tab w:val="left" w:leader="dot" w:pos="8222"/>
          <w:tab w:val="right" w:pos="8647"/>
        </w:tabs>
        <w:jc w:val="both"/>
        <w:rPr>
          <w:rFonts w:asciiTheme="majorHAnsi" w:hAnsiTheme="majorHAnsi"/>
        </w:rPr>
      </w:pPr>
    </w:p>
    <w:p w14:paraId="7DED72DA" w14:textId="53F36B31" w:rsidR="001C2499" w:rsidRPr="00536AB6" w:rsidRDefault="001C2499" w:rsidP="001C2499">
      <w:pPr>
        <w:tabs>
          <w:tab w:val="left" w:pos="1276"/>
          <w:tab w:val="left" w:pos="1418"/>
          <w:tab w:val="left" w:leader="dot" w:pos="8222"/>
          <w:tab w:val="right" w:pos="8647"/>
        </w:tabs>
        <w:jc w:val="both"/>
        <w:rPr>
          <w:rFonts w:asciiTheme="majorHAnsi" w:hAnsiTheme="majorHAnsi"/>
        </w:rPr>
      </w:pPr>
      <w:r>
        <w:rPr>
          <w:rFonts w:asciiTheme="majorHAnsi" w:hAnsiTheme="majorHAnsi"/>
        </w:rPr>
        <w:t xml:space="preserve">Véase el "Informe de la Secretaría de ICCAT sobre investigación y estadísticas de 2026" [PLE_105/2026], apéndice 2, para más detalles sobre los datos de DCP recibidos. </w:t>
      </w:r>
    </w:p>
    <w:p w14:paraId="70D68C61" w14:textId="77777777" w:rsidR="0043516D" w:rsidRPr="00364A87" w:rsidRDefault="0043516D" w:rsidP="001C2499">
      <w:pPr>
        <w:tabs>
          <w:tab w:val="left" w:pos="1276"/>
          <w:tab w:val="left" w:pos="1418"/>
          <w:tab w:val="left" w:leader="dot" w:pos="8222"/>
          <w:tab w:val="right" w:pos="8647"/>
        </w:tabs>
        <w:jc w:val="both"/>
        <w:rPr>
          <w:rFonts w:asciiTheme="majorHAnsi" w:hAnsiTheme="majorHAnsi"/>
        </w:rPr>
      </w:pPr>
    </w:p>
    <w:p w14:paraId="76BB4136" w14:textId="617850F0" w:rsidR="0098128E" w:rsidRDefault="00B4660A" w:rsidP="00820485">
      <w:pPr>
        <w:tabs>
          <w:tab w:val="left" w:pos="1276"/>
          <w:tab w:val="left" w:pos="1418"/>
          <w:tab w:val="left" w:leader="dot" w:pos="8222"/>
          <w:tab w:val="right" w:pos="8647"/>
        </w:tabs>
        <w:jc w:val="both"/>
        <w:rPr>
          <w:rFonts w:asciiTheme="majorHAnsi" w:hAnsiTheme="majorHAnsi"/>
        </w:rPr>
      </w:pPr>
      <w:r>
        <w:rPr>
          <w:rFonts w:asciiTheme="majorHAnsi" w:hAnsiTheme="majorHAnsi"/>
          <w:b/>
          <w:bCs/>
          <w:i/>
        </w:rPr>
        <w:t>Capturas mensuales/trimestrales de túnidos tropicales:</w:t>
      </w:r>
      <w:r>
        <w:rPr>
          <w:rFonts w:asciiTheme="majorHAnsi" w:hAnsiTheme="majorHAnsi"/>
        </w:rPr>
        <w:t xml:space="preserve"> En la </w:t>
      </w:r>
      <w:r>
        <w:rPr>
          <w:rFonts w:asciiTheme="majorHAnsi" w:hAnsiTheme="majorHAnsi"/>
          <w:b/>
          <w:bCs/>
        </w:rPr>
        <w:t>tabla 1</w:t>
      </w:r>
      <w:r>
        <w:rPr>
          <w:rFonts w:asciiTheme="majorHAnsi" w:hAnsiTheme="majorHAnsi"/>
        </w:rPr>
        <w:t xml:space="preserve"> se muestran las capturas de túnidos tropicales en 2025 comunicadas mensual y trimestralmente. Los requisitos son algo contradictorios, ya que algunas CPC están obligadas a presentar informes trimestrales y mensuales, y en algunos casos, semanales. Es muy difícil recopilar y extraer datos de manera significativa, debido a las </w:t>
      </w:r>
      <w:r>
        <w:rPr>
          <w:rFonts w:asciiTheme="majorHAnsi" w:hAnsiTheme="majorHAnsi"/>
        </w:rPr>
        <w:lastRenderedPageBreak/>
        <w:t xml:space="preserve">duplicaciones que conlleva. El párrafo 15 requiere la notificación de las especies de túnidos tropicales, mientras que el párrafo 16 requiere la notificación mensual para los cerqueros o palangreros, que se incrementa a semanal "cuando se haya capturado el 80 % de sus límites de captura", aunque los límites de captura sólo se aplican al patudo y no a todas las especies de túnidos tropicales. </w:t>
      </w:r>
    </w:p>
    <w:p w14:paraId="26F4133E" w14:textId="77777777" w:rsidR="003306C2" w:rsidRPr="00536AB6" w:rsidRDefault="003306C2" w:rsidP="00820485">
      <w:pPr>
        <w:tabs>
          <w:tab w:val="left" w:pos="1276"/>
          <w:tab w:val="left" w:pos="1418"/>
          <w:tab w:val="left" w:leader="dot" w:pos="8222"/>
          <w:tab w:val="right" w:pos="8647"/>
        </w:tabs>
        <w:jc w:val="both"/>
        <w:rPr>
          <w:rFonts w:asciiTheme="majorHAnsi" w:hAnsiTheme="majorHAnsi"/>
          <w:bCs/>
        </w:rPr>
      </w:pPr>
    </w:p>
    <w:p w14:paraId="6D359157" w14:textId="27A397B0" w:rsidR="00015B4B" w:rsidRPr="00536AB6" w:rsidRDefault="00015B4B" w:rsidP="00820485">
      <w:pPr>
        <w:tabs>
          <w:tab w:val="left" w:pos="1276"/>
          <w:tab w:val="left" w:pos="1418"/>
          <w:tab w:val="left" w:leader="dot" w:pos="8222"/>
          <w:tab w:val="right" w:pos="8647"/>
        </w:tabs>
        <w:jc w:val="both"/>
        <w:rPr>
          <w:rFonts w:asciiTheme="majorHAnsi" w:hAnsiTheme="majorHAnsi"/>
          <w:bCs/>
        </w:rPr>
      </w:pPr>
      <w:r>
        <w:rPr>
          <w:rFonts w:asciiTheme="majorHAnsi" w:hAnsiTheme="majorHAnsi"/>
        </w:rPr>
        <w:t>En el párrafo 15 se estipula lo siguiente: "las CPC comunicarán trimestralmente a la Secretaría la cantidad de túnidos tropicales, por especie, capturados por buques que enarbolan su pabellón en un plazo de 30 días a partir del final del período en que se realizaron las capturas". La Secretaría entiende que esto se refiere a todas las CPC que capturan especies de túnidos tropicales,</w:t>
      </w:r>
    </w:p>
    <w:p w14:paraId="0AB888AA" w14:textId="77777777" w:rsidR="0098128E" w:rsidRPr="00364A87" w:rsidRDefault="0098128E" w:rsidP="00820485">
      <w:pPr>
        <w:tabs>
          <w:tab w:val="left" w:pos="1276"/>
          <w:tab w:val="left" w:pos="1418"/>
          <w:tab w:val="left" w:leader="dot" w:pos="8222"/>
          <w:tab w:val="right" w:pos="8647"/>
        </w:tabs>
        <w:jc w:val="both"/>
        <w:rPr>
          <w:rFonts w:asciiTheme="majorHAnsi" w:hAnsiTheme="majorHAnsi"/>
          <w:bCs/>
        </w:rPr>
      </w:pPr>
    </w:p>
    <w:p w14:paraId="462E1D94" w14:textId="5FC5EE70" w:rsidR="007A3316" w:rsidRPr="00536AB6" w:rsidRDefault="007A3316" w:rsidP="00820485">
      <w:pPr>
        <w:tabs>
          <w:tab w:val="left" w:pos="1276"/>
          <w:tab w:val="left" w:pos="1418"/>
          <w:tab w:val="left" w:leader="dot" w:pos="8222"/>
          <w:tab w:val="right" w:pos="8647"/>
        </w:tabs>
        <w:jc w:val="both"/>
        <w:rPr>
          <w:rFonts w:asciiTheme="majorHAnsi" w:hAnsiTheme="majorHAnsi"/>
          <w:bCs/>
        </w:rPr>
      </w:pPr>
      <w:r>
        <w:rPr>
          <w:rFonts w:asciiTheme="majorHAnsi" w:hAnsiTheme="majorHAnsi"/>
        </w:rPr>
        <w:t xml:space="preserve">Los datos de Tarea 1 para 2025 indican que las siguientes CPC pescaron túnidos tropicales, pero no se recibieron los informes de capturas trimestrales (o mensuales) correspondientes: </w:t>
      </w:r>
    </w:p>
    <w:p w14:paraId="56D43C2A" w14:textId="2714F153" w:rsidR="000D3A2C" w:rsidRPr="00364A87" w:rsidRDefault="000D3A2C" w:rsidP="00820485">
      <w:pPr>
        <w:tabs>
          <w:tab w:val="left" w:pos="1276"/>
          <w:tab w:val="left" w:pos="1418"/>
          <w:tab w:val="left" w:leader="dot" w:pos="8222"/>
          <w:tab w:val="right" w:pos="8647"/>
        </w:tabs>
        <w:jc w:val="both"/>
        <w:rPr>
          <w:rFonts w:asciiTheme="majorHAnsi" w:hAnsiTheme="majorHAnsi"/>
        </w:rPr>
      </w:pPr>
    </w:p>
    <w:tbl>
      <w:tblPr>
        <w:tblW w:w="5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7"/>
        <w:gridCol w:w="2341"/>
      </w:tblGrid>
      <w:tr w:rsidR="00B271B4" w:rsidRPr="00536AB6" w14:paraId="205C1517" w14:textId="77777777" w:rsidTr="006D1FBF">
        <w:trPr>
          <w:trHeight w:val="295"/>
          <w:jc w:val="center"/>
        </w:trPr>
        <w:tc>
          <w:tcPr>
            <w:tcW w:w="2757" w:type="dxa"/>
            <w:tcBorders>
              <w:bottom w:val="single" w:sz="4" w:space="0" w:color="auto"/>
            </w:tcBorders>
            <w:shd w:val="clear" w:color="4472C4" w:fill="auto"/>
            <w:noWrap/>
            <w:vAlign w:val="center"/>
            <w:hideMark/>
          </w:tcPr>
          <w:p w14:paraId="63B93C41" w14:textId="552DC1D3" w:rsidR="00B271B4" w:rsidRPr="00304FB0" w:rsidRDefault="00DF5C32" w:rsidP="006D1FBF">
            <w:pPr>
              <w:widowControl/>
              <w:autoSpaceDE/>
              <w:autoSpaceDN/>
              <w:adjustRightInd/>
              <w:rPr>
                <w:rFonts w:asciiTheme="majorHAnsi" w:hAnsiTheme="majorHAnsi" w:cs="Calibri"/>
                <w:i/>
                <w:iCs/>
              </w:rPr>
            </w:pPr>
            <w:r w:rsidRPr="00304FB0">
              <w:rPr>
                <w:rFonts w:asciiTheme="majorHAnsi" w:hAnsiTheme="majorHAnsi"/>
                <w:i/>
              </w:rPr>
              <w:t>CPC</w:t>
            </w:r>
          </w:p>
        </w:tc>
        <w:tc>
          <w:tcPr>
            <w:tcW w:w="2341" w:type="dxa"/>
            <w:shd w:val="clear" w:color="4472C4" w:fill="auto"/>
            <w:noWrap/>
            <w:vAlign w:val="center"/>
            <w:hideMark/>
          </w:tcPr>
          <w:p w14:paraId="5449700A" w14:textId="6CEDBFAF" w:rsidR="00B271B4" w:rsidRPr="00304FB0" w:rsidRDefault="00DF5C32" w:rsidP="00F627F4">
            <w:pPr>
              <w:widowControl/>
              <w:autoSpaceDE/>
              <w:autoSpaceDN/>
              <w:adjustRightInd/>
              <w:jc w:val="center"/>
              <w:rPr>
                <w:rFonts w:asciiTheme="majorHAnsi" w:hAnsiTheme="majorHAnsi" w:cs="Calibri"/>
                <w:i/>
                <w:iCs/>
              </w:rPr>
            </w:pPr>
            <w:r w:rsidRPr="00304FB0">
              <w:rPr>
                <w:rFonts w:asciiTheme="majorHAnsi" w:hAnsiTheme="majorHAnsi"/>
                <w:i/>
              </w:rPr>
              <w:t>Total de capturas de túnidos tropicales (t)</w:t>
            </w:r>
          </w:p>
        </w:tc>
      </w:tr>
      <w:tr w:rsidR="00A17641" w:rsidRPr="00536AB6" w14:paraId="594F8264" w14:textId="77777777" w:rsidTr="006D1FBF">
        <w:trPr>
          <w:trHeight w:val="295"/>
          <w:jc w:val="center"/>
        </w:trPr>
        <w:tc>
          <w:tcPr>
            <w:tcW w:w="2757" w:type="dxa"/>
            <w:shd w:val="clear" w:color="000000" w:fill="auto"/>
            <w:noWrap/>
            <w:vAlign w:val="center"/>
            <w:hideMark/>
          </w:tcPr>
          <w:p w14:paraId="07A1C496" w14:textId="3C642548" w:rsidR="00A17641" w:rsidRPr="00304FB0" w:rsidRDefault="00A17641" w:rsidP="00A17641">
            <w:pPr>
              <w:widowControl/>
              <w:autoSpaceDE/>
              <w:autoSpaceDN/>
              <w:adjustRightInd/>
              <w:rPr>
                <w:rFonts w:asciiTheme="majorHAnsi" w:hAnsiTheme="majorHAnsi"/>
              </w:rPr>
            </w:pPr>
            <w:r w:rsidRPr="00304FB0">
              <w:rPr>
                <w:rFonts w:asciiTheme="majorHAnsi" w:hAnsiTheme="majorHAnsi"/>
                <w:color w:val="000000"/>
              </w:rPr>
              <w:t>Cabo Verde</w:t>
            </w:r>
          </w:p>
        </w:tc>
        <w:tc>
          <w:tcPr>
            <w:tcW w:w="2341" w:type="dxa"/>
            <w:noWrap/>
            <w:vAlign w:val="center"/>
            <w:hideMark/>
          </w:tcPr>
          <w:p w14:paraId="63FF6EEE" w14:textId="68F721A8" w:rsidR="00A17641" w:rsidRPr="00304FB0" w:rsidRDefault="00A17641" w:rsidP="00A17641">
            <w:pPr>
              <w:widowControl/>
              <w:autoSpaceDE/>
              <w:autoSpaceDN/>
              <w:adjustRightInd/>
              <w:jc w:val="right"/>
              <w:rPr>
                <w:rFonts w:asciiTheme="majorHAnsi" w:hAnsiTheme="majorHAnsi"/>
              </w:rPr>
            </w:pPr>
            <w:r w:rsidRPr="00304FB0">
              <w:rPr>
                <w:rFonts w:asciiTheme="majorHAnsi" w:hAnsiTheme="majorHAnsi"/>
                <w:color w:val="000000"/>
              </w:rPr>
              <w:t>1.540</w:t>
            </w:r>
          </w:p>
        </w:tc>
      </w:tr>
      <w:tr w:rsidR="00A17641" w:rsidRPr="00536AB6" w14:paraId="4AB97A64" w14:textId="77777777" w:rsidTr="006D1FBF">
        <w:trPr>
          <w:trHeight w:val="295"/>
          <w:jc w:val="center"/>
        </w:trPr>
        <w:tc>
          <w:tcPr>
            <w:tcW w:w="2757" w:type="dxa"/>
            <w:shd w:val="clear" w:color="000000" w:fill="auto"/>
            <w:noWrap/>
            <w:vAlign w:val="center"/>
            <w:hideMark/>
          </w:tcPr>
          <w:p w14:paraId="7866FE69" w14:textId="6BD31673" w:rsidR="00A17641" w:rsidRPr="00304FB0" w:rsidRDefault="00A17641" w:rsidP="00A17641">
            <w:pPr>
              <w:widowControl/>
              <w:autoSpaceDE/>
              <w:autoSpaceDN/>
              <w:adjustRightInd/>
              <w:rPr>
                <w:rFonts w:asciiTheme="majorHAnsi" w:hAnsiTheme="majorHAnsi"/>
              </w:rPr>
            </w:pPr>
            <w:r w:rsidRPr="00304FB0">
              <w:rPr>
                <w:rFonts w:asciiTheme="majorHAnsi" w:hAnsiTheme="majorHAnsi"/>
                <w:color w:val="000000"/>
              </w:rPr>
              <w:t>Côte d’Ivoire</w:t>
            </w:r>
          </w:p>
        </w:tc>
        <w:tc>
          <w:tcPr>
            <w:tcW w:w="2341" w:type="dxa"/>
            <w:noWrap/>
            <w:vAlign w:val="center"/>
            <w:hideMark/>
          </w:tcPr>
          <w:p w14:paraId="223AF443" w14:textId="1C11339D" w:rsidR="00A17641" w:rsidRPr="00304FB0" w:rsidRDefault="00A17641" w:rsidP="00A17641">
            <w:pPr>
              <w:widowControl/>
              <w:autoSpaceDE/>
              <w:autoSpaceDN/>
              <w:adjustRightInd/>
              <w:jc w:val="right"/>
              <w:rPr>
                <w:rFonts w:asciiTheme="majorHAnsi" w:hAnsiTheme="majorHAnsi"/>
              </w:rPr>
            </w:pPr>
            <w:r w:rsidRPr="00304FB0">
              <w:rPr>
                <w:rFonts w:asciiTheme="majorHAnsi" w:hAnsiTheme="majorHAnsi"/>
                <w:color w:val="000000"/>
              </w:rPr>
              <w:t>5.611</w:t>
            </w:r>
          </w:p>
        </w:tc>
      </w:tr>
      <w:tr w:rsidR="00A17641" w:rsidRPr="00536AB6" w14:paraId="45412F31" w14:textId="77777777" w:rsidTr="006D1FBF">
        <w:trPr>
          <w:trHeight w:val="295"/>
          <w:jc w:val="center"/>
        </w:trPr>
        <w:tc>
          <w:tcPr>
            <w:tcW w:w="2757" w:type="dxa"/>
            <w:shd w:val="clear" w:color="000000" w:fill="auto"/>
            <w:noWrap/>
            <w:vAlign w:val="center"/>
            <w:hideMark/>
          </w:tcPr>
          <w:p w14:paraId="4899362E" w14:textId="5AF5CEFF" w:rsidR="00A17641" w:rsidRPr="00304FB0" w:rsidRDefault="00A17641" w:rsidP="00A17641">
            <w:pPr>
              <w:widowControl/>
              <w:autoSpaceDE/>
              <w:autoSpaceDN/>
              <w:adjustRightInd/>
              <w:rPr>
                <w:rFonts w:asciiTheme="majorHAnsi" w:hAnsiTheme="majorHAnsi"/>
              </w:rPr>
            </w:pPr>
            <w:r w:rsidRPr="00304FB0">
              <w:rPr>
                <w:rFonts w:asciiTheme="majorHAnsi" w:hAnsiTheme="majorHAnsi"/>
                <w:color w:val="000000"/>
              </w:rPr>
              <w:t>Cuba</w:t>
            </w:r>
          </w:p>
        </w:tc>
        <w:tc>
          <w:tcPr>
            <w:tcW w:w="2341" w:type="dxa"/>
            <w:noWrap/>
            <w:vAlign w:val="center"/>
            <w:hideMark/>
          </w:tcPr>
          <w:p w14:paraId="38C0531C" w14:textId="2312F8FC" w:rsidR="00A17641" w:rsidRPr="00304FB0" w:rsidRDefault="00A17641" w:rsidP="00A17641">
            <w:pPr>
              <w:widowControl/>
              <w:autoSpaceDE/>
              <w:autoSpaceDN/>
              <w:adjustRightInd/>
              <w:jc w:val="right"/>
              <w:rPr>
                <w:rFonts w:asciiTheme="majorHAnsi" w:hAnsiTheme="majorHAnsi"/>
              </w:rPr>
            </w:pPr>
            <w:r w:rsidRPr="00304FB0">
              <w:rPr>
                <w:rFonts w:asciiTheme="majorHAnsi" w:hAnsiTheme="majorHAnsi"/>
                <w:color w:val="000000"/>
              </w:rPr>
              <w:t>26</w:t>
            </w:r>
          </w:p>
        </w:tc>
      </w:tr>
      <w:tr w:rsidR="00A17641" w:rsidRPr="00536AB6" w14:paraId="6D650C1C" w14:textId="77777777" w:rsidTr="006D1FBF">
        <w:trPr>
          <w:trHeight w:val="295"/>
          <w:jc w:val="center"/>
        </w:trPr>
        <w:tc>
          <w:tcPr>
            <w:tcW w:w="2757" w:type="dxa"/>
            <w:shd w:val="clear" w:color="000000" w:fill="auto"/>
            <w:noWrap/>
            <w:vAlign w:val="center"/>
            <w:hideMark/>
          </w:tcPr>
          <w:p w14:paraId="3FF5D584" w14:textId="42BC936C" w:rsidR="00A17641" w:rsidRPr="00304FB0" w:rsidRDefault="00A17641" w:rsidP="00A17641">
            <w:pPr>
              <w:widowControl/>
              <w:autoSpaceDE/>
              <w:autoSpaceDN/>
              <w:adjustRightInd/>
              <w:rPr>
                <w:rFonts w:asciiTheme="majorHAnsi" w:hAnsiTheme="majorHAnsi"/>
              </w:rPr>
            </w:pPr>
            <w:r w:rsidRPr="00304FB0">
              <w:rPr>
                <w:rFonts w:asciiTheme="majorHAnsi" w:hAnsiTheme="majorHAnsi"/>
                <w:color w:val="000000"/>
              </w:rPr>
              <w:t>Egipto</w:t>
            </w:r>
          </w:p>
        </w:tc>
        <w:tc>
          <w:tcPr>
            <w:tcW w:w="2341" w:type="dxa"/>
            <w:noWrap/>
            <w:vAlign w:val="center"/>
            <w:hideMark/>
          </w:tcPr>
          <w:p w14:paraId="550CF6CD" w14:textId="57705F37" w:rsidR="00A17641" w:rsidRPr="00304FB0" w:rsidRDefault="00A17641" w:rsidP="00A17641">
            <w:pPr>
              <w:widowControl/>
              <w:autoSpaceDE/>
              <w:autoSpaceDN/>
              <w:adjustRightInd/>
              <w:jc w:val="right"/>
              <w:rPr>
                <w:rFonts w:asciiTheme="majorHAnsi" w:hAnsiTheme="majorHAnsi"/>
              </w:rPr>
            </w:pPr>
            <w:r w:rsidRPr="00304FB0">
              <w:rPr>
                <w:rFonts w:asciiTheme="majorHAnsi" w:hAnsiTheme="majorHAnsi"/>
                <w:color w:val="000000"/>
              </w:rPr>
              <w:t>6</w:t>
            </w:r>
          </w:p>
        </w:tc>
      </w:tr>
      <w:tr w:rsidR="00A17641" w:rsidRPr="00536AB6" w14:paraId="6E6F8842" w14:textId="77777777" w:rsidTr="006D1FBF">
        <w:trPr>
          <w:trHeight w:val="295"/>
          <w:jc w:val="center"/>
        </w:trPr>
        <w:tc>
          <w:tcPr>
            <w:tcW w:w="2757" w:type="dxa"/>
            <w:shd w:val="clear" w:color="000000" w:fill="auto"/>
            <w:noWrap/>
            <w:vAlign w:val="center"/>
            <w:hideMark/>
          </w:tcPr>
          <w:p w14:paraId="588E6EC1" w14:textId="0D0197AD" w:rsidR="00A17641" w:rsidRPr="00304FB0" w:rsidRDefault="00A17641" w:rsidP="00A17641">
            <w:pPr>
              <w:widowControl/>
              <w:autoSpaceDE/>
              <w:autoSpaceDN/>
              <w:adjustRightInd/>
              <w:rPr>
                <w:rFonts w:asciiTheme="majorHAnsi" w:hAnsiTheme="majorHAnsi"/>
              </w:rPr>
            </w:pPr>
            <w:r w:rsidRPr="00304FB0">
              <w:rPr>
                <w:rFonts w:asciiTheme="majorHAnsi" w:hAnsiTheme="majorHAnsi"/>
                <w:color w:val="000000"/>
              </w:rPr>
              <w:t>Granada</w:t>
            </w:r>
          </w:p>
        </w:tc>
        <w:tc>
          <w:tcPr>
            <w:tcW w:w="2341" w:type="dxa"/>
            <w:noWrap/>
            <w:vAlign w:val="center"/>
            <w:hideMark/>
          </w:tcPr>
          <w:p w14:paraId="6B3BC132" w14:textId="11248165" w:rsidR="00A17641" w:rsidRPr="00304FB0" w:rsidRDefault="00A17641" w:rsidP="00A17641">
            <w:pPr>
              <w:widowControl/>
              <w:autoSpaceDE/>
              <w:autoSpaceDN/>
              <w:adjustRightInd/>
              <w:jc w:val="right"/>
              <w:rPr>
                <w:rFonts w:asciiTheme="majorHAnsi" w:hAnsiTheme="majorHAnsi"/>
              </w:rPr>
            </w:pPr>
            <w:r w:rsidRPr="00304FB0">
              <w:rPr>
                <w:rFonts w:asciiTheme="majorHAnsi" w:hAnsiTheme="majorHAnsi"/>
                <w:color w:val="000000"/>
              </w:rPr>
              <w:t>1.429</w:t>
            </w:r>
          </w:p>
        </w:tc>
      </w:tr>
      <w:tr w:rsidR="00A17641" w:rsidRPr="00536AB6" w14:paraId="5D35B09A" w14:textId="77777777" w:rsidTr="006D1FBF">
        <w:trPr>
          <w:trHeight w:val="295"/>
          <w:jc w:val="center"/>
        </w:trPr>
        <w:tc>
          <w:tcPr>
            <w:tcW w:w="2757" w:type="dxa"/>
            <w:shd w:val="clear" w:color="000000" w:fill="auto"/>
            <w:noWrap/>
            <w:vAlign w:val="center"/>
            <w:hideMark/>
          </w:tcPr>
          <w:p w14:paraId="47CB37CC" w14:textId="4084C659" w:rsidR="00A17641" w:rsidRPr="00304FB0" w:rsidRDefault="00A17641" w:rsidP="00A17641">
            <w:pPr>
              <w:widowControl/>
              <w:autoSpaceDE/>
              <w:autoSpaceDN/>
              <w:adjustRightInd/>
              <w:rPr>
                <w:rFonts w:asciiTheme="majorHAnsi" w:hAnsiTheme="majorHAnsi"/>
              </w:rPr>
            </w:pPr>
            <w:r w:rsidRPr="00304FB0">
              <w:rPr>
                <w:rFonts w:asciiTheme="majorHAnsi" w:hAnsiTheme="majorHAnsi"/>
                <w:color w:val="000000"/>
              </w:rPr>
              <w:t>Guinea Ecuatorial</w:t>
            </w:r>
          </w:p>
        </w:tc>
        <w:tc>
          <w:tcPr>
            <w:tcW w:w="2341" w:type="dxa"/>
            <w:noWrap/>
            <w:vAlign w:val="center"/>
            <w:hideMark/>
          </w:tcPr>
          <w:p w14:paraId="5A2875A2" w14:textId="40BA2930" w:rsidR="00A17641" w:rsidRPr="00304FB0" w:rsidRDefault="00A17641" w:rsidP="00A17641">
            <w:pPr>
              <w:widowControl/>
              <w:autoSpaceDE/>
              <w:autoSpaceDN/>
              <w:adjustRightInd/>
              <w:jc w:val="right"/>
              <w:rPr>
                <w:rFonts w:asciiTheme="majorHAnsi" w:hAnsiTheme="majorHAnsi"/>
              </w:rPr>
            </w:pPr>
            <w:r w:rsidRPr="00304FB0">
              <w:rPr>
                <w:rFonts w:asciiTheme="majorHAnsi" w:hAnsiTheme="majorHAnsi"/>
                <w:color w:val="000000"/>
              </w:rPr>
              <w:t>6</w:t>
            </w:r>
          </w:p>
        </w:tc>
      </w:tr>
      <w:tr w:rsidR="00A17641" w:rsidRPr="00536AB6" w14:paraId="6BB5CA9D" w14:textId="77777777" w:rsidTr="006D1FBF">
        <w:trPr>
          <w:trHeight w:val="295"/>
          <w:jc w:val="center"/>
        </w:trPr>
        <w:tc>
          <w:tcPr>
            <w:tcW w:w="2757" w:type="dxa"/>
            <w:shd w:val="clear" w:color="000000" w:fill="auto"/>
            <w:noWrap/>
            <w:vAlign w:val="center"/>
          </w:tcPr>
          <w:p w14:paraId="0D3B1F2A" w14:textId="40CADCA5" w:rsidR="00A17641" w:rsidRPr="00304FB0" w:rsidRDefault="00A17641" w:rsidP="00A17641">
            <w:pPr>
              <w:widowControl/>
              <w:autoSpaceDE/>
              <w:autoSpaceDN/>
              <w:adjustRightInd/>
              <w:rPr>
                <w:rFonts w:asciiTheme="majorHAnsi" w:hAnsiTheme="majorHAnsi"/>
              </w:rPr>
            </w:pPr>
            <w:r w:rsidRPr="00304FB0">
              <w:rPr>
                <w:rFonts w:asciiTheme="majorHAnsi" w:hAnsiTheme="majorHAnsi"/>
                <w:color w:val="000000"/>
              </w:rPr>
              <w:t>República de Guinea</w:t>
            </w:r>
          </w:p>
        </w:tc>
        <w:tc>
          <w:tcPr>
            <w:tcW w:w="2341" w:type="dxa"/>
            <w:noWrap/>
            <w:vAlign w:val="center"/>
          </w:tcPr>
          <w:p w14:paraId="302738AB" w14:textId="417F8759" w:rsidR="00A17641" w:rsidRPr="00304FB0" w:rsidRDefault="00A17641" w:rsidP="00A17641">
            <w:pPr>
              <w:widowControl/>
              <w:autoSpaceDE/>
              <w:autoSpaceDN/>
              <w:adjustRightInd/>
              <w:jc w:val="right"/>
              <w:rPr>
                <w:rFonts w:asciiTheme="majorHAnsi" w:hAnsiTheme="majorHAnsi"/>
              </w:rPr>
            </w:pPr>
            <w:r w:rsidRPr="00304FB0">
              <w:rPr>
                <w:rFonts w:asciiTheme="majorHAnsi" w:hAnsiTheme="majorHAnsi"/>
                <w:color w:val="000000"/>
              </w:rPr>
              <w:t>4.383</w:t>
            </w:r>
          </w:p>
        </w:tc>
      </w:tr>
      <w:tr w:rsidR="00A17641" w:rsidRPr="00536AB6" w14:paraId="7344E9FE" w14:textId="77777777" w:rsidTr="006D1FBF">
        <w:trPr>
          <w:trHeight w:val="295"/>
          <w:jc w:val="center"/>
        </w:trPr>
        <w:tc>
          <w:tcPr>
            <w:tcW w:w="2757" w:type="dxa"/>
            <w:shd w:val="clear" w:color="000000" w:fill="auto"/>
            <w:noWrap/>
            <w:vAlign w:val="center"/>
          </w:tcPr>
          <w:p w14:paraId="26D35A83" w14:textId="54784044" w:rsidR="00A17641" w:rsidRPr="00304FB0" w:rsidRDefault="00A17641" w:rsidP="00A17641">
            <w:pPr>
              <w:widowControl/>
              <w:autoSpaceDE/>
              <w:autoSpaceDN/>
              <w:adjustRightInd/>
              <w:rPr>
                <w:rFonts w:asciiTheme="majorHAnsi" w:hAnsiTheme="majorHAnsi"/>
              </w:rPr>
            </w:pPr>
            <w:r w:rsidRPr="00304FB0">
              <w:rPr>
                <w:rFonts w:asciiTheme="majorHAnsi" w:hAnsiTheme="majorHAnsi"/>
                <w:color w:val="000000"/>
              </w:rPr>
              <w:t>Guyana</w:t>
            </w:r>
          </w:p>
        </w:tc>
        <w:tc>
          <w:tcPr>
            <w:tcW w:w="2341" w:type="dxa"/>
            <w:noWrap/>
            <w:vAlign w:val="center"/>
          </w:tcPr>
          <w:p w14:paraId="15442B7C" w14:textId="24464FDD" w:rsidR="00A17641" w:rsidRPr="00304FB0" w:rsidRDefault="00A17641" w:rsidP="00A17641">
            <w:pPr>
              <w:widowControl/>
              <w:autoSpaceDE/>
              <w:autoSpaceDN/>
              <w:adjustRightInd/>
              <w:jc w:val="right"/>
              <w:rPr>
                <w:rFonts w:asciiTheme="majorHAnsi" w:hAnsiTheme="majorHAnsi"/>
              </w:rPr>
            </w:pPr>
            <w:r w:rsidRPr="00304FB0">
              <w:rPr>
                <w:rFonts w:asciiTheme="majorHAnsi" w:hAnsiTheme="majorHAnsi"/>
                <w:color w:val="000000"/>
              </w:rPr>
              <w:t>36</w:t>
            </w:r>
          </w:p>
        </w:tc>
      </w:tr>
      <w:tr w:rsidR="00A17641" w:rsidRPr="00536AB6" w14:paraId="52EDA979" w14:textId="77777777" w:rsidTr="006D1FBF">
        <w:trPr>
          <w:trHeight w:val="295"/>
          <w:jc w:val="center"/>
        </w:trPr>
        <w:tc>
          <w:tcPr>
            <w:tcW w:w="2757" w:type="dxa"/>
            <w:shd w:val="clear" w:color="000000" w:fill="auto"/>
            <w:noWrap/>
            <w:vAlign w:val="center"/>
          </w:tcPr>
          <w:p w14:paraId="7B9B3F93" w14:textId="38729EFD" w:rsidR="00A17641" w:rsidRPr="00304FB0" w:rsidRDefault="00A17641" w:rsidP="00A17641">
            <w:pPr>
              <w:widowControl/>
              <w:autoSpaceDE/>
              <w:autoSpaceDN/>
              <w:adjustRightInd/>
              <w:rPr>
                <w:rFonts w:asciiTheme="majorHAnsi" w:hAnsiTheme="majorHAnsi"/>
              </w:rPr>
            </w:pPr>
            <w:r w:rsidRPr="00304FB0">
              <w:rPr>
                <w:rFonts w:asciiTheme="majorHAnsi" w:hAnsiTheme="majorHAnsi"/>
                <w:color w:val="000000"/>
              </w:rPr>
              <w:t>Liberia</w:t>
            </w:r>
          </w:p>
        </w:tc>
        <w:tc>
          <w:tcPr>
            <w:tcW w:w="2341" w:type="dxa"/>
            <w:noWrap/>
            <w:vAlign w:val="center"/>
          </w:tcPr>
          <w:p w14:paraId="0DE2DAB9" w14:textId="204A1140" w:rsidR="00A17641" w:rsidRPr="00304FB0" w:rsidRDefault="00A17641" w:rsidP="00A17641">
            <w:pPr>
              <w:widowControl/>
              <w:autoSpaceDE/>
              <w:autoSpaceDN/>
              <w:adjustRightInd/>
              <w:jc w:val="right"/>
              <w:rPr>
                <w:rFonts w:asciiTheme="majorHAnsi" w:hAnsiTheme="majorHAnsi"/>
              </w:rPr>
            </w:pPr>
            <w:r w:rsidRPr="00304FB0">
              <w:rPr>
                <w:rFonts w:asciiTheme="majorHAnsi" w:hAnsiTheme="majorHAnsi"/>
                <w:color w:val="000000"/>
              </w:rPr>
              <w:t>14</w:t>
            </w:r>
          </w:p>
        </w:tc>
      </w:tr>
      <w:tr w:rsidR="00A17641" w:rsidRPr="00536AB6" w14:paraId="3524F956" w14:textId="77777777" w:rsidTr="006D1FBF">
        <w:trPr>
          <w:trHeight w:val="295"/>
          <w:jc w:val="center"/>
        </w:trPr>
        <w:tc>
          <w:tcPr>
            <w:tcW w:w="2757" w:type="dxa"/>
            <w:shd w:val="clear" w:color="000000" w:fill="auto"/>
            <w:noWrap/>
            <w:vAlign w:val="center"/>
          </w:tcPr>
          <w:p w14:paraId="277B6E61" w14:textId="76BA3527" w:rsidR="00A17641" w:rsidRPr="00304FB0" w:rsidRDefault="00A17641" w:rsidP="00A17641">
            <w:pPr>
              <w:widowControl/>
              <w:autoSpaceDE/>
              <w:autoSpaceDN/>
              <w:adjustRightInd/>
              <w:rPr>
                <w:rFonts w:asciiTheme="majorHAnsi" w:hAnsiTheme="majorHAnsi"/>
              </w:rPr>
            </w:pPr>
            <w:r w:rsidRPr="00304FB0">
              <w:rPr>
                <w:rFonts w:asciiTheme="majorHAnsi" w:hAnsiTheme="majorHAnsi"/>
                <w:color w:val="000000"/>
              </w:rPr>
              <w:t>Namibia</w:t>
            </w:r>
          </w:p>
        </w:tc>
        <w:tc>
          <w:tcPr>
            <w:tcW w:w="2341" w:type="dxa"/>
            <w:noWrap/>
            <w:vAlign w:val="center"/>
          </w:tcPr>
          <w:p w14:paraId="45464DD7" w14:textId="4967FD9A" w:rsidR="00A17641" w:rsidRPr="00304FB0" w:rsidRDefault="00A17641" w:rsidP="00A17641">
            <w:pPr>
              <w:widowControl/>
              <w:autoSpaceDE/>
              <w:autoSpaceDN/>
              <w:adjustRightInd/>
              <w:jc w:val="right"/>
              <w:rPr>
                <w:rFonts w:asciiTheme="majorHAnsi" w:hAnsiTheme="majorHAnsi"/>
              </w:rPr>
            </w:pPr>
            <w:r w:rsidRPr="00304FB0">
              <w:rPr>
                <w:rFonts w:asciiTheme="majorHAnsi" w:hAnsiTheme="majorHAnsi"/>
                <w:color w:val="000000"/>
              </w:rPr>
              <w:t>1.109</w:t>
            </w:r>
          </w:p>
        </w:tc>
      </w:tr>
      <w:tr w:rsidR="00A17641" w:rsidRPr="00536AB6" w14:paraId="093C487E" w14:textId="77777777" w:rsidTr="006D1FBF">
        <w:trPr>
          <w:trHeight w:val="295"/>
          <w:jc w:val="center"/>
        </w:trPr>
        <w:tc>
          <w:tcPr>
            <w:tcW w:w="2757" w:type="dxa"/>
            <w:shd w:val="clear" w:color="000000" w:fill="auto"/>
            <w:noWrap/>
            <w:vAlign w:val="center"/>
          </w:tcPr>
          <w:p w14:paraId="44516DCE" w14:textId="4A47B566" w:rsidR="00A17641" w:rsidRPr="00304FB0" w:rsidRDefault="00A17641" w:rsidP="00A17641">
            <w:pPr>
              <w:widowControl/>
              <w:autoSpaceDE/>
              <w:autoSpaceDN/>
              <w:adjustRightInd/>
              <w:rPr>
                <w:rFonts w:asciiTheme="majorHAnsi" w:hAnsiTheme="majorHAnsi"/>
              </w:rPr>
            </w:pPr>
            <w:r w:rsidRPr="00304FB0">
              <w:rPr>
                <w:rFonts w:asciiTheme="majorHAnsi" w:hAnsiTheme="majorHAnsi"/>
                <w:color w:val="000000"/>
              </w:rPr>
              <w:t>S</w:t>
            </w:r>
            <w:r w:rsidR="00304FB0">
              <w:rPr>
                <w:rFonts w:asciiTheme="majorHAnsi" w:hAnsiTheme="majorHAnsi"/>
                <w:color w:val="000000"/>
              </w:rPr>
              <w:t>.</w:t>
            </w:r>
            <w:r w:rsidRPr="00304FB0">
              <w:rPr>
                <w:rFonts w:asciiTheme="majorHAnsi" w:hAnsiTheme="majorHAnsi"/>
                <w:color w:val="000000"/>
              </w:rPr>
              <w:t xml:space="preserve"> </w:t>
            </w:r>
            <w:r w:rsidR="00304FB0" w:rsidRPr="00304FB0">
              <w:rPr>
                <w:rFonts w:asciiTheme="majorHAnsi" w:hAnsiTheme="majorHAnsi"/>
                <w:color w:val="000000"/>
              </w:rPr>
              <w:t xml:space="preserve">Tomé </w:t>
            </w:r>
            <w:proofErr w:type="spellStart"/>
            <w:r w:rsidR="00304FB0">
              <w:rPr>
                <w:rFonts w:asciiTheme="majorHAnsi" w:hAnsiTheme="majorHAnsi"/>
                <w:color w:val="000000"/>
              </w:rPr>
              <w:t>e</w:t>
            </w:r>
            <w:proofErr w:type="spellEnd"/>
            <w:r w:rsidRPr="00304FB0">
              <w:rPr>
                <w:rFonts w:asciiTheme="majorHAnsi" w:hAnsiTheme="majorHAnsi"/>
                <w:color w:val="000000"/>
              </w:rPr>
              <w:t xml:space="preserve"> Príncipe</w:t>
            </w:r>
          </w:p>
        </w:tc>
        <w:tc>
          <w:tcPr>
            <w:tcW w:w="2341" w:type="dxa"/>
            <w:noWrap/>
            <w:vAlign w:val="center"/>
          </w:tcPr>
          <w:p w14:paraId="02EE40E5" w14:textId="412352F1" w:rsidR="00A17641" w:rsidRPr="00304FB0" w:rsidRDefault="00A17641" w:rsidP="00A17641">
            <w:pPr>
              <w:widowControl/>
              <w:autoSpaceDE/>
              <w:autoSpaceDN/>
              <w:adjustRightInd/>
              <w:jc w:val="right"/>
              <w:rPr>
                <w:rFonts w:asciiTheme="majorHAnsi" w:hAnsiTheme="majorHAnsi"/>
              </w:rPr>
            </w:pPr>
            <w:r w:rsidRPr="00304FB0">
              <w:rPr>
                <w:rFonts w:asciiTheme="majorHAnsi" w:hAnsiTheme="majorHAnsi"/>
                <w:color w:val="000000"/>
              </w:rPr>
              <w:t>246</w:t>
            </w:r>
          </w:p>
        </w:tc>
      </w:tr>
      <w:tr w:rsidR="00A17641" w:rsidRPr="00536AB6" w14:paraId="21272776" w14:textId="77777777" w:rsidTr="006D1FBF">
        <w:trPr>
          <w:trHeight w:val="295"/>
          <w:jc w:val="center"/>
        </w:trPr>
        <w:tc>
          <w:tcPr>
            <w:tcW w:w="2757" w:type="dxa"/>
            <w:shd w:val="clear" w:color="000000" w:fill="auto"/>
            <w:noWrap/>
            <w:vAlign w:val="center"/>
          </w:tcPr>
          <w:p w14:paraId="763D5190" w14:textId="1F6D0C71" w:rsidR="00A17641" w:rsidRPr="00304FB0" w:rsidRDefault="00A17641" w:rsidP="00A17641">
            <w:pPr>
              <w:widowControl/>
              <w:autoSpaceDE/>
              <w:autoSpaceDN/>
              <w:adjustRightInd/>
              <w:rPr>
                <w:rFonts w:asciiTheme="majorHAnsi" w:hAnsiTheme="majorHAnsi"/>
              </w:rPr>
            </w:pPr>
            <w:r w:rsidRPr="00304FB0">
              <w:rPr>
                <w:rFonts w:asciiTheme="majorHAnsi" w:hAnsiTheme="majorHAnsi"/>
                <w:color w:val="000000"/>
              </w:rPr>
              <w:t>Trinidad y Tobago</w:t>
            </w:r>
          </w:p>
        </w:tc>
        <w:tc>
          <w:tcPr>
            <w:tcW w:w="2341" w:type="dxa"/>
            <w:noWrap/>
            <w:vAlign w:val="center"/>
          </w:tcPr>
          <w:p w14:paraId="296EF7DA" w14:textId="05B4446C" w:rsidR="00A17641" w:rsidRPr="00304FB0" w:rsidRDefault="00A17641" w:rsidP="00A17641">
            <w:pPr>
              <w:widowControl/>
              <w:autoSpaceDE/>
              <w:autoSpaceDN/>
              <w:adjustRightInd/>
              <w:jc w:val="right"/>
              <w:rPr>
                <w:rFonts w:asciiTheme="majorHAnsi" w:hAnsiTheme="majorHAnsi"/>
              </w:rPr>
            </w:pPr>
            <w:r w:rsidRPr="00304FB0">
              <w:rPr>
                <w:rFonts w:asciiTheme="majorHAnsi" w:hAnsiTheme="majorHAnsi"/>
                <w:color w:val="000000"/>
              </w:rPr>
              <w:t>1.258</w:t>
            </w:r>
          </w:p>
        </w:tc>
      </w:tr>
    </w:tbl>
    <w:p w14:paraId="55205682" w14:textId="77777777" w:rsidR="00184E60" w:rsidRPr="00536AB6" w:rsidRDefault="00184E60" w:rsidP="00820485">
      <w:pPr>
        <w:tabs>
          <w:tab w:val="left" w:pos="1276"/>
          <w:tab w:val="left" w:pos="1418"/>
          <w:tab w:val="left" w:leader="dot" w:pos="8222"/>
          <w:tab w:val="right" w:pos="8647"/>
        </w:tabs>
        <w:jc w:val="both"/>
        <w:rPr>
          <w:rFonts w:asciiTheme="majorHAnsi" w:hAnsiTheme="majorHAnsi"/>
          <w:lang w:val="en-IE"/>
        </w:rPr>
      </w:pPr>
    </w:p>
    <w:p w14:paraId="3A8A4483" w14:textId="09502FA6" w:rsidR="00451E89" w:rsidRPr="00536AB6" w:rsidRDefault="006C033F" w:rsidP="00451E89">
      <w:pPr>
        <w:pBdr>
          <w:top w:val="single" w:sz="4" w:space="1" w:color="auto"/>
          <w:left w:val="single" w:sz="4" w:space="4" w:color="auto"/>
          <w:bottom w:val="single" w:sz="4" w:space="1" w:color="auto"/>
          <w:right w:val="single" w:sz="4" w:space="4" w:color="auto"/>
        </w:pBdr>
        <w:jc w:val="both"/>
        <w:rPr>
          <w:rFonts w:asciiTheme="majorHAnsi" w:hAnsiTheme="majorHAnsi"/>
        </w:rPr>
      </w:pPr>
      <w:r w:rsidRPr="006C033F">
        <w:rPr>
          <w:rFonts w:asciiTheme="majorHAnsi" w:hAnsiTheme="majorHAnsi"/>
          <w:b/>
        </w:rPr>
        <w:t>Su</w:t>
      </w:r>
      <w:r>
        <w:rPr>
          <w:rFonts w:asciiTheme="majorHAnsi" w:hAnsiTheme="majorHAnsi"/>
          <w:b/>
        </w:rPr>
        <w:t>gerencia</w:t>
      </w:r>
      <w:r w:rsidR="00451E89">
        <w:rPr>
          <w:rFonts w:asciiTheme="majorHAnsi" w:hAnsiTheme="majorHAnsi"/>
          <w:b/>
        </w:rPr>
        <w:t xml:space="preserve"> de la Secretaría de ICCAT</w:t>
      </w:r>
      <w:r w:rsidR="00451E89">
        <w:rPr>
          <w:rFonts w:asciiTheme="majorHAnsi" w:hAnsiTheme="majorHAnsi"/>
        </w:rPr>
        <w:t xml:space="preserve">: Consúltese el documento </w:t>
      </w:r>
      <w:r w:rsidR="00451E89">
        <w:rPr>
          <w:rFonts w:asciiTheme="majorHAnsi" w:hAnsiTheme="majorHAnsi"/>
          <w:b/>
          <w:bCs/>
        </w:rPr>
        <w:t>PLE_103/2026</w:t>
      </w:r>
      <w:r w:rsidR="00451E89">
        <w:rPr>
          <w:rFonts w:asciiTheme="majorHAnsi" w:hAnsiTheme="majorHAnsi"/>
        </w:rPr>
        <w:t>, en la sección "Sugerencias para una futura simplificación de las Recomendaciones", concretamente el punto relativo a los "túnidos tropicales".</w:t>
      </w:r>
    </w:p>
    <w:p w14:paraId="6AFF7FE4" w14:textId="6D018BD0" w:rsidR="0089443A" w:rsidRPr="00364A87" w:rsidRDefault="0089443A" w:rsidP="00451E89">
      <w:pPr>
        <w:tabs>
          <w:tab w:val="left" w:pos="1276"/>
          <w:tab w:val="left" w:pos="1418"/>
          <w:tab w:val="left" w:leader="dot" w:pos="8222"/>
          <w:tab w:val="right" w:pos="8647"/>
        </w:tabs>
        <w:jc w:val="both"/>
        <w:rPr>
          <w:rFonts w:asciiTheme="majorHAnsi" w:hAnsiTheme="majorHAnsi"/>
          <w:b/>
          <w:i/>
        </w:rPr>
      </w:pPr>
    </w:p>
    <w:p w14:paraId="5DBC35F6" w14:textId="77777777" w:rsidR="00655B33" w:rsidRPr="00536AB6" w:rsidRDefault="00655B33" w:rsidP="00655B33">
      <w:pPr>
        <w:tabs>
          <w:tab w:val="left" w:pos="1276"/>
          <w:tab w:val="left" w:pos="1418"/>
          <w:tab w:val="left" w:leader="dot" w:pos="8222"/>
          <w:tab w:val="right" w:pos="8647"/>
        </w:tabs>
        <w:jc w:val="both"/>
        <w:rPr>
          <w:rFonts w:asciiTheme="majorHAnsi" w:hAnsiTheme="majorHAnsi"/>
        </w:rPr>
      </w:pPr>
      <w:r>
        <w:rPr>
          <w:rFonts w:asciiTheme="majorHAnsi" w:hAnsiTheme="majorHAnsi"/>
          <w:b/>
          <w:bCs/>
          <w:i/>
          <w:iCs/>
        </w:rPr>
        <w:t>Cumplimiento de las cuotas/límites de captura:</w:t>
      </w:r>
      <w:r>
        <w:rPr>
          <w:rFonts w:asciiTheme="majorHAnsi" w:hAnsiTheme="majorHAnsi"/>
        </w:rPr>
        <w:t xml:space="preserve"> Véase el documento "Tablas de cumplimiento de 2025 recibidas en 2026" [COC_304/2026]. </w:t>
      </w:r>
    </w:p>
    <w:p w14:paraId="627D796F" w14:textId="77777777" w:rsidR="00451E89" w:rsidRPr="00364A87" w:rsidRDefault="00451E89" w:rsidP="00451E89">
      <w:pPr>
        <w:tabs>
          <w:tab w:val="left" w:pos="1276"/>
          <w:tab w:val="left" w:pos="1418"/>
          <w:tab w:val="left" w:leader="dot" w:pos="8222"/>
          <w:tab w:val="right" w:pos="8647"/>
        </w:tabs>
        <w:jc w:val="both"/>
        <w:rPr>
          <w:rFonts w:asciiTheme="majorHAnsi" w:hAnsiTheme="majorHAnsi"/>
        </w:rPr>
      </w:pPr>
    </w:p>
    <w:p w14:paraId="1E9640C8" w14:textId="0F22A49E" w:rsidR="001C2499" w:rsidRPr="00536AB6" w:rsidRDefault="00451E89" w:rsidP="001C2499">
      <w:pPr>
        <w:tabs>
          <w:tab w:val="left" w:pos="1276"/>
          <w:tab w:val="left" w:pos="1418"/>
          <w:tab w:val="left" w:leader="dot" w:pos="8222"/>
          <w:tab w:val="right" w:pos="8647"/>
        </w:tabs>
        <w:jc w:val="both"/>
        <w:rPr>
          <w:rFonts w:asciiTheme="majorHAnsi" w:hAnsiTheme="majorHAnsi"/>
        </w:rPr>
      </w:pPr>
      <w:r>
        <w:rPr>
          <w:rFonts w:asciiTheme="majorHAnsi" w:hAnsiTheme="majorHAnsi"/>
        </w:rPr>
        <w:t>De conformidad con el párrafo 55 de la Rec. 24-01, las siguientes CPC han incluido en sus informes anuales información sobre algunos aspectos específicos relativos a las capturas fortuitas de túnidos tropicales por parte de buques pesqueros con una eslora total de 20 m o superior no autorizados a pesquera túnidos tropicales.</w:t>
      </w:r>
    </w:p>
    <w:p w14:paraId="66959878" w14:textId="46595557" w:rsidR="001C2499" w:rsidRPr="00536AB6" w:rsidRDefault="001C2499" w:rsidP="001C2499">
      <w:pPr>
        <w:tabs>
          <w:tab w:val="left" w:pos="1276"/>
          <w:tab w:val="left" w:pos="1418"/>
          <w:tab w:val="left" w:leader="dot" w:pos="8222"/>
          <w:tab w:val="right" w:pos="8647"/>
        </w:tabs>
        <w:jc w:val="both"/>
        <w:rPr>
          <w:rFonts w:asciiTheme="majorHAnsi" w:hAnsiTheme="majorHAnsi"/>
        </w:rPr>
      </w:pPr>
    </w:p>
    <w:p w14:paraId="289E16D1" w14:textId="061D030C" w:rsidR="00536AB6" w:rsidRPr="00536AB6" w:rsidRDefault="00CC2541" w:rsidP="005B120F">
      <w:pPr>
        <w:tabs>
          <w:tab w:val="left" w:pos="1276"/>
          <w:tab w:val="left" w:pos="1418"/>
          <w:tab w:val="left" w:leader="dot" w:pos="8222"/>
          <w:tab w:val="right" w:pos="8647"/>
        </w:tabs>
        <w:jc w:val="both"/>
        <w:rPr>
          <w:rFonts w:asciiTheme="majorHAnsi" w:hAnsiTheme="majorHAnsi"/>
          <w:i/>
          <w:iCs/>
        </w:rPr>
      </w:pPr>
      <w:r>
        <w:rPr>
          <w:rFonts w:asciiTheme="majorHAnsi" w:hAnsiTheme="majorHAnsi"/>
          <w:i/>
        </w:rPr>
        <w:t>Límite máximo de captura fortuita</w:t>
      </w:r>
    </w:p>
    <w:tbl>
      <w:tblPr>
        <w:tblW w:w="5000" w:type="pct"/>
        <w:tblLook w:val="04A0" w:firstRow="1" w:lastRow="0" w:firstColumn="1" w:lastColumn="0" w:noHBand="0" w:noVBand="1"/>
      </w:tblPr>
      <w:tblGrid>
        <w:gridCol w:w="1550"/>
        <w:gridCol w:w="7505"/>
      </w:tblGrid>
      <w:tr w:rsidR="00451E89" w:rsidRPr="00536AB6" w14:paraId="47933C97" w14:textId="77777777" w:rsidTr="00505320">
        <w:tc>
          <w:tcPr>
            <w:tcW w:w="856" w:type="pct"/>
            <w:tcBorders>
              <w:top w:val="single" w:sz="8" w:space="0" w:color="auto"/>
              <w:left w:val="single" w:sz="8" w:space="0" w:color="auto"/>
              <w:bottom w:val="single" w:sz="8" w:space="0" w:color="auto"/>
              <w:right w:val="single" w:sz="8" w:space="0" w:color="auto"/>
            </w:tcBorders>
            <w:noWrap/>
            <w:vAlign w:val="center"/>
            <w:hideMark/>
          </w:tcPr>
          <w:p w14:paraId="3FC1B9C1" w14:textId="77777777" w:rsidR="00451E89" w:rsidRPr="00536AB6" w:rsidRDefault="00451E89" w:rsidP="00505320">
            <w:pPr>
              <w:widowControl/>
              <w:autoSpaceDE/>
              <w:autoSpaceDN/>
              <w:adjustRightInd/>
              <w:jc w:val="center"/>
              <w:rPr>
                <w:rFonts w:asciiTheme="majorHAnsi" w:hAnsiTheme="majorHAnsi" w:cs="Calibri"/>
                <w:i/>
                <w:iCs/>
                <w:color w:val="000000"/>
              </w:rPr>
            </w:pPr>
            <w:r>
              <w:rPr>
                <w:rFonts w:asciiTheme="majorHAnsi" w:hAnsiTheme="majorHAnsi"/>
                <w:i/>
                <w:color w:val="000000"/>
              </w:rPr>
              <w:t>CPC</w:t>
            </w:r>
          </w:p>
        </w:tc>
        <w:tc>
          <w:tcPr>
            <w:tcW w:w="4144" w:type="pct"/>
            <w:tcBorders>
              <w:top w:val="single" w:sz="8" w:space="0" w:color="auto"/>
              <w:left w:val="nil"/>
              <w:bottom w:val="single" w:sz="8" w:space="0" w:color="auto"/>
              <w:right w:val="single" w:sz="8" w:space="0" w:color="auto"/>
            </w:tcBorders>
            <w:vAlign w:val="center"/>
            <w:hideMark/>
          </w:tcPr>
          <w:p w14:paraId="05FFF629" w14:textId="77777777" w:rsidR="00451E89" w:rsidRPr="00536AB6" w:rsidRDefault="00451E89" w:rsidP="00505320">
            <w:pPr>
              <w:widowControl/>
              <w:autoSpaceDE/>
              <w:autoSpaceDN/>
              <w:adjustRightInd/>
              <w:jc w:val="center"/>
              <w:rPr>
                <w:rFonts w:asciiTheme="majorHAnsi" w:hAnsiTheme="majorHAnsi" w:cs="Calibri"/>
                <w:i/>
                <w:iCs/>
                <w:color w:val="000000"/>
              </w:rPr>
            </w:pPr>
            <w:r>
              <w:rPr>
                <w:rFonts w:asciiTheme="majorHAnsi" w:hAnsiTheme="majorHAnsi"/>
                <w:i/>
                <w:color w:val="000000"/>
              </w:rPr>
              <w:t>Respuesta</w:t>
            </w:r>
          </w:p>
        </w:tc>
      </w:tr>
      <w:tr w:rsidR="00451E89" w:rsidRPr="00063218" w14:paraId="1492844A" w14:textId="77777777" w:rsidTr="00505320">
        <w:tc>
          <w:tcPr>
            <w:tcW w:w="856" w:type="pct"/>
            <w:tcBorders>
              <w:top w:val="nil"/>
              <w:left w:val="single" w:sz="8" w:space="0" w:color="auto"/>
              <w:bottom w:val="single" w:sz="8" w:space="0" w:color="auto"/>
              <w:right w:val="single" w:sz="8" w:space="0" w:color="auto"/>
            </w:tcBorders>
            <w:noWrap/>
            <w:vAlign w:val="center"/>
            <w:hideMark/>
          </w:tcPr>
          <w:p w14:paraId="76884172" w14:textId="77777777" w:rsidR="00451E89" w:rsidRPr="005207F0" w:rsidRDefault="00451E89" w:rsidP="00505320">
            <w:pPr>
              <w:widowControl/>
              <w:autoSpaceDE/>
              <w:autoSpaceDN/>
              <w:adjustRightInd/>
              <w:rPr>
                <w:rFonts w:asciiTheme="majorHAnsi" w:hAnsiTheme="majorHAnsi" w:cs="Calibri"/>
                <w:color w:val="000000"/>
              </w:rPr>
            </w:pPr>
            <w:r w:rsidRPr="005207F0">
              <w:rPr>
                <w:rFonts w:asciiTheme="majorHAnsi" w:hAnsiTheme="majorHAnsi"/>
                <w:color w:val="000000"/>
              </w:rPr>
              <w:t>Belice</w:t>
            </w:r>
          </w:p>
        </w:tc>
        <w:tc>
          <w:tcPr>
            <w:tcW w:w="4144" w:type="pct"/>
            <w:tcBorders>
              <w:top w:val="nil"/>
              <w:left w:val="nil"/>
              <w:bottom w:val="single" w:sz="8" w:space="0" w:color="auto"/>
              <w:right w:val="single" w:sz="8" w:space="0" w:color="auto"/>
            </w:tcBorders>
            <w:vAlign w:val="center"/>
            <w:hideMark/>
          </w:tcPr>
          <w:p w14:paraId="6443B563" w14:textId="71EAE3D8" w:rsidR="00451E89" w:rsidRPr="005207F0" w:rsidRDefault="00C315D5" w:rsidP="00505320">
            <w:pPr>
              <w:widowControl/>
              <w:autoSpaceDE/>
              <w:autoSpaceDN/>
              <w:adjustRightInd/>
              <w:jc w:val="both"/>
              <w:rPr>
                <w:rFonts w:asciiTheme="majorHAnsi" w:hAnsiTheme="majorHAnsi" w:cs="Calibri"/>
                <w:color w:val="000000"/>
              </w:rPr>
            </w:pPr>
            <w:r w:rsidRPr="005207F0">
              <w:rPr>
                <w:rFonts w:asciiTheme="majorHAnsi" w:hAnsiTheme="majorHAnsi"/>
                <w:color w:val="000000"/>
              </w:rPr>
              <w:t>Belice ha establecido un límite de capturas fortuitas a bordo para todas las especies, incluidos los túnidos tropicales. El límite de captura fortuita establecido para los buques no autorizados a pescar túnidos tropicales exclusivamente es de 10 t. Esta cantidad se descuenta de la asignación total de Belice.</w:t>
            </w:r>
          </w:p>
        </w:tc>
      </w:tr>
      <w:tr w:rsidR="009A56D8" w:rsidRPr="00063218" w14:paraId="117FF45D" w14:textId="77777777" w:rsidTr="006D1FBF">
        <w:tc>
          <w:tcPr>
            <w:tcW w:w="856" w:type="pct"/>
            <w:tcBorders>
              <w:top w:val="nil"/>
              <w:left w:val="single" w:sz="8" w:space="0" w:color="auto"/>
              <w:bottom w:val="single" w:sz="8" w:space="0" w:color="auto"/>
              <w:right w:val="single" w:sz="8" w:space="0" w:color="auto"/>
            </w:tcBorders>
            <w:noWrap/>
          </w:tcPr>
          <w:p w14:paraId="24BAE119" w14:textId="05F626C1" w:rsidR="009A56D8" w:rsidRPr="005207F0" w:rsidRDefault="009A56D8" w:rsidP="009A56D8">
            <w:pPr>
              <w:widowControl/>
              <w:autoSpaceDE/>
              <w:autoSpaceDN/>
              <w:adjustRightInd/>
              <w:rPr>
                <w:rFonts w:asciiTheme="majorHAnsi" w:hAnsiTheme="majorHAnsi" w:cs="Calibri"/>
                <w:color w:val="000000"/>
              </w:rPr>
            </w:pPr>
            <w:r w:rsidRPr="005207F0">
              <w:rPr>
                <w:rFonts w:asciiTheme="majorHAnsi" w:hAnsiTheme="majorHAnsi"/>
              </w:rPr>
              <w:t>Unión Europea</w:t>
            </w:r>
          </w:p>
        </w:tc>
        <w:tc>
          <w:tcPr>
            <w:tcW w:w="4144" w:type="pct"/>
            <w:tcBorders>
              <w:top w:val="nil"/>
              <w:left w:val="nil"/>
              <w:bottom w:val="single" w:sz="8" w:space="0" w:color="auto"/>
              <w:right w:val="single" w:sz="8" w:space="0" w:color="auto"/>
            </w:tcBorders>
          </w:tcPr>
          <w:p w14:paraId="305A4118" w14:textId="4F395B75" w:rsidR="009A56D8" w:rsidRPr="005207F0" w:rsidRDefault="009A56D8" w:rsidP="009A56D8">
            <w:pPr>
              <w:widowControl/>
              <w:autoSpaceDE/>
              <w:autoSpaceDN/>
              <w:adjustRightInd/>
              <w:jc w:val="both"/>
              <w:rPr>
                <w:rFonts w:asciiTheme="majorHAnsi" w:hAnsiTheme="majorHAnsi" w:cs="Calibri"/>
                <w:color w:val="000000"/>
              </w:rPr>
            </w:pPr>
            <w:r w:rsidRPr="005207F0">
              <w:rPr>
                <w:rFonts w:asciiTheme="majorHAnsi" w:hAnsiTheme="majorHAnsi"/>
              </w:rPr>
              <w:t>En la Sección 2 de su Informe anual se incluye información adicional.</w:t>
            </w:r>
          </w:p>
        </w:tc>
      </w:tr>
      <w:tr w:rsidR="00451E89" w:rsidRPr="00536AB6" w14:paraId="2075D458" w14:textId="77777777" w:rsidTr="00505320">
        <w:tc>
          <w:tcPr>
            <w:tcW w:w="856" w:type="pct"/>
            <w:tcBorders>
              <w:top w:val="nil"/>
              <w:left w:val="single" w:sz="8" w:space="0" w:color="auto"/>
              <w:bottom w:val="single" w:sz="8" w:space="0" w:color="auto"/>
              <w:right w:val="single" w:sz="8" w:space="0" w:color="auto"/>
            </w:tcBorders>
            <w:noWrap/>
            <w:vAlign w:val="center"/>
            <w:hideMark/>
          </w:tcPr>
          <w:p w14:paraId="53E9BEE2" w14:textId="1B039A0C" w:rsidR="00451E89" w:rsidRPr="005207F0" w:rsidRDefault="0098780C" w:rsidP="00505320">
            <w:pPr>
              <w:widowControl/>
              <w:autoSpaceDE/>
              <w:autoSpaceDN/>
              <w:adjustRightInd/>
              <w:rPr>
                <w:rFonts w:asciiTheme="majorHAnsi" w:hAnsiTheme="majorHAnsi" w:cs="Calibri"/>
                <w:color w:val="000000"/>
              </w:rPr>
            </w:pPr>
            <w:r w:rsidRPr="005207F0">
              <w:rPr>
                <w:rFonts w:asciiTheme="majorHAnsi" w:hAnsiTheme="majorHAnsi"/>
                <w:color w:val="000000"/>
              </w:rPr>
              <w:t>Ghana</w:t>
            </w:r>
          </w:p>
        </w:tc>
        <w:tc>
          <w:tcPr>
            <w:tcW w:w="4144" w:type="pct"/>
            <w:tcBorders>
              <w:top w:val="nil"/>
              <w:left w:val="nil"/>
              <w:bottom w:val="single" w:sz="8" w:space="0" w:color="auto"/>
              <w:right w:val="single" w:sz="8" w:space="0" w:color="auto"/>
            </w:tcBorders>
            <w:vAlign w:val="center"/>
            <w:hideMark/>
          </w:tcPr>
          <w:p w14:paraId="494CC030" w14:textId="7C821360" w:rsidR="00451E89" w:rsidRPr="005207F0" w:rsidRDefault="0098780C" w:rsidP="00505320">
            <w:pPr>
              <w:widowControl/>
              <w:autoSpaceDE/>
              <w:autoSpaceDN/>
              <w:adjustRightInd/>
              <w:jc w:val="both"/>
              <w:rPr>
                <w:rFonts w:asciiTheme="majorHAnsi" w:hAnsiTheme="majorHAnsi" w:cs="Calibri"/>
                <w:color w:val="000000"/>
              </w:rPr>
            </w:pPr>
            <w:r w:rsidRPr="005207F0">
              <w:rPr>
                <w:rFonts w:asciiTheme="majorHAnsi" w:hAnsiTheme="majorHAnsi"/>
                <w:color w:val="000000"/>
              </w:rPr>
              <w:t>15% del TBR del buque.</w:t>
            </w:r>
          </w:p>
        </w:tc>
      </w:tr>
      <w:tr w:rsidR="00451E89" w:rsidRPr="00063218" w14:paraId="6DE09485" w14:textId="77777777" w:rsidTr="00505320">
        <w:tc>
          <w:tcPr>
            <w:tcW w:w="856" w:type="pct"/>
            <w:tcBorders>
              <w:top w:val="nil"/>
              <w:left w:val="single" w:sz="8" w:space="0" w:color="auto"/>
              <w:bottom w:val="single" w:sz="4" w:space="0" w:color="auto"/>
              <w:right w:val="single" w:sz="8" w:space="0" w:color="auto"/>
            </w:tcBorders>
            <w:noWrap/>
            <w:vAlign w:val="center"/>
            <w:hideMark/>
          </w:tcPr>
          <w:p w14:paraId="636004D1" w14:textId="252E4881" w:rsidR="00451E89" w:rsidRPr="005207F0" w:rsidRDefault="0098780C" w:rsidP="00505320">
            <w:pPr>
              <w:widowControl/>
              <w:autoSpaceDE/>
              <w:autoSpaceDN/>
              <w:adjustRightInd/>
              <w:rPr>
                <w:rFonts w:asciiTheme="majorHAnsi" w:hAnsiTheme="majorHAnsi" w:cs="Calibri"/>
                <w:color w:val="000000"/>
              </w:rPr>
            </w:pPr>
            <w:r w:rsidRPr="005207F0">
              <w:rPr>
                <w:rFonts w:asciiTheme="majorHAnsi" w:hAnsiTheme="majorHAnsi"/>
                <w:color w:val="000000"/>
              </w:rPr>
              <w:t>Rusia</w:t>
            </w:r>
          </w:p>
        </w:tc>
        <w:tc>
          <w:tcPr>
            <w:tcW w:w="4144" w:type="pct"/>
            <w:tcBorders>
              <w:top w:val="nil"/>
              <w:left w:val="nil"/>
              <w:bottom w:val="single" w:sz="4" w:space="0" w:color="auto"/>
              <w:right w:val="single" w:sz="8" w:space="0" w:color="auto"/>
            </w:tcBorders>
            <w:vAlign w:val="center"/>
            <w:hideMark/>
          </w:tcPr>
          <w:p w14:paraId="75A59F63" w14:textId="00380602" w:rsidR="00896BDF" w:rsidRPr="005207F0" w:rsidRDefault="0098780C" w:rsidP="00E11F10">
            <w:pPr>
              <w:widowControl/>
              <w:autoSpaceDE/>
              <w:autoSpaceDN/>
              <w:adjustRightInd/>
              <w:jc w:val="both"/>
              <w:rPr>
                <w:rFonts w:asciiTheme="majorHAnsi" w:hAnsiTheme="majorHAnsi"/>
              </w:rPr>
            </w:pPr>
            <w:r w:rsidRPr="005207F0">
              <w:rPr>
                <w:rFonts w:asciiTheme="majorHAnsi" w:hAnsiTheme="majorHAnsi"/>
              </w:rPr>
              <w:t>El límite máximo de capturas fortuitas de túnidos tropicales por marea a bordo se fija en un máximo del 5 % por especie para los buques (no autorizados a pescar túnidos tropicales) y dichas capturas fortuitas se contabilizan dentro del límite de capturas de la CPC (umbral de activación) de 1 575 t para BET (Rec. 24-01).</w:t>
            </w:r>
          </w:p>
        </w:tc>
      </w:tr>
      <w:tr w:rsidR="00451E89" w:rsidRPr="00063218" w14:paraId="5778AEA1" w14:textId="77777777" w:rsidTr="00505320">
        <w:trPr>
          <w:trHeight w:val="75"/>
        </w:trPr>
        <w:tc>
          <w:tcPr>
            <w:tcW w:w="856" w:type="pct"/>
            <w:tcBorders>
              <w:top w:val="single" w:sz="4" w:space="0" w:color="auto"/>
              <w:left w:val="single" w:sz="4" w:space="0" w:color="auto"/>
              <w:bottom w:val="single" w:sz="4" w:space="0" w:color="auto"/>
              <w:right w:val="single" w:sz="4" w:space="0" w:color="auto"/>
            </w:tcBorders>
            <w:noWrap/>
            <w:vAlign w:val="center"/>
            <w:hideMark/>
          </w:tcPr>
          <w:p w14:paraId="5BAEA062" w14:textId="1FA0854E" w:rsidR="00451E89" w:rsidRPr="005207F0" w:rsidRDefault="001F1E60" w:rsidP="00505320">
            <w:pPr>
              <w:widowControl/>
              <w:autoSpaceDE/>
              <w:autoSpaceDN/>
              <w:adjustRightInd/>
              <w:rPr>
                <w:rFonts w:asciiTheme="majorHAnsi" w:hAnsiTheme="majorHAnsi" w:cs="Calibri"/>
                <w:color w:val="000000"/>
              </w:rPr>
            </w:pPr>
            <w:r w:rsidRPr="005207F0">
              <w:rPr>
                <w:rFonts w:asciiTheme="majorHAnsi" w:hAnsiTheme="majorHAnsi"/>
                <w:color w:val="000000"/>
              </w:rPr>
              <w:t>Türkiye</w:t>
            </w:r>
          </w:p>
        </w:tc>
        <w:tc>
          <w:tcPr>
            <w:tcW w:w="4144" w:type="pct"/>
            <w:tcBorders>
              <w:top w:val="single" w:sz="4" w:space="0" w:color="auto"/>
              <w:left w:val="single" w:sz="4" w:space="0" w:color="auto"/>
              <w:bottom w:val="single" w:sz="4" w:space="0" w:color="auto"/>
              <w:right w:val="single" w:sz="4" w:space="0" w:color="auto"/>
            </w:tcBorders>
            <w:vAlign w:val="center"/>
            <w:hideMark/>
          </w:tcPr>
          <w:p w14:paraId="554BC95C" w14:textId="240C2AA1" w:rsidR="00451E89" w:rsidRPr="005207F0" w:rsidRDefault="001F1E60" w:rsidP="00505320">
            <w:pPr>
              <w:jc w:val="both"/>
              <w:rPr>
                <w:rFonts w:asciiTheme="majorHAnsi" w:hAnsiTheme="majorHAnsi" w:cs="Calibri"/>
                <w:color w:val="000000"/>
              </w:rPr>
            </w:pPr>
            <w:r w:rsidRPr="005207F0">
              <w:rPr>
                <w:rFonts w:asciiTheme="majorHAnsi" w:hAnsiTheme="majorHAnsi"/>
                <w:color w:val="000000"/>
              </w:rPr>
              <w:t>Türkiye no ha llevado a cabo actividades de pesca de patudo (</w:t>
            </w:r>
            <w:r w:rsidRPr="005207F0">
              <w:rPr>
                <w:rFonts w:asciiTheme="majorHAnsi" w:hAnsiTheme="majorHAnsi"/>
                <w:i/>
                <w:iCs/>
                <w:color w:val="000000"/>
              </w:rPr>
              <w:t>Thunnus obesus</w:t>
            </w:r>
            <w:r w:rsidRPr="005207F0">
              <w:rPr>
                <w:rFonts w:asciiTheme="majorHAnsi" w:hAnsiTheme="majorHAnsi"/>
                <w:color w:val="000000"/>
              </w:rPr>
              <w:t>) ni de rabil (</w:t>
            </w:r>
            <w:r w:rsidRPr="005207F0">
              <w:rPr>
                <w:rFonts w:asciiTheme="majorHAnsi" w:hAnsiTheme="majorHAnsi"/>
                <w:i/>
                <w:iCs/>
                <w:color w:val="000000"/>
              </w:rPr>
              <w:t>Thunnus albacares</w:t>
            </w:r>
            <w:r w:rsidRPr="005207F0">
              <w:rPr>
                <w:rFonts w:asciiTheme="majorHAnsi" w:hAnsiTheme="majorHAnsi"/>
                <w:color w:val="000000"/>
              </w:rPr>
              <w:t xml:space="preserve">), pesca sujeta al total admisible de captura (TAC) y a la implementación de cuotas, de conformidad con la Recomendación n.º 24-01 de ICCAT. </w:t>
            </w:r>
            <w:r w:rsidRPr="005207F0">
              <w:rPr>
                <w:rFonts w:asciiTheme="majorHAnsi" w:hAnsiTheme="majorHAnsi"/>
                <w:color w:val="000000"/>
              </w:rPr>
              <w:lastRenderedPageBreak/>
              <w:t>Dado que se empezaron a comunicar las capturas de listado durante la campaña pesquera de 2023 con el fin de supervisar más de cerca la pesquería de listado, a partir de 2025, la Notificación 6/1 sobre la Regulación de la pesca comercial (n.º 2024/20), que entró en vigor el 11 de agosto de 2024 y abarca el periodo 2024-2028, obliga a obtener un permiso especial de pesca para los buques destinados a la captura de listado. El límite máximo de capturas fortuitas de listado a bordo se aplicará de conformidad con el artículo 18 de la Notificación 6/1 sobre la regulación de la pesca comercial (n.º 2024/20). En consecuencia, el nivel de captura fortuita de listado no superará el 5 % del total de capturas a bordo al final de cada marea. Las capturas fortuita se calcularán con respecto al total de capturas a bordo «en peso».  Se utilizarán cuadernos de pesca tanto encuadernados como electrónicos para consignar los datos de la captura. Las capturas fortuitas en cuestión se contabilizarán en el volumen total de capturas de listado de Türkiye .</w:t>
            </w:r>
          </w:p>
        </w:tc>
      </w:tr>
    </w:tbl>
    <w:p w14:paraId="4579FC01" w14:textId="77777777" w:rsidR="000B40DF" w:rsidRPr="00364A87" w:rsidRDefault="000B40DF" w:rsidP="00451E89">
      <w:pPr>
        <w:tabs>
          <w:tab w:val="left" w:pos="1276"/>
          <w:tab w:val="left" w:pos="1418"/>
          <w:tab w:val="left" w:leader="dot" w:pos="8222"/>
          <w:tab w:val="right" w:pos="8647"/>
        </w:tabs>
        <w:jc w:val="both"/>
        <w:rPr>
          <w:rFonts w:asciiTheme="majorHAnsi" w:hAnsiTheme="majorHAnsi" w:cs="Calibri"/>
          <w:color w:val="000000"/>
          <w:highlight w:val="yellow"/>
        </w:rPr>
      </w:pPr>
    </w:p>
    <w:p w14:paraId="0E284930" w14:textId="34141E77" w:rsidR="00451E89" w:rsidRPr="00536AB6" w:rsidRDefault="00451E89" w:rsidP="00451E89">
      <w:pPr>
        <w:tabs>
          <w:tab w:val="left" w:pos="1276"/>
          <w:tab w:val="left" w:pos="1418"/>
          <w:tab w:val="left" w:leader="dot" w:pos="8222"/>
          <w:tab w:val="right" w:pos="8647"/>
        </w:tabs>
        <w:jc w:val="both"/>
        <w:rPr>
          <w:rFonts w:asciiTheme="majorHAnsi" w:hAnsiTheme="majorHAnsi" w:cs="Calibri"/>
          <w:color w:val="000000"/>
        </w:rPr>
      </w:pPr>
      <w:r>
        <w:rPr>
          <w:rFonts w:asciiTheme="majorHAnsi" w:hAnsiTheme="majorHAnsi"/>
          <w:color w:val="000000"/>
        </w:rPr>
        <w:t>Cabe señalar que lo anterior solo muestra las CPC que han indicado que se ha establecido un límite. En muchos casos, no se ha establecido un límite porque todos los buques pertinentes cuentan con licencia y/o porque no se permite la captura fortuita. Sin embargo, algunas de las respuestas sobre los límites máximos de captura fortuita no son coherentes, ya que las CPC no han leído o comprendido el requisito. En varios casos, se dan respuestas totalmente irrelevantes (por ejemplo: «no existe una pesquería dirigida a esta especie»; «no hay buques con pabellón XX que pesquen esta especie»).</w:t>
      </w:r>
    </w:p>
    <w:p w14:paraId="7DE5CC87" w14:textId="77777777" w:rsidR="00C315D5" w:rsidRPr="00364A87" w:rsidRDefault="00C315D5" w:rsidP="00C315D5">
      <w:pPr>
        <w:tabs>
          <w:tab w:val="left" w:pos="1276"/>
          <w:tab w:val="left" w:pos="1418"/>
          <w:tab w:val="left" w:leader="dot" w:pos="8222"/>
          <w:tab w:val="right" w:pos="8647"/>
        </w:tabs>
        <w:jc w:val="both"/>
        <w:rPr>
          <w:rFonts w:asciiTheme="majorHAnsi" w:hAnsiTheme="majorHAnsi" w:cs="Calibri"/>
          <w:color w:val="000000"/>
        </w:rPr>
      </w:pPr>
    </w:p>
    <w:p w14:paraId="73E45C43" w14:textId="77777777" w:rsidR="00C315D5" w:rsidRPr="0035431F" w:rsidRDefault="00C315D5" w:rsidP="00C315D5">
      <w:pPr>
        <w:tabs>
          <w:tab w:val="left" w:pos="1276"/>
          <w:tab w:val="left" w:pos="1418"/>
          <w:tab w:val="left" w:leader="dot" w:pos="8222"/>
          <w:tab w:val="right" w:pos="8647"/>
        </w:tabs>
        <w:jc w:val="both"/>
        <w:rPr>
          <w:rFonts w:asciiTheme="majorHAnsi" w:hAnsiTheme="majorHAnsi" w:cs="Calibri"/>
          <w:i/>
          <w:iCs/>
          <w:color w:val="000000"/>
        </w:rPr>
      </w:pPr>
      <w:r w:rsidRPr="0035431F">
        <w:rPr>
          <w:rFonts w:asciiTheme="majorHAnsi" w:hAnsiTheme="majorHAnsi"/>
          <w:i/>
        </w:rPr>
        <w:t>Información sobre cómo garantiza la CPC el cumplimiento del límite</w:t>
      </w:r>
    </w:p>
    <w:tbl>
      <w:tblPr>
        <w:tblW w:w="5000" w:type="pct"/>
        <w:tblLook w:val="04A0" w:firstRow="1" w:lastRow="0" w:firstColumn="1" w:lastColumn="0" w:noHBand="0" w:noVBand="1"/>
      </w:tblPr>
      <w:tblGrid>
        <w:gridCol w:w="1550"/>
        <w:gridCol w:w="7505"/>
      </w:tblGrid>
      <w:tr w:rsidR="00C315D5" w:rsidRPr="0035431F" w14:paraId="1441D912" w14:textId="77777777" w:rsidTr="00DE686D">
        <w:tc>
          <w:tcPr>
            <w:tcW w:w="856" w:type="pct"/>
            <w:tcBorders>
              <w:top w:val="single" w:sz="8" w:space="0" w:color="auto"/>
              <w:left w:val="single" w:sz="8" w:space="0" w:color="auto"/>
              <w:bottom w:val="single" w:sz="8" w:space="0" w:color="auto"/>
              <w:right w:val="single" w:sz="8" w:space="0" w:color="auto"/>
            </w:tcBorders>
            <w:noWrap/>
            <w:vAlign w:val="center"/>
            <w:hideMark/>
          </w:tcPr>
          <w:p w14:paraId="1AB4750C" w14:textId="77777777" w:rsidR="00C315D5" w:rsidRPr="0035431F" w:rsidRDefault="00C315D5" w:rsidP="00DE686D">
            <w:pPr>
              <w:widowControl/>
              <w:autoSpaceDE/>
              <w:autoSpaceDN/>
              <w:adjustRightInd/>
              <w:jc w:val="center"/>
              <w:rPr>
                <w:rFonts w:asciiTheme="majorHAnsi" w:hAnsiTheme="majorHAnsi" w:cs="Calibri"/>
                <w:i/>
                <w:iCs/>
                <w:color w:val="000000"/>
              </w:rPr>
            </w:pPr>
            <w:r w:rsidRPr="0035431F">
              <w:rPr>
                <w:rFonts w:asciiTheme="majorHAnsi" w:hAnsiTheme="majorHAnsi"/>
                <w:i/>
                <w:color w:val="000000"/>
              </w:rPr>
              <w:t>CPC</w:t>
            </w:r>
          </w:p>
        </w:tc>
        <w:tc>
          <w:tcPr>
            <w:tcW w:w="4144" w:type="pct"/>
            <w:tcBorders>
              <w:top w:val="single" w:sz="8" w:space="0" w:color="auto"/>
              <w:left w:val="nil"/>
              <w:bottom w:val="single" w:sz="8" w:space="0" w:color="auto"/>
              <w:right w:val="single" w:sz="8" w:space="0" w:color="auto"/>
            </w:tcBorders>
            <w:vAlign w:val="center"/>
            <w:hideMark/>
          </w:tcPr>
          <w:p w14:paraId="17FB06D5" w14:textId="77777777" w:rsidR="00C315D5" w:rsidRPr="0035431F" w:rsidRDefault="00C315D5" w:rsidP="00DE686D">
            <w:pPr>
              <w:widowControl/>
              <w:autoSpaceDE/>
              <w:autoSpaceDN/>
              <w:adjustRightInd/>
              <w:jc w:val="center"/>
              <w:rPr>
                <w:rFonts w:asciiTheme="majorHAnsi" w:hAnsiTheme="majorHAnsi" w:cs="Calibri"/>
                <w:i/>
                <w:iCs/>
                <w:color w:val="000000"/>
              </w:rPr>
            </w:pPr>
            <w:r w:rsidRPr="0035431F">
              <w:rPr>
                <w:rFonts w:asciiTheme="majorHAnsi" w:hAnsiTheme="majorHAnsi"/>
                <w:i/>
                <w:color w:val="000000"/>
              </w:rPr>
              <w:t>Respuesta</w:t>
            </w:r>
          </w:p>
        </w:tc>
      </w:tr>
      <w:tr w:rsidR="00C315D5" w:rsidRPr="0035431F" w14:paraId="599964ED" w14:textId="77777777" w:rsidTr="00DE686D">
        <w:tc>
          <w:tcPr>
            <w:tcW w:w="856" w:type="pct"/>
            <w:tcBorders>
              <w:top w:val="nil"/>
              <w:left w:val="single" w:sz="8" w:space="0" w:color="auto"/>
              <w:bottom w:val="single" w:sz="8" w:space="0" w:color="auto"/>
              <w:right w:val="single" w:sz="8" w:space="0" w:color="auto"/>
            </w:tcBorders>
            <w:noWrap/>
            <w:vAlign w:val="center"/>
            <w:hideMark/>
          </w:tcPr>
          <w:p w14:paraId="3D314A27" w14:textId="77777777" w:rsidR="00C315D5" w:rsidRPr="0035431F" w:rsidRDefault="00C315D5" w:rsidP="00DE686D">
            <w:pPr>
              <w:widowControl/>
              <w:autoSpaceDE/>
              <w:autoSpaceDN/>
              <w:adjustRightInd/>
              <w:rPr>
                <w:rFonts w:asciiTheme="majorHAnsi" w:hAnsiTheme="majorHAnsi" w:cs="Calibri"/>
                <w:color w:val="000000"/>
              </w:rPr>
            </w:pPr>
            <w:r w:rsidRPr="0035431F">
              <w:rPr>
                <w:rFonts w:asciiTheme="majorHAnsi" w:hAnsiTheme="majorHAnsi"/>
                <w:color w:val="000000"/>
              </w:rPr>
              <w:t>Belice</w:t>
            </w:r>
          </w:p>
        </w:tc>
        <w:tc>
          <w:tcPr>
            <w:tcW w:w="4144" w:type="pct"/>
            <w:tcBorders>
              <w:top w:val="nil"/>
              <w:left w:val="nil"/>
              <w:bottom w:val="single" w:sz="8" w:space="0" w:color="auto"/>
              <w:right w:val="single" w:sz="8" w:space="0" w:color="auto"/>
            </w:tcBorders>
            <w:vAlign w:val="center"/>
            <w:hideMark/>
          </w:tcPr>
          <w:p w14:paraId="26F68001" w14:textId="3677934E" w:rsidR="00C315D5" w:rsidRPr="0035431F" w:rsidRDefault="00C22F63" w:rsidP="00DE686D">
            <w:pPr>
              <w:widowControl/>
              <w:autoSpaceDE/>
              <w:autoSpaceDN/>
              <w:adjustRightInd/>
              <w:jc w:val="both"/>
              <w:rPr>
                <w:rFonts w:asciiTheme="majorHAnsi" w:hAnsiTheme="majorHAnsi" w:cs="Calibri"/>
                <w:color w:val="000000"/>
              </w:rPr>
            </w:pPr>
            <w:r w:rsidRPr="0035431F">
              <w:rPr>
                <w:rFonts w:asciiTheme="majorHAnsi" w:hAnsiTheme="majorHAnsi"/>
                <w:color w:val="000000"/>
              </w:rPr>
              <w:t>Belice adoptó en 2021 una política de gestión de cuotas para garantizar que las asignaciones de todas las cuotas de túnidos tropicales se distribuyan de manera equitativa y eficaz entre nuestros buques y que los límites de capturas fortuitas</w:t>
            </w:r>
            <w:r w:rsidR="0035431F">
              <w:rPr>
                <w:rFonts w:asciiTheme="majorHAnsi" w:hAnsiTheme="majorHAnsi"/>
                <w:color w:val="000000"/>
              </w:rPr>
              <w:t xml:space="preserve"> </w:t>
            </w:r>
            <w:r w:rsidRPr="0035431F">
              <w:rPr>
                <w:rFonts w:asciiTheme="majorHAnsi" w:hAnsiTheme="majorHAnsi"/>
                <w:color w:val="000000"/>
              </w:rPr>
              <w:t>se incluyan como parte del proceso de asignación de cuotas. Se han establecido políticas de notificación y seguimiento de las capturas para garantizar que los buques pesquen dentro de los límites de su cuota y autorización.</w:t>
            </w:r>
          </w:p>
        </w:tc>
      </w:tr>
      <w:tr w:rsidR="00C315D5" w:rsidRPr="0035431F" w14:paraId="6CAF52E2" w14:textId="77777777" w:rsidTr="00DE686D">
        <w:tc>
          <w:tcPr>
            <w:tcW w:w="856" w:type="pct"/>
            <w:tcBorders>
              <w:top w:val="nil"/>
              <w:left w:val="single" w:sz="8" w:space="0" w:color="auto"/>
              <w:bottom w:val="single" w:sz="8" w:space="0" w:color="auto"/>
              <w:right w:val="single" w:sz="8" w:space="0" w:color="auto"/>
            </w:tcBorders>
            <w:noWrap/>
            <w:vAlign w:val="center"/>
            <w:hideMark/>
          </w:tcPr>
          <w:p w14:paraId="6CC1CBA2" w14:textId="7C650724" w:rsidR="00C315D5" w:rsidRPr="0035431F" w:rsidRDefault="00C22F63" w:rsidP="00DE686D">
            <w:pPr>
              <w:widowControl/>
              <w:autoSpaceDE/>
              <w:autoSpaceDN/>
              <w:adjustRightInd/>
              <w:rPr>
                <w:rFonts w:asciiTheme="majorHAnsi" w:hAnsiTheme="majorHAnsi" w:cs="Calibri"/>
                <w:color w:val="000000"/>
              </w:rPr>
            </w:pPr>
            <w:r w:rsidRPr="0035431F">
              <w:rPr>
                <w:rFonts w:asciiTheme="majorHAnsi" w:hAnsiTheme="majorHAnsi"/>
                <w:color w:val="000000"/>
              </w:rPr>
              <w:t>Curazao</w:t>
            </w:r>
          </w:p>
        </w:tc>
        <w:tc>
          <w:tcPr>
            <w:tcW w:w="4144" w:type="pct"/>
            <w:tcBorders>
              <w:top w:val="nil"/>
              <w:left w:val="nil"/>
              <w:bottom w:val="single" w:sz="8" w:space="0" w:color="auto"/>
              <w:right w:val="single" w:sz="8" w:space="0" w:color="auto"/>
            </w:tcBorders>
            <w:vAlign w:val="center"/>
            <w:hideMark/>
          </w:tcPr>
          <w:p w14:paraId="61AE0980" w14:textId="4ACFE9FC" w:rsidR="00C315D5" w:rsidRPr="0035431F" w:rsidRDefault="00C22F63" w:rsidP="00DE686D">
            <w:pPr>
              <w:widowControl/>
              <w:autoSpaceDE/>
              <w:autoSpaceDN/>
              <w:adjustRightInd/>
              <w:jc w:val="both"/>
              <w:rPr>
                <w:rFonts w:asciiTheme="majorHAnsi" w:hAnsiTheme="majorHAnsi" w:cs="Calibri"/>
                <w:color w:val="000000"/>
              </w:rPr>
            </w:pPr>
            <w:r w:rsidRPr="0035431F">
              <w:rPr>
                <w:rFonts w:asciiTheme="majorHAnsi" w:hAnsiTheme="majorHAnsi"/>
                <w:color w:val="000000"/>
              </w:rPr>
              <w:t xml:space="preserve">No hubo ningún buque pesquero faenando en la zona de ICCAT. En lo que respecta a las actividades pesqueras, Curazao lleva a cabo un seguimiento y un control al 100 %. Hay observadores a bordo y, cuando no hay observadores a bordo, se recurre a observadores digitales; Curazao recibe muestras de los cuadernos de pesca electrónicos a través del sistema de gestión de capturas </w:t>
            </w:r>
            <w:proofErr w:type="spellStart"/>
            <w:r w:rsidRPr="0035431F">
              <w:rPr>
                <w:rFonts w:asciiTheme="majorHAnsi" w:hAnsiTheme="majorHAnsi"/>
                <w:color w:val="000000"/>
              </w:rPr>
              <w:t>Halios</w:t>
            </w:r>
            <w:proofErr w:type="spellEnd"/>
            <w:r w:rsidRPr="0035431F">
              <w:rPr>
                <w:rFonts w:asciiTheme="majorHAnsi" w:hAnsiTheme="majorHAnsi"/>
                <w:color w:val="000000"/>
              </w:rPr>
              <w:t>, en tiempo real y en línea; la inspección se lleva a cabo en puerto por parte de dos empresas de inspección. Curazao está elaborando un plan para reforzar las medidas del MCS con el fin de reducir al mínimo las capturas fortuitas.</w:t>
            </w:r>
          </w:p>
        </w:tc>
      </w:tr>
      <w:tr w:rsidR="009A56D8" w:rsidRPr="0035431F" w14:paraId="3C28C117" w14:textId="77777777" w:rsidTr="006D1FBF">
        <w:tc>
          <w:tcPr>
            <w:tcW w:w="856" w:type="pct"/>
            <w:tcBorders>
              <w:top w:val="nil"/>
              <w:left w:val="single" w:sz="8" w:space="0" w:color="auto"/>
              <w:bottom w:val="single" w:sz="8" w:space="0" w:color="auto"/>
              <w:right w:val="single" w:sz="8" w:space="0" w:color="auto"/>
            </w:tcBorders>
            <w:noWrap/>
          </w:tcPr>
          <w:p w14:paraId="1AA11BC5" w14:textId="0A434726" w:rsidR="009A56D8" w:rsidRPr="0035431F" w:rsidRDefault="009A56D8" w:rsidP="009A56D8">
            <w:pPr>
              <w:widowControl/>
              <w:autoSpaceDE/>
              <w:autoSpaceDN/>
              <w:adjustRightInd/>
              <w:rPr>
                <w:rFonts w:asciiTheme="majorHAnsi" w:hAnsiTheme="majorHAnsi" w:cs="Calibri"/>
                <w:color w:val="000000"/>
              </w:rPr>
            </w:pPr>
            <w:r w:rsidRPr="0035431F">
              <w:rPr>
                <w:rFonts w:asciiTheme="majorHAnsi" w:hAnsiTheme="majorHAnsi"/>
              </w:rPr>
              <w:t>Unión Europea</w:t>
            </w:r>
          </w:p>
        </w:tc>
        <w:tc>
          <w:tcPr>
            <w:tcW w:w="4144" w:type="pct"/>
            <w:tcBorders>
              <w:top w:val="nil"/>
              <w:left w:val="nil"/>
              <w:bottom w:val="single" w:sz="8" w:space="0" w:color="auto"/>
              <w:right w:val="single" w:sz="8" w:space="0" w:color="auto"/>
            </w:tcBorders>
          </w:tcPr>
          <w:p w14:paraId="31B30738" w14:textId="520D2544" w:rsidR="009A56D8" w:rsidRPr="0035431F" w:rsidRDefault="009A56D8" w:rsidP="009A56D8">
            <w:pPr>
              <w:widowControl/>
              <w:autoSpaceDE/>
              <w:autoSpaceDN/>
              <w:adjustRightInd/>
              <w:jc w:val="both"/>
              <w:rPr>
                <w:rFonts w:asciiTheme="majorHAnsi" w:hAnsiTheme="majorHAnsi" w:cs="Calibri"/>
                <w:color w:val="000000"/>
              </w:rPr>
            </w:pPr>
            <w:r w:rsidRPr="0035431F">
              <w:rPr>
                <w:rFonts w:asciiTheme="majorHAnsi" w:hAnsiTheme="majorHAnsi"/>
              </w:rPr>
              <w:t>En la Sección 2 de su Informe anual se incluye información adicional.</w:t>
            </w:r>
          </w:p>
        </w:tc>
      </w:tr>
      <w:tr w:rsidR="009A56D8" w:rsidRPr="0035431F" w14:paraId="30C9E54E" w14:textId="77777777" w:rsidTr="00DE686D">
        <w:tc>
          <w:tcPr>
            <w:tcW w:w="856" w:type="pct"/>
            <w:tcBorders>
              <w:top w:val="nil"/>
              <w:left w:val="single" w:sz="8" w:space="0" w:color="auto"/>
              <w:bottom w:val="single" w:sz="4" w:space="0" w:color="auto"/>
              <w:right w:val="single" w:sz="8" w:space="0" w:color="auto"/>
            </w:tcBorders>
            <w:noWrap/>
            <w:vAlign w:val="center"/>
            <w:hideMark/>
          </w:tcPr>
          <w:p w14:paraId="1D0B8AB6" w14:textId="255056C5" w:rsidR="009A56D8" w:rsidRPr="0035431F" w:rsidRDefault="009A56D8" w:rsidP="009A56D8">
            <w:pPr>
              <w:widowControl/>
              <w:autoSpaceDE/>
              <w:autoSpaceDN/>
              <w:adjustRightInd/>
              <w:rPr>
                <w:rFonts w:asciiTheme="majorHAnsi" w:hAnsiTheme="majorHAnsi" w:cs="Calibri"/>
                <w:color w:val="000000"/>
              </w:rPr>
            </w:pPr>
            <w:r w:rsidRPr="0035431F">
              <w:rPr>
                <w:rFonts w:asciiTheme="majorHAnsi" w:hAnsiTheme="majorHAnsi"/>
                <w:color w:val="000000"/>
              </w:rPr>
              <w:t>Rusia</w:t>
            </w:r>
          </w:p>
        </w:tc>
        <w:tc>
          <w:tcPr>
            <w:tcW w:w="4144" w:type="pct"/>
            <w:tcBorders>
              <w:top w:val="nil"/>
              <w:left w:val="nil"/>
              <w:bottom w:val="single" w:sz="4" w:space="0" w:color="auto"/>
              <w:right w:val="single" w:sz="8" w:space="0" w:color="auto"/>
            </w:tcBorders>
            <w:vAlign w:val="center"/>
            <w:hideMark/>
          </w:tcPr>
          <w:p w14:paraId="5ED51D17" w14:textId="447A6629" w:rsidR="009A56D8" w:rsidRPr="0035431F" w:rsidRDefault="009A56D8" w:rsidP="009A56D8">
            <w:pPr>
              <w:widowControl/>
              <w:autoSpaceDE/>
              <w:autoSpaceDN/>
              <w:adjustRightInd/>
              <w:jc w:val="both"/>
              <w:rPr>
                <w:rFonts w:asciiTheme="majorHAnsi" w:hAnsiTheme="majorHAnsi"/>
              </w:rPr>
            </w:pPr>
            <w:r w:rsidRPr="0035431F">
              <w:rPr>
                <w:rFonts w:asciiTheme="majorHAnsi" w:hAnsiTheme="majorHAnsi"/>
              </w:rPr>
              <w:t>En Rusia no existe una pesquería especializada en túnidos. En la captura fortuita de la pesquería de arrastre se encuentran pequeños túnidos. Los observadores a bordo de los buques registran las especies capturadas de forma fortuita. Se recopilan datos sobre el número de capturas fortuitas por especie, talla y estado biológico de las especies (15 de julio de 2026). Asimismo, para controlar todas las capturas realizadas por todos los buques, se utiliza el sistema nacional de seguimiento de los recursos biológicos acuáticos y los buques pesqueros del Centro de seguimiento y comunicaciones pesqueras (CFMC, https://cfmc.ru).</w:t>
            </w:r>
          </w:p>
        </w:tc>
      </w:tr>
      <w:tr w:rsidR="009A56D8" w:rsidRPr="0035431F" w14:paraId="4DFAD12C" w14:textId="77777777" w:rsidTr="00DE686D">
        <w:trPr>
          <w:trHeight w:val="75"/>
        </w:trPr>
        <w:tc>
          <w:tcPr>
            <w:tcW w:w="856" w:type="pct"/>
            <w:tcBorders>
              <w:top w:val="single" w:sz="4" w:space="0" w:color="auto"/>
              <w:left w:val="single" w:sz="4" w:space="0" w:color="auto"/>
              <w:bottom w:val="single" w:sz="4" w:space="0" w:color="auto"/>
              <w:right w:val="single" w:sz="4" w:space="0" w:color="auto"/>
            </w:tcBorders>
            <w:noWrap/>
            <w:vAlign w:val="center"/>
            <w:hideMark/>
          </w:tcPr>
          <w:p w14:paraId="4C6EB508" w14:textId="56C3C867" w:rsidR="009A56D8" w:rsidRPr="0035431F" w:rsidRDefault="009A56D8" w:rsidP="009A56D8">
            <w:pPr>
              <w:widowControl/>
              <w:autoSpaceDE/>
              <w:autoSpaceDN/>
              <w:adjustRightInd/>
              <w:rPr>
                <w:rFonts w:asciiTheme="majorHAnsi" w:hAnsiTheme="majorHAnsi" w:cs="Calibri"/>
                <w:color w:val="000000"/>
              </w:rPr>
            </w:pPr>
            <w:r w:rsidRPr="0035431F">
              <w:rPr>
                <w:rFonts w:asciiTheme="majorHAnsi" w:hAnsiTheme="majorHAnsi"/>
                <w:color w:val="000000"/>
              </w:rPr>
              <w:t>Türkiye</w:t>
            </w:r>
          </w:p>
        </w:tc>
        <w:tc>
          <w:tcPr>
            <w:tcW w:w="4144" w:type="pct"/>
            <w:tcBorders>
              <w:top w:val="single" w:sz="4" w:space="0" w:color="auto"/>
              <w:left w:val="single" w:sz="4" w:space="0" w:color="auto"/>
              <w:bottom w:val="single" w:sz="4" w:space="0" w:color="auto"/>
              <w:right w:val="single" w:sz="4" w:space="0" w:color="auto"/>
            </w:tcBorders>
            <w:vAlign w:val="center"/>
            <w:hideMark/>
          </w:tcPr>
          <w:p w14:paraId="4E23C9A0" w14:textId="2DB31726" w:rsidR="009A56D8" w:rsidRPr="0035431F" w:rsidRDefault="009A56D8" w:rsidP="009A56D8">
            <w:pPr>
              <w:jc w:val="both"/>
              <w:rPr>
                <w:rFonts w:asciiTheme="majorHAnsi" w:hAnsiTheme="majorHAnsi" w:cs="Calibri"/>
                <w:color w:val="000000"/>
              </w:rPr>
            </w:pPr>
            <w:r w:rsidRPr="0035431F">
              <w:rPr>
                <w:rFonts w:asciiTheme="majorHAnsi" w:hAnsiTheme="majorHAnsi"/>
                <w:color w:val="000000"/>
              </w:rPr>
              <w:t>Türkiye no ha llevado a cabo actividades de pesca de patudo (</w:t>
            </w:r>
            <w:r w:rsidRPr="0035431F">
              <w:rPr>
                <w:rFonts w:asciiTheme="majorHAnsi" w:hAnsiTheme="majorHAnsi"/>
                <w:i/>
                <w:iCs/>
                <w:color w:val="000000"/>
              </w:rPr>
              <w:t>Thunnus obesus</w:t>
            </w:r>
            <w:r w:rsidRPr="0035431F">
              <w:rPr>
                <w:rFonts w:asciiTheme="majorHAnsi" w:hAnsiTheme="majorHAnsi"/>
                <w:color w:val="000000"/>
              </w:rPr>
              <w:t>) ni de rabil (</w:t>
            </w:r>
            <w:r w:rsidRPr="0035431F">
              <w:rPr>
                <w:rFonts w:asciiTheme="majorHAnsi" w:hAnsiTheme="majorHAnsi"/>
                <w:i/>
                <w:iCs/>
                <w:color w:val="000000"/>
              </w:rPr>
              <w:t>Thunnus albacares</w:t>
            </w:r>
            <w:r w:rsidRPr="0035431F">
              <w:rPr>
                <w:rFonts w:asciiTheme="majorHAnsi" w:hAnsiTheme="majorHAnsi"/>
                <w:color w:val="000000"/>
              </w:rPr>
              <w:t xml:space="preserve">), pesca sujeta al total admisible de captura (TAC) y a la implementación de cuotas, de conformidad con la Recomendación n.º 24-01 de ICCAT. Con el fin de supervisar más de cerca la pesquería de listado, a partir de 2025, la Notificación 6/1 sobre la Regulación de la pesca comercial (n.º 2024/20), que entró en vigor el 11 de agosto de 2024 y abarca el periodo 2024-2028, obliga a obtener un permiso especial de pesca para los buques destinados a la captura de listado. El límite máximo de capturas fortuitas de listado a bordo se aplicará de conformidad con el artículo 18 de la Notificación 6/1 sobre la regulación de la pesca comercial (n.º 2024/20). En consecuencia, el nivel de captura fortuita de listado no superará el 5 % del total de capturas a bordo al final de cada marea. Las capturas fortuita se calcularán con respecto al total de capturas a bordo «en peso». Se utilizarán cuadernos de pesca tanto encuadernados como electrónicos para consignar los datos de la captura.  Las </w:t>
            </w:r>
            <w:r w:rsidRPr="0035431F">
              <w:rPr>
                <w:rFonts w:asciiTheme="majorHAnsi" w:hAnsiTheme="majorHAnsi"/>
                <w:color w:val="000000"/>
              </w:rPr>
              <w:lastRenderedPageBreak/>
              <w:t>capturas fortuitas en cuestión se contabilizarán en el volumen total de capturas de listado de Turquía. Para garantizar el cumplimiento de las disposiciones relativas a M:TRO17 de la Notificación 6/1 sobre la regulación de la pesca comercial (n.º 2024/20) y el Reglamento de Pesca (n.º 4988), se aplicarán dichas disposiciones. La pesca del listado se supervisará de cerca y se gestionará de conformidad con las normas y reglamentos aplicables de ICCAT.</w:t>
            </w:r>
          </w:p>
        </w:tc>
      </w:tr>
      <w:tr w:rsidR="009A56D8" w:rsidRPr="0035431F" w14:paraId="3354D7A4" w14:textId="77777777" w:rsidTr="00DE686D">
        <w:trPr>
          <w:trHeight w:val="75"/>
        </w:trPr>
        <w:tc>
          <w:tcPr>
            <w:tcW w:w="856" w:type="pct"/>
            <w:tcBorders>
              <w:top w:val="single" w:sz="4" w:space="0" w:color="auto"/>
              <w:left w:val="single" w:sz="4" w:space="0" w:color="auto"/>
              <w:bottom w:val="single" w:sz="4" w:space="0" w:color="auto"/>
              <w:right w:val="single" w:sz="4" w:space="0" w:color="auto"/>
            </w:tcBorders>
            <w:noWrap/>
            <w:vAlign w:val="center"/>
          </w:tcPr>
          <w:p w14:paraId="08BF3619" w14:textId="2A73A519" w:rsidR="009A56D8" w:rsidRPr="0035431F" w:rsidDel="00C22F63" w:rsidRDefault="009A56D8" w:rsidP="009A56D8">
            <w:pPr>
              <w:widowControl/>
              <w:autoSpaceDE/>
              <w:autoSpaceDN/>
              <w:adjustRightInd/>
              <w:rPr>
                <w:rFonts w:asciiTheme="majorHAnsi" w:hAnsiTheme="majorHAnsi" w:cs="Calibri"/>
                <w:color w:val="000000"/>
              </w:rPr>
            </w:pPr>
            <w:r w:rsidRPr="0035431F">
              <w:rPr>
                <w:rFonts w:asciiTheme="majorHAnsi" w:hAnsiTheme="majorHAnsi"/>
                <w:color w:val="000000"/>
              </w:rPr>
              <w:lastRenderedPageBreak/>
              <w:t>Venezuela</w:t>
            </w:r>
          </w:p>
        </w:tc>
        <w:tc>
          <w:tcPr>
            <w:tcW w:w="4144" w:type="pct"/>
            <w:tcBorders>
              <w:top w:val="single" w:sz="4" w:space="0" w:color="auto"/>
              <w:left w:val="single" w:sz="4" w:space="0" w:color="auto"/>
              <w:bottom w:val="single" w:sz="4" w:space="0" w:color="auto"/>
              <w:right w:val="single" w:sz="4" w:space="0" w:color="auto"/>
            </w:tcBorders>
            <w:vAlign w:val="center"/>
          </w:tcPr>
          <w:p w14:paraId="2A8B0BEA" w14:textId="17E437C0" w:rsidR="009A56D8" w:rsidRPr="0035431F" w:rsidRDefault="00DE0294" w:rsidP="009A56D8">
            <w:pPr>
              <w:jc w:val="both"/>
              <w:rPr>
                <w:rFonts w:asciiTheme="majorHAnsi" w:hAnsiTheme="majorHAnsi" w:cs="Calibri"/>
                <w:color w:val="000000"/>
              </w:rPr>
            </w:pPr>
            <w:r w:rsidRPr="0035431F">
              <w:rPr>
                <w:rFonts w:asciiTheme="majorHAnsi" w:hAnsiTheme="majorHAnsi"/>
                <w:color w:val="000000"/>
              </w:rPr>
              <w:t>Venezuela presenta un programa de monitoreo de la flota que dirige las capturas a los túnidos tropicales, con 100% de cobertura y seguimiento permanente de las actividades pertinentes.</w:t>
            </w:r>
          </w:p>
        </w:tc>
      </w:tr>
    </w:tbl>
    <w:p w14:paraId="2A375ADB" w14:textId="77777777" w:rsidR="00C315D5" w:rsidRPr="0035431F" w:rsidRDefault="00C315D5" w:rsidP="00C315D5">
      <w:pPr>
        <w:jc w:val="both"/>
        <w:rPr>
          <w:rFonts w:asciiTheme="majorHAnsi" w:hAnsiTheme="majorHAnsi" w:cs="Calibri"/>
          <w:color w:val="000000"/>
        </w:rPr>
      </w:pPr>
    </w:p>
    <w:p w14:paraId="28A53D2E" w14:textId="7946E112" w:rsidR="00C315D5" w:rsidRDefault="00C315D5" w:rsidP="00C315D5">
      <w:pPr>
        <w:tabs>
          <w:tab w:val="left" w:pos="1276"/>
          <w:tab w:val="left" w:pos="1418"/>
          <w:tab w:val="left" w:leader="dot" w:pos="8222"/>
          <w:tab w:val="right" w:pos="8647"/>
        </w:tabs>
        <w:jc w:val="both"/>
        <w:rPr>
          <w:rFonts w:asciiTheme="majorHAnsi" w:hAnsiTheme="majorHAnsi" w:cs="Calibri"/>
          <w:color w:val="000000"/>
        </w:rPr>
      </w:pPr>
      <w:r w:rsidRPr="0035431F">
        <w:rPr>
          <w:rFonts w:asciiTheme="majorHAnsi" w:hAnsiTheme="majorHAnsi"/>
          <w:color w:val="000000"/>
        </w:rPr>
        <w:t xml:space="preserve">Cabe señalar que en la tabla anterior solo figuran </w:t>
      </w:r>
      <w:r w:rsidR="00266F58">
        <w:rPr>
          <w:rFonts w:asciiTheme="majorHAnsi" w:hAnsiTheme="majorHAnsi"/>
          <w:color w:val="000000"/>
        </w:rPr>
        <w:t>las</w:t>
      </w:r>
      <w:r w:rsidRPr="0035431F">
        <w:rPr>
          <w:rFonts w:asciiTheme="majorHAnsi" w:hAnsiTheme="majorHAnsi"/>
          <w:color w:val="000000"/>
        </w:rPr>
        <w:t xml:space="preserve"> que indicaron haber adoptado medidas para garantizar el cumplimiento del límite máximo de capturas fortuitas a bordo para los túnidos tropicales. En muchos casos, no se adoptan medidas porque todos los buques en cuestión disponen de licencias y/o porque no se permite la captura fortuita. No obstante, algunas de las respuestas relativas a las medidas son incoherentes, ya que las CPC no han leído ni comprendido el requisito. En varios casos, se dan respuestas totalmente irrelevantes (por ejemplo: «no existe una pesquería dirigida a esta especie»; «no hay buques con pabellón XX que pesquen esta especie»).</w:t>
      </w:r>
    </w:p>
    <w:p w14:paraId="2F8BBE4B" w14:textId="77777777" w:rsidR="00EE6957" w:rsidRPr="00364A87" w:rsidRDefault="00EE6957" w:rsidP="00C315D5">
      <w:pPr>
        <w:tabs>
          <w:tab w:val="left" w:pos="1276"/>
          <w:tab w:val="left" w:pos="1418"/>
          <w:tab w:val="left" w:leader="dot" w:pos="8222"/>
          <w:tab w:val="right" w:pos="8647"/>
        </w:tabs>
        <w:jc w:val="both"/>
        <w:rPr>
          <w:rFonts w:asciiTheme="majorHAnsi" w:hAnsiTheme="majorHAnsi" w:cs="Calibri"/>
          <w:color w:val="000000"/>
        </w:rPr>
      </w:pPr>
    </w:p>
    <w:p w14:paraId="6C3AB04F" w14:textId="4C4CD6B5" w:rsidR="00CC2541" w:rsidRPr="00536AB6" w:rsidRDefault="00E43E02" w:rsidP="00CC2541">
      <w:pPr>
        <w:tabs>
          <w:tab w:val="left" w:pos="1276"/>
          <w:tab w:val="left" w:pos="1418"/>
          <w:tab w:val="left" w:leader="dot" w:pos="8222"/>
          <w:tab w:val="right" w:pos="8647"/>
        </w:tabs>
        <w:jc w:val="both"/>
        <w:rPr>
          <w:rFonts w:asciiTheme="majorHAnsi" w:hAnsiTheme="majorHAnsi" w:cs="Calibri"/>
          <w:i/>
          <w:iCs/>
          <w:color w:val="000000"/>
        </w:rPr>
      </w:pPr>
      <w:r>
        <w:rPr>
          <w:rFonts w:asciiTheme="majorHAnsi" w:hAnsiTheme="majorHAnsi"/>
          <w:i/>
        </w:rPr>
        <w:t>Cantidad total de túnidos tropicales capturados de forma fortuita durante el año objeto del informe</w:t>
      </w:r>
    </w:p>
    <w:tbl>
      <w:tblPr>
        <w:tblW w:w="5000" w:type="pct"/>
        <w:tblLook w:val="04A0" w:firstRow="1" w:lastRow="0" w:firstColumn="1" w:lastColumn="0" w:noHBand="0" w:noVBand="1"/>
      </w:tblPr>
      <w:tblGrid>
        <w:gridCol w:w="2063"/>
        <w:gridCol w:w="6992"/>
      </w:tblGrid>
      <w:tr w:rsidR="00CC2541" w:rsidRPr="00536AB6" w14:paraId="318F1833" w14:textId="77777777" w:rsidTr="006D1FBF">
        <w:tc>
          <w:tcPr>
            <w:tcW w:w="1139" w:type="pct"/>
            <w:tcBorders>
              <w:top w:val="single" w:sz="8" w:space="0" w:color="auto"/>
              <w:left w:val="single" w:sz="8" w:space="0" w:color="auto"/>
              <w:bottom w:val="single" w:sz="8" w:space="0" w:color="auto"/>
              <w:right w:val="single" w:sz="8" w:space="0" w:color="auto"/>
            </w:tcBorders>
            <w:noWrap/>
            <w:vAlign w:val="center"/>
            <w:hideMark/>
          </w:tcPr>
          <w:p w14:paraId="228AC4E1" w14:textId="77777777" w:rsidR="00CC2541" w:rsidRPr="00536AB6" w:rsidRDefault="00CC2541" w:rsidP="00505320">
            <w:pPr>
              <w:widowControl/>
              <w:autoSpaceDE/>
              <w:autoSpaceDN/>
              <w:adjustRightInd/>
              <w:jc w:val="center"/>
              <w:rPr>
                <w:rFonts w:asciiTheme="majorHAnsi" w:hAnsiTheme="majorHAnsi" w:cs="Calibri"/>
                <w:i/>
                <w:iCs/>
                <w:color w:val="000000"/>
              </w:rPr>
            </w:pPr>
            <w:r>
              <w:rPr>
                <w:rFonts w:asciiTheme="majorHAnsi" w:hAnsiTheme="majorHAnsi"/>
                <w:i/>
                <w:color w:val="000000"/>
              </w:rPr>
              <w:t>CPC</w:t>
            </w:r>
          </w:p>
        </w:tc>
        <w:tc>
          <w:tcPr>
            <w:tcW w:w="3861" w:type="pct"/>
            <w:tcBorders>
              <w:top w:val="single" w:sz="8" w:space="0" w:color="auto"/>
              <w:left w:val="nil"/>
              <w:bottom w:val="single" w:sz="8" w:space="0" w:color="auto"/>
              <w:right w:val="single" w:sz="8" w:space="0" w:color="auto"/>
            </w:tcBorders>
            <w:vAlign w:val="center"/>
            <w:hideMark/>
          </w:tcPr>
          <w:p w14:paraId="40AFC115" w14:textId="77777777" w:rsidR="00CC2541" w:rsidRPr="00536AB6" w:rsidRDefault="00CC2541" w:rsidP="00505320">
            <w:pPr>
              <w:widowControl/>
              <w:autoSpaceDE/>
              <w:autoSpaceDN/>
              <w:adjustRightInd/>
              <w:jc w:val="center"/>
              <w:rPr>
                <w:rFonts w:asciiTheme="majorHAnsi" w:hAnsiTheme="majorHAnsi" w:cs="Calibri"/>
                <w:i/>
                <w:iCs/>
                <w:color w:val="000000"/>
              </w:rPr>
            </w:pPr>
            <w:r>
              <w:rPr>
                <w:rFonts w:asciiTheme="majorHAnsi" w:hAnsiTheme="majorHAnsi"/>
                <w:i/>
                <w:color w:val="000000"/>
              </w:rPr>
              <w:t>Respuesta</w:t>
            </w:r>
          </w:p>
        </w:tc>
      </w:tr>
      <w:tr w:rsidR="00CC2541" w:rsidRPr="00063218" w14:paraId="7720AE62" w14:textId="77777777" w:rsidTr="006D1FBF">
        <w:tc>
          <w:tcPr>
            <w:tcW w:w="1139" w:type="pct"/>
            <w:tcBorders>
              <w:top w:val="nil"/>
              <w:left w:val="single" w:sz="8" w:space="0" w:color="auto"/>
              <w:bottom w:val="single" w:sz="8" w:space="0" w:color="auto"/>
              <w:right w:val="single" w:sz="8" w:space="0" w:color="auto"/>
            </w:tcBorders>
            <w:noWrap/>
            <w:vAlign w:val="center"/>
            <w:hideMark/>
          </w:tcPr>
          <w:p w14:paraId="59A020A3" w14:textId="4EB3DA20" w:rsidR="00CC2541" w:rsidRPr="00C86B3C" w:rsidRDefault="005368D3" w:rsidP="00505320">
            <w:pPr>
              <w:widowControl/>
              <w:autoSpaceDE/>
              <w:autoSpaceDN/>
              <w:adjustRightInd/>
              <w:rPr>
                <w:rFonts w:asciiTheme="majorHAnsi" w:hAnsiTheme="majorHAnsi" w:cs="Calibri"/>
                <w:color w:val="000000"/>
              </w:rPr>
            </w:pPr>
            <w:r w:rsidRPr="00C86B3C">
              <w:rPr>
                <w:rFonts w:asciiTheme="majorHAnsi" w:hAnsiTheme="majorHAnsi"/>
                <w:color w:val="000000"/>
              </w:rPr>
              <w:t>China</w:t>
            </w:r>
          </w:p>
        </w:tc>
        <w:tc>
          <w:tcPr>
            <w:tcW w:w="3861" w:type="pct"/>
            <w:tcBorders>
              <w:top w:val="nil"/>
              <w:left w:val="nil"/>
              <w:bottom w:val="single" w:sz="8" w:space="0" w:color="auto"/>
              <w:right w:val="single" w:sz="8" w:space="0" w:color="auto"/>
            </w:tcBorders>
            <w:vAlign w:val="center"/>
            <w:hideMark/>
          </w:tcPr>
          <w:p w14:paraId="6F10EB52" w14:textId="4F677B7F" w:rsidR="00CC2541" w:rsidRPr="00C86B3C" w:rsidRDefault="005368D3" w:rsidP="00505320">
            <w:pPr>
              <w:widowControl/>
              <w:autoSpaceDE/>
              <w:autoSpaceDN/>
              <w:adjustRightInd/>
              <w:jc w:val="both"/>
              <w:rPr>
                <w:rFonts w:asciiTheme="majorHAnsi" w:hAnsiTheme="majorHAnsi" w:cs="Calibri"/>
                <w:color w:val="000000"/>
              </w:rPr>
            </w:pPr>
            <w:r w:rsidRPr="00C86B3C">
              <w:rPr>
                <w:rFonts w:asciiTheme="majorHAnsi" w:hAnsiTheme="majorHAnsi"/>
                <w:color w:val="000000"/>
              </w:rPr>
              <w:t>Formularios del SCRS presentados en 2026-27.</w:t>
            </w:r>
          </w:p>
        </w:tc>
      </w:tr>
      <w:tr w:rsidR="00CC2541" w:rsidRPr="00063218" w14:paraId="3AF0D0EC" w14:textId="77777777" w:rsidTr="006D1FBF">
        <w:tc>
          <w:tcPr>
            <w:tcW w:w="1139" w:type="pct"/>
            <w:tcBorders>
              <w:top w:val="nil"/>
              <w:left w:val="single" w:sz="8" w:space="0" w:color="auto"/>
              <w:bottom w:val="single" w:sz="8" w:space="0" w:color="auto"/>
              <w:right w:val="single" w:sz="8" w:space="0" w:color="auto"/>
            </w:tcBorders>
            <w:noWrap/>
            <w:vAlign w:val="center"/>
            <w:hideMark/>
          </w:tcPr>
          <w:p w14:paraId="3BCEE0B6" w14:textId="4B4FBDD2" w:rsidR="00CC2541" w:rsidRPr="00C86B3C" w:rsidRDefault="005368D3" w:rsidP="00505320">
            <w:pPr>
              <w:widowControl/>
              <w:autoSpaceDE/>
              <w:autoSpaceDN/>
              <w:adjustRightInd/>
              <w:rPr>
                <w:rFonts w:asciiTheme="majorHAnsi" w:hAnsiTheme="majorHAnsi" w:cs="Calibri"/>
                <w:color w:val="000000"/>
              </w:rPr>
            </w:pPr>
            <w:r w:rsidRPr="00C86B3C">
              <w:rPr>
                <w:rFonts w:asciiTheme="majorHAnsi" w:hAnsiTheme="majorHAnsi"/>
                <w:color w:val="000000"/>
              </w:rPr>
              <w:t>Ghana</w:t>
            </w:r>
          </w:p>
        </w:tc>
        <w:tc>
          <w:tcPr>
            <w:tcW w:w="3861" w:type="pct"/>
            <w:tcBorders>
              <w:top w:val="nil"/>
              <w:left w:val="nil"/>
              <w:bottom w:val="single" w:sz="8" w:space="0" w:color="auto"/>
              <w:right w:val="single" w:sz="8" w:space="0" w:color="auto"/>
            </w:tcBorders>
            <w:vAlign w:val="center"/>
            <w:hideMark/>
          </w:tcPr>
          <w:p w14:paraId="0A8F6A61" w14:textId="31D00269" w:rsidR="00CC2541" w:rsidRPr="00C86B3C" w:rsidRDefault="005368D3" w:rsidP="00505320">
            <w:pPr>
              <w:widowControl/>
              <w:autoSpaceDE/>
              <w:autoSpaceDN/>
              <w:adjustRightInd/>
              <w:jc w:val="both"/>
              <w:rPr>
                <w:rFonts w:asciiTheme="majorHAnsi" w:hAnsiTheme="majorHAnsi" w:cs="Calibri"/>
                <w:color w:val="000000"/>
              </w:rPr>
            </w:pPr>
            <w:r w:rsidRPr="00C86B3C">
              <w:rPr>
                <w:rFonts w:asciiTheme="majorHAnsi" w:hAnsiTheme="majorHAnsi"/>
                <w:color w:val="000000"/>
              </w:rPr>
              <w:t>GHA opera una pesquería de túnidos tropicales. Todas las capturas de túnidos comunicadas en las tareas 1 y 2.</w:t>
            </w:r>
          </w:p>
        </w:tc>
      </w:tr>
      <w:tr w:rsidR="00CC2541" w:rsidRPr="00063218" w14:paraId="78250E72" w14:textId="77777777" w:rsidTr="006D1FBF">
        <w:tc>
          <w:tcPr>
            <w:tcW w:w="1139" w:type="pct"/>
            <w:tcBorders>
              <w:top w:val="nil"/>
              <w:left w:val="single" w:sz="8" w:space="0" w:color="auto"/>
              <w:bottom w:val="single" w:sz="4" w:space="0" w:color="auto"/>
              <w:right w:val="single" w:sz="8" w:space="0" w:color="auto"/>
            </w:tcBorders>
            <w:noWrap/>
            <w:vAlign w:val="center"/>
            <w:hideMark/>
          </w:tcPr>
          <w:p w14:paraId="438BC4BA" w14:textId="0A3ABD13" w:rsidR="00CC2541" w:rsidRPr="00C86B3C" w:rsidRDefault="005368D3" w:rsidP="00505320">
            <w:pPr>
              <w:widowControl/>
              <w:autoSpaceDE/>
              <w:autoSpaceDN/>
              <w:adjustRightInd/>
              <w:rPr>
                <w:rFonts w:asciiTheme="majorHAnsi" w:hAnsiTheme="majorHAnsi" w:cs="Calibri"/>
                <w:color w:val="000000"/>
              </w:rPr>
            </w:pPr>
            <w:r w:rsidRPr="00C86B3C">
              <w:rPr>
                <w:rFonts w:asciiTheme="majorHAnsi" w:hAnsiTheme="majorHAnsi"/>
                <w:color w:val="000000"/>
              </w:rPr>
              <w:t>Granada</w:t>
            </w:r>
          </w:p>
        </w:tc>
        <w:tc>
          <w:tcPr>
            <w:tcW w:w="3861" w:type="pct"/>
            <w:tcBorders>
              <w:top w:val="nil"/>
              <w:left w:val="nil"/>
              <w:bottom w:val="single" w:sz="4" w:space="0" w:color="auto"/>
              <w:right w:val="single" w:sz="8" w:space="0" w:color="auto"/>
            </w:tcBorders>
            <w:vAlign w:val="center"/>
            <w:hideMark/>
          </w:tcPr>
          <w:p w14:paraId="6406E8FD" w14:textId="44619DFA" w:rsidR="00CC2541" w:rsidRPr="00C86B3C" w:rsidRDefault="005368D3" w:rsidP="00505320">
            <w:pPr>
              <w:widowControl/>
              <w:autoSpaceDE/>
              <w:autoSpaceDN/>
              <w:adjustRightInd/>
              <w:jc w:val="both"/>
              <w:rPr>
                <w:rFonts w:asciiTheme="majorHAnsi" w:hAnsiTheme="majorHAnsi"/>
              </w:rPr>
            </w:pPr>
            <w:r w:rsidRPr="00C86B3C">
              <w:rPr>
                <w:rFonts w:asciiTheme="majorHAnsi" w:hAnsiTheme="majorHAnsi"/>
              </w:rPr>
              <w:t>Granada no cuenta con una pesquería de cerco, y no se ha registrado ninguna captura fortuita de túnidos tropicales durante el período de comunicación. Sin embargo, según la tarea 1, se registran y comunican las cantidades nominales de capturas declaradas (se registran y comunican las de BET y SKJ)</w:t>
            </w:r>
          </w:p>
        </w:tc>
      </w:tr>
      <w:tr w:rsidR="00CC2541" w:rsidRPr="0091340C" w14:paraId="46157D64" w14:textId="77777777" w:rsidTr="006D1FBF">
        <w:trPr>
          <w:trHeight w:val="75"/>
        </w:trPr>
        <w:tc>
          <w:tcPr>
            <w:tcW w:w="1139" w:type="pct"/>
            <w:tcBorders>
              <w:top w:val="single" w:sz="4" w:space="0" w:color="auto"/>
              <w:left w:val="single" w:sz="4" w:space="0" w:color="auto"/>
              <w:bottom w:val="single" w:sz="4" w:space="0" w:color="auto"/>
              <w:right w:val="single" w:sz="4" w:space="0" w:color="auto"/>
            </w:tcBorders>
            <w:noWrap/>
            <w:vAlign w:val="center"/>
            <w:hideMark/>
          </w:tcPr>
          <w:p w14:paraId="40A811C4" w14:textId="6FF65071" w:rsidR="00CC2541" w:rsidRPr="00C86B3C" w:rsidRDefault="005368D3" w:rsidP="00505320">
            <w:pPr>
              <w:widowControl/>
              <w:autoSpaceDE/>
              <w:autoSpaceDN/>
              <w:adjustRightInd/>
              <w:rPr>
                <w:rFonts w:asciiTheme="majorHAnsi" w:hAnsiTheme="majorHAnsi" w:cs="Calibri"/>
                <w:color w:val="000000"/>
              </w:rPr>
            </w:pPr>
            <w:r w:rsidRPr="00C86B3C">
              <w:rPr>
                <w:rFonts w:asciiTheme="majorHAnsi" w:hAnsiTheme="majorHAnsi"/>
                <w:color w:val="000000"/>
              </w:rPr>
              <w:t>República de Guinea</w:t>
            </w:r>
          </w:p>
        </w:tc>
        <w:tc>
          <w:tcPr>
            <w:tcW w:w="3861" w:type="pct"/>
            <w:tcBorders>
              <w:top w:val="single" w:sz="4" w:space="0" w:color="auto"/>
              <w:left w:val="single" w:sz="4" w:space="0" w:color="auto"/>
              <w:bottom w:val="single" w:sz="4" w:space="0" w:color="auto"/>
              <w:right w:val="single" w:sz="4" w:space="0" w:color="auto"/>
            </w:tcBorders>
            <w:vAlign w:val="center"/>
            <w:hideMark/>
          </w:tcPr>
          <w:p w14:paraId="0ABE6AD7" w14:textId="5778E9F9" w:rsidR="00CC2541" w:rsidRPr="00054A9F" w:rsidRDefault="005368D3" w:rsidP="00505320">
            <w:pPr>
              <w:jc w:val="both"/>
              <w:rPr>
                <w:rFonts w:asciiTheme="majorHAnsi" w:hAnsiTheme="majorHAnsi" w:cs="Calibri"/>
                <w:color w:val="000000"/>
              </w:rPr>
            </w:pPr>
            <w:r w:rsidRPr="00054A9F">
              <w:rPr>
                <w:rFonts w:asciiTheme="majorHAnsi" w:hAnsiTheme="majorHAnsi"/>
                <w:color w:val="000000"/>
              </w:rPr>
              <w:t>2.639,7 t, de las cuales 2.595,2 t procedían de la pesca artesanal, 27,3 t de la pesca semiindustrial y 17,08 t eran capturas fortuitas de los buques de pesca industrial (otras licencias de pesca) / SCRS/2026/081, mayo de 2026.</w:t>
            </w:r>
          </w:p>
        </w:tc>
      </w:tr>
      <w:tr w:rsidR="005368D3" w:rsidRPr="00063218" w14:paraId="2FF4C536" w14:textId="77777777" w:rsidTr="006D1FBF">
        <w:trPr>
          <w:trHeight w:val="75"/>
        </w:trPr>
        <w:tc>
          <w:tcPr>
            <w:tcW w:w="1139" w:type="pct"/>
            <w:tcBorders>
              <w:top w:val="single" w:sz="4" w:space="0" w:color="auto"/>
              <w:left w:val="single" w:sz="4" w:space="0" w:color="auto"/>
              <w:bottom w:val="single" w:sz="4" w:space="0" w:color="auto"/>
              <w:right w:val="single" w:sz="4" w:space="0" w:color="auto"/>
            </w:tcBorders>
            <w:noWrap/>
            <w:vAlign w:val="center"/>
          </w:tcPr>
          <w:p w14:paraId="1D9E8273" w14:textId="03E71AD4" w:rsidR="005368D3" w:rsidRPr="00C86B3C" w:rsidRDefault="005368D3" w:rsidP="00505320">
            <w:pPr>
              <w:widowControl/>
              <w:autoSpaceDE/>
              <w:autoSpaceDN/>
              <w:adjustRightInd/>
              <w:rPr>
                <w:rFonts w:asciiTheme="majorHAnsi" w:hAnsiTheme="majorHAnsi" w:cs="Calibri"/>
                <w:color w:val="000000"/>
              </w:rPr>
            </w:pPr>
            <w:r w:rsidRPr="00C86B3C">
              <w:rPr>
                <w:rFonts w:asciiTheme="majorHAnsi" w:hAnsiTheme="majorHAnsi"/>
                <w:color w:val="000000"/>
              </w:rPr>
              <w:t>Marruecos</w:t>
            </w:r>
          </w:p>
        </w:tc>
        <w:tc>
          <w:tcPr>
            <w:tcW w:w="3861" w:type="pct"/>
            <w:tcBorders>
              <w:top w:val="single" w:sz="4" w:space="0" w:color="auto"/>
              <w:left w:val="single" w:sz="4" w:space="0" w:color="auto"/>
              <w:bottom w:val="single" w:sz="4" w:space="0" w:color="auto"/>
              <w:right w:val="single" w:sz="4" w:space="0" w:color="auto"/>
            </w:tcBorders>
            <w:vAlign w:val="center"/>
          </w:tcPr>
          <w:p w14:paraId="64FF4486" w14:textId="44BE9CC1" w:rsidR="005368D3" w:rsidRPr="00054A9F" w:rsidRDefault="005368D3" w:rsidP="00505320">
            <w:pPr>
              <w:jc w:val="both"/>
              <w:rPr>
                <w:rFonts w:asciiTheme="majorHAnsi" w:hAnsiTheme="majorHAnsi" w:cs="Calibri"/>
                <w:color w:val="000000"/>
              </w:rPr>
            </w:pPr>
            <w:r w:rsidRPr="00054A9F">
              <w:rPr>
                <w:rFonts w:asciiTheme="majorHAnsi" w:hAnsiTheme="majorHAnsi"/>
                <w:color w:val="000000"/>
              </w:rPr>
              <w:t>La cantidad total de túnidos capturados de forma fortuita en 2026 (hasta septiembre de 2026) es de 25 t.</w:t>
            </w:r>
          </w:p>
        </w:tc>
      </w:tr>
      <w:tr w:rsidR="005368D3" w:rsidRPr="00536AB6" w14:paraId="2B1A4404" w14:textId="77777777" w:rsidTr="005368D3">
        <w:trPr>
          <w:trHeight w:val="75"/>
        </w:trPr>
        <w:tc>
          <w:tcPr>
            <w:tcW w:w="1139" w:type="pct"/>
            <w:tcBorders>
              <w:top w:val="single" w:sz="4" w:space="0" w:color="auto"/>
              <w:left w:val="single" w:sz="4" w:space="0" w:color="auto"/>
              <w:bottom w:val="single" w:sz="4" w:space="0" w:color="auto"/>
              <w:right w:val="single" w:sz="4" w:space="0" w:color="auto"/>
            </w:tcBorders>
            <w:noWrap/>
            <w:vAlign w:val="center"/>
          </w:tcPr>
          <w:p w14:paraId="6C0E3C1F" w14:textId="462AB57E" w:rsidR="005368D3" w:rsidRPr="00C86B3C" w:rsidRDefault="005368D3" w:rsidP="00505320">
            <w:pPr>
              <w:widowControl/>
              <w:autoSpaceDE/>
              <w:autoSpaceDN/>
              <w:adjustRightInd/>
              <w:rPr>
                <w:rFonts w:asciiTheme="majorHAnsi" w:hAnsiTheme="majorHAnsi" w:cs="Calibri"/>
                <w:color w:val="000000"/>
              </w:rPr>
            </w:pPr>
            <w:r w:rsidRPr="00C86B3C">
              <w:rPr>
                <w:rFonts w:asciiTheme="majorHAnsi" w:hAnsiTheme="majorHAnsi"/>
                <w:color w:val="000000"/>
              </w:rPr>
              <w:t>Rusia</w:t>
            </w:r>
          </w:p>
        </w:tc>
        <w:tc>
          <w:tcPr>
            <w:tcW w:w="3861" w:type="pct"/>
            <w:tcBorders>
              <w:top w:val="single" w:sz="4" w:space="0" w:color="auto"/>
              <w:left w:val="single" w:sz="4" w:space="0" w:color="auto"/>
              <w:bottom w:val="single" w:sz="4" w:space="0" w:color="auto"/>
              <w:right w:val="single" w:sz="4" w:space="0" w:color="auto"/>
            </w:tcBorders>
            <w:vAlign w:val="center"/>
          </w:tcPr>
          <w:p w14:paraId="7925682B" w14:textId="7A49EE25" w:rsidR="005368D3" w:rsidRPr="00054A9F" w:rsidRDefault="005368D3" w:rsidP="00505320">
            <w:pPr>
              <w:jc w:val="both"/>
              <w:rPr>
                <w:rFonts w:asciiTheme="majorHAnsi" w:hAnsiTheme="majorHAnsi" w:cs="Calibri"/>
                <w:color w:val="000000"/>
              </w:rPr>
            </w:pPr>
            <w:r w:rsidRPr="00054A9F">
              <w:rPr>
                <w:rFonts w:asciiTheme="majorHAnsi" w:hAnsiTheme="majorHAnsi"/>
                <w:color w:val="000000"/>
              </w:rPr>
              <w:t>En Rusia no existe una pesquería especializada en túnidos. En la captura fortuita de la pesquería de arrastre se encuentran pequeños túnidos. En 2025 se capturaron 28 kg de SKJ.</w:t>
            </w:r>
          </w:p>
        </w:tc>
      </w:tr>
      <w:tr w:rsidR="005368D3" w:rsidRPr="00063218" w14:paraId="31DCABE0" w14:textId="77777777" w:rsidTr="005368D3">
        <w:trPr>
          <w:trHeight w:val="75"/>
        </w:trPr>
        <w:tc>
          <w:tcPr>
            <w:tcW w:w="1139" w:type="pct"/>
            <w:tcBorders>
              <w:top w:val="single" w:sz="4" w:space="0" w:color="auto"/>
              <w:left w:val="single" w:sz="4" w:space="0" w:color="auto"/>
              <w:bottom w:val="single" w:sz="4" w:space="0" w:color="auto"/>
              <w:right w:val="single" w:sz="4" w:space="0" w:color="auto"/>
            </w:tcBorders>
            <w:noWrap/>
            <w:vAlign w:val="center"/>
          </w:tcPr>
          <w:p w14:paraId="05784D24" w14:textId="120B3BC1" w:rsidR="005368D3" w:rsidRPr="00C86B3C" w:rsidRDefault="005368D3" w:rsidP="00505320">
            <w:pPr>
              <w:widowControl/>
              <w:autoSpaceDE/>
              <w:autoSpaceDN/>
              <w:adjustRightInd/>
              <w:rPr>
                <w:rFonts w:asciiTheme="majorHAnsi" w:hAnsiTheme="majorHAnsi" w:cs="Calibri"/>
                <w:color w:val="000000"/>
              </w:rPr>
            </w:pPr>
            <w:r w:rsidRPr="00C86B3C">
              <w:rPr>
                <w:rFonts w:asciiTheme="majorHAnsi" w:hAnsiTheme="majorHAnsi"/>
                <w:color w:val="000000"/>
              </w:rPr>
              <w:t>Türkiye</w:t>
            </w:r>
          </w:p>
        </w:tc>
        <w:tc>
          <w:tcPr>
            <w:tcW w:w="3861" w:type="pct"/>
            <w:tcBorders>
              <w:top w:val="single" w:sz="4" w:space="0" w:color="auto"/>
              <w:left w:val="single" w:sz="4" w:space="0" w:color="auto"/>
              <w:bottom w:val="single" w:sz="4" w:space="0" w:color="auto"/>
              <w:right w:val="single" w:sz="4" w:space="0" w:color="auto"/>
            </w:tcBorders>
            <w:vAlign w:val="center"/>
          </w:tcPr>
          <w:p w14:paraId="733420D6" w14:textId="13DCC7BE" w:rsidR="005368D3" w:rsidRPr="00054A9F" w:rsidRDefault="005368D3" w:rsidP="00505320">
            <w:pPr>
              <w:jc w:val="both"/>
              <w:rPr>
                <w:rFonts w:asciiTheme="majorHAnsi" w:hAnsiTheme="majorHAnsi" w:cs="Calibri"/>
                <w:color w:val="000000"/>
              </w:rPr>
            </w:pPr>
            <w:r w:rsidRPr="00054A9F">
              <w:rPr>
                <w:rFonts w:asciiTheme="majorHAnsi" w:hAnsiTheme="majorHAnsi"/>
                <w:color w:val="000000"/>
              </w:rPr>
              <w:t>No aplicable. No se capturaron túnidos tropicales de forma fortuita. Cantidad total de SKJ capturada comunicada mediante ST02-T1NC_TUR2025.xlsx.</w:t>
            </w:r>
          </w:p>
        </w:tc>
      </w:tr>
      <w:tr w:rsidR="005368D3" w:rsidRPr="00063218" w14:paraId="0584C277" w14:textId="77777777" w:rsidTr="005368D3">
        <w:trPr>
          <w:trHeight w:val="75"/>
        </w:trPr>
        <w:tc>
          <w:tcPr>
            <w:tcW w:w="1139" w:type="pct"/>
            <w:tcBorders>
              <w:top w:val="single" w:sz="4" w:space="0" w:color="auto"/>
              <w:left w:val="single" w:sz="4" w:space="0" w:color="auto"/>
              <w:bottom w:val="single" w:sz="4" w:space="0" w:color="auto"/>
              <w:right w:val="single" w:sz="4" w:space="0" w:color="auto"/>
            </w:tcBorders>
            <w:noWrap/>
            <w:vAlign w:val="center"/>
          </w:tcPr>
          <w:p w14:paraId="375D816D" w14:textId="29927337" w:rsidR="005368D3" w:rsidRPr="00C86B3C" w:rsidRDefault="005368D3" w:rsidP="00505320">
            <w:pPr>
              <w:widowControl/>
              <w:autoSpaceDE/>
              <w:autoSpaceDN/>
              <w:adjustRightInd/>
              <w:rPr>
                <w:rFonts w:asciiTheme="majorHAnsi" w:hAnsiTheme="majorHAnsi" w:cs="Calibri"/>
                <w:color w:val="000000"/>
              </w:rPr>
            </w:pPr>
            <w:r w:rsidRPr="00C86B3C">
              <w:rPr>
                <w:rFonts w:asciiTheme="majorHAnsi" w:hAnsiTheme="majorHAnsi"/>
                <w:color w:val="000000"/>
              </w:rPr>
              <w:t>Reino Unido</w:t>
            </w:r>
          </w:p>
        </w:tc>
        <w:tc>
          <w:tcPr>
            <w:tcW w:w="3861" w:type="pct"/>
            <w:tcBorders>
              <w:top w:val="single" w:sz="4" w:space="0" w:color="auto"/>
              <w:left w:val="single" w:sz="4" w:space="0" w:color="auto"/>
              <w:bottom w:val="single" w:sz="4" w:space="0" w:color="auto"/>
              <w:right w:val="single" w:sz="4" w:space="0" w:color="auto"/>
            </w:tcBorders>
            <w:vAlign w:val="center"/>
          </w:tcPr>
          <w:p w14:paraId="193AF2E4" w14:textId="4C0C26D7" w:rsidR="005368D3" w:rsidRPr="00054A9F" w:rsidRDefault="005368D3" w:rsidP="00505320">
            <w:pPr>
              <w:jc w:val="both"/>
              <w:rPr>
                <w:rFonts w:asciiTheme="majorHAnsi" w:hAnsiTheme="majorHAnsi" w:cs="Calibri"/>
                <w:color w:val="000000"/>
              </w:rPr>
            </w:pPr>
            <w:r w:rsidRPr="00054A9F">
              <w:rPr>
                <w:rFonts w:asciiTheme="majorHAnsi" w:hAnsiTheme="majorHAnsi"/>
                <w:color w:val="000000"/>
              </w:rPr>
              <w:t>En 2025</w:t>
            </w:r>
            <w:r w:rsidR="0040526B" w:rsidRPr="00054A9F">
              <w:rPr>
                <w:rFonts w:asciiTheme="majorHAnsi" w:hAnsiTheme="majorHAnsi"/>
                <w:color w:val="000000"/>
              </w:rPr>
              <w:t xml:space="preserve"> </w:t>
            </w:r>
            <w:r w:rsidRPr="00054A9F">
              <w:rPr>
                <w:rFonts w:asciiTheme="majorHAnsi" w:hAnsiTheme="majorHAnsi"/>
                <w:color w:val="000000"/>
              </w:rPr>
              <w:t>las Bermudas desembarcaron/capturaron 569 kg de patudo y 10 kg de listado de forma fortuita. El Reino Unido-Metropolitano y las Islas Turcas y Caicos no desembarcaron ninguna especie túnidos tropicales en 2025. Todos los desembarques de especies de túnidos tropicales en Santa Elena y las Islas Vírgenes del Reino Unido fueron especie objetivo.</w:t>
            </w:r>
          </w:p>
        </w:tc>
      </w:tr>
    </w:tbl>
    <w:p w14:paraId="41784383" w14:textId="77777777" w:rsidR="00CC2541" w:rsidRPr="00364A87" w:rsidRDefault="00CC2541" w:rsidP="00CC2541">
      <w:pPr>
        <w:jc w:val="both"/>
        <w:rPr>
          <w:rFonts w:asciiTheme="majorHAnsi" w:hAnsiTheme="majorHAnsi" w:cs="Calibri"/>
          <w:color w:val="000000"/>
        </w:rPr>
      </w:pPr>
    </w:p>
    <w:p w14:paraId="0DCBFF33" w14:textId="2587809B" w:rsidR="00E43E02" w:rsidRDefault="00CC2541" w:rsidP="00366A78">
      <w:pPr>
        <w:tabs>
          <w:tab w:val="left" w:pos="1276"/>
          <w:tab w:val="left" w:pos="1418"/>
          <w:tab w:val="left" w:leader="dot" w:pos="8222"/>
          <w:tab w:val="right" w:pos="8647"/>
        </w:tabs>
        <w:jc w:val="both"/>
        <w:rPr>
          <w:rFonts w:asciiTheme="majorHAnsi" w:hAnsiTheme="majorHAnsi" w:cs="Calibri"/>
          <w:color w:val="000000"/>
        </w:rPr>
      </w:pPr>
      <w:r>
        <w:rPr>
          <w:rFonts w:asciiTheme="majorHAnsi" w:hAnsiTheme="majorHAnsi"/>
          <w:color w:val="000000"/>
        </w:rPr>
        <w:t xml:space="preserve">Cabe señalar que </w:t>
      </w:r>
      <w:r w:rsidR="00F11D22">
        <w:rPr>
          <w:rFonts w:asciiTheme="majorHAnsi" w:hAnsiTheme="majorHAnsi"/>
          <w:color w:val="000000"/>
        </w:rPr>
        <w:t>la tabla</w:t>
      </w:r>
      <w:r>
        <w:rPr>
          <w:rFonts w:asciiTheme="majorHAnsi" w:hAnsiTheme="majorHAnsi"/>
          <w:color w:val="000000"/>
        </w:rPr>
        <w:t xml:space="preserve"> anterior solo incluye a</w:t>
      </w:r>
      <w:r w:rsidR="00F11D22">
        <w:rPr>
          <w:rFonts w:asciiTheme="majorHAnsi" w:hAnsiTheme="majorHAnsi"/>
          <w:color w:val="000000"/>
        </w:rPr>
        <w:t xml:space="preserve"> las CPC que </w:t>
      </w:r>
      <w:r>
        <w:rPr>
          <w:rFonts w:asciiTheme="majorHAnsi" w:hAnsiTheme="majorHAnsi"/>
          <w:color w:val="000000"/>
        </w:rPr>
        <w:t xml:space="preserve">indicaron una cifra concreta o hicieron referencia a ella, o a cualquier documento en el que figuraran dichas cifras. En muchos casos, no se facilitan datos porque todos los buques en cuestión disponen de licencias y/o porque no se permite la captura fortuita. </w:t>
      </w:r>
      <w:r>
        <w:rPr>
          <w:rFonts w:asciiTheme="majorHAnsi" w:hAnsiTheme="majorHAnsi"/>
        </w:rPr>
        <w:t>No obstante, algunas de las respuestas relativas a la cantidad total de túnidos tropicales capturados de forma fortuita durante el año de comunicación</w:t>
      </w:r>
      <w:r w:rsidR="00054A9F">
        <w:rPr>
          <w:rFonts w:asciiTheme="majorHAnsi" w:hAnsiTheme="majorHAnsi"/>
        </w:rPr>
        <w:t xml:space="preserve"> son</w:t>
      </w:r>
      <w:r>
        <w:rPr>
          <w:rFonts w:asciiTheme="majorHAnsi" w:hAnsiTheme="majorHAnsi"/>
        </w:rPr>
        <w:t xml:space="preserve"> incoherentes, ya que las CPC no han leído o no han entendido el requisito.</w:t>
      </w:r>
      <w:r>
        <w:rPr>
          <w:rFonts w:asciiTheme="majorHAnsi" w:hAnsiTheme="majorHAnsi"/>
          <w:color w:val="000000"/>
        </w:rPr>
        <w:t xml:space="preserve"> En varios casos, se dan respuestas totalmente irrelevantes (por ejemplo: «no existe una pesquería dirigida a esta especie»; «no hay buques con pabellón XX que pesquen esta especie»).</w:t>
      </w:r>
    </w:p>
    <w:p w14:paraId="2CF40A00" w14:textId="77777777" w:rsidR="00EE760B" w:rsidRPr="00364A87" w:rsidRDefault="00EE760B" w:rsidP="00366A78">
      <w:pPr>
        <w:tabs>
          <w:tab w:val="left" w:pos="1276"/>
          <w:tab w:val="left" w:pos="1418"/>
          <w:tab w:val="left" w:leader="dot" w:pos="8222"/>
          <w:tab w:val="right" w:pos="8647"/>
        </w:tabs>
        <w:jc w:val="both"/>
        <w:rPr>
          <w:rFonts w:asciiTheme="majorHAnsi" w:hAnsiTheme="majorHAnsi" w:cs="Calibri"/>
          <w:color w:val="000000"/>
        </w:rPr>
      </w:pPr>
    </w:p>
    <w:p w14:paraId="660A0E68" w14:textId="242039FB" w:rsidR="00E43E02" w:rsidRPr="008B3BA5" w:rsidRDefault="00E43E02" w:rsidP="00E43E02">
      <w:pPr>
        <w:tabs>
          <w:tab w:val="left" w:pos="1276"/>
          <w:tab w:val="left" w:pos="1418"/>
          <w:tab w:val="left" w:leader="dot" w:pos="8222"/>
          <w:tab w:val="right" w:pos="8647"/>
        </w:tabs>
        <w:jc w:val="both"/>
        <w:rPr>
          <w:rFonts w:asciiTheme="majorHAnsi" w:hAnsiTheme="majorHAnsi" w:cs="Calibri"/>
          <w:i/>
          <w:iCs/>
          <w:color w:val="000000"/>
        </w:rPr>
      </w:pPr>
      <w:r w:rsidRPr="008B3BA5">
        <w:rPr>
          <w:rFonts w:asciiTheme="majorHAnsi" w:hAnsiTheme="majorHAnsi"/>
          <w:i/>
        </w:rPr>
        <w:t>Límite máximo de captura fortuita por marea de pesca que la CPC permitirá por stock para el año pesquero siguiente</w:t>
      </w:r>
    </w:p>
    <w:tbl>
      <w:tblPr>
        <w:tblW w:w="5000" w:type="pct"/>
        <w:tblLook w:val="04A0" w:firstRow="1" w:lastRow="0" w:firstColumn="1" w:lastColumn="0" w:noHBand="0" w:noVBand="1"/>
      </w:tblPr>
      <w:tblGrid>
        <w:gridCol w:w="1550"/>
        <w:gridCol w:w="7505"/>
      </w:tblGrid>
      <w:tr w:rsidR="00E43E02" w:rsidRPr="008B3BA5" w14:paraId="64800F22" w14:textId="77777777" w:rsidTr="00505320">
        <w:tc>
          <w:tcPr>
            <w:tcW w:w="856" w:type="pct"/>
            <w:tcBorders>
              <w:top w:val="single" w:sz="8" w:space="0" w:color="auto"/>
              <w:left w:val="single" w:sz="8" w:space="0" w:color="auto"/>
              <w:bottom w:val="single" w:sz="8" w:space="0" w:color="auto"/>
              <w:right w:val="single" w:sz="8" w:space="0" w:color="auto"/>
            </w:tcBorders>
            <w:noWrap/>
            <w:vAlign w:val="center"/>
            <w:hideMark/>
          </w:tcPr>
          <w:p w14:paraId="2AD7A58B" w14:textId="77777777" w:rsidR="00E43E02" w:rsidRPr="008B3BA5" w:rsidRDefault="00E43E02" w:rsidP="00505320">
            <w:pPr>
              <w:widowControl/>
              <w:autoSpaceDE/>
              <w:autoSpaceDN/>
              <w:adjustRightInd/>
              <w:jc w:val="center"/>
              <w:rPr>
                <w:rFonts w:asciiTheme="majorHAnsi" w:hAnsiTheme="majorHAnsi" w:cs="Calibri"/>
                <w:i/>
                <w:iCs/>
                <w:color w:val="000000"/>
              </w:rPr>
            </w:pPr>
            <w:r w:rsidRPr="008B3BA5">
              <w:rPr>
                <w:rFonts w:asciiTheme="majorHAnsi" w:hAnsiTheme="majorHAnsi"/>
                <w:i/>
                <w:color w:val="000000"/>
              </w:rPr>
              <w:t>CPC</w:t>
            </w:r>
          </w:p>
        </w:tc>
        <w:tc>
          <w:tcPr>
            <w:tcW w:w="4144" w:type="pct"/>
            <w:tcBorders>
              <w:top w:val="single" w:sz="8" w:space="0" w:color="auto"/>
              <w:left w:val="nil"/>
              <w:bottom w:val="single" w:sz="8" w:space="0" w:color="auto"/>
              <w:right w:val="single" w:sz="8" w:space="0" w:color="auto"/>
            </w:tcBorders>
            <w:vAlign w:val="center"/>
            <w:hideMark/>
          </w:tcPr>
          <w:p w14:paraId="2DF67F58" w14:textId="77777777" w:rsidR="00E43E02" w:rsidRPr="008B3BA5" w:rsidRDefault="00E43E02" w:rsidP="00505320">
            <w:pPr>
              <w:widowControl/>
              <w:autoSpaceDE/>
              <w:autoSpaceDN/>
              <w:adjustRightInd/>
              <w:jc w:val="center"/>
              <w:rPr>
                <w:rFonts w:asciiTheme="majorHAnsi" w:hAnsiTheme="majorHAnsi" w:cs="Calibri"/>
                <w:i/>
                <w:iCs/>
                <w:color w:val="000000"/>
              </w:rPr>
            </w:pPr>
            <w:r w:rsidRPr="008B3BA5">
              <w:rPr>
                <w:rFonts w:asciiTheme="majorHAnsi" w:hAnsiTheme="majorHAnsi"/>
                <w:i/>
                <w:color w:val="000000"/>
              </w:rPr>
              <w:t>Respuesta</w:t>
            </w:r>
          </w:p>
        </w:tc>
      </w:tr>
      <w:tr w:rsidR="00E43E02" w:rsidRPr="008B3BA5" w14:paraId="7840C358" w14:textId="77777777" w:rsidTr="00505320">
        <w:tc>
          <w:tcPr>
            <w:tcW w:w="856" w:type="pct"/>
            <w:tcBorders>
              <w:top w:val="nil"/>
              <w:left w:val="single" w:sz="8" w:space="0" w:color="auto"/>
              <w:bottom w:val="single" w:sz="8" w:space="0" w:color="auto"/>
              <w:right w:val="single" w:sz="8" w:space="0" w:color="auto"/>
            </w:tcBorders>
            <w:noWrap/>
            <w:vAlign w:val="center"/>
            <w:hideMark/>
          </w:tcPr>
          <w:p w14:paraId="1FD18616" w14:textId="584C1A82" w:rsidR="00E43E02" w:rsidRPr="008B3BA5" w:rsidRDefault="00D21449" w:rsidP="00505320">
            <w:pPr>
              <w:widowControl/>
              <w:autoSpaceDE/>
              <w:autoSpaceDN/>
              <w:adjustRightInd/>
              <w:rPr>
                <w:rFonts w:asciiTheme="majorHAnsi" w:hAnsiTheme="majorHAnsi" w:cs="Calibri"/>
                <w:color w:val="000000"/>
              </w:rPr>
            </w:pPr>
            <w:r w:rsidRPr="008B3BA5">
              <w:rPr>
                <w:rFonts w:asciiTheme="majorHAnsi" w:hAnsiTheme="majorHAnsi"/>
                <w:color w:val="000000"/>
              </w:rPr>
              <w:t>Ghana</w:t>
            </w:r>
          </w:p>
        </w:tc>
        <w:tc>
          <w:tcPr>
            <w:tcW w:w="4144" w:type="pct"/>
            <w:tcBorders>
              <w:top w:val="nil"/>
              <w:left w:val="nil"/>
              <w:bottom w:val="single" w:sz="8" w:space="0" w:color="auto"/>
              <w:right w:val="single" w:sz="8" w:space="0" w:color="auto"/>
            </w:tcBorders>
            <w:vAlign w:val="center"/>
            <w:hideMark/>
          </w:tcPr>
          <w:p w14:paraId="4411C1B3" w14:textId="7AA1C8EF" w:rsidR="00E43E02" w:rsidRPr="008B3BA5" w:rsidRDefault="00D21449" w:rsidP="00505320">
            <w:pPr>
              <w:widowControl/>
              <w:autoSpaceDE/>
              <w:autoSpaceDN/>
              <w:adjustRightInd/>
              <w:jc w:val="both"/>
              <w:rPr>
                <w:rFonts w:asciiTheme="majorHAnsi" w:hAnsiTheme="majorHAnsi" w:cs="Calibri"/>
                <w:color w:val="000000"/>
              </w:rPr>
            </w:pPr>
            <w:r w:rsidRPr="008B3BA5">
              <w:rPr>
                <w:rFonts w:asciiTheme="majorHAnsi" w:hAnsiTheme="majorHAnsi"/>
                <w:color w:val="000000"/>
              </w:rPr>
              <w:t>15 % del GRT del buque</w:t>
            </w:r>
          </w:p>
        </w:tc>
      </w:tr>
      <w:tr w:rsidR="00E43E02" w:rsidRPr="008B3BA5" w14:paraId="78343B2A" w14:textId="77777777" w:rsidTr="00505320">
        <w:tc>
          <w:tcPr>
            <w:tcW w:w="856" w:type="pct"/>
            <w:tcBorders>
              <w:top w:val="nil"/>
              <w:left w:val="single" w:sz="8" w:space="0" w:color="auto"/>
              <w:bottom w:val="single" w:sz="8" w:space="0" w:color="auto"/>
              <w:right w:val="single" w:sz="8" w:space="0" w:color="auto"/>
            </w:tcBorders>
            <w:noWrap/>
            <w:vAlign w:val="center"/>
            <w:hideMark/>
          </w:tcPr>
          <w:p w14:paraId="67930692" w14:textId="2BA6859E" w:rsidR="00E43E02" w:rsidRPr="008B3BA5" w:rsidRDefault="00D21449" w:rsidP="00505320">
            <w:pPr>
              <w:widowControl/>
              <w:autoSpaceDE/>
              <w:autoSpaceDN/>
              <w:adjustRightInd/>
              <w:rPr>
                <w:rFonts w:asciiTheme="majorHAnsi" w:hAnsiTheme="majorHAnsi" w:cs="Calibri"/>
                <w:color w:val="000000"/>
              </w:rPr>
            </w:pPr>
            <w:r w:rsidRPr="008B3BA5">
              <w:rPr>
                <w:rFonts w:asciiTheme="majorHAnsi" w:hAnsiTheme="majorHAnsi"/>
                <w:color w:val="000000"/>
              </w:rPr>
              <w:t>Marruecos</w:t>
            </w:r>
          </w:p>
        </w:tc>
        <w:tc>
          <w:tcPr>
            <w:tcW w:w="4144" w:type="pct"/>
            <w:tcBorders>
              <w:top w:val="nil"/>
              <w:left w:val="nil"/>
              <w:bottom w:val="single" w:sz="8" w:space="0" w:color="auto"/>
              <w:right w:val="single" w:sz="8" w:space="0" w:color="auto"/>
            </w:tcBorders>
            <w:vAlign w:val="center"/>
            <w:hideMark/>
          </w:tcPr>
          <w:p w14:paraId="0E6FF5C5" w14:textId="15B741B4" w:rsidR="00E43E02" w:rsidRPr="008B3BA5" w:rsidRDefault="00A57088" w:rsidP="00505320">
            <w:pPr>
              <w:widowControl/>
              <w:autoSpaceDE/>
              <w:autoSpaceDN/>
              <w:adjustRightInd/>
              <w:jc w:val="both"/>
              <w:rPr>
                <w:rFonts w:asciiTheme="majorHAnsi" w:hAnsiTheme="majorHAnsi" w:cs="Calibri"/>
                <w:color w:val="000000"/>
              </w:rPr>
            </w:pPr>
            <w:r w:rsidRPr="008B3BA5">
              <w:rPr>
                <w:rFonts w:asciiTheme="majorHAnsi" w:hAnsiTheme="majorHAnsi"/>
                <w:color w:val="000000"/>
              </w:rPr>
              <w:t>Marruecos ha fijado en un 5 % el límite máximo de capturas fortuitas.</w:t>
            </w:r>
          </w:p>
        </w:tc>
      </w:tr>
      <w:tr w:rsidR="00E43E02" w:rsidRPr="008B3BA5" w14:paraId="091788BB" w14:textId="77777777" w:rsidTr="00505320">
        <w:tc>
          <w:tcPr>
            <w:tcW w:w="856" w:type="pct"/>
            <w:tcBorders>
              <w:top w:val="nil"/>
              <w:left w:val="single" w:sz="8" w:space="0" w:color="auto"/>
              <w:bottom w:val="single" w:sz="4" w:space="0" w:color="auto"/>
              <w:right w:val="single" w:sz="8" w:space="0" w:color="auto"/>
            </w:tcBorders>
            <w:noWrap/>
            <w:vAlign w:val="center"/>
            <w:hideMark/>
          </w:tcPr>
          <w:p w14:paraId="06CEA7BB" w14:textId="6728949B" w:rsidR="00E43E02" w:rsidRPr="008B3BA5" w:rsidRDefault="00D21449" w:rsidP="00505320">
            <w:pPr>
              <w:widowControl/>
              <w:autoSpaceDE/>
              <w:autoSpaceDN/>
              <w:adjustRightInd/>
              <w:rPr>
                <w:rFonts w:asciiTheme="majorHAnsi" w:hAnsiTheme="majorHAnsi" w:cs="Calibri"/>
                <w:color w:val="000000"/>
              </w:rPr>
            </w:pPr>
            <w:r w:rsidRPr="008B3BA5">
              <w:rPr>
                <w:rFonts w:asciiTheme="majorHAnsi" w:hAnsiTheme="majorHAnsi"/>
                <w:color w:val="000000"/>
              </w:rPr>
              <w:t>Rusia</w:t>
            </w:r>
          </w:p>
        </w:tc>
        <w:tc>
          <w:tcPr>
            <w:tcW w:w="4144" w:type="pct"/>
            <w:tcBorders>
              <w:top w:val="nil"/>
              <w:left w:val="nil"/>
              <w:bottom w:val="single" w:sz="4" w:space="0" w:color="auto"/>
              <w:right w:val="single" w:sz="8" w:space="0" w:color="auto"/>
            </w:tcBorders>
            <w:vAlign w:val="center"/>
            <w:hideMark/>
          </w:tcPr>
          <w:p w14:paraId="5AD43C54" w14:textId="599EBCC2" w:rsidR="00D21449" w:rsidRPr="008B3BA5" w:rsidRDefault="00D21449" w:rsidP="00D21449">
            <w:pPr>
              <w:widowControl/>
              <w:autoSpaceDE/>
              <w:autoSpaceDN/>
              <w:adjustRightInd/>
              <w:jc w:val="both"/>
              <w:rPr>
                <w:rFonts w:asciiTheme="majorHAnsi" w:hAnsiTheme="majorHAnsi"/>
              </w:rPr>
            </w:pPr>
            <w:r w:rsidRPr="008B3BA5">
              <w:rPr>
                <w:rFonts w:asciiTheme="majorHAnsi" w:hAnsiTheme="majorHAnsi"/>
              </w:rPr>
              <w:t xml:space="preserve">El límite máximo de capturas fortuitas de túnidos tropicales por marea a bordo se fija en un máximo del 5 % por especie para los buques (no autorizados a pescar túnidos </w:t>
            </w:r>
            <w:r w:rsidRPr="008B3BA5">
              <w:rPr>
                <w:rFonts w:asciiTheme="majorHAnsi" w:hAnsiTheme="majorHAnsi"/>
              </w:rPr>
              <w:lastRenderedPageBreak/>
              <w:t>tropicales) y dichas capturas accesorias se contabilizan dentro del límite de capturas de la CPC (umbral de activación) de 1 575 t para BET (Rec. 24- 01).</w:t>
            </w:r>
          </w:p>
          <w:p w14:paraId="410572F2" w14:textId="0A4AA65A" w:rsidR="00E43E02" w:rsidRPr="008B3BA5" w:rsidRDefault="00E43E02" w:rsidP="00D21449">
            <w:pPr>
              <w:widowControl/>
              <w:autoSpaceDE/>
              <w:autoSpaceDN/>
              <w:adjustRightInd/>
              <w:jc w:val="both"/>
              <w:rPr>
                <w:rFonts w:asciiTheme="majorHAnsi" w:hAnsiTheme="majorHAnsi"/>
              </w:rPr>
            </w:pPr>
          </w:p>
        </w:tc>
      </w:tr>
      <w:tr w:rsidR="00E43E02" w:rsidRPr="008B3BA5" w14:paraId="00A4BD03" w14:textId="77777777" w:rsidTr="00505320">
        <w:trPr>
          <w:trHeight w:val="75"/>
        </w:trPr>
        <w:tc>
          <w:tcPr>
            <w:tcW w:w="856" w:type="pct"/>
            <w:tcBorders>
              <w:top w:val="single" w:sz="4" w:space="0" w:color="auto"/>
              <w:left w:val="single" w:sz="4" w:space="0" w:color="auto"/>
              <w:bottom w:val="single" w:sz="4" w:space="0" w:color="auto"/>
              <w:right w:val="single" w:sz="4" w:space="0" w:color="auto"/>
            </w:tcBorders>
            <w:noWrap/>
            <w:vAlign w:val="center"/>
            <w:hideMark/>
          </w:tcPr>
          <w:p w14:paraId="66E5271A" w14:textId="753E37C1" w:rsidR="00E43E02" w:rsidRPr="008B3BA5" w:rsidRDefault="00D21449" w:rsidP="00505320">
            <w:pPr>
              <w:widowControl/>
              <w:autoSpaceDE/>
              <w:autoSpaceDN/>
              <w:adjustRightInd/>
              <w:rPr>
                <w:rFonts w:asciiTheme="majorHAnsi" w:hAnsiTheme="majorHAnsi" w:cs="Calibri"/>
                <w:color w:val="000000"/>
              </w:rPr>
            </w:pPr>
            <w:r w:rsidRPr="008B3BA5">
              <w:rPr>
                <w:rFonts w:asciiTheme="majorHAnsi" w:hAnsiTheme="majorHAnsi"/>
                <w:color w:val="000000"/>
              </w:rPr>
              <w:lastRenderedPageBreak/>
              <w:t>Türkiye</w:t>
            </w:r>
          </w:p>
        </w:tc>
        <w:tc>
          <w:tcPr>
            <w:tcW w:w="4144" w:type="pct"/>
            <w:tcBorders>
              <w:top w:val="single" w:sz="4" w:space="0" w:color="auto"/>
              <w:left w:val="single" w:sz="4" w:space="0" w:color="auto"/>
              <w:bottom w:val="single" w:sz="4" w:space="0" w:color="auto"/>
              <w:right w:val="single" w:sz="4" w:space="0" w:color="auto"/>
            </w:tcBorders>
            <w:vAlign w:val="center"/>
            <w:hideMark/>
          </w:tcPr>
          <w:p w14:paraId="001A00FE" w14:textId="0D2A400A" w:rsidR="00E43E02" w:rsidRPr="008B3BA5" w:rsidRDefault="00D21449" w:rsidP="00505320">
            <w:pPr>
              <w:jc w:val="both"/>
              <w:rPr>
                <w:rFonts w:asciiTheme="majorHAnsi" w:hAnsiTheme="majorHAnsi" w:cs="Calibri"/>
                <w:color w:val="000000"/>
              </w:rPr>
            </w:pPr>
            <w:r w:rsidRPr="008B3BA5">
              <w:rPr>
                <w:rFonts w:asciiTheme="majorHAnsi" w:hAnsiTheme="majorHAnsi"/>
                <w:color w:val="000000"/>
              </w:rPr>
              <w:t>La Notificación 6/1 sobre la Regulación de la pesca comercial (n.º 2024/20), que entró en vigor el 11 de agosto de 2024 y abarca el periodo 2024-2028, obliga a obtener un permiso especial de pesca para los buques que dirigen su actividad al listado. El límite máximo de capturas fortuitas de listado a bordo se aplicará de conformidad con el artículo 18 de la Notificación 6/1 sobre la regulación de la pesca comercial (n.º 2024/20).  En consecuencia, el nivel de captura fortuita de listado no superará el 5 % del total de capturas a bordo al final de cada marea. Las capturas fortuita se calcularán con respecto al total de capturas a bordo «en peso».  Se utilizarán cuadernos de pesca tanto encuadernados como electrónicos para consignar los datos de la captura. Las capturas fortuitas en cuestión se contabilizarán en el volumen total de capturas de listado de Türkiye.</w:t>
            </w:r>
          </w:p>
        </w:tc>
      </w:tr>
    </w:tbl>
    <w:p w14:paraId="4AF3BA10" w14:textId="77777777" w:rsidR="00E43E02" w:rsidRPr="008B3BA5" w:rsidRDefault="00E43E02" w:rsidP="00E43E02">
      <w:pPr>
        <w:jc w:val="both"/>
        <w:rPr>
          <w:rFonts w:asciiTheme="majorHAnsi" w:hAnsiTheme="majorHAnsi" w:cs="Calibri"/>
          <w:color w:val="000000"/>
        </w:rPr>
      </w:pPr>
    </w:p>
    <w:p w14:paraId="0335D2D7" w14:textId="7156A4BF" w:rsidR="00E43E02" w:rsidRPr="00536AB6" w:rsidRDefault="00D21449" w:rsidP="00E43E02">
      <w:pPr>
        <w:tabs>
          <w:tab w:val="left" w:pos="1276"/>
          <w:tab w:val="left" w:pos="1418"/>
          <w:tab w:val="left" w:leader="dot" w:pos="8222"/>
          <w:tab w:val="right" w:pos="8647"/>
        </w:tabs>
        <w:jc w:val="both"/>
        <w:rPr>
          <w:rFonts w:asciiTheme="majorHAnsi" w:hAnsiTheme="majorHAnsi"/>
          <w:b/>
        </w:rPr>
      </w:pPr>
      <w:r w:rsidRPr="008B3BA5">
        <w:rPr>
          <w:rFonts w:asciiTheme="majorHAnsi" w:hAnsiTheme="majorHAnsi"/>
          <w:color w:val="000000"/>
        </w:rPr>
        <w:t>Cabe señalar que lo anterior solo in</w:t>
      </w:r>
      <w:r>
        <w:rPr>
          <w:rFonts w:asciiTheme="majorHAnsi" w:hAnsiTheme="majorHAnsi"/>
          <w:color w:val="000000"/>
        </w:rPr>
        <w:t>cluye a quienes indicaron una cifra concreta o hicieron referencia a ella, o a cualquier documento en el que figuraran dichas cifras. En muchos casos, no se ha establecido un límite porque todos los buques pertinentes cuentan con licencia y/o porque no se permite la captura fortuita. No obstante, algunas de las respuestas relativas al límite máximo de capturas fortuitas por marea permitido por la CPC por stock para la próxima campaña pesquera son incoherentes, ya que las CPC no han leído ni comprendido el requisito. En varios casos, se dan respuestas totalmente irrelevantes (por ejemplo: «no existe una pesquería dirigida a esta especie»; «no hay buques con pabellón XX que pesquen esta especie»).</w:t>
      </w:r>
    </w:p>
    <w:p w14:paraId="6A4FC055" w14:textId="77777777" w:rsidR="00E43E02" w:rsidRPr="00364A87" w:rsidRDefault="00E43E02" w:rsidP="00820485">
      <w:pPr>
        <w:tabs>
          <w:tab w:val="left" w:pos="1276"/>
          <w:tab w:val="left" w:pos="1418"/>
          <w:tab w:val="left" w:leader="dot" w:pos="8222"/>
          <w:tab w:val="right" w:pos="8647"/>
        </w:tabs>
        <w:jc w:val="both"/>
        <w:rPr>
          <w:rFonts w:asciiTheme="majorHAnsi" w:hAnsiTheme="majorHAnsi"/>
          <w:b/>
          <w:bCs/>
          <w:i/>
          <w:iCs/>
        </w:rPr>
      </w:pPr>
    </w:p>
    <w:p w14:paraId="3738F2A7" w14:textId="769A47DC" w:rsidR="00086AE7" w:rsidRPr="007F5C43" w:rsidRDefault="00765C78" w:rsidP="00820485">
      <w:pPr>
        <w:tabs>
          <w:tab w:val="left" w:pos="1276"/>
          <w:tab w:val="left" w:pos="1418"/>
          <w:tab w:val="left" w:leader="dot" w:pos="8222"/>
          <w:tab w:val="right" w:pos="8647"/>
        </w:tabs>
        <w:jc w:val="both"/>
        <w:rPr>
          <w:rFonts w:asciiTheme="majorHAnsi" w:hAnsiTheme="majorHAnsi"/>
          <w:color w:val="000000" w:themeColor="text1"/>
        </w:rPr>
      </w:pPr>
      <w:r w:rsidRPr="007F5C43">
        <w:rPr>
          <w:rFonts w:asciiTheme="majorHAnsi" w:hAnsiTheme="majorHAnsi"/>
          <w:i/>
        </w:rPr>
        <w:t xml:space="preserve">Registro ICCAT de buques pesqueros </w:t>
      </w:r>
      <w:r w:rsidRPr="007F5C43">
        <w:rPr>
          <w:rFonts w:asciiTheme="majorHAnsi" w:hAnsiTheme="majorHAnsi"/>
        </w:rPr>
        <w:t xml:space="preserve">Las listas autorizadas pueden consultarse en el </w:t>
      </w:r>
      <w:hyperlink r:id="rId8" w:history="1">
        <w:r w:rsidRPr="007F5C43">
          <w:rPr>
            <w:rStyle w:val="Hyperlink"/>
            <w:rFonts w:asciiTheme="majorHAnsi" w:hAnsiTheme="majorHAnsi"/>
            <w:u w:val="none"/>
          </w:rPr>
          <w:t>Registro ICCAT de buques</w:t>
        </w:r>
      </w:hyperlink>
      <w:r w:rsidRPr="007F5C43">
        <w:rPr>
          <w:rFonts w:asciiTheme="majorHAnsi" w:hAnsiTheme="majorHAnsi"/>
        </w:rPr>
        <w:t xml:space="preserve">. La información sobre la lista de buques que pescaron el año anterior se incluye en el </w:t>
      </w:r>
      <w:r w:rsidRPr="007F5C43">
        <w:rPr>
          <w:rFonts w:asciiTheme="majorHAnsi" w:hAnsiTheme="majorHAnsi"/>
          <w:b/>
          <w:bCs/>
        </w:rPr>
        <w:t>anexo 4</w:t>
      </w:r>
      <w:r w:rsidRPr="007F5C43">
        <w:rPr>
          <w:rFonts w:asciiTheme="majorHAnsi" w:hAnsiTheme="majorHAnsi"/>
        </w:rPr>
        <w:t>.</w:t>
      </w:r>
    </w:p>
    <w:p w14:paraId="409AB626" w14:textId="77777777" w:rsidR="00FC53FB" w:rsidRPr="00364A87" w:rsidRDefault="00FC53FB" w:rsidP="00820485">
      <w:pPr>
        <w:tabs>
          <w:tab w:val="left" w:pos="1276"/>
          <w:tab w:val="left" w:pos="1418"/>
          <w:tab w:val="left" w:leader="dot" w:pos="8222"/>
          <w:tab w:val="right" w:pos="8647"/>
        </w:tabs>
        <w:jc w:val="both"/>
        <w:rPr>
          <w:rFonts w:asciiTheme="majorHAnsi" w:hAnsiTheme="majorHAnsi"/>
          <w:color w:val="000000" w:themeColor="text1"/>
        </w:rPr>
      </w:pPr>
    </w:p>
    <w:p w14:paraId="13A9F8ED" w14:textId="71AFA424" w:rsidR="00A7179D" w:rsidRPr="00536AB6" w:rsidRDefault="0048587F" w:rsidP="00820485">
      <w:pPr>
        <w:tabs>
          <w:tab w:val="left" w:pos="1276"/>
          <w:tab w:val="left" w:pos="1418"/>
          <w:tab w:val="left" w:leader="dot" w:pos="8222"/>
          <w:tab w:val="right" w:pos="8647"/>
        </w:tabs>
        <w:jc w:val="both"/>
        <w:rPr>
          <w:rFonts w:asciiTheme="majorHAnsi" w:hAnsiTheme="majorHAnsi"/>
          <w:color w:val="000000" w:themeColor="text1"/>
        </w:rPr>
      </w:pPr>
      <w:r w:rsidRPr="007F5C43">
        <w:rPr>
          <w:rFonts w:asciiTheme="majorHAnsi" w:hAnsiTheme="majorHAnsi"/>
          <w:color w:val="000000" w:themeColor="text1"/>
        </w:rPr>
        <w:t xml:space="preserve">En el momento de redactar este documento, el Registro de buques de ICCAT contenía 1.193 buques(un descenso de </w:t>
      </w:r>
      <w:r w:rsidRPr="007F5C43">
        <w:rPr>
          <w:rFonts w:asciiTheme="majorHAnsi" w:hAnsiTheme="majorHAnsi"/>
          <w:b/>
          <w:color w:val="000000" w:themeColor="text1"/>
        </w:rPr>
        <w:t>117</w:t>
      </w:r>
      <w:r w:rsidRPr="007F5C43">
        <w:rPr>
          <w:rFonts w:asciiTheme="majorHAnsi" w:hAnsiTheme="majorHAnsi"/>
          <w:color w:val="000000" w:themeColor="text1"/>
        </w:rPr>
        <w:t xml:space="preserve"> buques con respecto al nivel de 2025) en su lista de buques de túnidos tropicales, con buques de 27 CPC. Cabe señalar que el Registro ICCAT es una lista dinámica y podría variar diariamente.</w:t>
      </w:r>
      <w:r>
        <w:rPr>
          <w:rFonts w:asciiTheme="majorHAnsi" w:hAnsiTheme="majorHAnsi"/>
          <w:color w:val="000000" w:themeColor="text1"/>
        </w:rPr>
        <w:t xml:space="preserve"> </w:t>
      </w:r>
    </w:p>
    <w:p w14:paraId="7701EB23" w14:textId="77777777" w:rsidR="0082575E" w:rsidRPr="00364A87" w:rsidRDefault="0082575E" w:rsidP="00820485">
      <w:pPr>
        <w:tabs>
          <w:tab w:val="left" w:pos="1276"/>
          <w:tab w:val="left" w:pos="1418"/>
          <w:tab w:val="left" w:leader="dot" w:pos="8222"/>
          <w:tab w:val="right" w:pos="8647"/>
        </w:tabs>
        <w:rPr>
          <w:rFonts w:asciiTheme="majorHAnsi" w:hAnsiTheme="majorHAnsi"/>
          <w:b/>
          <w:bCs/>
          <w:i/>
          <w:iCs/>
        </w:rPr>
      </w:pPr>
    </w:p>
    <w:p w14:paraId="5E38CE46" w14:textId="01926593" w:rsidR="00CE6BE0" w:rsidRPr="00536AB6" w:rsidRDefault="00976C7C" w:rsidP="00362405">
      <w:pPr>
        <w:tabs>
          <w:tab w:val="left" w:pos="1276"/>
          <w:tab w:val="left" w:pos="1418"/>
          <w:tab w:val="left" w:leader="dot" w:pos="8222"/>
          <w:tab w:val="right" w:pos="8647"/>
        </w:tabs>
        <w:jc w:val="both"/>
        <w:rPr>
          <w:rFonts w:asciiTheme="majorHAnsi" w:hAnsiTheme="majorHAnsi"/>
          <w:bCs/>
          <w:iCs/>
        </w:rPr>
      </w:pPr>
      <w:bookmarkStart w:id="0" w:name="_Hlk109293781"/>
      <w:r>
        <w:rPr>
          <w:rFonts w:asciiTheme="majorHAnsi" w:hAnsiTheme="majorHAnsi"/>
          <w:b/>
          <w:bCs/>
          <w:i/>
        </w:rPr>
        <w:t>Datos e información recopilados de los programas de muestreo:</w:t>
      </w:r>
      <w:r>
        <w:rPr>
          <w:rFonts w:asciiTheme="majorHAnsi" w:hAnsiTheme="majorHAnsi"/>
          <w:i/>
        </w:rPr>
        <w:t xml:space="preserve"> </w:t>
      </w:r>
      <w:r>
        <w:rPr>
          <w:rFonts w:asciiTheme="majorHAnsi" w:hAnsiTheme="majorHAnsi"/>
        </w:rPr>
        <w:t>Albania, Canadá, El Salvador, Francia (San Pedro y Miquelón), Ghana, Corea (Rep.), México, Panamá y el Reino Unido han presentado la información relativa a los muestreos en puerto requeridos en virtud del párrafo 73 de la Recomendación 24-01.</w:t>
      </w:r>
    </w:p>
    <w:bookmarkEnd w:id="0"/>
    <w:p w14:paraId="38EE6907" w14:textId="77777777" w:rsidR="00B56A79" w:rsidRPr="00364A87" w:rsidRDefault="00B56A79" w:rsidP="00820485">
      <w:pPr>
        <w:tabs>
          <w:tab w:val="left" w:pos="1276"/>
          <w:tab w:val="left" w:pos="1418"/>
          <w:tab w:val="left" w:leader="dot" w:pos="8222"/>
          <w:tab w:val="right" w:pos="8647"/>
        </w:tabs>
        <w:jc w:val="both"/>
        <w:rPr>
          <w:rFonts w:asciiTheme="majorHAnsi" w:hAnsiTheme="majorHAnsi"/>
          <w:bCs/>
          <w:iCs/>
        </w:rPr>
      </w:pPr>
    </w:p>
    <w:p w14:paraId="12C7B5EA" w14:textId="66E146E5" w:rsidR="00AF1AE8" w:rsidRPr="00536AB6" w:rsidRDefault="00976C7C" w:rsidP="00820485">
      <w:pPr>
        <w:tabs>
          <w:tab w:val="left" w:pos="1276"/>
          <w:tab w:val="left" w:pos="1418"/>
          <w:tab w:val="left" w:leader="dot" w:pos="8222"/>
          <w:tab w:val="right" w:pos="8647"/>
        </w:tabs>
        <w:jc w:val="both"/>
        <w:rPr>
          <w:rFonts w:asciiTheme="majorHAnsi" w:hAnsiTheme="majorHAnsi"/>
          <w:bCs/>
          <w:iCs/>
        </w:rPr>
      </w:pPr>
      <w:r>
        <w:rPr>
          <w:rFonts w:asciiTheme="majorHAnsi" w:hAnsiTheme="majorHAnsi"/>
          <w:b/>
          <w:i/>
          <w:iCs/>
        </w:rPr>
        <w:t>Programa de observadores:</w:t>
      </w:r>
      <w:r>
        <w:rPr>
          <w:rFonts w:asciiTheme="majorHAnsi" w:hAnsiTheme="majorHAnsi"/>
          <w:b/>
          <w:i/>
        </w:rPr>
        <w:t xml:space="preserve"> </w:t>
      </w:r>
      <w:r>
        <w:rPr>
          <w:rFonts w:asciiTheme="majorHAnsi" w:hAnsiTheme="majorHAnsi"/>
        </w:rPr>
        <w:t xml:space="preserve">No se comunicó a la Secretaría de ICCAT ninguna dificultad para embarcar observadores de conformidad con la Recomendación. </w:t>
      </w:r>
    </w:p>
    <w:p w14:paraId="3D8FBC85" w14:textId="77777777" w:rsidR="00F801C1" w:rsidRPr="00364A87" w:rsidRDefault="00F801C1" w:rsidP="00820485">
      <w:pPr>
        <w:tabs>
          <w:tab w:val="left" w:pos="1276"/>
          <w:tab w:val="left" w:pos="1418"/>
          <w:tab w:val="left" w:leader="dot" w:pos="8222"/>
          <w:tab w:val="right" w:pos="8647"/>
        </w:tabs>
        <w:jc w:val="both"/>
        <w:rPr>
          <w:rFonts w:asciiTheme="majorHAnsi" w:hAnsiTheme="majorHAnsi"/>
          <w:bCs/>
          <w:iCs/>
        </w:rPr>
      </w:pPr>
    </w:p>
    <w:p w14:paraId="202A9CCC" w14:textId="77777777" w:rsidR="00996E93" w:rsidRPr="00364A87" w:rsidRDefault="00996E93" w:rsidP="00820485">
      <w:pPr>
        <w:tabs>
          <w:tab w:val="left" w:pos="1276"/>
          <w:tab w:val="left" w:pos="1418"/>
          <w:tab w:val="center" w:pos="4750"/>
        </w:tabs>
        <w:rPr>
          <w:rFonts w:asciiTheme="majorHAnsi" w:hAnsiTheme="majorHAnsi"/>
          <w:b/>
          <w:bCs/>
        </w:rPr>
      </w:pPr>
    </w:p>
    <w:p w14:paraId="77CC6B99" w14:textId="7729F861" w:rsidR="009C4906" w:rsidRPr="00364A87" w:rsidRDefault="00F225F3" w:rsidP="00820485">
      <w:pPr>
        <w:tabs>
          <w:tab w:val="left" w:pos="1276"/>
          <w:tab w:val="left" w:pos="1418"/>
          <w:tab w:val="center" w:pos="4750"/>
        </w:tabs>
        <w:rPr>
          <w:rFonts w:asciiTheme="majorHAnsi" w:hAnsiTheme="majorHAnsi"/>
          <w:b/>
          <w:bCs/>
          <w:i/>
          <w:iCs/>
          <w:lang w:val="pt-BR"/>
        </w:rPr>
      </w:pPr>
      <w:r w:rsidRPr="00364A87">
        <w:rPr>
          <w:rFonts w:asciiTheme="majorHAnsi" w:hAnsiTheme="majorHAnsi"/>
          <w:b/>
          <w:lang w:val="pt-BR"/>
        </w:rPr>
        <w:t>SWO - PEZ ESPADA (</w:t>
      </w:r>
      <w:r w:rsidRPr="00364A87">
        <w:rPr>
          <w:rFonts w:asciiTheme="majorHAnsi" w:hAnsiTheme="majorHAnsi"/>
          <w:b/>
          <w:i/>
          <w:iCs/>
          <w:lang w:val="pt-BR"/>
        </w:rPr>
        <w:t>Xiphias gladius</w:t>
      </w:r>
      <w:r w:rsidRPr="00364A87">
        <w:rPr>
          <w:rFonts w:asciiTheme="majorHAnsi" w:hAnsiTheme="majorHAnsi"/>
          <w:b/>
          <w:lang w:val="pt-BR"/>
        </w:rPr>
        <w:t>)</w:t>
      </w:r>
    </w:p>
    <w:p w14:paraId="7848C4EA" w14:textId="77777777" w:rsidR="009C4906" w:rsidRPr="00364A87" w:rsidRDefault="009C4906" w:rsidP="00820485">
      <w:pPr>
        <w:tabs>
          <w:tab w:val="left" w:pos="993"/>
          <w:tab w:val="left" w:pos="1276"/>
          <w:tab w:val="left" w:pos="1418"/>
          <w:tab w:val="center" w:pos="4750"/>
        </w:tabs>
        <w:jc w:val="both"/>
        <w:rPr>
          <w:rFonts w:asciiTheme="majorHAnsi" w:hAnsiTheme="majorHAnsi"/>
          <w:i/>
          <w:color w:val="000000" w:themeColor="text1"/>
          <w:lang w:val="pt-BR"/>
        </w:rPr>
      </w:pPr>
    </w:p>
    <w:p w14:paraId="1AB73A6C" w14:textId="5D68D491" w:rsidR="009C4906" w:rsidRPr="00536AB6" w:rsidRDefault="009C4906" w:rsidP="00820485">
      <w:pPr>
        <w:tabs>
          <w:tab w:val="left" w:pos="993"/>
          <w:tab w:val="left" w:pos="1276"/>
          <w:tab w:val="left" w:pos="1418"/>
          <w:tab w:val="center" w:pos="4750"/>
        </w:tabs>
        <w:jc w:val="both"/>
        <w:rPr>
          <w:rFonts w:asciiTheme="majorHAnsi" w:hAnsiTheme="majorHAnsi"/>
          <w:i/>
        </w:rPr>
      </w:pPr>
      <w:r>
        <w:rPr>
          <w:rFonts w:asciiTheme="majorHAnsi" w:hAnsiTheme="majorHAnsi"/>
          <w:i/>
        </w:rPr>
        <w:t>[Rec. 03-04] Recomendación de ICCAT sobre el pez espada del Mediterráneo</w:t>
      </w:r>
    </w:p>
    <w:p w14:paraId="02490CFE" w14:textId="77777777" w:rsidR="00DC446B" w:rsidRPr="00364A87" w:rsidRDefault="00DC446B" w:rsidP="00820485">
      <w:pPr>
        <w:tabs>
          <w:tab w:val="left" w:pos="1276"/>
          <w:tab w:val="left" w:pos="1418"/>
          <w:tab w:val="left" w:leader="dot" w:pos="8222"/>
          <w:tab w:val="right" w:pos="8647"/>
        </w:tabs>
        <w:jc w:val="both"/>
        <w:rPr>
          <w:rFonts w:asciiTheme="majorHAnsi" w:hAnsiTheme="majorHAnsi"/>
          <w:bCs/>
          <w:lang w:eastAsia="en-GB"/>
        </w:rPr>
      </w:pPr>
    </w:p>
    <w:p w14:paraId="4E600CEE" w14:textId="357DB439" w:rsidR="00B71DB5" w:rsidRPr="00536AB6" w:rsidRDefault="009C4906" w:rsidP="00820485">
      <w:pPr>
        <w:tabs>
          <w:tab w:val="left" w:pos="1276"/>
          <w:tab w:val="left" w:pos="1418"/>
          <w:tab w:val="left" w:leader="dot" w:pos="8222"/>
          <w:tab w:val="right" w:pos="8647"/>
        </w:tabs>
        <w:jc w:val="both"/>
        <w:rPr>
          <w:rFonts w:asciiTheme="majorHAnsi" w:hAnsiTheme="majorHAnsi"/>
        </w:rPr>
      </w:pPr>
      <w:r>
        <w:rPr>
          <w:rFonts w:asciiTheme="majorHAnsi" w:hAnsiTheme="majorHAnsi"/>
        </w:rPr>
        <w:t xml:space="preserve">No se requiere una comunicación específica a la Secretaría que no sea la información que tiene que incluirse en la Sección 4 del Informe anual. La Secretaría de ICCAT no tiene nada que comunicar. </w:t>
      </w:r>
    </w:p>
    <w:p w14:paraId="4F199D26" w14:textId="77777777" w:rsidR="00562EB1" w:rsidRPr="00364A87" w:rsidRDefault="00562EB1" w:rsidP="00820485">
      <w:pPr>
        <w:tabs>
          <w:tab w:val="left" w:pos="1276"/>
          <w:tab w:val="left" w:pos="1418"/>
          <w:tab w:val="left" w:leader="dot" w:pos="8222"/>
          <w:tab w:val="right" w:pos="8647"/>
        </w:tabs>
        <w:rPr>
          <w:rFonts w:asciiTheme="majorHAnsi" w:hAnsiTheme="majorHAnsi"/>
          <w:i/>
        </w:rPr>
      </w:pPr>
    </w:p>
    <w:p w14:paraId="67D4F0B7" w14:textId="06B1AFB0" w:rsidR="00CD4D77" w:rsidRPr="00536AB6" w:rsidRDefault="00905BD5" w:rsidP="00CD4D77">
      <w:pPr>
        <w:tabs>
          <w:tab w:val="left" w:pos="1276"/>
          <w:tab w:val="left" w:pos="1418"/>
          <w:tab w:val="left" w:leader="dot" w:pos="8222"/>
          <w:tab w:val="right" w:pos="8647"/>
        </w:tabs>
        <w:jc w:val="both"/>
        <w:rPr>
          <w:rFonts w:asciiTheme="majorHAnsi" w:hAnsiTheme="majorHAnsi"/>
          <w:bCs/>
        </w:rPr>
      </w:pPr>
      <w:r>
        <w:rPr>
          <w:rFonts w:asciiTheme="majorHAnsi" w:hAnsiTheme="majorHAnsi"/>
        </w:rPr>
        <w:t xml:space="preserve">[Rec. 16-05] </w:t>
      </w:r>
      <w:r>
        <w:rPr>
          <w:rFonts w:asciiTheme="majorHAnsi" w:hAnsiTheme="majorHAnsi"/>
          <w:i/>
          <w:iCs/>
        </w:rPr>
        <w:t>Recomendación de ICCAT que sustituye a la recomendación 13-04 y establece un plan de recuperación plurianual para el pez espada del Mediterráneo</w:t>
      </w:r>
      <w:r>
        <w:rPr>
          <w:rFonts w:asciiTheme="majorHAnsi" w:hAnsiTheme="majorHAnsi"/>
        </w:rPr>
        <w:t>, compl</w:t>
      </w:r>
      <w:r w:rsidR="009A049C">
        <w:rPr>
          <w:rFonts w:asciiTheme="majorHAnsi" w:hAnsiTheme="majorHAnsi"/>
        </w:rPr>
        <w:t>ementada</w:t>
      </w:r>
      <w:r>
        <w:rPr>
          <w:rFonts w:asciiTheme="majorHAnsi" w:hAnsiTheme="majorHAnsi"/>
        </w:rPr>
        <w:t xml:space="preserve"> por la [Rec. 24-11]</w:t>
      </w:r>
      <w:r>
        <w:rPr>
          <w:rFonts w:asciiTheme="majorHAnsi" w:hAnsiTheme="majorHAnsi"/>
          <w:i/>
          <w:iCs/>
        </w:rPr>
        <w:t xml:space="preserve">Recomendación de ICCAT sobre límites de captura para el pez espada del Mediterráneo, </w:t>
      </w:r>
      <w:r>
        <w:rPr>
          <w:rFonts w:asciiTheme="majorHAnsi" w:hAnsiTheme="majorHAnsi"/>
        </w:rPr>
        <w:t xml:space="preserve">enmendada por la [Rec. 25-13] </w:t>
      </w:r>
      <w:r>
        <w:rPr>
          <w:rFonts w:asciiTheme="majorHAnsi" w:hAnsiTheme="majorHAnsi"/>
          <w:i/>
          <w:iCs/>
        </w:rPr>
        <w:t>Recomendación de ICCAT que enmienda la Recomendación 16-05 con el fin de incluir las acciones emprendidas en respuesta a las conclusiones de las inspecciones realizadas en el marco del Programa conjunto de inspección internacional (JIS) para el atún rojo y el pez espada.</w:t>
      </w:r>
    </w:p>
    <w:p w14:paraId="6F3383EF" w14:textId="77777777" w:rsidR="00CD4D77" w:rsidRPr="00364A87" w:rsidRDefault="00CD4D77" w:rsidP="0057473F">
      <w:pPr>
        <w:tabs>
          <w:tab w:val="left" w:pos="1276"/>
          <w:tab w:val="left" w:pos="1418"/>
          <w:tab w:val="left" w:leader="dot" w:pos="8222"/>
          <w:tab w:val="right" w:pos="8647"/>
        </w:tabs>
        <w:jc w:val="both"/>
        <w:rPr>
          <w:rFonts w:asciiTheme="majorHAnsi" w:hAnsiTheme="majorHAnsi"/>
          <w:bCs/>
        </w:rPr>
      </w:pPr>
    </w:p>
    <w:p w14:paraId="6A526B2C" w14:textId="37F41645" w:rsidR="001C2499" w:rsidRPr="00536AB6" w:rsidRDefault="001C2499" w:rsidP="008F5C43">
      <w:pPr>
        <w:jc w:val="both"/>
        <w:rPr>
          <w:rFonts w:asciiTheme="majorHAnsi" w:hAnsiTheme="majorHAnsi"/>
          <w:bCs/>
        </w:rPr>
      </w:pPr>
      <w:r>
        <w:rPr>
          <w:rFonts w:asciiTheme="majorHAnsi" w:hAnsiTheme="majorHAnsi"/>
          <w:b/>
          <w:bCs/>
          <w:i/>
          <w:iCs/>
        </w:rPr>
        <w:t>Planes de pesca SWO-MD:</w:t>
      </w:r>
      <w:r>
        <w:rPr>
          <w:rFonts w:asciiTheme="majorHAnsi" w:hAnsiTheme="majorHAnsi"/>
        </w:rPr>
        <w:t xml:space="preserve"> En 2026, se recibieron planes de las siguientes CPC: Argelia, Egipto, Unión Europea, Marruecos, Túnez y Türkiye. Estos planes se distribuyeron a las CPC y están disponibles como "Planes de pesca de pez espada del Mediterráneo presentados en 2026 (Rec. 16-05)". [PA4_802/2026].</w:t>
      </w:r>
      <w:r>
        <w:rPr>
          <w:rFonts w:asciiTheme="majorHAnsi" w:hAnsiTheme="majorHAnsi"/>
          <w:b/>
        </w:rPr>
        <w:t xml:space="preserve"> </w:t>
      </w:r>
      <w:r>
        <w:rPr>
          <w:rFonts w:asciiTheme="majorHAnsi" w:hAnsiTheme="majorHAnsi"/>
        </w:rPr>
        <w:t>No se ha recibido ningún plan de pesca SWO-MD de Libia.</w:t>
      </w:r>
    </w:p>
    <w:p w14:paraId="49B93029" w14:textId="77777777" w:rsidR="00254CF8" w:rsidRDefault="00254CF8" w:rsidP="001C2499">
      <w:pPr>
        <w:tabs>
          <w:tab w:val="left" w:pos="1276"/>
          <w:tab w:val="left" w:pos="1418"/>
          <w:tab w:val="left" w:leader="dot" w:pos="8222"/>
          <w:tab w:val="right" w:pos="8647"/>
        </w:tabs>
        <w:jc w:val="both"/>
        <w:rPr>
          <w:rFonts w:asciiTheme="majorHAnsi" w:hAnsiTheme="majorHAnsi"/>
          <w:b/>
        </w:rPr>
      </w:pPr>
    </w:p>
    <w:p w14:paraId="454368C6" w14:textId="77777777" w:rsidR="009A049C" w:rsidRPr="00364A87" w:rsidRDefault="009A049C" w:rsidP="001C2499">
      <w:pPr>
        <w:tabs>
          <w:tab w:val="left" w:pos="1276"/>
          <w:tab w:val="left" w:pos="1418"/>
          <w:tab w:val="left" w:leader="dot" w:pos="8222"/>
          <w:tab w:val="right" w:pos="8647"/>
        </w:tabs>
        <w:jc w:val="both"/>
        <w:rPr>
          <w:rFonts w:asciiTheme="majorHAnsi" w:hAnsiTheme="majorHAnsi"/>
          <w:b/>
        </w:rPr>
      </w:pPr>
    </w:p>
    <w:p w14:paraId="7F3E4339" w14:textId="677ED3C9" w:rsidR="001C2499" w:rsidRPr="00536AB6" w:rsidRDefault="001C2499" w:rsidP="001C2499">
      <w:pPr>
        <w:tabs>
          <w:tab w:val="left" w:pos="1276"/>
          <w:tab w:val="left" w:pos="1418"/>
          <w:tab w:val="left" w:leader="dot" w:pos="8222"/>
          <w:tab w:val="right" w:pos="8647"/>
        </w:tabs>
        <w:jc w:val="both"/>
        <w:rPr>
          <w:rFonts w:asciiTheme="majorHAnsi" w:hAnsiTheme="majorHAnsi"/>
        </w:rPr>
      </w:pPr>
      <w:r>
        <w:rPr>
          <w:rFonts w:asciiTheme="majorHAnsi" w:hAnsiTheme="majorHAnsi"/>
          <w:b/>
          <w:i/>
        </w:rPr>
        <w:t>Vedas:</w:t>
      </w:r>
      <w:r>
        <w:rPr>
          <w:rFonts w:asciiTheme="majorHAnsi" w:hAnsiTheme="majorHAnsi"/>
          <w:b/>
        </w:rPr>
        <w:t xml:space="preserve"> </w:t>
      </w:r>
      <w:r>
        <w:rPr>
          <w:rFonts w:asciiTheme="majorHAnsi" w:hAnsiTheme="majorHAnsi"/>
        </w:rPr>
        <w:t xml:space="preserve">Se han recibido informes sobre la implementación de los periodos de veda de Argelia, Egipto, </w:t>
      </w:r>
      <w:r>
        <w:rPr>
          <w:rFonts w:asciiTheme="majorHAnsi" w:hAnsiTheme="majorHAnsi"/>
        </w:rPr>
        <w:lastRenderedPageBreak/>
        <w:t xml:space="preserve">Marruecos, Túnez, Türkiye y la Unión Europea y se han incluido en el </w:t>
      </w:r>
      <w:r>
        <w:rPr>
          <w:rFonts w:asciiTheme="majorHAnsi" w:hAnsiTheme="majorHAnsi"/>
          <w:b/>
          <w:bCs/>
        </w:rPr>
        <w:t>apéndice 1</w:t>
      </w:r>
      <w:r>
        <w:rPr>
          <w:rFonts w:asciiTheme="majorHAnsi" w:hAnsiTheme="majorHAnsi"/>
        </w:rPr>
        <w:t xml:space="preserve"> de este informe. Argelia indicó que la información puede encontrarse en su informe anual (véase el documento "Informes anuales de las CPC" [COC_301/2026]). Egipto indicó que la información se puede encontrar en su plan de pesca del pez espada del Mediterráneo [PA4_802/2026]</w:t>
      </w:r>
      <w:r w:rsidRPr="008B3BA5">
        <w:rPr>
          <w:rFonts w:asciiTheme="majorHAnsi" w:hAnsiTheme="majorHAnsi"/>
        </w:rPr>
        <w:t>. No se ha recibido ningún informe de Libia sobre la aplicación del período de veda.</w:t>
      </w:r>
    </w:p>
    <w:p w14:paraId="5F954541" w14:textId="77777777" w:rsidR="001C2499" w:rsidRPr="00364A87" w:rsidRDefault="001C2499" w:rsidP="0057473F">
      <w:pPr>
        <w:tabs>
          <w:tab w:val="left" w:pos="1276"/>
          <w:tab w:val="left" w:pos="1418"/>
          <w:tab w:val="left" w:leader="dot" w:pos="8222"/>
          <w:tab w:val="right" w:pos="8647"/>
        </w:tabs>
        <w:jc w:val="both"/>
        <w:rPr>
          <w:rFonts w:asciiTheme="majorHAnsi" w:hAnsiTheme="majorHAnsi"/>
          <w:bCs/>
        </w:rPr>
      </w:pPr>
    </w:p>
    <w:p w14:paraId="5F790EF3" w14:textId="09BE5155" w:rsidR="001C2499" w:rsidRPr="00536AB6" w:rsidRDefault="001C2499" w:rsidP="001C2499">
      <w:pPr>
        <w:tabs>
          <w:tab w:val="left" w:pos="1276"/>
          <w:tab w:val="left" w:pos="1418"/>
          <w:tab w:val="left" w:leader="dot" w:pos="8222"/>
          <w:tab w:val="right" w:pos="8647"/>
        </w:tabs>
        <w:jc w:val="both"/>
        <w:rPr>
          <w:rFonts w:asciiTheme="majorHAnsi" w:hAnsiTheme="majorHAnsi"/>
        </w:rPr>
      </w:pPr>
      <w:r>
        <w:rPr>
          <w:rFonts w:asciiTheme="majorHAnsi" w:hAnsiTheme="majorHAnsi"/>
          <w:b/>
          <w:i/>
        </w:rPr>
        <w:t xml:space="preserve">Informes trimestrales: </w:t>
      </w:r>
      <w:r>
        <w:rPr>
          <w:rFonts w:asciiTheme="majorHAnsi" w:hAnsiTheme="majorHAnsi"/>
        </w:rPr>
        <w:t xml:space="preserve">A continuación se muestran los informes trimestrales recibidos de las CPC para 2025, junto con los totales de la Tarea 1 y las Tablas </w:t>
      </w:r>
      <w:r w:rsidR="009A049C">
        <w:rPr>
          <w:rFonts w:asciiTheme="majorHAnsi" w:hAnsiTheme="majorHAnsi"/>
        </w:rPr>
        <w:t>de cumplimiento</w:t>
      </w:r>
      <w:r>
        <w:rPr>
          <w:rFonts w:asciiTheme="majorHAnsi" w:hAnsiTheme="majorHAnsi"/>
        </w:rPr>
        <w:t xml:space="preserve">. En la mayoría de los casos, los totales son iguales o las diferencias son muy pequeñas, excepto en el caso de la Unión Europea, donde los totales difieren ligeramente. </w:t>
      </w:r>
    </w:p>
    <w:p w14:paraId="423F6AE7" w14:textId="77777777" w:rsidR="001C2499" w:rsidRPr="00364A87" w:rsidRDefault="001C2499" w:rsidP="001C2499">
      <w:pPr>
        <w:tabs>
          <w:tab w:val="left" w:pos="1276"/>
          <w:tab w:val="left" w:pos="1418"/>
          <w:tab w:val="left" w:leader="dot" w:pos="8222"/>
          <w:tab w:val="right" w:pos="8647"/>
        </w:tabs>
        <w:jc w:val="both"/>
        <w:rPr>
          <w:rFonts w:asciiTheme="majorHAnsi" w:hAnsiTheme="majorHAnsi"/>
        </w:rPr>
      </w:pPr>
    </w:p>
    <w:tbl>
      <w:tblPr>
        <w:tblW w:w="9351" w:type="dxa"/>
        <w:jc w:val="center"/>
        <w:tblLayout w:type="fixed"/>
        <w:tblLook w:val="04A0" w:firstRow="1" w:lastRow="0" w:firstColumn="1" w:lastColumn="0" w:noHBand="0" w:noVBand="1"/>
      </w:tblPr>
      <w:tblGrid>
        <w:gridCol w:w="988"/>
        <w:gridCol w:w="992"/>
        <w:gridCol w:w="992"/>
        <w:gridCol w:w="992"/>
        <w:gridCol w:w="993"/>
        <w:gridCol w:w="1134"/>
        <w:gridCol w:w="992"/>
        <w:gridCol w:w="992"/>
        <w:gridCol w:w="1276"/>
      </w:tblGrid>
      <w:tr w:rsidR="001C2499" w:rsidRPr="009A049C" w14:paraId="6F33ECB8" w14:textId="77777777" w:rsidTr="006D1FBF">
        <w:trPr>
          <w:trHeight w:val="777"/>
          <w:jc w:val="center"/>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15F4E59B" w14:textId="77777777" w:rsidR="001C2499" w:rsidRPr="009A049C" w:rsidRDefault="001C2499" w:rsidP="00505320">
            <w:pPr>
              <w:widowControl/>
              <w:autoSpaceDE/>
              <w:autoSpaceDN/>
              <w:adjustRightInd/>
              <w:rPr>
                <w:rFonts w:asciiTheme="majorHAnsi" w:hAnsiTheme="majorHAnsi"/>
                <w:b/>
                <w:i/>
                <w:color w:val="000000"/>
              </w:rPr>
            </w:pPr>
            <w:r w:rsidRPr="009A049C">
              <w:rPr>
                <w:rFonts w:asciiTheme="majorHAnsi" w:hAnsiTheme="majorHAnsi"/>
                <w:b/>
                <w:i/>
                <w:color w:val="000000"/>
              </w:rPr>
              <w:t>CPC</w:t>
            </w:r>
          </w:p>
        </w:tc>
        <w:tc>
          <w:tcPr>
            <w:tcW w:w="992" w:type="dxa"/>
            <w:tcBorders>
              <w:top w:val="single" w:sz="4" w:space="0" w:color="auto"/>
              <w:left w:val="nil"/>
              <w:bottom w:val="single" w:sz="4" w:space="0" w:color="auto"/>
              <w:right w:val="single" w:sz="4" w:space="0" w:color="auto"/>
            </w:tcBorders>
            <w:vAlign w:val="center"/>
            <w:hideMark/>
          </w:tcPr>
          <w:p w14:paraId="6F191BEF" w14:textId="4568E23B" w:rsidR="001C2499" w:rsidRPr="009A049C" w:rsidRDefault="001C2499" w:rsidP="00505320">
            <w:pPr>
              <w:widowControl/>
              <w:autoSpaceDE/>
              <w:autoSpaceDN/>
              <w:adjustRightInd/>
              <w:jc w:val="center"/>
              <w:rPr>
                <w:rFonts w:asciiTheme="majorHAnsi" w:hAnsiTheme="majorHAnsi"/>
                <w:b/>
                <w:i/>
                <w:color w:val="000000"/>
                <w:sz w:val="18"/>
                <w:szCs w:val="18"/>
              </w:rPr>
            </w:pPr>
            <w:r w:rsidRPr="009A049C">
              <w:rPr>
                <w:rFonts w:asciiTheme="majorHAnsi" w:hAnsiTheme="majorHAnsi"/>
                <w:b/>
                <w:i/>
                <w:color w:val="000000"/>
                <w:sz w:val="18"/>
                <w:szCs w:val="18"/>
              </w:rPr>
              <w:t>Nuevo límite de captura (t)</w:t>
            </w:r>
          </w:p>
        </w:tc>
        <w:tc>
          <w:tcPr>
            <w:tcW w:w="992" w:type="dxa"/>
            <w:tcBorders>
              <w:top w:val="single" w:sz="4" w:space="0" w:color="auto"/>
              <w:left w:val="nil"/>
              <w:bottom w:val="single" w:sz="4" w:space="0" w:color="auto"/>
              <w:right w:val="single" w:sz="4" w:space="0" w:color="auto"/>
            </w:tcBorders>
            <w:vAlign w:val="center"/>
            <w:hideMark/>
          </w:tcPr>
          <w:p w14:paraId="31519B9B" w14:textId="77777777" w:rsidR="001C2499" w:rsidRPr="009A049C" w:rsidRDefault="001C2499" w:rsidP="00505320">
            <w:pPr>
              <w:widowControl/>
              <w:autoSpaceDE/>
              <w:autoSpaceDN/>
              <w:adjustRightInd/>
              <w:jc w:val="center"/>
              <w:rPr>
                <w:rFonts w:asciiTheme="majorHAnsi" w:hAnsiTheme="majorHAnsi"/>
                <w:b/>
                <w:i/>
                <w:color w:val="000000"/>
                <w:sz w:val="18"/>
                <w:szCs w:val="18"/>
              </w:rPr>
            </w:pPr>
            <w:r w:rsidRPr="009A049C">
              <w:rPr>
                <w:rFonts w:asciiTheme="majorHAnsi" w:hAnsiTheme="majorHAnsi"/>
                <w:b/>
                <w:i/>
                <w:color w:val="000000"/>
                <w:sz w:val="18"/>
                <w:szCs w:val="18"/>
              </w:rPr>
              <w:t>Capturas en el 1er trimestre</w:t>
            </w:r>
          </w:p>
        </w:tc>
        <w:tc>
          <w:tcPr>
            <w:tcW w:w="992" w:type="dxa"/>
            <w:tcBorders>
              <w:top w:val="single" w:sz="4" w:space="0" w:color="auto"/>
              <w:left w:val="nil"/>
              <w:bottom w:val="single" w:sz="4" w:space="0" w:color="auto"/>
              <w:right w:val="single" w:sz="4" w:space="0" w:color="auto"/>
            </w:tcBorders>
            <w:vAlign w:val="center"/>
            <w:hideMark/>
          </w:tcPr>
          <w:p w14:paraId="22CB65D9" w14:textId="77777777" w:rsidR="001C2499" w:rsidRPr="009A049C" w:rsidRDefault="001C2499" w:rsidP="00505320">
            <w:pPr>
              <w:widowControl/>
              <w:autoSpaceDE/>
              <w:autoSpaceDN/>
              <w:adjustRightInd/>
              <w:jc w:val="center"/>
              <w:rPr>
                <w:rFonts w:asciiTheme="majorHAnsi" w:hAnsiTheme="majorHAnsi"/>
                <w:b/>
                <w:i/>
                <w:color w:val="000000"/>
                <w:sz w:val="18"/>
                <w:szCs w:val="18"/>
              </w:rPr>
            </w:pPr>
            <w:r w:rsidRPr="009A049C">
              <w:rPr>
                <w:rFonts w:asciiTheme="majorHAnsi" w:hAnsiTheme="majorHAnsi"/>
                <w:b/>
                <w:i/>
                <w:color w:val="000000"/>
                <w:sz w:val="18"/>
                <w:szCs w:val="18"/>
              </w:rPr>
              <w:t>Capturas en el 2º trimestre</w:t>
            </w:r>
          </w:p>
        </w:tc>
        <w:tc>
          <w:tcPr>
            <w:tcW w:w="993" w:type="dxa"/>
            <w:tcBorders>
              <w:top w:val="single" w:sz="4" w:space="0" w:color="auto"/>
              <w:left w:val="nil"/>
              <w:bottom w:val="single" w:sz="4" w:space="0" w:color="auto"/>
              <w:right w:val="single" w:sz="4" w:space="0" w:color="auto"/>
            </w:tcBorders>
            <w:vAlign w:val="center"/>
            <w:hideMark/>
          </w:tcPr>
          <w:p w14:paraId="700EF5D1" w14:textId="77777777" w:rsidR="001C2499" w:rsidRPr="009A049C" w:rsidRDefault="001C2499" w:rsidP="00505320">
            <w:pPr>
              <w:widowControl/>
              <w:autoSpaceDE/>
              <w:autoSpaceDN/>
              <w:adjustRightInd/>
              <w:jc w:val="center"/>
              <w:rPr>
                <w:rFonts w:asciiTheme="majorHAnsi" w:hAnsiTheme="majorHAnsi"/>
                <w:b/>
                <w:i/>
                <w:color w:val="000000"/>
                <w:sz w:val="18"/>
                <w:szCs w:val="18"/>
              </w:rPr>
            </w:pPr>
            <w:r w:rsidRPr="009A049C">
              <w:rPr>
                <w:rFonts w:asciiTheme="majorHAnsi" w:hAnsiTheme="majorHAnsi"/>
                <w:b/>
                <w:i/>
                <w:color w:val="000000"/>
                <w:sz w:val="18"/>
                <w:szCs w:val="18"/>
              </w:rPr>
              <w:t>Capturas en el 3er trimestre</w:t>
            </w:r>
          </w:p>
        </w:tc>
        <w:tc>
          <w:tcPr>
            <w:tcW w:w="1134" w:type="dxa"/>
            <w:tcBorders>
              <w:top w:val="single" w:sz="4" w:space="0" w:color="auto"/>
              <w:left w:val="nil"/>
              <w:bottom w:val="single" w:sz="4" w:space="0" w:color="auto"/>
              <w:right w:val="single" w:sz="4" w:space="0" w:color="auto"/>
            </w:tcBorders>
            <w:vAlign w:val="center"/>
            <w:hideMark/>
          </w:tcPr>
          <w:p w14:paraId="08F957C7" w14:textId="77777777" w:rsidR="001C2499" w:rsidRPr="009A049C" w:rsidRDefault="001C2499" w:rsidP="00505320">
            <w:pPr>
              <w:widowControl/>
              <w:autoSpaceDE/>
              <w:autoSpaceDN/>
              <w:adjustRightInd/>
              <w:jc w:val="center"/>
              <w:rPr>
                <w:rFonts w:asciiTheme="majorHAnsi" w:hAnsiTheme="majorHAnsi"/>
                <w:b/>
                <w:i/>
                <w:color w:val="000000"/>
                <w:sz w:val="18"/>
                <w:szCs w:val="18"/>
              </w:rPr>
            </w:pPr>
            <w:r w:rsidRPr="009A049C">
              <w:rPr>
                <w:rFonts w:asciiTheme="majorHAnsi" w:hAnsiTheme="majorHAnsi"/>
                <w:b/>
                <w:i/>
                <w:color w:val="000000"/>
                <w:sz w:val="18"/>
                <w:szCs w:val="18"/>
              </w:rPr>
              <w:t>Capturas en el 4º trimestre</w:t>
            </w:r>
          </w:p>
        </w:tc>
        <w:tc>
          <w:tcPr>
            <w:tcW w:w="992" w:type="dxa"/>
            <w:tcBorders>
              <w:top w:val="single" w:sz="4" w:space="0" w:color="auto"/>
              <w:left w:val="nil"/>
              <w:bottom w:val="single" w:sz="4" w:space="0" w:color="auto"/>
              <w:right w:val="single" w:sz="4" w:space="0" w:color="auto"/>
            </w:tcBorders>
            <w:vAlign w:val="center"/>
            <w:hideMark/>
          </w:tcPr>
          <w:p w14:paraId="60A922B7" w14:textId="3A1D5CF1" w:rsidR="001C2499" w:rsidRPr="009A049C" w:rsidRDefault="001C2499" w:rsidP="00505320">
            <w:pPr>
              <w:widowControl/>
              <w:autoSpaceDE/>
              <w:autoSpaceDN/>
              <w:adjustRightInd/>
              <w:jc w:val="center"/>
              <w:rPr>
                <w:rFonts w:asciiTheme="majorHAnsi" w:hAnsiTheme="majorHAnsi"/>
                <w:b/>
                <w:bCs/>
                <w:i/>
                <w:iCs/>
                <w:color w:val="000000"/>
                <w:sz w:val="18"/>
                <w:szCs w:val="18"/>
              </w:rPr>
            </w:pPr>
            <w:r w:rsidRPr="009A049C">
              <w:rPr>
                <w:rFonts w:asciiTheme="majorHAnsi" w:hAnsiTheme="majorHAnsi"/>
                <w:b/>
                <w:i/>
                <w:color w:val="000000"/>
                <w:sz w:val="18"/>
                <w:szCs w:val="18"/>
              </w:rPr>
              <w:t>Total 2025</w:t>
            </w:r>
          </w:p>
        </w:tc>
        <w:tc>
          <w:tcPr>
            <w:tcW w:w="992" w:type="dxa"/>
            <w:tcBorders>
              <w:top w:val="single" w:sz="4" w:space="0" w:color="auto"/>
              <w:left w:val="nil"/>
              <w:bottom w:val="single" w:sz="4" w:space="0" w:color="auto"/>
              <w:right w:val="single" w:sz="4" w:space="0" w:color="auto"/>
            </w:tcBorders>
            <w:vAlign w:val="center"/>
            <w:hideMark/>
          </w:tcPr>
          <w:p w14:paraId="53A5B3E0" w14:textId="6CF2DC79" w:rsidR="001C2499" w:rsidRPr="009A049C" w:rsidRDefault="001C2499" w:rsidP="00505320">
            <w:pPr>
              <w:widowControl/>
              <w:autoSpaceDE/>
              <w:autoSpaceDN/>
              <w:adjustRightInd/>
              <w:jc w:val="center"/>
              <w:rPr>
                <w:rFonts w:asciiTheme="majorHAnsi" w:hAnsiTheme="majorHAnsi"/>
                <w:b/>
                <w:i/>
                <w:color w:val="000000"/>
                <w:sz w:val="18"/>
                <w:szCs w:val="18"/>
              </w:rPr>
            </w:pPr>
            <w:r w:rsidRPr="009A049C">
              <w:rPr>
                <w:rFonts w:asciiTheme="majorHAnsi" w:hAnsiTheme="majorHAnsi"/>
                <w:b/>
                <w:i/>
                <w:color w:val="000000"/>
                <w:sz w:val="18"/>
                <w:szCs w:val="18"/>
              </w:rPr>
              <w:t>Tarea 1 de 2025</w:t>
            </w:r>
          </w:p>
        </w:tc>
        <w:tc>
          <w:tcPr>
            <w:tcW w:w="1276" w:type="dxa"/>
            <w:tcBorders>
              <w:top w:val="single" w:sz="4" w:space="0" w:color="auto"/>
              <w:left w:val="nil"/>
              <w:bottom w:val="single" w:sz="4" w:space="0" w:color="auto"/>
              <w:right w:val="single" w:sz="4" w:space="0" w:color="auto"/>
            </w:tcBorders>
            <w:vAlign w:val="center"/>
            <w:hideMark/>
          </w:tcPr>
          <w:p w14:paraId="16F279B6" w14:textId="77777777" w:rsidR="001C2499" w:rsidRPr="009A049C" w:rsidRDefault="001C2499" w:rsidP="00505320">
            <w:pPr>
              <w:widowControl/>
              <w:autoSpaceDE/>
              <w:autoSpaceDN/>
              <w:adjustRightInd/>
              <w:jc w:val="center"/>
              <w:rPr>
                <w:rFonts w:asciiTheme="majorHAnsi" w:hAnsiTheme="majorHAnsi"/>
                <w:b/>
                <w:i/>
                <w:color w:val="000000"/>
                <w:sz w:val="18"/>
                <w:szCs w:val="18"/>
              </w:rPr>
            </w:pPr>
            <w:r w:rsidRPr="009A049C">
              <w:rPr>
                <w:rFonts w:asciiTheme="majorHAnsi" w:hAnsiTheme="majorHAnsi"/>
                <w:b/>
                <w:i/>
                <w:color w:val="000000"/>
                <w:sz w:val="18"/>
                <w:szCs w:val="18"/>
              </w:rPr>
              <w:t>Tablas de cumplimiento</w:t>
            </w:r>
          </w:p>
        </w:tc>
      </w:tr>
      <w:tr w:rsidR="00753A7B" w:rsidRPr="009A049C" w14:paraId="68455290"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hideMark/>
          </w:tcPr>
          <w:p w14:paraId="360D3220" w14:textId="77777777" w:rsidR="00753A7B" w:rsidRPr="009A049C" w:rsidRDefault="00753A7B" w:rsidP="00753A7B">
            <w:pPr>
              <w:widowControl/>
              <w:autoSpaceDE/>
              <w:autoSpaceDN/>
              <w:adjustRightInd/>
              <w:rPr>
                <w:rFonts w:asciiTheme="majorHAnsi" w:hAnsiTheme="majorHAnsi"/>
                <w:color w:val="000000"/>
              </w:rPr>
            </w:pPr>
            <w:r w:rsidRPr="009A049C">
              <w:rPr>
                <w:rFonts w:asciiTheme="majorHAnsi" w:hAnsiTheme="majorHAnsi"/>
                <w:color w:val="000000"/>
              </w:rPr>
              <w:t>Argelia</w:t>
            </w:r>
          </w:p>
        </w:tc>
        <w:tc>
          <w:tcPr>
            <w:tcW w:w="992" w:type="dxa"/>
            <w:tcBorders>
              <w:top w:val="nil"/>
              <w:left w:val="nil"/>
              <w:bottom w:val="single" w:sz="4" w:space="0" w:color="auto"/>
              <w:right w:val="single" w:sz="4" w:space="0" w:color="auto"/>
            </w:tcBorders>
            <w:hideMark/>
          </w:tcPr>
          <w:p w14:paraId="3348C307" w14:textId="275BD621"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472.3</w:t>
            </w:r>
          </w:p>
        </w:tc>
        <w:tc>
          <w:tcPr>
            <w:tcW w:w="992" w:type="dxa"/>
            <w:tcBorders>
              <w:top w:val="nil"/>
              <w:left w:val="nil"/>
              <w:bottom w:val="single" w:sz="4" w:space="0" w:color="auto"/>
              <w:right w:val="single" w:sz="4" w:space="0" w:color="auto"/>
            </w:tcBorders>
            <w:hideMark/>
          </w:tcPr>
          <w:p w14:paraId="096EAF60" w14:textId="093288DB"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0.3</w:t>
            </w:r>
          </w:p>
        </w:tc>
        <w:tc>
          <w:tcPr>
            <w:tcW w:w="992" w:type="dxa"/>
            <w:tcBorders>
              <w:top w:val="nil"/>
              <w:left w:val="nil"/>
              <w:bottom w:val="single" w:sz="4" w:space="0" w:color="auto"/>
              <w:right w:val="single" w:sz="4" w:space="0" w:color="auto"/>
            </w:tcBorders>
            <w:hideMark/>
          </w:tcPr>
          <w:p w14:paraId="764AA274" w14:textId="72B8FD5E"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157.9</w:t>
            </w:r>
          </w:p>
        </w:tc>
        <w:tc>
          <w:tcPr>
            <w:tcW w:w="993" w:type="dxa"/>
            <w:tcBorders>
              <w:top w:val="nil"/>
              <w:left w:val="nil"/>
              <w:bottom w:val="single" w:sz="4" w:space="0" w:color="auto"/>
              <w:right w:val="single" w:sz="4" w:space="0" w:color="auto"/>
            </w:tcBorders>
            <w:hideMark/>
          </w:tcPr>
          <w:p w14:paraId="28473F44" w14:textId="3DDCE7C0"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153.9</w:t>
            </w:r>
          </w:p>
        </w:tc>
        <w:tc>
          <w:tcPr>
            <w:tcW w:w="1134" w:type="dxa"/>
            <w:tcBorders>
              <w:top w:val="nil"/>
              <w:left w:val="nil"/>
              <w:bottom w:val="single" w:sz="4" w:space="0" w:color="auto"/>
              <w:right w:val="single" w:sz="4" w:space="0" w:color="auto"/>
            </w:tcBorders>
            <w:hideMark/>
          </w:tcPr>
          <w:p w14:paraId="5052E8BF" w14:textId="5EB37A1A"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159.7</w:t>
            </w:r>
          </w:p>
        </w:tc>
        <w:tc>
          <w:tcPr>
            <w:tcW w:w="992" w:type="dxa"/>
            <w:tcBorders>
              <w:top w:val="nil"/>
              <w:left w:val="nil"/>
              <w:bottom w:val="single" w:sz="4" w:space="0" w:color="auto"/>
              <w:right w:val="single" w:sz="4" w:space="0" w:color="auto"/>
            </w:tcBorders>
            <w:hideMark/>
          </w:tcPr>
          <w:p w14:paraId="17B7C773" w14:textId="266030FB" w:rsidR="00753A7B" w:rsidRPr="009A049C" w:rsidRDefault="00753A7B" w:rsidP="00753A7B">
            <w:pPr>
              <w:widowControl/>
              <w:autoSpaceDE/>
              <w:autoSpaceDN/>
              <w:adjustRightInd/>
              <w:jc w:val="center"/>
              <w:rPr>
                <w:rFonts w:asciiTheme="majorHAnsi" w:hAnsiTheme="majorHAnsi"/>
                <w:b/>
                <w:bCs/>
                <w:color w:val="000000"/>
                <w:sz w:val="18"/>
                <w:szCs w:val="18"/>
              </w:rPr>
            </w:pPr>
            <w:r w:rsidRPr="009A049C">
              <w:rPr>
                <w:rFonts w:asciiTheme="majorHAnsi" w:hAnsiTheme="majorHAnsi"/>
              </w:rPr>
              <w:t>471.8</w:t>
            </w:r>
          </w:p>
        </w:tc>
        <w:tc>
          <w:tcPr>
            <w:tcW w:w="992" w:type="dxa"/>
            <w:tcBorders>
              <w:top w:val="nil"/>
              <w:left w:val="nil"/>
              <w:bottom w:val="single" w:sz="4" w:space="0" w:color="auto"/>
              <w:right w:val="single" w:sz="4" w:space="0" w:color="auto"/>
            </w:tcBorders>
            <w:hideMark/>
          </w:tcPr>
          <w:p w14:paraId="006B3503" w14:textId="5343D87C"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471.4</w:t>
            </w:r>
          </w:p>
        </w:tc>
        <w:tc>
          <w:tcPr>
            <w:tcW w:w="1276" w:type="dxa"/>
            <w:tcBorders>
              <w:top w:val="nil"/>
              <w:left w:val="nil"/>
              <w:bottom w:val="single" w:sz="4" w:space="0" w:color="auto"/>
              <w:right w:val="single" w:sz="4" w:space="0" w:color="auto"/>
            </w:tcBorders>
            <w:hideMark/>
          </w:tcPr>
          <w:p w14:paraId="2BDD6A57" w14:textId="6CD4FBF0"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471.40</w:t>
            </w:r>
          </w:p>
        </w:tc>
      </w:tr>
      <w:tr w:rsidR="00753A7B" w:rsidRPr="009A049C" w14:paraId="5641E861"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tcPr>
          <w:p w14:paraId="19E9FBE5" w14:textId="22A4C3A1" w:rsidR="00753A7B" w:rsidRPr="009A049C" w:rsidRDefault="00753A7B" w:rsidP="00753A7B">
            <w:pPr>
              <w:widowControl/>
              <w:autoSpaceDE/>
              <w:autoSpaceDN/>
              <w:adjustRightInd/>
              <w:rPr>
                <w:rFonts w:asciiTheme="majorHAnsi" w:hAnsiTheme="majorHAnsi"/>
                <w:color w:val="000000"/>
              </w:rPr>
            </w:pPr>
            <w:r w:rsidRPr="009A049C">
              <w:rPr>
                <w:rFonts w:asciiTheme="majorHAnsi" w:hAnsiTheme="majorHAnsi"/>
                <w:color w:val="000000"/>
              </w:rPr>
              <w:t>Egipto</w:t>
            </w:r>
          </w:p>
        </w:tc>
        <w:tc>
          <w:tcPr>
            <w:tcW w:w="992" w:type="dxa"/>
            <w:tcBorders>
              <w:top w:val="nil"/>
              <w:left w:val="nil"/>
              <w:bottom w:val="single" w:sz="4" w:space="0" w:color="auto"/>
              <w:right w:val="single" w:sz="4" w:space="0" w:color="auto"/>
            </w:tcBorders>
          </w:tcPr>
          <w:p w14:paraId="407147E6" w14:textId="2B4DFEC6"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125.0</w:t>
            </w:r>
          </w:p>
        </w:tc>
        <w:tc>
          <w:tcPr>
            <w:tcW w:w="992" w:type="dxa"/>
            <w:tcBorders>
              <w:top w:val="nil"/>
              <w:left w:val="nil"/>
              <w:bottom w:val="single" w:sz="4" w:space="0" w:color="auto"/>
              <w:right w:val="single" w:sz="4" w:space="0" w:color="auto"/>
            </w:tcBorders>
          </w:tcPr>
          <w:p w14:paraId="54E015E0" w14:textId="77777777" w:rsidR="00753A7B" w:rsidRPr="009A049C" w:rsidRDefault="00753A7B" w:rsidP="00753A7B">
            <w:pPr>
              <w:widowControl/>
              <w:autoSpaceDE/>
              <w:autoSpaceDN/>
              <w:adjustRightInd/>
              <w:jc w:val="center"/>
              <w:rPr>
                <w:rFonts w:asciiTheme="majorHAnsi" w:hAnsiTheme="majorHAnsi"/>
                <w:color w:val="000000"/>
                <w:sz w:val="18"/>
                <w:szCs w:val="18"/>
                <w:lang w:val="en-GB" w:eastAsia="en-GB"/>
              </w:rPr>
            </w:pPr>
          </w:p>
        </w:tc>
        <w:tc>
          <w:tcPr>
            <w:tcW w:w="992" w:type="dxa"/>
            <w:tcBorders>
              <w:top w:val="nil"/>
              <w:left w:val="nil"/>
              <w:bottom w:val="single" w:sz="4" w:space="0" w:color="auto"/>
              <w:right w:val="single" w:sz="4" w:space="0" w:color="auto"/>
            </w:tcBorders>
          </w:tcPr>
          <w:p w14:paraId="33B40B9E" w14:textId="77777777" w:rsidR="00753A7B" w:rsidRPr="009A049C" w:rsidRDefault="00753A7B" w:rsidP="00753A7B">
            <w:pPr>
              <w:widowControl/>
              <w:autoSpaceDE/>
              <w:autoSpaceDN/>
              <w:adjustRightInd/>
              <w:jc w:val="center"/>
              <w:rPr>
                <w:rFonts w:asciiTheme="majorHAnsi" w:hAnsiTheme="majorHAnsi"/>
                <w:color w:val="000000"/>
                <w:sz w:val="18"/>
                <w:szCs w:val="18"/>
                <w:lang w:val="en-GB" w:eastAsia="en-GB"/>
              </w:rPr>
            </w:pPr>
          </w:p>
        </w:tc>
        <w:tc>
          <w:tcPr>
            <w:tcW w:w="993" w:type="dxa"/>
            <w:tcBorders>
              <w:top w:val="nil"/>
              <w:left w:val="nil"/>
              <w:bottom w:val="single" w:sz="4" w:space="0" w:color="auto"/>
              <w:right w:val="single" w:sz="4" w:space="0" w:color="auto"/>
            </w:tcBorders>
          </w:tcPr>
          <w:p w14:paraId="1D2E6CB0" w14:textId="77777777" w:rsidR="00753A7B" w:rsidRPr="009A049C" w:rsidRDefault="00753A7B" w:rsidP="00753A7B">
            <w:pPr>
              <w:widowControl/>
              <w:autoSpaceDE/>
              <w:autoSpaceDN/>
              <w:adjustRightInd/>
              <w:jc w:val="center"/>
              <w:rPr>
                <w:rFonts w:asciiTheme="majorHAnsi" w:hAnsiTheme="majorHAnsi"/>
                <w:color w:val="000000"/>
                <w:sz w:val="18"/>
                <w:szCs w:val="18"/>
                <w:lang w:val="en-GB" w:eastAsia="en-GB"/>
              </w:rPr>
            </w:pPr>
          </w:p>
        </w:tc>
        <w:tc>
          <w:tcPr>
            <w:tcW w:w="1134" w:type="dxa"/>
            <w:tcBorders>
              <w:top w:val="nil"/>
              <w:left w:val="nil"/>
              <w:bottom w:val="single" w:sz="4" w:space="0" w:color="auto"/>
              <w:right w:val="single" w:sz="4" w:space="0" w:color="auto"/>
            </w:tcBorders>
          </w:tcPr>
          <w:p w14:paraId="190C6FEF" w14:textId="660336F4"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124.5</w:t>
            </w:r>
          </w:p>
        </w:tc>
        <w:tc>
          <w:tcPr>
            <w:tcW w:w="992" w:type="dxa"/>
            <w:tcBorders>
              <w:top w:val="nil"/>
              <w:left w:val="nil"/>
              <w:bottom w:val="single" w:sz="4" w:space="0" w:color="auto"/>
              <w:right w:val="single" w:sz="4" w:space="0" w:color="auto"/>
            </w:tcBorders>
          </w:tcPr>
          <w:p w14:paraId="0D2EEF0E" w14:textId="7B85A6B2" w:rsidR="00753A7B" w:rsidRPr="009A049C" w:rsidRDefault="00753A7B" w:rsidP="00753A7B">
            <w:pPr>
              <w:widowControl/>
              <w:autoSpaceDE/>
              <w:autoSpaceDN/>
              <w:adjustRightInd/>
              <w:jc w:val="center"/>
              <w:rPr>
                <w:rFonts w:asciiTheme="majorHAnsi" w:hAnsiTheme="majorHAnsi"/>
                <w:b/>
                <w:bCs/>
                <w:color w:val="000000"/>
                <w:sz w:val="18"/>
                <w:szCs w:val="18"/>
              </w:rPr>
            </w:pPr>
            <w:r w:rsidRPr="009A049C">
              <w:rPr>
                <w:rFonts w:asciiTheme="majorHAnsi" w:hAnsiTheme="majorHAnsi"/>
              </w:rPr>
              <w:t>124.5</w:t>
            </w:r>
          </w:p>
        </w:tc>
        <w:tc>
          <w:tcPr>
            <w:tcW w:w="992" w:type="dxa"/>
            <w:tcBorders>
              <w:top w:val="nil"/>
              <w:left w:val="nil"/>
              <w:bottom w:val="single" w:sz="4" w:space="0" w:color="auto"/>
              <w:right w:val="single" w:sz="4" w:space="0" w:color="auto"/>
            </w:tcBorders>
          </w:tcPr>
          <w:p w14:paraId="5C95ADA6" w14:textId="43596C5B"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133.6</w:t>
            </w:r>
          </w:p>
        </w:tc>
        <w:tc>
          <w:tcPr>
            <w:tcW w:w="1276" w:type="dxa"/>
            <w:tcBorders>
              <w:top w:val="nil"/>
              <w:left w:val="nil"/>
              <w:bottom w:val="single" w:sz="4" w:space="0" w:color="auto"/>
              <w:right w:val="single" w:sz="4" w:space="0" w:color="auto"/>
            </w:tcBorders>
          </w:tcPr>
          <w:p w14:paraId="753390AB" w14:textId="74123C9A"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133.63</w:t>
            </w:r>
          </w:p>
        </w:tc>
      </w:tr>
      <w:tr w:rsidR="00753A7B" w:rsidRPr="009A049C" w14:paraId="6872ACEF"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hideMark/>
          </w:tcPr>
          <w:p w14:paraId="467D442D" w14:textId="77777777" w:rsidR="00753A7B" w:rsidRPr="009A049C" w:rsidRDefault="00753A7B" w:rsidP="00753A7B">
            <w:pPr>
              <w:widowControl/>
              <w:autoSpaceDE/>
              <w:autoSpaceDN/>
              <w:adjustRightInd/>
              <w:rPr>
                <w:rFonts w:asciiTheme="majorHAnsi" w:hAnsiTheme="majorHAnsi"/>
                <w:color w:val="000000"/>
              </w:rPr>
            </w:pPr>
            <w:r w:rsidRPr="009A049C">
              <w:rPr>
                <w:rFonts w:asciiTheme="majorHAnsi" w:hAnsiTheme="majorHAnsi"/>
                <w:color w:val="000000"/>
              </w:rPr>
              <w:t>UE</w:t>
            </w:r>
          </w:p>
        </w:tc>
        <w:tc>
          <w:tcPr>
            <w:tcW w:w="992" w:type="dxa"/>
            <w:tcBorders>
              <w:top w:val="nil"/>
              <w:left w:val="nil"/>
              <w:bottom w:val="single" w:sz="4" w:space="0" w:color="auto"/>
              <w:right w:val="single" w:sz="4" w:space="0" w:color="auto"/>
            </w:tcBorders>
            <w:hideMark/>
          </w:tcPr>
          <w:p w14:paraId="4EAD5D0C" w14:textId="41D21FCC"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6363.6</w:t>
            </w:r>
          </w:p>
        </w:tc>
        <w:tc>
          <w:tcPr>
            <w:tcW w:w="992" w:type="dxa"/>
            <w:tcBorders>
              <w:top w:val="nil"/>
              <w:left w:val="nil"/>
              <w:bottom w:val="single" w:sz="4" w:space="0" w:color="auto"/>
              <w:right w:val="single" w:sz="4" w:space="0" w:color="auto"/>
            </w:tcBorders>
            <w:hideMark/>
          </w:tcPr>
          <w:p w14:paraId="6BD76202" w14:textId="351AA775"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0.0</w:t>
            </w:r>
          </w:p>
        </w:tc>
        <w:tc>
          <w:tcPr>
            <w:tcW w:w="992" w:type="dxa"/>
            <w:tcBorders>
              <w:top w:val="nil"/>
              <w:left w:val="nil"/>
              <w:bottom w:val="single" w:sz="4" w:space="0" w:color="auto"/>
              <w:right w:val="single" w:sz="4" w:space="0" w:color="auto"/>
            </w:tcBorders>
            <w:hideMark/>
          </w:tcPr>
          <w:p w14:paraId="40D7DFF6" w14:textId="5A96FEE1"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1143.0</w:t>
            </w:r>
          </w:p>
        </w:tc>
        <w:tc>
          <w:tcPr>
            <w:tcW w:w="993" w:type="dxa"/>
            <w:tcBorders>
              <w:top w:val="nil"/>
              <w:left w:val="nil"/>
              <w:bottom w:val="single" w:sz="4" w:space="0" w:color="auto"/>
              <w:right w:val="single" w:sz="4" w:space="0" w:color="auto"/>
            </w:tcBorders>
            <w:hideMark/>
          </w:tcPr>
          <w:p w14:paraId="34B7B650" w14:textId="6DBCF399"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2370.9</w:t>
            </w:r>
          </w:p>
        </w:tc>
        <w:tc>
          <w:tcPr>
            <w:tcW w:w="1134" w:type="dxa"/>
            <w:tcBorders>
              <w:top w:val="nil"/>
              <w:left w:val="nil"/>
              <w:bottom w:val="single" w:sz="4" w:space="0" w:color="auto"/>
              <w:right w:val="single" w:sz="4" w:space="0" w:color="auto"/>
            </w:tcBorders>
            <w:hideMark/>
          </w:tcPr>
          <w:p w14:paraId="06D9DBA8" w14:textId="04DA2A13"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589.7</w:t>
            </w:r>
          </w:p>
        </w:tc>
        <w:tc>
          <w:tcPr>
            <w:tcW w:w="992" w:type="dxa"/>
            <w:tcBorders>
              <w:top w:val="nil"/>
              <w:left w:val="nil"/>
              <w:bottom w:val="single" w:sz="4" w:space="0" w:color="auto"/>
              <w:right w:val="single" w:sz="4" w:space="0" w:color="auto"/>
            </w:tcBorders>
            <w:hideMark/>
          </w:tcPr>
          <w:p w14:paraId="6ECC5F2C" w14:textId="408CC72F" w:rsidR="00753A7B" w:rsidRPr="009A049C" w:rsidRDefault="00753A7B" w:rsidP="00753A7B">
            <w:pPr>
              <w:widowControl/>
              <w:autoSpaceDE/>
              <w:autoSpaceDN/>
              <w:adjustRightInd/>
              <w:jc w:val="center"/>
              <w:rPr>
                <w:rFonts w:asciiTheme="majorHAnsi" w:hAnsiTheme="majorHAnsi"/>
                <w:b/>
                <w:bCs/>
                <w:color w:val="000000"/>
                <w:sz w:val="18"/>
                <w:szCs w:val="18"/>
              </w:rPr>
            </w:pPr>
            <w:r w:rsidRPr="009A049C">
              <w:rPr>
                <w:rFonts w:asciiTheme="majorHAnsi" w:hAnsiTheme="majorHAnsi"/>
              </w:rPr>
              <w:t>4103.6</w:t>
            </w:r>
          </w:p>
        </w:tc>
        <w:tc>
          <w:tcPr>
            <w:tcW w:w="992" w:type="dxa"/>
            <w:tcBorders>
              <w:top w:val="nil"/>
              <w:left w:val="nil"/>
              <w:bottom w:val="single" w:sz="4" w:space="0" w:color="auto"/>
              <w:right w:val="single" w:sz="4" w:space="0" w:color="auto"/>
            </w:tcBorders>
            <w:hideMark/>
          </w:tcPr>
          <w:p w14:paraId="316BFC18" w14:textId="73C23D53"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4274.6</w:t>
            </w:r>
          </w:p>
        </w:tc>
        <w:tc>
          <w:tcPr>
            <w:tcW w:w="1276" w:type="dxa"/>
            <w:tcBorders>
              <w:top w:val="nil"/>
              <w:left w:val="nil"/>
              <w:bottom w:val="single" w:sz="4" w:space="0" w:color="auto"/>
              <w:right w:val="single" w:sz="4" w:space="0" w:color="auto"/>
            </w:tcBorders>
            <w:hideMark/>
          </w:tcPr>
          <w:p w14:paraId="16B2E7C8" w14:textId="7DB77E87"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4472.44</w:t>
            </w:r>
          </w:p>
        </w:tc>
      </w:tr>
      <w:tr w:rsidR="00753A7B" w:rsidRPr="009A049C" w14:paraId="76E89B02"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tcPr>
          <w:p w14:paraId="6DAC5E41" w14:textId="678B61BD" w:rsidR="00753A7B" w:rsidRPr="009A049C" w:rsidRDefault="00753A7B" w:rsidP="00753A7B">
            <w:pPr>
              <w:widowControl/>
              <w:autoSpaceDE/>
              <w:autoSpaceDN/>
              <w:adjustRightInd/>
              <w:rPr>
                <w:rFonts w:asciiTheme="majorHAnsi" w:hAnsiTheme="majorHAnsi"/>
                <w:color w:val="000000"/>
              </w:rPr>
            </w:pPr>
            <w:r w:rsidRPr="009A049C">
              <w:rPr>
                <w:rFonts w:asciiTheme="majorHAnsi" w:hAnsiTheme="majorHAnsi"/>
                <w:color w:val="000000"/>
              </w:rPr>
              <w:t>Libia</w:t>
            </w:r>
          </w:p>
        </w:tc>
        <w:tc>
          <w:tcPr>
            <w:tcW w:w="992" w:type="dxa"/>
            <w:tcBorders>
              <w:top w:val="nil"/>
              <w:left w:val="nil"/>
              <w:bottom w:val="single" w:sz="4" w:space="0" w:color="auto"/>
              <w:right w:val="single" w:sz="4" w:space="0" w:color="auto"/>
            </w:tcBorders>
          </w:tcPr>
          <w:p w14:paraId="08A8E59E" w14:textId="5B737251"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125.0</w:t>
            </w:r>
          </w:p>
        </w:tc>
        <w:tc>
          <w:tcPr>
            <w:tcW w:w="992" w:type="dxa"/>
            <w:tcBorders>
              <w:top w:val="nil"/>
              <w:left w:val="nil"/>
              <w:bottom w:val="single" w:sz="4" w:space="0" w:color="auto"/>
              <w:right w:val="single" w:sz="4" w:space="0" w:color="auto"/>
            </w:tcBorders>
          </w:tcPr>
          <w:p w14:paraId="527D9791" w14:textId="77777777" w:rsidR="00753A7B" w:rsidRPr="009A049C" w:rsidRDefault="00753A7B" w:rsidP="00753A7B">
            <w:pPr>
              <w:widowControl/>
              <w:autoSpaceDE/>
              <w:autoSpaceDN/>
              <w:adjustRightInd/>
              <w:jc w:val="center"/>
              <w:rPr>
                <w:rFonts w:asciiTheme="majorHAnsi" w:hAnsiTheme="majorHAnsi"/>
                <w:color w:val="000000"/>
                <w:sz w:val="18"/>
                <w:szCs w:val="18"/>
                <w:lang w:val="en-GB" w:eastAsia="en-GB"/>
              </w:rPr>
            </w:pPr>
          </w:p>
        </w:tc>
        <w:tc>
          <w:tcPr>
            <w:tcW w:w="992" w:type="dxa"/>
            <w:tcBorders>
              <w:top w:val="nil"/>
              <w:left w:val="nil"/>
              <w:bottom w:val="single" w:sz="4" w:space="0" w:color="auto"/>
              <w:right w:val="single" w:sz="4" w:space="0" w:color="auto"/>
            </w:tcBorders>
          </w:tcPr>
          <w:p w14:paraId="372C8638" w14:textId="77777777" w:rsidR="00753A7B" w:rsidRPr="009A049C" w:rsidRDefault="00753A7B" w:rsidP="00753A7B">
            <w:pPr>
              <w:widowControl/>
              <w:autoSpaceDE/>
              <w:autoSpaceDN/>
              <w:adjustRightInd/>
              <w:jc w:val="center"/>
              <w:rPr>
                <w:rFonts w:asciiTheme="majorHAnsi" w:hAnsiTheme="majorHAnsi"/>
                <w:color w:val="000000"/>
                <w:sz w:val="18"/>
                <w:szCs w:val="18"/>
                <w:lang w:val="en-GB" w:eastAsia="en-GB"/>
              </w:rPr>
            </w:pPr>
          </w:p>
        </w:tc>
        <w:tc>
          <w:tcPr>
            <w:tcW w:w="993" w:type="dxa"/>
            <w:tcBorders>
              <w:top w:val="nil"/>
              <w:left w:val="nil"/>
              <w:bottom w:val="single" w:sz="4" w:space="0" w:color="auto"/>
              <w:right w:val="single" w:sz="4" w:space="0" w:color="auto"/>
            </w:tcBorders>
          </w:tcPr>
          <w:p w14:paraId="4225E570" w14:textId="77777777" w:rsidR="00753A7B" w:rsidRPr="009A049C" w:rsidRDefault="00753A7B" w:rsidP="00753A7B">
            <w:pPr>
              <w:widowControl/>
              <w:autoSpaceDE/>
              <w:autoSpaceDN/>
              <w:adjustRightInd/>
              <w:jc w:val="center"/>
              <w:rPr>
                <w:rFonts w:asciiTheme="majorHAnsi" w:hAnsiTheme="majorHAnsi"/>
                <w:color w:val="000000"/>
                <w:sz w:val="18"/>
                <w:szCs w:val="18"/>
                <w:lang w:val="en-GB" w:eastAsia="en-GB"/>
              </w:rPr>
            </w:pPr>
          </w:p>
        </w:tc>
        <w:tc>
          <w:tcPr>
            <w:tcW w:w="1134" w:type="dxa"/>
            <w:tcBorders>
              <w:top w:val="nil"/>
              <w:left w:val="nil"/>
              <w:bottom w:val="single" w:sz="4" w:space="0" w:color="auto"/>
              <w:right w:val="single" w:sz="4" w:space="0" w:color="auto"/>
            </w:tcBorders>
          </w:tcPr>
          <w:p w14:paraId="42DFE463" w14:textId="77777777" w:rsidR="00753A7B" w:rsidRPr="009A049C" w:rsidRDefault="00753A7B" w:rsidP="00753A7B">
            <w:pPr>
              <w:widowControl/>
              <w:autoSpaceDE/>
              <w:autoSpaceDN/>
              <w:adjustRightInd/>
              <w:jc w:val="center"/>
              <w:rPr>
                <w:rFonts w:asciiTheme="majorHAnsi" w:hAnsiTheme="majorHAnsi"/>
                <w:color w:val="000000"/>
                <w:sz w:val="18"/>
                <w:szCs w:val="18"/>
                <w:lang w:val="en-GB" w:eastAsia="en-GB"/>
              </w:rPr>
            </w:pPr>
          </w:p>
        </w:tc>
        <w:tc>
          <w:tcPr>
            <w:tcW w:w="992" w:type="dxa"/>
            <w:tcBorders>
              <w:top w:val="nil"/>
              <w:left w:val="nil"/>
              <w:bottom w:val="single" w:sz="4" w:space="0" w:color="auto"/>
              <w:right w:val="single" w:sz="4" w:space="0" w:color="auto"/>
            </w:tcBorders>
          </w:tcPr>
          <w:p w14:paraId="2249769E" w14:textId="77777777" w:rsidR="00753A7B" w:rsidRPr="009A049C" w:rsidRDefault="00753A7B" w:rsidP="00753A7B">
            <w:pPr>
              <w:widowControl/>
              <w:autoSpaceDE/>
              <w:autoSpaceDN/>
              <w:adjustRightInd/>
              <w:jc w:val="center"/>
              <w:rPr>
                <w:rFonts w:asciiTheme="majorHAnsi" w:hAnsiTheme="majorHAnsi"/>
                <w:b/>
                <w:bCs/>
                <w:color w:val="000000"/>
                <w:sz w:val="18"/>
                <w:szCs w:val="18"/>
                <w:lang w:val="en-GB" w:eastAsia="en-GB"/>
              </w:rPr>
            </w:pPr>
          </w:p>
        </w:tc>
        <w:tc>
          <w:tcPr>
            <w:tcW w:w="992" w:type="dxa"/>
            <w:tcBorders>
              <w:top w:val="nil"/>
              <w:left w:val="nil"/>
              <w:bottom w:val="single" w:sz="4" w:space="0" w:color="auto"/>
              <w:right w:val="single" w:sz="4" w:space="0" w:color="auto"/>
            </w:tcBorders>
          </w:tcPr>
          <w:p w14:paraId="77585E44" w14:textId="77777777" w:rsidR="00753A7B" w:rsidRPr="009A049C" w:rsidRDefault="00753A7B" w:rsidP="00753A7B">
            <w:pPr>
              <w:widowControl/>
              <w:autoSpaceDE/>
              <w:autoSpaceDN/>
              <w:adjustRightInd/>
              <w:jc w:val="center"/>
              <w:rPr>
                <w:rFonts w:asciiTheme="majorHAnsi" w:hAnsiTheme="majorHAnsi"/>
                <w:color w:val="000000"/>
                <w:sz w:val="18"/>
                <w:szCs w:val="18"/>
                <w:lang w:val="en-GB" w:eastAsia="en-GB"/>
              </w:rPr>
            </w:pPr>
          </w:p>
        </w:tc>
        <w:tc>
          <w:tcPr>
            <w:tcW w:w="1276" w:type="dxa"/>
            <w:tcBorders>
              <w:top w:val="nil"/>
              <w:left w:val="nil"/>
              <w:bottom w:val="single" w:sz="4" w:space="0" w:color="auto"/>
              <w:right w:val="single" w:sz="4" w:space="0" w:color="auto"/>
            </w:tcBorders>
            <w:vAlign w:val="center"/>
          </w:tcPr>
          <w:p w14:paraId="142552DD" w14:textId="77777777" w:rsidR="00753A7B" w:rsidRPr="009A049C" w:rsidRDefault="00753A7B" w:rsidP="00753A7B">
            <w:pPr>
              <w:widowControl/>
              <w:autoSpaceDE/>
              <w:autoSpaceDN/>
              <w:adjustRightInd/>
              <w:jc w:val="center"/>
              <w:rPr>
                <w:rFonts w:asciiTheme="majorHAnsi" w:hAnsiTheme="majorHAnsi"/>
                <w:color w:val="000000"/>
                <w:sz w:val="18"/>
                <w:szCs w:val="18"/>
                <w:lang w:val="en-GB" w:eastAsia="en-GB"/>
              </w:rPr>
            </w:pPr>
          </w:p>
        </w:tc>
      </w:tr>
      <w:tr w:rsidR="00753A7B" w:rsidRPr="009A049C" w14:paraId="00ED2477"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hideMark/>
          </w:tcPr>
          <w:p w14:paraId="12613F65" w14:textId="77777777" w:rsidR="00753A7B" w:rsidRPr="009A049C" w:rsidRDefault="00753A7B" w:rsidP="00753A7B">
            <w:pPr>
              <w:widowControl/>
              <w:autoSpaceDE/>
              <w:autoSpaceDN/>
              <w:adjustRightInd/>
              <w:rPr>
                <w:rFonts w:asciiTheme="majorHAnsi" w:hAnsiTheme="majorHAnsi"/>
                <w:color w:val="000000"/>
              </w:rPr>
            </w:pPr>
            <w:r w:rsidRPr="009A049C">
              <w:rPr>
                <w:rFonts w:asciiTheme="majorHAnsi" w:hAnsiTheme="majorHAnsi"/>
                <w:color w:val="000000"/>
              </w:rPr>
              <w:t>Marruecos</w:t>
            </w:r>
          </w:p>
        </w:tc>
        <w:tc>
          <w:tcPr>
            <w:tcW w:w="992" w:type="dxa"/>
            <w:tcBorders>
              <w:top w:val="nil"/>
              <w:left w:val="nil"/>
              <w:bottom w:val="single" w:sz="4" w:space="0" w:color="auto"/>
              <w:right w:val="single" w:sz="4" w:space="0" w:color="auto"/>
            </w:tcBorders>
            <w:hideMark/>
          </w:tcPr>
          <w:p w14:paraId="37C9AEC1" w14:textId="037DF81C"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896.5</w:t>
            </w:r>
          </w:p>
        </w:tc>
        <w:tc>
          <w:tcPr>
            <w:tcW w:w="992" w:type="dxa"/>
            <w:tcBorders>
              <w:top w:val="nil"/>
              <w:left w:val="nil"/>
              <w:bottom w:val="single" w:sz="4" w:space="0" w:color="auto"/>
              <w:right w:val="single" w:sz="4" w:space="0" w:color="auto"/>
            </w:tcBorders>
            <w:hideMark/>
          </w:tcPr>
          <w:p w14:paraId="4F41EA45" w14:textId="12A3EF6A"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29.1</w:t>
            </w:r>
          </w:p>
        </w:tc>
        <w:tc>
          <w:tcPr>
            <w:tcW w:w="992" w:type="dxa"/>
            <w:tcBorders>
              <w:top w:val="nil"/>
              <w:left w:val="nil"/>
              <w:bottom w:val="single" w:sz="4" w:space="0" w:color="auto"/>
              <w:right w:val="single" w:sz="4" w:space="0" w:color="auto"/>
            </w:tcBorders>
            <w:hideMark/>
          </w:tcPr>
          <w:p w14:paraId="2EC52FD6" w14:textId="3624738D"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627.3</w:t>
            </w:r>
          </w:p>
        </w:tc>
        <w:tc>
          <w:tcPr>
            <w:tcW w:w="993" w:type="dxa"/>
            <w:tcBorders>
              <w:top w:val="nil"/>
              <w:left w:val="nil"/>
              <w:bottom w:val="single" w:sz="4" w:space="0" w:color="auto"/>
              <w:right w:val="single" w:sz="4" w:space="0" w:color="auto"/>
            </w:tcBorders>
            <w:hideMark/>
          </w:tcPr>
          <w:p w14:paraId="5DC8E541" w14:textId="2F71AAFC"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88.0</w:t>
            </w:r>
          </w:p>
        </w:tc>
        <w:tc>
          <w:tcPr>
            <w:tcW w:w="1134" w:type="dxa"/>
            <w:tcBorders>
              <w:top w:val="nil"/>
              <w:left w:val="nil"/>
              <w:bottom w:val="single" w:sz="4" w:space="0" w:color="auto"/>
              <w:right w:val="single" w:sz="4" w:space="0" w:color="auto"/>
            </w:tcBorders>
            <w:hideMark/>
          </w:tcPr>
          <w:p w14:paraId="7F0FD782" w14:textId="36B95951"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152.1</w:t>
            </w:r>
          </w:p>
        </w:tc>
        <w:tc>
          <w:tcPr>
            <w:tcW w:w="992" w:type="dxa"/>
            <w:tcBorders>
              <w:top w:val="nil"/>
              <w:left w:val="nil"/>
              <w:bottom w:val="single" w:sz="4" w:space="0" w:color="auto"/>
              <w:right w:val="single" w:sz="4" w:space="0" w:color="auto"/>
            </w:tcBorders>
            <w:hideMark/>
          </w:tcPr>
          <w:p w14:paraId="1DCBA1D2" w14:textId="7FA4551C" w:rsidR="00753A7B" w:rsidRPr="009A049C" w:rsidRDefault="00753A7B" w:rsidP="00753A7B">
            <w:pPr>
              <w:widowControl/>
              <w:autoSpaceDE/>
              <w:autoSpaceDN/>
              <w:adjustRightInd/>
              <w:jc w:val="center"/>
              <w:rPr>
                <w:rFonts w:asciiTheme="majorHAnsi" w:hAnsiTheme="majorHAnsi"/>
                <w:b/>
                <w:bCs/>
                <w:color w:val="000000"/>
                <w:sz w:val="18"/>
                <w:szCs w:val="18"/>
              </w:rPr>
            </w:pPr>
            <w:r w:rsidRPr="009A049C">
              <w:rPr>
                <w:rFonts w:asciiTheme="majorHAnsi" w:hAnsiTheme="majorHAnsi"/>
              </w:rPr>
              <w:t>896.5</w:t>
            </w:r>
          </w:p>
        </w:tc>
        <w:tc>
          <w:tcPr>
            <w:tcW w:w="992" w:type="dxa"/>
            <w:tcBorders>
              <w:top w:val="nil"/>
              <w:left w:val="nil"/>
              <w:bottom w:val="single" w:sz="4" w:space="0" w:color="auto"/>
              <w:right w:val="single" w:sz="4" w:space="0" w:color="auto"/>
            </w:tcBorders>
            <w:hideMark/>
          </w:tcPr>
          <w:p w14:paraId="280BB80D" w14:textId="5E620776"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896.5</w:t>
            </w:r>
          </w:p>
        </w:tc>
        <w:tc>
          <w:tcPr>
            <w:tcW w:w="1276" w:type="dxa"/>
            <w:tcBorders>
              <w:top w:val="nil"/>
              <w:left w:val="nil"/>
              <w:bottom w:val="single" w:sz="4" w:space="0" w:color="auto"/>
              <w:right w:val="single" w:sz="4" w:space="0" w:color="auto"/>
            </w:tcBorders>
            <w:vAlign w:val="center"/>
            <w:hideMark/>
          </w:tcPr>
          <w:p w14:paraId="64A09E7E" w14:textId="71C5101B"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color w:val="000000"/>
                <w:sz w:val="18"/>
              </w:rPr>
              <w:t>896.47</w:t>
            </w:r>
          </w:p>
        </w:tc>
      </w:tr>
      <w:tr w:rsidR="00753A7B" w:rsidRPr="009A049C" w14:paraId="50DDBEAE"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hideMark/>
          </w:tcPr>
          <w:p w14:paraId="249C90CB" w14:textId="77777777" w:rsidR="00753A7B" w:rsidRPr="009A049C" w:rsidRDefault="00753A7B" w:rsidP="00753A7B">
            <w:pPr>
              <w:widowControl/>
              <w:autoSpaceDE/>
              <w:autoSpaceDN/>
              <w:adjustRightInd/>
              <w:rPr>
                <w:rFonts w:asciiTheme="majorHAnsi" w:hAnsiTheme="majorHAnsi"/>
                <w:color w:val="000000"/>
              </w:rPr>
            </w:pPr>
            <w:r w:rsidRPr="009A049C">
              <w:rPr>
                <w:rFonts w:asciiTheme="majorHAnsi" w:hAnsiTheme="majorHAnsi"/>
                <w:color w:val="000000"/>
              </w:rPr>
              <w:t>Túnez</w:t>
            </w:r>
          </w:p>
        </w:tc>
        <w:tc>
          <w:tcPr>
            <w:tcW w:w="992" w:type="dxa"/>
            <w:tcBorders>
              <w:top w:val="nil"/>
              <w:left w:val="nil"/>
              <w:bottom w:val="single" w:sz="4" w:space="0" w:color="auto"/>
              <w:right w:val="single" w:sz="4" w:space="0" w:color="auto"/>
            </w:tcBorders>
            <w:hideMark/>
          </w:tcPr>
          <w:p w14:paraId="256B91FE" w14:textId="3007DEA2"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865.3</w:t>
            </w:r>
          </w:p>
        </w:tc>
        <w:tc>
          <w:tcPr>
            <w:tcW w:w="992" w:type="dxa"/>
            <w:tcBorders>
              <w:top w:val="nil"/>
              <w:left w:val="nil"/>
              <w:bottom w:val="single" w:sz="4" w:space="0" w:color="auto"/>
              <w:right w:val="single" w:sz="4" w:space="0" w:color="auto"/>
            </w:tcBorders>
            <w:hideMark/>
          </w:tcPr>
          <w:p w14:paraId="2ACC7EE0" w14:textId="38F4CC63"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0.0</w:t>
            </w:r>
          </w:p>
        </w:tc>
        <w:tc>
          <w:tcPr>
            <w:tcW w:w="992" w:type="dxa"/>
            <w:tcBorders>
              <w:top w:val="nil"/>
              <w:left w:val="nil"/>
              <w:bottom w:val="single" w:sz="4" w:space="0" w:color="auto"/>
              <w:right w:val="single" w:sz="4" w:space="0" w:color="auto"/>
            </w:tcBorders>
            <w:hideMark/>
          </w:tcPr>
          <w:p w14:paraId="022C1F0C" w14:textId="2251BC25"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159.0</w:t>
            </w:r>
          </w:p>
        </w:tc>
        <w:tc>
          <w:tcPr>
            <w:tcW w:w="993" w:type="dxa"/>
            <w:tcBorders>
              <w:top w:val="nil"/>
              <w:left w:val="nil"/>
              <w:bottom w:val="single" w:sz="4" w:space="0" w:color="auto"/>
              <w:right w:val="single" w:sz="4" w:space="0" w:color="auto"/>
            </w:tcBorders>
            <w:hideMark/>
          </w:tcPr>
          <w:p w14:paraId="71AFCC03" w14:textId="34ABAA8A"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490.4</w:t>
            </w:r>
          </w:p>
        </w:tc>
        <w:tc>
          <w:tcPr>
            <w:tcW w:w="1134" w:type="dxa"/>
            <w:tcBorders>
              <w:top w:val="nil"/>
              <w:left w:val="nil"/>
              <w:bottom w:val="single" w:sz="4" w:space="0" w:color="auto"/>
              <w:right w:val="single" w:sz="4" w:space="0" w:color="auto"/>
            </w:tcBorders>
            <w:hideMark/>
          </w:tcPr>
          <w:p w14:paraId="00327D94" w14:textId="38BA3478"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114.3</w:t>
            </w:r>
          </w:p>
        </w:tc>
        <w:tc>
          <w:tcPr>
            <w:tcW w:w="992" w:type="dxa"/>
            <w:tcBorders>
              <w:top w:val="nil"/>
              <w:left w:val="nil"/>
              <w:bottom w:val="single" w:sz="4" w:space="0" w:color="auto"/>
              <w:right w:val="single" w:sz="4" w:space="0" w:color="auto"/>
            </w:tcBorders>
            <w:hideMark/>
          </w:tcPr>
          <w:p w14:paraId="2C08478C" w14:textId="5A7BAC3E" w:rsidR="00753A7B" w:rsidRPr="009A049C" w:rsidRDefault="00753A7B" w:rsidP="00753A7B">
            <w:pPr>
              <w:widowControl/>
              <w:autoSpaceDE/>
              <w:autoSpaceDN/>
              <w:adjustRightInd/>
              <w:jc w:val="center"/>
              <w:rPr>
                <w:rFonts w:asciiTheme="majorHAnsi" w:hAnsiTheme="majorHAnsi"/>
                <w:b/>
                <w:bCs/>
                <w:color w:val="000000"/>
                <w:sz w:val="18"/>
                <w:szCs w:val="18"/>
              </w:rPr>
            </w:pPr>
            <w:r w:rsidRPr="009A049C">
              <w:rPr>
                <w:rFonts w:asciiTheme="majorHAnsi" w:hAnsiTheme="majorHAnsi"/>
              </w:rPr>
              <w:t>763.6</w:t>
            </w:r>
          </w:p>
        </w:tc>
        <w:tc>
          <w:tcPr>
            <w:tcW w:w="992" w:type="dxa"/>
            <w:tcBorders>
              <w:top w:val="nil"/>
              <w:left w:val="nil"/>
              <w:bottom w:val="single" w:sz="4" w:space="0" w:color="auto"/>
              <w:right w:val="single" w:sz="4" w:space="0" w:color="auto"/>
            </w:tcBorders>
            <w:hideMark/>
          </w:tcPr>
          <w:p w14:paraId="54AD82DA" w14:textId="558BBFC2"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763.6</w:t>
            </w:r>
          </w:p>
        </w:tc>
        <w:tc>
          <w:tcPr>
            <w:tcW w:w="1276" w:type="dxa"/>
            <w:tcBorders>
              <w:top w:val="nil"/>
              <w:left w:val="nil"/>
              <w:bottom w:val="single" w:sz="4" w:space="0" w:color="auto"/>
              <w:right w:val="single" w:sz="4" w:space="0" w:color="auto"/>
            </w:tcBorders>
            <w:hideMark/>
          </w:tcPr>
          <w:p w14:paraId="1F81C7E1" w14:textId="6D484B44"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763.63</w:t>
            </w:r>
          </w:p>
        </w:tc>
      </w:tr>
      <w:tr w:rsidR="00753A7B" w:rsidRPr="009A049C" w14:paraId="4ADB8617"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hideMark/>
          </w:tcPr>
          <w:p w14:paraId="65E8FF09" w14:textId="77777777" w:rsidR="00753A7B" w:rsidRPr="009A049C" w:rsidRDefault="00753A7B" w:rsidP="00753A7B">
            <w:pPr>
              <w:widowControl/>
              <w:autoSpaceDE/>
              <w:autoSpaceDN/>
              <w:adjustRightInd/>
              <w:rPr>
                <w:rFonts w:asciiTheme="majorHAnsi" w:hAnsiTheme="majorHAnsi"/>
                <w:color w:val="000000"/>
              </w:rPr>
            </w:pPr>
            <w:r w:rsidRPr="009A049C">
              <w:rPr>
                <w:rFonts w:asciiTheme="majorHAnsi" w:hAnsiTheme="majorHAnsi"/>
                <w:color w:val="000000"/>
              </w:rPr>
              <w:t>Türkiye</w:t>
            </w:r>
          </w:p>
        </w:tc>
        <w:tc>
          <w:tcPr>
            <w:tcW w:w="992" w:type="dxa"/>
            <w:tcBorders>
              <w:top w:val="nil"/>
              <w:left w:val="nil"/>
              <w:bottom w:val="single" w:sz="4" w:space="0" w:color="auto"/>
              <w:right w:val="single" w:sz="4" w:space="0" w:color="auto"/>
            </w:tcBorders>
            <w:hideMark/>
          </w:tcPr>
          <w:p w14:paraId="368CF6B4" w14:textId="097C6F16"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378.7</w:t>
            </w:r>
          </w:p>
        </w:tc>
        <w:tc>
          <w:tcPr>
            <w:tcW w:w="992" w:type="dxa"/>
            <w:tcBorders>
              <w:top w:val="nil"/>
              <w:left w:val="nil"/>
              <w:bottom w:val="single" w:sz="4" w:space="0" w:color="auto"/>
              <w:right w:val="single" w:sz="4" w:space="0" w:color="auto"/>
            </w:tcBorders>
            <w:hideMark/>
          </w:tcPr>
          <w:p w14:paraId="58E12996" w14:textId="05BE4A61"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32.5</w:t>
            </w:r>
          </w:p>
        </w:tc>
        <w:tc>
          <w:tcPr>
            <w:tcW w:w="992" w:type="dxa"/>
            <w:tcBorders>
              <w:top w:val="nil"/>
              <w:left w:val="nil"/>
              <w:bottom w:val="single" w:sz="4" w:space="0" w:color="auto"/>
              <w:right w:val="single" w:sz="4" w:space="0" w:color="auto"/>
            </w:tcBorders>
            <w:hideMark/>
          </w:tcPr>
          <w:p w14:paraId="5105434C" w14:textId="7038253B"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158.3</w:t>
            </w:r>
          </w:p>
        </w:tc>
        <w:tc>
          <w:tcPr>
            <w:tcW w:w="993" w:type="dxa"/>
            <w:tcBorders>
              <w:top w:val="nil"/>
              <w:left w:val="nil"/>
              <w:bottom w:val="single" w:sz="4" w:space="0" w:color="auto"/>
              <w:right w:val="single" w:sz="4" w:space="0" w:color="auto"/>
            </w:tcBorders>
            <w:hideMark/>
          </w:tcPr>
          <w:p w14:paraId="51F3925A" w14:textId="34F938E7"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140.3</w:t>
            </w:r>
          </w:p>
        </w:tc>
        <w:tc>
          <w:tcPr>
            <w:tcW w:w="1134" w:type="dxa"/>
            <w:tcBorders>
              <w:top w:val="nil"/>
              <w:left w:val="nil"/>
              <w:bottom w:val="single" w:sz="4" w:space="0" w:color="auto"/>
              <w:right w:val="single" w:sz="4" w:space="0" w:color="auto"/>
            </w:tcBorders>
            <w:hideMark/>
          </w:tcPr>
          <w:p w14:paraId="08425513" w14:textId="5808C21E"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47.6</w:t>
            </w:r>
          </w:p>
        </w:tc>
        <w:tc>
          <w:tcPr>
            <w:tcW w:w="992" w:type="dxa"/>
            <w:tcBorders>
              <w:top w:val="nil"/>
              <w:left w:val="nil"/>
              <w:bottom w:val="single" w:sz="4" w:space="0" w:color="auto"/>
              <w:right w:val="single" w:sz="4" w:space="0" w:color="auto"/>
            </w:tcBorders>
            <w:hideMark/>
          </w:tcPr>
          <w:p w14:paraId="73C66D3A" w14:textId="630BEEAF" w:rsidR="00753A7B" w:rsidRPr="009A049C" w:rsidRDefault="00753A7B" w:rsidP="00753A7B">
            <w:pPr>
              <w:widowControl/>
              <w:autoSpaceDE/>
              <w:autoSpaceDN/>
              <w:adjustRightInd/>
              <w:jc w:val="center"/>
              <w:rPr>
                <w:rFonts w:asciiTheme="majorHAnsi" w:hAnsiTheme="majorHAnsi"/>
                <w:b/>
                <w:bCs/>
                <w:color w:val="000000"/>
                <w:sz w:val="18"/>
                <w:szCs w:val="18"/>
              </w:rPr>
            </w:pPr>
            <w:r w:rsidRPr="009A049C">
              <w:rPr>
                <w:rFonts w:asciiTheme="majorHAnsi" w:hAnsiTheme="majorHAnsi"/>
              </w:rPr>
              <w:t>378.7</w:t>
            </w:r>
          </w:p>
        </w:tc>
        <w:tc>
          <w:tcPr>
            <w:tcW w:w="992" w:type="dxa"/>
            <w:tcBorders>
              <w:top w:val="nil"/>
              <w:left w:val="nil"/>
              <w:bottom w:val="single" w:sz="4" w:space="0" w:color="auto"/>
              <w:right w:val="single" w:sz="4" w:space="0" w:color="auto"/>
            </w:tcBorders>
            <w:hideMark/>
          </w:tcPr>
          <w:p w14:paraId="1E59342C" w14:textId="5BD09E18"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378.7</w:t>
            </w:r>
          </w:p>
        </w:tc>
        <w:tc>
          <w:tcPr>
            <w:tcW w:w="1276" w:type="dxa"/>
            <w:tcBorders>
              <w:top w:val="nil"/>
              <w:left w:val="nil"/>
              <w:bottom w:val="single" w:sz="4" w:space="0" w:color="auto"/>
              <w:right w:val="single" w:sz="4" w:space="0" w:color="auto"/>
            </w:tcBorders>
            <w:hideMark/>
          </w:tcPr>
          <w:p w14:paraId="5F333740" w14:textId="6D4DD57C" w:rsidR="00753A7B" w:rsidRPr="009A049C" w:rsidRDefault="00753A7B" w:rsidP="00753A7B">
            <w:pPr>
              <w:widowControl/>
              <w:autoSpaceDE/>
              <w:autoSpaceDN/>
              <w:adjustRightInd/>
              <w:jc w:val="center"/>
              <w:rPr>
                <w:rFonts w:asciiTheme="majorHAnsi" w:hAnsiTheme="majorHAnsi"/>
                <w:color w:val="000000"/>
                <w:sz w:val="18"/>
                <w:szCs w:val="18"/>
              </w:rPr>
            </w:pPr>
            <w:r w:rsidRPr="009A049C">
              <w:rPr>
                <w:rFonts w:asciiTheme="majorHAnsi" w:hAnsiTheme="majorHAnsi"/>
              </w:rPr>
              <w:t>378.69</w:t>
            </w:r>
          </w:p>
        </w:tc>
      </w:tr>
      <w:tr w:rsidR="00753A7B" w:rsidRPr="00536AB6" w14:paraId="77250A31" w14:textId="77777777" w:rsidTr="006D1FBF">
        <w:trPr>
          <w:trHeight w:val="300"/>
          <w:jc w:val="center"/>
        </w:trPr>
        <w:tc>
          <w:tcPr>
            <w:tcW w:w="988" w:type="dxa"/>
            <w:tcBorders>
              <w:top w:val="nil"/>
              <w:left w:val="single" w:sz="4" w:space="0" w:color="auto"/>
              <w:bottom w:val="single" w:sz="4" w:space="0" w:color="auto"/>
              <w:right w:val="single" w:sz="4" w:space="0" w:color="auto"/>
            </w:tcBorders>
            <w:noWrap/>
            <w:vAlign w:val="center"/>
            <w:hideMark/>
          </w:tcPr>
          <w:p w14:paraId="65B0DDC0" w14:textId="77777777" w:rsidR="00753A7B" w:rsidRPr="009A049C" w:rsidRDefault="00753A7B" w:rsidP="00753A7B">
            <w:pPr>
              <w:widowControl/>
              <w:autoSpaceDE/>
              <w:autoSpaceDN/>
              <w:adjustRightInd/>
              <w:rPr>
                <w:rFonts w:asciiTheme="majorHAnsi" w:hAnsiTheme="majorHAnsi"/>
                <w:b/>
                <w:bCs/>
                <w:color w:val="000000"/>
              </w:rPr>
            </w:pPr>
            <w:r w:rsidRPr="009A049C">
              <w:rPr>
                <w:rFonts w:asciiTheme="majorHAnsi" w:hAnsiTheme="majorHAnsi"/>
                <w:b/>
                <w:color w:val="000000"/>
              </w:rPr>
              <w:t>Total</w:t>
            </w:r>
          </w:p>
        </w:tc>
        <w:tc>
          <w:tcPr>
            <w:tcW w:w="992" w:type="dxa"/>
            <w:tcBorders>
              <w:top w:val="nil"/>
              <w:left w:val="nil"/>
              <w:bottom w:val="single" w:sz="4" w:space="0" w:color="auto"/>
              <w:right w:val="single" w:sz="4" w:space="0" w:color="auto"/>
            </w:tcBorders>
            <w:hideMark/>
          </w:tcPr>
          <w:p w14:paraId="4D37F94C" w14:textId="508E208F" w:rsidR="00753A7B" w:rsidRPr="009A049C" w:rsidRDefault="00753A7B" w:rsidP="00753A7B">
            <w:pPr>
              <w:widowControl/>
              <w:autoSpaceDE/>
              <w:autoSpaceDN/>
              <w:adjustRightInd/>
              <w:jc w:val="center"/>
              <w:rPr>
                <w:rFonts w:asciiTheme="majorHAnsi" w:hAnsiTheme="majorHAnsi"/>
                <w:b/>
                <w:bCs/>
                <w:color w:val="000000"/>
                <w:sz w:val="18"/>
                <w:szCs w:val="18"/>
              </w:rPr>
            </w:pPr>
            <w:r w:rsidRPr="009A049C">
              <w:rPr>
                <w:rFonts w:asciiTheme="majorHAnsi" w:hAnsiTheme="majorHAnsi"/>
                <w:b/>
              </w:rPr>
              <w:t>9226.5</w:t>
            </w:r>
          </w:p>
        </w:tc>
        <w:tc>
          <w:tcPr>
            <w:tcW w:w="992" w:type="dxa"/>
            <w:tcBorders>
              <w:top w:val="nil"/>
              <w:left w:val="nil"/>
              <w:bottom w:val="single" w:sz="4" w:space="0" w:color="auto"/>
              <w:right w:val="single" w:sz="4" w:space="0" w:color="auto"/>
            </w:tcBorders>
            <w:hideMark/>
          </w:tcPr>
          <w:p w14:paraId="7763BDAF" w14:textId="7783FAE4" w:rsidR="00753A7B" w:rsidRPr="009A049C" w:rsidRDefault="00753A7B" w:rsidP="00753A7B">
            <w:pPr>
              <w:widowControl/>
              <w:autoSpaceDE/>
              <w:autoSpaceDN/>
              <w:adjustRightInd/>
              <w:jc w:val="center"/>
              <w:rPr>
                <w:rFonts w:asciiTheme="majorHAnsi" w:hAnsiTheme="majorHAnsi"/>
                <w:b/>
                <w:bCs/>
                <w:color w:val="000000"/>
                <w:sz w:val="18"/>
                <w:szCs w:val="18"/>
              </w:rPr>
            </w:pPr>
            <w:r w:rsidRPr="009A049C">
              <w:rPr>
                <w:rFonts w:asciiTheme="majorHAnsi" w:hAnsiTheme="majorHAnsi"/>
                <w:b/>
              </w:rPr>
              <w:t>61.9</w:t>
            </w:r>
          </w:p>
        </w:tc>
        <w:tc>
          <w:tcPr>
            <w:tcW w:w="992" w:type="dxa"/>
            <w:tcBorders>
              <w:top w:val="nil"/>
              <w:left w:val="nil"/>
              <w:bottom w:val="single" w:sz="4" w:space="0" w:color="auto"/>
              <w:right w:val="single" w:sz="4" w:space="0" w:color="auto"/>
            </w:tcBorders>
            <w:hideMark/>
          </w:tcPr>
          <w:p w14:paraId="4870E40D" w14:textId="1D3D0114" w:rsidR="00753A7B" w:rsidRPr="009A049C" w:rsidRDefault="00753A7B" w:rsidP="00753A7B">
            <w:pPr>
              <w:widowControl/>
              <w:autoSpaceDE/>
              <w:autoSpaceDN/>
              <w:adjustRightInd/>
              <w:jc w:val="center"/>
              <w:rPr>
                <w:rFonts w:asciiTheme="majorHAnsi" w:hAnsiTheme="majorHAnsi"/>
                <w:b/>
                <w:bCs/>
                <w:color w:val="000000"/>
                <w:sz w:val="18"/>
                <w:szCs w:val="18"/>
              </w:rPr>
            </w:pPr>
            <w:r w:rsidRPr="009A049C">
              <w:rPr>
                <w:rFonts w:asciiTheme="majorHAnsi" w:hAnsiTheme="majorHAnsi"/>
                <w:b/>
              </w:rPr>
              <w:t>2245.4</w:t>
            </w:r>
          </w:p>
        </w:tc>
        <w:tc>
          <w:tcPr>
            <w:tcW w:w="993" w:type="dxa"/>
            <w:tcBorders>
              <w:top w:val="nil"/>
              <w:left w:val="nil"/>
              <w:bottom w:val="single" w:sz="4" w:space="0" w:color="auto"/>
              <w:right w:val="single" w:sz="4" w:space="0" w:color="auto"/>
            </w:tcBorders>
            <w:hideMark/>
          </w:tcPr>
          <w:p w14:paraId="2DE99BC5" w14:textId="485F26AB" w:rsidR="00753A7B" w:rsidRPr="009A049C" w:rsidRDefault="00753A7B" w:rsidP="00753A7B">
            <w:pPr>
              <w:widowControl/>
              <w:autoSpaceDE/>
              <w:autoSpaceDN/>
              <w:adjustRightInd/>
              <w:jc w:val="center"/>
              <w:rPr>
                <w:rFonts w:asciiTheme="majorHAnsi" w:hAnsiTheme="majorHAnsi"/>
                <w:b/>
                <w:bCs/>
                <w:color w:val="000000"/>
                <w:sz w:val="18"/>
                <w:szCs w:val="18"/>
              </w:rPr>
            </w:pPr>
            <w:r w:rsidRPr="009A049C">
              <w:rPr>
                <w:rFonts w:asciiTheme="majorHAnsi" w:hAnsiTheme="majorHAnsi"/>
                <w:b/>
              </w:rPr>
              <w:t>3243.6</w:t>
            </w:r>
          </w:p>
        </w:tc>
        <w:tc>
          <w:tcPr>
            <w:tcW w:w="1134" w:type="dxa"/>
            <w:tcBorders>
              <w:top w:val="nil"/>
              <w:left w:val="nil"/>
              <w:bottom w:val="single" w:sz="4" w:space="0" w:color="auto"/>
              <w:right w:val="single" w:sz="4" w:space="0" w:color="auto"/>
            </w:tcBorders>
            <w:hideMark/>
          </w:tcPr>
          <w:p w14:paraId="76098E42" w14:textId="055B5620" w:rsidR="00753A7B" w:rsidRPr="009A049C" w:rsidRDefault="00753A7B" w:rsidP="00753A7B">
            <w:pPr>
              <w:widowControl/>
              <w:autoSpaceDE/>
              <w:autoSpaceDN/>
              <w:adjustRightInd/>
              <w:jc w:val="center"/>
              <w:rPr>
                <w:rFonts w:asciiTheme="majorHAnsi" w:hAnsiTheme="majorHAnsi"/>
                <w:b/>
                <w:bCs/>
                <w:color w:val="000000"/>
                <w:sz w:val="18"/>
                <w:szCs w:val="18"/>
              </w:rPr>
            </w:pPr>
            <w:r w:rsidRPr="009A049C">
              <w:rPr>
                <w:rFonts w:asciiTheme="majorHAnsi" w:hAnsiTheme="majorHAnsi"/>
                <w:b/>
              </w:rPr>
              <w:t>1187.8</w:t>
            </w:r>
          </w:p>
        </w:tc>
        <w:tc>
          <w:tcPr>
            <w:tcW w:w="992" w:type="dxa"/>
            <w:tcBorders>
              <w:top w:val="nil"/>
              <w:left w:val="nil"/>
              <w:bottom w:val="single" w:sz="4" w:space="0" w:color="auto"/>
              <w:right w:val="single" w:sz="4" w:space="0" w:color="auto"/>
            </w:tcBorders>
            <w:hideMark/>
          </w:tcPr>
          <w:p w14:paraId="67A374EF" w14:textId="1C03C199" w:rsidR="00753A7B" w:rsidRPr="009A049C" w:rsidRDefault="00753A7B" w:rsidP="00753A7B">
            <w:pPr>
              <w:widowControl/>
              <w:autoSpaceDE/>
              <w:autoSpaceDN/>
              <w:adjustRightInd/>
              <w:jc w:val="center"/>
              <w:rPr>
                <w:rFonts w:asciiTheme="majorHAnsi" w:hAnsiTheme="majorHAnsi"/>
                <w:b/>
                <w:bCs/>
                <w:color w:val="000000"/>
                <w:sz w:val="18"/>
                <w:szCs w:val="18"/>
              </w:rPr>
            </w:pPr>
            <w:r w:rsidRPr="009A049C">
              <w:rPr>
                <w:rFonts w:asciiTheme="majorHAnsi" w:hAnsiTheme="majorHAnsi"/>
                <w:b/>
              </w:rPr>
              <w:t>6738.7</w:t>
            </w:r>
          </w:p>
        </w:tc>
        <w:tc>
          <w:tcPr>
            <w:tcW w:w="992" w:type="dxa"/>
            <w:tcBorders>
              <w:top w:val="nil"/>
              <w:left w:val="nil"/>
              <w:bottom w:val="single" w:sz="4" w:space="0" w:color="auto"/>
              <w:right w:val="single" w:sz="4" w:space="0" w:color="auto"/>
            </w:tcBorders>
            <w:hideMark/>
          </w:tcPr>
          <w:p w14:paraId="04C9D184" w14:textId="5726D85B" w:rsidR="00753A7B" w:rsidRPr="009A049C" w:rsidRDefault="00753A7B" w:rsidP="00753A7B">
            <w:pPr>
              <w:widowControl/>
              <w:autoSpaceDE/>
              <w:autoSpaceDN/>
              <w:adjustRightInd/>
              <w:jc w:val="center"/>
              <w:rPr>
                <w:rFonts w:asciiTheme="majorHAnsi" w:hAnsiTheme="majorHAnsi"/>
                <w:b/>
                <w:bCs/>
                <w:color w:val="000000"/>
                <w:sz w:val="18"/>
                <w:szCs w:val="18"/>
              </w:rPr>
            </w:pPr>
            <w:r w:rsidRPr="009A049C">
              <w:rPr>
                <w:rFonts w:asciiTheme="majorHAnsi" w:hAnsiTheme="majorHAnsi"/>
                <w:b/>
              </w:rPr>
              <w:t>6918.4</w:t>
            </w:r>
          </w:p>
        </w:tc>
        <w:tc>
          <w:tcPr>
            <w:tcW w:w="1276" w:type="dxa"/>
            <w:tcBorders>
              <w:top w:val="nil"/>
              <w:left w:val="nil"/>
              <w:bottom w:val="single" w:sz="4" w:space="0" w:color="auto"/>
              <w:right w:val="single" w:sz="4" w:space="0" w:color="auto"/>
            </w:tcBorders>
            <w:hideMark/>
          </w:tcPr>
          <w:p w14:paraId="4D775C84" w14:textId="084709BB" w:rsidR="00753A7B" w:rsidRPr="00536AB6" w:rsidRDefault="00753A7B" w:rsidP="00753A7B">
            <w:pPr>
              <w:widowControl/>
              <w:autoSpaceDE/>
              <w:autoSpaceDN/>
              <w:adjustRightInd/>
              <w:jc w:val="center"/>
              <w:rPr>
                <w:rFonts w:asciiTheme="majorHAnsi" w:hAnsiTheme="majorHAnsi"/>
                <w:b/>
                <w:bCs/>
                <w:color w:val="000000"/>
                <w:sz w:val="18"/>
                <w:szCs w:val="18"/>
              </w:rPr>
            </w:pPr>
            <w:r w:rsidRPr="009A049C">
              <w:rPr>
                <w:rFonts w:asciiTheme="majorHAnsi" w:hAnsiTheme="majorHAnsi"/>
                <w:b/>
              </w:rPr>
              <w:t>7116.26</w:t>
            </w:r>
          </w:p>
        </w:tc>
      </w:tr>
    </w:tbl>
    <w:p w14:paraId="411C5D23" w14:textId="77777777" w:rsidR="00842AE5" w:rsidRPr="00536AB6" w:rsidRDefault="00842AE5" w:rsidP="005B120F">
      <w:pPr>
        <w:tabs>
          <w:tab w:val="left" w:pos="1276"/>
          <w:tab w:val="left" w:pos="1418"/>
          <w:tab w:val="left" w:leader="dot" w:pos="8222"/>
          <w:tab w:val="right" w:pos="8647"/>
        </w:tabs>
        <w:rPr>
          <w:rFonts w:asciiTheme="majorHAnsi" w:hAnsiTheme="majorHAnsi"/>
          <w:lang w:val="en-IE"/>
        </w:rPr>
      </w:pPr>
    </w:p>
    <w:p w14:paraId="782DD39D" w14:textId="56A5CA55" w:rsidR="00B421D7" w:rsidRPr="00536AB6" w:rsidRDefault="00B421D7" w:rsidP="00820485">
      <w:pPr>
        <w:tabs>
          <w:tab w:val="left" w:pos="1276"/>
          <w:tab w:val="left" w:pos="1418"/>
          <w:tab w:val="left" w:leader="dot" w:pos="8222"/>
          <w:tab w:val="right" w:pos="8647"/>
        </w:tabs>
        <w:jc w:val="both"/>
        <w:rPr>
          <w:rFonts w:asciiTheme="majorHAnsi" w:hAnsiTheme="majorHAnsi"/>
        </w:rPr>
      </w:pPr>
      <w:r>
        <w:rPr>
          <w:rFonts w:asciiTheme="majorHAnsi" w:hAnsiTheme="majorHAnsi"/>
          <w:b/>
          <w:bCs/>
          <w:i/>
          <w:iCs/>
        </w:rPr>
        <w:t>Cumplimiento de las cuotas/límites de captura:</w:t>
      </w:r>
      <w:r>
        <w:rPr>
          <w:rFonts w:asciiTheme="majorHAnsi" w:hAnsiTheme="majorHAnsi"/>
        </w:rPr>
        <w:t xml:space="preserve"> Véase el documento "Tablas de cumplimiento de 2025 recibidas en 2026" [COC_304/2026]. </w:t>
      </w:r>
    </w:p>
    <w:p w14:paraId="111C2E51" w14:textId="77777777" w:rsidR="0062071E" w:rsidRPr="00364A87" w:rsidRDefault="0062071E" w:rsidP="00820485">
      <w:pPr>
        <w:tabs>
          <w:tab w:val="left" w:pos="1276"/>
          <w:tab w:val="left" w:pos="1418"/>
          <w:tab w:val="left" w:leader="dot" w:pos="8222"/>
          <w:tab w:val="right" w:pos="8647"/>
        </w:tabs>
        <w:jc w:val="both"/>
        <w:rPr>
          <w:rFonts w:asciiTheme="majorHAnsi" w:hAnsiTheme="majorHAnsi"/>
        </w:rPr>
      </w:pPr>
    </w:p>
    <w:p w14:paraId="7975A765" w14:textId="44322B4D" w:rsidR="00435B70" w:rsidRPr="00A83ACD" w:rsidRDefault="001B6990" w:rsidP="00820485">
      <w:pPr>
        <w:tabs>
          <w:tab w:val="left" w:pos="1276"/>
          <w:tab w:val="left" w:pos="1418"/>
          <w:tab w:val="left" w:leader="dot" w:pos="8222"/>
          <w:tab w:val="right" w:pos="8647"/>
        </w:tabs>
        <w:jc w:val="both"/>
        <w:rPr>
          <w:rFonts w:asciiTheme="majorHAnsi" w:hAnsiTheme="majorHAnsi"/>
        </w:rPr>
      </w:pPr>
      <w:r>
        <w:rPr>
          <w:rFonts w:asciiTheme="majorHAnsi" w:hAnsiTheme="majorHAnsi"/>
          <w:b/>
          <w:i/>
        </w:rPr>
        <w:t xml:space="preserve">Registro ICCAT de buques autorizados a pescar pez espada del Mediterráneo: </w:t>
      </w:r>
      <w:r>
        <w:rPr>
          <w:rFonts w:asciiTheme="majorHAnsi" w:hAnsiTheme="majorHAnsi"/>
        </w:rPr>
        <w:t xml:space="preserve">Las listas autorizadas, recibidas de cinco CPC (Argelia, Marruecos, Túnez, Türkiye y Unión Europea), se han publicado en el </w:t>
      </w:r>
      <w:hyperlink r:id="rId9" w:history="1">
        <w:r>
          <w:rPr>
            <w:rStyle w:val="Hyperlink"/>
            <w:rFonts w:asciiTheme="majorHAnsi" w:hAnsiTheme="majorHAnsi"/>
            <w:u w:val="none"/>
          </w:rPr>
          <w:t>sitio web de ICCAT</w:t>
        </w:r>
      </w:hyperlink>
      <w:r>
        <w:rPr>
          <w:rFonts w:asciiTheme="majorHAnsi" w:hAnsiTheme="majorHAnsi"/>
        </w:rPr>
        <w:t xml:space="preserve">. La lista de buques que pescaron el año anterior se incluye en el </w:t>
      </w:r>
      <w:r>
        <w:rPr>
          <w:rFonts w:asciiTheme="majorHAnsi" w:hAnsiTheme="majorHAnsi"/>
          <w:b/>
          <w:bCs/>
        </w:rPr>
        <w:t>anexo 4</w:t>
      </w:r>
      <w:r>
        <w:rPr>
          <w:rFonts w:asciiTheme="majorHAnsi" w:hAnsiTheme="majorHAnsi"/>
        </w:rPr>
        <w:t>. No se ha recibido la list</w:t>
      </w:r>
      <w:r w:rsidR="00A77346">
        <w:rPr>
          <w:rFonts w:asciiTheme="majorHAnsi" w:hAnsiTheme="majorHAnsi"/>
        </w:rPr>
        <w:t xml:space="preserve">a de buques autorizados de </w:t>
      </w:r>
      <w:r w:rsidR="00A83ACD">
        <w:rPr>
          <w:rFonts w:asciiTheme="majorHAnsi" w:hAnsiTheme="majorHAnsi"/>
        </w:rPr>
        <w:t xml:space="preserve">Egipto y </w:t>
      </w:r>
      <w:r>
        <w:rPr>
          <w:rFonts w:asciiTheme="majorHAnsi" w:hAnsiTheme="majorHAnsi"/>
        </w:rPr>
        <w:t>de Libia.</w:t>
      </w:r>
    </w:p>
    <w:p w14:paraId="2895BB62" w14:textId="77777777" w:rsidR="00D26C9B" w:rsidRPr="00364A87" w:rsidRDefault="00D26C9B" w:rsidP="00820485">
      <w:pPr>
        <w:tabs>
          <w:tab w:val="left" w:pos="1276"/>
          <w:tab w:val="left" w:pos="1418"/>
          <w:tab w:val="left" w:leader="dot" w:pos="8222"/>
          <w:tab w:val="right" w:pos="8647"/>
        </w:tabs>
        <w:jc w:val="both"/>
        <w:rPr>
          <w:rFonts w:asciiTheme="majorHAnsi" w:hAnsiTheme="majorHAnsi"/>
          <w:i/>
        </w:rPr>
      </w:pPr>
    </w:p>
    <w:p w14:paraId="5509D924" w14:textId="2F470567" w:rsidR="005C195F" w:rsidRPr="00536AB6" w:rsidRDefault="001B6990" w:rsidP="005C195F">
      <w:pPr>
        <w:jc w:val="both"/>
        <w:rPr>
          <w:rFonts w:asciiTheme="majorHAnsi" w:hAnsiTheme="majorHAnsi"/>
          <w:bCs/>
        </w:rPr>
      </w:pPr>
      <w:r w:rsidRPr="00A83ACD">
        <w:rPr>
          <w:rFonts w:asciiTheme="majorHAnsi" w:hAnsiTheme="majorHAnsi"/>
          <w:b/>
          <w:bCs/>
          <w:i/>
        </w:rPr>
        <w:t>Registro ICCAT de buques autorizados a pescar atún blanco del Mediterráneo</w:t>
      </w:r>
      <w:r w:rsidRPr="00A83ACD">
        <w:rPr>
          <w:rFonts w:asciiTheme="majorHAnsi" w:hAnsiTheme="majorHAnsi"/>
          <w:i/>
        </w:rPr>
        <w:t>:</w:t>
      </w:r>
      <w:r w:rsidRPr="00A83ACD">
        <w:rPr>
          <w:rFonts w:asciiTheme="majorHAnsi" w:hAnsiTheme="majorHAnsi"/>
        </w:rPr>
        <w:t xml:space="preserve"> Las listas autorizadas, recibidas de cuatro CPC (Egipto, Marruecos, Türkiye y la Unión Europea), se han publicado en el </w:t>
      </w:r>
      <w:hyperlink r:id="rId10" w:history="1">
        <w:r w:rsidRPr="00A83ACD">
          <w:rPr>
            <w:rStyle w:val="Hyperlink"/>
            <w:rFonts w:asciiTheme="majorHAnsi" w:hAnsiTheme="majorHAnsi"/>
            <w:u w:val="none"/>
          </w:rPr>
          <w:t>sitio web de ICCAT</w:t>
        </w:r>
      </w:hyperlink>
      <w:r w:rsidRPr="00A83ACD">
        <w:rPr>
          <w:rFonts w:asciiTheme="majorHAnsi" w:hAnsiTheme="majorHAnsi"/>
        </w:rPr>
        <w:t>. No se ha recibido la listas autorizada de Libia.</w:t>
      </w:r>
    </w:p>
    <w:p w14:paraId="75457EFE" w14:textId="77777777" w:rsidR="00F953E1" w:rsidRPr="00364A87" w:rsidRDefault="00F953E1" w:rsidP="00820485">
      <w:pPr>
        <w:tabs>
          <w:tab w:val="left" w:pos="1276"/>
          <w:tab w:val="left" w:pos="1418"/>
          <w:tab w:val="left" w:leader="dot" w:pos="8222"/>
          <w:tab w:val="right" w:pos="8647"/>
        </w:tabs>
        <w:jc w:val="both"/>
        <w:rPr>
          <w:rStyle w:val="Hyperlink"/>
          <w:rFonts w:asciiTheme="majorHAnsi" w:hAnsiTheme="majorHAnsi"/>
          <w:bCs/>
          <w:u w:val="none"/>
        </w:rPr>
      </w:pPr>
    </w:p>
    <w:p w14:paraId="7B5C1413" w14:textId="352F748A" w:rsidR="001443C5" w:rsidRPr="00536AB6" w:rsidRDefault="001443C5" w:rsidP="00820485">
      <w:pPr>
        <w:tabs>
          <w:tab w:val="left" w:pos="1276"/>
          <w:tab w:val="left" w:pos="1418"/>
          <w:tab w:val="left" w:leader="dot" w:pos="8222"/>
          <w:tab w:val="right" w:pos="8647"/>
        </w:tabs>
        <w:jc w:val="both"/>
        <w:rPr>
          <w:rFonts w:asciiTheme="majorHAnsi" w:hAnsiTheme="majorHAnsi"/>
          <w:bCs/>
        </w:rPr>
      </w:pPr>
      <w:r>
        <w:rPr>
          <w:rFonts w:asciiTheme="majorHAnsi" w:hAnsiTheme="majorHAnsi"/>
          <w:b/>
          <w:i/>
          <w:iCs/>
        </w:rPr>
        <w:t>Registro ICCAT de puertos en los que está autorizado el desembarque de pez espada del Mediterráneo:</w:t>
      </w:r>
      <w:r>
        <w:rPr>
          <w:rFonts w:asciiTheme="majorHAnsi" w:hAnsiTheme="majorHAnsi"/>
          <w:b/>
        </w:rPr>
        <w:t xml:space="preserve"> </w:t>
      </w:r>
      <w:r>
        <w:rPr>
          <w:rFonts w:asciiTheme="majorHAnsi" w:hAnsiTheme="majorHAnsi"/>
        </w:rPr>
        <w:t>Un total de 909 puertos, de un total de siete CPC</w:t>
      </w:r>
      <w:r>
        <w:t xml:space="preserve"> </w:t>
      </w:r>
      <w:r w:rsidR="0012645E">
        <w:t>(</w:t>
      </w:r>
      <w:r w:rsidR="0012645E">
        <w:rPr>
          <w:rFonts w:asciiTheme="majorHAnsi" w:hAnsiTheme="majorHAnsi"/>
        </w:rPr>
        <w:t xml:space="preserve">Argelia, Egipto, Unión Europea, Libia, Marruecos, Túnez y Türkiye) </w:t>
      </w:r>
      <w:hyperlink r:id="rId11" w:history="1">
        <w:r>
          <w:rPr>
            <w:rStyle w:val="Hyperlink"/>
            <w:rFonts w:asciiTheme="majorHAnsi" w:hAnsiTheme="majorHAnsi"/>
            <w:color w:val="auto"/>
            <w:u w:val="none"/>
          </w:rPr>
          <w:t xml:space="preserve"> se han publicado en el</w:t>
        </w:r>
      </w:hyperlink>
      <w:r>
        <w:rPr>
          <w:rStyle w:val="Hyperlink"/>
          <w:rFonts w:asciiTheme="majorHAnsi" w:hAnsiTheme="majorHAnsi"/>
          <w:u w:val="none"/>
        </w:rPr>
        <w:t xml:space="preserve"> sitio web de ICCAT</w:t>
      </w:r>
      <w:r w:rsidR="0012645E">
        <w:rPr>
          <w:rStyle w:val="Hyperlink"/>
          <w:rFonts w:asciiTheme="majorHAnsi" w:hAnsiTheme="majorHAnsi"/>
          <w:u w:val="none"/>
        </w:rPr>
        <w:t>.</w:t>
      </w:r>
      <w:r>
        <w:rPr>
          <w:rFonts w:asciiTheme="majorHAnsi" w:hAnsiTheme="majorHAnsi"/>
        </w:rPr>
        <w:t xml:space="preserve"> </w:t>
      </w:r>
    </w:p>
    <w:p w14:paraId="1AFD0E89" w14:textId="77777777" w:rsidR="00B421D7" w:rsidRPr="00364A87" w:rsidRDefault="00B421D7" w:rsidP="00820485">
      <w:pPr>
        <w:tabs>
          <w:tab w:val="left" w:pos="1276"/>
          <w:tab w:val="left" w:pos="1418"/>
          <w:tab w:val="left" w:leader="dot" w:pos="8222"/>
          <w:tab w:val="right" w:pos="8647"/>
        </w:tabs>
        <w:ind w:firstLine="426"/>
        <w:rPr>
          <w:rFonts w:asciiTheme="majorHAnsi" w:hAnsiTheme="majorHAnsi"/>
          <w:b/>
        </w:rPr>
      </w:pPr>
    </w:p>
    <w:p w14:paraId="35098901" w14:textId="395B06E5" w:rsidR="0058307A" w:rsidRPr="00536AB6" w:rsidRDefault="003F475D" w:rsidP="00820485">
      <w:pPr>
        <w:tabs>
          <w:tab w:val="left" w:pos="1276"/>
          <w:tab w:val="left" w:pos="1418"/>
          <w:tab w:val="left" w:leader="dot" w:pos="8222"/>
          <w:tab w:val="right" w:pos="8647"/>
        </w:tabs>
        <w:jc w:val="both"/>
        <w:rPr>
          <w:rFonts w:asciiTheme="majorHAnsi" w:hAnsiTheme="majorHAnsi"/>
          <w:b/>
        </w:rPr>
      </w:pPr>
      <w:r>
        <w:rPr>
          <w:rFonts w:asciiTheme="majorHAnsi" w:hAnsiTheme="majorHAnsi"/>
          <w:b/>
          <w:i/>
        </w:rPr>
        <w:t xml:space="preserve">Agencias y buques de inspección </w:t>
      </w:r>
      <w:r>
        <w:rPr>
          <w:rFonts w:asciiTheme="majorHAnsi" w:hAnsiTheme="majorHAnsi"/>
        </w:rPr>
        <w:t xml:space="preserve">Se ha recibido información de Argelia, la Unión Europea, Túnez y Türkiye. La lista de agencias, medios e inspectores puede consultarse en el </w:t>
      </w:r>
      <w:r>
        <w:rPr>
          <w:rFonts w:asciiTheme="majorHAnsi" w:hAnsiTheme="majorHAnsi"/>
          <w:b/>
          <w:bCs/>
        </w:rPr>
        <w:t>anexo 3</w:t>
      </w:r>
      <w:r>
        <w:rPr>
          <w:rFonts w:asciiTheme="majorHAnsi" w:hAnsiTheme="majorHAnsi"/>
        </w:rPr>
        <w:t xml:space="preserve">. En el sitio web de ICCAT se ha publicado una lista de buques de inspección. En la </w:t>
      </w:r>
      <w:r>
        <w:rPr>
          <w:rFonts w:asciiTheme="majorHAnsi" w:hAnsiTheme="majorHAnsi"/>
          <w:b/>
          <w:bCs/>
        </w:rPr>
        <w:t xml:space="preserve">tabla 2 </w:t>
      </w:r>
      <w:r>
        <w:rPr>
          <w:rFonts w:asciiTheme="majorHAnsi" w:hAnsiTheme="majorHAnsi"/>
        </w:rPr>
        <w:t xml:space="preserve">se presenta un resumen de los informes de inspección recibidos. En el </w:t>
      </w:r>
      <w:r>
        <w:rPr>
          <w:rFonts w:asciiTheme="majorHAnsi" w:hAnsiTheme="majorHAnsi"/>
          <w:b/>
          <w:bCs/>
        </w:rPr>
        <w:t>apéndice 4</w:t>
      </w:r>
      <w:r>
        <w:rPr>
          <w:rFonts w:asciiTheme="majorHAnsi" w:hAnsiTheme="majorHAnsi"/>
        </w:rPr>
        <w:t xml:space="preserve"> se incluye un resumen de los informes con las infracciones, así como sus respuestas cuando están disponibles, y en el </w:t>
      </w:r>
      <w:r>
        <w:rPr>
          <w:rFonts w:asciiTheme="majorHAnsi" w:hAnsiTheme="majorHAnsi"/>
          <w:b/>
          <w:bCs/>
        </w:rPr>
        <w:t>anexo 2</w:t>
      </w:r>
      <w:r>
        <w:rPr>
          <w:rFonts w:asciiTheme="majorHAnsi" w:hAnsiTheme="majorHAnsi"/>
        </w:rPr>
        <w:t xml:space="preserve"> se incluyen copias de los informes con infracciones.</w:t>
      </w:r>
    </w:p>
    <w:p w14:paraId="5755B84C" w14:textId="77777777" w:rsidR="0073319D" w:rsidRPr="00364A87" w:rsidRDefault="0073319D" w:rsidP="00820485">
      <w:pPr>
        <w:tabs>
          <w:tab w:val="left" w:pos="1276"/>
          <w:tab w:val="left" w:pos="1418"/>
          <w:tab w:val="left" w:leader="dot" w:pos="8222"/>
          <w:tab w:val="right" w:pos="8647"/>
        </w:tabs>
        <w:jc w:val="both"/>
        <w:rPr>
          <w:rFonts w:asciiTheme="majorHAnsi" w:hAnsiTheme="majorHAnsi"/>
          <w:b/>
        </w:rPr>
      </w:pPr>
    </w:p>
    <w:p w14:paraId="7104EAEB" w14:textId="4023AA4C" w:rsidR="00FA5585" w:rsidRPr="00536AB6" w:rsidRDefault="0073319D" w:rsidP="00FA5585">
      <w:pPr>
        <w:pBdr>
          <w:top w:val="single" w:sz="4" w:space="1" w:color="auto"/>
          <w:left w:val="single" w:sz="4" w:space="4" w:color="auto"/>
          <w:bottom w:val="single" w:sz="4" w:space="1" w:color="auto"/>
          <w:right w:val="single" w:sz="4" w:space="4" w:color="auto"/>
        </w:pBdr>
        <w:jc w:val="both"/>
        <w:rPr>
          <w:rFonts w:asciiTheme="majorHAnsi" w:hAnsiTheme="majorHAnsi"/>
        </w:rPr>
      </w:pPr>
      <w:r>
        <w:rPr>
          <w:rFonts w:asciiTheme="majorHAnsi" w:hAnsiTheme="majorHAnsi"/>
          <w:b/>
        </w:rPr>
        <w:t>Solicitud de la Secretaría de ICCAT</w:t>
      </w:r>
      <w:r>
        <w:rPr>
          <w:rFonts w:asciiTheme="majorHAnsi" w:hAnsiTheme="majorHAnsi"/>
        </w:rPr>
        <w:t>:</w:t>
      </w:r>
    </w:p>
    <w:p w14:paraId="2DD73852" w14:textId="77777777" w:rsidR="00FA5585" w:rsidRPr="00364A87" w:rsidRDefault="00FA5585" w:rsidP="00FA5585">
      <w:pPr>
        <w:pBdr>
          <w:top w:val="single" w:sz="4" w:space="1" w:color="auto"/>
          <w:left w:val="single" w:sz="4" w:space="4" w:color="auto"/>
          <w:bottom w:val="single" w:sz="4" w:space="1" w:color="auto"/>
          <w:right w:val="single" w:sz="4" w:space="4" w:color="auto"/>
        </w:pBdr>
        <w:jc w:val="both"/>
        <w:rPr>
          <w:rFonts w:asciiTheme="majorHAnsi" w:hAnsiTheme="majorHAnsi"/>
        </w:rPr>
      </w:pPr>
    </w:p>
    <w:p w14:paraId="313C9101" w14:textId="58F6BF90" w:rsidR="00FA5585" w:rsidRPr="00536AB6" w:rsidRDefault="00FA5585" w:rsidP="00FA5585">
      <w:pPr>
        <w:pBdr>
          <w:top w:val="single" w:sz="4" w:space="1" w:color="auto"/>
          <w:left w:val="single" w:sz="4" w:space="4" w:color="auto"/>
          <w:bottom w:val="single" w:sz="4" w:space="1" w:color="auto"/>
          <w:right w:val="single" w:sz="4" w:space="4" w:color="auto"/>
        </w:pBdr>
        <w:jc w:val="both"/>
        <w:rPr>
          <w:rFonts w:asciiTheme="majorHAnsi" w:hAnsiTheme="majorHAnsi"/>
        </w:rPr>
      </w:pPr>
      <w:r w:rsidRPr="00981FFB">
        <w:rPr>
          <w:rFonts w:asciiTheme="majorHAnsi" w:hAnsiTheme="majorHAnsi"/>
        </w:rPr>
        <w:t>Tal y como se ha destacado en reuniones anteriores de la Comisión, los informes de inspección deben remitirse a la Secretaría lo antes posible tras cada inspección, evitando al mismo tiempo el envío de lotes muy voluminosos. Esto facilitaría enormemente la labor de la Secretaría a la hora de tramitar los informes de JIS. En el momento de elaborar este documento, aún quedaban pendientes de revisión casi 140 informes JIS debido a que se habían presentado en grandes lotes.</w:t>
      </w:r>
    </w:p>
    <w:p w14:paraId="526D0A94" w14:textId="77777777" w:rsidR="00FA5585" w:rsidRPr="00364A87" w:rsidRDefault="00FA5585" w:rsidP="00FA5585">
      <w:pPr>
        <w:pBdr>
          <w:top w:val="single" w:sz="4" w:space="1" w:color="auto"/>
          <w:left w:val="single" w:sz="4" w:space="4" w:color="auto"/>
          <w:bottom w:val="single" w:sz="4" w:space="1" w:color="auto"/>
          <w:right w:val="single" w:sz="4" w:space="4" w:color="auto"/>
        </w:pBdr>
        <w:jc w:val="both"/>
        <w:rPr>
          <w:rFonts w:asciiTheme="majorHAnsi" w:hAnsiTheme="majorHAnsi"/>
        </w:rPr>
      </w:pPr>
    </w:p>
    <w:p w14:paraId="0817FE20" w14:textId="1F42B935" w:rsidR="0073319D" w:rsidRPr="007A58C9" w:rsidRDefault="0073319D" w:rsidP="00FA5585">
      <w:pPr>
        <w:pBdr>
          <w:top w:val="single" w:sz="4" w:space="1" w:color="auto"/>
          <w:left w:val="single" w:sz="4" w:space="4" w:color="auto"/>
          <w:bottom w:val="single" w:sz="4" w:space="1" w:color="auto"/>
          <w:right w:val="single" w:sz="4" w:space="4" w:color="auto"/>
        </w:pBdr>
        <w:jc w:val="both"/>
        <w:rPr>
          <w:rFonts w:asciiTheme="majorHAnsi" w:hAnsiTheme="majorHAnsi"/>
        </w:rPr>
      </w:pPr>
      <w:r w:rsidRPr="007A58C9">
        <w:rPr>
          <w:rFonts w:asciiTheme="majorHAnsi" w:hAnsiTheme="majorHAnsi"/>
        </w:rPr>
        <w:t xml:space="preserve">De conformidad con el punto 12 del anexo 7 de la Rec. 25-04 y el punto 12 del anexo 1 de la Rec. 16-05 </w:t>
      </w:r>
      <w:r w:rsidRPr="007A58C9">
        <w:rPr>
          <w:rFonts w:asciiTheme="majorHAnsi" w:hAnsiTheme="majorHAnsi"/>
        </w:rPr>
        <w:lastRenderedPageBreak/>
        <w:t xml:space="preserve">(modificada por la Rec. 25-13), la Secretaría ha publicado en la </w:t>
      </w:r>
      <w:hyperlink r:id="rId12" w:history="1">
        <w:r w:rsidRPr="007A58C9">
          <w:rPr>
            <w:rStyle w:val="Hyperlink"/>
            <w:rFonts w:asciiTheme="majorHAnsi" w:hAnsiTheme="majorHAnsi"/>
            <w:u w:val="none"/>
          </w:rPr>
          <w:t>página web de ICCAT</w:t>
        </w:r>
      </w:hyperlink>
      <w:r w:rsidRPr="007A58C9">
        <w:rPr>
          <w:rFonts w:asciiTheme="majorHAnsi" w:hAnsiTheme="majorHAnsi"/>
        </w:rPr>
        <w:t>, bajo la sección sobre JIS de ICCAT, las medidas adoptadas en respuesta a los resultados de las inspecciones llevadas a cabo en el marco del Programa conjunto de inspección internacional (JIS) que han puesto de manifiesto presuntas infracciones.</w:t>
      </w:r>
    </w:p>
    <w:p w14:paraId="1B7CC9F9" w14:textId="77777777" w:rsidR="0073319D" w:rsidRPr="00364A87" w:rsidRDefault="0073319D" w:rsidP="0073319D">
      <w:pPr>
        <w:pBdr>
          <w:top w:val="single" w:sz="4" w:space="1" w:color="auto"/>
          <w:left w:val="single" w:sz="4" w:space="4" w:color="auto"/>
          <w:bottom w:val="single" w:sz="4" w:space="1" w:color="auto"/>
          <w:right w:val="single" w:sz="4" w:space="4" w:color="auto"/>
        </w:pBdr>
        <w:jc w:val="both"/>
        <w:rPr>
          <w:rFonts w:asciiTheme="majorHAnsi" w:hAnsiTheme="majorHAnsi"/>
        </w:rPr>
      </w:pPr>
    </w:p>
    <w:p w14:paraId="1D5D1FB7" w14:textId="72903C7E" w:rsidR="0073319D" w:rsidRPr="00536AB6" w:rsidRDefault="0073319D" w:rsidP="0073319D">
      <w:pPr>
        <w:pBdr>
          <w:top w:val="single" w:sz="4" w:space="1" w:color="auto"/>
          <w:left w:val="single" w:sz="4" w:space="4" w:color="auto"/>
          <w:bottom w:val="single" w:sz="4" w:space="1" w:color="auto"/>
          <w:right w:val="single" w:sz="4" w:space="4" w:color="auto"/>
        </w:pBdr>
        <w:jc w:val="both"/>
        <w:rPr>
          <w:rFonts w:asciiTheme="majorHAnsi" w:hAnsiTheme="majorHAnsi"/>
        </w:rPr>
      </w:pPr>
      <w:r>
        <w:rPr>
          <w:rFonts w:asciiTheme="majorHAnsi" w:hAnsiTheme="majorHAnsi"/>
        </w:rPr>
        <w:t xml:space="preserve">Dado que la Secretaría está elaborando actualmente el </w:t>
      </w:r>
      <w:r w:rsidR="007A58C9">
        <w:rPr>
          <w:rFonts w:asciiTheme="majorHAnsi" w:hAnsiTheme="majorHAnsi"/>
          <w:b/>
        </w:rPr>
        <w:t xml:space="preserve">apéndice </w:t>
      </w:r>
      <w:r>
        <w:rPr>
          <w:rFonts w:asciiTheme="majorHAnsi" w:hAnsiTheme="majorHAnsi"/>
          <w:b/>
        </w:rPr>
        <w:t>4</w:t>
      </w:r>
      <w:r>
        <w:rPr>
          <w:rFonts w:asciiTheme="majorHAnsi" w:hAnsiTheme="majorHAnsi"/>
        </w:rPr>
        <w:t xml:space="preserve"> de este mismo documento, en el que se recoge información prácticamente idéntica, solicitaremos al Comité de cumplimiento que aclare si la Secretaría debe seguir elaborando este apéndice en los próximos años o si la publicación actual en la página web podría sustituirlo.</w:t>
      </w:r>
    </w:p>
    <w:p w14:paraId="1896632F" w14:textId="77777777" w:rsidR="0073319D" w:rsidRPr="00364A87" w:rsidRDefault="0073319D" w:rsidP="0073319D">
      <w:pPr>
        <w:tabs>
          <w:tab w:val="left" w:pos="1276"/>
          <w:tab w:val="left" w:pos="1418"/>
          <w:tab w:val="left" w:leader="dot" w:pos="8222"/>
          <w:tab w:val="right" w:pos="8647"/>
        </w:tabs>
        <w:jc w:val="both"/>
        <w:rPr>
          <w:rFonts w:asciiTheme="majorHAnsi" w:hAnsiTheme="majorHAnsi"/>
          <w:b/>
          <w:i/>
        </w:rPr>
      </w:pPr>
    </w:p>
    <w:p w14:paraId="3CD53A2D" w14:textId="18D2381A" w:rsidR="004E2703" w:rsidRPr="00536AB6" w:rsidRDefault="004E2703" w:rsidP="00820485">
      <w:pPr>
        <w:tabs>
          <w:tab w:val="left" w:pos="1276"/>
          <w:tab w:val="left" w:pos="1418"/>
          <w:tab w:val="left" w:leader="dot" w:pos="8222"/>
          <w:tab w:val="right" w:pos="8647"/>
        </w:tabs>
        <w:jc w:val="both"/>
        <w:rPr>
          <w:rFonts w:asciiTheme="majorHAnsi" w:hAnsiTheme="majorHAnsi"/>
          <w:bCs/>
          <w:i/>
          <w:iCs/>
        </w:rPr>
      </w:pPr>
      <w:r>
        <w:rPr>
          <w:rFonts w:asciiTheme="majorHAnsi" w:hAnsiTheme="majorHAnsi"/>
          <w:i/>
        </w:rPr>
        <w:t>[Rec. 24-10]</w:t>
      </w:r>
      <w:r>
        <w:rPr>
          <w:rFonts w:asciiTheme="majorHAnsi" w:hAnsiTheme="majorHAnsi"/>
          <w:i/>
        </w:rPr>
        <w:tab/>
        <w:t>Recomendación de ICCAT sobre medidas de conservación y ordenación, incluido un procedimiento de ordenación, para el pez espada del Atlántico norte</w:t>
      </w:r>
    </w:p>
    <w:p w14:paraId="1E666A46" w14:textId="77777777" w:rsidR="00E136DE" w:rsidRPr="00364A87" w:rsidRDefault="00E136DE" w:rsidP="00820485">
      <w:pPr>
        <w:tabs>
          <w:tab w:val="left" w:pos="1276"/>
          <w:tab w:val="left" w:pos="1418"/>
          <w:tab w:val="left" w:leader="dot" w:pos="8222"/>
          <w:tab w:val="right" w:pos="8647"/>
        </w:tabs>
        <w:jc w:val="both"/>
        <w:rPr>
          <w:rFonts w:asciiTheme="majorHAnsi" w:hAnsiTheme="majorHAnsi"/>
          <w:bCs/>
          <w:i/>
          <w:iCs/>
        </w:rPr>
      </w:pPr>
    </w:p>
    <w:p w14:paraId="15D9C12B" w14:textId="0E1A10E4" w:rsidR="00E136DE" w:rsidRPr="00536AB6" w:rsidRDefault="00E136DE" w:rsidP="00E136DE">
      <w:pPr>
        <w:tabs>
          <w:tab w:val="left" w:pos="1276"/>
          <w:tab w:val="left" w:pos="1418"/>
          <w:tab w:val="left" w:leader="dot" w:pos="8222"/>
          <w:tab w:val="right" w:pos="8647"/>
        </w:tabs>
        <w:jc w:val="both"/>
        <w:rPr>
          <w:rFonts w:asciiTheme="majorHAnsi" w:hAnsiTheme="majorHAnsi"/>
          <w:i/>
        </w:rPr>
      </w:pPr>
      <w:r>
        <w:rPr>
          <w:rFonts w:asciiTheme="majorHAnsi" w:hAnsiTheme="majorHAnsi"/>
        </w:rPr>
        <w:t xml:space="preserve">(Sustituida por la </w:t>
      </w:r>
      <w:r>
        <w:rPr>
          <w:rFonts w:asciiTheme="majorHAnsi" w:hAnsiTheme="majorHAnsi"/>
          <w:i/>
        </w:rPr>
        <w:t>([Rec. 25-10] Recomendación de ICCAT que reemplaza la Recomendación 24-10 sobre medidas de conservación y ordenación, incluido un procedimiento de ordenación, para el pez espada del Atlántico norte</w:t>
      </w:r>
      <w:r>
        <w:rPr>
          <w:rFonts w:asciiTheme="majorHAnsi" w:hAnsiTheme="majorHAnsi"/>
        </w:rPr>
        <w:t>)</w:t>
      </w:r>
    </w:p>
    <w:p w14:paraId="6EFEFB4A" w14:textId="77777777" w:rsidR="00D26C9B" w:rsidRPr="00364A87" w:rsidRDefault="00D26C9B" w:rsidP="00820485">
      <w:pPr>
        <w:tabs>
          <w:tab w:val="left" w:pos="1276"/>
          <w:tab w:val="left" w:pos="1418"/>
          <w:tab w:val="left" w:leader="dot" w:pos="8222"/>
          <w:tab w:val="right" w:pos="8647"/>
        </w:tabs>
        <w:jc w:val="both"/>
        <w:rPr>
          <w:rFonts w:asciiTheme="majorHAnsi" w:hAnsiTheme="majorHAnsi"/>
          <w:i/>
        </w:rPr>
      </w:pPr>
    </w:p>
    <w:p w14:paraId="5DADCC76" w14:textId="5097EA20" w:rsidR="001C2499" w:rsidRPr="00536AB6" w:rsidRDefault="001C2499" w:rsidP="001C2499">
      <w:pPr>
        <w:tabs>
          <w:tab w:val="left" w:pos="1276"/>
          <w:tab w:val="left" w:pos="1418"/>
          <w:tab w:val="left" w:leader="dot" w:pos="8222"/>
          <w:tab w:val="right" w:pos="8647"/>
        </w:tabs>
        <w:jc w:val="both"/>
        <w:rPr>
          <w:rFonts w:asciiTheme="majorHAnsi" w:hAnsiTheme="majorHAnsi"/>
          <w:b/>
          <w:bCs/>
        </w:rPr>
      </w:pPr>
      <w:r>
        <w:rPr>
          <w:rFonts w:asciiTheme="majorHAnsi" w:hAnsiTheme="majorHAnsi"/>
          <w:b/>
          <w:i/>
        </w:rPr>
        <w:t xml:space="preserve">Planes de ordenación/desarrollo de la pesca de pez espada del norte: </w:t>
      </w:r>
      <w:r>
        <w:rPr>
          <w:rFonts w:asciiTheme="majorHAnsi" w:hAnsiTheme="majorHAnsi"/>
        </w:rPr>
        <w:t xml:space="preserve">Las versiones actualizadas recibidas figuran en el documento "Planes de ordenación, desarrollo o pesca para el pez espada del Atlántico norte" ” [PA4_801/2026]. Ya no es necesario volver a enviarlos si no ha habido cambios respecto al plan anterior. </w:t>
      </w:r>
    </w:p>
    <w:p w14:paraId="45E5AE77" w14:textId="77777777" w:rsidR="001C2499" w:rsidRPr="00364A87" w:rsidRDefault="001C2499" w:rsidP="00820485">
      <w:pPr>
        <w:tabs>
          <w:tab w:val="left" w:pos="1276"/>
          <w:tab w:val="left" w:pos="1418"/>
          <w:tab w:val="left" w:leader="dot" w:pos="8222"/>
          <w:tab w:val="right" w:pos="8647"/>
        </w:tabs>
        <w:jc w:val="both"/>
        <w:rPr>
          <w:rFonts w:asciiTheme="majorHAnsi" w:hAnsiTheme="majorHAnsi"/>
          <w:b/>
          <w:bCs/>
          <w:i/>
        </w:rPr>
      </w:pPr>
    </w:p>
    <w:p w14:paraId="7B2F6A90" w14:textId="7F291104" w:rsidR="0062071E" w:rsidRPr="00536AB6" w:rsidRDefault="0062071E" w:rsidP="00820485">
      <w:pPr>
        <w:tabs>
          <w:tab w:val="left" w:pos="1276"/>
          <w:tab w:val="left" w:pos="1418"/>
          <w:tab w:val="left" w:leader="dot" w:pos="8222"/>
          <w:tab w:val="right" w:pos="8647"/>
        </w:tabs>
        <w:jc w:val="both"/>
        <w:rPr>
          <w:rFonts w:asciiTheme="majorHAnsi" w:hAnsiTheme="majorHAnsi"/>
        </w:rPr>
      </w:pPr>
      <w:r>
        <w:rPr>
          <w:rFonts w:asciiTheme="majorHAnsi" w:hAnsiTheme="majorHAnsi"/>
          <w:b/>
          <w:bCs/>
          <w:i/>
          <w:iCs/>
        </w:rPr>
        <w:t>Cumplimiento de las cuotas/límites de captura:</w:t>
      </w:r>
      <w:r>
        <w:rPr>
          <w:rFonts w:asciiTheme="majorHAnsi" w:hAnsiTheme="majorHAnsi"/>
        </w:rPr>
        <w:t xml:space="preserve"> Véase el documento "Tablas de cumplimiento de 2025 recibidas en 2026" [COC_304/2026].</w:t>
      </w:r>
    </w:p>
    <w:p w14:paraId="6518008F" w14:textId="77777777" w:rsidR="00A83EF2" w:rsidRPr="00364A87" w:rsidRDefault="00A83EF2" w:rsidP="00820485">
      <w:pPr>
        <w:tabs>
          <w:tab w:val="left" w:pos="1276"/>
          <w:tab w:val="left" w:pos="1418"/>
          <w:tab w:val="left" w:leader="dot" w:pos="8222"/>
          <w:tab w:val="right" w:pos="8647"/>
        </w:tabs>
        <w:ind w:firstLine="426"/>
        <w:rPr>
          <w:rFonts w:asciiTheme="majorHAnsi" w:hAnsiTheme="majorHAnsi"/>
        </w:rPr>
      </w:pPr>
    </w:p>
    <w:p w14:paraId="64DA5DAA" w14:textId="4CCB7F04" w:rsidR="00B66141" w:rsidRPr="00536AB6" w:rsidRDefault="00233926" w:rsidP="00820485">
      <w:pPr>
        <w:tabs>
          <w:tab w:val="left" w:pos="1276"/>
          <w:tab w:val="left" w:pos="1418"/>
          <w:tab w:val="left" w:leader="dot" w:pos="8222"/>
          <w:tab w:val="right" w:pos="8647"/>
        </w:tabs>
        <w:jc w:val="both"/>
        <w:rPr>
          <w:rFonts w:asciiTheme="majorHAnsi" w:hAnsiTheme="majorHAnsi"/>
        </w:rPr>
      </w:pPr>
      <w:r>
        <w:rPr>
          <w:rFonts w:asciiTheme="majorHAnsi" w:hAnsiTheme="majorHAnsi"/>
        </w:rPr>
        <w:t>De conformidad con el párrafo 14 de la Rec. 24-10, las siguientes CPC han informado en sus informes anuales del límite máximo de captura fortuita a bordo de pez espada del norte:</w:t>
      </w:r>
    </w:p>
    <w:p w14:paraId="74688093" w14:textId="77777777" w:rsidR="00FD756E" w:rsidRPr="00364A87" w:rsidRDefault="00FD756E" w:rsidP="00820485">
      <w:pPr>
        <w:jc w:val="both"/>
        <w:rPr>
          <w:rFonts w:asciiTheme="majorHAnsi" w:hAnsiTheme="majorHAnsi" w:cs="Calibri"/>
          <w:color w:val="000000"/>
        </w:rPr>
      </w:pPr>
    </w:p>
    <w:tbl>
      <w:tblPr>
        <w:tblW w:w="5000" w:type="pct"/>
        <w:tblLook w:val="04A0" w:firstRow="1" w:lastRow="0" w:firstColumn="1" w:lastColumn="0" w:noHBand="0" w:noVBand="1"/>
      </w:tblPr>
      <w:tblGrid>
        <w:gridCol w:w="1550"/>
        <w:gridCol w:w="7505"/>
      </w:tblGrid>
      <w:tr w:rsidR="00FD756E" w:rsidRPr="00536AB6" w14:paraId="5DAE7ED8" w14:textId="77777777" w:rsidTr="00730878">
        <w:tc>
          <w:tcPr>
            <w:tcW w:w="856" w:type="pct"/>
            <w:tcBorders>
              <w:top w:val="single" w:sz="8" w:space="0" w:color="auto"/>
              <w:left w:val="single" w:sz="8" w:space="0" w:color="auto"/>
              <w:bottom w:val="single" w:sz="8" w:space="0" w:color="auto"/>
              <w:right w:val="single" w:sz="8" w:space="0" w:color="auto"/>
            </w:tcBorders>
            <w:noWrap/>
            <w:vAlign w:val="center"/>
            <w:hideMark/>
          </w:tcPr>
          <w:p w14:paraId="1F5EB3F2" w14:textId="77777777" w:rsidR="00FD756E" w:rsidRPr="00536AB6" w:rsidRDefault="00FD756E" w:rsidP="00FD756E">
            <w:pPr>
              <w:widowControl/>
              <w:autoSpaceDE/>
              <w:autoSpaceDN/>
              <w:adjustRightInd/>
              <w:jc w:val="center"/>
              <w:rPr>
                <w:rFonts w:asciiTheme="majorHAnsi" w:hAnsiTheme="majorHAnsi" w:cs="Calibri"/>
                <w:i/>
                <w:iCs/>
                <w:color w:val="000000"/>
              </w:rPr>
            </w:pPr>
            <w:r>
              <w:rPr>
                <w:rFonts w:asciiTheme="majorHAnsi" w:hAnsiTheme="majorHAnsi"/>
                <w:i/>
                <w:color w:val="000000"/>
              </w:rPr>
              <w:t>CPC</w:t>
            </w:r>
          </w:p>
        </w:tc>
        <w:tc>
          <w:tcPr>
            <w:tcW w:w="4144" w:type="pct"/>
            <w:tcBorders>
              <w:top w:val="single" w:sz="8" w:space="0" w:color="auto"/>
              <w:left w:val="nil"/>
              <w:bottom w:val="single" w:sz="8" w:space="0" w:color="auto"/>
              <w:right w:val="single" w:sz="8" w:space="0" w:color="auto"/>
            </w:tcBorders>
            <w:vAlign w:val="center"/>
            <w:hideMark/>
          </w:tcPr>
          <w:p w14:paraId="0F2A1D30" w14:textId="77777777" w:rsidR="00FD756E" w:rsidRPr="00536AB6" w:rsidRDefault="00FD756E" w:rsidP="00FD756E">
            <w:pPr>
              <w:widowControl/>
              <w:autoSpaceDE/>
              <w:autoSpaceDN/>
              <w:adjustRightInd/>
              <w:jc w:val="center"/>
              <w:rPr>
                <w:rFonts w:asciiTheme="majorHAnsi" w:hAnsiTheme="majorHAnsi" w:cs="Calibri"/>
                <w:i/>
                <w:iCs/>
                <w:color w:val="000000"/>
              </w:rPr>
            </w:pPr>
            <w:r>
              <w:rPr>
                <w:rFonts w:asciiTheme="majorHAnsi" w:hAnsiTheme="majorHAnsi"/>
                <w:i/>
                <w:color w:val="000000"/>
              </w:rPr>
              <w:t>Respuesta</w:t>
            </w:r>
          </w:p>
        </w:tc>
      </w:tr>
      <w:tr w:rsidR="00FD756E" w:rsidRPr="00063218" w14:paraId="69B0FEFE" w14:textId="77777777" w:rsidTr="00536AB6">
        <w:tc>
          <w:tcPr>
            <w:tcW w:w="856" w:type="pct"/>
            <w:tcBorders>
              <w:top w:val="nil"/>
              <w:left w:val="single" w:sz="8" w:space="0" w:color="auto"/>
              <w:bottom w:val="single" w:sz="4" w:space="0" w:color="auto"/>
              <w:right w:val="single" w:sz="8" w:space="0" w:color="auto"/>
            </w:tcBorders>
            <w:noWrap/>
            <w:vAlign w:val="center"/>
            <w:hideMark/>
          </w:tcPr>
          <w:p w14:paraId="0A451E75" w14:textId="521153D0" w:rsidR="00FD756E" w:rsidRPr="008B3BA5" w:rsidRDefault="00511B40" w:rsidP="00FD756E">
            <w:pPr>
              <w:widowControl/>
              <w:autoSpaceDE/>
              <w:autoSpaceDN/>
              <w:adjustRightInd/>
              <w:rPr>
                <w:rFonts w:asciiTheme="majorHAnsi" w:hAnsiTheme="majorHAnsi" w:cs="Calibri"/>
                <w:color w:val="000000"/>
              </w:rPr>
            </w:pPr>
            <w:r w:rsidRPr="008B3BA5">
              <w:rPr>
                <w:rFonts w:asciiTheme="majorHAnsi" w:hAnsiTheme="majorHAnsi"/>
                <w:color w:val="000000"/>
              </w:rPr>
              <w:t>Belice</w:t>
            </w:r>
          </w:p>
        </w:tc>
        <w:tc>
          <w:tcPr>
            <w:tcW w:w="4144" w:type="pct"/>
            <w:tcBorders>
              <w:top w:val="nil"/>
              <w:left w:val="nil"/>
              <w:bottom w:val="single" w:sz="4" w:space="0" w:color="auto"/>
              <w:right w:val="single" w:sz="8" w:space="0" w:color="auto"/>
            </w:tcBorders>
            <w:vAlign w:val="center"/>
            <w:hideMark/>
          </w:tcPr>
          <w:p w14:paraId="18AE16E5" w14:textId="0A62CAAE" w:rsidR="00536AB6" w:rsidRPr="008B3BA5" w:rsidRDefault="00DB630B" w:rsidP="009A5C26">
            <w:pPr>
              <w:widowControl/>
              <w:autoSpaceDE/>
              <w:autoSpaceDN/>
              <w:adjustRightInd/>
              <w:jc w:val="both"/>
              <w:rPr>
                <w:rFonts w:asciiTheme="majorHAnsi" w:hAnsiTheme="majorHAnsi" w:cs="Calibri"/>
                <w:color w:val="000000"/>
                <w:lang w:eastAsia="en-GB"/>
              </w:rPr>
            </w:pPr>
            <w:r w:rsidRPr="008B3BA5">
              <w:rPr>
                <w:rFonts w:asciiTheme="majorHAnsi" w:hAnsiTheme="majorHAnsi"/>
                <w:color w:val="000000"/>
              </w:rPr>
              <w:t xml:space="preserve">Belice ha establecido un límite captura fortuita a bordo para todas las especies, incluido el pez espada del norte. El límite de captura fortuita establecido para los buques no autorizados a pescar esta especie exclusivamente es de </w:t>
            </w:r>
            <w:r w:rsidR="008B3BA5">
              <w:rPr>
                <w:rFonts w:asciiTheme="majorHAnsi" w:hAnsiTheme="majorHAnsi"/>
                <w:color w:val="000000"/>
              </w:rPr>
              <w:t>10 t</w:t>
            </w:r>
            <w:r w:rsidRPr="008B3BA5">
              <w:rPr>
                <w:rFonts w:asciiTheme="majorHAnsi" w:hAnsiTheme="majorHAnsi"/>
                <w:color w:val="000000"/>
              </w:rPr>
              <w:t>. Esta cantidad se descuenta de la asignación de cuota total de Belice. Sin embargo, ningún buque nos ha informado de que se haya capturado pez espada del sur de forma fortuita.</w:t>
            </w:r>
          </w:p>
        </w:tc>
      </w:tr>
      <w:tr w:rsidR="00FD756E" w:rsidRPr="002E71D2" w14:paraId="460D8701" w14:textId="77777777" w:rsidTr="00536AB6">
        <w:tc>
          <w:tcPr>
            <w:tcW w:w="856" w:type="pct"/>
            <w:tcBorders>
              <w:top w:val="single" w:sz="4" w:space="0" w:color="auto"/>
              <w:left w:val="single" w:sz="8" w:space="0" w:color="auto"/>
              <w:bottom w:val="single" w:sz="8" w:space="0" w:color="auto"/>
              <w:right w:val="single" w:sz="8" w:space="0" w:color="auto"/>
            </w:tcBorders>
            <w:noWrap/>
            <w:vAlign w:val="center"/>
            <w:hideMark/>
          </w:tcPr>
          <w:p w14:paraId="46335221" w14:textId="2B430B60" w:rsidR="00FD756E" w:rsidRPr="00536AB6" w:rsidRDefault="00511B40" w:rsidP="00FD756E">
            <w:pPr>
              <w:widowControl/>
              <w:autoSpaceDE/>
              <w:autoSpaceDN/>
              <w:adjustRightInd/>
              <w:rPr>
                <w:rFonts w:asciiTheme="majorHAnsi" w:hAnsiTheme="majorHAnsi" w:cs="Calibri"/>
                <w:color w:val="000000"/>
              </w:rPr>
            </w:pPr>
            <w:r>
              <w:rPr>
                <w:rFonts w:asciiTheme="majorHAnsi" w:hAnsiTheme="majorHAnsi"/>
                <w:color w:val="000000"/>
              </w:rPr>
              <w:t>China</w:t>
            </w:r>
          </w:p>
        </w:tc>
        <w:tc>
          <w:tcPr>
            <w:tcW w:w="4144" w:type="pct"/>
            <w:tcBorders>
              <w:top w:val="single" w:sz="4" w:space="0" w:color="auto"/>
              <w:left w:val="nil"/>
              <w:bottom w:val="single" w:sz="8" w:space="0" w:color="auto"/>
              <w:right w:val="single" w:sz="8" w:space="0" w:color="auto"/>
            </w:tcBorders>
            <w:vAlign w:val="center"/>
            <w:hideMark/>
          </w:tcPr>
          <w:p w14:paraId="39E29F7E" w14:textId="54876BFE" w:rsidR="00FD756E" w:rsidRPr="002E71D2" w:rsidRDefault="00DB630B" w:rsidP="00FD756E">
            <w:pPr>
              <w:widowControl/>
              <w:autoSpaceDE/>
              <w:autoSpaceDN/>
              <w:adjustRightInd/>
              <w:jc w:val="both"/>
              <w:rPr>
                <w:rFonts w:asciiTheme="majorHAnsi" w:hAnsiTheme="majorHAnsi" w:cs="Calibri"/>
                <w:color w:val="000000"/>
              </w:rPr>
            </w:pPr>
            <w:r w:rsidRPr="002E71D2">
              <w:rPr>
                <w:rFonts w:asciiTheme="majorHAnsi" w:hAnsiTheme="majorHAnsi"/>
                <w:color w:val="000000"/>
              </w:rPr>
              <w:t>China no tiene buques que pesquen pez espada del norte ni pez espada del sur, todos los peces espada se capturan de forma fortuita y todos los palangreros tropicales pueden capturar peces espada de forma fortuita. En 2025, China disponía de 121 t de cuota de pez espada del norte y 344,3 t de pez espada del sur. China estableció un límite de capturas de pez espada del norte y pez espada del sur para cada palangrero basado en el TAC asignado a China según las Recomendaciones para el pez espada del norte y para el pez espada del sur.</w:t>
            </w:r>
            <w:r w:rsidR="00654C90" w:rsidRPr="002E71D2">
              <w:rPr>
                <w:rFonts w:asciiTheme="majorHAnsi" w:hAnsiTheme="majorHAnsi"/>
                <w:color w:val="000000"/>
              </w:rPr>
              <w:t xml:space="preserve"> E</w:t>
            </w:r>
            <w:r w:rsidR="002E71D2" w:rsidRPr="002E71D2">
              <w:t xml:space="preserve"> </w:t>
            </w:r>
            <w:r w:rsidR="002E71D2" w:rsidRPr="002E71D2">
              <w:rPr>
                <w:rFonts w:asciiTheme="majorHAnsi" w:hAnsiTheme="majorHAnsi"/>
                <w:color w:val="000000"/>
              </w:rPr>
              <w:t>Cada buque debe respetar estrictamente el límite de capturas que se le haya fijado.</w:t>
            </w:r>
          </w:p>
        </w:tc>
      </w:tr>
      <w:tr w:rsidR="00FD756E" w:rsidRPr="00893774" w14:paraId="36A90707" w14:textId="77777777" w:rsidTr="006D1DE6">
        <w:tc>
          <w:tcPr>
            <w:tcW w:w="856" w:type="pct"/>
            <w:tcBorders>
              <w:top w:val="nil"/>
              <w:left w:val="single" w:sz="8" w:space="0" w:color="auto"/>
              <w:bottom w:val="single" w:sz="4" w:space="0" w:color="auto"/>
              <w:right w:val="single" w:sz="8" w:space="0" w:color="auto"/>
            </w:tcBorders>
            <w:noWrap/>
            <w:vAlign w:val="center"/>
            <w:hideMark/>
          </w:tcPr>
          <w:p w14:paraId="7FC81133" w14:textId="7E3FA3F1" w:rsidR="00FD756E" w:rsidRPr="00ED2ACB" w:rsidRDefault="00511B40" w:rsidP="00FD756E">
            <w:pPr>
              <w:widowControl/>
              <w:autoSpaceDE/>
              <w:autoSpaceDN/>
              <w:adjustRightInd/>
              <w:rPr>
                <w:rFonts w:asciiTheme="majorHAnsi" w:hAnsiTheme="majorHAnsi" w:cs="Calibri"/>
                <w:color w:val="000000"/>
              </w:rPr>
            </w:pPr>
            <w:r w:rsidRPr="00ED2ACB">
              <w:rPr>
                <w:rFonts w:asciiTheme="majorHAnsi" w:hAnsiTheme="majorHAnsi"/>
                <w:color w:val="000000"/>
              </w:rPr>
              <w:t>Curazao</w:t>
            </w:r>
          </w:p>
        </w:tc>
        <w:tc>
          <w:tcPr>
            <w:tcW w:w="4144" w:type="pct"/>
            <w:tcBorders>
              <w:top w:val="nil"/>
              <w:left w:val="nil"/>
              <w:bottom w:val="single" w:sz="4" w:space="0" w:color="auto"/>
              <w:right w:val="single" w:sz="8" w:space="0" w:color="auto"/>
            </w:tcBorders>
            <w:vAlign w:val="center"/>
            <w:hideMark/>
          </w:tcPr>
          <w:p w14:paraId="3948BDE0" w14:textId="37B64938" w:rsidR="00FD756E" w:rsidRPr="00ED2ACB" w:rsidRDefault="00DB630B" w:rsidP="00FD756E">
            <w:pPr>
              <w:widowControl/>
              <w:autoSpaceDE/>
              <w:autoSpaceDN/>
              <w:adjustRightInd/>
              <w:jc w:val="both"/>
              <w:rPr>
                <w:rFonts w:asciiTheme="majorHAnsi" w:hAnsiTheme="majorHAnsi"/>
              </w:rPr>
            </w:pPr>
            <w:r w:rsidRPr="00ED2ACB">
              <w:rPr>
                <w:rFonts w:asciiTheme="majorHAnsi" w:hAnsiTheme="majorHAnsi"/>
              </w:rPr>
              <w:t>En el caso de las actividades pesqueras, Curazao llegó a un acuerdo con los buques en cuanto a un límite máximo de 10 t de captura fortuita. En este caso, no hubo actividades pesqueras durante 2025.</w:t>
            </w:r>
          </w:p>
        </w:tc>
      </w:tr>
      <w:tr w:rsidR="009A56D8" w:rsidRPr="00063218" w14:paraId="4C82AD54" w14:textId="77777777" w:rsidTr="006D1FBF">
        <w:tc>
          <w:tcPr>
            <w:tcW w:w="856" w:type="pct"/>
            <w:tcBorders>
              <w:top w:val="nil"/>
              <w:left w:val="single" w:sz="8" w:space="0" w:color="auto"/>
              <w:bottom w:val="single" w:sz="4" w:space="0" w:color="auto"/>
              <w:right w:val="single" w:sz="8" w:space="0" w:color="auto"/>
            </w:tcBorders>
            <w:noWrap/>
          </w:tcPr>
          <w:p w14:paraId="1BE3E8D2" w14:textId="2C4B3E6D" w:rsidR="009A56D8" w:rsidRPr="00ED2ACB" w:rsidRDefault="009A56D8" w:rsidP="009A56D8">
            <w:pPr>
              <w:widowControl/>
              <w:autoSpaceDE/>
              <w:autoSpaceDN/>
              <w:adjustRightInd/>
              <w:rPr>
                <w:rFonts w:asciiTheme="majorHAnsi" w:hAnsiTheme="majorHAnsi"/>
                <w:color w:val="000000"/>
              </w:rPr>
            </w:pPr>
            <w:r w:rsidRPr="00ED2ACB">
              <w:rPr>
                <w:rFonts w:asciiTheme="majorHAnsi" w:hAnsiTheme="majorHAnsi"/>
              </w:rPr>
              <w:t>Unión Europea</w:t>
            </w:r>
          </w:p>
        </w:tc>
        <w:tc>
          <w:tcPr>
            <w:tcW w:w="4144" w:type="pct"/>
            <w:tcBorders>
              <w:top w:val="nil"/>
              <w:left w:val="nil"/>
              <w:bottom w:val="single" w:sz="4" w:space="0" w:color="auto"/>
              <w:right w:val="single" w:sz="8" w:space="0" w:color="auto"/>
            </w:tcBorders>
          </w:tcPr>
          <w:p w14:paraId="11678C6B" w14:textId="189A3AB2" w:rsidR="009A56D8" w:rsidRPr="00ED2ACB" w:rsidRDefault="009A56D8" w:rsidP="009A56D8">
            <w:pPr>
              <w:widowControl/>
              <w:autoSpaceDE/>
              <w:autoSpaceDN/>
              <w:adjustRightInd/>
              <w:jc w:val="both"/>
              <w:rPr>
                <w:rFonts w:asciiTheme="majorHAnsi" w:hAnsiTheme="majorHAnsi"/>
              </w:rPr>
            </w:pPr>
            <w:r w:rsidRPr="00ED2ACB">
              <w:rPr>
                <w:rFonts w:asciiTheme="majorHAnsi" w:hAnsiTheme="majorHAnsi"/>
              </w:rPr>
              <w:t>En la Sección 2 de su Informe anual se incluye información adicional.</w:t>
            </w:r>
          </w:p>
        </w:tc>
      </w:tr>
      <w:tr w:rsidR="00B05F2B" w:rsidRPr="00063218" w14:paraId="782374FC" w14:textId="77777777" w:rsidTr="006D1DE6">
        <w:trPr>
          <w:trHeight w:val="75"/>
        </w:trPr>
        <w:tc>
          <w:tcPr>
            <w:tcW w:w="856" w:type="pct"/>
            <w:tcBorders>
              <w:top w:val="single" w:sz="4" w:space="0" w:color="auto"/>
              <w:left w:val="single" w:sz="4" w:space="0" w:color="auto"/>
              <w:bottom w:val="single" w:sz="4" w:space="0" w:color="auto"/>
              <w:right w:val="single" w:sz="4" w:space="0" w:color="auto"/>
            </w:tcBorders>
            <w:noWrap/>
            <w:vAlign w:val="center"/>
            <w:hideMark/>
          </w:tcPr>
          <w:p w14:paraId="0D7F6A6B" w14:textId="5077D6C3" w:rsidR="00B05F2B" w:rsidRPr="00ED2ACB" w:rsidRDefault="00C50DA4" w:rsidP="00FD756E">
            <w:pPr>
              <w:widowControl/>
              <w:autoSpaceDE/>
              <w:autoSpaceDN/>
              <w:adjustRightInd/>
              <w:rPr>
                <w:rFonts w:asciiTheme="majorHAnsi" w:hAnsiTheme="majorHAnsi" w:cs="Calibri"/>
                <w:color w:val="000000"/>
              </w:rPr>
            </w:pPr>
            <w:r w:rsidRPr="00ED2ACB">
              <w:rPr>
                <w:rFonts w:asciiTheme="majorHAnsi" w:hAnsiTheme="majorHAnsi"/>
                <w:color w:val="000000"/>
              </w:rPr>
              <w:t>Reino Unido</w:t>
            </w:r>
          </w:p>
        </w:tc>
        <w:tc>
          <w:tcPr>
            <w:tcW w:w="4144" w:type="pct"/>
            <w:tcBorders>
              <w:top w:val="single" w:sz="4" w:space="0" w:color="auto"/>
              <w:left w:val="single" w:sz="4" w:space="0" w:color="auto"/>
              <w:bottom w:val="single" w:sz="4" w:space="0" w:color="auto"/>
              <w:right w:val="single" w:sz="4" w:space="0" w:color="auto"/>
            </w:tcBorders>
            <w:vAlign w:val="center"/>
            <w:hideMark/>
          </w:tcPr>
          <w:p w14:paraId="6C223A4C" w14:textId="6CA56307" w:rsidR="00B05F2B" w:rsidRPr="00ED2ACB" w:rsidRDefault="00C50DA4" w:rsidP="006D1DE6">
            <w:pPr>
              <w:jc w:val="both"/>
              <w:rPr>
                <w:rFonts w:asciiTheme="majorHAnsi" w:hAnsiTheme="majorHAnsi" w:cs="Calibri"/>
                <w:color w:val="000000"/>
              </w:rPr>
            </w:pPr>
            <w:r w:rsidRPr="00ED2ACB">
              <w:rPr>
                <w:rFonts w:asciiTheme="majorHAnsi" w:hAnsiTheme="majorHAnsi"/>
                <w:color w:val="000000"/>
              </w:rPr>
              <w:t xml:space="preserve">En 2025, los Territorios Británicos de Ultramar no contaban con buques de más de 20 m en la zona del stock. En 2025, los buques del Reino Unido de más de 20 m de eslora capturaron SWO-N de forma fortuita, por lo que se acordó y se estableció un límite máximo de captura fortuita a bordo para el SWO-N. Para completar la información, todos los buques del Reino Unido </w:t>
            </w:r>
            <w:r w:rsidR="002E71D2" w:rsidRPr="00ED2ACB">
              <w:rPr>
                <w:rFonts w:asciiTheme="majorHAnsi" w:hAnsiTheme="majorHAnsi"/>
                <w:color w:val="000000"/>
              </w:rPr>
              <w:t>metropolitano</w:t>
            </w:r>
            <w:r w:rsidRPr="00ED2ACB">
              <w:rPr>
                <w:rFonts w:asciiTheme="majorHAnsi" w:hAnsiTheme="majorHAnsi"/>
                <w:color w:val="000000"/>
              </w:rPr>
              <w:t xml:space="preserve"> pueden ahora, en 2026, retener un máximo de dos (2) ejemplares de</w:t>
            </w:r>
            <w:r w:rsidR="002E71D2" w:rsidRPr="00ED2ACB">
              <w:rPr>
                <w:rFonts w:asciiTheme="majorHAnsi" w:hAnsiTheme="majorHAnsi"/>
                <w:color w:val="000000"/>
              </w:rPr>
              <w:t xml:space="preserve">l stock </w:t>
            </w:r>
            <w:r w:rsidRPr="00ED2ACB">
              <w:rPr>
                <w:rFonts w:asciiTheme="majorHAnsi" w:hAnsiTheme="majorHAnsi"/>
                <w:color w:val="000000"/>
              </w:rPr>
              <w:t>SWO-N durante cualquier marea de pesca.</w:t>
            </w:r>
          </w:p>
        </w:tc>
      </w:tr>
    </w:tbl>
    <w:p w14:paraId="4CDDC0A4" w14:textId="77777777" w:rsidR="00D30794" w:rsidRPr="00364A87" w:rsidRDefault="00D30794" w:rsidP="00820485">
      <w:pPr>
        <w:jc w:val="both"/>
        <w:rPr>
          <w:rFonts w:asciiTheme="majorHAnsi" w:hAnsiTheme="majorHAnsi" w:cs="Calibri"/>
          <w:color w:val="000000"/>
        </w:rPr>
      </w:pPr>
    </w:p>
    <w:p w14:paraId="7E60B700" w14:textId="7E95C5F8" w:rsidR="005C222D" w:rsidRPr="00536AB6" w:rsidRDefault="008F44BD" w:rsidP="006D1DE6">
      <w:pPr>
        <w:tabs>
          <w:tab w:val="left" w:pos="1276"/>
          <w:tab w:val="left" w:pos="1418"/>
          <w:tab w:val="left" w:leader="dot" w:pos="8222"/>
          <w:tab w:val="right" w:pos="8647"/>
        </w:tabs>
        <w:jc w:val="both"/>
        <w:rPr>
          <w:rFonts w:asciiTheme="majorHAnsi" w:hAnsiTheme="majorHAnsi"/>
          <w:b/>
        </w:rPr>
      </w:pPr>
      <w:r>
        <w:rPr>
          <w:rFonts w:asciiTheme="majorHAnsi" w:hAnsiTheme="majorHAnsi"/>
          <w:color w:val="000000"/>
        </w:rPr>
        <w:t xml:space="preserve">Cabe señalar que lo anterior solo muestra las CPC que han indicado que se ha establecido un límite. En muchos casos, no se ha establecido un límite porque todos los buques pertinentes cuentan con licencia y/o porque no se permite la captura fortuita. </w:t>
      </w:r>
      <w:bookmarkStart w:id="1" w:name="_Hlk148612685"/>
      <w:r>
        <w:rPr>
          <w:rFonts w:asciiTheme="majorHAnsi" w:hAnsiTheme="majorHAnsi"/>
          <w:color w:val="000000"/>
        </w:rPr>
        <w:t>Sin embargo, algunas de las respuestas sobre los límites máximos de captura fortuita no son coherentes, ya que las CPC no han leído o comprendido el requisito. En varios casos, se han mezclado las especies o se han dado respuestas totalmente irrelevantes (por ejemplo, que no hay pesquería dirigida a esta especie o que no hay buques con pabellón de XX que pesquen esta especie).</w:t>
      </w:r>
    </w:p>
    <w:bookmarkEnd w:id="1"/>
    <w:p w14:paraId="588C560F" w14:textId="77777777" w:rsidR="00A83EF2" w:rsidRPr="00364A87" w:rsidRDefault="00A83EF2" w:rsidP="00820485">
      <w:pPr>
        <w:tabs>
          <w:tab w:val="left" w:pos="1276"/>
          <w:tab w:val="left" w:pos="1418"/>
          <w:tab w:val="left" w:leader="dot" w:pos="8222"/>
          <w:tab w:val="right" w:pos="8647"/>
        </w:tabs>
        <w:ind w:firstLine="426"/>
        <w:jc w:val="both"/>
        <w:rPr>
          <w:rFonts w:asciiTheme="majorHAnsi" w:hAnsiTheme="majorHAnsi"/>
          <w:b/>
          <w:bCs/>
          <w:i/>
          <w:iCs/>
        </w:rPr>
      </w:pPr>
    </w:p>
    <w:p w14:paraId="1ACE4FA6" w14:textId="5A73C483" w:rsidR="00304B87" w:rsidRPr="00536AB6" w:rsidRDefault="00210F2C" w:rsidP="00820485">
      <w:pPr>
        <w:tabs>
          <w:tab w:val="left" w:pos="1276"/>
          <w:tab w:val="left" w:pos="1418"/>
          <w:tab w:val="left" w:leader="dot" w:pos="8222"/>
          <w:tab w:val="right" w:pos="8647"/>
        </w:tabs>
        <w:jc w:val="both"/>
        <w:rPr>
          <w:rFonts w:asciiTheme="majorHAnsi" w:hAnsiTheme="majorHAnsi"/>
          <w:bCs/>
        </w:rPr>
      </w:pPr>
      <w:r>
        <w:rPr>
          <w:rFonts w:asciiTheme="majorHAnsi" w:hAnsiTheme="majorHAnsi"/>
          <w:b/>
          <w:i/>
          <w:iCs/>
        </w:rPr>
        <w:t>Autorización específica para buques de pez espada del norte</w:t>
      </w:r>
      <w:r>
        <w:rPr>
          <w:rFonts w:asciiTheme="majorHAnsi" w:hAnsiTheme="majorHAnsi"/>
          <w:b/>
        </w:rPr>
        <w:t xml:space="preserve"> </w:t>
      </w:r>
      <w:r>
        <w:t xml:space="preserve">Los buques de 20 m o más con autorizaciones específicas para el pez espada del norte pueden consultarse en el </w:t>
      </w:r>
      <w:hyperlink r:id="rId13" w:history="1">
        <w:r>
          <w:rPr>
            <w:rStyle w:val="Hyperlink"/>
            <w:rFonts w:asciiTheme="majorHAnsi" w:hAnsiTheme="majorHAnsi"/>
            <w:u w:val="none"/>
          </w:rPr>
          <w:t>Registro ICCAT de buques</w:t>
        </w:r>
      </w:hyperlink>
      <w:r>
        <w:t>.</w:t>
      </w:r>
    </w:p>
    <w:p w14:paraId="68A9F764" w14:textId="77777777" w:rsidR="004078B1" w:rsidRPr="00364A87" w:rsidRDefault="004078B1" w:rsidP="00820485">
      <w:pPr>
        <w:tabs>
          <w:tab w:val="left" w:pos="1276"/>
          <w:tab w:val="left" w:pos="1418"/>
          <w:tab w:val="left" w:leader="dot" w:pos="8222"/>
          <w:tab w:val="right" w:pos="8647"/>
        </w:tabs>
        <w:jc w:val="both"/>
        <w:rPr>
          <w:rFonts w:asciiTheme="majorHAnsi" w:hAnsiTheme="majorHAnsi"/>
          <w:bCs/>
        </w:rPr>
      </w:pPr>
    </w:p>
    <w:p w14:paraId="5A708720" w14:textId="5BF81080" w:rsidR="00304B87" w:rsidRPr="00536AB6" w:rsidRDefault="00274C6B" w:rsidP="00820485">
      <w:pPr>
        <w:tabs>
          <w:tab w:val="left" w:pos="1276"/>
          <w:tab w:val="left" w:pos="1418"/>
          <w:tab w:val="left" w:leader="dot" w:pos="8222"/>
          <w:tab w:val="right" w:pos="8647"/>
        </w:tabs>
        <w:jc w:val="both"/>
        <w:rPr>
          <w:rFonts w:asciiTheme="majorHAnsi" w:hAnsiTheme="majorHAnsi"/>
        </w:rPr>
      </w:pPr>
      <w:r>
        <w:rPr>
          <w:rFonts w:asciiTheme="majorHAnsi" w:hAnsiTheme="majorHAnsi"/>
        </w:rPr>
        <w:t>Siete CPC con cuota actualmente no tienen buques (de 20 m o más) inscritos en el Registro ICCAT de buques autorizados a capturar pez espada del norte:  Barbados, Costa Rica, Francia (San Pedro y Miquelón), México, San Vicente y las Granadinas, Reino Unido y Venezuela.</w:t>
      </w:r>
    </w:p>
    <w:p w14:paraId="29FCCB71" w14:textId="77777777" w:rsidR="00210F2C" w:rsidRPr="00364A87" w:rsidRDefault="00210F2C" w:rsidP="00820485">
      <w:pPr>
        <w:tabs>
          <w:tab w:val="left" w:pos="1276"/>
          <w:tab w:val="left" w:pos="1418"/>
          <w:tab w:val="left" w:leader="dot" w:pos="8222"/>
          <w:tab w:val="right" w:pos="8647"/>
        </w:tabs>
        <w:ind w:firstLine="426"/>
        <w:rPr>
          <w:rFonts w:asciiTheme="majorHAnsi" w:hAnsiTheme="majorHAnsi"/>
        </w:rPr>
      </w:pPr>
    </w:p>
    <w:p w14:paraId="037621D4" w14:textId="35E00FC9" w:rsidR="00501981" w:rsidRPr="00536AB6" w:rsidRDefault="003E0403" w:rsidP="00820485">
      <w:pPr>
        <w:tabs>
          <w:tab w:val="left" w:pos="1276"/>
          <w:tab w:val="left" w:pos="1418"/>
          <w:tab w:val="left" w:leader="dot" w:pos="8222"/>
          <w:tab w:val="right" w:pos="8647"/>
        </w:tabs>
        <w:jc w:val="both"/>
        <w:rPr>
          <w:rFonts w:asciiTheme="majorHAnsi" w:hAnsiTheme="majorHAnsi"/>
          <w:i/>
        </w:rPr>
      </w:pPr>
      <w:r>
        <w:rPr>
          <w:rFonts w:asciiTheme="majorHAnsi" w:hAnsiTheme="majorHAnsi"/>
        </w:rPr>
        <w:t xml:space="preserve">[Rec. 17-03] </w:t>
      </w:r>
      <w:r>
        <w:rPr>
          <w:rFonts w:asciiTheme="majorHAnsi" w:hAnsiTheme="majorHAnsi"/>
          <w:i/>
          <w:iCs/>
        </w:rPr>
        <w:t>Recomendación de ICCAT que enmienda la Recomendación 16-04 sobre la conservación del pez espada del Atlántico sur</w:t>
      </w:r>
      <w:r>
        <w:rPr>
          <w:rFonts w:asciiTheme="majorHAnsi" w:hAnsiTheme="majorHAnsi"/>
        </w:rPr>
        <w:t xml:space="preserve">, enmendada por la [Rec. 22-04] </w:t>
      </w:r>
      <w:r>
        <w:rPr>
          <w:rFonts w:asciiTheme="majorHAnsi" w:hAnsiTheme="majorHAnsi"/>
          <w:i/>
          <w:iCs/>
        </w:rPr>
        <w:t>Recomendación de ICCAT que reemplaza la Recomendación suplementaria 21-03 que prorroga y enmienda la Recomendación 17-03 para la conservación del pez espada del Atlántico sur</w:t>
      </w:r>
    </w:p>
    <w:p w14:paraId="4C5400E3" w14:textId="77777777" w:rsidR="00F6337D" w:rsidRPr="00364A87" w:rsidRDefault="00F6337D" w:rsidP="00820485">
      <w:pPr>
        <w:tabs>
          <w:tab w:val="left" w:pos="1276"/>
          <w:tab w:val="left" w:pos="1418"/>
          <w:tab w:val="left" w:leader="dot" w:pos="8222"/>
          <w:tab w:val="right" w:pos="8647"/>
        </w:tabs>
        <w:jc w:val="both"/>
        <w:rPr>
          <w:rFonts w:asciiTheme="majorHAnsi" w:hAnsiTheme="majorHAnsi"/>
          <w:i/>
        </w:rPr>
      </w:pPr>
    </w:p>
    <w:p w14:paraId="625E0A22" w14:textId="2AB3ABE6" w:rsidR="000F0D6D" w:rsidRPr="00536AB6" w:rsidRDefault="000F0D6D" w:rsidP="000F0D6D">
      <w:pPr>
        <w:tabs>
          <w:tab w:val="left" w:pos="1276"/>
          <w:tab w:val="left" w:pos="1418"/>
          <w:tab w:val="left" w:leader="dot" w:pos="8222"/>
          <w:tab w:val="right" w:pos="8647"/>
        </w:tabs>
        <w:jc w:val="both"/>
        <w:rPr>
          <w:rFonts w:asciiTheme="majorHAnsi" w:hAnsiTheme="majorHAnsi"/>
          <w:bCs/>
        </w:rPr>
      </w:pPr>
      <w:r>
        <w:rPr>
          <w:rFonts w:asciiTheme="majorHAnsi" w:hAnsiTheme="majorHAnsi"/>
          <w:b/>
          <w:bCs/>
          <w:i/>
          <w:iCs/>
        </w:rPr>
        <w:t>Cumplimiento de las cuotas/límites de captura:</w:t>
      </w:r>
      <w:r>
        <w:rPr>
          <w:rFonts w:asciiTheme="majorHAnsi" w:hAnsiTheme="majorHAnsi"/>
        </w:rPr>
        <w:t xml:space="preserve"> Véase el documento "Tablas de cumplimiento de 2025 recibidas en 2026" [COC_304/2026].</w:t>
      </w:r>
    </w:p>
    <w:p w14:paraId="3B103C63" w14:textId="77777777" w:rsidR="000F0D6D" w:rsidRPr="00364A87" w:rsidRDefault="000F0D6D" w:rsidP="00820485">
      <w:pPr>
        <w:rPr>
          <w:rFonts w:asciiTheme="majorHAnsi" w:hAnsiTheme="majorHAnsi"/>
          <w:bCs/>
        </w:rPr>
      </w:pPr>
    </w:p>
    <w:p w14:paraId="4C196771" w14:textId="7DF66BDB" w:rsidR="00225F13" w:rsidRPr="00536AB6" w:rsidRDefault="00894DA8" w:rsidP="004E5C8B">
      <w:pPr>
        <w:jc w:val="both"/>
        <w:rPr>
          <w:rFonts w:asciiTheme="majorHAnsi" w:eastAsiaTheme="minorHAnsi" w:hAnsiTheme="majorHAnsi"/>
          <w:color w:val="1F497D"/>
        </w:rPr>
      </w:pPr>
      <w:r>
        <w:rPr>
          <w:rFonts w:asciiTheme="majorHAnsi" w:hAnsiTheme="majorHAnsi"/>
        </w:rPr>
        <w:t>De conformidad con el párrafo 9 de la Rec. 17-03, las siguientes CPC han informado en sus informes anuales del límite máximo de captura fortuita a bordo de pez espada del sur:</w:t>
      </w:r>
    </w:p>
    <w:p w14:paraId="39269517" w14:textId="77777777" w:rsidR="00225F13" w:rsidRPr="00364A87" w:rsidRDefault="00225F13" w:rsidP="00820485">
      <w:pPr>
        <w:rPr>
          <w:rFonts w:asciiTheme="majorHAnsi" w:eastAsiaTheme="minorHAnsi" w:hAnsiTheme="majorHAnsi"/>
          <w:color w:val="1F497D"/>
        </w:rPr>
      </w:pPr>
    </w:p>
    <w:tbl>
      <w:tblPr>
        <w:tblW w:w="5000" w:type="pct"/>
        <w:tblLook w:val="04A0" w:firstRow="1" w:lastRow="0" w:firstColumn="1" w:lastColumn="0" w:noHBand="0" w:noVBand="1"/>
      </w:tblPr>
      <w:tblGrid>
        <w:gridCol w:w="1560"/>
        <w:gridCol w:w="7495"/>
      </w:tblGrid>
      <w:tr w:rsidR="00C57434" w:rsidRPr="00ED2ACB" w14:paraId="1F346ABF" w14:textId="77777777" w:rsidTr="006D1FBF">
        <w:tc>
          <w:tcPr>
            <w:tcW w:w="1091" w:type="pct"/>
            <w:tcBorders>
              <w:top w:val="single" w:sz="8" w:space="0" w:color="auto"/>
              <w:left w:val="single" w:sz="8" w:space="0" w:color="auto"/>
              <w:bottom w:val="single" w:sz="8" w:space="0" w:color="auto"/>
              <w:right w:val="single" w:sz="8" w:space="0" w:color="auto"/>
            </w:tcBorders>
            <w:noWrap/>
            <w:vAlign w:val="center"/>
            <w:hideMark/>
          </w:tcPr>
          <w:p w14:paraId="2D8DA168" w14:textId="77777777" w:rsidR="00C57434" w:rsidRPr="00ED2ACB" w:rsidRDefault="00C57434" w:rsidP="00C57434">
            <w:pPr>
              <w:widowControl/>
              <w:autoSpaceDE/>
              <w:autoSpaceDN/>
              <w:adjustRightInd/>
              <w:jc w:val="center"/>
              <w:rPr>
                <w:rFonts w:asciiTheme="majorHAnsi" w:hAnsiTheme="majorHAnsi" w:cs="Calibri"/>
                <w:i/>
                <w:iCs/>
                <w:color w:val="000000"/>
              </w:rPr>
            </w:pPr>
            <w:r w:rsidRPr="00ED2ACB">
              <w:rPr>
                <w:rFonts w:asciiTheme="majorHAnsi" w:hAnsiTheme="majorHAnsi"/>
                <w:i/>
                <w:color w:val="000000"/>
              </w:rPr>
              <w:t>CPC</w:t>
            </w:r>
          </w:p>
        </w:tc>
        <w:tc>
          <w:tcPr>
            <w:tcW w:w="3909" w:type="pct"/>
            <w:tcBorders>
              <w:top w:val="single" w:sz="8" w:space="0" w:color="auto"/>
              <w:left w:val="nil"/>
              <w:bottom w:val="single" w:sz="8" w:space="0" w:color="auto"/>
              <w:right w:val="single" w:sz="8" w:space="0" w:color="auto"/>
            </w:tcBorders>
            <w:noWrap/>
            <w:vAlign w:val="center"/>
            <w:hideMark/>
          </w:tcPr>
          <w:p w14:paraId="2D75E73A" w14:textId="77777777" w:rsidR="00C57434" w:rsidRPr="00ED2ACB" w:rsidRDefault="00C57434" w:rsidP="00C57434">
            <w:pPr>
              <w:widowControl/>
              <w:autoSpaceDE/>
              <w:autoSpaceDN/>
              <w:adjustRightInd/>
              <w:jc w:val="center"/>
              <w:rPr>
                <w:rFonts w:asciiTheme="majorHAnsi" w:hAnsiTheme="majorHAnsi" w:cs="Calibri"/>
                <w:i/>
                <w:iCs/>
                <w:color w:val="000000"/>
              </w:rPr>
            </w:pPr>
            <w:r w:rsidRPr="00ED2ACB">
              <w:rPr>
                <w:rFonts w:asciiTheme="majorHAnsi" w:hAnsiTheme="majorHAnsi"/>
                <w:i/>
                <w:color w:val="000000"/>
              </w:rPr>
              <w:t>Respuesta</w:t>
            </w:r>
          </w:p>
        </w:tc>
      </w:tr>
      <w:tr w:rsidR="009A56D8" w:rsidRPr="00ED2ACB" w14:paraId="01E7767A" w14:textId="77777777" w:rsidTr="006D1FBF">
        <w:tc>
          <w:tcPr>
            <w:tcW w:w="1091" w:type="pct"/>
            <w:tcBorders>
              <w:top w:val="single" w:sz="8" w:space="0" w:color="auto"/>
              <w:left w:val="single" w:sz="8" w:space="0" w:color="auto"/>
              <w:bottom w:val="single" w:sz="8" w:space="0" w:color="auto"/>
              <w:right w:val="single" w:sz="8" w:space="0" w:color="auto"/>
            </w:tcBorders>
            <w:noWrap/>
            <w:vAlign w:val="center"/>
          </w:tcPr>
          <w:p w14:paraId="37285898" w14:textId="4E1C36C2" w:rsidR="009A56D8" w:rsidRPr="00ED2ACB" w:rsidRDefault="009A56D8" w:rsidP="006D1FBF">
            <w:pPr>
              <w:widowControl/>
              <w:autoSpaceDE/>
              <w:autoSpaceDN/>
              <w:adjustRightInd/>
              <w:rPr>
                <w:rFonts w:asciiTheme="majorHAnsi" w:hAnsiTheme="majorHAnsi" w:cs="Calibri"/>
                <w:color w:val="000000"/>
              </w:rPr>
            </w:pPr>
            <w:r w:rsidRPr="00ED2ACB">
              <w:rPr>
                <w:rFonts w:asciiTheme="majorHAnsi" w:hAnsiTheme="majorHAnsi"/>
                <w:color w:val="000000"/>
              </w:rPr>
              <w:t>Angola</w:t>
            </w:r>
          </w:p>
        </w:tc>
        <w:tc>
          <w:tcPr>
            <w:tcW w:w="3909" w:type="pct"/>
            <w:tcBorders>
              <w:top w:val="single" w:sz="8" w:space="0" w:color="auto"/>
              <w:left w:val="nil"/>
              <w:bottom w:val="single" w:sz="8" w:space="0" w:color="auto"/>
              <w:right w:val="single" w:sz="8" w:space="0" w:color="auto"/>
            </w:tcBorders>
            <w:noWrap/>
            <w:vAlign w:val="center"/>
          </w:tcPr>
          <w:p w14:paraId="21DBA220" w14:textId="64D39E78" w:rsidR="009A56D8" w:rsidRPr="00ED2ACB" w:rsidRDefault="009A56D8" w:rsidP="006D1FBF">
            <w:pPr>
              <w:widowControl/>
              <w:autoSpaceDE/>
              <w:autoSpaceDN/>
              <w:adjustRightInd/>
              <w:jc w:val="both"/>
              <w:rPr>
                <w:rFonts w:asciiTheme="majorHAnsi" w:hAnsiTheme="majorHAnsi" w:cs="Calibri"/>
                <w:color w:val="000000"/>
              </w:rPr>
            </w:pPr>
            <w:r w:rsidRPr="00ED2ACB">
              <w:rPr>
                <w:rFonts w:asciiTheme="majorHAnsi" w:hAnsiTheme="majorHAnsi"/>
                <w:color w:val="000000"/>
              </w:rPr>
              <w:t>El límite máximo autorizado es del 5 %, y esta información figura en el Informe anual.</w:t>
            </w:r>
          </w:p>
        </w:tc>
      </w:tr>
      <w:tr w:rsidR="00C57434" w:rsidRPr="00ED2ACB" w14:paraId="1DF1E2F1" w14:textId="77777777" w:rsidTr="006D1FBF">
        <w:tc>
          <w:tcPr>
            <w:tcW w:w="1091" w:type="pct"/>
            <w:tcBorders>
              <w:top w:val="nil"/>
              <w:left w:val="single" w:sz="8" w:space="0" w:color="auto"/>
              <w:bottom w:val="single" w:sz="8" w:space="0" w:color="auto"/>
              <w:right w:val="single" w:sz="8" w:space="0" w:color="auto"/>
            </w:tcBorders>
            <w:noWrap/>
            <w:vAlign w:val="center"/>
            <w:hideMark/>
          </w:tcPr>
          <w:p w14:paraId="38EFF096" w14:textId="2F9C8D92" w:rsidR="00C57434" w:rsidRPr="00ED2ACB" w:rsidRDefault="00EC4866" w:rsidP="009A56D8">
            <w:pPr>
              <w:widowControl/>
              <w:autoSpaceDE/>
              <w:autoSpaceDN/>
              <w:adjustRightInd/>
              <w:rPr>
                <w:rFonts w:asciiTheme="majorHAnsi" w:hAnsiTheme="majorHAnsi" w:cs="Calibri"/>
                <w:color w:val="000000"/>
              </w:rPr>
            </w:pPr>
            <w:r w:rsidRPr="00ED2ACB">
              <w:rPr>
                <w:rFonts w:asciiTheme="majorHAnsi" w:hAnsiTheme="majorHAnsi"/>
                <w:color w:val="000000"/>
              </w:rPr>
              <w:t>Belice</w:t>
            </w:r>
          </w:p>
        </w:tc>
        <w:tc>
          <w:tcPr>
            <w:tcW w:w="3909" w:type="pct"/>
            <w:tcBorders>
              <w:top w:val="nil"/>
              <w:left w:val="nil"/>
              <w:bottom w:val="single" w:sz="8" w:space="0" w:color="auto"/>
              <w:right w:val="single" w:sz="8" w:space="0" w:color="auto"/>
            </w:tcBorders>
            <w:vAlign w:val="center"/>
            <w:hideMark/>
          </w:tcPr>
          <w:p w14:paraId="67ED841B" w14:textId="23FFDB84" w:rsidR="00C57434" w:rsidRPr="00ED2ACB" w:rsidRDefault="009A56D8" w:rsidP="009A56D8">
            <w:pPr>
              <w:widowControl/>
              <w:autoSpaceDE/>
              <w:autoSpaceDN/>
              <w:adjustRightInd/>
              <w:jc w:val="both"/>
              <w:rPr>
                <w:rFonts w:asciiTheme="majorHAnsi" w:hAnsiTheme="majorHAnsi" w:cs="Calibri"/>
              </w:rPr>
            </w:pPr>
            <w:r w:rsidRPr="00ED2ACB">
              <w:rPr>
                <w:rFonts w:asciiTheme="majorHAnsi" w:hAnsiTheme="majorHAnsi"/>
              </w:rPr>
              <w:t>Belice ha establecido un límite captura fortuita a bordo para todas las especies, incluido el pez espada del norte. El límite de captura fortuita establecido para los buques no autorizados a pescar esta especie exclusivamente es de 10</w:t>
            </w:r>
            <w:r w:rsidR="00ED2ACB">
              <w:rPr>
                <w:rFonts w:asciiTheme="majorHAnsi" w:hAnsiTheme="majorHAnsi"/>
              </w:rPr>
              <w:t xml:space="preserve"> t</w:t>
            </w:r>
            <w:r w:rsidRPr="00ED2ACB">
              <w:rPr>
                <w:rFonts w:asciiTheme="majorHAnsi" w:hAnsiTheme="majorHAnsi"/>
              </w:rPr>
              <w:t>. Esta cantidad se descuenta de la asignación de cuota total de Belice. Sin embargo, ningún buque nos ha informado de que se haya capturado pez espada del sur de forma fortuita.</w:t>
            </w:r>
          </w:p>
        </w:tc>
      </w:tr>
      <w:tr w:rsidR="00C57434" w:rsidRPr="00ED2ACB" w14:paraId="22B904FD" w14:textId="77777777" w:rsidTr="006D1FBF">
        <w:tc>
          <w:tcPr>
            <w:tcW w:w="1091" w:type="pct"/>
            <w:tcBorders>
              <w:top w:val="nil"/>
              <w:left w:val="single" w:sz="8" w:space="0" w:color="auto"/>
              <w:bottom w:val="single" w:sz="8" w:space="0" w:color="auto"/>
              <w:right w:val="single" w:sz="8" w:space="0" w:color="auto"/>
            </w:tcBorders>
            <w:noWrap/>
            <w:vAlign w:val="center"/>
            <w:hideMark/>
          </w:tcPr>
          <w:p w14:paraId="639BF6F0" w14:textId="44A2F07C" w:rsidR="00C57434" w:rsidRPr="00ED2ACB" w:rsidRDefault="00EC4866" w:rsidP="009A56D8">
            <w:pPr>
              <w:widowControl/>
              <w:autoSpaceDE/>
              <w:autoSpaceDN/>
              <w:adjustRightInd/>
              <w:rPr>
                <w:rFonts w:asciiTheme="majorHAnsi" w:hAnsiTheme="majorHAnsi" w:cs="Calibri"/>
                <w:color w:val="000000"/>
              </w:rPr>
            </w:pPr>
            <w:r w:rsidRPr="00ED2ACB">
              <w:rPr>
                <w:rFonts w:asciiTheme="majorHAnsi" w:hAnsiTheme="majorHAnsi"/>
                <w:color w:val="000000"/>
              </w:rPr>
              <w:t xml:space="preserve">China </w:t>
            </w:r>
          </w:p>
        </w:tc>
        <w:tc>
          <w:tcPr>
            <w:tcW w:w="3909" w:type="pct"/>
            <w:tcBorders>
              <w:top w:val="nil"/>
              <w:left w:val="nil"/>
              <w:bottom w:val="single" w:sz="8" w:space="0" w:color="auto"/>
              <w:right w:val="single" w:sz="8" w:space="0" w:color="auto"/>
            </w:tcBorders>
            <w:vAlign w:val="center"/>
            <w:hideMark/>
          </w:tcPr>
          <w:p w14:paraId="715D48A6" w14:textId="1110F19F" w:rsidR="00C57434" w:rsidRPr="00ED2ACB" w:rsidRDefault="009A56D8" w:rsidP="009A56D8">
            <w:pPr>
              <w:widowControl/>
              <w:autoSpaceDE/>
              <w:autoSpaceDN/>
              <w:adjustRightInd/>
              <w:jc w:val="both"/>
              <w:rPr>
                <w:rFonts w:asciiTheme="majorHAnsi" w:hAnsiTheme="majorHAnsi" w:cs="Calibri"/>
              </w:rPr>
            </w:pPr>
            <w:r w:rsidRPr="00ED2ACB">
              <w:rPr>
                <w:rFonts w:asciiTheme="majorHAnsi" w:hAnsiTheme="majorHAnsi"/>
              </w:rPr>
              <w:t>China no tiene buques que pesquen pez espada del norte ni pez espada del sur, todos los peces espada se capturan de forma fortuita y todos los palangreros tropicales pueden capturar peces espada de forma fortuita. En 2025, China disponía de 121 t de cuota de pez espada del norte y 344,3 t de pez espada del sur. China estableció un límite de capturas de pez espada del norte y pez espada del sur para cada palangrero basado en el TAC asignado a China según las Recomendaciones para el pez espada del norte y para el pez espada del sur.</w:t>
            </w:r>
            <w:r w:rsidR="00451097">
              <w:t xml:space="preserve"> </w:t>
            </w:r>
            <w:r w:rsidR="00451097" w:rsidRPr="00451097">
              <w:rPr>
                <w:rFonts w:asciiTheme="majorHAnsi" w:hAnsiTheme="majorHAnsi"/>
              </w:rPr>
              <w:t>Cada buque debe respetar estrictamente el límite de capturas que se le haya fijado.</w:t>
            </w:r>
          </w:p>
        </w:tc>
      </w:tr>
      <w:tr w:rsidR="00C57434" w:rsidRPr="00ED2ACB" w14:paraId="518935AE" w14:textId="77777777" w:rsidTr="006D1FBF">
        <w:tc>
          <w:tcPr>
            <w:tcW w:w="1091" w:type="pct"/>
            <w:tcBorders>
              <w:top w:val="nil"/>
              <w:left w:val="single" w:sz="8" w:space="0" w:color="auto"/>
              <w:bottom w:val="single" w:sz="8" w:space="0" w:color="auto"/>
              <w:right w:val="single" w:sz="8" w:space="0" w:color="auto"/>
            </w:tcBorders>
            <w:noWrap/>
            <w:vAlign w:val="center"/>
            <w:hideMark/>
          </w:tcPr>
          <w:p w14:paraId="3589047D" w14:textId="1A772783" w:rsidR="00C57434" w:rsidRPr="00ED2ACB" w:rsidRDefault="00EC4866" w:rsidP="00C57434">
            <w:pPr>
              <w:widowControl/>
              <w:autoSpaceDE/>
              <w:autoSpaceDN/>
              <w:adjustRightInd/>
              <w:rPr>
                <w:rFonts w:asciiTheme="majorHAnsi" w:hAnsiTheme="majorHAnsi" w:cs="Calibri"/>
                <w:color w:val="000000"/>
              </w:rPr>
            </w:pPr>
            <w:r w:rsidRPr="00ED2ACB">
              <w:rPr>
                <w:rFonts w:asciiTheme="majorHAnsi" w:hAnsiTheme="majorHAnsi"/>
                <w:color w:val="000000"/>
              </w:rPr>
              <w:t>Curazao</w:t>
            </w:r>
          </w:p>
        </w:tc>
        <w:tc>
          <w:tcPr>
            <w:tcW w:w="3909" w:type="pct"/>
            <w:tcBorders>
              <w:top w:val="nil"/>
              <w:left w:val="nil"/>
              <w:bottom w:val="single" w:sz="8" w:space="0" w:color="auto"/>
              <w:right w:val="single" w:sz="8" w:space="0" w:color="auto"/>
            </w:tcBorders>
            <w:vAlign w:val="center"/>
            <w:hideMark/>
          </w:tcPr>
          <w:p w14:paraId="647E04C0" w14:textId="6B0E3A23" w:rsidR="00C57434" w:rsidRPr="00ED2ACB" w:rsidRDefault="00366A78" w:rsidP="00C57434">
            <w:pPr>
              <w:widowControl/>
              <w:autoSpaceDE/>
              <w:autoSpaceDN/>
              <w:adjustRightInd/>
              <w:jc w:val="both"/>
              <w:rPr>
                <w:rFonts w:asciiTheme="majorHAnsi" w:hAnsiTheme="majorHAnsi" w:cs="Calibri"/>
              </w:rPr>
            </w:pPr>
            <w:r w:rsidRPr="00ED2ACB">
              <w:rPr>
                <w:rFonts w:asciiTheme="majorHAnsi" w:hAnsiTheme="majorHAnsi"/>
              </w:rPr>
              <w:t>En el caso de las actividades pesqueras, Curazao llegó a un acuerdo con los buques en cuanto a un límite máximo de 10 t de captura fortuita. En este caso, no hubo actividades pesqueras durante 2025.</w:t>
            </w:r>
          </w:p>
        </w:tc>
      </w:tr>
      <w:tr w:rsidR="00C57434" w:rsidRPr="00063218" w14:paraId="1B4021D0" w14:textId="77777777" w:rsidTr="006D1FBF">
        <w:tc>
          <w:tcPr>
            <w:tcW w:w="1091" w:type="pct"/>
            <w:tcBorders>
              <w:top w:val="nil"/>
              <w:left w:val="single" w:sz="8" w:space="0" w:color="auto"/>
              <w:bottom w:val="single" w:sz="8" w:space="0" w:color="auto"/>
              <w:right w:val="single" w:sz="8" w:space="0" w:color="auto"/>
            </w:tcBorders>
            <w:noWrap/>
            <w:vAlign w:val="center"/>
            <w:hideMark/>
          </w:tcPr>
          <w:p w14:paraId="17DD3EB0" w14:textId="42D7AF01" w:rsidR="00C57434" w:rsidRPr="00ED2ACB" w:rsidRDefault="00EC4866" w:rsidP="00C57434">
            <w:pPr>
              <w:widowControl/>
              <w:autoSpaceDE/>
              <w:autoSpaceDN/>
              <w:adjustRightInd/>
              <w:rPr>
                <w:rFonts w:asciiTheme="majorHAnsi" w:hAnsiTheme="majorHAnsi" w:cs="Calibri"/>
                <w:color w:val="000000"/>
              </w:rPr>
            </w:pPr>
            <w:r w:rsidRPr="00ED2ACB">
              <w:rPr>
                <w:rFonts w:asciiTheme="majorHAnsi" w:hAnsiTheme="majorHAnsi"/>
                <w:color w:val="000000"/>
              </w:rPr>
              <w:t>Unión Europea</w:t>
            </w:r>
          </w:p>
        </w:tc>
        <w:tc>
          <w:tcPr>
            <w:tcW w:w="3909" w:type="pct"/>
            <w:tcBorders>
              <w:top w:val="nil"/>
              <w:left w:val="nil"/>
              <w:bottom w:val="single" w:sz="8" w:space="0" w:color="auto"/>
              <w:right w:val="single" w:sz="8" w:space="0" w:color="auto"/>
            </w:tcBorders>
            <w:vAlign w:val="center"/>
            <w:hideMark/>
          </w:tcPr>
          <w:p w14:paraId="1DBA9DB0" w14:textId="1BD9350C" w:rsidR="00C57434" w:rsidRPr="00ED2ACB" w:rsidRDefault="00366A78" w:rsidP="00C57434">
            <w:pPr>
              <w:widowControl/>
              <w:autoSpaceDE/>
              <w:autoSpaceDN/>
              <w:adjustRightInd/>
              <w:jc w:val="both"/>
              <w:rPr>
                <w:rFonts w:asciiTheme="majorHAnsi" w:hAnsiTheme="majorHAnsi"/>
                <w:color w:val="000000"/>
              </w:rPr>
            </w:pPr>
            <w:r w:rsidRPr="00ED2ACB">
              <w:rPr>
                <w:rFonts w:asciiTheme="majorHAnsi" w:hAnsiTheme="majorHAnsi"/>
                <w:color w:val="000000"/>
              </w:rPr>
              <w:t>En la Sección 2 de su Informe anual se incluye información adicional.</w:t>
            </w:r>
          </w:p>
        </w:tc>
      </w:tr>
    </w:tbl>
    <w:p w14:paraId="45B69952" w14:textId="77777777" w:rsidR="00536AB6" w:rsidRPr="00364A87" w:rsidRDefault="00536AB6" w:rsidP="00820485">
      <w:pPr>
        <w:tabs>
          <w:tab w:val="left" w:pos="1276"/>
          <w:tab w:val="left" w:pos="1418"/>
          <w:tab w:val="left" w:leader="dot" w:pos="8222"/>
          <w:tab w:val="right" w:pos="8647"/>
        </w:tabs>
        <w:jc w:val="both"/>
        <w:rPr>
          <w:rFonts w:asciiTheme="majorHAnsi" w:hAnsiTheme="majorHAnsi" w:cs="Calibri"/>
          <w:color w:val="000000"/>
        </w:rPr>
      </w:pPr>
    </w:p>
    <w:p w14:paraId="73764076" w14:textId="5E450742" w:rsidR="008F44BD" w:rsidRPr="00536AB6" w:rsidRDefault="008F44BD" w:rsidP="00820485">
      <w:pPr>
        <w:tabs>
          <w:tab w:val="left" w:pos="1276"/>
          <w:tab w:val="left" w:pos="1418"/>
          <w:tab w:val="left" w:leader="dot" w:pos="8222"/>
          <w:tab w:val="right" w:pos="8647"/>
        </w:tabs>
        <w:jc w:val="both"/>
        <w:rPr>
          <w:rFonts w:asciiTheme="majorHAnsi" w:hAnsiTheme="majorHAnsi"/>
          <w:b/>
          <w:bCs/>
          <w:iCs/>
        </w:rPr>
      </w:pPr>
      <w:r>
        <w:rPr>
          <w:rFonts w:asciiTheme="majorHAnsi" w:hAnsiTheme="majorHAnsi"/>
          <w:color w:val="000000"/>
        </w:rPr>
        <w:t xml:space="preserve">Cabe señalar que lo anterior solo muestra las CPC que han indicado que se ha establecido un límite. En muchos casos, no se ha establecido un límite porque todos los buques pertinentes cuentan con licencia y/o porque no se permite la captura fortuita. </w:t>
      </w:r>
      <w:bookmarkStart w:id="2" w:name="_Hlk211950338"/>
      <w:r>
        <w:rPr>
          <w:rFonts w:asciiTheme="majorHAnsi" w:hAnsiTheme="majorHAnsi"/>
          <w:color w:val="000000"/>
        </w:rPr>
        <w:t>Sin embargo, algunas de las respuestas sobre los límites máximos de captura fortuita no son coherentes, ya que las CPC no han leído o comprendido el requisito. En varios casos, se han mezclado las especies o se han dado respuestas totalmente irrelevantes (por ejemplo, que no hay pesquería dirigida a esta especie o que no hay buques con pabellón de XX que pesquen esta especie).</w:t>
      </w:r>
    </w:p>
    <w:bookmarkEnd w:id="2"/>
    <w:p w14:paraId="367E4BC6" w14:textId="77777777" w:rsidR="008F44BD" w:rsidRPr="00364A87" w:rsidRDefault="008F44BD" w:rsidP="00820485">
      <w:pPr>
        <w:tabs>
          <w:tab w:val="left" w:pos="1276"/>
          <w:tab w:val="left" w:pos="1418"/>
          <w:tab w:val="left" w:leader="dot" w:pos="8222"/>
          <w:tab w:val="right" w:pos="8647"/>
        </w:tabs>
        <w:jc w:val="both"/>
        <w:rPr>
          <w:rFonts w:asciiTheme="majorHAnsi" w:hAnsiTheme="majorHAnsi"/>
          <w:b/>
          <w:bCs/>
          <w:i/>
        </w:rPr>
      </w:pPr>
    </w:p>
    <w:p w14:paraId="628EFE8A" w14:textId="04B8B31D" w:rsidR="000F0D6D" w:rsidRPr="00536AB6" w:rsidRDefault="000F0D6D" w:rsidP="000F0D6D">
      <w:pPr>
        <w:tabs>
          <w:tab w:val="left" w:pos="1276"/>
          <w:tab w:val="left" w:pos="1418"/>
          <w:tab w:val="left" w:leader="dot" w:pos="8222"/>
          <w:tab w:val="right" w:pos="8647"/>
        </w:tabs>
        <w:jc w:val="both"/>
        <w:rPr>
          <w:rFonts w:asciiTheme="majorHAnsi" w:hAnsiTheme="majorHAnsi"/>
          <w:bCs/>
        </w:rPr>
      </w:pPr>
      <w:r>
        <w:rPr>
          <w:rFonts w:asciiTheme="majorHAnsi" w:hAnsiTheme="majorHAnsi"/>
          <w:b/>
          <w:i/>
          <w:iCs/>
        </w:rPr>
        <w:t>Autorización específica para buques de pez espada del sur</w:t>
      </w:r>
      <w:r>
        <w:rPr>
          <w:rFonts w:asciiTheme="majorHAnsi" w:hAnsiTheme="majorHAnsi"/>
        </w:rPr>
        <w:t xml:space="preserve"> </w:t>
      </w:r>
      <w:r>
        <w:t xml:space="preserve">Los buques de 20 m o más con autorizaciones específicas para el pez espada del sur pueden consultarse en el </w:t>
      </w:r>
      <w:hyperlink r:id="rId14" w:history="1">
        <w:r>
          <w:rPr>
            <w:rStyle w:val="Hyperlink"/>
            <w:rFonts w:asciiTheme="majorHAnsi" w:hAnsiTheme="majorHAnsi"/>
            <w:u w:val="none"/>
          </w:rPr>
          <w:t>Registro ICCAT de buques</w:t>
        </w:r>
      </w:hyperlink>
      <w:r>
        <w:t>.</w:t>
      </w:r>
    </w:p>
    <w:p w14:paraId="22C7D252" w14:textId="77777777" w:rsidR="000F0D6D" w:rsidRPr="00364A87" w:rsidRDefault="000F0D6D" w:rsidP="000F0D6D">
      <w:pPr>
        <w:tabs>
          <w:tab w:val="left" w:pos="1276"/>
          <w:tab w:val="left" w:pos="1418"/>
          <w:tab w:val="left" w:leader="dot" w:pos="8222"/>
          <w:tab w:val="right" w:pos="8647"/>
        </w:tabs>
        <w:ind w:firstLine="426"/>
        <w:rPr>
          <w:rFonts w:asciiTheme="majorHAnsi" w:hAnsiTheme="majorHAnsi"/>
          <w:bCs/>
          <w:i/>
          <w:iCs/>
        </w:rPr>
      </w:pPr>
    </w:p>
    <w:p w14:paraId="66DC53A0" w14:textId="77777777" w:rsidR="000F0D6D" w:rsidRDefault="000F0D6D" w:rsidP="000F0D6D">
      <w:pPr>
        <w:tabs>
          <w:tab w:val="left" w:pos="1276"/>
          <w:tab w:val="left" w:pos="1418"/>
          <w:tab w:val="left" w:leader="dot" w:pos="8222"/>
          <w:tab w:val="right" w:pos="8647"/>
        </w:tabs>
        <w:jc w:val="both"/>
        <w:rPr>
          <w:rFonts w:asciiTheme="majorHAnsi" w:hAnsiTheme="majorHAnsi"/>
        </w:rPr>
      </w:pPr>
      <w:r>
        <w:rPr>
          <w:rFonts w:asciiTheme="majorHAnsi" w:hAnsiTheme="majorHAnsi"/>
        </w:rPr>
        <w:t xml:space="preserve">Cinco CPC con cuota actualmente no tienen buques (de 20 m o más) inscritos en el Registro ICCAT de buques autorizados a capturar pez espada del sur: Ghana, São Tomé </w:t>
      </w:r>
      <w:proofErr w:type="spellStart"/>
      <w:r>
        <w:rPr>
          <w:rFonts w:asciiTheme="majorHAnsi" w:hAnsiTheme="majorHAnsi"/>
        </w:rPr>
        <w:t>e</w:t>
      </w:r>
      <w:proofErr w:type="spellEnd"/>
      <w:r>
        <w:rPr>
          <w:rFonts w:asciiTheme="majorHAnsi" w:hAnsiTheme="majorHAnsi"/>
        </w:rPr>
        <w:t xml:space="preserve"> Príncipe, Reino Unido, Estados Unidos y Uruguay.</w:t>
      </w:r>
    </w:p>
    <w:p w14:paraId="6E9F7767" w14:textId="77777777" w:rsidR="0001089F" w:rsidRPr="00536AB6" w:rsidRDefault="0001089F" w:rsidP="000F0D6D">
      <w:pPr>
        <w:tabs>
          <w:tab w:val="left" w:pos="1276"/>
          <w:tab w:val="left" w:pos="1418"/>
          <w:tab w:val="left" w:leader="dot" w:pos="8222"/>
          <w:tab w:val="right" w:pos="8647"/>
        </w:tabs>
        <w:jc w:val="both"/>
        <w:rPr>
          <w:rFonts w:asciiTheme="majorHAnsi" w:hAnsiTheme="majorHAnsi"/>
          <w:bCs/>
        </w:rPr>
      </w:pPr>
    </w:p>
    <w:p w14:paraId="6AA18E81" w14:textId="5300C1EE" w:rsidR="00E136DE" w:rsidRDefault="00E136DE" w:rsidP="00820485">
      <w:pPr>
        <w:tabs>
          <w:tab w:val="left" w:pos="1276"/>
          <w:tab w:val="left" w:pos="1418"/>
          <w:tab w:val="left" w:leader="dot" w:pos="8222"/>
          <w:tab w:val="right" w:pos="8647"/>
        </w:tabs>
        <w:jc w:val="both"/>
        <w:rPr>
          <w:rFonts w:asciiTheme="majorHAnsi" w:hAnsiTheme="majorHAnsi"/>
          <w:b/>
          <w:bCs/>
          <w:i/>
        </w:rPr>
      </w:pPr>
    </w:p>
    <w:p w14:paraId="493D311D" w14:textId="77777777" w:rsidR="00FA6CF2" w:rsidRPr="00364A87" w:rsidRDefault="00FA6CF2" w:rsidP="00820485">
      <w:pPr>
        <w:tabs>
          <w:tab w:val="left" w:pos="1276"/>
          <w:tab w:val="left" w:pos="1418"/>
          <w:tab w:val="left" w:leader="dot" w:pos="8222"/>
          <w:tab w:val="right" w:pos="8647"/>
        </w:tabs>
        <w:jc w:val="both"/>
        <w:rPr>
          <w:rFonts w:asciiTheme="majorHAnsi" w:hAnsiTheme="majorHAnsi"/>
          <w:b/>
          <w:bCs/>
          <w:i/>
        </w:rPr>
      </w:pPr>
    </w:p>
    <w:p w14:paraId="4EF20F96" w14:textId="239452EE" w:rsidR="00E136DE" w:rsidRPr="00536AB6" w:rsidRDefault="00E136DE" w:rsidP="00E136DE">
      <w:pPr>
        <w:tabs>
          <w:tab w:val="left" w:pos="1276"/>
          <w:tab w:val="left" w:pos="1418"/>
          <w:tab w:val="left" w:leader="dot" w:pos="8222"/>
          <w:tab w:val="right" w:pos="8647"/>
        </w:tabs>
        <w:jc w:val="both"/>
        <w:rPr>
          <w:rFonts w:asciiTheme="majorHAnsi" w:hAnsiTheme="majorHAnsi"/>
          <w:i/>
        </w:rPr>
      </w:pPr>
      <w:r>
        <w:rPr>
          <w:rFonts w:asciiTheme="majorHAnsi" w:hAnsiTheme="majorHAnsi"/>
          <w:i/>
        </w:rPr>
        <w:t xml:space="preserve">[Rec. 25-09] </w:t>
      </w:r>
      <w:r w:rsidRPr="00536AB6">
        <w:rPr>
          <w:rStyle w:val="FootnoteReference"/>
          <w:rFonts w:asciiTheme="majorHAnsi" w:hAnsiTheme="majorHAnsi"/>
          <w:bCs/>
          <w:i/>
          <w:lang w:val="en-GB"/>
        </w:rPr>
        <w:footnoteReference w:id="2"/>
      </w:r>
      <w:r>
        <w:rPr>
          <w:rFonts w:asciiTheme="majorHAnsi" w:hAnsiTheme="majorHAnsi"/>
          <w:i/>
        </w:rPr>
        <w:t>Recomendación de ICCAT sobre el uso experimental de trampillas</w:t>
      </w:r>
    </w:p>
    <w:p w14:paraId="646CDA52" w14:textId="77777777" w:rsidR="00E136DE" w:rsidRPr="00364A87" w:rsidRDefault="00E136DE" w:rsidP="00820485">
      <w:pPr>
        <w:tabs>
          <w:tab w:val="left" w:pos="1276"/>
          <w:tab w:val="left" w:pos="1418"/>
          <w:tab w:val="left" w:leader="dot" w:pos="8222"/>
          <w:tab w:val="right" w:pos="8647"/>
        </w:tabs>
        <w:jc w:val="both"/>
        <w:rPr>
          <w:rFonts w:asciiTheme="majorHAnsi" w:hAnsiTheme="majorHAnsi"/>
          <w:b/>
          <w:bCs/>
          <w:i/>
        </w:rPr>
      </w:pPr>
    </w:p>
    <w:p w14:paraId="3BA9F552" w14:textId="1CB711DD" w:rsidR="004451B9" w:rsidRPr="00536AB6" w:rsidRDefault="00E136DE" w:rsidP="00E136DE">
      <w:pPr>
        <w:tabs>
          <w:tab w:val="left" w:pos="1276"/>
          <w:tab w:val="left" w:pos="1418"/>
          <w:tab w:val="left" w:leader="dot" w:pos="8222"/>
          <w:tab w:val="right" w:pos="8647"/>
        </w:tabs>
        <w:jc w:val="both"/>
        <w:rPr>
          <w:rFonts w:asciiTheme="majorHAnsi" w:hAnsiTheme="majorHAnsi"/>
          <w:bCs/>
        </w:rPr>
      </w:pPr>
      <w:r>
        <w:rPr>
          <w:rFonts w:asciiTheme="majorHAnsi" w:hAnsiTheme="majorHAnsi"/>
          <w:b/>
          <w:i/>
        </w:rPr>
        <w:t>L</w:t>
      </w:r>
      <w:r w:rsidR="009E3CE9">
        <w:rPr>
          <w:rFonts w:asciiTheme="majorHAnsi" w:hAnsiTheme="majorHAnsi"/>
          <w:b/>
          <w:i/>
        </w:rPr>
        <w:t>i</w:t>
      </w:r>
      <w:r w:rsidR="0001089F">
        <w:rPr>
          <w:rFonts w:asciiTheme="majorHAnsi" w:hAnsiTheme="majorHAnsi"/>
          <w:b/>
          <w:i/>
        </w:rPr>
        <w:t>sta de buques autorizados a utilizar trampillas</w:t>
      </w:r>
      <w:r>
        <w:rPr>
          <w:rFonts w:asciiTheme="majorHAnsi" w:hAnsiTheme="majorHAnsi"/>
          <w:i/>
        </w:rPr>
        <w:t xml:space="preserve">: </w:t>
      </w:r>
      <w:r>
        <w:t xml:space="preserve">Las listas autorizadas pueden consultarse en el </w:t>
      </w:r>
      <w:hyperlink r:id="rId15" w:history="1">
        <w:r>
          <w:rPr>
            <w:rStyle w:val="Hyperlink"/>
            <w:rFonts w:asciiTheme="majorHAnsi" w:hAnsiTheme="majorHAnsi"/>
            <w:u w:val="none"/>
          </w:rPr>
          <w:t>Registro ICCAT de buques</w:t>
        </w:r>
      </w:hyperlink>
      <w:r>
        <w:t>.</w:t>
      </w:r>
      <w:r>
        <w:rPr>
          <w:rFonts w:asciiTheme="majorHAnsi" w:hAnsiTheme="majorHAnsi"/>
        </w:rPr>
        <w:t xml:space="preserve"> </w:t>
      </w:r>
    </w:p>
    <w:p w14:paraId="4442F130" w14:textId="77777777" w:rsidR="00E136DE" w:rsidRPr="00364A87" w:rsidRDefault="00E136DE" w:rsidP="005B120F">
      <w:pPr>
        <w:tabs>
          <w:tab w:val="left" w:pos="1276"/>
          <w:tab w:val="left" w:pos="1418"/>
          <w:tab w:val="left" w:leader="dot" w:pos="8222"/>
          <w:tab w:val="right" w:pos="8647"/>
        </w:tabs>
        <w:jc w:val="both"/>
        <w:rPr>
          <w:rFonts w:asciiTheme="majorHAnsi" w:hAnsiTheme="majorHAnsi"/>
          <w:b/>
          <w:bCs/>
        </w:rPr>
      </w:pPr>
    </w:p>
    <w:p w14:paraId="5F01E33A" w14:textId="77777777" w:rsidR="00501981" w:rsidRPr="00364A87" w:rsidRDefault="00501981" w:rsidP="00820485">
      <w:pPr>
        <w:tabs>
          <w:tab w:val="left" w:pos="1276"/>
          <w:tab w:val="left" w:pos="1418"/>
          <w:tab w:val="left" w:leader="dot" w:pos="8222"/>
          <w:tab w:val="right" w:pos="8647"/>
        </w:tabs>
        <w:rPr>
          <w:rFonts w:asciiTheme="majorHAnsi" w:hAnsiTheme="majorHAnsi"/>
          <w:b/>
          <w:bCs/>
        </w:rPr>
      </w:pPr>
    </w:p>
    <w:p w14:paraId="02352322" w14:textId="0BB5F843" w:rsidR="00F225F3" w:rsidRPr="00364A87" w:rsidRDefault="00F225F3" w:rsidP="00820485">
      <w:pPr>
        <w:tabs>
          <w:tab w:val="left" w:pos="1276"/>
          <w:tab w:val="left" w:pos="1418"/>
          <w:tab w:val="left" w:leader="dot" w:pos="8222"/>
          <w:tab w:val="right" w:pos="8647"/>
        </w:tabs>
        <w:rPr>
          <w:rFonts w:asciiTheme="majorHAnsi" w:hAnsiTheme="majorHAnsi"/>
          <w:b/>
          <w:bCs/>
          <w:i/>
          <w:iCs/>
          <w:lang w:val="it-IT"/>
        </w:rPr>
      </w:pPr>
      <w:r w:rsidRPr="00364A87">
        <w:rPr>
          <w:rFonts w:asciiTheme="majorHAnsi" w:hAnsiTheme="majorHAnsi"/>
          <w:b/>
          <w:lang w:val="it-IT"/>
        </w:rPr>
        <w:t xml:space="preserve">ALB </w:t>
      </w:r>
      <w:proofErr w:type="gramStart"/>
      <w:r w:rsidRPr="00364A87">
        <w:rPr>
          <w:rFonts w:asciiTheme="majorHAnsi" w:hAnsiTheme="majorHAnsi"/>
          <w:b/>
          <w:lang w:val="it-IT"/>
        </w:rPr>
        <w:t>-  ATÚN</w:t>
      </w:r>
      <w:proofErr w:type="gramEnd"/>
      <w:r w:rsidRPr="00364A87">
        <w:rPr>
          <w:rFonts w:asciiTheme="majorHAnsi" w:hAnsiTheme="majorHAnsi"/>
          <w:b/>
          <w:lang w:val="it-IT"/>
        </w:rPr>
        <w:t xml:space="preserve"> BLANCO (Thunnus alalunga)</w:t>
      </w:r>
    </w:p>
    <w:p w14:paraId="4B9188BF" w14:textId="77777777" w:rsidR="00F225F3" w:rsidRPr="00364A87" w:rsidRDefault="00F225F3" w:rsidP="00820485">
      <w:pPr>
        <w:tabs>
          <w:tab w:val="left" w:pos="1276"/>
          <w:tab w:val="left" w:pos="1418"/>
          <w:tab w:val="left" w:leader="dot" w:pos="8222"/>
          <w:tab w:val="right" w:pos="8647"/>
        </w:tabs>
        <w:ind w:firstLine="426"/>
        <w:rPr>
          <w:rFonts w:asciiTheme="majorHAnsi" w:hAnsiTheme="majorHAnsi"/>
          <w:b/>
          <w:bCs/>
          <w:i/>
          <w:iCs/>
          <w:lang w:val="it-IT"/>
        </w:rPr>
      </w:pPr>
    </w:p>
    <w:p w14:paraId="1FFA614D" w14:textId="0ABBB579" w:rsidR="00501981" w:rsidRPr="00536AB6" w:rsidRDefault="00905BD5" w:rsidP="00501981">
      <w:pPr>
        <w:tabs>
          <w:tab w:val="left" w:pos="1276"/>
          <w:tab w:val="left" w:pos="1418"/>
          <w:tab w:val="left" w:leader="dot" w:pos="8222"/>
          <w:tab w:val="right" w:pos="8647"/>
        </w:tabs>
        <w:jc w:val="both"/>
        <w:rPr>
          <w:rFonts w:asciiTheme="majorHAnsi" w:hAnsiTheme="majorHAnsi"/>
          <w:iCs/>
        </w:rPr>
      </w:pPr>
      <w:r>
        <w:rPr>
          <w:rFonts w:asciiTheme="majorHAnsi" w:hAnsiTheme="majorHAnsi"/>
          <w:i/>
        </w:rPr>
        <w:t xml:space="preserve">[Rec. 21-04] Recomendación de ICCAT sobre medidas de conservación y ordenación, incluido un procedimiento de ordenación y un protocolo de circunstancias excepcionales, para el atún blanco del Atlántico norte </w:t>
      </w:r>
      <w:r>
        <w:rPr>
          <w:rFonts w:asciiTheme="majorHAnsi" w:hAnsiTheme="majorHAnsi"/>
        </w:rPr>
        <w:t xml:space="preserve">enmendada por la </w:t>
      </w:r>
      <w:r>
        <w:rPr>
          <w:rFonts w:asciiTheme="majorHAnsi" w:hAnsiTheme="majorHAnsi"/>
          <w:i/>
          <w:iCs/>
        </w:rPr>
        <w:t>[Rec. 23-05] Recomendación de ICCAT que enmienda la Recomendación 21-04 sobre medidas de conservación y ordenación, incluido un procedimiento de ordenación y un protocolo de circunstancias excepcionales, para el atún blanco del Atlántico norte.</w:t>
      </w:r>
    </w:p>
    <w:p w14:paraId="75BA4E17" w14:textId="77777777" w:rsidR="00501981" w:rsidRPr="00364A87" w:rsidRDefault="00501981" w:rsidP="00820485">
      <w:pPr>
        <w:tabs>
          <w:tab w:val="left" w:pos="1276"/>
          <w:tab w:val="left" w:pos="1418"/>
          <w:tab w:val="left" w:leader="dot" w:pos="8222"/>
          <w:tab w:val="right" w:pos="8647"/>
        </w:tabs>
        <w:jc w:val="both"/>
        <w:rPr>
          <w:rFonts w:asciiTheme="majorHAnsi" w:hAnsiTheme="majorHAnsi"/>
          <w:bCs/>
          <w:i/>
        </w:rPr>
      </w:pPr>
    </w:p>
    <w:p w14:paraId="3A1B89C6" w14:textId="371F0280" w:rsidR="00D26C9B" w:rsidRPr="00536AB6" w:rsidRDefault="00D26C9B" w:rsidP="00820485">
      <w:pPr>
        <w:tabs>
          <w:tab w:val="left" w:pos="1276"/>
          <w:tab w:val="left" w:pos="1418"/>
          <w:tab w:val="left" w:leader="dot" w:pos="8222"/>
          <w:tab w:val="right" w:pos="8647"/>
        </w:tabs>
        <w:jc w:val="both"/>
        <w:rPr>
          <w:rFonts w:asciiTheme="majorHAnsi" w:hAnsiTheme="majorHAnsi"/>
        </w:rPr>
      </w:pPr>
      <w:r>
        <w:rPr>
          <w:rFonts w:asciiTheme="majorHAnsi" w:hAnsiTheme="majorHAnsi"/>
        </w:rPr>
        <w:t xml:space="preserve">No se requiere una comunicación específica a la Secretaría que no sea la información que tiene que incluirse en la Sección 4 del Informe anual. </w:t>
      </w:r>
    </w:p>
    <w:p w14:paraId="4C56DC5C" w14:textId="77777777" w:rsidR="00021885" w:rsidRPr="00364A87" w:rsidRDefault="00021885" w:rsidP="00820485">
      <w:pPr>
        <w:tabs>
          <w:tab w:val="left" w:pos="1276"/>
          <w:tab w:val="left" w:pos="1418"/>
          <w:tab w:val="left" w:leader="dot" w:pos="8222"/>
          <w:tab w:val="right" w:pos="8647"/>
        </w:tabs>
        <w:ind w:firstLine="426"/>
        <w:rPr>
          <w:rFonts w:asciiTheme="majorHAnsi" w:hAnsiTheme="majorHAnsi"/>
          <w:bCs/>
        </w:rPr>
      </w:pPr>
    </w:p>
    <w:p w14:paraId="14DB2CD6" w14:textId="1BE5478A" w:rsidR="00765C78" w:rsidRPr="00536AB6" w:rsidRDefault="00765C78" w:rsidP="00765C78">
      <w:pPr>
        <w:tabs>
          <w:tab w:val="left" w:pos="1276"/>
          <w:tab w:val="left" w:pos="1418"/>
          <w:tab w:val="left" w:leader="dot" w:pos="8222"/>
          <w:tab w:val="right" w:pos="8647"/>
        </w:tabs>
        <w:jc w:val="both"/>
        <w:rPr>
          <w:rFonts w:asciiTheme="majorHAnsi" w:hAnsiTheme="majorHAnsi"/>
          <w:bCs/>
        </w:rPr>
      </w:pPr>
      <w:r>
        <w:rPr>
          <w:rFonts w:asciiTheme="majorHAnsi" w:hAnsiTheme="majorHAnsi"/>
          <w:b/>
          <w:bCs/>
          <w:i/>
          <w:iCs/>
        </w:rPr>
        <w:t>Cumplimiento de las cuotas/límites de captura:</w:t>
      </w:r>
      <w:r>
        <w:rPr>
          <w:rFonts w:asciiTheme="majorHAnsi" w:hAnsiTheme="majorHAnsi"/>
        </w:rPr>
        <w:t xml:space="preserve"> Véase el documento "Tablas de cumplimiento de 2025 recibidas en 2026" [COC_304/2026].</w:t>
      </w:r>
    </w:p>
    <w:p w14:paraId="185715AD" w14:textId="77777777" w:rsidR="00765C78" w:rsidRPr="00364A87" w:rsidRDefault="00765C78" w:rsidP="00820485">
      <w:pPr>
        <w:tabs>
          <w:tab w:val="left" w:pos="1276"/>
          <w:tab w:val="left" w:pos="1418"/>
          <w:tab w:val="left" w:leader="dot" w:pos="8222"/>
          <w:tab w:val="right" w:pos="8647"/>
        </w:tabs>
        <w:jc w:val="both"/>
        <w:rPr>
          <w:rFonts w:asciiTheme="majorHAnsi" w:hAnsiTheme="majorHAnsi"/>
          <w:bCs/>
        </w:rPr>
      </w:pPr>
    </w:p>
    <w:p w14:paraId="6FF73E93" w14:textId="05D2D030" w:rsidR="004A64B4" w:rsidRPr="00536AB6" w:rsidRDefault="00501981" w:rsidP="00820485">
      <w:pPr>
        <w:tabs>
          <w:tab w:val="left" w:pos="1276"/>
          <w:tab w:val="left" w:pos="1418"/>
          <w:tab w:val="left" w:leader="dot" w:pos="8222"/>
          <w:tab w:val="right" w:pos="8647"/>
        </w:tabs>
        <w:jc w:val="both"/>
        <w:rPr>
          <w:rFonts w:asciiTheme="majorHAnsi" w:hAnsiTheme="majorHAnsi"/>
          <w:bCs/>
        </w:rPr>
      </w:pPr>
      <w:r>
        <w:rPr>
          <w:rFonts w:asciiTheme="majorHAnsi" w:hAnsiTheme="majorHAnsi"/>
        </w:rPr>
        <w:t>De conformidad con el párrafo 13 de la Rec. 21-04, las siguientes CPC han informado en sus informes anuales del límite máximo de captura fortuita a bordo de atún blanco del norte:</w:t>
      </w:r>
    </w:p>
    <w:p w14:paraId="59217ADB" w14:textId="77777777" w:rsidR="004A64B4" w:rsidRPr="00364A87" w:rsidRDefault="004A64B4" w:rsidP="00820485">
      <w:pPr>
        <w:tabs>
          <w:tab w:val="left" w:pos="1276"/>
          <w:tab w:val="left" w:pos="1418"/>
          <w:tab w:val="left" w:leader="dot" w:pos="8222"/>
          <w:tab w:val="right" w:pos="8647"/>
        </w:tabs>
        <w:jc w:val="both"/>
        <w:rPr>
          <w:rFonts w:asciiTheme="majorHAnsi" w:hAnsiTheme="majorHAnsi"/>
          <w:bCs/>
        </w:rPr>
      </w:pPr>
    </w:p>
    <w:tbl>
      <w:tblPr>
        <w:tblW w:w="5000" w:type="pct"/>
        <w:tblLook w:val="04A0" w:firstRow="1" w:lastRow="0" w:firstColumn="1" w:lastColumn="0" w:noHBand="0" w:noVBand="1"/>
      </w:tblPr>
      <w:tblGrid>
        <w:gridCol w:w="1833"/>
        <w:gridCol w:w="7222"/>
      </w:tblGrid>
      <w:tr w:rsidR="00E13086" w:rsidRPr="00536AB6" w14:paraId="02CFC7FD" w14:textId="77777777" w:rsidTr="00E13086">
        <w:tc>
          <w:tcPr>
            <w:tcW w:w="1012" w:type="pct"/>
            <w:tcBorders>
              <w:top w:val="single" w:sz="8" w:space="0" w:color="auto"/>
              <w:left w:val="single" w:sz="8" w:space="0" w:color="auto"/>
              <w:bottom w:val="single" w:sz="8" w:space="0" w:color="auto"/>
              <w:right w:val="single" w:sz="8" w:space="0" w:color="auto"/>
            </w:tcBorders>
            <w:vAlign w:val="center"/>
            <w:hideMark/>
          </w:tcPr>
          <w:p w14:paraId="0AB0D2F8" w14:textId="77777777" w:rsidR="00E13086" w:rsidRPr="00536AB6" w:rsidRDefault="00E13086" w:rsidP="00E13086">
            <w:pPr>
              <w:widowControl/>
              <w:autoSpaceDE/>
              <w:autoSpaceDN/>
              <w:adjustRightInd/>
              <w:jc w:val="center"/>
              <w:rPr>
                <w:rFonts w:asciiTheme="majorHAnsi" w:hAnsiTheme="majorHAnsi" w:cs="Calibri"/>
                <w:i/>
                <w:iCs/>
                <w:color w:val="000000"/>
              </w:rPr>
            </w:pPr>
            <w:r>
              <w:rPr>
                <w:rFonts w:asciiTheme="majorHAnsi" w:hAnsiTheme="majorHAnsi"/>
                <w:i/>
                <w:color w:val="000000"/>
              </w:rPr>
              <w:t>CPC</w:t>
            </w:r>
          </w:p>
        </w:tc>
        <w:tc>
          <w:tcPr>
            <w:tcW w:w="3988" w:type="pct"/>
            <w:tcBorders>
              <w:top w:val="single" w:sz="8" w:space="0" w:color="auto"/>
              <w:left w:val="nil"/>
              <w:bottom w:val="single" w:sz="8" w:space="0" w:color="auto"/>
              <w:right w:val="single" w:sz="8" w:space="0" w:color="auto"/>
            </w:tcBorders>
            <w:vAlign w:val="center"/>
            <w:hideMark/>
          </w:tcPr>
          <w:p w14:paraId="3C9A3428" w14:textId="77777777" w:rsidR="00E13086" w:rsidRPr="00536AB6" w:rsidRDefault="00E13086" w:rsidP="00E13086">
            <w:pPr>
              <w:widowControl/>
              <w:autoSpaceDE/>
              <w:autoSpaceDN/>
              <w:adjustRightInd/>
              <w:jc w:val="center"/>
              <w:rPr>
                <w:rFonts w:asciiTheme="majorHAnsi" w:hAnsiTheme="majorHAnsi" w:cs="Calibri"/>
                <w:i/>
                <w:iCs/>
                <w:color w:val="000000"/>
              </w:rPr>
            </w:pPr>
            <w:r>
              <w:rPr>
                <w:rFonts w:asciiTheme="majorHAnsi" w:hAnsiTheme="majorHAnsi"/>
                <w:i/>
                <w:color w:val="000000"/>
              </w:rPr>
              <w:t>Respuesta</w:t>
            </w:r>
          </w:p>
        </w:tc>
      </w:tr>
      <w:tr w:rsidR="00E13086" w:rsidRPr="00063218" w14:paraId="64E7C7F6" w14:textId="77777777" w:rsidTr="00E13086">
        <w:tc>
          <w:tcPr>
            <w:tcW w:w="1012" w:type="pct"/>
            <w:tcBorders>
              <w:top w:val="nil"/>
              <w:left w:val="single" w:sz="8" w:space="0" w:color="auto"/>
              <w:bottom w:val="single" w:sz="8" w:space="0" w:color="auto"/>
              <w:right w:val="single" w:sz="8" w:space="0" w:color="auto"/>
            </w:tcBorders>
            <w:vAlign w:val="center"/>
            <w:hideMark/>
          </w:tcPr>
          <w:p w14:paraId="7837E623" w14:textId="708DC2F4" w:rsidR="00E13086" w:rsidRPr="00536AB6" w:rsidRDefault="000F7BE0" w:rsidP="00E13086">
            <w:pPr>
              <w:widowControl/>
              <w:autoSpaceDE/>
              <w:autoSpaceDN/>
              <w:adjustRightInd/>
              <w:rPr>
                <w:rFonts w:asciiTheme="majorHAnsi" w:hAnsiTheme="majorHAnsi" w:cs="Calibri"/>
                <w:color w:val="000000"/>
              </w:rPr>
            </w:pPr>
            <w:r>
              <w:rPr>
                <w:rFonts w:asciiTheme="majorHAnsi" w:hAnsiTheme="majorHAnsi"/>
                <w:color w:val="000000"/>
              </w:rPr>
              <w:t>Belice</w:t>
            </w:r>
          </w:p>
        </w:tc>
        <w:tc>
          <w:tcPr>
            <w:tcW w:w="3988" w:type="pct"/>
            <w:tcBorders>
              <w:top w:val="nil"/>
              <w:left w:val="nil"/>
              <w:bottom w:val="single" w:sz="8" w:space="0" w:color="auto"/>
              <w:right w:val="single" w:sz="8" w:space="0" w:color="auto"/>
            </w:tcBorders>
            <w:vAlign w:val="center"/>
            <w:hideMark/>
          </w:tcPr>
          <w:p w14:paraId="1384B386" w14:textId="0A109D8A" w:rsidR="00E13086" w:rsidRPr="004A45B8" w:rsidRDefault="00366A78" w:rsidP="00E13086">
            <w:pPr>
              <w:widowControl/>
              <w:autoSpaceDE/>
              <w:autoSpaceDN/>
              <w:adjustRightInd/>
              <w:jc w:val="both"/>
              <w:rPr>
                <w:rFonts w:asciiTheme="majorHAnsi" w:hAnsiTheme="majorHAnsi" w:cs="Calibri"/>
              </w:rPr>
            </w:pPr>
            <w:r w:rsidRPr="004A45B8">
              <w:rPr>
                <w:rFonts w:asciiTheme="majorHAnsi" w:hAnsiTheme="majorHAnsi"/>
              </w:rPr>
              <w:t>Belice ha establecido un límite de captura fortuita a bordo en todas las especies, incluido el atún blanco del norte. El límite de captura fortuita establecido para los buques no autorizados a pescar esta especie exclusivamente es de 10mt. Esta cantidad se descuenta de la asignación de cuota total de Belice. Sin embargo, no tenemos ningún buque que haya comunicado captura fortuita de atún blanco del norte.</w:t>
            </w:r>
          </w:p>
        </w:tc>
      </w:tr>
      <w:tr w:rsidR="00E13086" w:rsidRPr="00063218" w14:paraId="49E573EA" w14:textId="77777777" w:rsidTr="00E13086">
        <w:tc>
          <w:tcPr>
            <w:tcW w:w="1012" w:type="pct"/>
            <w:tcBorders>
              <w:top w:val="nil"/>
              <w:left w:val="single" w:sz="8" w:space="0" w:color="auto"/>
              <w:bottom w:val="single" w:sz="8" w:space="0" w:color="auto"/>
              <w:right w:val="single" w:sz="8" w:space="0" w:color="auto"/>
            </w:tcBorders>
            <w:vAlign w:val="center"/>
            <w:hideMark/>
          </w:tcPr>
          <w:p w14:paraId="2AEF0F9F" w14:textId="1BCE20F6" w:rsidR="00E13086" w:rsidRPr="00536AB6" w:rsidRDefault="000F7BE0" w:rsidP="00E13086">
            <w:pPr>
              <w:widowControl/>
              <w:autoSpaceDE/>
              <w:autoSpaceDN/>
              <w:adjustRightInd/>
              <w:rPr>
                <w:rFonts w:asciiTheme="majorHAnsi" w:hAnsiTheme="majorHAnsi" w:cs="Calibri"/>
                <w:color w:val="000000"/>
              </w:rPr>
            </w:pPr>
            <w:r>
              <w:rPr>
                <w:rFonts w:asciiTheme="majorHAnsi" w:hAnsiTheme="majorHAnsi"/>
                <w:color w:val="000000"/>
              </w:rPr>
              <w:t>China</w:t>
            </w:r>
          </w:p>
        </w:tc>
        <w:tc>
          <w:tcPr>
            <w:tcW w:w="3988" w:type="pct"/>
            <w:tcBorders>
              <w:top w:val="nil"/>
              <w:left w:val="nil"/>
              <w:bottom w:val="single" w:sz="8" w:space="0" w:color="auto"/>
              <w:right w:val="single" w:sz="8" w:space="0" w:color="auto"/>
            </w:tcBorders>
            <w:vAlign w:val="center"/>
            <w:hideMark/>
          </w:tcPr>
          <w:p w14:paraId="303705C7" w14:textId="6FB88636" w:rsidR="00E13086" w:rsidRPr="004A45B8" w:rsidRDefault="00A74100" w:rsidP="00E13086">
            <w:pPr>
              <w:widowControl/>
              <w:autoSpaceDE/>
              <w:autoSpaceDN/>
              <w:adjustRightInd/>
              <w:jc w:val="both"/>
              <w:rPr>
                <w:rFonts w:asciiTheme="majorHAnsi" w:hAnsiTheme="majorHAnsi" w:cs="Calibri"/>
              </w:rPr>
            </w:pPr>
            <w:r w:rsidRPr="004A45B8">
              <w:rPr>
                <w:rFonts w:asciiTheme="majorHAnsi" w:hAnsiTheme="majorHAnsi"/>
              </w:rPr>
              <w:t>China no cuenta con buques que se dirijan al atún blanco del Atlántico norte ni al atún blanco del Atlántico sur, todo el atún blanco se captura de forma fortuita y cualquier palangrero tropical puede capturar atún blanco de forma fortuita. En 2025, China dispone de 357,93 t de cuota de atún blanco del norte y 300 t de atún blanco del sur. China estableció un límite de capturas de atún blanco del norte y atún blanco del sur para cada palangrero basado en el TAC asignado a China según las Recomendaciones para el atún blanco del norte y para el atún blanco del sur. Cada buque debe respetar estrictamente el límite de capturas que se le haya fijado.</w:t>
            </w:r>
          </w:p>
        </w:tc>
      </w:tr>
      <w:tr w:rsidR="00E13086" w:rsidRPr="0091340C" w14:paraId="0F0A8A02" w14:textId="77777777" w:rsidTr="00E13086">
        <w:tc>
          <w:tcPr>
            <w:tcW w:w="1012" w:type="pct"/>
            <w:tcBorders>
              <w:top w:val="nil"/>
              <w:left w:val="single" w:sz="8" w:space="0" w:color="auto"/>
              <w:bottom w:val="single" w:sz="8" w:space="0" w:color="auto"/>
              <w:right w:val="single" w:sz="8" w:space="0" w:color="auto"/>
            </w:tcBorders>
            <w:noWrap/>
            <w:vAlign w:val="center"/>
            <w:hideMark/>
          </w:tcPr>
          <w:p w14:paraId="0000C214" w14:textId="79FCAB01" w:rsidR="00E13086" w:rsidRPr="00536AB6" w:rsidRDefault="000F7BE0" w:rsidP="00E13086">
            <w:pPr>
              <w:widowControl/>
              <w:autoSpaceDE/>
              <w:autoSpaceDN/>
              <w:adjustRightInd/>
              <w:rPr>
                <w:rFonts w:asciiTheme="majorHAnsi" w:hAnsiTheme="majorHAnsi" w:cs="Calibri"/>
                <w:color w:val="000000"/>
              </w:rPr>
            </w:pPr>
            <w:r>
              <w:rPr>
                <w:rFonts w:asciiTheme="majorHAnsi" w:hAnsiTheme="majorHAnsi"/>
                <w:color w:val="000000"/>
              </w:rPr>
              <w:t>Curazao</w:t>
            </w:r>
          </w:p>
        </w:tc>
        <w:tc>
          <w:tcPr>
            <w:tcW w:w="3988" w:type="pct"/>
            <w:tcBorders>
              <w:top w:val="nil"/>
              <w:left w:val="nil"/>
              <w:bottom w:val="single" w:sz="8" w:space="0" w:color="auto"/>
              <w:right w:val="single" w:sz="8" w:space="0" w:color="auto"/>
            </w:tcBorders>
            <w:vAlign w:val="center"/>
            <w:hideMark/>
          </w:tcPr>
          <w:p w14:paraId="38221849" w14:textId="7A3C05F7" w:rsidR="00E13086" w:rsidRPr="004A45B8" w:rsidRDefault="00A74100" w:rsidP="00E13086">
            <w:pPr>
              <w:widowControl/>
              <w:autoSpaceDE/>
              <w:autoSpaceDN/>
              <w:adjustRightInd/>
              <w:jc w:val="both"/>
              <w:rPr>
                <w:rFonts w:asciiTheme="majorHAnsi" w:hAnsiTheme="majorHAnsi" w:cs="Calibri"/>
                <w:color w:val="000000"/>
              </w:rPr>
            </w:pPr>
            <w:r w:rsidRPr="004A45B8">
              <w:rPr>
                <w:rFonts w:asciiTheme="majorHAnsi" w:hAnsiTheme="majorHAnsi"/>
                <w:color w:val="000000"/>
              </w:rPr>
              <w:t>No había ningún buque pesquero autorizado para realizar actividades pesqueras. En lo que respecta a las actividades pesqueras, la Resolución 16-06 limita las capturas fortuitas de atún blanco del norte. Curazao estableció, de común acuerdo con los buques, un límite de 200 t.</w:t>
            </w:r>
          </w:p>
        </w:tc>
      </w:tr>
      <w:tr w:rsidR="00A74100" w:rsidRPr="00063218" w14:paraId="2C11B7F6" w14:textId="77777777" w:rsidTr="006D1FBF">
        <w:tc>
          <w:tcPr>
            <w:tcW w:w="1012" w:type="pct"/>
            <w:tcBorders>
              <w:top w:val="nil"/>
              <w:left w:val="single" w:sz="8" w:space="0" w:color="auto"/>
              <w:bottom w:val="single" w:sz="8" w:space="0" w:color="auto"/>
              <w:right w:val="single" w:sz="8" w:space="0" w:color="auto"/>
            </w:tcBorders>
            <w:noWrap/>
            <w:hideMark/>
          </w:tcPr>
          <w:p w14:paraId="225D15B1" w14:textId="6A82FB64" w:rsidR="00A74100" w:rsidRPr="00536AB6" w:rsidRDefault="00A74100" w:rsidP="00A74100">
            <w:pPr>
              <w:widowControl/>
              <w:autoSpaceDE/>
              <w:autoSpaceDN/>
              <w:adjustRightInd/>
              <w:rPr>
                <w:rFonts w:asciiTheme="majorHAnsi" w:hAnsiTheme="majorHAnsi" w:cs="Calibri"/>
                <w:color w:val="000000"/>
              </w:rPr>
            </w:pPr>
            <w:r>
              <w:rPr>
                <w:rFonts w:asciiTheme="majorHAnsi" w:hAnsiTheme="majorHAnsi"/>
              </w:rPr>
              <w:t>Unión Europea</w:t>
            </w:r>
          </w:p>
        </w:tc>
        <w:tc>
          <w:tcPr>
            <w:tcW w:w="3988" w:type="pct"/>
            <w:tcBorders>
              <w:top w:val="nil"/>
              <w:left w:val="nil"/>
              <w:bottom w:val="single" w:sz="8" w:space="0" w:color="auto"/>
              <w:right w:val="single" w:sz="8" w:space="0" w:color="auto"/>
            </w:tcBorders>
            <w:hideMark/>
          </w:tcPr>
          <w:p w14:paraId="6815EC28" w14:textId="3DF30AA3" w:rsidR="00A74100" w:rsidRPr="00363D7D" w:rsidRDefault="00A74100" w:rsidP="00A74100">
            <w:pPr>
              <w:widowControl/>
              <w:autoSpaceDE/>
              <w:autoSpaceDN/>
              <w:adjustRightInd/>
              <w:jc w:val="both"/>
              <w:rPr>
                <w:rFonts w:asciiTheme="majorHAnsi" w:hAnsiTheme="majorHAnsi" w:cs="Calibri"/>
                <w:color w:val="000000"/>
              </w:rPr>
            </w:pPr>
            <w:r w:rsidRPr="00363D7D">
              <w:rPr>
                <w:rFonts w:asciiTheme="majorHAnsi" w:hAnsiTheme="majorHAnsi"/>
              </w:rPr>
              <w:t>En la Sección 2 de su Informe anual se incluye información adicional.</w:t>
            </w:r>
          </w:p>
        </w:tc>
      </w:tr>
    </w:tbl>
    <w:p w14:paraId="3FC9FC05" w14:textId="77777777" w:rsidR="00E13086" w:rsidRPr="00364A87" w:rsidRDefault="00E13086" w:rsidP="00827721">
      <w:pPr>
        <w:tabs>
          <w:tab w:val="left" w:pos="851"/>
          <w:tab w:val="left" w:pos="1276"/>
          <w:tab w:val="left" w:pos="1418"/>
          <w:tab w:val="left" w:leader="dot" w:pos="8222"/>
          <w:tab w:val="right" w:pos="8647"/>
        </w:tabs>
        <w:jc w:val="both"/>
        <w:rPr>
          <w:rFonts w:asciiTheme="majorHAnsi" w:hAnsiTheme="majorHAnsi"/>
          <w:color w:val="000000"/>
        </w:rPr>
      </w:pPr>
    </w:p>
    <w:p w14:paraId="6FAB85CD" w14:textId="218D3DBE" w:rsidR="00DC0214" w:rsidRPr="00536AB6" w:rsidRDefault="008F44BD" w:rsidP="00DC0214">
      <w:pPr>
        <w:tabs>
          <w:tab w:val="left" w:pos="1276"/>
          <w:tab w:val="left" w:pos="1418"/>
          <w:tab w:val="left" w:leader="dot" w:pos="8222"/>
          <w:tab w:val="right" w:pos="8647"/>
        </w:tabs>
        <w:jc w:val="both"/>
        <w:rPr>
          <w:rFonts w:asciiTheme="majorHAnsi" w:hAnsiTheme="majorHAnsi"/>
          <w:b/>
          <w:bCs/>
          <w:iCs/>
        </w:rPr>
      </w:pPr>
      <w:r>
        <w:rPr>
          <w:rFonts w:asciiTheme="majorHAnsi" w:hAnsiTheme="majorHAnsi"/>
          <w:color w:val="000000"/>
        </w:rPr>
        <w:t>Cabe señalar que lo anterior solo muestra las CPC que han indicado que se ha establecido un límite. En muchos casos, no se ha establecido un límite porque todos los buques pertinentes cuentan con licencia y/o porque no se permite la captura fortuita. Sin embargo, algunas de las respuestas sobre los límites máximos de captura fortuita no son coherentes, ya que las CPC no han leído o comprendido el requisito. En varios casos, se dan respuestas totalmente irrelevantes (por ejemplo: «no existe una pesquería dirigida a esta especie»; «no hay buques con pabellón XX que pesquen esta especie»).</w:t>
      </w:r>
    </w:p>
    <w:p w14:paraId="23999909" w14:textId="7E65223F" w:rsidR="008F44BD" w:rsidRPr="00364A87" w:rsidRDefault="008F44BD" w:rsidP="00827721">
      <w:pPr>
        <w:tabs>
          <w:tab w:val="left" w:pos="851"/>
          <w:tab w:val="left" w:pos="1276"/>
          <w:tab w:val="left" w:pos="1418"/>
          <w:tab w:val="left" w:leader="dot" w:pos="8222"/>
          <w:tab w:val="right" w:pos="8647"/>
        </w:tabs>
        <w:jc w:val="both"/>
        <w:rPr>
          <w:rFonts w:asciiTheme="majorHAnsi" w:hAnsiTheme="majorHAnsi"/>
          <w:bCs/>
          <w:iCs/>
        </w:rPr>
      </w:pPr>
    </w:p>
    <w:p w14:paraId="4E9E0023" w14:textId="6D0124E8" w:rsidR="00765C78" w:rsidRPr="00667671" w:rsidRDefault="00765C78" w:rsidP="00765C78">
      <w:pPr>
        <w:tabs>
          <w:tab w:val="left" w:pos="1276"/>
          <w:tab w:val="left" w:pos="1418"/>
          <w:tab w:val="left" w:leader="dot" w:pos="8222"/>
          <w:tab w:val="right" w:pos="8647"/>
        </w:tabs>
        <w:jc w:val="both"/>
        <w:rPr>
          <w:rFonts w:asciiTheme="majorHAnsi" w:hAnsiTheme="majorHAnsi"/>
          <w:bCs/>
        </w:rPr>
      </w:pPr>
      <w:r w:rsidRPr="00667671">
        <w:rPr>
          <w:rFonts w:asciiTheme="majorHAnsi" w:hAnsiTheme="majorHAnsi"/>
          <w:b/>
          <w:bCs/>
          <w:i/>
          <w:iCs/>
        </w:rPr>
        <w:t>Autorización específica para buques de atún blanco del norte:</w:t>
      </w:r>
      <w:r w:rsidRPr="00667671">
        <w:rPr>
          <w:rFonts w:asciiTheme="majorHAnsi" w:hAnsiTheme="majorHAnsi"/>
          <w:i/>
          <w:iCs/>
        </w:rPr>
        <w:t xml:space="preserve"> </w:t>
      </w:r>
      <w:r w:rsidRPr="00667671">
        <w:rPr>
          <w:rFonts w:asciiTheme="majorHAnsi" w:hAnsiTheme="majorHAnsi"/>
        </w:rPr>
        <w:t xml:space="preserve">los buques autorizados de 20 m o más con autorizaciones específicas para el atún blanco del norte pueden consultarse en el </w:t>
      </w:r>
      <w:hyperlink r:id="rId16" w:history="1">
        <w:r w:rsidRPr="00667671">
          <w:rPr>
            <w:rStyle w:val="Hyperlink"/>
            <w:rFonts w:asciiTheme="majorHAnsi" w:hAnsiTheme="majorHAnsi"/>
            <w:u w:val="none"/>
          </w:rPr>
          <w:t>Registro ICCAT de buques</w:t>
        </w:r>
      </w:hyperlink>
      <w:r w:rsidRPr="00667671">
        <w:rPr>
          <w:rFonts w:asciiTheme="majorHAnsi" w:hAnsiTheme="majorHAnsi"/>
        </w:rPr>
        <w:t>.</w:t>
      </w:r>
    </w:p>
    <w:p w14:paraId="1E78194E" w14:textId="77777777" w:rsidR="00765C78" w:rsidRPr="00364A87" w:rsidRDefault="00765C78" w:rsidP="00765C78">
      <w:pPr>
        <w:tabs>
          <w:tab w:val="left" w:pos="1276"/>
          <w:tab w:val="left" w:pos="1418"/>
          <w:tab w:val="left" w:leader="dot" w:pos="8222"/>
          <w:tab w:val="right" w:pos="8647"/>
        </w:tabs>
        <w:jc w:val="both"/>
        <w:rPr>
          <w:rFonts w:asciiTheme="majorHAnsi" w:hAnsiTheme="majorHAnsi"/>
          <w:bCs/>
        </w:rPr>
      </w:pPr>
    </w:p>
    <w:p w14:paraId="2842234F" w14:textId="77777777" w:rsidR="00667671" w:rsidRDefault="00667671" w:rsidP="005B120F">
      <w:pPr>
        <w:tabs>
          <w:tab w:val="left" w:pos="1276"/>
          <w:tab w:val="left" w:pos="1418"/>
          <w:tab w:val="left" w:leader="dot" w:pos="8222"/>
          <w:tab w:val="right" w:pos="8647"/>
        </w:tabs>
        <w:jc w:val="both"/>
        <w:rPr>
          <w:rFonts w:asciiTheme="majorHAnsi" w:hAnsiTheme="majorHAnsi"/>
        </w:rPr>
      </w:pPr>
    </w:p>
    <w:p w14:paraId="64D7255A" w14:textId="39EBDB20" w:rsidR="00765C78" w:rsidRPr="00536AB6" w:rsidRDefault="00765C78" w:rsidP="005B120F">
      <w:pPr>
        <w:tabs>
          <w:tab w:val="left" w:pos="1276"/>
          <w:tab w:val="left" w:pos="1418"/>
          <w:tab w:val="left" w:leader="dot" w:pos="8222"/>
          <w:tab w:val="right" w:pos="8647"/>
        </w:tabs>
        <w:jc w:val="both"/>
        <w:rPr>
          <w:rFonts w:asciiTheme="majorHAnsi" w:hAnsiTheme="majorHAnsi"/>
          <w:bCs/>
          <w:i/>
        </w:rPr>
      </w:pPr>
      <w:r>
        <w:rPr>
          <w:rFonts w:asciiTheme="majorHAnsi" w:hAnsiTheme="majorHAnsi"/>
        </w:rPr>
        <w:t>Una CPC con cuota actualmente no tienen buques (de 20 m o más) inscritos en el Registro ICCAT de buques autorizados a capturar atún blanco del norte: Venezuela</w:t>
      </w:r>
    </w:p>
    <w:p w14:paraId="7E0ADEF8" w14:textId="77777777" w:rsidR="00765C78" w:rsidRPr="00364A87" w:rsidRDefault="00765C78" w:rsidP="00D5335E">
      <w:pPr>
        <w:tabs>
          <w:tab w:val="left" w:pos="851"/>
          <w:tab w:val="left" w:pos="1276"/>
          <w:tab w:val="left" w:pos="1418"/>
          <w:tab w:val="left" w:leader="dot" w:pos="8222"/>
          <w:tab w:val="right" w:pos="8647"/>
        </w:tabs>
        <w:rPr>
          <w:rFonts w:asciiTheme="majorHAnsi" w:hAnsiTheme="majorHAnsi"/>
          <w:bCs/>
          <w:i/>
        </w:rPr>
      </w:pPr>
    </w:p>
    <w:p w14:paraId="530716F3" w14:textId="5664672E" w:rsidR="00F62486" w:rsidRPr="00536AB6" w:rsidRDefault="00501981" w:rsidP="00D5335E">
      <w:pPr>
        <w:tabs>
          <w:tab w:val="left" w:pos="851"/>
          <w:tab w:val="left" w:pos="1276"/>
          <w:tab w:val="left" w:pos="1418"/>
          <w:tab w:val="left" w:leader="dot" w:pos="8222"/>
          <w:tab w:val="right" w:pos="8647"/>
        </w:tabs>
        <w:rPr>
          <w:rFonts w:asciiTheme="majorHAnsi" w:hAnsiTheme="majorHAnsi"/>
          <w:i/>
        </w:rPr>
      </w:pPr>
      <w:r>
        <w:rPr>
          <w:rFonts w:asciiTheme="majorHAnsi" w:hAnsiTheme="majorHAnsi"/>
          <w:i/>
        </w:rPr>
        <w:t>[Rec. 22-06] Recomendación de ICCAT sobre límites de captura de atún blanco del Atlántico sur para el periodo 2023-2026</w:t>
      </w:r>
    </w:p>
    <w:p w14:paraId="79827FD8" w14:textId="77777777" w:rsidR="00E632BF" w:rsidRPr="00364A87" w:rsidRDefault="00E632BF" w:rsidP="00820485">
      <w:pPr>
        <w:tabs>
          <w:tab w:val="left" w:pos="1276"/>
          <w:tab w:val="left" w:pos="1418"/>
          <w:tab w:val="left" w:leader="dot" w:pos="8222"/>
          <w:tab w:val="right" w:pos="8647"/>
        </w:tabs>
        <w:ind w:firstLine="426"/>
        <w:rPr>
          <w:rFonts w:asciiTheme="majorHAnsi" w:hAnsiTheme="majorHAnsi"/>
          <w:bCs/>
          <w:i/>
        </w:rPr>
      </w:pPr>
    </w:p>
    <w:p w14:paraId="10BA9BEE" w14:textId="7F425882" w:rsidR="00A660C1" w:rsidRPr="00536AB6" w:rsidRDefault="00A660C1" w:rsidP="00A660C1">
      <w:pPr>
        <w:tabs>
          <w:tab w:val="left" w:pos="1276"/>
          <w:tab w:val="left" w:pos="1418"/>
          <w:tab w:val="left" w:leader="dot" w:pos="8222"/>
          <w:tab w:val="right" w:pos="8647"/>
        </w:tabs>
        <w:jc w:val="both"/>
        <w:rPr>
          <w:rFonts w:asciiTheme="majorHAnsi" w:hAnsiTheme="majorHAnsi"/>
          <w:bCs/>
        </w:rPr>
      </w:pPr>
      <w:r>
        <w:rPr>
          <w:rFonts w:asciiTheme="majorHAnsi" w:hAnsiTheme="majorHAnsi"/>
          <w:b/>
          <w:bCs/>
          <w:i/>
          <w:iCs/>
        </w:rPr>
        <w:t>Cumplimiento de las cuotas/límites de captura:</w:t>
      </w:r>
      <w:r>
        <w:rPr>
          <w:rFonts w:asciiTheme="majorHAnsi" w:hAnsiTheme="majorHAnsi"/>
        </w:rPr>
        <w:t xml:space="preserve"> Véase el documento "Tablas de cumplimiento de 2025 recibidas en 2026" [COC_304/2026].</w:t>
      </w:r>
    </w:p>
    <w:p w14:paraId="43121CE8" w14:textId="77777777" w:rsidR="00145308" w:rsidRPr="00364A87" w:rsidRDefault="00145308" w:rsidP="00820485">
      <w:pPr>
        <w:tabs>
          <w:tab w:val="left" w:pos="1276"/>
          <w:tab w:val="left" w:pos="1418"/>
          <w:tab w:val="left" w:leader="dot" w:pos="8222"/>
          <w:tab w:val="right" w:pos="8647"/>
        </w:tabs>
        <w:rPr>
          <w:rStyle w:val="Hyperlink"/>
          <w:rFonts w:asciiTheme="majorHAnsi" w:hAnsiTheme="majorHAnsi"/>
          <w:bCs/>
        </w:rPr>
      </w:pPr>
    </w:p>
    <w:p w14:paraId="5A75DBAB" w14:textId="04DC9104" w:rsidR="007F158F" w:rsidRPr="00536AB6" w:rsidRDefault="005E0BFB" w:rsidP="00820485">
      <w:pPr>
        <w:tabs>
          <w:tab w:val="left" w:pos="1276"/>
          <w:tab w:val="left" w:pos="1418"/>
          <w:tab w:val="left" w:leader="dot" w:pos="8222"/>
          <w:tab w:val="right" w:pos="8647"/>
        </w:tabs>
        <w:jc w:val="both"/>
        <w:rPr>
          <w:rFonts w:asciiTheme="majorHAnsi" w:hAnsiTheme="majorHAnsi"/>
        </w:rPr>
      </w:pPr>
      <w:r>
        <w:rPr>
          <w:rFonts w:asciiTheme="majorHAnsi" w:hAnsiTheme="majorHAnsi"/>
        </w:rPr>
        <w:t>De conformidad con el párrafo 11 de la Rec. 22-06, las siguientes CPC han informado en sus informes anuales del límite máximo de captura fortuita a bordo de atún blanco del sur:</w:t>
      </w:r>
    </w:p>
    <w:p w14:paraId="77D2E54E" w14:textId="77777777" w:rsidR="009B47A0" w:rsidRPr="00364A87" w:rsidRDefault="009B47A0" w:rsidP="00820485">
      <w:pPr>
        <w:tabs>
          <w:tab w:val="left" w:pos="1276"/>
          <w:tab w:val="left" w:pos="1418"/>
          <w:tab w:val="left" w:leader="dot" w:pos="8222"/>
          <w:tab w:val="right" w:pos="8647"/>
        </w:tabs>
        <w:jc w:val="both"/>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0"/>
        <w:gridCol w:w="7455"/>
      </w:tblGrid>
      <w:tr w:rsidR="009B47A0" w:rsidRPr="00536AB6" w14:paraId="3E603646" w14:textId="77777777" w:rsidTr="006D1FBF">
        <w:trPr>
          <w:trHeight w:val="315"/>
          <w:tblHeader/>
        </w:trPr>
        <w:tc>
          <w:tcPr>
            <w:tcW w:w="888" w:type="pct"/>
            <w:noWrap/>
            <w:vAlign w:val="center"/>
            <w:hideMark/>
          </w:tcPr>
          <w:p w14:paraId="2DECEB1B" w14:textId="77777777" w:rsidR="009B47A0" w:rsidRPr="004E3234" w:rsidRDefault="009B47A0" w:rsidP="009B47A0">
            <w:pPr>
              <w:widowControl/>
              <w:autoSpaceDE/>
              <w:autoSpaceDN/>
              <w:adjustRightInd/>
              <w:jc w:val="center"/>
              <w:rPr>
                <w:rFonts w:asciiTheme="majorHAnsi" w:hAnsiTheme="majorHAnsi" w:cs="Calibri"/>
                <w:i/>
                <w:iCs/>
                <w:color w:val="000000"/>
              </w:rPr>
            </w:pPr>
            <w:r w:rsidRPr="004E3234">
              <w:rPr>
                <w:rFonts w:asciiTheme="majorHAnsi" w:hAnsiTheme="majorHAnsi"/>
                <w:i/>
                <w:color w:val="000000"/>
              </w:rPr>
              <w:t>CPC</w:t>
            </w:r>
          </w:p>
        </w:tc>
        <w:tc>
          <w:tcPr>
            <w:tcW w:w="4112" w:type="pct"/>
            <w:vAlign w:val="center"/>
            <w:hideMark/>
          </w:tcPr>
          <w:p w14:paraId="75043B34" w14:textId="77777777" w:rsidR="009B47A0" w:rsidRPr="004E3234" w:rsidRDefault="009B47A0" w:rsidP="009B47A0">
            <w:pPr>
              <w:widowControl/>
              <w:autoSpaceDE/>
              <w:autoSpaceDN/>
              <w:adjustRightInd/>
              <w:jc w:val="center"/>
              <w:rPr>
                <w:rFonts w:asciiTheme="majorHAnsi" w:hAnsiTheme="majorHAnsi" w:cs="Calibri"/>
                <w:i/>
                <w:iCs/>
                <w:color w:val="000000"/>
              </w:rPr>
            </w:pPr>
            <w:r w:rsidRPr="004E3234">
              <w:rPr>
                <w:rFonts w:asciiTheme="majorHAnsi" w:hAnsiTheme="majorHAnsi"/>
                <w:i/>
                <w:color w:val="000000"/>
              </w:rPr>
              <w:t>Respuesta</w:t>
            </w:r>
          </w:p>
        </w:tc>
      </w:tr>
      <w:tr w:rsidR="00096831" w:rsidRPr="00063218" w14:paraId="19C3DD6D" w14:textId="77777777" w:rsidTr="006D1FBF">
        <w:trPr>
          <w:trHeight w:val="315"/>
          <w:tblHeader/>
        </w:trPr>
        <w:tc>
          <w:tcPr>
            <w:tcW w:w="888" w:type="pct"/>
            <w:noWrap/>
            <w:vAlign w:val="center"/>
          </w:tcPr>
          <w:p w14:paraId="2DEA1CC8" w14:textId="44D63C27" w:rsidR="00096831" w:rsidRPr="004E3234" w:rsidRDefault="00096831" w:rsidP="006D1FBF">
            <w:pPr>
              <w:widowControl/>
              <w:autoSpaceDE/>
              <w:autoSpaceDN/>
              <w:adjustRightInd/>
              <w:rPr>
                <w:rFonts w:asciiTheme="majorHAnsi" w:hAnsiTheme="majorHAnsi" w:cs="Calibri"/>
                <w:color w:val="000000"/>
              </w:rPr>
            </w:pPr>
            <w:r w:rsidRPr="004E3234">
              <w:rPr>
                <w:rFonts w:asciiTheme="majorHAnsi" w:hAnsiTheme="majorHAnsi"/>
                <w:color w:val="000000"/>
              </w:rPr>
              <w:t>Angola</w:t>
            </w:r>
          </w:p>
        </w:tc>
        <w:tc>
          <w:tcPr>
            <w:tcW w:w="4112" w:type="pct"/>
            <w:vAlign w:val="center"/>
          </w:tcPr>
          <w:p w14:paraId="095EED57" w14:textId="4602ED20" w:rsidR="00096831" w:rsidRPr="004E3234" w:rsidRDefault="00096831" w:rsidP="006D1FBF">
            <w:pPr>
              <w:widowControl/>
              <w:autoSpaceDE/>
              <w:autoSpaceDN/>
              <w:adjustRightInd/>
              <w:jc w:val="both"/>
              <w:rPr>
                <w:rFonts w:asciiTheme="majorHAnsi" w:hAnsiTheme="majorHAnsi" w:cs="Calibri"/>
                <w:color w:val="000000"/>
              </w:rPr>
            </w:pPr>
            <w:r w:rsidRPr="004E3234">
              <w:rPr>
                <w:rFonts w:asciiTheme="majorHAnsi" w:hAnsiTheme="majorHAnsi"/>
                <w:color w:val="000000"/>
              </w:rPr>
              <w:t>El límite máximo autorizado es del 5 %, y esta información figura en el Informe anual.</w:t>
            </w:r>
          </w:p>
        </w:tc>
      </w:tr>
      <w:tr w:rsidR="009B47A0" w:rsidRPr="00063218" w14:paraId="150523BB" w14:textId="77777777" w:rsidTr="006D1FBF">
        <w:trPr>
          <w:trHeight w:val="1290"/>
        </w:trPr>
        <w:tc>
          <w:tcPr>
            <w:tcW w:w="888" w:type="pct"/>
            <w:noWrap/>
            <w:vAlign w:val="center"/>
            <w:hideMark/>
          </w:tcPr>
          <w:p w14:paraId="0C0EE2FD" w14:textId="552E6791" w:rsidR="009B47A0" w:rsidRPr="004E3234" w:rsidRDefault="00C928F2" w:rsidP="009B47A0">
            <w:pPr>
              <w:widowControl/>
              <w:autoSpaceDE/>
              <w:autoSpaceDN/>
              <w:adjustRightInd/>
              <w:rPr>
                <w:rFonts w:asciiTheme="majorHAnsi" w:hAnsiTheme="majorHAnsi" w:cs="Calibri"/>
                <w:color w:val="000000"/>
              </w:rPr>
            </w:pPr>
            <w:r w:rsidRPr="004E3234">
              <w:rPr>
                <w:rFonts w:asciiTheme="majorHAnsi" w:hAnsiTheme="majorHAnsi"/>
                <w:color w:val="000000"/>
              </w:rPr>
              <w:t>Belice</w:t>
            </w:r>
          </w:p>
        </w:tc>
        <w:tc>
          <w:tcPr>
            <w:tcW w:w="4112" w:type="pct"/>
            <w:vAlign w:val="center"/>
            <w:hideMark/>
          </w:tcPr>
          <w:p w14:paraId="3226C94C" w14:textId="02209F0B" w:rsidR="009B47A0" w:rsidRPr="004E3234" w:rsidRDefault="00096831" w:rsidP="00096831">
            <w:pPr>
              <w:widowControl/>
              <w:autoSpaceDE/>
              <w:autoSpaceDN/>
              <w:adjustRightInd/>
              <w:jc w:val="both"/>
              <w:rPr>
                <w:rFonts w:asciiTheme="majorHAnsi" w:hAnsiTheme="majorHAnsi" w:cs="Calibri"/>
              </w:rPr>
            </w:pPr>
            <w:r w:rsidRPr="004E3234">
              <w:rPr>
                <w:rFonts w:asciiTheme="majorHAnsi" w:hAnsiTheme="majorHAnsi"/>
              </w:rPr>
              <w:t xml:space="preserve">Belice ha establecido un límite captura fortuita a bordo en todas las especies, incluido el atún blanco del norte. El límite de captura fortuita establecido para los buques no autorizados a pescar esta especie exclusivamente es de 10 t. Esta cantidad se descuenta de la asignación de cuota total de Belice. Sin embargo, no tenemos ningún buque que haya comunicado captura fortuita de atún blanco del </w:t>
            </w:r>
            <w:proofErr w:type="gramStart"/>
            <w:r w:rsidRPr="004E3234">
              <w:rPr>
                <w:rFonts w:asciiTheme="majorHAnsi" w:hAnsiTheme="majorHAnsi"/>
              </w:rPr>
              <w:t>sur..</w:t>
            </w:r>
            <w:proofErr w:type="gramEnd"/>
          </w:p>
        </w:tc>
      </w:tr>
      <w:tr w:rsidR="009B47A0" w:rsidRPr="00063218" w14:paraId="3BC1ECB7" w14:textId="77777777" w:rsidTr="006D1FBF">
        <w:trPr>
          <w:trHeight w:val="1290"/>
        </w:trPr>
        <w:tc>
          <w:tcPr>
            <w:tcW w:w="888" w:type="pct"/>
            <w:noWrap/>
            <w:vAlign w:val="center"/>
            <w:hideMark/>
          </w:tcPr>
          <w:p w14:paraId="01387C7A" w14:textId="16EB4811" w:rsidR="009B47A0" w:rsidRPr="004E3234" w:rsidRDefault="00C928F2" w:rsidP="009B47A0">
            <w:pPr>
              <w:widowControl/>
              <w:autoSpaceDE/>
              <w:autoSpaceDN/>
              <w:adjustRightInd/>
              <w:rPr>
                <w:rFonts w:asciiTheme="majorHAnsi" w:hAnsiTheme="majorHAnsi" w:cs="Calibri"/>
                <w:color w:val="000000"/>
              </w:rPr>
            </w:pPr>
            <w:r w:rsidRPr="004E3234">
              <w:rPr>
                <w:rFonts w:asciiTheme="majorHAnsi" w:hAnsiTheme="majorHAnsi"/>
                <w:color w:val="000000"/>
              </w:rPr>
              <w:t>China</w:t>
            </w:r>
          </w:p>
        </w:tc>
        <w:tc>
          <w:tcPr>
            <w:tcW w:w="4112" w:type="pct"/>
            <w:vAlign w:val="center"/>
            <w:hideMark/>
          </w:tcPr>
          <w:p w14:paraId="6F0C08FE" w14:textId="4A297E7F" w:rsidR="009B47A0" w:rsidRPr="004E3234" w:rsidRDefault="00A74100" w:rsidP="00096831">
            <w:pPr>
              <w:widowControl/>
              <w:autoSpaceDE/>
              <w:autoSpaceDN/>
              <w:adjustRightInd/>
              <w:jc w:val="both"/>
              <w:rPr>
                <w:rFonts w:asciiTheme="majorHAnsi" w:hAnsiTheme="majorHAnsi" w:cs="Calibri"/>
              </w:rPr>
            </w:pPr>
            <w:r w:rsidRPr="004E3234">
              <w:rPr>
                <w:rFonts w:asciiTheme="majorHAnsi" w:hAnsiTheme="majorHAnsi"/>
              </w:rPr>
              <w:t>China no cuenta con buques que se dirijan al atún blanco del Atlántico norte ni al atún blanco del Atlántico sur, todo el atún blanco se captura de forma fortuita y cualquier palangrero tropical puede capturar atún blanco de forma fortuita. En 2025, China dispone de 357,93 t de cuota de atún blanco del norte y 300 t de atún blanco del sur. China estableció un límite de capturas de atún blanco del norte y atún blanco del sur para cada palangrero basado en el TAC asignado a China según las Recomendaciones para el atún blanco del norte y para el atún blanco del sur. Cada buque debe respetar estrictamente el límite de capturas que se le haya fijado.</w:t>
            </w:r>
          </w:p>
        </w:tc>
      </w:tr>
      <w:tr w:rsidR="009B47A0" w:rsidRPr="0091340C" w14:paraId="7CD3D380" w14:textId="77777777" w:rsidTr="006D1FBF">
        <w:trPr>
          <w:trHeight w:val="315"/>
        </w:trPr>
        <w:tc>
          <w:tcPr>
            <w:tcW w:w="888" w:type="pct"/>
            <w:noWrap/>
            <w:vAlign w:val="center"/>
            <w:hideMark/>
          </w:tcPr>
          <w:p w14:paraId="1C2D6A98" w14:textId="5A305089" w:rsidR="009B47A0" w:rsidRPr="004E3234" w:rsidRDefault="00C928F2" w:rsidP="009B47A0">
            <w:pPr>
              <w:widowControl/>
              <w:autoSpaceDE/>
              <w:autoSpaceDN/>
              <w:adjustRightInd/>
              <w:rPr>
                <w:rFonts w:asciiTheme="majorHAnsi" w:hAnsiTheme="majorHAnsi" w:cs="Calibri"/>
                <w:color w:val="000000"/>
              </w:rPr>
            </w:pPr>
            <w:r w:rsidRPr="004E3234">
              <w:rPr>
                <w:rFonts w:asciiTheme="majorHAnsi" w:hAnsiTheme="majorHAnsi"/>
                <w:color w:val="000000"/>
              </w:rPr>
              <w:t>Curazao</w:t>
            </w:r>
          </w:p>
        </w:tc>
        <w:tc>
          <w:tcPr>
            <w:tcW w:w="4112" w:type="pct"/>
            <w:vAlign w:val="center"/>
            <w:hideMark/>
          </w:tcPr>
          <w:p w14:paraId="155F1C78" w14:textId="51EA363F" w:rsidR="009B47A0" w:rsidRPr="004E3234" w:rsidRDefault="00096831" w:rsidP="00096831">
            <w:pPr>
              <w:widowControl/>
              <w:autoSpaceDE/>
              <w:autoSpaceDN/>
              <w:adjustRightInd/>
              <w:jc w:val="both"/>
              <w:rPr>
                <w:rFonts w:asciiTheme="majorHAnsi" w:hAnsiTheme="majorHAnsi" w:cs="Calibri"/>
              </w:rPr>
            </w:pPr>
            <w:r w:rsidRPr="004E3234">
              <w:rPr>
                <w:rFonts w:asciiTheme="majorHAnsi" w:hAnsiTheme="majorHAnsi"/>
              </w:rPr>
              <w:t>No había ningún buque pesquero autorizado para realizar actividades pesqueras. En lo que respecta a las actividades pesqueras, la Resolución 16-06 limita las capturas fortuitas de atún blanco sur. Curazao estableció, de común acuerdo con los buques, un límite de 50 t.</w:t>
            </w:r>
          </w:p>
        </w:tc>
      </w:tr>
      <w:tr w:rsidR="00A74100" w:rsidRPr="00063218" w14:paraId="6433CE57" w14:textId="77777777" w:rsidTr="006D1FBF">
        <w:trPr>
          <w:trHeight w:val="86"/>
        </w:trPr>
        <w:tc>
          <w:tcPr>
            <w:tcW w:w="888" w:type="pct"/>
            <w:noWrap/>
            <w:vAlign w:val="center"/>
            <w:hideMark/>
          </w:tcPr>
          <w:p w14:paraId="6565C045" w14:textId="4426A6E5" w:rsidR="00A74100" w:rsidRPr="004E3234" w:rsidRDefault="00A74100" w:rsidP="00A74100">
            <w:pPr>
              <w:widowControl/>
              <w:autoSpaceDE/>
              <w:autoSpaceDN/>
              <w:adjustRightInd/>
              <w:rPr>
                <w:rFonts w:asciiTheme="majorHAnsi" w:hAnsiTheme="majorHAnsi" w:cs="Calibri"/>
                <w:color w:val="000000"/>
              </w:rPr>
            </w:pPr>
            <w:r w:rsidRPr="004E3234">
              <w:rPr>
                <w:rFonts w:asciiTheme="majorHAnsi" w:hAnsiTheme="majorHAnsi"/>
                <w:color w:val="000000"/>
              </w:rPr>
              <w:t>Unión Europea</w:t>
            </w:r>
          </w:p>
        </w:tc>
        <w:tc>
          <w:tcPr>
            <w:tcW w:w="4112" w:type="pct"/>
            <w:hideMark/>
          </w:tcPr>
          <w:p w14:paraId="0B8E1121" w14:textId="732AFF6E" w:rsidR="00A74100" w:rsidRPr="004E3234" w:rsidRDefault="00A74100" w:rsidP="00096831">
            <w:pPr>
              <w:widowControl/>
              <w:autoSpaceDE/>
              <w:autoSpaceDN/>
              <w:adjustRightInd/>
              <w:jc w:val="both"/>
              <w:rPr>
                <w:rFonts w:asciiTheme="majorHAnsi" w:hAnsiTheme="majorHAnsi" w:cs="Calibri"/>
              </w:rPr>
            </w:pPr>
            <w:r w:rsidRPr="004E3234">
              <w:rPr>
                <w:rFonts w:asciiTheme="majorHAnsi" w:hAnsiTheme="majorHAnsi"/>
              </w:rPr>
              <w:t>En la Sección 2 de su Informe anual se incluye información adicional.</w:t>
            </w:r>
          </w:p>
        </w:tc>
      </w:tr>
      <w:tr w:rsidR="00096831" w:rsidRPr="00536AB6" w14:paraId="020896B2" w14:textId="77777777" w:rsidTr="006D1FBF">
        <w:trPr>
          <w:trHeight w:val="86"/>
        </w:trPr>
        <w:tc>
          <w:tcPr>
            <w:tcW w:w="888" w:type="pct"/>
            <w:noWrap/>
            <w:vAlign w:val="center"/>
          </w:tcPr>
          <w:p w14:paraId="7B5F7786" w14:textId="16291493" w:rsidR="00096831" w:rsidRPr="004E3234" w:rsidRDefault="00096831" w:rsidP="00A74100">
            <w:pPr>
              <w:widowControl/>
              <w:autoSpaceDE/>
              <w:autoSpaceDN/>
              <w:adjustRightInd/>
              <w:rPr>
                <w:rFonts w:asciiTheme="majorHAnsi" w:hAnsiTheme="majorHAnsi" w:cs="Calibri"/>
                <w:color w:val="000000"/>
              </w:rPr>
            </w:pPr>
            <w:r w:rsidRPr="004E3234">
              <w:rPr>
                <w:rFonts w:asciiTheme="majorHAnsi" w:hAnsiTheme="majorHAnsi"/>
                <w:color w:val="000000"/>
              </w:rPr>
              <w:t>Namibia</w:t>
            </w:r>
          </w:p>
        </w:tc>
        <w:tc>
          <w:tcPr>
            <w:tcW w:w="4112" w:type="pct"/>
          </w:tcPr>
          <w:p w14:paraId="187956EE" w14:textId="3F86C03A" w:rsidR="00096831" w:rsidRPr="004E3234" w:rsidRDefault="00096831" w:rsidP="00096831">
            <w:pPr>
              <w:widowControl/>
              <w:autoSpaceDE/>
              <w:autoSpaceDN/>
              <w:adjustRightInd/>
              <w:jc w:val="both"/>
              <w:rPr>
                <w:rFonts w:asciiTheme="majorHAnsi" w:hAnsiTheme="majorHAnsi"/>
              </w:rPr>
            </w:pPr>
            <w:r w:rsidRPr="004E3234">
              <w:rPr>
                <w:rFonts w:asciiTheme="majorHAnsi" w:hAnsiTheme="majorHAnsi"/>
              </w:rPr>
              <w:t>5%</w:t>
            </w:r>
          </w:p>
        </w:tc>
      </w:tr>
    </w:tbl>
    <w:p w14:paraId="04D44F3D" w14:textId="77777777" w:rsidR="009B47A0" w:rsidRPr="00536AB6" w:rsidRDefault="009B47A0" w:rsidP="00820485">
      <w:pPr>
        <w:tabs>
          <w:tab w:val="left" w:pos="851"/>
          <w:tab w:val="left" w:pos="1418"/>
          <w:tab w:val="left" w:leader="dot" w:pos="8222"/>
          <w:tab w:val="right" w:pos="8647"/>
        </w:tabs>
        <w:jc w:val="both"/>
        <w:rPr>
          <w:rFonts w:asciiTheme="majorHAnsi" w:hAnsiTheme="majorHAnsi" w:cs="Calibri"/>
          <w:color w:val="000000"/>
          <w:lang w:val="en-GB"/>
        </w:rPr>
      </w:pPr>
    </w:p>
    <w:p w14:paraId="2F630975" w14:textId="72273B69" w:rsidR="008F44BD" w:rsidRPr="00536AB6" w:rsidRDefault="008F44BD" w:rsidP="00820485">
      <w:pPr>
        <w:tabs>
          <w:tab w:val="left" w:pos="851"/>
          <w:tab w:val="left" w:pos="1418"/>
          <w:tab w:val="left" w:leader="dot" w:pos="8222"/>
          <w:tab w:val="right" w:pos="8647"/>
        </w:tabs>
        <w:jc w:val="both"/>
        <w:rPr>
          <w:rFonts w:asciiTheme="majorHAnsi" w:hAnsiTheme="majorHAnsi" w:cs="Calibri"/>
          <w:color w:val="000000"/>
        </w:rPr>
      </w:pPr>
      <w:r>
        <w:rPr>
          <w:rFonts w:asciiTheme="majorHAnsi" w:hAnsiTheme="majorHAnsi"/>
          <w:color w:val="000000"/>
        </w:rPr>
        <w:t>Cabe señalar que lo anterior solo muestra las CPC que han indicado que se ha establecido un límite. En muchos casos, no se ha establecido un límite porque todos los buques pertinentes cuentan con licencia y/o porque no se permite la captura fortuita. Sin embargo, algunas de las respuestas sobre los límites máximos de captura fortuita no son coherentes, ya que las CPC no han leído o comprendido el requisito. En varios casos, se dan respuestas totalmente irrelevantes (por ejemplo: «no existe una pesquería dirigida a esta especie»; «no hay buques con pabellón XX que pesquen esta especie»).</w:t>
      </w:r>
    </w:p>
    <w:p w14:paraId="79205534" w14:textId="77777777" w:rsidR="00765C78" w:rsidRPr="00364A87" w:rsidRDefault="00765C78" w:rsidP="00820485">
      <w:pPr>
        <w:tabs>
          <w:tab w:val="left" w:pos="851"/>
          <w:tab w:val="left" w:pos="1418"/>
          <w:tab w:val="left" w:leader="dot" w:pos="8222"/>
          <w:tab w:val="right" w:pos="8647"/>
        </w:tabs>
        <w:jc w:val="both"/>
        <w:rPr>
          <w:rFonts w:asciiTheme="majorHAnsi" w:hAnsiTheme="majorHAnsi" w:cs="Calibri"/>
          <w:color w:val="000000"/>
        </w:rPr>
      </w:pPr>
    </w:p>
    <w:p w14:paraId="675CFAA7" w14:textId="586D486F" w:rsidR="00765C78" w:rsidRPr="00536AB6" w:rsidRDefault="005C195F" w:rsidP="00765C78">
      <w:pPr>
        <w:tabs>
          <w:tab w:val="left" w:pos="1276"/>
          <w:tab w:val="left" w:pos="1418"/>
          <w:tab w:val="left" w:leader="dot" w:pos="8222"/>
          <w:tab w:val="right" w:pos="8647"/>
        </w:tabs>
        <w:jc w:val="both"/>
        <w:rPr>
          <w:rFonts w:asciiTheme="majorHAnsi" w:hAnsiTheme="majorHAnsi"/>
          <w:bCs/>
        </w:rPr>
      </w:pPr>
      <w:r>
        <w:rPr>
          <w:rFonts w:asciiTheme="majorHAnsi" w:hAnsiTheme="majorHAnsi"/>
          <w:i/>
          <w:iCs/>
        </w:rPr>
        <w:t>Autorización específica para buques de atún blanco del sur</w:t>
      </w:r>
      <w:r>
        <w:rPr>
          <w:rFonts w:asciiTheme="majorHAnsi" w:hAnsiTheme="majorHAnsi"/>
        </w:rPr>
        <w:t xml:space="preserve"> Los buques de 20 m o más con autorizaciones específicas para el atún blanco del sur pueden consultarse en el </w:t>
      </w:r>
      <w:hyperlink r:id="rId17" w:history="1">
        <w:r>
          <w:rPr>
            <w:rStyle w:val="Hyperlink"/>
            <w:rFonts w:asciiTheme="majorHAnsi" w:hAnsiTheme="majorHAnsi"/>
            <w:u w:val="none"/>
          </w:rPr>
          <w:t>Registro ICCAT de buques</w:t>
        </w:r>
      </w:hyperlink>
      <w:r>
        <w:rPr>
          <w:rFonts w:asciiTheme="majorHAnsi" w:hAnsiTheme="majorHAnsi"/>
        </w:rPr>
        <w:t>.</w:t>
      </w:r>
    </w:p>
    <w:p w14:paraId="7508BA4C" w14:textId="77777777" w:rsidR="00765C78" w:rsidRPr="00364A87" w:rsidRDefault="00765C78" w:rsidP="00765C78">
      <w:pPr>
        <w:tabs>
          <w:tab w:val="left" w:pos="1276"/>
          <w:tab w:val="left" w:pos="1418"/>
          <w:tab w:val="left" w:leader="dot" w:pos="8222"/>
          <w:tab w:val="right" w:pos="8647"/>
        </w:tabs>
        <w:rPr>
          <w:rStyle w:val="Hyperlink"/>
          <w:rFonts w:asciiTheme="majorHAnsi" w:hAnsiTheme="majorHAnsi"/>
          <w:bCs/>
        </w:rPr>
      </w:pPr>
    </w:p>
    <w:p w14:paraId="6ADFE972" w14:textId="77777777" w:rsidR="00765C78" w:rsidRPr="00536AB6" w:rsidRDefault="00765C78" w:rsidP="00765C78">
      <w:pPr>
        <w:tabs>
          <w:tab w:val="left" w:pos="1276"/>
          <w:tab w:val="left" w:pos="1418"/>
          <w:tab w:val="left" w:leader="dot" w:pos="8222"/>
          <w:tab w:val="right" w:pos="8647"/>
        </w:tabs>
        <w:jc w:val="both"/>
        <w:rPr>
          <w:rFonts w:asciiTheme="majorHAnsi" w:hAnsiTheme="majorHAnsi"/>
          <w:bCs/>
        </w:rPr>
      </w:pPr>
      <w:r>
        <w:rPr>
          <w:rFonts w:asciiTheme="majorHAnsi" w:hAnsiTheme="majorHAnsi"/>
        </w:rPr>
        <w:t>Cinco CPC con cuota actualmente no tienen buques (de 20 m o más) inscritos en el Registro ICCAT de buques autorizados a capturar atún blanco del sur: Curazao, San Vicente y las Granadinas, Filipinas, Reino Unido y Uruguay.</w:t>
      </w:r>
    </w:p>
    <w:p w14:paraId="7FB7FC6A" w14:textId="77777777" w:rsidR="008F44BD" w:rsidRPr="00364A87" w:rsidRDefault="008F44BD" w:rsidP="00820485">
      <w:pPr>
        <w:tabs>
          <w:tab w:val="left" w:pos="851"/>
          <w:tab w:val="left" w:pos="1418"/>
          <w:tab w:val="left" w:leader="dot" w:pos="8222"/>
          <w:tab w:val="right" w:pos="8647"/>
        </w:tabs>
        <w:jc w:val="both"/>
        <w:rPr>
          <w:rFonts w:asciiTheme="majorHAnsi" w:hAnsiTheme="majorHAnsi"/>
          <w:bCs/>
          <w:i/>
        </w:rPr>
      </w:pPr>
    </w:p>
    <w:p w14:paraId="024AE804" w14:textId="40941B26" w:rsidR="00C30FAB" w:rsidRPr="00536AB6" w:rsidRDefault="00C30FAB" w:rsidP="00C30FAB">
      <w:pPr>
        <w:tabs>
          <w:tab w:val="left" w:pos="1276"/>
          <w:tab w:val="left" w:pos="1418"/>
          <w:tab w:val="left" w:leader="dot" w:pos="8222"/>
          <w:tab w:val="right" w:pos="8647"/>
        </w:tabs>
        <w:jc w:val="both"/>
        <w:rPr>
          <w:rFonts w:asciiTheme="majorHAnsi" w:hAnsiTheme="majorHAnsi"/>
          <w:bCs/>
        </w:rPr>
      </w:pPr>
      <w:r>
        <w:rPr>
          <w:rFonts w:asciiTheme="majorHAnsi" w:hAnsiTheme="majorHAnsi"/>
          <w:i/>
        </w:rPr>
        <w:t>[Rec. 24-08] Recomendación de ICCAT que enmienda la Recomendación 22-05 para establecer un plan de recuperación para el atún blanco del Mediterráneo</w:t>
      </w:r>
    </w:p>
    <w:p w14:paraId="1D8B51FE" w14:textId="77777777" w:rsidR="00AD56BD" w:rsidRPr="00364A87" w:rsidRDefault="00AD56BD" w:rsidP="00820485">
      <w:pPr>
        <w:tabs>
          <w:tab w:val="left" w:pos="1276"/>
          <w:tab w:val="left" w:pos="1418"/>
          <w:tab w:val="left" w:leader="dot" w:pos="8222"/>
          <w:tab w:val="right" w:pos="8647"/>
        </w:tabs>
        <w:jc w:val="both"/>
        <w:rPr>
          <w:rFonts w:asciiTheme="majorHAnsi" w:hAnsiTheme="majorHAnsi"/>
          <w:bCs/>
          <w:i/>
        </w:rPr>
      </w:pPr>
    </w:p>
    <w:p w14:paraId="3607918A" w14:textId="5B5D68EA" w:rsidR="00F45E6A" w:rsidRPr="00536AB6" w:rsidRDefault="00F45E6A" w:rsidP="00820485">
      <w:pPr>
        <w:tabs>
          <w:tab w:val="left" w:pos="1276"/>
          <w:tab w:val="left" w:pos="1418"/>
          <w:tab w:val="left" w:leader="dot" w:pos="8222"/>
          <w:tab w:val="right" w:pos="8647"/>
        </w:tabs>
        <w:jc w:val="both"/>
        <w:rPr>
          <w:rFonts w:asciiTheme="majorHAnsi" w:hAnsiTheme="majorHAnsi"/>
        </w:rPr>
      </w:pPr>
      <w:r>
        <w:rPr>
          <w:rFonts w:asciiTheme="majorHAnsi" w:hAnsiTheme="majorHAnsi"/>
          <w:b/>
          <w:bCs/>
          <w:i/>
          <w:iCs/>
        </w:rPr>
        <w:t>Cumplimiento de las cuotas/límites de captura:</w:t>
      </w:r>
      <w:r>
        <w:rPr>
          <w:rFonts w:asciiTheme="majorHAnsi" w:hAnsiTheme="majorHAnsi"/>
        </w:rPr>
        <w:t xml:space="preserve"> Véase el documento "Tablas de cumplimiento de 2025 recibidas en 2026" [COC_304/2026].</w:t>
      </w:r>
    </w:p>
    <w:p w14:paraId="378C779F" w14:textId="77777777" w:rsidR="009B47A0" w:rsidRPr="00364A87" w:rsidRDefault="009B47A0" w:rsidP="00820485">
      <w:pPr>
        <w:tabs>
          <w:tab w:val="left" w:pos="1276"/>
          <w:tab w:val="left" w:pos="1418"/>
          <w:tab w:val="left" w:leader="dot" w:pos="8222"/>
          <w:tab w:val="right" w:pos="8647"/>
        </w:tabs>
        <w:jc w:val="both"/>
        <w:rPr>
          <w:rStyle w:val="Hyperlink"/>
          <w:rFonts w:asciiTheme="majorHAnsi" w:hAnsiTheme="majorHAnsi"/>
          <w:bCs/>
          <w:u w:val="none"/>
        </w:rPr>
      </w:pPr>
    </w:p>
    <w:p w14:paraId="4444C210" w14:textId="4B6C560A" w:rsidR="005C195F" w:rsidRPr="00536AB6" w:rsidRDefault="005C195F" w:rsidP="005C195F">
      <w:pPr>
        <w:jc w:val="both"/>
        <w:rPr>
          <w:rFonts w:asciiTheme="majorHAnsi" w:hAnsiTheme="majorHAnsi"/>
          <w:bCs/>
        </w:rPr>
      </w:pPr>
      <w:r>
        <w:rPr>
          <w:rFonts w:asciiTheme="majorHAnsi" w:hAnsiTheme="majorHAnsi"/>
          <w:b/>
          <w:bCs/>
          <w:i/>
        </w:rPr>
        <w:t>Registro ICCAT de buques autorizados a pescar atún blanco del Mediterráneo:</w:t>
      </w:r>
      <w:r>
        <w:rPr>
          <w:rFonts w:asciiTheme="majorHAnsi" w:hAnsiTheme="majorHAnsi"/>
        </w:rPr>
        <w:t xml:space="preserve"> Las listas autorizadas, recibidas de cuatro CPC (Egipto, Marruecos, Türkiye y la Unión Europea), se han publicado en el </w:t>
      </w:r>
      <w:hyperlink r:id="rId18" w:history="1">
        <w:r w:rsidRPr="000719AB">
          <w:rPr>
            <w:rStyle w:val="Hyperlink"/>
            <w:rFonts w:asciiTheme="majorHAnsi" w:hAnsiTheme="majorHAnsi"/>
            <w:u w:val="none"/>
          </w:rPr>
          <w:t>sitio web de ICCAT</w:t>
        </w:r>
      </w:hyperlink>
      <w:r w:rsidRPr="000719AB">
        <w:rPr>
          <w:rFonts w:asciiTheme="majorHAnsi" w:hAnsiTheme="majorHAnsi"/>
        </w:rPr>
        <w:t>. No se ha recibido la list</w:t>
      </w:r>
      <w:r w:rsidR="000719AB" w:rsidRPr="000719AB">
        <w:rPr>
          <w:rFonts w:asciiTheme="majorHAnsi" w:hAnsiTheme="majorHAnsi"/>
        </w:rPr>
        <w:t>a de buques autorizados</w:t>
      </w:r>
      <w:r w:rsidRPr="000719AB">
        <w:rPr>
          <w:rFonts w:asciiTheme="majorHAnsi" w:hAnsiTheme="majorHAnsi"/>
        </w:rPr>
        <w:t xml:space="preserve"> de Libia.</w:t>
      </w:r>
    </w:p>
    <w:p w14:paraId="2173E484" w14:textId="77777777" w:rsidR="001E5CEC" w:rsidRPr="00364A87" w:rsidRDefault="001E5CEC" w:rsidP="001E5CEC">
      <w:pPr>
        <w:tabs>
          <w:tab w:val="left" w:pos="1276"/>
          <w:tab w:val="left" w:pos="1418"/>
          <w:tab w:val="left" w:leader="dot" w:pos="8222"/>
          <w:tab w:val="right" w:pos="8647"/>
        </w:tabs>
        <w:jc w:val="both"/>
        <w:rPr>
          <w:rFonts w:asciiTheme="majorHAnsi" w:hAnsiTheme="majorHAnsi"/>
        </w:rPr>
      </w:pPr>
    </w:p>
    <w:p w14:paraId="2C91A849" w14:textId="087E501C" w:rsidR="00F225F3" w:rsidRPr="000719AB" w:rsidRDefault="00F225F3" w:rsidP="00820485">
      <w:pPr>
        <w:tabs>
          <w:tab w:val="left" w:pos="1276"/>
          <w:tab w:val="left" w:pos="1418"/>
          <w:tab w:val="left" w:leader="dot" w:pos="8222"/>
          <w:tab w:val="right" w:pos="8647"/>
        </w:tabs>
        <w:rPr>
          <w:rFonts w:asciiTheme="majorHAnsi" w:hAnsiTheme="majorHAnsi"/>
          <w:b/>
          <w:bCs/>
          <w:i/>
          <w:iCs/>
          <w:lang w:val="en-US"/>
        </w:rPr>
      </w:pPr>
      <w:r w:rsidRPr="000719AB">
        <w:rPr>
          <w:rFonts w:asciiTheme="majorHAnsi" w:hAnsiTheme="majorHAnsi"/>
          <w:b/>
          <w:lang w:val="en-US"/>
        </w:rPr>
        <w:t xml:space="preserve">BFT </w:t>
      </w:r>
      <w:proofErr w:type="gramStart"/>
      <w:r w:rsidRPr="000719AB">
        <w:rPr>
          <w:rFonts w:asciiTheme="majorHAnsi" w:hAnsiTheme="majorHAnsi"/>
          <w:b/>
          <w:lang w:val="en-US"/>
        </w:rPr>
        <w:t>-  ATÚN</w:t>
      </w:r>
      <w:proofErr w:type="gramEnd"/>
      <w:r w:rsidRPr="000719AB">
        <w:rPr>
          <w:rFonts w:asciiTheme="majorHAnsi" w:hAnsiTheme="majorHAnsi"/>
          <w:b/>
          <w:lang w:val="en-US"/>
        </w:rPr>
        <w:t xml:space="preserve"> ROJO (Thunnus thynnus)</w:t>
      </w:r>
    </w:p>
    <w:p w14:paraId="6F3DC13D" w14:textId="77777777" w:rsidR="00536AB6" w:rsidRPr="000719AB" w:rsidRDefault="00536AB6" w:rsidP="00820485">
      <w:pPr>
        <w:tabs>
          <w:tab w:val="left" w:pos="1276"/>
          <w:tab w:val="left" w:pos="1418"/>
          <w:tab w:val="left" w:leader="dot" w:pos="8222"/>
          <w:tab w:val="right" w:pos="8647"/>
        </w:tabs>
        <w:rPr>
          <w:rFonts w:asciiTheme="majorHAnsi" w:hAnsiTheme="majorHAnsi"/>
          <w:lang w:val="en-US"/>
        </w:rPr>
      </w:pPr>
    </w:p>
    <w:p w14:paraId="26350691" w14:textId="2F2B3C32" w:rsidR="001A3174" w:rsidRPr="00536AB6" w:rsidRDefault="001A3174" w:rsidP="00536AB6">
      <w:pPr>
        <w:tabs>
          <w:tab w:val="left" w:pos="851"/>
          <w:tab w:val="left" w:pos="1276"/>
          <w:tab w:val="left" w:pos="1418"/>
          <w:tab w:val="left" w:leader="dot" w:pos="8222"/>
          <w:tab w:val="right" w:pos="8647"/>
        </w:tabs>
        <w:jc w:val="both"/>
        <w:rPr>
          <w:rFonts w:asciiTheme="majorHAnsi" w:hAnsiTheme="majorHAnsi"/>
          <w:i/>
        </w:rPr>
      </w:pPr>
      <w:r>
        <w:rPr>
          <w:rFonts w:asciiTheme="majorHAnsi" w:hAnsiTheme="majorHAnsi"/>
          <w:i/>
        </w:rPr>
        <w:lastRenderedPageBreak/>
        <w:t>[Rec. 22-10] Recomendación de ICCAT para un plan de conservación y ordenación para el atún rojo del Atlántico oeste</w:t>
      </w:r>
    </w:p>
    <w:p w14:paraId="375B5C53" w14:textId="77777777" w:rsidR="00AA6BF1" w:rsidRPr="00364A87" w:rsidRDefault="00AA6BF1" w:rsidP="00820485">
      <w:pPr>
        <w:tabs>
          <w:tab w:val="left" w:pos="1276"/>
          <w:tab w:val="left" w:pos="1418"/>
          <w:tab w:val="left" w:leader="dot" w:pos="8222"/>
          <w:tab w:val="right" w:pos="8647"/>
        </w:tabs>
        <w:jc w:val="both"/>
        <w:rPr>
          <w:rFonts w:asciiTheme="majorHAnsi" w:hAnsiTheme="majorHAnsi"/>
          <w:i/>
        </w:rPr>
      </w:pPr>
    </w:p>
    <w:p w14:paraId="1855EE35" w14:textId="563B7826" w:rsidR="00AA6BF1" w:rsidRPr="00536AB6" w:rsidRDefault="00AA6BF1" w:rsidP="00AA6BF1">
      <w:pPr>
        <w:tabs>
          <w:tab w:val="left" w:pos="1276"/>
          <w:tab w:val="left" w:pos="1418"/>
          <w:tab w:val="left" w:leader="dot" w:pos="8222"/>
          <w:tab w:val="right" w:pos="8647"/>
        </w:tabs>
        <w:jc w:val="both"/>
        <w:rPr>
          <w:rFonts w:asciiTheme="majorHAnsi" w:hAnsiTheme="majorHAnsi"/>
        </w:rPr>
      </w:pPr>
      <w:r>
        <w:rPr>
          <w:rFonts w:asciiTheme="majorHAnsi" w:hAnsiTheme="majorHAnsi"/>
          <w:i/>
        </w:rPr>
        <w:t>(</w:t>
      </w:r>
      <w:r w:rsidR="000719AB">
        <w:rPr>
          <w:rFonts w:asciiTheme="majorHAnsi" w:hAnsiTheme="majorHAnsi"/>
          <w:i/>
        </w:rPr>
        <w:t>sustituida</w:t>
      </w:r>
      <w:r>
        <w:rPr>
          <w:rFonts w:asciiTheme="majorHAnsi" w:hAnsiTheme="majorHAnsi"/>
          <w:i/>
        </w:rPr>
        <w:t xml:space="preserve"> por la [Rec. 25-05]</w:t>
      </w:r>
      <w:r w:rsidR="000719AB">
        <w:rPr>
          <w:rFonts w:asciiTheme="majorHAnsi" w:hAnsiTheme="majorHAnsi"/>
          <w:i/>
        </w:rPr>
        <w:t xml:space="preserve"> </w:t>
      </w:r>
      <w:r>
        <w:rPr>
          <w:rFonts w:asciiTheme="majorHAnsi" w:hAnsiTheme="majorHAnsi"/>
          <w:i/>
        </w:rPr>
        <w:t>Recomendación de ICCAT que reemplaza la Recomendación 22-10 para un plan de conservación y ordenación para el atún rojo del Atlántico oeste</w:t>
      </w:r>
      <w:r>
        <w:rPr>
          <w:rFonts w:asciiTheme="majorHAnsi" w:hAnsiTheme="majorHAnsi"/>
        </w:rPr>
        <w:t>)</w:t>
      </w:r>
    </w:p>
    <w:p w14:paraId="0D5D97C6" w14:textId="77777777" w:rsidR="006150C6" w:rsidRPr="00364A87" w:rsidRDefault="006150C6" w:rsidP="00820485">
      <w:pPr>
        <w:tabs>
          <w:tab w:val="left" w:pos="1276"/>
          <w:tab w:val="left" w:pos="1418"/>
          <w:tab w:val="left" w:leader="dot" w:pos="8222"/>
          <w:tab w:val="right" w:pos="8647"/>
        </w:tabs>
        <w:ind w:firstLine="426"/>
        <w:rPr>
          <w:rFonts w:asciiTheme="majorHAnsi" w:hAnsiTheme="majorHAnsi"/>
          <w:i/>
        </w:rPr>
      </w:pPr>
    </w:p>
    <w:p w14:paraId="5A944797" w14:textId="6187FF2A" w:rsidR="006150C6" w:rsidRPr="00536AB6" w:rsidRDefault="006150C6" w:rsidP="00820485">
      <w:pPr>
        <w:tabs>
          <w:tab w:val="left" w:pos="1276"/>
          <w:tab w:val="left" w:pos="1418"/>
          <w:tab w:val="left" w:leader="dot" w:pos="8222"/>
          <w:tab w:val="right" w:pos="8647"/>
        </w:tabs>
        <w:jc w:val="both"/>
        <w:rPr>
          <w:rFonts w:asciiTheme="majorHAnsi" w:hAnsiTheme="majorHAnsi"/>
          <w:bCs/>
        </w:rPr>
      </w:pPr>
      <w:r>
        <w:rPr>
          <w:rFonts w:asciiTheme="majorHAnsi" w:hAnsiTheme="majorHAnsi"/>
          <w:b/>
          <w:i/>
        </w:rPr>
        <w:t xml:space="preserve">Comunicación de captura mensual: </w:t>
      </w:r>
      <w:r>
        <w:rPr>
          <w:rFonts w:asciiTheme="majorHAnsi" w:hAnsiTheme="majorHAnsi"/>
        </w:rPr>
        <w:t xml:space="preserve">Véase la </w:t>
      </w:r>
      <w:r>
        <w:rPr>
          <w:rFonts w:asciiTheme="majorHAnsi" w:hAnsiTheme="majorHAnsi"/>
          <w:b/>
          <w:bCs/>
        </w:rPr>
        <w:t>tabla 7</w:t>
      </w:r>
      <w:r>
        <w:rPr>
          <w:rFonts w:asciiTheme="majorHAnsi" w:hAnsiTheme="majorHAnsi"/>
        </w:rPr>
        <w:t xml:space="preserve"> para un resumen de los informes recibidos durante el año. </w:t>
      </w:r>
      <w:r>
        <w:t xml:space="preserve">Las cantidades comunicadas se siguen publicando en una sitio de la </w:t>
      </w:r>
      <w:hyperlink r:id="rId19" w:history="1">
        <w:r>
          <w:rPr>
            <w:rStyle w:val="Hyperlink"/>
            <w:rFonts w:asciiTheme="majorHAnsi" w:hAnsiTheme="majorHAnsi"/>
            <w:u w:val="none"/>
          </w:rPr>
          <w:t>página web</w:t>
        </w:r>
      </w:hyperlink>
      <w:r>
        <w:t xml:space="preserve"> de ICCAT protegido con contraseña.</w:t>
      </w:r>
      <w:r>
        <w:rPr>
          <w:rFonts w:asciiTheme="majorHAnsi" w:hAnsiTheme="majorHAnsi"/>
        </w:rPr>
        <w:t xml:space="preserve"> </w:t>
      </w:r>
    </w:p>
    <w:p w14:paraId="0CB318CC" w14:textId="77777777" w:rsidR="00345418" w:rsidRPr="00364A87" w:rsidRDefault="00345418" w:rsidP="00820485">
      <w:pPr>
        <w:tabs>
          <w:tab w:val="left" w:pos="1276"/>
          <w:tab w:val="left" w:pos="1418"/>
          <w:tab w:val="left" w:leader="dot" w:pos="8222"/>
          <w:tab w:val="right" w:pos="8647"/>
        </w:tabs>
        <w:jc w:val="both"/>
        <w:rPr>
          <w:rFonts w:asciiTheme="majorHAnsi" w:hAnsiTheme="majorHAnsi"/>
          <w:b/>
          <w:bCs/>
          <w:i/>
        </w:rPr>
      </w:pPr>
    </w:p>
    <w:p w14:paraId="4F55FD49" w14:textId="25EE6274" w:rsidR="00500DD6" w:rsidRPr="00536AB6" w:rsidRDefault="00500DD6" w:rsidP="00820485">
      <w:pPr>
        <w:tabs>
          <w:tab w:val="left" w:pos="1276"/>
          <w:tab w:val="left" w:pos="1418"/>
          <w:tab w:val="left" w:leader="dot" w:pos="8222"/>
          <w:tab w:val="right" w:pos="8647"/>
        </w:tabs>
        <w:jc w:val="both"/>
        <w:rPr>
          <w:rFonts w:asciiTheme="majorHAnsi" w:hAnsiTheme="majorHAnsi"/>
          <w:bCs/>
        </w:rPr>
      </w:pPr>
      <w:r>
        <w:rPr>
          <w:rFonts w:asciiTheme="majorHAnsi" w:hAnsiTheme="majorHAnsi"/>
          <w:b/>
          <w:bCs/>
          <w:i/>
          <w:iCs/>
        </w:rPr>
        <w:t>Cumplimiento de las cuotas/límites de captura:</w:t>
      </w:r>
      <w:r>
        <w:rPr>
          <w:rFonts w:asciiTheme="majorHAnsi" w:hAnsiTheme="majorHAnsi"/>
        </w:rPr>
        <w:t xml:space="preserve"> Véase el documento "Tablas de cumplimiento de 2025 recibidas en 2026" [COC_304/2026].</w:t>
      </w:r>
    </w:p>
    <w:p w14:paraId="5A573A0D" w14:textId="77777777" w:rsidR="00BD7007" w:rsidRPr="00364A87" w:rsidRDefault="00BD7007" w:rsidP="00820485">
      <w:pPr>
        <w:tabs>
          <w:tab w:val="left" w:pos="1276"/>
          <w:tab w:val="left" w:pos="1418"/>
          <w:tab w:val="left" w:leader="dot" w:pos="8222"/>
          <w:tab w:val="right" w:pos="8647"/>
        </w:tabs>
        <w:jc w:val="both"/>
        <w:rPr>
          <w:rFonts w:asciiTheme="majorHAnsi" w:hAnsiTheme="majorHAnsi"/>
        </w:rPr>
      </w:pPr>
    </w:p>
    <w:p w14:paraId="3CC9EAF0" w14:textId="77777777" w:rsidR="00BD7007" w:rsidRPr="00536AB6" w:rsidRDefault="00BD7007" w:rsidP="00BD7007">
      <w:pPr>
        <w:tabs>
          <w:tab w:val="left" w:pos="1276"/>
          <w:tab w:val="left" w:pos="1418"/>
          <w:tab w:val="left" w:leader="dot" w:pos="8222"/>
          <w:tab w:val="right" w:pos="8647"/>
        </w:tabs>
        <w:jc w:val="both"/>
        <w:rPr>
          <w:rFonts w:asciiTheme="majorHAnsi" w:hAnsiTheme="majorHAnsi"/>
          <w:i/>
        </w:rPr>
      </w:pPr>
      <w:r>
        <w:rPr>
          <w:rFonts w:asciiTheme="majorHAnsi" w:hAnsiTheme="majorHAnsi"/>
          <w:i/>
        </w:rPr>
        <w:t>[Rec. 25-04]</w:t>
      </w:r>
      <w:r w:rsidRPr="00536AB6">
        <w:rPr>
          <w:rStyle w:val="FootnoteReference"/>
          <w:rFonts w:asciiTheme="majorHAnsi" w:hAnsiTheme="majorHAnsi"/>
          <w:i/>
          <w:lang w:val="en-GB"/>
        </w:rPr>
        <w:footnoteReference w:id="3"/>
      </w:r>
      <w:r>
        <w:rPr>
          <w:rFonts w:asciiTheme="majorHAnsi" w:hAnsiTheme="majorHAnsi"/>
          <w:i/>
        </w:rPr>
        <w:t xml:space="preserve"> Recomendación de ICCAT que reemplaza la Recomendación 24-05 que establece un plan de ordenación plurianual para el atún rojo en el Atlántico este y el Mediterráneo</w:t>
      </w:r>
    </w:p>
    <w:p w14:paraId="2946D247" w14:textId="77777777" w:rsidR="00BD7007" w:rsidRPr="00364A87" w:rsidRDefault="00BD7007" w:rsidP="00BD7007">
      <w:pPr>
        <w:tabs>
          <w:tab w:val="left" w:pos="1276"/>
          <w:tab w:val="left" w:pos="1418"/>
          <w:tab w:val="left" w:leader="dot" w:pos="8222"/>
          <w:tab w:val="right" w:pos="8647"/>
        </w:tabs>
        <w:ind w:firstLine="426"/>
        <w:rPr>
          <w:rFonts w:asciiTheme="majorHAnsi" w:hAnsiTheme="majorHAnsi"/>
          <w:bCs/>
        </w:rPr>
      </w:pPr>
    </w:p>
    <w:p w14:paraId="1CFDC683" w14:textId="77777777" w:rsidR="00BD7007" w:rsidRPr="00536AB6" w:rsidRDefault="00BD7007" w:rsidP="00BD7007">
      <w:pPr>
        <w:tabs>
          <w:tab w:val="left" w:pos="709"/>
          <w:tab w:val="left" w:pos="1276"/>
          <w:tab w:val="left" w:pos="1418"/>
          <w:tab w:val="left" w:leader="dot" w:pos="8222"/>
          <w:tab w:val="right" w:pos="8647"/>
        </w:tabs>
        <w:jc w:val="both"/>
        <w:rPr>
          <w:rFonts w:asciiTheme="majorHAnsi" w:hAnsiTheme="majorHAnsi"/>
          <w:bCs/>
          <w:i/>
        </w:rPr>
      </w:pPr>
      <w:r>
        <w:rPr>
          <w:rFonts w:asciiTheme="majorHAnsi" w:hAnsiTheme="majorHAnsi"/>
          <w:i/>
        </w:rPr>
        <w:t>[Ref. 16-24] Directrices para preparar los planes de pesca, inspección y ordenación de la capacidad de atún rojo del Atlántico este y Mediterráneo</w:t>
      </w:r>
    </w:p>
    <w:p w14:paraId="4EB54576" w14:textId="77777777" w:rsidR="00BD7007" w:rsidRPr="00364A87" w:rsidRDefault="00BD7007" w:rsidP="00BD7007">
      <w:pPr>
        <w:tabs>
          <w:tab w:val="left" w:pos="1276"/>
          <w:tab w:val="left" w:pos="1418"/>
          <w:tab w:val="left" w:leader="dot" w:pos="8222"/>
          <w:tab w:val="right" w:pos="8647"/>
        </w:tabs>
        <w:jc w:val="both"/>
        <w:rPr>
          <w:rFonts w:asciiTheme="majorHAnsi" w:hAnsiTheme="majorHAnsi"/>
          <w:b/>
          <w:i/>
        </w:rPr>
      </w:pPr>
    </w:p>
    <w:p w14:paraId="1B36B0B6" w14:textId="77777777" w:rsidR="00BD7007" w:rsidRPr="00536AB6" w:rsidRDefault="00BD7007" w:rsidP="00BD7007">
      <w:pPr>
        <w:tabs>
          <w:tab w:val="left" w:pos="1276"/>
          <w:tab w:val="left" w:pos="1418"/>
          <w:tab w:val="left" w:leader="dot" w:pos="8222"/>
          <w:tab w:val="right" w:pos="8647"/>
        </w:tabs>
        <w:jc w:val="both"/>
        <w:rPr>
          <w:rFonts w:asciiTheme="majorHAnsi" w:hAnsiTheme="majorHAnsi"/>
        </w:rPr>
      </w:pPr>
      <w:r>
        <w:rPr>
          <w:rFonts w:asciiTheme="majorHAnsi" w:hAnsiTheme="majorHAnsi"/>
          <w:b/>
          <w:bCs/>
          <w:i/>
        </w:rPr>
        <w:t>Planes de pesca:</w:t>
      </w:r>
      <w:r>
        <w:rPr>
          <w:rFonts w:asciiTheme="majorHAnsi" w:hAnsiTheme="majorHAnsi"/>
          <w:i/>
        </w:rPr>
        <w:t xml:space="preserve"> </w:t>
      </w:r>
      <w:r>
        <w:rPr>
          <w:rFonts w:asciiTheme="majorHAnsi" w:hAnsiTheme="majorHAnsi"/>
        </w:rPr>
        <w:t>Se recibieron planes de pesca, inspección y ordenación de la capacidad, dentro del plazo y siguiendo las directrices adoptadas, de todas las CPC con cuota de BFT-E. Cuando resultó procedente, se solicitaron aclaraciones; a continuación todos los planes fueron aprobados y se adjuntan al "Informe de la reunión intersesiones de la Subcomisión 2" [PA2_602/2026].</w:t>
      </w:r>
    </w:p>
    <w:p w14:paraId="2526707B" w14:textId="77777777" w:rsidR="00655B33" w:rsidRPr="00364A87" w:rsidRDefault="00655B33" w:rsidP="00BD7007">
      <w:pPr>
        <w:tabs>
          <w:tab w:val="left" w:pos="1276"/>
          <w:tab w:val="left" w:pos="1418"/>
          <w:tab w:val="left" w:leader="dot" w:pos="8222"/>
          <w:tab w:val="right" w:pos="8647"/>
        </w:tabs>
        <w:jc w:val="both"/>
        <w:rPr>
          <w:rFonts w:asciiTheme="majorHAnsi" w:hAnsiTheme="majorHAnsi"/>
        </w:rPr>
      </w:pPr>
    </w:p>
    <w:p w14:paraId="3C4D7442" w14:textId="6EE1A0F2" w:rsidR="00D575BF" w:rsidRPr="00536AB6" w:rsidRDefault="00655B33" w:rsidP="00655B33">
      <w:pPr>
        <w:tabs>
          <w:tab w:val="left" w:pos="1276"/>
          <w:tab w:val="left" w:pos="1418"/>
          <w:tab w:val="left" w:leader="dot" w:pos="8222"/>
          <w:tab w:val="right" w:pos="8647"/>
        </w:tabs>
        <w:jc w:val="both"/>
        <w:rPr>
          <w:rFonts w:asciiTheme="majorHAnsi" w:hAnsiTheme="majorHAnsi"/>
        </w:rPr>
      </w:pPr>
      <w:r>
        <w:rPr>
          <w:rFonts w:asciiTheme="majorHAnsi" w:hAnsiTheme="majorHAnsi"/>
          <w:b/>
          <w:i/>
        </w:rPr>
        <w:t>Cierre de la pesquería:</w:t>
      </w:r>
      <w:r>
        <w:rPr>
          <w:rFonts w:asciiTheme="majorHAnsi" w:hAnsiTheme="majorHAnsi"/>
          <w:i/>
        </w:rPr>
        <w:t xml:space="preserve"> </w:t>
      </w:r>
      <w:r>
        <w:rPr>
          <w:rFonts w:asciiTheme="majorHAnsi" w:hAnsiTheme="majorHAnsi"/>
        </w:rPr>
        <w:t>De conformidad con el párrafo 87 de la Rec. 25-04, las CPC han informado de la fecha en que habían utilizado su cuota, tal y como puede verse a continuación:</w:t>
      </w:r>
    </w:p>
    <w:p w14:paraId="62E5E3A5" w14:textId="77777777" w:rsidR="00D575BF" w:rsidRPr="00364A87" w:rsidRDefault="00D575BF" w:rsidP="00655B33">
      <w:pPr>
        <w:tabs>
          <w:tab w:val="left" w:pos="1276"/>
          <w:tab w:val="left" w:pos="1418"/>
          <w:tab w:val="left" w:leader="dot" w:pos="8222"/>
          <w:tab w:val="right" w:pos="8647"/>
        </w:tabs>
        <w:jc w:val="both"/>
        <w:rPr>
          <w:rFonts w:asciiTheme="majorHAnsi" w:hAnsiTheme="majorHAnsi"/>
        </w:rPr>
      </w:pPr>
    </w:p>
    <w:tbl>
      <w:tblPr>
        <w:tblW w:w="6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0"/>
        <w:gridCol w:w="4900"/>
      </w:tblGrid>
      <w:tr w:rsidR="00655B33" w:rsidRPr="00063218" w14:paraId="076D3E96" w14:textId="77777777" w:rsidTr="00ED046E">
        <w:trPr>
          <w:trHeight w:val="450"/>
          <w:jc w:val="center"/>
        </w:trPr>
        <w:tc>
          <w:tcPr>
            <w:tcW w:w="1760" w:type="dxa"/>
            <w:tcMar>
              <w:top w:w="15" w:type="dxa"/>
              <w:left w:w="15" w:type="dxa"/>
              <w:bottom w:w="0" w:type="dxa"/>
              <w:right w:w="15" w:type="dxa"/>
            </w:tcMar>
            <w:vAlign w:val="center"/>
            <w:hideMark/>
          </w:tcPr>
          <w:p w14:paraId="497D619E" w14:textId="77777777" w:rsidR="00655B33" w:rsidRPr="00536AB6" w:rsidRDefault="00655B33" w:rsidP="00ED046E">
            <w:pPr>
              <w:widowControl/>
              <w:autoSpaceDE/>
              <w:autoSpaceDN/>
              <w:adjustRightInd/>
              <w:jc w:val="center"/>
              <w:rPr>
                <w:rFonts w:asciiTheme="majorHAnsi" w:hAnsiTheme="majorHAnsi"/>
                <w:i/>
                <w:iCs/>
                <w:color w:val="000000"/>
              </w:rPr>
            </w:pPr>
            <w:r>
              <w:rPr>
                <w:rFonts w:asciiTheme="majorHAnsi" w:hAnsiTheme="majorHAnsi"/>
                <w:i/>
                <w:color w:val="000000"/>
              </w:rPr>
              <w:t>CPC</w:t>
            </w:r>
          </w:p>
        </w:tc>
        <w:tc>
          <w:tcPr>
            <w:tcW w:w="4900" w:type="dxa"/>
            <w:tcMar>
              <w:top w:w="15" w:type="dxa"/>
              <w:left w:w="15" w:type="dxa"/>
              <w:bottom w:w="0" w:type="dxa"/>
              <w:right w:w="15" w:type="dxa"/>
            </w:tcMar>
            <w:vAlign w:val="center"/>
            <w:hideMark/>
          </w:tcPr>
          <w:p w14:paraId="6A16CAC1" w14:textId="77777777" w:rsidR="00655B33" w:rsidRPr="00536AB6" w:rsidRDefault="00655B33" w:rsidP="00400461">
            <w:pPr>
              <w:jc w:val="center"/>
              <w:rPr>
                <w:rFonts w:asciiTheme="majorHAnsi" w:hAnsiTheme="majorHAnsi"/>
                <w:i/>
                <w:iCs/>
                <w:color w:val="000000"/>
              </w:rPr>
            </w:pPr>
            <w:r>
              <w:rPr>
                <w:rFonts w:asciiTheme="majorHAnsi" w:hAnsiTheme="majorHAnsi"/>
                <w:i/>
                <w:color w:val="000000"/>
              </w:rPr>
              <w:t>Fecha en la que se ha utilizado toda la cuota de BFT-E</w:t>
            </w:r>
          </w:p>
        </w:tc>
      </w:tr>
      <w:tr w:rsidR="0023584B" w:rsidRPr="00536AB6" w14:paraId="04A8409B" w14:textId="77777777" w:rsidTr="006D1FBF">
        <w:trPr>
          <w:trHeight w:val="255"/>
          <w:jc w:val="center"/>
        </w:trPr>
        <w:tc>
          <w:tcPr>
            <w:tcW w:w="1760" w:type="dxa"/>
            <w:tcMar>
              <w:top w:w="15" w:type="dxa"/>
              <w:left w:w="15" w:type="dxa"/>
              <w:bottom w:w="0" w:type="dxa"/>
              <w:right w:w="15" w:type="dxa"/>
            </w:tcMar>
            <w:vAlign w:val="center"/>
            <w:hideMark/>
          </w:tcPr>
          <w:p w14:paraId="0506A643" w14:textId="77777777" w:rsidR="0023584B" w:rsidRPr="00536AB6" w:rsidRDefault="0023584B" w:rsidP="0023584B">
            <w:pPr>
              <w:widowControl/>
              <w:autoSpaceDE/>
              <w:autoSpaceDN/>
              <w:adjustRightInd/>
              <w:ind w:firstLine="118"/>
              <w:rPr>
                <w:rFonts w:asciiTheme="majorHAnsi" w:hAnsiTheme="majorHAnsi"/>
                <w:color w:val="000000"/>
              </w:rPr>
            </w:pPr>
            <w:r>
              <w:rPr>
                <w:rFonts w:asciiTheme="majorHAnsi" w:hAnsiTheme="majorHAnsi"/>
                <w:color w:val="000000"/>
              </w:rPr>
              <w:t>Albania</w:t>
            </w:r>
          </w:p>
        </w:tc>
        <w:tc>
          <w:tcPr>
            <w:tcW w:w="4900" w:type="dxa"/>
            <w:tcMar>
              <w:top w:w="15" w:type="dxa"/>
              <w:left w:w="15" w:type="dxa"/>
              <w:bottom w:w="0" w:type="dxa"/>
              <w:right w:w="15" w:type="dxa"/>
            </w:tcMar>
            <w:hideMark/>
          </w:tcPr>
          <w:p w14:paraId="6B24FA6E" w14:textId="4A05D64E" w:rsidR="0023584B" w:rsidRPr="00536AB6" w:rsidRDefault="0023584B" w:rsidP="00400461">
            <w:pPr>
              <w:jc w:val="center"/>
              <w:rPr>
                <w:rFonts w:asciiTheme="majorHAnsi" w:hAnsiTheme="majorHAnsi"/>
                <w:color w:val="000000"/>
              </w:rPr>
            </w:pPr>
            <w:r w:rsidRPr="00817C9B">
              <w:rPr>
                <w:rFonts w:asciiTheme="majorHAnsi" w:hAnsiTheme="majorHAnsi"/>
              </w:rPr>
              <w:t>18/06/2026</w:t>
            </w:r>
          </w:p>
        </w:tc>
      </w:tr>
      <w:tr w:rsidR="0023584B" w:rsidRPr="00536AB6" w14:paraId="56BDB180" w14:textId="77777777" w:rsidTr="006D1FBF">
        <w:trPr>
          <w:trHeight w:val="255"/>
          <w:jc w:val="center"/>
        </w:trPr>
        <w:tc>
          <w:tcPr>
            <w:tcW w:w="1760" w:type="dxa"/>
            <w:tcMar>
              <w:top w:w="15" w:type="dxa"/>
              <w:left w:w="15" w:type="dxa"/>
              <w:bottom w:w="0" w:type="dxa"/>
              <w:right w:w="15" w:type="dxa"/>
            </w:tcMar>
            <w:vAlign w:val="center"/>
            <w:hideMark/>
          </w:tcPr>
          <w:p w14:paraId="45C32A7D" w14:textId="77777777" w:rsidR="0023584B" w:rsidRPr="00536AB6" w:rsidRDefault="0023584B" w:rsidP="0023584B">
            <w:pPr>
              <w:widowControl/>
              <w:autoSpaceDE/>
              <w:autoSpaceDN/>
              <w:adjustRightInd/>
              <w:ind w:firstLine="118"/>
              <w:rPr>
                <w:rFonts w:asciiTheme="majorHAnsi" w:hAnsiTheme="majorHAnsi"/>
                <w:color w:val="000000"/>
              </w:rPr>
            </w:pPr>
            <w:r>
              <w:rPr>
                <w:rFonts w:asciiTheme="majorHAnsi" w:hAnsiTheme="majorHAnsi"/>
                <w:color w:val="000000"/>
              </w:rPr>
              <w:t>Argelia</w:t>
            </w:r>
          </w:p>
        </w:tc>
        <w:tc>
          <w:tcPr>
            <w:tcW w:w="4900" w:type="dxa"/>
            <w:tcMar>
              <w:top w:w="15" w:type="dxa"/>
              <w:left w:w="15" w:type="dxa"/>
              <w:bottom w:w="0" w:type="dxa"/>
              <w:right w:w="15" w:type="dxa"/>
            </w:tcMar>
            <w:hideMark/>
          </w:tcPr>
          <w:p w14:paraId="6B41CF61" w14:textId="3176BC37" w:rsidR="0023584B" w:rsidRPr="00817C9B" w:rsidRDefault="0023584B" w:rsidP="00400461">
            <w:pPr>
              <w:jc w:val="center"/>
              <w:rPr>
                <w:rFonts w:asciiTheme="majorHAnsi" w:hAnsiTheme="majorHAnsi"/>
                <w:color w:val="000000"/>
              </w:rPr>
            </w:pPr>
            <w:r w:rsidRPr="00817C9B">
              <w:rPr>
                <w:rFonts w:asciiTheme="majorHAnsi" w:hAnsiTheme="majorHAnsi"/>
              </w:rPr>
              <w:t>11 de julio de 2026</w:t>
            </w:r>
          </w:p>
        </w:tc>
      </w:tr>
      <w:tr w:rsidR="00655B33" w:rsidRPr="00063218" w14:paraId="6CFDDE17" w14:textId="77777777" w:rsidTr="00ED046E">
        <w:trPr>
          <w:trHeight w:val="255"/>
          <w:jc w:val="center"/>
        </w:trPr>
        <w:tc>
          <w:tcPr>
            <w:tcW w:w="1760" w:type="dxa"/>
            <w:tcMar>
              <w:top w:w="15" w:type="dxa"/>
              <w:left w:w="15" w:type="dxa"/>
              <w:bottom w:w="0" w:type="dxa"/>
              <w:right w:w="15" w:type="dxa"/>
            </w:tcMar>
            <w:vAlign w:val="center"/>
            <w:hideMark/>
          </w:tcPr>
          <w:p w14:paraId="464F5FAE" w14:textId="77777777" w:rsidR="00655B33" w:rsidRPr="00536AB6" w:rsidRDefault="00655B33" w:rsidP="00ED046E">
            <w:pPr>
              <w:widowControl/>
              <w:autoSpaceDE/>
              <w:autoSpaceDN/>
              <w:adjustRightInd/>
              <w:ind w:firstLine="118"/>
              <w:rPr>
                <w:rFonts w:asciiTheme="majorHAnsi" w:hAnsiTheme="majorHAnsi"/>
                <w:color w:val="000000"/>
              </w:rPr>
            </w:pPr>
            <w:r>
              <w:rPr>
                <w:rFonts w:asciiTheme="majorHAnsi" w:hAnsiTheme="majorHAnsi"/>
                <w:color w:val="000000"/>
              </w:rPr>
              <w:t>China</w:t>
            </w:r>
          </w:p>
        </w:tc>
        <w:tc>
          <w:tcPr>
            <w:tcW w:w="4900" w:type="dxa"/>
            <w:tcMar>
              <w:top w:w="15" w:type="dxa"/>
              <w:left w:w="15" w:type="dxa"/>
              <w:bottom w:w="0" w:type="dxa"/>
              <w:right w:w="15" w:type="dxa"/>
            </w:tcMar>
            <w:vAlign w:val="center"/>
            <w:hideMark/>
          </w:tcPr>
          <w:p w14:paraId="6E166A6E" w14:textId="49285541" w:rsidR="00655B33" w:rsidRPr="00817C9B" w:rsidRDefault="00655B33" w:rsidP="00400461">
            <w:pPr>
              <w:jc w:val="center"/>
              <w:rPr>
                <w:rFonts w:asciiTheme="majorHAnsi" w:hAnsiTheme="majorHAnsi"/>
                <w:color w:val="000000"/>
              </w:rPr>
            </w:pPr>
            <w:r w:rsidRPr="00817C9B">
              <w:rPr>
                <w:rFonts w:asciiTheme="majorHAnsi" w:hAnsiTheme="majorHAnsi"/>
                <w:color w:val="000000"/>
              </w:rPr>
              <w:t>N/A - Cuota no utilizada en su totalidad en el momento de</w:t>
            </w:r>
            <w:r w:rsidR="003A2625">
              <w:rPr>
                <w:rFonts w:asciiTheme="majorHAnsi" w:hAnsiTheme="majorHAnsi"/>
                <w:color w:val="000000"/>
              </w:rPr>
              <w:t xml:space="preserve"> redactar el informe</w:t>
            </w:r>
          </w:p>
        </w:tc>
      </w:tr>
      <w:tr w:rsidR="00655B33" w:rsidRPr="00536AB6" w14:paraId="45053566" w14:textId="77777777" w:rsidTr="00ED046E">
        <w:trPr>
          <w:trHeight w:val="260"/>
          <w:jc w:val="center"/>
        </w:trPr>
        <w:tc>
          <w:tcPr>
            <w:tcW w:w="1760" w:type="dxa"/>
            <w:tcMar>
              <w:top w:w="15" w:type="dxa"/>
              <w:left w:w="15" w:type="dxa"/>
              <w:bottom w:w="0" w:type="dxa"/>
              <w:right w:w="15" w:type="dxa"/>
            </w:tcMar>
            <w:vAlign w:val="center"/>
            <w:hideMark/>
          </w:tcPr>
          <w:p w14:paraId="623E1A5B" w14:textId="77777777" w:rsidR="00655B33" w:rsidRPr="00536AB6" w:rsidRDefault="00655B33" w:rsidP="00ED046E">
            <w:pPr>
              <w:widowControl/>
              <w:autoSpaceDE/>
              <w:autoSpaceDN/>
              <w:adjustRightInd/>
              <w:ind w:firstLine="118"/>
              <w:rPr>
                <w:rFonts w:asciiTheme="majorHAnsi" w:hAnsiTheme="majorHAnsi"/>
                <w:color w:val="000000"/>
              </w:rPr>
            </w:pPr>
            <w:r>
              <w:rPr>
                <w:rFonts w:asciiTheme="majorHAnsi" w:hAnsiTheme="majorHAnsi"/>
                <w:color w:val="000000"/>
              </w:rPr>
              <w:t>Egipto</w:t>
            </w:r>
          </w:p>
        </w:tc>
        <w:tc>
          <w:tcPr>
            <w:tcW w:w="4900" w:type="dxa"/>
            <w:tcMar>
              <w:top w:w="15" w:type="dxa"/>
              <w:left w:w="15" w:type="dxa"/>
              <w:bottom w:w="0" w:type="dxa"/>
              <w:right w:w="15" w:type="dxa"/>
            </w:tcMar>
            <w:vAlign w:val="center"/>
            <w:hideMark/>
          </w:tcPr>
          <w:p w14:paraId="0385F499" w14:textId="55A72813" w:rsidR="00655B33" w:rsidRPr="00817C9B" w:rsidRDefault="0023584B" w:rsidP="00400461">
            <w:pPr>
              <w:jc w:val="center"/>
              <w:rPr>
                <w:rFonts w:asciiTheme="majorHAnsi" w:hAnsiTheme="majorHAnsi"/>
                <w:color w:val="000000"/>
              </w:rPr>
            </w:pPr>
            <w:r w:rsidRPr="00817C9B">
              <w:rPr>
                <w:rFonts w:asciiTheme="majorHAnsi" w:hAnsiTheme="majorHAnsi"/>
                <w:color w:val="000000"/>
              </w:rPr>
              <w:t>20 de junio de 2026</w:t>
            </w:r>
          </w:p>
        </w:tc>
      </w:tr>
      <w:tr w:rsidR="00655B33" w:rsidRPr="00063218" w14:paraId="3B4AD284" w14:textId="77777777" w:rsidTr="00ED046E">
        <w:trPr>
          <w:trHeight w:val="176"/>
          <w:jc w:val="center"/>
        </w:trPr>
        <w:tc>
          <w:tcPr>
            <w:tcW w:w="1760" w:type="dxa"/>
            <w:tcMar>
              <w:top w:w="15" w:type="dxa"/>
              <w:left w:w="15" w:type="dxa"/>
              <w:bottom w:w="0" w:type="dxa"/>
              <w:right w:w="15" w:type="dxa"/>
            </w:tcMar>
            <w:vAlign w:val="center"/>
            <w:hideMark/>
          </w:tcPr>
          <w:p w14:paraId="73DE5D26" w14:textId="77777777" w:rsidR="00655B33" w:rsidRPr="00536AB6" w:rsidRDefault="00655B33" w:rsidP="00ED046E">
            <w:pPr>
              <w:widowControl/>
              <w:autoSpaceDE/>
              <w:autoSpaceDN/>
              <w:adjustRightInd/>
              <w:ind w:firstLine="118"/>
              <w:rPr>
                <w:rFonts w:asciiTheme="majorHAnsi" w:hAnsiTheme="majorHAnsi"/>
                <w:color w:val="000000"/>
              </w:rPr>
            </w:pPr>
            <w:r>
              <w:rPr>
                <w:rFonts w:asciiTheme="majorHAnsi" w:hAnsiTheme="majorHAnsi"/>
                <w:color w:val="000000"/>
              </w:rPr>
              <w:t>Unión Europea</w:t>
            </w:r>
          </w:p>
        </w:tc>
        <w:tc>
          <w:tcPr>
            <w:tcW w:w="4900" w:type="dxa"/>
            <w:tcMar>
              <w:top w:w="15" w:type="dxa"/>
              <w:left w:w="15" w:type="dxa"/>
              <w:bottom w:w="0" w:type="dxa"/>
              <w:right w:w="15" w:type="dxa"/>
            </w:tcMar>
            <w:vAlign w:val="center"/>
            <w:hideMark/>
          </w:tcPr>
          <w:p w14:paraId="34A86581" w14:textId="14460546" w:rsidR="00655B33" w:rsidRPr="00817C9B" w:rsidRDefault="00655B33" w:rsidP="00400461">
            <w:pPr>
              <w:jc w:val="center"/>
              <w:rPr>
                <w:rFonts w:asciiTheme="majorHAnsi" w:hAnsiTheme="majorHAnsi"/>
                <w:color w:val="000000"/>
              </w:rPr>
            </w:pPr>
            <w:r w:rsidRPr="00817C9B">
              <w:rPr>
                <w:rFonts w:asciiTheme="majorHAnsi" w:hAnsiTheme="majorHAnsi"/>
                <w:color w:val="000000"/>
              </w:rPr>
              <w:t xml:space="preserve">No aplicable: Cuota no utilizada en su totalidad en el momento de </w:t>
            </w:r>
            <w:r w:rsidR="003A2625">
              <w:rPr>
                <w:rFonts w:asciiTheme="majorHAnsi" w:hAnsiTheme="majorHAnsi"/>
                <w:color w:val="000000"/>
              </w:rPr>
              <w:t>redactar el informe</w:t>
            </w:r>
            <w:r w:rsidRPr="00817C9B">
              <w:rPr>
                <w:rFonts w:asciiTheme="majorHAnsi" w:hAnsiTheme="majorHAnsi"/>
                <w:color w:val="000000"/>
              </w:rPr>
              <w:t>.</w:t>
            </w:r>
          </w:p>
        </w:tc>
      </w:tr>
      <w:tr w:rsidR="00655B33" w:rsidRPr="00536AB6" w14:paraId="0A4D166F" w14:textId="77777777" w:rsidTr="00ED046E">
        <w:trPr>
          <w:trHeight w:val="255"/>
          <w:jc w:val="center"/>
        </w:trPr>
        <w:tc>
          <w:tcPr>
            <w:tcW w:w="1760" w:type="dxa"/>
            <w:tcMar>
              <w:top w:w="15" w:type="dxa"/>
              <w:left w:w="270" w:type="dxa"/>
              <w:bottom w:w="0" w:type="dxa"/>
              <w:right w:w="15" w:type="dxa"/>
            </w:tcMar>
            <w:vAlign w:val="center"/>
            <w:hideMark/>
          </w:tcPr>
          <w:p w14:paraId="407AE4D3" w14:textId="77777777" w:rsidR="00655B33" w:rsidRPr="00536AB6" w:rsidRDefault="00655B33" w:rsidP="00ED046E">
            <w:pPr>
              <w:ind w:firstLineChars="200" w:firstLine="400"/>
              <w:rPr>
                <w:rFonts w:asciiTheme="majorHAnsi" w:hAnsiTheme="majorHAnsi"/>
                <w:color w:val="000000"/>
              </w:rPr>
            </w:pPr>
            <w:r>
              <w:rPr>
                <w:rFonts w:asciiTheme="majorHAnsi" w:hAnsiTheme="majorHAnsi"/>
                <w:color w:val="000000"/>
              </w:rPr>
              <w:t>UE-Croacia</w:t>
            </w:r>
          </w:p>
        </w:tc>
        <w:tc>
          <w:tcPr>
            <w:tcW w:w="4900" w:type="dxa"/>
            <w:tcMar>
              <w:top w:w="15" w:type="dxa"/>
              <w:left w:w="15" w:type="dxa"/>
              <w:bottom w:w="0" w:type="dxa"/>
              <w:right w:w="15" w:type="dxa"/>
            </w:tcMar>
            <w:vAlign w:val="center"/>
            <w:hideMark/>
          </w:tcPr>
          <w:p w14:paraId="45A94872" w14:textId="77777777" w:rsidR="00655B33" w:rsidRPr="00817C9B" w:rsidRDefault="00655B33" w:rsidP="00400461">
            <w:pPr>
              <w:jc w:val="center"/>
              <w:rPr>
                <w:rFonts w:asciiTheme="majorHAnsi" w:hAnsiTheme="majorHAnsi"/>
                <w:color w:val="000000"/>
                <w:lang w:val="en-GB"/>
              </w:rPr>
            </w:pPr>
          </w:p>
        </w:tc>
      </w:tr>
      <w:tr w:rsidR="00655B33" w:rsidRPr="00536AB6" w14:paraId="562505A3" w14:textId="77777777" w:rsidTr="00ED046E">
        <w:trPr>
          <w:trHeight w:val="255"/>
          <w:jc w:val="center"/>
        </w:trPr>
        <w:tc>
          <w:tcPr>
            <w:tcW w:w="1760" w:type="dxa"/>
            <w:tcMar>
              <w:top w:w="15" w:type="dxa"/>
              <w:left w:w="270" w:type="dxa"/>
              <w:bottom w:w="0" w:type="dxa"/>
              <w:right w:w="15" w:type="dxa"/>
            </w:tcMar>
            <w:vAlign w:val="center"/>
            <w:hideMark/>
          </w:tcPr>
          <w:p w14:paraId="4A624BB5" w14:textId="77777777" w:rsidR="00655B33" w:rsidRPr="00536AB6" w:rsidRDefault="00655B33" w:rsidP="00ED046E">
            <w:pPr>
              <w:ind w:firstLineChars="200" w:firstLine="400"/>
              <w:rPr>
                <w:rFonts w:asciiTheme="majorHAnsi" w:hAnsiTheme="majorHAnsi"/>
                <w:color w:val="000000"/>
              </w:rPr>
            </w:pPr>
            <w:r>
              <w:rPr>
                <w:rFonts w:asciiTheme="majorHAnsi" w:hAnsiTheme="majorHAnsi"/>
                <w:color w:val="000000"/>
              </w:rPr>
              <w:t>UE-Chipre</w:t>
            </w:r>
          </w:p>
        </w:tc>
        <w:tc>
          <w:tcPr>
            <w:tcW w:w="4900" w:type="dxa"/>
            <w:tcMar>
              <w:top w:w="15" w:type="dxa"/>
              <w:left w:w="15" w:type="dxa"/>
              <w:bottom w:w="0" w:type="dxa"/>
              <w:right w:w="15" w:type="dxa"/>
            </w:tcMar>
            <w:vAlign w:val="center"/>
            <w:hideMark/>
          </w:tcPr>
          <w:p w14:paraId="37FF3F1D" w14:textId="77777777" w:rsidR="00655B33" w:rsidRPr="00817C9B" w:rsidRDefault="00655B33" w:rsidP="00400461">
            <w:pPr>
              <w:jc w:val="center"/>
              <w:rPr>
                <w:rFonts w:asciiTheme="majorHAnsi" w:hAnsiTheme="majorHAnsi"/>
                <w:color w:val="000000"/>
                <w:lang w:val="en-GB"/>
              </w:rPr>
            </w:pPr>
          </w:p>
        </w:tc>
      </w:tr>
      <w:tr w:rsidR="00655B33" w:rsidRPr="00536AB6" w14:paraId="671FDBE4" w14:textId="77777777" w:rsidTr="00ED046E">
        <w:trPr>
          <w:trHeight w:val="255"/>
          <w:jc w:val="center"/>
        </w:trPr>
        <w:tc>
          <w:tcPr>
            <w:tcW w:w="1760" w:type="dxa"/>
            <w:tcMar>
              <w:top w:w="15" w:type="dxa"/>
              <w:left w:w="270" w:type="dxa"/>
              <w:bottom w:w="0" w:type="dxa"/>
              <w:right w:w="15" w:type="dxa"/>
            </w:tcMar>
            <w:vAlign w:val="center"/>
            <w:hideMark/>
          </w:tcPr>
          <w:p w14:paraId="655630B4" w14:textId="77777777" w:rsidR="00655B33" w:rsidRPr="00536AB6" w:rsidRDefault="00655B33" w:rsidP="00ED046E">
            <w:pPr>
              <w:ind w:firstLineChars="200" w:firstLine="400"/>
              <w:rPr>
                <w:rFonts w:asciiTheme="majorHAnsi" w:hAnsiTheme="majorHAnsi"/>
                <w:color w:val="000000"/>
              </w:rPr>
            </w:pPr>
            <w:r>
              <w:rPr>
                <w:rFonts w:asciiTheme="majorHAnsi" w:hAnsiTheme="majorHAnsi"/>
                <w:color w:val="000000"/>
              </w:rPr>
              <w:t>UE-Francia</w:t>
            </w:r>
          </w:p>
        </w:tc>
        <w:tc>
          <w:tcPr>
            <w:tcW w:w="4900" w:type="dxa"/>
            <w:tcMar>
              <w:top w:w="15" w:type="dxa"/>
              <w:left w:w="15" w:type="dxa"/>
              <w:bottom w:w="0" w:type="dxa"/>
              <w:right w:w="15" w:type="dxa"/>
            </w:tcMar>
            <w:vAlign w:val="center"/>
            <w:hideMark/>
          </w:tcPr>
          <w:p w14:paraId="36975836" w14:textId="77777777" w:rsidR="00655B33" w:rsidRPr="00817C9B" w:rsidRDefault="00655B33" w:rsidP="00400461">
            <w:pPr>
              <w:jc w:val="center"/>
              <w:rPr>
                <w:rFonts w:asciiTheme="majorHAnsi" w:hAnsiTheme="majorHAnsi"/>
                <w:color w:val="000000"/>
                <w:lang w:val="en-GB"/>
              </w:rPr>
            </w:pPr>
          </w:p>
        </w:tc>
      </w:tr>
      <w:tr w:rsidR="00655B33" w:rsidRPr="00536AB6" w14:paraId="5AAA7E2F" w14:textId="77777777" w:rsidTr="00ED046E">
        <w:trPr>
          <w:trHeight w:val="255"/>
          <w:jc w:val="center"/>
        </w:trPr>
        <w:tc>
          <w:tcPr>
            <w:tcW w:w="1760" w:type="dxa"/>
            <w:tcMar>
              <w:top w:w="15" w:type="dxa"/>
              <w:left w:w="270" w:type="dxa"/>
              <w:bottom w:w="0" w:type="dxa"/>
              <w:right w:w="15" w:type="dxa"/>
            </w:tcMar>
            <w:vAlign w:val="center"/>
            <w:hideMark/>
          </w:tcPr>
          <w:p w14:paraId="4C43B695" w14:textId="77777777" w:rsidR="00655B33" w:rsidRPr="00536AB6" w:rsidRDefault="00655B33" w:rsidP="00ED046E">
            <w:pPr>
              <w:ind w:firstLineChars="200" w:firstLine="400"/>
              <w:rPr>
                <w:rFonts w:asciiTheme="majorHAnsi" w:hAnsiTheme="majorHAnsi"/>
                <w:color w:val="000000"/>
              </w:rPr>
            </w:pPr>
            <w:r>
              <w:rPr>
                <w:rFonts w:asciiTheme="majorHAnsi" w:hAnsiTheme="majorHAnsi"/>
                <w:color w:val="000000"/>
              </w:rPr>
              <w:t>UE-Italia</w:t>
            </w:r>
          </w:p>
        </w:tc>
        <w:tc>
          <w:tcPr>
            <w:tcW w:w="4900" w:type="dxa"/>
            <w:tcMar>
              <w:top w:w="15" w:type="dxa"/>
              <w:left w:w="15" w:type="dxa"/>
              <w:bottom w:w="0" w:type="dxa"/>
              <w:right w:w="15" w:type="dxa"/>
            </w:tcMar>
            <w:vAlign w:val="center"/>
            <w:hideMark/>
          </w:tcPr>
          <w:p w14:paraId="5CC05C87" w14:textId="77777777" w:rsidR="00655B33" w:rsidRPr="00817C9B" w:rsidRDefault="00655B33" w:rsidP="00400461">
            <w:pPr>
              <w:jc w:val="center"/>
              <w:rPr>
                <w:rFonts w:asciiTheme="majorHAnsi" w:hAnsiTheme="majorHAnsi"/>
                <w:color w:val="000000"/>
                <w:lang w:val="en-GB"/>
              </w:rPr>
            </w:pPr>
          </w:p>
        </w:tc>
      </w:tr>
      <w:tr w:rsidR="00655B33" w:rsidRPr="00536AB6" w14:paraId="2BBD08B7" w14:textId="77777777" w:rsidTr="00ED046E">
        <w:trPr>
          <w:trHeight w:val="255"/>
          <w:jc w:val="center"/>
        </w:trPr>
        <w:tc>
          <w:tcPr>
            <w:tcW w:w="1760" w:type="dxa"/>
            <w:tcMar>
              <w:top w:w="15" w:type="dxa"/>
              <w:left w:w="270" w:type="dxa"/>
              <w:bottom w:w="0" w:type="dxa"/>
              <w:right w:w="15" w:type="dxa"/>
            </w:tcMar>
            <w:vAlign w:val="center"/>
            <w:hideMark/>
          </w:tcPr>
          <w:p w14:paraId="59B7B46E" w14:textId="77777777" w:rsidR="00655B33" w:rsidRPr="00536AB6" w:rsidRDefault="00655B33" w:rsidP="00ED046E">
            <w:pPr>
              <w:ind w:firstLineChars="200" w:firstLine="400"/>
              <w:rPr>
                <w:rFonts w:asciiTheme="majorHAnsi" w:hAnsiTheme="majorHAnsi"/>
                <w:color w:val="000000"/>
              </w:rPr>
            </w:pPr>
            <w:r>
              <w:rPr>
                <w:rFonts w:asciiTheme="majorHAnsi" w:hAnsiTheme="majorHAnsi"/>
                <w:color w:val="000000"/>
              </w:rPr>
              <w:t xml:space="preserve">UE-España </w:t>
            </w:r>
          </w:p>
        </w:tc>
        <w:tc>
          <w:tcPr>
            <w:tcW w:w="4900" w:type="dxa"/>
            <w:tcMar>
              <w:top w:w="15" w:type="dxa"/>
              <w:left w:w="15" w:type="dxa"/>
              <w:bottom w:w="0" w:type="dxa"/>
              <w:right w:w="15" w:type="dxa"/>
            </w:tcMar>
            <w:vAlign w:val="center"/>
            <w:hideMark/>
          </w:tcPr>
          <w:p w14:paraId="7791B441" w14:textId="77777777" w:rsidR="00655B33" w:rsidRPr="00817C9B" w:rsidRDefault="00655B33" w:rsidP="00400461">
            <w:pPr>
              <w:jc w:val="center"/>
              <w:rPr>
                <w:rFonts w:asciiTheme="majorHAnsi" w:hAnsiTheme="majorHAnsi"/>
                <w:color w:val="000000"/>
                <w:lang w:val="en-GB"/>
              </w:rPr>
            </w:pPr>
          </w:p>
        </w:tc>
      </w:tr>
      <w:tr w:rsidR="00655B33" w:rsidRPr="00063218" w14:paraId="0F8631D7" w14:textId="77777777" w:rsidTr="006D1FBF">
        <w:trPr>
          <w:trHeight w:val="252"/>
          <w:jc w:val="center"/>
        </w:trPr>
        <w:tc>
          <w:tcPr>
            <w:tcW w:w="1760" w:type="dxa"/>
            <w:tcMar>
              <w:top w:w="15" w:type="dxa"/>
              <w:left w:w="15" w:type="dxa"/>
              <w:bottom w:w="0" w:type="dxa"/>
              <w:right w:w="15" w:type="dxa"/>
            </w:tcMar>
            <w:vAlign w:val="center"/>
            <w:hideMark/>
          </w:tcPr>
          <w:p w14:paraId="0E042BED" w14:textId="77777777" w:rsidR="00655B33" w:rsidRPr="00536AB6" w:rsidRDefault="00655B33" w:rsidP="00ED046E">
            <w:pPr>
              <w:widowControl/>
              <w:autoSpaceDE/>
              <w:autoSpaceDN/>
              <w:adjustRightInd/>
              <w:ind w:firstLine="118"/>
              <w:rPr>
                <w:rFonts w:asciiTheme="majorHAnsi" w:hAnsiTheme="majorHAnsi"/>
                <w:color w:val="000000"/>
              </w:rPr>
            </w:pPr>
            <w:r>
              <w:rPr>
                <w:rFonts w:asciiTheme="majorHAnsi" w:hAnsiTheme="majorHAnsi"/>
                <w:color w:val="000000"/>
              </w:rPr>
              <w:t>Islandia</w:t>
            </w:r>
          </w:p>
        </w:tc>
        <w:tc>
          <w:tcPr>
            <w:tcW w:w="4900" w:type="dxa"/>
            <w:tcMar>
              <w:top w:w="15" w:type="dxa"/>
              <w:left w:w="15" w:type="dxa"/>
              <w:bottom w:w="0" w:type="dxa"/>
              <w:right w:w="15" w:type="dxa"/>
            </w:tcMar>
            <w:vAlign w:val="center"/>
            <w:hideMark/>
          </w:tcPr>
          <w:p w14:paraId="7C7E2CB6" w14:textId="7D06B3EF" w:rsidR="00655B33" w:rsidRPr="00817C9B" w:rsidRDefault="00655B33" w:rsidP="00400461">
            <w:pPr>
              <w:jc w:val="center"/>
              <w:rPr>
                <w:rFonts w:asciiTheme="majorHAnsi" w:hAnsiTheme="majorHAnsi"/>
                <w:color w:val="000000"/>
              </w:rPr>
            </w:pPr>
            <w:r w:rsidRPr="00817C9B">
              <w:rPr>
                <w:rFonts w:asciiTheme="majorHAnsi" w:hAnsiTheme="majorHAnsi"/>
                <w:color w:val="000000"/>
              </w:rPr>
              <w:t>N/A: en 2026, ningún buque islandés llevará a cabo actividades de pesca dirigida al atún rojo del Atlántico oriental.</w:t>
            </w:r>
          </w:p>
        </w:tc>
      </w:tr>
      <w:tr w:rsidR="00655B33" w:rsidRPr="00536AB6" w14:paraId="21E4147C" w14:textId="77777777" w:rsidTr="00ED046E">
        <w:trPr>
          <w:trHeight w:val="255"/>
          <w:jc w:val="center"/>
        </w:trPr>
        <w:tc>
          <w:tcPr>
            <w:tcW w:w="1760" w:type="dxa"/>
            <w:tcMar>
              <w:top w:w="15" w:type="dxa"/>
              <w:left w:w="15" w:type="dxa"/>
              <w:bottom w:w="0" w:type="dxa"/>
              <w:right w:w="15" w:type="dxa"/>
            </w:tcMar>
            <w:vAlign w:val="center"/>
            <w:hideMark/>
          </w:tcPr>
          <w:p w14:paraId="2A32B1FD" w14:textId="77777777" w:rsidR="00655B33" w:rsidRPr="00536AB6" w:rsidRDefault="00655B33" w:rsidP="00ED046E">
            <w:pPr>
              <w:widowControl/>
              <w:autoSpaceDE/>
              <w:autoSpaceDN/>
              <w:adjustRightInd/>
              <w:ind w:firstLine="118"/>
              <w:rPr>
                <w:rFonts w:asciiTheme="majorHAnsi" w:hAnsiTheme="majorHAnsi"/>
                <w:color w:val="000000"/>
              </w:rPr>
            </w:pPr>
            <w:r>
              <w:rPr>
                <w:rFonts w:asciiTheme="majorHAnsi" w:hAnsiTheme="majorHAnsi"/>
                <w:color w:val="000000"/>
              </w:rPr>
              <w:t>Japón</w:t>
            </w:r>
          </w:p>
        </w:tc>
        <w:tc>
          <w:tcPr>
            <w:tcW w:w="4900" w:type="dxa"/>
            <w:tcMar>
              <w:top w:w="15" w:type="dxa"/>
              <w:left w:w="15" w:type="dxa"/>
              <w:bottom w:w="0" w:type="dxa"/>
              <w:right w:w="15" w:type="dxa"/>
            </w:tcMar>
            <w:vAlign w:val="center"/>
            <w:hideMark/>
          </w:tcPr>
          <w:p w14:paraId="75E3092E" w14:textId="5F3106AE" w:rsidR="00655B33" w:rsidRPr="00817C9B" w:rsidRDefault="00400461" w:rsidP="00400461">
            <w:pPr>
              <w:jc w:val="center"/>
              <w:rPr>
                <w:rFonts w:asciiTheme="majorHAnsi" w:hAnsiTheme="majorHAnsi"/>
                <w:color w:val="000000"/>
              </w:rPr>
            </w:pPr>
            <w:r w:rsidRPr="00817C9B">
              <w:rPr>
                <w:rFonts w:asciiTheme="majorHAnsi" w:hAnsiTheme="majorHAnsi"/>
                <w:color w:val="000000"/>
              </w:rPr>
              <w:t>3 de marzo de 2026 (cuota de 2025)</w:t>
            </w:r>
          </w:p>
        </w:tc>
      </w:tr>
      <w:tr w:rsidR="00655B33" w:rsidRPr="00063218" w14:paraId="0343AD13" w14:textId="77777777" w:rsidTr="00ED046E">
        <w:trPr>
          <w:trHeight w:val="255"/>
          <w:jc w:val="center"/>
        </w:trPr>
        <w:tc>
          <w:tcPr>
            <w:tcW w:w="1760" w:type="dxa"/>
            <w:tcMar>
              <w:top w:w="15" w:type="dxa"/>
              <w:left w:w="15" w:type="dxa"/>
              <w:bottom w:w="0" w:type="dxa"/>
              <w:right w:w="15" w:type="dxa"/>
            </w:tcMar>
            <w:vAlign w:val="center"/>
            <w:hideMark/>
          </w:tcPr>
          <w:p w14:paraId="45F2ACBE" w14:textId="77777777" w:rsidR="00655B33" w:rsidRPr="00536AB6" w:rsidRDefault="00655B33" w:rsidP="00ED046E">
            <w:pPr>
              <w:widowControl/>
              <w:autoSpaceDE/>
              <w:autoSpaceDN/>
              <w:adjustRightInd/>
              <w:ind w:firstLine="118"/>
              <w:rPr>
                <w:rFonts w:asciiTheme="majorHAnsi" w:hAnsiTheme="majorHAnsi"/>
                <w:color w:val="000000"/>
              </w:rPr>
            </w:pPr>
            <w:r>
              <w:rPr>
                <w:rFonts w:asciiTheme="majorHAnsi" w:hAnsiTheme="majorHAnsi"/>
                <w:color w:val="000000"/>
              </w:rPr>
              <w:t>Corea</w:t>
            </w:r>
          </w:p>
        </w:tc>
        <w:tc>
          <w:tcPr>
            <w:tcW w:w="4900" w:type="dxa"/>
            <w:tcMar>
              <w:top w:w="15" w:type="dxa"/>
              <w:left w:w="15" w:type="dxa"/>
              <w:bottom w:w="0" w:type="dxa"/>
              <w:right w:w="15" w:type="dxa"/>
            </w:tcMar>
            <w:vAlign w:val="center"/>
            <w:hideMark/>
          </w:tcPr>
          <w:p w14:paraId="09D9CABF" w14:textId="50999E09" w:rsidR="00655B33" w:rsidRPr="00817C9B" w:rsidRDefault="00655B33" w:rsidP="00400461">
            <w:pPr>
              <w:jc w:val="center"/>
              <w:rPr>
                <w:rFonts w:asciiTheme="majorHAnsi" w:hAnsiTheme="majorHAnsi"/>
                <w:color w:val="000000"/>
              </w:rPr>
            </w:pPr>
            <w:r w:rsidRPr="00817C9B">
              <w:rPr>
                <w:rFonts w:asciiTheme="majorHAnsi" w:hAnsiTheme="majorHAnsi"/>
                <w:color w:val="000000"/>
              </w:rPr>
              <w:t xml:space="preserve">No aplicable: Cuota no utilizada en su totalidad en el momento de </w:t>
            </w:r>
            <w:r w:rsidR="003A2625">
              <w:rPr>
                <w:rFonts w:asciiTheme="majorHAnsi" w:hAnsiTheme="majorHAnsi"/>
                <w:color w:val="000000"/>
              </w:rPr>
              <w:t>redactar este inform</w:t>
            </w:r>
            <w:r w:rsidR="00AD1215">
              <w:rPr>
                <w:rFonts w:asciiTheme="majorHAnsi" w:hAnsiTheme="majorHAnsi"/>
                <w:color w:val="000000"/>
              </w:rPr>
              <w:t>e</w:t>
            </w:r>
            <w:r w:rsidRPr="00817C9B">
              <w:rPr>
                <w:rFonts w:asciiTheme="majorHAnsi" w:hAnsiTheme="majorHAnsi"/>
                <w:color w:val="000000"/>
              </w:rPr>
              <w:t>.</w:t>
            </w:r>
          </w:p>
        </w:tc>
      </w:tr>
      <w:tr w:rsidR="00655B33" w:rsidRPr="00063218" w14:paraId="62F2EDD4" w14:textId="77777777" w:rsidTr="00ED046E">
        <w:trPr>
          <w:trHeight w:val="255"/>
          <w:jc w:val="center"/>
        </w:trPr>
        <w:tc>
          <w:tcPr>
            <w:tcW w:w="1760" w:type="dxa"/>
            <w:tcMar>
              <w:top w:w="15" w:type="dxa"/>
              <w:left w:w="15" w:type="dxa"/>
              <w:bottom w:w="0" w:type="dxa"/>
              <w:right w:w="15" w:type="dxa"/>
            </w:tcMar>
            <w:vAlign w:val="center"/>
            <w:hideMark/>
          </w:tcPr>
          <w:p w14:paraId="56536168" w14:textId="77777777" w:rsidR="00655B33" w:rsidRPr="00536AB6" w:rsidRDefault="00655B33" w:rsidP="00ED046E">
            <w:pPr>
              <w:widowControl/>
              <w:autoSpaceDE/>
              <w:autoSpaceDN/>
              <w:adjustRightInd/>
              <w:ind w:firstLine="118"/>
              <w:rPr>
                <w:rFonts w:asciiTheme="majorHAnsi" w:hAnsiTheme="majorHAnsi"/>
                <w:color w:val="000000"/>
              </w:rPr>
            </w:pPr>
            <w:r>
              <w:rPr>
                <w:rFonts w:asciiTheme="majorHAnsi" w:hAnsiTheme="majorHAnsi"/>
                <w:color w:val="000000"/>
              </w:rPr>
              <w:t>Libia</w:t>
            </w:r>
          </w:p>
        </w:tc>
        <w:tc>
          <w:tcPr>
            <w:tcW w:w="4900" w:type="dxa"/>
            <w:tcMar>
              <w:top w:w="15" w:type="dxa"/>
              <w:left w:w="15" w:type="dxa"/>
              <w:bottom w:w="0" w:type="dxa"/>
              <w:right w:w="15" w:type="dxa"/>
            </w:tcMar>
            <w:vAlign w:val="center"/>
            <w:hideMark/>
          </w:tcPr>
          <w:p w14:paraId="57CCB2C4" w14:textId="76DA21CA" w:rsidR="00655B33" w:rsidRPr="00817C9B" w:rsidRDefault="00400461" w:rsidP="00400461">
            <w:pPr>
              <w:jc w:val="center"/>
              <w:rPr>
                <w:rFonts w:asciiTheme="majorHAnsi" w:hAnsiTheme="majorHAnsi"/>
                <w:color w:val="000000"/>
              </w:rPr>
            </w:pPr>
            <w:r w:rsidRPr="00817C9B">
              <w:rPr>
                <w:rFonts w:asciiTheme="majorHAnsi" w:hAnsiTheme="majorHAnsi"/>
                <w:color w:val="000000"/>
              </w:rPr>
              <w:t>En el momento de redactar este informe no se ha recibido ninguna información.</w:t>
            </w:r>
          </w:p>
        </w:tc>
      </w:tr>
      <w:tr w:rsidR="00400461" w:rsidRPr="00063218" w14:paraId="074A6004" w14:textId="77777777" w:rsidTr="00ED046E">
        <w:trPr>
          <w:trHeight w:val="255"/>
          <w:jc w:val="center"/>
        </w:trPr>
        <w:tc>
          <w:tcPr>
            <w:tcW w:w="1760" w:type="dxa"/>
            <w:tcMar>
              <w:top w:w="15" w:type="dxa"/>
              <w:left w:w="15" w:type="dxa"/>
              <w:bottom w:w="0" w:type="dxa"/>
              <w:right w:w="15" w:type="dxa"/>
            </w:tcMar>
            <w:vAlign w:val="center"/>
            <w:hideMark/>
          </w:tcPr>
          <w:p w14:paraId="1C9ADC0C" w14:textId="77777777" w:rsidR="00400461" w:rsidRPr="00536AB6" w:rsidRDefault="00400461" w:rsidP="00400461">
            <w:pPr>
              <w:widowControl/>
              <w:autoSpaceDE/>
              <w:autoSpaceDN/>
              <w:adjustRightInd/>
              <w:ind w:firstLine="118"/>
              <w:rPr>
                <w:rFonts w:asciiTheme="majorHAnsi" w:hAnsiTheme="majorHAnsi"/>
                <w:color w:val="000000"/>
              </w:rPr>
            </w:pPr>
            <w:r>
              <w:rPr>
                <w:rFonts w:asciiTheme="majorHAnsi" w:hAnsiTheme="majorHAnsi"/>
                <w:color w:val="000000"/>
              </w:rPr>
              <w:t>Marruecos</w:t>
            </w:r>
          </w:p>
        </w:tc>
        <w:tc>
          <w:tcPr>
            <w:tcW w:w="4900" w:type="dxa"/>
            <w:tcMar>
              <w:top w:w="15" w:type="dxa"/>
              <w:left w:w="15" w:type="dxa"/>
              <w:bottom w:w="0" w:type="dxa"/>
              <w:right w:w="15" w:type="dxa"/>
            </w:tcMar>
            <w:vAlign w:val="center"/>
            <w:hideMark/>
          </w:tcPr>
          <w:p w14:paraId="7BF87FC3" w14:textId="61809D3D" w:rsidR="00400461" w:rsidRPr="00817C9B" w:rsidRDefault="00400461" w:rsidP="00400461">
            <w:pPr>
              <w:jc w:val="center"/>
              <w:rPr>
                <w:rFonts w:asciiTheme="majorHAnsi" w:hAnsiTheme="majorHAnsi"/>
                <w:color w:val="000000"/>
              </w:rPr>
            </w:pPr>
            <w:r w:rsidRPr="00817C9B">
              <w:rPr>
                <w:rFonts w:asciiTheme="majorHAnsi" w:hAnsiTheme="majorHAnsi"/>
                <w:color w:val="000000"/>
              </w:rPr>
              <w:t>N/A - Cuota no utilizada en su totalidad en el momento de redactar este informe.</w:t>
            </w:r>
          </w:p>
        </w:tc>
      </w:tr>
      <w:tr w:rsidR="00655B33" w:rsidRPr="00063218" w14:paraId="22673A90" w14:textId="77777777" w:rsidTr="00ED046E">
        <w:trPr>
          <w:trHeight w:val="255"/>
          <w:jc w:val="center"/>
        </w:trPr>
        <w:tc>
          <w:tcPr>
            <w:tcW w:w="1760" w:type="dxa"/>
            <w:tcMar>
              <w:top w:w="15" w:type="dxa"/>
              <w:left w:w="15" w:type="dxa"/>
              <w:bottom w:w="0" w:type="dxa"/>
              <w:right w:w="15" w:type="dxa"/>
            </w:tcMar>
            <w:vAlign w:val="center"/>
            <w:hideMark/>
          </w:tcPr>
          <w:p w14:paraId="4B523CD0" w14:textId="77777777" w:rsidR="00655B33" w:rsidRPr="00536AB6" w:rsidRDefault="00655B33" w:rsidP="00ED046E">
            <w:pPr>
              <w:widowControl/>
              <w:autoSpaceDE/>
              <w:autoSpaceDN/>
              <w:adjustRightInd/>
              <w:ind w:firstLine="118"/>
              <w:rPr>
                <w:rFonts w:asciiTheme="majorHAnsi" w:hAnsiTheme="majorHAnsi"/>
                <w:color w:val="000000"/>
              </w:rPr>
            </w:pPr>
            <w:r>
              <w:rPr>
                <w:rFonts w:asciiTheme="majorHAnsi" w:hAnsiTheme="majorHAnsi"/>
                <w:color w:val="000000"/>
              </w:rPr>
              <w:t>Noruega</w:t>
            </w:r>
          </w:p>
        </w:tc>
        <w:tc>
          <w:tcPr>
            <w:tcW w:w="4900" w:type="dxa"/>
            <w:tcMar>
              <w:top w:w="15" w:type="dxa"/>
              <w:left w:w="15" w:type="dxa"/>
              <w:bottom w:w="0" w:type="dxa"/>
              <w:right w:w="15" w:type="dxa"/>
            </w:tcMar>
            <w:vAlign w:val="center"/>
            <w:hideMark/>
          </w:tcPr>
          <w:p w14:paraId="2CF3DCB8" w14:textId="335189F1" w:rsidR="00655B33" w:rsidRPr="00536AB6" w:rsidRDefault="00655B33" w:rsidP="00400461">
            <w:pPr>
              <w:jc w:val="center"/>
              <w:rPr>
                <w:rFonts w:asciiTheme="majorHAnsi" w:hAnsiTheme="majorHAnsi"/>
                <w:color w:val="000000"/>
              </w:rPr>
            </w:pPr>
            <w:r>
              <w:rPr>
                <w:rFonts w:asciiTheme="majorHAnsi" w:hAnsiTheme="majorHAnsi"/>
                <w:color w:val="000000"/>
              </w:rPr>
              <w:t xml:space="preserve">No aplicable: Cuota no utilizada en su totalidad en el </w:t>
            </w:r>
            <w:r>
              <w:rPr>
                <w:rFonts w:asciiTheme="majorHAnsi" w:hAnsiTheme="majorHAnsi"/>
                <w:color w:val="000000"/>
              </w:rPr>
              <w:lastRenderedPageBreak/>
              <w:t xml:space="preserve">momento de </w:t>
            </w:r>
            <w:r w:rsidR="00AD1215">
              <w:rPr>
                <w:rFonts w:asciiTheme="majorHAnsi" w:hAnsiTheme="majorHAnsi"/>
                <w:color w:val="000000"/>
              </w:rPr>
              <w:t>redactar este informe</w:t>
            </w:r>
            <w:r>
              <w:rPr>
                <w:rFonts w:asciiTheme="majorHAnsi" w:hAnsiTheme="majorHAnsi"/>
                <w:color w:val="000000"/>
              </w:rPr>
              <w:t>.</w:t>
            </w:r>
          </w:p>
        </w:tc>
      </w:tr>
      <w:tr w:rsidR="00400461" w:rsidRPr="00063218" w14:paraId="5DE1BD94" w14:textId="77777777" w:rsidTr="006D1FBF">
        <w:trPr>
          <w:trHeight w:val="194"/>
          <w:jc w:val="center"/>
        </w:trPr>
        <w:tc>
          <w:tcPr>
            <w:tcW w:w="1760" w:type="dxa"/>
            <w:tcMar>
              <w:top w:w="15" w:type="dxa"/>
              <w:left w:w="15" w:type="dxa"/>
              <w:bottom w:w="0" w:type="dxa"/>
              <w:right w:w="15" w:type="dxa"/>
            </w:tcMar>
            <w:vAlign w:val="center"/>
            <w:hideMark/>
          </w:tcPr>
          <w:p w14:paraId="6D3E773C" w14:textId="77777777" w:rsidR="00400461" w:rsidRPr="00536AB6" w:rsidRDefault="00400461" w:rsidP="00400461">
            <w:pPr>
              <w:widowControl/>
              <w:autoSpaceDE/>
              <w:autoSpaceDN/>
              <w:adjustRightInd/>
              <w:ind w:firstLine="118"/>
              <w:rPr>
                <w:rFonts w:asciiTheme="majorHAnsi" w:hAnsiTheme="majorHAnsi"/>
                <w:color w:val="000000"/>
              </w:rPr>
            </w:pPr>
            <w:r>
              <w:rPr>
                <w:rFonts w:asciiTheme="majorHAnsi" w:hAnsiTheme="majorHAnsi"/>
                <w:color w:val="000000"/>
              </w:rPr>
              <w:lastRenderedPageBreak/>
              <w:t>Siria</w:t>
            </w:r>
          </w:p>
        </w:tc>
        <w:tc>
          <w:tcPr>
            <w:tcW w:w="4900" w:type="dxa"/>
            <w:tcMar>
              <w:top w:w="15" w:type="dxa"/>
              <w:left w:w="15" w:type="dxa"/>
              <w:bottom w:w="0" w:type="dxa"/>
              <w:right w:w="15" w:type="dxa"/>
            </w:tcMar>
            <w:vAlign w:val="center"/>
            <w:hideMark/>
          </w:tcPr>
          <w:p w14:paraId="1071193C" w14:textId="1E1D1D1B" w:rsidR="00400461" w:rsidRPr="00817C9B" w:rsidRDefault="00400461" w:rsidP="00400461">
            <w:pPr>
              <w:jc w:val="center"/>
              <w:rPr>
                <w:rFonts w:asciiTheme="majorHAnsi" w:hAnsiTheme="majorHAnsi"/>
                <w:color w:val="000000"/>
              </w:rPr>
            </w:pPr>
            <w:r w:rsidRPr="00817C9B">
              <w:rPr>
                <w:rFonts w:asciiTheme="majorHAnsi" w:hAnsiTheme="majorHAnsi"/>
                <w:color w:val="000000"/>
              </w:rPr>
              <w:t>En el momento de redactar este informe no se ha recibido ninguna información.</w:t>
            </w:r>
          </w:p>
        </w:tc>
      </w:tr>
      <w:tr w:rsidR="00400461" w:rsidRPr="00536AB6" w14:paraId="439A7372" w14:textId="77777777" w:rsidTr="006D1FBF">
        <w:trPr>
          <w:trHeight w:val="255"/>
          <w:jc w:val="center"/>
        </w:trPr>
        <w:tc>
          <w:tcPr>
            <w:tcW w:w="1760" w:type="dxa"/>
            <w:tcMar>
              <w:top w:w="15" w:type="dxa"/>
              <w:left w:w="15" w:type="dxa"/>
              <w:bottom w:w="0" w:type="dxa"/>
              <w:right w:w="15" w:type="dxa"/>
            </w:tcMar>
            <w:vAlign w:val="center"/>
            <w:hideMark/>
          </w:tcPr>
          <w:p w14:paraId="3832CC1B" w14:textId="77777777" w:rsidR="00400461" w:rsidRPr="00536AB6" w:rsidRDefault="00400461" w:rsidP="00400461">
            <w:pPr>
              <w:widowControl/>
              <w:autoSpaceDE/>
              <w:autoSpaceDN/>
              <w:adjustRightInd/>
              <w:ind w:firstLine="118"/>
              <w:rPr>
                <w:rFonts w:asciiTheme="majorHAnsi" w:hAnsiTheme="majorHAnsi"/>
                <w:color w:val="000000"/>
              </w:rPr>
            </w:pPr>
            <w:r>
              <w:rPr>
                <w:rFonts w:asciiTheme="majorHAnsi" w:hAnsiTheme="majorHAnsi"/>
                <w:color w:val="000000"/>
              </w:rPr>
              <w:t>Túnez</w:t>
            </w:r>
          </w:p>
        </w:tc>
        <w:tc>
          <w:tcPr>
            <w:tcW w:w="4900" w:type="dxa"/>
            <w:tcMar>
              <w:top w:w="15" w:type="dxa"/>
              <w:left w:w="15" w:type="dxa"/>
              <w:bottom w:w="0" w:type="dxa"/>
              <w:right w:w="15" w:type="dxa"/>
            </w:tcMar>
            <w:hideMark/>
          </w:tcPr>
          <w:p w14:paraId="0FCCEC85" w14:textId="5DF25685" w:rsidR="00400461" w:rsidRPr="00817C9B" w:rsidRDefault="00400461" w:rsidP="00400461">
            <w:pPr>
              <w:jc w:val="center"/>
              <w:rPr>
                <w:rFonts w:asciiTheme="majorHAnsi" w:hAnsiTheme="majorHAnsi"/>
                <w:color w:val="000000"/>
              </w:rPr>
            </w:pPr>
            <w:r w:rsidRPr="00817C9B">
              <w:rPr>
                <w:rFonts w:asciiTheme="majorHAnsi" w:hAnsiTheme="majorHAnsi"/>
              </w:rPr>
              <w:t>29 de junio de 2026</w:t>
            </w:r>
          </w:p>
        </w:tc>
      </w:tr>
      <w:tr w:rsidR="00400461" w:rsidRPr="00536AB6" w14:paraId="4CEF332A" w14:textId="77777777" w:rsidTr="006D1FBF">
        <w:trPr>
          <w:trHeight w:val="255"/>
          <w:jc w:val="center"/>
        </w:trPr>
        <w:tc>
          <w:tcPr>
            <w:tcW w:w="1760" w:type="dxa"/>
            <w:tcMar>
              <w:top w:w="15" w:type="dxa"/>
              <w:left w:w="15" w:type="dxa"/>
              <w:bottom w:w="0" w:type="dxa"/>
              <w:right w:w="15" w:type="dxa"/>
            </w:tcMar>
            <w:vAlign w:val="center"/>
            <w:hideMark/>
          </w:tcPr>
          <w:p w14:paraId="174BC10C" w14:textId="77777777" w:rsidR="00400461" w:rsidRPr="00536AB6" w:rsidRDefault="00400461" w:rsidP="00400461">
            <w:pPr>
              <w:widowControl/>
              <w:autoSpaceDE/>
              <w:autoSpaceDN/>
              <w:adjustRightInd/>
              <w:ind w:firstLine="118"/>
              <w:rPr>
                <w:rFonts w:asciiTheme="majorHAnsi" w:hAnsiTheme="majorHAnsi"/>
                <w:color w:val="000000"/>
              </w:rPr>
            </w:pPr>
            <w:r>
              <w:rPr>
                <w:rFonts w:asciiTheme="majorHAnsi" w:hAnsiTheme="majorHAnsi"/>
                <w:color w:val="000000"/>
              </w:rPr>
              <w:t>Türkiye</w:t>
            </w:r>
          </w:p>
        </w:tc>
        <w:tc>
          <w:tcPr>
            <w:tcW w:w="4900" w:type="dxa"/>
            <w:tcMar>
              <w:top w:w="15" w:type="dxa"/>
              <w:left w:w="15" w:type="dxa"/>
              <w:bottom w:w="0" w:type="dxa"/>
              <w:right w:w="15" w:type="dxa"/>
            </w:tcMar>
            <w:hideMark/>
          </w:tcPr>
          <w:p w14:paraId="50399AA9" w14:textId="34EE119F" w:rsidR="00400461" w:rsidRPr="00817C9B" w:rsidRDefault="00400461" w:rsidP="00400461">
            <w:pPr>
              <w:jc w:val="center"/>
              <w:rPr>
                <w:rFonts w:asciiTheme="majorHAnsi" w:hAnsiTheme="majorHAnsi"/>
                <w:color w:val="000000"/>
              </w:rPr>
            </w:pPr>
            <w:r w:rsidRPr="00817C9B">
              <w:rPr>
                <w:rFonts w:asciiTheme="majorHAnsi" w:hAnsiTheme="majorHAnsi"/>
              </w:rPr>
              <w:t>16/06/2026</w:t>
            </w:r>
          </w:p>
        </w:tc>
      </w:tr>
      <w:tr w:rsidR="00400461" w:rsidRPr="00063218" w14:paraId="22FF0DB6" w14:textId="77777777" w:rsidTr="00ED046E">
        <w:trPr>
          <w:trHeight w:val="270"/>
          <w:jc w:val="center"/>
        </w:trPr>
        <w:tc>
          <w:tcPr>
            <w:tcW w:w="1760" w:type="dxa"/>
            <w:tcMar>
              <w:top w:w="15" w:type="dxa"/>
              <w:left w:w="15" w:type="dxa"/>
              <w:bottom w:w="0" w:type="dxa"/>
              <w:right w:w="15" w:type="dxa"/>
            </w:tcMar>
            <w:vAlign w:val="center"/>
            <w:hideMark/>
          </w:tcPr>
          <w:p w14:paraId="0F8AB012" w14:textId="77777777" w:rsidR="00400461" w:rsidRPr="00536AB6" w:rsidRDefault="00400461" w:rsidP="00400461">
            <w:pPr>
              <w:widowControl/>
              <w:autoSpaceDE/>
              <w:autoSpaceDN/>
              <w:adjustRightInd/>
              <w:ind w:firstLine="118"/>
              <w:rPr>
                <w:rFonts w:asciiTheme="majorHAnsi" w:hAnsiTheme="majorHAnsi"/>
                <w:color w:val="000000"/>
              </w:rPr>
            </w:pPr>
            <w:r>
              <w:rPr>
                <w:rFonts w:asciiTheme="majorHAnsi" w:hAnsiTheme="majorHAnsi"/>
                <w:color w:val="000000"/>
              </w:rPr>
              <w:t>Taipei Chino</w:t>
            </w:r>
          </w:p>
        </w:tc>
        <w:tc>
          <w:tcPr>
            <w:tcW w:w="4900" w:type="dxa"/>
            <w:tcMar>
              <w:top w:w="15" w:type="dxa"/>
              <w:left w:w="15" w:type="dxa"/>
              <w:bottom w:w="0" w:type="dxa"/>
              <w:right w:w="15" w:type="dxa"/>
            </w:tcMar>
            <w:vAlign w:val="center"/>
            <w:hideMark/>
          </w:tcPr>
          <w:p w14:paraId="569165E6" w14:textId="2C26CA6B" w:rsidR="00400461" w:rsidRPr="00817C9B" w:rsidRDefault="00400461" w:rsidP="00400461">
            <w:pPr>
              <w:jc w:val="center"/>
              <w:rPr>
                <w:rFonts w:asciiTheme="majorHAnsi" w:hAnsiTheme="majorHAnsi"/>
                <w:color w:val="000000"/>
              </w:rPr>
            </w:pPr>
            <w:r w:rsidRPr="00817C9B">
              <w:rPr>
                <w:rFonts w:asciiTheme="majorHAnsi" w:hAnsiTheme="majorHAnsi"/>
                <w:color w:val="000000"/>
              </w:rPr>
              <w:t>No aplicable: Cuota no utilizada en su totalidad en el momento de redactar este informe</w:t>
            </w:r>
          </w:p>
        </w:tc>
      </w:tr>
    </w:tbl>
    <w:p w14:paraId="79272E4D" w14:textId="77777777" w:rsidR="00817C9B" w:rsidRDefault="00817C9B" w:rsidP="004B2E75">
      <w:pPr>
        <w:tabs>
          <w:tab w:val="left" w:pos="1276"/>
          <w:tab w:val="left" w:pos="1418"/>
          <w:tab w:val="left" w:leader="dot" w:pos="8222"/>
          <w:tab w:val="right" w:pos="8647"/>
        </w:tabs>
        <w:jc w:val="both"/>
        <w:rPr>
          <w:rFonts w:asciiTheme="majorHAnsi" w:hAnsiTheme="majorHAnsi"/>
        </w:rPr>
      </w:pPr>
    </w:p>
    <w:p w14:paraId="1C95B921" w14:textId="334668E1" w:rsidR="004B2E75" w:rsidRPr="00536AB6" w:rsidRDefault="00655B33" w:rsidP="004B2E75">
      <w:pPr>
        <w:tabs>
          <w:tab w:val="left" w:pos="1276"/>
          <w:tab w:val="left" w:pos="1418"/>
          <w:tab w:val="left" w:leader="dot" w:pos="8222"/>
          <w:tab w:val="right" w:pos="8647"/>
        </w:tabs>
        <w:jc w:val="both"/>
        <w:rPr>
          <w:rFonts w:asciiTheme="majorHAnsi" w:hAnsiTheme="majorHAnsi"/>
          <w:b/>
        </w:rPr>
      </w:pPr>
      <w:r w:rsidRPr="00510030">
        <w:rPr>
          <w:rFonts w:asciiTheme="majorHAnsi" w:hAnsiTheme="majorHAnsi"/>
          <w:b/>
          <w:i/>
        </w:rPr>
        <w:t xml:space="preserve">Informes de capturas quincenales: </w:t>
      </w:r>
      <w:r w:rsidRPr="00510030">
        <w:rPr>
          <w:rFonts w:asciiTheme="majorHAnsi" w:hAnsiTheme="majorHAnsi"/>
        </w:rPr>
        <w:t xml:space="preserve">Véase la </w:t>
      </w:r>
      <w:r w:rsidR="005B6A46" w:rsidRPr="00510030">
        <w:rPr>
          <w:rFonts w:asciiTheme="majorHAnsi" w:hAnsiTheme="majorHAnsi"/>
          <w:b/>
          <w:bCs/>
        </w:rPr>
        <w:t xml:space="preserve">tabla </w:t>
      </w:r>
      <w:r w:rsidRPr="00510030">
        <w:rPr>
          <w:rFonts w:asciiTheme="majorHAnsi" w:hAnsiTheme="majorHAnsi"/>
          <w:b/>
          <w:bCs/>
        </w:rPr>
        <w:t>8</w:t>
      </w:r>
      <w:r w:rsidRPr="00510030">
        <w:rPr>
          <w:rFonts w:asciiTheme="majorHAnsi" w:hAnsiTheme="majorHAnsi"/>
        </w:rPr>
        <w:t>.</w:t>
      </w:r>
      <w:r>
        <w:rPr>
          <w:rFonts w:asciiTheme="majorHAnsi" w:hAnsiTheme="majorHAnsi"/>
        </w:rPr>
        <w:t xml:space="preserve"> </w:t>
      </w:r>
    </w:p>
    <w:p w14:paraId="6F754649" w14:textId="77777777" w:rsidR="004B2E75" w:rsidRPr="00364A87" w:rsidRDefault="004B2E75" w:rsidP="00C30FAB">
      <w:pPr>
        <w:tabs>
          <w:tab w:val="left" w:pos="1276"/>
          <w:tab w:val="left" w:pos="1418"/>
          <w:tab w:val="left" w:leader="dot" w:pos="8222"/>
          <w:tab w:val="right" w:pos="8647"/>
        </w:tabs>
        <w:jc w:val="both"/>
        <w:rPr>
          <w:rFonts w:asciiTheme="majorHAnsi" w:hAnsiTheme="majorHAnsi"/>
          <w:i/>
        </w:rPr>
      </w:pPr>
    </w:p>
    <w:p w14:paraId="190079E5" w14:textId="2C3EFCFB" w:rsidR="00BD7007" w:rsidRPr="00536AB6" w:rsidRDefault="003716E6" w:rsidP="00820485">
      <w:pPr>
        <w:tabs>
          <w:tab w:val="left" w:pos="1276"/>
          <w:tab w:val="left" w:pos="1418"/>
          <w:tab w:val="left" w:leader="dot" w:pos="8222"/>
          <w:tab w:val="right" w:pos="8647"/>
        </w:tabs>
        <w:jc w:val="both"/>
        <w:rPr>
          <w:rFonts w:asciiTheme="majorHAnsi" w:hAnsiTheme="majorHAnsi"/>
        </w:rPr>
      </w:pPr>
      <w:r>
        <w:rPr>
          <w:rFonts w:asciiTheme="majorHAnsi" w:hAnsiTheme="majorHAnsi"/>
          <w:b/>
          <w:bCs/>
          <w:i/>
          <w:iCs/>
        </w:rPr>
        <w:t>Cumplimiento de las cuotas/límites de captura:</w:t>
      </w:r>
      <w:r>
        <w:rPr>
          <w:rFonts w:asciiTheme="majorHAnsi" w:hAnsiTheme="majorHAnsi"/>
          <w:i/>
        </w:rPr>
        <w:t xml:space="preserve"> </w:t>
      </w:r>
      <w:r>
        <w:rPr>
          <w:rFonts w:asciiTheme="majorHAnsi" w:hAnsiTheme="majorHAnsi"/>
        </w:rPr>
        <w:t>Véase el documento "Tablas de cumplimiento de 2025 recibidas en 2026" [COC_304/2026].</w:t>
      </w:r>
    </w:p>
    <w:p w14:paraId="61E2ED04" w14:textId="77777777" w:rsidR="00BD7007" w:rsidRPr="00364A87" w:rsidRDefault="00BD7007" w:rsidP="00820485">
      <w:pPr>
        <w:tabs>
          <w:tab w:val="left" w:pos="1276"/>
          <w:tab w:val="left" w:pos="1418"/>
          <w:tab w:val="left" w:leader="dot" w:pos="8222"/>
          <w:tab w:val="right" w:pos="8647"/>
        </w:tabs>
        <w:jc w:val="both"/>
        <w:rPr>
          <w:rFonts w:asciiTheme="majorHAnsi" w:hAnsiTheme="majorHAnsi"/>
        </w:rPr>
      </w:pPr>
    </w:p>
    <w:p w14:paraId="3CA79ABE" w14:textId="02099FC8" w:rsidR="00BD7007" w:rsidRPr="00536AB6" w:rsidRDefault="00BD7007" w:rsidP="00BD7007">
      <w:pPr>
        <w:jc w:val="both"/>
        <w:rPr>
          <w:rFonts w:asciiTheme="majorHAnsi" w:hAnsiTheme="majorHAnsi"/>
          <w:bCs/>
        </w:rPr>
      </w:pPr>
      <w:r>
        <w:rPr>
          <w:rFonts w:asciiTheme="majorHAnsi" w:hAnsiTheme="majorHAnsi"/>
          <w:b/>
          <w:i/>
        </w:rPr>
        <w:t xml:space="preserve">Registro ICCAT de buques de captura BFT/ otros buques BFT </w:t>
      </w:r>
      <w:r>
        <w:t xml:space="preserve">Las listas autorizadas pueden consultarse en el </w:t>
      </w:r>
      <w:hyperlink r:id="rId20" w:history="1">
        <w:r>
          <w:rPr>
            <w:rStyle w:val="Hyperlink"/>
            <w:rFonts w:asciiTheme="majorHAnsi" w:hAnsiTheme="majorHAnsi"/>
            <w:u w:val="none"/>
          </w:rPr>
          <w:t>Registro ICCAT de buques</w:t>
        </w:r>
      </w:hyperlink>
      <w:r>
        <w:t>.</w:t>
      </w:r>
      <w:r>
        <w:rPr>
          <w:rFonts w:asciiTheme="majorHAnsi" w:hAnsiTheme="majorHAnsi"/>
        </w:rPr>
        <w:t xml:space="preserve"> La información sobre la lista de buques que pescaron el año anterior se incluye en el </w:t>
      </w:r>
      <w:r>
        <w:rPr>
          <w:rFonts w:asciiTheme="majorHAnsi" w:hAnsiTheme="majorHAnsi"/>
          <w:b/>
          <w:bCs/>
        </w:rPr>
        <w:t>anexo 4</w:t>
      </w:r>
      <w:r>
        <w:rPr>
          <w:rFonts w:asciiTheme="majorHAnsi" w:hAnsiTheme="majorHAnsi"/>
        </w:rPr>
        <w:t xml:space="preserve">. </w:t>
      </w:r>
    </w:p>
    <w:p w14:paraId="381D08BF" w14:textId="77777777" w:rsidR="00655B33" w:rsidRPr="00364A87" w:rsidRDefault="00655B33" w:rsidP="00BD7007">
      <w:pPr>
        <w:jc w:val="both"/>
        <w:rPr>
          <w:rFonts w:asciiTheme="majorHAnsi" w:hAnsiTheme="majorHAnsi"/>
          <w:bCs/>
        </w:rPr>
      </w:pPr>
    </w:p>
    <w:p w14:paraId="7605D5E7" w14:textId="6DE2DA98" w:rsidR="00655B33" w:rsidRPr="00536AB6" w:rsidRDefault="00655B33" w:rsidP="00655B33">
      <w:pPr>
        <w:tabs>
          <w:tab w:val="left" w:pos="1276"/>
          <w:tab w:val="left" w:pos="1418"/>
          <w:tab w:val="left" w:leader="dot" w:pos="8222"/>
          <w:tab w:val="right" w:pos="8647"/>
        </w:tabs>
        <w:jc w:val="both"/>
        <w:rPr>
          <w:rFonts w:asciiTheme="majorHAnsi" w:hAnsiTheme="majorHAnsi"/>
        </w:rPr>
      </w:pPr>
      <w:r w:rsidRPr="00B51360">
        <w:rPr>
          <w:rFonts w:asciiTheme="majorHAnsi" w:hAnsiTheme="majorHAnsi"/>
          <w:b/>
          <w:bCs/>
          <w:i/>
          <w:iCs/>
        </w:rPr>
        <w:t xml:space="preserve">Registro ICCAT de </w:t>
      </w:r>
      <w:r w:rsidR="00B51360" w:rsidRPr="00B51360">
        <w:rPr>
          <w:rFonts w:asciiTheme="majorHAnsi" w:hAnsiTheme="majorHAnsi"/>
          <w:b/>
          <w:bCs/>
          <w:i/>
          <w:iCs/>
        </w:rPr>
        <w:t>FFB</w:t>
      </w:r>
      <w:r w:rsidRPr="00B51360">
        <w:rPr>
          <w:rFonts w:asciiTheme="majorHAnsi" w:hAnsiTheme="majorHAnsi"/>
          <w:b/>
          <w:bCs/>
          <w:i/>
          <w:iCs/>
        </w:rPr>
        <w:t>:</w:t>
      </w:r>
      <w:r w:rsidRPr="00B51360">
        <w:rPr>
          <w:rFonts w:asciiTheme="majorHAnsi" w:hAnsiTheme="majorHAnsi"/>
          <w:i/>
          <w:iCs/>
        </w:rPr>
        <w:t xml:space="preserve"> </w:t>
      </w:r>
      <w:r w:rsidRPr="0003112A">
        <w:rPr>
          <w:rFonts w:asciiTheme="majorHAnsi" w:hAnsiTheme="majorHAnsi"/>
        </w:rPr>
        <w:t xml:space="preserve">El Registro ICCAT de granjas, que actualmente incluye 74 granjas, se publica en el </w:t>
      </w:r>
      <w:hyperlink r:id="rId21" w:history="1">
        <w:r w:rsidRPr="0003112A">
          <w:rPr>
            <w:rStyle w:val="Hyperlink"/>
            <w:rFonts w:asciiTheme="majorHAnsi" w:hAnsiTheme="majorHAnsi"/>
            <w:u w:val="none"/>
          </w:rPr>
          <w:t>sitio web de ICCAT</w:t>
        </w:r>
      </w:hyperlink>
      <w:r w:rsidRPr="0003112A">
        <w:rPr>
          <w:rFonts w:asciiTheme="majorHAnsi" w:hAnsiTheme="majorHAnsi"/>
        </w:rPr>
        <w:t>. No se requieren listas/autorizaciones anuales.  Muchas de las granjas inscritas como autorizadas a operar en el sitio web de ICCAT no participan en el programa regional de observadores de ICCAT (ROP-BFT).</w:t>
      </w:r>
    </w:p>
    <w:p w14:paraId="30731AC2" w14:textId="77777777" w:rsidR="00655B33" w:rsidRPr="00364A87" w:rsidRDefault="00655B33" w:rsidP="00655B33">
      <w:pPr>
        <w:tabs>
          <w:tab w:val="left" w:pos="1276"/>
          <w:tab w:val="left" w:pos="1418"/>
          <w:tab w:val="left" w:leader="dot" w:pos="8222"/>
          <w:tab w:val="right" w:pos="8647"/>
        </w:tabs>
        <w:jc w:val="both"/>
        <w:rPr>
          <w:rFonts w:asciiTheme="majorHAnsi" w:hAnsiTheme="majorHAnsi"/>
        </w:rPr>
      </w:pPr>
    </w:p>
    <w:p w14:paraId="4E2975EC" w14:textId="2F8BFB2F" w:rsidR="00655B33" w:rsidRPr="00536AB6" w:rsidRDefault="00655B33" w:rsidP="00655B33">
      <w:pPr>
        <w:pStyle w:val="wordsection1"/>
        <w:spacing w:before="0" w:beforeAutospacing="0" w:after="0" w:afterAutospacing="0"/>
        <w:jc w:val="both"/>
        <w:rPr>
          <w:rFonts w:asciiTheme="majorHAnsi" w:hAnsiTheme="majorHAnsi"/>
          <w:sz w:val="20"/>
          <w:szCs w:val="20"/>
        </w:rPr>
      </w:pPr>
      <w:r>
        <w:rPr>
          <w:rFonts w:asciiTheme="majorHAnsi" w:hAnsiTheme="majorHAnsi"/>
          <w:b/>
          <w:i/>
          <w:iCs/>
          <w:sz w:val="20"/>
        </w:rPr>
        <w:t>Informes de granjas/declaraciones de introducción en jaulas/traspaso de peces de las jaulas:</w:t>
      </w:r>
      <w:r>
        <w:rPr>
          <w:rFonts w:asciiTheme="majorHAnsi" w:hAnsiTheme="majorHAnsi"/>
          <w:b/>
          <w:sz w:val="20"/>
        </w:rPr>
        <w:t xml:space="preserve"> </w:t>
      </w:r>
      <w:r>
        <w:rPr>
          <w:rFonts w:asciiTheme="majorHAnsi" w:hAnsiTheme="majorHAnsi"/>
          <w:color w:val="000000"/>
          <w:sz w:val="20"/>
        </w:rPr>
        <w:t>Según las declaraciones recibidas en la Secretaría, no se produjo ninguna introducción en jaula después del 22 de agosto de 2026.</w:t>
      </w:r>
      <w:r>
        <w:rPr>
          <w:rFonts w:asciiTheme="majorHAnsi" w:hAnsiTheme="majorHAnsi"/>
          <w:b/>
          <w:color w:val="000000"/>
          <w:sz w:val="20"/>
        </w:rPr>
        <w:t xml:space="preserve"> </w:t>
      </w:r>
      <w:r>
        <w:rPr>
          <w:rFonts w:asciiTheme="majorHAnsi" w:hAnsiTheme="majorHAnsi"/>
          <w:sz w:val="20"/>
        </w:rPr>
        <w:t xml:space="preserve">Los traspasos de peces enjaulados comunicados por la UE y Türkiye se muestran en la </w:t>
      </w:r>
      <w:r>
        <w:rPr>
          <w:rFonts w:asciiTheme="majorHAnsi" w:hAnsiTheme="majorHAnsi"/>
          <w:b/>
          <w:bCs/>
          <w:sz w:val="20"/>
        </w:rPr>
        <w:t>tabla 9.</w:t>
      </w:r>
      <w:r>
        <w:rPr>
          <w:rFonts w:asciiTheme="majorHAnsi" w:hAnsiTheme="majorHAnsi"/>
          <w:sz w:val="20"/>
        </w:rPr>
        <w:t xml:space="preserve"> Albania, Marruecos y Túnez informaron de que no se realizó ningún traspaso de peces del año 2025 al 2026.</w:t>
      </w:r>
    </w:p>
    <w:p w14:paraId="390F7350" w14:textId="77777777" w:rsidR="00535819" w:rsidRPr="00364A87" w:rsidRDefault="00535819" w:rsidP="00655B33">
      <w:pPr>
        <w:pStyle w:val="wordsection1"/>
        <w:spacing w:before="0" w:beforeAutospacing="0" w:after="0" w:afterAutospacing="0"/>
        <w:jc w:val="both"/>
        <w:rPr>
          <w:rFonts w:asciiTheme="majorHAnsi" w:hAnsiTheme="majorHAnsi"/>
          <w:sz w:val="20"/>
          <w:szCs w:val="20"/>
        </w:rPr>
      </w:pPr>
    </w:p>
    <w:p w14:paraId="412D96CE" w14:textId="50DECFB6" w:rsidR="00535819" w:rsidRPr="00536AB6" w:rsidRDefault="00535819" w:rsidP="00535819">
      <w:pPr>
        <w:jc w:val="both"/>
        <w:rPr>
          <w:rFonts w:asciiTheme="majorHAnsi" w:hAnsiTheme="majorHAnsi"/>
        </w:rPr>
      </w:pPr>
      <w:r>
        <w:rPr>
          <w:rFonts w:asciiTheme="majorHAnsi" w:hAnsiTheme="majorHAnsi"/>
          <w:b/>
          <w:i/>
        </w:rPr>
        <w:t xml:space="preserve">Transferencias dentro de las granjas y controles aleatorios: </w:t>
      </w:r>
      <w:r>
        <w:rPr>
          <w:rFonts w:asciiTheme="majorHAnsi" w:hAnsiTheme="majorHAnsi"/>
        </w:rPr>
        <w:t>De conformidad con el párrafo 218 de la Rec. </w:t>
      </w:r>
      <w:r w:rsidRPr="00616D01">
        <w:rPr>
          <w:rFonts w:asciiTheme="majorHAnsi" w:hAnsiTheme="majorHAnsi"/>
        </w:rPr>
        <w:t>25-04, 1</w:t>
      </w:r>
      <w:r w:rsidR="00616D01" w:rsidRPr="00616D01">
        <w:rPr>
          <w:rFonts w:asciiTheme="majorHAnsi" w:hAnsiTheme="majorHAnsi"/>
        </w:rPr>
        <w:t xml:space="preserve">8 </w:t>
      </w:r>
      <w:r w:rsidRPr="00616D01">
        <w:rPr>
          <w:rFonts w:asciiTheme="majorHAnsi" w:hAnsiTheme="majorHAnsi"/>
        </w:rPr>
        <w:t>granjas con pabellón de tres CPC comunicaron a la Secretaría de ICCAT los resultados de los controles aleatorios realizados en</w:t>
      </w:r>
      <w:r>
        <w:rPr>
          <w:rFonts w:asciiTheme="majorHAnsi" w:hAnsiTheme="majorHAnsi"/>
        </w:rPr>
        <w:t xml:space="preserve"> sus instalaciones de la granja de atún rojo. Tal y como se resume en la </w:t>
      </w:r>
      <w:r>
        <w:rPr>
          <w:rFonts w:asciiTheme="majorHAnsi" w:hAnsiTheme="majorHAnsi"/>
          <w:b/>
          <w:bCs/>
        </w:rPr>
        <w:t>tabla 11,</w:t>
      </w:r>
      <w:r>
        <w:rPr>
          <w:rFonts w:asciiTheme="majorHAnsi" w:hAnsiTheme="majorHAnsi"/>
        </w:rPr>
        <w:t xml:space="preserve"> se presentaron un total de ocho informes durante el periodo comprendido entre el 28 de marzo y el 15 de septiembre de 2026, correspondientes a los años 2025 y 2026.</w:t>
      </w:r>
      <w:r>
        <w:rPr>
          <w:rFonts w:asciiTheme="majorHAnsi" w:hAnsiTheme="majorHAnsi"/>
          <w:highlight w:val="green"/>
        </w:rPr>
        <w:t xml:space="preserve"> </w:t>
      </w:r>
    </w:p>
    <w:p w14:paraId="58EC02B7" w14:textId="77777777" w:rsidR="00655B33" w:rsidRPr="00364A87" w:rsidRDefault="00655B33" w:rsidP="00655B33">
      <w:pPr>
        <w:tabs>
          <w:tab w:val="left" w:pos="1276"/>
          <w:tab w:val="left" w:pos="1418"/>
          <w:tab w:val="left" w:leader="dot" w:pos="8222"/>
          <w:tab w:val="right" w:pos="8647"/>
        </w:tabs>
        <w:jc w:val="both"/>
        <w:rPr>
          <w:rFonts w:asciiTheme="majorHAnsi" w:hAnsiTheme="majorHAnsi"/>
          <w:b/>
          <w:bCs/>
          <w:i/>
        </w:rPr>
      </w:pPr>
    </w:p>
    <w:p w14:paraId="713113CC" w14:textId="44C2CF0B" w:rsidR="00655B33" w:rsidRPr="00536AB6" w:rsidRDefault="00655B33" w:rsidP="00655B33">
      <w:pPr>
        <w:tabs>
          <w:tab w:val="left" w:pos="1276"/>
          <w:tab w:val="left" w:pos="1418"/>
          <w:tab w:val="left" w:leader="dot" w:pos="8222"/>
          <w:tab w:val="right" w:pos="8647"/>
        </w:tabs>
        <w:jc w:val="both"/>
        <w:rPr>
          <w:rFonts w:asciiTheme="majorHAnsi" w:hAnsiTheme="majorHAnsi"/>
        </w:rPr>
      </w:pPr>
      <w:r>
        <w:rPr>
          <w:rFonts w:asciiTheme="majorHAnsi" w:hAnsiTheme="majorHAnsi"/>
          <w:b/>
          <w:bCs/>
          <w:i/>
        </w:rPr>
        <w:t>Lista de puertos autorizados:</w:t>
      </w:r>
      <w:r>
        <w:rPr>
          <w:rFonts w:asciiTheme="majorHAnsi" w:hAnsiTheme="majorHAnsi"/>
          <w:i/>
        </w:rPr>
        <w:t xml:space="preserve"> </w:t>
      </w:r>
      <w:r>
        <w:rPr>
          <w:rFonts w:asciiTheme="majorHAnsi" w:hAnsiTheme="majorHAnsi"/>
        </w:rPr>
        <w:t>Actualmente hay 1.111 puertos (110 más que en 2025) incluidos en el registro ICCAT de puertos autorizados para el desembarque y/o transbordo de atún rojo del Atlántico este y Mediterráneo, publicado en el</w:t>
      </w:r>
      <w:r>
        <w:t xml:space="preserve"> </w:t>
      </w:r>
      <w:hyperlink r:id="rId22" w:history="1">
        <w:r>
          <w:rPr>
            <w:rStyle w:val="Hyperlink"/>
            <w:rFonts w:asciiTheme="majorHAnsi" w:hAnsiTheme="majorHAnsi"/>
            <w:u w:val="none"/>
          </w:rPr>
          <w:t>sitio web de ICCAT</w:t>
        </w:r>
      </w:hyperlink>
    </w:p>
    <w:p w14:paraId="02D179D7" w14:textId="77777777" w:rsidR="00655B33" w:rsidRPr="00364A87" w:rsidRDefault="00655B33" w:rsidP="00655B33">
      <w:pPr>
        <w:tabs>
          <w:tab w:val="left" w:pos="1276"/>
          <w:tab w:val="left" w:pos="1418"/>
          <w:tab w:val="left" w:leader="dot" w:pos="8222"/>
          <w:tab w:val="right" w:pos="8647"/>
        </w:tabs>
        <w:jc w:val="both"/>
        <w:rPr>
          <w:rFonts w:asciiTheme="majorHAnsi" w:hAnsiTheme="majorHAnsi"/>
        </w:rPr>
      </w:pPr>
    </w:p>
    <w:p w14:paraId="66C45052" w14:textId="54BCA850" w:rsidR="00BD7007" w:rsidRPr="00405201" w:rsidRDefault="00655B33" w:rsidP="00820485">
      <w:pPr>
        <w:tabs>
          <w:tab w:val="left" w:pos="1276"/>
          <w:tab w:val="left" w:pos="1418"/>
          <w:tab w:val="left" w:leader="dot" w:pos="8222"/>
          <w:tab w:val="right" w:pos="8647"/>
        </w:tabs>
        <w:jc w:val="both"/>
        <w:rPr>
          <w:rFonts w:asciiTheme="majorHAnsi" w:hAnsiTheme="majorHAnsi"/>
        </w:rPr>
      </w:pPr>
      <w:r w:rsidRPr="00405201">
        <w:rPr>
          <w:rFonts w:asciiTheme="majorHAnsi" w:hAnsiTheme="majorHAnsi"/>
          <w:b/>
          <w:bCs/>
          <w:i/>
        </w:rPr>
        <w:t>Listas de almadrabas:</w:t>
      </w:r>
      <w:r w:rsidRPr="00405201">
        <w:rPr>
          <w:rFonts w:asciiTheme="majorHAnsi" w:hAnsiTheme="majorHAnsi"/>
          <w:i/>
        </w:rPr>
        <w:t xml:space="preserve"> </w:t>
      </w:r>
      <w:r w:rsidRPr="00405201">
        <w:rPr>
          <w:rFonts w:asciiTheme="majorHAnsi" w:hAnsiTheme="majorHAnsi"/>
        </w:rPr>
        <w:t xml:space="preserve">Actualmente hay 33 almadrabas en el Registro ICCAT de almadrabas autorizadas a capturar atún rojo del Atlántico este y Mediterráneo publicadas en el </w:t>
      </w:r>
      <w:hyperlink r:id="rId23" w:history="1">
        <w:r w:rsidRPr="00405201">
          <w:rPr>
            <w:rStyle w:val="Hyperlink"/>
            <w:rFonts w:asciiTheme="majorHAnsi" w:hAnsiTheme="majorHAnsi"/>
            <w:u w:val="none"/>
          </w:rPr>
          <w:t>sitio web de ICCAT</w:t>
        </w:r>
      </w:hyperlink>
      <w:r w:rsidRPr="00405201">
        <w:rPr>
          <w:rFonts w:asciiTheme="majorHAnsi" w:hAnsiTheme="majorHAnsi"/>
        </w:rPr>
        <w:t>.</w:t>
      </w:r>
    </w:p>
    <w:p w14:paraId="77443963" w14:textId="77777777" w:rsidR="00D26C9B" w:rsidRPr="00364A87" w:rsidRDefault="00D26C9B" w:rsidP="00820485">
      <w:pPr>
        <w:tabs>
          <w:tab w:val="left" w:pos="1276"/>
          <w:tab w:val="left" w:pos="1418"/>
          <w:tab w:val="left" w:leader="dot" w:pos="8222"/>
          <w:tab w:val="right" w:pos="8647"/>
        </w:tabs>
        <w:jc w:val="both"/>
        <w:rPr>
          <w:rFonts w:asciiTheme="majorHAnsi" w:hAnsiTheme="majorHAnsi"/>
        </w:rPr>
      </w:pPr>
    </w:p>
    <w:p w14:paraId="4D53F026" w14:textId="4D09CB11" w:rsidR="002D61E1" w:rsidRDefault="00795BCA" w:rsidP="00820485">
      <w:pPr>
        <w:jc w:val="both"/>
        <w:rPr>
          <w:rFonts w:asciiTheme="majorHAnsi" w:hAnsiTheme="majorHAnsi"/>
        </w:rPr>
      </w:pPr>
      <w:r>
        <w:rPr>
          <w:rFonts w:asciiTheme="majorHAnsi" w:hAnsiTheme="majorHAnsi"/>
          <w:b/>
          <w:bCs/>
          <w:i/>
        </w:rPr>
        <w:t>Operaciones de pesca conjuntas:</w:t>
      </w:r>
      <w:r>
        <w:rPr>
          <w:rFonts w:asciiTheme="majorHAnsi" w:hAnsiTheme="majorHAnsi"/>
          <w:i/>
        </w:rPr>
        <w:t xml:space="preserve"> </w:t>
      </w:r>
      <w:r>
        <w:rPr>
          <w:rFonts w:asciiTheme="majorHAnsi" w:hAnsiTheme="majorHAnsi"/>
        </w:rPr>
        <w:t xml:space="preserve">En 2026 se notificaron 30 operaciones de pesca conjuntas (JFO). La Secretaría de ICCAT ha recibido, en la mayoría de los casos, la información necesaria cinco días antes de las JFO. </w:t>
      </w:r>
      <w:r>
        <w:t xml:space="preserve">La información se ha publicado en la </w:t>
      </w:r>
      <w:hyperlink r:id="rId24" w:history="1">
        <w:r>
          <w:rPr>
            <w:rStyle w:val="Hyperlink"/>
            <w:rFonts w:asciiTheme="majorHAnsi" w:hAnsiTheme="majorHAnsi"/>
            <w:u w:val="none"/>
          </w:rPr>
          <w:t>página web de ICCAT</w:t>
        </w:r>
      </w:hyperlink>
      <w:r>
        <w:t>.</w:t>
      </w:r>
      <w:r>
        <w:rPr>
          <w:rFonts w:asciiTheme="majorHAnsi" w:hAnsiTheme="majorHAnsi"/>
        </w:rPr>
        <w:t xml:space="preserve"> </w:t>
      </w:r>
      <w:bookmarkStart w:id="3" w:name="_Hlk212038714"/>
      <w:r>
        <w:rPr>
          <w:rFonts w:asciiTheme="majorHAnsi" w:hAnsiTheme="majorHAnsi"/>
        </w:rPr>
        <w:t>En muchos casos, el breve espacio de tiempo entre la presentación de los datos de la JFO y su fecha de inicio sigue dificultando que toda la información se introduzca completamente en las bases de datos de ICCAT y su sincronización con el eBCD, así como su entrega a los observadores del ROP-BFT a tiempo para su asignación. Además, el procedimiento actual no permite introducir ninguna JFO sin información sobre la granja de destino y se encontraron algunas dificultades cuando se requirieron cambios, ya que, una vez que los eBCD están asociados a una JFO, la información no puede actualizarse a menos que se vuelvan a emitir todos los eBCD.</w:t>
      </w:r>
    </w:p>
    <w:p w14:paraId="1D7C0C91" w14:textId="77777777" w:rsidR="00BD2F32" w:rsidRDefault="00BD2F32" w:rsidP="00820485">
      <w:pPr>
        <w:jc w:val="both"/>
        <w:rPr>
          <w:rFonts w:asciiTheme="majorHAnsi" w:hAnsiTheme="majorHAnsi"/>
        </w:rPr>
      </w:pPr>
    </w:p>
    <w:p w14:paraId="41CB301C" w14:textId="77777777" w:rsidR="00BD2F32" w:rsidRDefault="00BD2F32" w:rsidP="00820485">
      <w:pPr>
        <w:jc w:val="both"/>
        <w:rPr>
          <w:rFonts w:asciiTheme="majorHAnsi" w:hAnsiTheme="majorHAnsi"/>
        </w:rPr>
      </w:pPr>
    </w:p>
    <w:p w14:paraId="70504FAB" w14:textId="77777777" w:rsidR="00BD2F32" w:rsidRDefault="00BD2F32" w:rsidP="00820485">
      <w:pPr>
        <w:jc w:val="both"/>
        <w:rPr>
          <w:rFonts w:asciiTheme="majorHAnsi" w:hAnsiTheme="majorHAnsi"/>
        </w:rPr>
      </w:pPr>
    </w:p>
    <w:p w14:paraId="1C511F5A" w14:textId="77777777" w:rsidR="00BD2F32" w:rsidRDefault="00BD2F32" w:rsidP="00820485">
      <w:pPr>
        <w:jc w:val="both"/>
        <w:rPr>
          <w:rFonts w:asciiTheme="majorHAnsi" w:hAnsiTheme="majorHAnsi"/>
        </w:rPr>
      </w:pPr>
    </w:p>
    <w:p w14:paraId="16EC54ED" w14:textId="77777777" w:rsidR="00BD2F32" w:rsidRDefault="00BD2F32" w:rsidP="00820485">
      <w:pPr>
        <w:jc w:val="both"/>
        <w:rPr>
          <w:rFonts w:asciiTheme="majorHAnsi" w:hAnsiTheme="majorHAnsi"/>
        </w:rPr>
      </w:pPr>
    </w:p>
    <w:p w14:paraId="4C7664A3" w14:textId="77777777" w:rsidR="00BD2F32" w:rsidRPr="00536AB6" w:rsidRDefault="00BD2F32" w:rsidP="00820485">
      <w:pPr>
        <w:jc w:val="both"/>
        <w:rPr>
          <w:rFonts w:asciiTheme="majorHAnsi" w:hAnsiTheme="majorHAnsi"/>
        </w:rPr>
      </w:pPr>
    </w:p>
    <w:p w14:paraId="0AC58349" w14:textId="77777777" w:rsidR="00400461" w:rsidRPr="00364A87" w:rsidRDefault="00400461" w:rsidP="00820485">
      <w:pPr>
        <w:jc w:val="both"/>
        <w:rPr>
          <w:rFonts w:asciiTheme="majorHAnsi" w:hAnsiTheme="majorHAnsi"/>
        </w:rPr>
      </w:pPr>
    </w:p>
    <w:p w14:paraId="11F70ADF" w14:textId="324154C3" w:rsidR="00400461" w:rsidRPr="00536AB6" w:rsidRDefault="00405201" w:rsidP="000843E5">
      <w:pPr>
        <w:pBdr>
          <w:top w:val="single" w:sz="4" w:space="1" w:color="auto"/>
          <w:left w:val="single" w:sz="4" w:space="4" w:color="auto"/>
          <w:bottom w:val="single" w:sz="4" w:space="1" w:color="auto"/>
          <w:right w:val="single" w:sz="4" w:space="4" w:color="auto"/>
        </w:pBdr>
        <w:jc w:val="both"/>
        <w:rPr>
          <w:rFonts w:asciiTheme="majorHAnsi" w:hAnsiTheme="majorHAnsi"/>
          <w:b/>
          <w:i/>
        </w:rPr>
      </w:pPr>
      <w:r w:rsidRPr="00BE4318">
        <w:rPr>
          <w:rFonts w:asciiTheme="majorHAnsi" w:hAnsiTheme="majorHAnsi"/>
          <w:b/>
        </w:rPr>
        <w:t>Comentario</w:t>
      </w:r>
      <w:r w:rsidR="00400461" w:rsidRPr="00BE4318">
        <w:rPr>
          <w:rFonts w:asciiTheme="majorHAnsi" w:hAnsiTheme="majorHAnsi"/>
          <w:b/>
        </w:rPr>
        <w:t xml:space="preserve"> de la Secretaría de ICCAT</w:t>
      </w:r>
      <w:r w:rsidR="00400461" w:rsidRPr="00BE4318">
        <w:rPr>
          <w:rFonts w:asciiTheme="majorHAnsi" w:hAnsiTheme="majorHAnsi"/>
        </w:rPr>
        <w:t xml:space="preserve">: Túnez informó a la Secretaría del hundimiento del buque Amir </w:t>
      </w:r>
      <w:r w:rsidR="00400461" w:rsidRPr="00BE4318">
        <w:rPr>
          <w:rFonts w:asciiTheme="majorHAnsi" w:hAnsiTheme="majorHAnsi"/>
        </w:rPr>
        <w:lastRenderedPageBreak/>
        <w:t>(AT0024786) y esta transmitió dicha información a las CPC a través de la Circular ICCAT n.º 04967/</w:t>
      </w:r>
      <w:r w:rsidRPr="00BE4318">
        <w:rPr>
          <w:rFonts w:asciiTheme="majorHAnsi" w:hAnsiTheme="majorHAnsi"/>
        </w:rPr>
        <w:t>20</w:t>
      </w:r>
      <w:r w:rsidR="00400461" w:rsidRPr="00BE4318">
        <w:rPr>
          <w:rFonts w:asciiTheme="majorHAnsi" w:hAnsiTheme="majorHAnsi"/>
        </w:rPr>
        <w:t>26. En su comunicación, Túnez solicitó que el buque permaneciera en la lista de buques autorizados para la JFO 2026-025 durante el resto de la temporada</w:t>
      </w:r>
      <w:r w:rsidR="003E40DA" w:rsidRPr="00BE4318">
        <w:rPr>
          <w:rFonts w:asciiTheme="majorHAnsi" w:hAnsiTheme="majorHAnsi"/>
        </w:rPr>
        <w:t>,</w:t>
      </w:r>
      <w:r w:rsidR="00400461" w:rsidRPr="00BE4318">
        <w:rPr>
          <w:rFonts w:asciiTheme="majorHAnsi" w:hAnsiTheme="majorHAnsi"/>
        </w:rPr>
        <w:t xml:space="preserve"> y que su cuota se mantuviera dentro de la asignación global de la JFO, sin sustituir el buque ni modificar la composición de la JFO. Tras consultar con el presidente de la Subcomisión 2, se invitó a las CPC a presentar sus observaciones sobre el asunto. Se recibieron comentarios de Japón, que posteriormente se distribuyeron a través de la Circular ICCAT n.º 06838/26. También se ha recibido el informe detallado de Túnez sobre el incidente y las operaciones posteriores. El documento PA2_608/2026 recoge toda la documentación recibida en relación con este suceso.</w:t>
      </w:r>
    </w:p>
    <w:p w14:paraId="58FB9FB5" w14:textId="77777777" w:rsidR="000843E5" w:rsidRPr="00364A87" w:rsidRDefault="000843E5" w:rsidP="00820485">
      <w:pPr>
        <w:jc w:val="both"/>
        <w:rPr>
          <w:rFonts w:asciiTheme="majorHAnsi" w:hAnsiTheme="majorHAnsi"/>
        </w:rPr>
      </w:pPr>
    </w:p>
    <w:p w14:paraId="7CA99842" w14:textId="00A26D85" w:rsidR="00DF112A" w:rsidRDefault="000371A1" w:rsidP="00FD278B">
      <w:pPr>
        <w:tabs>
          <w:tab w:val="left" w:pos="1276"/>
          <w:tab w:val="left" w:pos="1418"/>
          <w:tab w:val="left" w:leader="dot" w:pos="8222"/>
          <w:tab w:val="right" w:pos="8647"/>
        </w:tabs>
        <w:jc w:val="both"/>
        <w:rPr>
          <w:rFonts w:asciiTheme="majorHAnsi" w:hAnsiTheme="majorHAnsi"/>
        </w:rPr>
      </w:pPr>
      <w:bookmarkStart w:id="4" w:name="_Hlk23928350"/>
      <w:bookmarkStart w:id="5" w:name="_Hlk52880218"/>
      <w:bookmarkStart w:id="6" w:name="_Hlk23241440"/>
      <w:bookmarkStart w:id="7" w:name="_Hlk179901459"/>
      <w:bookmarkEnd w:id="3"/>
      <w:r w:rsidRPr="0027267F">
        <w:rPr>
          <w:rFonts w:asciiTheme="majorHAnsi" w:hAnsiTheme="majorHAnsi"/>
          <w:b/>
          <w:i/>
        </w:rPr>
        <w:t>Sistema de seguimiento de buques (VMS):</w:t>
      </w:r>
      <w:bookmarkEnd w:id="4"/>
      <w:bookmarkEnd w:id="5"/>
      <w:bookmarkEnd w:id="6"/>
      <w:r w:rsidRPr="0027267F">
        <w:rPr>
          <w:rFonts w:asciiTheme="majorHAnsi" w:hAnsiTheme="majorHAnsi"/>
          <w:b/>
          <w:i/>
        </w:rPr>
        <w:t xml:space="preserve"> </w:t>
      </w:r>
      <w:r w:rsidRPr="0027267F">
        <w:rPr>
          <w:rFonts w:asciiTheme="majorHAnsi" w:hAnsiTheme="majorHAnsi"/>
        </w:rPr>
        <w:t>Este año, hasta el 15 de octubre de 2026, se han recibido un total de 3.109.345 mensajes VMS (en el cálculo de este total no se han tenido en cuenta los mensajes que los sistemas identifican como posiciones de puerto). En comparación con el mismo período del año pasado, se han recibido 333.353 mensajes más, lo que supone un aumento aproximado del 12%. En el mismo período este año, han estado activos 1</w:t>
      </w:r>
      <w:r w:rsidR="0027267F">
        <w:rPr>
          <w:rFonts w:asciiTheme="majorHAnsi" w:hAnsiTheme="majorHAnsi"/>
        </w:rPr>
        <w:t>.</w:t>
      </w:r>
      <w:r w:rsidRPr="0027267F">
        <w:rPr>
          <w:rFonts w:asciiTheme="majorHAnsi" w:hAnsiTheme="majorHAnsi"/>
        </w:rPr>
        <w:t>472 buques (al igual que en el criterio de los mensajes, se consideran buques activos los que han transmitido al menos un mensaje con una posición fuera de puerto), lo que supone 443 buques más que el año pasado, es decir, un aumento de aproximadamente el 43 %</w:t>
      </w:r>
      <w:r w:rsidR="0081121B">
        <w:rPr>
          <w:rStyle w:val="FootnoteReference"/>
          <w:rFonts w:asciiTheme="majorHAnsi" w:hAnsiTheme="majorHAnsi"/>
        </w:rPr>
        <w:footnoteReference w:id="4"/>
      </w:r>
      <w:r w:rsidRPr="0027267F">
        <w:rPr>
          <w:rFonts w:asciiTheme="majorHAnsi" w:hAnsiTheme="majorHAnsi"/>
        </w:rPr>
        <w:t>.</w:t>
      </w:r>
    </w:p>
    <w:p w14:paraId="125E65AB" w14:textId="77777777" w:rsidR="00E96692" w:rsidRPr="00364A87" w:rsidRDefault="00E96692" w:rsidP="00FD278B">
      <w:pPr>
        <w:tabs>
          <w:tab w:val="left" w:pos="1276"/>
          <w:tab w:val="left" w:pos="1418"/>
          <w:tab w:val="left" w:leader="dot" w:pos="8222"/>
          <w:tab w:val="right" w:pos="8647"/>
        </w:tabs>
        <w:jc w:val="both"/>
        <w:rPr>
          <w:rFonts w:asciiTheme="majorHAnsi" w:hAnsiTheme="majorHAnsi"/>
        </w:rPr>
      </w:pPr>
    </w:p>
    <w:p w14:paraId="24D2C0F2" w14:textId="4D02F31E" w:rsidR="00DF112A" w:rsidRPr="00536AB6" w:rsidRDefault="00DF112A" w:rsidP="00820485">
      <w:pPr>
        <w:tabs>
          <w:tab w:val="left" w:pos="1276"/>
          <w:tab w:val="left" w:pos="1418"/>
          <w:tab w:val="left" w:leader="dot" w:pos="8222"/>
          <w:tab w:val="right" w:pos="8647"/>
        </w:tabs>
        <w:jc w:val="both"/>
        <w:rPr>
          <w:rFonts w:asciiTheme="majorHAnsi" w:hAnsiTheme="majorHAnsi"/>
        </w:rPr>
      </w:pPr>
      <w:r>
        <w:rPr>
          <w:rFonts w:asciiTheme="majorHAnsi" w:hAnsiTheme="majorHAnsi"/>
        </w:rPr>
        <w:t xml:space="preserve">Para más información sobre los mensajes VMS transmitidos, véanse las </w:t>
      </w:r>
      <w:r w:rsidR="00B96BE0">
        <w:rPr>
          <w:rFonts w:asciiTheme="majorHAnsi" w:hAnsiTheme="majorHAnsi"/>
          <w:b/>
        </w:rPr>
        <w:t xml:space="preserve">tablas </w:t>
      </w:r>
      <w:r>
        <w:rPr>
          <w:rFonts w:asciiTheme="majorHAnsi" w:hAnsiTheme="majorHAnsi"/>
          <w:b/>
        </w:rPr>
        <w:t>4, 5 y 6.</w:t>
      </w:r>
    </w:p>
    <w:p w14:paraId="625C6BE4" w14:textId="77777777" w:rsidR="00DF112A" w:rsidRPr="00364A87" w:rsidRDefault="00DF112A" w:rsidP="00820485">
      <w:pPr>
        <w:tabs>
          <w:tab w:val="left" w:pos="1276"/>
          <w:tab w:val="left" w:pos="1418"/>
          <w:tab w:val="left" w:leader="dot" w:pos="8222"/>
          <w:tab w:val="right" w:pos="8647"/>
        </w:tabs>
        <w:jc w:val="both"/>
        <w:rPr>
          <w:rFonts w:asciiTheme="majorHAnsi" w:hAnsiTheme="majorHAnsi"/>
        </w:rPr>
      </w:pPr>
    </w:p>
    <w:p w14:paraId="7E9A06B9" w14:textId="05EE9695" w:rsidR="00DF112A" w:rsidRPr="00536AB6" w:rsidRDefault="005332C7" w:rsidP="00820485">
      <w:pPr>
        <w:tabs>
          <w:tab w:val="left" w:pos="1276"/>
          <w:tab w:val="left" w:pos="1418"/>
          <w:tab w:val="left" w:leader="dot" w:pos="8222"/>
          <w:tab w:val="right" w:pos="8647"/>
        </w:tabs>
        <w:jc w:val="both"/>
        <w:rPr>
          <w:rFonts w:asciiTheme="majorHAnsi" w:hAnsiTheme="majorHAnsi"/>
        </w:rPr>
      </w:pPr>
      <w:r w:rsidRPr="009145DC">
        <w:rPr>
          <w:rFonts w:asciiTheme="majorHAnsi" w:hAnsiTheme="majorHAnsi"/>
        </w:rPr>
        <w:t>Desde 2014, el número de mensajes VMS recibidos ha aumentado aproximadamente un 117%.</w:t>
      </w:r>
    </w:p>
    <w:p w14:paraId="7BAF0344" w14:textId="2D138A7A" w:rsidR="00122A9E" w:rsidRPr="00364A87" w:rsidRDefault="00122A9E" w:rsidP="00820485">
      <w:pPr>
        <w:tabs>
          <w:tab w:val="left" w:pos="1276"/>
          <w:tab w:val="left" w:pos="1418"/>
          <w:tab w:val="left" w:leader="dot" w:pos="8222"/>
          <w:tab w:val="right" w:pos="8647"/>
        </w:tabs>
        <w:jc w:val="both"/>
        <w:rPr>
          <w:rFonts w:asciiTheme="majorHAnsi" w:hAnsiTheme="majorHAnsi"/>
        </w:rPr>
      </w:pPr>
    </w:p>
    <w:bookmarkEnd w:id="7"/>
    <w:p w14:paraId="075F2021" w14:textId="21E5C113" w:rsidR="00C07B4D" w:rsidRPr="00364A87" w:rsidRDefault="00C07B4D" w:rsidP="00820485">
      <w:pPr>
        <w:tabs>
          <w:tab w:val="left" w:pos="1276"/>
          <w:tab w:val="left" w:pos="1418"/>
          <w:tab w:val="left" w:leader="dot" w:pos="8222"/>
          <w:tab w:val="right" w:pos="8647"/>
        </w:tabs>
        <w:rPr>
          <w:rFonts w:asciiTheme="majorHAnsi" w:hAnsiTheme="majorHAnsi"/>
          <w:bCs/>
        </w:rPr>
      </w:pPr>
    </w:p>
    <w:p w14:paraId="0014C2FD" w14:textId="16009E11" w:rsidR="005332C7" w:rsidRPr="00536AB6" w:rsidRDefault="005332C7" w:rsidP="00820485">
      <w:pPr>
        <w:tabs>
          <w:tab w:val="left" w:pos="1276"/>
          <w:tab w:val="left" w:pos="1418"/>
          <w:tab w:val="left" w:leader="dot" w:pos="8222"/>
          <w:tab w:val="right" w:pos="8647"/>
        </w:tabs>
        <w:rPr>
          <w:rFonts w:asciiTheme="majorHAnsi" w:hAnsiTheme="majorHAnsi"/>
          <w:bCs/>
        </w:rPr>
      </w:pPr>
      <w:r>
        <w:rPr>
          <w:rFonts w:asciiTheme="majorHAnsi" w:hAnsiTheme="majorHAnsi"/>
          <w:noProof/>
        </w:rPr>
        <w:drawing>
          <wp:inline distT="0" distB="0" distL="0" distR="0" wp14:anchorId="30BC9C70" wp14:editId="4ECA393F">
            <wp:extent cx="5721983" cy="4042796"/>
            <wp:effectExtent l="0" t="0" r="0" b="0"/>
            <wp:docPr id="20611679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167939" name="Picture 206116793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21983" cy="4042796"/>
                    </a:xfrm>
                    <a:prstGeom prst="rect">
                      <a:avLst/>
                    </a:prstGeom>
                  </pic:spPr>
                </pic:pic>
              </a:graphicData>
            </a:graphic>
          </wp:inline>
        </w:drawing>
      </w:r>
    </w:p>
    <w:p w14:paraId="142B8DED" w14:textId="77777777" w:rsidR="005332C7" w:rsidRPr="00536AB6" w:rsidRDefault="005332C7" w:rsidP="00820485">
      <w:pPr>
        <w:tabs>
          <w:tab w:val="left" w:pos="1276"/>
          <w:tab w:val="left" w:pos="1418"/>
          <w:tab w:val="left" w:leader="dot" w:pos="8222"/>
          <w:tab w:val="right" w:pos="8647"/>
        </w:tabs>
        <w:jc w:val="both"/>
        <w:rPr>
          <w:rFonts w:asciiTheme="majorHAnsi" w:hAnsiTheme="majorHAnsi"/>
          <w:b/>
          <w:i/>
          <w:lang w:val="en-GB"/>
        </w:rPr>
      </w:pPr>
    </w:p>
    <w:p w14:paraId="4CE0E6A1" w14:textId="5B20F328" w:rsidR="00535819" w:rsidRPr="00536AB6" w:rsidRDefault="00F11564" w:rsidP="00820485">
      <w:pPr>
        <w:tabs>
          <w:tab w:val="left" w:pos="1276"/>
          <w:tab w:val="left" w:pos="1418"/>
          <w:tab w:val="left" w:leader="dot" w:pos="8222"/>
          <w:tab w:val="right" w:pos="8647"/>
        </w:tabs>
        <w:jc w:val="both"/>
        <w:rPr>
          <w:rFonts w:asciiTheme="majorHAnsi" w:hAnsiTheme="majorHAnsi"/>
          <w:bCs/>
        </w:rPr>
      </w:pPr>
      <w:r>
        <w:rPr>
          <w:rFonts w:asciiTheme="majorHAnsi" w:hAnsiTheme="majorHAnsi"/>
          <w:b/>
          <w:i/>
          <w:iCs/>
        </w:rPr>
        <w:t>Informes de inspección en el marco del Programa conjunto de inspección y lista de agencias y nombres de inspectores:</w:t>
      </w:r>
      <w:r>
        <w:rPr>
          <w:rFonts w:asciiTheme="majorHAnsi" w:hAnsiTheme="majorHAnsi"/>
        </w:rPr>
        <w:t xml:space="preserve"> Puede consultarse la </w:t>
      </w:r>
      <w:r>
        <w:rPr>
          <w:rFonts w:asciiTheme="majorHAnsi" w:hAnsiTheme="majorHAnsi"/>
          <w:b/>
          <w:bCs/>
        </w:rPr>
        <w:t>tabla 2</w:t>
      </w:r>
      <w:r>
        <w:rPr>
          <w:rFonts w:asciiTheme="majorHAnsi" w:hAnsiTheme="majorHAnsi"/>
        </w:rPr>
        <w:t xml:space="preserve"> para ver la lista de informes de inspección de atún rojo presentados por la UE, Túnez y Türkiye. Las copias de los informes presentados con infracciones están disponibles en el </w:t>
      </w:r>
      <w:r>
        <w:rPr>
          <w:rFonts w:asciiTheme="majorHAnsi" w:hAnsiTheme="majorHAnsi"/>
          <w:b/>
          <w:bCs/>
        </w:rPr>
        <w:t>anexo 2</w:t>
      </w:r>
      <w:r>
        <w:rPr>
          <w:rFonts w:asciiTheme="majorHAnsi" w:hAnsiTheme="majorHAnsi"/>
        </w:rPr>
        <w:t xml:space="preserve"> y el </w:t>
      </w:r>
      <w:r>
        <w:rPr>
          <w:rFonts w:asciiTheme="majorHAnsi" w:hAnsiTheme="majorHAnsi"/>
          <w:b/>
          <w:bCs/>
        </w:rPr>
        <w:t>anexo 3</w:t>
      </w:r>
      <w:r>
        <w:rPr>
          <w:rFonts w:asciiTheme="majorHAnsi" w:hAnsiTheme="majorHAnsi"/>
        </w:rPr>
        <w:t xml:space="preserve"> e incluyen la lista de agencias, medios y nombres de los inspectores recibidos de Argelia, la UE, Túnez y Türkiye. En el sitio web de ICCAT se ha publicado una lista de buques </w:t>
      </w:r>
      <w:r>
        <w:rPr>
          <w:rFonts w:asciiTheme="majorHAnsi" w:hAnsiTheme="majorHAnsi"/>
        </w:rPr>
        <w:lastRenderedPageBreak/>
        <w:t xml:space="preserve">de inspección. En el </w:t>
      </w:r>
      <w:r>
        <w:rPr>
          <w:rFonts w:asciiTheme="majorHAnsi" w:hAnsiTheme="majorHAnsi"/>
          <w:b/>
          <w:bCs/>
        </w:rPr>
        <w:t>apéndice 4</w:t>
      </w:r>
      <w:r>
        <w:rPr>
          <w:rFonts w:asciiTheme="majorHAnsi" w:hAnsiTheme="majorHAnsi"/>
        </w:rPr>
        <w:t xml:space="preserve"> se incluye un resumen de los informes con las infracciones, así como sus respuestas cuando están disponibles.</w:t>
      </w:r>
    </w:p>
    <w:p w14:paraId="19C014CE" w14:textId="77777777" w:rsidR="00535819" w:rsidRPr="00364A87" w:rsidRDefault="00535819" w:rsidP="00535819">
      <w:pPr>
        <w:tabs>
          <w:tab w:val="left" w:pos="1276"/>
          <w:tab w:val="left" w:pos="1418"/>
          <w:tab w:val="left" w:leader="dot" w:pos="8222"/>
          <w:tab w:val="right" w:pos="8647"/>
        </w:tabs>
        <w:jc w:val="both"/>
        <w:rPr>
          <w:rFonts w:asciiTheme="majorHAnsi" w:hAnsiTheme="majorHAnsi"/>
          <w:b/>
        </w:rPr>
      </w:pPr>
    </w:p>
    <w:p w14:paraId="4B59BDAF" w14:textId="211D698A" w:rsidR="00535819" w:rsidRPr="00536AB6" w:rsidRDefault="00535819" w:rsidP="00535819">
      <w:pPr>
        <w:pBdr>
          <w:top w:val="single" w:sz="4" w:space="1" w:color="auto"/>
          <w:left w:val="single" w:sz="4" w:space="4" w:color="auto"/>
          <w:bottom w:val="single" w:sz="4" w:space="1" w:color="auto"/>
          <w:right w:val="single" w:sz="4" w:space="4" w:color="auto"/>
        </w:pBdr>
        <w:jc w:val="both"/>
        <w:rPr>
          <w:rFonts w:asciiTheme="majorHAnsi" w:hAnsiTheme="majorHAnsi"/>
        </w:rPr>
      </w:pPr>
      <w:r>
        <w:rPr>
          <w:rFonts w:asciiTheme="majorHAnsi" w:hAnsiTheme="majorHAnsi"/>
          <w:b/>
        </w:rPr>
        <w:t>Solicitud de la Secretaría de ICCAT</w:t>
      </w:r>
      <w:r>
        <w:rPr>
          <w:rFonts w:asciiTheme="majorHAnsi" w:hAnsiTheme="majorHAnsi"/>
        </w:rPr>
        <w:t xml:space="preserve">: Véase la solicitud </w:t>
      </w:r>
      <w:r w:rsidRPr="00190D93">
        <w:rPr>
          <w:rFonts w:asciiTheme="majorHAnsi" w:hAnsiTheme="majorHAnsi"/>
        </w:rPr>
        <w:t xml:space="preserve">en </w:t>
      </w:r>
      <w:r w:rsidR="00190D93" w:rsidRPr="00190D93">
        <w:rPr>
          <w:rFonts w:asciiTheme="majorHAnsi" w:hAnsiTheme="majorHAnsi"/>
        </w:rPr>
        <w:t>la sección de “pez espada”</w:t>
      </w:r>
      <w:r w:rsidRPr="00190D93">
        <w:rPr>
          <w:rFonts w:asciiTheme="majorHAnsi" w:hAnsiTheme="majorHAnsi"/>
        </w:rPr>
        <w:t xml:space="preserve"> dentro de la sección </w:t>
      </w:r>
      <w:r w:rsidRPr="00D21390">
        <w:rPr>
          <w:rFonts w:asciiTheme="majorHAnsi" w:hAnsiTheme="majorHAnsi"/>
        </w:rPr>
        <w:t>«Agencias de inspección, inspectores y buques».</w:t>
      </w:r>
    </w:p>
    <w:p w14:paraId="77E1E544" w14:textId="799CC56E" w:rsidR="0018461D" w:rsidRPr="00536AB6" w:rsidRDefault="00206E17" w:rsidP="008E2D42">
      <w:pPr>
        <w:widowControl/>
        <w:autoSpaceDE/>
        <w:autoSpaceDN/>
        <w:adjustRightInd/>
        <w:jc w:val="both"/>
        <w:rPr>
          <w:rFonts w:asciiTheme="majorHAnsi" w:hAnsiTheme="majorHAnsi"/>
        </w:rPr>
      </w:pPr>
      <w:r>
        <w:rPr>
          <w:rFonts w:asciiTheme="majorHAnsi" w:hAnsiTheme="majorHAnsi"/>
          <w:b/>
          <w:bCs/>
          <w:i/>
          <w:iCs/>
        </w:rPr>
        <w:t>Informes de implementación:</w:t>
      </w:r>
      <w:r>
        <w:rPr>
          <w:rFonts w:asciiTheme="majorHAnsi" w:hAnsiTheme="majorHAnsi"/>
        </w:rPr>
        <w:t xml:space="preserve"> De conformidad con el párrafo 238 de la Rec. 24-05, la Secretaría de ICCAT tiene el mandato de preparar un informe sobre la implementación de esta Recomendación. </w:t>
      </w:r>
      <w:bookmarkStart w:id="8" w:name="_Hlk203483165"/>
      <w:r>
        <w:rPr>
          <w:rFonts w:asciiTheme="majorHAnsi" w:hAnsiTheme="majorHAnsi"/>
        </w:rPr>
        <w:t xml:space="preserve">Este informe debe presentarse cada dos años, por lo que la Secretaría de ICCAT ha solicitado información a las CPC. Ruego consulte el documento: «Reglamentaciones y otros documentos relacionados adoptados por todas las Partes contratantes afectadas para implementar la Recomendación 25-05»  [PA2_603/2026] </w:t>
      </w:r>
    </w:p>
    <w:bookmarkEnd w:id="8"/>
    <w:p w14:paraId="3025649B" w14:textId="77777777" w:rsidR="006150C6" w:rsidRPr="00364A87" w:rsidRDefault="006150C6" w:rsidP="008E2D42">
      <w:pPr>
        <w:tabs>
          <w:tab w:val="left" w:pos="1276"/>
          <w:tab w:val="left" w:pos="1418"/>
          <w:tab w:val="left" w:leader="dot" w:pos="8222"/>
          <w:tab w:val="right" w:pos="8647"/>
        </w:tabs>
        <w:jc w:val="both"/>
        <w:rPr>
          <w:rFonts w:asciiTheme="majorHAnsi" w:hAnsiTheme="majorHAnsi"/>
          <w:b/>
          <w:bCs/>
          <w:sz w:val="12"/>
          <w:szCs w:val="12"/>
        </w:rPr>
      </w:pPr>
    </w:p>
    <w:p w14:paraId="3DD47DF1" w14:textId="01EAA415" w:rsidR="00657DD9" w:rsidRPr="00536AB6" w:rsidRDefault="006150C6" w:rsidP="008E2D42">
      <w:pPr>
        <w:tabs>
          <w:tab w:val="left" w:pos="1276"/>
          <w:tab w:val="left" w:pos="1418"/>
          <w:tab w:val="left" w:leader="dot" w:pos="8222"/>
          <w:tab w:val="right" w:pos="8647"/>
        </w:tabs>
        <w:jc w:val="both"/>
        <w:rPr>
          <w:rFonts w:asciiTheme="majorHAnsi" w:hAnsiTheme="majorHAnsi"/>
          <w:bCs/>
          <w:i/>
        </w:rPr>
      </w:pPr>
      <w:r>
        <w:rPr>
          <w:rFonts w:asciiTheme="majorHAnsi" w:hAnsiTheme="majorHAnsi"/>
          <w:b/>
          <w:i/>
        </w:rPr>
        <w:t xml:space="preserve">Programa de observadores: </w:t>
      </w:r>
      <w:r>
        <w:rPr>
          <w:rFonts w:asciiTheme="majorHAnsi" w:hAnsiTheme="majorHAnsi"/>
        </w:rPr>
        <w:t xml:space="preserve">Dado que los requisitos y procedimientos para la presentación de información no fueron desarrollados por la Comisión en 2009, tal y como requieren las Recomendaciones, la información de los programas de observadores nacionales se incluye en las presentaciones científicas regulares. Para más información sobre el Programa regional de observadores para el atún rojo del Atlántico este y Mediterráneo, véanse los documentos "Implementación del ROP-BFT" [PA2_601/2026] y "Cuestiones de posible incumplimiento derivadas de los Programas Regionales de observadores de ICCAT y respuestas" [COC_305/2026]. </w:t>
      </w:r>
      <w:bookmarkStart w:id="9" w:name="_Hlk86227871"/>
    </w:p>
    <w:p w14:paraId="1065F9BE" w14:textId="77777777" w:rsidR="00536AB6" w:rsidRPr="00364A87" w:rsidRDefault="00536AB6" w:rsidP="00820485">
      <w:pPr>
        <w:tabs>
          <w:tab w:val="left" w:pos="1276"/>
          <w:tab w:val="left" w:pos="1418"/>
          <w:tab w:val="left" w:leader="dot" w:pos="8222"/>
          <w:tab w:val="right" w:pos="8647"/>
        </w:tabs>
        <w:ind w:firstLine="426"/>
        <w:rPr>
          <w:rFonts w:asciiTheme="majorHAnsi" w:hAnsiTheme="majorHAnsi"/>
          <w:bCs/>
          <w:i/>
        </w:rPr>
      </w:pPr>
    </w:p>
    <w:p w14:paraId="02F79514" w14:textId="77777777" w:rsidR="00536AB6" w:rsidRPr="00364A87" w:rsidRDefault="00536AB6" w:rsidP="00820485">
      <w:pPr>
        <w:tabs>
          <w:tab w:val="left" w:pos="1276"/>
          <w:tab w:val="left" w:pos="1418"/>
          <w:tab w:val="left" w:leader="dot" w:pos="8222"/>
          <w:tab w:val="right" w:pos="8647"/>
        </w:tabs>
        <w:ind w:firstLine="426"/>
        <w:rPr>
          <w:rFonts w:asciiTheme="majorHAnsi" w:hAnsiTheme="majorHAnsi"/>
          <w:bCs/>
          <w:i/>
        </w:rPr>
      </w:pPr>
    </w:p>
    <w:bookmarkEnd w:id="9"/>
    <w:p w14:paraId="0C9038CA" w14:textId="11B5A334" w:rsidR="00F225F3" w:rsidRPr="00536AB6" w:rsidRDefault="00F225F3" w:rsidP="00820485">
      <w:pPr>
        <w:tabs>
          <w:tab w:val="left" w:pos="1276"/>
          <w:tab w:val="left" w:pos="1418"/>
          <w:tab w:val="left" w:leader="dot" w:pos="8222"/>
          <w:tab w:val="right" w:pos="8647"/>
        </w:tabs>
        <w:jc w:val="both"/>
        <w:rPr>
          <w:rFonts w:asciiTheme="majorHAnsi" w:hAnsiTheme="majorHAnsi"/>
        </w:rPr>
      </w:pPr>
      <w:r>
        <w:rPr>
          <w:rFonts w:asciiTheme="majorHAnsi" w:hAnsiTheme="majorHAnsi"/>
          <w:b/>
        </w:rPr>
        <w:t xml:space="preserve">BIL - ISTIOFÓRIDOS: Aguja azul  </w:t>
      </w:r>
      <w:r>
        <w:rPr>
          <w:rFonts w:asciiTheme="majorHAnsi" w:hAnsiTheme="majorHAnsi"/>
          <w:b/>
          <w:i/>
        </w:rPr>
        <w:t>(Makaira nigricans)</w:t>
      </w:r>
      <w:r>
        <w:rPr>
          <w:rFonts w:asciiTheme="majorHAnsi" w:hAnsiTheme="majorHAnsi"/>
          <w:b/>
        </w:rPr>
        <w:t xml:space="preserve">, aguja blanca </w:t>
      </w:r>
      <w:r>
        <w:rPr>
          <w:rFonts w:asciiTheme="majorHAnsi" w:hAnsiTheme="majorHAnsi"/>
          <w:b/>
          <w:i/>
        </w:rPr>
        <w:t xml:space="preserve">(Tetrapturus </w:t>
      </w:r>
      <w:proofErr w:type="spellStart"/>
      <w:r>
        <w:rPr>
          <w:rFonts w:asciiTheme="majorHAnsi" w:hAnsiTheme="majorHAnsi"/>
          <w:b/>
          <w:i/>
        </w:rPr>
        <w:t>albidus</w:t>
      </w:r>
      <w:proofErr w:type="spellEnd"/>
      <w:r>
        <w:rPr>
          <w:rFonts w:asciiTheme="majorHAnsi" w:hAnsiTheme="majorHAnsi"/>
          <w:b/>
          <w:i/>
        </w:rPr>
        <w:t xml:space="preserve">), </w:t>
      </w:r>
      <w:r>
        <w:rPr>
          <w:rFonts w:asciiTheme="majorHAnsi" w:hAnsiTheme="majorHAnsi"/>
          <w:b/>
        </w:rPr>
        <w:t xml:space="preserve">pez vela </w:t>
      </w:r>
      <w:r w:rsidR="00AC20B6" w:rsidRPr="00AC20B6">
        <w:rPr>
          <w:rFonts w:asciiTheme="majorHAnsi" w:hAnsiTheme="majorHAnsi"/>
          <w:b/>
        </w:rPr>
        <w:t>(</w:t>
      </w:r>
      <w:r w:rsidR="00AC20B6" w:rsidRPr="00AC20B6">
        <w:rPr>
          <w:rFonts w:asciiTheme="majorHAnsi" w:hAnsiTheme="majorHAnsi"/>
          <w:b/>
          <w:i/>
          <w:iCs/>
        </w:rPr>
        <w:t>Istiophorus platypteru</w:t>
      </w:r>
      <w:r w:rsidR="00AC20B6" w:rsidRPr="00AC20B6">
        <w:rPr>
          <w:rFonts w:asciiTheme="majorHAnsi" w:hAnsiTheme="majorHAnsi"/>
          <w:b/>
        </w:rPr>
        <w:t>s),</w:t>
      </w:r>
      <w:r>
        <w:rPr>
          <w:rFonts w:asciiTheme="majorHAnsi" w:hAnsiTheme="majorHAnsi"/>
          <w:b/>
        </w:rPr>
        <w:t xml:space="preserve">  y </w:t>
      </w:r>
      <w:r>
        <w:rPr>
          <w:rFonts w:asciiTheme="majorHAnsi" w:hAnsiTheme="majorHAnsi"/>
          <w:b/>
          <w:i/>
        </w:rPr>
        <w:t xml:space="preserve">T. </w:t>
      </w:r>
      <w:proofErr w:type="spellStart"/>
      <w:r>
        <w:rPr>
          <w:rFonts w:asciiTheme="majorHAnsi" w:hAnsiTheme="majorHAnsi"/>
          <w:b/>
          <w:i/>
        </w:rPr>
        <w:t>pfluegeri</w:t>
      </w:r>
      <w:proofErr w:type="spellEnd"/>
      <w:r>
        <w:rPr>
          <w:rFonts w:asciiTheme="majorHAnsi" w:hAnsiTheme="majorHAnsi"/>
          <w:b/>
          <w:i/>
        </w:rPr>
        <w:t xml:space="preserve"> </w:t>
      </w:r>
      <w:r>
        <w:rPr>
          <w:rFonts w:asciiTheme="majorHAnsi" w:hAnsiTheme="majorHAnsi"/>
          <w:b/>
        </w:rPr>
        <w:t xml:space="preserve">and </w:t>
      </w:r>
      <w:r>
        <w:rPr>
          <w:rFonts w:asciiTheme="majorHAnsi" w:hAnsiTheme="majorHAnsi"/>
          <w:b/>
          <w:i/>
        </w:rPr>
        <w:t xml:space="preserve">T. </w:t>
      </w:r>
      <w:proofErr w:type="spellStart"/>
      <w:r>
        <w:rPr>
          <w:rFonts w:asciiTheme="majorHAnsi" w:hAnsiTheme="majorHAnsi"/>
          <w:b/>
          <w:i/>
        </w:rPr>
        <w:t>belone</w:t>
      </w:r>
      <w:proofErr w:type="spellEnd"/>
    </w:p>
    <w:p w14:paraId="0C2F17EF" w14:textId="77777777" w:rsidR="004D1CA8" w:rsidRPr="00364A87" w:rsidRDefault="004D1CA8" w:rsidP="00820485">
      <w:pPr>
        <w:tabs>
          <w:tab w:val="left" w:pos="0"/>
          <w:tab w:val="left" w:pos="1276"/>
        </w:tabs>
        <w:ind w:right="3"/>
        <w:jc w:val="both"/>
        <w:rPr>
          <w:rFonts w:asciiTheme="majorHAnsi" w:hAnsiTheme="majorHAnsi"/>
        </w:rPr>
      </w:pPr>
    </w:p>
    <w:p w14:paraId="4BF46FB3" w14:textId="68E71AC8" w:rsidR="0083344E" w:rsidRPr="00274E20" w:rsidRDefault="009445AC" w:rsidP="005B120F">
      <w:pPr>
        <w:tabs>
          <w:tab w:val="left" w:pos="1276"/>
          <w:tab w:val="left" w:pos="1418"/>
          <w:tab w:val="left" w:leader="dot" w:pos="8222"/>
          <w:tab w:val="right" w:pos="8647"/>
        </w:tabs>
        <w:jc w:val="both"/>
        <w:rPr>
          <w:rFonts w:asciiTheme="majorHAnsi" w:hAnsiTheme="majorHAnsi"/>
          <w:iCs/>
        </w:rPr>
      </w:pPr>
      <w:r w:rsidRPr="00274E20">
        <w:rPr>
          <w:rFonts w:asciiTheme="majorHAnsi" w:hAnsiTheme="majorHAnsi"/>
        </w:rPr>
        <w:t xml:space="preserve">[Rec. 19-05] </w:t>
      </w:r>
      <w:r w:rsidRPr="00274E20">
        <w:rPr>
          <w:rFonts w:asciiTheme="majorHAnsi" w:hAnsiTheme="majorHAnsi"/>
          <w:i/>
          <w:iCs/>
        </w:rPr>
        <w:t xml:space="preserve">Recomendación de ICCAT para establecer programas de recuperación para la aguja azul y aguja blanca/marlín peto, </w:t>
      </w:r>
      <w:r w:rsidRPr="00274E20">
        <w:rPr>
          <w:rFonts w:asciiTheme="majorHAnsi" w:hAnsiTheme="majorHAnsi"/>
        </w:rPr>
        <w:t xml:space="preserve">modificada por la [Rec. 25-06] </w:t>
      </w:r>
      <w:r w:rsidRPr="00274E20">
        <w:rPr>
          <w:rFonts w:asciiTheme="majorHAnsi" w:hAnsiTheme="majorHAnsi"/>
          <w:i/>
          <w:iCs/>
        </w:rPr>
        <w:t>Recomendación de ICCAT para establecer medidas provisionales para las CPC costeras en desarrollo de ICCAT ante circunstancias atenuantes en relación con la Recomendación 19-05</w:t>
      </w:r>
    </w:p>
    <w:p w14:paraId="445A0C34" w14:textId="77777777" w:rsidR="0083344E" w:rsidRPr="00274E20" w:rsidRDefault="0083344E" w:rsidP="00820485">
      <w:pPr>
        <w:tabs>
          <w:tab w:val="left" w:pos="1276"/>
          <w:tab w:val="left" w:pos="1418"/>
          <w:tab w:val="left" w:leader="dot" w:pos="8222"/>
          <w:tab w:val="right" w:pos="8647"/>
        </w:tabs>
        <w:jc w:val="both"/>
        <w:rPr>
          <w:rFonts w:asciiTheme="majorHAnsi" w:hAnsiTheme="majorHAnsi"/>
          <w:i/>
        </w:rPr>
      </w:pPr>
    </w:p>
    <w:p w14:paraId="75C23498" w14:textId="39BB297C" w:rsidR="00351F1F" w:rsidRPr="00536AB6" w:rsidRDefault="00AA571A" w:rsidP="0064289F">
      <w:pPr>
        <w:tabs>
          <w:tab w:val="left" w:pos="1276"/>
          <w:tab w:val="left" w:pos="1418"/>
          <w:tab w:val="left" w:leader="dot" w:pos="8222"/>
          <w:tab w:val="right" w:pos="8647"/>
        </w:tabs>
        <w:jc w:val="both"/>
        <w:rPr>
          <w:rFonts w:asciiTheme="majorHAnsi" w:hAnsiTheme="majorHAnsi"/>
          <w:bCs/>
        </w:rPr>
      </w:pPr>
      <w:r w:rsidRPr="00274E20">
        <w:rPr>
          <w:rFonts w:asciiTheme="majorHAnsi" w:hAnsiTheme="majorHAnsi"/>
        </w:rPr>
        <w:t>Para el cumplimiento de los límites de captura/cuotas véase la siguiente sección. Para otra información,</w:t>
      </w:r>
      <w:r>
        <w:rPr>
          <w:rFonts w:asciiTheme="majorHAnsi" w:hAnsiTheme="majorHAnsi"/>
        </w:rPr>
        <w:t xml:space="preserve"> consultar la Rec. 18-05 más abajo. </w:t>
      </w:r>
    </w:p>
    <w:p w14:paraId="2DCE4715" w14:textId="77777777" w:rsidR="006C013F" w:rsidRPr="00364A87" w:rsidRDefault="006C013F" w:rsidP="0064289F">
      <w:pPr>
        <w:tabs>
          <w:tab w:val="left" w:pos="1276"/>
          <w:tab w:val="left" w:pos="1418"/>
          <w:tab w:val="left" w:leader="dot" w:pos="8222"/>
          <w:tab w:val="right" w:pos="8647"/>
        </w:tabs>
        <w:jc w:val="both"/>
        <w:rPr>
          <w:rFonts w:asciiTheme="majorHAnsi" w:hAnsiTheme="majorHAnsi"/>
          <w:bCs/>
        </w:rPr>
      </w:pPr>
    </w:p>
    <w:p w14:paraId="2074BF37" w14:textId="76CA417B" w:rsidR="006C013F" w:rsidRPr="00536AB6" w:rsidRDefault="006C013F" w:rsidP="006C013F">
      <w:pPr>
        <w:tabs>
          <w:tab w:val="left" w:pos="1276"/>
          <w:tab w:val="left" w:pos="1418"/>
          <w:tab w:val="left" w:leader="dot" w:pos="8222"/>
          <w:tab w:val="right" w:pos="8647"/>
        </w:tabs>
        <w:jc w:val="both"/>
        <w:rPr>
          <w:rFonts w:asciiTheme="majorHAnsi" w:hAnsiTheme="majorHAnsi"/>
        </w:rPr>
      </w:pPr>
      <w:r>
        <w:rPr>
          <w:rFonts w:asciiTheme="majorHAnsi" w:hAnsiTheme="majorHAnsi"/>
          <w:b/>
          <w:bCs/>
          <w:i/>
          <w:iCs/>
        </w:rPr>
        <w:t>Cumplimiento de las cuotas/límites de captura:</w:t>
      </w:r>
      <w:r>
        <w:rPr>
          <w:rFonts w:asciiTheme="majorHAnsi" w:hAnsiTheme="majorHAnsi"/>
          <w:i/>
        </w:rPr>
        <w:t xml:space="preserve"> </w:t>
      </w:r>
      <w:r>
        <w:rPr>
          <w:rFonts w:asciiTheme="majorHAnsi" w:hAnsiTheme="majorHAnsi"/>
        </w:rPr>
        <w:t>Véase el documento "Tablas de cumplimiento de 2025 recibidas en 2026" [COC_304/2026].</w:t>
      </w:r>
    </w:p>
    <w:p w14:paraId="150C44F1" w14:textId="77777777" w:rsidR="006C013F" w:rsidRPr="00364A87" w:rsidRDefault="006C013F" w:rsidP="0064289F">
      <w:pPr>
        <w:tabs>
          <w:tab w:val="left" w:pos="1276"/>
          <w:tab w:val="left" w:pos="1418"/>
          <w:tab w:val="left" w:leader="dot" w:pos="8222"/>
          <w:tab w:val="right" w:pos="8647"/>
        </w:tabs>
        <w:jc w:val="both"/>
        <w:rPr>
          <w:rFonts w:asciiTheme="majorHAnsi" w:hAnsiTheme="majorHAnsi"/>
          <w:bCs/>
        </w:rPr>
      </w:pPr>
    </w:p>
    <w:p w14:paraId="4BEDD6DA" w14:textId="2A44A2E6" w:rsidR="00C72BAF" w:rsidRPr="00536AB6" w:rsidRDefault="00C72BAF" w:rsidP="00820485">
      <w:pPr>
        <w:jc w:val="both"/>
        <w:rPr>
          <w:rFonts w:asciiTheme="majorHAnsi" w:hAnsiTheme="majorHAnsi"/>
          <w:bCs/>
        </w:rPr>
      </w:pPr>
      <w:r>
        <w:rPr>
          <w:rFonts w:asciiTheme="majorHAnsi" w:hAnsiTheme="majorHAnsi"/>
          <w:i/>
        </w:rPr>
        <w:t>[Rec. 16-11]</w:t>
      </w:r>
      <w:r>
        <w:rPr>
          <w:rFonts w:asciiTheme="majorHAnsi" w:hAnsiTheme="majorHAnsi"/>
          <w:i/>
        </w:rPr>
        <w:tab/>
        <w:t>Recomendación de ICCAT sobre medidas de ordenación para la conservación del pez vela del Atlántico</w:t>
      </w:r>
    </w:p>
    <w:p w14:paraId="6834A39A" w14:textId="49072D55" w:rsidR="00351F1F" w:rsidRPr="00364A87" w:rsidRDefault="00351F1F" w:rsidP="00820485">
      <w:pPr>
        <w:widowControl/>
        <w:autoSpaceDE/>
        <w:autoSpaceDN/>
        <w:adjustRightInd/>
        <w:rPr>
          <w:rFonts w:asciiTheme="majorHAnsi" w:hAnsiTheme="majorHAnsi"/>
        </w:rPr>
      </w:pPr>
    </w:p>
    <w:p w14:paraId="66A2EE56" w14:textId="4EF51799" w:rsidR="00F76A5D" w:rsidRPr="00536AB6" w:rsidRDefault="00A75441" w:rsidP="00820485">
      <w:pPr>
        <w:jc w:val="both"/>
        <w:rPr>
          <w:rFonts w:asciiTheme="majorHAnsi" w:hAnsiTheme="majorHAnsi"/>
        </w:rPr>
      </w:pPr>
      <w:r>
        <w:rPr>
          <w:rFonts w:asciiTheme="majorHAnsi" w:hAnsiTheme="majorHAnsi"/>
        </w:rPr>
        <w:t>Si la captura total de cualquiera de los dos stocks de pez vela del Atlántico supera en un año determinado el nivel correspondiente al 67 % de la estimación media de su rendimiento máximo sostenible (RMS) (niveles anteriores: 1.271 t para el stock oriental y 1.030 t para el stock occidental; cifras actualizadas tras la evaluación de stock d</w:t>
      </w:r>
      <w:r w:rsidRPr="000663CA">
        <w:rPr>
          <w:rFonts w:asciiTheme="majorHAnsi" w:hAnsiTheme="majorHAnsi"/>
        </w:rPr>
        <w:t>e 2023: 1.56</w:t>
      </w:r>
      <w:r w:rsidR="00AA1C2F">
        <w:rPr>
          <w:rFonts w:asciiTheme="majorHAnsi" w:hAnsiTheme="majorHAnsi"/>
        </w:rPr>
        <w:t>6</w:t>
      </w:r>
      <w:r>
        <w:rPr>
          <w:rFonts w:asciiTheme="majorHAnsi" w:hAnsiTheme="majorHAnsi"/>
        </w:rPr>
        <w:t xml:space="preserve"> t para el stock oriental y 1.080</w:t>
      </w:r>
      <w:r w:rsidR="00AA1C2F">
        <w:rPr>
          <w:rFonts w:asciiTheme="majorHAnsi" w:hAnsiTheme="majorHAnsi"/>
        </w:rPr>
        <w:t xml:space="preserve"> </w:t>
      </w:r>
      <w:r>
        <w:rPr>
          <w:rFonts w:asciiTheme="majorHAnsi" w:hAnsiTheme="majorHAnsi"/>
        </w:rPr>
        <w:t xml:space="preserve">t para el stock occidental), la Comisión revisará la aplicación y la eficacia de la presente Recomendación. </w:t>
      </w:r>
    </w:p>
    <w:p w14:paraId="75D9E071" w14:textId="77777777" w:rsidR="00F76A5D" w:rsidRPr="00364A87" w:rsidRDefault="00F76A5D" w:rsidP="00820485">
      <w:pPr>
        <w:jc w:val="both"/>
        <w:rPr>
          <w:rFonts w:asciiTheme="majorHAnsi" w:hAnsiTheme="majorHAnsi"/>
        </w:rPr>
      </w:pPr>
    </w:p>
    <w:p w14:paraId="1A7548ED" w14:textId="31B8ED52" w:rsidR="00902C39" w:rsidRPr="00536AB6" w:rsidRDefault="003A79C8" w:rsidP="00820485">
      <w:pPr>
        <w:jc w:val="both"/>
        <w:rPr>
          <w:rFonts w:asciiTheme="majorHAnsi" w:hAnsiTheme="majorHAnsi"/>
        </w:rPr>
      </w:pPr>
      <w:r>
        <w:rPr>
          <w:rFonts w:asciiTheme="majorHAnsi" w:hAnsiTheme="majorHAnsi"/>
        </w:rPr>
        <w:t xml:space="preserve">A continuación se muestran las capturas totales, de las que se desprende que el stock </w:t>
      </w:r>
      <w:r w:rsidR="00B56CE8">
        <w:rPr>
          <w:rFonts w:asciiTheme="majorHAnsi" w:hAnsiTheme="majorHAnsi"/>
        </w:rPr>
        <w:t xml:space="preserve">ha sido objeto de exceso de captura </w:t>
      </w:r>
      <w:r>
        <w:rPr>
          <w:rFonts w:asciiTheme="majorHAnsi" w:hAnsiTheme="majorHAnsi"/>
        </w:rPr>
        <w:t xml:space="preserve">en 2025: </w:t>
      </w:r>
    </w:p>
    <w:p w14:paraId="19B51576" w14:textId="77777777" w:rsidR="00CD39ED" w:rsidRPr="00364A87" w:rsidRDefault="00CD39ED" w:rsidP="00820485">
      <w:pPr>
        <w:jc w:val="both"/>
        <w:rPr>
          <w:rFonts w:asciiTheme="majorHAnsi" w:hAnsiTheme="majorHAnsi"/>
          <w:sz w:val="18"/>
          <w:szCs w:val="18"/>
        </w:rPr>
      </w:pPr>
    </w:p>
    <w:p w14:paraId="675580D1" w14:textId="4136D522" w:rsidR="000220BD" w:rsidRPr="00536AB6" w:rsidRDefault="000220BD" w:rsidP="00820485">
      <w:pPr>
        <w:jc w:val="both"/>
        <w:rPr>
          <w:rFonts w:asciiTheme="majorHAnsi" w:hAnsiTheme="majorHAnsi"/>
        </w:rPr>
      </w:pPr>
      <w:r>
        <w:rPr>
          <w:rFonts w:asciiTheme="majorHAnsi" w:hAnsiTheme="majorHAnsi"/>
        </w:rPr>
        <w:t xml:space="preserve">Datos de Tarea 1 (incluidas las estimaciones del SCRS): </w:t>
      </w:r>
    </w:p>
    <w:p w14:paraId="6F9B4819" w14:textId="3329E39D" w:rsidR="00CD39ED" w:rsidRPr="00364A87" w:rsidRDefault="00CD39ED" w:rsidP="00820485">
      <w:pPr>
        <w:jc w:val="both"/>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053"/>
        <w:gridCol w:w="916"/>
        <w:gridCol w:w="916"/>
        <w:gridCol w:w="916"/>
        <w:gridCol w:w="916"/>
        <w:gridCol w:w="916"/>
        <w:gridCol w:w="916"/>
        <w:gridCol w:w="916"/>
        <w:gridCol w:w="916"/>
        <w:gridCol w:w="684"/>
      </w:tblGrid>
      <w:tr w:rsidR="007E2F3A" w:rsidRPr="00274E20" w14:paraId="6869149E" w14:textId="344069A6" w:rsidTr="00E00474">
        <w:tc>
          <w:tcPr>
            <w:tcW w:w="581" w:type="pct"/>
            <w:shd w:val="clear" w:color="auto" w:fill="FFFFFF"/>
            <w:vAlign w:val="center"/>
            <w:hideMark/>
          </w:tcPr>
          <w:p w14:paraId="527E854A" w14:textId="77777777"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Pez vela</w:t>
            </w:r>
          </w:p>
        </w:tc>
        <w:tc>
          <w:tcPr>
            <w:tcW w:w="505" w:type="pct"/>
            <w:shd w:val="clear" w:color="auto" w:fill="FFFFFF"/>
            <w:vAlign w:val="center"/>
            <w:hideMark/>
          </w:tcPr>
          <w:p w14:paraId="5ACC41DF" w14:textId="77777777"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2017</w:t>
            </w:r>
          </w:p>
        </w:tc>
        <w:tc>
          <w:tcPr>
            <w:tcW w:w="505" w:type="pct"/>
            <w:shd w:val="clear" w:color="auto" w:fill="FFFFFF"/>
            <w:vAlign w:val="center"/>
            <w:hideMark/>
          </w:tcPr>
          <w:p w14:paraId="6907E79E" w14:textId="77777777"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2018</w:t>
            </w:r>
          </w:p>
        </w:tc>
        <w:tc>
          <w:tcPr>
            <w:tcW w:w="505" w:type="pct"/>
            <w:shd w:val="clear" w:color="auto" w:fill="FFFFFF"/>
            <w:vAlign w:val="center"/>
            <w:hideMark/>
          </w:tcPr>
          <w:p w14:paraId="6F4D8FE8" w14:textId="77777777"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2019</w:t>
            </w:r>
          </w:p>
        </w:tc>
        <w:tc>
          <w:tcPr>
            <w:tcW w:w="505" w:type="pct"/>
            <w:shd w:val="clear" w:color="auto" w:fill="FFFFFF"/>
            <w:vAlign w:val="center"/>
            <w:hideMark/>
          </w:tcPr>
          <w:p w14:paraId="0D96AC9F" w14:textId="77777777"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2020</w:t>
            </w:r>
          </w:p>
        </w:tc>
        <w:tc>
          <w:tcPr>
            <w:tcW w:w="505" w:type="pct"/>
            <w:shd w:val="clear" w:color="auto" w:fill="FFFFFF"/>
          </w:tcPr>
          <w:p w14:paraId="4C7CF085" w14:textId="764DBF86"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2021</w:t>
            </w:r>
          </w:p>
        </w:tc>
        <w:tc>
          <w:tcPr>
            <w:tcW w:w="505" w:type="pct"/>
            <w:shd w:val="clear" w:color="auto" w:fill="FFFFFF"/>
          </w:tcPr>
          <w:p w14:paraId="53B70A9A" w14:textId="179D7F49"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2022</w:t>
            </w:r>
          </w:p>
        </w:tc>
        <w:tc>
          <w:tcPr>
            <w:tcW w:w="505" w:type="pct"/>
            <w:shd w:val="clear" w:color="auto" w:fill="FFFFFF"/>
          </w:tcPr>
          <w:p w14:paraId="3E4C5A73" w14:textId="6FF8BBAC"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2023</w:t>
            </w:r>
          </w:p>
        </w:tc>
        <w:tc>
          <w:tcPr>
            <w:tcW w:w="505" w:type="pct"/>
            <w:shd w:val="clear" w:color="auto" w:fill="FFFFFF"/>
          </w:tcPr>
          <w:p w14:paraId="5B50B154" w14:textId="7B47FB77"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2024</w:t>
            </w:r>
          </w:p>
        </w:tc>
        <w:tc>
          <w:tcPr>
            <w:tcW w:w="377" w:type="pct"/>
            <w:shd w:val="clear" w:color="auto" w:fill="FFFFFF"/>
          </w:tcPr>
          <w:p w14:paraId="2621C299" w14:textId="5086CE1E"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2025</w:t>
            </w:r>
          </w:p>
        </w:tc>
      </w:tr>
      <w:tr w:rsidR="00E00474" w:rsidRPr="00274E20" w14:paraId="0637ECE9" w14:textId="78333162" w:rsidTr="00E00474">
        <w:tc>
          <w:tcPr>
            <w:tcW w:w="581" w:type="pct"/>
            <w:shd w:val="clear" w:color="auto" w:fill="FFFFFF"/>
            <w:vAlign w:val="center"/>
            <w:hideMark/>
          </w:tcPr>
          <w:p w14:paraId="2248EED5" w14:textId="77777777" w:rsidR="00E00474" w:rsidRPr="00274E20" w:rsidRDefault="00E00474" w:rsidP="00E00474">
            <w:pPr>
              <w:widowControl/>
              <w:autoSpaceDE/>
              <w:autoSpaceDN/>
              <w:adjustRightInd/>
              <w:jc w:val="center"/>
              <w:rPr>
                <w:rFonts w:asciiTheme="majorHAnsi" w:hAnsiTheme="majorHAnsi"/>
                <w:color w:val="000000"/>
              </w:rPr>
            </w:pPr>
            <w:r w:rsidRPr="00274E20">
              <w:rPr>
                <w:rFonts w:asciiTheme="majorHAnsi" w:hAnsiTheme="majorHAnsi"/>
                <w:color w:val="000000"/>
              </w:rPr>
              <w:t>ATE</w:t>
            </w:r>
          </w:p>
        </w:tc>
        <w:tc>
          <w:tcPr>
            <w:tcW w:w="505" w:type="pct"/>
            <w:shd w:val="clear" w:color="auto" w:fill="FFFFFF"/>
            <w:hideMark/>
          </w:tcPr>
          <w:p w14:paraId="62FF1767" w14:textId="48ECF3A7"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1651</w:t>
            </w:r>
          </w:p>
        </w:tc>
        <w:tc>
          <w:tcPr>
            <w:tcW w:w="505" w:type="pct"/>
            <w:shd w:val="clear" w:color="auto" w:fill="FFFFFF"/>
            <w:hideMark/>
          </w:tcPr>
          <w:p w14:paraId="6F31A2D5" w14:textId="454C1959"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962</w:t>
            </w:r>
          </w:p>
        </w:tc>
        <w:tc>
          <w:tcPr>
            <w:tcW w:w="505" w:type="pct"/>
            <w:shd w:val="clear" w:color="auto" w:fill="FFFFFF"/>
            <w:hideMark/>
          </w:tcPr>
          <w:p w14:paraId="5E40AC1B" w14:textId="13753BCF"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2271</w:t>
            </w:r>
          </w:p>
        </w:tc>
        <w:tc>
          <w:tcPr>
            <w:tcW w:w="505" w:type="pct"/>
            <w:shd w:val="clear" w:color="auto" w:fill="FFFFFF"/>
            <w:hideMark/>
          </w:tcPr>
          <w:p w14:paraId="721762D8" w14:textId="13842AD3"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1219</w:t>
            </w:r>
          </w:p>
        </w:tc>
        <w:tc>
          <w:tcPr>
            <w:tcW w:w="505" w:type="pct"/>
            <w:shd w:val="clear" w:color="auto" w:fill="FFFFFF"/>
          </w:tcPr>
          <w:p w14:paraId="2D16BDAC" w14:textId="506BA416"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1733</w:t>
            </w:r>
          </w:p>
        </w:tc>
        <w:tc>
          <w:tcPr>
            <w:tcW w:w="505" w:type="pct"/>
            <w:shd w:val="clear" w:color="auto" w:fill="FFFFFF"/>
          </w:tcPr>
          <w:p w14:paraId="212E104B" w14:textId="4C82CC1D" w:rsidR="00E00474" w:rsidRPr="00274E20" w:rsidRDefault="00E00474" w:rsidP="00E00474">
            <w:pPr>
              <w:widowControl/>
              <w:autoSpaceDE/>
              <w:autoSpaceDN/>
              <w:adjustRightInd/>
              <w:jc w:val="center"/>
              <w:rPr>
                <w:rFonts w:asciiTheme="majorHAnsi" w:hAnsiTheme="majorHAnsi"/>
                <w:color w:val="FF0000"/>
              </w:rPr>
            </w:pPr>
            <w:r w:rsidRPr="00274E20">
              <w:rPr>
                <w:rFonts w:asciiTheme="majorHAnsi" w:hAnsiTheme="majorHAnsi"/>
              </w:rPr>
              <w:t>1183</w:t>
            </w:r>
          </w:p>
        </w:tc>
        <w:tc>
          <w:tcPr>
            <w:tcW w:w="505" w:type="pct"/>
            <w:shd w:val="clear" w:color="auto" w:fill="FFFFFF"/>
          </w:tcPr>
          <w:p w14:paraId="5B1EC3DC" w14:textId="50DD527F"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1084</w:t>
            </w:r>
          </w:p>
        </w:tc>
        <w:tc>
          <w:tcPr>
            <w:tcW w:w="505" w:type="pct"/>
            <w:shd w:val="clear" w:color="auto" w:fill="FFFFFF"/>
          </w:tcPr>
          <w:p w14:paraId="1152F774" w14:textId="55B2A36F"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1243</w:t>
            </w:r>
          </w:p>
        </w:tc>
        <w:tc>
          <w:tcPr>
            <w:tcW w:w="377" w:type="pct"/>
            <w:shd w:val="clear" w:color="auto" w:fill="FFFFFF"/>
          </w:tcPr>
          <w:p w14:paraId="5EFA7995" w14:textId="3F698D33"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1289</w:t>
            </w:r>
          </w:p>
        </w:tc>
      </w:tr>
      <w:tr w:rsidR="00E00474" w:rsidRPr="00274E20" w14:paraId="17C4BE9C" w14:textId="4A172212" w:rsidTr="00E00474">
        <w:tc>
          <w:tcPr>
            <w:tcW w:w="581" w:type="pct"/>
            <w:shd w:val="clear" w:color="auto" w:fill="FFFFFF"/>
            <w:vAlign w:val="center"/>
            <w:hideMark/>
          </w:tcPr>
          <w:p w14:paraId="2A88649D" w14:textId="77777777" w:rsidR="00E00474" w:rsidRPr="00274E20" w:rsidRDefault="00E00474" w:rsidP="00E00474">
            <w:pPr>
              <w:widowControl/>
              <w:autoSpaceDE/>
              <w:autoSpaceDN/>
              <w:adjustRightInd/>
              <w:jc w:val="center"/>
              <w:rPr>
                <w:rFonts w:asciiTheme="majorHAnsi" w:hAnsiTheme="majorHAnsi"/>
                <w:color w:val="000000"/>
              </w:rPr>
            </w:pPr>
            <w:r w:rsidRPr="00274E20">
              <w:rPr>
                <w:rFonts w:asciiTheme="majorHAnsi" w:hAnsiTheme="majorHAnsi"/>
                <w:color w:val="000000"/>
              </w:rPr>
              <w:t>ATW</w:t>
            </w:r>
          </w:p>
        </w:tc>
        <w:tc>
          <w:tcPr>
            <w:tcW w:w="505" w:type="pct"/>
            <w:shd w:val="clear" w:color="auto" w:fill="FFFFFF"/>
            <w:hideMark/>
          </w:tcPr>
          <w:p w14:paraId="4D8896D4" w14:textId="4134B63C"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1967</w:t>
            </w:r>
          </w:p>
        </w:tc>
        <w:tc>
          <w:tcPr>
            <w:tcW w:w="505" w:type="pct"/>
            <w:shd w:val="clear" w:color="auto" w:fill="FFFFFF"/>
            <w:hideMark/>
          </w:tcPr>
          <w:p w14:paraId="0C0F1AE9" w14:textId="1E3FFEA1"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1955</w:t>
            </w:r>
          </w:p>
        </w:tc>
        <w:tc>
          <w:tcPr>
            <w:tcW w:w="505" w:type="pct"/>
            <w:shd w:val="clear" w:color="auto" w:fill="FFFFFF"/>
            <w:hideMark/>
          </w:tcPr>
          <w:p w14:paraId="3A881298" w14:textId="1818305F"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1625</w:t>
            </w:r>
          </w:p>
        </w:tc>
        <w:tc>
          <w:tcPr>
            <w:tcW w:w="505" w:type="pct"/>
            <w:shd w:val="clear" w:color="auto" w:fill="FFFFFF"/>
            <w:hideMark/>
          </w:tcPr>
          <w:p w14:paraId="113E22AB" w14:textId="730463BB"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1392</w:t>
            </w:r>
          </w:p>
        </w:tc>
        <w:tc>
          <w:tcPr>
            <w:tcW w:w="505" w:type="pct"/>
            <w:shd w:val="clear" w:color="auto" w:fill="FFFFFF"/>
          </w:tcPr>
          <w:p w14:paraId="663C52B8" w14:textId="0A72F81F"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934</w:t>
            </w:r>
          </w:p>
        </w:tc>
        <w:tc>
          <w:tcPr>
            <w:tcW w:w="505" w:type="pct"/>
            <w:shd w:val="clear" w:color="auto" w:fill="FFFFFF"/>
          </w:tcPr>
          <w:p w14:paraId="047D10F2" w14:textId="77A5620C"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1096</w:t>
            </w:r>
          </w:p>
        </w:tc>
        <w:tc>
          <w:tcPr>
            <w:tcW w:w="505" w:type="pct"/>
            <w:shd w:val="clear" w:color="auto" w:fill="FFFFFF"/>
          </w:tcPr>
          <w:p w14:paraId="0ABB9B6C" w14:textId="1EAF6DAF"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1267</w:t>
            </w:r>
          </w:p>
        </w:tc>
        <w:tc>
          <w:tcPr>
            <w:tcW w:w="505" w:type="pct"/>
            <w:shd w:val="clear" w:color="auto" w:fill="FFFFFF"/>
          </w:tcPr>
          <w:p w14:paraId="10C8C266" w14:textId="4B0F87D9"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1275</w:t>
            </w:r>
          </w:p>
        </w:tc>
        <w:tc>
          <w:tcPr>
            <w:tcW w:w="377" w:type="pct"/>
            <w:shd w:val="clear" w:color="auto" w:fill="FFFFFF"/>
          </w:tcPr>
          <w:p w14:paraId="7482D751" w14:textId="0A5BFF89"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1161</w:t>
            </w:r>
          </w:p>
        </w:tc>
      </w:tr>
    </w:tbl>
    <w:p w14:paraId="690DD3AD" w14:textId="77777777" w:rsidR="00CD39ED" w:rsidRPr="00274E20" w:rsidRDefault="00CD39ED" w:rsidP="006D1DE6">
      <w:pPr>
        <w:jc w:val="both"/>
        <w:rPr>
          <w:rFonts w:asciiTheme="majorHAnsi" w:hAnsiTheme="majorHAnsi"/>
          <w:lang w:val="en-IE"/>
        </w:rPr>
      </w:pPr>
    </w:p>
    <w:p w14:paraId="7DF53343" w14:textId="53029986" w:rsidR="00AB289F" w:rsidRPr="00274E20" w:rsidRDefault="00AB289F" w:rsidP="00820485">
      <w:pPr>
        <w:rPr>
          <w:rFonts w:asciiTheme="majorHAnsi" w:hAnsiTheme="majorHAnsi"/>
        </w:rPr>
      </w:pPr>
      <w:r w:rsidRPr="00274E20">
        <w:rPr>
          <w:rFonts w:asciiTheme="majorHAnsi" w:hAnsiTheme="majorHAnsi"/>
        </w:rPr>
        <w:t>Datos de Tarea 1 (solo datos comunicados):</w:t>
      </w:r>
    </w:p>
    <w:p w14:paraId="04221596" w14:textId="6864CC0E" w:rsidR="00AB289F" w:rsidRPr="00274E20" w:rsidRDefault="00AB289F" w:rsidP="006D1DE6">
      <w:pPr>
        <w:widowControl/>
        <w:autoSpaceDE/>
        <w:autoSpaceDN/>
        <w:adjustRightInd/>
        <w:jc w:val="center"/>
        <w:rPr>
          <w:rFonts w:asciiTheme="majorHAnsi" w:hAnsiTheme="majorHAnsi"/>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228"/>
        <w:gridCol w:w="874"/>
        <w:gridCol w:w="874"/>
        <w:gridCol w:w="874"/>
        <w:gridCol w:w="874"/>
        <w:gridCol w:w="874"/>
        <w:gridCol w:w="874"/>
        <w:gridCol w:w="874"/>
        <w:gridCol w:w="874"/>
        <w:gridCol w:w="845"/>
      </w:tblGrid>
      <w:tr w:rsidR="007E2F3A" w:rsidRPr="00274E20" w14:paraId="61497943" w14:textId="2043E873" w:rsidTr="00E00474">
        <w:tc>
          <w:tcPr>
            <w:tcW w:w="677" w:type="pct"/>
            <w:shd w:val="clear" w:color="auto" w:fill="FFFFFF"/>
            <w:vAlign w:val="center"/>
            <w:hideMark/>
          </w:tcPr>
          <w:p w14:paraId="4038F0CE" w14:textId="2D219087"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Pez vela</w:t>
            </w:r>
          </w:p>
        </w:tc>
        <w:tc>
          <w:tcPr>
            <w:tcW w:w="482" w:type="pct"/>
            <w:shd w:val="clear" w:color="auto" w:fill="FFFFFF"/>
            <w:vAlign w:val="center"/>
            <w:hideMark/>
          </w:tcPr>
          <w:p w14:paraId="637ADFD5" w14:textId="77777777"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2017</w:t>
            </w:r>
          </w:p>
        </w:tc>
        <w:tc>
          <w:tcPr>
            <w:tcW w:w="482" w:type="pct"/>
            <w:shd w:val="clear" w:color="auto" w:fill="FFFFFF"/>
            <w:vAlign w:val="center"/>
            <w:hideMark/>
          </w:tcPr>
          <w:p w14:paraId="7BE9D5C7" w14:textId="77777777"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2018</w:t>
            </w:r>
          </w:p>
        </w:tc>
        <w:tc>
          <w:tcPr>
            <w:tcW w:w="482" w:type="pct"/>
            <w:shd w:val="clear" w:color="auto" w:fill="FFFFFF"/>
            <w:vAlign w:val="center"/>
            <w:hideMark/>
          </w:tcPr>
          <w:p w14:paraId="54BB269B" w14:textId="77777777"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2019</w:t>
            </w:r>
          </w:p>
        </w:tc>
        <w:tc>
          <w:tcPr>
            <w:tcW w:w="482" w:type="pct"/>
            <w:shd w:val="clear" w:color="auto" w:fill="FFFFFF"/>
            <w:vAlign w:val="center"/>
            <w:hideMark/>
          </w:tcPr>
          <w:p w14:paraId="2AC4F721" w14:textId="77777777"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2020</w:t>
            </w:r>
          </w:p>
        </w:tc>
        <w:tc>
          <w:tcPr>
            <w:tcW w:w="482" w:type="pct"/>
            <w:shd w:val="clear" w:color="auto" w:fill="FFFFFF"/>
          </w:tcPr>
          <w:p w14:paraId="703B4824" w14:textId="2483666E"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2021</w:t>
            </w:r>
          </w:p>
        </w:tc>
        <w:tc>
          <w:tcPr>
            <w:tcW w:w="482" w:type="pct"/>
            <w:shd w:val="clear" w:color="auto" w:fill="FFFFFF"/>
          </w:tcPr>
          <w:p w14:paraId="2D7980C4" w14:textId="461F9FF1"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2022</w:t>
            </w:r>
          </w:p>
        </w:tc>
        <w:tc>
          <w:tcPr>
            <w:tcW w:w="482" w:type="pct"/>
            <w:shd w:val="clear" w:color="auto" w:fill="FFFFFF"/>
          </w:tcPr>
          <w:p w14:paraId="2E58081B" w14:textId="1A15FEEA"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2023</w:t>
            </w:r>
          </w:p>
        </w:tc>
        <w:tc>
          <w:tcPr>
            <w:tcW w:w="482" w:type="pct"/>
            <w:shd w:val="clear" w:color="auto" w:fill="FFFFFF"/>
          </w:tcPr>
          <w:p w14:paraId="17EE6AD3" w14:textId="0D7E32B7"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2024</w:t>
            </w:r>
          </w:p>
        </w:tc>
        <w:tc>
          <w:tcPr>
            <w:tcW w:w="466" w:type="pct"/>
            <w:shd w:val="clear" w:color="auto" w:fill="FFFFFF"/>
          </w:tcPr>
          <w:p w14:paraId="68393B13" w14:textId="6DF4F1EA" w:rsidR="007E2F3A" w:rsidRPr="00274E20" w:rsidRDefault="007E2F3A" w:rsidP="00820485">
            <w:pPr>
              <w:widowControl/>
              <w:autoSpaceDE/>
              <w:autoSpaceDN/>
              <w:adjustRightInd/>
              <w:jc w:val="center"/>
              <w:rPr>
                <w:rFonts w:asciiTheme="majorHAnsi" w:hAnsiTheme="majorHAnsi"/>
                <w:i/>
                <w:iCs/>
              </w:rPr>
            </w:pPr>
            <w:r w:rsidRPr="00274E20">
              <w:rPr>
                <w:rFonts w:asciiTheme="majorHAnsi" w:hAnsiTheme="majorHAnsi"/>
                <w:i/>
              </w:rPr>
              <w:t>2025</w:t>
            </w:r>
          </w:p>
        </w:tc>
      </w:tr>
      <w:tr w:rsidR="00E00474" w:rsidRPr="00274E20" w14:paraId="517E65B7" w14:textId="769C23B0" w:rsidTr="00E00474">
        <w:tc>
          <w:tcPr>
            <w:tcW w:w="677" w:type="pct"/>
            <w:shd w:val="clear" w:color="auto" w:fill="FFFFFF"/>
            <w:vAlign w:val="center"/>
            <w:hideMark/>
          </w:tcPr>
          <w:p w14:paraId="457D0F1E" w14:textId="77777777" w:rsidR="00E00474" w:rsidRPr="00274E20" w:rsidRDefault="00E00474" w:rsidP="00E00474">
            <w:pPr>
              <w:widowControl/>
              <w:autoSpaceDE/>
              <w:autoSpaceDN/>
              <w:adjustRightInd/>
              <w:jc w:val="center"/>
              <w:rPr>
                <w:rFonts w:asciiTheme="majorHAnsi" w:hAnsiTheme="majorHAnsi"/>
                <w:color w:val="000000"/>
              </w:rPr>
            </w:pPr>
            <w:r w:rsidRPr="00274E20">
              <w:rPr>
                <w:rFonts w:asciiTheme="majorHAnsi" w:hAnsiTheme="majorHAnsi"/>
                <w:color w:val="000000"/>
              </w:rPr>
              <w:t>ATE</w:t>
            </w:r>
          </w:p>
        </w:tc>
        <w:tc>
          <w:tcPr>
            <w:tcW w:w="482" w:type="pct"/>
            <w:shd w:val="clear" w:color="auto" w:fill="FFFFFF"/>
            <w:hideMark/>
          </w:tcPr>
          <w:p w14:paraId="69B9C90A" w14:textId="2DDB6F4B"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1632</w:t>
            </w:r>
          </w:p>
        </w:tc>
        <w:tc>
          <w:tcPr>
            <w:tcW w:w="482" w:type="pct"/>
            <w:shd w:val="clear" w:color="auto" w:fill="FFFFFF"/>
            <w:hideMark/>
          </w:tcPr>
          <w:p w14:paraId="176267FE" w14:textId="56495375"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677</w:t>
            </w:r>
          </w:p>
        </w:tc>
        <w:tc>
          <w:tcPr>
            <w:tcW w:w="482" w:type="pct"/>
            <w:shd w:val="clear" w:color="auto" w:fill="FFFFFF"/>
            <w:hideMark/>
          </w:tcPr>
          <w:p w14:paraId="353C2935" w14:textId="561386B8"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1922</w:t>
            </w:r>
          </w:p>
        </w:tc>
        <w:tc>
          <w:tcPr>
            <w:tcW w:w="482" w:type="pct"/>
            <w:shd w:val="clear" w:color="auto" w:fill="FFFFFF"/>
            <w:hideMark/>
          </w:tcPr>
          <w:p w14:paraId="600596FE" w14:textId="46242B2B"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1209</w:t>
            </w:r>
          </w:p>
        </w:tc>
        <w:tc>
          <w:tcPr>
            <w:tcW w:w="482" w:type="pct"/>
            <w:shd w:val="clear" w:color="auto" w:fill="FFFFFF"/>
          </w:tcPr>
          <w:p w14:paraId="43952D25" w14:textId="7498E0CB"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1730</w:t>
            </w:r>
          </w:p>
        </w:tc>
        <w:tc>
          <w:tcPr>
            <w:tcW w:w="482" w:type="pct"/>
            <w:shd w:val="clear" w:color="auto" w:fill="FFFFFF"/>
          </w:tcPr>
          <w:p w14:paraId="223A1547" w14:textId="27F4B339" w:rsidR="00E00474" w:rsidRPr="00274E20" w:rsidRDefault="00E00474" w:rsidP="00E00474">
            <w:pPr>
              <w:widowControl/>
              <w:autoSpaceDE/>
              <w:autoSpaceDN/>
              <w:adjustRightInd/>
              <w:jc w:val="center"/>
              <w:rPr>
                <w:rFonts w:asciiTheme="majorHAnsi" w:hAnsiTheme="majorHAnsi"/>
                <w:color w:val="FF0000"/>
              </w:rPr>
            </w:pPr>
            <w:r w:rsidRPr="00274E20">
              <w:rPr>
                <w:rFonts w:asciiTheme="majorHAnsi" w:hAnsiTheme="majorHAnsi"/>
              </w:rPr>
              <w:t>1170</w:t>
            </w:r>
          </w:p>
        </w:tc>
        <w:tc>
          <w:tcPr>
            <w:tcW w:w="482" w:type="pct"/>
            <w:shd w:val="clear" w:color="auto" w:fill="FFFFFF"/>
          </w:tcPr>
          <w:p w14:paraId="48E606A7" w14:textId="718C65B3"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983</w:t>
            </w:r>
          </w:p>
        </w:tc>
        <w:tc>
          <w:tcPr>
            <w:tcW w:w="482" w:type="pct"/>
            <w:shd w:val="clear" w:color="auto" w:fill="FFFFFF"/>
          </w:tcPr>
          <w:p w14:paraId="755FE9EA" w14:textId="3226759F"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1152</w:t>
            </w:r>
          </w:p>
        </w:tc>
        <w:tc>
          <w:tcPr>
            <w:tcW w:w="466" w:type="pct"/>
            <w:shd w:val="clear" w:color="auto" w:fill="FFFFFF"/>
          </w:tcPr>
          <w:p w14:paraId="5F120455" w14:textId="4F1F16D0"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1158</w:t>
            </w:r>
          </w:p>
        </w:tc>
      </w:tr>
      <w:tr w:rsidR="00E00474" w:rsidRPr="00536AB6" w14:paraId="639DC47C" w14:textId="513D1236" w:rsidTr="00E00474">
        <w:tc>
          <w:tcPr>
            <w:tcW w:w="677" w:type="pct"/>
            <w:shd w:val="clear" w:color="auto" w:fill="FFFFFF"/>
            <w:vAlign w:val="center"/>
            <w:hideMark/>
          </w:tcPr>
          <w:p w14:paraId="1AC77825" w14:textId="77777777" w:rsidR="00E00474" w:rsidRPr="00274E20" w:rsidRDefault="00E00474" w:rsidP="00E00474">
            <w:pPr>
              <w:widowControl/>
              <w:autoSpaceDE/>
              <w:autoSpaceDN/>
              <w:adjustRightInd/>
              <w:jc w:val="center"/>
              <w:rPr>
                <w:rFonts w:asciiTheme="majorHAnsi" w:hAnsiTheme="majorHAnsi"/>
                <w:color w:val="000000"/>
              </w:rPr>
            </w:pPr>
            <w:r w:rsidRPr="00274E20">
              <w:rPr>
                <w:rFonts w:asciiTheme="majorHAnsi" w:hAnsiTheme="majorHAnsi"/>
                <w:color w:val="000000"/>
              </w:rPr>
              <w:t>ATW</w:t>
            </w:r>
          </w:p>
        </w:tc>
        <w:tc>
          <w:tcPr>
            <w:tcW w:w="482" w:type="pct"/>
            <w:shd w:val="clear" w:color="auto" w:fill="FFFFFF"/>
            <w:hideMark/>
          </w:tcPr>
          <w:p w14:paraId="7158E5C0" w14:textId="087B1654"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1933</w:t>
            </w:r>
          </w:p>
        </w:tc>
        <w:tc>
          <w:tcPr>
            <w:tcW w:w="482" w:type="pct"/>
            <w:shd w:val="clear" w:color="auto" w:fill="FFFFFF"/>
            <w:hideMark/>
          </w:tcPr>
          <w:p w14:paraId="7A72ED6F" w14:textId="75144584"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1660</w:t>
            </w:r>
          </w:p>
        </w:tc>
        <w:tc>
          <w:tcPr>
            <w:tcW w:w="482" w:type="pct"/>
            <w:shd w:val="clear" w:color="auto" w:fill="FFFFFF"/>
            <w:hideMark/>
          </w:tcPr>
          <w:p w14:paraId="260BB0BD" w14:textId="25BBD137"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1395</w:t>
            </w:r>
          </w:p>
        </w:tc>
        <w:tc>
          <w:tcPr>
            <w:tcW w:w="482" w:type="pct"/>
            <w:shd w:val="clear" w:color="auto" w:fill="FFFFFF"/>
            <w:hideMark/>
          </w:tcPr>
          <w:p w14:paraId="29880E6A" w14:textId="3155F2FD"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1391</w:t>
            </w:r>
          </w:p>
        </w:tc>
        <w:tc>
          <w:tcPr>
            <w:tcW w:w="482" w:type="pct"/>
            <w:shd w:val="clear" w:color="auto" w:fill="FFFFFF"/>
          </w:tcPr>
          <w:p w14:paraId="6E7A2038" w14:textId="49579CBD"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900</w:t>
            </w:r>
          </w:p>
        </w:tc>
        <w:tc>
          <w:tcPr>
            <w:tcW w:w="482" w:type="pct"/>
            <w:shd w:val="clear" w:color="auto" w:fill="FFFFFF"/>
          </w:tcPr>
          <w:p w14:paraId="59B91125" w14:textId="4124EDC7"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1089</w:t>
            </w:r>
          </w:p>
        </w:tc>
        <w:tc>
          <w:tcPr>
            <w:tcW w:w="482" w:type="pct"/>
            <w:shd w:val="clear" w:color="auto" w:fill="FFFFFF"/>
          </w:tcPr>
          <w:p w14:paraId="2008FB75" w14:textId="40C2D372"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1266</w:t>
            </w:r>
          </w:p>
        </w:tc>
        <w:tc>
          <w:tcPr>
            <w:tcW w:w="482" w:type="pct"/>
            <w:shd w:val="clear" w:color="auto" w:fill="FFFFFF"/>
          </w:tcPr>
          <w:p w14:paraId="684236F4" w14:textId="0D368253"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1168</w:t>
            </w:r>
          </w:p>
        </w:tc>
        <w:tc>
          <w:tcPr>
            <w:tcW w:w="466" w:type="pct"/>
            <w:shd w:val="clear" w:color="auto" w:fill="FFFFFF"/>
          </w:tcPr>
          <w:p w14:paraId="2EF07996" w14:textId="036CDD20" w:rsidR="00E00474" w:rsidRPr="00274E20" w:rsidRDefault="00E00474" w:rsidP="00E00474">
            <w:pPr>
              <w:widowControl/>
              <w:autoSpaceDE/>
              <w:autoSpaceDN/>
              <w:adjustRightInd/>
              <w:jc w:val="center"/>
              <w:rPr>
                <w:rFonts w:asciiTheme="majorHAnsi" w:hAnsiTheme="majorHAnsi"/>
              </w:rPr>
            </w:pPr>
            <w:r w:rsidRPr="00274E20">
              <w:rPr>
                <w:rFonts w:asciiTheme="majorHAnsi" w:hAnsiTheme="majorHAnsi"/>
              </w:rPr>
              <w:t>1137</w:t>
            </w:r>
          </w:p>
        </w:tc>
      </w:tr>
    </w:tbl>
    <w:p w14:paraId="47861E26" w14:textId="77777777" w:rsidR="00AB289F" w:rsidRPr="00536AB6" w:rsidRDefault="00AB289F" w:rsidP="00820485">
      <w:pPr>
        <w:jc w:val="both"/>
        <w:rPr>
          <w:rFonts w:asciiTheme="majorHAnsi" w:hAnsiTheme="majorHAnsi"/>
          <w:lang w:val="en-IE"/>
        </w:rPr>
      </w:pPr>
    </w:p>
    <w:p w14:paraId="5A8D70B9" w14:textId="14822216" w:rsidR="00C07B4D" w:rsidRDefault="0072170F" w:rsidP="00820485">
      <w:pPr>
        <w:jc w:val="both"/>
        <w:rPr>
          <w:rFonts w:asciiTheme="majorHAnsi" w:hAnsiTheme="majorHAnsi"/>
          <w:color w:val="000000" w:themeColor="text1"/>
        </w:rPr>
      </w:pPr>
      <w:r>
        <w:rPr>
          <w:rFonts w:asciiTheme="majorHAnsi" w:hAnsiTheme="majorHAnsi"/>
          <w:color w:val="000000" w:themeColor="text1"/>
        </w:rPr>
        <w:lastRenderedPageBreak/>
        <w:t xml:space="preserve">Las obligaciones de comunicación de Tarea 1 se revisaron en virtud de la Rec. 11-15. La Recomendación requiere que desde 2017 las CPC describan en sus informes anuales sus programas de recopilación de datos y lo pasos dados para implementar esta Recomendación.  Estos informes están incluidos en la Hoja de comprobación de istiofóridos (véase la Rec. 18-05 más abajo). </w:t>
      </w:r>
    </w:p>
    <w:p w14:paraId="2EC72C94" w14:textId="77777777" w:rsidR="00274E20" w:rsidRPr="00536AB6" w:rsidRDefault="00274E20" w:rsidP="00820485">
      <w:pPr>
        <w:jc w:val="both"/>
        <w:rPr>
          <w:rFonts w:asciiTheme="majorHAnsi" w:hAnsiTheme="majorHAnsi"/>
          <w:color w:val="000000" w:themeColor="text1"/>
        </w:rPr>
      </w:pPr>
    </w:p>
    <w:p w14:paraId="4F5E966B" w14:textId="77777777" w:rsidR="00C07B4D" w:rsidRPr="00364A87" w:rsidRDefault="00C07B4D" w:rsidP="00820485">
      <w:pPr>
        <w:jc w:val="both"/>
        <w:rPr>
          <w:rFonts w:asciiTheme="majorHAnsi" w:hAnsiTheme="majorHAnsi"/>
          <w:color w:val="000000" w:themeColor="text1"/>
        </w:rPr>
      </w:pPr>
    </w:p>
    <w:p w14:paraId="7DBE9C2F" w14:textId="2CD3C871" w:rsidR="00C37678" w:rsidRPr="00536AB6" w:rsidRDefault="008C1984" w:rsidP="00820485">
      <w:pPr>
        <w:jc w:val="both"/>
        <w:rPr>
          <w:rFonts w:asciiTheme="majorHAnsi" w:hAnsiTheme="majorHAnsi"/>
          <w:iCs/>
        </w:rPr>
      </w:pPr>
      <w:r>
        <w:rPr>
          <w:rFonts w:asciiTheme="majorHAnsi" w:hAnsiTheme="majorHAnsi"/>
          <w:i/>
        </w:rPr>
        <w:t xml:space="preserve">[Rec. 18-05] </w:t>
      </w:r>
      <w:bookmarkStart w:id="10" w:name="_Hlk117848927"/>
      <w:r w:rsidR="00347845" w:rsidRPr="00536AB6">
        <w:rPr>
          <w:rFonts w:asciiTheme="majorHAnsi" w:hAnsiTheme="majorHAnsi"/>
        </w:rPr>
        <w:fldChar w:fldCharType="begin"/>
      </w:r>
      <w:r w:rsidR="00347845" w:rsidRPr="00536AB6">
        <w:rPr>
          <w:rFonts w:asciiTheme="majorHAnsi" w:hAnsiTheme="majorHAnsi"/>
        </w:rPr>
        <w:instrText>HYPERLINK "https://www.iccat.int/Documents/Recs/compendiopdf-s/2018-05-s.pdf" \t "_blank"</w:instrText>
      </w:r>
      <w:r w:rsidR="00347845" w:rsidRPr="00536AB6">
        <w:rPr>
          <w:rFonts w:asciiTheme="majorHAnsi" w:hAnsiTheme="majorHAnsi"/>
        </w:rPr>
      </w:r>
      <w:r w:rsidR="00347845" w:rsidRPr="00536AB6">
        <w:rPr>
          <w:rFonts w:asciiTheme="majorHAnsi" w:hAnsiTheme="majorHAnsi"/>
        </w:rPr>
        <w:fldChar w:fldCharType="separate"/>
      </w:r>
      <w:r>
        <w:rPr>
          <w:rFonts w:asciiTheme="majorHAnsi" w:hAnsiTheme="majorHAnsi"/>
          <w:i/>
          <w:iCs/>
        </w:rPr>
        <w:t>Recomendación de ICCAT para mejorar la revisión del cumplimiento</w:t>
      </w:r>
      <w:r w:rsidR="00657AF7">
        <w:rPr>
          <w:rFonts w:asciiTheme="majorHAnsi" w:hAnsiTheme="majorHAnsi"/>
          <w:i/>
          <w:iCs/>
        </w:rPr>
        <w:t xml:space="preserve"> </w:t>
      </w:r>
      <w:r>
        <w:rPr>
          <w:rFonts w:asciiTheme="majorHAnsi" w:hAnsiTheme="majorHAnsi"/>
          <w:i/>
          <w:iCs/>
        </w:rPr>
        <w:t xml:space="preserve">de las medidas de conservación y ordenación relacionadas con los istiofóridos capturados en la zona del convenio de ICCAT </w:t>
      </w:r>
      <w:r w:rsidR="00347845" w:rsidRPr="00536AB6">
        <w:rPr>
          <w:rFonts w:asciiTheme="majorHAnsi" w:hAnsiTheme="majorHAnsi"/>
          <w:i/>
        </w:rPr>
        <w:fldChar w:fldCharType="end"/>
      </w:r>
    </w:p>
    <w:p w14:paraId="7610A484" w14:textId="77777777" w:rsidR="004460EF" w:rsidRPr="00364A87" w:rsidRDefault="004460EF" w:rsidP="00820485">
      <w:pPr>
        <w:jc w:val="both"/>
        <w:rPr>
          <w:rFonts w:asciiTheme="majorHAnsi" w:hAnsiTheme="majorHAnsi"/>
          <w:iCs/>
        </w:rPr>
      </w:pPr>
    </w:p>
    <w:p w14:paraId="1AFFC308" w14:textId="53BD52D8" w:rsidR="00CB0C74" w:rsidRPr="00536AB6" w:rsidRDefault="00CB0C74" w:rsidP="00820485">
      <w:pPr>
        <w:jc w:val="both"/>
        <w:rPr>
          <w:rFonts w:asciiTheme="majorHAnsi" w:hAnsiTheme="majorHAnsi"/>
          <w:iCs/>
        </w:rPr>
      </w:pPr>
      <w:r w:rsidRPr="00E26487">
        <w:rPr>
          <w:rFonts w:asciiTheme="majorHAnsi" w:hAnsiTheme="majorHAnsi"/>
        </w:rPr>
        <w:t xml:space="preserve">Este año se recibieron hojas de comprobación revisadas/actualizadas de 40 CPC, </w:t>
      </w:r>
      <w:r w:rsidR="00657AF7" w:rsidRPr="00E26487">
        <w:rPr>
          <w:rFonts w:asciiTheme="majorHAnsi" w:hAnsiTheme="majorHAnsi"/>
        </w:rPr>
        <w:t>diez</w:t>
      </w:r>
      <w:r w:rsidRPr="00E26487">
        <w:rPr>
          <w:rFonts w:asciiTheme="majorHAnsi" w:hAnsiTheme="majorHAnsi"/>
        </w:rPr>
        <w:t xml:space="preserve"> de ellas de ellas fuera de plazo. Nueve (9) CPC (Argelia, Barbados, Brasil, Côte d’Ivoire, Honduras, Filipinas, República de Guinea, Guyana y San Vicente y las Granadinas) no han enviado ninguna actualización respecto a las versiones anteriores del año pasado (2025). Nueve (9) CPC nunca han presentado ninguna hoja de comprobación de datos de istiofóridos (Cuba, Guinea Ecuatorial, Guinea-Bissau, Libia, Mauritania, São Tomé </w:t>
      </w:r>
      <w:proofErr w:type="spellStart"/>
      <w:r w:rsidRPr="00E26487">
        <w:rPr>
          <w:rFonts w:asciiTheme="majorHAnsi" w:hAnsiTheme="majorHAnsi"/>
        </w:rPr>
        <w:t>e</w:t>
      </w:r>
      <w:proofErr w:type="spellEnd"/>
      <w:r w:rsidRPr="00E26487">
        <w:rPr>
          <w:rFonts w:asciiTheme="majorHAnsi" w:hAnsiTheme="majorHAnsi"/>
        </w:rPr>
        <w:t xml:space="preserve"> Príncipe, Sierra Leona, República Árabe Siria y Trinidad y Tobago). Este año se han incorporado dos (2) CPC (Montenegro y Togo). Éstas figuran en el documento "Hojas de comprobación de datos de istiofóridos recibidas de conformidad con la Rec. 18-05" [COC_315/2026]. El contenido de estas hojas de comprobación de datos de istiofóridos se resume en el Anexo 1 del documento COC_315/2026.</w:t>
      </w:r>
    </w:p>
    <w:p w14:paraId="031756FC" w14:textId="77777777" w:rsidR="00CB0C74" w:rsidRPr="00364A87" w:rsidRDefault="00CB0C74" w:rsidP="00820485">
      <w:pPr>
        <w:jc w:val="both"/>
        <w:rPr>
          <w:rFonts w:asciiTheme="majorHAnsi" w:hAnsiTheme="majorHAnsi"/>
          <w:iCs/>
        </w:rPr>
      </w:pPr>
    </w:p>
    <w:p w14:paraId="1B7D4302" w14:textId="77777777" w:rsidR="00536AB6" w:rsidRPr="00364A87" w:rsidRDefault="00536AB6" w:rsidP="00820485">
      <w:pPr>
        <w:jc w:val="both"/>
        <w:rPr>
          <w:rFonts w:asciiTheme="majorHAnsi" w:hAnsiTheme="majorHAnsi"/>
          <w:iCs/>
        </w:rPr>
      </w:pPr>
    </w:p>
    <w:bookmarkEnd w:id="10"/>
    <w:p w14:paraId="2FA08A2A" w14:textId="014A5C95" w:rsidR="004E41C9" w:rsidRPr="00536AB6" w:rsidRDefault="004E41C9" w:rsidP="00C37678">
      <w:pPr>
        <w:tabs>
          <w:tab w:val="left" w:pos="1276"/>
          <w:tab w:val="left" w:pos="1418"/>
          <w:tab w:val="left" w:leader="dot" w:pos="8222"/>
          <w:tab w:val="right" w:pos="8647"/>
        </w:tabs>
        <w:jc w:val="both"/>
        <w:rPr>
          <w:rFonts w:asciiTheme="majorHAnsi" w:hAnsiTheme="majorHAnsi"/>
          <w:b/>
        </w:rPr>
      </w:pPr>
      <w:r>
        <w:rPr>
          <w:rFonts w:asciiTheme="majorHAnsi" w:hAnsiTheme="majorHAnsi"/>
          <w:b/>
        </w:rPr>
        <w:t xml:space="preserve">SHK –TIBURONES Tiburón zorro (género </w:t>
      </w:r>
      <w:proofErr w:type="spellStart"/>
      <w:r>
        <w:rPr>
          <w:rFonts w:asciiTheme="majorHAnsi" w:hAnsiTheme="majorHAnsi"/>
          <w:b/>
        </w:rPr>
        <w:t>Alopias</w:t>
      </w:r>
      <w:proofErr w:type="spellEnd"/>
      <w:r>
        <w:rPr>
          <w:rFonts w:asciiTheme="majorHAnsi" w:hAnsiTheme="majorHAnsi"/>
          <w:b/>
        </w:rPr>
        <w:t xml:space="preserve"> spp), marrajo dientuso (</w:t>
      </w:r>
      <w:proofErr w:type="spellStart"/>
      <w:r>
        <w:rPr>
          <w:rFonts w:asciiTheme="majorHAnsi" w:hAnsiTheme="majorHAnsi"/>
          <w:b/>
          <w:i/>
          <w:iCs/>
        </w:rPr>
        <w:t>Isurus</w:t>
      </w:r>
      <w:proofErr w:type="spellEnd"/>
      <w:r>
        <w:rPr>
          <w:rFonts w:asciiTheme="majorHAnsi" w:hAnsiTheme="majorHAnsi"/>
          <w:b/>
          <w:i/>
          <w:iCs/>
        </w:rPr>
        <w:t xml:space="preserve"> </w:t>
      </w:r>
      <w:proofErr w:type="spellStart"/>
      <w:r>
        <w:rPr>
          <w:rFonts w:asciiTheme="majorHAnsi" w:hAnsiTheme="majorHAnsi"/>
          <w:b/>
          <w:i/>
          <w:iCs/>
        </w:rPr>
        <w:t>oxyrinchus</w:t>
      </w:r>
      <w:proofErr w:type="spellEnd"/>
      <w:r>
        <w:rPr>
          <w:rFonts w:asciiTheme="majorHAnsi" w:hAnsiTheme="majorHAnsi"/>
          <w:b/>
        </w:rPr>
        <w:t>), tiburón oceánico (</w:t>
      </w:r>
      <w:proofErr w:type="spellStart"/>
      <w:r>
        <w:rPr>
          <w:rFonts w:asciiTheme="majorHAnsi" w:hAnsiTheme="majorHAnsi"/>
          <w:b/>
          <w:i/>
          <w:iCs/>
        </w:rPr>
        <w:t>Carcharhinus</w:t>
      </w:r>
      <w:proofErr w:type="spellEnd"/>
      <w:r>
        <w:rPr>
          <w:rFonts w:asciiTheme="majorHAnsi" w:hAnsiTheme="majorHAnsi"/>
          <w:b/>
          <w:i/>
          <w:iCs/>
        </w:rPr>
        <w:t xml:space="preserve"> </w:t>
      </w:r>
      <w:proofErr w:type="spellStart"/>
      <w:r>
        <w:rPr>
          <w:rFonts w:asciiTheme="majorHAnsi" w:hAnsiTheme="majorHAnsi"/>
          <w:b/>
          <w:i/>
          <w:iCs/>
        </w:rPr>
        <w:t>longimanus</w:t>
      </w:r>
      <w:proofErr w:type="spellEnd"/>
      <w:r>
        <w:rPr>
          <w:rFonts w:asciiTheme="majorHAnsi" w:hAnsiTheme="majorHAnsi"/>
          <w:b/>
        </w:rPr>
        <w:t xml:space="preserve">), peces martillo (familia </w:t>
      </w:r>
      <w:proofErr w:type="spellStart"/>
      <w:r>
        <w:rPr>
          <w:rFonts w:asciiTheme="majorHAnsi" w:hAnsiTheme="majorHAnsi"/>
          <w:b/>
        </w:rPr>
        <w:t>Sphyrnidae</w:t>
      </w:r>
      <w:proofErr w:type="spellEnd"/>
      <w:r>
        <w:rPr>
          <w:rFonts w:asciiTheme="majorHAnsi" w:hAnsiTheme="majorHAnsi"/>
          <w:b/>
        </w:rPr>
        <w:t>), tiburón jaquetón (</w:t>
      </w:r>
      <w:proofErr w:type="spellStart"/>
      <w:r>
        <w:rPr>
          <w:rFonts w:asciiTheme="majorHAnsi" w:hAnsiTheme="majorHAnsi"/>
          <w:b/>
          <w:i/>
          <w:iCs/>
        </w:rPr>
        <w:t>Carcharhinus</w:t>
      </w:r>
      <w:proofErr w:type="spellEnd"/>
      <w:r>
        <w:rPr>
          <w:rFonts w:asciiTheme="majorHAnsi" w:hAnsiTheme="majorHAnsi"/>
          <w:b/>
          <w:i/>
          <w:iCs/>
        </w:rPr>
        <w:t xml:space="preserve"> </w:t>
      </w:r>
      <w:proofErr w:type="spellStart"/>
      <w:r>
        <w:rPr>
          <w:rFonts w:asciiTheme="majorHAnsi" w:hAnsiTheme="majorHAnsi"/>
          <w:b/>
          <w:i/>
          <w:iCs/>
        </w:rPr>
        <w:t>falciformis</w:t>
      </w:r>
      <w:proofErr w:type="spellEnd"/>
      <w:r>
        <w:rPr>
          <w:rFonts w:asciiTheme="majorHAnsi" w:hAnsiTheme="majorHAnsi"/>
          <w:b/>
        </w:rPr>
        <w:t>), marrajo sardinero (</w:t>
      </w:r>
      <w:proofErr w:type="spellStart"/>
      <w:r>
        <w:rPr>
          <w:rFonts w:asciiTheme="majorHAnsi" w:hAnsiTheme="majorHAnsi"/>
          <w:b/>
          <w:i/>
          <w:iCs/>
        </w:rPr>
        <w:t>Lamna</w:t>
      </w:r>
      <w:proofErr w:type="spellEnd"/>
      <w:r>
        <w:rPr>
          <w:rFonts w:asciiTheme="majorHAnsi" w:hAnsiTheme="majorHAnsi"/>
          <w:b/>
          <w:i/>
          <w:iCs/>
        </w:rPr>
        <w:t xml:space="preserve"> </w:t>
      </w:r>
      <w:proofErr w:type="spellStart"/>
      <w:r>
        <w:rPr>
          <w:rFonts w:asciiTheme="majorHAnsi" w:hAnsiTheme="majorHAnsi"/>
          <w:b/>
          <w:i/>
          <w:iCs/>
        </w:rPr>
        <w:t>nasus</w:t>
      </w:r>
      <w:proofErr w:type="spellEnd"/>
      <w:r>
        <w:rPr>
          <w:rFonts w:asciiTheme="majorHAnsi" w:hAnsiTheme="majorHAnsi"/>
          <w:b/>
        </w:rPr>
        <w:t>), tiburón azul (</w:t>
      </w:r>
      <w:proofErr w:type="spellStart"/>
      <w:r>
        <w:rPr>
          <w:rFonts w:asciiTheme="majorHAnsi" w:hAnsiTheme="majorHAnsi"/>
          <w:b/>
          <w:i/>
          <w:iCs/>
        </w:rPr>
        <w:t>Prionace</w:t>
      </w:r>
      <w:proofErr w:type="spellEnd"/>
      <w:r>
        <w:rPr>
          <w:rFonts w:asciiTheme="majorHAnsi" w:hAnsiTheme="majorHAnsi"/>
          <w:b/>
          <w:i/>
          <w:iCs/>
        </w:rPr>
        <w:t xml:space="preserve"> glauca</w:t>
      </w:r>
      <w:r>
        <w:rPr>
          <w:rFonts w:asciiTheme="majorHAnsi" w:hAnsiTheme="majorHAnsi"/>
          <w:b/>
        </w:rPr>
        <w:t>).</w:t>
      </w:r>
    </w:p>
    <w:p w14:paraId="3CE140A7" w14:textId="77777777" w:rsidR="004E41C9" w:rsidRPr="00364A87" w:rsidRDefault="004E41C9" w:rsidP="004E41C9">
      <w:pPr>
        <w:tabs>
          <w:tab w:val="left" w:pos="1276"/>
          <w:tab w:val="left" w:pos="1418"/>
          <w:tab w:val="left" w:leader="dot" w:pos="8222"/>
          <w:tab w:val="right" w:pos="8647"/>
        </w:tabs>
        <w:ind w:firstLine="425"/>
        <w:rPr>
          <w:rFonts w:asciiTheme="majorHAnsi" w:hAnsiTheme="majorHAnsi"/>
        </w:rPr>
      </w:pPr>
    </w:p>
    <w:p w14:paraId="287A26E1" w14:textId="16E8A10D" w:rsidR="004E41C9" w:rsidRPr="00536AB6" w:rsidRDefault="004E41C9" w:rsidP="004E41C9">
      <w:pPr>
        <w:tabs>
          <w:tab w:val="left" w:pos="1276"/>
          <w:tab w:val="left" w:leader="dot" w:pos="8222"/>
          <w:tab w:val="right" w:pos="8647"/>
        </w:tabs>
        <w:jc w:val="both"/>
        <w:rPr>
          <w:rFonts w:asciiTheme="majorHAnsi" w:hAnsiTheme="majorHAnsi"/>
        </w:rPr>
      </w:pPr>
      <w:r>
        <w:rPr>
          <w:rFonts w:asciiTheme="majorHAnsi" w:hAnsiTheme="majorHAnsi"/>
          <w:i/>
        </w:rPr>
        <w:t>[Rec. 04-10], la Recomendación de ICCAT sobre la conservación de tiburones capturados en asociación con las pesquerías que son competencia de ICCAT</w:t>
      </w:r>
    </w:p>
    <w:p w14:paraId="713241E7" w14:textId="77777777" w:rsidR="004E41C9" w:rsidRPr="00364A87" w:rsidRDefault="004E41C9" w:rsidP="004E41C9">
      <w:pPr>
        <w:tabs>
          <w:tab w:val="left" w:pos="1276"/>
          <w:tab w:val="left" w:leader="dot" w:pos="8222"/>
          <w:tab w:val="right" w:pos="8647"/>
        </w:tabs>
        <w:ind w:left="1417" w:hanging="1417"/>
        <w:rPr>
          <w:rFonts w:asciiTheme="majorHAnsi" w:hAnsiTheme="majorHAnsi"/>
        </w:rPr>
      </w:pPr>
    </w:p>
    <w:p w14:paraId="301735A7" w14:textId="77777777" w:rsidR="004E41C9" w:rsidRPr="00536AB6" w:rsidRDefault="004E41C9" w:rsidP="004E41C9">
      <w:pPr>
        <w:tabs>
          <w:tab w:val="left" w:pos="1276"/>
          <w:tab w:val="left" w:leader="dot" w:pos="8222"/>
          <w:tab w:val="right" w:pos="8647"/>
        </w:tabs>
        <w:ind w:left="1417" w:hanging="1417"/>
        <w:rPr>
          <w:rFonts w:asciiTheme="majorHAnsi" w:hAnsiTheme="majorHAnsi"/>
        </w:rPr>
      </w:pPr>
      <w:r>
        <w:rPr>
          <w:rFonts w:asciiTheme="majorHAnsi" w:hAnsiTheme="majorHAnsi"/>
        </w:rPr>
        <w:t>Para la información comunicada, véase la Rec. 18-06 más abajo.</w:t>
      </w:r>
    </w:p>
    <w:p w14:paraId="05720F87" w14:textId="77777777" w:rsidR="004E41C9" w:rsidRPr="00364A87" w:rsidRDefault="004E41C9" w:rsidP="004E41C9">
      <w:pPr>
        <w:tabs>
          <w:tab w:val="left" w:pos="1276"/>
          <w:tab w:val="left" w:leader="dot" w:pos="8222"/>
          <w:tab w:val="right" w:pos="8647"/>
        </w:tabs>
        <w:ind w:left="1417" w:hanging="992"/>
        <w:rPr>
          <w:rFonts w:asciiTheme="majorHAnsi" w:hAnsiTheme="majorHAnsi"/>
        </w:rPr>
      </w:pPr>
    </w:p>
    <w:p w14:paraId="03CA68F1" w14:textId="00B378B0" w:rsidR="004E41C9" w:rsidRPr="00536AB6" w:rsidRDefault="004E41C9" w:rsidP="004E41C9">
      <w:pPr>
        <w:tabs>
          <w:tab w:val="left" w:pos="1276"/>
          <w:tab w:val="left" w:leader="dot" w:pos="8222"/>
          <w:tab w:val="right" w:pos="8647"/>
        </w:tabs>
        <w:ind w:left="709" w:hanging="709"/>
        <w:jc w:val="both"/>
        <w:rPr>
          <w:rFonts w:asciiTheme="majorHAnsi" w:hAnsiTheme="majorHAnsi"/>
          <w:i/>
        </w:rPr>
      </w:pPr>
      <w:r>
        <w:rPr>
          <w:rFonts w:asciiTheme="majorHAnsi" w:hAnsiTheme="majorHAnsi"/>
          <w:i/>
        </w:rPr>
        <w:t>[Rec. 07-06] Recomendación suplementaria de ICCAT sobre tiburones</w:t>
      </w:r>
    </w:p>
    <w:p w14:paraId="07289030" w14:textId="77777777" w:rsidR="004E41C9" w:rsidRPr="00364A87" w:rsidRDefault="004E41C9" w:rsidP="004E41C9">
      <w:pPr>
        <w:tabs>
          <w:tab w:val="left" w:pos="1276"/>
          <w:tab w:val="left" w:leader="dot" w:pos="8222"/>
          <w:tab w:val="right" w:pos="8647"/>
        </w:tabs>
        <w:ind w:left="1417" w:hanging="992"/>
        <w:rPr>
          <w:rFonts w:asciiTheme="majorHAnsi" w:hAnsiTheme="majorHAnsi"/>
          <w:i/>
        </w:rPr>
      </w:pPr>
    </w:p>
    <w:p w14:paraId="3A30427A" w14:textId="77777777" w:rsidR="004E41C9" w:rsidRPr="00536AB6" w:rsidRDefault="004E41C9" w:rsidP="004E41C9">
      <w:pPr>
        <w:tabs>
          <w:tab w:val="left" w:pos="1276"/>
          <w:tab w:val="left" w:leader="dot" w:pos="8222"/>
          <w:tab w:val="right" w:pos="8647"/>
        </w:tabs>
        <w:ind w:left="1417" w:hanging="1417"/>
        <w:rPr>
          <w:rFonts w:asciiTheme="majorHAnsi" w:hAnsiTheme="majorHAnsi"/>
        </w:rPr>
      </w:pPr>
      <w:r>
        <w:rPr>
          <w:rFonts w:asciiTheme="majorHAnsi" w:hAnsiTheme="majorHAnsi"/>
        </w:rPr>
        <w:t>Para la información comunicada, véase la Rec. 18-06 más abajo.</w:t>
      </w:r>
    </w:p>
    <w:p w14:paraId="00C42F0F" w14:textId="77777777" w:rsidR="004E41C9" w:rsidRPr="00364A87" w:rsidRDefault="004E41C9" w:rsidP="004E41C9">
      <w:pPr>
        <w:tabs>
          <w:tab w:val="left" w:pos="1276"/>
          <w:tab w:val="left" w:pos="1418"/>
          <w:tab w:val="left" w:leader="dot" w:pos="8222"/>
          <w:tab w:val="right" w:pos="8647"/>
        </w:tabs>
        <w:ind w:firstLine="425"/>
        <w:jc w:val="both"/>
        <w:rPr>
          <w:rFonts w:asciiTheme="majorHAnsi" w:hAnsiTheme="majorHAnsi"/>
          <w:bCs/>
          <w:i/>
        </w:rPr>
      </w:pPr>
    </w:p>
    <w:p w14:paraId="014DFDB0" w14:textId="0029BAED" w:rsidR="004E41C9" w:rsidRPr="00536AB6" w:rsidRDefault="004E41C9" w:rsidP="004E41C9">
      <w:pPr>
        <w:tabs>
          <w:tab w:val="left" w:pos="1276"/>
          <w:tab w:val="left" w:leader="dot" w:pos="8222"/>
          <w:tab w:val="right" w:pos="8647"/>
        </w:tabs>
        <w:jc w:val="both"/>
        <w:rPr>
          <w:rFonts w:asciiTheme="majorHAnsi" w:hAnsiTheme="majorHAnsi"/>
          <w:bCs/>
          <w:i/>
        </w:rPr>
      </w:pPr>
      <w:r>
        <w:rPr>
          <w:rFonts w:asciiTheme="majorHAnsi" w:hAnsiTheme="majorHAnsi"/>
          <w:i/>
        </w:rPr>
        <w:t xml:space="preserve">[Rec. 09-07] </w:t>
      </w:r>
      <w:r>
        <w:rPr>
          <w:rFonts w:asciiTheme="majorHAnsi" w:hAnsiTheme="majorHAnsi"/>
          <w:i/>
        </w:rPr>
        <w:tab/>
      </w:r>
      <w:r>
        <w:rPr>
          <w:rFonts w:asciiTheme="majorHAnsi" w:hAnsiTheme="majorHAnsi"/>
          <w:i/>
          <w:iCs/>
        </w:rPr>
        <w:t>Recomendación de ICCAT sobre la conservación de los tiburones zorro capturados en asociación con las pesquerías en la zona del Convenio ICCAT</w:t>
      </w:r>
    </w:p>
    <w:p w14:paraId="2809F500" w14:textId="77777777" w:rsidR="004E41C9" w:rsidRPr="00364A87" w:rsidRDefault="004E41C9" w:rsidP="004E41C9">
      <w:pPr>
        <w:tabs>
          <w:tab w:val="left" w:pos="1276"/>
          <w:tab w:val="left" w:pos="1418"/>
          <w:tab w:val="left" w:leader="dot" w:pos="8222"/>
          <w:tab w:val="right" w:pos="8647"/>
        </w:tabs>
        <w:ind w:firstLine="425"/>
        <w:rPr>
          <w:rFonts w:asciiTheme="majorHAnsi" w:hAnsiTheme="majorHAnsi"/>
          <w:bCs/>
          <w:i/>
          <w:iCs/>
        </w:rPr>
      </w:pPr>
    </w:p>
    <w:p w14:paraId="2108B87C" w14:textId="77777777" w:rsidR="004E41C9" w:rsidRPr="00536AB6" w:rsidRDefault="004E41C9" w:rsidP="004E41C9">
      <w:pPr>
        <w:tabs>
          <w:tab w:val="left" w:pos="1276"/>
          <w:tab w:val="left" w:pos="1418"/>
          <w:tab w:val="left" w:leader="dot" w:pos="8222"/>
          <w:tab w:val="right" w:pos="8647"/>
        </w:tabs>
        <w:jc w:val="both"/>
        <w:rPr>
          <w:rFonts w:asciiTheme="majorHAnsi" w:hAnsiTheme="majorHAnsi"/>
        </w:rPr>
      </w:pPr>
      <w:r>
        <w:rPr>
          <w:rFonts w:asciiTheme="majorHAnsi" w:hAnsiTheme="majorHAnsi"/>
        </w:rPr>
        <w:t xml:space="preserve">Para la información comunicada, véase la Rec. 18-06 más abajo. </w:t>
      </w:r>
    </w:p>
    <w:p w14:paraId="669A3011" w14:textId="77777777" w:rsidR="004E41C9" w:rsidRPr="00364A87" w:rsidRDefault="004E41C9" w:rsidP="004E41C9">
      <w:pPr>
        <w:tabs>
          <w:tab w:val="left" w:pos="1276"/>
          <w:tab w:val="left" w:pos="1418"/>
          <w:tab w:val="left" w:leader="dot" w:pos="8222"/>
          <w:tab w:val="right" w:pos="8647"/>
        </w:tabs>
        <w:ind w:firstLine="425"/>
        <w:rPr>
          <w:rFonts w:asciiTheme="majorHAnsi" w:hAnsiTheme="majorHAnsi"/>
          <w:bCs/>
          <w:i/>
          <w:iCs/>
        </w:rPr>
      </w:pPr>
    </w:p>
    <w:p w14:paraId="18426BEB" w14:textId="5BF4D869" w:rsidR="004E41C9" w:rsidRPr="00536AB6" w:rsidRDefault="004E41C9" w:rsidP="004E41C9">
      <w:pPr>
        <w:tabs>
          <w:tab w:val="left" w:pos="1276"/>
          <w:tab w:val="left" w:leader="dot" w:pos="8222"/>
          <w:tab w:val="right" w:pos="8647"/>
        </w:tabs>
        <w:jc w:val="both"/>
        <w:rPr>
          <w:rFonts w:asciiTheme="majorHAnsi" w:hAnsiTheme="majorHAnsi"/>
          <w:bCs/>
          <w:i/>
          <w:iCs/>
        </w:rPr>
      </w:pPr>
      <w:r>
        <w:rPr>
          <w:rFonts w:asciiTheme="majorHAnsi" w:hAnsiTheme="majorHAnsi"/>
          <w:i/>
        </w:rPr>
        <w:t>[Rec. 10-07]</w:t>
      </w:r>
      <w:r>
        <w:rPr>
          <w:rFonts w:asciiTheme="majorHAnsi" w:hAnsiTheme="majorHAnsi"/>
          <w:i/>
        </w:rPr>
        <w:tab/>
        <w:t>Recomendación de ICCAT sobre la conservación de los tiburones oceánicos capturados en asociación con las pesquerías en la zona del Convenio de ICCAT</w:t>
      </w:r>
    </w:p>
    <w:p w14:paraId="4732D3BD" w14:textId="77777777" w:rsidR="004E41C9" w:rsidRPr="00364A87" w:rsidRDefault="004E41C9" w:rsidP="004E41C9">
      <w:pPr>
        <w:tabs>
          <w:tab w:val="left" w:pos="1276"/>
          <w:tab w:val="left" w:pos="1418"/>
          <w:tab w:val="left" w:leader="dot" w:pos="8222"/>
          <w:tab w:val="right" w:pos="8647"/>
        </w:tabs>
        <w:ind w:firstLine="425"/>
        <w:rPr>
          <w:rFonts w:asciiTheme="majorHAnsi" w:hAnsiTheme="majorHAnsi"/>
          <w:bCs/>
          <w:i/>
          <w:iCs/>
        </w:rPr>
      </w:pPr>
    </w:p>
    <w:p w14:paraId="03F1CA70" w14:textId="12F83CEC" w:rsidR="004E41C9" w:rsidRPr="00536AB6" w:rsidRDefault="004E41C9" w:rsidP="004E41C9">
      <w:pPr>
        <w:tabs>
          <w:tab w:val="left" w:pos="1276"/>
          <w:tab w:val="left" w:pos="1418"/>
          <w:tab w:val="left" w:leader="dot" w:pos="8222"/>
          <w:tab w:val="right" w:pos="8647"/>
        </w:tabs>
        <w:jc w:val="both"/>
        <w:rPr>
          <w:rFonts w:asciiTheme="majorHAnsi" w:hAnsiTheme="majorHAnsi"/>
        </w:rPr>
      </w:pPr>
      <w:r>
        <w:rPr>
          <w:rFonts w:asciiTheme="majorHAnsi" w:hAnsiTheme="majorHAnsi"/>
        </w:rPr>
        <w:t xml:space="preserve">Para la información comunicada, véase la Rec. 18-06 más abajo. </w:t>
      </w:r>
    </w:p>
    <w:p w14:paraId="6DEFD6D1" w14:textId="77777777" w:rsidR="004E41C9" w:rsidRPr="00364A87" w:rsidRDefault="004E41C9" w:rsidP="004E41C9">
      <w:pPr>
        <w:tabs>
          <w:tab w:val="left" w:pos="1276"/>
          <w:tab w:val="left" w:pos="1418"/>
          <w:tab w:val="left" w:leader="dot" w:pos="8222"/>
          <w:tab w:val="right" w:pos="8647"/>
        </w:tabs>
        <w:ind w:firstLine="425"/>
        <w:rPr>
          <w:rFonts w:asciiTheme="majorHAnsi" w:hAnsiTheme="majorHAnsi"/>
          <w:bCs/>
          <w:i/>
          <w:iCs/>
        </w:rPr>
      </w:pPr>
    </w:p>
    <w:p w14:paraId="25110F9B" w14:textId="5B1F0FF7" w:rsidR="004E41C9" w:rsidRPr="00536AB6" w:rsidRDefault="004E41C9" w:rsidP="004E41C9">
      <w:pPr>
        <w:tabs>
          <w:tab w:val="left" w:pos="1276"/>
          <w:tab w:val="left" w:leader="dot" w:pos="8222"/>
          <w:tab w:val="right" w:pos="8647"/>
        </w:tabs>
        <w:jc w:val="both"/>
        <w:rPr>
          <w:rFonts w:asciiTheme="majorHAnsi" w:hAnsiTheme="majorHAnsi"/>
          <w:bCs/>
          <w:i/>
          <w:iCs/>
        </w:rPr>
      </w:pPr>
      <w:r>
        <w:rPr>
          <w:rFonts w:asciiTheme="majorHAnsi" w:hAnsiTheme="majorHAnsi"/>
          <w:i/>
        </w:rPr>
        <w:t xml:space="preserve">[Rec. 10-08] Recomendación de ICCAT sobre peces martillo (familia </w:t>
      </w:r>
      <w:proofErr w:type="spellStart"/>
      <w:r>
        <w:rPr>
          <w:rFonts w:asciiTheme="majorHAnsi" w:hAnsiTheme="majorHAnsi"/>
          <w:i/>
        </w:rPr>
        <w:t>Sphyrnidae</w:t>
      </w:r>
      <w:proofErr w:type="spellEnd"/>
      <w:r>
        <w:rPr>
          <w:rFonts w:asciiTheme="majorHAnsi" w:hAnsiTheme="majorHAnsi"/>
          <w:i/>
        </w:rPr>
        <w:t>) capturados en asociación con las pesquerías gestionadas por ICCAT</w:t>
      </w:r>
    </w:p>
    <w:p w14:paraId="1A907491" w14:textId="77777777" w:rsidR="004E41C9" w:rsidRPr="00364A87" w:rsidRDefault="004E41C9" w:rsidP="004E41C9">
      <w:pPr>
        <w:tabs>
          <w:tab w:val="left" w:pos="1276"/>
          <w:tab w:val="left" w:pos="1418"/>
          <w:tab w:val="left" w:leader="dot" w:pos="8222"/>
          <w:tab w:val="right" w:pos="8647"/>
        </w:tabs>
        <w:ind w:firstLine="425"/>
        <w:rPr>
          <w:rFonts w:asciiTheme="majorHAnsi" w:hAnsiTheme="majorHAnsi"/>
          <w:bCs/>
          <w:i/>
          <w:iCs/>
        </w:rPr>
      </w:pPr>
    </w:p>
    <w:p w14:paraId="32D4AE8D" w14:textId="5845E8E6" w:rsidR="004E41C9" w:rsidRPr="00536AB6" w:rsidRDefault="004E41C9" w:rsidP="004E41C9">
      <w:pPr>
        <w:tabs>
          <w:tab w:val="left" w:pos="1276"/>
          <w:tab w:val="left" w:pos="1418"/>
          <w:tab w:val="left" w:leader="dot" w:pos="8222"/>
          <w:tab w:val="right" w:pos="8647"/>
        </w:tabs>
        <w:jc w:val="both"/>
        <w:rPr>
          <w:rFonts w:asciiTheme="majorHAnsi" w:hAnsiTheme="majorHAnsi"/>
        </w:rPr>
      </w:pPr>
      <w:r>
        <w:rPr>
          <w:rFonts w:asciiTheme="majorHAnsi" w:hAnsiTheme="majorHAnsi"/>
        </w:rPr>
        <w:t xml:space="preserve">Para la información comunicada, véase la Rec. 18-06 más abajo. </w:t>
      </w:r>
    </w:p>
    <w:p w14:paraId="243922D4" w14:textId="77777777" w:rsidR="004E41C9" w:rsidRPr="00364A87" w:rsidRDefault="004E41C9" w:rsidP="004E41C9">
      <w:pPr>
        <w:tabs>
          <w:tab w:val="left" w:pos="1276"/>
          <w:tab w:val="left" w:pos="1418"/>
          <w:tab w:val="left" w:leader="dot" w:pos="8222"/>
          <w:tab w:val="right" w:pos="8647"/>
        </w:tabs>
        <w:ind w:firstLine="425"/>
        <w:rPr>
          <w:rFonts w:asciiTheme="majorHAnsi" w:hAnsiTheme="majorHAnsi"/>
          <w:bCs/>
          <w:iCs/>
        </w:rPr>
      </w:pPr>
    </w:p>
    <w:p w14:paraId="496C1617" w14:textId="54C4F281" w:rsidR="004E41C9" w:rsidRPr="00536AB6" w:rsidRDefault="004E41C9" w:rsidP="00207538">
      <w:pPr>
        <w:tabs>
          <w:tab w:val="left" w:pos="1276"/>
          <w:tab w:val="left" w:pos="1418"/>
          <w:tab w:val="left" w:leader="dot" w:pos="8222"/>
          <w:tab w:val="right" w:pos="8647"/>
        </w:tabs>
        <w:jc w:val="both"/>
        <w:rPr>
          <w:rFonts w:asciiTheme="majorHAnsi" w:hAnsiTheme="majorHAnsi"/>
          <w:i/>
          <w:iCs/>
        </w:rPr>
      </w:pPr>
      <w:r>
        <w:rPr>
          <w:rFonts w:asciiTheme="majorHAnsi" w:hAnsiTheme="majorHAnsi"/>
          <w:i/>
        </w:rPr>
        <w:t>[Rec. 11-08] Recomendación de ICCAT sobre la conservación del tiburón jaquetón capturado en asociación con las pesquerías de ICCAT</w:t>
      </w:r>
    </w:p>
    <w:p w14:paraId="52984BFE" w14:textId="77777777" w:rsidR="004E41C9" w:rsidRPr="00364A87" w:rsidRDefault="004E41C9" w:rsidP="004E41C9">
      <w:pPr>
        <w:tabs>
          <w:tab w:val="left" w:pos="1276"/>
          <w:tab w:val="left" w:leader="dot" w:pos="8222"/>
          <w:tab w:val="right" w:pos="8647"/>
        </w:tabs>
        <w:ind w:left="709" w:hanging="709"/>
        <w:jc w:val="both"/>
        <w:rPr>
          <w:rFonts w:asciiTheme="majorHAnsi" w:hAnsiTheme="majorHAnsi"/>
          <w:iCs/>
        </w:rPr>
      </w:pPr>
    </w:p>
    <w:p w14:paraId="008AC359" w14:textId="7624FD11" w:rsidR="004E41C9" w:rsidRPr="00536AB6" w:rsidRDefault="004E41C9" w:rsidP="00207538">
      <w:pPr>
        <w:tabs>
          <w:tab w:val="left" w:pos="1276"/>
          <w:tab w:val="left" w:pos="1418"/>
          <w:tab w:val="left" w:leader="dot" w:pos="8222"/>
          <w:tab w:val="right" w:pos="8647"/>
        </w:tabs>
        <w:rPr>
          <w:rFonts w:asciiTheme="majorHAnsi" w:hAnsiTheme="majorHAnsi"/>
        </w:rPr>
      </w:pPr>
      <w:r>
        <w:rPr>
          <w:rFonts w:asciiTheme="majorHAnsi" w:hAnsiTheme="majorHAnsi"/>
        </w:rPr>
        <w:t>Para la información comunicada, véase la Rec. 18-06 más abajo.</w:t>
      </w:r>
    </w:p>
    <w:p w14:paraId="1CB26BEA" w14:textId="77777777" w:rsidR="004E41C9" w:rsidRPr="00364A87" w:rsidRDefault="004E41C9" w:rsidP="00D5335E">
      <w:pPr>
        <w:tabs>
          <w:tab w:val="left" w:pos="1276"/>
          <w:tab w:val="left" w:pos="1418"/>
          <w:tab w:val="left" w:leader="dot" w:pos="8222"/>
          <w:tab w:val="right" w:pos="8647"/>
        </w:tabs>
        <w:rPr>
          <w:rFonts w:asciiTheme="majorHAnsi" w:hAnsiTheme="majorHAnsi"/>
          <w:bCs/>
          <w:lang w:eastAsia="en-GB"/>
        </w:rPr>
      </w:pPr>
    </w:p>
    <w:p w14:paraId="03E2AE47" w14:textId="5A6E3E54" w:rsidR="004E41C9" w:rsidRPr="00536AB6" w:rsidRDefault="004E41C9" w:rsidP="00105AFF">
      <w:pPr>
        <w:tabs>
          <w:tab w:val="left" w:pos="1418"/>
          <w:tab w:val="left" w:leader="dot" w:pos="8222"/>
          <w:tab w:val="right" w:pos="8647"/>
        </w:tabs>
        <w:jc w:val="both"/>
        <w:rPr>
          <w:rFonts w:asciiTheme="majorHAnsi" w:hAnsiTheme="majorHAnsi"/>
          <w:bCs/>
          <w:i/>
        </w:rPr>
      </w:pPr>
      <w:r>
        <w:rPr>
          <w:rFonts w:asciiTheme="majorHAnsi" w:hAnsiTheme="majorHAnsi"/>
          <w:i/>
        </w:rPr>
        <w:t>[Rec.  15-06]</w:t>
      </w:r>
      <w:r w:rsidR="00105AFF">
        <w:rPr>
          <w:rFonts w:asciiTheme="majorHAnsi" w:hAnsiTheme="majorHAnsi"/>
          <w:i/>
        </w:rPr>
        <w:t xml:space="preserve"> </w:t>
      </w:r>
      <w:r>
        <w:rPr>
          <w:rFonts w:asciiTheme="majorHAnsi" w:hAnsiTheme="majorHAnsi"/>
          <w:i/>
        </w:rPr>
        <w:t>Recomendación de ICCAT sobre marrajo dientuso del Atlántico capturado en asociación con pesquerías de ICCAT</w:t>
      </w:r>
    </w:p>
    <w:p w14:paraId="2A448B19" w14:textId="77777777" w:rsidR="004E41C9" w:rsidRPr="00364A87" w:rsidRDefault="004E41C9" w:rsidP="004E41C9">
      <w:pPr>
        <w:tabs>
          <w:tab w:val="left" w:pos="1276"/>
          <w:tab w:val="left" w:leader="dot" w:pos="8222"/>
          <w:tab w:val="right" w:pos="8647"/>
        </w:tabs>
        <w:ind w:left="1417" w:hanging="992"/>
        <w:rPr>
          <w:rFonts w:asciiTheme="majorHAnsi" w:hAnsiTheme="majorHAnsi"/>
        </w:rPr>
      </w:pPr>
    </w:p>
    <w:p w14:paraId="2299057E" w14:textId="040D7263" w:rsidR="004E41C9" w:rsidRPr="00536AB6" w:rsidRDefault="004E41C9" w:rsidP="004E41C9">
      <w:pPr>
        <w:tabs>
          <w:tab w:val="left" w:pos="1276"/>
          <w:tab w:val="left" w:leader="dot" w:pos="8222"/>
          <w:tab w:val="right" w:pos="8647"/>
        </w:tabs>
        <w:jc w:val="both"/>
        <w:rPr>
          <w:rFonts w:asciiTheme="majorHAnsi" w:hAnsiTheme="majorHAnsi"/>
        </w:rPr>
      </w:pPr>
      <w:r>
        <w:rPr>
          <w:rFonts w:asciiTheme="majorHAnsi" w:hAnsiTheme="majorHAnsi"/>
        </w:rPr>
        <w:t xml:space="preserve">Para la información comunicada, véase la Rec. 18-06 más abajo. </w:t>
      </w:r>
    </w:p>
    <w:p w14:paraId="63746A38" w14:textId="77777777" w:rsidR="004E41C9" w:rsidRPr="00364A87" w:rsidRDefault="004E41C9" w:rsidP="004E41C9">
      <w:pPr>
        <w:tabs>
          <w:tab w:val="left" w:pos="1276"/>
          <w:tab w:val="left" w:pos="1418"/>
          <w:tab w:val="left" w:leader="dot" w:pos="8222"/>
          <w:tab w:val="right" w:pos="8647"/>
        </w:tabs>
        <w:ind w:left="1276" w:hanging="992"/>
        <w:rPr>
          <w:rFonts w:asciiTheme="majorHAnsi" w:hAnsiTheme="majorHAnsi"/>
          <w:bCs/>
          <w:lang w:eastAsia="en-GB"/>
        </w:rPr>
      </w:pPr>
    </w:p>
    <w:p w14:paraId="45987639" w14:textId="25F59F41" w:rsidR="0044546A" w:rsidRPr="00536AB6" w:rsidRDefault="0044546A" w:rsidP="0044546A">
      <w:pPr>
        <w:tabs>
          <w:tab w:val="left" w:pos="1276"/>
          <w:tab w:val="left" w:pos="1418"/>
          <w:tab w:val="left" w:leader="dot" w:pos="8222"/>
          <w:tab w:val="right" w:pos="8647"/>
        </w:tabs>
        <w:jc w:val="both"/>
        <w:rPr>
          <w:rFonts w:asciiTheme="majorHAnsi" w:hAnsiTheme="majorHAnsi"/>
          <w:iCs/>
        </w:rPr>
      </w:pPr>
      <w:r>
        <w:rPr>
          <w:rFonts w:asciiTheme="majorHAnsi" w:hAnsiTheme="majorHAnsi"/>
          <w:i/>
        </w:rPr>
        <w:t xml:space="preserve">[Rec.  23-10] Recomendación de ICCAT que reemplaza la Recomendación 19-07 sobre medidas de ordenación </w:t>
      </w:r>
      <w:r>
        <w:rPr>
          <w:rFonts w:asciiTheme="majorHAnsi" w:hAnsiTheme="majorHAnsi"/>
          <w:i/>
        </w:rPr>
        <w:lastRenderedPageBreak/>
        <w:t>para la conservación del tiburón azul del Atlántico norte capturado en asociación con las pesquerías de ICCAT</w:t>
      </w:r>
    </w:p>
    <w:p w14:paraId="549822FE" w14:textId="77777777" w:rsidR="009167F1" w:rsidRPr="00364A87" w:rsidRDefault="009167F1" w:rsidP="004E41C9">
      <w:pPr>
        <w:widowControl/>
        <w:autoSpaceDE/>
        <w:autoSpaceDN/>
        <w:adjustRightInd/>
        <w:jc w:val="both"/>
        <w:rPr>
          <w:rFonts w:asciiTheme="majorHAnsi" w:hAnsiTheme="majorHAnsi"/>
          <w:bCs/>
          <w:i/>
          <w:lang w:eastAsia="en-GB"/>
        </w:rPr>
      </w:pPr>
    </w:p>
    <w:p w14:paraId="712BEF1F" w14:textId="3B10042C" w:rsidR="005949C4" w:rsidRPr="00536AB6" w:rsidRDefault="005949C4" w:rsidP="005949C4">
      <w:pPr>
        <w:jc w:val="both"/>
        <w:rPr>
          <w:rFonts w:asciiTheme="majorHAnsi" w:hAnsiTheme="majorHAnsi"/>
        </w:rPr>
      </w:pPr>
      <w:r>
        <w:rPr>
          <w:rFonts w:asciiTheme="majorHAnsi" w:hAnsiTheme="majorHAnsi"/>
        </w:rPr>
        <w:t>La Comisión estableció en la 28ª Reunión ordinaria de ICCAT un total admisible de capturas (TAC) anual para el tiburón azul del Atlántico norte de 30.000 t a partir de 2024.</w:t>
      </w:r>
    </w:p>
    <w:p w14:paraId="165865A4" w14:textId="77777777" w:rsidR="00512B00" w:rsidRDefault="00512B00" w:rsidP="005949C4">
      <w:pPr>
        <w:jc w:val="both"/>
        <w:rPr>
          <w:rFonts w:asciiTheme="majorHAnsi" w:hAnsiTheme="majorHAnsi"/>
        </w:rPr>
      </w:pPr>
    </w:p>
    <w:p w14:paraId="0B96993C" w14:textId="553611DE" w:rsidR="00073F57" w:rsidRPr="00536AB6" w:rsidRDefault="005949C4" w:rsidP="005949C4">
      <w:pPr>
        <w:jc w:val="both"/>
        <w:rPr>
          <w:rFonts w:asciiTheme="majorHAnsi" w:hAnsiTheme="majorHAnsi"/>
        </w:rPr>
      </w:pPr>
      <w:r>
        <w:rPr>
          <w:rFonts w:asciiTheme="majorHAnsi" w:hAnsiTheme="majorHAnsi"/>
        </w:rPr>
        <w:t>Si en un año cualquiera las capturas totales de tiburón azul del Atlántico norte superan el TAC, la Comisión revisará la implementación de estas medidas.</w:t>
      </w:r>
    </w:p>
    <w:p w14:paraId="173E5674" w14:textId="77777777" w:rsidR="00073F57" w:rsidRPr="00364A87" w:rsidRDefault="00073F57" w:rsidP="005949C4">
      <w:pPr>
        <w:jc w:val="both"/>
        <w:rPr>
          <w:rFonts w:asciiTheme="majorHAnsi" w:hAnsiTheme="majorHAnsi"/>
        </w:rPr>
      </w:pPr>
    </w:p>
    <w:p w14:paraId="1E6889A9" w14:textId="53F0B3CE" w:rsidR="005949C4" w:rsidRPr="00536AB6" w:rsidRDefault="005949C4" w:rsidP="005949C4">
      <w:pPr>
        <w:jc w:val="both"/>
        <w:rPr>
          <w:rFonts w:asciiTheme="majorHAnsi" w:hAnsiTheme="majorHAnsi"/>
        </w:rPr>
      </w:pPr>
      <w:r>
        <w:rPr>
          <w:rFonts w:asciiTheme="majorHAnsi" w:hAnsiTheme="majorHAnsi"/>
        </w:rPr>
        <w:t xml:space="preserve">A continuación se muestran las capturas totales, de las que se desprende que el stock </w:t>
      </w:r>
      <w:r w:rsidR="00512B00">
        <w:rPr>
          <w:rFonts w:asciiTheme="majorHAnsi" w:hAnsiTheme="majorHAnsi"/>
        </w:rPr>
        <w:t xml:space="preserve">no </w:t>
      </w:r>
      <w:r>
        <w:rPr>
          <w:rFonts w:asciiTheme="majorHAnsi" w:hAnsiTheme="majorHAnsi"/>
        </w:rPr>
        <w:t xml:space="preserve">ha sido </w:t>
      </w:r>
      <w:r w:rsidR="00AD5EBE">
        <w:rPr>
          <w:rFonts w:asciiTheme="majorHAnsi" w:hAnsiTheme="majorHAnsi"/>
        </w:rPr>
        <w:t>objeto de exceso de captura</w:t>
      </w:r>
      <w:r>
        <w:rPr>
          <w:rFonts w:asciiTheme="majorHAnsi" w:hAnsiTheme="majorHAnsi"/>
        </w:rPr>
        <w:t xml:space="preserve"> en 2025: </w:t>
      </w:r>
    </w:p>
    <w:p w14:paraId="2B75E187" w14:textId="77777777" w:rsidR="005949C4" w:rsidRPr="00364A87" w:rsidRDefault="005949C4" w:rsidP="006D1DE6">
      <w:pPr>
        <w:rPr>
          <w:rFonts w:asciiTheme="majorHAnsi" w:hAnsiTheme="majorHAnsi"/>
        </w:rPr>
      </w:pPr>
    </w:p>
    <w:p w14:paraId="6459B64E" w14:textId="77777777" w:rsidR="005949C4" w:rsidRPr="00536AB6" w:rsidRDefault="005949C4" w:rsidP="005949C4">
      <w:pPr>
        <w:rPr>
          <w:rFonts w:asciiTheme="majorHAnsi" w:hAnsiTheme="majorHAnsi"/>
        </w:rPr>
      </w:pPr>
      <w:r>
        <w:rPr>
          <w:rFonts w:asciiTheme="majorHAnsi" w:hAnsiTheme="majorHAnsi"/>
        </w:rPr>
        <w:t>Datos de Tarea 1 (solo datos comunicados):</w:t>
      </w:r>
    </w:p>
    <w:p w14:paraId="60B3CC5D" w14:textId="77777777" w:rsidR="005949C4" w:rsidRPr="00364A87" w:rsidRDefault="005949C4" w:rsidP="006D1DE6">
      <w:pPr>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162"/>
        <w:gridCol w:w="1153"/>
        <w:gridCol w:w="1151"/>
        <w:gridCol w:w="1151"/>
        <w:gridCol w:w="1151"/>
        <w:gridCol w:w="1149"/>
        <w:gridCol w:w="1148"/>
      </w:tblGrid>
      <w:tr w:rsidR="00607A6D" w:rsidRPr="003E4BA7" w14:paraId="098A8F3F" w14:textId="3E37DB26" w:rsidTr="005B120F">
        <w:tc>
          <w:tcPr>
            <w:tcW w:w="1192" w:type="pct"/>
            <w:shd w:val="clear" w:color="auto" w:fill="FFFFFF"/>
            <w:vAlign w:val="center"/>
            <w:hideMark/>
          </w:tcPr>
          <w:p w14:paraId="6CB3F98D" w14:textId="77777777" w:rsidR="00607A6D" w:rsidRPr="00536AB6" w:rsidRDefault="00607A6D" w:rsidP="00761E12">
            <w:pPr>
              <w:widowControl/>
              <w:autoSpaceDE/>
              <w:autoSpaceDN/>
              <w:adjustRightInd/>
              <w:jc w:val="center"/>
              <w:rPr>
                <w:rFonts w:asciiTheme="majorHAnsi" w:hAnsiTheme="majorHAnsi"/>
                <w:i/>
                <w:iCs/>
              </w:rPr>
            </w:pPr>
            <w:r>
              <w:rPr>
                <w:rFonts w:asciiTheme="majorHAnsi" w:hAnsiTheme="majorHAnsi"/>
                <w:i/>
              </w:rPr>
              <w:t>Tiburón azul</w:t>
            </w:r>
          </w:p>
        </w:tc>
        <w:tc>
          <w:tcPr>
            <w:tcW w:w="636" w:type="pct"/>
            <w:shd w:val="clear" w:color="auto" w:fill="FFFFFF"/>
            <w:vAlign w:val="center"/>
            <w:hideMark/>
          </w:tcPr>
          <w:p w14:paraId="4F799A65" w14:textId="77777777" w:rsidR="00607A6D" w:rsidRPr="003E4BA7" w:rsidRDefault="00607A6D" w:rsidP="00761E12">
            <w:pPr>
              <w:widowControl/>
              <w:autoSpaceDE/>
              <w:autoSpaceDN/>
              <w:adjustRightInd/>
              <w:jc w:val="center"/>
              <w:rPr>
                <w:rFonts w:asciiTheme="majorHAnsi" w:hAnsiTheme="majorHAnsi"/>
                <w:i/>
                <w:iCs/>
              </w:rPr>
            </w:pPr>
            <w:r w:rsidRPr="003E4BA7">
              <w:rPr>
                <w:rFonts w:asciiTheme="majorHAnsi" w:hAnsiTheme="majorHAnsi"/>
                <w:i/>
              </w:rPr>
              <w:t>2020</w:t>
            </w:r>
          </w:p>
        </w:tc>
        <w:tc>
          <w:tcPr>
            <w:tcW w:w="635" w:type="pct"/>
            <w:shd w:val="clear" w:color="auto" w:fill="FFFFFF"/>
          </w:tcPr>
          <w:p w14:paraId="0724FE6B" w14:textId="77777777" w:rsidR="00607A6D" w:rsidRPr="003E4BA7" w:rsidRDefault="00607A6D" w:rsidP="00761E12">
            <w:pPr>
              <w:widowControl/>
              <w:autoSpaceDE/>
              <w:autoSpaceDN/>
              <w:adjustRightInd/>
              <w:jc w:val="center"/>
              <w:rPr>
                <w:rFonts w:asciiTheme="majorHAnsi" w:hAnsiTheme="majorHAnsi"/>
                <w:i/>
                <w:iCs/>
              </w:rPr>
            </w:pPr>
            <w:r w:rsidRPr="003E4BA7">
              <w:rPr>
                <w:rFonts w:asciiTheme="majorHAnsi" w:hAnsiTheme="majorHAnsi"/>
                <w:i/>
              </w:rPr>
              <w:t>2021</w:t>
            </w:r>
          </w:p>
        </w:tc>
        <w:tc>
          <w:tcPr>
            <w:tcW w:w="635" w:type="pct"/>
            <w:shd w:val="clear" w:color="auto" w:fill="FFFFFF"/>
          </w:tcPr>
          <w:p w14:paraId="31410DAA" w14:textId="77777777" w:rsidR="00607A6D" w:rsidRPr="003E4BA7" w:rsidRDefault="00607A6D" w:rsidP="00761E12">
            <w:pPr>
              <w:widowControl/>
              <w:autoSpaceDE/>
              <w:autoSpaceDN/>
              <w:adjustRightInd/>
              <w:jc w:val="center"/>
              <w:rPr>
                <w:rFonts w:asciiTheme="majorHAnsi" w:hAnsiTheme="majorHAnsi"/>
                <w:i/>
                <w:iCs/>
              </w:rPr>
            </w:pPr>
            <w:r w:rsidRPr="003E4BA7">
              <w:rPr>
                <w:rFonts w:asciiTheme="majorHAnsi" w:hAnsiTheme="majorHAnsi"/>
                <w:i/>
              </w:rPr>
              <w:t>2022</w:t>
            </w:r>
          </w:p>
        </w:tc>
        <w:tc>
          <w:tcPr>
            <w:tcW w:w="635" w:type="pct"/>
            <w:shd w:val="clear" w:color="auto" w:fill="FFFFFF"/>
          </w:tcPr>
          <w:p w14:paraId="27B5EE7A" w14:textId="77777777" w:rsidR="00607A6D" w:rsidRPr="003E4BA7" w:rsidRDefault="00607A6D" w:rsidP="00761E12">
            <w:pPr>
              <w:widowControl/>
              <w:autoSpaceDE/>
              <w:autoSpaceDN/>
              <w:adjustRightInd/>
              <w:jc w:val="center"/>
              <w:rPr>
                <w:rFonts w:asciiTheme="majorHAnsi" w:hAnsiTheme="majorHAnsi"/>
                <w:i/>
                <w:iCs/>
              </w:rPr>
            </w:pPr>
            <w:r w:rsidRPr="003E4BA7">
              <w:rPr>
                <w:rFonts w:asciiTheme="majorHAnsi" w:hAnsiTheme="majorHAnsi"/>
                <w:i/>
              </w:rPr>
              <w:t>2023</w:t>
            </w:r>
          </w:p>
        </w:tc>
        <w:tc>
          <w:tcPr>
            <w:tcW w:w="634" w:type="pct"/>
            <w:shd w:val="clear" w:color="auto" w:fill="FFFFFF"/>
          </w:tcPr>
          <w:p w14:paraId="3C467E80" w14:textId="7C8D5D31" w:rsidR="00607A6D" w:rsidRPr="003E4BA7" w:rsidRDefault="00607A6D" w:rsidP="00761E12">
            <w:pPr>
              <w:widowControl/>
              <w:autoSpaceDE/>
              <w:autoSpaceDN/>
              <w:adjustRightInd/>
              <w:jc w:val="center"/>
              <w:rPr>
                <w:rFonts w:asciiTheme="majorHAnsi" w:hAnsiTheme="majorHAnsi"/>
                <w:i/>
                <w:iCs/>
              </w:rPr>
            </w:pPr>
            <w:r w:rsidRPr="003E4BA7">
              <w:rPr>
                <w:rFonts w:asciiTheme="majorHAnsi" w:hAnsiTheme="majorHAnsi"/>
                <w:i/>
              </w:rPr>
              <w:t>2024</w:t>
            </w:r>
          </w:p>
        </w:tc>
        <w:tc>
          <w:tcPr>
            <w:tcW w:w="633" w:type="pct"/>
            <w:shd w:val="clear" w:color="auto" w:fill="FFFFFF"/>
          </w:tcPr>
          <w:p w14:paraId="7FDF17CB" w14:textId="7E834992" w:rsidR="00607A6D" w:rsidRPr="003E4BA7" w:rsidRDefault="00607A6D" w:rsidP="00761E12">
            <w:pPr>
              <w:widowControl/>
              <w:autoSpaceDE/>
              <w:autoSpaceDN/>
              <w:adjustRightInd/>
              <w:jc w:val="center"/>
              <w:rPr>
                <w:rFonts w:asciiTheme="majorHAnsi" w:hAnsiTheme="majorHAnsi"/>
                <w:i/>
                <w:iCs/>
              </w:rPr>
            </w:pPr>
            <w:r w:rsidRPr="003E4BA7">
              <w:rPr>
                <w:rFonts w:asciiTheme="majorHAnsi" w:hAnsiTheme="majorHAnsi"/>
                <w:i/>
              </w:rPr>
              <w:t>2025</w:t>
            </w:r>
          </w:p>
        </w:tc>
      </w:tr>
      <w:tr w:rsidR="00F76A5D" w:rsidRPr="003E4BA7" w14:paraId="38A4E1DF" w14:textId="2CA0C287" w:rsidTr="005B120F">
        <w:tc>
          <w:tcPr>
            <w:tcW w:w="1192" w:type="pct"/>
            <w:shd w:val="clear" w:color="auto" w:fill="FFFFFF"/>
            <w:vAlign w:val="center"/>
            <w:hideMark/>
          </w:tcPr>
          <w:p w14:paraId="23A61DF5" w14:textId="2B12810C" w:rsidR="00F76A5D" w:rsidRPr="00536AB6" w:rsidRDefault="00F76A5D" w:rsidP="00F76A5D">
            <w:pPr>
              <w:widowControl/>
              <w:autoSpaceDE/>
              <w:autoSpaceDN/>
              <w:adjustRightInd/>
              <w:jc w:val="center"/>
              <w:rPr>
                <w:rFonts w:asciiTheme="majorHAnsi" w:hAnsiTheme="majorHAnsi"/>
                <w:color w:val="000000"/>
              </w:rPr>
            </w:pPr>
            <w:r>
              <w:rPr>
                <w:rFonts w:asciiTheme="majorHAnsi" w:hAnsiTheme="majorHAnsi"/>
                <w:color w:val="000000"/>
              </w:rPr>
              <w:t>ATN</w:t>
            </w:r>
          </w:p>
        </w:tc>
        <w:tc>
          <w:tcPr>
            <w:tcW w:w="636" w:type="pct"/>
            <w:shd w:val="clear" w:color="auto" w:fill="FFFFFF"/>
            <w:hideMark/>
          </w:tcPr>
          <w:p w14:paraId="36D81114" w14:textId="7A6C650F" w:rsidR="00F76A5D" w:rsidRPr="003E4BA7" w:rsidRDefault="00F76A5D" w:rsidP="00F76A5D">
            <w:pPr>
              <w:widowControl/>
              <w:autoSpaceDE/>
              <w:autoSpaceDN/>
              <w:adjustRightInd/>
              <w:jc w:val="center"/>
              <w:rPr>
                <w:rFonts w:asciiTheme="majorHAnsi" w:hAnsiTheme="majorHAnsi"/>
              </w:rPr>
            </w:pPr>
            <w:r w:rsidRPr="003E4BA7">
              <w:rPr>
                <w:rFonts w:asciiTheme="majorHAnsi" w:hAnsiTheme="majorHAnsi"/>
              </w:rPr>
              <w:t>20955</w:t>
            </w:r>
          </w:p>
        </w:tc>
        <w:tc>
          <w:tcPr>
            <w:tcW w:w="635" w:type="pct"/>
            <w:shd w:val="clear" w:color="auto" w:fill="FFFFFF"/>
          </w:tcPr>
          <w:p w14:paraId="1A13F446" w14:textId="2B6DE770" w:rsidR="00F76A5D" w:rsidRPr="003E4BA7" w:rsidRDefault="00F76A5D" w:rsidP="00F76A5D">
            <w:pPr>
              <w:widowControl/>
              <w:autoSpaceDE/>
              <w:autoSpaceDN/>
              <w:adjustRightInd/>
              <w:jc w:val="center"/>
              <w:rPr>
                <w:rFonts w:asciiTheme="majorHAnsi" w:hAnsiTheme="majorHAnsi"/>
              </w:rPr>
            </w:pPr>
            <w:r w:rsidRPr="003E4BA7">
              <w:rPr>
                <w:rFonts w:asciiTheme="majorHAnsi" w:hAnsiTheme="majorHAnsi"/>
              </w:rPr>
              <w:t>21637</w:t>
            </w:r>
          </w:p>
        </w:tc>
        <w:tc>
          <w:tcPr>
            <w:tcW w:w="635" w:type="pct"/>
            <w:shd w:val="clear" w:color="auto" w:fill="FFFFFF"/>
          </w:tcPr>
          <w:p w14:paraId="0A8EEA43" w14:textId="32547840" w:rsidR="00F76A5D" w:rsidRPr="003E4BA7" w:rsidRDefault="00F76A5D" w:rsidP="00F76A5D">
            <w:pPr>
              <w:widowControl/>
              <w:autoSpaceDE/>
              <w:autoSpaceDN/>
              <w:adjustRightInd/>
              <w:jc w:val="center"/>
              <w:rPr>
                <w:rFonts w:asciiTheme="majorHAnsi" w:hAnsiTheme="majorHAnsi"/>
              </w:rPr>
            </w:pPr>
            <w:r w:rsidRPr="003E4BA7">
              <w:rPr>
                <w:rFonts w:asciiTheme="majorHAnsi" w:hAnsiTheme="majorHAnsi"/>
              </w:rPr>
              <w:t>21852</w:t>
            </w:r>
          </w:p>
        </w:tc>
        <w:tc>
          <w:tcPr>
            <w:tcW w:w="635" w:type="pct"/>
            <w:shd w:val="clear" w:color="auto" w:fill="FFFFFF"/>
          </w:tcPr>
          <w:p w14:paraId="27BDD519" w14:textId="6D95EA71" w:rsidR="00F76A5D" w:rsidRPr="003E4BA7" w:rsidRDefault="00F76A5D" w:rsidP="00F76A5D">
            <w:pPr>
              <w:widowControl/>
              <w:autoSpaceDE/>
              <w:autoSpaceDN/>
              <w:adjustRightInd/>
              <w:jc w:val="center"/>
              <w:rPr>
                <w:rFonts w:asciiTheme="majorHAnsi" w:hAnsiTheme="majorHAnsi"/>
                <w:color w:val="FF0000"/>
              </w:rPr>
            </w:pPr>
            <w:r w:rsidRPr="003E4BA7">
              <w:rPr>
                <w:rFonts w:asciiTheme="majorHAnsi" w:hAnsiTheme="majorHAnsi"/>
              </w:rPr>
              <w:t>23786</w:t>
            </w:r>
          </w:p>
        </w:tc>
        <w:tc>
          <w:tcPr>
            <w:tcW w:w="634" w:type="pct"/>
            <w:shd w:val="clear" w:color="auto" w:fill="FFFFFF"/>
          </w:tcPr>
          <w:p w14:paraId="1485B139" w14:textId="2B4FDDEC" w:rsidR="00F76A5D" w:rsidRPr="003E4BA7" w:rsidRDefault="00F76A5D" w:rsidP="00F76A5D">
            <w:pPr>
              <w:widowControl/>
              <w:autoSpaceDE/>
              <w:autoSpaceDN/>
              <w:adjustRightInd/>
              <w:jc w:val="center"/>
              <w:rPr>
                <w:rFonts w:asciiTheme="majorHAnsi" w:hAnsiTheme="majorHAnsi"/>
              </w:rPr>
            </w:pPr>
            <w:r w:rsidRPr="003E4BA7">
              <w:rPr>
                <w:rFonts w:asciiTheme="majorHAnsi" w:hAnsiTheme="majorHAnsi"/>
              </w:rPr>
              <w:t>24006</w:t>
            </w:r>
          </w:p>
        </w:tc>
        <w:tc>
          <w:tcPr>
            <w:tcW w:w="633" w:type="pct"/>
            <w:shd w:val="clear" w:color="auto" w:fill="FFFFFF"/>
          </w:tcPr>
          <w:p w14:paraId="2E539195" w14:textId="6DC7B586" w:rsidR="00F76A5D" w:rsidRPr="003E4BA7" w:rsidRDefault="00F76A5D" w:rsidP="00F76A5D">
            <w:pPr>
              <w:widowControl/>
              <w:autoSpaceDE/>
              <w:autoSpaceDN/>
              <w:adjustRightInd/>
              <w:jc w:val="center"/>
              <w:rPr>
                <w:rFonts w:asciiTheme="majorHAnsi" w:hAnsiTheme="majorHAnsi"/>
              </w:rPr>
            </w:pPr>
            <w:r w:rsidRPr="003E4BA7">
              <w:rPr>
                <w:rFonts w:asciiTheme="majorHAnsi" w:hAnsiTheme="majorHAnsi"/>
              </w:rPr>
              <w:t>19387</w:t>
            </w:r>
          </w:p>
        </w:tc>
      </w:tr>
    </w:tbl>
    <w:p w14:paraId="2879EDEC" w14:textId="77777777" w:rsidR="005949C4" w:rsidRPr="00536AB6" w:rsidRDefault="005949C4" w:rsidP="005949C4">
      <w:pPr>
        <w:jc w:val="both"/>
        <w:rPr>
          <w:rFonts w:asciiTheme="majorHAnsi" w:hAnsiTheme="majorHAnsi"/>
          <w:lang w:val="en-GB"/>
        </w:rPr>
      </w:pPr>
    </w:p>
    <w:p w14:paraId="68A93C44" w14:textId="77777777" w:rsidR="005949C4" w:rsidRPr="00536AB6" w:rsidRDefault="005949C4" w:rsidP="005949C4">
      <w:pPr>
        <w:jc w:val="both"/>
        <w:rPr>
          <w:rFonts w:asciiTheme="majorHAnsi" w:hAnsiTheme="majorHAnsi"/>
          <w:color w:val="000000" w:themeColor="text1"/>
        </w:rPr>
      </w:pPr>
      <w:r>
        <w:rPr>
          <w:rFonts w:asciiTheme="majorHAnsi" w:hAnsiTheme="majorHAnsi"/>
          <w:color w:val="000000" w:themeColor="text1"/>
        </w:rPr>
        <w:t xml:space="preserve">Las obligaciones de comunicación de Tarea 1 se revisaron en virtud de la Rec. 11-15. La Recomendación requiere que desde 2020 las CPC describan en sus informes anuales sus programas de recopilación de datos y lo pasos dados para implementar esta Recomendación. Estos informes están incluidos en la hoja de comprobación de tiburones (véase la Rec. 18-06 más abajo). </w:t>
      </w:r>
    </w:p>
    <w:p w14:paraId="308ECBC4" w14:textId="77777777" w:rsidR="005949C4" w:rsidRPr="00364A87" w:rsidRDefault="005949C4" w:rsidP="006D1DE6">
      <w:pPr>
        <w:widowControl/>
        <w:autoSpaceDE/>
        <w:autoSpaceDN/>
        <w:adjustRightInd/>
        <w:jc w:val="both"/>
        <w:rPr>
          <w:rFonts w:asciiTheme="majorHAnsi" w:hAnsiTheme="majorHAnsi"/>
          <w:bCs/>
          <w:i/>
          <w:lang w:eastAsia="en-GB"/>
        </w:rPr>
      </w:pPr>
    </w:p>
    <w:p w14:paraId="765B37D2" w14:textId="13E010A7" w:rsidR="0064289F" w:rsidRPr="00536AB6" w:rsidRDefault="004E41C9" w:rsidP="0064289F">
      <w:pPr>
        <w:tabs>
          <w:tab w:val="left" w:pos="1276"/>
          <w:tab w:val="left" w:pos="1418"/>
          <w:tab w:val="left" w:leader="dot" w:pos="8222"/>
          <w:tab w:val="right" w:pos="8647"/>
        </w:tabs>
        <w:jc w:val="both"/>
        <w:rPr>
          <w:rFonts w:asciiTheme="majorHAnsi" w:hAnsiTheme="majorHAnsi"/>
        </w:rPr>
      </w:pPr>
      <w:r>
        <w:rPr>
          <w:rFonts w:asciiTheme="majorHAnsi" w:hAnsiTheme="majorHAnsi"/>
          <w:b/>
          <w:bCs/>
        </w:rPr>
        <w:t>Cumplimiento de las cuotas/límites de captura:</w:t>
      </w:r>
      <w:r>
        <w:rPr>
          <w:rFonts w:asciiTheme="majorHAnsi" w:hAnsiTheme="majorHAnsi"/>
        </w:rPr>
        <w:t xml:space="preserve"> Véase el documento "Tablas de cumplimiento de 2025 recibidas en 2026" [COC_304/2026].</w:t>
      </w:r>
    </w:p>
    <w:p w14:paraId="6ECC1F81" w14:textId="77777777" w:rsidR="004E41C9" w:rsidRPr="00364A87" w:rsidRDefault="004E41C9" w:rsidP="004E41C9">
      <w:pPr>
        <w:widowControl/>
        <w:autoSpaceDE/>
        <w:autoSpaceDN/>
        <w:adjustRightInd/>
        <w:jc w:val="both"/>
        <w:rPr>
          <w:rFonts w:asciiTheme="majorHAnsi" w:hAnsiTheme="majorHAnsi"/>
          <w:bCs/>
          <w:i/>
          <w:lang w:eastAsia="en-GB"/>
        </w:rPr>
      </w:pPr>
    </w:p>
    <w:p w14:paraId="27E1784C" w14:textId="15EB8414" w:rsidR="004E41C9" w:rsidRPr="00536AB6" w:rsidRDefault="004E41C9" w:rsidP="004E41C9">
      <w:pPr>
        <w:widowControl/>
        <w:autoSpaceDE/>
        <w:autoSpaceDN/>
        <w:adjustRightInd/>
        <w:jc w:val="both"/>
        <w:rPr>
          <w:rFonts w:asciiTheme="majorHAnsi" w:hAnsiTheme="majorHAnsi"/>
        </w:rPr>
      </w:pPr>
      <w:r>
        <w:rPr>
          <w:rFonts w:asciiTheme="majorHAnsi" w:hAnsiTheme="majorHAnsi"/>
        </w:rPr>
        <w:t xml:space="preserve">Para la aplicación de estas medidas, véanse las "Hojas de comprobación de tiburones recibidas de acuerdo con la Rec. 18-06" [COC_314/2026]. </w:t>
      </w:r>
    </w:p>
    <w:p w14:paraId="0FD0CCC3" w14:textId="77777777" w:rsidR="004E41C9" w:rsidRPr="00364A87" w:rsidRDefault="004E41C9" w:rsidP="004E41C9">
      <w:pPr>
        <w:widowControl/>
        <w:autoSpaceDE/>
        <w:autoSpaceDN/>
        <w:adjustRightInd/>
        <w:rPr>
          <w:rFonts w:asciiTheme="majorHAnsi" w:hAnsiTheme="majorHAnsi"/>
        </w:rPr>
      </w:pPr>
    </w:p>
    <w:p w14:paraId="4C3DAF8C" w14:textId="56FA9FE3" w:rsidR="0044546A" w:rsidRPr="00536AB6" w:rsidRDefault="0044546A" w:rsidP="0044546A">
      <w:pPr>
        <w:tabs>
          <w:tab w:val="left" w:pos="1276"/>
          <w:tab w:val="left" w:pos="1418"/>
          <w:tab w:val="left" w:leader="dot" w:pos="8222"/>
          <w:tab w:val="right" w:pos="8647"/>
        </w:tabs>
        <w:jc w:val="both"/>
        <w:rPr>
          <w:rFonts w:asciiTheme="majorHAnsi" w:hAnsiTheme="majorHAnsi"/>
          <w:iCs/>
        </w:rPr>
      </w:pPr>
      <w:r>
        <w:rPr>
          <w:rFonts w:asciiTheme="majorHAnsi" w:hAnsiTheme="majorHAnsi"/>
          <w:i/>
        </w:rPr>
        <w:t>[23-11] Recomendación de ICCAT que reemplaza la Recomendación 19-08 sobre medidas de ordenación para la conservación del tiburón azul del Atlántico sur capturado en asociación con las pesquerías de ICCAT</w:t>
      </w:r>
    </w:p>
    <w:p w14:paraId="3F4B79AE" w14:textId="77777777" w:rsidR="009167F1" w:rsidRPr="00364A87" w:rsidRDefault="009167F1" w:rsidP="009167F1">
      <w:pPr>
        <w:widowControl/>
        <w:autoSpaceDE/>
        <w:autoSpaceDN/>
        <w:adjustRightInd/>
        <w:jc w:val="both"/>
        <w:rPr>
          <w:rFonts w:asciiTheme="majorHAnsi" w:hAnsiTheme="majorHAnsi"/>
          <w:bCs/>
          <w:i/>
          <w:lang w:eastAsia="en-GB"/>
        </w:rPr>
      </w:pPr>
    </w:p>
    <w:p w14:paraId="5745B352" w14:textId="3DE66EFB" w:rsidR="004E41C9" w:rsidRPr="00536AB6" w:rsidRDefault="004E41C9" w:rsidP="009A22E5">
      <w:pPr>
        <w:jc w:val="both"/>
        <w:rPr>
          <w:rFonts w:asciiTheme="majorHAnsi" w:hAnsiTheme="majorHAnsi"/>
        </w:rPr>
      </w:pPr>
      <w:r>
        <w:rPr>
          <w:rFonts w:asciiTheme="majorHAnsi" w:hAnsiTheme="majorHAnsi"/>
        </w:rPr>
        <w:t>La Comisión estableció en la 28ª Reunión ordinaria de ICCAT un total admisible de capturas (TAC) anual de 27.711 t a partir de 2024.</w:t>
      </w:r>
    </w:p>
    <w:p w14:paraId="3E0638E8" w14:textId="77777777" w:rsidR="00701334" w:rsidRPr="00364A87" w:rsidRDefault="00701334" w:rsidP="009A22E5">
      <w:pPr>
        <w:jc w:val="both"/>
        <w:rPr>
          <w:rFonts w:asciiTheme="majorHAnsi" w:hAnsiTheme="majorHAnsi"/>
        </w:rPr>
      </w:pPr>
    </w:p>
    <w:p w14:paraId="3FF23122" w14:textId="0F6A2F8F" w:rsidR="00F6554D" w:rsidRPr="00536AB6" w:rsidRDefault="009170D2" w:rsidP="009170D2">
      <w:pPr>
        <w:jc w:val="both"/>
        <w:rPr>
          <w:rFonts w:asciiTheme="majorHAnsi" w:hAnsiTheme="majorHAnsi"/>
        </w:rPr>
      </w:pPr>
      <w:r>
        <w:rPr>
          <w:rFonts w:asciiTheme="majorHAnsi" w:hAnsiTheme="majorHAnsi"/>
        </w:rPr>
        <w:t>Esta Recomendación se revisará teniendo en cuenta los resultados de la próxima evaluación de stock de tiburón azul del Atlántico sur por parte del SCRS.</w:t>
      </w:r>
    </w:p>
    <w:p w14:paraId="27FD3E90" w14:textId="77777777" w:rsidR="004E41C9" w:rsidRPr="00364A87" w:rsidRDefault="004E41C9" w:rsidP="004E41C9">
      <w:pPr>
        <w:jc w:val="both"/>
        <w:rPr>
          <w:rFonts w:asciiTheme="majorHAnsi" w:hAnsiTheme="majorHAnsi"/>
        </w:rPr>
      </w:pPr>
    </w:p>
    <w:p w14:paraId="3955D1C3" w14:textId="04EE5585" w:rsidR="004E41C9" w:rsidRPr="00536AB6" w:rsidRDefault="004E41C9" w:rsidP="004E41C9">
      <w:pPr>
        <w:jc w:val="both"/>
        <w:rPr>
          <w:rFonts w:asciiTheme="majorHAnsi" w:hAnsiTheme="majorHAnsi"/>
        </w:rPr>
      </w:pPr>
      <w:r>
        <w:rPr>
          <w:rFonts w:asciiTheme="majorHAnsi" w:hAnsiTheme="majorHAnsi"/>
        </w:rPr>
        <w:t>A continuación se muestran las capturas totales, de las que se desprende que el stock</w:t>
      </w:r>
      <w:r w:rsidR="00EA095B">
        <w:rPr>
          <w:rFonts w:asciiTheme="majorHAnsi" w:hAnsiTheme="majorHAnsi"/>
        </w:rPr>
        <w:t xml:space="preserve"> no</w:t>
      </w:r>
      <w:r>
        <w:rPr>
          <w:rFonts w:asciiTheme="majorHAnsi" w:hAnsiTheme="majorHAnsi"/>
        </w:rPr>
        <w:t xml:space="preserve"> ha sido </w:t>
      </w:r>
      <w:r w:rsidR="00500E9D">
        <w:rPr>
          <w:rFonts w:asciiTheme="majorHAnsi" w:hAnsiTheme="majorHAnsi"/>
        </w:rPr>
        <w:t>objeto de exceso de captura</w:t>
      </w:r>
      <w:r>
        <w:rPr>
          <w:rFonts w:asciiTheme="majorHAnsi" w:hAnsiTheme="majorHAnsi"/>
        </w:rPr>
        <w:t xml:space="preserve"> en 2025: </w:t>
      </w:r>
    </w:p>
    <w:p w14:paraId="2C5CE934" w14:textId="77777777" w:rsidR="004E41C9" w:rsidRPr="00364A87" w:rsidRDefault="004E41C9" w:rsidP="004E41C9">
      <w:pPr>
        <w:rPr>
          <w:rFonts w:asciiTheme="majorHAnsi" w:hAnsiTheme="majorHAnsi"/>
        </w:rPr>
      </w:pPr>
    </w:p>
    <w:p w14:paraId="036B2EAF" w14:textId="77777777" w:rsidR="004E41C9" w:rsidRPr="00536AB6" w:rsidRDefault="004E41C9" w:rsidP="004E41C9">
      <w:pPr>
        <w:rPr>
          <w:rFonts w:asciiTheme="majorHAnsi" w:hAnsiTheme="majorHAnsi"/>
        </w:rPr>
      </w:pPr>
      <w:r>
        <w:rPr>
          <w:rFonts w:asciiTheme="majorHAnsi" w:hAnsiTheme="majorHAnsi"/>
        </w:rPr>
        <w:t>Datos de Tarea 1 (solo datos comunicados):</w:t>
      </w:r>
    </w:p>
    <w:p w14:paraId="41EAAB4B" w14:textId="77777777" w:rsidR="004E41C9" w:rsidRPr="00364A87" w:rsidRDefault="004E41C9" w:rsidP="004E41C9">
      <w:pPr>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162"/>
        <w:gridCol w:w="1153"/>
        <w:gridCol w:w="1151"/>
        <w:gridCol w:w="1151"/>
        <w:gridCol w:w="1151"/>
        <w:gridCol w:w="1149"/>
        <w:gridCol w:w="1148"/>
      </w:tblGrid>
      <w:tr w:rsidR="00501F35" w:rsidRPr="00536AB6" w14:paraId="6F1933BF" w14:textId="7A494899" w:rsidTr="005B120F">
        <w:tc>
          <w:tcPr>
            <w:tcW w:w="1192" w:type="pct"/>
            <w:shd w:val="clear" w:color="auto" w:fill="FFFFFF"/>
            <w:vAlign w:val="center"/>
            <w:hideMark/>
          </w:tcPr>
          <w:p w14:paraId="62BA2D2B" w14:textId="77777777" w:rsidR="00501F35" w:rsidRPr="00536AB6" w:rsidRDefault="00501F35" w:rsidP="000C1506">
            <w:pPr>
              <w:widowControl/>
              <w:autoSpaceDE/>
              <w:autoSpaceDN/>
              <w:adjustRightInd/>
              <w:jc w:val="center"/>
              <w:rPr>
                <w:rFonts w:asciiTheme="majorHAnsi" w:hAnsiTheme="majorHAnsi"/>
                <w:i/>
                <w:iCs/>
              </w:rPr>
            </w:pPr>
            <w:r>
              <w:rPr>
                <w:rFonts w:asciiTheme="majorHAnsi" w:hAnsiTheme="majorHAnsi"/>
                <w:i/>
              </w:rPr>
              <w:t>Tiburón azul</w:t>
            </w:r>
          </w:p>
        </w:tc>
        <w:tc>
          <w:tcPr>
            <w:tcW w:w="636" w:type="pct"/>
            <w:shd w:val="clear" w:color="auto" w:fill="FFFFFF"/>
            <w:vAlign w:val="center"/>
            <w:hideMark/>
          </w:tcPr>
          <w:p w14:paraId="1B63AB0E" w14:textId="77777777" w:rsidR="00501F35" w:rsidRPr="00EA095B" w:rsidRDefault="00501F35" w:rsidP="000C1506">
            <w:pPr>
              <w:widowControl/>
              <w:autoSpaceDE/>
              <w:autoSpaceDN/>
              <w:adjustRightInd/>
              <w:jc w:val="center"/>
              <w:rPr>
                <w:rFonts w:asciiTheme="majorHAnsi" w:hAnsiTheme="majorHAnsi"/>
                <w:i/>
                <w:iCs/>
              </w:rPr>
            </w:pPr>
            <w:r w:rsidRPr="00EA095B">
              <w:rPr>
                <w:rFonts w:asciiTheme="majorHAnsi" w:hAnsiTheme="majorHAnsi"/>
                <w:i/>
              </w:rPr>
              <w:t>2020</w:t>
            </w:r>
          </w:p>
        </w:tc>
        <w:tc>
          <w:tcPr>
            <w:tcW w:w="635" w:type="pct"/>
            <w:shd w:val="clear" w:color="auto" w:fill="FFFFFF"/>
          </w:tcPr>
          <w:p w14:paraId="59A60928" w14:textId="77777777" w:rsidR="00501F35" w:rsidRPr="00EA095B" w:rsidRDefault="00501F35" w:rsidP="000C1506">
            <w:pPr>
              <w:widowControl/>
              <w:autoSpaceDE/>
              <w:autoSpaceDN/>
              <w:adjustRightInd/>
              <w:jc w:val="center"/>
              <w:rPr>
                <w:rFonts w:asciiTheme="majorHAnsi" w:hAnsiTheme="majorHAnsi"/>
                <w:i/>
                <w:iCs/>
              </w:rPr>
            </w:pPr>
            <w:r w:rsidRPr="00EA095B">
              <w:rPr>
                <w:rFonts w:asciiTheme="majorHAnsi" w:hAnsiTheme="majorHAnsi"/>
                <w:i/>
              </w:rPr>
              <w:t>2021</w:t>
            </w:r>
          </w:p>
        </w:tc>
        <w:tc>
          <w:tcPr>
            <w:tcW w:w="635" w:type="pct"/>
            <w:shd w:val="clear" w:color="auto" w:fill="FFFFFF"/>
          </w:tcPr>
          <w:p w14:paraId="51BA31E6" w14:textId="77777777" w:rsidR="00501F35" w:rsidRPr="00EA095B" w:rsidRDefault="00501F35" w:rsidP="000C1506">
            <w:pPr>
              <w:widowControl/>
              <w:autoSpaceDE/>
              <w:autoSpaceDN/>
              <w:adjustRightInd/>
              <w:jc w:val="center"/>
              <w:rPr>
                <w:rFonts w:asciiTheme="majorHAnsi" w:hAnsiTheme="majorHAnsi"/>
                <w:i/>
                <w:iCs/>
              </w:rPr>
            </w:pPr>
            <w:r w:rsidRPr="00EA095B">
              <w:rPr>
                <w:rFonts w:asciiTheme="majorHAnsi" w:hAnsiTheme="majorHAnsi"/>
                <w:i/>
              </w:rPr>
              <w:t>2022</w:t>
            </w:r>
          </w:p>
        </w:tc>
        <w:tc>
          <w:tcPr>
            <w:tcW w:w="635" w:type="pct"/>
            <w:shd w:val="clear" w:color="auto" w:fill="FFFFFF"/>
          </w:tcPr>
          <w:p w14:paraId="7D52A2DD" w14:textId="3F9DBEC6" w:rsidR="00501F35" w:rsidRPr="00EA095B" w:rsidRDefault="00501F35" w:rsidP="009167F1">
            <w:pPr>
              <w:widowControl/>
              <w:autoSpaceDE/>
              <w:autoSpaceDN/>
              <w:adjustRightInd/>
              <w:jc w:val="center"/>
              <w:rPr>
                <w:rFonts w:asciiTheme="majorHAnsi" w:hAnsiTheme="majorHAnsi"/>
                <w:i/>
                <w:iCs/>
              </w:rPr>
            </w:pPr>
            <w:r w:rsidRPr="00EA095B">
              <w:rPr>
                <w:rFonts w:asciiTheme="majorHAnsi" w:hAnsiTheme="majorHAnsi"/>
                <w:i/>
              </w:rPr>
              <w:t>2023</w:t>
            </w:r>
          </w:p>
        </w:tc>
        <w:tc>
          <w:tcPr>
            <w:tcW w:w="634" w:type="pct"/>
            <w:shd w:val="clear" w:color="auto" w:fill="FFFFFF"/>
          </w:tcPr>
          <w:p w14:paraId="7AAB4AC3" w14:textId="3C74F588" w:rsidR="00501F35" w:rsidRPr="00EA095B" w:rsidRDefault="00501F35" w:rsidP="009167F1">
            <w:pPr>
              <w:widowControl/>
              <w:autoSpaceDE/>
              <w:autoSpaceDN/>
              <w:adjustRightInd/>
              <w:jc w:val="center"/>
              <w:rPr>
                <w:rFonts w:asciiTheme="majorHAnsi" w:hAnsiTheme="majorHAnsi"/>
                <w:i/>
                <w:iCs/>
              </w:rPr>
            </w:pPr>
            <w:r w:rsidRPr="00EA095B">
              <w:rPr>
                <w:rFonts w:asciiTheme="majorHAnsi" w:hAnsiTheme="majorHAnsi"/>
                <w:i/>
              </w:rPr>
              <w:t>2024</w:t>
            </w:r>
          </w:p>
        </w:tc>
        <w:tc>
          <w:tcPr>
            <w:tcW w:w="633" w:type="pct"/>
            <w:shd w:val="clear" w:color="auto" w:fill="FFFFFF"/>
          </w:tcPr>
          <w:p w14:paraId="6872FF01" w14:textId="7F60DCFB" w:rsidR="00501F35" w:rsidRPr="00EA095B" w:rsidRDefault="00501F35" w:rsidP="009167F1">
            <w:pPr>
              <w:widowControl/>
              <w:autoSpaceDE/>
              <w:autoSpaceDN/>
              <w:adjustRightInd/>
              <w:jc w:val="center"/>
              <w:rPr>
                <w:rFonts w:asciiTheme="majorHAnsi" w:hAnsiTheme="majorHAnsi"/>
                <w:i/>
                <w:iCs/>
              </w:rPr>
            </w:pPr>
            <w:r w:rsidRPr="00EA095B">
              <w:rPr>
                <w:rFonts w:asciiTheme="majorHAnsi" w:hAnsiTheme="majorHAnsi"/>
                <w:i/>
              </w:rPr>
              <w:t>2025</w:t>
            </w:r>
          </w:p>
        </w:tc>
      </w:tr>
      <w:tr w:rsidR="00F76A5D" w:rsidRPr="00536AB6" w14:paraId="14BA110D" w14:textId="1EADB915" w:rsidTr="005B120F">
        <w:tc>
          <w:tcPr>
            <w:tcW w:w="1192" w:type="pct"/>
            <w:shd w:val="clear" w:color="auto" w:fill="FFFFFF"/>
            <w:vAlign w:val="center"/>
            <w:hideMark/>
          </w:tcPr>
          <w:p w14:paraId="34E31582" w14:textId="2CD88AC7" w:rsidR="00F76A5D" w:rsidRPr="00536AB6" w:rsidRDefault="00F76A5D" w:rsidP="00F76A5D">
            <w:pPr>
              <w:widowControl/>
              <w:autoSpaceDE/>
              <w:autoSpaceDN/>
              <w:adjustRightInd/>
              <w:jc w:val="center"/>
              <w:rPr>
                <w:rFonts w:asciiTheme="majorHAnsi" w:hAnsiTheme="majorHAnsi"/>
                <w:color w:val="000000"/>
              </w:rPr>
            </w:pPr>
            <w:r>
              <w:rPr>
                <w:rFonts w:asciiTheme="majorHAnsi" w:hAnsiTheme="majorHAnsi"/>
                <w:color w:val="000000"/>
              </w:rPr>
              <w:t>ATS</w:t>
            </w:r>
          </w:p>
        </w:tc>
        <w:tc>
          <w:tcPr>
            <w:tcW w:w="636" w:type="pct"/>
            <w:shd w:val="clear" w:color="auto" w:fill="FFFFFF"/>
            <w:hideMark/>
          </w:tcPr>
          <w:p w14:paraId="06BCDE18" w14:textId="364C538F" w:rsidR="00F76A5D" w:rsidRPr="00EA095B" w:rsidRDefault="00F76A5D" w:rsidP="00F76A5D">
            <w:pPr>
              <w:widowControl/>
              <w:autoSpaceDE/>
              <w:autoSpaceDN/>
              <w:adjustRightInd/>
              <w:jc w:val="center"/>
              <w:rPr>
                <w:rFonts w:asciiTheme="majorHAnsi" w:hAnsiTheme="majorHAnsi"/>
              </w:rPr>
            </w:pPr>
            <w:r w:rsidRPr="00EA095B">
              <w:rPr>
                <w:rFonts w:asciiTheme="majorHAnsi" w:hAnsiTheme="majorHAnsi"/>
              </w:rPr>
              <w:t>33690</w:t>
            </w:r>
          </w:p>
        </w:tc>
        <w:tc>
          <w:tcPr>
            <w:tcW w:w="635" w:type="pct"/>
            <w:shd w:val="clear" w:color="auto" w:fill="FFFFFF"/>
          </w:tcPr>
          <w:p w14:paraId="16A0E53C" w14:textId="292E6C8B" w:rsidR="00F76A5D" w:rsidRPr="00EA095B" w:rsidRDefault="00F76A5D" w:rsidP="00F76A5D">
            <w:pPr>
              <w:widowControl/>
              <w:autoSpaceDE/>
              <w:autoSpaceDN/>
              <w:adjustRightInd/>
              <w:jc w:val="center"/>
              <w:rPr>
                <w:rFonts w:asciiTheme="majorHAnsi" w:hAnsiTheme="majorHAnsi"/>
              </w:rPr>
            </w:pPr>
            <w:r w:rsidRPr="00EA095B">
              <w:rPr>
                <w:rFonts w:asciiTheme="majorHAnsi" w:hAnsiTheme="majorHAnsi"/>
              </w:rPr>
              <w:t>33366</w:t>
            </w:r>
          </w:p>
        </w:tc>
        <w:tc>
          <w:tcPr>
            <w:tcW w:w="635" w:type="pct"/>
            <w:shd w:val="clear" w:color="auto" w:fill="FFFFFF"/>
          </w:tcPr>
          <w:p w14:paraId="3586F036" w14:textId="7506D0EE" w:rsidR="00F76A5D" w:rsidRPr="00EA095B" w:rsidRDefault="00F76A5D" w:rsidP="00F76A5D">
            <w:pPr>
              <w:widowControl/>
              <w:autoSpaceDE/>
              <w:autoSpaceDN/>
              <w:adjustRightInd/>
              <w:jc w:val="center"/>
              <w:rPr>
                <w:rFonts w:asciiTheme="majorHAnsi" w:hAnsiTheme="majorHAnsi"/>
              </w:rPr>
            </w:pPr>
            <w:r w:rsidRPr="00EA095B">
              <w:rPr>
                <w:rFonts w:asciiTheme="majorHAnsi" w:hAnsiTheme="majorHAnsi"/>
              </w:rPr>
              <w:t>31630</w:t>
            </w:r>
          </w:p>
        </w:tc>
        <w:tc>
          <w:tcPr>
            <w:tcW w:w="635" w:type="pct"/>
            <w:shd w:val="clear" w:color="auto" w:fill="FFFFFF"/>
          </w:tcPr>
          <w:p w14:paraId="19DDD901" w14:textId="218A42C2" w:rsidR="00F76A5D" w:rsidRPr="00EA095B" w:rsidRDefault="00F76A5D" w:rsidP="00F76A5D">
            <w:pPr>
              <w:widowControl/>
              <w:autoSpaceDE/>
              <w:autoSpaceDN/>
              <w:adjustRightInd/>
              <w:jc w:val="center"/>
              <w:rPr>
                <w:rFonts w:asciiTheme="majorHAnsi" w:hAnsiTheme="majorHAnsi"/>
                <w:color w:val="FF0000"/>
              </w:rPr>
            </w:pPr>
            <w:r w:rsidRPr="00EA095B">
              <w:rPr>
                <w:rFonts w:asciiTheme="majorHAnsi" w:hAnsiTheme="majorHAnsi"/>
              </w:rPr>
              <w:t>30415</w:t>
            </w:r>
          </w:p>
        </w:tc>
        <w:tc>
          <w:tcPr>
            <w:tcW w:w="634" w:type="pct"/>
            <w:shd w:val="clear" w:color="auto" w:fill="FFFFFF"/>
          </w:tcPr>
          <w:p w14:paraId="38FD5220" w14:textId="502FCF89" w:rsidR="00F76A5D" w:rsidRPr="00EA095B" w:rsidRDefault="00F76A5D" w:rsidP="00F76A5D">
            <w:pPr>
              <w:widowControl/>
              <w:autoSpaceDE/>
              <w:autoSpaceDN/>
              <w:adjustRightInd/>
              <w:jc w:val="center"/>
              <w:rPr>
                <w:rFonts w:asciiTheme="majorHAnsi" w:hAnsiTheme="majorHAnsi"/>
              </w:rPr>
            </w:pPr>
            <w:r w:rsidRPr="00EA095B">
              <w:rPr>
                <w:rFonts w:asciiTheme="majorHAnsi" w:hAnsiTheme="majorHAnsi"/>
              </w:rPr>
              <w:t>24831</w:t>
            </w:r>
          </w:p>
        </w:tc>
        <w:tc>
          <w:tcPr>
            <w:tcW w:w="633" w:type="pct"/>
            <w:shd w:val="clear" w:color="auto" w:fill="FFFFFF"/>
          </w:tcPr>
          <w:p w14:paraId="09A22DCE" w14:textId="6B702BFF" w:rsidR="00F76A5D" w:rsidRPr="00EA095B" w:rsidRDefault="00F76A5D" w:rsidP="00F76A5D">
            <w:pPr>
              <w:widowControl/>
              <w:autoSpaceDE/>
              <w:autoSpaceDN/>
              <w:adjustRightInd/>
              <w:jc w:val="center"/>
              <w:rPr>
                <w:rFonts w:asciiTheme="majorHAnsi" w:hAnsiTheme="majorHAnsi"/>
              </w:rPr>
            </w:pPr>
            <w:r w:rsidRPr="00EA095B">
              <w:rPr>
                <w:rFonts w:asciiTheme="majorHAnsi" w:hAnsiTheme="majorHAnsi"/>
              </w:rPr>
              <w:t>23200</w:t>
            </w:r>
          </w:p>
        </w:tc>
      </w:tr>
    </w:tbl>
    <w:p w14:paraId="412CD380" w14:textId="77777777" w:rsidR="004E41C9" w:rsidRPr="00536AB6" w:rsidRDefault="004E41C9" w:rsidP="004E41C9">
      <w:pPr>
        <w:jc w:val="both"/>
        <w:rPr>
          <w:rFonts w:asciiTheme="majorHAnsi" w:hAnsiTheme="majorHAnsi"/>
          <w:lang w:val="en-GB"/>
        </w:rPr>
      </w:pPr>
    </w:p>
    <w:p w14:paraId="6FBA9CAE" w14:textId="77777777" w:rsidR="004E41C9" w:rsidRPr="00536AB6" w:rsidRDefault="004E41C9" w:rsidP="004E41C9">
      <w:pPr>
        <w:jc w:val="both"/>
        <w:rPr>
          <w:rFonts w:asciiTheme="majorHAnsi" w:hAnsiTheme="majorHAnsi"/>
          <w:color w:val="000000" w:themeColor="text1"/>
        </w:rPr>
      </w:pPr>
      <w:r>
        <w:rPr>
          <w:rFonts w:asciiTheme="majorHAnsi" w:hAnsiTheme="majorHAnsi"/>
          <w:color w:val="000000" w:themeColor="text1"/>
        </w:rPr>
        <w:t xml:space="preserve">Las obligaciones de comunicación de Tarea 1 se revisaron en virtud de la Rec. 11-15. La Recomendación requiere que desde 2020 las CPC describan en sus informes anuales sus programas de recopilación de datos y lo pasos dados para implementar esta Recomendación. Estos informes están incluidos en la hoja de comprobación de tiburones (véase la Rec. 18-06 más abajo). </w:t>
      </w:r>
    </w:p>
    <w:p w14:paraId="0BE96DA0" w14:textId="77777777" w:rsidR="006B5B0F" w:rsidRPr="00364A87" w:rsidRDefault="006B5B0F" w:rsidP="006D1DE6">
      <w:pPr>
        <w:tabs>
          <w:tab w:val="left" w:pos="709"/>
          <w:tab w:val="left" w:pos="1276"/>
          <w:tab w:val="left" w:pos="1418"/>
          <w:tab w:val="left" w:leader="dot" w:pos="8222"/>
          <w:tab w:val="right" w:pos="8647"/>
        </w:tabs>
        <w:jc w:val="both"/>
        <w:rPr>
          <w:rFonts w:asciiTheme="majorHAnsi" w:hAnsiTheme="majorHAnsi"/>
          <w:bCs/>
          <w:i/>
        </w:rPr>
      </w:pPr>
    </w:p>
    <w:p w14:paraId="0E46F7B6" w14:textId="77777777" w:rsidR="00501F35" w:rsidRPr="00536AB6" w:rsidRDefault="00501F35" w:rsidP="00501F35">
      <w:pPr>
        <w:tabs>
          <w:tab w:val="left" w:pos="1276"/>
          <w:tab w:val="left" w:pos="1418"/>
          <w:tab w:val="left" w:leader="dot" w:pos="8222"/>
          <w:tab w:val="right" w:pos="8647"/>
        </w:tabs>
        <w:jc w:val="both"/>
        <w:rPr>
          <w:rFonts w:asciiTheme="majorHAnsi" w:hAnsiTheme="majorHAnsi"/>
        </w:rPr>
      </w:pPr>
      <w:r>
        <w:rPr>
          <w:rFonts w:asciiTheme="majorHAnsi" w:hAnsiTheme="majorHAnsi"/>
          <w:b/>
          <w:bCs/>
        </w:rPr>
        <w:t>Cumplimiento de las cuotas/límites de captura:</w:t>
      </w:r>
      <w:r>
        <w:rPr>
          <w:rFonts w:asciiTheme="majorHAnsi" w:hAnsiTheme="majorHAnsi"/>
        </w:rPr>
        <w:t xml:space="preserve"> Véase el documento "Tablas de cumplimiento de 2025 recibidas en 2026" [COC_304/2026].</w:t>
      </w:r>
    </w:p>
    <w:p w14:paraId="5399C500" w14:textId="77777777" w:rsidR="00501F35" w:rsidRPr="00364A87" w:rsidRDefault="00501F35" w:rsidP="00501F35">
      <w:pPr>
        <w:widowControl/>
        <w:autoSpaceDE/>
        <w:autoSpaceDN/>
        <w:adjustRightInd/>
        <w:jc w:val="both"/>
        <w:rPr>
          <w:rFonts w:asciiTheme="majorHAnsi" w:hAnsiTheme="majorHAnsi"/>
          <w:bCs/>
          <w:i/>
          <w:lang w:eastAsia="en-GB"/>
        </w:rPr>
      </w:pPr>
    </w:p>
    <w:p w14:paraId="4D278091" w14:textId="77777777" w:rsidR="00501F35" w:rsidRPr="00536AB6" w:rsidRDefault="00501F35" w:rsidP="00501F35">
      <w:pPr>
        <w:widowControl/>
        <w:autoSpaceDE/>
        <w:autoSpaceDN/>
        <w:adjustRightInd/>
        <w:jc w:val="both"/>
        <w:rPr>
          <w:rFonts w:asciiTheme="majorHAnsi" w:hAnsiTheme="majorHAnsi"/>
        </w:rPr>
      </w:pPr>
      <w:r>
        <w:rPr>
          <w:rFonts w:asciiTheme="majorHAnsi" w:hAnsiTheme="majorHAnsi"/>
        </w:rPr>
        <w:t xml:space="preserve">Para la aplicación de estas medidas, véanse las "Hojas de comprobación de tiburones recibidas de acuerdo con la Rec. 18-06" [COC_314/2026]. </w:t>
      </w:r>
    </w:p>
    <w:p w14:paraId="72BD41ED" w14:textId="77777777" w:rsidR="00501F35" w:rsidRPr="00364A87" w:rsidRDefault="00501F35" w:rsidP="006D1DE6">
      <w:pPr>
        <w:tabs>
          <w:tab w:val="left" w:pos="709"/>
          <w:tab w:val="left" w:pos="1276"/>
          <w:tab w:val="left" w:pos="1418"/>
          <w:tab w:val="left" w:leader="dot" w:pos="8222"/>
          <w:tab w:val="right" w:pos="8647"/>
        </w:tabs>
        <w:jc w:val="both"/>
        <w:rPr>
          <w:rFonts w:asciiTheme="majorHAnsi" w:hAnsiTheme="majorHAnsi"/>
          <w:bCs/>
          <w:i/>
        </w:rPr>
      </w:pPr>
    </w:p>
    <w:p w14:paraId="7D5CAEA1" w14:textId="381705B9" w:rsidR="004E41C9" w:rsidRPr="00536AB6" w:rsidRDefault="004E41C9" w:rsidP="004E41C9">
      <w:pPr>
        <w:tabs>
          <w:tab w:val="left" w:pos="709"/>
          <w:tab w:val="left" w:pos="1276"/>
          <w:tab w:val="left" w:pos="1418"/>
          <w:tab w:val="left" w:leader="dot" w:pos="8222"/>
          <w:tab w:val="right" w:pos="8647"/>
        </w:tabs>
        <w:jc w:val="both"/>
        <w:rPr>
          <w:rFonts w:asciiTheme="majorHAnsi" w:hAnsiTheme="majorHAnsi"/>
          <w:bCs/>
          <w:i/>
        </w:rPr>
      </w:pPr>
      <w:r>
        <w:rPr>
          <w:rFonts w:asciiTheme="majorHAnsi" w:hAnsiTheme="majorHAnsi"/>
          <w:i/>
        </w:rPr>
        <w:t>[21-09] Recomendación de ICCAT sobre la conservación del stock de marrajo dientuso del Atlántico norte capturado en asociación con pesquerías de ICCAT</w:t>
      </w:r>
    </w:p>
    <w:p w14:paraId="066D23F6" w14:textId="77777777" w:rsidR="004F6619" w:rsidRPr="00364A87" w:rsidRDefault="004F6619" w:rsidP="004E41C9">
      <w:pPr>
        <w:tabs>
          <w:tab w:val="left" w:pos="709"/>
          <w:tab w:val="left" w:pos="1276"/>
          <w:tab w:val="left" w:pos="1418"/>
          <w:tab w:val="left" w:leader="dot" w:pos="8222"/>
          <w:tab w:val="right" w:pos="8647"/>
        </w:tabs>
        <w:jc w:val="both"/>
        <w:rPr>
          <w:rFonts w:asciiTheme="majorHAnsi" w:hAnsiTheme="majorHAnsi"/>
          <w:bCs/>
          <w:i/>
        </w:rPr>
      </w:pPr>
    </w:p>
    <w:p w14:paraId="1DF77471" w14:textId="4A33A998" w:rsidR="004F6619" w:rsidRPr="00536AB6" w:rsidRDefault="004F6619" w:rsidP="004F6619">
      <w:pPr>
        <w:tabs>
          <w:tab w:val="left" w:pos="1276"/>
          <w:tab w:val="left" w:pos="1418"/>
          <w:tab w:val="left" w:leader="dot" w:pos="8222"/>
          <w:tab w:val="right" w:pos="8647"/>
        </w:tabs>
        <w:jc w:val="both"/>
        <w:rPr>
          <w:rFonts w:asciiTheme="majorHAnsi" w:hAnsiTheme="majorHAnsi"/>
          <w:bCs/>
        </w:rPr>
      </w:pPr>
      <w:r>
        <w:rPr>
          <w:rFonts w:asciiTheme="majorHAnsi" w:hAnsiTheme="majorHAnsi"/>
        </w:rPr>
        <w:lastRenderedPageBreak/>
        <w:t>La mortalidad por pesca total del marrajo dientuso del Atlántico norte no superará las 250 t hasta que la Comisión reciba un nuevo asesoramiento del SCRS.</w:t>
      </w:r>
    </w:p>
    <w:p w14:paraId="6C7F8CA2" w14:textId="77777777" w:rsidR="006B5B0F" w:rsidRPr="00364A87" w:rsidRDefault="006B5B0F" w:rsidP="004F6619">
      <w:pPr>
        <w:tabs>
          <w:tab w:val="left" w:pos="1276"/>
          <w:tab w:val="left" w:pos="1418"/>
          <w:tab w:val="left" w:leader="dot" w:pos="8222"/>
          <w:tab w:val="right" w:pos="8647"/>
        </w:tabs>
        <w:jc w:val="both"/>
        <w:rPr>
          <w:rFonts w:asciiTheme="majorHAnsi" w:hAnsiTheme="majorHAnsi"/>
          <w:bCs/>
        </w:rPr>
      </w:pPr>
    </w:p>
    <w:p w14:paraId="1FB69105" w14:textId="58CC7F6E" w:rsidR="004F6619" w:rsidRPr="00536AB6" w:rsidRDefault="004F6619" w:rsidP="004F6619">
      <w:pPr>
        <w:tabs>
          <w:tab w:val="left" w:pos="1276"/>
          <w:tab w:val="left" w:pos="1418"/>
          <w:tab w:val="left" w:leader="dot" w:pos="8222"/>
          <w:tab w:val="right" w:pos="8647"/>
        </w:tabs>
        <w:jc w:val="both"/>
        <w:rPr>
          <w:rFonts w:asciiTheme="majorHAnsi" w:hAnsiTheme="majorHAnsi"/>
        </w:rPr>
      </w:pPr>
      <w:r>
        <w:rPr>
          <w:rFonts w:asciiTheme="majorHAnsi" w:hAnsiTheme="majorHAnsi"/>
          <w:b/>
          <w:i/>
        </w:rPr>
        <w:t xml:space="preserve">Informes mensuales: </w:t>
      </w:r>
      <w:r>
        <w:rPr>
          <w:rFonts w:asciiTheme="majorHAnsi" w:hAnsiTheme="majorHAnsi"/>
        </w:rPr>
        <w:t xml:space="preserve">A continuación se muestra la cantidad total de los informes mensuales recibidos de las CPC para 2025, junto con los totales de la Tarea 1, de los que se desprende que el stock </w:t>
      </w:r>
      <w:r w:rsidR="0054072F">
        <w:rPr>
          <w:rFonts w:asciiTheme="majorHAnsi" w:hAnsiTheme="majorHAnsi"/>
        </w:rPr>
        <w:t>ha sido objeto de exceso de captura</w:t>
      </w:r>
      <w:r>
        <w:rPr>
          <w:rFonts w:asciiTheme="majorHAnsi" w:hAnsiTheme="majorHAnsi"/>
        </w:rPr>
        <w:t xml:space="preserve"> en 2025. Existe una diferencia sustancial entre la cantidad notificada mensualmente y en la Tarea 1, ya que sólo tres CPC presentaron estos informes mensuales en 2025. </w:t>
      </w:r>
    </w:p>
    <w:p w14:paraId="23883D28" w14:textId="77777777" w:rsidR="001E5CEC" w:rsidRPr="00364A87" w:rsidRDefault="001E5CEC" w:rsidP="004F6619">
      <w:pPr>
        <w:tabs>
          <w:tab w:val="left" w:pos="1276"/>
          <w:tab w:val="left" w:pos="1418"/>
          <w:tab w:val="left" w:leader="dot" w:pos="8222"/>
          <w:tab w:val="right" w:pos="8647"/>
        </w:tabs>
        <w:jc w:val="both"/>
        <w:rPr>
          <w:rFonts w:asciiTheme="majorHAnsi" w:hAnsiTheme="majorHAnsi"/>
        </w:rPr>
      </w:pPr>
    </w:p>
    <w:tbl>
      <w:tblPr>
        <w:tblW w:w="5000" w:type="pct"/>
        <w:tblLook w:val="04A0" w:firstRow="1" w:lastRow="0" w:firstColumn="1" w:lastColumn="0" w:noHBand="0" w:noVBand="1"/>
      </w:tblPr>
      <w:tblGrid>
        <w:gridCol w:w="1658"/>
        <w:gridCol w:w="2858"/>
        <w:gridCol w:w="2892"/>
        <w:gridCol w:w="1657"/>
      </w:tblGrid>
      <w:tr w:rsidR="004F6619" w:rsidRPr="00536AB6" w14:paraId="0F1DC8B7" w14:textId="77777777" w:rsidTr="006B5B0F">
        <w:trPr>
          <w:trHeight w:val="602"/>
        </w:trPr>
        <w:tc>
          <w:tcPr>
            <w:tcW w:w="843" w:type="pct"/>
            <w:tcBorders>
              <w:top w:val="single" w:sz="4" w:space="0" w:color="auto"/>
              <w:left w:val="single" w:sz="4" w:space="0" w:color="auto"/>
              <w:bottom w:val="single" w:sz="4" w:space="0" w:color="auto"/>
              <w:right w:val="single" w:sz="4" w:space="0" w:color="auto"/>
            </w:tcBorders>
            <w:noWrap/>
            <w:vAlign w:val="center"/>
            <w:hideMark/>
          </w:tcPr>
          <w:p w14:paraId="4C0D1372" w14:textId="77777777" w:rsidR="004F6619" w:rsidRPr="00536AB6" w:rsidRDefault="004F6619" w:rsidP="00761E12">
            <w:pPr>
              <w:widowControl/>
              <w:autoSpaceDE/>
              <w:autoSpaceDN/>
              <w:adjustRightInd/>
              <w:rPr>
                <w:rFonts w:asciiTheme="majorHAnsi" w:hAnsiTheme="majorHAnsi"/>
                <w:i/>
                <w:iCs/>
                <w:color w:val="000000"/>
              </w:rPr>
            </w:pPr>
            <w:r>
              <w:rPr>
                <w:rFonts w:asciiTheme="majorHAnsi" w:hAnsiTheme="majorHAnsi"/>
                <w:i/>
                <w:color w:val="000000"/>
              </w:rPr>
              <w:t>Marrajo dientuso</w:t>
            </w:r>
          </w:p>
        </w:tc>
        <w:tc>
          <w:tcPr>
            <w:tcW w:w="1600" w:type="pct"/>
            <w:tcBorders>
              <w:top w:val="single" w:sz="4" w:space="0" w:color="auto"/>
              <w:left w:val="nil"/>
              <w:bottom w:val="single" w:sz="4" w:space="0" w:color="auto"/>
              <w:right w:val="single" w:sz="4" w:space="0" w:color="auto"/>
            </w:tcBorders>
            <w:vAlign w:val="center"/>
            <w:hideMark/>
          </w:tcPr>
          <w:p w14:paraId="2CAFCC97" w14:textId="03A8D9D7" w:rsidR="004F6619" w:rsidRPr="002B2F1E" w:rsidRDefault="004F6619" w:rsidP="00761E12">
            <w:pPr>
              <w:widowControl/>
              <w:autoSpaceDE/>
              <w:autoSpaceDN/>
              <w:adjustRightInd/>
              <w:jc w:val="center"/>
              <w:rPr>
                <w:rFonts w:asciiTheme="majorHAnsi" w:hAnsiTheme="majorHAnsi" w:cs="Calibri"/>
                <w:i/>
                <w:iCs/>
                <w:color w:val="000000"/>
              </w:rPr>
            </w:pPr>
            <w:r w:rsidRPr="002B2F1E">
              <w:rPr>
                <w:rFonts w:asciiTheme="majorHAnsi" w:hAnsiTheme="majorHAnsi"/>
                <w:i/>
                <w:color w:val="000000"/>
              </w:rPr>
              <w:t>Mortalidad total por pesca en 2025 (t)</w:t>
            </w:r>
          </w:p>
        </w:tc>
        <w:tc>
          <w:tcPr>
            <w:tcW w:w="1619" w:type="pct"/>
            <w:tcBorders>
              <w:top w:val="single" w:sz="4" w:space="0" w:color="auto"/>
              <w:left w:val="nil"/>
              <w:bottom w:val="single" w:sz="4" w:space="0" w:color="auto"/>
              <w:right w:val="single" w:sz="4" w:space="0" w:color="auto"/>
            </w:tcBorders>
            <w:vAlign w:val="center"/>
            <w:hideMark/>
          </w:tcPr>
          <w:p w14:paraId="76B2B122" w14:textId="7FB9C958" w:rsidR="00CA431D" w:rsidRPr="002B2F1E" w:rsidRDefault="004F6619" w:rsidP="00761E12">
            <w:pPr>
              <w:widowControl/>
              <w:autoSpaceDE/>
              <w:autoSpaceDN/>
              <w:adjustRightInd/>
              <w:jc w:val="center"/>
              <w:rPr>
                <w:rFonts w:asciiTheme="majorHAnsi" w:hAnsiTheme="majorHAnsi" w:cs="Calibri"/>
                <w:i/>
                <w:iCs/>
                <w:color w:val="000000"/>
              </w:rPr>
            </w:pPr>
            <w:r w:rsidRPr="002B2F1E">
              <w:rPr>
                <w:rFonts w:asciiTheme="majorHAnsi" w:hAnsiTheme="majorHAnsi"/>
                <w:i/>
                <w:color w:val="000000"/>
              </w:rPr>
              <w:t xml:space="preserve">Capturas totales de 2025 </w:t>
            </w:r>
          </w:p>
          <w:p w14:paraId="6F487DF7" w14:textId="62B5E22D" w:rsidR="004F6619" w:rsidRPr="002B2F1E" w:rsidRDefault="004F6619" w:rsidP="00761E12">
            <w:pPr>
              <w:widowControl/>
              <w:autoSpaceDE/>
              <w:autoSpaceDN/>
              <w:adjustRightInd/>
              <w:jc w:val="center"/>
              <w:rPr>
                <w:rFonts w:asciiTheme="majorHAnsi" w:hAnsiTheme="majorHAnsi" w:cs="Calibri"/>
                <w:i/>
                <w:iCs/>
                <w:color w:val="000000"/>
              </w:rPr>
            </w:pPr>
            <w:r w:rsidRPr="002B2F1E">
              <w:rPr>
                <w:rFonts w:asciiTheme="majorHAnsi" w:hAnsiTheme="majorHAnsi"/>
                <w:i/>
                <w:color w:val="000000"/>
              </w:rPr>
              <w:t>comunicadas mensualmente (t)</w:t>
            </w:r>
          </w:p>
        </w:tc>
        <w:tc>
          <w:tcPr>
            <w:tcW w:w="937" w:type="pct"/>
            <w:tcBorders>
              <w:top w:val="single" w:sz="4" w:space="0" w:color="auto"/>
              <w:left w:val="nil"/>
              <w:bottom w:val="single" w:sz="4" w:space="0" w:color="auto"/>
              <w:right w:val="single" w:sz="4" w:space="0" w:color="auto"/>
            </w:tcBorders>
            <w:vAlign w:val="center"/>
            <w:hideMark/>
          </w:tcPr>
          <w:p w14:paraId="4B156703" w14:textId="156E422B" w:rsidR="004F6619" w:rsidRPr="002B2F1E" w:rsidRDefault="004F6619" w:rsidP="00761E12">
            <w:pPr>
              <w:widowControl/>
              <w:autoSpaceDE/>
              <w:autoSpaceDN/>
              <w:adjustRightInd/>
              <w:jc w:val="center"/>
              <w:rPr>
                <w:rFonts w:asciiTheme="majorHAnsi" w:hAnsiTheme="majorHAnsi" w:cs="Calibri"/>
                <w:i/>
                <w:iCs/>
                <w:color w:val="000000"/>
              </w:rPr>
            </w:pPr>
            <w:r w:rsidRPr="002B2F1E">
              <w:rPr>
                <w:rFonts w:asciiTheme="majorHAnsi" w:hAnsiTheme="majorHAnsi"/>
                <w:i/>
                <w:color w:val="000000"/>
              </w:rPr>
              <w:t>Tarea 1 de 2025 (t)</w:t>
            </w:r>
          </w:p>
        </w:tc>
      </w:tr>
      <w:tr w:rsidR="004F6619" w:rsidRPr="00536AB6" w14:paraId="7A30A662" w14:textId="77777777" w:rsidTr="006B5B0F">
        <w:trPr>
          <w:trHeight w:val="300"/>
        </w:trPr>
        <w:tc>
          <w:tcPr>
            <w:tcW w:w="843" w:type="pct"/>
            <w:tcBorders>
              <w:top w:val="nil"/>
              <w:left w:val="single" w:sz="4" w:space="0" w:color="auto"/>
              <w:bottom w:val="single" w:sz="4" w:space="0" w:color="auto"/>
              <w:right w:val="single" w:sz="4" w:space="0" w:color="auto"/>
            </w:tcBorders>
            <w:noWrap/>
            <w:vAlign w:val="center"/>
            <w:hideMark/>
          </w:tcPr>
          <w:p w14:paraId="04A9DA2B" w14:textId="77777777" w:rsidR="004F6619" w:rsidRPr="00536AB6" w:rsidRDefault="004F6619" w:rsidP="00761E12">
            <w:pPr>
              <w:widowControl/>
              <w:autoSpaceDE/>
              <w:autoSpaceDN/>
              <w:adjustRightInd/>
              <w:jc w:val="center"/>
              <w:rPr>
                <w:rFonts w:asciiTheme="majorHAnsi" w:hAnsiTheme="majorHAnsi"/>
                <w:color w:val="000000"/>
              </w:rPr>
            </w:pPr>
            <w:r>
              <w:rPr>
                <w:rFonts w:asciiTheme="majorHAnsi" w:hAnsiTheme="majorHAnsi"/>
                <w:color w:val="000000"/>
              </w:rPr>
              <w:t>ATN</w:t>
            </w:r>
          </w:p>
        </w:tc>
        <w:tc>
          <w:tcPr>
            <w:tcW w:w="1600" w:type="pct"/>
            <w:tcBorders>
              <w:top w:val="nil"/>
              <w:left w:val="nil"/>
              <w:bottom w:val="single" w:sz="4" w:space="0" w:color="auto"/>
              <w:right w:val="single" w:sz="4" w:space="0" w:color="auto"/>
            </w:tcBorders>
            <w:vAlign w:val="center"/>
            <w:hideMark/>
          </w:tcPr>
          <w:p w14:paraId="03235441" w14:textId="77777777" w:rsidR="004F6619" w:rsidRPr="002B2F1E" w:rsidRDefault="004F6619" w:rsidP="00761E12">
            <w:pPr>
              <w:widowControl/>
              <w:autoSpaceDE/>
              <w:autoSpaceDN/>
              <w:adjustRightInd/>
              <w:jc w:val="center"/>
              <w:rPr>
                <w:rFonts w:asciiTheme="majorHAnsi" w:hAnsiTheme="majorHAnsi"/>
                <w:color w:val="000000"/>
              </w:rPr>
            </w:pPr>
            <w:r w:rsidRPr="002B2F1E">
              <w:rPr>
                <w:rFonts w:asciiTheme="majorHAnsi" w:hAnsiTheme="majorHAnsi"/>
                <w:color w:val="000000"/>
              </w:rPr>
              <w:t>250</w:t>
            </w:r>
          </w:p>
        </w:tc>
        <w:tc>
          <w:tcPr>
            <w:tcW w:w="1619" w:type="pct"/>
            <w:tcBorders>
              <w:top w:val="nil"/>
              <w:left w:val="nil"/>
              <w:bottom w:val="single" w:sz="4" w:space="0" w:color="auto"/>
              <w:right w:val="single" w:sz="4" w:space="0" w:color="auto"/>
            </w:tcBorders>
            <w:vAlign w:val="center"/>
            <w:hideMark/>
          </w:tcPr>
          <w:p w14:paraId="7D63F0AA" w14:textId="6976366F" w:rsidR="004F6619" w:rsidRPr="002B2F1E" w:rsidRDefault="004F6619" w:rsidP="00761E12">
            <w:pPr>
              <w:widowControl/>
              <w:autoSpaceDE/>
              <w:autoSpaceDN/>
              <w:adjustRightInd/>
              <w:jc w:val="center"/>
              <w:rPr>
                <w:rFonts w:asciiTheme="majorHAnsi" w:hAnsiTheme="majorHAnsi"/>
                <w:color w:val="000000"/>
              </w:rPr>
            </w:pPr>
            <w:r w:rsidRPr="002B2F1E">
              <w:rPr>
                <w:rFonts w:asciiTheme="majorHAnsi" w:hAnsiTheme="majorHAnsi"/>
                <w:color w:val="000000"/>
              </w:rPr>
              <w:t>0</w:t>
            </w:r>
          </w:p>
        </w:tc>
        <w:tc>
          <w:tcPr>
            <w:tcW w:w="937" w:type="pct"/>
            <w:tcBorders>
              <w:top w:val="nil"/>
              <w:left w:val="nil"/>
              <w:bottom w:val="single" w:sz="4" w:space="0" w:color="auto"/>
              <w:right w:val="single" w:sz="4" w:space="0" w:color="auto"/>
            </w:tcBorders>
            <w:vAlign w:val="center"/>
            <w:hideMark/>
          </w:tcPr>
          <w:p w14:paraId="7E14ACA8" w14:textId="77132733" w:rsidR="004F6619" w:rsidRPr="002B2F1E" w:rsidRDefault="00B571DF" w:rsidP="00761E12">
            <w:pPr>
              <w:widowControl/>
              <w:autoSpaceDE/>
              <w:autoSpaceDN/>
              <w:adjustRightInd/>
              <w:jc w:val="center"/>
              <w:rPr>
                <w:rFonts w:asciiTheme="majorHAnsi" w:hAnsiTheme="majorHAnsi"/>
                <w:color w:val="000000"/>
              </w:rPr>
            </w:pPr>
            <w:r w:rsidRPr="002B2F1E">
              <w:rPr>
                <w:rFonts w:asciiTheme="majorHAnsi" w:hAnsiTheme="majorHAnsi"/>
              </w:rPr>
              <w:t>631</w:t>
            </w:r>
          </w:p>
        </w:tc>
      </w:tr>
    </w:tbl>
    <w:p w14:paraId="376BF975" w14:textId="77777777" w:rsidR="004F6619" w:rsidRPr="00536AB6" w:rsidRDefault="004F6619" w:rsidP="004F6619">
      <w:pPr>
        <w:tabs>
          <w:tab w:val="left" w:pos="1276"/>
          <w:tab w:val="left" w:pos="1418"/>
          <w:tab w:val="left" w:leader="dot" w:pos="8222"/>
          <w:tab w:val="right" w:pos="8647"/>
        </w:tabs>
        <w:rPr>
          <w:rFonts w:asciiTheme="majorHAnsi" w:hAnsiTheme="majorHAnsi"/>
          <w:bCs/>
          <w:lang w:val="en-GB"/>
        </w:rPr>
      </w:pPr>
    </w:p>
    <w:p w14:paraId="444DE115" w14:textId="57F2BB4C" w:rsidR="004F6619" w:rsidRPr="00536AB6" w:rsidRDefault="00AA0D0C" w:rsidP="004F6619">
      <w:pPr>
        <w:jc w:val="both"/>
        <w:rPr>
          <w:rFonts w:asciiTheme="majorHAnsi" w:hAnsiTheme="majorHAnsi"/>
          <w:color w:val="000000" w:themeColor="text1"/>
        </w:rPr>
      </w:pPr>
      <w:r>
        <w:rPr>
          <w:rFonts w:asciiTheme="majorHAnsi" w:hAnsiTheme="majorHAnsi"/>
          <w:color w:val="000000" w:themeColor="text1"/>
        </w:rPr>
        <w:t xml:space="preserve">Cabe señalar que se excluyen los descartes vivos (DL) y que los datos de Tarea 1 del ST02 excluyen los traspasos. Las obligaciones de comunicación de Tarea 1 se revisan en virtud de la Rec. 11-15. La Recomendación exige a las CPC que, a partir de 2020, faciliten información en sus informes anuales sobre cómo se está aplicando esta Recomendación.  Estos informes están incluidos en la hoja de comprobación de tiburones (véase la Rec. 18-06 más abajo). </w:t>
      </w:r>
    </w:p>
    <w:p w14:paraId="58975E11" w14:textId="77777777" w:rsidR="00B571DF" w:rsidRPr="00364A87" w:rsidRDefault="00B571DF" w:rsidP="004F6619">
      <w:pPr>
        <w:jc w:val="both"/>
        <w:rPr>
          <w:rFonts w:asciiTheme="majorHAnsi" w:hAnsiTheme="majorHAnsi"/>
          <w:color w:val="000000" w:themeColor="text1"/>
        </w:rPr>
      </w:pPr>
    </w:p>
    <w:p w14:paraId="1B5BDEEC" w14:textId="4A241A69" w:rsidR="00607A6D" w:rsidRPr="00536AB6" w:rsidRDefault="00F8728F" w:rsidP="004E41C9">
      <w:pPr>
        <w:tabs>
          <w:tab w:val="left" w:pos="709"/>
          <w:tab w:val="left" w:pos="1276"/>
          <w:tab w:val="left" w:pos="1418"/>
          <w:tab w:val="left" w:leader="dot" w:pos="8222"/>
          <w:tab w:val="right" w:pos="8647"/>
        </w:tabs>
        <w:jc w:val="both"/>
        <w:rPr>
          <w:rFonts w:asciiTheme="majorHAnsi" w:hAnsiTheme="majorHAnsi"/>
        </w:rPr>
      </w:pPr>
      <w:r>
        <w:rPr>
          <w:rFonts w:asciiTheme="majorHAnsi" w:hAnsiTheme="majorHAnsi"/>
          <w:i/>
        </w:rPr>
        <w:t xml:space="preserve">[Rec. 22-11] </w:t>
      </w:r>
      <w:hyperlink r:id="rId26" w:tgtFrame="_blank" w:history="1">
        <w:r>
          <w:rPr>
            <w:rFonts w:asciiTheme="majorHAnsi" w:hAnsiTheme="majorHAnsi"/>
            <w:i/>
          </w:rPr>
          <w:t>Recomendación de ICCAT sobre la conservación del stock de marrajo dientuso del Atlántico sur capturado en asociación con pesquerías de ICCAT</w:t>
        </w:r>
      </w:hyperlink>
    </w:p>
    <w:p w14:paraId="5E308736" w14:textId="77777777" w:rsidR="00607A6D" w:rsidRPr="00364A87" w:rsidRDefault="00607A6D" w:rsidP="004E41C9">
      <w:pPr>
        <w:tabs>
          <w:tab w:val="left" w:pos="709"/>
          <w:tab w:val="left" w:pos="1276"/>
          <w:tab w:val="left" w:pos="1418"/>
          <w:tab w:val="left" w:leader="dot" w:pos="8222"/>
          <w:tab w:val="right" w:pos="8647"/>
        </w:tabs>
        <w:jc w:val="both"/>
        <w:rPr>
          <w:rFonts w:asciiTheme="majorHAnsi" w:hAnsiTheme="majorHAnsi"/>
        </w:rPr>
      </w:pPr>
    </w:p>
    <w:p w14:paraId="107EA6F9" w14:textId="40FBF781" w:rsidR="00607A6D" w:rsidRPr="00536AB6" w:rsidRDefault="00607A6D" w:rsidP="00607A6D">
      <w:pPr>
        <w:tabs>
          <w:tab w:val="left" w:pos="1276"/>
          <w:tab w:val="left" w:pos="1418"/>
          <w:tab w:val="left" w:leader="dot" w:pos="8222"/>
          <w:tab w:val="right" w:pos="8647"/>
        </w:tabs>
        <w:jc w:val="both"/>
        <w:rPr>
          <w:rFonts w:asciiTheme="majorHAnsi" w:hAnsiTheme="majorHAnsi"/>
          <w:bCs/>
        </w:rPr>
      </w:pPr>
      <w:r>
        <w:rPr>
          <w:rFonts w:asciiTheme="majorHAnsi" w:hAnsiTheme="majorHAnsi"/>
          <w:i/>
        </w:rPr>
        <w:t>(</w:t>
      </w:r>
      <w:r>
        <w:rPr>
          <w:rFonts w:asciiTheme="majorHAnsi" w:hAnsiTheme="majorHAnsi"/>
        </w:rPr>
        <w:t>sustituida por la</w:t>
      </w:r>
      <w:r>
        <w:rPr>
          <w:rFonts w:asciiTheme="majorHAnsi" w:hAnsiTheme="majorHAnsi"/>
          <w:i/>
        </w:rPr>
        <w:t xml:space="preserve"> [Rec. 25-08] Recomendación de ICCAT que reemplaza la Recomendación 22-11 sobre la conservación del stock de marrajo dientuso del Atlántico sur capturado en asociación con pesquerías de ICCAT</w:t>
      </w:r>
      <w:r>
        <w:rPr>
          <w:rFonts w:asciiTheme="majorHAnsi" w:hAnsiTheme="majorHAnsi"/>
        </w:rPr>
        <w:t>)</w:t>
      </w:r>
    </w:p>
    <w:p w14:paraId="5B39881B" w14:textId="1F7C58BE" w:rsidR="00E46C95" w:rsidRPr="00536AB6" w:rsidRDefault="00914DFF" w:rsidP="006A2402">
      <w:pPr>
        <w:jc w:val="both"/>
        <w:rPr>
          <w:rFonts w:asciiTheme="majorHAnsi" w:hAnsiTheme="majorHAnsi"/>
          <w:bCs/>
        </w:rPr>
      </w:pPr>
      <w:r>
        <w:rPr>
          <w:rFonts w:asciiTheme="majorHAnsi" w:hAnsiTheme="majorHAnsi"/>
        </w:rPr>
        <w:t>Se estableció una tolerancia de retención total de 1.295 t para el marrajo dientuso del Atlántico sur para 2023 y 2024. El objetivo era que esta tolerancia de retención, combinada con la suma de los descartes muertos y la mortalidad posterior a la liberación estimados, tuviera como resultado una mortalidad total inferior a la recomendada por el SCRS. La Comisión revisó esta medida en la 29.ª Reunión ordinaria de ICCAT y fijó un objetivo de mortalidad máxima de 1.000 t, junto con un margen de retención para diversas CPC para el año 2026. Para los próximos años, el SCRS calculará los nuevos niveles de retención, incluidas las asignaciones individuales de las CPC, y facilitará los resultados a la Comisión.</w:t>
      </w:r>
    </w:p>
    <w:p w14:paraId="20524707" w14:textId="77777777" w:rsidR="006A2402" w:rsidRPr="00364A87" w:rsidRDefault="006A2402" w:rsidP="006A2402">
      <w:pPr>
        <w:jc w:val="both"/>
        <w:rPr>
          <w:rFonts w:asciiTheme="majorHAnsi" w:hAnsiTheme="majorHAnsi"/>
          <w:bCs/>
        </w:rPr>
      </w:pPr>
    </w:p>
    <w:p w14:paraId="3CECA133" w14:textId="29BD868E" w:rsidR="004E41C9" w:rsidRPr="00536AB6" w:rsidRDefault="004E41C9" w:rsidP="004E41C9">
      <w:pPr>
        <w:tabs>
          <w:tab w:val="left" w:pos="1276"/>
          <w:tab w:val="left" w:pos="1418"/>
          <w:tab w:val="left" w:leader="dot" w:pos="8222"/>
          <w:tab w:val="right" w:pos="8647"/>
        </w:tabs>
        <w:jc w:val="both"/>
        <w:rPr>
          <w:rFonts w:asciiTheme="majorHAnsi" w:hAnsiTheme="majorHAnsi"/>
        </w:rPr>
      </w:pPr>
      <w:r>
        <w:rPr>
          <w:rFonts w:asciiTheme="majorHAnsi" w:hAnsiTheme="majorHAnsi"/>
          <w:b/>
          <w:i/>
        </w:rPr>
        <w:t xml:space="preserve">Informes mensuales: </w:t>
      </w:r>
      <w:r>
        <w:rPr>
          <w:rFonts w:asciiTheme="majorHAnsi" w:hAnsiTheme="majorHAnsi"/>
        </w:rPr>
        <w:t xml:space="preserve">A continuación se muestra la cantidad total de los informes mensuales recibidos de las CPC para 2025, junto con los totales de la Tarea 1, de los que se desprende que el stock no </w:t>
      </w:r>
      <w:r w:rsidR="00FC32A6">
        <w:rPr>
          <w:rFonts w:asciiTheme="majorHAnsi" w:hAnsiTheme="majorHAnsi"/>
        </w:rPr>
        <w:t>fue objeto de exceso de c</w:t>
      </w:r>
      <w:r w:rsidR="00274E20">
        <w:rPr>
          <w:rFonts w:asciiTheme="majorHAnsi" w:hAnsiTheme="majorHAnsi"/>
        </w:rPr>
        <w:t>aptura</w:t>
      </w:r>
      <w:r>
        <w:rPr>
          <w:rFonts w:asciiTheme="majorHAnsi" w:hAnsiTheme="majorHAnsi"/>
        </w:rPr>
        <w:t xml:space="preserve"> en 2025. Existe una diferencia sustancial entre la cantidad notificada mensualmente y en la Tarea 1, ya que sólo cinco CPC presentaron estos informes mensuales en 2025. </w:t>
      </w:r>
    </w:p>
    <w:p w14:paraId="5CF0EC14" w14:textId="77777777" w:rsidR="004E41C9" w:rsidRPr="00364A87" w:rsidRDefault="004E41C9" w:rsidP="004E41C9">
      <w:pPr>
        <w:tabs>
          <w:tab w:val="left" w:pos="1276"/>
          <w:tab w:val="left" w:pos="1418"/>
          <w:tab w:val="left" w:leader="dot" w:pos="8222"/>
          <w:tab w:val="right" w:pos="8647"/>
        </w:tabs>
        <w:jc w:val="both"/>
        <w:rPr>
          <w:rFonts w:asciiTheme="majorHAnsi" w:hAnsiTheme="majorHAnsi"/>
        </w:rPr>
      </w:pPr>
    </w:p>
    <w:tbl>
      <w:tblPr>
        <w:tblW w:w="5000" w:type="pct"/>
        <w:tblLook w:val="04A0" w:firstRow="1" w:lastRow="0" w:firstColumn="1" w:lastColumn="0" w:noHBand="0" w:noVBand="1"/>
      </w:tblPr>
      <w:tblGrid>
        <w:gridCol w:w="1658"/>
        <w:gridCol w:w="2817"/>
        <w:gridCol w:w="2934"/>
        <w:gridCol w:w="1656"/>
      </w:tblGrid>
      <w:tr w:rsidR="004E41C9" w:rsidRPr="00A53C3B" w14:paraId="6774621D" w14:textId="77777777" w:rsidTr="00620BD8">
        <w:trPr>
          <w:trHeight w:val="602"/>
        </w:trPr>
        <w:tc>
          <w:tcPr>
            <w:tcW w:w="843" w:type="pct"/>
            <w:tcBorders>
              <w:top w:val="single" w:sz="4" w:space="0" w:color="auto"/>
              <w:left w:val="single" w:sz="4" w:space="0" w:color="auto"/>
              <w:bottom w:val="single" w:sz="4" w:space="0" w:color="auto"/>
              <w:right w:val="single" w:sz="4" w:space="0" w:color="auto"/>
            </w:tcBorders>
            <w:noWrap/>
            <w:vAlign w:val="center"/>
            <w:hideMark/>
          </w:tcPr>
          <w:p w14:paraId="219DB134" w14:textId="77777777" w:rsidR="004E41C9" w:rsidRPr="00A53C3B" w:rsidRDefault="004E41C9" w:rsidP="000C1506">
            <w:pPr>
              <w:widowControl/>
              <w:autoSpaceDE/>
              <w:autoSpaceDN/>
              <w:adjustRightInd/>
              <w:rPr>
                <w:rFonts w:asciiTheme="majorHAnsi" w:hAnsiTheme="majorHAnsi"/>
                <w:i/>
                <w:iCs/>
                <w:color w:val="000000"/>
              </w:rPr>
            </w:pPr>
            <w:r w:rsidRPr="00A53C3B">
              <w:rPr>
                <w:rFonts w:asciiTheme="majorHAnsi" w:hAnsiTheme="majorHAnsi"/>
                <w:i/>
                <w:color w:val="000000"/>
              </w:rPr>
              <w:t>Marrajo dientuso</w:t>
            </w:r>
          </w:p>
        </w:tc>
        <w:tc>
          <w:tcPr>
            <w:tcW w:w="1578" w:type="pct"/>
            <w:tcBorders>
              <w:top w:val="single" w:sz="4" w:space="0" w:color="auto"/>
              <w:left w:val="nil"/>
              <w:bottom w:val="single" w:sz="4" w:space="0" w:color="auto"/>
              <w:right w:val="single" w:sz="4" w:space="0" w:color="auto"/>
            </w:tcBorders>
            <w:vAlign w:val="center"/>
            <w:hideMark/>
          </w:tcPr>
          <w:p w14:paraId="29C64930" w14:textId="1DD277A5" w:rsidR="00620BD8" w:rsidRPr="00A53C3B" w:rsidRDefault="00620BD8" w:rsidP="000C1506">
            <w:pPr>
              <w:widowControl/>
              <w:autoSpaceDE/>
              <w:autoSpaceDN/>
              <w:adjustRightInd/>
              <w:jc w:val="center"/>
              <w:rPr>
                <w:rFonts w:asciiTheme="majorHAnsi" w:hAnsiTheme="majorHAnsi" w:cs="Calibri"/>
                <w:i/>
                <w:iCs/>
                <w:color w:val="000000"/>
              </w:rPr>
            </w:pPr>
            <w:r w:rsidRPr="00A53C3B">
              <w:rPr>
                <w:rFonts w:asciiTheme="majorHAnsi" w:hAnsiTheme="majorHAnsi"/>
                <w:i/>
                <w:color w:val="000000"/>
              </w:rPr>
              <w:t>Total 2025</w:t>
            </w:r>
          </w:p>
          <w:p w14:paraId="39A3EDFC" w14:textId="79F792C3" w:rsidR="004E41C9" w:rsidRPr="00A53C3B" w:rsidRDefault="00E46C95" w:rsidP="000C1506">
            <w:pPr>
              <w:widowControl/>
              <w:autoSpaceDE/>
              <w:autoSpaceDN/>
              <w:adjustRightInd/>
              <w:jc w:val="center"/>
              <w:rPr>
                <w:rFonts w:asciiTheme="majorHAnsi" w:hAnsiTheme="majorHAnsi" w:cs="Calibri"/>
                <w:i/>
                <w:iCs/>
                <w:color w:val="000000"/>
              </w:rPr>
            </w:pPr>
            <w:r w:rsidRPr="00A53C3B">
              <w:rPr>
                <w:rFonts w:asciiTheme="majorHAnsi" w:hAnsiTheme="majorHAnsi"/>
                <w:i/>
                <w:color w:val="000000"/>
              </w:rPr>
              <w:t>tolerancia de retención (t)</w:t>
            </w:r>
          </w:p>
        </w:tc>
        <w:tc>
          <w:tcPr>
            <w:tcW w:w="1642" w:type="pct"/>
            <w:tcBorders>
              <w:top w:val="single" w:sz="4" w:space="0" w:color="auto"/>
              <w:left w:val="nil"/>
              <w:bottom w:val="single" w:sz="4" w:space="0" w:color="auto"/>
              <w:right w:val="single" w:sz="4" w:space="0" w:color="auto"/>
            </w:tcBorders>
            <w:vAlign w:val="center"/>
            <w:hideMark/>
          </w:tcPr>
          <w:p w14:paraId="3243D3B3" w14:textId="2E44AEB6" w:rsidR="00CA431D" w:rsidRPr="00A53C3B" w:rsidRDefault="004E41C9" w:rsidP="00CA431D">
            <w:pPr>
              <w:widowControl/>
              <w:autoSpaceDE/>
              <w:autoSpaceDN/>
              <w:adjustRightInd/>
              <w:jc w:val="center"/>
              <w:rPr>
                <w:rFonts w:asciiTheme="majorHAnsi" w:hAnsiTheme="majorHAnsi" w:cs="Calibri"/>
                <w:i/>
                <w:iCs/>
                <w:color w:val="000000"/>
              </w:rPr>
            </w:pPr>
            <w:r w:rsidRPr="00A53C3B">
              <w:rPr>
                <w:rFonts w:asciiTheme="majorHAnsi" w:hAnsiTheme="majorHAnsi"/>
                <w:i/>
                <w:color w:val="000000"/>
              </w:rPr>
              <w:t xml:space="preserve">Capturas totales de 2025 </w:t>
            </w:r>
          </w:p>
          <w:p w14:paraId="60EDAB12" w14:textId="4FA61A17" w:rsidR="004E41C9" w:rsidRPr="00A53C3B" w:rsidRDefault="004E41C9" w:rsidP="00CA431D">
            <w:pPr>
              <w:widowControl/>
              <w:autoSpaceDE/>
              <w:autoSpaceDN/>
              <w:adjustRightInd/>
              <w:jc w:val="center"/>
              <w:rPr>
                <w:rFonts w:asciiTheme="majorHAnsi" w:hAnsiTheme="majorHAnsi" w:cs="Calibri"/>
                <w:i/>
                <w:iCs/>
                <w:color w:val="000000"/>
              </w:rPr>
            </w:pPr>
            <w:r w:rsidRPr="00A53C3B">
              <w:rPr>
                <w:rFonts w:asciiTheme="majorHAnsi" w:hAnsiTheme="majorHAnsi"/>
                <w:i/>
                <w:color w:val="000000"/>
              </w:rPr>
              <w:t>comunicadas mensualmente (t)</w:t>
            </w:r>
          </w:p>
        </w:tc>
        <w:tc>
          <w:tcPr>
            <w:tcW w:w="937" w:type="pct"/>
            <w:tcBorders>
              <w:top w:val="single" w:sz="4" w:space="0" w:color="auto"/>
              <w:left w:val="nil"/>
              <w:bottom w:val="single" w:sz="4" w:space="0" w:color="auto"/>
              <w:right w:val="single" w:sz="4" w:space="0" w:color="auto"/>
            </w:tcBorders>
            <w:vAlign w:val="center"/>
            <w:hideMark/>
          </w:tcPr>
          <w:p w14:paraId="18C8B92B" w14:textId="1BEF57AF" w:rsidR="004E41C9" w:rsidRPr="00A53C3B" w:rsidRDefault="004E41C9" w:rsidP="000C1506">
            <w:pPr>
              <w:widowControl/>
              <w:autoSpaceDE/>
              <w:autoSpaceDN/>
              <w:adjustRightInd/>
              <w:jc w:val="center"/>
              <w:rPr>
                <w:rFonts w:asciiTheme="majorHAnsi" w:hAnsiTheme="majorHAnsi" w:cs="Calibri"/>
                <w:i/>
                <w:iCs/>
                <w:color w:val="000000"/>
              </w:rPr>
            </w:pPr>
            <w:r w:rsidRPr="00A53C3B">
              <w:rPr>
                <w:rFonts w:asciiTheme="majorHAnsi" w:hAnsiTheme="majorHAnsi"/>
                <w:i/>
                <w:color w:val="000000"/>
              </w:rPr>
              <w:t>Tarea 1 de 2025 (t)</w:t>
            </w:r>
          </w:p>
        </w:tc>
      </w:tr>
      <w:tr w:rsidR="004E41C9" w:rsidRPr="00A53C3B" w14:paraId="6EF9B123" w14:textId="77777777" w:rsidTr="00620BD8">
        <w:trPr>
          <w:trHeight w:val="300"/>
        </w:trPr>
        <w:tc>
          <w:tcPr>
            <w:tcW w:w="843" w:type="pct"/>
            <w:tcBorders>
              <w:top w:val="nil"/>
              <w:left w:val="single" w:sz="4" w:space="0" w:color="auto"/>
              <w:bottom w:val="single" w:sz="4" w:space="0" w:color="auto"/>
              <w:right w:val="single" w:sz="4" w:space="0" w:color="auto"/>
            </w:tcBorders>
            <w:noWrap/>
            <w:vAlign w:val="center"/>
            <w:hideMark/>
          </w:tcPr>
          <w:p w14:paraId="76E4D4EA" w14:textId="78667708" w:rsidR="004E41C9" w:rsidRPr="00A53C3B" w:rsidRDefault="004E41C9" w:rsidP="000C1506">
            <w:pPr>
              <w:widowControl/>
              <w:autoSpaceDE/>
              <w:autoSpaceDN/>
              <w:adjustRightInd/>
              <w:jc w:val="center"/>
              <w:rPr>
                <w:rFonts w:asciiTheme="majorHAnsi" w:hAnsiTheme="majorHAnsi"/>
                <w:color w:val="000000"/>
              </w:rPr>
            </w:pPr>
            <w:r w:rsidRPr="00A53C3B">
              <w:rPr>
                <w:rFonts w:asciiTheme="majorHAnsi" w:hAnsiTheme="majorHAnsi"/>
                <w:color w:val="000000"/>
              </w:rPr>
              <w:t>ATS</w:t>
            </w:r>
          </w:p>
        </w:tc>
        <w:tc>
          <w:tcPr>
            <w:tcW w:w="1578" w:type="pct"/>
            <w:tcBorders>
              <w:top w:val="nil"/>
              <w:left w:val="nil"/>
              <w:bottom w:val="single" w:sz="4" w:space="0" w:color="auto"/>
              <w:right w:val="single" w:sz="4" w:space="0" w:color="auto"/>
            </w:tcBorders>
            <w:vAlign w:val="center"/>
            <w:hideMark/>
          </w:tcPr>
          <w:p w14:paraId="43C901CE" w14:textId="68148727" w:rsidR="004E41C9" w:rsidRPr="00A53C3B" w:rsidRDefault="00E46C95" w:rsidP="000C1506">
            <w:pPr>
              <w:widowControl/>
              <w:autoSpaceDE/>
              <w:autoSpaceDN/>
              <w:adjustRightInd/>
              <w:jc w:val="center"/>
              <w:rPr>
                <w:rFonts w:asciiTheme="majorHAnsi" w:hAnsiTheme="majorHAnsi"/>
                <w:color w:val="000000"/>
              </w:rPr>
            </w:pPr>
            <w:r w:rsidRPr="00A53C3B">
              <w:rPr>
                <w:rFonts w:asciiTheme="majorHAnsi" w:hAnsiTheme="majorHAnsi"/>
                <w:color w:val="000000"/>
              </w:rPr>
              <w:t>1.295</w:t>
            </w:r>
          </w:p>
        </w:tc>
        <w:tc>
          <w:tcPr>
            <w:tcW w:w="1642" w:type="pct"/>
            <w:tcBorders>
              <w:top w:val="nil"/>
              <w:left w:val="nil"/>
              <w:bottom w:val="single" w:sz="4" w:space="0" w:color="auto"/>
              <w:right w:val="single" w:sz="4" w:space="0" w:color="auto"/>
            </w:tcBorders>
            <w:vAlign w:val="center"/>
            <w:hideMark/>
          </w:tcPr>
          <w:p w14:paraId="11570BCA" w14:textId="494F7F9C" w:rsidR="004E41C9" w:rsidRPr="00A53C3B" w:rsidRDefault="00B571DF" w:rsidP="000C1506">
            <w:pPr>
              <w:widowControl/>
              <w:autoSpaceDE/>
              <w:autoSpaceDN/>
              <w:adjustRightInd/>
              <w:jc w:val="center"/>
              <w:rPr>
                <w:rFonts w:asciiTheme="majorHAnsi" w:hAnsiTheme="majorHAnsi"/>
                <w:color w:val="000000"/>
              </w:rPr>
            </w:pPr>
            <w:r w:rsidRPr="00A53C3B">
              <w:rPr>
                <w:rFonts w:asciiTheme="majorHAnsi" w:hAnsiTheme="majorHAnsi"/>
                <w:color w:val="000000"/>
              </w:rPr>
              <w:t>91</w:t>
            </w:r>
          </w:p>
        </w:tc>
        <w:tc>
          <w:tcPr>
            <w:tcW w:w="937" w:type="pct"/>
            <w:tcBorders>
              <w:top w:val="nil"/>
              <w:left w:val="nil"/>
              <w:bottom w:val="single" w:sz="4" w:space="0" w:color="auto"/>
              <w:right w:val="single" w:sz="4" w:space="0" w:color="auto"/>
            </w:tcBorders>
            <w:vAlign w:val="center"/>
            <w:hideMark/>
          </w:tcPr>
          <w:p w14:paraId="536BF097" w14:textId="09DF513A" w:rsidR="004E41C9" w:rsidRPr="00A53C3B" w:rsidRDefault="00B571DF" w:rsidP="000C1506">
            <w:pPr>
              <w:widowControl/>
              <w:autoSpaceDE/>
              <w:autoSpaceDN/>
              <w:adjustRightInd/>
              <w:jc w:val="center"/>
              <w:rPr>
                <w:rFonts w:asciiTheme="majorHAnsi" w:hAnsiTheme="majorHAnsi"/>
                <w:color w:val="000000"/>
              </w:rPr>
            </w:pPr>
            <w:r w:rsidRPr="00A53C3B">
              <w:rPr>
                <w:rFonts w:asciiTheme="majorHAnsi" w:hAnsiTheme="majorHAnsi"/>
              </w:rPr>
              <w:t>672</w:t>
            </w:r>
          </w:p>
        </w:tc>
      </w:tr>
    </w:tbl>
    <w:p w14:paraId="7C0D7536" w14:textId="77777777" w:rsidR="004E41C9" w:rsidRPr="00A53C3B" w:rsidRDefault="004E41C9" w:rsidP="004E41C9">
      <w:pPr>
        <w:tabs>
          <w:tab w:val="left" w:pos="1276"/>
          <w:tab w:val="left" w:pos="1418"/>
          <w:tab w:val="left" w:leader="dot" w:pos="8222"/>
          <w:tab w:val="right" w:pos="8647"/>
        </w:tabs>
        <w:rPr>
          <w:rFonts w:asciiTheme="majorHAnsi" w:hAnsiTheme="majorHAnsi"/>
          <w:bCs/>
          <w:lang w:val="en-GB"/>
        </w:rPr>
      </w:pPr>
    </w:p>
    <w:p w14:paraId="2B568F3B" w14:textId="61CDD349" w:rsidR="004E41C9" w:rsidRPr="00536AB6" w:rsidRDefault="00AA0D0C" w:rsidP="004E41C9">
      <w:pPr>
        <w:jc w:val="both"/>
        <w:rPr>
          <w:rFonts w:asciiTheme="majorHAnsi" w:hAnsiTheme="majorHAnsi"/>
          <w:color w:val="000000" w:themeColor="text1"/>
        </w:rPr>
      </w:pPr>
      <w:r w:rsidRPr="00A53C3B">
        <w:rPr>
          <w:rFonts w:asciiTheme="majorHAnsi" w:hAnsiTheme="majorHAnsi"/>
          <w:color w:val="000000" w:themeColor="text1"/>
        </w:rPr>
        <w:t>Cabe señalar que se excluyen los descartes vivos (DL) y que los datos de Tarea 1 del ST02 excluyen los</w:t>
      </w:r>
      <w:r>
        <w:rPr>
          <w:rFonts w:asciiTheme="majorHAnsi" w:hAnsiTheme="majorHAnsi"/>
          <w:color w:val="000000" w:themeColor="text1"/>
        </w:rPr>
        <w:t xml:space="preserve"> traspasos. Las obligaciones de comunicación de Tarea 1 se revisan en virtud de la Rec. 11-15. La Recomendación exige a las CPC que, a partir de 2020, faciliten información en sus informes anuales sobre cómo se está aplicando esta Recomendación.  Estos informes están incluidos en la hoja de comprobación de tiburones (véase la Rec. 18-06 más abajo). </w:t>
      </w:r>
    </w:p>
    <w:p w14:paraId="4BEF6ACC" w14:textId="77777777" w:rsidR="00607A6D" w:rsidRPr="00E34695" w:rsidRDefault="00607A6D" w:rsidP="004E41C9">
      <w:pPr>
        <w:jc w:val="both"/>
        <w:rPr>
          <w:rFonts w:asciiTheme="majorHAnsi" w:hAnsiTheme="majorHAnsi"/>
          <w:i/>
          <w:iCs/>
          <w:color w:val="000000" w:themeColor="text1"/>
        </w:rPr>
      </w:pPr>
    </w:p>
    <w:p w14:paraId="7A4D5290" w14:textId="3423EE70" w:rsidR="00D0429F" w:rsidRPr="00E34695" w:rsidRDefault="00D0429F" w:rsidP="00D0429F">
      <w:pPr>
        <w:tabs>
          <w:tab w:val="left" w:pos="709"/>
          <w:tab w:val="left" w:pos="1276"/>
          <w:tab w:val="left" w:pos="1418"/>
          <w:tab w:val="left" w:leader="dot" w:pos="8222"/>
          <w:tab w:val="right" w:pos="8647"/>
        </w:tabs>
        <w:jc w:val="both"/>
        <w:rPr>
          <w:rFonts w:asciiTheme="majorHAnsi" w:hAnsiTheme="majorHAnsi"/>
          <w:i/>
          <w:iCs/>
        </w:rPr>
      </w:pPr>
      <w:r w:rsidRPr="00E34695">
        <w:rPr>
          <w:rFonts w:asciiTheme="majorHAnsi" w:hAnsiTheme="majorHAnsi"/>
          <w:i/>
          <w:iCs/>
        </w:rPr>
        <w:t>[Rec. 23- 12] la Recomendación de ICCAT para la conservación del tiburón ballena (</w:t>
      </w:r>
      <w:proofErr w:type="spellStart"/>
      <w:r w:rsidRPr="00E34695">
        <w:rPr>
          <w:rFonts w:asciiTheme="majorHAnsi" w:hAnsiTheme="majorHAnsi"/>
          <w:i/>
          <w:iCs/>
        </w:rPr>
        <w:t>Rhincodon</w:t>
      </w:r>
      <w:proofErr w:type="spellEnd"/>
      <w:r w:rsidRPr="00E34695">
        <w:rPr>
          <w:rFonts w:asciiTheme="majorHAnsi" w:hAnsiTheme="majorHAnsi"/>
          <w:i/>
          <w:iCs/>
        </w:rPr>
        <w:t xml:space="preserve"> </w:t>
      </w:r>
      <w:proofErr w:type="spellStart"/>
      <w:r w:rsidRPr="00E34695">
        <w:rPr>
          <w:rFonts w:asciiTheme="majorHAnsi" w:hAnsiTheme="majorHAnsi"/>
          <w:i/>
          <w:iCs/>
        </w:rPr>
        <w:t>typus</w:t>
      </w:r>
      <w:proofErr w:type="spellEnd"/>
      <w:r w:rsidRPr="00E34695">
        <w:rPr>
          <w:rFonts w:asciiTheme="majorHAnsi" w:hAnsiTheme="majorHAnsi"/>
          <w:i/>
          <w:iCs/>
        </w:rPr>
        <w:t>) capturado en asociación con las pesquerías de ICCAT</w:t>
      </w:r>
    </w:p>
    <w:p w14:paraId="03656809" w14:textId="77777777" w:rsidR="00D0429F" w:rsidRPr="00364A87" w:rsidRDefault="00D0429F" w:rsidP="00D0429F">
      <w:pPr>
        <w:jc w:val="both"/>
        <w:rPr>
          <w:rFonts w:asciiTheme="majorHAnsi" w:hAnsiTheme="majorHAnsi"/>
          <w:color w:val="000000" w:themeColor="text1"/>
        </w:rPr>
      </w:pPr>
    </w:p>
    <w:p w14:paraId="6454CF59" w14:textId="77777777" w:rsidR="00D0429F" w:rsidRPr="00536AB6" w:rsidRDefault="00D0429F" w:rsidP="00D0429F">
      <w:pPr>
        <w:tabs>
          <w:tab w:val="left" w:pos="1276"/>
          <w:tab w:val="left" w:leader="dot" w:pos="8222"/>
          <w:tab w:val="right" w:pos="8647"/>
        </w:tabs>
        <w:jc w:val="both"/>
        <w:rPr>
          <w:rFonts w:asciiTheme="majorHAnsi" w:hAnsiTheme="majorHAnsi"/>
        </w:rPr>
      </w:pPr>
      <w:r>
        <w:rPr>
          <w:rFonts w:asciiTheme="majorHAnsi" w:hAnsiTheme="majorHAnsi"/>
        </w:rPr>
        <w:t xml:space="preserve">Para la información comunicada, véase la Rec. 18-06 más abajo. </w:t>
      </w:r>
    </w:p>
    <w:p w14:paraId="094A7171" w14:textId="77777777" w:rsidR="00D0429F" w:rsidRPr="00364A87" w:rsidRDefault="00D0429F" w:rsidP="00607A6D">
      <w:pPr>
        <w:tabs>
          <w:tab w:val="left" w:pos="709"/>
          <w:tab w:val="left" w:pos="1276"/>
          <w:tab w:val="left" w:pos="1418"/>
          <w:tab w:val="left" w:leader="dot" w:pos="8222"/>
          <w:tab w:val="right" w:pos="8647"/>
        </w:tabs>
        <w:jc w:val="both"/>
        <w:rPr>
          <w:rFonts w:asciiTheme="majorHAnsi" w:hAnsiTheme="majorHAnsi"/>
          <w:i/>
        </w:rPr>
      </w:pPr>
    </w:p>
    <w:p w14:paraId="38A1E082" w14:textId="78006BE9" w:rsidR="00607A6D" w:rsidRPr="00E34695" w:rsidRDefault="00607A6D" w:rsidP="00607A6D">
      <w:pPr>
        <w:tabs>
          <w:tab w:val="left" w:pos="709"/>
          <w:tab w:val="left" w:pos="1276"/>
          <w:tab w:val="left" w:pos="1418"/>
          <w:tab w:val="left" w:leader="dot" w:pos="8222"/>
          <w:tab w:val="right" w:pos="8647"/>
        </w:tabs>
        <w:jc w:val="both"/>
        <w:rPr>
          <w:rFonts w:asciiTheme="majorHAnsi" w:hAnsiTheme="majorHAnsi"/>
          <w:i/>
          <w:iCs/>
        </w:rPr>
      </w:pPr>
      <w:hyperlink r:id="rId27" w:tgtFrame="_blank" w:history="1">
        <w:r w:rsidRPr="00E34695">
          <w:rPr>
            <w:rFonts w:asciiTheme="majorHAnsi" w:hAnsiTheme="majorHAnsi"/>
            <w:i/>
            <w:iCs/>
          </w:rPr>
          <w:t>[Rec. 25-07] Recomendación de ICCAT sobre tiburón peregrino y jaquetón blanco capturados en asociación con pesquerías gestionadas por ICCAT</w:t>
        </w:r>
      </w:hyperlink>
    </w:p>
    <w:p w14:paraId="5450CABA" w14:textId="77777777" w:rsidR="00607A6D" w:rsidRPr="00364A87" w:rsidRDefault="00607A6D" w:rsidP="004E41C9">
      <w:pPr>
        <w:jc w:val="both"/>
        <w:rPr>
          <w:rFonts w:asciiTheme="majorHAnsi" w:hAnsiTheme="majorHAnsi"/>
          <w:color w:val="000000" w:themeColor="text1"/>
        </w:rPr>
      </w:pPr>
    </w:p>
    <w:p w14:paraId="4480E906" w14:textId="77777777" w:rsidR="00607A6D" w:rsidRPr="00536AB6" w:rsidRDefault="00607A6D" w:rsidP="00607A6D">
      <w:pPr>
        <w:tabs>
          <w:tab w:val="left" w:pos="1276"/>
          <w:tab w:val="left" w:leader="dot" w:pos="8222"/>
          <w:tab w:val="right" w:pos="8647"/>
        </w:tabs>
        <w:jc w:val="both"/>
        <w:rPr>
          <w:rFonts w:asciiTheme="majorHAnsi" w:hAnsiTheme="majorHAnsi"/>
        </w:rPr>
      </w:pPr>
      <w:r>
        <w:rPr>
          <w:rFonts w:asciiTheme="majorHAnsi" w:hAnsiTheme="majorHAnsi"/>
        </w:rPr>
        <w:t xml:space="preserve">Para la información comunicada, véase la Rec. 18-06 más abajo. </w:t>
      </w:r>
    </w:p>
    <w:p w14:paraId="32C19297" w14:textId="77777777" w:rsidR="004E41C9" w:rsidRPr="00E34695" w:rsidRDefault="004E41C9" w:rsidP="004E41C9">
      <w:pPr>
        <w:tabs>
          <w:tab w:val="left" w:pos="1276"/>
          <w:tab w:val="left" w:pos="1418"/>
          <w:tab w:val="left" w:leader="dot" w:pos="8222"/>
          <w:tab w:val="right" w:pos="8647"/>
        </w:tabs>
        <w:ind w:left="1276" w:hanging="851"/>
        <w:rPr>
          <w:rFonts w:asciiTheme="majorHAnsi" w:hAnsiTheme="majorHAnsi"/>
          <w:bCs/>
          <w:i/>
          <w:iCs/>
        </w:rPr>
      </w:pPr>
    </w:p>
    <w:p w14:paraId="4721819F" w14:textId="75597381" w:rsidR="004E41C9" w:rsidRPr="00E34695" w:rsidRDefault="004E41C9" w:rsidP="004E41C9">
      <w:pPr>
        <w:tabs>
          <w:tab w:val="left" w:pos="709"/>
          <w:tab w:val="left" w:pos="1418"/>
          <w:tab w:val="left" w:leader="dot" w:pos="8222"/>
          <w:tab w:val="right" w:pos="8647"/>
        </w:tabs>
        <w:jc w:val="both"/>
        <w:rPr>
          <w:rFonts w:asciiTheme="majorHAnsi" w:hAnsiTheme="majorHAnsi"/>
          <w:bCs/>
          <w:i/>
          <w:iCs/>
        </w:rPr>
      </w:pPr>
      <w:r w:rsidRPr="00E34695">
        <w:rPr>
          <w:rFonts w:asciiTheme="majorHAnsi" w:hAnsiTheme="majorHAnsi"/>
          <w:i/>
          <w:iCs/>
        </w:rPr>
        <w:t xml:space="preserve">[Rec. 18-06] </w:t>
      </w:r>
      <w:hyperlink r:id="rId28" w:tgtFrame="_blank" w:history="1">
        <w:r w:rsidRPr="00E34695">
          <w:rPr>
            <w:rFonts w:asciiTheme="majorHAnsi" w:hAnsiTheme="majorHAnsi"/>
            <w:i/>
            <w:iCs/>
          </w:rPr>
          <w:t xml:space="preserve">Recomendación de ICCAT que sustituye a la Recomendación 16-13 para mejorar la revisión del </w:t>
        </w:r>
        <w:r w:rsidRPr="00E34695">
          <w:rPr>
            <w:rFonts w:asciiTheme="majorHAnsi" w:hAnsiTheme="majorHAnsi"/>
            <w:i/>
            <w:iCs/>
          </w:rPr>
          <w:lastRenderedPageBreak/>
          <w:t>cumplimiento de las medidas de conservación y ordenación relacionadas con los tiburones capturados en asociación con las pesquerías de ICCAT</w:t>
        </w:r>
      </w:hyperlink>
      <w:r w:rsidRPr="00E34695">
        <w:rPr>
          <w:rFonts w:asciiTheme="majorHAnsi" w:hAnsiTheme="majorHAnsi"/>
          <w:i/>
          <w:iCs/>
        </w:rPr>
        <w:t xml:space="preserve"> </w:t>
      </w:r>
    </w:p>
    <w:p w14:paraId="6B7697A3" w14:textId="77777777" w:rsidR="004E41C9" w:rsidRPr="00364A87" w:rsidRDefault="004E41C9" w:rsidP="004E41C9">
      <w:pPr>
        <w:tabs>
          <w:tab w:val="left" w:pos="1276"/>
          <w:tab w:val="left" w:pos="1418"/>
          <w:tab w:val="left" w:leader="dot" w:pos="8222"/>
          <w:tab w:val="right" w:pos="8647"/>
        </w:tabs>
        <w:ind w:left="1135" w:hanging="851"/>
        <w:rPr>
          <w:rFonts w:asciiTheme="majorHAnsi" w:hAnsiTheme="majorHAnsi"/>
          <w:bCs/>
        </w:rPr>
      </w:pPr>
    </w:p>
    <w:p w14:paraId="6CF41C5D" w14:textId="2B47F33B" w:rsidR="00701334" w:rsidRPr="00536AB6" w:rsidRDefault="00701334" w:rsidP="00701334">
      <w:pPr>
        <w:jc w:val="both"/>
        <w:rPr>
          <w:rFonts w:asciiTheme="majorHAnsi" w:hAnsiTheme="majorHAnsi"/>
          <w:iCs/>
        </w:rPr>
      </w:pPr>
      <w:r w:rsidRPr="00E34695">
        <w:rPr>
          <w:rFonts w:asciiTheme="majorHAnsi" w:hAnsiTheme="majorHAnsi"/>
        </w:rPr>
        <w:t>Este año se han recibido hojas de comprobación de tiburones revisadas/actualizadas de 39 CPC, nueve</w:t>
      </w:r>
      <w:r w:rsidR="00E03E64" w:rsidRPr="00E34695">
        <w:rPr>
          <w:rFonts w:asciiTheme="majorHAnsi" w:hAnsiTheme="majorHAnsi"/>
        </w:rPr>
        <w:t xml:space="preserve"> (9)</w:t>
      </w:r>
      <w:r w:rsidRPr="00E34695">
        <w:rPr>
          <w:rFonts w:asciiTheme="majorHAnsi" w:hAnsiTheme="majorHAnsi"/>
        </w:rPr>
        <w:t xml:space="preserve"> de ellas fuera de plazo. Nueve (9) CPC (Argelia, Barbados, Brasil,  Côte d’Ivoire, Honduras, Gambia, Granada, Guinea (Rep.) y Guyana) no han enviado ninguna actualización respecto a las versiones anteriores del año pasado (2025). Nueve (9) CPC nunca han presentado la hoja de comprobación de tiburones (Cuba, Guinea Ecuatorial, Guinea-Bissau, Libia, Mauritania, São Tomé </w:t>
      </w:r>
      <w:proofErr w:type="spellStart"/>
      <w:r w:rsidRPr="00E34695">
        <w:rPr>
          <w:rFonts w:asciiTheme="majorHAnsi" w:hAnsiTheme="majorHAnsi"/>
        </w:rPr>
        <w:t>e</w:t>
      </w:r>
      <w:proofErr w:type="spellEnd"/>
      <w:r w:rsidRPr="00E34695">
        <w:rPr>
          <w:rFonts w:asciiTheme="majorHAnsi" w:hAnsiTheme="majorHAnsi"/>
        </w:rPr>
        <w:t xml:space="preserve"> Príncipe, Sierra Leona, Siria y Trinidad y Tobago). Hay una (1) CPC exenta (Uruguay) y </w:t>
      </w:r>
      <w:r w:rsidR="00DF39ED" w:rsidRPr="00E34695">
        <w:rPr>
          <w:rFonts w:asciiTheme="majorHAnsi" w:hAnsiTheme="majorHAnsi"/>
        </w:rPr>
        <w:t xml:space="preserve">hay </w:t>
      </w:r>
      <w:r w:rsidRPr="00E34695">
        <w:rPr>
          <w:rFonts w:asciiTheme="majorHAnsi" w:hAnsiTheme="majorHAnsi"/>
        </w:rPr>
        <w:t>dos (2) CPC nuevas este año (Montenegro y Togo). Éstas figuran en las "Hojas de comprobación de tiburones recibidas de conformidad con la Rec. 18-06" [COC_314/2026]. El contenido de estas hojas de comprobación de tiburones se resume en el Anexo 1 del documento COC_314/2026.</w:t>
      </w:r>
    </w:p>
    <w:p w14:paraId="49F8F38C" w14:textId="77777777" w:rsidR="00701334" w:rsidRPr="00364A87" w:rsidRDefault="00701334" w:rsidP="004E41C9">
      <w:pPr>
        <w:jc w:val="both"/>
        <w:rPr>
          <w:rFonts w:asciiTheme="majorHAnsi" w:hAnsiTheme="majorHAnsi"/>
        </w:rPr>
      </w:pPr>
    </w:p>
    <w:p w14:paraId="57ED8C5A" w14:textId="55F6A2E9" w:rsidR="006B5B0F" w:rsidRPr="00364A87" w:rsidRDefault="006B5B0F">
      <w:pPr>
        <w:widowControl/>
        <w:autoSpaceDE/>
        <w:autoSpaceDN/>
        <w:adjustRightInd/>
        <w:rPr>
          <w:rFonts w:asciiTheme="majorHAnsi" w:hAnsiTheme="majorHAnsi"/>
          <w:b/>
        </w:rPr>
      </w:pPr>
    </w:p>
    <w:p w14:paraId="0D471F85" w14:textId="3C2C3FF1" w:rsidR="00F225F3" w:rsidRPr="00536AB6" w:rsidRDefault="00AE0476" w:rsidP="00820485">
      <w:pPr>
        <w:tabs>
          <w:tab w:val="left" w:pos="1276"/>
          <w:tab w:val="left" w:pos="1418"/>
          <w:tab w:val="left" w:leader="dot" w:pos="8222"/>
          <w:tab w:val="right" w:pos="8647"/>
        </w:tabs>
        <w:rPr>
          <w:rFonts w:asciiTheme="majorHAnsi" w:hAnsiTheme="majorHAnsi"/>
          <w:b/>
        </w:rPr>
      </w:pPr>
      <w:r>
        <w:rPr>
          <w:rFonts w:asciiTheme="majorHAnsi" w:hAnsiTheme="majorHAnsi"/>
          <w:b/>
        </w:rPr>
        <w:t>BYC - ESPECIES DE CAPTURA FORTUITA</w:t>
      </w:r>
    </w:p>
    <w:p w14:paraId="7C90F0A1" w14:textId="77777777" w:rsidR="00F225F3" w:rsidRPr="00364A87" w:rsidRDefault="00F225F3" w:rsidP="00820485">
      <w:pPr>
        <w:tabs>
          <w:tab w:val="left" w:pos="1276"/>
          <w:tab w:val="left" w:pos="1418"/>
          <w:tab w:val="left" w:leader="dot" w:pos="8222"/>
          <w:tab w:val="right" w:pos="8647"/>
        </w:tabs>
        <w:ind w:firstLine="425"/>
        <w:rPr>
          <w:rFonts w:asciiTheme="majorHAnsi" w:hAnsiTheme="majorHAnsi"/>
        </w:rPr>
      </w:pPr>
    </w:p>
    <w:p w14:paraId="4A57C6E9" w14:textId="5AEB4A44" w:rsidR="007668FE" w:rsidRPr="00536AB6" w:rsidRDefault="007668FE" w:rsidP="00820485">
      <w:pPr>
        <w:tabs>
          <w:tab w:val="left" w:pos="1276"/>
          <w:tab w:val="left" w:leader="dot" w:pos="8222"/>
          <w:tab w:val="right" w:pos="8647"/>
        </w:tabs>
        <w:ind w:left="709" w:hanging="709"/>
        <w:jc w:val="both"/>
        <w:rPr>
          <w:rFonts w:asciiTheme="majorHAnsi" w:hAnsiTheme="majorHAnsi"/>
          <w:bCs/>
          <w:i/>
        </w:rPr>
      </w:pPr>
      <w:r>
        <w:rPr>
          <w:rFonts w:asciiTheme="majorHAnsi" w:hAnsiTheme="majorHAnsi"/>
          <w:i/>
        </w:rPr>
        <w:t>[Rec. 07-07] Recomendación de ICCAT para reducir la captura fortuita incidental de aves marinas en las pesquerías de palangre</w:t>
      </w:r>
    </w:p>
    <w:p w14:paraId="2476C212" w14:textId="77777777" w:rsidR="00956609" w:rsidRPr="00364A87" w:rsidRDefault="00956609" w:rsidP="00820485">
      <w:pPr>
        <w:tabs>
          <w:tab w:val="left" w:pos="1276"/>
          <w:tab w:val="left" w:pos="1418"/>
          <w:tab w:val="left" w:leader="dot" w:pos="8222"/>
          <w:tab w:val="right" w:pos="8647"/>
        </w:tabs>
        <w:ind w:firstLine="425"/>
        <w:rPr>
          <w:rFonts w:asciiTheme="majorHAnsi" w:hAnsiTheme="majorHAnsi"/>
          <w:bCs/>
          <w:i/>
        </w:rPr>
      </w:pPr>
    </w:p>
    <w:p w14:paraId="4AB8620D" w14:textId="0AE27248" w:rsidR="00426C05" w:rsidRPr="00536AB6" w:rsidRDefault="00956609" w:rsidP="00AA5ADC">
      <w:pPr>
        <w:tabs>
          <w:tab w:val="left" w:pos="1276"/>
          <w:tab w:val="left" w:pos="1418"/>
          <w:tab w:val="left" w:leader="dot" w:pos="8222"/>
          <w:tab w:val="right" w:pos="8647"/>
        </w:tabs>
        <w:jc w:val="both"/>
        <w:rPr>
          <w:rFonts w:asciiTheme="majorHAnsi" w:hAnsiTheme="majorHAnsi"/>
          <w:bCs/>
          <w:iCs/>
        </w:rPr>
      </w:pPr>
      <w:r>
        <w:rPr>
          <w:rFonts w:asciiTheme="majorHAnsi" w:hAnsiTheme="majorHAnsi"/>
        </w:rPr>
        <w:t xml:space="preserve">Véase la Rec. 11-09 más abajo. La Secretaría de ICCAT reitera su sugerencia de que se combinen estas dos Recomendaciones. </w:t>
      </w:r>
    </w:p>
    <w:p w14:paraId="659A3EF9" w14:textId="77777777" w:rsidR="002A17A1" w:rsidRPr="00364A87" w:rsidRDefault="002A17A1" w:rsidP="00FB05AF">
      <w:pPr>
        <w:tabs>
          <w:tab w:val="left" w:pos="1276"/>
          <w:tab w:val="left" w:pos="1418"/>
          <w:tab w:val="left" w:leader="dot" w:pos="8222"/>
          <w:tab w:val="right" w:pos="8647"/>
        </w:tabs>
        <w:rPr>
          <w:rFonts w:asciiTheme="majorHAnsi" w:hAnsiTheme="majorHAnsi"/>
          <w:sz w:val="12"/>
          <w:szCs w:val="12"/>
        </w:rPr>
      </w:pPr>
    </w:p>
    <w:p w14:paraId="418EADFC" w14:textId="19C4929F" w:rsidR="00E01A0F" w:rsidRPr="00536AB6" w:rsidRDefault="00E01A0F" w:rsidP="00820485">
      <w:pPr>
        <w:tabs>
          <w:tab w:val="left" w:pos="1276"/>
          <w:tab w:val="left" w:leader="dot" w:pos="8222"/>
          <w:tab w:val="right" w:pos="8647"/>
        </w:tabs>
        <w:jc w:val="both"/>
        <w:rPr>
          <w:rFonts w:asciiTheme="majorHAnsi" w:hAnsiTheme="majorHAnsi"/>
          <w:i/>
          <w:iCs/>
        </w:rPr>
      </w:pPr>
      <w:r>
        <w:rPr>
          <w:rFonts w:asciiTheme="majorHAnsi" w:hAnsiTheme="majorHAnsi"/>
          <w:i/>
        </w:rPr>
        <w:t>[Rec. 11-09] Recomendación suplementaria de ICCAT para reducir la captura fortuita incidental de aves marinas en las pesquerías de palangre</w:t>
      </w:r>
    </w:p>
    <w:p w14:paraId="346B7E11" w14:textId="77777777" w:rsidR="005C1EE7" w:rsidRPr="00364A87" w:rsidRDefault="005C1EE7" w:rsidP="00820485">
      <w:pPr>
        <w:tabs>
          <w:tab w:val="left" w:pos="1276"/>
          <w:tab w:val="left" w:leader="dot" w:pos="8222"/>
          <w:tab w:val="right" w:pos="8647"/>
        </w:tabs>
        <w:ind w:firstLine="425"/>
        <w:rPr>
          <w:rFonts w:asciiTheme="majorHAnsi" w:hAnsiTheme="majorHAnsi"/>
          <w:bCs/>
        </w:rPr>
        <w:sectPr w:rsidR="005C1EE7" w:rsidRPr="00364A87" w:rsidSect="008A7405">
          <w:headerReference w:type="default" r:id="rId29"/>
          <w:footerReference w:type="default" r:id="rId30"/>
          <w:endnotePr>
            <w:numFmt w:val="decimal"/>
          </w:endnotePr>
          <w:type w:val="continuous"/>
          <w:pgSz w:w="11911" w:h="16832" w:code="9"/>
          <w:pgMar w:top="1418" w:right="1418" w:bottom="1418" w:left="1418" w:header="851" w:footer="1134" w:gutter="0"/>
          <w:pgNumType w:start="1"/>
          <w:cols w:space="720"/>
          <w:noEndnote/>
          <w:docGrid w:linePitch="360"/>
        </w:sectPr>
      </w:pPr>
    </w:p>
    <w:p w14:paraId="6046B440" w14:textId="3434D143" w:rsidR="00A33055" w:rsidRPr="00536AB6" w:rsidRDefault="00A33055" w:rsidP="00820485">
      <w:pPr>
        <w:tabs>
          <w:tab w:val="left" w:pos="1276"/>
          <w:tab w:val="left" w:pos="1418"/>
          <w:tab w:val="left" w:leader="dot" w:pos="8222"/>
          <w:tab w:val="right" w:pos="8647"/>
        </w:tabs>
        <w:jc w:val="both"/>
        <w:rPr>
          <w:rFonts w:asciiTheme="majorHAnsi" w:hAnsiTheme="majorHAnsi"/>
          <w:bCs/>
        </w:rPr>
      </w:pPr>
      <w:bookmarkStart w:id="18" w:name="_Hlk52808660"/>
      <w:r>
        <w:rPr>
          <w:rFonts w:asciiTheme="majorHAnsi" w:hAnsiTheme="majorHAnsi"/>
        </w:rPr>
        <w:lastRenderedPageBreak/>
        <w:t xml:space="preserve">La captura fortuita de aves marinas se incluye en el "Informe de la Secretaría de ICCAT sobre investigación y estadísticas de 2026" [PLE_105/2026]. A continuación se resumen las medidas de mitigación y otras acciones comunicadas por las CPC para 2025 mediante el formulario CP44 en 2026: </w:t>
      </w:r>
    </w:p>
    <w:p w14:paraId="7199E23F" w14:textId="77777777" w:rsidR="00281FD1" w:rsidRPr="00364A87" w:rsidRDefault="00281FD1" w:rsidP="00820485">
      <w:pPr>
        <w:tabs>
          <w:tab w:val="left" w:pos="1276"/>
          <w:tab w:val="left" w:pos="1418"/>
          <w:tab w:val="left" w:leader="dot" w:pos="8222"/>
          <w:tab w:val="right" w:pos="8647"/>
        </w:tabs>
        <w:jc w:val="both"/>
        <w:rPr>
          <w:rFonts w:asciiTheme="majorHAnsi" w:hAnsiTheme="majorHAnsi"/>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1467"/>
        <w:gridCol w:w="1626"/>
        <w:gridCol w:w="1458"/>
        <w:gridCol w:w="4573"/>
        <w:gridCol w:w="3634"/>
      </w:tblGrid>
      <w:tr w:rsidR="008124D0" w:rsidRPr="00536AB6" w14:paraId="4E5FB8E0" w14:textId="77777777" w:rsidTr="006D1FBF">
        <w:trPr>
          <w:trHeight w:val="19"/>
          <w:tblHeader/>
          <w:jc w:val="center"/>
        </w:trPr>
        <w:tc>
          <w:tcPr>
            <w:tcW w:w="464" w:type="pct"/>
            <w:vAlign w:val="center"/>
            <w:hideMark/>
          </w:tcPr>
          <w:p w14:paraId="047885B8" w14:textId="77777777" w:rsidR="00281FD1" w:rsidRPr="00536AB6" w:rsidRDefault="00281FD1" w:rsidP="006D1DE6">
            <w:pPr>
              <w:jc w:val="center"/>
              <w:rPr>
                <w:rFonts w:asciiTheme="majorHAnsi" w:hAnsiTheme="majorHAnsi"/>
                <w:b/>
                <w:i/>
                <w:color w:val="000000"/>
              </w:rPr>
            </w:pPr>
            <w:r>
              <w:rPr>
                <w:rFonts w:asciiTheme="majorHAnsi" w:hAnsiTheme="majorHAnsi"/>
                <w:b/>
                <w:i/>
                <w:color w:val="000000"/>
              </w:rPr>
              <w:t>CPC</w:t>
            </w:r>
          </w:p>
        </w:tc>
        <w:tc>
          <w:tcPr>
            <w:tcW w:w="549" w:type="pct"/>
            <w:vAlign w:val="center"/>
            <w:hideMark/>
          </w:tcPr>
          <w:p w14:paraId="1EAE868A" w14:textId="77777777" w:rsidR="00281FD1" w:rsidRPr="00536AB6" w:rsidRDefault="00281FD1" w:rsidP="006D1DE6">
            <w:pPr>
              <w:jc w:val="center"/>
              <w:rPr>
                <w:rFonts w:asciiTheme="majorHAnsi" w:hAnsiTheme="majorHAnsi"/>
                <w:b/>
                <w:i/>
                <w:color w:val="000000"/>
              </w:rPr>
            </w:pPr>
            <w:r>
              <w:rPr>
                <w:rFonts w:asciiTheme="majorHAnsi" w:hAnsiTheme="majorHAnsi"/>
                <w:b/>
                <w:i/>
                <w:color w:val="000000"/>
              </w:rPr>
              <w:t>Calado nocturno con la mínima iluminación en cubierta</w:t>
            </w:r>
          </w:p>
        </w:tc>
        <w:tc>
          <w:tcPr>
            <w:tcW w:w="562" w:type="pct"/>
            <w:vAlign w:val="center"/>
            <w:hideMark/>
          </w:tcPr>
          <w:p w14:paraId="2D418795" w14:textId="77777777" w:rsidR="0071048D" w:rsidRPr="00536AB6" w:rsidRDefault="00281FD1" w:rsidP="006D1DE6">
            <w:pPr>
              <w:jc w:val="center"/>
              <w:rPr>
                <w:rFonts w:asciiTheme="majorHAnsi" w:hAnsiTheme="majorHAnsi"/>
                <w:b/>
                <w:i/>
                <w:color w:val="000000"/>
              </w:rPr>
            </w:pPr>
            <w:r>
              <w:rPr>
                <w:rFonts w:asciiTheme="majorHAnsi" w:hAnsiTheme="majorHAnsi"/>
                <w:b/>
                <w:i/>
                <w:color w:val="000000"/>
              </w:rPr>
              <w:t xml:space="preserve">Líneas espantapájaros </w:t>
            </w:r>
          </w:p>
          <w:p w14:paraId="286C136F" w14:textId="40F5B585" w:rsidR="00281FD1" w:rsidRPr="00536AB6" w:rsidRDefault="00281FD1" w:rsidP="006D1DE6">
            <w:pPr>
              <w:jc w:val="center"/>
              <w:rPr>
                <w:rFonts w:asciiTheme="majorHAnsi" w:hAnsiTheme="majorHAnsi"/>
                <w:b/>
                <w:i/>
                <w:color w:val="000000"/>
              </w:rPr>
            </w:pPr>
            <w:r>
              <w:rPr>
                <w:rFonts w:asciiTheme="majorHAnsi" w:hAnsiTheme="majorHAnsi"/>
                <w:b/>
                <w:i/>
                <w:color w:val="000000"/>
              </w:rPr>
              <w:t>Línea espantapájaros</w:t>
            </w:r>
          </w:p>
        </w:tc>
        <w:tc>
          <w:tcPr>
            <w:tcW w:w="546" w:type="pct"/>
            <w:vAlign w:val="center"/>
            <w:hideMark/>
          </w:tcPr>
          <w:p w14:paraId="55323EBF" w14:textId="77777777" w:rsidR="00281FD1" w:rsidRPr="00536AB6" w:rsidRDefault="00281FD1" w:rsidP="006D1DE6">
            <w:pPr>
              <w:jc w:val="center"/>
              <w:rPr>
                <w:rFonts w:asciiTheme="majorHAnsi" w:hAnsiTheme="majorHAnsi"/>
                <w:b/>
                <w:i/>
                <w:color w:val="000000"/>
              </w:rPr>
            </w:pPr>
            <w:r>
              <w:rPr>
                <w:rFonts w:asciiTheme="majorHAnsi" w:hAnsiTheme="majorHAnsi"/>
                <w:b/>
                <w:i/>
                <w:color w:val="000000"/>
              </w:rPr>
              <w:t>Lastrado de línea</w:t>
            </w:r>
          </w:p>
        </w:tc>
        <w:tc>
          <w:tcPr>
            <w:tcW w:w="1555" w:type="pct"/>
            <w:vAlign w:val="center"/>
            <w:hideMark/>
          </w:tcPr>
          <w:p w14:paraId="039E12C9" w14:textId="77777777" w:rsidR="00281FD1" w:rsidRPr="00536AB6" w:rsidRDefault="00281FD1" w:rsidP="006D1DE6">
            <w:pPr>
              <w:jc w:val="center"/>
              <w:rPr>
                <w:rFonts w:asciiTheme="majorHAnsi" w:hAnsiTheme="majorHAnsi"/>
                <w:b/>
                <w:i/>
                <w:color w:val="000000"/>
              </w:rPr>
            </w:pPr>
            <w:r>
              <w:rPr>
                <w:rFonts w:asciiTheme="majorHAnsi" w:hAnsiTheme="majorHAnsi"/>
                <w:b/>
                <w:i/>
                <w:color w:val="000000"/>
              </w:rPr>
              <w:t>Estado del NPOA para las aves marinas</w:t>
            </w:r>
          </w:p>
        </w:tc>
        <w:tc>
          <w:tcPr>
            <w:tcW w:w="1324" w:type="pct"/>
            <w:vAlign w:val="center"/>
            <w:hideMark/>
          </w:tcPr>
          <w:p w14:paraId="624363FD" w14:textId="77777777" w:rsidR="00281FD1" w:rsidRPr="00536AB6" w:rsidRDefault="00281FD1" w:rsidP="006D1DE6">
            <w:pPr>
              <w:jc w:val="center"/>
              <w:rPr>
                <w:rFonts w:asciiTheme="majorHAnsi" w:hAnsiTheme="majorHAnsi"/>
                <w:b/>
                <w:i/>
                <w:color w:val="000000"/>
              </w:rPr>
            </w:pPr>
            <w:r>
              <w:rPr>
                <w:rFonts w:asciiTheme="majorHAnsi" w:hAnsiTheme="majorHAnsi"/>
                <w:b/>
                <w:i/>
                <w:color w:val="000000"/>
              </w:rPr>
              <w:t>Comentarios</w:t>
            </w:r>
          </w:p>
        </w:tc>
      </w:tr>
      <w:tr w:rsidR="00CA678C" w:rsidRPr="00536AB6" w14:paraId="2E27726F" w14:textId="77777777" w:rsidTr="006D1FBF">
        <w:trPr>
          <w:trHeight w:val="19"/>
          <w:jc w:val="center"/>
        </w:trPr>
        <w:tc>
          <w:tcPr>
            <w:tcW w:w="464" w:type="pct"/>
            <w:vAlign w:val="center"/>
          </w:tcPr>
          <w:p w14:paraId="49444CA8" w14:textId="47BFD7B8" w:rsidR="00CA678C" w:rsidRPr="00536AB6" w:rsidRDefault="00CA678C" w:rsidP="00CA678C">
            <w:pPr>
              <w:rPr>
                <w:rFonts w:asciiTheme="majorHAnsi" w:hAnsiTheme="majorHAnsi" w:cs="Calibri"/>
                <w:b/>
                <w:bCs/>
                <w:color w:val="000000"/>
                <w:sz w:val="18"/>
                <w:szCs w:val="18"/>
                <w:highlight w:val="yellow"/>
              </w:rPr>
            </w:pPr>
            <w:r w:rsidRPr="001E4D94">
              <w:rPr>
                <w:rFonts w:asciiTheme="majorHAnsi" w:hAnsiTheme="majorHAnsi"/>
                <w:b/>
                <w:sz w:val="18"/>
              </w:rPr>
              <w:t>Angola</w:t>
            </w:r>
          </w:p>
        </w:tc>
        <w:tc>
          <w:tcPr>
            <w:tcW w:w="549" w:type="pct"/>
          </w:tcPr>
          <w:p w14:paraId="5C3D965B" w14:textId="72009061" w:rsidR="00CA678C" w:rsidRPr="008B43B8" w:rsidRDefault="00CA678C" w:rsidP="006D1FBF">
            <w:pPr>
              <w:jc w:val="both"/>
              <w:rPr>
                <w:rFonts w:asciiTheme="majorHAnsi" w:hAnsiTheme="majorHAnsi" w:cstheme="minorHAnsi"/>
                <w:color w:val="000000"/>
                <w:sz w:val="18"/>
                <w:szCs w:val="18"/>
              </w:rPr>
            </w:pPr>
            <w:r w:rsidRPr="008B43B8">
              <w:rPr>
                <w:rFonts w:asciiTheme="majorHAnsi" w:hAnsiTheme="majorHAnsi"/>
                <w:sz w:val="18"/>
              </w:rPr>
              <w:t>Recomendamos que el operador del buque aplique de forma más eficaz la recomendación relativa a la configuración nocturna con una iluminación mínima en cubierta.</w:t>
            </w:r>
          </w:p>
        </w:tc>
        <w:tc>
          <w:tcPr>
            <w:tcW w:w="562" w:type="pct"/>
          </w:tcPr>
          <w:p w14:paraId="41BE0C48" w14:textId="590DF82F" w:rsidR="00CA678C" w:rsidRPr="008B43B8" w:rsidRDefault="00CA678C" w:rsidP="006D1FBF">
            <w:pPr>
              <w:jc w:val="both"/>
              <w:rPr>
                <w:rFonts w:asciiTheme="majorHAnsi" w:hAnsiTheme="majorHAnsi" w:cstheme="minorHAnsi"/>
                <w:color w:val="000000"/>
                <w:sz w:val="18"/>
                <w:szCs w:val="18"/>
              </w:rPr>
            </w:pPr>
            <w:r w:rsidRPr="008B43B8">
              <w:rPr>
                <w:rFonts w:asciiTheme="majorHAnsi" w:hAnsiTheme="majorHAnsi"/>
                <w:sz w:val="18"/>
              </w:rPr>
              <w:t>El buque cuenta con una línea espantapájaros instalada y utilizada de conformidad con la Recomendación 11-09 de ICCAT para reducir la mortalidad de las aves marinas.</w:t>
            </w:r>
          </w:p>
        </w:tc>
        <w:tc>
          <w:tcPr>
            <w:tcW w:w="546" w:type="pct"/>
          </w:tcPr>
          <w:p w14:paraId="32E9FD39" w14:textId="07F713EC" w:rsidR="00CA678C" w:rsidRPr="008B43B8" w:rsidRDefault="00CA678C" w:rsidP="006D1FBF">
            <w:pPr>
              <w:jc w:val="both"/>
              <w:rPr>
                <w:rFonts w:asciiTheme="majorHAnsi" w:hAnsiTheme="majorHAnsi" w:cstheme="minorHAnsi"/>
                <w:color w:val="000000"/>
                <w:sz w:val="18"/>
                <w:szCs w:val="18"/>
              </w:rPr>
            </w:pPr>
            <w:r w:rsidRPr="008B43B8">
              <w:rPr>
                <w:rFonts w:asciiTheme="majorHAnsi" w:hAnsiTheme="majorHAnsi"/>
                <w:sz w:val="18"/>
              </w:rPr>
              <w:t>De más de un total de 45 g colocados a 1 m del anzuelo.</w:t>
            </w:r>
          </w:p>
        </w:tc>
        <w:tc>
          <w:tcPr>
            <w:tcW w:w="1555" w:type="pct"/>
          </w:tcPr>
          <w:p w14:paraId="36ECE9CF" w14:textId="77777777" w:rsidR="00CA678C" w:rsidRPr="008B43B8" w:rsidRDefault="00CA678C" w:rsidP="00CA678C">
            <w:pPr>
              <w:jc w:val="both"/>
              <w:rPr>
                <w:rFonts w:asciiTheme="majorHAnsi" w:hAnsiTheme="majorHAnsi"/>
                <w:sz w:val="18"/>
                <w:szCs w:val="18"/>
              </w:rPr>
            </w:pPr>
            <w:r w:rsidRPr="008B43B8">
              <w:rPr>
                <w:rFonts w:asciiTheme="majorHAnsi" w:hAnsiTheme="majorHAnsi"/>
                <w:sz w:val="18"/>
              </w:rPr>
              <w:t>Actualmente se está elaborando un Plan de Acción Nacional (PAN) para las aves marinas; mientras tanto, se está poniendo en marcha un programa de observadores comunitarios como medida de gestión para facilitar la recopilación de datos y el seguimiento de las actividades pesqueras en aguas interiores.</w:t>
            </w:r>
          </w:p>
          <w:p w14:paraId="01409F79" w14:textId="77777777" w:rsidR="00030A44" w:rsidRPr="008B43B8" w:rsidRDefault="00030A44" w:rsidP="00CA678C">
            <w:pPr>
              <w:jc w:val="both"/>
              <w:rPr>
                <w:rFonts w:asciiTheme="majorHAnsi" w:hAnsiTheme="majorHAnsi"/>
                <w:sz w:val="18"/>
                <w:szCs w:val="18"/>
              </w:rPr>
            </w:pPr>
          </w:p>
          <w:p w14:paraId="39D26BB0" w14:textId="57B4A91B" w:rsidR="00CA678C" w:rsidRPr="008B43B8" w:rsidRDefault="00CA678C" w:rsidP="00CA678C">
            <w:pPr>
              <w:jc w:val="both"/>
              <w:rPr>
                <w:rFonts w:asciiTheme="majorHAnsi" w:hAnsiTheme="majorHAnsi"/>
                <w:sz w:val="18"/>
                <w:szCs w:val="18"/>
              </w:rPr>
            </w:pPr>
            <w:r w:rsidRPr="008B43B8">
              <w:rPr>
                <w:rFonts w:asciiTheme="majorHAnsi" w:hAnsiTheme="majorHAnsi"/>
                <w:sz w:val="18"/>
              </w:rPr>
              <w:t>Para lograr mejores resultados, se pondrá en marcha un programa de formación destinado a capacitar a los agentes para que recopilen datos —basándose en las recomendaciones de ICCAT— sobre las capturas fortuitas de aves marinas, tortugas marinas, rayas y tiburones.</w:t>
            </w:r>
          </w:p>
          <w:p w14:paraId="587A0F56" w14:textId="77777777" w:rsidR="00CA678C" w:rsidRPr="008B43B8" w:rsidRDefault="00CA678C" w:rsidP="00CA678C">
            <w:pPr>
              <w:jc w:val="both"/>
              <w:rPr>
                <w:rFonts w:asciiTheme="majorHAnsi" w:hAnsiTheme="majorHAnsi"/>
                <w:sz w:val="18"/>
                <w:szCs w:val="18"/>
              </w:rPr>
            </w:pPr>
          </w:p>
          <w:p w14:paraId="5DAB2C42" w14:textId="77777777" w:rsidR="00CA678C" w:rsidRPr="008B43B8" w:rsidRDefault="00CA678C" w:rsidP="00CA678C">
            <w:pPr>
              <w:jc w:val="both"/>
              <w:rPr>
                <w:rFonts w:asciiTheme="majorHAnsi" w:hAnsiTheme="majorHAnsi"/>
                <w:sz w:val="18"/>
                <w:szCs w:val="18"/>
              </w:rPr>
            </w:pPr>
            <w:r w:rsidRPr="008B43B8">
              <w:rPr>
                <w:rFonts w:asciiTheme="majorHAnsi" w:hAnsiTheme="majorHAnsi"/>
                <w:sz w:val="18"/>
              </w:rPr>
              <w:t>Desde la puesta en marcha del programa de observadores a bordo, aún no hemos recibido ninguna información relativa a la captura accidental de aves.</w:t>
            </w:r>
          </w:p>
          <w:p w14:paraId="4B11E3DE" w14:textId="77777777" w:rsidR="00030A44" w:rsidRPr="008B43B8" w:rsidRDefault="00030A44" w:rsidP="00CA678C">
            <w:pPr>
              <w:jc w:val="both"/>
              <w:rPr>
                <w:rFonts w:asciiTheme="majorHAnsi" w:hAnsiTheme="majorHAnsi"/>
                <w:sz w:val="18"/>
                <w:szCs w:val="18"/>
              </w:rPr>
            </w:pPr>
          </w:p>
          <w:p w14:paraId="55A45018" w14:textId="244A99E2" w:rsidR="00CA678C" w:rsidRPr="008B43B8" w:rsidRDefault="00CA678C" w:rsidP="00CA678C">
            <w:pPr>
              <w:jc w:val="both"/>
              <w:rPr>
                <w:rFonts w:asciiTheme="majorHAnsi" w:hAnsiTheme="majorHAnsi" w:cstheme="minorHAnsi"/>
                <w:color w:val="000000"/>
                <w:sz w:val="18"/>
                <w:szCs w:val="18"/>
              </w:rPr>
            </w:pPr>
          </w:p>
        </w:tc>
        <w:tc>
          <w:tcPr>
            <w:tcW w:w="1324" w:type="pct"/>
          </w:tcPr>
          <w:p w14:paraId="2EC52B7D" w14:textId="77777777" w:rsidR="00CA678C" w:rsidRPr="008B43B8" w:rsidRDefault="00CA678C" w:rsidP="00CA678C">
            <w:pPr>
              <w:jc w:val="both"/>
              <w:rPr>
                <w:rFonts w:asciiTheme="majorHAnsi" w:hAnsiTheme="majorHAnsi"/>
                <w:sz w:val="18"/>
                <w:szCs w:val="18"/>
              </w:rPr>
            </w:pPr>
            <w:r w:rsidRPr="008B43B8">
              <w:rPr>
                <w:rFonts w:asciiTheme="majorHAnsi" w:hAnsiTheme="majorHAnsi"/>
                <w:sz w:val="18"/>
              </w:rPr>
              <w:t>El crepúsculo y amanecer náutico, definidos como se establece en la Tabla del almanaque de amanecer/crepúsculo náutico para la latitud, fecha y hora local pertinente. La iluminación mínima de la cubierta no debe incumplir las normas mínimas de seguridad y navegación.</w:t>
            </w:r>
          </w:p>
          <w:p w14:paraId="5D221959" w14:textId="77777777" w:rsidR="00CA678C" w:rsidRPr="008B43B8" w:rsidRDefault="00CA678C" w:rsidP="00CA678C">
            <w:pPr>
              <w:jc w:val="both"/>
              <w:rPr>
                <w:rFonts w:asciiTheme="majorHAnsi" w:hAnsiTheme="majorHAnsi"/>
                <w:sz w:val="18"/>
                <w:szCs w:val="18"/>
              </w:rPr>
            </w:pPr>
          </w:p>
          <w:p w14:paraId="00335B5B" w14:textId="77777777" w:rsidR="00CA678C" w:rsidRPr="008B43B8" w:rsidRDefault="00CA678C" w:rsidP="00CA678C">
            <w:pPr>
              <w:jc w:val="both"/>
              <w:rPr>
                <w:rFonts w:asciiTheme="majorHAnsi" w:hAnsiTheme="majorHAnsi"/>
                <w:sz w:val="18"/>
                <w:szCs w:val="18"/>
              </w:rPr>
            </w:pPr>
            <w:r w:rsidRPr="008B43B8">
              <w:rPr>
                <w:rFonts w:asciiTheme="majorHAnsi" w:hAnsiTheme="majorHAnsi"/>
                <w:sz w:val="18"/>
              </w:rPr>
              <w:t xml:space="preserve">Nuestro palangrero mide 33,56 m de eslora. Entre las medidas adoptadas para evitar que las aves marinas se acerquen al buque se incluyen: </w:t>
            </w:r>
          </w:p>
          <w:p w14:paraId="4D445460" w14:textId="77777777" w:rsidR="00CA678C" w:rsidRPr="008B43B8" w:rsidRDefault="00CA678C" w:rsidP="00CA678C">
            <w:pPr>
              <w:jc w:val="both"/>
              <w:rPr>
                <w:rFonts w:asciiTheme="majorHAnsi" w:hAnsiTheme="majorHAnsi"/>
                <w:sz w:val="18"/>
                <w:szCs w:val="18"/>
              </w:rPr>
            </w:pPr>
            <w:r w:rsidRPr="008B43B8">
              <w:rPr>
                <w:rFonts w:asciiTheme="majorHAnsi" w:hAnsiTheme="majorHAnsi"/>
                <w:sz w:val="18"/>
              </w:rPr>
              <w:t>- La recomendación para buques de menos de 35 m.</w:t>
            </w:r>
          </w:p>
          <w:p w14:paraId="5165C80F" w14:textId="77777777" w:rsidR="00CA678C" w:rsidRPr="008B43B8" w:rsidRDefault="00CA678C" w:rsidP="00CA678C">
            <w:pPr>
              <w:jc w:val="both"/>
              <w:rPr>
                <w:rFonts w:asciiTheme="majorHAnsi" w:hAnsiTheme="majorHAnsi"/>
                <w:sz w:val="18"/>
                <w:szCs w:val="18"/>
              </w:rPr>
            </w:pPr>
            <w:r w:rsidRPr="008B43B8">
              <w:rPr>
                <w:rFonts w:asciiTheme="majorHAnsi" w:hAnsiTheme="majorHAnsi"/>
                <w:sz w:val="18"/>
              </w:rPr>
              <w:t>- Desplegar al menos una línea espantapájaros.</w:t>
            </w:r>
          </w:p>
          <w:p w14:paraId="48B8BFDD" w14:textId="722B62EF" w:rsidR="00CA678C" w:rsidRPr="008B43B8" w:rsidRDefault="00CA678C" w:rsidP="00CA678C">
            <w:pPr>
              <w:jc w:val="both"/>
              <w:rPr>
                <w:rFonts w:asciiTheme="majorHAnsi" w:hAnsiTheme="majorHAnsi"/>
                <w:sz w:val="18"/>
                <w:szCs w:val="18"/>
              </w:rPr>
            </w:pPr>
            <w:r w:rsidRPr="008B43B8">
              <w:rPr>
                <w:rFonts w:asciiTheme="majorHAnsi" w:hAnsiTheme="majorHAnsi"/>
                <w:sz w:val="18"/>
              </w:rPr>
              <w:t>- Extensión aérea igual o superior a 75 m.</w:t>
            </w:r>
          </w:p>
          <w:p w14:paraId="72A56802" w14:textId="057F5A9F" w:rsidR="00CA678C" w:rsidRPr="008B43B8" w:rsidRDefault="00CA678C" w:rsidP="00CA678C">
            <w:pPr>
              <w:jc w:val="both"/>
              <w:rPr>
                <w:rFonts w:asciiTheme="majorHAnsi" w:hAnsiTheme="majorHAnsi"/>
                <w:sz w:val="18"/>
                <w:szCs w:val="18"/>
              </w:rPr>
            </w:pPr>
            <w:r w:rsidRPr="008B43B8">
              <w:rPr>
                <w:rFonts w:asciiTheme="majorHAnsi" w:hAnsiTheme="majorHAnsi"/>
                <w:sz w:val="18"/>
              </w:rPr>
              <w:t>- Largo y/o corto (pero con una longitud superior a 1 m).</w:t>
            </w:r>
          </w:p>
          <w:p w14:paraId="4E94160D" w14:textId="77777777" w:rsidR="00CA678C" w:rsidRPr="008B43B8" w:rsidRDefault="00CA678C" w:rsidP="00CA678C">
            <w:pPr>
              <w:jc w:val="both"/>
              <w:rPr>
                <w:rFonts w:asciiTheme="majorHAnsi" w:hAnsiTheme="majorHAnsi"/>
                <w:sz w:val="18"/>
                <w:szCs w:val="18"/>
              </w:rPr>
            </w:pPr>
            <w:r w:rsidRPr="008B43B8">
              <w:rPr>
                <w:rFonts w:asciiTheme="majorHAnsi" w:hAnsiTheme="majorHAnsi"/>
                <w:sz w:val="18"/>
              </w:rPr>
              <w:t>Se utilizan serpentinas y se colocan a intervalos del siguiente modo:</w:t>
            </w:r>
          </w:p>
          <w:p w14:paraId="221EDE58" w14:textId="77777777" w:rsidR="00CA678C" w:rsidRPr="008B43B8" w:rsidRDefault="00CA678C" w:rsidP="00CA678C">
            <w:pPr>
              <w:jc w:val="both"/>
              <w:rPr>
                <w:rFonts w:asciiTheme="majorHAnsi" w:hAnsiTheme="majorHAnsi"/>
                <w:sz w:val="18"/>
                <w:szCs w:val="18"/>
              </w:rPr>
            </w:pPr>
            <w:r w:rsidRPr="008B43B8">
              <w:rPr>
                <w:rFonts w:asciiTheme="majorHAnsi" w:hAnsiTheme="majorHAnsi"/>
                <w:sz w:val="18"/>
              </w:rPr>
              <w:t>lo siguiente:</w:t>
            </w:r>
          </w:p>
          <w:p w14:paraId="1544A5D8" w14:textId="01C4398B" w:rsidR="00CA678C" w:rsidRPr="008B43B8" w:rsidRDefault="00CA678C" w:rsidP="00CA678C">
            <w:pPr>
              <w:jc w:val="both"/>
              <w:rPr>
                <w:rFonts w:asciiTheme="majorHAnsi" w:hAnsiTheme="majorHAnsi"/>
                <w:sz w:val="18"/>
                <w:szCs w:val="18"/>
              </w:rPr>
            </w:pPr>
            <w:r w:rsidRPr="008B43B8">
              <w:rPr>
                <w:rFonts w:asciiTheme="majorHAnsi" w:hAnsiTheme="majorHAnsi"/>
                <w:sz w:val="18"/>
              </w:rPr>
              <w:t>• Cortas: intervalos de no más de 2 m.</w:t>
            </w:r>
          </w:p>
          <w:p w14:paraId="059B1B13" w14:textId="5411662F" w:rsidR="00CA678C" w:rsidRPr="008B43B8" w:rsidRDefault="00CA678C" w:rsidP="00CA678C">
            <w:pPr>
              <w:jc w:val="both"/>
              <w:rPr>
                <w:rFonts w:asciiTheme="majorHAnsi" w:hAnsiTheme="majorHAnsi"/>
                <w:sz w:val="18"/>
                <w:szCs w:val="18"/>
              </w:rPr>
            </w:pPr>
            <w:r w:rsidRPr="008B43B8">
              <w:rPr>
                <w:rFonts w:asciiTheme="majorHAnsi" w:hAnsiTheme="majorHAnsi"/>
                <w:sz w:val="18"/>
              </w:rPr>
              <w:t xml:space="preserve">• </w:t>
            </w:r>
            <w:r w:rsidR="008B43B8">
              <w:rPr>
                <w:rFonts w:asciiTheme="majorHAnsi" w:hAnsiTheme="majorHAnsi"/>
                <w:sz w:val="18"/>
              </w:rPr>
              <w:t>I</w:t>
            </w:r>
            <w:r w:rsidRPr="008B43B8">
              <w:rPr>
                <w:rFonts w:asciiTheme="majorHAnsi" w:hAnsiTheme="majorHAnsi"/>
                <w:sz w:val="18"/>
              </w:rPr>
              <w:t xml:space="preserve">ntervalos </w:t>
            </w:r>
            <w:r w:rsidR="001E4D94">
              <w:rPr>
                <w:rFonts w:asciiTheme="majorHAnsi" w:hAnsiTheme="majorHAnsi"/>
                <w:sz w:val="18"/>
              </w:rPr>
              <w:t xml:space="preserve">largos </w:t>
            </w:r>
            <w:r w:rsidRPr="008B43B8">
              <w:rPr>
                <w:rFonts w:asciiTheme="majorHAnsi" w:hAnsiTheme="majorHAnsi"/>
                <w:sz w:val="18"/>
              </w:rPr>
              <w:t>de no más de 5 m para los primeros 55 m de la línea espantapájaros.</w:t>
            </w:r>
          </w:p>
          <w:p w14:paraId="2A6A65F2" w14:textId="77777777" w:rsidR="00CA678C" w:rsidRPr="008B43B8" w:rsidRDefault="00CA678C" w:rsidP="00CA678C">
            <w:pPr>
              <w:jc w:val="both"/>
              <w:rPr>
                <w:rFonts w:asciiTheme="majorHAnsi" w:hAnsiTheme="majorHAnsi"/>
                <w:sz w:val="18"/>
                <w:szCs w:val="18"/>
              </w:rPr>
            </w:pPr>
          </w:p>
          <w:p w14:paraId="4ED5B7AD" w14:textId="77777777" w:rsidR="00CA678C" w:rsidRPr="008B43B8" w:rsidRDefault="00CA678C" w:rsidP="00CA678C">
            <w:pPr>
              <w:jc w:val="both"/>
              <w:rPr>
                <w:rFonts w:asciiTheme="majorHAnsi" w:hAnsiTheme="majorHAnsi"/>
                <w:sz w:val="18"/>
                <w:szCs w:val="18"/>
              </w:rPr>
            </w:pPr>
            <w:r w:rsidRPr="008B43B8">
              <w:rPr>
                <w:rFonts w:asciiTheme="majorHAnsi" w:hAnsiTheme="majorHAnsi"/>
                <w:sz w:val="18"/>
              </w:rPr>
              <w:t>Área: Atlántico sudoriental (SE)</w:t>
            </w:r>
          </w:p>
          <w:p w14:paraId="1F878C8B" w14:textId="2F5D91F0" w:rsidR="00CA678C" w:rsidRPr="008B43B8" w:rsidRDefault="00CA678C" w:rsidP="00CA678C">
            <w:pPr>
              <w:jc w:val="both"/>
              <w:rPr>
                <w:rFonts w:asciiTheme="majorHAnsi" w:hAnsiTheme="majorHAnsi" w:cstheme="minorHAnsi"/>
                <w:color w:val="000000"/>
                <w:sz w:val="18"/>
                <w:szCs w:val="18"/>
                <w:lang w:val="en-US" w:eastAsia="en-GB"/>
              </w:rPr>
            </w:pPr>
          </w:p>
        </w:tc>
      </w:tr>
      <w:tr w:rsidR="00724240" w:rsidRPr="00536AB6" w14:paraId="729DBFE7" w14:textId="77777777" w:rsidTr="006D1FBF">
        <w:trPr>
          <w:trHeight w:val="19"/>
          <w:jc w:val="center"/>
        </w:trPr>
        <w:tc>
          <w:tcPr>
            <w:tcW w:w="464" w:type="pct"/>
            <w:vAlign w:val="center"/>
          </w:tcPr>
          <w:p w14:paraId="602CB7FD" w14:textId="502A7392" w:rsidR="00724240" w:rsidRPr="001E4D94" w:rsidRDefault="00724240" w:rsidP="00724240">
            <w:pPr>
              <w:rPr>
                <w:rFonts w:asciiTheme="majorHAnsi" w:hAnsiTheme="majorHAnsi" w:cs="Calibri"/>
                <w:b/>
                <w:bCs/>
                <w:color w:val="000000"/>
                <w:sz w:val="18"/>
                <w:szCs w:val="18"/>
              </w:rPr>
            </w:pPr>
            <w:r w:rsidRPr="001E4D94">
              <w:rPr>
                <w:rFonts w:asciiTheme="majorHAnsi" w:hAnsiTheme="majorHAnsi"/>
                <w:b/>
                <w:color w:val="000000"/>
                <w:sz w:val="18"/>
              </w:rPr>
              <w:t>Belice</w:t>
            </w:r>
          </w:p>
        </w:tc>
        <w:tc>
          <w:tcPr>
            <w:tcW w:w="549" w:type="pct"/>
            <w:vAlign w:val="center"/>
          </w:tcPr>
          <w:p w14:paraId="2E9B6111" w14:textId="07A09AC2" w:rsidR="00724240" w:rsidRPr="001E4D94" w:rsidRDefault="00724240" w:rsidP="00724240">
            <w:pPr>
              <w:jc w:val="center"/>
              <w:rPr>
                <w:rFonts w:asciiTheme="majorHAnsi" w:hAnsiTheme="majorHAnsi" w:cstheme="minorHAnsi"/>
                <w:color w:val="000000"/>
                <w:sz w:val="18"/>
                <w:szCs w:val="18"/>
              </w:rPr>
            </w:pPr>
            <w:r w:rsidRPr="001E4D94">
              <w:rPr>
                <w:rFonts w:asciiTheme="majorHAnsi" w:hAnsiTheme="majorHAnsi"/>
                <w:color w:val="000000"/>
                <w:sz w:val="18"/>
              </w:rPr>
              <w:t>Sí</w:t>
            </w:r>
          </w:p>
        </w:tc>
        <w:tc>
          <w:tcPr>
            <w:tcW w:w="562" w:type="pct"/>
            <w:vAlign w:val="center"/>
          </w:tcPr>
          <w:p w14:paraId="19E7A231" w14:textId="375DBB7A" w:rsidR="00724240" w:rsidRPr="001E4D94" w:rsidRDefault="00724240" w:rsidP="00724240">
            <w:pPr>
              <w:jc w:val="center"/>
              <w:rPr>
                <w:rFonts w:asciiTheme="majorHAnsi" w:hAnsiTheme="majorHAnsi" w:cstheme="minorHAnsi"/>
                <w:color w:val="000000"/>
                <w:sz w:val="18"/>
                <w:szCs w:val="18"/>
              </w:rPr>
            </w:pPr>
            <w:r w:rsidRPr="001E4D94">
              <w:rPr>
                <w:rFonts w:asciiTheme="majorHAnsi" w:hAnsiTheme="majorHAnsi"/>
                <w:color w:val="000000"/>
                <w:sz w:val="18"/>
              </w:rPr>
              <w:t>Sí</w:t>
            </w:r>
          </w:p>
        </w:tc>
        <w:tc>
          <w:tcPr>
            <w:tcW w:w="546" w:type="pct"/>
            <w:vAlign w:val="center"/>
          </w:tcPr>
          <w:p w14:paraId="6646038C" w14:textId="21EDF73C" w:rsidR="00724240" w:rsidRPr="001E4D94" w:rsidRDefault="00724240" w:rsidP="00724240">
            <w:pPr>
              <w:jc w:val="center"/>
              <w:rPr>
                <w:rFonts w:asciiTheme="majorHAnsi" w:hAnsiTheme="majorHAnsi" w:cstheme="minorHAnsi"/>
                <w:color w:val="000000"/>
                <w:sz w:val="18"/>
                <w:szCs w:val="18"/>
              </w:rPr>
            </w:pPr>
            <w:r w:rsidRPr="001E4D94">
              <w:rPr>
                <w:rFonts w:asciiTheme="majorHAnsi" w:hAnsiTheme="majorHAnsi"/>
                <w:color w:val="000000"/>
                <w:sz w:val="18"/>
              </w:rPr>
              <w:t>Sí</w:t>
            </w:r>
          </w:p>
        </w:tc>
        <w:tc>
          <w:tcPr>
            <w:tcW w:w="1555" w:type="pct"/>
          </w:tcPr>
          <w:p w14:paraId="2702F238" w14:textId="41329050" w:rsidR="00724240" w:rsidRPr="001E4D94" w:rsidRDefault="00724240" w:rsidP="00724240">
            <w:pPr>
              <w:jc w:val="both"/>
              <w:rPr>
                <w:rFonts w:asciiTheme="majorHAnsi" w:hAnsiTheme="majorHAnsi"/>
                <w:sz w:val="18"/>
                <w:szCs w:val="18"/>
              </w:rPr>
            </w:pPr>
            <w:r w:rsidRPr="001E4D94">
              <w:rPr>
                <w:rFonts w:asciiTheme="majorHAnsi" w:hAnsiTheme="majorHAnsi"/>
                <w:sz w:val="18"/>
              </w:rPr>
              <w:t>El NPOA para las aves marinas fue adoptado en 2016.</w:t>
            </w:r>
          </w:p>
        </w:tc>
        <w:tc>
          <w:tcPr>
            <w:tcW w:w="1324" w:type="pct"/>
          </w:tcPr>
          <w:p w14:paraId="4BD72CE5" w14:textId="57599300" w:rsidR="00724240" w:rsidRPr="001E4D94" w:rsidRDefault="00724240" w:rsidP="00724240">
            <w:pPr>
              <w:jc w:val="both"/>
              <w:rPr>
                <w:rFonts w:asciiTheme="majorHAnsi" w:hAnsiTheme="majorHAnsi"/>
                <w:sz w:val="18"/>
                <w:szCs w:val="18"/>
              </w:rPr>
            </w:pPr>
            <w:r w:rsidRPr="001E4D94">
              <w:rPr>
                <w:rFonts w:asciiTheme="majorHAnsi" w:hAnsiTheme="majorHAnsi"/>
                <w:sz w:val="18"/>
              </w:rPr>
              <w:t xml:space="preserve">Se emitió una circular legalmente vinculante de acuerdo con este requisito. Se deben utilizar una o varias de estas tres medidas a bordo de sus buques. Estos requisitos también se recogen en nuestro NPOA para </w:t>
            </w:r>
            <w:r w:rsidRPr="001E4D94">
              <w:rPr>
                <w:rFonts w:asciiTheme="majorHAnsi" w:hAnsiTheme="majorHAnsi"/>
                <w:sz w:val="18"/>
              </w:rPr>
              <w:lastRenderedPageBreak/>
              <w:t xml:space="preserve">las aves marinas </w:t>
            </w:r>
          </w:p>
          <w:p w14:paraId="18E2333F" w14:textId="77777777" w:rsidR="00724240" w:rsidRPr="001E4D94" w:rsidRDefault="00724240" w:rsidP="00724240">
            <w:pPr>
              <w:jc w:val="both"/>
              <w:rPr>
                <w:rFonts w:asciiTheme="majorHAnsi" w:hAnsiTheme="majorHAnsi"/>
                <w:sz w:val="18"/>
                <w:szCs w:val="18"/>
              </w:rPr>
            </w:pPr>
          </w:p>
          <w:p w14:paraId="44D92B87" w14:textId="5B3E52A2" w:rsidR="00724240" w:rsidRPr="001E4D94" w:rsidRDefault="00724240" w:rsidP="00724240">
            <w:pPr>
              <w:jc w:val="both"/>
              <w:rPr>
                <w:rFonts w:asciiTheme="majorHAnsi" w:hAnsiTheme="majorHAnsi"/>
                <w:sz w:val="18"/>
                <w:szCs w:val="18"/>
              </w:rPr>
            </w:pPr>
            <w:r w:rsidRPr="001E4D94">
              <w:rPr>
                <w:rFonts w:asciiTheme="majorHAnsi" w:hAnsiTheme="majorHAnsi"/>
                <w:sz w:val="18"/>
              </w:rPr>
              <w:t>Área: FAO 31 &amp; 34.</w:t>
            </w:r>
          </w:p>
          <w:p w14:paraId="389C1B95" w14:textId="77777777" w:rsidR="00CA678C" w:rsidRPr="001E4D94" w:rsidRDefault="00CA678C" w:rsidP="00724240">
            <w:pPr>
              <w:jc w:val="both"/>
              <w:rPr>
                <w:rFonts w:asciiTheme="majorHAnsi" w:hAnsiTheme="majorHAnsi"/>
                <w:sz w:val="18"/>
                <w:szCs w:val="18"/>
                <w:lang w:val="en-US"/>
              </w:rPr>
            </w:pPr>
          </w:p>
          <w:p w14:paraId="37131873" w14:textId="38D4BA80" w:rsidR="00536AB6" w:rsidRPr="001E4D94" w:rsidRDefault="00536AB6" w:rsidP="00724240">
            <w:pPr>
              <w:jc w:val="both"/>
              <w:rPr>
                <w:rFonts w:asciiTheme="majorHAnsi" w:hAnsiTheme="majorHAnsi"/>
                <w:sz w:val="18"/>
                <w:szCs w:val="18"/>
                <w:lang w:val="en-US"/>
              </w:rPr>
            </w:pPr>
          </w:p>
        </w:tc>
      </w:tr>
      <w:tr w:rsidR="00724240" w:rsidRPr="0091340C" w14:paraId="48B99BCB" w14:textId="77777777" w:rsidTr="006D1FBF">
        <w:trPr>
          <w:trHeight w:val="19"/>
          <w:jc w:val="center"/>
        </w:trPr>
        <w:tc>
          <w:tcPr>
            <w:tcW w:w="464" w:type="pct"/>
            <w:vAlign w:val="center"/>
          </w:tcPr>
          <w:p w14:paraId="3A5DE02B" w14:textId="77777777" w:rsidR="00724240" w:rsidRPr="00536AB6" w:rsidRDefault="00724240" w:rsidP="00724240">
            <w:pPr>
              <w:rPr>
                <w:rFonts w:asciiTheme="majorHAnsi" w:hAnsiTheme="majorHAnsi" w:cs="Calibri"/>
                <w:b/>
                <w:bCs/>
                <w:color w:val="000000"/>
                <w:sz w:val="18"/>
                <w:szCs w:val="18"/>
              </w:rPr>
            </w:pPr>
            <w:r>
              <w:rPr>
                <w:rFonts w:asciiTheme="majorHAnsi" w:hAnsiTheme="majorHAnsi"/>
                <w:b/>
                <w:color w:val="000000"/>
                <w:sz w:val="18"/>
              </w:rPr>
              <w:lastRenderedPageBreak/>
              <w:t>Taipei Chino</w:t>
            </w:r>
          </w:p>
        </w:tc>
        <w:tc>
          <w:tcPr>
            <w:tcW w:w="549" w:type="pct"/>
            <w:vAlign w:val="center"/>
          </w:tcPr>
          <w:p w14:paraId="3E6DB547" w14:textId="77777777" w:rsidR="00724240" w:rsidRPr="001E4D94" w:rsidRDefault="00724240" w:rsidP="00724240">
            <w:pPr>
              <w:jc w:val="center"/>
              <w:rPr>
                <w:rFonts w:asciiTheme="majorHAnsi" w:hAnsiTheme="majorHAnsi" w:cstheme="minorHAnsi"/>
                <w:color w:val="000000"/>
                <w:sz w:val="18"/>
                <w:szCs w:val="18"/>
              </w:rPr>
            </w:pPr>
            <w:r w:rsidRPr="001E4D94">
              <w:rPr>
                <w:rFonts w:asciiTheme="majorHAnsi" w:hAnsiTheme="majorHAnsi"/>
                <w:color w:val="000000"/>
                <w:sz w:val="18"/>
              </w:rPr>
              <w:t>Sí</w:t>
            </w:r>
          </w:p>
        </w:tc>
        <w:tc>
          <w:tcPr>
            <w:tcW w:w="562" w:type="pct"/>
            <w:vAlign w:val="center"/>
          </w:tcPr>
          <w:p w14:paraId="11D02E9A" w14:textId="77777777" w:rsidR="00724240" w:rsidRPr="001E4D94" w:rsidRDefault="00724240" w:rsidP="00724240">
            <w:pPr>
              <w:jc w:val="center"/>
              <w:rPr>
                <w:rFonts w:asciiTheme="majorHAnsi" w:hAnsiTheme="majorHAnsi" w:cstheme="minorHAnsi"/>
                <w:color w:val="000000"/>
                <w:sz w:val="18"/>
                <w:szCs w:val="18"/>
              </w:rPr>
            </w:pPr>
            <w:r w:rsidRPr="001E4D94">
              <w:rPr>
                <w:rFonts w:asciiTheme="majorHAnsi" w:hAnsiTheme="majorHAnsi"/>
                <w:color w:val="000000"/>
                <w:sz w:val="18"/>
              </w:rPr>
              <w:t>Sí</w:t>
            </w:r>
          </w:p>
        </w:tc>
        <w:tc>
          <w:tcPr>
            <w:tcW w:w="546" w:type="pct"/>
            <w:vAlign w:val="center"/>
          </w:tcPr>
          <w:p w14:paraId="7A987A32" w14:textId="77777777" w:rsidR="00724240" w:rsidRPr="001E4D94" w:rsidRDefault="00724240" w:rsidP="00724240">
            <w:pPr>
              <w:jc w:val="center"/>
              <w:rPr>
                <w:rFonts w:asciiTheme="majorHAnsi" w:hAnsiTheme="majorHAnsi" w:cstheme="minorHAnsi"/>
                <w:color w:val="000000"/>
                <w:sz w:val="18"/>
                <w:szCs w:val="18"/>
              </w:rPr>
            </w:pPr>
            <w:r w:rsidRPr="001E4D94">
              <w:rPr>
                <w:rFonts w:asciiTheme="majorHAnsi" w:hAnsiTheme="majorHAnsi"/>
                <w:color w:val="000000"/>
                <w:sz w:val="18"/>
              </w:rPr>
              <w:t>Sí</w:t>
            </w:r>
          </w:p>
        </w:tc>
        <w:tc>
          <w:tcPr>
            <w:tcW w:w="1555" w:type="pct"/>
          </w:tcPr>
          <w:p w14:paraId="0457D6AC" w14:textId="77777777" w:rsidR="00CA678C" w:rsidRPr="001E4D94" w:rsidRDefault="00CA678C" w:rsidP="00CA678C">
            <w:pPr>
              <w:snapToGrid w:val="0"/>
              <w:spacing w:after="120"/>
              <w:jc w:val="both"/>
              <w:rPr>
                <w:rFonts w:asciiTheme="majorHAnsi" w:eastAsiaTheme="minorEastAsia" w:hAnsiTheme="majorHAnsi"/>
                <w:sz w:val="18"/>
                <w:szCs w:val="18"/>
              </w:rPr>
            </w:pPr>
            <w:r w:rsidRPr="001E4D94">
              <w:rPr>
                <w:rFonts w:asciiTheme="majorHAnsi" w:hAnsiTheme="majorHAnsi"/>
                <w:sz w:val="18"/>
              </w:rPr>
              <w:t xml:space="preserve">En 2006, adoptamos la primera edición del NPOA para las aves marinas, dentro del cual se incluyeron las tres medidas de mitigación (calado nocturno, líneas espantapájaros y lastrado de línea) exigidas por ICCAT. </w:t>
            </w:r>
          </w:p>
          <w:p w14:paraId="55E7F972" w14:textId="7CB82C49" w:rsidR="00724240" w:rsidRPr="001E4D94" w:rsidRDefault="00CA678C" w:rsidP="00724240">
            <w:pPr>
              <w:jc w:val="both"/>
              <w:rPr>
                <w:rFonts w:asciiTheme="majorHAnsi" w:hAnsiTheme="majorHAnsi" w:cstheme="minorHAnsi"/>
                <w:color w:val="000000"/>
                <w:sz w:val="18"/>
                <w:szCs w:val="18"/>
              </w:rPr>
            </w:pPr>
            <w:r w:rsidRPr="001E4D94">
              <w:rPr>
                <w:rFonts w:asciiTheme="majorHAnsi" w:hAnsiTheme="majorHAnsi"/>
                <w:sz w:val="18"/>
              </w:rPr>
              <w:t>En 2014, revisamos de nuevo el NPOA para las aves marinas para cumplir el objetivo de reducir la captura incidental de aves marinas en las pesquerías de palangre.</w:t>
            </w:r>
          </w:p>
        </w:tc>
        <w:tc>
          <w:tcPr>
            <w:tcW w:w="1324" w:type="pct"/>
          </w:tcPr>
          <w:p w14:paraId="26B97078" w14:textId="77777777" w:rsidR="00CA678C" w:rsidRPr="001E4D94" w:rsidRDefault="00CA678C" w:rsidP="00CA678C">
            <w:pPr>
              <w:jc w:val="both"/>
              <w:rPr>
                <w:rFonts w:asciiTheme="majorHAnsi" w:eastAsiaTheme="minorEastAsia" w:hAnsiTheme="majorHAnsi"/>
                <w:sz w:val="18"/>
                <w:szCs w:val="18"/>
              </w:rPr>
            </w:pPr>
            <w:r w:rsidRPr="001E4D94">
              <w:rPr>
                <w:rFonts w:asciiTheme="majorHAnsi" w:hAnsiTheme="majorHAnsi"/>
                <w:sz w:val="18"/>
              </w:rPr>
              <w:t>Animamos a nuestros buques pesqueros que faenan en la zona al sur de los 20°S a adoptar la medida de calado nocturno con iluminación mínima en cubierta.</w:t>
            </w:r>
          </w:p>
          <w:p w14:paraId="331C72ED" w14:textId="77777777" w:rsidR="00CA678C" w:rsidRPr="001E4D94" w:rsidRDefault="00CA678C" w:rsidP="00CA678C">
            <w:pPr>
              <w:jc w:val="both"/>
              <w:rPr>
                <w:rFonts w:asciiTheme="majorHAnsi" w:eastAsiaTheme="minorEastAsia" w:hAnsiTheme="majorHAnsi"/>
                <w:sz w:val="18"/>
                <w:szCs w:val="18"/>
                <w:lang w:eastAsia="zh-TW"/>
              </w:rPr>
            </w:pPr>
          </w:p>
          <w:p w14:paraId="6571C4F0" w14:textId="77777777" w:rsidR="00CA678C" w:rsidRPr="001E4D94" w:rsidRDefault="00CA678C" w:rsidP="00CA678C">
            <w:pPr>
              <w:jc w:val="both"/>
              <w:rPr>
                <w:rFonts w:asciiTheme="majorHAnsi" w:eastAsiaTheme="minorEastAsia" w:hAnsiTheme="majorHAnsi"/>
                <w:sz w:val="18"/>
                <w:szCs w:val="18"/>
              </w:rPr>
            </w:pPr>
            <w:r w:rsidRPr="001E4D94">
              <w:rPr>
                <w:rFonts w:asciiTheme="majorHAnsi" w:hAnsiTheme="majorHAnsi"/>
                <w:sz w:val="18"/>
              </w:rPr>
              <w:t xml:space="preserve">Según lo estipulado en nuestra normativa interna, todo buque pesquero que faene en la zona situada al sur de 20°S está obligado a utilizar líneas espantapájaros durante la pesca y a llevar a bordo al menos un juego de repuesto. </w:t>
            </w:r>
          </w:p>
          <w:p w14:paraId="589D1908" w14:textId="77777777" w:rsidR="00CA678C" w:rsidRPr="001E4D94" w:rsidRDefault="00CA678C" w:rsidP="00CA678C">
            <w:pPr>
              <w:jc w:val="both"/>
              <w:rPr>
                <w:rFonts w:asciiTheme="majorHAnsi" w:eastAsiaTheme="minorEastAsia" w:hAnsiTheme="majorHAnsi"/>
                <w:sz w:val="18"/>
                <w:szCs w:val="18"/>
                <w:lang w:eastAsia="zh-TW"/>
              </w:rPr>
            </w:pPr>
          </w:p>
          <w:p w14:paraId="1DD62CB0" w14:textId="77777777" w:rsidR="00CA678C" w:rsidRPr="001E4D94" w:rsidRDefault="00CA678C" w:rsidP="00CA678C">
            <w:pPr>
              <w:jc w:val="both"/>
              <w:rPr>
                <w:rFonts w:asciiTheme="majorHAnsi" w:eastAsiaTheme="minorEastAsia" w:hAnsiTheme="majorHAnsi"/>
                <w:sz w:val="18"/>
                <w:szCs w:val="18"/>
              </w:rPr>
            </w:pPr>
            <w:r w:rsidRPr="001E4D94">
              <w:rPr>
                <w:rFonts w:asciiTheme="majorHAnsi" w:hAnsiTheme="majorHAnsi"/>
                <w:sz w:val="18"/>
              </w:rPr>
              <w:t>Todo buque pesquero que opere en la zona situada al sur de 25°S está obligado a utilizar, además de las líneas espantapájaros, pesos en la brazolada durante la pesca.</w:t>
            </w:r>
          </w:p>
          <w:p w14:paraId="3C7D1B2D" w14:textId="77777777" w:rsidR="00CA678C" w:rsidRPr="001E4D94" w:rsidRDefault="00CA678C" w:rsidP="00CA678C">
            <w:pPr>
              <w:jc w:val="both"/>
              <w:rPr>
                <w:rFonts w:asciiTheme="majorHAnsi" w:eastAsiaTheme="minorEastAsia" w:hAnsiTheme="majorHAnsi"/>
                <w:sz w:val="18"/>
                <w:szCs w:val="18"/>
                <w:lang w:eastAsia="zh-TW"/>
              </w:rPr>
            </w:pPr>
          </w:p>
          <w:p w14:paraId="268872E1" w14:textId="69684EE7" w:rsidR="00CA678C" w:rsidRPr="001E4D94" w:rsidRDefault="00CA678C" w:rsidP="00CA678C">
            <w:pPr>
              <w:jc w:val="both"/>
              <w:rPr>
                <w:rFonts w:asciiTheme="majorHAnsi" w:eastAsiaTheme="minorEastAsia" w:hAnsiTheme="majorHAnsi"/>
                <w:sz w:val="18"/>
                <w:szCs w:val="18"/>
              </w:rPr>
            </w:pPr>
            <w:r w:rsidRPr="001E4D94">
              <w:rPr>
                <w:rFonts w:asciiTheme="majorHAnsi" w:hAnsiTheme="majorHAnsi"/>
                <w:sz w:val="18"/>
              </w:rPr>
              <w:t xml:space="preserve">Como se muestra en el apéndice de nuestra normativa interna, especificamos los requisitos para las líneas espantapájaros y los pesos en la brazolada de acuerdo con las normas técnicas mínimas de </w:t>
            </w:r>
            <w:proofErr w:type="gramStart"/>
            <w:r w:rsidRPr="001E4D94">
              <w:rPr>
                <w:rFonts w:asciiTheme="majorHAnsi" w:hAnsiTheme="majorHAnsi"/>
                <w:sz w:val="18"/>
              </w:rPr>
              <w:t>ICCAT..</w:t>
            </w:r>
            <w:proofErr w:type="gramEnd"/>
          </w:p>
          <w:p w14:paraId="5BABD9EF" w14:textId="77777777" w:rsidR="00CA678C" w:rsidRPr="001E4D94" w:rsidRDefault="00CA678C" w:rsidP="00CA678C">
            <w:pPr>
              <w:jc w:val="both"/>
              <w:rPr>
                <w:rFonts w:asciiTheme="majorHAnsi" w:eastAsiaTheme="minorEastAsia" w:hAnsiTheme="majorHAnsi"/>
                <w:sz w:val="18"/>
                <w:szCs w:val="18"/>
                <w:lang w:eastAsia="zh-TW"/>
              </w:rPr>
            </w:pPr>
          </w:p>
          <w:p w14:paraId="6AD48881" w14:textId="61A7F159" w:rsidR="00CA678C" w:rsidRPr="001E4D94" w:rsidRDefault="00CA678C" w:rsidP="00CA678C">
            <w:pPr>
              <w:jc w:val="both"/>
              <w:rPr>
                <w:rFonts w:asciiTheme="majorHAnsi" w:eastAsiaTheme="minorEastAsia" w:hAnsiTheme="majorHAnsi"/>
                <w:sz w:val="18"/>
                <w:szCs w:val="18"/>
              </w:rPr>
            </w:pPr>
            <w:r w:rsidRPr="001E4D94">
              <w:rPr>
                <w:rFonts w:asciiTheme="majorHAnsi" w:hAnsiTheme="majorHAnsi"/>
                <w:sz w:val="18"/>
              </w:rPr>
              <w:t>Área: En la zona situada al sur de los 20°S.</w:t>
            </w:r>
          </w:p>
          <w:p w14:paraId="131932AC" w14:textId="42D2A10D" w:rsidR="00724240" w:rsidRPr="001E4D94" w:rsidRDefault="00724240" w:rsidP="00724240">
            <w:pPr>
              <w:jc w:val="both"/>
              <w:rPr>
                <w:rFonts w:asciiTheme="majorHAnsi" w:hAnsiTheme="majorHAnsi" w:cstheme="minorHAnsi"/>
                <w:color w:val="000000"/>
                <w:sz w:val="18"/>
                <w:szCs w:val="18"/>
                <w:lang w:eastAsia="en-GB"/>
              </w:rPr>
            </w:pPr>
          </w:p>
        </w:tc>
      </w:tr>
      <w:tr w:rsidR="00CA678C" w:rsidRPr="00063218" w14:paraId="6F9963F8" w14:textId="77777777" w:rsidTr="006D1FBF">
        <w:trPr>
          <w:trHeight w:val="19"/>
          <w:jc w:val="center"/>
        </w:trPr>
        <w:tc>
          <w:tcPr>
            <w:tcW w:w="464" w:type="pct"/>
            <w:vAlign w:val="center"/>
          </w:tcPr>
          <w:p w14:paraId="139A9423" w14:textId="77777777" w:rsidR="00CA678C" w:rsidRPr="001E4D94" w:rsidRDefault="00CA678C" w:rsidP="00CA678C">
            <w:pPr>
              <w:rPr>
                <w:rFonts w:asciiTheme="majorHAnsi" w:hAnsiTheme="majorHAnsi" w:cs="Calibri"/>
                <w:b/>
                <w:bCs/>
                <w:color w:val="000000"/>
                <w:sz w:val="18"/>
                <w:szCs w:val="18"/>
              </w:rPr>
            </w:pPr>
            <w:r w:rsidRPr="001E4D94">
              <w:rPr>
                <w:rFonts w:asciiTheme="majorHAnsi" w:hAnsiTheme="majorHAnsi"/>
                <w:b/>
                <w:color w:val="000000"/>
                <w:sz w:val="18"/>
              </w:rPr>
              <w:t>Costa Rica</w:t>
            </w:r>
          </w:p>
        </w:tc>
        <w:tc>
          <w:tcPr>
            <w:tcW w:w="549" w:type="pct"/>
          </w:tcPr>
          <w:p w14:paraId="0E29794F" w14:textId="18DC6D1F" w:rsidR="00CA678C" w:rsidRPr="001E4D94" w:rsidRDefault="00CA678C" w:rsidP="00CA678C">
            <w:pPr>
              <w:jc w:val="both"/>
              <w:rPr>
                <w:rFonts w:asciiTheme="majorHAnsi" w:hAnsiTheme="majorHAnsi" w:cstheme="minorHAnsi"/>
                <w:color w:val="000000"/>
                <w:sz w:val="18"/>
                <w:szCs w:val="18"/>
              </w:rPr>
            </w:pPr>
            <w:r w:rsidRPr="001E4D94">
              <w:rPr>
                <w:rFonts w:asciiTheme="majorHAnsi" w:hAnsiTheme="majorHAnsi"/>
                <w:sz w:val="18"/>
              </w:rPr>
              <w:t>Costa Rica no tiene operaciones en el Atlántico sur.</w:t>
            </w:r>
          </w:p>
        </w:tc>
        <w:tc>
          <w:tcPr>
            <w:tcW w:w="562" w:type="pct"/>
          </w:tcPr>
          <w:p w14:paraId="681F7150" w14:textId="2EAC09BE" w:rsidR="00CA678C" w:rsidRPr="001E4D94" w:rsidRDefault="00276BEA" w:rsidP="00CA678C">
            <w:pPr>
              <w:jc w:val="both"/>
              <w:rPr>
                <w:rFonts w:asciiTheme="majorHAnsi" w:hAnsiTheme="majorHAnsi"/>
                <w:sz w:val="18"/>
                <w:szCs w:val="18"/>
              </w:rPr>
            </w:pPr>
            <w:r w:rsidRPr="001E4D94">
              <w:rPr>
                <w:rFonts w:asciiTheme="majorHAnsi" w:hAnsiTheme="majorHAnsi"/>
                <w:sz w:val="18"/>
              </w:rPr>
              <w:t>Costa Rica no tiene operaciones en el Atlántico sur.</w:t>
            </w:r>
          </w:p>
        </w:tc>
        <w:tc>
          <w:tcPr>
            <w:tcW w:w="546" w:type="pct"/>
          </w:tcPr>
          <w:p w14:paraId="194AEAF3" w14:textId="13D6A6AF" w:rsidR="00CA678C" w:rsidRPr="001E4D94" w:rsidRDefault="00276BEA" w:rsidP="00276BEA">
            <w:pPr>
              <w:jc w:val="both"/>
              <w:rPr>
                <w:rFonts w:asciiTheme="majorHAnsi" w:hAnsiTheme="majorHAnsi"/>
                <w:sz w:val="18"/>
                <w:szCs w:val="18"/>
              </w:rPr>
            </w:pPr>
            <w:r w:rsidRPr="001E4D94">
              <w:rPr>
                <w:rFonts w:asciiTheme="majorHAnsi" w:hAnsiTheme="majorHAnsi"/>
                <w:sz w:val="18"/>
              </w:rPr>
              <w:t>Costa Rica no tiene operaciones en el Atlántico sur.</w:t>
            </w:r>
          </w:p>
        </w:tc>
        <w:tc>
          <w:tcPr>
            <w:tcW w:w="1555" w:type="pct"/>
          </w:tcPr>
          <w:p w14:paraId="0616E9F9" w14:textId="6D2122A4" w:rsidR="00CA678C" w:rsidRPr="001E4D94" w:rsidRDefault="009E3EB2" w:rsidP="00CA678C">
            <w:pPr>
              <w:jc w:val="both"/>
              <w:rPr>
                <w:rFonts w:asciiTheme="majorHAnsi" w:hAnsiTheme="majorHAnsi" w:cstheme="minorHAnsi"/>
                <w:color w:val="000000"/>
                <w:sz w:val="18"/>
                <w:szCs w:val="18"/>
              </w:rPr>
            </w:pPr>
            <w:r w:rsidRPr="001E4D94">
              <w:rPr>
                <w:rFonts w:asciiTheme="majorHAnsi" w:hAnsiTheme="majorHAnsi"/>
                <w:sz w:val="18"/>
              </w:rPr>
              <w:t>Costa Rica no tiene operaciones en el Atlántico sur.</w:t>
            </w:r>
          </w:p>
        </w:tc>
        <w:tc>
          <w:tcPr>
            <w:tcW w:w="1324" w:type="pct"/>
          </w:tcPr>
          <w:p w14:paraId="381A9A2C" w14:textId="77777777" w:rsidR="00CA678C" w:rsidRPr="001E4D94" w:rsidRDefault="00CA678C" w:rsidP="00CA678C">
            <w:pPr>
              <w:rPr>
                <w:rFonts w:asciiTheme="majorHAnsi" w:hAnsiTheme="majorHAnsi" w:cstheme="minorHAnsi"/>
                <w:color w:val="000000"/>
                <w:sz w:val="18"/>
                <w:szCs w:val="18"/>
                <w:lang w:eastAsia="en-GB"/>
              </w:rPr>
            </w:pPr>
          </w:p>
        </w:tc>
      </w:tr>
      <w:tr w:rsidR="00724240" w:rsidRPr="00536AB6" w14:paraId="374DA128" w14:textId="77777777" w:rsidTr="006D1FBF">
        <w:trPr>
          <w:trHeight w:val="19"/>
          <w:jc w:val="center"/>
        </w:trPr>
        <w:tc>
          <w:tcPr>
            <w:tcW w:w="464" w:type="pct"/>
            <w:vAlign w:val="center"/>
          </w:tcPr>
          <w:p w14:paraId="71B69A52" w14:textId="77777777" w:rsidR="00724240" w:rsidRPr="00536AB6" w:rsidRDefault="00724240" w:rsidP="00724240">
            <w:pPr>
              <w:rPr>
                <w:rFonts w:asciiTheme="majorHAnsi" w:hAnsiTheme="majorHAnsi" w:cs="Calibri"/>
                <w:b/>
                <w:bCs/>
                <w:color w:val="000000"/>
                <w:sz w:val="18"/>
                <w:szCs w:val="18"/>
              </w:rPr>
            </w:pPr>
            <w:r>
              <w:rPr>
                <w:rFonts w:asciiTheme="majorHAnsi" w:hAnsiTheme="majorHAnsi"/>
                <w:b/>
                <w:color w:val="000000"/>
                <w:sz w:val="18"/>
              </w:rPr>
              <w:t>UE</w:t>
            </w:r>
          </w:p>
        </w:tc>
        <w:tc>
          <w:tcPr>
            <w:tcW w:w="549" w:type="pct"/>
          </w:tcPr>
          <w:p w14:paraId="054B23F1" w14:textId="27647DC9" w:rsidR="00724240" w:rsidRPr="00536AB6" w:rsidRDefault="00724240" w:rsidP="00724240">
            <w:pPr>
              <w:jc w:val="both"/>
              <w:rPr>
                <w:rFonts w:asciiTheme="majorHAnsi" w:hAnsiTheme="majorHAnsi"/>
                <w:sz w:val="18"/>
                <w:szCs w:val="18"/>
              </w:rPr>
            </w:pPr>
            <w:r>
              <w:rPr>
                <w:rFonts w:asciiTheme="majorHAnsi" w:hAnsiTheme="majorHAnsi"/>
                <w:sz w:val="18"/>
              </w:rPr>
              <w:t xml:space="preserve">Los lances nocturnos no suelen </w:t>
            </w:r>
            <w:r>
              <w:rPr>
                <w:rFonts w:asciiTheme="majorHAnsi" w:hAnsiTheme="majorHAnsi"/>
                <w:sz w:val="18"/>
              </w:rPr>
              <w:lastRenderedPageBreak/>
              <w:t>realizarse en general en la mayor parte de las operaciones de palangre de superficie y palangre de fondo.</w:t>
            </w:r>
          </w:p>
        </w:tc>
        <w:tc>
          <w:tcPr>
            <w:tcW w:w="562" w:type="pct"/>
          </w:tcPr>
          <w:p w14:paraId="2EAE9A9C" w14:textId="77777777" w:rsidR="00724240" w:rsidRPr="00536AB6" w:rsidRDefault="00724240" w:rsidP="00724240">
            <w:pPr>
              <w:jc w:val="both"/>
              <w:rPr>
                <w:rFonts w:asciiTheme="majorHAnsi" w:hAnsiTheme="majorHAnsi"/>
                <w:sz w:val="18"/>
                <w:szCs w:val="18"/>
              </w:rPr>
            </w:pPr>
            <w:r>
              <w:rPr>
                <w:rFonts w:asciiTheme="majorHAnsi" w:hAnsiTheme="majorHAnsi"/>
                <w:sz w:val="18"/>
              </w:rPr>
              <w:lastRenderedPageBreak/>
              <w:t>No aplicable</w:t>
            </w:r>
          </w:p>
        </w:tc>
        <w:tc>
          <w:tcPr>
            <w:tcW w:w="546" w:type="pct"/>
          </w:tcPr>
          <w:p w14:paraId="7B6E2624" w14:textId="77777777" w:rsidR="00724240" w:rsidRPr="00536AB6" w:rsidRDefault="00724240" w:rsidP="00724240">
            <w:pPr>
              <w:jc w:val="both"/>
              <w:rPr>
                <w:rFonts w:asciiTheme="majorHAnsi" w:hAnsiTheme="majorHAnsi"/>
                <w:sz w:val="18"/>
                <w:szCs w:val="18"/>
              </w:rPr>
            </w:pPr>
            <w:r>
              <w:rPr>
                <w:rFonts w:asciiTheme="majorHAnsi" w:hAnsiTheme="majorHAnsi"/>
                <w:sz w:val="18"/>
              </w:rPr>
              <w:t xml:space="preserve">El peso en las líneas se utiliza en los palangres </w:t>
            </w:r>
            <w:r>
              <w:rPr>
                <w:rFonts w:asciiTheme="majorHAnsi" w:hAnsiTheme="majorHAnsi"/>
                <w:sz w:val="18"/>
              </w:rPr>
              <w:lastRenderedPageBreak/>
              <w:t>de fondo pero generalmente no en el palangre de superficie.</w:t>
            </w:r>
          </w:p>
        </w:tc>
        <w:tc>
          <w:tcPr>
            <w:tcW w:w="1555" w:type="pct"/>
          </w:tcPr>
          <w:p w14:paraId="4BBA1A41" w14:textId="553A410A" w:rsidR="00724240" w:rsidRPr="00536AB6" w:rsidRDefault="00724240" w:rsidP="00724240">
            <w:pPr>
              <w:jc w:val="both"/>
              <w:rPr>
                <w:rFonts w:asciiTheme="majorHAnsi" w:hAnsiTheme="majorHAnsi"/>
                <w:sz w:val="18"/>
                <w:szCs w:val="18"/>
              </w:rPr>
            </w:pPr>
            <w:r>
              <w:rPr>
                <w:rFonts w:asciiTheme="majorHAnsi" w:hAnsiTheme="majorHAnsi"/>
                <w:sz w:val="18"/>
              </w:rPr>
              <w:lastRenderedPageBreak/>
              <w:t>Actualmente no hay en vigor un plan de acción nacional.</w:t>
            </w:r>
          </w:p>
        </w:tc>
        <w:tc>
          <w:tcPr>
            <w:tcW w:w="1324" w:type="pct"/>
          </w:tcPr>
          <w:p w14:paraId="4FB57B1E" w14:textId="166958C9" w:rsidR="00CA678C" w:rsidRPr="004514F8" w:rsidRDefault="00CA678C" w:rsidP="006D1FBF">
            <w:pPr>
              <w:widowControl/>
              <w:jc w:val="both"/>
              <w:rPr>
                <w:rFonts w:asciiTheme="majorHAnsi" w:hAnsiTheme="majorHAnsi"/>
                <w:color w:val="1C283D"/>
                <w:sz w:val="18"/>
                <w:szCs w:val="18"/>
              </w:rPr>
            </w:pPr>
            <w:r w:rsidRPr="00E26487">
              <w:rPr>
                <w:rFonts w:asciiTheme="majorHAnsi" w:hAnsiTheme="majorHAnsi"/>
                <w:color w:val="1C283D"/>
                <w:sz w:val="18"/>
              </w:rPr>
              <w:t xml:space="preserve">Aunque por lo general no se aplica el calado nocturno con la mínima iluminación en cubierta, la captura fortuita de aves marinas </w:t>
            </w:r>
            <w:r w:rsidRPr="004514F8">
              <w:rPr>
                <w:rFonts w:asciiTheme="majorHAnsi" w:hAnsiTheme="majorHAnsi"/>
                <w:color w:val="1C283D"/>
                <w:sz w:val="18"/>
              </w:rPr>
              <w:lastRenderedPageBreak/>
              <w:t>con palangre de superficie y de fondo son extremadamente bajas.</w:t>
            </w:r>
          </w:p>
          <w:p w14:paraId="00411AC6" w14:textId="77777777" w:rsidR="00CA678C" w:rsidRPr="004514F8" w:rsidRDefault="00CA678C" w:rsidP="006D1FBF">
            <w:pPr>
              <w:widowControl/>
              <w:jc w:val="both"/>
              <w:rPr>
                <w:rFonts w:asciiTheme="majorHAnsi" w:hAnsiTheme="majorHAnsi"/>
                <w:color w:val="1C283D"/>
                <w:sz w:val="18"/>
                <w:szCs w:val="18"/>
              </w:rPr>
            </w:pPr>
          </w:p>
          <w:p w14:paraId="5CACCE7B" w14:textId="200E776A" w:rsidR="00CA678C" w:rsidRPr="004514F8" w:rsidRDefault="00CA678C" w:rsidP="006D1FBF">
            <w:pPr>
              <w:widowControl/>
              <w:jc w:val="both"/>
              <w:rPr>
                <w:rFonts w:asciiTheme="majorHAnsi" w:hAnsiTheme="majorHAnsi"/>
                <w:color w:val="1C283D"/>
                <w:sz w:val="18"/>
                <w:szCs w:val="18"/>
              </w:rPr>
            </w:pPr>
            <w:r w:rsidRPr="004514F8">
              <w:rPr>
                <w:rFonts w:asciiTheme="majorHAnsi" w:hAnsiTheme="majorHAnsi"/>
                <w:color w:val="1C283D"/>
                <w:sz w:val="18"/>
              </w:rPr>
              <w:t>Aunque no se aplican líneas espantapájaros, la captura fortuita de aves marinas con palangre de superficie y de fondo son extremadamente bajas.</w:t>
            </w:r>
          </w:p>
          <w:p w14:paraId="6C7A397F" w14:textId="77777777" w:rsidR="00CA678C" w:rsidRPr="004514F8" w:rsidRDefault="00CA678C" w:rsidP="006D1FBF">
            <w:pPr>
              <w:widowControl/>
              <w:jc w:val="both"/>
              <w:rPr>
                <w:rFonts w:asciiTheme="majorHAnsi" w:hAnsiTheme="majorHAnsi"/>
                <w:color w:val="1C283D"/>
                <w:sz w:val="18"/>
                <w:szCs w:val="18"/>
              </w:rPr>
            </w:pPr>
          </w:p>
          <w:p w14:paraId="27FCAC2F" w14:textId="68EC1401" w:rsidR="00CA678C" w:rsidRPr="004514F8" w:rsidRDefault="00CA678C" w:rsidP="006D1FBF">
            <w:pPr>
              <w:widowControl/>
              <w:jc w:val="both"/>
              <w:rPr>
                <w:rFonts w:asciiTheme="majorHAnsi" w:hAnsiTheme="majorHAnsi"/>
                <w:color w:val="1C283D"/>
                <w:sz w:val="18"/>
                <w:szCs w:val="18"/>
              </w:rPr>
            </w:pPr>
            <w:r w:rsidRPr="004514F8">
              <w:rPr>
                <w:rFonts w:asciiTheme="majorHAnsi" w:hAnsiTheme="majorHAnsi"/>
                <w:color w:val="1C283D"/>
                <w:sz w:val="18"/>
              </w:rPr>
              <w:t>Lastrado de línea aplicado en todas las operaciones de palangre de fondo. Por lo general, no se aplica el lastrado de línea en las operaciones de palangre de superficie. La captura fortuita de aves marinas con palangre de superficie y de fondo son extremadamente bajas.</w:t>
            </w:r>
          </w:p>
          <w:p w14:paraId="2366420B" w14:textId="77777777" w:rsidR="00CA678C" w:rsidRPr="004514F8" w:rsidRDefault="00CA678C" w:rsidP="006D1FBF">
            <w:pPr>
              <w:widowControl/>
              <w:jc w:val="both"/>
              <w:rPr>
                <w:rFonts w:asciiTheme="majorHAnsi" w:hAnsiTheme="majorHAnsi"/>
                <w:color w:val="1C283D"/>
                <w:sz w:val="18"/>
                <w:szCs w:val="18"/>
              </w:rPr>
            </w:pPr>
          </w:p>
          <w:p w14:paraId="250077F7" w14:textId="5988414F" w:rsidR="00CA678C" w:rsidRPr="004514F8" w:rsidRDefault="00CA678C" w:rsidP="00CA678C">
            <w:pPr>
              <w:pStyle w:val="ListParagraph"/>
              <w:widowControl/>
              <w:numPr>
                <w:ilvl w:val="0"/>
                <w:numId w:val="11"/>
              </w:numPr>
              <w:jc w:val="both"/>
              <w:rPr>
                <w:rFonts w:asciiTheme="majorHAnsi" w:hAnsiTheme="majorHAnsi"/>
                <w:color w:val="1C283D"/>
                <w:sz w:val="18"/>
                <w:szCs w:val="18"/>
              </w:rPr>
            </w:pPr>
            <w:r w:rsidRPr="004514F8">
              <w:rPr>
                <w:rFonts w:asciiTheme="majorHAnsi" w:hAnsiTheme="majorHAnsi"/>
                <w:color w:val="1C283D"/>
                <w:sz w:val="18"/>
              </w:rPr>
              <w:t>Área: Mediterráneo central</w:t>
            </w:r>
          </w:p>
          <w:p w14:paraId="3EAABE27" w14:textId="241DBC3B" w:rsidR="00724240" w:rsidRPr="00536AB6" w:rsidRDefault="00724240" w:rsidP="00724240">
            <w:pPr>
              <w:jc w:val="both"/>
              <w:rPr>
                <w:rFonts w:asciiTheme="majorHAnsi" w:hAnsiTheme="majorHAnsi"/>
                <w:color w:val="1C283D"/>
                <w:sz w:val="18"/>
                <w:szCs w:val="18"/>
                <w:highlight w:val="green"/>
                <w:lang w:val="en-GB" w:eastAsia="en-GB"/>
              </w:rPr>
            </w:pPr>
          </w:p>
        </w:tc>
      </w:tr>
      <w:tr w:rsidR="00724240" w:rsidRPr="00063218" w14:paraId="03B65ECB" w14:textId="77777777" w:rsidTr="006D1FBF">
        <w:trPr>
          <w:trHeight w:val="19"/>
          <w:jc w:val="center"/>
        </w:trPr>
        <w:tc>
          <w:tcPr>
            <w:tcW w:w="464" w:type="pct"/>
            <w:vAlign w:val="center"/>
          </w:tcPr>
          <w:p w14:paraId="382C3DD8" w14:textId="77777777" w:rsidR="00724240" w:rsidRPr="00536AB6" w:rsidRDefault="00724240" w:rsidP="00724240">
            <w:pPr>
              <w:rPr>
                <w:rFonts w:asciiTheme="majorHAnsi" w:hAnsiTheme="majorHAnsi" w:cs="Calibri"/>
                <w:b/>
                <w:bCs/>
                <w:color w:val="000000"/>
                <w:sz w:val="18"/>
                <w:szCs w:val="18"/>
              </w:rPr>
            </w:pPr>
            <w:r>
              <w:rPr>
                <w:rFonts w:asciiTheme="majorHAnsi" w:hAnsiTheme="majorHAnsi"/>
                <w:b/>
                <w:color w:val="000000"/>
                <w:sz w:val="18"/>
              </w:rPr>
              <w:lastRenderedPageBreak/>
              <w:t>Japón</w:t>
            </w:r>
          </w:p>
        </w:tc>
        <w:tc>
          <w:tcPr>
            <w:tcW w:w="549" w:type="pct"/>
            <w:vAlign w:val="center"/>
          </w:tcPr>
          <w:p w14:paraId="144D57CB" w14:textId="77777777" w:rsidR="00724240" w:rsidRPr="00536AB6" w:rsidRDefault="00724240" w:rsidP="00724240">
            <w:pPr>
              <w:jc w:val="center"/>
              <w:rPr>
                <w:rFonts w:asciiTheme="majorHAnsi" w:hAnsiTheme="majorHAnsi" w:cstheme="minorHAnsi"/>
                <w:color w:val="000000"/>
                <w:sz w:val="18"/>
                <w:szCs w:val="18"/>
              </w:rPr>
            </w:pPr>
            <w:r>
              <w:rPr>
                <w:rFonts w:asciiTheme="majorHAnsi" w:hAnsiTheme="majorHAnsi"/>
                <w:color w:val="000000"/>
                <w:sz w:val="18"/>
              </w:rPr>
              <w:t>Sí</w:t>
            </w:r>
          </w:p>
        </w:tc>
        <w:tc>
          <w:tcPr>
            <w:tcW w:w="562" w:type="pct"/>
            <w:vAlign w:val="center"/>
          </w:tcPr>
          <w:p w14:paraId="762DD5CB" w14:textId="77777777" w:rsidR="00724240" w:rsidRPr="00536AB6" w:rsidRDefault="00724240" w:rsidP="00724240">
            <w:pPr>
              <w:jc w:val="center"/>
              <w:rPr>
                <w:rFonts w:asciiTheme="majorHAnsi" w:hAnsiTheme="majorHAnsi" w:cstheme="minorHAnsi"/>
                <w:color w:val="000000"/>
                <w:sz w:val="18"/>
                <w:szCs w:val="18"/>
              </w:rPr>
            </w:pPr>
            <w:r>
              <w:rPr>
                <w:rFonts w:asciiTheme="majorHAnsi" w:hAnsiTheme="majorHAnsi"/>
                <w:color w:val="000000"/>
                <w:sz w:val="18"/>
              </w:rPr>
              <w:t>Sí</w:t>
            </w:r>
          </w:p>
        </w:tc>
        <w:tc>
          <w:tcPr>
            <w:tcW w:w="546" w:type="pct"/>
            <w:vAlign w:val="center"/>
          </w:tcPr>
          <w:p w14:paraId="576FBEC9" w14:textId="77777777" w:rsidR="00724240" w:rsidRPr="00536AB6" w:rsidRDefault="00724240" w:rsidP="00724240">
            <w:pPr>
              <w:jc w:val="center"/>
              <w:rPr>
                <w:rFonts w:asciiTheme="majorHAnsi" w:hAnsiTheme="majorHAnsi" w:cstheme="minorHAnsi"/>
                <w:color w:val="000000"/>
                <w:sz w:val="18"/>
                <w:szCs w:val="18"/>
              </w:rPr>
            </w:pPr>
            <w:r>
              <w:rPr>
                <w:rFonts w:asciiTheme="majorHAnsi" w:hAnsiTheme="majorHAnsi"/>
                <w:color w:val="000000"/>
                <w:sz w:val="18"/>
              </w:rPr>
              <w:t>Sí</w:t>
            </w:r>
          </w:p>
        </w:tc>
        <w:tc>
          <w:tcPr>
            <w:tcW w:w="1555" w:type="pct"/>
          </w:tcPr>
          <w:p w14:paraId="74F7108A" w14:textId="3A161E20" w:rsidR="00724240" w:rsidRPr="00C972ED" w:rsidRDefault="00724240" w:rsidP="00724240">
            <w:pPr>
              <w:jc w:val="both"/>
              <w:rPr>
                <w:rFonts w:asciiTheme="majorHAnsi" w:hAnsiTheme="majorHAnsi" w:cstheme="minorHAnsi"/>
                <w:color w:val="000000"/>
                <w:sz w:val="18"/>
                <w:szCs w:val="18"/>
              </w:rPr>
            </w:pPr>
            <w:r w:rsidRPr="00C972ED">
              <w:rPr>
                <w:rFonts w:asciiTheme="majorHAnsi" w:hAnsiTheme="majorHAnsi"/>
                <w:color w:val="000000"/>
                <w:sz w:val="18"/>
              </w:rPr>
              <w:t xml:space="preserve">Véase el </w:t>
            </w:r>
            <w:r w:rsidRPr="00C972ED">
              <w:rPr>
                <w:rFonts w:asciiTheme="majorHAnsi" w:hAnsiTheme="majorHAnsi"/>
                <w:b/>
                <w:bCs/>
                <w:color w:val="000000"/>
                <w:sz w:val="18"/>
              </w:rPr>
              <w:t>anexo 9</w:t>
            </w:r>
            <w:r w:rsidRPr="00C972ED">
              <w:rPr>
                <w:rFonts w:asciiTheme="majorHAnsi" w:hAnsiTheme="majorHAnsi"/>
                <w:color w:val="000000"/>
                <w:sz w:val="18"/>
              </w:rPr>
              <w:t xml:space="preserve"> del COC-303./ 2026</w:t>
            </w:r>
          </w:p>
        </w:tc>
        <w:tc>
          <w:tcPr>
            <w:tcW w:w="1324" w:type="pct"/>
          </w:tcPr>
          <w:p w14:paraId="3D518A6F" w14:textId="77777777" w:rsidR="00CA678C" w:rsidRPr="00C972ED" w:rsidRDefault="00CA678C" w:rsidP="00CA678C">
            <w:pPr>
              <w:jc w:val="both"/>
              <w:rPr>
                <w:rFonts w:asciiTheme="majorHAnsi" w:eastAsiaTheme="minorEastAsia" w:hAnsiTheme="majorHAnsi"/>
                <w:sz w:val="18"/>
                <w:szCs w:val="18"/>
              </w:rPr>
            </w:pPr>
            <w:r w:rsidRPr="00C972ED">
              <w:rPr>
                <w:rFonts w:asciiTheme="majorHAnsi" w:hAnsiTheme="majorHAnsi"/>
                <w:sz w:val="18"/>
              </w:rPr>
              <w:t>Requerido por Orden ministerial n.º 57.</w:t>
            </w:r>
          </w:p>
          <w:p w14:paraId="7C38ABDF" w14:textId="77777777" w:rsidR="00CA678C" w:rsidRPr="00C972ED" w:rsidRDefault="00CA678C" w:rsidP="00CA678C">
            <w:pPr>
              <w:jc w:val="both"/>
              <w:rPr>
                <w:rFonts w:asciiTheme="majorHAnsi" w:eastAsiaTheme="minorEastAsia" w:hAnsiTheme="majorHAnsi"/>
                <w:sz w:val="18"/>
                <w:szCs w:val="18"/>
                <w:lang w:eastAsia="ja-JP"/>
              </w:rPr>
            </w:pPr>
          </w:p>
          <w:p w14:paraId="25268B44" w14:textId="77777777" w:rsidR="00CA678C" w:rsidRPr="00C972ED" w:rsidRDefault="00CA678C" w:rsidP="00CA678C">
            <w:pPr>
              <w:jc w:val="both"/>
              <w:rPr>
                <w:rFonts w:asciiTheme="majorHAnsi" w:eastAsiaTheme="minorEastAsia" w:hAnsiTheme="majorHAnsi"/>
                <w:sz w:val="18"/>
                <w:szCs w:val="18"/>
              </w:rPr>
            </w:pPr>
            <w:r w:rsidRPr="00C972ED">
              <w:rPr>
                <w:rFonts w:asciiTheme="majorHAnsi" w:hAnsiTheme="majorHAnsi"/>
                <w:sz w:val="18"/>
              </w:rPr>
              <w:t>Área:</w:t>
            </w:r>
          </w:p>
          <w:p w14:paraId="52B96FEA" w14:textId="442DCDC0" w:rsidR="00CA678C" w:rsidRPr="00C972ED" w:rsidRDefault="00CA678C" w:rsidP="00CA678C">
            <w:pPr>
              <w:jc w:val="both"/>
              <w:rPr>
                <w:rFonts w:asciiTheme="majorHAnsi" w:eastAsiaTheme="minorEastAsia" w:hAnsiTheme="majorHAnsi"/>
                <w:sz w:val="18"/>
                <w:szCs w:val="18"/>
              </w:rPr>
            </w:pPr>
            <w:r w:rsidRPr="00C972ED">
              <w:rPr>
                <w:rFonts w:asciiTheme="majorHAnsi" w:hAnsiTheme="majorHAnsi"/>
                <w:sz w:val="18"/>
              </w:rPr>
              <w:t>Al sur de 25°S, se requiere utilizar al menos dos de las tres medidas de mitigación que se enumeran a continuación (de conformidad con la Rec. 11-09). En la zona al sur de 20°S y al norte de 25°S, es obligatorio utilizar líneas espantapájaros (de conformidad con la Rec. 07-07).</w:t>
            </w:r>
          </w:p>
          <w:p w14:paraId="6395C513" w14:textId="504EE3A0" w:rsidR="00724240" w:rsidRPr="00C972ED" w:rsidRDefault="00724240" w:rsidP="00724240">
            <w:pPr>
              <w:jc w:val="both"/>
              <w:rPr>
                <w:rFonts w:asciiTheme="majorHAnsi" w:hAnsiTheme="majorHAnsi" w:cstheme="minorHAnsi"/>
                <w:color w:val="000000"/>
                <w:sz w:val="18"/>
                <w:szCs w:val="18"/>
                <w:lang w:eastAsia="en-GB"/>
              </w:rPr>
            </w:pPr>
          </w:p>
        </w:tc>
      </w:tr>
      <w:tr w:rsidR="00724240" w:rsidRPr="00063218" w14:paraId="3D8BC85A" w14:textId="77777777" w:rsidTr="006D1FBF">
        <w:trPr>
          <w:trHeight w:val="19"/>
          <w:jc w:val="center"/>
        </w:trPr>
        <w:tc>
          <w:tcPr>
            <w:tcW w:w="464" w:type="pct"/>
            <w:vAlign w:val="center"/>
          </w:tcPr>
          <w:p w14:paraId="065F5303" w14:textId="77777777" w:rsidR="00724240" w:rsidRPr="00536AB6" w:rsidRDefault="00724240" w:rsidP="00724240">
            <w:pPr>
              <w:rPr>
                <w:rFonts w:asciiTheme="majorHAnsi" w:hAnsiTheme="majorHAnsi" w:cs="Calibri"/>
                <w:b/>
                <w:bCs/>
                <w:color w:val="000000"/>
                <w:sz w:val="18"/>
                <w:szCs w:val="18"/>
              </w:rPr>
            </w:pPr>
            <w:r>
              <w:rPr>
                <w:rFonts w:asciiTheme="majorHAnsi" w:hAnsiTheme="majorHAnsi"/>
                <w:b/>
                <w:color w:val="000000"/>
                <w:sz w:val="18"/>
              </w:rPr>
              <w:t>Corea</w:t>
            </w:r>
          </w:p>
        </w:tc>
        <w:tc>
          <w:tcPr>
            <w:tcW w:w="549" w:type="pct"/>
            <w:vAlign w:val="center"/>
          </w:tcPr>
          <w:p w14:paraId="12005596" w14:textId="7D7F41E5" w:rsidR="00724240" w:rsidRPr="00536AB6" w:rsidRDefault="00CA678C" w:rsidP="00724240">
            <w:pPr>
              <w:jc w:val="center"/>
              <w:rPr>
                <w:rFonts w:asciiTheme="majorHAnsi" w:hAnsiTheme="majorHAnsi" w:cstheme="minorHAnsi"/>
                <w:color w:val="000000"/>
                <w:sz w:val="18"/>
                <w:szCs w:val="18"/>
              </w:rPr>
            </w:pPr>
            <w:r>
              <w:rPr>
                <w:rFonts w:asciiTheme="majorHAnsi" w:hAnsiTheme="majorHAnsi"/>
                <w:color w:val="000000"/>
                <w:sz w:val="18"/>
              </w:rPr>
              <w:t>No</w:t>
            </w:r>
          </w:p>
        </w:tc>
        <w:tc>
          <w:tcPr>
            <w:tcW w:w="562" w:type="pct"/>
            <w:vAlign w:val="center"/>
          </w:tcPr>
          <w:p w14:paraId="31E01783" w14:textId="77777777" w:rsidR="00724240" w:rsidRPr="00536AB6" w:rsidRDefault="00724240" w:rsidP="00724240">
            <w:pPr>
              <w:jc w:val="center"/>
              <w:rPr>
                <w:rFonts w:asciiTheme="majorHAnsi" w:hAnsiTheme="majorHAnsi" w:cstheme="minorHAnsi"/>
                <w:color w:val="000000"/>
                <w:sz w:val="18"/>
                <w:szCs w:val="18"/>
              </w:rPr>
            </w:pPr>
            <w:r>
              <w:rPr>
                <w:rFonts w:asciiTheme="majorHAnsi" w:hAnsiTheme="majorHAnsi"/>
                <w:color w:val="000000"/>
                <w:sz w:val="18"/>
              </w:rPr>
              <w:t>Sí</w:t>
            </w:r>
          </w:p>
        </w:tc>
        <w:tc>
          <w:tcPr>
            <w:tcW w:w="546" w:type="pct"/>
            <w:vAlign w:val="center"/>
          </w:tcPr>
          <w:p w14:paraId="7CF2C305" w14:textId="77777777" w:rsidR="00724240" w:rsidRPr="00536AB6" w:rsidRDefault="00724240" w:rsidP="00724240">
            <w:pPr>
              <w:jc w:val="center"/>
              <w:rPr>
                <w:rFonts w:asciiTheme="majorHAnsi" w:hAnsiTheme="majorHAnsi" w:cstheme="minorHAnsi"/>
                <w:color w:val="000000"/>
                <w:sz w:val="18"/>
                <w:szCs w:val="18"/>
              </w:rPr>
            </w:pPr>
            <w:r>
              <w:rPr>
                <w:rFonts w:asciiTheme="majorHAnsi" w:hAnsiTheme="majorHAnsi"/>
                <w:color w:val="000000"/>
                <w:sz w:val="18"/>
              </w:rPr>
              <w:t>Sí</w:t>
            </w:r>
          </w:p>
        </w:tc>
        <w:tc>
          <w:tcPr>
            <w:tcW w:w="1555" w:type="pct"/>
          </w:tcPr>
          <w:p w14:paraId="4C2AF666" w14:textId="3A2A458B" w:rsidR="00CA678C" w:rsidRPr="00C972ED" w:rsidRDefault="00CA678C" w:rsidP="00CA678C">
            <w:pPr>
              <w:rPr>
                <w:rFonts w:asciiTheme="majorHAnsi" w:hAnsiTheme="majorHAnsi"/>
                <w:sz w:val="18"/>
                <w:szCs w:val="18"/>
              </w:rPr>
            </w:pPr>
            <w:r w:rsidRPr="00C972ED">
              <w:rPr>
                <w:rFonts w:asciiTheme="majorHAnsi" w:hAnsiTheme="majorHAnsi"/>
                <w:sz w:val="18"/>
              </w:rPr>
              <w:t>La República de Corea elaboró su Plan de acción nacional para reducir las capturas incidentales de aves marinas en la pesca con palangre (NPOA-Aves marinas) en 2014 y vela por que los palangreros con pabellón coreano cumplan el NPOA-Aves marinas. El NPOA puede consultarse en el sitio web de la FAO :</w:t>
            </w:r>
            <w:hyperlink r:id="rId31" w:history="1">
              <w:r w:rsidRPr="00C972ED">
                <w:rPr>
                  <w:rStyle w:val="Hyperlink"/>
                  <w:rFonts w:asciiTheme="majorHAnsi" w:hAnsiTheme="majorHAnsi"/>
                  <w:sz w:val="18"/>
                  <w:u w:val="none"/>
                </w:rPr>
                <w:t>https://faolex.fao.org/docs/pdf/kor207693.pdf</w:t>
              </w:r>
            </w:hyperlink>
            <w:r w:rsidRPr="00C972ED">
              <w:rPr>
                <w:rFonts w:asciiTheme="majorHAnsi" w:hAnsiTheme="majorHAnsi"/>
                <w:sz w:val="18"/>
              </w:rPr>
              <w:t xml:space="preserve">  </w:t>
            </w:r>
          </w:p>
          <w:p w14:paraId="49A2FDA2" w14:textId="1B0A8198" w:rsidR="00724240" w:rsidRPr="00C972ED" w:rsidRDefault="00724240" w:rsidP="00724240">
            <w:pPr>
              <w:jc w:val="both"/>
              <w:rPr>
                <w:rFonts w:asciiTheme="majorHAnsi" w:hAnsiTheme="majorHAnsi" w:cstheme="minorHAnsi"/>
                <w:color w:val="000000"/>
                <w:sz w:val="18"/>
                <w:szCs w:val="18"/>
                <w:lang w:eastAsia="en-GB"/>
              </w:rPr>
            </w:pPr>
          </w:p>
        </w:tc>
        <w:tc>
          <w:tcPr>
            <w:tcW w:w="1324" w:type="pct"/>
          </w:tcPr>
          <w:p w14:paraId="23003F56" w14:textId="77777777" w:rsidR="00CA678C" w:rsidRPr="00C972ED" w:rsidRDefault="00CA678C" w:rsidP="00CA678C">
            <w:pPr>
              <w:jc w:val="both"/>
              <w:rPr>
                <w:rFonts w:asciiTheme="majorHAnsi" w:eastAsiaTheme="minorEastAsia" w:hAnsiTheme="majorHAnsi"/>
                <w:sz w:val="18"/>
                <w:szCs w:val="18"/>
              </w:rPr>
            </w:pPr>
            <w:r w:rsidRPr="00C972ED">
              <w:rPr>
                <w:rFonts w:asciiTheme="majorHAnsi" w:hAnsiTheme="majorHAnsi"/>
                <w:sz w:val="18"/>
              </w:rPr>
              <w:t>i) Se han aplicado las líneas espantapájaros y los pesos en la línea en los palangreros que operaron en la zona al sur de 25ºS; y</w:t>
            </w:r>
          </w:p>
          <w:p w14:paraId="5B8A7958" w14:textId="77777777" w:rsidR="00CA678C" w:rsidRPr="00C972ED" w:rsidRDefault="00CA678C" w:rsidP="00CA678C">
            <w:pPr>
              <w:jc w:val="both"/>
              <w:rPr>
                <w:rFonts w:asciiTheme="majorHAnsi" w:eastAsiaTheme="minorEastAsia" w:hAnsiTheme="majorHAnsi"/>
                <w:sz w:val="18"/>
                <w:szCs w:val="18"/>
              </w:rPr>
            </w:pPr>
            <w:proofErr w:type="spellStart"/>
            <w:r w:rsidRPr="00C972ED">
              <w:rPr>
                <w:rFonts w:asciiTheme="majorHAnsi" w:hAnsiTheme="majorHAnsi"/>
                <w:sz w:val="18"/>
              </w:rPr>
              <w:t>Ii</w:t>
            </w:r>
            <w:proofErr w:type="spellEnd"/>
            <w:r w:rsidRPr="00C972ED">
              <w:rPr>
                <w:rFonts w:asciiTheme="majorHAnsi" w:hAnsiTheme="majorHAnsi"/>
                <w:sz w:val="18"/>
              </w:rPr>
              <w:t>) las líneas espantapájaros fueron desplegadas por los palangreros en la zona entre 20º S y 25º S.</w:t>
            </w:r>
          </w:p>
          <w:p w14:paraId="6A5DFA29" w14:textId="77777777" w:rsidR="00CA678C" w:rsidRPr="00C972ED" w:rsidRDefault="00CA678C" w:rsidP="00CA678C">
            <w:pPr>
              <w:jc w:val="both"/>
              <w:rPr>
                <w:rFonts w:asciiTheme="majorHAnsi" w:eastAsiaTheme="minorEastAsia" w:hAnsiTheme="majorHAnsi"/>
                <w:sz w:val="18"/>
                <w:szCs w:val="18"/>
                <w:lang w:eastAsia="ko-KR"/>
              </w:rPr>
            </w:pPr>
          </w:p>
          <w:p w14:paraId="5F3FDF25" w14:textId="6FF12E39" w:rsidR="00724240" w:rsidRPr="00C972ED" w:rsidRDefault="00CA678C" w:rsidP="00724240">
            <w:pPr>
              <w:jc w:val="both"/>
              <w:rPr>
                <w:rFonts w:asciiTheme="majorHAnsi" w:eastAsiaTheme="minorEastAsia" w:hAnsiTheme="majorHAnsi"/>
                <w:sz w:val="18"/>
                <w:szCs w:val="18"/>
              </w:rPr>
            </w:pPr>
            <w:r w:rsidRPr="00C972ED">
              <w:rPr>
                <w:rFonts w:asciiTheme="majorHAnsi" w:hAnsiTheme="majorHAnsi"/>
                <w:sz w:val="18"/>
              </w:rPr>
              <w:t xml:space="preserve">Área: Algunos buques palangreros coreanos </w:t>
            </w:r>
            <w:r w:rsidRPr="00C972ED">
              <w:rPr>
                <w:rFonts w:asciiTheme="majorHAnsi" w:hAnsiTheme="majorHAnsi"/>
                <w:sz w:val="18"/>
              </w:rPr>
              <w:lastRenderedPageBreak/>
              <w:t>faenaban en la zona situada al sur de los 25 grados de latitud sur.</w:t>
            </w:r>
          </w:p>
          <w:p w14:paraId="503FE046" w14:textId="1155C8AD" w:rsidR="00CA678C" w:rsidRPr="00C972ED" w:rsidRDefault="00CA678C" w:rsidP="00724240">
            <w:pPr>
              <w:jc w:val="both"/>
              <w:rPr>
                <w:rFonts w:asciiTheme="majorHAnsi" w:hAnsiTheme="majorHAnsi" w:cstheme="minorHAnsi"/>
                <w:color w:val="000000"/>
                <w:sz w:val="18"/>
                <w:szCs w:val="18"/>
                <w:lang w:eastAsia="en-GB"/>
              </w:rPr>
            </w:pPr>
          </w:p>
        </w:tc>
      </w:tr>
      <w:tr w:rsidR="00CA678C" w:rsidRPr="00063218" w14:paraId="7BB0F8EC" w14:textId="77777777" w:rsidTr="006D1FBF">
        <w:trPr>
          <w:trHeight w:val="19"/>
          <w:jc w:val="center"/>
        </w:trPr>
        <w:tc>
          <w:tcPr>
            <w:tcW w:w="464" w:type="pct"/>
            <w:vAlign w:val="center"/>
          </w:tcPr>
          <w:p w14:paraId="36920641" w14:textId="77777777" w:rsidR="00CA678C" w:rsidRPr="00536AB6" w:rsidRDefault="00CA678C" w:rsidP="00CA678C">
            <w:pPr>
              <w:rPr>
                <w:rFonts w:asciiTheme="majorHAnsi" w:hAnsiTheme="majorHAnsi" w:cs="Calibri"/>
                <w:b/>
                <w:bCs/>
                <w:color w:val="000000"/>
                <w:sz w:val="18"/>
                <w:szCs w:val="18"/>
              </w:rPr>
            </w:pPr>
            <w:r>
              <w:rPr>
                <w:rFonts w:asciiTheme="majorHAnsi" w:hAnsiTheme="majorHAnsi"/>
                <w:b/>
                <w:color w:val="000000"/>
                <w:sz w:val="18"/>
              </w:rPr>
              <w:lastRenderedPageBreak/>
              <w:t>San Vicente y las Granadinas</w:t>
            </w:r>
          </w:p>
        </w:tc>
        <w:tc>
          <w:tcPr>
            <w:tcW w:w="549" w:type="pct"/>
          </w:tcPr>
          <w:p w14:paraId="1B06B220" w14:textId="281C5300" w:rsidR="00CA678C" w:rsidRPr="00C972ED" w:rsidRDefault="00CA678C" w:rsidP="00CA678C">
            <w:pPr>
              <w:jc w:val="both"/>
              <w:rPr>
                <w:rFonts w:asciiTheme="majorHAnsi" w:hAnsiTheme="majorHAnsi" w:cstheme="minorHAnsi"/>
                <w:color w:val="000000"/>
                <w:sz w:val="18"/>
                <w:szCs w:val="18"/>
              </w:rPr>
            </w:pPr>
            <w:r w:rsidRPr="00C972ED">
              <w:rPr>
                <w:rFonts w:asciiTheme="majorHAnsi" w:hAnsiTheme="majorHAnsi"/>
                <w:sz w:val="18"/>
              </w:rPr>
              <w:t>No implementado Desde mediados de 2022, solo la flota artesanal seguía en activo. La flota artesanal está compuesta por piraguas de una eslora máxima de 26 pies que solo faenan en la ZEE.</w:t>
            </w:r>
          </w:p>
        </w:tc>
        <w:tc>
          <w:tcPr>
            <w:tcW w:w="562" w:type="pct"/>
          </w:tcPr>
          <w:p w14:paraId="6AEC262D" w14:textId="61A8E676" w:rsidR="00CA678C" w:rsidRPr="00C972ED" w:rsidRDefault="00CA678C" w:rsidP="00CA678C">
            <w:pPr>
              <w:jc w:val="both"/>
              <w:rPr>
                <w:rFonts w:asciiTheme="majorHAnsi" w:hAnsiTheme="majorHAnsi" w:cstheme="minorHAnsi"/>
                <w:color w:val="000000"/>
                <w:sz w:val="18"/>
                <w:szCs w:val="18"/>
              </w:rPr>
            </w:pPr>
            <w:r w:rsidRPr="00C972ED">
              <w:rPr>
                <w:rFonts w:asciiTheme="majorHAnsi" w:hAnsiTheme="majorHAnsi"/>
                <w:sz w:val="18"/>
              </w:rPr>
              <w:t>No implementado Desde mediados de 2022, solo la flota artesanal seguía en activo. La flota artesanal está compuesta por piraguas de una eslora máxima de 26 pies que solo faenan en la ZEE.</w:t>
            </w:r>
          </w:p>
        </w:tc>
        <w:tc>
          <w:tcPr>
            <w:tcW w:w="546" w:type="pct"/>
          </w:tcPr>
          <w:p w14:paraId="3506B38D" w14:textId="279E374D" w:rsidR="00CA678C" w:rsidRPr="00C972ED" w:rsidRDefault="00CA678C" w:rsidP="00CA678C">
            <w:pPr>
              <w:jc w:val="both"/>
              <w:rPr>
                <w:rFonts w:asciiTheme="majorHAnsi" w:hAnsiTheme="majorHAnsi"/>
                <w:sz w:val="18"/>
                <w:szCs w:val="18"/>
              </w:rPr>
            </w:pPr>
            <w:r w:rsidRPr="00C972ED">
              <w:rPr>
                <w:rFonts w:asciiTheme="majorHAnsi" w:hAnsiTheme="majorHAnsi"/>
                <w:sz w:val="18"/>
              </w:rPr>
              <w:t>No implementado Desde mediados de 2022, solo la flota artesanal seguía en activo. La flota artesanal está compuesta por piraguas de una eslora máxima de 26 pies que solo faenan en la ZEE.</w:t>
            </w:r>
          </w:p>
          <w:p w14:paraId="0081812A" w14:textId="12589F3D" w:rsidR="00CA678C" w:rsidRPr="00C972ED" w:rsidRDefault="00CA678C" w:rsidP="00CA678C">
            <w:pPr>
              <w:jc w:val="both"/>
              <w:rPr>
                <w:rFonts w:asciiTheme="majorHAnsi" w:hAnsiTheme="majorHAnsi" w:cstheme="minorHAnsi"/>
                <w:color w:val="000000"/>
                <w:sz w:val="18"/>
                <w:szCs w:val="18"/>
                <w:lang w:eastAsia="en-GB"/>
              </w:rPr>
            </w:pPr>
          </w:p>
        </w:tc>
        <w:tc>
          <w:tcPr>
            <w:tcW w:w="1555" w:type="pct"/>
          </w:tcPr>
          <w:p w14:paraId="0344E2A2" w14:textId="7BBC572A" w:rsidR="00CA678C" w:rsidRPr="00C972ED" w:rsidRDefault="00CA678C" w:rsidP="00CA678C">
            <w:pPr>
              <w:jc w:val="both"/>
              <w:rPr>
                <w:rFonts w:asciiTheme="majorHAnsi" w:hAnsiTheme="majorHAnsi" w:cstheme="minorHAnsi"/>
                <w:color w:val="000000"/>
                <w:sz w:val="18"/>
                <w:szCs w:val="18"/>
              </w:rPr>
            </w:pPr>
            <w:r w:rsidRPr="00C972ED">
              <w:rPr>
                <w:rFonts w:asciiTheme="majorHAnsi" w:hAnsiTheme="majorHAnsi"/>
                <w:sz w:val="18"/>
              </w:rPr>
              <w:t>Se han realizado esfuerzos a nivel nacional para la conservación y protección de las aves marinas, pero actualmente no existe un plan de acción nacional.</w:t>
            </w:r>
          </w:p>
        </w:tc>
        <w:tc>
          <w:tcPr>
            <w:tcW w:w="1324" w:type="pct"/>
          </w:tcPr>
          <w:p w14:paraId="04B70113" w14:textId="0BFBDD17" w:rsidR="00CA678C" w:rsidRPr="00C972ED" w:rsidRDefault="00CA678C" w:rsidP="00CA678C">
            <w:pPr>
              <w:jc w:val="both"/>
              <w:rPr>
                <w:rFonts w:asciiTheme="majorHAnsi" w:hAnsiTheme="majorHAnsi"/>
                <w:sz w:val="18"/>
                <w:szCs w:val="18"/>
              </w:rPr>
            </w:pPr>
            <w:r w:rsidRPr="00C972ED">
              <w:rPr>
                <w:rFonts w:asciiTheme="majorHAnsi" w:hAnsiTheme="majorHAnsi"/>
                <w:sz w:val="18"/>
              </w:rPr>
              <w:t>Área: ZEE de San Vicente y las Granadinas.</w:t>
            </w:r>
          </w:p>
        </w:tc>
      </w:tr>
      <w:tr w:rsidR="00724240" w:rsidRPr="00063218" w14:paraId="7F7FD5B5" w14:textId="77777777" w:rsidTr="006D1FBF">
        <w:trPr>
          <w:trHeight w:val="19"/>
          <w:jc w:val="center"/>
        </w:trPr>
        <w:tc>
          <w:tcPr>
            <w:tcW w:w="464" w:type="pct"/>
            <w:vAlign w:val="center"/>
          </w:tcPr>
          <w:p w14:paraId="4F4A5E15" w14:textId="77777777" w:rsidR="00724240" w:rsidRPr="00536AB6" w:rsidRDefault="00724240" w:rsidP="00724240">
            <w:pPr>
              <w:rPr>
                <w:rFonts w:asciiTheme="majorHAnsi" w:hAnsiTheme="majorHAnsi" w:cs="Calibri"/>
                <w:b/>
                <w:bCs/>
                <w:color w:val="000000"/>
                <w:sz w:val="18"/>
                <w:szCs w:val="18"/>
              </w:rPr>
            </w:pPr>
            <w:r>
              <w:rPr>
                <w:rFonts w:asciiTheme="majorHAnsi" w:hAnsiTheme="majorHAnsi"/>
                <w:b/>
                <w:color w:val="000000"/>
                <w:sz w:val="18"/>
              </w:rPr>
              <w:t>Sudáfrica</w:t>
            </w:r>
          </w:p>
        </w:tc>
        <w:tc>
          <w:tcPr>
            <w:tcW w:w="549" w:type="pct"/>
            <w:vAlign w:val="center"/>
          </w:tcPr>
          <w:p w14:paraId="73081F2C" w14:textId="77777777" w:rsidR="00724240" w:rsidRPr="00536AB6" w:rsidRDefault="00724240" w:rsidP="00724240">
            <w:pPr>
              <w:jc w:val="center"/>
              <w:rPr>
                <w:rFonts w:asciiTheme="majorHAnsi" w:hAnsiTheme="majorHAnsi" w:cstheme="minorHAnsi"/>
                <w:color w:val="000000"/>
                <w:sz w:val="18"/>
                <w:szCs w:val="18"/>
              </w:rPr>
            </w:pPr>
            <w:r>
              <w:rPr>
                <w:rFonts w:asciiTheme="majorHAnsi" w:hAnsiTheme="majorHAnsi"/>
                <w:color w:val="000000"/>
                <w:sz w:val="18"/>
              </w:rPr>
              <w:t>Sí</w:t>
            </w:r>
          </w:p>
        </w:tc>
        <w:tc>
          <w:tcPr>
            <w:tcW w:w="562" w:type="pct"/>
            <w:vAlign w:val="center"/>
          </w:tcPr>
          <w:p w14:paraId="19A0C922" w14:textId="77777777" w:rsidR="00724240" w:rsidRPr="00536AB6" w:rsidRDefault="00724240" w:rsidP="00724240">
            <w:pPr>
              <w:jc w:val="center"/>
              <w:rPr>
                <w:rFonts w:asciiTheme="majorHAnsi" w:hAnsiTheme="majorHAnsi" w:cstheme="minorHAnsi"/>
                <w:color w:val="000000"/>
                <w:sz w:val="18"/>
                <w:szCs w:val="18"/>
              </w:rPr>
            </w:pPr>
            <w:r>
              <w:rPr>
                <w:rFonts w:asciiTheme="majorHAnsi" w:hAnsiTheme="majorHAnsi"/>
                <w:color w:val="000000"/>
                <w:sz w:val="18"/>
              </w:rPr>
              <w:t>Sí</w:t>
            </w:r>
          </w:p>
        </w:tc>
        <w:tc>
          <w:tcPr>
            <w:tcW w:w="546" w:type="pct"/>
            <w:vAlign w:val="center"/>
          </w:tcPr>
          <w:p w14:paraId="4850D16D" w14:textId="77777777" w:rsidR="00724240" w:rsidRPr="00536AB6" w:rsidRDefault="00724240" w:rsidP="00724240">
            <w:pPr>
              <w:jc w:val="center"/>
              <w:rPr>
                <w:rFonts w:asciiTheme="majorHAnsi" w:hAnsiTheme="majorHAnsi" w:cstheme="minorHAnsi"/>
                <w:color w:val="000000"/>
                <w:sz w:val="18"/>
                <w:szCs w:val="18"/>
              </w:rPr>
            </w:pPr>
            <w:r>
              <w:rPr>
                <w:rFonts w:asciiTheme="majorHAnsi" w:hAnsiTheme="majorHAnsi"/>
                <w:color w:val="000000"/>
                <w:sz w:val="18"/>
              </w:rPr>
              <w:t>Sí</w:t>
            </w:r>
          </w:p>
        </w:tc>
        <w:tc>
          <w:tcPr>
            <w:tcW w:w="1555" w:type="pct"/>
          </w:tcPr>
          <w:p w14:paraId="33F4DD1C" w14:textId="6321ED2C" w:rsidR="00CA678C" w:rsidRPr="00C972ED" w:rsidRDefault="00CA678C" w:rsidP="006D1FBF">
            <w:pPr>
              <w:jc w:val="both"/>
              <w:rPr>
                <w:rFonts w:asciiTheme="majorHAnsi" w:hAnsiTheme="majorHAnsi" w:cstheme="minorHAnsi"/>
                <w:color w:val="000000"/>
                <w:sz w:val="18"/>
                <w:szCs w:val="18"/>
              </w:rPr>
            </w:pPr>
            <w:r w:rsidRPr="00C972ED">
              <w:rPr>
                <w:rFonts w:asciiTheme="majorHAnsi" w:hAnsiTheme="majorHAnsi"/>
                <w:color w:val="000000"/>
                <w:sz w:val="18"/>
              </w:rPr>
              <w:t>El primer Plan de acción nacional para las aves marinas de Sudáfrica se publicó en 2008 y estableció el objetivo de reducir la mortalidad de las aves marinas en la pesca con palangre a menos de 0,05 aves por cada 1.000 anzuelos. Partiendo de los logros del primer plan, Sudáfrica aprobó en 2026 el Segundo plan de acción nacional para la conservación y la ordenación de las aves marinas en las pesquerías sudafricanas 2026-2030. El programa NPOA-</w:t>
            </w:r>
            <w:proofErr w:type="spellStart"/>
            <w:r w:rsidRPr="00C972ED">
              <w:rPr>
                <w:rFonts w:asciiTheme="majorHAnsi" w:hAnsiTheme="majorHAnsi"/>
                <w:color w:val="000000"/>
                <w:sz w:val="18"/>
              </w:rPr>
              <w:t>Seabirds</w:t>
            </w:r>
            <w:proofErr w:type="spellEnd"/>
            <w:r w:rsidRPr="00C972ED">
              <w:rPr>
                <w:rFonts w:asciiTheme="majorHAnsi" w:hAnsiTheme="majorHAnsi"/>
                <w:color w:val="000000"/>
                <w:sz w:val="18"/>
              </w:rPr>
              <w:t xml:space="preserve"> II amplía su ámbito de actuación más allá de la pesca con palangre para abarcar todas las actividades pesqueras sudafricanas que tienen interacciones significativas con las aves marinas.</w:t>
            </w:r>
          </w:p>
          <w:p w14:paraId="5F7F25A7" w14:textId="0368F06E" w:rsidR="00724240" w:rsidRPr="00C972ED" w:rsidRDefault="00724240" w:rsidP="00CA678C">
            <w:pPr>
              <w:jc w:val="both"/>
              <w:rPr>
                <w:rFonts w:asciiTheme="majorHAnsi" w:hAnsiTheme="majorHAnsi"/>
                <w:color w:val="000000"/>
                <w:sz w:val="18"/>
                <w:szCs w:val="18"/>
              </w:rPr>
            </w:pPr>
          </w:p>
        </w:tc>
        <w:tc>
          <w:tcPr>
            <w:tcW w:w="1324" w:type="pct"/>
          </w:tcPr>
          <w:p w14:paraId="568F79C1" w14:textId="4FA870CA" w:rsidR="00CA678C" w:rsidRPr="00C972ED" w:rsidRDefault="00CA678C" w:rsidP="00CA678C">
            <w:pPr>
              <w:jc w:val="both"/>
              <w:rPr>
                <w:rFonts w:asciiTheme="majorHAnsi" w:hAnsiTheme="majorHAnsi"/>
                <w:sz w:val="18"/>
                <w:szCs w:val="18"/>
              </w:rPr>
            </w:pPr>
            <w:r w:rsidRPr="00C972ED">
              <w:rPr>
                <w:rFonts w:asciiTheme="majorHAnsi" w:hAnsiTheme="majorHAnsi"/>
                <w:sz w:val="18"/>
              </w:rPr>
              <w:t>Parte de las condiciones del permiso (sección 22.2).</w:t>
            </w:r>
          </w:p>
          <w:p w14:paraId="593ECD75" w14:textId="77777777" w:rsidR="00CA678C" w:rsidRPr="00C972ED" w:rsidRDefault="00CA678C" w:rsidP="00CA678C">
            <w:pPr>
              <w:jc w:val="both"/>
              <w:rPr>
                <w:rFonts w:asciiTheme="majorHAnsi" w:hAnsiTheme="majorHAnsi"/>
                <w:sz w:val="18"/>
                <w:szCs w:val="18"/>
              </w:rPr>
            </w:pPr>
          </w:p>
          <w:p w14:paraId="648C9011" w14:textId="00F4F004" w:rsidR="00724240" w:rsidRPr="00C972ED" w:rsidRDefault="00CA678C" w:rsidP="006D1FBF">
            <w:pPr>
              <w:jc w:val="both"/>
              <w:rPr>
                <w:rFonts w:asciiTheme="majorHAnsi" w:hAnsiTheme="majorHAnsi"/>
                <w:color w:val="000000"/>
                <w:sz w:val="18"/>
                <w:szCs w:val="18"/>
              </w:rPr>
            </w:pPr>
            <w:r w:rsidRPr="00C972ED">
              <w:rPr>
                <w:rFonts w:asciiTheme="majorHAnsi" w:hAnsiTheme="majorHAnsi"/>
                <w:sz w:val="18"/>
              </w:rPr>
              <w:t>Área: ZEE y alta mar.</w:t>
            </w:r>
          </w:p>
        </w:tc>
      </w:tr>
      <w:tr w:rsidR="00724240" w:rsidRPr="00063218" w14:paraId="20BFB09A" w14:textId="77777777" w:rsidTr="006D1FBF">
        <w:trPr>
          <w:trHeight w:val="19"/>
          <w:jc w:val="center"/>
        </w:trPr>
        <w:tc>
          <w:tcPr>
            <w:tcW w:w="464" w:type="pct"/>
            <w:vAlign w:val="center"/>
          </w:tcPr>
          <w:p w14:paraId="6636726B" w14:textId="77777777" w:rsidR="00724240" w:rsidRPr="00536AB6" w:rsidRDefault="00724240" w:rsidP="00724240">
            <w:pPr>
              <w:rPr>
                <w:rFonts w:asciiTheme="majorHAnsi" w:hAnsiTheme="majorHAnsi" w:cs="Calibri"/>
                <w:b/>
                <w:bCs/>
                <w:color w:val="000000"/>
                <w:sz w:val="18"/>
                <w:szCs w:val="18"/>
              </w:rPr>
            </w:pPr>
            <w:r>
              <w:rPr>
                <w:rFonts w:asciiTheme="majorHAnsi" w:hAnsiTheme="majorHAnsi"/>
                <w:b/>
                <w:color w:val="000000"/>
                <w:sz w:val="18"/>
              </w:rPr>
              <w:t>Türkiye</w:t>
            </w:r>
          </w:p>
        </w:tc>
        <w:tc>
          <w:tcPr>
            <w:tcW w:w="549" w:type="pct"/>
          </w:tcPr>
          <w:p w14:paraId="51D061D7" w14:textId="6EE1B83E" w:rsidR="00724240" w:rsidRPr="00536AB6" w:rsidRDefault="00724240" w:rsidP="00724240">
            <w:pPr>
              <w:jc w:val="both"/>
              <w:rPr>
                <w:rFonts w:asciiTheme="majorHAnsi" w:hAnsiTheme="majorHAnsi" w:cstheme="minorHAnsi"/>
                <w:color w:val="000000"/>
                <w:sz w:val="18"/>
                <w:szCs w:val="18"/>
              </w:rPr>
            </w:pPr>
            <w:r>
              <w:rPr>
                <w:rFonts w:asciiTheme="majorHAnsi" w:hAnsiTheme="majorHAnsi"/>
                <w:color w:val="000000"/>
                <w:sz w:val="18"/>
              </w:rPr>
              <w:t>Parcialmente implementado</w:t>
            </w:r>
          </w:p>
        </w:tc>
        <w:tc>
          <w:tcPr>
            <w:tcW w:w="562" w:type="pct"/>
          </w:tcPr>
          <w:p w14:paraId="42464F52" w14:textId="4468AC7E" w:rsidR="00724240" w:rsidRPr="00536AB6" w:rsidRDefault="00724240" w:rsidP="00724240">
            <w:pPr>
              <w:jc w:val="both"/>
              <w:rPr>
                <w:rFonts w:asciiTheme="majorHAnsi" w:hAnsiTheme="majorHAnsi"/>
                <w:color w:val="000000"/>
                <w:sz w:val="18"/>
                <w:szCs w:val="18"/>
              </w:rPr>
            </w:pPr>
            <w:r>
              <w:rPr>
                <w:rFonts w:asciiTheme="majorHAnsi" w:hAnsiTheme="majorHAnsi"/>
                <w:color w:val="000000"/>
                <w:sz w:val="18"/>
              </w:rPr>
              <w:t>No existe una obligación legal, se implementa a título voluntario.</w:t>
            </w:r>
          </w:p>
        </w:tc>
        <w:tc>
          <w:tcPr>
            <w:tcW w:w="546" w:type="pct"/>
          </w:tcPr>
          <w:p w14:paraId="1E5DCAF1" w14:textId="38A8F26A" w:rsidR="00724240" w:rsidRPr="00536AB6" w:rsidRDefault="00724240" w:rsidP="00724240">
            <w:pPr>
              <w:jc w:val="both"/>
              <w:rPr>
                <w:rFonts w:asciiTheme="majorHAnsi" w:hAnsiTheme="majorHAnsi"/>
                <w:color w:val="000000"/>
                <w:sz w:val="18"/>
                <w:szCs w:val="18"/>
              </w:rPr>
            </w:pPr>
            <w:r>
              <w:rPr>
                <w:rFonts w:asciiTheme="majorHAnsi" w:hAnsiTheme="majorHAnsi"/>
                <w:color w:val="000000"/>
                <w:sz w:val="18"/>
              </w:rPr>
              <w:t>No existe una obligación legal, se implementa a título voluntario.</w:t>
            </w:r>
          </w:p>
        </w:tc>
        <w:tc>
          <w:tcPr>
            <w:tcW w:w="1555" w:type="pct"/>
          </w:tcPr>
          <w:p w14:paraId="17000DB6" w14:textId="77777777" w:rsidR="00CA678C" w:rsidRPr="00C972ED" w:rsidRDefault="00CA678C" w:rsidP="006D1FBF">
            <w:pPr>
              <w:widowControl/>
              <w:autoSpaceDE/>
              <w:autoSpaceDN/>
              <w:adjustRightInd/>
              <w:jc w:val="both"/>
              <w:rPr>
                <w:rFonts w:asciiTheme="majorHAnsi" w:hAnsiTheme="majorHAnsi"/>
                <w:color w:val="000000"/>
                <w:sz w:val="18"/>
                <w:szCs w:val="18"/>
              </w:rPr>
            </w:pPr>
            <w:r w:rsidRPr="00C972ED">
              <w:rPr>
                <w:rFonts w:asciiTheme="majorHAnsi" w:hAnsiTheme="majorHAnsi"/>
                <w:color w:val="000000"/>
                <w:sz w:val="18"/>
              </w:rPr>
              <w:t xml:space="preserve">Existen iniciativas de proyectos emprendidos por diversos organismos que pretenden crear la base de un inventario de Áreas importantes para las aves marinas (IBA) y formar al personal y a los voluntarios en métodos de investigación y conservación de las aves marinas. </w:t>
            </w:r>
          </w:p>
          <w:p w14:paraId="781AAD7F" w14:textId="77777777" w:rsidR="00CA678C" w:rsidRPr="00C972ED" w:rsidRDefault="00CA678C" w:rsidP="006D1FBF">
            <w:pPr>
              <w:widowControl/>
              <w:autoSpaceDE/>
              <w:autoSpaceDN/>
              <w:adjustRightInd/>
              <w:jc w:val="both"/>
              <w:rPr>
                <w:rFonts w:asciiTheme="majorHAnsi" w:hAnsiTheme="majorHAnsi"/>
                <w:color w:val="000000"/>
                <w:sz w:val="18"/>
                <w:szCs w:val="18"/>
              </w:rPr>
            </w:pPr>
          </w:p>
          <w:p w14:paraId="327ECBB0" w14:textId="77777777" w:rsidR="00CA678C" w:rsidRPr="00C972ED" w:rsidRDefault="00CA678C" w:rsidP="006D1FBF">
            <w:pPr>
              <w:widowControl/>
              <w:autoSpaceDE/>
              <w:autoSpaceDN/>
              <w:adjustRightInd/>
              <w:jc w:val="both"/>
              <w:rPr>
                <w:rFonts w:asciiTheme="majorHAnsi" w:hAnsiTheme="majorHAnsi"/>
                <w:color w:val="000000"/>
                <w:sz w:val="18"/>
                <w:szCs w:val="18"/>
              </w:rPr>
            </w:pPr>
            <w:r w:rsidRPr="00C972ED">
              <w:rPr>
                <w:rFonts w:asciiTheme="majorHAnsi" w:hAnsiTheme="majorHAnsi"/>
                <w:color w:val="000000"/>
                <w:sz w:val="18"/>
              </w:rPr>
              <w:t xml:space="preserve">El Ministerio de agricultura y silvicultura (Dirección General de Pesca y Acuicultura) ha iniciado un programa de gran alcance para retirar las "redes fantasma" y la "pesca fantasma" en los principales sitios de aguas costeras de Türkiye. </w:t>
            </w:r>
          </w:p>
          <w:p w14:paraId="4558DDCD" w14:textId="77777777" w:rsidR="00CA678C" w:rsidRPr="00C972ED" w:rsidRDefault="00CA678C" w:rsidP="006D1FBF">
            <w:pPr>
              <w:pStyle w:val="ListParagraph"/>
              <w:widowControl/>
              <w:autoSpaceDE/>
              <w:autoSpaceDN/>
              <w:adjustRightInd/>
              <w:ind w:left="360"/>
              <w:jc w:val="both"/>
              <w:rPr>
                <w:rFonts w:asciiTheme="majorHAnsi" w:hAnsiTheme="majorHAnsi"/>
                <w:color w:val="000000"/>
                <w:sz w:val="18"/>
                <w:szCs w:val="18"/>
              </w:rPr>
            </w:pPr>
          </w:p>
          <w:p w14:paraId="7D41EA85" w14:textId="0FE6328A" w:rsidR="00CA678C" w:rsidRPr="00C972ED" w:rsidRDefault="00CA678C" w:rsidP="006D1FBF">
            <w:pPr>
              <w:widowControl/>
              <w:autoSpaceDE/>
              <w:autoSpaceDN/>
              <w:adjustRightInd/>
              <w:jc w:val="both"/>
              <w:rPr>
                <w:rFonts w:asciiTheme="majorHAnsi" w:hAnsiTheme="majorHAnsi"/>
                <w:color w:val="000000"/>
                <w:sz w:val="18"/>
                <w:szCs w:val="18"/>
              </w:rPr>
            </w:pPr>
            <w:r w:rsidRPr="00C972ED">
              <w:rPr>
                <w:rFonts w:asciiTheme="majorHAnsi" w:hAnsiTheme="majorHAnsi"/>
                <w:color w:val="000000"/>
                <w:sz w:val="18"/>
              </w:rPr>
              <w:t>Durante la fase de implementación del proyecto de "Limpieza de los mares de las redes de pesca abandonadas", se han dragado 801 millones de m</w:t>
            </w:r>
            <w:r w:rsidRPr="00C972ED">
              <w:rPr>
                <w:rFonts w:asciiTheme="majorHAnsi" w:hAnsiTheme="majorHAnsi"/>
                <w:color w:val="000000"/>
                <w:sz w:val="18"/>
                <w:vertAlign w:val="superscript"/>
              </w:rPr>
              <w:t>2</w:t>
            </w:r>
            <w:r w:rsidRPr="00C972ED">
              <w:rPr>
                <w:rFonts w:asciiTheme="majorHAnsi" w:hAnsiTheme="majorHAnsi"/>
                <w:color w:val="000000"/>
                <w:sz w:val="18"/>
              </w:rPr>
              <w:t xml:space="preserve"> de aguas interiores y zonas marinas y se han extraído un total de 2.885.000 m</w:t>
            </w:r>
            <w:r w:rsidRPr="00C972ED">
              <w:rPr>
                <w:rFonts w:asciiTheme="majorHAnsi" w:hAnsiTheme="majorHAnsi"/>
                <w:color w:val="000000"/>
                <w:sz w:val="18"/>
                <w:vertAlign w:val="superscript"/>
              </w:rPr>
              <w:t>2</w:t>
            </w:r>
            <w:r w:rsidRPr="00C972ED">
              <w:rPr>
                <w:rFonts w:asciiTheme="majorHAnsi" w:hAnsiTheme="majorHAnsi"/>
                <w:color w:val="000000"/>
                <w:sz w:val="18"/>
              </w:rPr>
              <w:t xml:space="preserve"> de redes de pesca y 103.551 piezas de nasas y artes de pesca similares de las aguas interiores y zonas marinas en el periodo 2014-2025. La extracción de redes fantasma y artes de pesca de los entornos acuáticos ha evitado la pérdida de unos 9,6 millones de organismos acuáticos.</w:t>
            </w:r>
          </w:p>
          <w:p w14:paraId="64CEE37B" w14:textId="77777777" w:rsidR="00CA678C" w:rsidRPr="00C972ED" w:rsidRDefault="00CA678C" w:rsidP="006D1FBF">
            <w:pPr>
              <w:pStyle w:val="ListParagraph"/>
              <w:widowControl/>
              <w:autoSpaceDE/>
              <w:autoSpaceDN/>
              <w:adjustRightInd/>
              <w:ind w:left="360"/>
              <w:jc w:val="both"/>
              <w:rPr>
                <w:rFonts w:asciiTheme="majorHAnsi" w:hAnsiTheme="majorHAnsi"/>
                <w:color w:val="000000"/>
                <w:sz w:val="18"/>
                <w:szCs w:val="18"/>
              </w:rPr>
            </w:pPr>
          </w:p>
          <w:p w14:paraId="6FF9C690" w14:textId="77777777" w:rsidR="00CA678C" w:rsidRPr="00C972ED" w:rsidRDefault="00CA678C" w:rsidP="006D1FBF">
            <w:pPr>
              <w:widowControl/>
              <w:autoSpaceDE/>
              <w:autoSpaceDN/>
              <w:adjustRightInd/>
              <w:jc w:val="both"/>
              <w:rPr>
                <w:rFonts w:asciiTheme="majorHAnsi" w:hAnsiTheme="majorHAnsi"/>
                <w:color w:val="000000"/>
                <w:sz w:val="18"/>
                <w:szCs w:val="18"/>
              </w:rPr>
            </w:pPr>
            <w:r w:rsidRPr="00C972ED">
              <w:rPr>
                <w:rFonts w:asciiTheme="majorHAnsi" w:hAnsiTheme="majorHAnsi"/>
                <w:color w:val="000000"/>
                <w:sz w:val="18"/>
              </w:rPr>
              <w:t xml:space="preserve">El proyecto denominado </w:t>
            </w:r>
            <w:proofErr w:type="spellStart"/>
            <w:r w:rsidRPr="00C972ED">
              <w:rPr>
                <w:rFonts w:asciiTheme="majorHAnsi" w:hAnsiTheme="majorHAnsi"/>
                <w:i/>
                <w:iCs/>
                <w:color w:val="000000"/>
                <w:sz w:val="18"/>
              </w:rPr>
              <w:t>Understanding</w:t>
            </w:r>
            <w:proofErr w:type="spellEnd"/>
            <w:r w:rsidRPr="00C972ED">
              <w:rPr>
                <w:rFonts w:asciiTheme="majorHAnsi" w:hAnsiTheme="majorHAnsi"/>
                <w:i/>
                <w:iCs/>
                <w:color w:val="000000"/>
                <w:sz w:val="18"/>
              </w:rPr>
              <w:t xml:space="preserve"> </w:t>
            </w:r>
            <w:proofErr w:type="spellStart"/>
            <w:r w:rsidRPr="00C972ED">
              <w:rPr>
                <w:rFonts w:asciiTheme="majorHAnsi" w:hAnsiTheme="majorHAnsi"/>
                <w:i/>
                <w:iCs/>
                <w:color w:val="000000"/>
                <w:sz w:val="18"/>
              </w:rPr>
              <w:t>multi-taxa</w:t>
            </w:r>
            <w:proofErr w:type="spellEnd"/>
            <w:r w:rsidRPr="00C972ED">
              <w:rPr>
                <w:rFonts w:asciiTheme="majorHAnsi" w:hAnsiTheme="majorHAnsi"/>
                <w:i/>
                <w:iCs/>
                <w:color w:val="000000"/>
                <w:sz w:val="18"/>
              </w:rPr>
              <w:t xml:space="preserve"> '</w:t>
            </w:r>
            <w:proofErr w:type="spellStart"/>
            <w:r w:rsidRPr="00C972ED">
              <w:rPr>
                <w:rFonts w:asciiTheme="majorHAnsi" w:hAnsiTheme="majorHAnsi"/>
                <w:i/>
                <w:iCs/>
                <w:color w:val="000000"/>
                <w:sz w:val="18"/>
              </w:rPr>
              <w:t>bycatch</w:t>
            </w:r>
            <w:proofErr w:type="spellEnd"/>
            <w:r w:rsidRPr="00C972ED">
              <w:rPr>
                <w:rFonts w:asciiTheme="majorHAnsi" w:hAnsiTheme="majorHAnsi"/>
                <w:i/>
                <w:iCs/>
                <w:color w:val="000000"/>
                <w:sz w:val="18"/>
              </w:rPr>
              <w:t xml:space="preserve">' </w:t>
            </w:r>
            <w:proofErr w:type="spellStart"/>
            <w:r w:rsidRPr="00C972ED">
              <w:rPr>
                <w:rFonts w:asciiTheme="majorHAnsi" w:hAnsiTheme="majorHAnsi"/>
                <w:i/>
                <w:iCs/>
                <w:color w:val="000000"/>
                <w:sz w:val="18"/>
              </w:rPr>
              <w:t>of</w:t>
            </w:r>
            <w:proofErr w:type="spellEnd"/>
            <w:r w:rsidRPr="00C972ED">
              <w:rPr>
                <w:rFonts w:asciiTheme="majorHAnsi" w:hAnsiTheme="majorHAnsi"/>
                <w:i/>
                <w:iCs/>
                <w:color w:val="000000"/>
                <w:sz w:val="18"/>
              </w:rPr>
              <w:t xml:space="preserve"> vulnerable </w:t>
            </w:r>
            <w:proofErr w:type="spellStart"/>
            <w:r w:rsidRPr="00C972ED">
              <w:rPr>
                <w:rFonts w:asciiTheme="majorHAnsi" w:hAnsiTheme="majorHAnsi"/>
                <w:i/>
                <w:iCs/>
                <w:color w:val="000000"/>
                <w:sz w:val="18"/>
              </w:rPr>
              <w:t>species</w:t>
            </w:r>
            <w:proofErr w:type="spellEnd"/>
            <w:r w:rsidRPr="00C972ED">
              <w:rPr>
                <w:rFonts w:asciiTheme="majorHAnsi" w:hAnsiTheme="majorHAnsi"/>
                <w:i/>
                <w:iCs/>
                <w:color w:val="000000"/>
                <w:sz w:val="18"/>
              </w:rPr>
              <w:t xml:space="preserve"> and </w:t>
            </w:r>
            <w:proofErr w:type="spellStart"/>
            <w:r w:rsidRPr="00C972ED">
              <w:rPr>
                <w:rFonts w:asciiTheme="majorHAnsi" w:hAnsiTheme="majorHAnsi"/>
                <w:i/>
                <w:iCs/>
                <w:color w:val="000000"/>
                <w:sz w:val="18"/>
              </w:rPr>
              <w:t>testing</w:t>
            </w:r>
            <w:proofErr w:type="spellEnd"/>
            <w:r w:rsidRPr="00C972ED">
              <w:rPr>
                <w:rFonts w:asciiTheme="majorHAnsi" w:hAnsiTheme="majorHAnsi"/>
                <w:i/>
                <w:iCs/>
                <w:color w:val="000000"/>
                <w:sz w:val="18"/>
              </w:rPr>
              <w:t xml:space="preserve"> </w:t>
            </w:r>
            <w:proofErr w:type="spellStart"/>
            <w:r w:rsidRPr="00C972ED">
              <w:rPr>
                <w:rFonts w:asciiTheme="majorHAnsi" w:hAnsiTheme="majorHAnsi"/>
                <w:i/>
                <w:iCs/>
                <w:color w:val="000000"/>
                <w:sz w:val="18"/>
              </w:rPr>
              <w:t>mitigation</w:t>
            </w:r>
            <w:proofErr w:type="spellEnd"/>
            <w:r w:rsidRPr="00C972ED">
              <w:rPr>
                <w:rFonts w:asciiTheme="majorHAnsi" w:hAnsiTheme="majorHAnsi"/>
                <w:i/>
                <w:iCs/>
                <w:color w:val="000000"/>
                <w:sz w:val="18"/>
              </w:rPr>
              <w:t xml:space="preserve"> - A </w:t>
            </w:r>
            <w:proofErr w:type="spellStart"/>
            <w:r w:rsidRPr="00C972ED">
              <w:rPr>
                <w:rFonts w:asciiTheme="majorHAnsi" w:hAnsiTheme="majorHAnsi"/>
                <w:i/>
                <w:iCs/>
                <w:color w:val="000000"/>
                <w:sz w:val="18"/>
              </w:rPr>
              <w:t>collaborative</w:t>
            </w:r>
            <w:proofErr w:type="spellEnd"/>
            <w:r w:rsidRPr="00C972ED">
              <w:rPr>
                <w:rFonts w:asciiTheme="majorHAnsi" w:hAnsiTheme="majorHAnsi"/>
                <w:i/>
                <w:iCs/>
                <w:color w:val="000000"/>
                <w:sz w:val="18"/>
              </w:rPr>
              <w:t xml:space="preserve"> </w:t>
            </w:r>
            <w:proofErr w:type="spellStart"/>
            <w:r w:rsidRPr="00C972ED">
              <w:rPr>
                <w:rFonts w:asciiTheme="majorHAnsi" w:hAnsiTheme="majorHAnsi"/>
                <w:i/>
                <w:iCs/>
                <w:color w:val="000000"/>
                <w:sz w:val="18"/>
              </w:rPr>
              <w:t>approach</w:t>
            </w:r>
            <w:proofErr w:type="spellEnd"/>
            <w:r w:rsidRPr="00C972ED">
              <w:rPr>
                <w:rFonts w:asciiTheme="majorHAnsi" w:hAnsiTheme="majorHAnsi"/>
                <w:color w:val="000000"/>
                <w:sz w:val="18"/>
              </w:rPr>
              <w:t xml:space="preserve"> (Entender las "capturas fortuitas" de especies vulnerables en el Mediterráneo y probar la mitigación - Un enfoque colaborativo) se ha llevado a cabo con los socios del proyecto ACCOBAMS, GFCM, IUCN Med, MEDASSET, RAC/SPA en la cuenca mediterránea. La duración del proyecto es de septiembre de 2017 a octubre de 2022.</w:t>
            </w:r>
          </w:p>
          <w:p w14:paraId="5C437D32" w14:textId="77777777" w:rsidR="00CA678C" w:rsidRPr="00C972ED" w:rsidRDefault="00CA678C" w:rsidP="006D1FBF">
            <w:pPr>
              <w:pStyle w:val="ListParagraph"/>
              <w:widowControl/>
              <w:autoSpaceDE/>
              <w:autoSpaceDN/>
              <w:adjustRightInd/>
              <w:ind w:left="360"/>
              <w:jc w:val="both"/>
              <w:rPr>
                <w:rFonts w:asciiTheme="majorHAnsi" w:hAnsiTheme="majorHAnsi"/>
                <w:color w:val="000000"/>
                <w:sz w:val="18"/>
                <w:szCs w:val="18"/>
              </w:rPr>
            </w:pPr>
          </w:p>
          <w:p w14:paraId="2426BCCF" w14:textId="77777777" w:rsidR="00CA678C" w:rsidRPr="00C972ED" w:rsidRDefault="00CA678C" w:rsidP="006D1FBF">
            <w:pPr>
              <w:widowControl/>
              <w:autoSpaceDE/>
              <w:autoSpaceDN/>
              <w:adjustRightInd/>
              <w:jc w:val="both"/>
              <w:rPr>
                <w:rFonts w:asciiTheme="majorHAnsi" w:hAnsiTheme="majorHAnsi"/>
                <w:color w:val="000000"/>
                <w:sz w:val="18"/>
                <w:szCs w:val="18"/>
              </w:rPr>
            </w:pPr>
            <w:r w:rsidRPr="00C972ED">
              <w:rPr>
                <w:rFonts w:asciiTheme="majorHAnsi" w:hAnsiTheme="majorHAnsi"/>
                <w:color w:val="000000"/>
                <w:sz w:val="18"/>
              </w:rPr>
              <w:t xml:space="preserve">Los objetivos del proyecto son desarrollar un método estándar de recopilación de datos para determinar las tasas de captura de especies no objetivo por parte de los artes de pesca más utilizados (arrastre demersal, redes de enmalle, palangres) en la cuenca mediterránea; contribuir al desarrollo de ejemplos de buenas prácticas que reduzcan las tasas de captura fortuita de mamíferos marinos, aves marinas, tortugas marinas y peces </w:t>
            </w:r>
            <w:r w:rsidRPr="00C972ED">
              <w:rPr>
                <w:rFonts w:asciiTheme="majorHAnsi" w:hAnsiTheme="majorHAnsi"/>
                <w:color w:val="000000"/>
                <w:sz w:val="18"/>
              </w:rPr>
              <w:lastRenderedPageBreak/>
              <w:t>cartilaginosos con la participación de todas las partes interesadas.</w:t>
            </w:r>
          </w:p>
          <w:p w14:paraId="7D261C46" w14:textId="77777777" w:rsidR="00CA678C" w:rsidRPr="00C972ED" w:rsidRDefault="00CA678C" w:rsidP="006D1FBF">
            <w:pPr>
              <w:widowControl/>
              <w:autoSpaceDE/>
              <w:autoSpaceDN/>
              <w:adjustRightInd/>
              <w:jc w:val="both"/>
              <w:rPr>
                <w:rFonts w:asciiTheme="majorHAnsi" w:hAnsiTheme="majorHAnsi"/>
                <w:color w:val="000000"/>
                <w:sz w:val="18"/>
                <w:szCs w:val="18"/>
              </w:rPr>
            </w:pPr>
          </w:p>
          <w:p w14:paraId="3A17A9C8" w14:textId="77777777" w:rsidR="00CA678C" w:rsidRPr="00C972ED" w:rsidRDefault="00CA678C" w:rsidP="006D1FBF">
            <w:pPr>
              <w:widowControl/>
              <w:autoSpaceDE/>
              <w:autoSpaceDN/>
              <w:adjustRightInd/>
              <w:jc w:val="both"/>
              <w:rPr>
                <w:rFonts w:asciiTheme="majorHAnsi" w:hAnsiTheme="majorHAnsi"/>
                <w:color w:val="000000"/>
                <w:sz w:val="18"/>
                <w:szCs w:val="18"/>
              </w:rPr>
            </w:pPr>
            <w:r w:rsidRPr="00C972ED">
              <w:rPr>
                <w:rFonts w:asciiTheme="majorHAnsi" w:hAnsiTheme="majorHAnsi"/>
                <w:color w:val="000000"/>
                <w:sz w:val="18"/>
              </w:rPr>
              <w:t>En el ámbito del proyecto se han realizado estudios de recogida de datos de captura fortuita de especies sensibles y estudios de prueba de métodos de mitigación de la captura fortuita. Además, se ha preparado una guía de buenas prácticas para la manipulación de aves marinas y una guía para la identificación de especies vulnerables capturadas incidentalmente en el Mediterráneo para los pescadores y los funcionarios de inspección.</w:t>
            </w:r>
          </w:p>
          <w:p w14:paraId="4A2596D8" w14:textId="77777777" w:rsidR="00536AB6" w:rsidRPr="00C972ED" w:rsidRDefault="00536AB6" w:rsidP="006D1FBF">
            <w:pPr>
              <w:pStyle w:val="ListParagraph"/>
              <w:widowControl/>
              <w:autoSpaceDE/>
              <w:autoSpaceDN/>
              <w:adjustRightInd/>
              <w:ind w:left="360"/>
              <w:jc w:val="both"/>
              <w:rPr>
                <w:rFonts w:asciiTheme="majorHAnsi" w:hAnsiTheme="majorHAnsi"/>
                <w:color w:val="000000"/>
                <w:sz w:val="18"/>
                <w:szCs w:val="18"/>
              </w:rPr>
            </w:pPr>
          </w:p>
          <w:p w14:paraId="01130ABA" w14:textId="5F5F2266" w:rsidR="00CA678C" w:rsidRPr="00C972ED" w:rsidRDefault="00CA678C" w:rsidP="006D1FBF">
            <w:pPr>
              <w:widowControl/>
              <w:autoSpaceDE/>
              <w:autoSpaceDN/>
              <w:adjustRightInd/>
              <w:jc w:val="both"/>
              <w:rPr>
                <w:rFonts w:asciiTheme="majorHAnsi" w:hAnsiTheme="majorHAnsi"/>
                <w:color w:val="000000"/>
                <w:sz w:val="18"/>
                <w:szCs w:val="18"/>
              </w:rPr>
            </w:pPr>
            <w:r w:rsidRPr="00C972ED">
              <w:rPr>
                <w:rFonts w:asciiTheme="majorHAnsi" w:hAnsiTheme="majorHAnsi"/>
                <w:color w:val="000000"/>
                <w:sz w:val="18"/>
              </w:rPr>
              <w:t>El estudio "Efectos de los emisores de ultrasonidos PAL para reducir la captura fortuita de mamíferos marinos (cetáceos) en las redes de enmalle de rodaballo en el mar Negro" se completó en junio de 2022. Se observó que los dispositivos PAL redujeron la cantidad de capturas del colimbo ártico (</w:t>
            </w:r>
            <w:r w:rsidRPr="00C972ED">
              <w:rPr>
                <w:rFonts w:asciiTheme="majorHAnsi" w:hAnsiTheme="majorHAnsi"/>
                <w:i/>
                <w:iCs/>
                <w:color w:val="000000"/>
                <w:sz w:val="18"/>
              </w:rPr>
              <w:t xml:space="preserve">Gavia </w:t>
            </w:r>
            <w:proofErr w:type="spellStart"/>
            <w:r w:rsidRPr="00C972ED">
              <w:rPr>
                <w:rFonts w:asciiTheme="majorHAnsi" w:hAnsiTheme="majorHAnsi"/>
                <w:i/>
                <w:iCs/>
                <w:color w:val="000000"/>
                <w:sz w:val="18"/>
              </w:rPr>
              <w:t>arctica</w:t>
            </w:r>
            <w:proofErr w:type="spellEnd"/>
            <w:r w:rsidRPr="00C972ED">
              <w:rPr>
                <w:rFonts w:asciiTheme="majorHAnsi" w:hAnsiTheme="majorHAnsi"/>
                <w:color w:val="000000"/>
                <w:sz w:val="18"/>
              </w:rPr>
              <w:t>) en un 89,2 % en comparación con el grupo de control.</w:t>
            </w:r>
          </w:p>
          <w:p w14:paraId="528F260F" w14:textId="77777777" w:rsidR="00CA678C" w:rsidRPr="00C972ED" w:rsidRDefault="00CA678C" w:rsidP="006D1FBF">
            <w:pPr>
              <w:pStyle w:val="ListParagraph"/>
              <w:widowControl/>
              <w:autoSpaceDE/>
              <w:autoSpaceDN/>
              <w:adjustRightInd/>
              <w:ind w:left="360"/>
              <w:jc w:val="both"/>
              <w:rPr>
                <w:rFonts w:asciiTheme="majorHAnsi" w:hAnsiTheme="majorHAnsi"/>
                <w:color w:val="000000"/>
                <w:sz w:val="18"/>
                <w:szCs w:val="18"/>
              </w:rPr>
            </w:pPr>
          </w:p>
          <w:p w14:paraId="58B3F8E5" w14:textId="77777777" w:rsidR="00CA678C" w:rsidRPr="00C972ED" w:rsidRDefault="00CA678C" w:rsidP="006D1FBF">
            <w:pPr>
              <w:widowControl/>
              <w:autoSpaceDE/>
              <w:autoSpaceDN/>
              <w:adjustRightInd/>
              <w:jc w:val="both"/>
              <w:rPr>
                <w:rFonts w:asciiTheme="majorHAnsi" w:hAnsiTheme="majorHAnsi"/>
                <w:color w:val="000000"/>
                <w:sz w:val="18"/>
                <w:szCs w:val="18"/>
              </w:rPr>
            </w:pPr>
            <w:r w:rsidRPr="00C972ED">
              <w:rPr>
                <w:rFonts w:asciiTheme="majorHAnsi" w:hAnsiTheme="majorHAnsi"/>
                <w:color w:val="000000"/>
                <w:sz w:val="18"/>
              </w:rPr>
              <w:t xml:space="preserve">El artículo 18 de la Notificación Ministerial que regula la pesca comercial (n.º 2024/20), que entró en vigor el 11 de agosto de 2024 y abarca el periodo 2024-2028, exige que en caso de que cualquier especie prohibida y aves marinas sean capturadas incidentalmente durante las operaciones de pesca comercial, será obligatorio que estas especies sean devueltas al agua vivas e ilesas. </w:t>
            </w:r>
          </w:p>
          <w:p w14:paraId="0B6060A1" w14:textId="77777777" w:rsidR="00CA678C" w:rsidRPr="00C972ED" w:rsidRDefault="00CA678C" w:rsidP="006D1FBF">
            <w:pPr>
              <w:pStyle w:val="ListParagraph"/>
              <w:widowControl/>
              <w:autoSpaceDE/>
              <w:autoSpaceDN/>
              <w:adjustRightInd/>
              <w:ind w:left="360"/>
              <w:jc w:val="both"/>
              <w:rPr>
                <w:rFonts w:asciiTheme="majorHAnsi" w:hAnsiTheme="majorHAnsi"/>
                <w:color w:val="000000"/>
                <w:sz w:val="18"/>
                <w:szCs w:val="18"/>
              </w:rPr>
            </w:pPr>
          </w:p>
          <w:p w14:paraId="0B67C87F" w14:textId="77777777" w:rsidR="00CA678C" w:rsidRPr="00C972ED" w:rsidRDefault="00CA678C" w:rsidP="006D1FBF">
            <w:pPr>
              <w:widowControl/>
              <w:autoSpaceDE/>
              <w:autoSpaceDN/>
              <w:adjustRightInd/>
              <w:jc w:val="both"/>
              <w:rPr>
                <w:rFonts w:asciiTheme="majorHAnsi" w:hAnsiTheme="majorHAnsi"/>
                <w:color w:val="000000"/>
                <w:sz w:val="18"/>
                <w:szCs w:val="18"/>
              </w:rPr>
            </w:pPr>
            <w:r w:rsidRPr="00C972ED">
              <w:rPr>
                <w:rFonts w:asciiTheme="majorHAnsi" w:hAnsiTheme="majorHAnsi"/>
                <w:color w:val="000000"/>
                <w:sz w:val="18"/>
              </w:rPr>
              <w:t>Turquía ha elaborado una guía específica para la identificación de tiburones, aves marinas, tortugas y mamíferos marinos presentes en aguas turcas, denominada «Directrices para la protección de especies vulnerables». Las guías se distribuyeron a los pescadores en formato impreso y se publicaron en la página web de la Dirección General de Pesca y Acuicultura.</w:t>
            </w:r>
          </w:p>
          <w:p w14:paraId="278378F8" w14:textId="77777777" w:rsidR="00CA678C" w:rsidRPr="00C972ED" w:rsidRDefault="00CA678C" w:rsidP="006D1FBF">
            <w:pPr>
              <w:widowControl/>
              <w:autoSpaceDE/>
              <w:autoSpaceDN/>
              <w:adjustRightInd/>
              <w:jc w:val="both"/>
              <w:rPr>
                <w:rFonts w:asciiTheme="majorHAnsi" w:hAnsiTheme="majorHAnsi"/>
                <w:color w:val="000000"/>
                <w:sz w:val="18"/>
                <w:szCs w:val="18"/>
                <w:lang w:val="fr-FR"/>
              </w:rPr>
            </w:pPr>
            <w:proofErr w:type="spellStart"/>
            <w:proofErr w:type="gramStart"/>
            <w:r w:rsidRPr="00C972ED">
              <w:rPr>
                <w:rFonts w:asciiTheme="majorHAnsi" w:hAnsiTheme="majorHAnsi"/>
                <w:color w:val="000000"/>
                <w:sz w:val="18"/>
                <w:lang w:val="fr-FR"/>
              </w:rPr>
              <w:lastRenderedPageBreak/>
              <w:t>Véase</w:t>
            </w:r>
            <w:proofErr w:type="spellEnd"/>
            <w:r w:rsidRPr="00C972ED">
              <w:rPr>
                <w:rFonts w:asciiTheme="majorHAnsi" w:hAnsiTheme="majorHAnsi"/>
                <w:color w:val="000000"/>
                <w:sz w:val="18"/>
                <w:lang w:val="fr-FR"/>
              </w:rPr>
              <w:t>:</w:t>
            </w:r>
            <w:proofErr w:type="gramEnd"/>
            <w:r w:rsidRPr="00C972ED">
              <w:rPr>
                <w:rFonts w:asciiTheme="majorHAnsi" w:hAnsiTheme="majorHAnsi"/>
                <w:color w:val="000000"/>
                <w:sz w:val="18"/>
                <w:lang w:val="fr-FR"/>
              </w:rPr>
              <w:t xml:space="preserve"> https://www.tarimorman.gov.tr/BSGM/Link/56/Hedef-Disi-Avcilik-_hassas-Turleri-Koruma-Kilavuzlari_</w:t>
            </w:r>
          </w:p>
          <w:p w14:paraId="79C48AD9" w14:textId="77777777" w:rsidR="00CA678C" w:rsidRPr="00C972ED" w:rsidRDefault="00CA678C" w:rsidP="006D1FBF">
            <w:pPr>
              <w:widowControl/>
              <w:autoSpaceDE/>
              <w:autoSpaceDN/>
              <w:adjustRightInd/>
              <w:jc w:val="both"/>
              <w:rPr>
                <w:rFonts w:asciiTheme="majorHAnsi" w:hAnsiTheme="majorHAnsi"/>
                <w:color w:val="000000"/>
                <w:sz w:val="18"/>
                <w:szCs w:val="18"/>
                <w:lang w:val="fr-FR"/>
              </w:rPr>
            </w:pPr>
          </w:p>
          <w:p w14:paraId="040F8EFD" w14:textId="77777777" w:rsidR="00CA678C" w:rsidRPr="00C972ED" w:rsidRDefault="00CA678C" w:rsidP="00CA678C">
            <w:pPr>
              <w:widowControl/>
              <w:autoSpaceDE/>
              <w:autoSpaceDN/>
              <w:adjustRightInd/>
              <w:jc w:val="both"/>
              <w:rPr>
                <w:rFonts w:asciiTheme="majorHAnsi" w:hAnsiTheme="majorHAnsi"/>
                <w:color w:val="000000"/>
                <w:sz w:val="18"/>
                <w:szCs w:val="18"/>
              </w:rPr>
            </w:pPr>
            <w:r w:rsidRPr="00C972ED">
              <w:rPr>
                <w:rFonts w:asciiTheme="majorHAnsi" w:hAnsiTheme="majorHAnsi"/>
                <w:color w:val="000000"/>
                <w:sz w:val="18"/>
              </w:rPr>
              <w:t xml:space="preserve">La manipulación, el tratamiento y la liberación de las especies capturadas de forma fortuita en el marco de este programa se llevarán a cabo de conformidad con las «Directrices para la protección de especies vulnerables». </w:t>
            </w:r>
          </w:p>
          <w:p w14:paraId="0DF86EAD" w14:textId="77777777" w:rsidR="00CA678C" w:rsidRPr="00C972ED" w:rsidRDefault="00CA678C" w:rsidP="006D1FBF">
            <w:pPr>
              <w:widowControl/>
              <w:autoSpaceDE/>
              <w:autoSpaceDN/>
              <w:adjustRightInd/>
              <w:jc w:val="both"/>
              <w:rPr>
                <w:rFonts w:asciiTheme="majorHAnsi" w:hAnsiTheme="majorHAnsi"/>
                <w:color w:val="000000"/>
                <w:sz w:val="18"/>
                <w:szCs w:val="18"/>
              </w:rPr>
            </w:pPr>
          </w:p>
          <w:p w14:paraId="63ED1F9A" w14:textId="271D399B" w:rsidR="00CA678C" w:rsidRPr="00C972ED" w:rsidRDefault="00CA678C" w:rsidP="006D1FBF">
            <w:pPr>
              <w:widowControl/>
              <w:autoSpaceDE/>
              <w:autoSpaceDN/>
              <w:adjustRightInd/>
              <w:jc w:val="both"/>
              <w:rPr>
                <w:rFonts w:asciiTheme="majorHAnsi" w:hAnsiTheme="majorHAnsi"/>
                <w:color w:val="000000"/>
                <w:sz w:val="18"/>
                <w:szCs w:val="18"/>
              </w:rPr>
            </w:pPr>
            <w:r w:rsidRPr="00C972ED">
              <w:rPr>
                <w:rFonts w:asciiTheme="majorHAnsi" w:hAnsiTheme="majorHAnsi"/>
                <w:color w:val="000000"/>
                <w:sz w:val="18"/>
              </w:rPr>
              <w:t xml:space="preserve">Las directrices mencionadas anteriormente sobre la aplicación práctica de las medidas relativas a la manipulación, la liberación y la protección de especies vulnerables en casos de capturas fortuitas se han elaborado y puesto en práctica basándose en las directrices pertinentes de la FAO, los resultados del proyecto </w:t>
            </w:r>
            <w:proofErr w:type="spellStart"/>
            <w:r w:rsidRPr="00C972ED">
              <w:rPr>
                <w:rFonts w:asciiTheme="majorHAnsi" w:hAnsiTheme="majorHAnsi"/>
                <w:color w:val="000000"/>
                <w:sz w:val="18"/>
              </w:rPr>
              <w:t>Medbycatch</w:t>
            </w:r>
            <w:proofErr w:type="spellEnd"/>
            <w:r w:rsidRPr="00C972ED">
              <w:rPr>
                <w:rFonts w:asciiTheme="majorHAnsi" w:hAnsiTheme="majorHAnsi"/>
                <w:color w:val="000000"/>
                <w:sz w:val="18"/>
              </w:rPr>
              <w:t xml:space="preserve"> y las recomendaciones relacionadas de ICCAT.</w:t>
            </w:r>
          </w:p>
          <w:p w14:paraId="0E2B6D1B" w14:textId="5BEAA38C" w:rsidR="00724240" w:rsidRPr="00C972ED" w:rsidRDefault="00724240" w:rsidP="00724240">
            <w:pPr>
              <w:ind w:left="360"/>
              <w:jc w:val="both"/>
              <w:rPr>
                <w:rFonts w:asciiTheme="majorHAnsi" w:hAnsiTheme="majorHAnsi"/>
                <w:color w:val="000000"/>
                <w:sz w:val="18"/>
                <w:szCs w:val="18"/>
              </w:rPr>
            </w:pPr>
          </w:p>
        </w:tc>
        <w:tc>
          <w:tcPr>
            <w:tcW w:w="1324" w:type="pct"/>
          </w:tcPr>
          <w:p w14:paraId="031191E6" w14:textId="2C17C44A" w:rsidR="00CA678C" w:rsidRPr="00C972ED" w:rsidRDefault="00CA678C" w:rsidP="00CA678C">
            <w:pPr>
              <w:jc w:val="both"/>
              <w:rPr>
                <w:rFonts w:asciiTheme="majorHAnsi" w:hAnsiTheme="majorHAnsi"/>
                <w:color w:val="1C283D"/>
                <w:sz w:val="18"/>
                <w:szCs w:val="18"/>
              </w:rPr>
            </w:pPr>
            <w:r w:rsidRPr="00C972ED">
              <w:rPr>
                <w:rFonts w:asciiTheme="majorHAnsi" w:hAnsiTheme="majorHAnsi"/>
                <w:color w:val="1C283D"/>
                <w:sz w:val="18"/>
              </w:rPr>
              <w:lastRenderedPageBreak/>
              <w:t xml:space="preserve">De conformidad con el artículo 14 y el artículo 15 de la Notificación n.º 6/1 que regula la pesca comercial (2024-2028), los palangres, las redes de enmalle y las redes de enredo que se calen (anclen) en el mar </w:t>
            </w:r>
            <w:r w:rsidRPr="00C972ED">
              <w:rPr>
                <w:rFonts w:asciiTheme="majorHAnsi" w:hAnsiTheme="majorHAnsi"/>
                <w:color w:val="1C283D"/>
                <w:sz w:val="18"/>
              </w:rPr>
              <w:lastRenderedPageBreak/>
              <w:t xml:space="preserve">deberán marcarse con una bandera/flotador de señalización durante el día y con una boya iluminada durante la noche. </w:t>
            </w:r>
          </w:p>
          <w:p w14:paraId="5416CA18" w14:textId="77777777" w:rsidR="00CA678C" w:rsidRPr="00C972ED" w:rsidRDefault="00CA678C" w:rsidP="00CA678C">
            <w:pPr>
              <w:jc w:val="both"/>
              <w:rPr>
                <w:rFonts w:asciiTheme="majorHAnsi" w:hAnsiTheme="majorHAnsi"/>
                <w:color w:val="1C283D"/>
                <w:sz w:val="18"/>
                <w:szCs w:val="18"/>
              </w:rPr>
            </w:pPr>
          </w:p>
          <w:p w14:paraId="0953D4A4" w14:textId="77777777" w:rsidR="00CA678C" w:rsidRPr="00C972ED" w:rsidRDefault="00CA678C" w:rsidP="00CA678C">
            <w:pPr>
              <w:jc w:val="both"/>
              <w:rPr>
                <w:rFonts w:asciiTheme="majorHAnsi" w:hAnsiTheme="majorHAnsi"/>
                <w:color w:val="1C283D"/>
                <w:sz w:val="18"/>
                <w:szCs w:val="18"/>
              </w:rPr>
            </w:pPr>
            <w:r w:rsidRPr="00C972ED">
              <w:rPr>
                <w:rFonts w:asciiTheme="majorHAnsi" w:hAnsiTheme="majorHAnsi"/>
                <w:color w:val="1C283D"/>
                <w:sz w:val="18"/>
              </w:rPr>
              <w:t>Área:</w:t>
            </w:r>
          </w:p>
          <w:p w14:paraId="70113A7E" w14:textId="1DCA0CAB" w:rsidR="00CA678C" w:rsidRPr="00C972ED" w:rsidRDefault="00CA678C" w:rsidP="00CA678C">
            <w:pPr>
              <w:jc w:val="both"/>
              <w:rPr>
                <w:rFonts w:asciiTheme="majorHAnsi" w:hAnsiTheme="majorHAnsi"/>
                <w:color w:val="1C283D"/>
                <w:sz w:val="18"/>
                <w:szCs w:val="18"/>
              </w:rPr>
            </w:pPr>
            <w:r w:rsidRPr="00C972ED">
              <w:rPr>
                <w:rFonts w:asciiTheme="majorHAnsi" w:hAnsiTheme="majorHAnsi"/>
                <w:color w:val="1C283D"/>
                <w:sz w:val="18"/>
              </w:rPr>
              <w:t>Lance nocturno con iluminación mínima en cubierta (todas las zonas de pesca).</w:t>
            </w:r>
          </w:p>
          <w:p w14:paraId="5C115A3D" w14:textId="77777777" w:rsidR="00724240" w:rsidRPr="00C972ED" w:rsidRDefault="00724240" w:rsidP="00724240">
            <w:pPr>
              <w:jc w:val="both"/>
              <w:rPr>
                <w:rFonts w:asciiTheme="majorHAnsi" w:hAnsiTheme="majorHAnsi"/>
                <w:color w:val="000000"/>
                <w:sz w:val="18"/>
                <w:szCs w:val="18"/>
              </w:rPr>
            </w:pPr>
          </w:p>
        </w:tc>
      </w:tr>
    </w:tbl>
    <w:p w14:paraId="4D3E213E" w14:textId="77777777" w:rsidR="00281FD1" w:rsidRPr="00364A87" w:rsidRDefault="00281FD1" w:rsidP="00C121BC">
      <w:pPr>
        <w:jc w:val="both"/>
        <w:rPr>
          <w:rFonts w:asciiTheme="majorHAnsi" w:hAnsiTheme="majorHAnsi"/>
          <w:bCs/>
        </w:rPr>
      </w:pPr>
    </w:p>
    <w:p w14:paraId="7503212F" w14:textId="54C22444" w:rsidR="00281FD1" w:rsidRPr="00536AB6" w:rsidRDefault="00BE1E41" w:rsidP="00210D3D">
      <w:pPr>
        <w:widowControl/>
        <w:autoSpaceDE/>
        <w:autoSpaceDN/>
        <w:adjustRightInd/>
        <w:jc w:val="both"/>
        <w:rPr>
          <w:rFonts w:asciiTheme="majorHAnsi" w:hAnsiTheme="majorHAnsi"/>
          <w:bCs/>
        </w:rPr>
      </w:pPr>
      <w:r>
        <w:rPr>
          <w:rFonts w:asciiTheme="majorHAnsi" w:hAnsiTheme="majorHAnsi"/>
        </w:rPr>
        <w:t>Además, algunas CPC que no faenan al sur de 20º S o en el Mediterráneo han indicado en sus Informes anuales que existe un NPOA para las aves marinas.</w:t>
      </w:r>
    </w:p>
    <w:p w14:paraId="005CE53F" w14:textId="77777777" w:rsidR="005C1EE7" w:rsidRPr="00364A87" w:rsidRDefault="005C1EE7">
      <w:pPr>
        <w:widowControl/>
        <w:autoSpaceDE/>
        <w:autoSpaceDN/>
        <w:adjustRightInd/>
        <w:rPr>
          <w:rFonts w:asciiTheme="majorHAnsi" w:hAnsiTheme="majorHAnsi"/>
          <w:bCs/>
        </w:rPr>
        <w:sectPr w:rsidR="005C1EE7" w:rsidRPr="00364A87" w:rsidSect="00336BA9">
          <w:endnotePr>
            <w:numFmt w:val="decimal"/>
          </w:endnotePr>
          <w:pgSz w:w="16832" w:h="11911" w:orient="landscape" w:code="9"/>
          <w:pgMar w:top="1418" w:right="1418" w:bottom="1418" w:left="1418" w:header="851" w:footer="1134" w:gutter="0"/>
          <w:cols w:space="720"/>
          <w:noEndnote/>
          <w:docGrid w:linePitch="360"/>
        </w:sectPr>
      </w:pPr>
    </w:p>
    <w:bookmarkEnd w:id="18"/>
    <w:p w14:paraId="649A12FF" w14:textId="14645FCC" w:rsidR="00E01A0F" w:rsidRPr="00536AB6" w:rsidRDefault="00E01A0F" w:rsidP="005C1EE7">
      <w:pPr>
        <w:tabs>
          <w:tab w:val="left" w:pos="1276"/>
          <w:tab w:val="left" w:leader="dot" w:pos="8222"/>
          <w:tab w:val="right" w:pos="8647"/>
        </w:tabs>
        <w:jc w:val="both"/>
        <w:rPr>
          <w:rFonts w:asciiTheme="majorHAnsi" w:hAnsiTheme="majorHAnsi"/>
          <w:i/>
          <w:iCs/>
        </w:rPr>
      </w:pPr>
      <w:r>
        <w:rPr>
          <w:rFonts w:asciiTheme="majorHAnsi" w:hAnsiTheme="majorHAnsi"/>
          <w:i/>
        </w:rPr>
        <w:lastRenderedPageBreak/>
        <w:t>[Rec. 11-10] Recomendación de ICCAT sobre recopilación de información y armonización de datos sobre captura fortuita y descartes en las pesquerías de ICCAT</w:t>
      </w:r>
    </w:p>
    <w:p w14:paraId="05D7BBE6" w14:textId="77777777" w:rsidR="0072170F" w:rsidRPr="00364A87" w:rsidRDefault="0072170F" w:rsidP="005C1EE7">
      <w:pPr>
        <w:tabs>
          <w:tab w:val="left" w:pos="1276"/>
          <w:tab w:val="left" w:leader="dot" w:pos="8222"/>
          <w:tab w:val="right" w:pos="8647"/>
        </w:tabs>
        <w:ind w:firstLine="425"/>
        <w:jc w:val="both"/>
        <w:rPr>
          <w:rFonts w:asciiTheme="majorHAnsi" w:hAnsiTheme="majorHAnsi"/>
          <w:i/>
          <w:iCs/>
        </w:rPr>
      </w:pPr>
    </w:p>
    <w:p w14:paraId="40501250" w14:textId="4346A047" w:rsidR="0072170F" w:rsidRPr="00536AB6" w:rsidRDefault="0072170F" w:rsidP="005C1EE7">
      <w:pPr>
        <w:tabs>
          <w:tab w:val="left" w:pos="1276"/>
          <w:tab w:val="left" w:leader="dot" w:pos="8222"/>
          <w:tab w:val="right" w:pos="8647"/>
        </w:tabs>
        <w:jc w:val="both"/>
        <w:rPr>
          <w:rFonts w:asciiTheme="majorHAnsi" w:hAnsiTheme="majorHAnsi"/>
        </w:rPr>
      </w:pPr>
      <w:r>
        <w:rPr>
          <w:rFonts w:asciiTheme="majorHAnsi" w:hAnsiTheme="majorHAnsi"/>
        </w:rPr>
        <w:t>Para obtener información relacionada con esta Recomendación, véase la Rec. 16-14 y el "Informe de la Secretaría de ICCAT sobre investigación y estadísticas de 2026" [PLE_105/2026].</w:t>
      </w:r>
    </w:p>
    <w:p w14:paraId="5ADB63E6" w14:textId="77777777" w:rsidR="00426C05" w:rsidRPr="00364A87" w:rsidRDefault="00426C05" w:rsidP="005C1EE7">
      <w:pPr>
        <w:tabs>
          <w:tab w:val="left" w:pos="1276"/>
          <w:tab w:val="left" w:pos="1418"/>
          <w:tab w:val="left" w:leader="dot" w:pos="8222"/>
          <w:tab w:val="right" w:pos="8647"/>
        </w:tabs>
        <w:ind w:left="1276" w:hanging="851"/>
        <w:jc w:val="both"/>
        <w:rPr>
          <w:rFonts w:asciiTheme="majorHAnsi" w:hAnsiTheme="majorHAnsi"/>
        </w:rPr>
      </w:pPr>
    </w:p>
    <w:p w14:paraId="29EE0929" w14:textId="67A37E76" w:rsidR="00EB20C5" w:rsidRPr="00536AB6" w:rsidRDefault="00EB20C5" w:rsidP="00EB20C5">
      <w:pPr>
        <w:tabs>
          <w:tab w:val="left" w:pos="1276"/>
          <w:tab w:val="left" w:pos="1418"/>
          <w:tab w:val="left" w:leader="dot" w:pos="8222"/>
          <w:tab w:val="right" w:pos="8647"/>
        </w:tabs>
        <w:jc w:val="both"/>
        <w:rPr>
          <w:rFonts w:asciiTheme="majorHAnsi" w:hAnsiTheme="majorHAnsi"/>
        </w:rPr>
      </w:pPr>
      <w:r w:rsidRPr="00700E01">
        <w:rPr>
          <w:rFonts w:asciiTheme="majorHAnsi" w:hAnsiTheme="majorHAnsi"/>
          <w:i/>
          <w:iCs/>
        </w:rPr>
        <w:t>[</w:t>
      </w:r>
      <w:r w:rsidR="00E37E70" w:rsidRPr="00700E01">
        <w:rPr>
          <w:rFonts w:asciiTheme="majorHAnsi" w:hAnsiTheme="majorHAnsi"/>
          <w:i/>
          <w:iCs/>
        </w:rPr>
        <w:t xml:space="preserve">Rec. </w:t>
      </w:r>
      <w:r w:rsidRPr="00700E01">
        <w:rPr>
          <w:rFonts w:asciiTheme="majorHAnsi" w:hAnsiTheme="majorHAnsi"/>
          <w:i/>
          <w:iCs/>
        </w:rPr>
        <w:t>22-12] Recomendación de ICCAT sobre tortugas marinas capturadas de forma fortuita en asociación con</w:t>
      </w:r>
      <w:r>
        <w:rPr>
          <w:rFonts w:asciiTheme="majorHAnsi" w:hAnsiTheme="majorHAnsi"/>
          <w:i/>
          <w:iCs/>
        </w:rPr>
        <w:t xml:space="preserve"> las pesquerías de ICCAT (combina, simplifica y enmienda las Recomendaciones 10-09 y 13-11)</w:t>
      </w:r>
      <w:r>
        <w:rPr>
          <w:rFonts w:asciiTheme="majorHAnsi" w:hAnsiTheme="majorHAnsi"/>
        </w:rPr>
        <w:t xml:space="preserve"> enmendada por la [</w:t>
      </w:r>
      <w:r w:rsidR="00E37E70">
        <w:rPr>
          <w:rFonts w:asciiTheme="majorHAnsi" w:hAnsiTheme="majorHAnsi"/>
        </w:rPr>
        <w:t xml:space="preserve">Rec. </w:t>
      </w:r>
      <w:r>
        <w:rPr>
          <w:rFonts w:asciiTheme="majorHAnsi" w:hAnsiTheme="majorHAnsi"/>
        </w:rPr>
        <w:t xml:space="preserve">23-13] </w:t>
      </w:r>
      <w:r>
        <w:rPr>
          <w:rFonts w:asciiTheme="majorHAnsi" w:hAnsiTheme="majorHAnsi"/>
          <w:i/>
          <w:iCs/>
        </w:rPr>
        <w:t>Recomendación suplementaria de ICCAT que enmienda la Recomendación 22-12 sobre captura fortuita de tortugas marinas capturadas en asociación con las pesquerías de ICCAT</w:t>
      </w:r>
    </w:p>
    <w:p w14:paraId="2BE220E5" w14:textId="77777777" w:rsidR="00EB20C5" w:rsidRPr="00536AB6" w:rsidRDefault="00EB20C5" w:rsidP="00EB20C5">
      <w:pPr>
        <w:tabs>
          <w:tab w:val="left" w:pos="1276"/>
          <w:tab w:val="left" w:leader="dot" w:pos="8222"/>
          <w:tab w:val="right" w:pos="8647"/>
        </w:tabs>
        <w:jc w:val="both"/>
        <w:rPr>
          <w:rFonts w:asciiTheme="majorHAnsi" w:hAnsiTheme="majorHAnsi"/>
          <w:bCs/>
          <w:i/>
          <w:iCs/>
        </w:rPr>
      </w:pPr>
      <w:bookmarkStart w:id="19" w:name="_Hlk86071566"/>
    </w:p>
    <w:bookmarkEnd w:id="19"/>
    <w:p w14:paraId="1D14B11C" w14:textId="3F8666B3" w:rsidR="00EB20C5" w:rsidRPr="00536AB6" w:rsidRDefault="00EB20C5" w:rsidP="00EB20C5">
      <w:pPr>
        <w:tabs>
          <w:tab w:val="left" w:pos="1276"/>
          <w:tab w:val="left" w:leader="dot" w:pos="8222"/>
          <w:tab w:val="right" w:pos="8647"/>
        </w:tabs>
        <w:jc w:val="both"/>
        <w:rPr>
          <w:rFonts w:asciiTheme="majorHAnsi" w:hAnsiTheme="majorHAnsi"/>
          <w:bCs/>
        </w:rPr>
      </w:pPr>
      <w:r>
        <w:rPr>
          <w:rFonts w:asciiTheme="majorHAnsi" w:hAnsiTheme="majorHAnsi"/>
        </w:rPr>
        <w:t>En 2021, la Secretaría de ICCAT recomendó a las CPC que citaran su legislación en los informes anuales, dado que señaló que la aplicabilidad de los requisitos relacionados con la maximización de la supervivencia de las tortugas m</w:t>
      </w:r>
      <w:r w:rsidRPr="00E37E70">
        <w:rPr>
          <w:rFonts w:asciiTheme="majorHAnsi" w:hAnsiTheme="majorHAnsi"/>
        </w:rPr>
        <w:t xml:space="preserve">arinas no depende del alcance de las interacciones, es decir, debería ser implementado por todos aquellos con pesquerías de cerco y/o palangre. Algunas CPC, pero no todas, han seguido esta Recomendación. </w:t>
      </w:r>
      <w:bookmarkStart w:id="20" w:name="_Hlk147757496"/>
      <w:r w:rsidRPr="00E37E70">
        <w:rPr>
          <w:rFonts w:asciiTheme="majorHAnsi" w:hAnsiTheme="majorHAnsi"/>
        </w:rPr>
        <w:t xml:space="preserve">El extracto completo de las respuestas introducidas en el sistema integrado de gestión en línea (IOMS) de ICCAT para M: BYC01 está disponible como </w:t>
      </w:r>
      <w:r w:rsidRPr="00E37E70">
        <w:rPr>
          <w:rFonts w:asciiTheme="majorHAnsi" w:hAnsiTheme="majorHAnsi"/>
          <w:b/>
          <w:bCs/>
        </w:rPr>
        <w:t>anexo 8.</w:t>
      </w:r>
    </w:p>
    <w:bookmarkEnd w:id="20"/>
    <w:p w14:paraId="1C3E79BC" w14:textId="77777777" w:rsidR="00DC5C13" w:rsidRPr="00364A87" w:rsidRDefault="00DC5C13" w:rsidP="006D1DE6">
      <w:pPr>
        <w:tabs>
          <w:tab w:val="left" w:pos="1276"/>
          <w:tab w:val="left" w:pos="1418"/>
          <w:tab w:val="left" w:leader="dot" w:pos="8222"/>
          <w:tab w:val="right" w:pos="8647"/>
        </w:tabs>
        <w:jc w:val="both"/>
        <w:rPr>
          <w:rFonts w:asciiTheme="majorHAnsi" w:hAnsiTheme="majorHAnsi"/>
          <w:iCs/>
        </w:rPr>
      </w:pPr>
    </w:p>
    <w:p w14:paraId="29229501" w14:textId="077FAD5F" w:rsidR="00DC5C13" w:rsidRPr="00536AB6" w:rsidRDefault="00DC5C13" w:rsidP="005C1EE7">
      <w:pPr>
        <w:tabs>
          <w:tab w:val="left" w:pos="1276"/>
          <w:tab w:val="left" w:pos="1418"/>
          <w:tab w:val="left" w:leader="dot" w:pos="8222"/>
          <w:tab w:val="right" w:pos="8647"/>
        </w:tabs>
        <w:jc w:val="both"/>
        <w:rPr>
          <w:rFonts w:asciiTheme="majorHAnsi" w:hAnsiTheme="majorHAnsi"/>
          <w:i/>
        </w:rPr>
      </w:pPr>
      <w:r>
        <w:rPr>
          <w:rFonts w:asciiTheme="majorHAnsi" w:hAnsiTheme="majorHAnsi"/>
          <w:i/>
        </w:rPr>
        <w:t>[Rec. 24-12] Recomendación de ICCAT que reemplaza la Recomendación 23-14 sobre rayas mobúlidas (familia Mobulidae) capturadas en asociación con las pesquerías de ICCAT</w:t>
      </w:r>
    </w:p>
    <w:p w14:paraId="3E326EEB" w14:textId="77777777" w:rsidR="00DC5C13" w:rsidRPr="00364A87" w:rsidRDefault="00DC5C13" w:rsidP="005C1EE7">
      <w:pPr>
        <w:tabs>
          <w:tab w:val="left" w:pos="1276"/>
          <w:tab w:val="left" w:pos="1418"/>
          <w:tab w:val="left" w:leader="dot" w:pos="8222"/>
          <w:tab w:val="right" w:pos="8647"/>
        </w:tabs>
        <w:jc w:val="both"/>
        <w:rPr>
          <w:rFonts w:asciiTheme="majorHAnsi" w:hAnsiTheme="majorHAnsi"/>
          <w:i/>
        </w:rPr>
      </w:pPr>
    </w:p>
    <w:p w14:paraId="7587CF83" w14:textId="2C08C81C" w:rsidR="00DC5C13" w:rsidRPr="00536AB6" w:rsidRDefault="004C55EE" w:rsidP="005C1EE7">
      <w:pPr>
        <w:tabs>
          <w:tab w:val="left" w:pos="1276"/>
          <w:tab w:val="left" w:pos="1418"/>
          <w:tab w:val="left" w:leader="dot" w:pos="8222"/>
          <w:tab w:val="right" w:pos="8647"/>
        </w:tabs>
        <w:jc w:val="both"/>
        <w:rPr>
          <w:rFonts w:asciiTheme="majorHAnsi" w:hAnsiTheme="majorHAnsi"/>
          <w:iCs/>
        </w:rPr>
      </w:pPr>
      <w:r>
        <w:rPr>
          <w:rFonts w:asciiTheme="majorHAnsi" w:hAnsiTheme="majorHAnsi"/>
        </w:rPr>
        <w:t>La captura fortuita incidental de rayas mobúlidas (familia Mobulidae), si la hubiera, se incluirá en el Informe de la Secretaría de ICCAT sobre investigación y estadísticas.)</w:t>
      </w:r>
    </w:p>
    <w:p w14:paraId="56BED7A5" w14:textId="6526CEE3" w:rsidR="00B05931" w:rsidRPr="00364A87" w:rsidRDefault="00B05931" w:rsidP="00820485">
      <w:pPr>
        <w:tabs>
          <w:tab w:val="left" w:pos="1276"/>
          <w:tab w:val="left" w:pos="1418"/>
          <w:tab w:val="left" w:leader="dot" w:pos="8222"/>
          <w:tab w:val="right" w:pos="8647"/>
        </w:tabs>
        <w:jc w:val="both"/>
        <w:rPr>
          <w:rFonts w:asciiTheme="majorHAnsi" w:hAnsiTheme="majorHAnsi"/>
        </w:rPr>
      </w:pPr>
    </w:p>
    <w:p w14:paraId="22603614" w14:textId="77777777" w:rsidR="00B150F5" w:rsidRPr="00364A87" w:rsidRDefault="00B150F5" w:rsidP="00820485">
      <w:pPr>
        <w:jc w:val="both"/>
        <w:rPr>
          <w:rFonts w:asciiTheme="majorHAnsi" w:hAnsiTheme="majorHAnsi"/>
          <w:b/>
        </w:rPr>
      </w:pPr>
    </w:p>
    <w:p w14:paraId="6CF1245F" w14:textId="0720AE22" w:rsidR="00F225F3" w:rsidRPr="00536AB6" w:rsidRDefault="00366E9B" w:rsidP="00820485">
      <w:pPr>
        <w:pStyle w:val="Default"/>
        <w:rPr>
          <w:rFonts w:asciiTheme="majorHAnsi" w:hAnsiTheme="majorHAnsi"/>
          <w:b/>
          <w:sz w:val="20"/>
          <w:szCs w:val="20"/>
        </w:rPr>
      </w:pPr>
      <w:r>
        <w:rPr>
          <w:rFonts w:asciiTheme="majorHAnsi" w:hAnsiTheme="majorHAnsi"/>
          <w:b/>
          <w:sz w:val="20"/>
        </w:rPr>
        <w:t>SEGUIMIENTO Y CUMPLIMIENTO</w:t>
      </w:r>
    </w:p>
    <w:p w14:paraId="7A0D4193" w14:textId="77777777" w:rsidR="00F225F3" w:rsidRPr="00364A87" w:rsidRDefault="00F225F3" w:rsidP="00820485">
      <w:pPr>
        <w:tabs>
          <w:tab w:val="left" w:pos="1276"/>
          <w:tab w:val="left" w:pos="1418"/>
          <w:tab w:val="left" w:leader="dot" w:pos="8222"/>
          <w:tab w:val="right" w:pos="8647"/>
        </w:tabs>
        <w:rPr>
          <w:rFonts w:asciiTheme="majorHAnsi" w:hAnsiTheme="majorHAnsi"/>
          <w:b/>
          <w:bCs/>
        </w:rPr>
      </w:pPr>
    </w:p>
    <w:p w14:paraId="6999A859" w14:textId="77777777" w:rsidR="00F225F3" w:rsidRPr="00536AB6" w:rsidRDefault="00F225F3" w:rsidP="00820485">
      <w:pPr>
        <w:pStyle w:val="Heading7"/>
        <w:ind w:firstLine="0"/>
        <w:rPr>
          <w:rFonts w:asciiTheme="majorHAnsi" w:hAnsiTheme="majorHAnsi"/>
        </w:rPr>
      </w:pPr>
      <w:r>
        <w:rPr>
          <w:rFonts w:asciiTheme="majorHAnsi" w:hAnsiTheme="majorHAnsi"/>
        </w:rPr>
        <w:t xml:space="preserve">GEN </w:t>
      </w:r>
      <w:proofErr w:type="gramStart"/>
      <w:r>
        <w:rPr>
          <w:rFonts w:asciiTheme="majorHAnsi" w:hAnsiTheme="majorHAnsi"/>
        </w:rPr>
        <w:t>-  TEMAS</w:t>
      </w:r>
      <w:proofErr w:type="gramEnd"/>
      <w:r>
        <w:rPr>
          <w:rFonts w:asciiTheme="majorHAnsi" w:hAnsiTheme="majorHAnsi"/>
        </w:rPr>
        <w:t xml:space="preserve"> GENERALES</w:t>
      </w:r>
    </w:p>
    <w:p w14:paraId="5C6F1557" w14:textId="77777777" w:rsidR="004A03A2" w:rsidRPr="00364A87" w:rsidRDefault="004A03A2" w:rsidP="00820485">
      <w:pPr>
        <w:tabs>
          <w:tab w:val="left" w:pos="1276"/>
          <w:tab w:val="left" w:pos="1418"/>
          <w:tab w:val="left" w:leader="dot" w:pos="8222"/>
          <w:tab w:val="right" w:pos="8647"/>
        </w:tabs>
        <w:rPr>
          <w:rFonts w:asciiTheme="majorHAnsi" w:hAnsiTheme="majorHAnsi"/>
        </w:rPr>
      </w:pPr>
    </w:p>
    <w:p w14:paraId="1C2FF426" w14:textId="227FC65A" w:rsidR="00F225F3" w:rsidRPr="00536AB6" w:rsidRDefault="00F225F3" w:rsidP="00820485">
      <w:pPr>
        <w:tabs>
          <w:tab w:val="left" w:pos="1276"/>
          <w:tab w:val="left" w:pos="1418"/>
          <w:tab w:val="left" w:leader="dot" w:pos="8222"/>
          <w:tab w:val="right" w:pos="8647"/>
        </w:tabs>
        <w:jc w:val="both"/>
        <w:rPr>
          <w:rFonts w:asciiTheme="majorHAnsi" w:hAnsiTheme="majorHAnsi"/>
          <w:i/>
        </w:rPr>
      </w:pPr>
      <w:r>
        <w:rPr>
          <w:rFonts w:asciiTheme="majorHAnsi" w:hAnsiTheme="majorHAnsi"/>
          <w:i/>
        </w:rPr>
        <w:t>[Rec. 98-11] Recomendación de ICCAT respecto a la prohibición sobre desembarques y transbordos de barcos de Partes no contratantes que hayan cometido una grave infracción</w:t>
      </w:r>
    </w:p>
    <w:p w14:paraId="76B60515" w14:textId="77777777" w:rsidR="002728CE" w:rsidRPr="00364A87" w:rsidRDefault="002728CE" w:rsidP="00820485">
      <w:pPr>
        <w:tabs>
          <w:tab w:val="left" w:pos="1276"/>
          <w:tab w:val="left" w:pos="1418"/>
          <w:tab w:val="left" w:leader="dot" w:pos="8222"/>
          <w:tab w:val="right" w:pos="8647"/>
        </w:tabs>
        <w:ind w:firstLine="426"/>
        <w:rPr>
          <w:rFonts w:asciiTheme="majorHAnsi" w:hAnsiTheme="majorHAnsi"/>
        </w:rPr>
      </w:pPr>
    </w:p>
    <w:p w14:paraId="3FEDE812" w14:textId="6E72DD7C" w:rsidR="002728CE" w:rsidRPr="00536AB6" w:rsidRDefault="002728CE" w:rsidP="00820485">
      <w:pPr>
        <w:tabs>
          <w:tab w:val="left" w:pos="284"/>
          <w:tab w:val="left" w:pos="1276"/>
          <w:tab w:val="left" w:pos="1418"/>
          <w:tab w:val="left" w:leader="dot" w:pos="8222"/>
          <w:tab w:val="right" w:pos="8647"/>
        </w:tabs>
        <w:rPr>
          <w:rFonts w:asciiTheme="majorHAnsi" w:hAnsiTheme="majorHAnsi"/>
        </w:rPr>
      </w:pPr>
      <w:r>
        <w:rPr>
          <w:rFonts w:asciiTheme="majorHAnsi" w:hAnsiTheme="majorHAnsi"/>
        </w:rPr>
        <w:t>La Secretaría de ICCAT no tiene nada que comunicar en este momento.</w:t>
      </w:r>
    </w:p>
    <w:p w14:paraId="505DD99A" w14:textId="77777777" w:rsidR="004916DC" w:rsidRPr="00364A87" w:rsidRDefault="004916DC" w:rsidP="00820485">
      <w:pPr>
        <w:tabs>
          <w:tab w:val="left" w:pos="284"/>
          <w:tab w:val="left" w:pos="1276"/>
          <w:tab w:val="left" w:pos="1418"/>
          <w:tab w:val="left" w:leader="dot" w:pos="8222"/>
          <w:tab w:val="right" w:pos="8647"/>
        </w:tabs>
        <w:rPr>
          <w:rFonts w:asciiTheme="majorHAnsi" w:hAnsiTheme="majorHAnsi"/>
        </w:rPr>
      </w:pPr>
    </w:p>
    <w:p w14:paraId="4CDF9E4B" w14:textId="730A0FD0" w:rsidR="0082215A" w:rsidRPr="00536AB6" w:rsidRDefault="00BF05F4" w:rsidP="00820485">
      <w:pPr>
        <w:tabs>
          <w:tab w:val="left" w:pos="1276"/>
          <w:tab w:val="left" w:pos="1418"/>
          <w:tab w:val="left" w:leader="dot" w:pos="8222"/>
          <w:tab w:val="right" w:pos="8647"/>
        </w:tabs>
        <w:jc w:val="both"/>
        <w:rPr>
          <w:rFonts w:asciiTheme="majorHAnsi" w:hAnsiTheme="majorHAnsi"/>
          <w:i/>
        </w:rPr>
      </w:pPr>
      <w:r>
        <w:rPr>
          <w:rFonts w:asciiTheme="majorHAnsi" w:hAnsiTheme="majorHAnsi"/>
          <w:i/>
        </w:rPr>
        <w:t>[Rec. 06-13] Recomendación de ICCAT sobre medidas comerciales</w:t>
      </w:r>
    </w:p>
    <w:p w14:paraId="39C880FB" w14:textId="77777777" w:rsidR="005A6C3F" w:rsidRPr="00364A87" w:rsidRDefault="005A6C3F" w:rsidP="00820485">
      <w:pPr>
        <w:tabs>
          <w:tab w:val="left" w:pos="1276"/>
          <w:tab w:val="left" w:pos="1418"/>
          <w:tab w:val="left" w:leader="dot" w:pos="8222"/>
          <w:tab w:val="right" w:pos="8647"/>
        </w:tabs>
        <w:ind w:left="1276" w:hanging="851"/>
        <w:rPr>
          <w:rFonts w:asciiTheme="majorHAnsi" w:hAnsiTheme="majorHAnsi"/>
        </w:rPr>
      </w:pPr>
    </w:p>
    <w:p w14:paraId="3AAE276D" w14:textId="6124BBF5" w:rsidR="006278F6" w:rsidRPr="00536AB6" w:rsidRDefault="004A4E59" w:rsidP="005B120F">
      <w:pPr>
        <w:tabs>
          <w:tab w:val="left" w:pos="1276"/>
          <w:tab w:val="left" w:pos="1418"/>
          <w:tab w:val="left" w:leader="dot" w:pos="8222"/>
          <w:tab w:val="right" w:pos="8647"/>
        </w:tabs>
        <w:jc w:val="both"/>
        <w:rPr>
          <w:rFonts w:asciiTheme="majorHAnsi" w:hAnsiTheme="majorHAnsi"/>
          <w:i/>
        </w:rPr>
      </w:pPr>
      <w:r>
        <w:rPr>
          <w:rFonts w:asciiTheme="majorHAnsi" w:hAnsiTheme="majorHAnsi"/>
        </w:rPr>
        <w:t xml:space="preserve">China, </w:t>
      </w:r>
      <w:r w:rsidR="00E37E70">
        <w:rPr>
          <w:rFonts w:asciiTheme="majorHAnsi" w:hAnsiTheme="majorHAnsi"/>
        </w:rPr>
        <w:t>Taipei</w:t>
      </w:r>
      <w:r>
        <w:rPr>
          <w:rFonts w:asciiTheme="majorHAnsi" w:hAnsiTheme="majorHAnsi"/>
        </w:rPr>
        <w:t xml:space="preserve"> Chino, El Salvador, Japón, Corea (Rep.), San Vicente y las Granadinas, Turquía y el Reino Unido presentaron, de conformidad con esta medida y dentro del plazo establecido, los formularios cumplimentados con información sobre importaciones y desembarques. La información presentada por las CPC se incluye en el </w:t>
      </w:r>
      <w:r>
        <w:rPr>
          <w:rFonts w:asciiTheme="majorHAnsi" w:hAnsiTheme="majorHAnsi"/>
          <w:b/>
          <w:bCs/>
        </w:rPr>
        <w:t>anexo 1</w:t>
      </w:r>
      <w:r>
        <w:rPr>
          <w:rFonts w:asciiTheme="majorHAnsi" w:hAnsiTheme="majorHAnsi"/>
        </w:rPr>
        <w:t>.</w:t>
      </w:r>
    </w:p>
    <w:p w14:paraId="54188F2E" w14:textId="77777777" w:rsidR="002728CE" w:rsidRPr="00364A87" w:rsidRDefault="002728CE" w:rsidP="00820485">
      <w:pPr>
        <w:tabs>
          <w:tab w:val="left" w:pos="1276"/>
        </w:tabs>
        <w:ind w:left="1272" w:right="432" w:hanging="840"/>
        <w:jc w:val="both"/>
        <w:rPr>
          <w:rFonts w:asciiTheme="majorHAnsi" w:hAnsiTheme="majorHAnsi"/>
          <w:i/>
        </w:rPr>
      </w:pPr>
    </w:p>
    <w:p w14:paraId="4D39AE07" w14:textId="478006DA" w:rsidR="00FB02A1" w:rsidRPr="00536AB6" w:rsidRDefault="00FB02A1" w:rsidP="00820485">
      <w:pPr>
        <w:ind w:right="3"/>
        <w:jc w:val="both"/>
        <w:rPr>
          <w:rFonts w:asciiTheme="majorHAnsi" w:hAnsiTheme="majorHAnsi"/>
          <w:bCs/>
          <w:i/>
        </w:rPr>
      </w:pPr>
      <w:r>
        <w:rPr>
          <w:rFonts w:asciiTheme="majorHAnsi" w:hAnsiTheme="majorHAnsi"/>
          <w:i/>
        </w:rPr>
        <w:t>[Rec. 08-09] Recomendación de ICCAT para establecer un proceso para revisar y comunicar la información sobre cumplimiento</w:t>
      </w:r>
    </w:p>
    <w:p w14:paraId="38D625F9" w14:textId="77777777" w:rsidR="00AC10BA" w:rsidRPr="00364A87" w:rsidRDefault="00AC10BA" w:rsidP="00820485">
      <w:pPr>
        <w:tabs>
          <w:tab w:val="left" w:pos="1276"/>
        </w:tabs>
        <w:ind w:left="1272" w:right="432" w:hanging="840"/>
        <w:jc w:val="both"/>
        <w:rPr>
          <w:rFonts w:asciiTheme="majorHAnsi" w:hAnsiTheme="majorHAnsi"/>
          <w:bCs/>
          <w:i/>
        </w:rPr>
      </w:pPr>
    </w:p>
    <w:p w14:paraId="0D96337F" w14:textId="7A828548" w:rsidR="005F4C25" w:rsidRPr="00536AB6" w:rsidRDefault="00EB756D" w:rsidP="00820485">
      <w:pPr>
        <w:tabs>
          <w:tab w:val="left" w:pos="1276"/>
          <w:tab w:val="left" w:pos="1418"/>
          <w:tab w:val="left" w:leader="dot" w:pos="8222"/>
          <w:tab w:val="right" w:pos="8647"/>
        </w:tabs>
        <w:jc w:val="both"/>
        <w:rPr>
          <w:rFonts w:asciiTheme="majorHAnsi" w:hAnsiTheme="majorHAnsi"/>
        </w:rPr>
      </w:pPr>
      <w:r>
        <w:rPr>
          <w:rFonts w:asciiTheme="majorHAnsi" w:hAnsiTheme="majorHAnsi"/>
        </w:rPr>
        <w:t>La información presentada por las CPC y las organizaciones no gubernamentales (ONG), junto con las respuestas recibidas hasta la fecha, figura en el documento COC_312/2026.</w:t>
      </w:r>
    </w:p>
    <w:p w14:paraId="5AD69D81" w14:textId="76654124" w:rsidR="00021E3E" w:rsidRPr="00364A87" w:rsidRDefault="00021E3E" w:rsidP="00820485">
      <w:pPr>
        <w:tabs>
          <w:tab w:val="left" w:pos="1276"/>
          <w:tab w:val="left" w:pos="1418"/>
          <w:tab w:val="left" w:leader="dot" w:pos="8222"/>
          <w:tab w:val="right" w:pos="8647"/>
        </w:tabs>
        <w:rPr>
          <w:rFonts w:asciiTheme="majorHAnsi" w:hAnsiTheme="majorHAnsi"/>
          <w:i/>
          <w:iCs/>
        </w:rPr>
      </w:pPr>
    </w:p>
    <w:p w14:paraId="5B767378" w14:textId="1593AE8B" w:rsidR="00E01A0F" w:rsidRPr="00536AB6" w:rsidRDefault="00E01A0F" w:rsidP="00820485">
      <w:pPr>
        <w:tabs>
          <w:tab w:val="left" w:pos="1276"/>
          <w:tab w:val="left" w:pos="1418"/>
          <w:tab w:val="left" w:leader="dot" w:pos="8222"/>
          <w:tab w:val="right" w:pos="8647"/>
        </w:tabs>
        <w:jc w:val="both"/>
        <w:rPr>
          <w:rFonts w:asciiTheme="majorHAnsi" w:hAnsiTheme="majorHAnsi"/>
          <w:b/>
          <w:bCs/>
        </w:rPr>
      </w:pPr>
      <w:r>
        <w:rPr>
          <w:rFonts w:asciiTheme="majorHAnsi" w:hAnsiTheme="majorHAnsi"/>
          <w:i/>
        </w:rPr>
        <w:t>[Rec. 11-11] Recomendación de ICCAT para aclarar la aplicación de las Recomendaciones de cumplimiento y para el desarrollo del Anexo de cumplimiento</w:t>
      </w:r>
    </w:p>
    <w:p w14:paraId="6A3897EF" w14:textId="77777777" w:rsidR="002728CE" w:rsidRPr="00364A87" w:rsidRDefault="002728CE" w:rsidP="00820485">
      <w:pPr>
        <w:tabs>
          <w:tab w:val="left" w:pos="1276"/>
          <w:tab w:val="left" w:pos="1418"/>
          <w:tab w:val="left" w:leader="dot" w:pos="8222"/>
          <w:tab w:val="right" w:pos="8647"/>
        </w:tabs>
        <w:ind w:firstLine="425"/>
        <w:rPr>
          <w:rFonts w:asciiTheme="majorHAnsi" w:hAnsiTheme="majorHAnsi"/>
          <w:iCs/>
        </w:rPr>
      </w:pPr>
    </w:p>
    <w:p w14:paraId="40548995" w14:textId="1F43B126" w:rsidR="0064289F" w:rsidRPr="00536AB6" w:rsidRDefault="002728CE" w:rsidP="0064289F">
      <w:pPr>
        <w:tabs>
          <w:tab w:val="left" w:pos="1276"/>
          <w:tab w:val="left" w:pos="1418"/>
          <w:tab w:val="left" w:leader="dot" w:pos="8222"/>
          <w:tab w:val="right" w:pos="8647"/>
        </w:tabs>
        <w:jc w:val="both"/>
        <w:rPr>
          <w:rFonts w:asciiTheme="majorHAnsi" w:hAnsiTheme="majorHAnsi"/>
          <w:bCs/>
        </w:rPr>
      </w:pPr>
      <w:r>
        <w:rPr>
          <w:rFonts w:asciiTheme="majorHAnsi" w:hAnsiTheme="majorHAnsi"/>
        </w:rPr>
        <w:t>Esto se presenta en el documento "Tablas de cumplimiento de 2025 recibidas en 2026" [COC_304/2026].</w:t>
      </w:r>
    </w:p>
    <w:p w14:paraId="35C285EB" w14:textId="77777777" w:rsidR="00085A83" w:rsidRPr="00364A87" w:rsidRDefault="00085A83" w:rsidP="0064289F">
      <w:pPr>
        <w:tabs>
          <w:tab w:val="left" w:pos="1276"/>
          <w:tab w:val="left" w:pos="1418"/>
          <w:tab w:val="left" w:leader="dot" w:pos="8222"/>
          <w:tab w:val="right" w:pos="8647"/>
        </w:tabs>
        <w:jc w:val="both"/>
        <w:rPr>
          <w:rFonts w:asciiTheme="majorHAnsi" w:hAnsiTheme="majorHAnsi"/>
        </w:rPr>
      </w:pPr>
    </w:p>
    <w:p w14:paraId="0119359B" w14:textId="5D9BB9B3" w:rsidR="00B61C58" w:rsidRPr="00536AB6" w:rsidRDefault="00B61C58" w:rsidP="00820485">
      <w:pPr>
        <w:tabs>
          <w:tab w:val="left" w:pos="1276"/>
          <w:tab w:val="left" w:pos="1418"/>
          <w:tab w:val="left" w:leader="dot" w:pos="9072"/>
        </w:tabs>
        <w:jc w:val="both"/>
        <w:rPr>
          <w:rFonts w:asciiTheme="majorHAnsi" w:hAnsiTheme="majorHAnsi"/>
          <w:i/>
          <w:iCs/>
        </w:rPr>
      </w:pPr>
      <w:r>
        <w:rPr>
          <w:rFonts w:asciiTheme="majorHAnsi" w:hAnsiTheme="majorHAnsi"/>
          <w:i/>
        </w:rPr>
        <w:t>[Rec. 11-15] Recomendación de ICCAT sobre las penalizaciones aplicables en caso de incumplimiento de las obligaciones en materia de comunicación</w:t>
      </w:r>
    </w:p>
    <w:p w14:paraId="3F2A342E" w14:textId="77777777" w:rsidR="00AC10BA" w:rsidRPr="00364A87" w:rsidRDefault="00AC10BA" w:rsidP="00820485">
      <w:pPr>
        <w:tabs>
          <w:tab w:val="left" w:pos="1276"/>
          <w:tab w:val="left" w:pos="1418"/>
          <w:tab w:val="left" w:leader="dot" w:pos="8222"/>
          <w:tab w:val="right" w:pos="8647"/>
        </w:tabs>
        <w:ind w:firstLine="425"/>
        <w:rPr>
          <w:rFonts w:asciiTheme="majorHAnsi" w:hAnsiTheme="majorHAnsi"/>
          <w:iCs/>
        </w:rPr>
      </w:pPr>
    </w:p>
    <w:p w14:paraId="7B813BA5" w14:textId="0E766CE5" w:rsidR="00E0125F" w:rsidRPr="00536AB6" w:rsidRDefault="00E0125F" w:rsidP="00820485">
      <w:pPr>
        <w:tabs>
          <w:tab w:val="left" w:pos="1276"/>
          <w:tab w:val="left" w:pos="1418"/>
          <w:tab w:val="left" w:leader="dot" w:pos="8222"/>
          <w:tab w:val="right" w:pos="8647"/>
        </w:tabs>
        <w:jc w:val="both"/>
        <w:rPr>
          <w:rFonts w:asciiTheme="majorHAnsi" w:hAnsiTheme="majorHAnsi"/>
          <w:iCs/>
        </w:rPr>
      </w:pPr>
      <w:r>
        <w:rPr>
          <w:rFonts w:asciiTheme="majorHAnsi" w:hAnsiTheme="majorHAnsi"/>
        </w:rPr>
        <w:t>Tras la reunión de la Comisión de 2025, se impuso una prohibición a Guyana. La Secretaría de ICCAT informa de que esta prohibición sigue vigente, ya que Guyana aún no ha presentado los datos que faltan.</w:t>
      </w:r>
    </w:p>
    <w:p w14:paraId="51F71863" w14:textId="77777777" w:rsidR="00DF04E9" w:rsidRPr="00364A87" w:rsidRDefault="00DF04E9" w:rsidP="00820485">
      <w:pPr>
        <w:tabs>
          <w:tab w:val="left" w:pos="1276"/>
          <w:tab w:val="left" w:pos="1418"/>
          <w:tab w:val="left" w:leader="dot" w:pos="8222"/>
          <w:tab w:val="right" w:pos="8647"/>
        </w:tabs>
        <w:jc w:val="both"/>
        <w:rPr>
          <w:rFonts w:asciiTheme="majorHAnsi" w:hAnsiTheme="majorHAnsi"/>
          <w:iCs/>
        </w:rPr>
      </w:pPr>
    </w:p>
    <w:p w14:paraId="13EA0BBD" w14:textId="77777777" w:rsidR="00F04139" w:rsidRDefault="00F04139" w:rsidP="0023206B">
      <w:pPr>
        <w:tabs>
          <w:tab w:val="left" w:pos="1276"/>
          <w:tab w:val="left" w:pos="1418"/>
          <w:tab w:val="left" w:leader="dot" w:pos="8222"/>
          <w:tab w:val="right" w:pos="8647"/>
        </w:tabs>
        <w:jc w:val="both"/>
        <w:rPr>
          <w:rFonts w:asciiTheme="majorHAnsi" w:hAnsiTheme="majorHAnsi"/>
        </w:rPr>
      </w:pPr>
    </w:p>
    <w:p w14:paraId="4EFE5087" w14:textId="7C779DB4" w:rsidR="00881FCA" w:rsidRDefault="0023206B" w:rsidP="0023206B">
      <w:pPr>
        <w:tabs>
          <w:tab w:val="left" w:pos="1276"/>
          <w:tab w:val="left" w:pos="1418"/>
          <w:tab w:val="left" w:leader="dot" w:pos="8222"/>
          <w:tab w:val="right" w:pos="8647"/>
        </w:tabs>
        <w:jc w:val="both"/>
        <w:rPr>
          <w:rFonts w:asciiTheme="majorHAnsi" w:hAnsiTheme="majorHAnsi"/>
        </w:rPr>
      </w:pPr>
      <w:r>
        <w:rPr>
          <w:rFonts w:asciiTheme="majorHAnsi" w:hAnsiTheme="majorHAnsi"/>
        </w:rPr>
        <w:lastRenderedPageBreak/>
        <w:t xml:space="preserve">A fecha de 7 de octubre de 2026, no se habían recibido de Guinea Ecuatorial, Guyana, Honduras, Montenegro, Siria y Togo las estadísticas correspondientes a la Tarea 1 de 2025 durante el año 2026, tal y como se muestra en el </w:t>
      </w:r>
      <w:r>
        <w:rPr>
          <w:rFonts w:asciiTheme="majorHAnsi" w:hAnsiTheme="majorHAnsi"/>
          <w:b/>
          <w:bCs/>
        </w:rPr>
        <w:t>apéndice 3.</w:t>
      </w:r>
      <w:r>
        <w:rPr>
          <w:rFonts w:asciiTheme="majorHAnsi" w:hAnsiTheme="majorHAnsi"/>
          <w:highlight w:val="green"/>
        </w:rPr>
        <w:t xml:space="preserve"> </w:t>
      </w:r>
    </w:p>
    <w:p w14:paraId="15BE5959" w14:textId="77777777" w:rsidR="00EE5112" w:rsidRPr="00536AB6" w:rsidRDefault="00EE5112" w:rsidP="0023206B">
      <w:pPr>
        <w:tabs>
          <w:tab w:val="left" w:pos="1276"/>
          <w:tab w:val="left" w:pos="1418"/>
          <w:tab w:val="left" w:leader="dot" w:pos="8222"/>
          <w:tab w:val="right" w:pos="8647"/>
        </w:tabs>
        <w:jc w:val="both"/>
        <w:rPr>
          <w:rFonts w:asciiTheme="majorHAnsi" w:hAnsiTheme="majorHAnsi"/>
          <w:iCs/>
          <w:u w:val="single"/>
        </w:rPr>
      </w:pPr>
    </w:p>
    <w:p w14:paraId="147A4E7C" w14:textId="2826D478" w:rsidR="00D857ED" w:rsidRPr="00536AB6" w:rsidRDefault="00D857ED" w:rsidP="00820485">
      <w:pPr>
        <w:tabs>
          <w:tab w:val="left" w:pos="1276"/>
          <w:tab w:val="left" w:pos="1418"/>
          <w:tab w:val="left" w:leader="dot" w:pos="8222"/>
          <w:tab w:val="right" w:pos="8647"/>
        </w:tabs>
        <w:jc w:val="both"/>
        <w:rPr>
          <w:rFonts w:asciiTheme="majorHAnsi" w:hAnsiTheme="majorHAnsi"/>
          <w:iCs/>
        </w:rPr>
      </w:pPr>
      <w:r>
        <w:rPr>
          <w:rFonts w:asciiTheme="majorHAnsi" w:hAnsiTheme="majorHAnsi"/>
        </w:rPr>
        <w:t xml:space="preserve">El </w:t>
      </w:r>
      <w:r>
        <w:rPr>
          <w:rFonts w:asciiTheme="majorHAnsi" w:hAnsiTheme="majorHAnsi"/>
          <w:b/>
          <w:bCs/>
        </w:rPr>
        <w:t>anexo 7</w:t>
      </w:r>
      <w:r>
        <w:rPr>
          <w:rFonts w:asciiTheme="majorHAnsi" w:hAnsiTheme="majorHAnsi"/>
        </w:rPr>
        <w:t xml:space="preserve"> incluye un histórico de prohibiciones aplicad</w:t>
      </w:r>
      <w:r w:rsidRPr="00F04139">
        <w:rPr>
          <w:rFonts w:asciiTheme="majorHAnsi" w:hAnsiTheme="majorHAnsi"/>
        </w:rPr>
        <w:t>as.</w:t>
      </w:r>
      <w:r>
        <w:rPr>
          <w:rFonts w:asciiTheme="majorHAnsi" w:hAnsiTheme="majorHAnsi"/>
        </w:rPr>
        <w:t xml:space="preserve"> </w:t>
      </w:r>
    </w:p>
    <w:p w14:paraId="07DB2278" w14:textId="77777777" w:rsidR="005B335D" w:rsidRPr="00364A87" w:rsidRDefault="005B335D" w:rsidP="00820485">
      <w:pPr>
        <w:tabs>
          <w:tab w:val="left" w:pos="1276"/>
          <w:tab w:val="left" w:pos="1418"/>
          <w:tab w:val="left" w:leader="dot" w:pos="8222"/>
          <w:tab w:val="right" w:pos="8647"/>
        </w:tabs>
        <w:jc w:val="both"/>
        <w:rPr>
          <w:rFonts w:asciiTheme="majorHAnsi" w:hAnsiTheme="majorHAnsi"/>
          <w:iCs/>
        </w:rPr>
      </w:pPr>
    </w:p>
    <w:p w14:paraId="5F4B79CA" w14:textId="77777777" w:rsidR="005B335D" w:rsidRPr="00536AB6" w:rsidRDefault="005B335D" w:rsidP="005B335D">
      <w:pPr>
        <w:ind w:right="3"/>
        <w:jc w:val="both"/>
        <w:rPr>
          <w:rFonts w:asciiTheme="majorHAnsi" w:hAnsiTheme="majorHAnsi"/>
          <w:i/>
        </w:rPr>
      </w:pPr>
      <w:r>
        <w:rPr>
          <w:rFonts w:asciiTheme="majorHAnsi" w:hAnsiTheme="majorHAnsi"/>
          <w:i/>
        </w:rPr>
        <w:t>[Rec. 21-16] Recomendación de ICCAT que enmienda la Recomendación 07-08 respecto al formato y protocolo de intercambio de datos en relación con el sistema de seguimiento de buques (VMS) para la pesca del atún rojo en la zona del Convenio ICCAT</w:t>
      </w:r>
    </w:p>
    <w:p w14:paraId="6D8C34BD" w14:textId="77777777" w:rsidR="005B335D" w:rsidRPr="00364A87" w:rsidRDefault="005B335D" w:rsidP="005B335D">
      <w:pPr>
        <w:tabs>
          <w:tab w:val="left" w:pos="1276"/>
        </w:tabs>
        <w:ind w:left="1272" w:right="432" w:hanging="840"/>
        <w:jc w:val="both"/>
        <w:rPr>
          <w:rFonts w:asciiTheme="majorHAnsi" w:hAnsiTheme="majorHAnsi"/>
          <w:i/>
        </w:rPr>
      </w:pPr>
    </w:p>
    <w:p w14:paraId="36D02841" w14:textId="77777777" w:rsidR="005B335D" w:rsidRPr="00536AB6" w:rsidRDefault="005B335D" w:rsidP="005B335D">
      <w:pPr>
        <w:tabs>
          <w:tab w:val="left" w:pos="1276"/>
          <w:tab w:val="left" w:pos="1418"/>
          <w:tab w:val="left" w:leader="dot" w:pos="8222"/>
          <w:tab w:val="right" w:pos="8647"/>
        </w:tabs>
        <w:jc w:val="both"/>
        <w:rPr>
          <w:rFonts w:asciiTheme="majorHAnsi" w:hAnsiTheme="majorHAnsi"/>
        </w:rPr>
      </w:pPr>
      <w:r>
        <w:rPr>
          <w:rFonts w:asciiTheme="majorHAnsi" w:hAnsiTheme="majorHAnsi"/>
        </w:rPr>
        <w:t>La Secretaría de ICCAT no tiene nada que comunicar en este momento.</w:t>
      </w:r>
    </w:p>
    <w:p w14:paraId="1BC138F9" w14:textId="77777777" w:rsidR="005B335D" w:rsidRPr="00364A87" w:rsidRDefault="005B335D" w:rsidP="005B335D">
      <w:pPr>
        <w:tabs>
          <w:tab w:val="left" w:pos="1276"/>
          <w:tab w:val="left" w:pos="1418"/>
          <w:tab w:val="left" w:leader="dot" w:pos="8222"/>
          <w:tab w:val="right" w:pos="8647"/>
        </w:tabs>
        <w:jc w:val="both"/>
        <w:rPr>
          <w:rFonts w:asciiTheme="majorHAnsi" w:hAnsiTheme="majorHAnsi"/>
        </w:rPr>
      </w:pPr>
    </w:p>
    <w:p w14:paraId="2956AC0E" w14:textId="77777777" w:rsidR="005B335D" w:rsidRPr="00536AB6" w:rsidRDefault="005B335D" w:rsidP="005B335D">
      <w:pPr>
        <w:ind w:right="3"/>
        <w:jc w:val="both"/>
        <w:rPr>
          <w:rFonts w:asciiTheme="majorHAnsi" w:hAnsiTheme="majorHAnsi"/>
          <w:iCs/>
        </w:rPr>
      </w:pPr>
      <w:r>
        <w:rPr>
          <w:rFonts w:asciiTheme="majorHAnsi" w:hAnsiTheme="majorHAnsi"/>
          <w:i/>
        </w:rPr>
        <w:t>[Rec. 22-14] Recomendación de ICCAT que reemplaza la Rec. 06-14 para fomentar el cumplimiento de las medidas de conservación y ordenación de ICCAT por parte de los nacionales de Partes contratantes y Partes, Entidades o Entidades pesqueras no contratantes colaboradoras</w:t>
      </w:r>
    </w:p>
    <w:p w14:paraId="7D136EC6" w14:textId="77777777" w:rsidR="005B335D" w:rsidRPr="00364A87" w:rsidRDefault="005B335D" w:rsidP="005B335D">
      <w:pPr>
        <w:tabs>
          <w:tab w:val="left" w:pos="1276"/>
        </w:tabs>
        <w:ind w:left="432" w:right="432"/>
        <w:rPr>
          <w:rFonts w:asciiTheme="majorHAnsi" w:hAnsiTheme="majorHAnsi"/>
          <w:i/>
        </w:rPr>
      </w:pPr>
    </w:p>
    <w:p w14:paraId="6D8D8C07" w14:textId="77777777" w:rsidR="005B335D" w:rsidRPr="00536AB6" w:rsidRDefault="005B335D" w:rsidP="005B335D">
      <w:pPr>
        <w:tabs>
          <w:tab w:val="left" w:pos="1276"/>
          <w:tab w:val="left" w:pos="1418"/>
          <w:tab w:val="left" w:leader="dot" w:pos="8222"/>
          <w:tab w:val="right" w:pos="8647"/>
        </w:tabs>
        <w:rPr>
          <w:rFonts w:asciiTheme="majorHAnsi" w:hAnsiTheme="majorHAnsi"/>
        </w:rPr>
      </w:pPr>
      <w:r>
        <w:rPr>
          <w:rFonts w:asciiTheme="majorHAnsi" w:hAnsiTheme="majorHAnsi"/>
        </w:rPr>
        <w:t>La Secretaría de ICCAT no tiene nada que comunicar en este momento.</w:t>
      </w:r>
    </w:p>
    <w:p w14:paraId="42D9B407" w14:textId="77777777" w:rsidR="00274AD4" w:rsidRPr="00364A87" w:rsidRDefault="00274AD4" w:rsidP="00820485">
      <w:pPr>
        <w:tabs>
          <w:tab w:val="left" w:pos="1276"/>
          <w:tab w:val="left" w:pos="1418"/>
          <w:tab w:val="left" w:leader="dot" w:pos="8222"/>
          <w:tab w:val="right" w:pos="8647"/>
        </w:tabs>
        <w:jc w:val="both"/>
        <w:rPr>
          <w:rFonts w:asciiTheme="majorHAnsi" w:hAnsiTheme="majorHAnsi"/>
          <w:iCs/>
        </w:rPr>
      </w:pPr>
    </w:p>
    <w:p w14:paraId="39C3800F" w14:textId="15118121" w:rsidR="007C7401" w:rsidRPr="00536AB6" w:rsidRDefault="007C7401" w:rsidP="007C7401">
      <w:pPr>
        <w:tabs>
          <w:tab w:val="left" w:pos="1276"/>
          <w:tab w:val="left" w:pos="1418"/>
          <w:tab w:val="left" w:leader="dot" w:pos="8222"/>
          <w:tab w:val="right" w:pos="8647"/>
        </w:tabs>
        <w:jc w:val="both"/>
        <w:rPr>
          <w:rFonts w:asciiTheme="majorHAnsi" w:hAnsiTheme="majorHAnsi"/>
          <w:iCs/>
        </w:rPr>
      </w:pPr>
      <w:r>
        <w:rPr>
          <w:rFonts w:asciiTheme="majorHAnsi" w:hAnsiTheme="majorHAnsi"/>
          <w:i/>
        </w:rPr>
        <w:t>[</w:t>
      </w:r>
      <w:r w:rsidR="009955EC">
        <w:rPr>
          <w:rFonts w:asciiTheme="majorHAnsi" w:hAnsiTheme="majorHAnsi"/>
          <w:i/>
        </w:rPr>
        <w:t xml:space="preserve">Rec. </w:t>
      </w:r>
      <w:r>
        <w:rPr>
          <w:rFonts w:asciiTheme="majorHAnsi" w:hAnsiTheme="majorHAnsi"/>
          <w:i/>
        </w:rPr>
        <w:t>23-16] Recomendación de ICCAT que enmienda la Recomendación 21-13 para establecer una lista de buques supuestamente implicados en actividades de pesca ilegal, no declarada y no reglamentada</w:t>
      </w:r>
    </w:p>
    <w:p w14:paraId="57CE3107" w14:textId="77777777" w:rsidR="007C7401" w:rsidRPr="00364A87" w:rsidRDefault="007C7401" w:rsidP="00820485">
      <w:pPr>
        <w:tabs>
          <w:tab w:val="left" w:pos="1276"/>
          <w:tab w:val="left" w:pos="1418"/>
          <w:tab w:val="left" w:leader="dot" w:pos="8222"/>
          <w:tab w:val="right" w:pos="8647"/>
        </w:tabs>
        <w:jc w:val="both"/>
        <w:rPr>
          <w:rFonts w:asciiTheme="majorHAnsi" w:hAnsiTheme="majorHAnsi"/>
          <w:iCs/>
        </w:rPr>
      </w:pPr>
    </w:p>
    <w:p w14:paraId="2D187AB6" w14:textId="6CB0A334" w:rsidR="00FF0BB8" w:rsidRPr="00536AB6" w:rsidRDefault="00FF0BB8" w:rsidP="00820485">
      <w:pPr>
        <w:tabs>
          <w:tab w:val="left" w:pos="1276"/>
          <w:tab w:val="left" w:pos="1418"/>
          <w:tab w:val="left" w:leader="dot" w:pos="8222"/>
          <w:tab w:val="right" w:pos="8647"/>
        </w:tabs>
        <w:jc w:val="both"/>
        <w:rPr>
          <w:rFonts w:asciiTheme="majorHAnsi" w:hAnsiTheme="majorHAnsi"/>
          <w:iCs/>
        </w:rPr>
      </w:pPr>
      <w:r>
        <w:rPr>
          <w:rFonts w:asciiTheme="majorHAnsi" w:hAnsiTheme="majorHAnsi"/>
        </w:rPr>
        <w:t xml:space="preserve">La información recopilada por la Secretaría de ICCAT desde la reunión de la Comisión de 2025 se presenta en el documento "Proyecto de lista de 2026 de buques supuestamente implicados en actividades de pesca IUU" [PWG_405/2026]. Cabría señalar que el actual sistema de cruces de listas plantea algunos desafíos serios para garantizar la precisión de la información, ya que no hay una presentación estándar para la información entre las OROP implicadas. </w:t>
      </w:r>
    </w:p>
    <w:p w14:paraId="1F286898" w14:textId="25C1C66D" w:rsidR="00FF0BB8" w:rsidRPr="00364A87" w:rsidRDefault="00FF0BB8" w:rsidP="00820485">
      <w:pPr>
        <w:tabs>
          <w:tab w:val="left" w:pos="1276"/>
          <w:tab w:val="left" w:pos="1418"/>
          <w:tab w:val="left" w:leader="dot" w:pos="8222"/>
          <w:tab w:val="right" w:pos="8647"/>
        </w:tabs>
        <w:ind w:firstLine="425"/>
        <w:rPr>
          <w:rFonts w:asciiTheme="majorHAnsi" w:hAnsiTheme="majorHAnsi"/>
          <w:iCs/>
        </w:rPr>
      </w:pPr>
    </w:p>
    <w:p w14:paraId="32C996D1" w14:textId="766C3B4A" w:rsidR="007C7401" w:rsidRPr="00536AB6" w:rsidRDefault="007C7401" w:rsidP="007C7401">
      <w:pPr>
        <w:tabs>
          <w:tab w:val="left" w:pos="1276"/>
          <w:tab w:val="left" w:pos="1418"/>
          <w:tab w:val="left" w:leader="dot" w:pos="8222"/>
          <w:tab w:val="right" w:pos="8647"/>
        </w:tabs>
        <w:jc w:val="both"/>
        <w:rPr>
          <w:rFonts w:asciiTheme="majorHAnsi" w:hAnsiTheme="majorHAnsi"/>
          <w:i/>
        </w:rPr>
      </w:pPr>
      <w:r>
        <w:rPr>
          <w:rFonts w:asciiTheme="majorHAnsi" w:hAnsiTheme="majorHAnsi"/>
          <w:i/>
        </w:rPr>
        <w:t>[Rec</w:t>
      </w:r>
      <w:r w:rsidR="009955EC">
        <w:rPr>
          <w:rFonts w:asciiTheme="majorHAnsi" w:hAnsiTheme="majorHAnsi"/>
          <w:i/>
        </w:rPr>
        <w:t xml:space="preserve">. </w:t>
      </w:r>
      <w:r>
        <w:rPr>
          <w:rFonts w:asciiTheme="majorHAnsi" w:hAnsiTheme="majorHAnsi"/>
          <w:i/>
        </w:rPr>
        <w:t>.23-17] Recomendación de ICCAT que modifica la Recomendación 18-09 sobre medidas del Estado rector del puerto para prevenir, desalentar y eliminar la pesca ilegal, no declarada y no reglamentada</w:t>
      </w:r>
    </w:p>
    <w:p w14:paraId="6D5DDAD4" w14:textId="77777777" w:rsidR="00D64008" w:rsidRPr="00364A87" w:rsidRDefault="00D64008" w:rsidP="007C7401">
      <w:pPr>
        <w:tabs>
          <w:tab w:val="left" w:pos="1276"/>
          <w:tab w:val="left" w:pos="1418"/>
          <w:tab w:val="left" w:leader="dot" w:pos="8222"/>
          <w:tab w:val="right" w:pos="8647"/>
        </w:tabs>
        <w:jc w:val="both"/>
        <w:rPr>
          <w:rFonts w:asciiTheme="majorHAnsi" w:hAnsiTheme="majorHAnsi"/>
          <w:i/>
        </w:rPr>
      </w:pPr>
    </w:p>
    <w:p w14:paraId="50CA5A04" w14:textId="539B9CE3" w:rsidR="00D64008" w:rsidRPr="00536AB6" w:rsidRDefault="00D64008" w:rsidP="00D64008">
      <w:pPr>
        <w:tabs>
          <w:tab w:val="left" w:pos="1276"/>
          <w:tab w:val="left" w:pos="1418"/>
          <w:tab w:val="left" w:leader="dot" w:pos="8222"/>
          <w:tab w:val="right" w:pos="8647"/>
        </w:tabs>
        <w:jc w:val="both"/>
        <w:rPr>
          <w:rFonts w:asciiTheme="majorHAnsi" w:hAnsiTheme="majorHAnsi"/>
          <w:iCs/>
        </w:rPr>
      </w:pPr>
      <w:r>
        <w:rPr>
          <w:rFonts w:asciiTheme="majorHAnsi" w:hAnsiTheme="majorHAnsi"/>
        </w:rPr>
        <w:t>(</w:t>
      </w:r>
      <w:r w:rsidR="00EE5112">
        <w:rPr>
          <w:rFonts w:asciiTheme="majorHAnsi" w:hAnsiTheme="majorHAnsi"/>
        </w:rPr>
        <w:t>sustituida</w:t>
      </w:r>
      <w:r>
        <w:rPr>
          <w:rFonts w:asciiTheme="majorHAnsi" w:hAnsiTheme="majorHAnsi"/>
        </w:rPr>
        <w:t xml:space="preserve"> por la </w:t>
      </w:r>
      <w:r>
        <w:rPr>
          <w:rFonts w:asciiTheme="majorHAnsi" w:hAnsiTheme="majorHAnsi"/>
          <w:i/>
        </w:rPr>
        <w:t>[Rec. 25-11] Recomendación de ICCAT que reemplaza la Recomendación 23-17 sobre medidas del Estado rector del puerto para prevenir, desalentar y eliminar la pesca ilegal, no declarada y no reglamentada (IUU)</w:t>
      </w:r>
      <w:r>
        <w:rPr>
          <w:rFonts w:asciiTheme="majorHAnsi" w:hAnsiTheme="majorHAnsi"/>
        </w:rPr>
        <w:t>)</w:t>
      </w:r>
    </w:p>
    <w:p w14:paraId="5F42C72F" w14:textId="77777777" w:rsidR="00D64008" w:rsidRPr="00364A87" w:rsidRDefault="00D64008" w:rsidP="007C7401">
      <w:pPr>
        <w:tabs>
          <w:tab w:val="left" w:pos="1276"/>
          <w:tab w:val="left" w:pos="1418"/>
          <w:tab w:val="left" w:leader="dot" w:pos="8222"/>
          <w:tab w:val="right" w:pos="8647"/>
        </w:tabs>
        <w:jc w:val="both"/>
        <w:rPr>
          <w:rFonts w:asciiTheme="majorHAnsi" w:hAnsiTheme="majorHAnsi"/>
          <w:iCs/>
        </w:rPr>
      </w:pPr>
    </w:p>
    <w:p w14:paraId="57AAB40A" w14:textId="52A12886" w:rsidR="00882FCC" w:rsidRPr="00536AB6" w:rsidRDefault="00882FCC" w:rsidP="00820485">
      <w:pPr>
        <w:tabs>
          <w:tab w:val="left" w:pos="1276"/>
          <w:tab w:val="left" w:pos="1418"/>
          <w:tab w:val="left" w:leader="dot" w:pos="8222"/>
          <w:tab w:val="right" w:pos="8647"/>
        </w:tabs>
        <w:jc w:val="both"/>
        <w:rPr>
          <w:rFonts w:asciiTheme="majorHAnsi" w:hAnsiTheme="majorHAnsi"/>
          <w:iCs/>
        </w:rPr>
      </w:pPr>
      <w:r>
        <w:rPr>
          <w:rFonts w:asciiTheme="majorHAnsi" w:hAnsiTheme="majorHAnsi"/>
        </w:rPr>
        <w:t xml:space="preserve">La información sobre los puntos de contacto para AREP y los informes recibidos se han publicado en el </w:t>
      </w:r>
      <w:hyperlink r:id="rId32" w:history="1">
        <w:r>
          <w:rPr>
            <w:rStyle w:val="Hyperlink"/>
            <w:rFonts w:asciiTheme="majorHAnsi" w:hAnsiTheme="majorHAnsi"/>
            <w:u w:val="none"/>
          </w:rPr>
          <w:t>sitio web de ICCAT</w:t>
        </w:r>
      </w:hyperlink>
      <w:r>
        <w:rPr>
          <w:rFonts w:asciiTheme="majorHAnsi" w:hAnsiTheme="majorHAnsi"/>
        </w:rPr>
        <w:t>, en la parte protegida con contraseña, así como cualquier infracción comunicada y las acciones emprendidas al respecto. En algunos casos, no está claro en los informes si las infracciones han tenido lugar y si/cuando las infracciones están relacionadas con los requisitos de ICCAT:</w:t>
      </w:r>
    </w:p>
    <w:p w14:paraId="6AFA3638" w14:textId="77777777" w:rsidR="00274AD4" w:rsidRPr="00536AB6" w:rsidRDefault="00274AD4" w:rsidP="00EC5C41">
      <w:pPr>
        <w:tabs>
          <w:tab w:val="left" w:pos="1276"/>
          <w:tab w:val="left" w:pos="1418"/>
          <w:tab w:val="left" w:leader="dot" w:pos="8222"/>
          <w:tab w:val="right" w:pos="8647"/>
        </w:tabs>
        <w:jc w:val="both"/>
        <w:rPr>
          <w:rFonts w:asciiTheme="majorHAnsi" w:hAnsiTheme="majorHAnsi"/>
        </w:rPr>
      </w:pPr>
      <w:bookmarkStart w:id="21" w:name="_Hlk149727171"/>
    </w:p>
    <w:p w14:paraId="5AAE2B25" w14:textId="112B0E0C" w:rsidR="00D8795E" w:rsidRPr="00536AB6" w:rsidRDefault="00123A81" w:rsidP="00EC5C41">
      <w:pPr>
        <w:tabs>
          <w:tab w:val="left" w:pos="1276"/>
          <w:tab w:val="left" w:pos="1418"/>
          <w:tab w:val="left" w:leader="dot" w:pos="8222"/>
          <w:tab w:val="right" w:pos="8647"/>
        </w:tabs>
        <w:jc w:val="both"/>
        <w:rPr>
          <w:rFonts w:asciiTheme="majorHAnsi" w:hAnsiTheme="majorHAnsi"/>
        </w:rPr>
      </w:pPr>
      <w:r>
        <w:rPr>
          <w:rFonts w:asciiTheme="majorHAnsi" w:hAnsiTheme="majorHAnsi"/>
        </w:rPr>
        <w:t>Desde noviembre de 2025 se han presentado a la Secretaría de ICCAT dos informes de inspección en puerto que contienen infracciones.</w:t>
      </w:r>
    </w:p>
    <w:bookmarkEnd w:id="21"/>
    <w:p w14:paraId="0E4D12C3" w14:textId="77777777" w:rsidR="00EC5C41" w:rsidRPr="00364A87" w:rsidRDefault="00EC5C41" w:rsidP="00EC5C41">
      <w:pPr>
        <w:tabs>
          <w:tab w:val="left" w:pos="1276"/>
          <w:tab w:val="left" w:pos="1418"/>
          <w:tab w:val="left" w:leader="dot" w:pos="8222"/>
          <w:tab w:val="right" w:pos="8647"/>
        </w:tabs>
        <w:jc w:val="both"/>
        <w:rPr>
          <w:rFonts w:asciiTheme="majorHAnsi" w:hAnsiTheme="majorHAnsi"/>
        </w:rPr>
      </w:pPr>
    </w:p>
    <w:p w14:paraId="04A45F8E" w14:textId="1160D2BB" w:rsidR="00235B3C" w:rsidRPr="00536AB6" w:rsidRDefault="00235B3C" w:rsidP="00820485">
      <w:pPr>
        <w:tabs>
          <w:tab w:val="left" w:pos="1276"/>
          <w:tab w:val="left" w:pos="1418"/>
          <w:tab w:val="left" w:leader="dot" w:pos="8222"/>
          <w:tab w:val="right" w:pos="8647"/>
        </w:tabs>
        <w:jc w:val="both"/>
        <w:rPr>
          <w:rFonts w:asciiTheme="majorHAnsi" w:hAnsiTheme="majorHAnsi"/>
        </w:rPr>
      </w:pPr>
      <w:r>
        <w:rPr>
          <w:rFonts w:asciiTheme="majorHAnsi" w:hAnsiTheme="majorHAnsi"/>
        </w:rPr>
        <w:t xml:space="preserve">La Rec. 23-17 establece que la presentación de informes de inspección en los que no se han hallado infracciones es voluntaria. En la </w:t>
      </w:r>
      <w:r>
        <w:rPr>
          <w:rFonts w:asciiTheme="majorHAnsi" w:hAnsiTheme="majorHAnsi"/>
          <w:b/>
          <w:bCs/>
        </w:rPr>
        <w:t xml:space="preserve">tabla 3 </w:t>
      </w:r>
      <w:r>
        <w:rPr>
          <w:rFonts w:asciiTheme="majorHAnsi" w:hAnsiTheme="majorHAnsi"/>
        </w:rPr>
        <w:t>se presenta un resumen de los informes recibidos.</w:t>
      </w:r>
      <w:r>
        <w:rPr>
          <w:rFonts w:asciiTheme="majorHAnsi" w:hAnsiTheme="majorHAnsi"/>
          <w:b/>
        </w:rPr>
        <w:t xml:space="preserve">  </w:t>
      </w:r>
      <w:r>
        <w:rPr>
          <w:rFonts w:asciiTheme="majorHAnsi" w:hAnsiTheme="majorHAnsi"/>
        </w:rPr>
        <w:t xml:space="preserve">En muchos casos, los informes se reciben con retraso, y la Secretaría de ICCAT ha observado que no en todos los casos se han facilitado copias de los informes a los Estados del pabellón. </w:t>
      </w:r>
    </w:p>
    <w:p w14:paraId="4884E720" w14:textId="77777777" w:rsidR="00DC049A" w:rsidRPr="00364A87" w:rsidRDefault="00DC049A" w:rsidP="00820485">
      <w:pPr>
        <w:tabs>
          <w:tab w:val="left" w:pos="1276"/>
          <w:tab w:val="left" w:pos="1418"/>
          <w:tab w:val="left" w:leader="dot" w:pos="8222"/>
          <w:tab w:val="right" w:pos="8647"/>
        </w:tabs>
        <w:jc w:val="both"/>
        <w:rPr>
          <w:rFonts w:asciiTheme="majorHAnsi" w:hAnsiTheme="majorHAnsi"/>
        </w:rPr>
      </w:pPr>
    </w:p>
    <w:p w14:paraId="4E8136B2" w14:textId="097CD725" w:rsidR="00DC049A" w:rsidRPr="00C75E28" w:rsidRDefault="00DC049A" w:rsidP="00DC049A">
      <w:pPr>
        <w:jc w:val="both"/>
        <w:rPr>
          <w:rFonts w:asciiTheme="majorHAnsi" w:hAnsiTheme="majorHAnsi"/>
        </w:rPr>
      </w:pPr>
      <w:r w:rsidRPr="00C75E28">
        <w:rPr>
          <w:rFonts w:asciiTheme="majorHAnsi" w:hAnsiTheme="majorHAnsi"/>
        </w:rPr>
        <w:t xml:space="preserve">En lo que respecta al informe anual sobre la actividad de inspección portuaria del año anterior, siete CPC cumplimentaron el formulario electrónico CP58-AnnRepPIs en 2026: Albania, Costa Rica, Islandia, Japón, Corea (Rep.), Marruecos y Túnez. De </w:t>
      </w:r>
      <w:r w:rsidR="00C75E28" w:rsidRPr="00C75E28">
        <w:rPr>
          <w:rFonts w:asciiTheme="majorHAnsi" w:hAnsiTheme="majorHAnsi"/>
        </w:rPr>
        <w:t>estas</w:t>
      </w:r>
      <w:r w:rsidRPr="00C75E28">
        <w:rPr>
          <w:rFonts w:asciiTheme="majorHAnsi" w:hAnsiTheme="majorHAnsi"/>
        </w:rPr>
        <w:t xml:space="preserve">, solo tres indicaron haber llevado a cabo inspecciones portuarias. </w:t>
      </w:r>
    </w:p>
    <w:p w14:paraId="2AF1D774" w14:textId="77777777" w:rsidR="00DC049A" w:rsidRPr="00364A87" w:rsidRDefault="00DC049A" w:rsidP="00DC049A">
      <w:pPr>
        <w:jc w:val="both"/>
        <w:rPr>
          <w:rFonts w:asciiTheme="majorHAnsi" w:hAnsiTheme="majorHAnsi"/>
          <w:highlight w:val="green"/>
        </w:rPr>
      </w:pPr>
    </w:p>
    <w:p w14:paraId="65230934" w14:textId="650DF912" w:rsidR="00DC049A" w:rsidRPr="00536AB6" w:rsidRDefault="00DC049A" w:rsidP="006D1FBF">
      <w:pPr>
        <w:jc w:val="both"/>
        <w:rPr>
          <w:rFonts w:asciiTheme="majorHAnsi" w:hAnsiTheme="majorHAnsi"/>
        </w:rPr>
      </w:pPr>
      <w:r w:rsidRPr="00C75E28">
        <w:rPr>
          <w:rFonts w:asciiTheme="majorHAnsi" w:hAnsiTheme="majorHAnsi"/>
        </w:rPr>
        <w:t>En 2025, la Secretaría recibió informes de inspección portuaria de tres CPC: Corea (Rep.), Senegal y Sudáfrica, en ninguno de los informes se señalaron infracciones aparentes. Sin embargo, a fecha de este informe, Senegal y Sudáfrica aún no han presentado sus informes CP58 correspondientes a 2026.</w:t>
      </w:r>
    </w:p>
    <w:p w14:paraId="48A30479" w14:textId="77777777" w:rsidR="00DC049A" w:rsidRDefault="00DC049A" w:rsidP="00DC049A">
      <w:pPr>
        <w:rPr>
          <w:rFonts w:asciiTheme="majorHAnsi" w:hAnsiTheme="majorHAnsi"/>
        </w:rPr>
      </w:pPr>
    </w:p>
    <w:p w14:paraId="34752648" w14:textId="77777777" w:rsidR="00EB64A5" w:rsidRDefault="00EB64A5" w:rsidP="00DC049A">
      <w:pPr>
        <w:rPr>
          <w:rFonts w:asciiTheme="majorHAnsi" w:hAnsiTheme="majorHAnsi"/>
        </w:rPr>
      </w:pPr>
    </w:p>
    <w:p w14:paraId="77BCE694" w14:textId="77777777" w:rsidR="00EB64A5" w:rsidRDefault="00EB64A5" w:rsidP="00DC049A">
      <w:pPr>
        <w:rPr>
          <w:rFonts w:asciiTheme="majorHAnsi" w:hAnsiTheme="majorHAnsi"/>
        </w:rPr>
      </w:pPr>
    </w:p>
    <w:p w14:paraId="424A5054" w14:textId="77777777" w:rsidR="00EB64A5" w:rsidRDefault="00EB64A5" w:rsidP="00DC049A">
      <w:pPr>
        <w:rPr>
          <w:rFonts w:asciiTheme="majorHAnsi" w:hAnsiTheme="majorHAnsi"/>
        </w:rPr>
      </w:pPr>
    </w:p>
    <w:p w14:paraId="511F2EB9" w14:textId="77777777" w:rsidR="00EB64A5" w:rsidRPr="00364A87" w:rsidRDefault="00EB64A5" w:rsidP="00DC049A">
      <w:pPr>
        <w:rPr>
          <w:rFonts w:asciiTheme="majorHAnsi" w:hAnsiTheme="majorHAnsi"/>
        </w:rPr>
      </w:pPr>
    </w:p>
    <w:p w14:paraId="2E43A413" w14:textId="2C017FC7" w:rsidR="00E100F6" w:rsidRPr="00EB64A5" w:rsidRDefault="00E100F6" w:rsidP="00E100F6">
      <w:pPr>
        <w:pBdr>
          <w:top w:val="single" w:sz="4" w:space="1" w:color="auto"/>
          <w:left w:val="single" w:sz="4" w:space="0" w:color="auto"/>
          <w:bottom w:val="single" w:sz="4" w:space="1" w:color="auto"/>
          <w:right w:val="single" w:sz="4" w:space="4" w:color="auto"/>
        </w:pBdr>
        <w:jc w:val="both"/>
        <w:rPr>
          <w:rFonts w:asciiTheme="majorHAnsi" w:hAnsiTheme="majorHAnsi"/>
        </w:rPr>
      </w:pPr>
      <w:r w:rsidRPr="002705BB">
        <w:rPr>
          <w:rFonts w:asciiTheme="majorHAnsi" w:hAnsiTheme="majorHAnsi"/>
          <w:b/>
        </w:rPr>
        <w:lastRenderedPageBreak/>
        <w:t>Solicitud de la Secretaría de ICCAT</w:t>
      </w:r>
      <w:r w:rsidRPr="002705BB">
        <w:rPr>
          <w:rFonts w:asciiTheme="majorHAnsi" w:hAnsiTheme="majorHAnsi"/>
        </w:rPr>
        <w:t>: En 2026, la Secretaría de ICCAT recibió aproximadamente 127 informes de inspección portuaria a través del Sistema Global de Intercambio de Información del PSMA (PSMA-GIES). So</w:t>
      </w:r>
      <w:r w:rsidRPr="00EB64A5">
        <w:rPr>
          <w:rFonts w:asciiTheme="majorHAnsi" w:hAnsiTheme="majorHAnsi"/>
        </w:rPr>
        <w:t>lo 18 de estos puertos se encuentran dentro de la zona del Convenio de ICCAT, y en ninguno de ellos se detectaron posibles infracciones. Para garantizar la exhaustividad y la trazabilidad, estas 18 inspecciones se han incorporado a nuestros registros.</w:t>
      </w:r>
    </w:p>
    <w:p w14:paraId="73FA476A" w14:textId="77777777" w:rsidR="00E100F6" w:rsidRPr="00EB64A5" w:rsidRDefault="00E100F6" w:rsidP="00E100F6">
      <w:pPr>
        <w:pBdr>
          <w:top w:val="single" w:sz="4" w:space="1" w:color="auto"/>
          <w:left w:val="single" w:sz="4" w:space="0" w:color="auto"/>
          <w:bottom w:val="single" w:sz="4" w:space="1" w:color="auto"/>
          <w:right w:val="single" w:sz="4" w:space="4" w:color="auto"/>
        </w:pBdr>
        <w:jc w:val="both"/>
        <w:rPr>
          <w:rFonts w:asciiTheme="majorHAnsi" w:hAnsiTheme="majorHAnsi"/>
        </w:rPr>
      </w:pPr>
    </w:p>
    <w:p w14:paraId="7FBFD5BF" w14:textId="1C8C8F6B" w:rsidR="00DC049A" w:rsidRPr="00536AB6" w:rsidRDefault="00E100F6" w:rsidP="00E100F6">
      <w:pPr>
        <w:pBdr>
          <w:top w:val="single" w:sz="4" w:space="1" w:color="auto"/>
          <w:left w:val="single" w:sz="4" w:space="0" w:color="auto"/>
          <w:bottom w:val="single" w:sz="4" w:space="1" w:color="auto"/>
          <w:right w:val="single" w:sz="4" w:space="4" w:color="auto"/>
        </w:pBdr>
        <w:jc w:val="both"/>
        <w:rPr>
          <w:rFonts w:asciiTheme="majorHAnsi" w:hAnsiTheme="majorHAnsi"/>
        </w:rPr>
      </w:pPr>
      <w:r w:rsidRPr="00EB64A5">
        <w:rPr>
          <w:rFonts w:asciiTheme="majorHAnsi" w:hAnsiTheme="majorHAnsi"/>
        </w:rPr>
        <w:t>Los informes restantes, que no se incluyen en la zona de</w:t>
      </w:r>
      <w:r w:rsidR="00EB64A5" w:rsidRPr="00EB64A5">
        <w:rPr>
          <w:rFonts w:asciiTheme="majorHAnsi" w:hAnsiTheme="majorHAnsi"/>
        </w:rPr>
        <w:t xml:space="preserve">l Convenio </w:t>
      </w:r>
      <w:r w:rsidRPr="00EB64A5">
        <w:rPr>
          <w:rFonts w:asciiTheme="majorHAnsi" w:hAnsiTheme="majorHAnsi"/>
        </w:rPr>
        <w:t>de ICCAT, se revisan pero no se incluyen en los registros. La Secretaría desearía confirmar si este procedimiento es adecuado.</w:t>
      </w:r>
    </w:p>
    <w:p w14:paraId="6B8DA9CD" w14:textId="77777777" w:rsidR="00E100F6" w:rsidRPr="00364A87" w:rsidRDefault="00E100F6" w:rsidP="00820485">
      <w:pPr>
        <w:tabs>
          <w:tab w:val="left" w:pos="1276"/>
          <w:tab w:val="left" w:pos="1418"/>
          <w:tab w:val="left" w:leader="dot" w:pos="8222"/>
          <w:tab w:val="right" w:pos="8647"/>
        </w:tabs>
        <w:jc w:val="both"/>
        <w:rPr>
          <w:rFonts w:asciiTheme="majorHAnsi" w:hAnsiTheme="majorHAnsi"/>
        </w:rPr>
      </w:pPr>
    </w:p>
    <w:p w14:paraId="507B9A07" w14:textId="1FF37864" w:rsidR="00882FCC" w:rsidRDefault="00235B3C" w:rsidP="00820485">
      <w:pPr>
        <w:jc w:val="both"/>
        <w:rPr>
          <w:rFonts w:asciiTheme="majorHAnsi" w:hAnsiTheme="majorHAnsi"/>
        </w:rPr>
      </w:pPr>
      <w:r>
        <w:rPr>
          <w:rFonts w:asciiTheme="majorHAnsi" w:hAnsiTheme="majorHAnsi"/>
          <w:b/>
          <w:i/>
        </w:rPr>
        <w:t>Comunicación de puertos designados en el marco de la Rec. 23-17:</w:t>
      </w:r>
      <w:r>
        <w:rPr>
          <w:rFonts w:asciiTheme="majorHAnsi" w:hAnsiTheme="majorHAnsi"/>
          <w:b/>
        </w:rPr>
        <w:t xml:space="preserve"> </w:t>
      </w:r>
      <w:r>
        <w:rPr>
          <w:rFonts w:asciiTheme="majorHAnsi" w:hAnsiTheme="majorHAnsi"/>
        </w:rPr>
        <w:t xml:space="preserve">El Registro ICCAT de puertos en los que podrían entrar los buques extranjeros se ha publicado en el </w:t>
      </w:r>
      <w:hyperlink r:id="rId33" w:history="1">
        <w:r>
          <w:rPr>
            <w:rStyle w:val="Hyperlink"/>
            <w:rFonts w:asciiTheme="majorHAnsi" w:hAnsiTheme="majorHAnsi"/>
            <w:u w:val="none"/>
          </w:rPr>
          <w:t>sitio web de ICCAT</w:t>
        </w:r>
      </w:hyperlink>
      <w:r w:rsidR="009E23A8" w:rsidRPr="00536AB6">
        <w:fldChar w:fldCharType="begin"/>
      </w:r>
      <w:r w:rsidR="009E23A8" w:rsidRPr="00536AB6">
        <w:rPr>
          <w:rFonts w:asciiTheme="majorHAnsi" w:hAnsiTheme="majorHAnsi"/>
        </w:rPr>
        <w:instrText xml:space="preserve"> "http://www.iccat.int/en/Ports.asp" </w:instrText>
      </w:r>
      <w:r w:rsidR="009E23A8" w:rsidRPr="00536AB6">
        <w:fldChar w:fldCharType="separate"/>
      </w:r>
      <w:r w:rsidR="009E6DCD" w:rsidRPr="00536AB6">
        <w:rPr>
          <w:rStyle w:val="Hyperlink"/>
          <w:rFonts w:asciiTheme="majorHAnsi" w:hAnsiTheme="majorHAnsi"/>
          <w:u w:val="none"/>
        </w:rPr>
        <w:t>www.iccat.int/en/Ports.asp</w:t>
      </w:r>
      <w:r w:rsidR="009E23A8" w:rsidRPr="00536AB6">
        <w:rPr>
          <w:rStyle w:val="Hyperlink"/>
          <w:rFonts w:asciiTheme="majorHAnsi" w:hAnsiTheme="majorHAnsi"/>
          <w:u w:val="none"/>
        </w:rPr>
        <w:fldChar w:fldCharType="end"/>
      </w:r>
      <w:r>
        <w:rPr>
          <w:rFonts w:asciiTheme="majorHAnsi" w:hAnsiTheme="majorHAnsi"/>
        </w:rPr>
        <w:t xml:space="preserve">. </w:t>
      </w:r>
    </w:p>
    <w:p w14:paraId="6FB02797" w14:textId="77777777" w:rsidR="000E0EE5" w:rsidRPr="00536AB6" w:rsidRDefault="000E0EE5" w:rsidP="00820485">
      <w:pPr>
        <w:jc w:val="both"/>
        <w:rPr>
          <w:rFonts w:asciiTheme="majorHAnsi" w:hAnsiTheme="majorHAnsi"/>
        </w:rPr>
      </w:pPr>
    </w:p>
    <w:p w14:paraId="62240F27" w14:textId="5C76F69C" w:rsidR="00962791" w:rsidRPr="00536AB6" w:rsidRDefault="00040DC9" w:rsidP="00820485">
      <w:pPr>
        <w:tabs>
          <w:tab w:val="left" w:pos="1276"/>
          <w:tab w:val="left" w:pos="1418"/>
          <w:tab w:val="left" w:leader="dot" w:pos="8222"/>
          <w:tab w:val="right" w:pos="8647"/>
        </w:tabs>
        <w:jc w:val="both"/>
        <w:rPr>
          <w:rFonts w:asciiTheme="majorHAnsi" w:hAnsiTheme="majorHAnsi"/>
          <w:i/>
        </w:rPr>
      </w:pPr>
      <w:r>
        <w:rPr>
          <w:rFonts w:asciiTheme="majorHAnsi" w:hAnsiTheme="majorHAnsi"/>
          <w:i/>
        </w:rPr>
        <w:t xml:space="preserve">[Rec. 21-14] </w:t>
      </w:r>
      <w:r>
        <w:rPr>
          <w:rFonts w:asciiTheme="majorHAnsi" w:hAnsiTheme="majorHAnsi"/>
          <w:i/>
          <w:iCs/>
        </w:rPr>
        <w:t>Recomendación de ICCAT que enmienda la Recomendación 13-13 sobre el establecimiento de un registro ICCAT de buques con una eslora total de 20 metros o superior con autorización para operar en la zona del Convenio</w:t>
      </w:r>
    </w:p>
    <w:p w14:paraId="082989AC" w14:textId="77777777" w:rsidR="001A2CE3" w:rsidRPr="00364A87" w:rsidRDefault="001A2CE3" w:rsidP="00820485">
      <w:pPr>
        <w:tabs>
          <w:tab w:val="left" w:pos="1276"/>
          <w:tab w:val="left" w:pos="1418"/>
          <w:tab w:val="left" w:leader="dot" w:pos="8222"/>
          <w:tab w:val="right" w:pos="8647"/>
        </w:tabs>
        <w:jc w:val="both"/>
        <w:rPr>
          <w:rFonts w:asciiTheme="majorHAnsi" w:hAnsiTheme="majorHAnsi"/>
          <w:i/>
        </w:rPr>
      </w:pPr>
    </w:p>
    <w:p w14:paraId="64FF1CB0" w14:textId="4843C571" w:rsidR="001A2CE3" w:rsidRPr="00536AB6" w:rsidRDefault="001A2CE3" w:rsidP="001A2CE3">
      <w:pPr>
        <w:tabs>
          <w:tab w:val="left" w:pos="1276"/>
          <w:tab w:val="left" w:pos="1418"/>
          <w:tab w:val="left" w:leader="dot" w:pos="8222"/>
          <w:tab w:val="right" w:pos="8647"/>
        </w:tabs>
        <w:jc w:val="both"/>
        <w:rPr>
          <w:rFonts w:asciiTheme="majorHAnsi" w:hAnsiTheme="majorHAnsi"/>
          <w:iCs/>
        </w:rPr>
      </w:pPr>
      <w:r>
        <w:rPr>
          <w:rFonts w:asciiTheme="majorHAnsi" w:hAnsiTheme="majorHAnsi"/>
        </w:rPr>
        <w:t>(Sustituida por la [</w:t>
      </w:r>
      <w:r>
        <w:rPr>
          <w:rFonts w:asciiTheme="majorHAnsi" w:hAnsiTheme="majorHAnsi"/>
          <w:i/>
          <w:iCs/>
        </w:rPr>
        <w:t xml:space="preserve">Rec. </w:t>
      </w:r>
      <w:r>
        <w:rPr>
          <w:rFonts w:asciiTheme="majorHAnsi" w:hAnsiTheme="majorHAnsi"/>
          <w:i/>
        </w:rPr>
        <w:t>25-12]</w:t>
      </w:r>
      <w:r>
        <w:rPr>
          <w:rFonts w:asciiTheme="majorHAnsi" w:hAnsiTheme="majorHAnsi"/>
          <w:i/>
          <w:iCs/>
        </w:rPr>
        <w:t xml:space="preserve"> Recomendación de ICCAT que enmienda la Recomendación 13-13 sobre el establecimiento de un Registro ICCAT de buques con una eslora total de 20 metros o superior con autorización para operar en la zona del Convenio</w:t>
      </w:r>
    </w:p>
    <w:p w14:paraId="1A9476A1" w14:textId="77777777" w:rsidR="00690EE8" w:rsidRPr="00364A87" w:rsidRDefault="00690EE8" w:rsidP="00820485">
      <w:pPr>
        <w:tabs>
          <w:tab w:val="left" w:pos="1276"/>
          <w:tab w:val="left" w:pos="1418"/>
          <w:tab w:val="left" w:leader="dot" w:pos="8222"/>
          <w:tab w:val="right" w:pos="8647"/>
        </w:tabs>
        <w:jc w:val="both"/>
        <w:rPr>
          <w:rFonts w:asciiTheme="majorHAnsi" w:hAnsiTheme="majorHAnsi"/>
        </w:rPr>
      </w:pPr>
    </w:p>
    <w:p w14:paraId="0B9AD741" w14:textId="31B56A5E" w:rsidR="008935B2" w:rsidRPr="000E0EE5" w:rsidRDefault="008935B2" w:rsidP="008935B2">
      <w:pPr>
        <w:tabs>
          <w:tab w:val="left" w:pos="1276"/>
          <w:tab w:val="left" w:pos="1418"/>
          <w:tab w:val="left" w:leader="dot" w:pos="8222"/>
          <w:tab w:val="right" w:pos="8647"/>
        </w:tabs>
        <w:jc w:val="both"/>
        <w:rPr>
          <w:rStyle w:val="Strong"/>
          <w:rFonts w:asciiTheme="majorHAnsi" w:hAnsiTheme="majorHAnsi"/>
          <w:b w:val="0"/>
          <w:bCs w:val="0"/>
        </w:rPr>
      </w:pPr>
      <w:r w:rsidRPr="000E0EE5">
        <w:rPr>
          <w:rFonts w:asciiTheme="majorHAnsi" w:hAnsiTheme="majorHAnsi"/>
        </w:rPr>
        <w:t>A fecha de redacción del presente documento, en 2026 no se han recibido actualizaciones de los informes de acciones internas, ya sea a través del formulario CP10 o en otro formato.</w:t>
      </w:r>
    </w:p>
    <w:p w14:paraId="26B744B5" w14:textId="77777777" w:rsidR="002F78AD" w:rsidRPr="00364A87" w:rsidRDefault="002F78AD" w:rsidP="00820485">
      <w:pPr>
        <w:tabs>
          <w:tab w:val="left" w:pos="1276"/>
          <w:tab w:val="left" w:pos="1418"/>
          <w:tab w:val="left" w:leader="dot" w:pos="8222"/>
          <w:tab w:val="right" w:pos="8647"/>
        </w:tabs>
        <w:jc w:val="both"/>
        <w:rPr>
          <w:rFonts w:asciiTheme="majorHAnsi" w:hAnsiTheme="majorHAnsi"/>
        </w:rPr>
      </w:pPr>
    </w:p>
    <w:p w14:paraId="17ADA653" w14:textId="338A5C8A" w:rsidR="00CE1AD3" w:rsidRPr="00536AB6" w:rsidRDefault="004D2328" w:rsidP="00820485">
      <w:pPr>
        <w:tabs>
          <w:tab w:val="left" w:pos="1276"/>
          <w:tab w:val="left" w:pos="1418"/>
          <w:tab w:val="left" w:leader="dot" w:pos="8222"/>
          <w:tab w:val="right" w:pos="8647"/>
        </w:tabs>
        <w:rPr>
          <w:rFonts w:asciiTheme="majorHAnsi" w:hAnsiTheme="majorHAnsi"/>
          <w:i/>
          <w:color w:val="000000"/>
        </w:rPr>
      </w:pPr>
      <w:bookmarkStart w:id="22" w:name="_Hlk147930313"/>
      <w:r>
        <w:rPr>
          <w:rFonts w:asciiTheme="majorHAnsi" w:hAnsiTheme="majorHAnsi"/>
          <w:i/>
        </w:rPr>
        <w:t>[</w:t>
      </w:r>
      <w:r w:rsidR="00440B42">
        <w:rPr>
          <w:rFonts w:asciiTheme="majorHAnsi" w:hAnsiTheme="majorHAnsi"/>
          <w:i/>
        </w:rPr>
        <w:t xml:space="preserve">Rec. </w:t>
      </w:r>
      <w:r>
        <w:rPr>
          <w:rFonts w:asciiTheme="majorHAnsi" w:hAnsiTheme="majorHAnsi"/>
          <w:i/>
        </w:rPr>
        <w:t>13-14] Recomendación de ICCAT sobre fletamento de barcos de pesca</w:t>
      </w:r>
    </w:p>
    <w:p w14:paraId="7BD26BEE" w14:textId="77777777" w:rsidR="00073703" w:rsidRPr="00364A87" w:rsidRDefault="00073703" w:rsidP="00820485">
      <w:pPr>
        <w:tabs>
          <w:tab w:val="left" w:pos="1276"/>
          <w:tab w:val="left" w:pos="1418"/>
          <w:tab w:val="left" w:leader="dot" w:pos="8222"/>
          <w:tab w:val="right" w:pos="8647"/>
        </w:tabs>
        <w:ind w:firstLine="425"/>
        <w:rPr>
          <w:rFonts w:asciiTheme="majorHAnsi" w:hAnsiTheme="majorHAnsi"/>
          <w:i/>
          <w:color w:val="000000"/>
        </w:rPr>
      </w:pPr>
    </w:p>
    <w:p w14:paraId="59C03776" w14:textId="22F3B89E" w:rsidR="009C2133" w:rsidRPr="000E0EE5" w:rsidRDefault="009C2133" w:rsidP="009C2133">
      <w:pPr>
        <w:tabs>
          <w:tab w:val="left" w:pos="1276"/>
          <w:tab w:val="left" w:pos="1418"/>
          <w:tab w:val="left" w:leader="dot" w:pos="8222"/>
          <w:tab w:val="right" w:pos="8647"/>
        </w:tabs>
        <w:jc w:val="both"/>
        <w:rPr>
          <w:rFonts w:asciiTheme="majorHAnsi" w:hAnsiTheme="majorHAnsi"/>
          <w:color w:val="000000"/>
        </w:rPr>
      </w:pPr>
      <w:r w:rsidRPr="000E0EE5">
        <w:rPr>
          <w:rFonts w:asciiTheme="majorHAnsi" w:hAnsiTheme="majorHAnsi"/>
          <w:color w:val="000000"/>
        </w:rPr>
        <w:t>Los informes resumidos de los acuerdos de fletamento figuran en el</w:t>
      </w:r>
      <w:r w:rsidRPr="000E0EE5">
        <w:rPr>
          <w:rFonts w:asciiTheme="majorHAnsi" w:hAnsiTheme="majorHAnsi"/>
          <w:b/>
          <w:bCs/>
          <w:color w:val="000000"/>
        </w:rPr>
        <w:t xml:space="preserve"> apéndice 2</w:t>
      </w:r>
      <w:r w:rsidRPr="000E0EE5">
        <w:rPr>
          <w:rFonts w:asciiTheme="majorHAnsi" w:hAnsiTheme="majorHAnsi"/>
          <w:color w:val="000000"/>
        </w:rPr>
        <w:t xml:space="preserve"> (que abarca los acuerdos de fletamento celebrados por Namibia, Nigeria y Sudáfrica para el año 2025; cabe señalar que Nigeria no presentó el resumen) y en la tabla que resume los acuerdos de fletamento recogidos en la </w:t>
      </w:r>
      <w:r w:rsidRPr="000E0EE5">
        <w:rPr>
          <w:rFonts w:asciiTheme="majorHAnsi" w:hAnsiTheme="majorHAnsi"/>
          <w:b/>
          <w:bCs/>
          <w:color w:val="000000"/>
        </w:rPr>
        <w:t>tabla 10.</w:t>
      </w:r>
      <w:r w:rsidRPr="000E0EE5">
        <w:rPr>
          <w:rFonts w:asciiTheme="majorHAnsi" w:hAnsiTheme="majorHAnsi"/>
          <w:color w:val="000000"/>
        </w:rPr>
        <w:t xml:space="preserve"> Aunque el formulario CP53 (introducido en 2021) mejoró la gestión de los datos, la transición al sistema de presentación IOMS a partir del 1 de agosto de 2025 ha facilitado aún más la gestión de los acuerdos y ha reforzado la coordinación entre las CPC implicadas.</w:t>
      </w:r>
    </w:p>
    <w:p w14:paraId="2A101C36" w14:textId="77777777" w:rsidR="000E3106" w:rsidRPr="00536AB6" w:rsidRDefault="000E3106" w:rsidP="00820485">
      <w:pPr>
        <w:tabs>
          <w:tab w:val="left" w:pos="1276"/>
          <w:tab w:val="left" w:pos="1418"/>
          <w:tab w:val="left" w:leader="dot" w:pos="8222"/>
          <w:tab w:val="right" w:pos="8647"/>
        </w:tabs>
        <w:jc w:val="both"/>
        <w:rPr>
          <w:rFonts w:asciiTheme="majorHAnsi" w:hAnsiTheme="majorHAnsi"/>
          <w:color w:val="000000"/>
        </w:rPr>
      </w:pPr>
      <w:bookmarkStart w:id="23" w:name="_Hlk118104939"/>
    </w:p>
    <w:p w14:paraId="54DDB450" w14:textId="59882069" w:rsidR="007A07B7" w:rsidRPr="00536AB6" w:rsidRDefault="007A07B7" w:rsidP="007A07B7">
      <w:pPr>
        <w:rPr>
          <w:rFonts w:asciiTheme="majorHAnsi" w:hAnsiTheme="majorHAnsi"/>
        </w:rPr>
      </w:pPr>
      <w:r>
        <w:rPr>
          <w:rFonts w:asciiTheme="majorHAnsi" w:hAnsiTheme="majorHAnsi"/>
        </w:rPr>
        <w:t xml:space="preserve">A continuación se muestran extractos de los informes anuales (IOMS) de otras CPC en relación con los acuerdos de </w:t>
      </w:r>
      <w:r w:rsidR="00FA76E0">
        <w:rPr>
          <w:rFonts w:asciiTheme="majorHAnsi" w:hAnsiTheme="majorHAnsi"/>
        </w:rPr>
        <w:t>fletamento</w:t>
      </w:r>
      <w:r>
        <w:rPr>
          <w:rFonts w:asciiTheme="majorHAnsi" w:hAnsiTheme="majorHAnsi"/>
        </w:rPr>
        <w:t>.</w:t>
      </w:r>
    </w:p>
    <w:p w14:paraId="326CFD09" w14:textId="77777777" w:rsidR="007A07B7" w:rsidRPr="00364A87" w:rsidRDefault="007A07B7" w:rsidP="00820485">
      <w:pPr>
        <w:tabs>
          <w:tab w:val="left" w:pos="1276"/>
          <w:tab w:val="left" w:pos="1418"/>
          <w:tab w:val="left" w:leader="dot" w:pos="8222"/>
          <w:tab w:val="right" w:pos="8647"/>
        </w:tabs>
        <w:jc w:val="both"/>
        <w:rPr>
          <w:rFonts w:asciiTheme="majorHAnsi" w:hAnsiTheme="majorHAnsi"/>
          <w:color w:val="000000"/>
          <w:lang w:eastAsia="es-ES"/>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9"/>
        <w:gridCol w:w="6537"/>
      </w:tblGrid>
      <w:tr w:rsidR="007A07B7" w:rsidRPr="00536AB6" w14:paraId="3B548C04" w14:textId="77777777" w:rsidTr="00630B24">
        <w:trPr>
          <w:trHeight w:val="295"/>
        </w:trPr>
        <w:tc>
          <w:tcPr>
            <w:tcW w:w="2389" w:type="dxa"/>
            <w:noWrap/>
            <w:hideMark/>
          </w:tcPr>
          <w:p w14:paraId="35235A13" w14:textId="77777777" w:rsidR="007A07B7" w:rsidRPr="00551327" w:rsidRDefault="007A07B7" w:rsidP="00DC7886">
            <w:pPr>
              <w:rPr>
                <w:rFonts w:asciiTheme="majorHAnsi" w:hAnsiTheme="majorHAnsi" w:cs="Calibri"/>
                <w:i/>
                <w:iCs/>
                <w:color w:val="000000"/>
              </w:rPr>
            </w:pPr>
            <w:r w:rsidRPr="00551327">
              <w:rPr>
                <w:rFonts w:asciiTheme="majorHAnsi" w:hAnsiTheme="majorHAnsi"/>
                <w:i/>
                <w:color w:val="000000"/>
              </w:rPr>
              <w:t>CPC</w:t>
            </w:r>
          </w:p>
        </w:tc>
        <w:tc>
          <w:tcPr>
            <w:tcW w:w="6537" w:type="dxa"/>
            <w:hideMark/>
          </w:tcPr>
          <w:p w14:paraId="28435D07" w14:textId="77777777" w:rsidR="007A07B7" w:rsidRPr="00551327" w:rsidRDefault="007A07B7" w:rsidP="00DC7886">
            <w:pPr>
              <w:rPr>
                <w:rFonts w:asciiTheme="majorHAnsi" w:hAnsiTheme="majorHAnsi" w:cs="Calibri"/>
                <w:i/>
                <w:iCs/>
                <w:color w:val="000000"/>
              </w:rPr>
            </w:pPr>
            <w:r w:rsidRPr="00551327">
              <w:rPr>
                <w:rFonts w:asciiTheme="majorHAnsi" w:hAnsiTheme="majorHAnsi"/>
                <w:i/>
                <w:color w:val="000000"/>
              </w:rPr>
              <w:t>Respuesta</w:t>
            </w:r>
          </w:p>
        </w:tc>
      </w:tr>
      <w:tr w:rsidR="009C2133" w:rsidRPr="00536AB6" w14:paraId="37BAD58A" w14:textId="77777777" w:rsidTr="00630B24">
        <w:trPr>
          <w:trHeight w:val="311"/>
        </w:trPr>
        <w:tc>
          <w:tcPr>
            <w:tcW w:w="2389" w:type="dxa"/>
            <w:noWrap/>
            <w:hideMark/>
          </w:tcPr>
          <w:p w14:paraId="358C5151" w14:textId="27E06FA3" w:rsidR="009C2133" w:rsidRPr="00551327" w:rsidRDefault="009C2133" w:rsidP="009C2133">
            <w:pPr>
              <w:rPr>
                <w:rFonts w:asciiTheme="majorHAnsi" w:hAnsiTheme="majorHAnsi" w:cs="Calibri"/>
                <w:color w:val="000000"/>
              </w:rPr>
            </w:pPr>
            <w:r w:rsidRPr="00551327">
              <w:rPr>
                <w:rFonts w:asciiTheme="majorHAnsi" w:hAnsiTheme="majorHAnsi"/>
              </w:rPr>
              <w:t>Namibia</w:t>
            </w:r>
          </w:p>
        </w:tc>
        <w:tc>
          <w:tcPr>
            <w:tcW w:w="6537" w:type="dxa"/>
            <w:hideMark/>
          </w:tcPr>
          <w:p w14:paraId="38EB58CF" w14:textId="5C66AEE0" w:rsidR="009C2133" w:rsidRPr="00551327" w:rsidRDefault="009C2133" w:rsidP="009C2133">
            <w:pPr>
              <w:jc w:val="both"/>
              <w:rPr>
                <w:rFonts w:asciiTheme="majorHAnsi" w:hAnsiTheme="majorHAnsi" w:cs="Calibri"/>
                <w:color w:val="000000"/>
              </w:rPr>
            </w:pPr>
            <w:r w:rsidRPr="00551327">
              <w:rPr>
                <w:rFonts w:asciiTheme="majorHAnsi" w:hAnsiTheme="majorHAnsi"/>
              </w:rPr>
              <w:t>Varias fechas de comunicación de información.</w:t>
            </w:r>
          </w:p>
        </w:tc>
      </w:tr>
      <w:tr w:rsidR="009C2133" w:rsidRPr="00536AB6" w14:paraId="3798B7F4" w14:textId="77777777" w:rsidTr="00630B24">
        <w:trPr>
          <w:trHeight w:val="311"/>
        </w:trPr>
        <w:tc>
          <w:tcPr>
            <w:tcW w:w="2389" w:type="dxa"/>
            <w:noWrap/>
          </w:tcPr>
          <w:p w14:paraId="31A0F9A9" w14:textId="732ACF7C" w:rsidR="009C2133" w:rsidRPr="00551327" w:rsidRDefault="009C2133" w:rsidP="009C2133">
            <w:pPr>
              <w:rPr>
                <w:rFonts w:asciiTheme="majorHAnsi" w:hAnsiTheme="majorHAnsi" w:cs="Calibri"/>
                <w:color w:val="000000"/>
              </w:rPr>
            </w:pPr>
            <w:r w:rsidRPr="00551327">
              <w:rPr>
                <w:rFonts w:asciiTheme="majorHAnsi" w:hAnsiTheme="majorHAnsi"/>
                <w:color w:val="000000"/>
              </w:rPr>
              <w:t>Nigeria</w:t>
            </w:r>
          </w:p>
        </w:tc>
        <w:tc>
          <w:tcPr>
            <w:tcW w:w="6537" w:type="dxa"/>
          </w:tcPr>
          <w:p w14:paraId="079699D8" w14:textId="6A4FB119" w:rsidR="009C2133" w:rsidRPr="00551327" w:rsidRDefault="009C2133" w:rsidP="009C2133">
            <w:pPr>
              <w:widowControl/>
              <w:autoSpaceDE/>
              <w:autoSpaceDN/>
              <w:adjustRightInd/>
              <w:jc w:val="both"/>
              <w:rPr>
                <w:rFonts w:asciiTheme="majorHAnsi" w:hAnsiTheme="majorHAnsi" w:cs="Calibri"/>
              </w:rPr>
            </w:pPr>
            <w:r w:rsidRPr="00551327">
              <w:rPr>
                <w:rFonts w:asciiTheme="majorHAnsi" w:hAnsiTheme="majorHAnsi"/>
              </w:rPr>
              <w:t>Varias fechas de comunicación de información.</w:t>
            </w:r>
          </w:p>
        </w:tc>
      </w:tr>
      <w:tr w:rsidR="009C2133" w:rsidRPr="00063218" w14:paraId="17C8A9CD" w14:textId="77777777" w:rsidTr="00630B24">
        <w:trPr>
          <w:trHeight w:val="311"/>
        </w:trPr>
        <w:tc>
          <w:tcPr>
            <w:tcW w:w="2389" w:type="dxa"/>
            <w:noWrap/>
          </w:tcPr>
          <w:p w14:paraId="6502E96D" w14:textId="793D7549" w:rsidR="009C2133" w:rsidRPr="00551327" w:rsidRDefault="009C2133" w:rsidP="009C2133">
            <w:pPr>
              <w:rPr>
                <w:rFonts w:asciiTheme="majorHAnsi" w:hAnsiTheme="majorHAnsi" w:cs="Calibri"/>
                <w:color w:val="000000"/>
              </w:rPr>
            </w:pPr>
            <w:r w:rsidRPr="00551327">
              <w:rPr>
                <w:rFonts w:asciiTheme="majorHAnsi" w:hAnsiTheme="majorHAnsi"/>
                <w:color w:val="000000"/>
              </w:rPr>
              <w:t>Sudáfrica</w:t>
            </w:r>
          </w:p>
        </w:tc>
        <w:tc>
          <w:tcPr>
            <w:tcW w:w="6537" w:type="dxa"/>
          </w:tcPr>
          <w:p w14:paraId="3BC1E05A" w14:textId="5BEBBA3A" w:rsidR="009C2133" w:rsidRPr="00551327" w:rsidRDefault="009C2133" w:rsidP="009C2133">
            <w:pPr>
              <w:widowControl/>
              <w:autoSpaceDE/>
              <w:autoSpaceDN/>
              <w:adjustRightInd/>
              <w:jc w:val="both"/>
              <w:rPr>
                <w:rFonts w:asciiTheme="majorHAnsi" w:hAnsiTheme="majorHAnsi" w:cs="Calibri"/>
              </w:rPr>
            </w:pPr>
            <w:r w:rsidRPr="00551327">
              <w:rPr>
                <w:rFonts w:asciiTheme="majorHAnsi" w:hAnsiTheme="majorHAnsi"/>
              </w:rPr>
              <w:t>El acuerdo de fletamento del buque se refería únicamente a la campaña pesquera de 2025 y se rescindió en febrero de 2026, antes del inicio de la campaña pesquera de 2026.</w:t>
            </w:r>
          </w:p>
        </w:tc>
      </w:tr>
    </w:tbl>
    <w:p w14:paraId="46D981EF" w14:textId="77777777" w:rsidR="00F03878" w:rsidRPr="00364A87" w:rsidRDefault="00F03878" w:rsidP="00820485">
      <w:pPr>
        <w:tabs>
          <w:tab w:val="left" w:pos="1276"/>
          <w:tab w:val="left" w:pos="1418"/>
          <w:tab w:val="left" w:leader="dot" w:pos="8222"/>
          <w:tab w:val="right" w:pos="8647"/>
        </w:tabs>
        <w:jc w:val="both"/>
        <w:rPr>
          <w:rFonts w:asciiTheme="majorHAnsi" w:hAnsiTheme="majorHAnsi"/>
          <w:color w:val="000000"/>
          <w:lang w:eastAsia="es-ES"/>
        </w:rPr>
      </w:pPr>
    </w:p>
    <w:p w14:paraId="5AE20BA2" w14:textId="0DF1AB3F" w:rsidR="007F1A8E" w:rsidRPr="00536AB6" w:rsidRDefault="0067630B" w:rsidP="00820485">
      <w:pPr>
        <w:tabs>
          <w:tab w:val="left" w:pos="1276"/>
          <w:tab w:val="left" w:pos="1418"/>
          <w:tab w:val="left" w:leader="dot" w:pos="8222"/>
          <w:tab w:val="right" w:pos="8647"/>
        </w:tabs>
        <w:rPr>
          <w:rFonts w:asciiTheme="majorHAnsi" w:hAnsiTheme="majorHAnsi"/>
          <w:i/>
          <w:iCs/>
        </w:rPr>
      </w:pPr>
      <w:bookmarkStart w:id="24" w:name="_Hlk180407505"/>
      <w:bookmarkStart w:id="25" w:name="_Hlk23162797"/>
      <w:bookmarkStart w:id="26" w:name="_Hlk147932149"/>
      <w:bookmarkEnd w:id="22"/>
      <w:bookmarkEnd w:id="23"/>
      <w:r>
        <w:rPr>
          <w:rFonts w:asciiTheme="majorHAnsi" w:hAnsiTheme="majorHAnsi"/>
          <w:i/>
        </w:rPr>
        <w:t>[</w:t>
      </w:r>
      <w:r w:rsidR="00440B42">
        <w:rPr>
          <w:rFonts w:asciiTheme="majorHAnsi" w:hAnsiTheme="majorHAnsi"/>
          <w:i/>
        </w:rPr>
        <w:t xml:space="preserve">Rec. </w:t>
      </w:r>
      <w:r>
        <w:rPr>
          <w:rFonts w:asciiTheme="majorHAnsi" w:hAnsiTheme="majorHAnsi"/>
          <w:i/>
        </w:rPr>
        <w:t xml:space="preserve">14-07] Recomendación de ICCAT sobre acuerdos de acceso </w:t>
      </w:r>
    </w:p>
    <w:bookmarkEnd w:id="24"/>
    <w:p w14:paraId="70113789" w14:textId="77777777" w:rsidR="007F1A8E" w:rsidRPr="00364A87" w:rsidRDefault="007F1A8E" w:rsidP="00820485">
      <w:pPr>
        <w:tabs>
          <w:tab w:val="left" w:pos="1276"/>
          <w:tab w:val="left" w:pos="1418"/>
          <w:tab w:val="left" w:leader="dot" w:pos="8222"/>
          <w:tab w:val="right" w:pos="8647"/>
        </w:tabs>
        <w:rPr>
          <w:rFonts w:asciiTheme="majorHAnsi" w:hAnsiTheme="majorHAnsi"/>
          <w:i/>
          <w:iCs/>
        </w:rPr>
      </w:pPr>
    </w:p>
    <w:p w14:paraId="512974DF" w14:textId="0F49358E" w:rsidR="009C2133" w:rsidRPr="00440B42" w:rsidRDefault="009C2133" w:rsidP="009C2133">
      <w:pPr>
        <w:tabs>
          <w:tab w:val="left" w:pos="1276"/>
          <w:tab w:val="left" w:pos="1418"/>
          <w:tab w:val="left" w:leader="dot" w:pos="8222"/>
          <w:tab w:val="right" w:pos="8647"/>
        </w:tabs>
        <w:jc w:val="both"/>
        <w:rPr>
          <w:rFonts w:asciiTheme="majorHAnsi" w:hAnsiTheme="majorHAnsi"/>
          <w:iCs/>
        </w:rPr>
      </w:pPr>
      <w:r w:rsidRPr="00440B42">
        <w:rPr>
          <w:rFonts w:asciiTheme="majorHAnsi" w:hAnsiTheme="majorHAnsi"/>
        </w:rPr>
        <w:t xml:space="preserve">Con el fin de evitar cualquier confusión con la presentación de datos de la Tarea 1, el formulario CP39 (pestañas A y B) permite a las CPC comunicar tanto las capturas realizadas en virtud del propio acuerdo de acceso como las realizadas por la propia CPC. Desde la última reunión de la Comisión se han recibido actualizaciones relativas a los acuerdos de acceso vigentes procedentes de Angola, la Unión Europea, Gambia, Marruecos y el Reino Unido. Algunos de los acuerdos de los que se informó en años anteriores eran plurianuales y siguen vigentes. La lista completa de los acuerdos de acceso figura en el </w:t>
      </w:r>
      <w:r w:rsidR="00CD5E22" w:rsidRPr="00440B42">
        <w:rPr>
          <w:rFonts w:asciiTheme="majorHAnsi" w:hAnsiTheme="majorHAnsi"/>
          <w:b/>
          <w:bCs/>
        </w:rPr>
        <w:t xml:space="preserve">anexo </w:t>
      </w:r>
      <w:r w:rsidRPr="00440B42">
        <w:rPr>
          <w:rFonts w:asciiTheme="majorHAnsi" w:hAnsiTheme="majorHAnsi"/>
          <w:b/>
          <w:bCs/>
        </w:rPr>
        <w:t>5.</w:t>
      </w:r>
    </w:p>
    <w:bookmarkEnd w:id="25"/>
    <w:bookmarkEnd w:id="26"/>
    <w:p w14:paraId="6925C536" w14:textId="77777777" w:rsidR="004D4B55" w:rsidRPr="00364A87" w:rsidRDefault="004D4B55" w:rsidP="00820485">
      <w:pPr>
        <w:rPr>
          <w:rFonts w:asciiTheme="majorHAnsi" w:hAnsiTheme="majorHAnsi"/>
          <w:highlight w:val="green"/>
        </w:rPr>
      </w:pPr>
    </w:p>
    <w:p w14:paraId="35EA470F" w14:textId="35B3CFEF" w:rsidR="001D5647" w:rsidRPr="00CD5E22" w:rsidRDefault="009C2133" w:rsidP="00CD5E22">
      <w:pPr>
        <w:jc w:val="both"/>
        <w:rPr>
          <w:rFonts w:asciiTheme="majorHAnsi" w:hAnsiTheme="majorHAnsi"/>
        </w:rPr>
      </w:pPr>
      <w:r w:rsidRPr="00CD5E22">
        <w:rPr>
          <w:rFonts w:asciiTheme="majorHAnsi" w:hAnsiTheme="majorHAnsi"/>
        </w:rPr>
        <w:t xml:space="preserve">A continuación se incluyen extractos de otros informes anuales de </w:t>
      </w:r>
      <w:r w:rsidR="00CD5E22" w:rsidRPr="00CD5E22">
        <w:rPr>
          <w:rFonts w:asciiTheme="majorHAnsi" w:hAnsiTheme="majorHAnsi"/>
        </w:rPr>
        <w:t>otras</w:t>
      </w:r>
      <w:r w:rsidRPr="00CD5E22">
        <w:rPr>
          <w:rFonts w:asciiTheme="majorHAnsi" w:hAnsiTheme="majorHAnsi"/>
        </w:rPr>
        <w:t xml:space="preserve"> CPC (IOMS) relativos a los acuerdos de acceso (M:GEN19).</w:t>
      </w:r>
    </w:p>
    <w:p w14:paraId="78F05DD8" w14:textId="77777777" w:rsidR="009C2133" w:rsidRPr="00364A87" w:rsidRDefault="009C2133" w:rsidP="00820485">
      <w:pPr>
        <w:rPr>
          <w:rFonts w:asciiTheme="majorHAnsi" w:hAnsiTheme="majorHAnsi"/>
          <w:highlight w:val="green"/>
        </w:rPr>
      </w:pP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7747"/>
      </w:tblGrid>
      <w:tr w:rsidR="009C2133" w:rsidRPr="00536AB6" w14:paraId="21D20EEF" w14:textId="77777777" w:rsidTr="00000861">
        <w:trPr>
          <w:trHeight w:val="295"/>
        </w:trPr>
        <w:tc>
          <w:tcPr>
            <w:tcW w:w="1413" w:type="dxa"/>
            <w:noWrap/>
            <w:hideMark/>
          </w:tcPr>
          <w:p w14:paraId="3FB04DFD" w14:textId="77777777" w:rsidR="009C2133" w:rsidRPr="00700E01" w:rsidRDefault="009C2133" w:rsidP="00000861">
            <w:pPr>
              <w:rPr>
                <w:rFonts w:asciiTheme="majorHAnsi" w:hAnsiTheme="majorHAnsi" w:cs="Calibri"/>
                <w:i/>
                <w:iCs/>
                <w:color w:val="000000"/>
              </w:rPr>
            </w:pPr>
            <w:r w:rsidRPr="00700E01">
              <w:rPr>
                <w:rFonts w:asciiTheme="majorHAnsi" w:hAnsiTheme="majorHAnsi"/>
                <w:i/>
                <w:color w:val="000000"/>
              </w:rPr>
              <w:t>CPC</w:t>
            </w:r>
          </w:p>
        </w:tc>
        <w:tc>
          <w:tcPr>
            <w:tcW w:w="7747" w:type="dxa"/>
            <w:hideMark/>
          </w:tcPr>
          <w:p w14:paraId="69ACB614" w14:textId="77777777" w:rsidR="009C2133" w:rsidRPr="00700E01" w:rsidRDefault="009C2133" w:rsidP="00000861">
            <w:pPr>
              <w:rPr>
                <w:rFonts w:asciiTheme="majorHAnsi" w:hAnsiTheme="majorHAnsi" w:cs="Calibri"/>
                <w:i/>
                <w:iCs/>
                <w:color w:val="000000"/>
              </w:rPr>
            </w:pPr>
            <w:r w:rsidRPr="00700E01">
              <w:rPr>
                <w:rFonts w:asciiTheme="majorHAnsi" w:hAnsiTheme="majorHAnsi"/>
                <w:i/>
                <w:color w:val="000000"/>
              </w:rPr>
              <w:t>Respuesta</w:t>
            </w:r>
          </w:p>
        </w:tc>
      </w:tr>
      <w:tr w:rsidR="009C2133" w:rsidRPr="00063218" w14:paraId="1060C79C" w14:textId="77777777" w:rsidTr="00000861">
        <w:trPr>
          <w:trHeight w:val="311"/>
        </w:trPr>
        <w:tc>
          <w:tcPr>
            <w:tcW w:w="1413" w:type="dxa"/>
            <w:noWrap/>
          </w:tcPr>
          <w:p w14:paraId="1293AF5C" w14:textId="77777777" w:rsidR="009C2133" w:rsidRPr="00700E01" w:rsidRDefault="009C2133" w:rsidP="00000861">
            <w:pPr>
              <w:rPr>
                <w:rFonts w:asciiTheme="majorHAnsi" w:hAnsiTheme="majorHAnsi"/>
                <w:color w:val="000000"/>
              </w:rPr>
            </w:pPr>
            <w:r w:rsidRPr="00700E01">
              <w:rPr>
                <w:rFonts w:asciiTheme="majorHAnsi" w:hAnsiTheme="majorHAnsi"/>
                <w:color w:val="000000"/>
              </w:rPr>
              <w:t>Angola</w:t>
            </w:r>
          </w:p>
        </w:tc>
        <w:tc>
          <w:tcPr>
            <w:tcW w:w="7747" w:type="dxa"/>
          </w:tcPr>
          <w:p w14:paraId="46BB094E" w14:textId="77777777" w:rsidR="009C2133" w:rsidRPr="00700E01" w:rsidRDefault="009C2133" w:rsidP="00000861">
            <w:pPr>
              <w:widowControl/>
              <w:autoSpaceDE/>
              <w:autoSpaceDN/>
              <w:adjustRightInd/>
              <w:jc w:val="both"/>
              <w:rPr>
                <w:rFonts w:asciiTheme="majorHAnsi" w:hAnsiTheme="majorHAnsi" w:cs="Calibri"/>
              </w:rPr>
            </w:pPr>
            <w:r w:rsidRPr="00700E01">
              <w:rPr>
                <w:rFonts w:asciiTheme="majorHAnsi" w:hAnsiTheme="majorHAnsi"/>
              </w:rPr>
              <w:t>La información se enviará a la Secretaría a su debido tiempo.</w:t>
            </w:r>
          </w:p>
        </w:tc>
      </w:tr>
      <w:tr w:rsidR="009C2133" w:rsidRPr="00063218" w14:paraId="5AE7CB00" w14:textId="77777777" w:rsidTr="00000861">
        <w:trPr>
          <w:trHeight w:val="311"/>
        </w:trPr>
        <w:tc>
          <w:tcPr>
            <w:tcW w:w="1413" w:type="dxa"/>
            <w:noWrap/>
            <w:hideMark/>
          </w:tcPr>
          <w:p w14:paraId="6BD67014" w14:textId="77777777" w:rsidR="009C2133" w:rsidRPr="00700E01" w:rsidRDefault="009C2133" w:rsidP="00000861">
            <w:pPr>
              <w:rPr>
                <w:rFonts w:asciiTheme="majorHAnsi" w:hAnsiTheme="majorHAnsi" w:cs="Calibri"/>
                <w:color w:val="000000"/>
              </w:rPr>
            </w:pPr>
            <w:r w:rsidRPr="00700E01">
              <w:rPr>
                <w:rFonts w:asciiTheme="majorHAnsi" w:hAnsiTheme="majorHAnsi"/>
                <w:color w:val="000000"/>
              </w:rPr>
              <w:t>Cabo Verde</w:t>
            </w:r>
          </w:p>
        </w:tc>
        <w:tc>
          <w:tcPr>
            <w:tcW w:w="7747" w:type="dxa"/>
            <w:hideMark/>
          </w:tcPr>
          <w:p w14:paraId="1C96A940" w14:textId="18E40E02" w:rsidR="009C2133" w:rsidRPr="00700E01" w:rsidRDefault="009C2133" w:rsidP="00000861">
            <w:pPr>
              <w:jc w:val="both"/>
              <w:rPr>
                <w:rFonts w:asciiTheme="majorHAnsi" w:hAnsiTheme="majorHAnsi" w:cs="Calibri"/>
                <w:color w:val="000000"/>
              </w:rPr>
            </w:pPr>
            <w:r w:rsidRPr="00700E01">
              <w:rPr>
                <w:rFonts w:asciiTheme="majorHAnsi" w:hAnsiTheme="majorHAnsi"/>
              </w:rPr>
              <w:t xml:space="preserve">En virtud de los acuerdos de acceso a la pesca entre Cabo Verde y terceros países, las </w:t>
            </w:r>
            <w:r w:rsidRPr="00700E01">
              <w:rPr>
                <w:rFonts w:asciiTheme="majorHAnsi" w:hAnsiTheme="majorHAnsi"/>
              </w:rPr>
              <w:lastRenderedPageBreak/>
              <w:t>siguientes entidades están autorizadas a faenar en la zona económica exclusiva (ZEE) de Cabo Verde: a) Unión Europea: 56 licencias de pesca: 24 para atuneros cerqueros, 10 para atuneros cañeros y 22 para palangreros. Este acuerdo es válido de 2024 a 2029. b) Senegal – 8 licencias de pesca: 1 para atuneros de caña y línea y 7 para palangreros.</w:t>
            </w:r>
          </w:p>
        </w:tc>
      </w:tr>
      <w:tr w:rsidR="009C2133" w:rsidRPr="00536AB6" w14:paraId="609A4F8B" w14:textId="77777777" w:rsidTr="00000861">
        <w:trPr>
          <w:trHeight w:val="257"/>
        </w:trPr>
        <w:tc>
          <w:tcPr>
            <w:tcW w:w="1413" w:type="dxa"/>
            <w:noWrap/>
          </w:tcPr>
          <w:p w14:paraId="2F75DDAD" w14:textId="77777777" w:rsidR="009C2133" w:rsidRPr="00700E01" w:rsidRDefault="009C2133" w:rsidP="00000861">
            <w:pPr>
              <w:rPr>
                <w:rFonts w:asciiTheme="majorHAnsi" w:hAnsiTheme="majorHAnsi" w:cs="Calibri"/>
                <w:color w:val="000000"/>
              </w:rPr>
            </w:pPr>
            <w:r w:rsidRPr="00700E01">
              <w:rPr>
                <w:rFonts w:asciiTheme="majorHAnsi" w:hAnsiTheme="majorHAnsi"/>
                <w:color w:val="000000"/>
              </w:rPr>
              <w:lastRenderedPageBreak/>
              <w:t>Gambia</w:t>
            </w:r>
          </w:p>
        </w:tc>
        <w:tc>
          <w:tcPr>
            <w:tcW w:w="7747" w:type="dxa"/>
          </w:tcPr>
          <w:p w14:paraId="57C5F6CF" w14:textId="5E41639B" w:rsidR="009C2133" w:rsidRPr="00700E01" w:rsidRDefault="009C2133" w:rsidP="00000861">
            <w:pPr>
              <w:jc w:val="both"/>
              <w:rPr>
                <w:rFonts w:asciiTheme="majorHAnsi" w:hAnsiTheme="majorHAnsi" w:cs="Calibri"/>
                <w:color w:val="000000"/>
              </w:rPr>
            </w:pPr>
            <w:r w:rsidRPr="00700E01">
              <w:rPr>
                <w:rFonts w:asciiTheme="majorHAnsi" w:hAnsiTheme="majorHAnsi"/>
                <w:color w:val="000000"/>
              </w:rPr>
              <w:t>Resumen enviado el 15 de septiembre de 2026.</w:t>
            </w:r>
          </w:p>
        </w:tc>
      </w:tr>
      <w:tr w:rsidR="009C2133" w:rsidRPr="00536AB6" w14:paraId="5BB2845F" w14:textId="77777777" w:rsidTr="00000861">
        <w:trPr>
          <w:trHeight w:val="255"/>
        </w:trPr>
        <w:tc>
          <w:tcPr>
            <w:tcW w:w="1413" w:type="dxa"/>
            <w:noWrap/>
          </w:tcPr>
          <w:p w14:paraId="083EF602" w14:textId="77777777" w:rsidR="009C2133" w:rsidRPr="00700E01" w:rsidRDefault="009C2133" w:rsidP="00000861">
            <w:pPr>
              <w:rPr>
                <w:rFonts w:asciiTheme="majorHAnsi" w:hAnsiTheme="majorHAnsi" w:cs="Calibri"/>
                <w:color w:val="000000"/>
              </w:rPr>
            </w:pPr>
            <w:r w:rsidRPr="00700E01">
              <w:rPr>
                <w:rFonts w:asciiTheme="majorHAnsi" w:hAnsiTheme="majorHAnsi"/>
                <w:color w:val="000000"/>
              </w:rPr>
              <w:t>Marruecos</w:t>
            </w:r>
          </w:p>
        </w:tc>
        <w:tc>
          <w:tcPr>
            <w:tcW w:w="7747" w:type="dxa"/>
          </w:tcPr>
          <w:p w14:paraId="72705D27" w14:textId="76572530" w:rsidR="009C2133" w:rsidRPr="00700E01" w:rsidRDefault="009C2133" w:rsidP="00000861">
            <w:pPr>
              <w:jc w:val="both"/>
              <w:rPr>
                <w:rFonts w:asciiTheme="majorHAnsi" w:hAnsiTheme="majorHAnsi"/>
                <w:color w:val="000000"/>
              </w:rPr>
            </w:pPr>
            <w:r w:rsidRPr="00700E01">
              <w:rPr>
                <w:rFonts w:asciiTheme="majorHAnsi" w:hAnsiTheme="majorHAnsi"/>
                <w:color w:val="000000"/>
              </w:rPr>
              <w:t>Resumen enviado el 28 de julio de 2026.</w:t>
            </w:r>
          </w:p>
        </w:tc>
      </w:tr>
      <w:tr w:rsidR="009C2133" w:rsidRPr="00063218" w14:paraId="27AC5BFD" w14:textId="77777777" w:rsidTr="00000861">
        <w:trPr>
          <w:trHeight w:val="684"/>
        </w:trPr>
        <w:tc>
          <w:tcPr>
            <w:tcW w:w="1413" w:type="dxa"/>
            <w:noWrap/>
            <w:hideMark/>
          </w:tcPr>
          <w:p w14:paraId="6A8D1D3B" w14:textId="77777777" w:rsidR="009C2133" w:rsidRPr="00700E01" w:rsidRDefault="009C2133" w:rsidP="00000861">
            <w:pPr>
              <w:rPr>
                <w:rFonts w:asciiTheme="majorHAnsi" w:hAnsiTheme="majorHAnsi" w:cs="Calibri"/>
                <w:color w:val="000000"/>
              </w:rPr>
            </w:pPr>
            <w:r w:rsidRPr="00700E01">
              <w:rPr>
                <w:rFonts w:asciiTheme="majorHAnsi" w:hAnsiTheme="majorHAnsi"/>
                <w:color w:val="000000"/>
              </w:rPr>
              <w:t>Reino Unido</w:t>
            </w:r>
          </w:p>
        </w:tc>
        <w:tc>
          <w:tcPr>
            <w:tcW w:w="7747" w:type="dxa"/>
            <w:hideMark/>
          </w:tcPr>
          <w:p w14:paraId="42A74FC7" w14:textId="77777777" w:rsidR="009C2133" w:rsidRPr="00700E01" w:rsidRDefault="009C2133" w:rsidP="00000861">
            <w:pPr>
              <w:jc w:val="both"/>
              <w:rPr>
                <w:rFonts w:asciiTheme="majorHAnsi" w:hAnsiTheme="majorHAnsi" w:cs="Calibri"/>
                <w:color w:val="000000"/>
              </w:rPr>
            </w:pPr>
            <w:r w:rsidRPr="00700E01">
              <w:rPr>
                <w:rFonts w:asciiTheme="majorHAnsi" w:hAnsiTheme="majorHAnsi"/>
              </w:rPr>
              <w:t>El 13 de julio de 2026, RU Met. presentó el CP39-AccAgr (Formulario B) que contiene el resumen de actividades y capturas para el acuerdo de acceso recíproco de 2025 para el atún blanco del Atlántico norte con la Unión Europea.</w:t>
            </w:r>
          </w:p>
        </w:tc>
      </w:tr>
    </w:tbl>
    <w:p w14:paraId="269307F9" w14:textId="77777777" w:rsidR="009C2133" w:rsidRPr="00364A87" w:rsidRDefault="009C2133" w:rsidP="00820485">
      <w:pPr>
        <w:rPr>
          <w:rFonts w:asciiTheme="majorHAnsi" w:hAnsiTheme="majorHAnsi"/>
          <w:highlight w:val="green"/>
        </w:rPr>
      </w:pPr>
    </w:p>
    <w:p w14:paraId="750F9310" w14:textId="103D5C7F" w:rsidR="002C5323" w:rsidRPr="00536AB6" w:rsidRDefault="00305BFC" w:rsidP="00820485">
      <w:pPr>
        <w:tabs>
          <w:tab w:val="left" w:pos="1276"/>
          <w:tab w:val="left" w:pos="1418"/>
          <w:tab w:val="left" w:leader="dot" w:pos="8222"/>
          <w:tab w:val="right" w:pos="8647"/>
        </w:tabs>
        <w:jc w:val="both"/>
        <w:rPr>
          <w:rFonts w:asciiTheme="majorHAnsi" w:hAnsiTheme="majorHAnsi"/>
          <w:i/>
        </w:rPr>
      </w:pPr>
      <w:r>
        <w:rPr>
          <w:rFonts w:asciiTheme="majorHAnsi" w:hAnsiTheme="majorHAnsi"/>
          <w:i/>
        </w:rPr>
        <w:t>[Rec. 16-14] Recomendación de ICCAT para establecer unas normas mínimas para programas de observadores científicos en buques pesqueros</w:t>
      </w:r>
    </w:p>
    <w:p w14:paraId="7189B423" w14:textId="77777777" w:rsidR="00956609" w:rsidRPr="00364A87" w:rsidRDefault="00956609" w:rsidP="00820485">
      <w:pPr>
        <w:tabs>
          <w:tab w:val="left" w:pos="1276"/>
          <w:tab w:val="left" w:pos="1418"/>
          <w:tab w:val="left" w:leader="dot" w:pos="8222"/>
          <w:tab w:val="right" w:pos="8647"/>
        </w:tabs>
        <w:ind w:firstLine="426"/>
        <w:rPr>
          <w:rFonts w:asciiTheme="majorHAnsi" w:hAnsiTheme="majorHAnsi"/>
        </w:rPr>
      </w:pPr>
    </w:p>
    <w:p w14:paraId="07A6A320" w14:textId="47B16DDC" w:rsidR="0001572E" w:rsidRPr="00536AB6" w:rsidRDefault="00956609" w:rsidP="00820485">
      <w:pPr>
        <w:jc w:val="both"/>
        <w:rPr>
          <w:rFonts w:asciiTheme="majorHAnsi" w:hAnsiTheme="majorHAnsi"/>
          <w:bCs/>
          <w:iCs/>
        </w:rPr>
      </w:pPr>
      <w:r>
        <w:rPr>
          <w:rFonts w:asciiTheme="majorHAnsi" w:hAnsiTheme="majorHAnsi"/>
        </w:rPr>
        <w:t xml:space="preserve">Varias CPC han indicado dificultades a la hora de implementar el programa de observadores científicos. </w:t>
      </w:r>
      <w:r>
        <w:t xml:space="preserve">En los documentos </w:t>
      </w:r>
      <w:r>
        <w:rPr>
          <w:rFonts w:asciiTheme="majorHAnsi" w:hAnsiTheme="majorHAnsi"/>
        </w:rPr>
        <w:t>"Informe de la Secretaría de ICCAT sobre investigación y estadísticas de 2026</w:t>
      </w:r>
      <w:bookmarkStart w:id="27" w:name="_Hlk46402389"/>
      <w:r>
        <w:rPr>
          <w:rFonts w:asciiTheme="majorHAnsi" w:hAnsiTheme="majorHAnsi"/>
        </w:rPr>
        <w:t>"</w:t>
      </w:r>
      <w:bookmarkEnd w:id="27"/>
      <w:r>
        <w:rPr>
          <w:rFonts w:asciiTheme="majorHAnsi" w:hAnsiTheme="majorHAnsi"/>
        </w:rPr>
        <w:t xml:space="preserve"> [PLE_105/2026] e "Información sobre la aplicación de los programas de observadores científicos tal y como ha sido comunicada por las CPC" [COC_318/2026] se incluye un resumen de los programas de observadores de las CPC.</w:t>
      </w:r>
    </w:p>
    <w:p w14:paraId="6699FE62" w14:textId="77777777" w:rsidR="00750FDA" w:rsidRPr="00364A87" w:rsidRDefault="00750FDA" w:rsidP="00820485">
      <w:pPr>
        <w:jc w:val="both"/>
        <w:rPr>
          <w:rFonts w:asciiTheme="majorHAnsi" w:hAnsiTheme="majorHAnsi"/>
          <w:bCs/>
          <w:iCs/>
        </w:rPr>
      </w:pPr>
    </w:p>
    <w:p w14:paraId="459FA4EF" w14:textId="5D095D35" w:rsidR="006937ED" w:rsidRPr="00536AB6" w:rsidRDefault="006937ED" w:rsidP="005B120F">
      <w:pPr>
        <w:tabs>
          <w:tab w:val="left" w:pos="1276"/>
          <w:tab w:val="left" w:pos="1418"/>
          <w:tab w:val="left" w:leader="dot" w:pos="8222"/>
          <w:tab w:val="right" w:pos="8647"/>
        </w:tabs>
        <w:rPr>
          <w:rFonts w:asciiTheme="majorHAnsi" w:hAnsiTheme="majorHAnsi"/>
          <w:bCs/>
        </w:rPr>
      </w:pPr>
      <w:r>
        <w:rPr>
          <w:rFonts w:asciiTheme="majorHAnsi" w:hAnsiTheme="majorHAnsi"/>
          <w:i/>
        </w:rPr>
        <w:t>[Rec. 24-15] Recomendación de ICCAT que enmienda la Recomendación 21-15 sobre transbordo</w:t>
      </w:r>
    </w:p>
    <w:p w14:paraId="0179C9E5" w14:textId="77777777" w:rsidR="00ED04E9" w:rsidRPr="00364A87" w:rsidRDefault="00ED04E9" w:rsidP="00820485">
      <w:pPr>
        <w:tabs>
          <w:tab w:val="left" w:pos="1276"/>
          <w:tab w:val="left" w:pos="1418"/>
          <w:tab w:val="left" w:leader="dot" w:pos="8222"/>
          <w:tab w:val="right" w:pos="8647"/>
        </w:tabs>
        <w:jc w:val="both"/>
        <w:rPr>
          <w:rFonts w:asciiTheme="majorHAnsi" w:hAnsiTheme="majorHAnsi"/>
        </w:rPr>
      </w:pPr>
    </w:p>
    <w:p w14:paraId="1C0D34A2" w14:textId="513055EC" w:rsidR="006F533F" w:rsidRPr="00536AB6" w:rsidRDefault="006F533F" w:rsidP="0042078C">
      <w:pPr>
        <w:tabs>
          <w:tab w:val="left" w:pos="1276"/>
          <w:tab w:val="left" w:pos="1418"/>
          <w:tab w:val="left" w:leader="dot" w:pos="8222"/>
          <w:tab w:val="right" w:pos="8647"/>
        </w:tabs>
        <w:jc w:val="both"/>
        <w:rPr>
          <w:rFonts w:asciiTheme="majorHAnsi" w:hAnsiTheme="majorHAnsi"/>
        </w:rPr>
      </w:pPr>
      <w:r>
        <w:rPr>
          <w:rFonts w:asciiTheme="majorHAnsi" w:hAnsiTheme="majorHAnsi"/>
        </w:rPr>
        <w:t xml:space="preserve">En el sitio web de ICCAT, en el </w:t>
      </w:r>
      <w:hyperlink r:id="rId34" w:history="1">
        <w:r>
          <w:rPr>
            <w:rStyle w:val="Hyperlink"/>
            <w:rFonts w:asciiTheme="majorHAnsi" w:hAnsiTheme="majorHAnsi"/>
            <w:u w:val="none"/>
          </w:rPr>
          <w:t>Registro ICCAT de buques</w:t>
        </w:r>
      </w:hyperlink>
      <w:r>
        <w:rPr>
          <w:rFonts w:asciiTheme="majorHAnsi" w:hAnsiTheme="majorHAnsi"/>
        </w:rPr>
        <w:t xml:space="preserve">, se publican los buques de transporte y los LPLV asociados. </w:t>
      </w:r>
    </w:p>
    <w:p w14:paraId="42C6ED1D" w14:textId="77777777" w:rsidR="00693B86" w:rsidRPr="00364A87" w:rsidRDefault="00693B86" w:rsidP="0042078C">
      <w:pPr>
        <w:tabs>
          <w:tab w:val="left" w:pos="1276"/>
          <w:tab w:val="left" w:pos="1418"/>
          <w:tab w:val="left" w:leader="dot" w:pos="8222"/>
          <w:tab w:val="right" w:pos="8647"/>
        </w:tabs>
        <w:jc w:val="both"/>
        <w:rPr>
          <w:rFonts w:asciiTheme="majorHAnsi" w:hAnsiTheme="majorHAnsi"/>
        </w:rPr>
      </w:pPr>
    </w:p>
    <w:p w14:paraId="073A63E3" w14:textId="7C791197" w:rsidR="0036435B" w:rsidRPr="00536AB6" w:rsidRDefault="0064289F" w:rsidP="0042078C">
      <w:pPr>
        <w:tabs>
          <w:tab w:val="left" w:pos="1276"/>
          <w:tab w:val="left" w:pos="1418"/>
          <w:tab w:val="left" w:leader="dot" w:pos="8222"/>
          <w:tab w:val="right" w:pos="8647"/>
        </w:tabs>
        <w:jc w:val="both"/>
        <w:rPr>
          <w:rFonts w:asciiTheme="majorHAnsi" w:hAnsiTheme="majorHAnsi"/>
        </w:rPr>
      </w:pPr>
      <w:r>
        <w:rPr>
          <w:rFonts w:asciiTheme="majorHAnsi" w:hAnsiTheme="majorHAnsi"/>
        </w:rPr>
        <w:t>El “Informe sobre la implementación del Programa regional de observadores de ICCAT (ROP) para el transbordo 2025/2026” [PWG_402/2026] contiene más información. Los casos de posibles incumplimientos comunicados por los observadores, junto con las respuestas de las CPC, están incluidos en el documento "Cuestiones de posible incumplimiento derivadas de los Programas regionales de observadores de ICCAT y respuestas" [COC_305/2026].</w:t>
      </w:r>
      <w:r>
        <w:rPr>
          <w:rFonts w:asciiTheme="majorHAnsi" w:hAnsiTheme="majorHAnsi"/>
          <w:b/>
        </w:rPr>
        <w:t xml:space="preserve"> </w:t>
      </w:r>
      <w:r>
        <w:rPr>
          <w:rFonts w:asciiTheme="majorHAnsi" w:hAnsiTheme="majorHAnsi"/>
        </w:rPr>
        <w:t xml:space="preserve">Los informes de los observadores se han publicado en el </w:t>
      </w:r>
      <w:hyperlink r:id="rId35" w:history="1">
        <w:r>
          <w:rPr>
            <w:rStyle w:val="Hyperlink"/>
            <w:rFonts w:asciiTheme="majorHAnsi" w:hAnsiTheme="majorHAnsi"/>
            <w:u w:val="none"/>
          </w:rPr>
          <w:t>sitio web de ICCAT</w:t>
        </w:r>
      </w:hyperlink>
      <w:r>
        <w:rPr>
          <w:rFonts w:asciiTheme="majorHAnsi" w:hAnsiTheme="majorHAnsi"/>
        </w:rPr>
        <w:t xml:space="preserve"> tal y como requiere la Recomendación.  </w:t>
      </w:r>
    </w:p>
    <w:p w14:paraId="43F4B663" w14:textId="77777777" w:rsidR="004C26B5" w:rsidRPr="00364A87" w:rsidRDefault="004C26B5" w:rsidP="0042078C">
      <w:pPr>
        <w:tabs>
          <w:tab w:val="left" w:pos="1276"/>
          <w:tab w:val="left" w:pos="1418"/>
          <w:tab w:val="left" w:leader="dot" w:pos="8222"/>
          <w:tab w:val="right" w:pos="8647"/>
        </w:tabs>
        <w:jc w:val="both"/>
        <w:rPr>
          <w:rFonts w:asciiTheme="majorHAnsi" w:hAnsiTheme="majorHAnsi"/>
        </w:rPr>
      </w:pPr>
    </w:p>
    <w:p w14:paraId="11A58007" w14:textId="3A4654FF" w:rsidR="000330F3" w:rsidRPr="00536AB6" w:rsidRDefault="000330F3" w:rsidP="0042078C">
      <w:pPr>
        <w:jc w:val="both"/>
        <w:rPr>
          <w:rFonts w:asciiTheme="majorHAnsi" w:hAnsiTheme="majorHAnsi"/>
        </w:rPr>
      </w:pPr>
      <w:r>
        <w:rPr>
          <w:rFonts w:asciiTheme="majorHAnsi" w:hAnsiTheme="majorHAnsi"/>
        </w:rPr>
        <w:t>En los últimos años, se han presentado varias declaraciones de transbordo sin ajustarse a un requisito específico. Esto ha supuesto un gran reto para la Secretaría de ICCAT a la hora de determinar qué documentos se ajustan a las Recomendaciones de ICCAT. El problema se ve agravado por el hecho de que algunas CPC siguen enviando información no obligatoria, lo que supone una carga adicional significativa para la Secretaría de ICCAT en cuanto al registro y la revisión de envíos irrelevantes. Esto también impide seriamente el procesamiento adecuado de la información relevante. A menudo, esto se debe a que la Secretaría de ICCAT recibe copias innecesarias de este tipo de comunicaciones, lo que claramente podría evitarse.</w:t>
      </w:r>
    </w:p>
    <w:p w14:paraId="3599B71F" w14:textId="77777777" w:rsidR="0088151D" w:rsidRPr="00364A87" w:rsidRDefault="0088151D" w:rsidP="00820485">
      <w:pPr>
        <w:rPr>
          <w:rFonts w:asciiTheme="majorHAnsi" w:hAnsiTheme="majorHAnsi"/>
        </w:rPr>
      </w:pPr>
    </w:p>
    <w:p w14:paraId="58DCD17D" w14:textId="71AA2B90" w:rsidR="009B1C06" w:rsidRPr="00536AB6" w:rsidRDefault="009B1C06" w:rsidP="000371A1">
      <w:pPr>
        <w:pBdr>
          <w:top w:val="single" w:sz="4" w:space="1" w:color="auto"/>
          <w:left w:val="single" w:sz="4" w:space="0" w:color="auto"/>
          <w:bottom w:val="single" w:sz="4" w:space="1" w:color="auto"/>
          <w:right w:val="single" w:sz="4" w:space="4" w:color="auto"/>
        </w:pBdr>
        <w:jc w:val="both"/>
        <w:rPr>
          <w:rFonts w:asciiTheme="majorHAnsi" w:hAnsiTheme="majorHAnsi"/>
        </w:rPr>
      </w:pPr>
      <w:bookmarkStart w:id="28" w:name="_Hlk173150431"/>
      <w:r>
        <w:rPr>
          <w:rFonts w:asciiTheme="majorHAnsi" w:hAnsiTheme="majorHAnsi"/>
          <w:b/>
        </w:rPr>
        <w:t>Solicitud de la Secretaría de ICCAT</w:t>
      </w:r>
      <w:r>
        <w:rPr>
          <w:rFonts w:asciiTheme="majorHAnsi" w:hAnsiTheme="majorHAnsi"/>
        </w:rPr>
        <w:t xml:space="preserve">: Las CPC se limitarán a presentar a la Secretaría de ICCAT únicamente la documentación requerida por la Recomendación, y utilizarán los formatos aprobados por ICCAT cuando proceda. </w:t>
      </w:r>
    </w:p>
    <w:bookmarkEnd w:id="28"/>
    <w:p w14:paraId="27604E8B" w14:textId="77777777" w:rsidR="009B1C06" w:rsidRPr="00364A87" w:rsidRDefault="009B1C06" w:rsidP="00820485">
      <w:pPr>
        <w:tabs>
          <w:tab w:val="left" w:pos="1276"/>
          <w:tab w:val="left" w:pos="1418"/>
          <w:tab w:val="left" w:leader="dot" w:pos="8222"/>
          <w:tab w:val="right" w:pos="8647"/>
        </w:tabs>
        <w:jc w:val="both"/>
        <w:rPr>
          <w:rFonts w:asciiTheme="majorHAnsi" w:hAnsiTheme="majorHAnsi"/>
        </w:rPr>
      </w:pPr>
    </w:p>
    <w:p w14:paraId="4A063896" w14:textId="30D17DEC" w:rsidR="002942B7" w:rsidRPr="00536AB6" w:rsidRDefault="002942B7" w:rsidP="00B66704">
      <w:pPr>
        <w:tabs>
          <w:tab w:val="left" w:pos="1276"/>
          <w:tab w:val="left" w:pos="1418"/>
          <w:tab w:val="left" w:leader="dot" w:pos="8222"/>
          <w:tab w:val="right" w:pos="8647"/>
        </w:tabs>
        <w:jc w:val="both"/>
        <w:rPr>
          <w:rFonts w:asciiTheme="majorHAnsi" w:hAnsiTheme="majorHAnsi"/>
          <w:iCs/>
        </w:rPr>
      </w:pPr>
      <w:r>
        <w:rPr>
          <w:rFonts w:asciiTheme="majorHAnsi" w:hAnsiTheme="majorHAnsi"/>
          <w:i/>
        </w:rPr>
        <w:t>[</w:t>
      </w:r>
      <w:r w:rsidR="00700E01">
        <w:rPr>
          <w:rFonts w:asciiTheme="majorHAnsi" w:hAnsiTheme="majorHAnsi"/>
          <w:i/>
        </w:rPr>
        <w:t xml:space="preserve">Rec. </w:t>
      </w:r>
      <w:r>
        <w:rPr>
          <w:rFonts w:asciiTheme="majorHAnsi" w:hAnsiTheme="majorHAnsi"/>
          <w:i/>
        </w:rPr>
        <w:t>19-09] Recomendación de ICCAT sobre avistamientos de buques</w:t>
      </w:r>
    </w:p>
    <w:p w14:paraId="6BB5C01C" w14:textId="77777777" w:rsidR="002942B7" w:rsidRPr="00364A87" w:rsidRDefault="002942B7" w:rsidP="00B66704">
      <w:pPr>
        <w:tabs>
          <w:tab w:val="left" w:pos="1276"/>
          <w:tab w:val="left" w:pos="1418"/>
          <w:tab w:val="left" w:leader="dot" w:pos="8222"/>
          <w:tab w:val="right" w:pos="8647"/>
        </w:tabs>
        <w:jc w:val="both"/>
        <w:rPr>
          <w:rFonts w:asciiTheme="majorHAnsi" w:hAnsiTheme="majorHAnsi"/>
          <w:i/>
        </w:rPr>
      </w:pPr>
    </w:p>
    <w:p w14:paraId="7270D9BC" w14:textId="17FBB0E1" w:rsidR="00BC4148" w:rsidRPr="00536AB6" w:rsidRDefault="00BC4148" w:rsidP="00B66704">
      <w:pPr>
        <w:jc w:val="both"/>
        <w:rPr>
          <w:rStyle w:val="ui-provider"/>
          <w:rFonts w:asciiTheme="majorHAnsi" w:hAnsiTheme="majorHAnsi"/>
        </w:rPr>
      </w:pPr>
      <w:r w:rsidRPr="00E74595">
        <w:rPr>
          <w:rStyle w:val="ui-provider"/>
          <w:rFonts w:asciiTheme="majorHAnsi" w:hAnsiTheme="majorHAnsi"/>
        </w:rPr>
        <w:t>A fecha de elaboración del presente documento, no se había registrado ningún avistamiento de buques en 2026.</w:t>
      </w:r>
    </w:p>
    <w:p w14:paraId="1C82F605" w14:textId="77777777" w:rsidR="0050673F" w:rsidRPr="00364A87" w:rsidRDefault="0050673F" w:rsidP="00B66704">
      <w:pPr>
        <w:jc w:val="both"/>
        <w:rPr>
          <w:rFonts w:asciiTheme="majorHAnsi" w:hAnsiTheme="majorHAnsi"/>
        </w:rPr>
      </w:pPr>
    </w:p>
    <w:p w14:paraId="4E77701D" w14:textId="0EE492BB" w:rsidR="000C3FE0" w:rsidRPr="00536AB6" w:rsidRDefault="00700E01" w:rsidP="00B66704">
      <w:pPr>
        <w:jc w:val="both"/>
        <w:rPr>
          <w:rFonts w:asciiTheme="majorHAnsi" w:hAnsiTheme="majorHAnsi"/>
          <w:iCs/>
        </w:rPr>
      </w:pPr>
      <w:r>
        <w:rPr>
          <w:rFonts w:asciiTheme="majorHAnsi" w:hAnsiTheme="majorHAnsi"/>
          <w:i/>
        </w:rPr>
        <w:t xml:space="preserve">[Rec. </w:t>
      </w:r>
      <w:r w:rsidR="000C3FE0">
        <w:rPr>
          <w:i/>
          <w:iCs/>
        </w:rPr>
        <w:t>19-10]</w:t>
      </w:r>
      <w:r w:rsidR="000C3FE0">
        <w:rPr>
          <w:i/>
        </w:rPr>
        <w:t xml:space="preserve"> </w:t>
      </w:r>
      <w:hyperlink r:id="rId36" w:tgtFrame="_blank" w:history="1">
        <w:r w:rsidR="000C3FE0">
          <w:rPr>
            <w:rFonts w:asciiTheme="majorHAnsi" w:hAnsiTheme="majorHAnsi"/>
            <w:i/>
          </w:rPr>
          <w:t>Recomendación de ICCAT para proteger la salud y la seguridad de los observadores en los programas regionales de observadores de ICCAT</w:t>
        </w:r>
      </w:hyperlink>
      <w:r w:rsidR="000C3FE0">
        <w:rPr>
          <w:rFonts w:asciiTheme="majorHAnsi" w:hAnsiTheme="majorHAnsi"/>
          <w:i/>
        </w:rPr>
        <w:t xml:space="preserve"> </w:t>
      </w:r>
    </w:p>
    <w:p w14:paraId="5714DF27" w14:textId="77777777" w:rsidR="000C3FE0" w:rsidRPr="00364A87" w:rsidRDefault="000C3FE0" w:rsidP="00B66704">
      <w:pPr>
        <w:jc w:val="both"/>
        <w:rPr>
          <w:rFonts w:asciiTheme="majorHAnsi" w:hAnsiTheme="majorHAnsi"/>
          <w:iCs/>
        </w:rPr>
      </w:pPr>
    </w:p>
    <w:p w14:paraId="602760F3" w14:textId="332F075C" w:rsidR="000C3FE0" w:rsidRPr="00536AB6" w:rsidRDefault="004B0190" w:rsidP="00B66704">
      <w:pPr>
        <w:jc w:val="both"/>
        <w:rPr>
          <w:rFonts w:asciiTheme="majorHAnsi" w:hAnsiTheme="majorHAnsi"/>
        </w:rPr>
      </w:pPr>
      <w:r>
        <w:rPr>
          <w:rFonts w:asciiTheme="majorHAnsi" w:hAnsiTheme="majorHAnsi"/>
        </w:rPr>
        <w:t xml:space="preserve">Hasta la fecha se han recibido </w:t>
      </w:r>
      <w:hyperlink r:id="rId37" w:history="1">
        <w:r w:rsidRPr="00E74595">
          <w:rPr>
            <w:rStyle w:val="Hyperlink"/>
            <w:rFonts w:asciiTheme="majorHAnsi" w:hAnsiTheme="majorHAnsi"/>
            <w:color w:val="auto"/>
            <w:u w:val="none"/>
          </w:rPr>
          <w:t xml:space="preserve">19 </w:t>
        </w:r>
        <w:r>
          <w:rPr>
            <w:rStyle w:val="Hyperlink"/>
            <w:rFonts w:asciiTheme="majorHAnsi" w:hAnsiTheme="majorHAnsi"/>
            <w:u w:val="none"/>
          </w:rPr>
          <w:t>Planes de acción de emergencia</w:t>
        </w:r>
      </w:hyperlink>
      <w:r>
        <w:rPr>
          <w:rFonts w:asciiTheme="majorHAnsi" w:hAnsiTheme="majorHAnsi"/>
        </w:rPr>
        <w:t>.</w:t>
      </w:r>
    </w:p>
    <w:p w14:paraId="42241013" w14:textId="77777777" w:rsidR="004B0190" w:rsidRPr="00364A87" w:rsidRDefault="004B0190" w:rsidP="00820485">
      <w:pPr>
        <w:jc w:val="both"/>
        <w:rPr>
          <w:rFonts w:asciiTheme="majorHAnsi" w:hAnsiTheme="majorHAnsi"/>
          <w:iCs/>
        </w:rPr>
      </w:pPr>
    </w:p>
    <w:p w14:paraId="4625079C" w14:textId="77777777" w:rsidR="003A2E70" w:rsidRPr="00364A87" w:rsidRDefault="003A2E70" w:rsidP="00820485">
      <w:pPr>
        <w:jc w:val="both"/>
        <w:rPr>
          <w:rFonts w:asciiTheme="majorHAnsi" w:hAnsiTheme="majorHAnsi"/>
          <w:iCs/>
        </w:rPr>
      </w:pPr>
    </w:p>
    <w:p w14:paraId="0DA69D91" w14:textId="77777777" w:rsidR="00F225F3" w:rsidRPr="00536AB6" w:rsidRDefault="00F225F3" w:rsidP="00820485">
      <w:pPr>
        <w:pStyle w:val="Heading7"/>
        <w:ind w:firstLine="0"/>
        <w:rPr>
          <w:rFonts w:asciiTheme="majorHAnsi" w:hAnsiTheme="majorHAnsi"/>
        </w:rPr>
      </w:pPr>
      <w:r>
        <w:rPr>
          <w:rFonts w:asciiTheme="majorHAnsi" w:hAnsiTheme="majorHAnsi"/>
        </w:rPr>
        <w:t xml:space="preserve">SANC </w:t>
      </w:r>
      <w:proofErr w:type="gramStart"/>
      <w:r>
        <w:rPr>
          <w:rFonts w:asciiTheme="majorHAnsi" w:hAnsiTheme="majorHAnsi"/>
        </w:rPr>
        <w:t>-  SANCIONES</w:t>
      </w:r>
      <w:proofErr w:type="gramEnd"/>
      <w:r>
        <w:rPr>
          <w:rFonts w:asciiTheme="majorHAnsi" w:hAnsiTheme="majorHAnsi"/>
        </w:rPr>
        <w:t>, MEDIDAS RELACIONADAS CON EL COMERCIO</w:t>
      </w:r>
    </w:p>
    <w:p w14:paraId="4BF77A39" w14:textId="77777777" w:rsidR="00F225F3" w:rsidRPr="00364A87" w:rsidRDefault="00F225F3" w:rsidP="00820485">
      <w:pPr>
        <w:tabs>
          <w:tab w:val="left" w:pos="1276"/>
          <w:tab w:val="left" w:pos="1418"/>
          <w:tab w:val="left" w:leader="dot" w:pos="8222"/>
          <w:tab w:val="right" w:pos="8647"/>
        </w:tabs>
        <w:ind w:firstLine="425"/>
        <w:rPr>
          <w:rFonts w:asciiTheme="majorHAnsi" w:hAnsiTheme="majorHAnsi"/>
          <w:strike/>
        </w:rPr>
      </w:pPr>
    </w:p>
    <w:p w14:paraId="7018BF89" w14:textId="75233B92" w:rsidR="00F225F3" w:rsidRPr="00536AB6" w:rsidRDefault="006F1327" w:rsidP="00820485">
      <w:pPr>
        <w:tabs>
          <w:tab w:val="left" w:pos="1276"/>
          <w:tab w:val="left" w:pos="1418"/>
          <w:tab w:val="left" w:leader="dot" w:pos="8222"/>
          <w:tab w:val="right" w:pos="8647"/>
        </w:tabs>
        <w:rPr>
          <w:rFonts w:asciiTheme="majorHAnsi" w:hAnsiTheme="majorHAnsi"/>
        </w:rPr>
      </w:pPr>
      <w:r>
        <w:rPr>
          <w:rFonts w:asciiTheme="majorHAnsi" w:hAnsiTheme="majorHAnsi"/>
        </w:rPr>
        <w:t>No hay medidas activas actualmente.</w:t>
      </w:r>
    </w:p>
    <w:p w14:paraId="0078DB04" w14:textId="77777777" w:rsidR="00CE1AD3" w:rsidRPr="00364A87" w:rsidRDefault="00CE1AD3" w:rsidP="00820485">
      <w:pPr>
        <w:tabs>
          <w:tab w:val="left" w:pos="1276"/>
          <w:tab w:val="left" w:pos="1418"/>
          <w:tab w:val="left" w:leader="dot" w:pos="8222"/>
          <w:tab w:val="right" w:pos="8647"/>
        </w:tabs>
        <w:ind w:firstLine="425"/>
        <w:rPr>
          <w:rFonts w:asciiTheme="majorHAnsi" w:hAnsiTheme="majorHAnsi"/>
        </w:rPr>
      </w:pPr>
    </w:p>
    <w:p w14:paraId="08DA932A" w14:textId="77777777" w:rsidR="000371A1" w:rsidRPr="00364A87" w:rsidRDefault="000371A1" w:rsidP="00820485">
      <w:pPr>
        <w:tabs>
          <w:tab w:val="left" w:pos="1276"/>
          <w:tab w:val="left" w:pos="1418"/>
          <w:tab w:val="left" w:leader="dot" w:pos="8222"/>
          <w:tab w:val="right" w:pos="8647"/>
        </w:tabs>
        <w:ind w:firstLine="425"/>
        <w:rPr>
          <w:rFonts w:asciiTheme="majorHAnsi" w:hAnsiTheme="majorHAnsi"/>
        </w:rPr>
      </w:pPr>
    </w:p>
    <w:p w14:paraId="3776DFD3" w14:textId="77777777" w:rsidR="00F225F3" w:rsidRPr="00536AB6" w:rsidRDefault="00F225F3" w:rsidP="00820485">
      <w:pPr>
        <w:pStyle w:val="Heading7"/>
        <w:ind w:firstLine="0"/>
        <w:rPr>
          <w:rFonts w:asciiTheme="majorHAnsi" w:hAnsiTheme="majorHAnsi"/>
        </w:rPr>
      </w:pPr>
      <w:r>
        <w:rPr>
          <w:rFonts w:asciiTheme="majorHAnsi" w:hAnsiTheme="majorHAnsi"/>
        </w:rPr>
        <w:t xml:space="preserve">SDP - PROGRAMAS DE DOCUMENTO ESTADÍSTICO </w:t>
      </w:r>
    </w:p>
    <w:p w14:paraId="66758468" w14:textId="77777777" w:rsidR="00F225F3" w:rsidRPr="00364A87" w:rsidRDefault="00F225F3" w:rsidP="00820485">
      <w:pPr>
        <w:tabs>
          <w:tab w:val="left" w:pos="1276"/>
          <w:tab w:val="left" w:pos="1418"/>
          <w:tab w:val="left" w:leader="dot" w:pos="8222"/>
          <w:tab w:val="right" w:pos="8647"/>
        </w:tabs>
        <w:ind w:firstLine="425"/>
        <w:rPr>
          <w:rFonts w:asciiTheme="majorHAnsi" w:hAnsiTheme="majorHAnsi"/>
        </w:rPr>
      </w:pPr>
    </w:p>
    <w:p w14:paraId="45657E85" w14:textId="1CF14AFB" w:rsidR="00F225F3" w:rsidRPr="00536AB6" w:rsidRDefault="00700E01" w:rsidP="00820485">
      <w:pPr>
        <w:tabs>
          <w:tab w:val="left" w:pos="1276"/>
          <w:tab w:val="left" w:pos="1418"/>
          <w:tab w:val="left" w:leader="dot" w:pos="8222"/>
          <w:tab w:val="right" w:pos="8647"/>
        </w:tabs>
        <w:rPr>
          <w:rFonts w:asciiTheme="majorHAnsi" w:hAnsiTheme="majorHAnsi"/>
          <w:i/>
        </w:rPr>
      </w:pPr>
      <w:r>
        <w:rPr>
          <w:rFonts w:asciiTheme="majorHAnsi" w:hAnsiTheme="majorHAnsi"/>
          <w:i/>
        </w:rPr>
        <w:t xml:space="preserve">[Rec. </w:t>
      </w:r>
      <w:r w:rsidR="00F225F3">
        <w:rPr>
          <w:rFonts w:asciiTheme="majorHAnsi" w:hAnsiTheme="majorHAnsi"/>
          <w:i/>
        </w:rPr>
        <w:t xml:space="preserve">01-21] Recomendación de ICCAT sobre el Programa de documento estadístico ICCAT para el patudo </w:t>
      </w:r>
    </w:p>
    <w:p w14:paraId="7CFC3D0E" w14:textId="77777777" w:rsidR="003A2E70" w:rsidRPr="00364A87" w:rsidRDefault="003A2E70" w:rsidP="003A2E70">
      <w:pPr>
        <w:tabs>
          <w:tab w:val="left" w:pos="1276"/>
          <w:tab w:val="left" w:pos="1418"/>
          <w:tab w:val="left" w:leader="dot" w:pos="8222"/>
          <w:tab w:val="right" w:pos="8647"/>
        </w:tabs>
        <w:rPr>
          <w:rFonts w:asciiTheme="majorHAnsi" w:hAnsiTheme="majorHAnsi"/>
          <w:i/>
        </w:rPr>
      </w:pPr>
    </w:p>
    <w:p w14:paraId="6968BE4F" w14:textId="0690D306" w:rsidR="0086709D" w:rsidRPr="00536AB6" w:rsidRDefault="00882FCC" w:rsidP="003A2E70">
      <w:pPr>
        <w:tabs>
          <w:tab w:val="left" w:pos="1276"/>
          <w:tab w:val="left" w:pos="1418"/>
          <w:tab w:val="left" w:leader="dot" w:pos="8222"/>
          <w:tab w:val="right" w:pos="8647"/>
        </w:tabs>
        <w:jc w:val="both"/>
        <w:rPr>
          <w:rFonts w:asciiTheme="majorHAnsi" w:hAnsiTheme="majorHAnsi"/>
        </w:rPr>
      </w:pPr>
      <w:r>
        <w:rPr>
          <w:rFonts w:asciiTheme="majorHAnsi" w:hAnsiTheme="majorHAnsi"/>
        </w:rPr>
        <w:t xml:space="preserve">Puede consultarse la información en el “Informe de la Secretaría al Grupo de trabajo permanente para la mejora de las estadísticas de ICCAT y de sus medidas de conservación (GTP)” [PWG_401/2026] y en el “Informe de la Secretaría de ICCAT sobre investigación y estadísticas de 2026” [PLE_105/2026]. </w:t>
      </w:r>
    </w:p>
    <w:p w14:paraId="7A03F80A" w14:textId="77777777" w:rsidR="0086709D" w:rsidRPr="00364A87" w:rsidRDefault="0086709D" w:rsidP="00820485">
      <w:pPr>
        <w:tabs>
          <w:tab w:val="left" w:pos="1276"/>
          <w:tab w:val="left" w:pos="1418"/>
          <w:tab w:val="left" w:leader="dot" w:pos="8222"/>
          <w:tab w:val="right" w:pos="8647"/>
        </w:tabs>
        <w:ind w:firstLine="426"/>
        <w:rPr>
          <w:rFonts w:asciiTheme="majorHAnsi" w:hAnsiTheme="majorHAnsi"/>
        </w:rPr>
      </w:pPr>
    </w:p>
    <w:p w14:paraId="0A1DA1FB" w14:textId="1AB8DD50" w:rsidR="00F225F3" w:rsidRPr="00536AB6" w:rsidRDefault="00700E01" w:rsidP="00820485">
      <w:pPr>
        <w:tabs>
          <w:tab w:val="left" w:pos="1276"/>
          <w:tab w:val="left" w:pos="1418"/>
          <w:tab w:val="left" w:leader="dot" w:pos="8222"/>
          <w:tab w:val="right" w:pos="8647"/>
        </w:tabs>
        <w:rPr>
          <w:rFonts w:asciiTheme="majorHAnsi" w:hAnsiTheme="majorHAnsi"/>
          <w:i/>
        </w:rPr>
      </w:pPr>
      <w:r>
        <w:rPr>
          <w:rFonts w:asciiTheme="majorHAnsi" w:hAnsiTheme="majorHAnsi"/>
          <w:i/>
        </w:rPr>
        <w:t xml:space="preserve">[Rec. </w:t>
      </w:r>
      <w:r w:rsidR="00F225F3">
        <w:rPr>
          <w:rFonts w:asciiTheme="majorHAnsi" w:hAnsiTheme="majorHAnsi"/>
          <w:i/>
        </w:rPr>
        <w:t>01-22] Recomendación de ICCAT respecto a establecer un Programa de documento estadístico ICCAT para el pez espada</w:t>
      </w:r>
    </w:p>
    <w:p w14:paraId="2DDBC69E" w14:textId="77777777" w:rsidR="009E23A8" w:rsidRPr="00364A87" w:rsidRDefault="009E23A8" w:rsidP="00820485">
      <w:pPr>
        <w:tabs>
          <w:tab w:val="left" w:pos="1276"/>
          <w:tab w:val="left" w:pos="1418"/>
          <w:tab w:val="left" w:leader="dot" w:pos="8222"/>
          <w:tab w:val="right" w:pos="8647"/>
        </w:tabs>
        <w:ind w:firstLine="426"/>
        <w:rPr>
          <w:rFonts w:asciiTheme="majorHAnsi" w:hAnsiTheme="majorHAnsi"/>
          <w:i/>
        </w:rPr>
      </w:pPr>
    </w:p>
    <w:p w14:paraId="635F6A39" w14:textId="099CB0F2" w:rsidR="00BB0F5B" w:rsidRPr="00536AB6" w:rsidRDefault="004B0CAA" w:rsidP="00820485">
      <w:pPr>
        <w:tabs>
          <w:tab w:val="left" w:pos="300"/>
          <w:tab w:val="left" w:pos="700"/>
        </w:tabs>
        <w:jc w:val="both"/>
        <w:rPr>
          <w:rFonts w:asciiTheme="majorHAnsi" w:hAnsiTheme="majorHAnsi"/>
          <w:i/>
        </w:rPr>
      </w:pPr>
      <w:r>
        <w:rPr>
          <w:rFonts w:asciiTheme="majorHAnsi" w:hAnsiTheme="majorHAnsi"/>
        </w:rPr>
        <w:t xml:space="preserve">Algunas CPC siguen comunicando importaciones y reexportaciones tanto de patudo como de pez espada de pabellón desconocido y/o zona desconocida. </w:t>
      </w:r>
    </w:p>
    <w:p w14:paraId="5E7AE9D7" w14:textId="77777777" w:rsidR="0001572E" w:rsidRPr="00364A87" w:rsidRDefault="0001572E" w:rsidP="00820485">
      <w:pPr>
        <w:tabs>
          <w:tab w:val="left" w:pos="1276"/>
          <w:tab w:val="left" w:pos="1418"/>
          <w:tab w:val="left" w:leader="dot" w:pos="8222"/>
          <w:tab w:val="right" w:pos="8647"/>
        </w:tabs>
        <w:ind w:firstLine="426"/>
        <w:rPr>
          <w:rFonts w:asciiTheme="majorHAnsi" w:hAnsiTheme="majorHAnsi"/>
        </w:rPr>
      </w:pPr>
    </w:p>
    <w:p w14:paraId="2C69D4D8" w14:textId="4E887459" w:rsidR="009E23A8" w:rsidRPr="00536AB6" w:rsidRDefault="009E23A8" w:rsidP="006720E6">
      <w:pPr>
        <w:tabs>
          <w:tab w:val="left" w:pos="1276"/>
          <w:tab w:val="left" w:pos="1418"/>
          <w:tab w:val="left" w:leader="dot" w:pos="8222"/>
          <w:tab w:val="right" w:pos="8647"/>
        </w:tabs>
        <w:jc w:val="both"/>
        <w:rPr>
          <w:rFonts w:asciiTheme="majorHAnsi" w:hAnsiTheme="majorHAnsi"/>
        </w:rPr>
      </w:pPr>
      <w:r>
        <w:rPr>
          <w:rFonts w:asciiTheme="majorHAnsi" w:hAnsiTheme="majorHAnsi"/>
        </w:rPr>
        <w:t xml:space="preserve">Puede consultarse más información en el “Informe de la Secretaría al Grupo de trabajo permanente para la mejora de las estadísticas de ICCAT y de sus medidas de conservación (GTP)” [PWG_401/2026] y en el “Informe de la Secretaría de ICCAT sobre investigación y estadísticas de 2026” [PLE_105/2026]. </w:t>
      </w:r>
    </w:p>
    <w:p w14:paraId="2E0CE474" w14:textId="77777777" w:rsidR="00921BFC" w:rsidRPr="00364A87" w:rsidRDefault="00921BFC" w:rsidP="00820485">
      <w:pPr>
        <w:tabs>
          <w:tab w:val="left" w:pos="1276"/>
          <w:tab w:val="left" w:pos="1418"/>
          <w:tab w:val="left" w:leader="dot" w:pos="8222"/>
          <w:tab w:val="right" w:pos="8647"/>
        </w:tabs>
        <w:jc w:val="both"/>
        <w:rPr>
          <w:rFonts w:asciiTheme="majorHAnsi" w:hAnsiTheme="majorHAnsi"/>
        </w:rPr>
      </w:pPr>
    </w:p>
    <w:p w14:paraId="56631E50" w14:textId="369FE2F2" w:rsidR="000A08DF" w:rsidRPr="00536AB6" w:rsidRDefault="000A08DF" w:rsidP="000A08DF">
      <w:pPr>
        <w:tabs>
          <w:tab w:val="left" w:pos="1276"/>
          <w:tab w:val="left" w:pos="1418"/>
          <w:tab w:val="left" w:leader="dot" w:pos="8222"/>
          <w:tab w:val="right" w:pos="8647"/>
        </w:tabs>
        <w:jc w:val="both"/>
        <w:rPr>
          <w:rFonts w:asciiTheme="majorHAnsi" w:hAnsiTheme="majorHAnsi"/>
          <w:i/>
        </w:rPr>
      </w:pPr>
      <w:r>
        <w:rPr>
          <w:rFonts w:asciiTheme="majorHAnsi" w:hAnsiTheme="majorHAnsi"/>
          <w:i/>
        </w:rPr>
        <w:t>[</w:t>
      </w:r>
      <w:r w:rsidR="00D51ED1">
        <w:rPr>
          <w:rFonts w:asciiTheme="majorHAnsi" w:hAnsiTheme="majorHAnsi"/>
          <w:i/>
        </w:rPr>
        <w:t xml:space="preserve">Rec </w:t>
      </w:r>
      <w:r>
        <w:rPr>
          <w:rFonts w:asciiTheme="majorHAnsi" w:hAnsiTheme="majorHAnsi"/>
          <w:i/>
        </w:rPr>
        <w:t>23-21] Recomendación de ICCAT que enmienda y reemplaza la Recomendación 18-13 sobre el programa ICCAT de documentación de capturas de atún rojo</w:t>
      </w:r>
    </w:p>
    <w:p w14:paraId="7E9D6D63" w14:textId="77777777" w:rsidR="000A08DF" w:rsidRPr="00364A87" w:rsidRDefault="000A08DF" w:rsidP="00820485">
      <w:pPr>
        <w:tabs>
          <w:tab w:val="left" w:pos="1276"/>
          <w:tab w:val="left" w:pos="1418"/>
          <w:tab w:val="left" w:leader="dot" w:pos="8222"/>
          <w:tab w:val="right" w:pos="8647"/>
        </w:tabs>
        <w:jc w:val="both"/>
        <w:rPr>
          <w:rFonts w:asciiTheme="majorHAnsi" w:hAnsiTheme="majorHAnsi"/>
          <w:i/>
        </w:rPr>
      </w:pPr>
    </w:p>
    <w:p w14:paraId="3F7252B7" w14:textId="63E44E53" w:rsidR="00CB3F15" w:rsidRPr="00536AB6" w:rsidRDefault="00823FCE" w:rsidP="00820485">
      <w:pPr>
        <w:jc w:val="both"/>
        <w:rPr>
          <w:rFonts w:asciiTheme="majorHAnsi" w:hAnsiTheme="majorHAnsi"/>
        </w:rPr>
      </w:pPr>
      <w:r>
        <w:rPr>
          <w:rFonts w:asciiTheme="majorHAnsi" w:hAnsiTheme="majorHAnsi"/>
        </w:rPr>
        <w:t>Véase el “Informe de la Secretaría al Grupo de trabajo permanente para la mejora de las estadísticas de ICCAT y de sus medidas de conservación (GTP)” [PWG_401/2026] para obtener información sobre la implementación de la Rec. 23-21 en el marco del sistema eBCD. Véase también la Rec. 22-16 más abajo.</w:t>
      </w:r>
    </w:p>
    <w:p w14:paraId="2B944DB7" w14:textId="650737A6" w:rsidR="00695C7E" w:rsidRPr="00364A87" w:rsidRDefault="00695C7E" w:rsidP="00820485">
      <w:pPr>
        <w:jc w:val="both"/>
        <w:rPr>
          <w:rFonts w:asciiTheme="majorHAnsi" w:hAnsiTheme="majorHAnsi"/>
        </w:rPr>
      </w:pPr>
    </w:p>
    <w:p w14:paraId="0E627315" w14:textId="481BDEA3" w:rsidR="00A8171F" w:rsidRPr="00536AB6" w:rsidRDefault="0030656A" w:rsidP="005B120F">
      <w:pPr>
        <w:tabs>
          <w:tab w:val="left" w:pos="1276"/>
          <w:tab w:val="left" w:pos="1418"/>
          <w:tab w:val="left" w:leader="dot" w:pos="8222"/>
          <w:tab w:val="right" w:pos="8647"/>
        </w:tabs>
        <w:jc w:val="both"/>
        <w:rPr>
          <w:rFonts w:asciiTheme="majorHAnsi" w:hAnsiTheme="majorHAnsi"/>
          <w:bCs/>
          <w:i/>
          <w:iCs/>
        </w:rPr>
      </w:pPr>
      <w:r>
        <w:rPr>
          <w:rFonts w:asciiTheme="majorHAnsi" w:hAnsiTheme="majorHAnsi"/>
          <w:i/>
        </w:rPr>
        <w:t>[Rec. 24-16]</w:t>
      </w:r>
      <w:r>
        <w:rPr>
          <w:rFonts w:asciiTheme="majorHAnsi" w:hAnsiTheme="majorHAnsi"/>
          <w:i/>
        </w:rPr>
        <w:tab/>
        <w:t>Recomendación de ICCAT que enmienda la Recomendación 22-16 que enmienda la Recomendación 21-18 sobre la aplicación del sistema eBCD</w:t>
      </w:r>
    </w:p>
    <w:p w14:paraId="2477CFE0" w14:textId="77777777" w:rsidR="00E0556E" w:rsidRPr="00364A87" w:rsidRDefault="00E0556E" w:rsidP="005B120F">
      <w:pPr>
        <w:tabs>
          <w:tab w:val="left" w:pos="1276"/>
          <w:tab w:val="left" w:pos="1418"/>
          <w:tab w:val="left" w:leader="dot" w:pos="8222"/>
          <w:tab w:val="right" w:pos="8647"/>
        </w:tabs>
        <w:jc w:val="both"/>
        <w:rPr>
          <w:rFonts w:asciiTheme="majorHAnsi" w:hAnsiTheme="majorHAnsi"/>
          <w:i/>
        </w:rPr>
      </w:pPr>
    </w:p>
    <w:p w14:paraId="2F5F2911" w14:textId="090AB225" w:rsidR="000A49E1" w:rsidRPr="00536AB6" w:rsidRDefault="00EB5A53" w:rsidP="005E2BDD">
      <w:pPr>
        <w:widowControl/>
        <w:autoSpaceDE/>
        <w:autoSpaceDN/>
        <w:adjustRightInd/>
        <w:jc w:val="both"/>
        <w:rPr>
          <w:rFonts w:asciiTheme="majorHAnsi" w:hAnsiTheme="majorHAnsi"/>
          <w:bCs/>
        </w:rPr>
      </w:pPr>
      <w:r>
        <w:rPr>
          <w:rFonts w:asciiTheme="majorHAnsi" w:hAnsiTheme="majorHAnsi"/>
        </w:rPr>
        <w:t xml:space="preserve">De conformidad con el Anexo 3 de la Rec. 24-16, fuera del horario de oficina de la Secretaría de ICCAT y del horario de asistencia técnica contratado con el consorcio, cualquier CPC puede registrar un incidente en la </w:t>
      </w:r>
      <w:hyperlink r:id="rId38" w:history="1">
        <w:r>
          <w:rPr>
            <w:rStyle w:val="Hyperlink"/>
            <w:rFonts w:asciiTheme="majorHAnsi" w:hAnsiTheme="majorHAnsi"/>
            <w:u w:val="none"/>
          </w:rPr>
          <w:t xml:space="preserve">página web del ICCAT </w:t>
        </w:r>
      </w:hyperlink>
      <w:r>
        <w:rPr>
          <w:rFonts w:asciiTheme="majorHAnsi" w:hAnsiTheme="majorHAnsi"/>
        </w:rPr>
        <w:t>para informar a todas las CPC de su uso temporal del eBCD en papel. Puede consultarse información adicional sobre los sistemas eBCD en el “Informe de la Secretaría al Grupo de trabajo permanente para la mejora de las estadísticas de ICCAT y de sus medidas de conservación (GTP)” [PWG_401/2026] y en el “Informe de la Primera reunión del CDS WG” [PWG_403/2026].</w:t>
      </w:r>
    </w:p>
    <w:p w14:paraId="475C69EB" w14:textId="3F58396F" w:rsidR="000F6192" w:rsidRPr="00364A87" w:rsidRDefault="000F6192" w:rsidP="00820485">
      <w:pPr>
        <w:tabs>
          <w:tab w:val="left" w:pos="1276"/>
          <w:tab w:val="left" w:pos="1418"/>
          <w:tab w:val="left" w:leader="dot" w:pos="8222"/>
          <w:tab w:val="right" w:pos="8647"/>
        </w:tabs>
        <w:jc w:val="both"/>
        <w:rPr>
          <w:rFonts w:asciiTheme="majorHAnsi" w:hAnsiTheme="majorHAnsi"/>
          <w:bCs/>
        </w:rPr>
      </w:pPr>
    </w:p>
    <w:p w14:paraId="36A021BB" w14:textId="291C2A55" w:rsidR="000F6192" w:rsidRPr="00536AB6" w:rsidRDefault="000F6192" w:rsidP="00FC15C7">
      <w:pPr>
        <w:jc w:val="both"/>
        <w:rPr>
          <w:rFonts w:asciiTheme="majorHAnsi" w:hAnsiTheme="majorHAnsi"/>
        </w:rPr>
      </w:pPr>
      <w:bookmarkStart w:id="29" w:name="_Hlk181179624"/>
      <w:r>
        <w:rPr>
          <w:rFonts w:asciiTheme="majorHAnsi" w:hAnsiTheme="majorHAnsi"/>
        </w:rPr>
        <w:t>El informe sobre la derogación establecida en el párrafo 5b) está disponible como documento "Informe sobre la implementación de la derogación para la validación de los BCD para el comercio de atún rojo entre los Estados miembros de la UE en 2025 (párrafo 5b de la Recomendación 24-16 de ICCAT)" [PWG_410/2026].</w:t>
      </w:r>
    </w:p>
    <w:bookmarkEnd w:id="29"/>
    <w:p w14:paraId="73A00A01" w14:textId="77777777" w:rsidR="00182215" w:rsidRPr="00364A87" w:rsidRDefault="00182215" w:rsidP="00820485">
      <w:pPr>
        <w:tabs>
          <w:tab w:val="left" w:pos="1276"/>
          <w:tab w:val="left" w:pos="1418"/>
          <w:tab w:val="left" w:leader="dot" w:pos="8222"/>
          <w:tab w:val="right" w:pos="8647"/>
        </w:tabs>
        <w:jc w:val="both"/>
        <w:rPr>
          <w:rFonts w:asciiTheme="majorHAnsi" w:hAnsiTheme="majorHAnsi"/>
          <w:b/>
          <w:bCs/>
        </w:rPr>
      </w:pPr>
    </w:p>
    <w:p w14:paraId="1E6E58D3" w14:textId="77777777" w:rsidR="005E2BDD" w:rsidRPr="00364A87" w:rsidRDefault="005E2BDD" w:rsidP="00820485">
      <w:pPr>
        <w:tabs>
          <w:tab w:val="left" w:pos="1276"/>
          <w:tab w:val="left" w:pos="1418"/>
          <w:tab w:val="left" w:leader="dot" w:pos="8222"/>
          <w:tab w:val="right" w:pos="8647"/>
        </w:tabs>
        <w:jc w:val="both"/>
        <w:rPr>
          <w:rFonts w:asciiTheme="majorHAnsi" w:hAnsiTheme="majorHAnsi"/>
          <w:b/>
          <w:bCs/>
        </w:rPr>
      </w:pPr>
    </w:p>
    <w:p w14:paraId="0397E024" w14:textId="5407CDFB" w:rsidR="00F225F3" w:rsidRPr="00536AB6" w:rsidRDefault="00F225F3" w:rsidP="00820485">
      <w:pPr>
        <w:tabs>
          <w:tab w:val="left" w:pos="1276"/>
          <w:tab w:val="left" w:pos="1418"/>
          <w:tab w:val="left" w:leader="dot" w:pos="8222"/>
          <w:tab w:val="right" w:pos="8647"/>
        </w:tabs>
        <w:jc w:val="both"/>
        <w:rPr>
          <w:rFonts w:asciiTheme="majorHAnsi" w:hAnsiTheme="majorHAnsi"/>
          <w:b/>
          <w:bCs/>
        </w:rPr>
      </w:pPr>
      <w:r>
        <w:rPr>
          <w:rFonts w:asciiTheme="majorHAnsi" w:hAnsiTheme="majorHAnsi"/>
          <w:b/>
        </w:rPr>
        <w:t>TOR - TÉRMINOS DE REFERENCIA</w:t>
      </w:r>
    </w:p>
    <w:p w14:paraId="747E81D8" w14:textId="77777777" w:rsidR="00C04611" w:rsidRPr="00364A87" w:rsidRDefault="00C04611" w:rsidP="00820485">
      <w:pPr>
        <w:tabs>
          <w:tab w:val="left" w:pos="1276"/>
          <w:tab w:val="left" w:pos="1418"/>
          <w:tab w:val="left" w:leader="dot" w:pos="8222"/>
          <w:tab w:val="right" w:pos="8647"/>
        </w:tabs>
        <w:ind w:firstLine="425"/>
        <w:rPr>
          <w:rFonts w:asciiTheme="majorHAnsi" w:hAnsiTheme="majorHAnsi"/>
        </w:rPr>
      </w:pPr>
    </w:p>
    <w:p w14:paraId="34482139" w14:textId="4D6F0809" w:rsidR="00B15954" w:rsidRPr="00536AB6" w:rsidRDefault="00305BFC" w:rsidP="00820485">
      <w:pPr>
        <w:tabs>
          <w:tab w:val="left" w:pos="1276"/>
          <w:tab w:val="left" w:pos="1418"/>
          <w:tab w:val="left" w:leader="dot" w:pos="8222"/>
          <w:tab w:val="right" w:pos="8647"/>
        </w:tabs>
        <w:rPr>
          <w:rFonts w:asciiTheme="majorHAnsi" w:hAnsiTheme="majorHAnsi"/>
          <w:i/>
          <w:iCs/>
        </w:rPr>
      </w:pPr>
      <w:r>
        <w:rPr>
          <w:rFonts w:asciiTheme="majorHAnsi" w:hAnsiTheme="majorHAnsi"/>
          <w:i/>
          <w:iCs/>
        </w:rPr>
        <w:t>[</w:t>
      </w:r>
      <w:r w:rsidR="00700E01">
        <w:rPr>
          <w:rFonts w:asciiTheme="majorHAnsi" w:hAnsiTheme="majorHAnsi"/>
          <w:i/>
        </w:rPr>
        <w:t xml:space="preserve">Rec. </w:t>
      </w:r>
      <w:r>
        <w:rPr>
          <w:rFonts w:asciiTheme="majorHAnsi" w:hAnsiTheme="majorHAnsi"/>
          <w:i/>
          <w:iCs/>
        </w:rPr>
        <w:t>16-19] Recomendación de ICCAT para el desarrollo de un sistema de comunicación en línea</w:t>
      </w:r>
    </w:p>
    <w:p w14:paraId="4E2F54F5" w14:textId="77777777" w:rsidR="002933EB" w:rsidRPr="00364A87" w:rsidRDefault="002933EB" w:rsidP="00820485">
      <w:pPr>
        <w:tabs>
          <w:tab w:val="left" w:pos="1276"/>
          <w:tab w:val="left" w:pos="1418"/>
          <w:tab w:val="left" w:leader="dot" w:pos="8222"/>
          <w:tab w:val="right" w:pos="8647"/>
        </w:tabs>
        <w:ind w:firstLine="425"/>
        <w:rPr>
          <w:rFonts w:asciiTheme="majorHAnsi" w:hAnsiTheme="majorHAnsi"/>
        </w:rPr>
      </w:pPr>
    </w:p>
    <w:p w14:paraId="08DB1F43" w14:textId="0E63505B" w:rsidR="002933EB" w:rsidRPr="00536AB6" w:rsidRDefault="002933EB" w:rsidP="006D3B4D">
      <w:pPr>
        <w:widowControl/>
        <w:autoSpaceDE/>
        <w:autoSpaceDN/>
        <w:adjustRightInd/>
        <w:jc w:val="both"/>
        <w:rPr>
          <w:rFonts w:asciiTheme="majorHAnsi" w:hAnsiTheme="majorHAnsi"/>
          <w:bCs/>
        </w:rPr>
      </w:pPr>
      <w:r>
        <w:rPr>
          <w:rFonts w:asciiTheme="majorHAnsi" w:hAnsiTheme="majorHAnsi"/>
        </w:rPr>
        <w:t xml:space="preserve">La información sobre los progresos hasta la fecha puede consultarse en el documento "Informe de la reunión del Grupo de trabajo sobre tecnología de comunicación en línea (WG-ORT)" [COC_302/2026] y en la Ref. 23-24 más abajo. </w:t>
      </w:r>
    </w:p>
    <w:p w14:paraId="0C3B2F1E" w14:textId="77777777" w:rsidR="007E6579" w:rsidRPr="00364A87" w:rsidRDefault="007E6579" w:rsidP="00820485">
      <w:pPr>
        <w:rPr>
          <w:rFonts w:asciiTheme="majorHAnsi" w:hAnsiTheme="majorHAnsi"/>
        </w:rPr>
      </w:pPr>
    </w:p>
    <w:p w14:paraId="3CE39727" w14:textId="77777777" w:rsidR="00EA555F" w:rsidRPr="00364A87" w:rsidRDefault="00EA555F" w:rsidP="00820485">
      <w:pPr>
        <w:rPr>
          <w:rFonts w:asciiTheme="majorHAnsi" w:hAnsiTheme="majorHAnsi"/>
        </w:rPr>
      </w:pPr>
    </w:p>
    <w:p w14:paraId="2D9EE145" w14:textId="77777777" w:rsidR="00F225F3" w:rsidRPr="00536AB6" w:rsidRDefault="00F225F3" w:rsidP="00820485">
      <w:pPr>
        <w:pStyle w:val="Heading7"/>
        <w:ind w:firstLine="0"/>
        <w:rPr>
          <w:rFonts w:asciiTheme="majorHAnsi" w:hAnsiTheme="majorHAnsi"/>
        </w:rPr>
      </w:pPr>
      <w:r>
        <w:rPr>
          <w:rFonts w:asciiTheme="majorHAnsi" w:hAnsiTheme="majorHAnsi"/>
        </w:rPr>
        <w:t>MISC - MISCELÁNEA</w:t>
      </w:r>
    </w:p>
    <w:p w14:paraId="4334F001" w14:textId="77777777" w:rsidR="0077358A" w:rsidRPr="00364A87" w:rsidRDefault="0077358A" w:rsidP="00820485">
      <w:pPr>
        <w:rPr>
          <w:rFonts w:asciiTheme="majorHAnsi" w:hAnsiTheme="majorHAnsi"/>
        </w:rPr>
      </w:pPr>
    </w:p>
    <w:p w14:paraId="60E82B55" w14:textId="00D41A92" w:rsidR="00F225F3" w:rsidRPr="00536AB6" w:rsidRDefault="00F225F3" w:rsidP="00820485">
      <w:pPr>
        <w:tabs>
          <w:tab w:val="left" w:pos="1276"/>
          <w:tab w:val="left" w:pos="1418"/>
          <w:tab w:val="left" w:leader="dot" w:pos="8222"/>
          <w:tab w:val="right" w:pos="8647"/>
        </w:tabs>
        <w:rPr>
          <w:rFonts w:asciiTheme="majorHAnsi" w:hAnsiTheme="majorHAnsi"/>
          <w:i/>
        </w:rPr>
      </w:pPr>
      <w:r>
        <w:rPr>
          <w:rFonts w:asciiTheme="majorHAnsi" w:hAnsiTheme="majorHAnsi"/>
          <w:i/>
        </w:rPr>
        <w:t>[Rec. 99-07] Resolución de ICCAT sobre la mejora de las estadísticas de las pesquerías de recreo</w:t>
      </w:r>
    </w:p>
    <w:p w14:paraId="0985BFF6" w14:textId="77777777" w:rsidR="0066284E" w:rsidRPr="00364A87" w:rsidRDefault="0066284E" w:rsidP="00820485">
      <w:pPr>
        <w:tabs>
          <w:tab w:val="left" w:pos="1276"/>
          <w:tab w:val="left" w:pos="1418"/>
          <w:tab w:val="left" w:leader="dot" w:pos="8222"/>
          <w:tab w:val="right" w:pos="8647"/>
        </w:tabs>
        <w:rPr>
          <w:rFonts w:asciiTheme="majorHAnsi" w:hAnsiTheme="majorHAnsi"/>
          <w:i/>
        </w:rPr>
      </w:pPr>
    </w:p>
    <w:p w14:paraId="74DA6F6F" w14:textId="130E7A8B" w:rsidR="00255483" w:rsidRPr="00536AB6" w:rsidRDefault="002C6937" w:rsidP="00820485">
      <w:pPr>
        <w:tabs>
          <w:tab w:val="left" w:pos="1276"/>
          <w:tab w:val="left" w:pos="1418"/>
          <w:tab w:val="left" w:leader="dot" w:pos="8222"/>
          <w:tab w:val="right" w:pos="8647"/>
        </w:tabs>
        <w:jc w:val="both"/>
        <w:rPr>
          <w:rFonts w:asciiTheme="majorHAnsi" w:hAnsiTheme="majorHAnsi"/>
        </w:rPr>
      </w:pPr>
      <w:r>
        <w:rPr>
          <w:rFonts w:asciiTheme="majorHAnsi" w:hAnsiTheme="majorHAnsi"/>
        </w:rPr>
        <w:t>La información se incluye en los informes anuales de las CPC [COC_301/2026] y en las estadísticas de Tarea 1. Dado que el texto de la Resolución es vago (</w:t>
      </w:r>
      <w:r>
        <w:rPr>
          <w:rFonts w:asciiTheme="majorHAnsi" w:hAnsiTheme="majorHAnsi"/>
          <w:i/>
          <w:iCs/>
        </w:rPr>
        <w:t xml:space="preserve">cada CPC suministrará al SCRS datos específicos que permitan a la Comisión determinar por separado la magnitud de las pesquerías de recreo de cada especie de túnidos y especies afines del Atlántico), </w:t>
      </w:r>
      <w:r>
        <w:rPr>
          <w:rFonts w:asciiTheme="majorHAnsi" w:hAnsiTheme="majorHAnsi"/>
        </w:rPr>
        <w:t>la Comisión podría querer definir mejor la información requerida.</w:t>
      </w:r>
    </w:p>
    <w:p w14:paraId="78C29418" w14:textId="640C0B4F" w:rsidR="002F6ED0" w:rsidRPr="00536AB6" w:rsidRDefault="002F6ED0" w:rsidP="00820485">
      <w:pPr>
        <w:jc w:val="both"/>
        <w:rPr>
          <w:rFonts w:asciiTheme="majorHAnsi" w:hAnsiTheme="majorHAnsi"/>
          <w:iCs/>
        </w:rPr>
      </w:pPr>
      <w:r>
        <w:rPr>
          <w:rFonts w:asciiTheme="majorHAnsi" w:hAnsiTheme="majorHAnsi"/>
          <w:i/>
        </w:rPr>
        <w:lastRenderedPageBreak/>
        <w:t>[Rec. 21-24] Recomendación de ICCAT para reemplazar la Recomendación 03-20 sobre criterios para acceder al estatus de Parte, Entidad o Entidad pesquera no contratante colaboradora en ICCAT</w:t>
      </w:r>
    </w:p>
    <w:p w14:paraId="1C19A691" w14:textId="77777777" w:rsidR="00F225F3" w:rsidRPr="00364A87" w:rsidRDefault="00F225F3" w:rsidP="00820485">
      <w:pPr>
        <w:tabs>
          <w:tab w:val="left" w:pos="1276"/>
          <w:tab w:val="left" w:pos="1418"/>
          <w:tab w:val="left" w:leader="dot" w:pos="8222"/>
          <w:tab w:val="right" w:pos="8647"/>
        </w:tabs>
        <w:ind w:firstLine="425"/>
        <w:jc w:val="both"/>
        <w:rPr>
          <w:rFonts w:asciiTheme="majorHAnsi" w:hAnsiTheme="majorHAnsi"/>
        </w:rPr>
      </w:pPr>
    </w:p>
    <w:p w14:paraId="6EC18C54" w14:textId="7AC0C16F" w:rsidR="00F978E7" w:rsidRPr="00536AB6" w:rsidRDefault="005C5AFA" w:rsidP="00820485">
      <w:pPr>
        <w:tabs>
          <w:tab w:val="left" w:pos="1276"/>
          <w:tab w:val="left" w:pos="1418"/>
          <w:tab w:val="left" w:leader="dot" w:pos="8222"/>
          <w:tab w:val="right" w:pos="8647"/>
        </w:tabs>
        <w:jc w:val="both"/>
        <w:rPr>
          <w:rFonts w:asciiTheme="majorHAnsi" w:hAnsiTheme="majorHAnsi"/>
        </w:rPr>
      </w:pPr>
      <w:r>
        <w:rPr>
          <w:rFonts w:asciiTheme="majorHAnsi" w:hAnsiTheme="majorHAnsi"/>
        </w:rPr>
        <w:t xml:space="preserve">Bolivia, Taipei Chino, Guyana y Surinam tienen actualmente el estatus de colaborador. La revisión del cumplimiento de las Partes, Entidades o Entidades pesqueras no contratantes colaboradas puede consultarse en el "Proyecto de tablas resumen de cumplimiento" [COC_308/2026]. </w:t>
      </w:r>
    </w:p>
    <w:p w14:paraId="1FB5D4C1" w14:textId="77777777" w:rsidR="00D84401" w:rsidRPr="00364A87" w:rsidRDefault="00D84401" w:rsidP="00820485">
      <w:pPr>
        <w:tabs>
          <w:tab w:val="left" w:pos="1276"/>
          <w:tab w:val="left" w:pos="1418"/>
          <w:tab w:val="left" w:leader="dot" w:pos="8222"/>
          <w:tab w:val="right" w:pos="8647"/>
        </w:tabs>
        <w:jc w:val="both"/>
        <w:rPr>
          <w:rFonts w:asciiTheme="majorHAnsi" w:hAnsiTheme="majorHAnsi"/>
          <w:bCs/>
        </w:rPr>
      </w:pPr>
    </w:p>
    <w:p w14:paraId="20104476" w14:textId="72F3F746" w:rsidR="00035FB8" w:rsidRPr="003271E6" w:rsidRDefault="007F3459" w:rsidP="00820485">
      <w:pPr>
        <w:tabs>
          <w:tab w:val="left" w:pos="1276"/>
          <w:tab w:val="left" w:pos="1418"/>
          <w:tab w:val="left" w:leader="dot" w:pos="8222"/>
          <w:tab w:val="right" w:pos="8647"/>
        </w:tabs>
        <w:jc w:val="both"/>
        <w:rPr>
          <w:rFonts w:asciiTheme="majorHAnsi" w:hAnsiTheme="majorHAnsi"/>
          <w:bCs/>
        </w:rPr>
      </w:pPr>
      <w:r w:rsidRPr="003271E6">
        <w:rPr>
          <w:rFonts w:asciiTheme="majorHAnsi" w:hAnsiTheme="majorHAnsi"/>
          <w:i/>
        </w:rPr>
        <w:t xml:space="preserve">[Rec. 05-09] Recomendación de ICCAT sobre cumplimiento de las obligaciones de comunicar las estadísticas </w:t>
      </w:r>
    </w:p>
    <w:p w14:paraId="52E6C8E7" w14:textId="77777777" w:rsidR="00F978E7" w:rsidRPr="003271E6" w:rsidRDefault="00F978E7" w:rsidP="00820485">
      <w:pPr>
        <w:tabs>
          <w:tab w:val="left" w:pos="1276"/>
          <w:tab w:val="left" w:pos="1418"/>
          <w:tab w:val="left" w:leader="dot" w:pos="8222"/>
          <w:tab w:val="right" w:pos="8647"/>
        </w:tabs>
        <w:jc w:val="both"/>
        <w:rPr>
          <w:rFonts w:asciiTheme="majorHAnsi" w:hAnsiTheme="majorHAnsi"/>
        </w:rPr>
      </w:pPr>
    </w:p>
    <w:p w14:paraId="16ADE3B3" w14:textId="73BC8EB1" w:rsidR="00B05931" w:rsidRPr="003271E6" w:rsidRDefault="00237D4D" w:rsidP="00585AF6">
      <w:pPr>
        <w:widowControl/>
        <w:autoSpaceDE/>
        <w:autoSpaceDN/>
        <w:adjustRightInd/>
        <w:jc w:val="both"/>
        <w:rPr>
          <w:rFonts w:asciiTheme="majorHAnsi" w:hAnsiTheme="majorHAnsi"/>
        </w:rPr>
      </w:pPr>
      <w:r w:rsidRPr="003271E6">
        <w:rPr>
          <w:rFonts w:asciiTheme="majorHAnsi" w:hAnsiTheme="majorHAnsi"/>
        </w:rPr>
        <w:t>Puede consultarse el "Informe de la Secretaría sobre investigación y estadísticas de 202</w:t>
      </w:r>
      <w:r w:rsidR="00861071" w:rsidRPr="003271E6">
        <w:rPr>
          <w:rFonts w:asciiTheme="majorHAnsi" w:hAnsiTheme="majorHAnsi"/>
        </w:rPr>
        <w:t>6</w:t>
      </w:r>
      <w:r w:rsidRPr="003271E6">
        <w:rPr>
          <w:rFonts w:asciiTheme="majorHAnsi" w:hAnsiTheme="majorHAnsi"/>
        </w:rPr>
        <w:t>” [PLE_105/202</w:t>
      </w:r>
      <w:r w:rsidR="006962D2" w:rsidRPr="003271E6">
        <w:rPr>
          <w:rFonts w:asciiTheme="majorHAnsi" w:hAnsiTheme="majorHAnsi"/>
        </w:rPr>
        <w:t>6</w:t>
      </w:r>
      <w:r w:rsidRPr="003271E6">
        <w:rPr>
          <w:rFonts w:asciiTheme="majorHAnsi" w:hAnsiTheme="majorHAnsi"/>
        </w:rPr>
        <w:t>] para más detalles sobre comunicación de estadísticas, así como la Rec. 11-15 mencionada más arriba. Las siguientes Partes no contratantes han facilitado datos este año: Dominica, Gibraltar y Santa Lucía.</w:t>
      </w:r>
    </w:p>
    <w:p w14:paraId="21C4B6C5" w14:textId="514899AE" w:rsidR="00F978E7" w:rsidRPr="003271E6" w:rsidRDefault="00F978E7" w:rsidP="00820485">
      <w:pPr>
        <w:tabs>
          <w:tab w:val="left" w:pos="1276"/>
          <w:tab w:val="left" w:pos="1418"/>
          <w:tab w:val="left" w:leader="dot" w:pos="8222"/>
          <w:tab w:val="right" w:pos="8647"/>
        </w:tabs>
        <w:jc w:val="both"/>
        <w:rPr>
          <w:rFonts w:asciiTheme="majorHAnsi" w:hAnsiTheme="majorHAnsi"/>
          <w:i/>
        </w:rPr>
      </w:pPr>
    </w:p>
    <w:p w14:paraId="2524B178" w14:textId="33F8AA00" w:rsidR="00E936FF" w:rsidRPr="003271E6" w:rsidRDefault="00A32D9A" w:rsidP="00820485">
      <w:pPr>
        <w:tabs>
          <w:tab w:val="left" w:pos="1276"/>
          <w:tab w:val="left" w:pos="1418"/>
          <w:tab w:val="left" w:leader="dot" w:pos="8222"/>
          <w:tab w:val="right" w:pos="8647"/>
        </w:tabs>
        <w:jc w:val="both"/>
        <w:rPr>
          <w:rFonts w:asciiTheme="majorHAnsi" w:hAnsiTheme="majorHAnsi"/>
          <w:i/>
        </w:rPr>
      </w:pPr>
      <w:bookmarkStart w:id="30" w:name="_Hlk180407383"/>
      <w:r w:rsidRPr="003271E6">
        <w:rPr>
          <w:rFonts w:asciiTheme="majorHAnsi" w:hAnsiTheme="majorHAnsi"/>
          <w:i/>
        </w:rPr>
        <w:t>[Ref. 23-24] Directrices revisadas para la preparación de los Informes anuales</w:t>
      </w:r>
    </w:p>
    <w:bookmarkEnd w:id="30"/>
    <w:p w14:paraId="4B000A40" w14:textId="77777777" w:rsidR="00F978E7" w:rsidRPr="003271E6" w:rsidRDefault="00F978E7" w:rsidP="00820485">
      <w:pPr>
        <w:jc w:val="both"/>
        <w:rPr>
          <w:rFonts w:asciiTheme="majorHAnsi" w:hAnsiTheme="majorHAnsi"/>
        </w:rPr>
      </w:pPr>
    </w:p>
    <w:p w14:paraId="612E294B" w14:textId="73612AB4" w:rsidR="00966057" w:rsidRPr="003271E6" w:rsidRDefault="00F634F3" w:rsidP="00966057">
      <w:pPr>
        <w:tabs>
          <w:tab w:val="left" w:pos="1276"/>
          <w:tab w:val="left" w:pos="1418"/>
          <w:tab w:val="left" w:leader="dot" w:pos="8222"/>
          <w:tab w:val="right" w:pos="8647"/>
        </w:tabs>
        <w:jc w:val="both"/>
        <w:rPr>
          <w:rFonts w:asciiTheme="majorHAnsi" w:hAnsiTheme="majorHAnsi"/>
          <w:bCs/>
        </w:rPr>
      </w:pPr>
      <w:r w:rsidRPr="003271E6">
        <w:rPr>
          <w:rFonts w:asciiTheme="majorHAnsi" w:hAnsiTheme="majorHAnsi"/>
        </w:rPr>
        <w:t>Un problema recurrente desde hace varios años es que numerosas CPC envían los segmentos de Microsoft Word y la información en el IOMS sin leer detenidamente las preguntas y los requisitos. Además, muchas CPC presentan respuestas que no responden a los requisitos solicitados en las Recomendaciones originales. Las CPC deberían remitirse siempre a la página "</w:t>
      </w:r>
      <w:hyperlink r:id="rId39" w:history="1">
        <w:r w:rsidRPr="003271E6">
          <w:rPr>
            <w:rStyle w:val="Hyperlink"/>
            <w:rFonts w:asciiTheme="majorHAnsi" w:hAnsiTheme="majorHAnsi"/>
            <w:u w:val="none"/>
          </w:rPr>
          <w:t>Presentación de información</w:t>
        </w:r>
      </w:hyperlink>
      <w:r w:rsidRPr="003271E6">
        <w:rPr>
          <w:rFonts w:asciiTheme="majorHAnsi" w:hAnsiTheme="majorHAnsi"/>
        </w:rPr>
        <w:t>" de Cumplimiento en el sitio web de ICCAT. Aquí, las CPC pueden hacer referencia a los requisitos aplicables, los correspondientes números de recomendación y de párrafo, y los plazos de presentación. Esta página es también la fuente para descargar las versiones más recientes de todos los formularios de presentación de información sobre cumplimiento.</w:t>
      </w:r>
    </w:p>
    <w:p w14:paraId="05C13C2C" w14:textId="77777777" w:rsidR="00966057" w:rsidRPr="003271E6" w:rsidRDefault="00966057" w:rsidP="00820485">
      <w:pPr>
        <w:jc w:val="both"/>
        <w:rPr>
          <w:rFonts w:asciiTheme="majorHAnsi" w:hAnsiTheme="majorHAnsi"/>
        </w:rPr>
      </w:pPr>
    </w:p>
    <w:p w14:paraId="7CFC12CE" w14:textId="0F589A13" w:rsidR="00917B29" w:rsidRPr="003271E6" w:rsidRDefault="00917B29" w:rsidP="00917B29">
      <w:pPr>
        <w:tabs>
          <w:tab w:val="left" w:pos="1276"/>
          <w:tab w:val="left" w:pos="1418"/>
          <w:tab w:val="left" w:leader="dot" w:pos="8222"/>
          <w:tab w:val="right" w:pos="8647"/>
        </w:tabs>
        <w:jc w:val="both"/>
        <w:rPr>
          <w:rFonts w:asciiTheme="majorHAnsi" w:hAnsiTheme="majorHAnsi"/>
          <w:bCs/>
        </w:rPr>
      </w:pPr>
      <w:r w:rsidRPr="003271E6">
        <w:rPr>
          <w:rFonts w:asciiTheme="majorHAnsi" w:hAnsiTheme="majorHAnsi"/>
        </w:rPr>
        <w:t xml:space="preserve">Desde 2023, las CPC deben introducir directamente en el IOMS la información contenida en las tablas correspondientes a los requisitos científicos y los requisitos de ordenación. Como resultado de varias directivas e información administrativa (Ref. 23-24, Circulares n.º 00625/2025, n.º 05536/2025 de ICCAT, las </w:t>
      </w:r>
      <w:hyperlink r:id="rId40" w:history="1">
        <w:r w:rsidRPr="003271E6">
          <w:rPr>
            <w:rStyle w:val="Hyperlink"/>
            <w:rFonts w:asciiTheme="majorHAnsi" w:hAnsiTheme="majorHAnsi"/>
            <w:u w:val="none"/>
          </w:rPr>
          <w:t>Directrices</w:t>
        </w:r>
      </w:hyperlink>
      <w:r w:rsidRPr="003271E6">
        <w:rPr>
          <w:rFonts w:asciiTheme="majorHAnsi" w:hAnsiTheme="majorHAnsi"/>
        </w:rPr>
        <w:t xml:space="preserve"> y la página web de ICCAT) proporcionadas a las CPC, se observa una notable mejora en la comprensión y presentación de los informes anuales a través del IOMS. A pesar de este notable avance, sigue siendo necesario realizar importantes progresos para alcanzar una tasa de presentación de datos del 100 % por parte de todas las CPC.</w:t>
      </w:r>
    </w:p>
    <w:p w14:paraId="3E5FFBE2" w14:textId="77777777" w:rsidR="008D2B0B" w:rsidRPr="00364A87" w:rsidRDefault="008D2B0B" w:rsidP="008D2B0B">
      <w:pPr>
        <w:jc w:val="both"/>
        <w:rPr>
          <w:rFonts w:asciiTheme="majorHAnsi" w:hAnsiTheme="majorHAnsi"/>
        </w:rPr>
      </w:pPr>
    </w:p>
    <w:p w14:paraId="1793AF1A" w14:textId="193AC5F1" w:rsidR="009C2133" w:rsidRPr="006F2543" w:rsidRDefault="009C2133" w:rsidP="009C2133">
      <w:pPr>
        <w:tabs>
          <w:tab w:val="left" w:pos="1276"/>
          <w:tab w:val="left" w:pos="1418"/>
          <w:tab w:val="left" w:leader="dot" w:pos="8222"/>
          <w:tab w:val="right" w:pos="8647"/>
        </w:tabs>
        <w:jc w:val="both"/>
        <w:rPr>
          <w:rFonts w:asciiTheme="majorHAnsi" w:hAnsiTheme="majorHAnsi"/>
        </w:rPr>
      </w:pPr>
      <w:r w:rsidRPr="006F2543">
        <w:rPr>
          <w:rFonts w:asciiTheme="majorHAnsi" w:hAnsiTheme="majorHAnsi"/>
        </w:rPr>
        <w:t xml:space="preserve">De un total de 60 CPC, 43 cumplieron al 100 % con los requisitos de su Informe anual de 2026. Para las 17 CPC restantes, la presentación de la información sigue pendiente: </w:t>
      </w:r>
    </w:p>
    <w:p w14:paraId="17B126AE" w14:textId="77777777" w:rsidR="009C2133" w:rsidRPr="00364A87" w:rsidRDefault="009C2133" w:rsidP="009C2133">
      <w:pPr>
        <w:tabs>
          <w:tab w:val="left" w:pos="1276"/>
          <w:tab w:val="left" w:pos="1418"/>
          <w:tab w:val="left" w:leader="dot" w:pos="8222"/>
          <w:tab w:val="right" w:pos="8647"/>
        </w:tabs>
        <w:jc w:val="both"/>
        <w:rPr>
          <w:rFonts w:asciiTheme="majorHAnsi" w:hAnsiTheme="majorHAnsi"/>
          <w:highlight w:val="green"/>
        </w:rPr>
      </w:pPr>
    </w:p>
    <w:p w14:paraId="02259777" w14:textId="27ACD8C4" w:rsidR="009C2133" w:rsidRPr="00B21714" w:rsidRDefault="003156B8" w:rsidP="00517555">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rPr>
      </w:pPr>
      <w:r w:rsidRPr="00B21714">
        <w:rPr>
          <w:rFonts w:asciiTheme="majorHAnsi" w:hAnsiTheme="majorHAnsi"/>
        </w:rPr>
        <w:t>Presentación pendiente o parcial: seis CPC han presentado información parcial, pero no han completado el proceso o solo han presentado uno de los dos informes exigidos a través del IOMS (ya sea el de estadísticas o el de cumplimiento), o únicamente la sección en Microsoft Word: Cabo Verde, Côte d’Ivoire,  la Unión Europea, Granada, Nicaragua y Sierra Leona.</w:t>
      </w:r>
    </w:p>
    <w:p w14:paraId="773050D2" w14:textId="77777777" w:rsidR="009C2133" w:rsidRPr="00364A87" w:rsidRDefault="009C2133" w:rsidP="009C2133">
      <w:pPr>
        <w:pStyle w:val="ListParagraph"/>
        <w:tabs>
          <w:tab w:val="left" w:pos="1276"/>
          <w:tab w:val="left" w:pos="1418"/>
          <w:tab w:val="left" w:leader="dot" w:pos="8222"/>
          <w:tab w:val="right" w:pos="8647"/>
        </w:tabs>
        <w:jc w:val="both"/>
        <w:rPr>
          <w:rFonts w:asciiTheme="majorHAnsi" w:hAnsiTheme="majorHAnsi"/>
          <w:highlight w:val="green"/>
        </w:rPr>
      </w:pPr>
    </w:p>
    <w:p w14:paraId="13998905" w14:textId="40C360C8" w:rsidR="009C2133" w:rsidRPr="00B21714" w:rsidRDefault="0078251A" w:rsidP="00517555">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rPr>
      </w:pPr>
      <w:r w:rsidRPr="00B21714">
        <w:rPr>
          <w:rFonts w:asciiTheme="majorHAnsi" w:hAnsiTheme="majorHAnsi"/>
        </w:rPr>
        <w:t xml:space="preserve">No se ha presentado: once CPC no han presentado su informe anual de 2026, ni en formato Word ni a través del sistema IOMS: Barbados, Cuba, Guinea Ecuatorial, Honduras, Libia, Montenegro, São Tomé </w:t>
      </w:r>
      <w:proofErr w:type="spellStart"/>
      <w:r w:rsidRPr="00B21714">
        <w:rPr>
          <w:rFonts w:asciiTheme="majorHAnsi" w:hAnsiTheme="majorHAnsi"/>
        </w:rPr>
        <w:t>e</w:t>
      </w:r>
      <w:proofErr w:type="spellEnd"/>
      <w:r w:rsidRPr="00B21714">
        <w:rPr>
          <w:rFonts w:asciiTheme="majorHAnsi" w:hAnsiTheme="majorHAnsi"/>
        </w:rPr>
        <w:t xml:space="preserve"> Príncipe, Siria, Togo, Trinidad y Tobago y Guyana.</w:t>
      </w:r>
    </w:p>
    <w:p w14:paraId="4F654B13" w14:textId="77777777" w:rsidR="00EA70C3" w:rsidRPr="00364A87" w:rsidRDefault="00EA70C3" w:rsidP="00FE7A9A">
      <w:pPr>
        <w:jc w:val="both"/>
        <w:rPr>
          <w:rFonts w:asciiTheme="majorHAnsi" w:hAnsiTheme="majorHAnsi"/>
          <w:bCs/>
          <w:highlight w:val="green"/>
        </w:rPr>
      </w:pPr>
    </w:p>
    <w:p w14:paraId="5326AA7D" w14:textId="4CA427A9" w:rsidR="00FE7A9A" w:rsidRPr="00B21714" w:rsidRDefault="00FE7A9A" w:rsidP="00FE7A9A">
      <w:pPr>
        <w:jc w:val="both"/>
        <w:rPr>
          <w:rFonts w:asciiTheme="majorHAnsi" w:hAnsiTheme="majorHAnsi"/>
          <w:bCs/>
        </w:rPr>
      </w:pPr>
      <w:r w:rsidRPr="00B21714">
        <w:rPr>
          <w:rFonts w:asciiTheme="majorHAnsi" w:hAnsiTheme="majorHAnsi"/>
        </w:rPr>
        <w:t>Aunque la tasa de presentación de los informes anuales se mantiene en torno al 75 %, hay varios problemas recurrentes que merecen nuestra atención. Los siguientes ejemplos ponen de manifiesto las respuestas insuficientes más habituales observadas en el IOMS:</w:t>
      </w:r>
    </w:p>
    <w:p w14:paraId="4814328E" w14:textId="77777777" w:rsidR="00EA70C3" w:rsidRPr="00364A87" w:rsidRDefault="00EA70C3" w:rsidP="00FE7A9A">
      <w:pPr>
        <w:jc w:val="both"/>
        <w:rPr>
          <w:rFonts w:asciiTheme="majorHAnsi" w:hAnsiTheme="majorHAnsi"/>
          <w:bCs/>
          <w:highlight w:val="green"/>
        </w:rPr>
      </w:pPr>
    </w:p>
    <w:p w14:paraId="1DF7BFD2" w14:textId="265F5AFB" w:rsidR="00FE7A9A" w:rsidRPr="007C41E8" w:rsidRDefault="0078251A" w:rsidP="00517555">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rPr>
      </w:pPr>
      <w:r w:rsidRPr="007C41E8">
        <w:rPr>
          <w:rFonts w:asciiTheme="majorHAnsi" w:hAnsiTheme="majorHAnsi"/>
        </w:rPr>
        <w:t>Respuestas poco claras o motivo por el que se indica no aplicable L</w:t>
      </w:r>
      <w:r w:rsidR="007C41E8" w:rsidRPr="007C41E8">
        <w:rPr>
          <w:rFonts w:asciiTheme="majorHAnsi" w:hAnsiTheme="majorHAnsi"/>
        </w:rPr>
        <w:t>a</w:t>
      </w:r>
      <w:r w:rsidRPr="007C41E8">
        <w:rPr>
          <w:rFonts w:asciiTheme="majorHAnsi" w:hAnsiTheme="majorHAnsi"/>
        </w:rPr>
        <w:t>s CPC deben abstenerse de responder en el IOMS con respuestas simples o que carezcan de explicaciones, como «Véase más arriba», «Véase el informe anual», «Igual que el año pasado» o «Sin cambios», etc.;</w:t>
      </w:r>
    </w:p>
    <w:p w14:paraId="59E67BE6" w14:textId="0A167417" w:rsidR="00FE7A9A" w:rsidRPr="007C41E8" w:rsidRDefault="0078251A" w:rsidP="005C787F">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bCs/>
        </w:rPr>
      </w:pPr>
      <w:r w:rsidRPr="007C41E8">
        <w:rPr>
          <w:rFonts w:asciiTheme="majorHAnsi" w:hAnsiTheme="majorHAnsi"/>
        </w:rPr>
        <w:t xml:space="preserve">Información obligatoria (en negrita o con *) o en el caso de </w:t>
      </w:r>
      <w:r w:rsidR="009C13EA">
        <w:rPr>
          <w:rFonts w:asciiTheme="majorHAnsi" w:hAnsiTheme="majorHAnsi"/>
        </w:rPr>
        <w:t>requisitos</w:t>
      </w:r>
      <w:r w:rsidRPr="007C41E8">
        <w:rPr>
          <w:rFonts w:asciiTheme="majorHAnsi" w:hAnsiTheme="majorHAnsi"/>
        </w:rPr>
        <w:t xml:space="preserve"> de comunicación</w:t>
      </w:r>
      <w:r w:rsidR="009C13EA">
        <w:rPr>
          <w:rFonts w:asciiTheme="majorHAnsi" w:hAnsiTheme="majorHAnsi"/>
        </w:rPr>
        <w:t xml:space="preserve"> obligatoria:</w:t>
      </w:r>
      <w:r w:rsidRPr="007C41E8">
        <w:rPr>
          <w:rFonts w:asciiTheme="majorHAnsi" w:hAnsiTheme="majorHAnsi"/>
        </w:rPr>
        <w:t xml:space="preserve"> no se acepta responder «No procede»; se debe indicar una fecha de presentación válida;</w:t>
      </w:r>
    </w:p>
    <w:p w14:paraId="4585C529" w14:textId="26CD4853" w:rsidR="00FE7A9A" w:rsidRPr="001C7605" w:rsidRDefault="0078251A" w:rsidP="005C787F">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bCs/>
        </w:rPr>
      </w:pPr>
      <w:r w:rsidRPr="009C13EA">
        <w:rPr>
          <w:rFonts w:asciiTheme="majorHAnsi" w:hAnsiTheme="majorHAnsi"/>
        </w:rPr>
        <w:t xml:space="preserve">Requisitos específicos </w:t>
      </w:r>
      <w:r w:rsidR="009C13EA">
        <w:rPr>
          <w:rFonts w:asciiTheme="majorHAnsi" w:hAnsiTheme="majorHAnsi"/>
        </w:rPr>
        <w:t>para un stock</w:t>
      </w:r>
      <w:r w:rsidRPr="009C13EA">
        <w:rPr>
          <w:rFonts w:asciiTheme="majorHAnsi" w:hAnsiTheme="majorHAnsi"/>
        </w:rPr>
        <w:t xml:space="preserve">: cuando el requisito se refiera a un </w:t>
      </w:r>
      <w:r w:rsidR="009C13EA">
        <w:rPr>
          <w:rFonts w:asciiTheme="majorHAnsi" w:hAnsiTheme="majorHAnsi"/>
        </w:rPr>
        <w:t>stock</w:t>
      </w:r>
      <w:r w:rsidRPr="009C13EA">
        <w:rPr>
          <w:rFonts w:asciiTheme="majorHAnsi" w:hAnsiTheme="majorHAnsi"/>
        </w:rPr>
        <w:t xml:space="preserve"> concreto, </w:t>
      </w:r>
      <w:r w:rsidR="009C13EA">
        <w:rPr>
          <w:rFonts w:asciiTheme="majorHAnsi" w:hAnsiTheme="majorHAnsi"/>
        </w:rPr>
        <w:t xml:space="preserve">la </w:t>
      </w:r>
      <w:r w:rsidRPr="009C13EA">
        <w:rPr>
          <w:rFonts w:asciiTheme="majorHAnsi" w:hAnsiTheme="majorHAnsi"/>
        </w:rPr>
        <w:t xml:space="preserve">CPC no </w:t>
      </w:r>
      <w:r w:rsidRPr="001C7605">
        <w:rPr>
          <w:rFonts w:asciiTheme="majorHAnsi" w:hAnsiTheme="majorHAnsi"/>
        </w:rPr>
        <w:t xml:space="preserve">debe responder ni hacer referencia a otro </w:t>
      </w:r>
      <w:r w:rsidR="009C13EA" w:rsidRPr="001C7605">
        <w:rPr>
          <w:rFonts w:asciiTheme="majorHAnsi" w:hAnsiTheme="majorHAnsi"/>
        </w:rPr>
        <w:t>stock</w:t>
      </w:r>
      <w:r w:rsidRPr="001C7605">
        <w:rPr>
          <w:rFonts w:asciiTheme="majorHAnsi" w:hAnsiTheme="majorHAnsi"/>
        </w:rPr>
        <w:t>;</w:t>
      </w:r>
    </w:p>
    <w:p w14:paraId="2079F60D" w14:textId="684F25A3" w:rsidR="00FE7A9A" w:rsidRPr="001C7605" w:rsidRDefault="0078251A" w:rsidP="005C787F">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bCs/>
        </w:rPr>
      </w:pPr>
      <w:r w:rsidRPr="001C7605">
        <w:rPr>
          <w:rFonts w:asciiTheme="majorHAnsi" w:hAnsiTheme="majorHAnsi"/>
        </w:rPr>
        <w:t>Envío pendiente: algunos CPC completaron la información en el IOMS, pero guardaron la versión sin realizar el envío definitivo, por lo que quedó una versión pendiente;</w:t>
      </w:r>
    </w:p>
    <w:p w14:paraId="2EF6E008" w14:textId="52440137" w:rsidR="00FE7A9A" w:rsidRPr="001C7605" w:rsidRDefault="00FE7A9A" w:rsidP="005C787F">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bCs/>
        </w:rPr>
      </w:pPr>
      <w:r w:rsidRPr="001C7605">
        <w:rPr>
          <w:rFonts w:asciiTheme="majorHAnsi" w:hAnsiTheme="majorHAnsi"/>
        </w:rPr>
        <w:t xml:space="preserve">La casilla "Aplicable" permanece marcada, pero la columna/campo de las respuestas/motivo de </w:t>
      </w:r>
      <w:r w:rsidRPr="001C7605">
        <w:rPr>
          <w:rFonts w:asciiTheme="majorHAnsi" w:hAnsiTheme="majorHAnsi"/>
        </w:rPr>
        <w:lastRenderedPageBreak/>
        <w:t xml:space="preserve">No aplicable es "no aplicable a nuestra CPC": se trata de una </w:t>
      </w:r>
      <w:r w:rsidR="001C7605" w:rsidRPr="001C7605">
        <w:rPr>
          <w:rFonts w:asciiTheme="majorHAnsi" w:hAnsiTheme="majorHAnsi"/>
        </w:rPr>
        <w:t>incoherencia</w:t>
      </w:r>
      <w:r w:rsidRPr="001C7605">
        <w:rPr>
          <w:rFonts w:asciiTheme="majorHAnsi" w:hAnsiTheme="majorHAnsi"/>
        </w:rPr>
        <w:t xml:space="preserve"> entre el campo aplicable y la respuesta proporcionada. La casilla debería estar desmarcada si no es aplicable a la CPC.</w:t>
      </w:r>
    </w:p>
    <w:p w14:paraId="0D67608B" w14:textId="77777777" w:rsidR="00FE7A9A" w:rsidRPr="00364A87" w:rsidRDefault="00FE7A9A" w:rsidP="00EA70C3">
      <w:pPr>
        <w:pStyle w:val="ListParagraph"/>
        <w:jc w:val="both"/>
        <w:rPr>
          <w:rFonts w:asciiTheme="majorHAnsi" w:hAnsiTheme="majorHAnsi"/>
          <w:highlight w:val="green"/>
        </w:rPr>
      </w:pPr>
    </w:p>
    <w:p w14:paraId="435BA0F1" w14:textId="77777777" w:rsidR="00FE7A9A" w:rsidRPr="00536AB6" w:rsidRDefault="00FE7A9A" w:rsidP="00FE7A9A">
      <w:pPr>
        <w:jc w:val="both"/>
        <w:rPr>
          <w:rFonts w:asciiTheme="majorHAnsi" w:hAnsiTheme="majorHAnsi"/>
        </w:rPr>
      </w:pPr>
      <w:r>
        <w:rPr>
          <w:rFonts w:asciiTheme="majorHAnsi" w:hAnsiTheme="majorHAnsi"/>
        </w:rPr>
        <w:t>Para proporcionar al Comité de Cumplimiento información precisa y específica sobre cada requisito, el IOMS está diseñado para extraer todas las respuestas dadas en respuesta a un requisito específico. Por ello, se requiere una respuesta completa a cada pregunta para extraer información coherente y clara.</w:t>
      </w:r>
    </w:p>
    <w:p w14:paraId="709F4023" w14:textId="77777777" w:rsidR="00FE7A9A" w:rsidRPr="00364A87" w:rsidRDefault="00FE7A9A" w:rsidP="008D2B0B">
      <w:pPr>
        <w:jc w:val="both"/>
        <w:rPr>
          <w:rFonts w:asciiTheme="majorHAnsi" w:hAnsiTheme="majorHAnsi"/>
          <w:sz w:val="12"/>
          <w:szCs w:val="12"/>
        </w:rPr>
      </w:pPr>
    </w:p>
    <w:p w14:paraId="65AE2A01" w14:textId="29F4E06A" w:rsidR="00966057" w:rsidRPr="00536AB6" w:rsidRDefault="005E2BDD" w:rsidP="00966057">
      <w:pPr>
        <w:jc w:val="both"/>
        <w:rPr>
          <w:rFonts w:asciiTheme="majorHAnsi" w:hAnsiTheme="majorHAnsi"/>
        </w:rPr>
      </w:pPr>
      <w:r>
        <w:rPr>
          <w:rFonts w:asciiTheme="majorHAnsi" w:hAnsiTheme="majorHAnsi"/>
        </w:rPr>
        <w:t>El documento "Información presentada por algunas CPC en la Sección 2 - Parte 2.2 de los Informes anuales" [COC_311/2026] contiene un resumen de la Sección 2.2 de los Informes anuales ("Dificultades encontradas en la implementación y cumplimiento de las medidas de conservación y ordenación de ICCAT") que presenta las principales dificultades que han experimentado algunas CPC. Esta sección también brinda la oportunidad de plantear la posible necesidad de asistencia técnica.</w:t>
      </w:r>
    </w:p>
    <w:p w14:paraId="12C806CE" w14:textId="77777777" w:rsidR="009C2133" w:rsidRPr="00364A87" w:rsidRDefault="009C2133" w:rsidP="00966057">
      <w:pPr>
        <w:jc w:val="both"/>
        <w:rPr>
          <w:rFonts w:asciiTheme="majorHAnsi" w:hAnsiTheme="majorHAnsi"/>
        </w:rPr>
      </w:pPr>
    </w:p>
    <w:p w14:paraId="14302E33" w14:textId="68A51EC8" w:rsidR="00E21AA6" w:rsidRPr="00536AB6" w:rsidRDefault="006836FF" w:rsidP="005E2BDD">
      <w:pPr>
        <w:pBdr>
          <w:top w:val="single" w:sz="4" w:space="1" w:color="auto"/>
          <w:left w:val="single" w:sz="4" w:space="4" w:color="auto"/>
          <w:bottom w:val="single" w:sz="4" w:space="1" w:color="auto"/>
          <w:right w:val="single" w:sz="4" w:space="4" w:color="auto"/>
        </w:pBdr>
        <w:jc w:val="both"/>
        <w:rPr>
          <w:rFonts w:asciiTheme="majorHAnsi" w:hAnsiTheme="majorHAnsi"/>
        </w:rPr>
      </w:pPr>
      <w:r>
        <w:rPr>
          <w:rFonts w:asciiTheme="majorHAnsi" w:hAnsiTheme="majorHAnsi"/>
          <w:b/>
        </w:rPr>
        <w:t>Solicitud de la Secretaría de ICCAT: </w:t>
      </w:r>
      <w:bookmarkStart w:id="31" w:name="_Hlk180594768"/>
      <w:r>
        <w:rPr>
          <w:rFonts w:asciiTheme="majorHAnsi" w:hAnsiTheme="majorHAnsi"/>
        </w:rPr>
        <w:t>Con el fin de destacar la importancia de dar respuestas exhaustivas y com</w:t>
      </w:r>
      <w:r w:rsidRPr="001A2D72">
        <w:rPr>
          <w:rFonts w:asciiTheme="majorHAnsi" w:hAnsiTheme="majorHAnsi"/>
        </w:rPr>
        <w:t xml:space="preserve">pletas a los requisitos y preguntas que figuran en los informes anuales, se anima a las CPC a participar en las </w:t>
      </w:r>
      <w:r w:rsidR="001A2D72" w:rsidRPr="001A2D72">
        <w:rPr>
          <w:rFonts w:asciiTheme="majorHAnsi" w:hAnsiTheme="majorHAnsi"/>
        </w:rPr>
        <w:t>próximas r</w:t>
      </w:r>
      <w:r w:rsidRPr="001A2D72">
        <w:rPr>
          <w:rFonts w:asciiTheme="majorHAnsi" w:hAnsiTheme="majorHAnsi"/>
        </w:rPr>
        <w:t>euniones del Grupo de trabajo sobre tecnología de comunicación de información en línea (WG ORT). Se recuerda a las CPC que el WG ORT es el órgano designado para aportar comentarios, plantear inquietudes y proponer mejoras en relación con el IOMS. Además, se invita a las CPC a proporcionar comentarios y sugerir mejoras a las respuestas estándar.</w:t>
      </w:r>
      <w:r>
        <w:rPr>
          <w:rFonts w:asciiTheme="majorHAnsi" w:hAnsiTheme="majorHAnsi"/>
        </w:rPr>
        <w:t xml:space="preserve"> Esta información se utilizará para mejorar y desarrollar un conjunto de respuestas estándar que satisfagan suficientemente las necesidades de las CPC y del Comité de Cumplimiento.</w:t>
      </w:r>
    </w:p>
    <w:p w14:paraId="25996797" w14:textId="77777777" w:rsidR="005E2BDD" w:rsidRPr="00364A87" w:rsidRDefault="005E2BDD" w:rsidP="005E2BDD">
      <w:pPr>
        <w:pBdr>
          <w:top w:val="single" w:sz="4" w:space="1" w:color="auto"/>
          <w:left w:val="single" w:sz="4" w:space="4" w:color="auto"/>
          <w:bottom w:val="single" w:sz="4" w:space="1" w:color="auto"/>
          <w:right w:val="single" w:sz="4" w:space="4" w:color="auto"/>
        </w:pBdr>
        <w:jc w:val="both"/>
        <w:rPr>
          <w:rFonts w:asciiTheme="majorHAnsi" w:hAnsiTheme="majorHAnsi"/>
        </w:rPr>
      </w:pPr>
    </w:p>
    <w:bookmarkEnd w:id="31"/>
    <w:p w14:paraId="46A721C4" w14:textId="1EA16A32" w:rsidR="00E21AA6" w:rsidRPr="00536AB6" w:rsidRDefault="00D75260" w:rsidP="005E2BDD">
      <w:pPr>
        <w:pBdr>
          <w:top w:val="single" w:sz="4" w:space="1" w:color="auto"/>
          <w:left w:val="single" w:sz="4" w:space="4" w:color="auto"/>
          <w:bottom w:val="single" w:sz="4" w:space="1" w:color="auto"/>
          <w:right w:val="single" w:sz="4" w:space="4" w:color="auto"/>
        </w:pBdr>
        <w:jc w:val="both"/>
        <w:rPr>
          <w:rFonts w:asciiTheme="majorHAnsi" w:hAnsiTheme="majorHAnsi"/>
        </w:rPr>
      </w:pPr>
      <w:r>
        <w:rPr>
          <w:rFonts w:asciiTheme="majorHAnsi" w:hAnsiTheme="majorHAnsi"/>
        </w:rPr>
        <w:t xml:space="preserve">Además, la Secretaría de ICCAT anima a todas las CPC a aprovechar al máximo la utilización de la </w:t>
      </w:r>
      <w:r>
        <w:rPr>
          <w:rFonts w:asciiTheme="majorHAnsi" w:hAnsiTheme="majorHAnsi"/>
          <w:i/>
          <w:iCs/>
        </w:rPr>
        <w:t>Sección 2.2</w:t>
      </w:r>
      <w:r>
        <w:rPr>
          <w:rFonts w:asciiTheme="majorHAnsi" w:hAnsiTheme="majorHAnsi"/>
        </w:rPr>
        <w:t xml:space="preserve"> del Informe anual para expresar sus preocupaciones y alertar a la Comisión sobre los retos encontrados a lo largo del año. Instamos también a todas las CPC a que informen de cualquier dificultad encontrada de forma continua, en lugar de hacerlo una vez al año, cuando se presentan los informes anuales. La notificación continua de los retos permitirá que se disponga de tiempo suficiente para abordar y resolver oportunamente las preocupaciones de las CPC. Por último, la </w:t>
      </w:r>
      <w:r>
        <w:rPr>
          <w:rFonts w:asciiTheme="majorHAnsi" w:hAnsiTheme="majorHAnsi"/>
          <w:i/>
          <w:iCs/>
        </w:rPr>
        <w:t>Sección 2.2</w:t>
      </w:r>
      <w:r>
        <w:rPr>
          <w:rFonts w:asciiTheme="majorHAnsi" w:hAnsiTheme="majorHAnsi"/>
        </w:rPr>
        <w:t xml:space="preserve"> debería considerarse como una oportunidad para mejorar la comunicación y como una herramienta para la resolución de problemas que sirve para </w:t>
      </w:r>
      <w:r w:rsidRPr="005D7329">
        <w:rPr>
          <w:rFonts w:asciiTheme="majorHAnsi" w:hAnsiTheme="majorHAnsi"/>
        </w:rPr>
        <w:t>informar a la Secretaría de ICCAT y permitirle trabajar de forma más proactiva y receptiva. Asimismo, se recuerda a las CPC que la Secretaría de ICCAT está a su disposición para ofrecerles orientación y asistencia técnica.</w:t>
      </w:r>
    </w:p>
    <w:p w14:paraId="170F8300" w14:textId="1757ADDA" w:rsidR="005F3B85" w:rsidRPr="00536AB6" w:rsidRDefault="005F3B85" w:rsidP="00820485">
      <w:pPr>
        <w:widowControl/>
        <w:autoSpaceDE/>
        <w:autoSpaceDN/>
        <w:adjustRightInd/>
        <w:jc w:val="center"/>
        <w:rPr>
          <w:rFonts w:asciiTheme="majorHAnsi" w:hAnsiTheme="majorHAnsi"/>
          <w:b/>
          <w:color w:val="000000" w:themeColor="text1"/>
        </w:rPr>
      </w:pPr>
      <w:r>
        <w:rPr>
          <w:rFonts w:asciiTheme="majorHAnsi" w:hAnsiTheme="majorHAnsi"/>
          <w:b/>
          <w:color w:val="000000" w:themeColor="text1"/>
        </w:rPr>
        <w:t>Lista de tablas</w:t>
      </w:r>
    </w:p>
    <w:p w14:paraId="078C84E3" w14:textId="77777777" w:rsidR="00345418" w:rsidRPr="00364A87" w:rsidRDefault="00345418" w:rsidP="00820485">
      <w:pPr>
        <w:widowControl/>
        <w:autoSpaceDE/>
        <w:autoSpaceDN/>
        <w:adjustRightInd/>
        <w:jc w:val="center"/>
        <w:rPr>
          <w:rFonts w:asciiTheme="majorHAnsi" w:hAnsiTheme="majorHAnsi"/>
          <w:b/>
          <w:color w:val="000000" w:themeColor="text1"/>
        </w:rPr>
      </w:pPr>
    </w:p>
    <w:p w14:paraId="49214CF3" w14:textId="3251FE3A" w:rsidR="002E3B58" w:rsidRPr="00536AB6" w:rsidRDefault="004A30BE" w:rsidP="005E2BDD">
      <w:pPr>
        <w:jc w:val="both"/>
        <w:rPr>
          <w:rFonts w:asciiTheme="majorHAnsi" w:hAnsiTheme="majorHAnsi"/>
          <w:bCs/>
          <w:iCs/>
        </w:rPr>
      </w:pPr>
      <w:r>
        <w:rPr>
          <w:rFonts w:asciiTheme="majorHAnsi" w:hAnsiTheme="majorHAnsi"/>
          <w:b/>
        </w:rPr>
        <w:t>Tabla 1.</w:t>
      </w:r>
      <w:r>
        <w:rPr>
          <w:rFonts w:asciiTheme="majorHAnsi" w:hAnsiTheme="majorHAnsi"/>
          <w:b/>
        </w:rPr>
        <w:tab/>
      </w:r>
      <w:r>
        <w:rPr>
          <w:rFonts w:asciiTheme="majorHAnsi" w:hAnsiTheme="majorHAnsi"/>
        </w:rPr>
        <w:t>Capturas mensuales y trimestrales de túnidos tropicales en 2025.</w:t>
      </w:r>
    </w:p>
    <w:p w14:paraId="5E74866C" w14:textId="3755C190" w:rsidR="00FD06E4" w:rsidRPr="00364A87" w:rsidRDefault="00FD06E4" w:rsidP="005E2BDD">
      <w:pPr>
        <w:jc w:val="both"/>
        <w:rPr>
          <w:rFonts w:asciiTheme="majorHAnsi" w:hAnsiTheme="majorHAnsi"/>
          <w:bCs/>
          <w:iCs/>
        </w:rPr>
      </w:pPr>
    </w:p>
    <w:p w14:paraId="6FEF9377" w14:textId="398FC8B6" w:rsidR="00FD06E4" w:rsidRPr="00536AB6" w:rsidRDefault="00FD06E4" w:rsidP="005E2BDD">
      <w:pPr>
        <w:jc w:val="both"/>
        <w:rPr>
          <w:rFonts w:asciiTheme="majorHAnsi" w:hAnsiTheme="majorHAnsi"/>
          <w:bCs/>
          <w:iCs/>
        </w:rPr>
      </w:pPr>
      <w:r>
        <w:rPr>
          <w:rFonts w:asciiTheme="majorHAnsi" w:hAnsiTheme="majorHAnsi"/>
          <w:b/>
        </w:rPr>
        <w:t>Tabla 2.</w:t>
      </w:r>
      <w:r>
        <w:rPr>
          <w:rFonts w:asciiTheme="majorHAnsi" w:hAnsiTheme="majorHAnsi"/>
        </w:rPr>
        <w:t xml:space="preserve"> </w:t>
      </w:r>
      <w:r>
        <w:rPr>
          <w:rFonts w:asciiTheme="majorHAnsi" w:hAnsiTheme="majorHAnsi"/>
        </w:rPr>
        <w:tab/>
        <w:t>Resumen de informes de inspección JIS recibidos.</w:t>
      </w:r>
    </w:p>
    <w:p w14:paraId="4D6756AC" w14:textId="77777777" w:rsidR="004A30BE" w:rsidRPr="00364A87" w:rsidRDefault="004A30BE" w:rsidP="005E2BDD">
      <w:pPr>
        <w:jc w:val="both"/>
        <w:rPr>
          <w:rFonts w:asciiTheme="majorHAnsi" w:hAnsiTheme="majorHAnsi"/>
          <w:bCs/>
          <w:iCs/>
        </w:rPr>
      </w:pPr>
    </w:p>
    <w:p w14:paraId="1074F58E" w14:textId="371A6E82" w:rsidR="00147D27" w:rsidRPr="00536AB6" w:rsidRDefault="004A30BE" w:rsidP="005E2BDD">
      <w:pPr>
        <w:jc w:val="both"/>
        <w:rPr>
          <w:rFonts w:asciiTheme="majorHAnsi" w:hAnsiTheme="majorHAnsi"/>
          <w:bCs/>
          <w:iCs/>
        </w:rPr>
      </w:pPr>
      <w:r>
        <w:rPr>
          <w:rFonts w:asciiTheme="majorHAnsi" w:hAnsiTheme="majorHAnsi"/>
          <w:b/>
        </w:rPr>
        <w:t>Tabla 3.</w:t>
      </w:r>
      <w:r>
        <w:rPr>
          <w:rFonts w:asciiTheme="majorHAnsi" w:hAnsiTheme="majorHAnsi"/>
        </w:rPr>
        <w:t xml:space="preserve"> </w:t>
      </w:r>
      <w:r>
        <w:rPr>
          <w:rFonts w:asciiTheme="majorHAnsi" w:hAnsiTheme="majorHAnsi"/>
        </w:rPr>
        <w:tab/>
        <w:t>Resumen de los informes de inspección en puerto comunicados a la Secretaría de ICCAT.</w:t>
      </w:r>
    </w:p>
    <w:p w14:paraId="108A7504" w14:textId="77777777" w:rsidR="001D229D" w:rsidRPr="00536AB6" w:rsidRDefault="001D229D" w:rsidP="005E2BDD">
      <w:pPr>
        <w:jc w:val="both"/>
        <w:rPr>
          <w:rFonts w:asciiTheme="majorHAnsi" w:hAnsiTheme="majorHAnsi"/>
          <w:bCs/>
          <w:iCs/>
        </w:rPr>
      </w:pPr>
      <w:bookmarkStart w:id="32" w:name="_Hlk52895081"/>
      <w:bookmarkStart w:id="33" w:name="_Hlk22892381"/>
    </w:p>
    <w:p w14:paraId="11EB9D27" w14:textId="7ACE977F" w:rsidR="00C86AFF" w:rsidRPr="00536AB6" w:rsidRDefault="004A30BE" w:rsidP="005E2BDD">
      <w:pPr>
        <w:jc w:val="both"/>
        <w:rPr>
          <w:rFonts w:asciiTheme="majorHAnsi" w:hAnsiTheme="majorHAnsi"/>
          <w:bCs/>
          <w:iCs/>
        </w:rPr>
      </w:pPr>
      <w:r>
        <w:rPr>
          <w:rFonts w:asciiTheme="majorHAnsi" w:hAnsiTheme="majorHAnsi"/>
          <w:b/>
        </w:rPr>
        <w:t>Tabla 4.</w:t>
      </w:r>
      <w:r>
        <w:rPr>
          <w:rFonts w:asciiTheme="majorHAnsi" w:hAnsiTheme="majorHAnsi"/>
        </w:rPr>
        <w:t xml:space="preserve"> </w:t>
      </w:r>
      <w:r>
        <w:rPr>
          <w:rFonts w:asciiTheme="majorHAnsi" w:hAnsiTheme="majorHAnsi"/>
        </w:rPr>
        <w:tab/>
        <w:t xml:space="preserve">Mensajes VMS recibidos por CPC y número de buques. </w:t>
      </w:r>
    </w:p>
    <w:p w14:paraId="16F88A28" w14:textId="77777777" w:rsidR="00C86AFF" w:rsidRPr="00364A87" w:rsidRDefault="00C86AFF" w:rsidP="005E2BDD">
      <w:pPr>
        <w:jc w:val="both"/>
        <w:rPr>
          <w:rFonts w:asciiTheme="majorHAnsi" w:hAnsiTheme="majorHAnsi"/>
          <w:bCs/>
          <w:iCs/>
        </w:rPr>
      </w:pPr>
    </w:p>
    <w:p w14:paraId="57D8E1B8" w14:textId="0E92C7FF" w:rsidR="00C86AFF" w:rsidRPr="00536AB6" w:rsidRDefault="00C86AFF" w:rsidP="005E2BDD">
      <w:pPr>
        <w:ind w:left="1020" w:hanging="1020"/>
        <w:jc w:val="both"/>
        <w:rPr>
          <w:rFonts w:asciiTheme="majorHAnsi" w:hAnsiTheme="majorHAnsi"/>
          <w:bCs/>
          <w:iCs/>
        </w:rPr>
      </w:pPr>
      <w:r>
        <w:rPr>
          <w:rFonts w:asciiTheme="majorHAnsi" w:hAnsiTheme="majorHAnsi"/>
          <w:b/>
        </w:rPr>
        <w:t>Table 5</w:t>
      </w:r>
      <w:r>
        <w:rPr>
          <w:rFonts w:asciiTheme="majorHAnsi" w:hAnsiTheme="majorHAnsi"/>
        </w:rPr>
        <w:t xml:space="preserve">. </w:t>
      </w:r>
      <w:r>
        <w:rPr>
          <w:rFonts w:asciiTheme="majorHAnsi" w:hAnsiTheme="majorHAnsi"/>
        </w:rPr>
        <w:tab/>
        <w:t xml:space="preserve">Buques que durante mayo-julio de 2026 han estado inscritos en el Registro de buques de ICCAT y que durante algunas de las semanas de este período no han emitido ningún mensaje VMS. </w:t>
      </w:r>
    </w:p>
    <w:p w14:paraId="36582ABC" w14:textId="77777777" w:rsidR="00147D27" w:rsidRPr="00364A87" w:rsidRDefault="00147D27" w:rsidP="005E2BDD">
      <w:pPr>
        <w:jc w:val="both"/>
        <w:rPr>
          <w:rFonts w:asciiTheme="majorHAnsi" w:hAnsiTheme="majorHAnsi"/>
          <w:bCs/>
          <w:iCs/>
        </w:rPr>
      </w:pPr>
    </w:p>
    <w:p w14:paraId="51F5FABD" w14:textId="300F3BB5" w:rsidR="00F978E7" w:rsidRPr="00536AB6" w:rsidRDefault="004A30BE" w:rsidP="005E2BDD">
      <w:pPr>
        <w:ind w:left="1020" w:hanging="1020"/>
        <w:jc w:val="both"/>
        <w:rPr>
          <w:rFonts w:asciiTheme="majorHAnsi" w:hAnsiTheme="majorHAnsi"/>
          <w:bCs/>
          <w:iCs/>
        </w:rPr>
      </w:pPr>
      <w:r>
        <w:rPr>
          <w:rFonts w:asciiTheme="majorHAnsi" w:hAnsiTheme="majorHAnsi"/>
          <w:b/>
        </w:rPr>
        <w:t>Tabla 6.</w:t>
      </w:r>
      <w:r>
        <w:rPr>
          <w:rFonts w:asciiTheme="majorHAnsi" w:hAnsiTheme="majorHAnsi"/>
        </w:rPr>
        <w:t xml:space="preserve"> </w:t>
      </w:r>
      <w:r>
        <w:rPr>
          <w:rFonts w:asciiTheme="majorHAnsi" w:hAnsiTheme="majorHAnsi"/>
        </w:rPr>
        <w:tab/>
        <w:t xml:space="preserve">Buques que durante mayo-julio de 2026 no han estado inscritos en el Registro de buques de ICCAT o cuya autorización ha expirado y que han emitido mensajes VMS durante algunas de las semanas de este período. </w:t>
      </w:r>
    </w:p>
    <w:bookmarkEnd w:id="32"/>
    <w:bookmarkEnd w:id="33"/>
    <w:p w14:paraId="01D8D4C5" w14:textId="77777777" w:rsidR="002E61FA" w:rsidRPr="00364A87" w:rsidRDefault="002E61FA" w:rsidP="005E2BDD">
      <w:pPr>
        <w:jc w:val="both"/>
        <w:rPr>
          <w:rFonts w:asciiTheme="majorHAnsi" w:hAnsiTheme="majorHAnsi"/>
          <w:b/>
          <w:iCs/>
        </w:rPr>
      </w:pPr>
    </w:p>
    <w:p w14:paraId="1EAC9394" w14:textId="6E1A39A7" w:rsidR="002E61FA" w:rsidRPr="00536AB6" w:rsidRDefault="002E61FA" w:rsidP="005E2BDD">
      <w:pPr>
        <w:jc w:val="both"/>
        <w:rPr>
          <w:rFonts w:asciiTheme="majorHAnsi" w:hAnsiTheme="majorHAnsi"/>
          <w:bCs/>
          <w:iCs/>
        </w:rPr>
      </w:pPr>
      <w:r>
        <w:rPr>
          <w:rFonts w:asciiTheme="majorHAnsi" w:hAnsiTheme="majorHAnsi"/>
          <w:b/>
        </w:rPr>
        <w:t>Tabla 7.</w:t>
      </w:r>
      <w:r>
        <w:rPr>
          <w:rFonts w:asciiTheme="majorHAnsi" w:hAnsiTheme="majorHAnsi"/>
        </w:rPr>
        <w:t xml:space="preserve"> </w:t>
      </w:r>
      <w:r>
        <w:rPr>
          <w:rFonts w:asciiTheme="majorHAnsi" w:hAnsiTheme="majorHAnsi"/>
        </w:rPr>
        <w:tab/>
        <w:t>Resumen de los informes de capturas mensuales (BFT-W).</w:t>
      </w:r>
    </w:p>
    <w:p w14:paraId="5DA644CB" w14:textId="77777777" w:rsidR="002E61FA" w:rsidRPr="00364A87" w:rsidRDefault="002E61FA" w:rsidP="005E2BDD">
      <w:pPr>
        <w:jc w:val="both"/>
        <w:rPr>
          <w:rFonts w:asciiTheme="majorHAnsi" w:hAnsiTheme="majorHAnsi"/>
          <w:bCs/>
          <w:iCs/>
        </w:rPr>
      </w:pPr>
    </w:p>
    <w:p w14:paraId="4EAA0A25" w14:textId="51A48E40" w:rsidR="002E61FA" w:rsidRPr="00536AB6" w:rsidRDefault="002E61FA" w:rsidP="005E2BDD">
      <w:pPr>
        <w:jc w:val="both"/>
        <w:rPr>
          <w:rFonts w:asciiTheme="majorHAnsi" w:hAnsiTheme="majorHAnsi"/>
          <w:bCs/>
          <w:iCs/>
        </w:rPr>
      </w:pPr>
      <w:r>
        <w:rPr>
          <w:rFonts w:asciiTheme="majorHAnsi" w:hAnsiTheme="majorHAnsi"/>
          <w:b/>
        </w:rPr>
        <w:t>Tabla 8.</w:t>
      </w:r>
      <w:r>
        <w:rPr>
          <w:rFonts w:asciiTheme="majorHAnsi" w:hAnsiTheme="majorHAnsi"/>
        </w:rPr>
        <w:t xml:space="preserve"> </w:t>
      </w:r>
      <w:r>
        <w:rPr>
          <w:rFonts w:asciiTheme="majorHAnsi" w:hAnsiTheme="majorHAnsi"/>
        </w:rPr>
        <w:tab/>
        <w:t xml:space="preserve">Resumen de los informes de capturas </w:t>
      </w:r>
      <w:r w:rsidR="00CC50B5">
        <w:rPr>
          <w:rFonts w:asciiTheme="majorHAnsi" w:hAnsiTheme="majorHAnsi"/>
        </w:rPr>
        <w:t>quincenales</w:t>
      </w:r>
      <w:r>
        <w:rPr>
          <w:rFonts w:asciiTheme="majorHAnsi" w:hAnsiTheme="majorHAnsi"/>
        </w:rPr>
        <w:t xml:space="preserve"> (BFT-E).</w:t>
      </w:r>
    </w:p>
    <w:p w14:paraId="6C540495" w14:textId="77777777" w:rsidR="002E61FA" w:rsidRPr="00364A87" w:rsidRDefault="002E61FA" w:rsidP="005E2BDD">
      <w:pPr>
        <w:jc w:val="both"/>
        <w:rPr>
          <w:rFonts w:asciiTheme="majorHAnsi" w:hAnsiTheme="majorHAnsi"/>
          <w:bCs/>
          <w:iCs/>
        </w:rPr>
      </w:pPr>
    </w:p>
    <w:p w14:paraId="6E40AB7B" w14:textId="723DAF60" w:rsidR="002E61FA" w:rsidRPr="00536AB6" w:rsidRDefault="002E61FA" w:rsidP="005E2BDD">
      <w:pPr>
        <w:jc w:val="both"/>
        <w:rPr>
          <w:rFonts w:asciiTheme="majorHAnsi" w:hAnsiTheme="majorHAnsi"/>
          <w:bCs/>
          <w:iCs/>
        </w:rPr>
      </w:pPr>
      <w:r>
        <w:rPr>
          <w:rFonts w:asciiTheme="majorHAnsi" w:hAnsiTheme="majorHAnsi"/>
          <w:b/>
        </w:rPr>
        <w:t>Tabla 9.</w:t>
      </w:r>
      <w:r>
        <w:rPr>
          <w:rFonts w:asciiTheme="majorHAnsi" w:hAnsiTheme="majorHAnsi"/>
        </w:rPr>
        <w:t xml:space="preserve"> </w:t>
      </w:r>
      <w:r>
        <w:rPr>
          <w:rFonts w:asciiTheme="majorHAnsi" w:hAnsiTheme="majorHAnsi"/>
        </w:rPr>
        <w:tab/>
        <w:t>Resumen de informes de operaciones de introducción en jaulas de BFT-E.</w:t>
      </w:r>
    </w:p>
    <w:p w14:paraId="41FF887E" w14:textId="77777777" w:rsidR="002E61FA" w:rsidRPr="00364A87" w:rsidRDefault="002E61FA" w:rsidP="005E2BDD">
      <w:pPr>
        <w:jc w:val="both"/>
        <w:rPr>
          <w:rFonts w:asciiTheme="majorHAnsi" w:hAnsiTheme="majorHAnsi"/>
          <w:bCs/>
          <w:iCs/>
        </w:rPr>
      </w:pPr>
    </w:p>
    <w:p w14:paraId="34C257BC" w14:textId="437DFCF9" w:rsidR="002E61FA" w:rsidRPr="00536AB6" w:rsidRDefault="002E61FA" w:rsidP="005E2BDD">
      <w:pPr>
        <w:jc w:val="both"/>
        <w:rPr>
          <w:rFonts w:asciiTheme="majorHAnsi" w:hAnsiTheme="majorHAnsi"/>
          <w:bCs/>
          <w:iCs/>
        </w:rPr>
      </w:pPr>
      <w:r>
        <w:rPr>
          <w:rFonts w:asciiTheme="majorHAnsi" w:hAnsiTheme="majorHAnsi"/>
          <w:b/>
        </w:rPr>
        <w:t>Tabla 10.</w:t>
      </w:r>
      <w:r>
        <w:rPr>
          <w:rFonts w:asciiTheme="majorHAnsi" w:hAnsiTheme="majorHAnsi"/>
        </w:rPr>
        <w:t xml:space="preserve"> </w:t>
      </w:r>
      <w:r>
        <w:rPr>
          <w:rFonts w:asciiTheme="majorHAnsi" w:hAnsiTheme="majorHAnsi"/>
        </w:rPr>
        <w:tab/>
        <w:t>Resumen de acuerdos de fletamento comunicados.</w:t>
      </w:r>
    </w:p>
    <w:p w14:paraId="7227D808" w14:textId="7D978EEF" w:rsidR="00C21FE0" w:rsidRPr="00364A87" w:rsidRDefault="00C21FE0" w:rsidP="005E2BDD">
      <w:pPr>
        <w:jc w:val="both"/>
        <w:rPr>
          <w:rFonts w:asciiTheme="majorHAnsi" w:hAnsiTheme="majorHAnsi"/>
          <w:bCs/>
          <w:iCs/>
        </w:rPr>
      </w:pPr>
    </w:p>
    <w:p w14:paraId="3A53538C" w14:textId="2C875ED9" w:rsidR="00C21FE0" w:rsidRPr="00536AB6" w:rsidRDefault="00C21FE0" w:rsidP="005E2BDD">
      <w:pPr>
        <w:ind w:left="1020" w:hanging="1020"/>
        <w:jc w:val="both"/>
        <w:rPr>
          <w:rFonts w:asciiTheme="majorHAnsi" w:hAnsiTheme="majorHAnsi"/>
          <w:iCs/>
          <w:color w:val="000000"/>
        </w:rPr>
      </w:pPr>
      <w:r>
        <w:rPr>
          <w:rFonts w:asciiTheme="majorHAnsi" w:hAnsiTheme="majorHAnsi"/>
          <w:b/>
        </w:rPr>
        <w:t>Tabla 11.</w:t>
      </w:r>
      <w:r>
        <w:rPr>
          <w:rFonts w:asciiTheme="majorHAnsi" w:hAnsiTheme="majorHAnsi"/>
        </w:rPr>
        <w:t xml:space="preserve"> </w:t>
      </w:r>
      <w:r>
        <w:rPr>
          <w:rFonts w:asciiTheme="majorHAnsi" w:hAnsiTheme="majorHAnsi"/>
        </w:rPr>
        <w:tab/>
        <w:t>Resultados de los controles aleatorios comunicados a la Secretaría de ICCAT de acuerdo con el párrafo 218 de la Rec. 25-04.</w:t>
      </w:r>
    </w:p>
    <w:sectPr w:rsidR="00C21FE0" w:rsidRPr="00536AB6" w:rsidSect="005C1EE7">
      <w:headerReference w:type="default" r:id="rId41"/>
      <w:footerReference w:type="default" r:id="rId42"/>
      <w:endnotePr>
        <w:numFmt w:val="decimal"/>
      </w:endnotePr>
      <w:pgSz w:w="11911" w:h="16832" w:code="9"/>
      <w:pgMar w:top="1418" w:right="1418" w:bottom="1418" w:left="1418" w:header="851" w:footer="113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1C393" w14:textId="77777777" w:rsidR="00E031E0" w:rsidRDefault="00E031E0">
      <w:r>
        <w:separator/>
      </w:r>
    </w:p>
  </w:endnote>
  <w:endnote w:type="continuationSeparator" w:id="0">
    <w:p w14:paraId="5AED93B1" w14:textId="77777777" w:rsidR="00E031E0" w:rsidRDefault="00E031E0">
      <w:r>
        <w:continuationSeparator/>
      </w:r>
    </w:p>
  </w:endnote>
  <w:endnote w:type="continuationNotice" w:id="1">
    <w:p w14:paraId="4BE57141" w14:textId="77777777" w:rsidR="00E031E0" w:rsidRDefault="00E031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E54C7" w14:textId="696195B6" w:rsidR="003F3EC0" w:rsidRPr="00C6213D" w:rsidRDefault="00C6213D" w:rsidP="00C6213D">
    <w:pPr>
      <w:tabs>
        <w:tab w:val="center" w:pos="4535"/>
        <w:tab w:val="center" w:pos="4680"/>
        <w:tab w:val="left" w:pos="6150"/>
        <w:tab w:val="right" w:pos="9360"/>
      </w:tabs>
      <w:jc w:val="center"/>
      <w:rPr>
        <w:rFonts w:ascii="Cambria" w:eastAsia="Calibri" w:hAnsi="Cambria" w:cs="Calibri"/>
        <w:szCs w:val="22"/>
      </w:rPr>
    </w:pPr>
    <w:r w:rsidRPr="00D92816">
      <w:rPr>
        <w:rFonts w:ascii="Cambria" w:eastAsia="Calibri" w:hAnsi="Cambria" w:cs="Calibri"/>
      </w:rPr>
      <w:fldChar w:fldCharType="begin"/>
    </w:r>
    <w:r w:rsidRPr="00D92816">
      <w:rPr>
        <w:rFonts w:ascii="Cambria" w:eastAsia="Calibri" w:hAnsi="Cambria" w:cs="Calibri"/>
      </w:rPr>
      <w:instrText xml:space="preserve"> PAGE </w:instrText>
    </w:r>
    <w:r w:rsidRPr="00D92816">
      <w:rPr>
        <w:rFonts w:ascii="Cambria" w:eastAsia="Calibri" w:hAnsi="Cambria" w:cs="Calibri"/>
      </w:rPr>
      <w:fldChar w:fldCharType="separate"/>
    </w:r>
    <w:r>
      <w:rPr>
        <w:rFonts w:ascii="Cambria" w:eastAsia="Calibri" w:hAnsi="Cambria" w:cs="Calibri"/>
      </w:rPr>
      <w:t>1</w:t>
    </w:r>
    <w:r w:rsidRPr="00D92816">
      <w:rPr>
        <w:rFonts w:ascii="Cambria" w:eastAsia="Calibri" w:hAnsi="Cambria" w:cs="Calibri"/>
      </w:rPr>
      <w:fldChar w:fldCharType="end"/>
    </w:r>
    <w:r>
      <w:rPr>
        <w:rFonts w:ascii="Cambria" w:hAnsi="Cambria"/>
      </w:rPr>
      <w:t xml:space="preserve"> / </w:t>
    </w:r>
    <w:r w:rsidRPr="00D92816">
      <w:rPr>
        <w:rFonts w:ascii="Cambria" w:eastAsia="Calibri" w:hAnsi="Cambria" w:cs="Calibri"/>
      </w:rPr>
      <w:fldChar w:fldCharType="begin"/>
    </w:r>
    <w:r w:rsidRPr="00D92816">
      <w:rPr>
        <w:rFonts w:ascii="Cambria" w:eastAsia="Calibri" w:hAnsi="Cambria" w:cs="Calibri"/>
      </w:rPr>
      <w:instrText xml:space="preserve"> NUMPAGES  </w:instrText>
    </w:r>
    <w:r w:rsidRPr="00D92816">
      <w:rPr>
        <w:rFonts w:ascii="Cambria" w:eastAsia="Calibri" w:hAnsi="Cambria" w:cs="Calibri"/>
      </w:rPr>
      <w:fldChar w:fldCharType="separate"/>
    </w:r>
    <w:r>
      <w:rPr>
        <w:rFonts w:ascii="Cambria" w:eastAsia="Calibri" w:hAnsi="Cambria" w:cs="Calibri"/>
      </w:rPr>
      <w:t>8</w:t>
    </w:r>
    <w:r w:rsidRPr="00D92816">
      <w:rPr>
        <w:rFonts w:ascii="Cambria" w:eastAsia="Calibri" w:hAnsi="Cambria"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0BEF7" w14:textId="77777777" w:rsidR="003F3EC0" w:rsidRPr="00C6213D" w:rsidRDefault="00C6213D" w:rsidP="00C6213D">
    <w:pPr>
      <w:tabs>
        <w:tab w:val="center" w:pos="4535"/>
        <w:tab w:val="center" w:pos="4680"/>
        <w:tab w:val="left" w:pos="6150"/>
        <w:tab w:val="right" w:pos="9360"/>
      </w:tabs>
      <w:jc w:val="center"/>
      <w:rPr>
        <w:rFonts w:ascii="Cambria" w:eastAsia="Calibri" w:hAnsi="Cambria" w:cs="Calibri"/>
        <w:szCs w:val="22"/>
      </w:rPr>
    </w:pPr>
    <w:r w:rsidRPr="00D92816">
      <w:rPr>
        <w:rFonts w:ascii="Cambria" w:eastAsia="Calibri" w:hAnsi="Cambria" w:cs="Calibri"/>
      </w:rPr>
      <w:fldChar w:fldCharType="begin"/>
    </w:r>
    <w:r w:rsidRPr="00D92816">
      <w:rPr>
        <w:rFonts w:ascii="Cambria" w:eastAsia="Calibri" w:hAnsi="Cambria" w:cs="Calibri"/>
      </w:rPr>
      <w:instrText xml:space="preserve"> PAGE </w:instrText>
    </w:r>
    <w:r w:rsidRPr="00D92816">
      <w:rPr>
        <w:rFonts w:ascii="Cambria" w:eastAsia="Calibri" w:hAnsi="Cambria" w:cs="Calibri"/>
      </w:rPr>
      <w:fldChar w:fldCharType="separate"/>
    </w:r>
    <w:r>
      <w:rPr>
        <w:rFonts w:ascii="Cambria" w:eastAsia="Calibri" w:hAnsi="Cambria" w:cs="Calibri"/>
      </w:rPr>
      <w:t>1</w:t>
    </w:r>
    <w:r w:rsidRPr="00D92816">
      <w:rPr>
        <w:rFonts w:ascii="Cambria" w:eastAsia="Calibri" w:hAnsi="Cambria" w:cs="Calibri"/>
      </w:rPr>
      <w:fldChar w:fldCharType="end"/>
    </w:r>
    <w:r>
      <w:rPr>
        <w:rFonts w:ascii="Cambria" w:hAnsi="Cambria"/>
      </w:rPr>
      <w:t xml:space="preserve"> / </w:t>
    </w:r>
    <w:r w:rsidRPr="00D92816">
      <w:rPr>
        <w:rFonts w:ascii="Cambria" w:eastAsia="Calibri" w:hAnsi="Cambria" w:cs="Calibri"/>
      </w:rPr>
      <w:fldChar w:fldCharType="begin"/>
    </w:r>
    <w:r w:rsidRPr="00D92816">
      <w:rPr>
        <w:rFonts w:ascii="Cambria" w:eastAsia="Calibri" w:hAnsi="Cambria" w:cs="Calibri"/>
      </w:rPr>
      <w:instrText xml:space="preserve"> NUMPAGES  </w:instrText>
    </w:r>
    <w:r w:rsidRPr="00D92816">
      <w:rPr>
        <w:rFonts w:ascii="Cambria" w:eastAsia="Calibri" w:hAnsi="Cambria" w:cs="Calibri"/>
      </w:rPr>
      <w:fldChar w:fldCharType="separate"/>
    </w:r>
    <w:r>
      <w:rPr>
        <w:rFonts w:ascii="Cambria" w:eastAsia="Calibri" w:hAnsi="Cambria" w:cs="Calibri"/>
      </w:rPr>
      <w:t>8</w:t>
    </w:r>
    <w:r w:rsidRPr="00D92816">
      <w:rPr>
        <w:rFonts w:ascii="Cambria" w:eastAsia="Calibri" w:hAnsi="Cambria"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D757B" w14:textId="77777777" w:rsidR="00E031E0" w:rsidRDefault="00E031E0">
      <w:r>
        <w:separator/>
      </w:r>
    </w:p>
  </w:footnote>
  <w:footnote w:type="continuationSeparator" w:id="0">
    <w:p w14:paraId="15A3435A" w14:textId="77777777" w:rsidR="00E031E0" w:rsidRDefault="00E031E0">
      <w:r>
        <w:continuationSeparator/>
      </w:r>
    </w:p>
  </w:footnote>
  <w:footnote w:type="continuationNotice" w:id="1">
    <w:p w14:paraId="5C40336B" w14:textId="77777777" w:rsidR="00E031E0" w:rsidRDefault="00E031E0"/>
  </w:footnote>
  <w:footnote w:id="2">
    <w:p w14:paraId="0C3E2FF5" w14:textId="3AEC4FF1" w:rsidR="00E136DE" w:rsidRPr="00667671" w:rsidRDefault="00E136DE">
      <w:pPr>
        <w:pStyle w:val="FootnoteText"/>
        <w:rPr>
          <w:rFonts w:asciiTheme="majorHAnsi" w:hAnsiTheme="majorHAnsi"/>
          <w:sz w:val="16"/>
          <w:szCs w:val="16"/>
        </w:rPr>
      </w:pPr>
      <w:r w:rsidRPr="00667671">
        <w:rPr>
          <w:rStyle w:val="FootnoteReference"/>
          <w:rFonts w:asciiTheme="majorHAnsi" w:hAnsiTheme="majorHAnsi"/>
          <w:sz w:val="16"/>
          <w:szCs w:val="16"/>
        </w:rPr>
        <w:footnoteRef/>
      </w:r>
      <w:r w:rsidRPr="00667671">
        <w:rPr>
          <w:rFonts w:asciiTheme="majorHAnsi" w:hAnsiTheme="majorHAnsi"/>
          <w:sz w:val="16"/>
          <w:szCs w:val="16"/>
        </w:rPr>
        <w:t>Tenga en cuenta que los aspectos relativos a los buques autorizados a utilizar trampillas (es decir, los formularios de comunicación y el formato de presentación de la lista en la página web de ICCAT) se encuentran aún en fase de elaboración. Por lo tanto, están sujetos a modificaciones en función de los comentarios que la Secretaría reciba del SCRS o de la Comisión.</w:t>
      </w:r>
    </w:p>
  </w:footnote>
  <w:footnote w:id="3">
    <w:p w14:paraId="1C25FEBA" w14:textId="28DF81F9" w:rsidR="00BD7007" w:rsidRPr="00EB58E0" w:rsidRDefault="00BD7007" w:rsidP="00D575BF">
      <w:pPr>
        <w:pStyle w:val="FootnoteText"/>
        <w:jc w:val="both"/>
        <w:rPr>
          <w:rFonts w:ascii="Cambria" w:hAnsi="Cambria"/>
          <w:sz w:val="16"/>
          <w:szCs w:val="16"/>
        </w:rPr>
      </w:pPr>
      <w:r>
        <w:rPr>
          <w:rStyle w:val="FootnoteReference"/>
          <w:rFonts w:ascii="Cambria" w:hAnsi="Cambria"/>
          <w:sz w:val="16"/>
          <w:szCs w:val="16"/>
        </w:rPr>
        <w:footnoteRef/>
      </w:r>
      <w:r>
        <w:rPr>
          <w:rFonts w:ascii="Cambria" w:hAnsi="Cambria"/>
          <w:sz w:val="16"/>
        </w:rPr>
        <w:t xml:space="preserve"> Tras consultar con el presidente de la Subcomisión 2 y tal y como se comunicó en la Circular n.º 12095/25 de ICCAT, la Recomendación 25-04 se ha utilizado como única referencia para la campaña de pesca de</w:t>
      </w:r>
      <w:r w:rsidR="00DB3C45">
        <w:rPr>
          <w:rFonts w:ascii="Cambria" w:hAnsi="Cambria"/>
          <w:sz w:val="16"/>
        </w:rPr>
        <w:t xml:space="preserve"> </w:t>
      </w:r>
      <w:r>
        <w:rPr>
          <w:rFonts w:ascii="Cambria" w:hAnsi="Cambria"/>
          <w:sz w:val="16"/>
        </w:rPr>
        <w:t xml:space="preserve">atún rojo del Atlántico </w:t>
      </w:r>
      <w:r w:rsidR="00DB3C45">
        <w:rPr>
          <w:rFonts w:ascii="Cambria" w:hAnsi="Cambria"/>
          <w:sz w:val="16"/>
        </w:rPr>
        <w:t>este</w:t>
      </w:r>
      <w:r>
        <w:rPr>
          <w:rFonts w:ascii="Cambria" w:hAnsi="Cambria"/>
          <w:sz w:val="16"/>
        </w:rPr>
        <w:t xml:space="preserve"> y Mediterráneo de 2026. Este marco incluye las cuotas, los procedimientos de traspaso, el inicio de la campaña de pesca con cerco y el formato actualizado de los planes de pesca, cría, inspección y ordenación de la capacidad (formulario CP47-EBFTPlans).</w:t>
      </w:r>
    </w:p>
  </w:footnote>
  <w:footnote w:id="4">
    <w:p w14:paraId="72504308" w14:textId="4CA5DD61" w:rsidR="0081121B" w:rsidRDefault="0081121B" w:rsidP="0081121B">
      <w:pPr>
        <w:pStyle w:val="FootnoteText"/>
      </w:pPr>
      <w:r>
        <w:rPr>
          <w:rStyle w:val="FootnoteReference"/>
        </w:rPr>
        <w:footnoteRef/>
      </w:r>
      <w:r>
        <w:t xml:space="preserve"> </w:t>
      </w:r>
      <w:r w:rsidRPr="0081121B">
        <w:rPr>
          <w:rFonts w:asciiTheme="majorHAnsi" w:hAnsiTheme="majorHAnsi"/>
          <w:sz w:val="16"/>
          <w:szCs w:val="16"/>
        </w:rPr>
        <w:t>El fuerte aumento del número de buques emisores detectados recientemente se debió a un problema técnico que afectó a una CPC, lo que generó transmisiones aparentes («fantasma») procedentes de buques no registrados. El número total de buques registrados en el VMS se mantuvo prácticamente sin cambios, ya que cada buque detectado por primera vez solo transmitió uno o dos mensajes.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C9F85" w14:textId="230CFD70" w:rsidR="00B51754" w:rsidRPr="00B51754" w:rsidRDefault="00B51754" w:rsidP="00B51754">
    <w:pPr>
      <w:tabs>
        <w:tab w:val="center" w:pos="4680"/>
        <w:tab w:val="left" w:pos="6520"/>
        <w:tab w:val="right" w:pos="9360"/>
        <w:tab w:val="right" w:pos="14240"/>
      </w:tabs>
      <w:spacing w:line="240" w:lineRule="atLeast"/>
      <w:jc w:val="right"/>
      <w:rPr>
        <w:rFonts w:ascii="Cambria" w:eastAsia="Calibri" w:hAnsi="Cambria"/>
        <w:b/>
        <w:bCs/>
        <w:kern w:val="2"/>
        <w14:ligatures w14:val="standardContextual"/>
      </w:rPr>
    </w:pPr>
    <w:bookmarkStart w:id="11" w:name="_Hlk51237468"/>
    <w:bookmarkStart w:id="12" w:name="_Hlk107908354"/>
    <w:bookmarkStart w:id="13" w:name="_Hlk107908355"/>
    <w:bookmarkStart w:id="14" w:name="_Hlk107908359"/>
    <w:bookmarkStart w:id="15" w:name="_Hlk107908360"/>
    <w:bookmarkStart w:id="16" w:name="_Hlk107908361"/>
    <w:bookmarkStart w:id="17" w:name="_Hlk107908362"/>
    <w:r>
      <w:rPr>
        <w:rFonts w:ascii="Cambria" w:hAnsi="Cambria"/>
        <w:b/>
      </w:rPr>
      <w:t>COC_303/2026</w:t>
    </w:r>
  </w:p>
  <w:p w14:paraId="27606F82" w14:textId="1597F9DB" w:rsidR="00B51754" w:rsidRPr="00B51754" w:rsidRDefault="00B51754" w:rsidP="00B51754">
    <w:pPr>
      <w:widowControl/>
      <w:tabs>
        <w:tab w:val="left" w:pos="7320"/>
      </w:tabs>
      <w:autoSpaceDE/>
      <w:autoSpaceDN/>
      <w:adjustRightInd/>
      <w:spacing w:line="240" w:lineRule="atLeast"/>
      <w:jc w:val="right"/>
      <w:rPr>
        <w:rFonts w:ascii="Cambria" w:eastAsia="Yu Mincho" w:hAnsi="Cambria"/>
        <w:b/>
        <w:bCs/>
        <w:kern w:val="2"/>
        <w:sz w:val="16"/>
        <w:szCs w:val="16"/>
        <w14:ligatures w14:val="standardContextual"/>
      </w:rPr>
    </w:pPr>
    <w:r w:rsidRPr="00B51754">
      <w:rPr>
        <w:rFonts w:ascii="Cambria" w:eastAsia="Yu Mincho" w:hAnsi="Cambria"/>
        <w:b/>
        <w:sz w:val="16"/>
      </w:rPr>
      <w:fldChar w:fldCharType="begin"/>
    </w:r>
    <w:r w:rsidRPr="00B51754">
      <w:rPr>
        <w:rFonts w:ascii="Cambria" w:eastAsia="Yu Mincho" w:hAnsi="Cambria"/>
        <w:b/>
        <w:sz w:val="16"/>
      </w:rPr>
      <w:instrText xml:space="preserve"> TIME \@ "dd/MM/yyyy H:mm" </w:instrText>
    </w:r>
    <w:r w:rsidRPr="00B51754">
      <w:rPr>
        <w:rFonts w:ascii="Cambria" w:eastAsia="Yu Mincho" w:hAnsi="Cambria"/>
        <w:b/>
        <w:sz w:val="16"/>
      </w:rPr>
      <w:fldChar w:fldCharType="separate"/>
    </w:r>
    <w:r w:rsidR="00FE1A27">
      <w:rPr>
        <w:rFonts w:ascii="Cambria" w:eastAsia="Yu Mincho" w:hAnsi="Cambria"/>
        <w:b/>
        <w:noProof/>
        <w:sz w:val="16"/>
      </w:rPr>
      <w:t>28/10/2026 15:26</w:t>
    </w:r>
    <w:r w:rsidRPr="00B51754">
      <w:rPr>
        <w:rFonts w:ascii="Cambria" w:eastAsia="Yu Mincho" w:hAnsi="Cambria"/>
        <w:b/>
        <w:bCs/>
        <w:kern w:val="2"/>
        <w:sz w:val="16"/>
        <w:szCs w:val="16"/>
        <w:lang w:eastAsia="ja-JP"/>
        <w14:ligatures w14:val="standardContextual"/>
      </w:rPr>
      <w:fldChar w:fldCharType="end"/>
    </w:r>
    <w:bookmarkEnd w:id="11"/>
    <w:bookmarkEnd w:id="12"/>
    <w:bookmarkEnd w:id="13"/>
    <w:bookmarkEnd w:id="14"/>
    <w:bookmarkEnd w:id="15"/>
    <w:bookmarkEnd w:id="16"/>
    <w:bookmarkEnd w:id="1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510A" w14:textId="74C269CE" w:rsidR="00B51754" w:rsidRPr="00B51754" w:rsidRDefault="00B51754" w:rsidP="00B51754">
    <w:pPr>
      <w:tabs>
        <w:tab w:val="center" w:pos="4680"/>
        <w:tab w:val="left" w:pos="6520"/>
        <w:tab w:val="right" w:pos="9360"/>
        <w:tab w:val="right" w:pos="14240"/>
      </w:tabs>
      <w:spacing w:line="240" w:lineRule="atLeast"/>
      <w:jc w:val="right"/>
      <w:rPr>
        <w:rFonts w:ascii="Cambria" w:eastAsia="Calibri" w:hAnsi="Cambria"/>
        <w:b/>
        <w:bCs/>
        <w:kern w:val="2"/>
        <w14:ligatures w14:val="standardContextual"/>
      </w:rPr>
    </w:pPr>
    <w:r>
      <w:rPr>
        <w:rFonts w:ascii="Cambria" w:hAnsi="Cambria"/>
        <w:b/>
      </w:rPr>
      <w:t>COC_303/2026</w:t>
    </w:r>
  </w:p>
  <w:p w14:paraId="4B32D83B" w14:textId="05464799" w:rsidR="00B51754" w:rsidRPr="00B51754" w:rsidRDefault="00B51754" w:rsidP="00B51754">
    <w:pPr>
      <w:widowControl/>
      <w:tabs>
        <w:tab w:val="left" w:pos="7320"/>
      </w:tabs>
      <w:autoSpaceDE/>
      <w:autoSpaceDN/>
      <w:adjustRightInd/>
      <w:spacing w:line="240" w:lineRule="atLeast"/>
      <w:jc w:val="right"/>
      <w:rPr>
        <w:rFonts w:ascii="Cambria" w:eastAsia="Yu Mincho" w:hAnsi="Cambria"/>
        <w:b/>
        <w:bCs/>
        <w:kern w:val="2"/>
        <w:sz w:val="16"/>
        <w:szCs w:val="16"/>
        <w14:ligatures w14:val="standardContextual"/>
      </w:rPr>
    </w:pPr>
    <w:r w:rsidRPr="00B51754">
      <w:rPr>
        <w:rFonts w:ascii="Cambria" w:eastAsia="Yu Mincho" w:hAnsi="Cambria"/>
        <w:b/>
        <w:sz w:val="16"/>
      </w:rPr>
      <w:fldChar w:fldCharType="begin"/>
    </w:r>
    <w:r w:rsidRPr="00B51754">
      <w:rPr>
        <w:rFonts w:ascii="Cambria" w:eastAsia="Yu Mincho" w:hAnsi="Cambria"/>
        <w:b/>
        <w:sz w:val="16"/>
      </w:rPr>
      <w:instrText xml:space="preserve"> TIME \@ "dd/MM/yyyy H:mm" </w:instrText>
    </w:r>
    <w:r w:rsidRPr="00B51754">
      <w:rPr>
        <w:rFonts w:ascii="Cambria" w:eastAsia="Yu Mincho" w:hAnsi="Cambria"/>
        <w:b/>
        <w:sz w:val="16"/>
      </w:rPr>
      <w:fldChar w:fldCharType="separate"/>
    </w:r>
    <w:r w:rsidR="00FE1A27">
      <w:rPr>
        <w:rFonts w:ascii="Cambria" w:eastAsia="Yu Mincho" w:hAnsi="Cambria"/>
        <w:b/>
        <w:noProof/>
        <w:sz w:val="16"/>
      </w:rPr>
      <w:t>28/10/2026 15:26</w:t>
    </w:r>
    <w:r w:rsidRPr="00B51754">
      <w:rPr>
        <w:rFonts w:ascii="Cambria" w:eastAsia="Yu Mincho" w:hAnsi="Cambria"/>
        <w:b/>
        <w:bCs/>
        <w:kern w:val="2"/>
        <w:sz w:val="16"/>
        <w:szCs w:val="16"/>
        <w:lang w:eastAsia="ja-JP"/>
        <w14:ligatures w14:val="standardContextua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1752"/>
    <w:multiLevelType w:val="hybridMultilevel"/>
    <w:tmpl w:val="2714A858"/>
    <w:lvl w:ilvl="0" w:tplc="659212A0">
      <w:start w:val="1"/>
      <w:numFmt w:val="decimal"/>
      <w:lvlText w:val="%1."/>
      <w:lvlJc w:val="left"/>
      <w:pPr>
        <w:ind w:left="720" w:hanging="360"/>
      </w:pPr>
      <w:rPr>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97B57C7"/>
    <w:multiLevelType w:val="hybridMultilevel"/>
    <w:tmpl w:val="4FFCE6EE"/>
    <w:lvl w:ilvl="0" w:tplc="81923C5E">
      <w:start w:val="3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2B100D"/>
    <w:multiLevelType w:val="hybridMultilevel"/>
    <w:tmpl w:val="DD8E388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BB34E78"/>
    <w:multiLevelType w:val="hybridMultilevel"/>
    <w:tmpl w:val="46FCABD0"/>
    <w:lvl w:ilvl="0" w:tplc="81923C5E">
      <w:start w:val="3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8833F6"/>
    <w:multiLevelType w:val="hybridMultilevel"/>
    <w:tmpl w:val="E1889D58"/>
    <w:lvl w:ilvl="0" w:tplc="52C23342">
      <w:start w:val="1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FB923B0"/>
    <w:multiLevelType w:val="hybridMultilevel"/>
    <w:tmpl w:val="95F6ADB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0370FD6"/>
    <w:multiLevelType w:val="hybridMultilevel"/>
    <w:tmpl w:val="DD7C851E"/>
    <w:lvl w:ilvl="0" w:tplc="E968C7DC">
      <w:numFmt w:val="bullet"/>
      <w:lvlText w:val=""/>
      <w:lvlJc w:val="left"/>
      <w:pPr>
        <w:tabs>
          <w:tab w:val="num" w:pos="720"/>
        </w:tabs>
        <w:ind w:left="720" w:hanging="36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3A6037"/>
    <w:multiLevelType w:val="multilevel"/>
    <w:tmpl w:val="309AE222"/>
    <w:lvl w:ilvl="0">
      <w:start w:val="1"/>
      <w:numFmt w:val="bullet"/>
      <w:lvlText w:val="‑"/>
      <w:lvlJc w:val="left"/>
      <w:pPr>
        <w:tabs>
          <w:tab w:val="num" w:pos="720"/>
        </w:tabs>
        <w:ind w:left="720" w:hanging="360"/>
      </w:pPr>
      <w:rPr>
        <w:rFonts w:ascii="Cambria" w:hAnsi="Cambri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45023F"/>
    <w:multiLevelType w:val="hybridMultilevel"/>
    <w:tmpl w:val="C0421D8C"/>
    <w:lvl w:ilvl="0" w:tplc="3BF6B372">
      <w:numFmt w:val="bullet"/>
      <w:lvlText w:val=""/>
      <w:lvlJc w:val="left"/>
      <w:pPr>
        <w:tabs>
          <w:tab w:val="num" w:pos="720"/>
        </w:tabs>
        <w:ind w:left="720" w:hanging="36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C7334C"/>
    <w:multiLevelType w:val="hybridMultilevel"/>
    <w:tmpl w:val="407AFCB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9F3C1F"/>
    <w:multiLevelType w:val="hybridMultilevel"/>
    <w:tmpl w:val="441AF51A"/>
    <w:lvl w:ilvl="0" w:tplc="81923C5E">
      <w:start w:val="30"/>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FB52291"/>
    <w:multiLevelType w:val="hybridMultilevel"/>
    <w:tmpl w:val="2714A858"/>
    <w:lvl w:ilvl="0" w:tplc="659212A0">
      <w:start w:val="1"/>
      <w:numFmt w:val="decimal"/>
      <w:lvlText w:val="%1."/>
      <w:lvlJc w:val="left"/>
      <w:pPr>
        <w:ind w:left="720" w:hanging="360"/>
      </w:pPr>
      <w:rPr>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1F86972"/>
    <w:multiLevelType w:val="hybridMultilevel"/>
    <w:tmpl w:val="702EEE92"/>
    <w:lvl w:ilvl="0" w:tplc="E5BCE22C">
      <w:start w:val="8002"/>
      <w:numFmt w:val="bullet"/>
      <w:lvlText w:val="-"/>
      <w:lvlJc w:val="left"/>
      <w:pPr>
        <w:ind w:left="360" w:hanging="360"/>
      </w:pPr>
      <w:rPr>
        <w:rFonts w:ascii="Times New Roman" w:eastAsia="Times New Roman" w:hAnsi="Times New Roman" w:cs="Times New Roman"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3" w15:restartNumberingAfterBreak="0">
    <w:nsid w:val="65F47BDB"/>
    <w:multiLevelType w:val="hybridMultilevel"/>
    <w:tmpl w:val="3B6C0D7C"/>
    <w:lvl w:ilvl="0" w:tplc="81923C5E">
      <w:start w:val="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290FD1"/>
    <w:multiLevelType w:val="multilevel"/>
    <w:tmpl w:val="CDD616B6"/>
    <w:lvl w:ilvl="0">
      <w:start w:val="6"/>
      <w:numFmt w:val="decimalZero"/>
      <w:lvlText w:val="%1"/>
      <w:lvlJc w:val="left"/>
      <w:pPr>
        <w:tabs>
          <w:tab w:val="num" w:pos="840"/>
        </w:tabs>
        <w:ind w:left="840" w:hanging="840"/>
      </w:pPr>
      <w:rPr>
        <w:rFonts w:hint="default"/>
      </w:rPr>
    </w:lvl>
    <w:lvl w:ilvl="1">
      <w:start w:val="10"/>
      <w:numFmt w:val="decimal"/>
      <w:lvlText w:val="%1-%2"/>
      <w:lvlJc w:val="left"/>
      <w:pPr>
        <w:tabs>
          <w:tab w:val="num" w:pos="1272"/>
        </w:tabs>
        <w:ind w:left="1272" w:hanging="840"/>
      </w:pPr>
      <w:rPr>
        <w:rFonts w:hint="default"/>
      </w:rPr>
    </w:lvl>
    <w:lvl w:ilvl="2">
      <w:start w:val="1"/>
      <w:numFmt w:val="decimal"/>
      <w:lvlText w:val="%1-%2.%3"/>
      <w:lvlJc w:val="left"/>
      <w:pPr>
        <w:tabs>
          <w:tab w:val="num" w:pos="1704"/>
        </w:tabs>
        <w:ind w:left="1704" w:hanging="840"/>
      </w:pPr>
      <w:rPr>
        <w:rFonts w:hint="default"/>
      </w:rPr>
    </w:lvl>
    <w:lvl w:ilvl="3">
      <w:start w:val="1"/>
      <w:numFmt w:val="decimal"/>
      <w:lvlText w:val="%1-%2.%3.%4"/>
      <w:lvlJc w:val="left"/>
      <w:pPr>
        <w:tabs>
          <w:tab w:val="num" w:pos="2136"/>
        </w:tabs>
        <w:ind w:left="2136" w:hanging="840"/>
      </w:pPr>
      <w:rPr>
        <w:rFonts w:hint="default"/>
      </w:rPr>
    </w:lvl>
    <w:lvl w:ilvl="4">
      <w:start w:val="1"/>
      <w:numFmt w:val="decimal"/>
      <w:lvlText w:val="%1-%2.%3.%4.%5"/>
      <w:lvlJc w:val="left"/>
      <w:pPr>
        <w:tabs>
          <w:tab w:val="num" w:pos="2568"/>
        </w:tabs>
        <w:ind w:left="2568" w:hanging="84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672"/>
        </w:tabs>
        <w:ind w:left="3672" w:hanging="108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4896"/>
        </w:tabs>
        <w:ind w:left="4896" w:hanging="1440"/>
      </w:pPr>
      <w:rPr>
        <w:rFonts w:hint="default"/>
      </w:rPr>
    </w:lvl>
  </w:abstractNum>
  <w:num w:numId="1" w16cid:durableId="91501725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623495">
    <w:abstractNumId w:val="6"/>
  </w:num>
  <w:num w:numId="3" w16cid:durableId="706874014">
    <w:abstractNumId w:val="8"/>
  </w:num>
  <w:num w:numId="4" w16cid:durableId="438182842">
    <w:abstractNumId w:val="14"/>
  </w:num>
  <w:num w:numId="5" w16cid:durableId="1969772511">
    <w:abstractNumId w:val="9"/>
  </w:num>
  <w:num w:numId="6" w16cid:durableId="371922932">
    <w:abstractNumId w:val="11"/>
  </w:num>
  <w:num w:numId="7" w16cid:durableId="1820265095">
    <w:abstractNumId w:val="0"/>
  </w:num>
  <w:num w:numId="8" w16cid:durableId="27923505">
    <w:abstractNumId w:val="5"/>
  </w:num>
  <w:num w:numId="9" w16cid:durableId="1699427370">
    <w:abstractNumId w:val="2"/>
  </w:num>
  <w:num w:numId="10" w16cid:durableId="244195111">
    <w:abstractNumId w:val="13"/>
  </w:num>
  <w:num w:numId="11" w16cid:durableId="1505630998">
    <w:abstractNumId w:val="12"/>
  </w:num>
  <w:num w:numId="12" w16cid:durableId="735905790">
    <w:abstractNumId w:val="7"/>
  </w:num>
  <w:num w:numId="13" w16cid:durableId="911352777">
    <w:abstractNumId w:val="10"/>
  </w:num>
  <w:num w:numId="14" w16cid:durableId="623928830">
    <w:abstractNumId w:val="1"/>
  </w:num>
  <w:num w:numId="15" w16cid:durableId="1119951453">
    <w:abstractNumId w:val="3"/>
  </w:num>
  <w:num w:numId="16" w16cid:durableId="3467105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114"/>
    <w:rsid w:val="000004D8"/>
    <w:rsid w:val="0000149F"/>
    <w:rsid w:val="000014C2"/>
    <w:rsid w:val="00001901"/>
    <w:rsid w:val="000021FF"/>
    <w:rsid w:val="00005789"/>
    <w:rsid w:val="00006710"/>
    <w:rsid w:val="0000673A"/>
    <w:rsid w:val="00007651"/>
    <w:rsid w:val="00007B8D"/>
    <w:rsid w:val="00010382"/>
    <w:rsid w:val="0001089F"/>
    <w:rsid w:val="00010D82"/>
    <w:rsid w:val="0001132E"/>
    <w:rsid w:val="00011618"/>
    <w:rsid w:val="00011D93"/>
    <w:rsid w:val="00011F6B"/>
    <w:rsid w:val="00013CB5"/>
    <w:rsid w:val="00013DEE"/>
    <w:rsid w:val="00015231"/>
    <w:rsid w:val="0001525A"/>
    <w:rsid w:val="0001572E"/>
    <w:rsid w:val="00015B4B"/>
    <w:rsid w:val="000167A9"/>
    <w:rsid w:val="0001794A"/>
    <w:rsid w:val="00017ABD"/>
    <w:rsid w:val="000203BD"/>
    <w:rsid w:val="0002043E"/>
    <w:rsid w:val="00020D0B"/>
    <w:rsid w:val="00021086"/>
    <w:rsid w:val="00021885"/>
    <w:rsid w:val="00021E3E"/>
    <w:rsid w:val="000220BD"/>
    <w:rsid w:val="00022CD5"/>
    <w:rsid w:val="0002303A"/>
    <w:rsid w:val="00023D68"/>
    <w:rsid w:val="00024820"/>
    <w:rsid w:val="00024885"/>
    <w:rsid w:val="00024942"/>
    <w:rsid w:val="00026D4B"/>
    <w:rsid w:val="00027616"/>
    <w:rsid w:val="00030A44"/>
    <w:rsid w:val="00030A61"/>
    <w:rsid w:val="00030F7A"/>
    <w:rsid w:val="0003112A"/>
    <w:rsid w:val="00031AA7"/>
    <w:rsid w:val="00032092"/>
    <w:rsid w:val="00032FD3"/>
    <w:rsid w:val="000330F3"/>
    <w:rsid w:val="00035FB8"/>
    <w:rsid w:val="00036299"/>
    <w:rsid w:val="000371A1"/>
    <w:rsid w:val="00037AA5"/>
    <w:rsid w:val="0004010D"/>
    <w:rsid w:val="000404AE"/>
    <w:rsid w:val="00040713"/>
    <w:rsid w:val="00040DC9"/>
    <w:rsid w:val="0004197B"/>
    <w:rsid w:val="000419E6"/>
    <w:rsid w:val="00041ACD"/>
    <w:rsid w:val="00041C34"/>
    <w:rsid w:val="00042CA2"/>
    <w:rsid w:val="000432AD"/>
    <w:rsid w:val="00043444"/>
    <w:rsid w:val="0004393D"/>
    <w:rsid w:val="000455BD"/>
    <w:rsid w:val="00046C97"/>
    <w:rsid w:val="0005019E"/>
    <w:rsid w:val="00051D83"/>
    <w:rsid w:val="000523FA"/>
    <w:rsid w:val="000527BD"/>
    <w:rsid w:val="00053757"/>
    <w:rsid w:val="00053BE3"/>
    <w:rsid w:val="00054064"/>
    <w:rsid w:val="000548A3"/>
    <w:rsid w:val="00054A9F"/>
    <w:rsid w:val="00054FB8"/>
    <w:rsid w:val="0005510F"/>
    <w:rsid w:val="00055A3D"/>
    <w:rsid w:val="00055CB1"/>
    <w:rsid w:val="000561A4"/>
    <w:rsid w:val="000561C7"/>
    <w:rsid w:val="00056D0B"/>
    <w:rsid w:val="000578B4"/>
    <w:rsid w:val="0006048A"/>
    <w:rsid w:val="000607DA"/>
    <w:rsid w:val="00061067"/>
    <w:rsid w:val="000611EC"/>
    <w:rsid w:val="0006155C"/>
    <w:rsid w:val="00061CDB"/>
    <w:rsid w:val="000624CA"/>
    <w:rsid w:val="00062D3A"/>
    <w:rsid w:val="00063218"/>
    <w:rsid w:val="000637D0"/>
    <w:rsid w:val="00063AB3"/>
    <w:rsid w:val="00063B23"/>
    <w:rsid w:val="00063BFA"/>
    <w:rsid w:val="0006539A"/>
    <w:rsid w:val="0006562A"/>
    <w:rsid w:val="000656A0"/>
    <w:rsid w:val="00065ABA"/>
    <w:rsid w:val="00066188"/>
    <w:rsid w:val="00066382"/>
    <w:rsid w:val="000663CA"/>
    <w:rsid w:val="00066D9E"/>
    <w:rsid w:val="0006772E"/>
    <w:rsid w:val="0006786D"/>
    <w:rsid w:val="00070CCC"/>
    <w:rsid w:val="000719AB"/>
    <w:rsid w:val="00072590"/>
    <w:rsid w:val="00073703"/>
    <w:rsid w:val="00073AE6"/>
    <w:rsid w:val="00073F57"/>
    <w:rsid w:val="00074223"/>
    <w:rsid w:val="00074508"/>
    <w:rsid w:val="0007491A"/>
    <w:rsid w:val="00075248"/>
    <w:rsid w:val="00075930"/>
    <w:rsid w:val="0007659B"/>
    <w:rsid w:val="0008297B"/>
    <w:rsid w:val="00082A1B"/>
    <w:rsid w:val="0008315C"/>
    <w:rsid w:val="000843E5"/>
    <w:rsid w:val="00085199"/>
    <w:rsid w:val="00085A83"/>
    <w:rsid w:val="000863A1"/>
    <w:rsid w:val="000869E7"/>
    <w:rsid w:val="00086AE7"/>
    <w:rsid w:val="00087B69"/>
    <w:rsid w:val="00087C42"/>
    <w:rsid w:val="0009035D"/>
    <w:rsid w:val="00090625"/>
    <w:rsid w:val="0009108E"/>
    <w:rsid w:val="0009152A"/>
    <w:rsid w:val="00092C7E"/>
    <w:rsid w:val="000938E8"/>
    <w:rsid w:val="00094A57"/>
    <w:rsid w:val="00094BE1"/>
    <w:rsid w:val="00095B16"/>
    <w:rsid w:val="0009660C"/>
    <w:rsid w:val="00096831"/>
    <w:rsid w:val="00096C33"/>
    <w:rsid w:val="000975AB"/>
    <w:rsid w:val="000A077E"/>
    <w:rsid w:val="000A08DF"/>
    <w:rsid w:val="000A1CBC"/>
    <w:rsid w:val="000A49E1"/>
    <w:rsid w:val="000A744A"/>
    <w:rsid w:val="000A7633"/>
    <w:rsid w:val="000A7E05"/>
    <w:rsid w:val="000B01E7"/>
    <w:rsid w:val="000B2881"/>
    <w:rsid w:val="000B3235"/>
    <w:rsid w:val="000B3A67"/>
    <w:rsid w:val="000B40DF"/>
    <w:rsid w:val="000B4D7E"/>
    <w:rsid w:val="000B5C3D"/>
    <w:rsid w:val="000B5CCD"/>
    <w:rsid w:val="000B6199"/>
    <w:rsid w:val="000B62A2"/>
    <w:rsid w:val="000B794A"/>
    <w:rsid w:val="000C079B"/>
    <w:rsid w:val="000C0C51"/>
    <w:rsid w:val="000C1217"/>
    <w:rsid w:val="000C1370"/>
    <w:rsid w:val="000C1EEB"/>
    <w:rsid w:val="000C1F3B"/>
    <w:rsid w:val="000C2DE2"/>
    <w:rsid w:val="000C3911"/>
    <w:rsid w:val="000C3FE0"/>
    <w:rsid w:val="000C45BC"/>
    <w:rsid w:val="000C4786"/>
    <w:rsid w:val="000C4F82"/>
    <w:rsid w:val="000C51B1"/>
    <w:rsid w:val="000C5EE3"/>
    <w:rsid w:val="000C622D"/>
    <w:rsid w:val="000C6C48"/>
    <w:rsid w:val="000C6D55"/>
    <w:rsid w:val="000C6E23"/>
    <w:rsid w:val="000C7268"/>
    <w:rsid w:val="000C7D4E"/>
    <w:rsid w:val="000D0D96"/>
    <w:rsid w:val="000D1D76"/>
    <w:rsid w:val="000D28B9"/>
    <w:rsid w:val="000D2A9B"/>
    <w:rsid w:val="000D2CD3"/>
    <w:rsid w:val="000D3A23"/>
    <w:rsid w:val="000D3A2C"/>
    <w:rsid w:val="000D3C8F"/>
    <w:rsid w:val="000D4CAE"/>
    <w:rsid w:val="000D4E1A"/>
    <w:rsid w:val="000D5243"/>
    <w:rsid w:val="000D701C"/>
    <w:rsid w:val="000D7C30"/>
    <w:rsid w:val="000D7FA3"/>
    <w:rsid w:val="000E0EE5"/>
    <w:rsid w:val="000E15A2"/>
    <w:rsid w:val="000E186E"/>
    <w:rsid w:val="000E29EC"/>
    <w:rsid w:val="000E3106"/>
    <w:rsid w:val="000E3494"/>
    <w:rsid w:val="000E4910"/>
    <w:rsid w:val="000E59AD"/>
    <w:rsid w:val="000E64CB"/>
    <w:rsid w:val="000E6C6B"/>
    <w:rsid w:val="000E7AEC"/>
    <w:rsid w:val="000E7D72"/>
    <w:rsid w:val="000F0D6D"/>
    <w:rsid w:val="000F0E99"/>
    <w:rsid w:val="000F38DE"/>
    <w:rsid w:val="000F3D8E"/>
    <w:rsid w:val="000F3D92"/>
    <w:rsid w:val="000F44F5"/>
    <w:rsid w:val="000F5191"/>
    <w:rsid w:val="000F5462"/>
    <w:rsid w:val="000F5F7F"/>
    <w:rsid w:val="000F6192"/>
    <w:rsid w:val="000F640A"/>
    <w:rsid w:val="000F6B45"/>
    <w:rsid w:val="000F7BE0"/>
    <w:rsid w:val="00100E6F"/>
    <w:rsid w:val="0010170D"/>
    <w:rsid w:val="001019FD"/>
    <w:rsid w:val="00105AFF"/>
    <w:rsid w:val="00106DFB"/>
    <w:rsid w:val="00106E8B"/>
    <w:rsid w:val="0010730D"/>
    <w:rsid w:val="00110319"/>
    <w:rsid w:val="001106A4"/>
    <w:rsid w:val="001114B6"/>
    <w:rsid w:val="00112595"/>
    <w:rsid w:val="001129F1"/>
    <w:rsid w:val="00113B46"/>
    <w:rsid w:val="00113D67"/>
    <w:rsid w:val="00114872"/>
    <w:rsid w:val="001159FB"/>
    <w:rsid w:val="00115D32"/>
    <w:rsid w:val="00115EEB"/>
    <w:rsid w:val="001161F5"/>
    <w:rsid w:val="0011649F"/>
    <w:rsid w:val="00116C73"/>
    <w:rsid w:val="00116FF5"/>
    <w:rsid w:val="001170D6"/>
    <w:rsid w:val="001175C9"/>
    <w:rsid w:val="001179E0"/>
    <w:rsid w:val="00117E9E"/>
    <w:rsid w:val="00120031"/>
    <w:rsid w:val="001206D4"/>
    <w:rsid w:val="0012084F"/>
    <w:rsid w:val="0012096B"/>
    <w:rsid w:val="00121030"/>
    <w:rsid w:val="0012118B"/>
    <w:rsid w:val="00122A9E"/>
    <w:rsid w:val="001237D4"/>
    <w:rsid w:val="00123A81"/>
    <w:rsid w:val="00124729"/>
    <w:rsid w:val="00125426"/>
    <w:rsid w:val="0012645E"/>
    <w:rsid w:val="001267E8"/>
    <w:rsid w:val="00126A6A"/>
    <w:rsid w:val="00126BBD"/>
    <w:rsid w:val="00126F78"/>
    <w:rsid w:val="0013020D"/>
    <w:rsid w:val="001307D8"/>
    <w:rsid w:val="00130A92"/>
    <w:rsid w:val="00131F1D"/>
    <w:rsid w:val="0013249A"/>
    <w:rsid w:val="001326E7"/>
    <w:rsid w:val="0013317E"/>
    <w:rsid w:val="00133471"/>
    <w:rsid w:val="00133882"/>
    <w:rsid w:val="001344EB"/>
    <w:rsid w:val="00134524"/>
    <w:rsid w:val="0013460D"/>
    <w:rsid w:val="001346F1"/>
    <w:rsid w:val="0013594B"/>
    <w:rsid w:val="00135AFA"/>
    <w:rsid w:val="001361EE"/>
    <w:rsid w:val="001372D9"/>
    <w:rsid w:val="00137F59"/>
    <w:rsid w:val="0014006A"/>
    <w:rsid w:val="00140212"/>
    <w:rsid w:val="00140F05"/>
    <w:rsid w:val="00142247"/>
    <w:rsid w:val="001432BD"/>
    <w:rsid w:val="00143A6A"/>
    <w:rsid w:val="001443C5"/>
    <w:rsid w:val="00144A7B"/>
    <w:rsid w:val="00145308"/>
    <w:rsid w:val="00146105"/>
    <w:rsid w:val="00146141"/>
    <w:rsid w:val="001469CF"/>
    <w:rsid w:val="00147688"/>
    <w:rsid w:val="00147D27"/>
    <w:rsid w:val="00147E1B"/>
    <w:rsid w:val="00150266"/>
    <w:rsid w:val="00150B68"/>
    <w:rsid w:val="00150DB1"/>
    <w:rsid w:val="00151AEB"/>
    <w:rsid w:val="00152720"/>
    <w:rsid w:val="00153579"/>
    <w:rsid w:val="00153A5E"/>
    <w:rsid w:val="00154C1C"/>
    <w:rsid w:val="00154EAF"/>
    <w:rsid w:val="00155067"/>
    <w:rsid w:val="00156F1A"/>
    <w:rsid w:val="001579F1"/>
    <w:rsid w:val="001604FA"/>
    <w:rsid w:val="00160760"/>
    <w:rsid w:val="001607FC"/>
    <w:rsid w:val="00161173"/>
    <w:rsid w:val="001624E5"/>
    <w:rsid w:val="00162503"/>
    <w:rsid w:val="001631CA"/>
    <w:rsid w:val="0016407C"/>
    <w:rsid w:val="00164219"/>
    <w:rsid w:val="00164477"/>
    <w:rsid w:val="0016490A"/>
    <w:rsid w:val="00164B2C"/>
    <w:rsid w:val="001653E2"/>
    <w:rsid w:val="00167B29"/>
    <w:rsid w:val="00167CE2"/>
    <w:rsid w:val="00170197"/>
    <w:rsid w:val="001702CB"/>
    <w:rsid w:val="00170932"/>
    <w:rsid w:val="00171778"/>
    <w:rsid w:val="0017200C"/>
    <w:rsid w:val="0017294F"/>
    <w:rsid w:val="00172DF7"/>
    <w:rsid w:val="001736BD"/>
    <w:rsid w:val="00173EEF"/>
    <w:rsid w:val="001753C3"/>
    <w:rsid w:val="00175A80"/>
    <w:rsid w:val="00176991"/>
    <w:rsid w:val="001771E5"/>
    <w:rsid w:val="001778DC"/>
    <w:rsid w:val="00177F04"/>
    <w:rsid w:val="0018013D"/>
    <w:rsid w:val="00180785"/>
    <w:rsid w:val="00181D35"/>
    <w:rsid w:val="00181DB7"/>
    <w:rsid w:val="00182215"/>
    <w:rsid w:val="00182CA8"/>
    <w:rsid w:val="00182D29"/>
    <w:rsid w:val="0018461D"/>
    <w:rsid w:val="00184726"/>
    <w:rsid w:val="00184AAA"/>
    <w:rsid w:val="00184DB2"/>
    <w:rsid w:val="00184E60"/>
    <w:rsid w:val="00185AAC"/>
    <w:rsid w:val="00185B0B"/>
    <w:rsid w:val="00185E5A"/>
    <w:rsid w:val="00187AD8"/>
    <w:rsid w:val="001907AC"/>
    <w:rsid w:val="00190875"/>
    <w:rsid w:val="00190B05"/>
    <w:rsid w:val="00190D93"/>
    <w:rsid w:val="001910AB"/>
    <w:rsid w:val="001921A5"/>
    <w:rsid w:val="00192929"/>
    <w:rsid w:val="00194556"/>
    <w:rsid w:val="00195855"/>
    <w:rsid w:val="0019666E"/>
    <w:rsid w:val="00196ADB"/>
    <w:rsid w:val="0019763C"/>
    <w:rsid w:val="00197FE3"/>
    <w:rsid w:val="001A16EA"/>
    <w:rsid w:val="001A1732"/>
    <w:rsid w:val="001A18FE"/>
    <w:rsid w:val="001A2CE3"/>
    <w:rsid w:val="001A2D72"/>
    <w:rsid w:val="001A3174"/>
    <w:rsid w:val="001A3242"/>
    <w:rsid w:val="001A335A"/>
    <w:rsid w:val="001A33C6"/>
    <w:rsid w:val="001A46EF"/>
    <w:rsid w:val="001A718A"/>
    <w:rsid w:val="001B025B"/>
    <w:rsid w:val="001B15C7"/>
    <w:rsid w:val="001B1E60"/>
    <w:rsid w:val="001B2822"/>
    <w:rsid w:val="001B36C0"/>
    <w:rsid w:val="001B434D"/>
    <w:rsid w:val="001B4687"/>
    <w:rsid w:val="001B4781"/>
    <w:rsid w:val="001B5114"/>
    <w:rsid w:val="001B53D7"/>
    <w:rsid w:val="001B53F6"/>
    <w:rsid w:val="001B5AC5"/>
    <w:rsid w:val="001B63BE"/>
    <w:rsid w:val="001B6990"/>
    <w:rsid w:val="001B6FE8"/>
    <w:rsid w:val="001B7552"/>
    <w:rsid w:val="001C1114"/>
    <w:rsid w:val="001C1C5E"/>
    <w:rsid w:val="001C2499"/>
    <w:rsid w:val="001C2CAE"/>
    <w:rsid w:val="001C2CFE"/>
    <w:rsid w:val="001C39ED"/>
    <w:rsid w:val="001C3F8A"/>
    <w:rsid w:val="001C49F6"/>
    <w:rsid w:val="001C579E"/>
    <w:rsid w:val="001C5AA1"/>
    <w:rsid w:val="001C5C70"/>
    <w:rsid w:val="001C61C4"/>
    <w:rsid w:val="001C7442"/>
    <w:rsid w:val="001C7605"/>
    <w:rsid w:val="001C7B64"/>
    <w:rsid w:val="001D013D"/>
    <w:rsid w:val="001D1235"/>
    <w:rsid w:val="001D1C3A"/>
    <w:rsid w:val="001D1FF6"/>
    <w:rsid w:val="001D229D"/>
    <w:rsid w:val="001D2C4A"/>
    <w:rsid w:val="001D3898"/>
    <w:rsid w:val="001D3F51"/>
    <w:rsid w:val="001D55F6"/>
    <w:rsid w:val="001D5647"/>
    <w:rsid w:val="001D5D7F"/>
    <w:rsid w:val="001D654B"/>
    <w:rsid w:val="001D7205"/>
    <w:rsid w:val="001D750B"/>
    <w:rsid w:val="001D7CD7"/>
    <w:rsid w:val="001E0AFF"/>
    <w:rsid w:val="001E16E6"/>
    <w:rsid w:val="001E1925"/>
    <w:rsid w:val="001E2C45"/>
    <w:rsid w:val="001E3095"/>
    <w:rsid w:val="001E4674"/>
    <w:rsid w:val="001E480D"/>
    <w:rsid w:val="001E4B90"/>
    <w:rsid w:val="001E4D25"/>
    <w:rsid w:val="001E4D94"/>
    <w:rsid w:val="001E51D4"/>
    <w:rsid w:val="001E5CEC"/>
    <w:rsid w:val="001E645F"/>
    <w:rsid w:val="001E66E0"/>
    <w:rsid w:val="001E6C0E"/>
    <w:rsid w:val="001E6FB0"/>
    <w:rsid w:val="001F05E4"/>
    <w:rsid w:val="001F0754"/>
    <w:rsid w:val="001F1099"/>
    <w:rsid w:val="001F171B"/>
    <w:rsid w:val="001F1BA3"/>
    <w:rsid w:val="001F1E60"/>
    <w:rsid w:val="001F2DA6"/>
    <w:rsid w:val="001F37F8"/>
    <w:rsid w:val="001F3A0A"/>
    <w:rsid w:val="001F420E"/>
    <w:rsid w:val="001F5F45"/>
    <w:rsid w:val="001F6290"/>
    <w:rsid w:val="001F773B"/>
    <w:rsid w:val="00200C49"/>
    <w:rsid w:val="00200E00"/>
    <w:rsid w:val="00200F90"/>
    <w:rsid w:val="00202E5E"/>
    <w:rsid w:val="00203C32"/>
    <w:rsid w:val="00204407"/>
    <w:rsid w:val="00204B3B"/>
    <w:rsid w:val="00205270"/>
    <w:rsid w:val="002063B8"/>
    <w:rsid w:val="00206E17"/>
    <w:rsid w:val="00207538"/>
    <w:rsid w:val="00207F36"/>
    <w:rsid w:val="0021040C"/>
    <w:rsid w:val="00210D3D"/>
    <w:rsid w:val="00210F2C"/>
    <w:rsid w:val="00211346"/>
    <w:rsid w:val="00211B0F"/>
    <w:rsid w:val="00212B65"/>
    <w:rsid w:val="00213426"/>
    <w:rsid w:val="0021362D"/>
    <w:rsid w:val="00213F19"/>
    <w:rsid w:val="00213F21"/>
    <w:rsid w:val="00214205"/>
    <w:rsid w:val="00215761"/>
    <w:rsid w:val="002158BD"/>
    <w:rsid w:val="00217CBF"/>
    <w:rsid w:val="00217CD0"/>
    <w:rsid w:val="00217E88"/>
    <w:rsid w:val="00217EDF"/>
    <w:rsid w:val="00220704"/>
    <w:rsid w:val="00220707"/>
    <w:rsid w:val="00220800"/>
    <w:rsid w:val="0022088A"/>
    <w:rsid w:val="002208C9"/>
    <w:rsid w:val="00221477"/>
    <w:rsid w:val="00222ED3"/>
    <w:rsid w:val="00225F13"/>
    <w:rsid w:val="0022696E"/>
    <w:rsid w:val="002270DC"/>
    <w:rsid w:val="00227370"/>
    <w:rsid w:val="00227D7B"/>
    <w:rsid w:val="00227F1D"/>
    <w:rsid w:val="00227F51"/>
    <w:rsid w:val="002303C0"/>
    <w:rsid w:val="00230E99"/>
    <w:rsid w:val="00231808"/>
    <w:rsid w:val="00231DE0"/>
    <w:rsid w:val="0023206B"/>
    <w:rsid w:val="0023276F"/>
    <w:rsid w:val="00232801"/>
    <w:rsid w:val="00232EEA"/>
    <w:rsid w:val="00233926"/>
    <w:rsid w:val="00233EAC"/>
    <w:rsid w:val="00234845"/>
    <w:rsid w:val="0023584B"/>
    <w:rsid w:val="00235B3C"/>
    <w:rsid w:val="00236F2C"/>
    <w:rsid w:val="00237235"/>
    <w:rsid w:val="00237D4D"/>
    <w:rsid w:val="00240A88"/>
    <w:rsid w:val="002412C5"/>
    <w:rsid w:val="0024242A"/>
    <w:rsid w:val="002429C9"/>
    <w:rsid w:val="002454E6"/>
    <w:rsid w:val="0024704A"/>
    <w:rsid w:val="0025086D"/>
    <w:rsid w:val="0025115C"/>
    <w:rsid w:val="00252D01"/>
    <w:rsid w:val="00252D7C"/>
    <w:rsid w:val="00253B07"/>
    <w:rsid w:val="00254CF8"/>
    <w:rsid w:val="00254F2F"/>
    <w:rsid w:val="002551C4"/>
    <w:rsid w:val="00255483"/>
    <w:rsid w:val="0025559A"/>
    <w:rsid w:val="00255895"/>
    <w:rsid w:val="00256A79"/>
    <w:rsid w:val="00256AA3"/>
    <w:rsid w:val="00257714"/>
    <w:rsid w:val="00257963"/>
    <w:rsid w:val="00257C30"/>
    <w:rsid w:val="00257EBE"/>
    <w:rsid w:val="00260C34"/>
    <w:rsid w:val="00261931"/>
    <w:rsid w:val="00261BED"/>
    <w:rsid w:val="00262CA4"/>
    <w:rsid w:val="00262DF0"/>
    <w:rsid w:val="00263593"/>
    <w:rsid w:val="00263632"/>
    <w:rsid w:val="00265E27"/>
    <w:rsid w:val="00266DBD"/>
    <w:rsid w:val="00266F58"/>
    <w:rsid w:val="0026746F"/>
    <w:rsid w:val="002676A7"/>
    <w:rsid w:val="002705BB"/>
    <w:rsid w:val="00270FFA"/>
    <w:rsid w:val="0027267F"/>
    <w:rsid w:val="002728CE"/>
    <w:rsid w:val="0027310F"/>
    <w:rsid w:val="0027398A"/>
    <w:rsid w:val="002739C1"/>
    <w:rsid w:val="00274AD4"/>
    <w:rsid w:val="00274C47"/>
    <w:rsid w:val="00274C6B"/>
    <w:rsid w:val="00274E20"/>
    <w:rsid w:val="00276BEA"/>
    <w:rsid w:val="002770A2"/>
    <w:rsid w:val="0028088D"/>
    <w:rsid w:val="00281FD1"/>
    <w:rsid w:val="002824C9"/>
    <w:rsid w:val="00282BC7"/>
    <w:rsid w:val="00283105"/>
    <w:rsid w:val="00283414"/>
    <w:rsid w:val="0028349C"/>
    <w:rsid w:val="0028398A"/>
    <w:rsid w:val="00283B50"/>
    <w:rsid w:val="0028459A"/>
    <w:rsid w:val="00286D18"/>
    <w:rsid w:val="00287293"/>
    <w:rsid w:val="0029174A"/>
    <w:rsid w:val="0029185E"/>
    <w:rsid w:val="0029289D"/>
    <w:rsid w:val="002929E3"/>
    <w:rsid w:val="00292D05"/>
    <w:rsid w:val="002930B6"/>
    <w:rsid w:val="002933EB"/>
    <w:rsid w:val="002942B7"/>
    <w:rsid w:val="00294B39"/>
    <w:rsid w:val="00294C58"/>
    <w:rsid w:val="00296AF2"/>
    <w:rsid w:val="00297109"/>
    <w:rsid w:val="002973B4"/>
    <w:rsid w:val="002A0352"/>
    <w:rsid w:val="002A095C"/>
    <w:rsid w:val="002A0DF9"/>
    <w:rsid w:val="002A17A1"/>
    <w:rsid w:val="002A2489"/>
    <w:rsid w:val="002A2D6F"/>
    <w:rsid w:val="002A3B3C"/>
    <w:rsid w:val="002A3EFD"/>
    <w:rsid w:val="002A4302"/>
    <w:rsid w:val="002A5042"/>
    <w:rsid w:val="002A69DE"/>
    <w:rsid w:val="002A6CD2"/>
    <w:rsid w:val="002A6F09"/>
    <w:rsid w:val="002A7966"/>
    <w:rsid w:val="002B036C"/>
    <w:rsid w:val="002B0712"/>
    <w:rsid w:val="002B228D"/>
    <w:rsid w:val="002B2EE4"/>
    <w:rsid w:val="002B2F1E"/>
    <w:rsid w:val="002B2F79"/>
    <w:rsid w:val="002B3117"/>
    <w:rsid w:val="002B4057"/>
    <w:rsid w:val="002B4E16"/>
    <w:rsid w:val="002B6070"/>
    <w:rsid w:val="002B6827"/>
    <w:rsid w:val="002B6931"/>
    <w:rsid w:val="002B6F88"/>
    <w:rsid w:val="002B752F"/>
    <w:rsid w:val="002C30F3"/>
    <w:rsid w:val="002C36F9"/>
    <w:rsid w:val="002C3D04"/>
    <w:rsid w:val="002C5323"/>
    <w:rsid w:val="002C5720"/>
    <w:rsid w:val="002C684D"/>
    <w:rsid w:val="002C6937"/>
    <w:rsid w:val="002C6E32"/>
    <w:rsid w:val="002C7C46"/>
    <w:rsid w:val="002C7E75"/>
    <w:rsid w:val="002C7FA1"/>
    <w:rsid w:val="002D1076"/>
    <w:rsid w:val="002D1B49"/>
    <w:rsid w:val="002D2DEA"/>
    <w:rsid w:val="002D49C4"/>
    <w:rsid w:val="002D4D1F"/>
    <w:rsid w:val="002D5434"/>
    <w:rsid w:val="002D5A0B"/>
    <w:rsid w:val="002D5EAD"/>
    <w:rsid w:val="002D61E1"/>
    <w:rsid w:val="002D640F"/>
    <w:rsid w:val="002D7E0C"/>
    <w:rsid w:val="002E06EC"/>
    <w:rsid w:val="002E087F"/>
    <w:rsid w:val="002E0A4C"/>
    <w:rsid w:val="002E2AC9"/>
    <w:rsid w:val="002E2CA4"/>
    <w:rsid w:val="002E2DF7"/>
    <w:rsid w:val="002E3B58"/>
    <w:rsid w:val="002E4356"/>
    <w:rsid w:val="002E454F"/>
    <w:rsid w:val="002E4668"/>
    <w:rsid w:val="002E49CA"/>
    <w:rsid w:val="002E4B15"/>
    <w:rsid w:val="002E52C0"/>
    <w:rsid w:val="002E61FA"/>
    <w:rsid w:val="002E71D2"/>
    <w:rsid w:val="002E7FBE"/>
    <w:rsid w:val="002F0305"/>
    <w:rsid w:val="002F160F"/>
    <w:rsid w:val="002F179A"/>
    <w:rsid w:val="002F1893"/>
    <w:rsid w:val="002F23EA"/>
    <w:rsid w:val="002F2E96"/>
    <w:rsid w:val="002F311E"/>
    <w:rsid w:val="002F3909"/>
    <w:rsid w:val="002F41DA"/>
    <w:rsid w:val="002F440C"/>
    <w:rsid w:val="002F5000"/>
    <w:rsid w:val="002F6000"/>
    <w:rsid w:val="002F6952"/>
    <w:rsid w:val="002F6ED0"/>
    <w:rsid w:val="002F7250"/>
    <w:rsid w:val="002F7361"/>
    <w:rsid w:val="002F78AD"/>
    <w:rsid w:val="003001DA"/>
    <w:rsid w:val="00301C17"/>
    <w:rsid w:val="00302639"/>
    <w:rsid w:val="00302E8E"/>
    <w:rsid w:val="0030437E"/>
    <w:rsid w:val="0030499F"/>
    <w:rsid w:val="00304B87"/>
    <w:rsid w:val="00304FB0"/>
    <w:rsid w:val="00305BFC"/>
    <w:rsid w:val="0030656A"/>
    <w:rsid w:val="00307419"/>
    <w:rsid w:val="00307B96"/>
    <w:rsid w:val="00310B4C"/>
    <w:rsid w:val="00310D3C"/>
    <w:rsid w:val="00311527"/>
    <w:rsid w:val="00311AF6"/>
    <w:rsid w:val="00311B9B"/>
    <w:rsid w:val="003124ED"/>
    <w:rsid w:val="003125C5"/>
    <w:rsid w:val="003135C2"/>
    <w:rsid w:val="00314CF6"/>
    <w:rsid w:val="003156B8"/>
    <w:rsid w:val="003157F1"/>
    <w:rsid w:val="00315F92"/>
    <w:rsid w:val="00316163"/>
    <w:rsid w:val="0031657C"/>
    <w:rsid w:val="003168F4"/>
    <w:rsid w:val="00316F71"/>
    <w:rsid w:val="003177F0"/>
    <w:rsid w:val="003178C9"/>
    <w:rsid w:val="00317F82"/>
    <w:rsid w:val="0032105C"/>
    <w:rsid w:val="00321818"/>
    <w:rsid w:val="00321982"/>
    <w:rsid w:val="00321FC4"/>
    <w:rsid w:val="00323F38"/>
    <w:rsid w:val="00323FB8"/>
    <w:rsid w:val="0032483F"/>
    <w:rsid w:val="00324882"/>
    <w:rsid w:val="00326C92"/>
    <w:rsid w:val="00326EE7"/>
    <w:rsid w:val="003271E6"/>
    <w:rsid w:val="003306C2"/>
    <w:rsid w:val="00330BBC"/>
    <w:rsid w:val="00331261"/>
    <w:rsid w:val="003328DA"/>
    <w:rsid w:val="003335AF"/>
    <w:rsid w:val="0033379F"/>
    <w:rsid w:val="003346E3"/>
    <w:rsid w:val="00334D3B"/>
    <w:rsid w:val="0033531D"/>
    <w:rsid w:val="00335AF6"/>
    <w:rsid w:val="00336BA9"/>
    <w:rsid w:val="00337DA0"/>
    <w:rsid w:val="00340C58"/>
    <w:rsid w:val="0034152C"/>
    <w:rsid w:val="003420D3"/>
    <w:rsid w:val="00342456"/>
    <w:rsid w:val="00342782"/>
    <w:rsid w:val="00343532"/>
    <w:rsid w:val="00343BF5"/>
    <w:rsid w:val="00343C05"/>
    <w:rsid w:val="00343CEC"/>
    <w:rsid w:val="00343F16"/>
    <w:rsid w:val="0034447D"/>
    <w:rsid w:val="003445DE"/>
    <w:rsid w:val="0034537E"/>
    <w:rsid w:val="00345418"/>
    <w:rsid w:val="00345B5C"/>
    <w:rsid w:val="00345C49"/>
    <w:rsid w:val="00345EDC"/>
    <w:rsid w:val="00347845"/>
    <w:rsid w:val="00347E6C"/>
    <w:rsid w:val="00351CD2"/>
    <w:rsid w:val="00351F1F"/>
    <w:rsid w:val="00352825"/>
    <w:rsid w:val="003534D0"/>
    <w:rsid w:val="003537B2"/>
    <w:rsid w:val="00353A47"/>
    <w:rsid w:val="00353EA1"/>
    <w:rsid w:val="003540C0"/>
    <w:rsid w:val="0035431F"/>
    <w:rsid w:val="00354551"/>
    <w:rsid w:val="00354C9D"/>
    <w:rsid w:val="003553CB"/>
    <w:rsid w:val="00355E55"/>
    <w:rsid w:val="0035663C"/>
    <w:rsid w:val="00356DA1"/>
    <w:rsid w:val="0035777A"/>
    <w:rsid w:val="00357D9F"/>
    <w:rsid w:val="00360370"/>
    <w:rsid w:val="00360754"/>
    <w:rsid w:val="00360B1C"/>
    <w:rsid w:val="00362405"/>
    <w:rsid w:val="00363963"/>
    <w:rsid w:val="00363D7D"/>
    <w:rsid w:val="0036435B"/>
    <w:rsid w:val="00364A87"/>
    <w:rsid w:val="003653EB"/>
    <w:rsid w:val="00366A78"/>
    <w:rsid w:val="00366AA6"/>
    <w:rsid w:val="00366E9B"/>
    <w:rsid w:val="00367901"/>
    <w:rsid w:val="00367D40"/>
    <w:rsid w:val="00370C89"/>
    <w:rsid w:val="003716E6"/>
    <w:rsid w:val="00372270"/>
    <w:rsid w:val="003727EB"/>
    <w:rsid w:val="003732AE"/>
    <w:rsid w:val="00373613"/>
    <w:rsid w:val="0037378E"/>
    <w:rsid w:val="00373869"/>
    <w:rsid w:val="00373EC0"/>
    <w:rsid w:val="00374668"/>
    <w:rsid w:val="003767F2"/>
    <w:rsid w:val="00377D3A"/>
    <w:rsid w:val="00377F8F"/>
    <w:rsid w:val="003821CF"/>
    <w:rsid w:val="003825F4"/>
    <w:rsid w:val="00382E19"/>
    <w:rsid w:val="00383638"/>
    <w:rsid w:val="003847AD"/>
    <w:rsid w:val="00385328"/>
    <w:rsid w:val="0038693A"/>
    <w:rsid w:val="003913D1"/>
    <w:rsid w:val="00393E95"/>
    <w:rsid w:val="0039469E"/>
    <w:rsid w:val="003956B6"/>
    <w:rsid w:val="0039678E"/>
    <w:rsid w:val="003A0D63"/>
    <w:rsid w:val="003A228F"/>
    <w:rsid w:val="003A2625"/>
    <w:rsid w:val="003A2E70"/>
    <w:rsid w:val="003A35FA"/>
    <w:rsid w:val="003A405C"/>
    <w:rsid w:val="003A4CE2"/>
    <w:rsid w:val="003A6D8D"/>
    <w:rsid w:val="003A72CD"/>
    <w:rsid w:val="003A767C"/>
    <w:rsid w:val="003A79C8"/>
    <w:rsid w:val="003A7B61"/>
    <w:rsid w:val="003A7F18"/>
    <w:rsid w:val="003B1817"/>
    <w:rsid w:val="003B1F0B"/>
    <w:rsid w:val="003B2A3F"/>
    <w:rsid w:val="003B3D72"/>
    <w:rsid w:val="003B410D"/>
    <w:rsid w:val="003B43F9"/>
    <w:rsid w:val="003B54B9"/>
    <w:rsid w:val="003B5A55"/>
    <w:rsid w:val="003B5AEB"/>
    <w:rsid w:val="003B64FE"/>
    <w:rsid w:val="003B6B2D"/>
    <w:rsid w:val="003B77AA"/>
    <w:rsid w:val="003C16A6"/>
    <w:rsid w:val="003C1EEE"/>
    <w:rsid w:val="003C3375"/>
    <w:rsid w:val="003C3F96"/>
    <w:rsid w:val="003C480F"/>
    <w:rsid w:val="003C49E3"/>
    <w:rsid w:val="003C6104"/>
    <w:rsid w:val="003C63B7"/>
    <w:rsid w:val="003C6A53"/>
    <w:rsid w:val="003C6B78"/>
    <w:rsid w:val="003C7604"/>
    <w:rsid w:val="003C7BBF"/>
    <w:rsid w:val="003D0407"/>
    <w:rsid w:val="003D088C"/>
    <w:rsid w:val="003D0E42"/>
    <w:rsid w:val="003D0F36"/>
    <w:rsid w:val="003D0FD0"/>
    <w:rsid w:val="003D15A5"/>
    <w:rsid w:val="003D22C8"/>
    <w:rsid w:val="003D4816"/>
    <w:rsid w:val="003D4F8E"/>
    <w:rsid w:val="003D5C9C"/>
    <w:rsid w:val="003D674B"/>
    <w:rsid w:val="003D6F40"/>
    <w:rsid w:val="003D7552"/>
    <w:rsid w:val="003D7A69"/>
    <w:rsid w:val="003E01A5"/>
    <w:rsid w:val="003E0403"/>
    <w:rsid w:val="003E0D5F"/>
    <w:rsid w:val="003E1344"/>
    <w:rsid w:val="003E1B46"/>
    <w:rsid w:val="003E27B9"/>
    <w:rsid w:val="003E27FD"/>
    <w:rsid w:val="003E2D63"/>
    <w:rsid w:val="003E321F"/>
    <w:rsid w:val="003E36C8"/>
    <w:rsid w:val="003E40DA"/>
    <w:rsid w:val="003E4BA7"/>
    <w:rsid w:val="003E6840"/>
    <w:rsid w:val="003E7632"/>
    <w:rsid w:val="003F019F"/>
    <w:rsid w:val="003F0357"/>
    <w:rsid w:val="003F03A5"/>
    <w:rsid w:val="003F06FA"/>
    <w:rsid w:val="003F0F8B"/>
    <w:rsid w:val="003F19C4"/>
    <w:rsid w:val="003F206F"/>
    <w:rsid w:val="003F2191"/>
    <w:rsid w:val="003F3EC0"/>
    <w:rsid w:val="003F475D"/>
    <w:rsid w:val="003F635F"/>
    <w:rsid w:val="003F689B"/>
    <w:rsid w:val="003F6A8E"/>
    <w:rsid w:val="003F74E6"/>
    <w:rsid w:val="003F7BE7"/>
    <w:rsid w:val="0040017C"/>
    <w:rsid w:val="0040027D"/>
    <w:rsid w:val="00400461"/>
    <w:rsid w:val="00401142"/>
    <w:rsid w:val="0040185A"/>
    <w:rsid w:val="00402C21"/>
    <w:rsid w:val="00403430"/>
    <w:rsid w:val="0040370B"/>
    <w:rsid w:val="00403885"/>
    <w:rsid w:val="004039A3"/>
    <w:rsid w:val="00403A5A"/>
    <w:rsid w:val="00404769"/>
    <w:rsid w:val="00405201"/>
    <w:rsid w:val="0040526B"/>
    <w:rsid w:val="0040580E"/>
    <w:rsid w:val="0040584F"/>
    <w:rsid w:val="00405C04"/>
    <w:rsid w:val="00406F26"/>
    <w:rsid w:val="0040752F"/>
    <w:rsid w:val="004078B1"/>
    <w:rsid w:val="00410253"/>
    <w:rsid w:val="004109D0"/>
    <w:rsid w:val="00410DFB"/>
    <w:rsid w:val="0041196C"/>
    <w:rsid w:val="00413B48"/>
    <w:rsid w:val="00415369"/>
    <w:rsid w:val="004165CC"/>
    <w:rsid w:val="0041676A"/>
    <w:rsid w:val="004167CF"/>
    <w:rsid w:val="00416AFF"/>
    <w:rsid w:val="004177E8"/>
    <w:rsid w:val="00417EDA"/>
    <w:rsid w:val="00420034"/>
    <w:rsid w:val="00420139"/>
    <w:rsid w:val="0042078C"/>
    <w:rsid w:val="00421695"/>
    <w:rsid w:val="0042179D"/>
    <w:rsid w:val="00422699"/>
    <w:rsid w:val="00422D1D"/>
    <w:rsid w:val="00422DAC"/>
    <w:rsid w:val="00422E6E"/>
    <w:rsid w:val="00424548"/>
    <w:rsid w:val="00425EDB"/>
    <w:rsid w:val="004261A6"/>
    <w:rsid w:val="00426519"/>
    <w:rsid w:val="00426A19"/>
    <w:rsid w:val="00426C05"/>
    <w:rsid w:val="00426D51"/>
    <w:rsid w:val="004279F9"/>
    <w:rsid w:val="00427C07"/>
    <w:rsid w:val="004306B0"/>
    <w:rsid w:val="004309D3"/>
    <w:rsid w:val="004309F4"/>
    <w:rsid w:val="00430F4F"/>
    <w:rsid w:val="00431BF7"/>
    <w:rsid w:val="00431CF2"/>
    <w:rsid w:val="00431D1D"/>
    <w:rsid w:val="00431E90"/>
    <w:rsid w:val="004320DA"/>
    <w:rsid w:val="00432E05"/>
    <w:rsid w:val="00433D4B"/>
    <w:rsid w:val="00433D94"/>
    <w:rsid w:val="004344CC"/>
    <w:rsid w:val="00434701"/>
    <w:rsid w:val="00434F12"/>
    <w:rsid w:val="0043516D"/>
    <w:rsid w:val="00435573"/>
    <w:rsid w:val="00435B70"/>
    <w:rsid w:val="00436D28"/>
    <w:rsid w:val="00437289"/>
    <w:rsid w:val="0043779A"/>
    <w:rsid w:val="0043795D"/>
    <w:rsid w:val="004408C6"/>
    <w:rsid w:val="00440B42"/>
    <w:rsid w:val="00441C9F"/>
    <w:rsid w:val="00442362"/>
    <w:rsid w:val="00443F64"/>
    <w:rsid w:val="0044467B"/>
    <w:rsid w:val="004448CA"/>
    <w:rsid w:val="004451B9"/>
    <w:rsid w:val="00445463"/>
    <w:rsid w:val="0044546A"/>
    <w:rsid w:val="0044561C"/>
    <w:rsid w:val="004460EF"/>
    <w:rsid w:val="00446BBB"/>
    <w:rsid w:val="00446EFA"/>
    <w:rsid w:val="004470EF"/>
    <w:rsid w:val="0044782A"/>
    <w:rsid w:val="00447CE3"/>
    <w:rsid w:val="00447F3C"/>
    <w:rsid w:val="004505C0"/>
    <w:rsid w:val="00450CEF"/>
    <w:rsid w:val="00450DAA"/>
    <w:rsid w:val="0045100B"/>
    <w:rsid w:val="00451097"/>
    <w:rsid w:val="004514F8"/>
    <w:rsid w:val="00451E89"/>
    <w:rsid w:val="0045258A"/>
    <w:rsid w:val="004525C1"/>
    <w:rsid w:val="004530CC"/>
    <w:rsid w:val="004571A6"/>
    <w:rsid w:val="004575C9"/>
    <w:rsid w:val="004600A1"/>
    <w:rsid w:val="00460C35"/>
    <w:rsid w:val="0046218A"/>
    <w:rsid w:val="00462E58"/>
    <w:rsid w:val="004630BC"/>
    <w:rsid w:val="004636B6"/>
    <w:rsid w:val="00463DE6"/>
    <w:rsid w:val="00463F11"/>
    <w:rsid w:val="00464367"/>
    <w:rsid w:val="00465004"/>
    <w:rsid w:val="00465364"/>
    <w:rsid w:val="00465A24"/>
    <w:rsid w:val="00466A33"/>
    <w:rsid w:val="00466E17"/>
    <w:rsid w:val="00467A08"/>
    <w:rsid w:val="00470F44"/>
    <w:rsid w:val="00471108"/>
    <w:rsid w:val="00471EDB"/>
    <w:rsid w:val="0047233C"/>
    <w:rsid w:val="0047252F"/>
    <w:rsid w:val="00472609"/>
    <w:rsid w:val="00472FC9"/>
    <w:rsid w:val="004736E8"/>
    <w:rsid w:val="004736F4"/>
    <w:rsid w:val="00474C9F"/>
    <w:rsid w:val="0047534E"/>
    <w:rsid w:val="00475E57"/>
    <w:rsid w:val="00475EDA"/>
    <w:rsid w:val="004764BC"/>
    <w:rsid w:val="004779DD"/>
    <w:rsid w:val="00477C0D"/>
    <w:rsid w:val="00480503"/>
    <w:rsid w:val="00483CF9"/>
    <w:rsid w:val="004841D2"/>
    <w:rsid w:val="00484382"/>
    <w:rsid w:val="00485325"/>
    <w:rsid w:val="0048587F"/>
    <w:rsid w:val="004865AA"/>
    <w:rsid w:val="0048690A"/>
    <w:rsid w:val="00487FEC"/>
    <w:rsid w:val="0049097F"/>
    <w:rsid w:val="004916DC"/>
    <w:rsid w:val="00491EEF"/>
    <w:rsid w:val="00494166"/>
    <w:rsid w:val="004955CB"/>
    <w:rsid w:val="00495CDE"/>
    <w:rsid w:val="004965CA"/>
    <w:rsid w:val="0049660E"/>
    <w:rsid w:val="00496850"/>
    <w:rsid w:val="0049728F"/>
    <w:rsid w:val="00497674"/>
    <w:rsid w:val="0049796C"/>
    <w:rsid w:val="004A03A2"/>
    <w:rsid w:val="004A0A6F"/>
    <w:rsid w:val="004A1424"/>
    <w:rsid w:val="004A2744"/>
    <w:rsid w:val="004A30BE"/>
    <w:rsid w:val="004A30DA"/>
    <w:rsid w:val="004A3D45"/>
    <w:rsid w:val="004A45B8"/>
    <w:rsid w:val="004A4E59"/>
    <w:rsid w:val="004A59C5"/>
    <w:rsid w:val="004A6022"/>
    <w:rsid w:val="004A643C"/>
    <w:rsid w:val="004A64B4"/>
    <w:rsid w:val="004B0190"/>
    <w:rsid w:val="004B03B6"/>
    <w:rsid w:val="004B0CAA"/>
    <w:rsid w:val="004B189D"/>
    <w:rsid w:val="004B1F3D"/>
    <w:rsid w:val="004B2E75"/>
    <w:rsid w:val="004B3739"/>
    <w:rsid w:val="004B3807"/>
    <w:rsid w:val="004B3CEF"/>
    <w:rsid w:val="004B473F"/>
    <w:rsid w:val="004B4C69"/>
    <w:rsid w:val="004B4CF5"/>
    <w:rsid w:val="004B565E"/>
    <w:rsid w:val="004B5894"/>
    <w:rsid w:val="004B699F"/>
    <w:rsid w:val="004C02E8"/>
    <w:rsid w:val="004C120C"/>
    <w:rsid w:val="004C26B5"/>
    <w:rsid w:val="004C280C"/>
    <w:rsid w:val="004C41F7"/>
    <w:rsid w:val="004C55EE"/>
    <w:rsid w:val="004C57E3"/>
    <w:rsid w:val="004C5C93"/>
    <w:rsid w:val="004D0A03"/>
    <w:rsid w:val="004D1CA8"/>
    <w:rsid w:val="004D2328"/>
    <w:rsid w:val="004D28CC"/>
    <w:rsid w:val="004D3915"/>
    <w:rsid w:val="004D4B55"/>
    <w:rsid w:val="004D525C"/>
    <w:rsid w:val="004D5DD5"/>
    <w:rsid w:val="004D70DE"/>
    <w:rsid w:val="004E2097"/>
    <w:rsid w:val="004E2703"/>
    <w:rsid w:val="004E2B26"/>
    <w:rsid w:val="004E2D96"/>
    <w:rsid w:val="004E3234"/>
    <w:rsid w:val="004E33B6"/>
    <w:rsid w:val="004E362F"/>
    <w:rsid w:val="004E395A"/>
    <w:rsid w:val="004E41C9"/>
    <w:rsid w:val="004E48A9"/>
    <w:rsid w:val="004E4C95"/>
    <w:rsid w:val="004E4D99"/>
    <w:rsid w:val="004E596A"/>
    <w:rsid w:val="004E5C8B"/>
    <w:rsid w:val="004E66AA"/>
    <w:rsid w:val="004E693F"/>
    <w:rsid w:val="004E7C65"/>
    <w:rsid w:val="004F1256"/>
    <w:rsid w:val="004F1642"/>
    <w:rsid w:val="004F1779"/>
    <w:rsid w:val="004F1D37"/>
    <w:rsid w:val="004F31F9"/>
    <w:rsid w:val="004F3891"/>
    <w:rsid w:val="004F4476"/>
    <w:rsid w:val="004F4D8A"/>
    <w:rsid w:val="004F5612"/>
    <w:rsid w:val="004F5F54"/>
    <w:rsid w:val="004F6619"/>
    <w:rsid w:val="004F7DD9"/>
    <w:rsid w:val="005002FF"/>
    <w:rsid w:val="00500CE8"/>
    <w:rsid w:val="00500DD6"/>
    <w:rsid w:val="00500E9D"/>
    <w:rsid w:val="00501032"/>
    <w:rsid w:val="0050151A"/>
    <w:rsid w:val="00501981"/>
    <w:rsid w:val="00501E48"/>
    <w:rsid w:val="00501F35"/>
    <w:rsid w:val="0050274D"/>
    <w:rsid w:val="00502A64"/>
    <w:rsid w:val="0050339C"/>
    <w:rsid w:val="005037E0"/>
    <w:rsid w:val="00503A1D"/>
    <w:rsid w:val="00503BD6"/>
    <w:rsid w:val="00504C2A"/>
    <w:rsid w:val="0050673F"/>
    <w:rsid w:val="00510030"/>
    <w:rsid w:val="005100E5"/>
    <w:rsid w:val="00510B2A"/>
    <w:rsid w:val="005112CC"/>
    <w:rsid w:val="00511B40"/>
    <w:rsid w:val="00512086"/>
    <w:rsid w:val="005127E0"/>
    <w:rsid w:val="00512B00"/>
    <w:rsid w:val="005132F1"/>
    <w:rsid w:val="0051375D"/>
    <w:rsid w:val="005138BD"/>
    <w:rsid w:val="00514833"/>
    <w:rsid w:val="005157B7"/>
    <w:rsid w:val="00516063"/>
    <w:rsid w:val="00516FA3"/>
    <w:rsid w:val="00517555"/>
    <w:rsid w:val="00517EB6"/>
    <w:rsid w:val="0052049E"/>
    <w:rsid w:val="00520709"/>
    <w:rsid w:val="005207F0"/>
    <w:rsid w:val="00520FB1"/>
    <w:rsid w:val="00521F3C"/>
    <w:rsid w:val="005223B3"/>
    <w:rsid w:val="00522BA5"/>
    <w:rsid w:val="00522DEC"/>
    <w:rsid w:val="00523E7B"/>
    <w:rsid w:val="00523F5D"/>
    <w:rsid w:val="005243CB"/>
    <w:rsid w:val="00524A7B"/>
    <w:rsid w:val="00525ECE"/>
    <w:rsid w:val="005269F8"/>
    <w:rsid w:val="00530276"/>
    <w:rsid w:val="0053074B"/>
    <w:rsid w:val="005332C7"/>
    <w:rsid w:val="00533793"/>
    <w:rsid w:val="005350C4"/>
    <w:rsid w:val="00535819"/>
    <w:rsid w:val="005362BC"/>
    <w:rsid w:val="005364E6"/>
    <w:rsid w:val="005368D3"/>
    <w:rsid w:val="00536AB6"/>
    <w:rsid w:val="0054072F"/>
    <w:rsid w:val="005416BE"/>
    <w:rsid w:val="005428B7"/>
    <w:rsid w:val="00542974"/>
    <w:rsid w:val="005431D6"/>
    <w:rsid w:val="005433AB"/>
    <w:rsid w:val="00543686"/>
    <w:rsid w:val="0054370E"/>
    <w:rsid w:val="005437C4"/>
    <w:rsid w:val="00543C75"/>
    <w:rsid w:val="00544AB3"/>
    <w:rsid w:val="00544E03"/>
    <w:rsid w:val="00545F5C"/>
    <w:rsid w:val="00547E3D"/>
    <w:rsid w:val="00550E79"/>
    <w:rsid w:val="00551327"/>
    <w:rsid w:val="00551C8E"/>
    <w:rsid w:val="005520EE"/>
    <w:rsid w:val="00552FE9"/>
    <w:rsid w:val="0055331D"/>
    <w:rsid w:val="00554FEF"/>
    <w:rsid w:val="005550C2"/>
    <w:rsid w:val="00556266"/>
    <w:rsid w:val="00557158"/>
    <w:rsid w:val="0055790C"/>
    <w:rsid w:val="00557A7C"/>
    <w:rsid w:val="005615FA"/>
    <w:rsid w:val="00562319"/>
    <w:rsid w:val="00562CC4"/>
    <w:rsid w:val="00562EB1"/>
    <w:rsid w:val="00563B51"/>
    <w:rsid w:val="005658B7"/>
    <w:rsid w:val="00565EC7"/>
    <w:rsid w:val="00566498"/>
    <w:rsid w:val="00566A00"/>
    <w:rsid w:val="0056743D"/>
    <w:rsid w:val="0056785D"/>
    <w:rsid w:val="005713E4"/>
    <w:rsid w:val="00571474"/>
    <w:rsid w:val="005718EF"/>
    <w:rsid w:val="00571E62"/>
    <w:rsid w:val="00571FEE"/>
    <w:rsid w:val="0057259D"/>
    <w:rsid w:val="00572EF9"/>
    <w:rsid w:val="00573A1F"/>
    <w:rsid w:val="00573B33"/>
    <w:rsid w:val="00573FB8"/>
    <w:rsid w:val="0057473F"/>
    <w:rsid w:val="00576440"/>
    <w:rsid w:val="00577283"/>
    <w:rsid w:val="005772FB"/>
    <w:rsid w:val="0058059C"/>
    <w:rsid w:val="00580E2D"/>
    <w:rsid w:val="00581A78"/>
    <w:rsid w:val="005824E1"/>
    <w:rsid w:val="0058307A"/>
    <w:rsid w:val="00583956"/>
    <w:rsid w:val="005841F8"/>
    <w:rsid w:val="005848FC"/>
    <w:rsid w:val="00584D60"/>
    <w:rsid w:val="00585AF6"/>
    <w:rsid w:val="00585FBF"/>
    <w:rsid w:val="00586250"/>
    <w:rsid w:val="00586398"/>
    <w:rsid w:val="0058754B"/>
    <w:rsid w:val="0058787D"/>
    <w:rsid w:val="00587BEE"/>
    <w:rsid w:val="00587EEE"/>
    <w:rsid w:val="00590954"/>
    <w:rsid w:val="00590B72"/>
    <w:rsid w:val="00590FC0"/>
    <w:rsid w:val="005911E6"/>
    <w:rsid w:val="005914EF"/>
    <w:rsid w:val="005926EC"/>
    <w:rsid w:val="005942A0"/>
    <w:rsid w:val="005949C4"/>
    <w:rsid w:val="005964AB"/>
    <w:rsid w:val="00596D11"/>
    <w:rsid w:val="005A0449"/>
    <w:rsid w:val="005A0C40"/>
    <w:rsid w:val="005A2A16"/>
    <w:rsid w:val="005A37B8"/>
    <w:rsid w:val="005A38AF"/>
    <w:rsid w:val="005A4419"/>
    <w:rsid w:val="005A585B"/>
    <w:rsid w:val="005A58BF"/>
    <w:rsid w:val="005A662F"/>
    <w:rsid w:val="005A6C3F"/>
    <w:rsid w:val="005A73E4"/>
    <w:rsid w:val="005A7933"/>
    <w:rsid w:val="005B079E"/>
    <w:rsid w:val="005B0875"/>
    <w:rsid w:val="005B0D2A"/>
    <w:rsid w:val="005B120F"/>
    <w:rsid w:val="005B1993"/>
    <w:rsid w:val="005B19EB"/>
    <w:rsid w:val="005B1AEA"/>
    <w:rsid w:val="005B2F6E"/>
    <w:rsid w:val="005B324F"/>
    <w:rsid w:val="005B335D"/>
    <w:rsid w:val="005B37B1"/>
    <w:rsid w:val="005B41FD"/>
    <w:rsid w:val="005B5645"/>
    <w:rsid w:val="005B57F4"/>
    <w:rsid w:val="005B61BE"/>
    <w:rsid w:val="005B67CA"/>
    <w:rsid w:val="005B6A46"/>
    <w:rsid w:val="005B78C1"/>
    <w:rsid w:val="005B7D63"/>
    <w:rsid w:val="005B7FF9"/>
    <w:rsid w:val="005C0E8D"/>
    <w:rsid w:val="005C195F"/>
    <w:rsid w:val="005C1BF0"/>
    <w:rsid w:val="005C1EE7"/>
    <w:rsid w:val="005C21FD"/>
    <w:rsid w:val="005C222D"/>
    <w:rsid w:val="005C5AFA"/>
    <w:rsid w:val="005C5D22"/>
    <w:rsid w:val="005C755B"/>
    <w:rsid w:val="005C75C7"/>
    <w:rsid w:val="005C787F"/>
    <w:rsid w:val="005D1C2D"/>
    <w:rsid w:val="005D2EC4"/>
    <w:rsid w:val="005D3001"/>
    <w:rsid w:val="005D3F76"/>
    <w:rsid w:val="005D411E"/>
    <w:rsid w:val="005D4578"/>
    <w:rsid w:val="005D50D9"/>
    <w:rsid w:val="005D5863"/>
    <w:rsid w:val="005D6292"/>
    <w:rsid w:val="005D65AE"/>
    <w:rsid w:val="005D689E"/>
    <w:rsid w:val="005D69CF"/>
    <w:rsid w:val="005D7329"/>
    <w:rsid w:val="005D7330"/>
    <w:rsid w:val="005D74E8"/>
    <w:rsid w:val="005E0131"/>
    <w:rsid w:val="005E05A3"/>
    <w:rsid w:val="005E0BFB"/>
    <w:rsid w:val="005E0FDE"/>
    <w:rsid w:val="005E1CFC"/>
    <w:rsid w:val="005E1DD8"/>
    <w:rsid w:val="005E2BDD"/>
    <w:rsid w:val="005E3DCF"/>
    <w:rsid w:val="005E4DC3"/>
    <w:rsid w:val="005E4F84"/>
    <w:rsid w:val="005E55EC"/>
    <w:rsid w:val="005E7B6B"/>
    <w:rsid w:val="005F18CD"/>
    <w:rsid w:val="005F18DA"/>
    <w:rsid w:val="005F18DD"/>
    <w:rsid w:val="005F23E2"/>
    <w:rsid w:val="005F2D25"/>
    <w:rsid w:val="005F3B85"/>
    <w:rsid w:val="005F4C25"/>
    <w:rsid w:val="005F5441"/>
    <w:rsid w:val="005F5570"/>
    <w:rsid w:val="005F7481"/>
    <w:rsid w:val="005F7832"/>
    <w:rsid w:val="005F7BBE"/>
    <w:rsid w:val="006014EC"/>
    <w:rsid w:val="00601528"/>
    <w:rsid w:val="006018A6"/>
    <w:rsid w:val="00601BE7"/>
    <w:rsid w:val="00602286"/>
    <w:rsid w:val="006038F7"/>
    <w:rsid w:val="00604310"/>
    <w:rsid w:val="00604F50"/>
    <w:rsid w:val="0060505D"/>
    <w:rsid w:val="00605431"/>
    <w:rsid w:val="0060555D"/>
    <w:rsid w:val="00605B9D"/>
    <w:rsid w:val="00606464"/>
    <w:rsid w:val="00606492"/>
    <w:rsid w:val="00606ABD"/>
    <w:rsid w:val="00606D32"/>
    <w:rsid w:val="00606DC2"/>
    <w:rsid w:val="00607492"/>
    <w:rsid w:val="00607A6D"/>
    <w:rsid w:val="00610950"/>
    <w:rsid w:val="00610E13"/>
    <w:rsid w:val="00610F58"/>
    <w:rsid w:val="0061118E"/>
    <w:rsid w:val="00611745"/>
    <w:rsid w:val="00611B97"/>
    <w:rsid w:val="006122EE"/>
    <w:rsid w:val="006137F9"/>
    <w:rsid w:val="00613AE5"/>
    <w:rsid w:val="00614B50"/>
    <w:rsid w:val="00614D90"/>
    <w:rsid w:val="006150C6"/>
    <w:rsid w:val="00616061"/>
    <w:rsid w:val="006161CA"/>
    <w:rsid w:val="00616676"/>
    <w:rsid w:val="00616D01"/>
    <w:rsid w:val="00616E7A"/>
    <w:rsid w:val="0062071E"/>
    <w:rsid w:val="00620BD8"/>
    <w:rsid w:val="00620C84"/>
    <w:rsid w:val="00621568"/>
    <w:rsid w:val="00621DD9"/>
    <w:rsid w:val="0062339D"/>
    <w:rsid w:val="00625456"/>
    <w:rsid w:val="006267E0"/>
    <w:rsid w:val="00626FA5"/>
    <w:rsid w:val="006278F6"/>
    <w:rsid w:val="00627BD7"/>
    <w:rsid w:val="00627EA7"/>
    <w:rsid w:val="00630A1A"/>
    <w:rsid w:val="00630B24"/>
    <w:rsid w:val="00630F65"/>
    <w:rsid w:val="00631A8A"/>
    <w:rsid w:val="00631CE1"/>
    <w:rsid w:val="00631D81"/>
    <w:rsid w:val="006321A7"/>
    <w:rsid w:val="00635940"/>
    <w:rsid w:val="00635C2E"/>
    <w:rsid w:val="0063637A"/>
    <w:rsid w:val="00636702"/>
    <w:rsid w:val="006402EA"/>
    <w:rsid w:val="0064057E"/>
    <w:rsid w:val="00641101"/>
    <w:rsid w:val="00642308"/>
    <w:rsid w:val="0064289F"/>
    <w:rsid w:val="006455FB"/>
    <w:rsid w:val="00646A5F"/>
    <w:rsid w:val="00651B2D"/>
    <w:rsid w:val="00652C5E"/>
    <w:rsid w:val="0065376B"/>
    <w:rsid w:val="00653DCA"/>
    <w:rsid w:val="00654C90"/>
    <w:rsid w:val="00655198"/>
    <w:rsid w:val="00655B33"/>
    <w:rsid w:val="006572F8"/>
    <w:rsid w:val="00657AF7"/>
    <w:rsid w:val="00657DD9"/>
    <w:rsid w:val="006611CE"/>
    <w:rsid w:val="00661649"/>
    <w:rsid w:val="0066197C"/>
    <w:rsid w:val="0066284E"/>
    <w:rsid w:val="00662D1E"/>
    <w:rsid w:val="00662F9E"/>
    <w:rsid w:val="00663E3A"/>
    <w:rsid w:val="00664161"/>
    <w:rsid w:val="00664438"/>
    <w:rsid w:val="00665315"/>
    <w:rsid w:val="00666308"/>
    <w:rsid w:val="00666B79"/>
    <w:rsid w:val="00667671"/>
    <w:rsid w:val="00667D53"/>
    <w:rsid w:val="00667FFC"/>
    <w:rsid w:val="00670219"/>
    <w:rsid w:val="006706EE"/>
    <w:rsid w:val="00670FC2"/>
    <w:rsid w:val="00671A26"/>
    <w:rsid w:val="006720E6"/>
    <w:rsid w:val="006730CE"/>
    <w:rsid w:val="006730F3"/>
    <w:rsid w:val="00673D20"/>
    <w:rsid w:val="00674344"/>
    <w:rsid w:val="00675215"/>
    <w:rsid w:val="006752BF"/>
    <w:rsid w:val="00675A06"/>
    <w:rsid w:val="0067630B"/>
    <w:rsid w:val="00676402"/>
    <w:rsid w:val="00676793"/>
    <w:rsid w:val="006769C9"/>
    <w:rsid w:val="00677E2B"/>
    <w:rsid w:val="0068017B"/>
    <w:rsid w:val="006810DE"/>
    <w:rsid w:val="00682703"/>
    <w:rsid w:val="006836FF"/>
    <w:rsid w:val="00683867"/>
    <w:rsid w:val="00684247"/>
    <w:rsid w:val="006842D9"/>
    <w:rsid w:val="00684CB8"/>
    <w:rsid w:val="0068557A"/>
    <w:rsid w:val="00686952"/>
    <w:rsid w:val="00686DD8"/>
    <w:rsid w:val="006873D2"/>
    <w:rsid w:val="0068753A"/>
    <w:rsid w:val="006877A0"/>
    <w:rsid w:val="00687E73"/>
    <w:rsid w:val="00690EE8"/>
    <w:rsid w:val="00691097"/>
    <w:rsid w:val="00692C28"/>
    <w:rsid w:val="00692EC5"/>
    <w:rsid w:val="006932B8"/>
    <w:rsid w:val="006937ED"/>
    <w:rsid w:val="00693B86"/>
    <w:rsid w:val="0069418C"/>
    <w:rsid w:val="00695900"/>
    <w:rsid w:val="00695C7E"/>
    <w:rsid w:val="006962D2"/>
    <w:rsid w:val="00696DFE"/>
    <w:rsid w:val="00696ED2"/>
    <w:rsid w:val="00697767"/>
    <w:rsid w:val="00697D0C"/>
    <w:rsid w:val="006A10A1"/>
    <w:rsid w:val="006A179F"/>
    <w:rsid w:val="006A1E3B"/>
    <w:rsid w:val="006A211F"/>
    <w:rsid w:val="006A2402"/>
    <w:rsid w:val="006A2CCA"/>
    <w:rsid w:val="006A3072"/>
    <w:rsid w:val="006A3887"/>
    <w:rsid w:val="006A4DFB"/>
    <w:rsid w:val="006A5B4E"/>
    <w:rsid w:val="006B0F3B"/>
    <w:rsid w:val="006B1944"/>
    <w:rsid w:val="006B2519"/>
    <w:rsid w:val="006B47EA"/>
    <w:rsid w:val="006B5B0F"/>
    <w:rsid w:val="006C013F"/>
    <w:rsid w:val="006C033F"/>
    <w:rsid w:val="006C044A"/>
    <w:rsid w:val="006C1CB6"/>
    <w:rsid w:val="006C28D4"/>
    <w:rsid w:val="006C3311"/>
    <w:rsid w:val="006C449A"/>
    <w:rsid w:val="006C4F85"/>
    <w:rsid w:val="006C5E7A"/>
    <w:rsid w:val="006C5F28"/>
    <w:rsid w:val="006C66B0"/>
    <w:rsid w:val="006C6711"/>
    <w:rsid w:val="006C6D8D"/>
    <w:rsid w:val="006C72A0"/>
    <w:rsid w:val="006C75CA"/>
    <w:rsid w:val="006D0582"/>
    <w:rsid w:val="006D09AF"/>
    <w:rsid w:val="006D1BF6"/>
    <w:rsid w:val="006D1DE6"/>
    <w:rsid w:val="006D1FBF"/>
    <w:rsid w:val="006D26D6"/>
    <w:rsid w:val="006D3B4D"/>
    <w:rsid w:val="006D4562"/>
    <w:rsid w:val="006D4EEE"/>
    <w:rsid w:val="006D5992"/>
    <w:rsid w:val="006D5ED1"/>
    <w:rsid w:val="006D6E35"/>
    <w:rsid w:val="006D7417"/>
    <w:rsid w:val="006D766E"/>
    <w:rsid w:val="006D7D09"/>
    <w:rsid w:val="006D7DD3"/>
    <w:rsid w:val="006E037C"/>
    <w:rsid w:val="006E04B1"/>
    <w:rsid w:val="006E14BF"/>
    <w:rsid w:val="006E1A05"/>
    <w:rsid w:val="006E30A4"/>
    <w:rsid w:val="006E3400"/>
    <w:rsid w:val="006E3CF2"/>
    <w:rsid w:val="006E3EC0"/>
    <w:rsid w:val="006E429E"/>
    <w:rsid w:val="006E545D"/>
    <w:rsid w:val="006E5B91"/>
    <w:rsid w:val="006E6BC4"/>
    <w:rsid w:val="006E732C"/>
    <w:rsid w:val="006F040D"/>
    <w:rsid w:val="006F1327"/>
    <w:rsid w:val="006F2543"/>
    <w:rsid w:val="006F3E94"/>
    <w:rsid w:val="006F533F"/>
    <w:rsid w:val="006F6700"/>
    <w:rsid w:val="006F6BF1"/>
    <w:rsid w:val="006F7244"/>
    <w:rsid w:val="006F7BF5"/>
    <w:rsid w:val="006F7CC2"/>
    <w:rsid w:val="00700E01"/>
    <w:rsid w:val="00701334"/>
    <w:rsid w:val="007022DD"/>
    <w:rsid w:val="0070249C"/>
    <w:rsid w:val="00702C1E"/>
    <w:rsid w:val="00704D84"/>
    <w:rsid w:val="00704DB9"/>
    <w:rsid w:val="00706FBD"/>
    <w:rsid w:val="00707172"/>
    <w:rsid w:val="007072A8"/>
    <w:rsid w:val="00707BC8"/>
    <w:rsid w:val="0071048D"/>
    <w:rsid w:val="00710DD4"/>
    <w:rsid w:val="0071242F"/>
    <w:rsid w:val="0071271E"/>
    <w:rsid w:val="007134E2"/>
    <w:rsid w:val="0071351E"/>
    <w:rsid w:val="007143C1"/>
    <w:rsid w:val="007159AB"/>
    <w:rsid w:val="007167A9"/>
    <w:rsid w:val="00716B0A"/>
    <w:rsid w:val="0072170F"/>
    <w:rsid w:val="007218D4"/>
    <w:rsid w:val="00722009"/>
    <w:rsid w:val="00722379"/>
    <w:rsid w:val="00722751"/>
    <w:rsid w:val="00722A6E"/>
    <w:rsid w:val="00722C46"/>
    <w:rsid w:val="00722D3B"/>
    <w:rsid w:val="00722D43"/>
    <w:rsid w:val="00724240"/>
    <w:rsid w:val="00725450"/>
    <w:rsid w:val="0072569D"/>
    <w:rsid w:val="00726123"/>
    <w:rsid w:val="00726309"/>
    <w:rsid w:val="007268DD"/>
    <w:rsid w:val="00726EFE"/>
    <w:rsid w:val="00726F17"/>
    <w:rsid w:val="0072724B"/>
    <w:rsid w:val="00730878"/>
    <w:rsid w:val="00731141"/>
    <w:rsid w:val="00731ED5"/>
    <w:rsid w:val="007324A2"/>
    <w:rsid w:val="0073319D"/>
    <w:rsid w:val="00733876"/>
    <w:rsid w:val="00735910"/>
    <w:rsid w:val="00735B3C"/>
    <w:rsid w:val="00735D8A"/>
    <w:rsid w:val="00737F82"/>
    <w:rsid w:val="007401D0"/>
    <w:rsid w:val="007407F5"/>
    <w:rsid w:val="00743BB6"/>
    <w:rsid w:val="00747C8E"/>
    <w:rsid w:val="00750FDA"/>
    <w:rsid w:val="00751927"/>
    <w:rsid w:val="0075226A"/>
    <w:rsid w:val="0075298A"/>
    <w:rsid w:val="007531D8"/>
    <w:rsid w:val="00753A7B"/>
    <w:rsid w:val="00754C89"/>
    <w:rsid w:val="00755905"/>
    <w:rsid w:val="00755FE1"/>
    <w:rsid w:val="00756040"/>
    <w:rsid w:val="007564F2"/>
    <w:rsid w:val="00757659"/>
    <w:rsid w:val="00757ED2"/>
    <w:rsid w:val="00760974"/>
    <w:rsid w:val="00760DAE"/>
    <w:rsid w:val="00760E91"/>
    <w:rsid w:val="00760E9D"/>
    <w:rsid w:val="007645DD"/>
    <w:rsid w:val="007647A4"/>
    <w:rsid w:val="00765203"/>
    <w:rsid w:val="00765C78"/>
    <w:rsid w:val="00765D2A"/>
    <w:rsid w:val="00766719"/>
    <w:rsid w:val="007668FE"/>
    <w:rsid w:val="007677B9"/>
    <w:rsid w:val="0077358A"/>
    <w:rsid w:val="00773D88"/>
    <w:rsid w:val="00774153"/>
    <w:rsid w:val="00774CDD"/>
    <w:rsid w:val="007750FB"/>
    <w:rsid w:val="00776135"/>
    <w:rsid w:val="007763AF"/>
    <w:rsid w:val="0077665B"/>
    <w:rsid w:val="0077672B"/>
    <w:rsid w:val="0077674E"/>
    <w:rsid w:val="00777000"/>
    <w:rsid w:val="0077708E"/>
    <w:rsid w:val="00777875"/>
    <w:rsid w:val="00777EB0"/>
    <w:rsid w:val="00777FE0"/>
    <w:rsid w:val="00780EEE"/>
    <w:rsid w:val="00781361"/>
    <w:rsid w:val="0078163A"/>
    <w:rsid w:val="007823D7"/>
    <w:rsid w:val="007824AF"/>
    <w:rsid w:val="0078251A"/>
    <w:rsid w:val="00782D9D"/>
    <w:rsid w:val="00783707"/>
    <w:rsid w:val="00783713"/>
    <w:rsid w:val="00783E15"/>
    <w:rsid w:val="00783F75"/>
    <w:rsid w:val="00784B2D"/>
    <w:rsid w:val="007903C3"/>
    <w:rsid w:val="007904FE"/>
    <w:rsid w:val="00791477"/>
    <w:rsid w:val="00792140"/>
    <w:rsid w:val="00792FA7"/>
    <w:rsid w:val="00793ACF"/>
    <w:rsid w:val="00794A1D"/>
    <w:rsid w:val="00795BCA"/>
    <w:rsid w:val="00795BEE"/>
    <w:rsid w:val="00795FC3"/>
    <w:rsid w:val="007A041E"/>
    <w:rsid w:val="007A07B7"/>
    <w:rsid w:val="007A1471"/>
    <w:rsid w:val="007A1966"/>
    <w:rsid w:val="007A1B6C"/>
    <w:rsid w:val="007A2139"/>
    <w:rsid w:val="007A2433"/>
    <w:rsid w:val="007A2651"/>
    <w:rsid w:val="007A2E8C"/>
    <w:rsid w:val="007A3316"/>
    <w:rsid w:val="007A48A2"/>
    <w:rsid w:val="007A494E"/>
    <w:rsid w:val="007A5325"/>
    <w:rsid w:val="007A5839"/>
    <w:rsid w:val="007A58C9"/>
    <w:rsid w:val="007A791D"/>
    <w:rsid w:val="007B092F"/>
    <w:rsid w:val="007B09BA"/>
    <w:rsid w:val="007B0A7F"/>
    <w:rsid w:val="007B0DBF"/>
    <w:rsid w:val="007B2360"/>
    <w:rsid w:val="007B2C9B"/>
    <w:rsid w:val="007B3754"/>
    <w:rsid w:val="007B3CD4"/>
    <w:rsid w:val="007B3F72"/>
    <w:rsid w:val="007B405D"/>
    <w:rsid w:val="007B4814"/>
    <w:rsid w:val="007B52BA"/>
    <w:rsid w:val="007B5A02"/>
    <w:rsid w:val="007B630E"/>
    <w:rsid w:val="007B68FD"/>
    <w:rsid w:val="007B7085"/>
    <w:rsid w:val="007C00C8"/>
    <w:rsid w:val="007C03A7"/>
    <w:rsid w:val="007C0568"/>
    <w:rsid w:val="007C17D5"/>
    <w:rsid w:val="007C2369"/>
    <w:rsid w:val="007C303D"/>
    <w:rsid w:val="007C30E9"/>
    <w:rsid w:val="007C3DD5"/>
    <w:rsid w:val="007C3E26"/>
    <w:rsid w:val="007C41E8"/>
    <w:rsid w:val="007C5A82"/>
    <w:rsid w:val="007C5D15"/>
    <w:rsid w:val="007C7401"/>
    <w:rsid w:val="007C75F3"/>
    <w:rsid w:val="007D0114"/>
    <w:rsid w:val="007D0C30"/>
    <w:rsid w:val="007D0DFA"/>
    <w:rsid w:val="007D29E9"/>
    <w:rsid w:val="007D2EB1"/>
    <w:rsid w:val="007D4815"/>
    <w:rsid w:val="007D4BAD"/>
    <w:rsid w:val="007D6D4B"/>
    <w:rsid w:val="007D7A11"/>
    <w:rsid w:val="007E1635"/>
    <w:rsid w:val="007E18CA"/>
    <w:rsid w:val="007E1BC9"/>
    <w:rsid w:val="007E2E86"/>
    <w:rsid w:val="007E2F3A"/>
    <w:rsid w:val="007E3065"/>
    <w:rsid w:val="007E4014"/>
    <w:rsid w:val="007E4B5F"/>
    <w:rsid w:val="007E62B0"/>
    <w:rsid w:val="007E6579"/>
    <w:rsid w:val="007F00C2"/>
    <w:rsid w:val="007F158F"/>
    <w:rsid w:val="007F1A0B"/>
    <w:rsid w:val="007F1A8E"/>
    <w:rsid w:val="007F3358"/>
    <w:rsid w:val="007F3459"/>
    <w:rsid w:val="007F4ABF"/>
    <w:rsid w:val="007F4B6B"/>
    <w:rsid w:val="007F5C43"/>
    <w:rsid w:val="007F6511"/>
    <w:rsid w:val="007F6F58"/>
    <w:rsid w:val="007F72E4"/>
    <w:rsid w:val="008031D4"/>
    <w:rsid w:val="008051C6"/>
    <w:rsid w:val="008053B9"/>
    <w:rsid w:val="00805709"/>
    <w:rsid w:val="00805BA2"/>
    <w:rsid w:val="00806418"/>
    <w:rsid w:val="008066B6"/>
    <w:rsid w:val="00806DEE"/>
    <w:rsid w:val="00806FCE"/>
    <w:rsid w:val="008070D4"/>
    <w:rsid w:val="008078E0"/>
    <w:rsid w:val="0081005A"/>
    <w:rsid w:val="00810241"/>
    <w:rsid w:val="0081121B"/>
    <w:rsid w:val="00811CDE"/>
    <w:rsid w:val="00811E87"/>
    <w:rsid w:val="008124D0"/>
    <w:rsid w:val="008138F8"/>
    <w:rsid w:val="00813D69"/>
    <w:rsid w:val="00814A7E"/>
    <w:rsid w:val="0081503A"/>
    <w:rsid w:val="00816368"/>
    <w:rsid w:val="00816450"/>
    <w:rsid w:val="00816785"/>
    <w:rsid w:val="00816DF4"/>
    <w:rsid w:val="00816E81"/>
    <w:rsid w:val="008175EC"/>
    <w:rsid w:val="00817790"/>
    <w:rsid w:val="00817C9B"/>
    <w:rsid w:val="00820485"/>
    <w:rsid w:val="00821597"/>
    <w:rsid w:val="0082165B"/>
    <w:rsid w:val="0082215A"/>
    <w:rsid w:val="0082375E"/>
    <w:rsid w:val="00823FCE"/>
    <w:rsid w:val="008244BE"/>
    <w:rsid w:val="00824C78"/>
    <w:rsid w:val="0082575E"/>
    <w:rsid w:val="00825AC2"/>
    <w:rsid w:val="00825E35"/>
    <w:rsid w:val="008260B8"/>
    <w:rsid w:val="00827721"/>
    <w:rsid w:val="00827AC2"/>
    <w:rsid w:val="00827ACF"/>
    <w:rsid w:val="00830FA8"/>
    <w:rsid w:val="0083236D"/>
    <w:rsid w:val="0083290A"/>
    <w:rsid w:val="0083344E"/>
    <w:rsid w:val="008337A7"/>
    <w:rsid w:val="00834C87"/>
    <w:rsid w:val="00835379"/>
    <w:rsid w:val="00835391"/>
    <w:rsid w:val="008360EE"/>
    <w:rsid w:val="00837417"/>
    <w:rsid w:val="00837F40"/>
    <w:rsid w:val="0084077A"/>
    <w:rsid w:val="0084120B"/>
    <w:rsid w:val="00841B0C"/>
    <w:rsid w:val="00842AE5"/>
    <w:rsid w:val="00845BA2"/>
    <w:rsid w:val="0084609F"/>
    <w:rsid w:val="00846680"/>
    <w:rsid w:val="0084679B"/>
    <w:rsid w:val="008469B7"/>
    <w:rsid w:val="00851A2D"/>
    <w:rsid w:val="008529D9"/>
    <w:rsid w:val="00854488"/>
    <w:rsid w:val="008558FD"/>
    <w:rsid w:val="0085595B"/>
    <w:rsid w:val="00855AE1"/>
    <w:rsid w:val="0085609E"/>
    <w:rsid w:val="00856590"/>
    <w:rsid w:val="0085729B"/>
    <w:rsid w:val="008578DF"/>
    <w:rsid w:val="00857AAC"/>
    <w:rsid w:val="00857ED3"/>
    <w:rsid w:val="00861071"/>
    <w:rsid w:val="0086281B"/>
    <w:rsid w:val="0086332A"/>
    <w:rsid w:val="0086408F"/>
    <w:rsid w:val="008642FB"/>
    <w:rsid w:val="00864A3B"/>
    <w:rsid w:val="0086545E"/>
    <w:rsid w:val="0086709D"/>
    <w:rsid w:val="00867C4B"/>
    <w:rsid w:val="00867E10"/>
    <w:rsid w:val="00872640"/>
    <w:rsid w:val="0087277C"/>
    <w:rsid w:val="00873EC4"/>
    <w:rsid w:val="0087441A"/>
    <w:rsid w:val="0087471B"/>
    <w:rsid w:val="00876084"/>
    <w:rsid w:val="00876772"/>
    <w:rsid w:val="00877F71"/>
    <w:rsid w:val="00880265"/>
    <w:rsid w:val="00880826"/>
    <w:rsid w:val="008812DB"/>
    <w:rsid w:val="0088151D"/>
    <w:rsid w:val="00881FCA"/>
    <w:rsid w:val="008823FD"/>
    <w:rsid w:val="00882FCC"/>
    <w:rsid w:val="00883199"/>
    <w:rsid w:val="00883F28"/>
    <w:rsid w:val="00884151"/>
    <w:rsid w:val="008841B6"/>
    <w:rsid w:val="008847E5"/>
    <w:rsid w:val="0088567A"/>
    <w:rsid w:val="00886F1A"/>
    <w:rsid w:val="008874EA"/>
    <w:rsid w:val="00890BEE"/>
    <w:rsid w:val="00890CEA"/>
    <w:rsid w:val="00891633"/>
    <w:rsid w:val="00891A0E"/>
    <w:rsid w:val="0089260C"/>
    <w:rsid w:val="0089291B"/>
    <w:rsid w:val="008935B2"/>
    <w:rsid w:val="00893744"/>
    <w:rsid w:val="00893774"/>
    <w:rsid w:val="00893A26"/>
    <w:rsid w:val="008943D4"/>
    <w:rsid w:val="0089443A"/>
    <w:rsid w:val="00894DA8"/>
    <w:rsid w:val="00896BDF"/>
    <w:rsid w:val="00896FBC"/>
    <w:rsid w:val="00897CD3"/>
    <w:rsid w:val="00897DB1"/>
    <w:rsid w:val="008A0590"/>
    <w:rsid w:val="008A125E"/>
    <w:rsid w:val="008A288C"/>
    <w:rsid w:val="008A3068"/>
    <w:rsid w:val="008A4119"/>
    <w:rsid w:val="008A4638"/>
    <w:rsid w:val="008A51F9"/>
    <w:rsid w:val="008A53D8"/>
    <w:rsid w:val="008A5B5A"/>
    <w:rsid w:val="008A615A"/>
    <w:rsid w:val="008A61DF"/>
    <w:rsid w:val="008A63EE"/>
    <w:rsid w:val="008A6C14"/>
    <w:rsid w:val="008A7405"/>
    <w:rsid w:val="008A7B8A"/>
    <w:rsid w:val="008B06E4"/>
    <w:rsid w:val="008B0799"/>
    <w:rsid w:val="008B0ADB"/>
    <w:rsid w:val="008B3298"/>
    <w:rsid w:val="008B3BA5"/>
    <w:rsid w:val="008B3BF8"/>
    <w:rsid w:val="008B4106"/>
    <w:rsid w:val="008B43B8"/>
    <w:rsid w:val="008B5468"/>
    <w:rsid w:val="008B559A"/>
    <w:rsid w:val="008B5C83"/>
    <w:rsid w:val="008B65E8"/>
    <w:rsid w:val="008B7394"/>
    <w:rsid w:val="008C0C5C"/>
    <w:rsid w:val="008C0D80"/>
    <w:rsid w:val="008C1533"/>
    <w:rsid w:val="008C1984"/>
    <w:rsid w:val="008C2B7E"/>
    <w:rsid w:val="008C3044"/>
    <w:rsid w:val="008C3961"/>
    <w:rsid w:val="008C5E94"/>
    <w:rsid w:val="008C71F0"/>
    <w:rsid w:val="008C7233"/>
    <w:rsid w:val="008C7956"/>
    <w:rsid w:val="008C79AD"/>
    <w:rsid w:val="008C7F3F"/>
    <w:rsid w:val="008D12FB"/>
    <w:rsid w:val="008D1540"/>
    <w:rsid w:val="008D1F7E"/>
    <w:rsid w:val="008D2325"/>
    <w:rsid w:val="008D2973"/>
    <w:rsid w:val="008D2B0B"/>
    <w:rsid w:val="008D2C15"/>
    <w:rsid w:val="008D3D27"/>
    <w:rsid w:val="008D3F48"/>
    <w:rsid w:val="008D3FBC"/>
    <w:rsid w:val="008D4242"/>
    <w:rsid w:val="008D468C"/>
    <w:rsid w:val="008D4A0F"/>
    <w:rsid w:val="008D723B"/>
    <w:rsid w:val="008D7502"/>
    <w:rsid w:val="008D79F4"/>
    <w:rsid w:val="008E01DA"/>
    <w:rsid w:val="008E05B3"/>
    <w:rsid w:val="008E0733"/>
    <w:rsid w:val="008E10E9"/>
    <w:rsid w:val="008E191F"/>
    <w:rsid w:val="008E2D42"/>
    <w:rsid w:val="008E3360"/>
    <w:rsid w:val="008E33BB"/>
    <w:rsid w:val="008E40E4"/>
    <w:rsid w:val="008E47F1"/>
    <w:rsid w:val="008E5C11"/>
    <w:rsid w:val="008E6992"/>
    <w:rsid w:val="008E7067"/>
    <w:rsid w:val="008E7C00"/>
    <w:rsid w:val="008E7D5A"/>
    <w:rsid w:val="008F1DBE"/>
    <w:rsid w:val="008F1FF4"/>
    <w:rsid w:val="008F2215"/>
    <w:rsid w:val="008F231B"/>
    <w:rsid w:val="008F32DF"/>
    <w:rsid w:val="008F39A6"/>
    <w:rsid w:val="008F43AB"/>
    <w:rsid w:val="008F44BD"/>
    <w:rsid w:val="008F4E55"/>
    <w:rsid w:val="008F53FE"/>
    <w:rsid w:val="008F5C43"/>
    <w:rsid w:val="008F600C"/>
    <w:rsid w:val="008F64C9"/>
    <w:rsid w:val="008F6869"/>
    <w:rsid w:val="008F686A"/>
    <w:rsid w:val="008F6872"/>
    <w:rsid w:val="008F6B17"/>
    <w:rsid w:val="008F7FE7"/>
    <w:rsid w:val="008F7FE9"/>
    <w:rsid w:val="00900387"/>
    <w:rsid w:val="00902837"/>
    <w:rsid w:val="00902C39"/>
    <w:rsid w:val="0090443D"/>
    <w:rsid w:val="00905B59"/>
    <w:rsid w:val="00905BD5"/>
    <w:rsid w:val="0090688B"/>
    <w:rsid w:val="0090773E"/>
    <w:rsid w:val="00907EA7"/>
    <w:rsid w:val="00912FAD"/>
    <w:rsid w:val="0091340C"/>
    <w:rsid w:val="009145DC"/>
    <w:rsid w:val="00914AA5"/>
    <w:rsid w:val="00914DFF"/>
    <w:rsid w:val="00914E3C"/>
    <w:rsid w:val="009156CD"/>
    <w:rsid w:val="00915CFE"/>
    <w:rsid w:val="009160CB"/>
    <w:rsid w:val="009161D2"/>
    <w:rsid w:val="009167F1"/>
    <w:rsid w:val="009170D2"/>
    <w:rsid w:val="00917356"/>
    <w:rsid w:val="00917B29"/>
    <w:rsid w:val="00921BFC"/>
    <w:rsid w:val="00922C17"/>
    <w:rsid w:val="00922E23"/>
    <w:rsid w:val="00924829"/>
    <w:rsid w:val="00924A80"/>
    <w:rsid w:val="00924E39"/>
    <w:rsid w:val="00925479"/>
    <w:rsid w:val="0092721C"/>
    <w:rsid w:val="0092729F"/>
    <w:rsid w:val="00927C38"/>
    <w:rsid w:val="009313F9"/>
    <w:rsid w:val="00931A3D"/>
    <w:rsid w:val="00931B3D"/>
    <w:rsid w:val="00932125"/>
    <w:rsid w:val="00932D7C"/>
    <w:rsid w:val="00932DAE"/>
    <w:rsid w:val="00933444"/>
    <w:rsid w:val="00933529"/>
    <w:rsid w:val="00933A87"/>
    <w:rsid w:val="00934FF4"/>
    <w:rsid w:val="00941AD0"/>
    <w:rsid w:val="00941B00"/>
    <w:rsid w:val="00941BA3"/>
    <w:rsid w:val="00942B6D"/>
    <w:rsid w:val="00943C2C"/>
    <w:rsid w:val="009445AC"/>
    <w:rsid w:val="0094562A"/>
    <w:rsid w:val="00946BBF"/>
    <w:rsid w:val="009470B5"/>
    <w:rsid w:val="00947209"/>
    <w:rsid w:val="009472B3"/>
    <w:rsid w:val="00947890"/>
    <w:rsid w:val="00950EE9"/>
    <w:rsid w:val="009522B3"/>
    <w:rsid w:val="00954B46"/>
    <w:rsid w:val="00954E97"/>
    <w:rsid w:val="009556D4"/>
    <w:rsid w:val="00956046"/>
    <w:rsid w:val="00956364"/>
    <w:rsid w:val="00956609"/>
    <w:rsid w:val="0095746A"/>
    <w:rsid w:val="0096006C"/>
    <w:rsid w:val="009605F2"/>
    <w:rsid w:val="009618AF"/>
    <w:rsid w:val="009622B5"/>
    <w:rsid w:val="00962791"/>
    <w:rsid w:val="00962DC6"/>
    <w:rsid w:val="00963B8F"/>
    <w:rsid w:val="00963E6F"/>
    <w:rsid w:val="00964602"/>
    <w:rsid w:val="009648BA"/>
    <w:rsid w:val="00964FB8"/>
    <w:rsid w:val="00966057"/>
    <w:rsid w:val="00966BDA"/>
    <w:rsid w:val="009676FF"/>
    <w:rsid w:val="00967932"/>
    <w:rsid w:val="00967C42"/>
    <w:rsid w:val="00967EF8"/>
    <w:rsid w:val="009705CB"/>
    <w:rsid w:val="00970622"/>
    <w:rsid w:val="009709E0"/>
    <w:rsid w:val="009712F6"/>
    <w:rsid w:val="00971E69"/>
    <w:rsid w:val="00973554"/>
    <w:rsid w:val="009735F7"/>
    <w:rsid w:val="00973609"/>
    <w:rsid w:val="00973E07"/>
    <w:rsid w:val="009754DC"/>
    <w:rsid w:val="00976ADD"/>
    <w:rsid w:val="00976C7C"/>
    <w:rsid w:val="00977056"/>
    <w:rsid w:val="009804DB"/>
    <w:rsid w:val="009811F7"/>
    <w:rsid w:val="0098128E"/>
    <w:rsid w:val="00981FFB"/>
    <w:rsid w:val="009821AB"/>
    <w:rsid w:val="00983607"/>
    <w:rsid w:val="009837EC"/>
    <w:rsid w:val="009849C3"/>
    <w:rsid w:val="0098517D"/>
    <w:rsid w:val="00986707"/>
    <w:rsid w:val="00986AB3"/>
    <w:rsid w:val="0098780C"/>
    <w:rsid w:val="0099001C"/>
    <w:rsid w:val="00990C3A"/>
    <w:rsid w:val="009913A3"/>
    <w:rsid w:val="0099394E"/>
    <w:rsid w:val="009944B3"/>
    <w:rsid w:val="00995314"/>
    <w:rsid w:val="009955EC"/>
    <w:rsid w:val="00995F6D"/>
    <w:rsid w:val="009963E4"/>
    <w:rsid w:val="00996877"/>
    <w:rsid w:val="00996AFC"/>
    <w:rsid w:val="00996E93"/>
    <w:rsid w:val="0099763E"/>
    <w:rsid w:val="009976B8"/>
    <w:rsid w:val="00997B64"/>
    <w:rsid w:val="009A049C"/>
    <w:rsid w:val="009A0B6F"/>
    <w:rsid w:val="009A0D57"/>
    <w:rsid w:val="009A1709"/>
    <w:rsid w:val="009A19F0"/>
    <w:rsid w:val="009A1D33"/>
    <w:rsid w:val="009A22E5"/>
    <w:rsid w:val="009A2AB3"/>
    <w:rsid w:val="009A3736"/>
    <w:rsid w:val="009A3FB4"/>
    <w:rsid w:val="009A56D8"/>
    <w:rsid w:val="009A5852"/>
    <w:rsid w:val="009A58D8"/>
    <w:rsid w:val="009A59DE"/>
    <w:rsid w:val="009A5C26"/>
    <w:rsid w:val="009A71C3"/>
    <w:rsid w:val="009A76BD"/>
    <w:rsid w:val="009A7A10"/>
    <w:rsid w:val="009B0463"/>
    <w:rsid w:val="009B146D"/>
    <w:rsid w:val="009B1C06"/>
    <w:rsid w:val="009B1C22"/>
    <w:rsid w:val="009B29C4"/>
    <w:rsid w:val="009B30B4"/>
    <w:rsid w:val="009B3574"/>
    <w:rsid w:val="009B38A9"/>
    <w:rsid w:val="009B47A0"/>
    <w:rsid w:val="009B47BC"/>
    <w:rsid w:val="009B4D9E"/>
    <w:rsid w:val="009B5750"/>
    <w:rsid w:val="009B7F81"/>
    <w:rsid w:val="009C00CE"/>
    <w:rsid w:val="009C0725"/>
    <w:rsid w:val="009C0742"/>
    <w:rsid w:val="009C0BA7"/>
    <w:rsid w:val="009C13EA"/>
    <w:rsid w:val="009C1546"/>
    <w:rsid w:val="009C168D"/>
    <w:rsid w:val="009C20F3"/>
    <w:rsid w:val="009C2133"/>
    <w:rsid w:val="009C4906"/>
    <w:rsid w:val="009C6701"/>
    <w:rsid w:val="009C6F4C"/>
    <w:rsid w:val="009C7D69"/>
    <w:rsid w:val="009C7DB7"/>
    <w:rsid w:val="009D0314"/>
    <w:rsid w:val="009D1F4E"/>
    <w:rsid w:val="009D3154"/>
    <w:rsid w:val="009D38DA"/>
    <w:rsid w:val="009D3EE1"/>
    <w:rsid w:val="009D4B08"/>
    <w:rsid w:val="009D4E53"/>
    <w:rsid w:val="009D6D52"/>
    <w:rsid w:val="009D7633"/>
    <w:rsid w:val="009E0112"/>
    <w:rsid w:val="009E0657"/>
    <w:rsid w:val="009E1329"/>
    <w:rsid w:val="009E1F8A"/>
    <w:rsid w:val="009E219C"/>
    <w:rsid w:val="009E23A8"/>
    <w:rsid w:val="009E272A"/>
    <w:rsid w:val="009E2960"/>
    <w:rsid w:val="009E2B68"/>
    <w:rsid w:val="009E3CE9"/>
    <w:rsid w:val="009E3EB2"/>
    <w:rsid w:val="009E55E1"/>
    <w:rsid w:val="009E6DCD"/>
    <w:rsid w:val="009F07F5"/>
    <w:rsid w:val="009F1FD9"/>
    <w:rsid w:val="009F53FD"/>
    <w:rsid w:val="009F68E1"/>
    <w:rsid w:val="009F68F7"/>
    <w:rsid w:val="009F694E"/>
    <w:rsid w:val="009F6CC3"/>
    <w:rsid w:val="00A0019E"/>
    <w:rsid w:val="00A00449"/>
    <w:rsid w:val="00A00B10"/>
    <w:rsid w:val="00A00E47"/>
    <w:rsid w:val="00A017D9"/>
    <w:rsid w:val="00A01F67"/>
    <w:rsid w:val="00A02541"/>
    <w:rsid w:val="00A03BCC"/>
    <w:rsid w:val="00A03C59"/>
    <w:rsid w:val="00A05C97"/>
    <w:rsid w:val="00A05D60"/>
    <w:rsid w:val="00A062DA"/>
    <w:rsid w:val="00A111B6"/>
    <w:rsid w:val="00A12193"/>
    <w:rsid w:val="00A13987"/>
    <w:rsid w:val="00A139B1"/>
    <w:rsid w:val="00A14DBE"/>
    <w:rsid w:val="00A1511B"/>
    <w:rsid w:val="00A157DF"/>
    <w:rsid w:val="00A160E8"/>
    <w:rsid w:val="00A16C34"/>
    <w:rsid w:val="00A17088"/>
    <w:rsid w:val="00A17641"/>
    <w:rsid w:val="00A21896"/>
    <w:rsid w:val="00A22123"/>
    <w:rsid w:val="00A233FC"/>
    <w:rsid w:val="00A236A2"/>
    <w:rsid w:val="00A23A2B"/>
    <w:rsid w:val="00A24288"/>
    <w:rsid w:val="00A24953"/>
    <w:rsid w:val="00A24C0A"/>
    <w:rsid w:val="00A24EDA"/>
    <w:rsid w:val="00A254FA"/>
    <w:rsid w:val="00A25DE7"/>
    <w:rsid w:val="00A270EA"/>
    <w:rsid w:val="00A271E0"/>
    <w:rsid w:val="00A3011B"/>
    <w:rsid w:val="00A3071E"/>
    <w:rsid w:val="00A31EA9"/>
    <w:rsid w:val="00A32D9A"/>
    <w:rsid w:val="00A33055"/>
    <w:rsid w:val="00A342FB"/>
    <w:rsid w:val="00A3439B"/>
    <w:rsid w:val="00A345E2"/>
    <w:rsid w:val="00A34A7D"/>
    <w:rsid w:val="00A36446"/>
    <w:rsid w:val="00A365E6"/>
    <w:rsid w:val="00A37742"/>
    <w:rsid w:val="00A37E0F"/>
    <w:rsid w:val="00A42D86"/>
    <w:rsid w:val="00A4341F"/>
    <w:rsid w:val="00A44C9C"/>
    <w:rsid w:val="00A4681B"/>
    <w:rsid w:val="00A47EE5"/>
    <w:rsid w:val="00A51A72"/>
    <w:rsid w:val="00A52A55"/>
    <w:rsid w:val="00A53C3B"/>
    <w:rsid w:val="00A53FA2"/>
    <w:rsid w:val="00A542B0"/>
    <w:rsid w:val="00A54399"/>
    <w:rsid w:val="00A5449B"/>
    <w:rsid w:val="00A556DB"/>
    <w:rsid w:val="00A565A7"/>
    <w:rsid w:val="00A565D1"/>
    <w:rsid w:val="00A57088"/>
    <w:rsid w:val="00A575CB"/>
    <w:rsid w:val="00A57A23"/>
    <w:rsid w:val="00A60315"/>
    <w:rsid w:val="00A60D8C"/>
    <w:rsid w:val="00A60F1C"/>
    <w:rsid w:val="00A61A36"/>
    <w:rsid w:val="00A61C2A"/>
    <w:rsid w:val="00A62016"/>
    <w:rsid w:val="00A62CEE"/>
    <w:rsid w:val="00A63310"/>
    <w:rsid w:val="00A63491"/>
    <w:rsid w:val="00A640ED"/>
    <w:rsid w:val="00A644CD"/>
    <w:rsid w:val="00A64671"/>
    <w:rsid w:val="00A65A87"/>
    <w:rsid w:val="00A660C1"/>
    <w:rsid w:val="00A66363"/>
    <w:rsid w:val="00A67658"/>
    <w:rsid w:val="00A70D33"/>
    <w:rsid w:val="00A70F5D"/>
    <w:rsid w:val="00A7101A"/>
    <w:rsid w:val="00A7179D"/>
    <w:rsid w:val="00A72842"/>
    <w:rsid w:val="00A73093"/>
    <w:rsid w:val="00A737A8"/>
    <w:rsid w:val="00A74100"/>
    <w:rsid w:val="00A747F9"/>
    <w:rsid w:val="00A74FF5"/>
    <w:rsid w:val="00A75441"/>
    <w:rsid w:val="00A75FF9"/>
    <w:rsid w:val="00A763B4"/>
    <w:rsid w:val="00A764F8"/>
    <w:rsid w:val="00A76675"/>
    <w:rsid w:val="00A772D4"/>
    <w:rsid w:val="00A77346"/>
    <w:rsid w:val="00A77BB4"/>
    <w:rsid w:val="00A77C7B"/>
    <w:rsid w:val="00A80505"/>
    <w:rsid w:val="00A8051E"/>
    <w:rsid w:val="00A8171F"/>
    <w:rsid w:val="00A82A9B"/>
    <w:rsid w:val="00A838B1"/>
    <w:rsid w:val="00A839A5"/>
    <w:rsid w:val="00A83ACD"/>
    <w:rsid w:val="00A83EF2"/>
    <w:rsid w:val="00A84054"/>
    <w:rsid w:val="00A846FD"/>
    <w:rsid w:val="00A84A42"/>
    <w:rsid w:val="00A84D84"/>
    <w:rsid w:val="00A85DDD"/>
    <w:rsid w:val="00A86FC9"/>
    <w:rsid w:val="00A90534"/>
    <w:rsid w:val="00A917EA"/>
    <w:rsid w:val="00A9313F"/>
    <w:rsid w:val="00A935C2"/>
    <w:rsid w:val="00A950A1"/>
    <w:rsid w:val="00A9596D"/>
    <w:rsid w:val="00A970F1"/>
    <w:rsid w:val="00A9766D"/>
    <w:rsid w:val="00AA0D0C"/>
    <w:rsid w:val="00AA1C2F"/>
    <w:rsid w:val="00AA3750"/>
    <w:rsid w:val="00AA458B"/>
    <w:rsid w:val="00AA4E39"/>
    <w:rsid w:val="00AA5514"/>
    <w:rsid w:val="00AA571A"/>
    <w:rsid w:val="00AA5ADC"/>
    <w:rsid w:val="00AA5C48"/>
    <w:rsid w:val="00AA5E56"/>
    <w:rsid w:val="00AA6213"/>
    <w:rsid w:val="00AA697D"/>
    <w:rsid w:val="00AA6BF1"/>
    <w:rsid w:val="00AA6EDE"/>
    <w:rsid w:val="00AA718C"/>
    <w:rsid w:val="00AA7CA1"/>
    <w:rsid w:val="00AA7E5B"/>
    <w:rsid w:val="00AB01D6"/>
    <w:rsid w:val="00AB048D"/>
    <w:rsid w:val="00AB0A68"/>
    <w:rsid w:val="00AB10BA"/>
    <w:rsid w:val="00AB1F18"/>
    <w:rsid w:val="00AB2394"/>
    <w:rsid w:val="00AB289F"/>
    <w:rsid w:val="00AB2A7A"/>
    <w:rsid w:val="00AB55AE"/>
    <w:rsid w:val="00AB6454"/>
    <w:rsid w:val="00AC054A"/>
    <w:rsid w:val="00AC08FA"/>
    <w:rsid w:val="00AC10BA"/>
    <w:rsid w:val="00AC1B96"/>
    <w:rsid w:val="00AC20B6"/>
    <w:rsid w:val="00AC2972"/>
    <w:rsid w:val="00AC369D"/>
    <w:rsid w:val="00AC38F1"/>
    <w:rsid w:val="00AC4713"/>
    <w:rsid w:val="00AC4B91"/>
    <w:rsid w:val="00AC4BA8"/>
    <w:rsid w:val="00AC5F61"/>
    <w:rsid w:val="00AD0674"/>
    <w:rsid w:val="00AD1215"/>
    <w:rsid w:val="00AD15B4"/>
    <w:rsid w:val="00AD1F00"/>
    <w:rsid w:val="00AD2030"/>
    <w:rsid w:val="00AD282B"/>
    <w:rsid w:val="00AD2E78"/>
    <w:rsid w:val="00AD367E"/>
    <w:rsid w:val="00AD410B"/>
    <w:rsid w:val="00AD5121"/>
    <w:rsid w:val="00AD5417"/>
    <w:rsid w:val="00AD56BD"/>
    <w:rsid w:val="00AD5EBE"/>
    <w:rsid w:val="00AD6262"/>
    <w:rsid w:val="00AD74E9"/>
    <w:rsid w:val="00AD7882"/>
    <w:rsid w:val="00AE00DE"/>
    <w:rsid w:val="00AE0476"/>
    <w:rsid w:val="00AE20CF"/>
    <w:rsid w:val="00AE235C"/>
    <w:rsid w:val="00AE2586"/>
    <w:rsid w:val="00AE3344"/>
    <w:rsid w:val="00AE3838"/>
    <w:rsid w:val="00AE3DDE"/>
    <w:rsid w:val="00AE3E05"/>
    <w:rsid w:val="00AE4A3A"/>
    <w:rsid w:val="00AE5371"/>
    <w:rsid w:val="00AE5391"/>
    <w:rsid w:val="00AE629E"/>
    <w:rsid w:val="00AE6B04"/>
    <w:rsid w:val="00AE7288"/>
    <w:rsid w:val="00AE72FE"/>
    <w:rsid w:val="00AE784D"/>
    <w:rsid w:val="00AE7E6A"/>
    <w:rsid w:val="00AF1940"/>
    <w:rsid w:val="00AF1AE8"/>
    <w:rsid w:val="00AF3E22"/>
    <w:rsid w:val="00AF4AD7"/>
    <w:rsid w:val="00AF7160"/>
    <w:rsid w:val="00AF75C7"/>
    <w:rsid w:val="00AF7A9A"/>
    <w:rsid w:val="00B00583"/>
    <w:rsid w:val="00B0095A"/>
    <w:rsid w:val="00B00FCE"/>
    <w:rsid w:val="00B0104C"/>
    <w:rsid w:val="00B0143B"/>
    <w:rsid w:val="00B0179E"/>
    <w:rsid w:val="00B02251"/>
    <w:rsid w:val="00B022EA"/>
    <w:rsid w:val="00B0383A"/>
    <w:rsid w:val="00B0489D"/>
    <w:rsid w:val="00B04CDC"/>
    <w:rsid w:val="00B051BE"/>
    <w:rsid w:val="00B05931"/>
    <w:rsid w:val="00B05F2B"/>
    <w:rsid w:val="00B06090"/>
    <w:rsid w:val="00B06BA1"/>
    <w:rsid w:val="00B1124F"/>
    <w:rsid w:val="00B1155D"/>
    <w:rsid w:val="00B11E6D"/>
    <w:rsid w:val="00B1242D"/>
    <w:rsid w:val="00B12592"/>
    <w:rsid w:val="00B1430A"/>
    <w:rsid w:val="00B14F5F"/>
    <w:rsid w:val="00B150F5"/>
    <w:rsid w:val="00B151D4"/>
    <w:rsid w:val="00B1582F"/>
    <w:rsid w:val="00B158F1"/>
    <w:rsid w:val="00B15954"/>
    <w:rsid w:val="00B160AA"/>
    <w:rsid w:val="00B17A6F"/>
    <w:rsid w:val="00B2062B"/>
    <w:rsid w:val="00B210CB"/>
    <w:rsid w:val="00B2112F"/>
    <w:rsid w:val="00B21714"/>
    <w:rsid w:val="00B2273A"/>
    <w:rsid w:val="00B23177"/>
    <w:rsid w:val="00B25087"/>
    <w:rsid w:val="00B25B53"/>
    <w:rsid w:val="00B271B4"/>
    <w:rsid w:val="00B27D5C"/>
    <w:rsid w:val="00B31CD4"/>
    <w:rsid w:val="00B32FD0"/>
    <w:rsid w:val="00B338B7"/>
    <w:rsid w:val="00B34F01"/>
    <w:rsid w:val="00B3565E"/>
    <w:rsid w:val="00B35F27"/>
    <w:rsid w:val="00B363B2"/>
    <w:rsid w:val="00B37420"/>
    <w:rsid w:val="00B40025"/>
    <w:rsid w:val="00B4038E"/>
    <w:rsid w:val="00B4060A"/>
    <w:rsid w:val="00B406D7"/>
    <w:rsid w:val="00B40F59"/>
    <w:rsid w:val="00B4105E"/>
    <w:rsid w:val="00B416FA"/>
    <w:rsid w:val="00B421D7"/>
    <w:rsid w:val="00B42A63"/>
    <w:rsid w:val="00B42CD5"/>
    <w:rsid w:val="00B42D49"/>
    <w:rsid w:val="00B42D9B"/>
    <w:rsid w:val="00B441BC"/>
    <w:rsid w:val="00B442AA"/>
    <w:rsid w:val="00B44DFB"/>
    <w:rsid w:val="00B45E7A"/>
    <w:rsid w:val="00B46027"/>
    <w:rsid w:val="00B4660A"/>
    <w:rsid w:val="00B46A3E"/>
    <w:rsid w:val="00B504B6"/>
    <w:rsid w:val="00B50741"/>
    <w:rsid w:val="00B50B30"/>
    <w:rsid w:val="00B51360"/>
    <w:rsid w:val="00B51754"/>
    <w:rsid w:val="00B51D19"/>
    <w:rsid w:val="00B52EAA"/>
    <w:rsid w:val="00B52F67"/>
    <w:rsid w:val="00B532D5"/>
    <w:rsid w:val="00B53AB7"/>
    <w:rsid w:val="00B5446D"/>
    <w:rsid w:val="00B5546B"/>
    <w:rsid w:val="00B55D7E"/>
    <w:rsid w:val="00B56329"/>
    <w:rsid w:val="00B56468"/>
    <w:rsid w:val="00B56A79"/>
    <w:rsid w:val="00B56CE8"/>
    <w:rsid w:val="00B571DF"/>
    <w:rsid w:val="00B57CDD"/>
    <w:rsid w:val="00B6161D"/>
    <w:rsid w:val="00B616B4"/>
    <w:rsid w:val="00B61C58"/>
    <w:rsid w:val="00B61C77"/>
    <w:rsid w:val="00B636C5"/>
    <w:rsid w:val="00B638F7"/>
    <w:rsid w:val="00B63BC2"/>
    <w:rsid w:val="00B64347"/>
    <w:rsid w:val="00B651BA"/>
    <w:rsid w:val="00B65A54"/>
    <w:rsid w:val="00B66141"/>
    <w:rsid w:val="00B66657"/>
    <w:rsid w:val="00B66704"/>
    <w:rsid w:val="00B66B5B"/>
    <w:rsid w:val="00B70DAD"/>
    <w:rsid w:val="00B711E7"/>
    <w:rsid w:val="00B71376"/>
    <w:rsid w:val="00B714DF"/>
    <w:rsid w:val="00B71DB5"/>
    <w:rsid w:val="00B72C30"/>
    <w:rsid w:val="00B76034"/>
    <w:rsid w:val="00B7728F"/>
    <w:rsid w:val="00B7752A"/>
    <w:rsid w:val="00B7755D"/>
    <w:rsid w:val="00B800BA"/>
    <w:rsid w:val="00B80979"/>
    <w:rsid w:val="00B81990"/>
    <w:rsid w:val="00B81C7C"/>
    <w:rsid w:val="00B823DB"/>
    <w:rsid w:val="00B82B7A"/>
    <w:rsid w:val="00B8446D"/>
    <w:rsid w:val="00B84B7F"/>
    <w:rsid w:val="00B86002"/>
    <w:rsid w:val="00B8691D"/>
    <w:rsid w:val="00B9179C"/>
    <w:rsid w:val="00B92501"/>
    <w:rsid w:val="00B92645"/>
    <w:rsid w:val="00B926BA"/>
    <w:rsid w:val="00B9333D"/>
    <w:rsid w:val="00B9394E"/>
    <w:rsid w:val="00B939BF"/>
    <w:rsid w:val="00B93B82"/>
    <w:rsid w:val="00B94252"/>
    <w:rsid w:val="00B9498A"/>
    <w:rsid w:val="00B96BCB"/>
    <w:rsid w:val="00B96BE0"/>
    <w:rsid w:val="00B97891"/>
    <w:rsid w:val="00BA02D9"/>
    <w:rsid w:val="00BA0856"/>
    <w:rsid w:val="00BA1267"/>
    <w:rsid w:val="00BA227A"/>
    <w:rsid w:val="00BA246A"/>
    <w:rsid w:val="00BA331F"/>
    <w:rsid w:val="00BA3B76"/>
    <w:rsid w:val="00BA43E3"/>
    <w:rsid w:val="00BA6483"/>
    <w:rsid w:val="00BA7212"/>
    <w:rsid w:val="00BA7874"/>
    <w:rsid w:val="00BA7EFA"/>
    <w:rsid w:val="00BB0F5B"/>
    <w:rsid w:val="00BB1AFD"/>
    <w:rsid w:val="00BB24E8"/>
    <w:rsid w:val="00BB2888"/>
    <w:rsid w:val="00BB32F1"/>
    <w:rsid w:val="00BB3BCC"/>
    <w:rsid w:val="00BB49AE"/>
    <w:rsid w:val="00BB5532"/>
    <w:rsid w:val="00BB7BA2"/>
    <w:rsid w:val="00BB7E18"/>
    <w:rsid w:val="00BC03C4"/>
    <w:rsid w:val="00BC04DC"/>
    <w:rsid w:val="00BC1EBC"/>
    <w:rsid w:val="00BC208A"/>
    <w:rsid w:val="00BC2830"/>
    <w:rsid w:val="00BC2B7C"/>
    <w:rsid w:val="00BC2CCC"/>
    <w:rsid w:val="00BC2FA1"/>
    <w:rsid w:val="00BC3859"/>
    <w:rsid w:val="00BC3ABD"/>
    <w:rsid w:val="00BC4148"/>
    <w:rsid w:val="00BC4A56"/>
    <w:rsid w:val="00BC5FD2"/>
    <w:rsid w:val="00BC6675"/>
    <w:rsid w:val="00BD0F35"/>
    <w:rsid w:val="00BD2F32"/>
    <w:rsid w:val="00BD44E6"/>
    <w:rsid w:val="00BD6478"/>
    <w:rsid w:val="00BD7007"/>
    <w:rsid w:val="00BD71F6"/>
    <w:rsid w:val="00BD77E4"/>
    <w:rsid w:val="00BD78E6"/>
    <w:rsid w:val="00BE07DE"/>
    <w:rsid w:val="00BE09DF"/>
    <w:rsid w:val="00BE1BED"/>
    <w:rsid w:val="00BE1E41"/>
    <w:rsid w:val="00BE2116"/>
    <w:rsid w:val="00BE2365"/>
    <w:rsid w:val="00BE4173"/>
    <w:rsid w:val="00BE41E3"/>
    <w:rsid w:val="00BE4318"/>
    <w:rsid w:val="00BE4568"/>
    <w:rsid w:val="00BE4E24"/>
    <w:rsid w:val="00BE5BA1"/>
    <w:rsid w:val="00BE6C0E"/>
    <w:rsid w:val="00BE70F8"/>
    <w:rsid w:val="00BE7685"/>
    <w:rsid w:val="00BE7DF6"/>
    <w:rsid w:val="00BF0129"/>
    <w:rsid w:val="00BF03B9"/>
    <w:rsid w:val="00BF05F4"/>
    <w:rsid w:val="00BF15FF"/>
    <w:rsid w:val="00BF18FA"/>
    <w:rsid w:val="00BF1D42"/>
    <w:rsid w:val="00BF2256"/>
    <w:rsid w:val="00BF22D8"/>
    <w:rsid w:val="00BF29AC"/>
    <w:rsid w:val="00BF2E7C"/>
    <w:rsid w:val="00BF38E6"/>
    <w:rsid w:val="00BF3AB6"/>
    <w:rsid w:val="00BF42DB"/>
    <w:rsid w:val="00BF4361"/>
    <w:rsid w:val="00BF5BAD"/>
    <w:rsid w:val="00BF63DD"/>
    <w:rsid w:val="00BF686A"/>
    <w:rsid w:val="00BF7F80"/>
    <w:rsid w:val="00C0176A"/>
    <w:rsid w:val="00C01D22"/>
    <w:rsid w:val="00C020C5"/>
    <w:rsid w:val="00C025F2"/>
    <w:rsid w:val="00C02D7F"/>
    <w:rsid w:val="00C03A74"/>
    <w:rsid w:val="00C043C3"/>
    <w:rsid w:val="00C04611"/>
    <w:rsid w:val="00C0558D"/>
    <w:rsid w:val="00C0695D"/>
    <w:rsid w:val="00C07B4D"/>
    <w:rsid w:val="00C10527"/>
    <w:rsid w:val="00C10C8A"/>
    <w:rsid w:val="00C115CD"/>
    <w:rsid w:val="00C11D5E"/>
    <w:rsid w:val="00C121BC"/>
    <w:rsid w:val="00C1226F"/>
    <w:rsid w:val="00C12E9E"/>
    <w:rsid w:val="00C1579A"/>
    <w:rsid w:val="00C15C52"/>
    <w:rsid w:val="00C16296"/>
    <w:rsid w:val="00C16329"/>
    <w:rsid w:val="00C17732"/>
    <w:rsid w:val="00C21FE0"/>
    <w:rsid w:val="00C22F03"/>
    <w:rsid w:val="00C22F63"/>
    <w:rsid w:val="00C2435D"/>
    <w:rsid w:val="00C24F75"/>
    <w:rsid w:val="00C26823"/>
    <w:rsid w:val="00C27C09"/>
    <w:rsid w:val="00C30FAB"/>
    <w:rsid w:val="00C315D5"/>
    <w:rsid w:val="00C316B5"/>
    <w:rsid w:val="00C31F06"/>
    <w:rsid w:val="00C336A3"/>
    <w:rsid w:val="00C33BC9"/>
    <w:rsid w:val="00C33F8F"/>
    <w:rsid w:val="00C34A0D"/>
    <w:rsid w:val="00C35D06"/>
    <w:rsid w:val="00C35FA1"/>
    <w:rsid w:val="00C36217"/>
    <w:rsid w:val="00C3660A"/>
    <w:rsid w:val="00C37678"/>
    <w:rsid w:val="00C406DC"/>
    <w:rsid w:val="00C41330"/>
    <w:rsid w:val="00C428EA"/>
    <w:rsid w:val="00C4308E"/>
    <w:rsid w:val="00C43792"/>
    <w:rsid w:val="00C43CD5"/>
    <w:rsid w:val="00C441CE"/>
    <w:rsid w:val="00C44AE8"/>
    <w:rsid w:val="00C44FC1"/>
    <w:rsid w:val="00C45A58"/>
    <w:rsid w:val="00C476CE"/>
    <w:rsid w:val="00C47B6A"/>
    <w:rsid w:val="00C50C09"/>
    <w:rsid w:val="00C50DA4"/>
    <w:rsid w:val="00C52ACE"/>
    <w:rsid w:val="00C53D98"/>
    <w:rsid w:val="00C55AF6"/>
    <w:rsid w:val="00C57434"/>
    <w:rsid w:val="00C57C1E"/>
    <w:rsid w:val="00C57C52"/>
    <w:rsid w:val="00C6021F"/>
    <w:rsid w:val="00C606B2"/>
    <w:rsid w:val="00C60C90"/>
    <w:rsid w:val="00C61BE3"/>
    <w:rsid w:val="00C6213D"/>
    <w:rsid w:val="00C628FB"/>
    <w:rsid w:val="00C62B57"/>
    <w:rsid w:val="00C62D1E"/>
    <w:rsid w:val="00C630E8"/>
    <w:rsid w:val="00C63799"/>
    <w:rsid w:val="00C646B2"/>
    <w:rsid w:val="00C64FFF"/>
    <w:rsid w:val="00C65065"/>
    <w:rsid w:val="00C651B8"/>
    <w:rsid w:val="00C653F6"/>
    <w:rsid w:val="00C663B3"/>
    <w:rsid w:val="00C70AF5"/>
    <w:rsid w:val="00C71859"/>
    <w:rsid w:val="00C72536"/>
    <w:rsid w:val="00C72719"/>
    <w:rsid w:val="00C72BAF"/>
    <w:rsid w:val="00C72BDE"/>
    <w:rsid w:val="00C733E3"/>
    <w:rsid w:val="00C74F33"/>
    <w:rsid w:val="00C75206"/>
    <w:rsid w:val="00C75E28"/>
    <w:rsid w:val="00C768AE"/>
    <w:rsid w:val="00C76E21"/>
    <w:rsid w:val="00C77253"/>
    <w:rsid w:val="00C774CA"/>
    <w:rsid w:val="00C77659"/>
    <w:rsid w:val="00C77746"/>
    <w:rsid w:val="00C77C42"/>
    <w:rsid w:val="00C77FBA"/>
    <w:rsid w:val="00C80569"/>
    <w:rsid w:val="00C81EC4"/>
    <w:rsid w:val="00C82697"/>
    <w:rsid w:val="00C83471"/>
    <w:rsid w:val="00C86AFF"/>
    <w:rsid w:val="00C86B3C"/>
    <w:rsid w:val="00C876F1"/>
    <w:rsid w:val="00C8781E"/>
    <w:rsid w:val="00C87BB2"/>
    <w:rsid w:val="00C90AE3"/>
    <w:rsid w:val="00C91472"/>
    <w:rsid w:val="00C91FC0"/>
    <w:rsid w:val="00C928F2"/>
    <w:rsid w:val="00C92AA8"/>
    <w:rsid w:val="00C92AB0"/>
    <w:rsid w:val="00C92ED2"/>
    <w:rsid w:val="00C93362"/>
    <w:rsid w:val="00C93375"/>
    <w:rsid w:val="00C934D8"/>
    <w:rsid w:val="00C9386F"/>
    <w:rsid w:val="00C93B08"/>
    <w:rsid w:val="00C93EF5"/>
    <w:rsid w:val="00C940D2"/>
    <w:rsid w:val="00C94C18"/>
    <w:rsid w:val="00C968DF"/>
    <w:rsid w:val="00C972ED"/>
    <w:rsid w:val="00C97469"/>
    <w:rsid w:val="00CA0102"/>
    <w:rsid w:val="00CA2290"/>
    <w:rsid w:val="00CA2684"/>
    <w:rsid w:val="00CA353B"/>
    <w:rsid w:val="00CA394F"/>
    <w:rsid w:val="00CA399F"/>
    <w:rsid w:val="00CA4077"/>
    <w:rsid w:val="00CA431D"/>
    <w:rsid w:val="00CA496E"/>
    <w:rsid w:val="00CA4B28"/>
    <w:rsid w:val="00CA678C"/>
    <w:rsid w:val="00CA6DFE"/>
    <w:rsid w:val="00CA7F6A"/>
    <w:rsid w:val="00CB006D"/>
    <w:rsid w:val="00CB0A5E"/>
    <w:rsid w:val="00CB0C74"/>
    <w:rsid w:val="00CB0FD4"/>
    <w:rsid w:val="00CB21E4"/>
    <w:rsid w:val="00CB3F15"/>
    <w:rsid w:val="00CB4143"/>
    <w:rsid w:val="00CB4376"/>
    <w:rsid w:val="00CB65FD"/>
    <w:rsid w:val="00CB70C6"/>
    <w:rsid w:val="00CB782D"/>
    <w:rsid w:val="00CB7854"/>
    <w:rsid w:val="00CC1053"/>
    <w:rsid w:val="00CC21EF"/>
    <w:rsid w:val="00CC2541"/>
    <w:rsid w:val="00CC26E9"/>
    <w:rsid w:val="00CC335C"/>
    <w:rsid w:val="00CC33F5"/>
    <w:rsid w:val="00CC35D5"/>
    <w:rsid w:val="00CC484A"/>
    <w:rsid w:val="00CC4933"/>
    <w:rsid w:val="00CC50B5"/>
    <w:rsid w:val="00CC50EF"/>
    <w:rsid w:val="00CC5DAB"/>
    <w:rsid w:val="00CC7D39"/>
    <w:rsid w:val="00CD256B"/>
    <w:rsid w:val="00CD2B31"/>
    <w:rsid w:val="00CD39ED"/>
    <w:rsid w:val="00CD3C44"/>
    <w:rsid w:val="00CD4D77"/>
    <w:rsid w:val="00CD5048"/>
    <w:rsid w:val="00CD55DE"/>
    <w:rsid w:val="00CD5953"/>
    <w:rsid w:val="00CD5D72"/>
    <w:rsid w:val="00CD5E22"/>
    <w:rsid w:val="00CD67E1"/>
    <w:rsid w:val="00CD67E8"/>
    <w:rsid w:val="00CD6EF7"/>
    <w:rsid w:val="00CD777E"/>
    <w:rsid w:val="00CE114F"/>
    <w:rsid w:val="00CE13C8"/>
    <w:rsid w:val="00CE14B5"/>
    <w:rsid w:val="00CE1AD3"/>
    <w:rsid w:val="00CE2852"/>
    <w:rsid w:val="00CE298E"/>
    <w:rsid w:val="00CE4DD1"/>
    <w:rsid w:val="00CE5E5E"/>
    <w:rsid w:val="00CE6577"/>
    <w:rsid w:val="00CE6B66"/>
    <w:rsid w:val="00CE6BE0"/>
    <w:rsid w:val="00CF0424"/>
    <w:rsid w:val="00CF0960"/>
    <w:rsid w:val="00CF2734"/>
    <w:rsid w:val="00CF296E"/>
    <w:rsid w:val="00CF46BA"/>
    <w:rsid w:val="00CF5600"/>
    <w:rsid w:val="00CF6361"/>
    <w:rsid w:val="00CF66C5"/>
    <w:rsid w:val="00CF66C6"/>
    <w:rsid w:val="00CF70DA"/>
    <w:rsid w:val="00CF7CE2"/>
    <w:rsid w:val="00D00CA7"/>
    <w:rsid w:val="00D00D09"/>
    <w:rsid w:val="00D013A9"/>
    <w:rsid w:val="00D01BA7"/>
    <w:rsid w:val="00D032F4"/>
    <w:rsid w:val="00D03734"/>
    <w:rsid w:val="00D03810"/>
    <w:rsid w:val="00D039B4"/>
    <w:rsid w:val="00D0429F"/>
    <w:rsid w:val="00D050F2"/>
    <w:rsid w:val="00D05514"/>
    <w:rsid w:val="00D05A15"/>
    <w:rsid w:val="00D079ED"/>
    <w:rsid w:val="00D101FE"/>
    <w:rsid w:val="00D112FA"/>
    <w:rsid w:val="00D121BA"/>
    <w:rsid w:val="00D135AB"/>
    <w:rsid w:val="00D1401B"/>
    <w:rsid w:val="00D1425A"/>
    <w:rsid w:val="00D1462A"/>
    <w:rsid w:val="00D14F26"/>
    <w:rsid w:val="00D16365"/>
    <w:rsid w:val="00D167F1"/>
    <w:rsid w:val="00D21390"/>
    <w:rsid w:val="00D21449"/>
    <w:rsid w:val="00D2222F"/>
    <w:rsid w:val="00D22265"/>
    <w:rsid w:val="00D22379"/>
    <w:rsid w:val="00D22F2C"/>
    <w:rsid w:val="00D2398D"/>
    <w:rsid w:val="00D252BE"/>
    <w:rsid w:val="00D262C7"/>
    <w:rsid w:val="00D26BB3"/>
    <w:rsid w:val="00D26C9B"/>
    <w:rsid w:val="00D2711F"/>
    <w:rsid w:val="00D30794"/>
    <w:rsid w:val="00D309AF"/>
    <w:rsid w:val="00D314BF"/>
    <w:rsid w:val="00D328AD"/>
    <w:rsid w:val="00D33197"/>
    <w:rsid w:val="00D342F9"/>
    <w:rsid w:val="00D34957"/>
    <w:rsid w:val="00D3536B"/>
    <w:rsid w:val="00D36240"/>
    <w:rsid w:val="00D3654C"/>
    <w:rsid w:val="00D36ACC"/>
    <w:rsid w:val="00D36C73"/>
    <w:rsid w:val="00D37184"/>
    <w:rsid w:val="00D371CE"/>
    <w:rsid w:val="00D379B5"/>
    <w:rsid w:val="00D4058F"/>
    <w:rsid w:val="00D40924"/>
    <w:rsid w:val="00D415A6"/>
    <w:rsid w:val="00D41F2F"/>
    <w:rsid w:val="00D424BD"/>
    <w:rsid w:val="00D43737"/>
    <w:rsid w:val="00D440FA"/>
    <w:rsid w:val="00D441B7"/>
    <w:rsid w:val="00D44267"/>
    <w:rsid w:val="00D44451"/>
    <w:rsid w:val="00D44B2C"/>
    <w:rsid w:val="00D45417"/>
    <w:rsid w:val="00D458E1"/>
    <w:rsid w:val="00D46134"/>
    <w:rsid w:val="00D4656A"/>
    <w:rsid w:val="00D46A7C"/>
    <w:rsid w:val="00D46FCA"/>
    <w:rsid w:val="00D473F0"/>
    <w:rsid w:val="00D5078F"/>
    <w:rsid w:val="00D5166B"/>
    <w:rsid w:val="00D519EE"/>
    <w:rsid w:val="00D51ED1"/>
    <w:rsid w:val="00D52335"/>
    <w:rsid w:val="00D5335E"/>
    <w:rsid w:val="00D538E9"/>
    <w:rsid w:val="00D53CF7"/>
    <w:rsid w:val="00D5504C"/>
    <w:rsid w:val="00D56994"/>
    <w:rsid w:val="00D573A1"/>
    <w:rsid w:val="00D575BF"/>
    <w:rsid w:val="00D612C3"/>
    <w:rsid w:val="00D618C1"/>
    <w:rsid w:val="00D62297"/>
    <w:rsid w:val="00D632D3"/>
    <w:rsid w:val="00D635A5"/>
    <w:rsid w:val="00D6371D"/>
    <w:rsid w:val="00D63849"/>
    <w:rsid w:val="00D63E3B"/>
    <w:rsid w:val="00D64008"/>
    <w:rsid w:val="00D64450"/>
    <w:rsid w:val="00D64576"/>
    <w:rsid w:val="00D64DD9"/>
    <w:rsid w:val="00D64FBC"/>
    <w:rsid w:val="00D6521F"/>
    <w:rsid w:val="00D65DFD"/>
    <w:rsid w:val="00D66D03"/>
    <w:rsid w:val="00D6730E"/>
    <w:rsid w:val="00D67656"/>
    <w:rsid w:val="00D705D2"/>
    <w:rsid w:val="00D715AC"/>
    <w:rsid w:val="00D71E22"/>
    <w:rsid w:val="00D72552"/>
    <w:rsid w:val="00D72F77"/>
    <w:rsid w:val="00D733C5"/>
    <w:rsid w:val="00D73472"/>
    <w:rsid w:val="00D739E9"/>
    <w:rsid w:val="00D73BBA"/>
    <w:rsid w:val="00D74EF9"/>
    <w:rsid w:val="00D74F1B"/>
    <w:rsid w:val="00D7502F"/>
    <w:rsid w:val="00D75260"/>
    <w:rsid w:val="00D75583"/>
    <w:rsid w:val="00D77109"/>
    <w:rsid w:val="00D805E6"/>
    <w:rsid w:val="00D80A1C"/>
    <w:rsid w:val="00D80D74"/>
    <w:rsid w:val="00D823B1"/>
    <w:rsid w:val="00D84401"/>
    <w:rsid w:val="00D845DF"/>
    <w:rsid w:val="00D8561F"/>
    <w:rsid w:val="00D857ED"/>
    <w:rsid w:val="00D85997"/>
    <w:rsid w:val="00D875CC"/>
    <w:rsid w:val="00D8795E"/>
    <w:rsid w:val="00D90141"/>
    <w:rsid w:val="00D92B45"/>
    <w:rsid w:val="00D93006"/>
    <w:rsid w:val="00D9727B"/>
    <w:rsid w:val="00D975B8"/>
    <w:rsid w:val="00D97A04"/>
    <w:rsid w:val="00DA086F"/>
    <w:rsid w:val="00DA0C5A"/>
    <w:rsid w:val="00DA1E13"/>
    <w:rsid w:val="00DA2627"/>
    <w:rsid w:val="00DA290E"/>
    <w:rsid w:val="00DA39C6"/>
    <w:rsid w:val="00DA3CF8"/>
    <w:rsid w:val="00DA44A6"/>
    <w:rsid w:val="00DA4787"/>
    <w:rsid w:val="00DA59A3"/>
    <w:rsid w:val="00DA69F7"/>
    <w:rsid w:val="00DA6BCC"/>
    <w:rsid w:val="00DA6E42"/>
    <w:rsid w:val="00DA7C18"/>
    <w:rsid w:val="00DB0D59"/>
    <w:rsid w:val="00DB159E"/>
    <w:rsid w:val="00DB17F8"/>
    <w:rsid w:val="00DB18A7"/>
    <w:rsid w:val="00DB31FE"/>
    <w:rsid w:val="00DB3C45"/>
    <w:rsid w:val="00DB44E4"/>
    <w:rsid w:val="00DB471D"/>
    <w:rsid w:val="00DB57AB"/>
    <w:rsid w:val="00DB5A8C"/>
    <w:rsid w:val="00DB5F95"/>
    <w:rsid w:val="00DB630B"/>
    <w:rsid w:val="00DB6865"/>
    <w:rsid w:val="00DB6BE3"/>
    <w:rsid w:val="00DB7DD3"/>
    <w:rsid w:val="00DC0214"/>
    <w:rsid w:val="00DC049A"/>
    <w:rsid w:val="00DC1364"/>
    <w:rsid w:val="00DC256B"/>
    <w:rsid w:val="00DC2BB7"/>
    <w:rsid w:val="00DC30E9"/>
    <w:rsid w:val="00DC3493"/>
    <w:rsid w:val="00DC358D"/>
    <w:rsid w:val="00DC446B"/>
    <w:rsid w:val="00DC4B2D"/>
    <w:rsid w:val="00DC541E"/>
    <w:rsid w:val="00DC5896"/>
    <w:rsid w:val="00DC5C13"/>
    <w:rsid w:val="00DC79DE"/>
    <w:rsid w:val="00DD0BE4"/>
    <w:rsid w:val="00DD0FF3"/>
    <w:rsid w:val="00DD1250"/>
    <w:rsid w:val="00DD22AD"/>
    <w:rsid w:val="00DD2411"/>
    <w:rsid w:val="00DD31BC"/>
    <w:rsid w:val="00DD3AE7"/>
    <w:rsid w:val="00DD4999"/>
    <w:rsid w:val="00DD49A4"/>
    <w:rsid w:val="00DD6EF0"/>
    <w:rsid w:val="00DD7425"/>
    <w:rsid w:val="00DD780D"/>
    <w:rsid w:val="00DD7FDA"/>
    <w:rsid w:val="00DE0294"/>
    <w:rsid w:val="00DE0638"/>
    <w:rsid w:val="00DE0E68"/>
    <w:rsid w:val="00DE23E2"/>
    <w:rsid w:val="00DE31E9"/>
    <w:rsid w:val="00DE3455"/>
    <w:rsid w:val="00DE3587"/>
    <w:rsid w:val="00DE6138"/>
    <w:rsid w:val="00DE646C"/>
    <w:rsid w:val="00DE6D33"/>
    <w:rsid w:val="00DE704F"/>
    <w:rsid w:val="00DE75BB"/>
    <w:rsid w:val="00DF04E9"/>
    <w:rsid w:val="00DF112A"/>
    <w:rsid w:val="00DF1C3A"/>
    <w:rsid w:val="00DF1E44"/>
    <w:rsid w:val="00DF354B"/>
    <w:rsid w:val="00DF39D1"/>
    <w:rsid w:val="00DF39ED"/>
    <w:rsid w:val="00DF48B1"/>
    <w:rsid w:val="00DF5C32"/>
    <w:rsid w:val="00DF6125"/>
    <w:rsid w:val="00DF691A"/>
    <w:rsid w:val="00DF6BA1"/>
    <w:rsid w:val="00DF7539"/>
    <w:rsid w:val="00DF7E9C"/>
    <w:rsid w:val="00E00474"/>
    <w:rsid w:val="00E0069A"/>
    <w:rsid w:val="00E0077E"/>
    <w:rsid w:val="00E0125F"/>
    <w:rsid w:val="00E01A0F"/>
    <w:rsid w:val="00E0208B"/>
    <w:rsid w:val="00E02B6F"/>
    <w:rsid w:val="00E031E0"/>
    <w:rsid w:val="00E039C4"/>
    <w:rsid w:val="00E03DA4"/>
    <w:rsid w:val="00E03E08"/>
    <w:rsid w:val="00E03E64"/>
    <w:rsid w:val="00E040F5"/>
    <w:rsid w:val="00E0447B"/>
    <w:rsid w:val="00E0556E"/>
    <w:rsid w:val="00E05C6B"/>
    <w:rsid w:val="00E06F2B"/>
    <w:rsid w:val="00E076DA"/>
    <w:rsid w:val="00E100F6"/>
    <w:rsid w:val="00E10260"/>
    <w:rsid w:val="00E11963"/>
    <w:rsid w:val="00E11F10"/>
    <w:rsid w:val="00E123EF"/>
    <w:rsid w:val="00E126FC"/>
    <w:rsid w:val="00E13086"/>
    <w:rsid w:val="00E136DE"/>
    <w:rsid w:val="00E14E69"/>
    <w:rsid w:val="00E159A5"/>
    <w:rsid w:val="00E16594"/>
    <w:rsid w:val="00E2068E"/>
    <w:rsid w:val="00E20A90"/>
    <w:rsid w:val="00E21AA6"/>
    <w:rsid w:val="00E23A5F"/>
    <w:rsid w:val="00E23DC0"/>
    <w:rsid w:val="00E24ACA"/>
    <w:rsid w:val="00E25691"/>
    <w:rsid w:val="00E26199"/>
    <w:rsid w:val="00E26378"/>
    <w:rsid w:val="00E26487"/>
    <w:rsid w:val="00E26880"/>
    <w:rsid w:val="00E269CA"/>
    <w:rsid w:val="00E2734B"/>
    <w:rsid w:val="00E27992"/>
    <w:rsid w:val="00E30336"/>
    <w:rsid w:val="00E30670"/>
    <w:rsid w:val="00E32208"/>
    <w:rsid w:val="00E3295C"/>
    <w:rsid w:val="00E34695"/>
    <w:rsid w:val="00E3552B"/>
    <w:rsid w:val="00E36106"/>
    <w:rsid w:val="00E36127"/>
    <w:rsid w:val="00E36F65"/>
    <w:rsid w:val="00E37530"/>
    <w:rsid w:val="00E37E70"/>
    <w:rsid w:val="00E41234"/>
    <w:rsid w:val="00E429F7"/>
    <w:rsid w:val="00E43416"/>
    <w:rsid w:val="00E43E02"/>
    <w:rsid w:val="00E43E10"/>
    <w:rsid w:val="00E46C95"/>
    <w:rsid w:val="00E4797D"/>
    <w:rsid w:val="00E50011"/>
    <w:rsid w:val="00E50C7A"/>
    <w:rsid w:val="00E51856"/>
    <w:rsid w:val="00E5383E"/>
    <w:rsid w:val="00E5468E"/>
    <w:rsid w:val="00E55218"/>
    <w:rsid w:val="00E56542"/>
    <w:rsid w:val="00E60BC3"/>
    <w:rsid w:val="00E61F3A"/>
    <w:rsid w:val="00E632BF"/>
    <w:rsid w:val="00E6433A"/>
    <w:rsid w:val="00E65E57"/>
    <w:rsid w:val="00E65F17"/>
    <w:rsid w:val="00E6731A"/>
    <w:rsid w:val="00E6781B"/>
    <w:rsid w:val="00E702A5"/>
    <w:rsid w:val="00E707B1"/>
    <w:rsid w:val="00E70A7D"/>
    <w:rsid w:val="00E710B3"/>
    <w:rsid w:val="00E71503"/>
    <w:rsid w:val="00E716CB"/>
    <w:rsid w:val="00E71723"/>
    <w:rsid w:val="00E71B35"/>
    <w:rsid w:val="00E728D6"/>
    <w:rsid w:val="00E72B1B"/>
    <w:rsid w:val="00E7302B"/>
    <w:rsid w:val="00E73170"/>
    <w:rsid w:val="00E739B4"/>
    <w:rsid w:val="00E74595"/>
    <w:rsid w:val="00E748C4"/>
    <w:rsid w:val="00E74AD0"/>
    <w:rsid w:val="00E74E79"/>
    <w:rsid w:val="00E75ED4"/>
    <w:rsid w:val="00E7796B"/>
    <w:rsid w:val="00E82DC7"/>
    <w:rsid w:val="00E839A5"/>
    <w:rsid w:val="00E83EB3"/>
    <w:rsid w:val="00E84B7C"/>
    <w:rsid w:val="00E84F17"/>
    <w:rsid w:val="00E8577B"/>
    <w:rsid w:val="00E85D46"/>
    <w:rsid w:val="00E8669F"/>
    <w:rsid w:val="00E87256"/>
    <w:rsid w:val="00E87DB7"/>
    <w:rsid w:val="00E903E3"/>
    <w:rsid w:val="00E9052C"/>
    <w:rsid w:val="00E91805"/>
    <w:rsid w:val="00E91C35"/>
    <w:rsid w:val="00E936FF"/>
    <w:rsid w:val="00E94660"/>
    <w:rsid w:val="00E956E9"/>
    <w:rsid w:val="00E9595C"/>
    <w:rsid w:val="00E96478"/>
    <w:rsid w:val="00E96692"/>
    <w:rsid w:val="00E9728A"/>
    <w:rsid w:val="00EA095B"/>
    <w:rsid w:val="00EA0A20"/>
    <w:rsid w:val="00EA0BA9"/>
    <w:rsid w:val="00EA118F"/>
    <w:rsid w:val="00EA13DA"/>
    <w:rsid w:val="00EA21F1"/>
    <w:rsid w:val="00EA4522"/>
    <w:rsid w:val="00EA5499"/>
    <w:rsid w:val="00EA555F"/>
    <w:rsid w:val="00EA70C3"/>
    <w:rsid w:val="00EB1D7C"/>
    <w:rsid w:val="00EB20C5"/>
    <w:rsid w:val="00EB252E"/>
    <w:rsid w:val="00EB28C9"/>
    <w:rsid w:val="00EB2969"/>
    <w:rsid w:val="00EB2F92"/>
    <w:rsid w:val="00EB37E0"/>
    <w:rsid w:val="00EB4ACF"/>
    <w:rsid w:val="00EB5183"/>
    <w:rsid w:val="00EB58E0"/>
    <w:rsid w:val="00EB5A53"/>
    <w:rsid w:val="00EB64A5"/>
    <w:rsid w:val="00EB756D"/>
    <w:rsid w:val="00EC07FC"/>
    <w:rsid w:val="00EC113C"/>
    <w:rsid w:val="00EC183A"/>
    <w:rsid w:val="00EC1DB8"/>
    <w:rsid w:val="00EC1F05"/>
    <w:rsid w:val="00EC2448"/>
    <w:rsid w:val="00EC2B74"/>
    <w:rsid w:val="00EC3A25"/>
    <w:rsid w:val="00EC42C8"/>
    <w:rsid w:val="00EC4866"/>
    <w:rsid w:val="00EC4D10"/>
    <w:rsid w:val="00EC50DE"/>
    <w:rsid w:val="00EC5355"/>
    <w:rsid w:val="00EC5C41"/>
    <w:rsid w:val="00EC5E79"/>
    <w:rsid w:val="00EC6489"/>
    <w:rsid w:val="00EC6D7F"/>
    <w:rsid w:val="00EC6F99"/>
    <w:rsid w:val="00ED04E9"/>
    <w:rsid w:val="00ED050C"/>
    <w:rsid w:val="00ED0982"/>
    <w:rsid w:val="00ED1B18"/>
    <w:rsid w:val="00ED242E"/>
    <w:rsid w:val="00ED2A21"/>
    <w:rsid w:val="00ED2ACB"/>
    <w:rsid w:val="00ED3D91"/>
    <w:rsid w:val="00ED3E6A"/>
    <w:rsid w:val="00ED42A1"/>
    <w:rsid w:val="00ED53BB"/>
    <w:rsid w:val="00ED5888"/>
    <w:rsid w:val="00ED721F"/>
    <w:rsid w:val="00ED79E4"/>
    <w:rsid w:val="00ED7B4D"/>
    <w:rsid w:val="00ED7C5B"/>
    <w:rsid w:val="00EE1469"/>
    <w:rsid w:val="00EE2FFC"/>
    <w:rsid w:val="00EE3D73"/>
    <w:rsid w:val="00EE5112"/>
    <w:rsid w:val="00EE58C5"/>
    <w:rsid w:val="00EE6957"/>
    <w:rsid w:val="00EE6B4B"/>
    <w:rsid w:val="00EE6CC8"/>
    <w:rsid w:val="00EE6D82"/>
    <w:rsid w:val="00EE7226"/>
    <w:rsid w:val="00EE760B"/>
    <w:rsid w:val="00EF04CF"/>
    <w:rsid w:val="00EF05EE"/>
    <w:rsid w:val="00EF0947"/>
    <w:rsid w:val="00EF0AF2"/>
    <w:rsid w:val="00EF0D8A"/>
    <w:rsid w:val="00EF1209"/>
    <w:rsid w:val="00EF1852"/>
    <w:rsid w:val="00EF278A"/>
    <w:rsid w:val="00EF38AA"/>
    <w:rsid w:val="00EF3D11"/>
    <w:rsid w:val="00EF40A7"/>
    <w:rsid w:val="00EF40E2"/>
    <w:rsid w:val="00EF4B3D"/>
    <w:rsid w:val="00EF527C"/>
    <w:rsid w:val="00EF5544"/>
    <w:rsid w:val="00EF66F2"/>
    <w:rsid w:val="00EF6DFE"/>
    <w:rsid w:val="00EF7A9F"/>
    <w:rsid w:val="00F007FC"/>
    <w:rsid w:val="00F00EFD"/>
    <w:rsid w:val="00F02C27"/>
    <w:rsid w:val="00F02F0A"/>
    <w:rsid w:val="00F032DD"/>
    <w:rsid w:val="00F0381D"/>
    <w:rsid w:val="00F03878"/>
    <w:rsid w:val="00F039F2"/>
    <w:rsid w:val="00F03AD6"/>
    <w:rsid w:val="00F03AEE"/>
    <w:rsid w:val="00F04139"/>
    <w:rsid w:val="00F0524B"/>
    <w:rsid w:val="00F0550C"/>
    <w:rsid w:val="00F05F59"/>
    <w:rsid w:val="00F1060A"/>
    <w:rsid w:val="00F10FC7"/>
    <w:rsid w:val="00F11564"/>
    <w:rsid w:val="00F11D22"/>
    <w:rsid w:val="00F1210F"/>
    <w:rsid w:val="00F12D41"/>
    <w:rsid w:val="00F12E5A"/>
    <w:rsid w:val="00F13BD1"/>
    <w:rsid w:val="00F13CC2"/>
    <w:rsid w:val="00F14079"/>
    <w:rsid w:val="00F158AC"/>
    <w:rsid w:val="00F15E40"/>
    <w:rsid w:val="00F160D0"/>
    <w:rsid w:val="00F16ACD"/>
    <w:rsid w:val="00F16B9B"/>
    <w:rsid w:val="00F204DD"/>
    <w:rsid w:val="00F2136C"/>
    <w:rsid w:val="00F21F0D"/>
    <w:rsid w:val="00F2222C"/>
    <w:rsid w:val="00F225F3"/>
    <w:rsid w:val="00F22C08"/>
    <w:rsid w:val="00F22D74"/>
    <w:rsid w:val="00F2467B"/>
    <w:rsid w:val="00F24BDF"/>
    <w:rsid w:val="00F26739"/>
    <w:rsid w:val="00F27197"/>
    <w:rsid w:val="00F27259"/>
    <w:rsid w:val="00F33558"/>
    <w:rsid w:val="00F33A80"/>
    <w:rsid w:val="00F36BC5"/>
    <w:rsid w:val="00F3712C"/>
    <w:rsid w:val="00F3726B"/>
    <w:rsid w:val="00F37914"/>
    <w:rsid w:val="00F40249"/>
    <w:rsid w:val="00F404EB"/>
    <w:rsid w:val="00F4147F"/>
    <w:rsid w:val="00F4182E"/>
    <w:rsid w:val="00F42202"/>
    <w:rsid w:val="00F42744"/>
    <w:rsid w:val="00F43428"/>
    <w:rsid w:val="00F43459"/>
    <w:rsid w:val="00F44761"/>
    <w:rsid w:val="00F44C4D"/>
    <w:rsid w:val="00F44CA6"/>
    <w:rsid w:val="00F45167"/>
    <w:rsid w:val="00F45E6A"/>
    <w:rsid w:val="00F45F11"/>
    <w:rsid w:val="00F46ADB"/>
    <w:rsid w:val="00F4781C"/>
    <w:rsid w:val="00F502F5"/>
    <w:rsid w:val="00F50342"/>
    <w:rsid w:val="00F50ED3"/>
    <w:rsid w:val="00F53A0A"/>
    <w:rsid w:val="00F53D20"/>
    <w:rsid w:val="00F5490D"/>
    <w:rsid w:val="00F5530C"/>
    <w:rsid w:val="00F557D5"/>
    <w:rsid w:val="00F571FA"/>
    <w:rsid w:val="00F57706"/>
    <w:rsid w:val="00F6004C"/>
    <w:rsid w:val="00F60920"/>
    <w:rsid w:val="00F60BFC"/>
    <w:rsid w:val="00F60FAE"/>
    <w:rsid w:val="00F612C1"/>
    <w:rsid w:val="00F61804"/>
    <w:rsid w:val="00F61FC1"/>
    <w:rsid w:val="00F62025"/>
    <w:rsid w:val="00F6208D"/>
    <w:rsid w:val="00F62486"/>
    <w:rsid w:val="00F627F4"/>
    <w:rsid w:val="00F62877"/>
    <w:rsid w:val="00F62886"/>
    <w:rsid w:val="00F6337D"/>
    <w:rsid w:val="00F634F3"/>
    <w:rsid w:val="00F65047"/>
    <w:rsid w:val="00F6554D"/>
    <w:rsid w:val="00F66261"/>
    <w:rsid w:val="00F66AC2"/>
    <w:rsid w:val="00F674F3"/>
    <w:rsid w:val="00F711BB"/>
    <w:rsid w:val="00F71360"/>
    <w:rsid w:val="00F7142C"/>
    <w:rsid w:val="00F71A08"/>
    <w:rsid w:val="00F74490"/>
    <w:rsid w:val="00F749F3"/>
    <w:rsid w:val="00F76A5D"/>
    <w:rsid w:val="00F76B3B"/>
    <w:rsid w:val="00F76D5E"/>
    <w:rsid w:val="00F7709D"/>
    <w:rsid w:val="00F77251"/>
    <w:rsid w:val="00F77BED"/>
    <w:rsid w:val="00F77C97"/>
    <w:rsid w:val="00F801C1"/>
    <w:rsid w:val="00F805E7"/>
    <w:rsid w:val="00F82ADE"/>
    <w:rsid w:val="00F84805"/>
    <w:rsid w:val="00F859E3"/>
    <w:rsid w:val="00F8728F"/>
    <w:rsid w:val="00F876A4"/>
    <w:rsid w:val="00F90144"/>
    <w:rsid w:val="00F90489"/>
    <w:rsid w:val="00F91261"/>
    <w:rsid w:val="00F92CE4"/>
    <w:rsid w:val="00F92DCF"/>
    <w:rsid w:val="00F932CF"/>
    <w:rsid w:val="00F93827"/>
    <w:rsid w:val="00F9387E"/>
    <w:rsid w:val="00F93FE5"/>
    <w:rsid w:val="00F948AF"/>
    <w:rsid w:val="00F9499F"/>
    <w:rsid w:val="00F94A8B"/>
    <w:rsid w:val="00F94B1B"/>
    <w:rsid w:val="00F94E86"/>
    <w:rsid w:val="00F953E1"/>
    <w:rsid w:val="00F95DDC"/>
    <w:rsid w:val="00F95F25"/>
    <w:rsid w:val="00F961C5"/>
    <w:rsid w:val="00F96839"/>
    <w:rsid w:val="00F9707B"/>
    <w:rsid w:val="00F9710C"/>
    <w:rsid w:val="00F978E7"/>
    <w:rsid w:val="00FA2465"/>
    <w:rsid w:val="00FA2D54"/>
    <w:rsid w:val="00FA2E16"/>
    <w:rsid w:val="00FA4805"/>
    <w:rsid w:val="00FA4AAB"/>
    <w:rsid w:val="00FA4B04"/>
    <w:rsid w:val="00FA4B91"/>
    <w:rsid w:val="00FA4F32"/>
    <w:rsid w:val="00FA5585"/>
    <w:rsid w:val="00FA5ABF"/>
    <w:rsid w:val="00FA6CF2"/>
    <w:rsid w:val="00FA76E0"/>
    <w:rsid w:val="00FB02A1"/>
    <w:rsid w:val="00FB05AF"/>
    <w:rsid w:val="00FB06B2"/>
    <w:rsid w:val="00FB1A2F"/>
    <w:rsid w:val="00FB27CF"/>
    <w:rsid w:val="00FB2A58"/>
    <w:rsid w:val="00FB2EFC"/>
    <w:rsid w:val="00FB33B3"/>
    <w:rsid w:val="00FB35D9"/>
    <w:rsid w:val="00FB3876"/>
    <w:rsid w:val="00FB472E"/>
    <w:rsid w:val="00FB5C1A"/>
    <w:rsid w:val="00FB5CBC"/>
    <w:rsid w:val="00FB6602"/>
    <w:rsid w:val="00FB6C47"/>
    <w:rsid w:val="00FC0A9F"/>
    <w:rsid w:val="00FC15C7"/>
    <w:rsid w:val="00FC32A6"/>
    <w:rsid w:val="00FC3487"/>
    <w:rsid w:val="00FC355D"/>
    <w:rsid w:val="00FC3F68"/>
    <w:rsid w:val="00FC53FB"/>
    <w:rsid w:val="00FC577E"/>
    <w:rsid w:val="00FC5C4F"/>
    <w:rsid w:val="00FC5CEB"/>
    <w:rsid w:val="00FC5EB6"/>
    <w:rsid w:val="00FC5FEB"/>
    <w:rsid w:val="00FC6976"/>
    <w:rsid w:val="00FC6D25"/>
    <w:rsid w:val="00FC6DE0"/>
    <w:rsid w:val="00FC73CD"/>
    <w:rsid w:val="00FC749F"/>
    <w:rsid w:val="00FC78FF"/>
    <w:rsid w:val="00FC7C62"/>
    <w:rsid w:val="00FD029E"/>
    <w:rsid w:val="00FD06E4"/>
    <w:rsid w:val="00FD1E36"/>
    <w:rsid w:val="00FD278B"/>
    <w:rsid w:val="00FD2CBF"/>
    <w:rsid w:val="00FD4415"/>
    <w:rsid w:val="00FD46A2"/>
    <w:rsid w:val="00FD46B9"/>
    <w:rsid w:val="00FD4C93"/>
    <w:rsid w:val="00FD63E0"/>
    <w:rsid w:val="00FD67F7"/>
    <w:rsid w:val="00FD6823"/>
    <w:rsid w:val="00FD756E"/>
    <w:rsid w:val="00FD781C"/>
    <w:rsid w:val="00FD793C"/>
    <w:rsid w:val="00FD7EC7"/>
    <w:rsid w:val="00FE0451"/>
    <w:rsid w:val="00FE1A27"/>
    <w:rsid w:val="00FE496A"/>
    <w:rsid w:val="00FE4B95"/>
    <w:rsid w:val="00FE4C2B"/>
    <w:rsid w:val="00FE4CDA"/>
    <w:rsid w:val="00FE50F7"/>
    <w:rsid w:val="00FE56B2"/>
    <w:rsid w:val="00FE5B8A"/>
    <w:rsid w:val="00FE63B5"/>
    <w:rsid w:val="00FE66F8"/>
    <w:rsid w:val="00FE7A9A"/>
    <w:rsid w:val="00FF0BB8"/>
    <w:rsid w:val="00FF153C"/>
    <w:rsid w:val="00FF22A6"/>
    <w:rsid w:val="00FF3E66"/>
    <w:rsid w:val="00FF5155"/>
    <w:rsid w:val="00FF550A"/>
    <w:rsid w:val="00FF60E1"/>
    <w:rsid w:val="00FF798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BBA89"/>
  <w15:docId w15:val="{59C23972-C236-404C-9F48-EDD2F5EA4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289F"/>
    <w:pPr>
      <w:widowControl w:val="0"/>
      <w:autoSpaceDE w:val="0"/>
      <w:autoSpaceDN w:val="0"/>
      <w:adjustRightInd w:val="0"/>
    </w:pPr>
    <w:rPr>
      <w:lang w:eastAsia="en-US"/>
    </w:rPr>
  </w:style>
  <w:style w:type="paragraph" w:styleId="Heading1">
    <w:name w:val="heading 1"/>
    <w:basedOn w:val="Normal"/>
    <w:next w:val="Normal"/>
    <w:qFormat/>
    <w:rsid w:val="003B6B2D"/>
    <w:pPr>
      <w:keepNext/>
      <w:widowControl/>
      <w:autoSpaceDE/>
      <w:autoSpaceDN/>
      <w:adjustRightInd/>
      <w:outlineLvl w:val="0"/>
    </w:pPr>
    <w:rPr>
      <w:rFonts w:eastAsia="Arial Unicode MS"/>
      <w:b/>
      <w:bCs/>
      <w:sz w:val="24"/>
      <w:szCs w:val="24"/>
    </w:rPr>
  </w:style>
  <w:style w:type="paragraph" w:styleId="Heading2">
    <w:name w:val="heading 2"/>
    <w:basedOn w:val="Normal"/>
    <w:next w:val="Normal"/>
    <w:qFormat/>
    <w:rsid w:val="003B6B2D"/>
    <w:pPr>
      <w:keepNext/>
      <w:widowControl/>
      <w:autoSpaceDE/>
      <w:autoSpaceDN/>
      <w:adjustRightInd/>
      <w:jc w:val="right"/>
      <w:outlineLvl w:val="1"/>
    </w:pPr>
    <w:rPr>
      <w:rFonts w:eastAsia="Arial Unicode MS"/>
      <w:b/>
      <w:bCs/>
      <w:sz w:val="24"/>
      <w:szCs w:val="24"/>
    </w:rPr>
  </w:style>
  <w:style w:type="paragraph" w:styleId="Heading3">
    <w:name w:val="heading 3"/>
    <w:basedOn w:val="Normal"/>
    <w:next w:val="Normal"/>
    <w:qFormat/>
    <w:rsid w:val="003B6B2D"/>
    <w:pPr>
      <w:keepNext/>
      <w:adjustRightInd/>
      <w:spacing w:after="108"/>
      <w:jc w:val="right"/>
      <w:outlineLvl w:val="2"/>
    </w:pPr>
    <w:rPr>
      <w:b/>
      <w:bCs/>
      <w:spacing w:val="2"/>
      <w:sz w:val="18"/>
    </w:rPr>
  </w:style>
  <w:style w:type="paragraph" w:styleId="Heading4">
    <w:name w:val="heading 4"/>
    <w:basedOn w:val="Normal"/>
    <w:next w:val="Normal"/>
    <w:qFormat/>
    <w:rsid w:val="003B6B2D"/>
    <w:pPr>
      <w:keepNext/>
      <w:widowControl/>
      <w:autoSpaceDE/>
      <w:autoSpaceDN/>
      <w:adjustRightInd/>
      <w:jc w:val="center"/>
      <w:outlineLvl w:val="3"/>
    </w:pPr>
    <w:rPr>
      <w:b/>
      <w:bCs/>
      <w:sz w:val="18"/>
      <w:szCs w:val="24"/>
    </w:rPr>
  </w:style>
  <w:style w:type="paragraph" w:styleId="Heading5">
    <w:name w:val="heading 5"/>
    <w:basedOn w:val="Normal"/>
    <w:next w:val="Normal"/>
    <w:qFormat/>
    <w:rsid w:val="003B6B2D"/>
    <w:pPr>
      <w:keepNext/>
      <w:widowControl/>
      <w:tabs>
        <w:tab w:val="left" w:pos="-696"/>
        <w:tab w:val="left" w:pos="0"/>
        <w:tab w:val="left" w:pos="720"/>
        <w:tab w:val="left" w:pos="975"/>
        <w:tab w:val="left" w:pos="124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27" w:lineRule="exact"/>
      <w:ind w:left="720" w:hanging="720"/>
      <w:outlineLvl w:val="4"/>
    </w:pPr>
    <w:rPr>
      <w:b/>
      <w:bCs/>
      <w:szCs w:val="22"/>
    </w:rPr>
  </w:style>
  <w:style w:type="paragraph" w:styleId="Heading6">
    <w:name w:val="heading 6"/>
    <w:basedOn w:val="Normal"/>
    <w:next w:val="Normal"/>
    <w:qFormat/>
    <w:rsid w:val="003B6B2D"/>
    <w:pPr>
      <w:keepNext/>
      <w:outlineLvl w:val="5"/>
    </w:pPr>
    <w:rPr>
      <w:b/>
      <w:bCs/>
      <w:sz w:val="22"/>
    </w:rPr>
  </w:style>
  <w:style w:type="paragraph" w:styleId="Heading7">
    <w:name w:val="heading 7"/>
    <w:basedOn w:val="Normal"/>
    <w:next w:val="Normal"/>
    <w:qFormat/>
    <w:rsid w:val="003B6B2D"/>
    <w:pPr>
      <w:keepNext/>
      <w:tabs>
        <w:tab w:val="left" w:pos="1276"/>
        <w:tab w:val="left" w:pos="1418"/>
        <w:tab w:val="left" w:leader="dot" w:pos="8222"/>
        <w:tab w:val="right" w:pos="8647"/>
      </w:tabs>
      <w:ind w:firstLine="426"/>
      <w:outlineLvl w:val="6"/>
    </w:pPr>
    <w:rPr>
      <w:b/>
      <w:bCs/>
    </w:rPr>
  </w:style>
  <w:style w:type="paragraph" w:styleId="Heading8">
    <w:name w:val="heading 8"/>
    <w:basedOn w:val="Normal"/>
    <w:next w:val="Normal"/>
    <w:qFormat/>
    <w:rsid w:val="003B6B2D"/>
    <w:pPr>
      <w:keepNext/>
      <w:jc w:val="center"/>
      <w:outlineLvl w:val="7"/>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B6B2D"/>
    <w:pPr>
      <w:tabs>
        <w:tab w:val="center" w:pos="4419"/>
        <w:tab w:val="right" w:pos="8838"/>
      </w:tabs>
    </w:pPr>
  </w:style>
  <w:style w:type="paragraph" w:styleId="Footer">
    <w:name w:val="footer"/>
    <w:basedOn w:val="Normal"/>
    <w:link w:val="FooterChar"/>
    <w:uiPriority w:val="99"/>
    <w:rsid w:val="003B6B2D"/>
    <w:pPr>
      <w:tabs>
        <w:tab w:val="center" w:pos="4419"/>
        <w:tab w:val="right" w:pos="8838"/>
      </w:tabs>
    </w:pPr>
  </w:style>
  <w:style w:type="paragraph" w:styleId="BodyTextIndent">
    <w:name w:val="Body Text Indent"/>
    <w:basedOn w:val="Normal"/>
    <w:rsid w:val="003B6B2D"/>
    <w:pPr>
      <w:widowControl/>
      <w:tabs>
        <w:tab w:val="left" w:pos="-1440"/>
        <w:tab w:val="left" w:pos="-720"/>
        <w:tab w:val="left" w:pos="0"/>
        <w:tab w:val="left" w:pos="720"/>
        <w:tab w:val="left" w:pos="1440"/>
        <w:tab w:val="left" w:pos="1700"/>
        <w:tab w:val="left" w:pos="2880"/>
        <w:tab w:val="left" w:pos="3600"/>
        <w:tab w:val="left" w:pos="4678"/>
        <w:tab w:val="left" w:pos="5040"/>
        <w:tab w:val="left" w:pos="5760"/>
        <w:tab w:val="left" w:pos="6480"/>
        <w:tab w:val="left" w:pos="7200"/>
        <w:tab w:val="left" w:pos="7920"/>
        <w:tab w:val="left" w:pos="8640"/>
        <w:tab w:val="left" w:pos="9360"/>
        <w:tab w:val="left" w:pos="10080"/>
        <w:tab w:val="left" w:pos="10800"/>
        <w:tab w:val="left" w:pos="11520"/>
      </w:tabs>
      <w:spacing w:line="227" w:lineRule="exact"/>
      <w:ind w:left="2040" w:hanging="2040"/>
    </w:pPr>
    <w:rPr>
      <w:rFonts w:ascii="Arial" w:hAnsi="Arial" w:cs="Arial"/>
      <w:sz w:val="18"/>
      <w:szCs w:val="18"/>
    </w:rPr>
  </w:style>
  <w:style w:type="paragraph" w:styleId="BodyText">
    <w:name w:val="Body Text"/>
    <w:basedOn w:val="Normal"/>
    <w:rsid w:val="003B6B2D"/>
    <w:pPr>
      <w:widowControl/>
      <w:autoSpaceDE/>
      <w:autoSpaceDN/>
      <w:adjustRightInd/>
      <w:spacing w:line="360" w:lineRule="auto"/>
    </w:pPr>
    <w:rPr>
      <w:szCs w:val="24"/>
    </w:rPr>
  </w:style>
  <w:style w:type="paragraph" w:customStyle="1" w:styleId="Style2">
    <w:name w:val="Style 2"/>
    <w:basedOn w:val="Normal"/>
    <w:rsid w:val="003B6B2D"/>
    <w:pPr>
      <w:adjustRightInd/>
      <w:jc w:val="center"/>
    </w:pPr>
    <w:rPr>
      <w:sz w:val="24"/>
      <w:szCs w:val="24"/>
      <w:lang w:eastAsia="es-ES"/>
    </w:rPr>
  </w:style>
  <w:style w:type="paragraph" w:styleId="BodyText2">
    <w:name w:val="Body Text 2"/>
    <w:basedOn w:val="Normal"/>
    <w:rsid w:val="003B6B2D"/>
    <w:pPr>
      <w:widowControl/>
      <w:autoSpaceDE/>
      <w:autoSpaceDN/>
      <w:adjustRightInd/>
    </w:pPr>
    <w:rPr>
      <w:b/>
      <w:bCs/>
      <w:szCs w:val="24"/>
    </w:rPr>
  </w:style>
  <w:style w:type="character" w:styleId="PageNumber">
    <w:name w:val="page number"/>
    <w:basedOn w:val="DefaultParagraphFont"/>
    <w:rsid w:val="003B6B2D"/>
  </w:style>
  <w:style w:type="paragraph" w:styleId="BodyTextIndent2">
    <w:name w:val="Body Text Indent 2"/>
    <w:basedOn w:val="Normal"/>
    <w:rsid w:val="003B6B2D"/>
    <w:pPr>
      <w:tabs>
        <w:tab w:val="left" w:pos="1276"/>
        <w:tab w:val="left" w:pos="1418"/>
        <w:tab w:val="left" w:leader="dot" w:pos="8222"/>
        <w:tab w:val="right" w:pos="8647"/>
      </w:tabs>
      <w:ind w:left="1276" w:hanging="851"/>
    </w:pPr>
  </w:style>
  <w:style w:type="paragraph" w:styleId="BodyTextIndent3">
    <w:name w:val="Body Text Indent 3"/>
    <w:basedOn w:val="Normal"/>
    <w:rsid w:val="003B6B2D"/>
    <w:pPr>
      <w:tabs>
        <w:tab w:val="left" w:pos="1276"/>
        <w:tab w:val="left" w:pos="1418"/>
        <w:tab w:val="left" w:leader="dot" w:pos="8222"/>
        <w:tab w:val="right" w:pos="8647"/>
      </w:tabs>
      <w:ind w:left="508"/>
    </w:pPr>
  </w:style>
  <w:style w:type="paragraph" w:styleId="BalloonText">
    <w:name w:val="Balloon Text"/>
    <w:basedOn w:val="Normal"/>
    <w:semiHidden/>
    <w:rsid w:val="00E3552B"/>
    <w:rPr>
      <w:rFonts w:ascii="Tahoma" w:hAnsi="Tahoma" w:cs="Tahoma"/>
      <w:sz w:val="16"/>
      <w:szCs w:val="16"/>
    </w:rPr>
  </w:style>
  <w:style w:type="paragraph" w:customStyle="1" w:styleId="Default">
    <w:name w:val="Default"/>
    <w:rsid w:val="0008315C"/>
    <w:pPr>
      <w:autoSpaceDE w:val="0"/>
      <w:autoSpaceDN w:val="0"/>
      <w:adjustRightInd w:val="0"/>
    </w:pPr>
    <w:rPr>
      <w:color w:val="000000"/>
      <w:sz w:val="24"/>
      <w:szCs w:val="24"/>
      <w:lang w:eastAsia="tr-TR"/>
    </w:rPr>
  </w:style>
  <w:style w:type="paragraph" w:customStyle="1" w:styleId="TITLEREC">
    <w:name w:val="TITLE REC"/>
    <w:basedOn w:val="Normal"/>
    <w:rsid w:val="002B6827"/>
    <w:pPr>
      <w:widowControl/>
      <w:pBdr>
        <w:top w:val="double" w:sz="6" w:space="6" w:color="auto"/>
        <w:left w:val="double" w:sz="6" w:space="0" w:color="auto"/>
        <w:bottom w:val="double" w:sz="6" w:space="6" w:color="auto"/>
        <w:right w:val="double" w:sz="6" w:space="0" w:color="auto"/>
      </w:pBdr>
      <w:tabs>
        <w:tab w:val="right" w:pos="8902"/>
      </w:tabs>
      <w:autoSpaceDE/>
      <w:autoSpaceDN/>
      <w:adjustRightInd/>
      <w:jc w:val="center"/>
    </w:pPr>
    <w:rPr>
      <w:b/>
      <w:bCs/>
      <w:szCs w:val="24"/>
    </w:rPr>
  </w:style>
  <w:style w:type="character" w:customStyle="1" w:styleId="FooterChar">
    <w:name w:val="Footer Char"/>
    <w:basedOn w:val="DefaultParagraphFont"/>
    <w:link w:val="Footer"/>
    <w:uiPriority w:val="99"/>
    <w:rsid w:val="002E2AC9"/>
    <w:rPr>
      <w:lang w:val="es-ES" w:eastAsia="en-US"/>
    </w:rPr>
  </w:style>
  <w:style w:type="character" w:styleId="CommentReference">
    <w:name w:val="annotation reference"/>
    <w:basedOn w:val="DefaultParagraphFont"/>
    <w:uiPriority w:val="99"/>
    <w:rsid w:val="00464367"/>
    <w:rPr>
      <w:sz w:val="16"/>
      <w:szCs w:val="16"/>
    </w:rPr>
  </w:style>
  <w:style w:type="paragraph" w:styleId="CommentText">
    <w:name w:val="annotation text"/>
    <w:basedOn w:val="Normal"/>
    <w:link w:val="CommentTextChar"/>
    <w:uiPriority w:val="99"/>
    <w:rsid w:val="00464367"/>
  </w:style>
  <w:style w:type="character" w:customStyle="1" w:styleId="CommentTextChar">
    <w:name w:val="Comment Text Char"/>
    <w:basedOn w:val="DefaultParagraphFont"/>
    <w:link w:val="CommentText"/>
    <w:uiPriority w:val="99"/>
    <w:rsid w:val="00464367"/>
    <w:rPr>
      <w:lang w:val="es-ES" w:eastAsia="en-US"/>
    </w:rPr>
  </w:style>
  <w:style w:type="paragraph" w:styleId="CommentSubject">
    <w:name w:val="annotation subject"/>
    <w:basedOn w:val="CommentText"/>
    <w:next w:val="CommentText"/>
    <w:link w:val="CommentSubjectChar"/>
    <w:rsid w:val="00464367"/>
    <w:rPr>
      <w:b/>
      <w:bCs/>
    </w:rPr>
  </w:style>
  <w:style w:type="character" w:customStyle="1" w:styleId="CommentSubjectChar">
    <w:name w:val="Comment Subject Char"/>
    <w:basedOn w:val="CommentTextChar"/>
    <w:link w:val="CommentSubject"/>
    <w:rsid w:val="00464367"/>
    <w:rPr>
      <w:b/>
      <w:bCs/>
      <w:lang w:val="es-ES" w:eastAsia="en-US"/>
    </w:rPr>
  </w:style>
  <w:style w:type="character" w:styleId="Hyperlink">
    <w:name w:val="Hyperlink"/>
    <w:basedOn w:val="DefaultParagraphFont"/>
    <w:uiPriority w:val="99"/>
    <w:unhideWhenUsed/>
    <w:rsid w:val="003001DA"/>
    <w:rPr>
      <w:color w:val="0000FF" w:themeColor="hyperlink"/>
      <w:u w:val="single"/>
    </w:rPr>
  </w:style>
  <w:style w:type="paragraph" w:styleId="ListParagraph">
    <w:name w:val="List Paragraph"/>
    <w:basedOn w:val="Normal"/>
    <w:uiPriority w:val="34"/>
    <w:qFormat/>
    <w:rsid w:val="00A33055"/>
    <w:pPr>
      <w:ind w:left="720"/>
      <w:contextualSpacing/>
    </w:pPr>
  </w:style>
  <w:style w:type="table" w:styleId="TableGrid">
    <w:name w:val="Table Grid"/>
    <w:basedOn w:val="TableNormal"/>
    <w:uiPriority w:val="59"/>
    <w:rsid w:val="00A330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2728CE"/>
  </w:style>
  <w:style w:type="character" w:customStyle="1" w:styleId="FootnoteTextChar">
    <w:name w:val="Footnote Text Char"/>
    <w:basedOn w:val="DefaultParagraphFont"/>
    <w:link w:val="FootnoteText"/>
    <w:semiHidden/>
    <w:rsid w:val="002728CE"/>
    <w:rPr>
      <w:lang w:val="es-ES" w:eastAsia="en-US"/>
    </w:rPr>
  </w:style>
  <w:style w:type="character" w:styleId="FootnoteReference">
    <w:name w:val="footnote reference"/>
    <w:basedOn w:val="DefaultParagraphFont"/>
    <w:semiHidden/>
    <w:unhideWhenUsed/>
    <w:rsid w:val="002728CE"/>
    <w:rPr>
      <w:vertAlign w:val="superscript"/>
    </w:rPr>
  </w:style>
  <w:style w:type="character" w:customStyle="1" w:styleId="UnresolvedMention1">
    <w:name w:val="Unresolved Mention1"/>
    <w:basedOn w:val="DefaultParagraphFont"/>
    <w:uiPriority w:val="99"/>
    <w:semiHidden/>
    <w:unhideWhenUsed/>
    <w:rsid w:val="00A77BB4"/>
    <w:rPr>
      <w:color w:val="605E5C"/>
      <w:shd w:val="clear" w:color="auto" w:fill="E1DFDD"/>
    </w:rPr>
  </w:style>
  <w:style w:type="paragraph" w:customStyle="1" w:styleId="wordsection1">
    <w:name w:val="wordsection1"/>
    <w:basedOn w:val="Normal"/>
    <w:uiPriority w:val="99"/>
    <w:rsid w:val="00501E48"/>
    <w:pPr>
      <w:widowControl/>
      <w:autoSpaceDE/>
      <w:autoSpaceDN/>
      <w:adjustRightInd/>
      <w:spacing w:before="100" w:beforeAutospacing="1" w:after="100" w:afterAutospacing="1"/>
    </w:pPr>
    <w:rPr>
      <w:rFonts w:ascii="Calibri" w:eastAsiaTheme="minorHAnsi" w:hAnsi="Calibri" w:cs="Calibri"/>
      <w:sz w:val="22"/>
      <w:szCs w:val="22"/>
      <w:lang w:eastAsia="es-ES"/>
    </w:rPr>
  </w:style>
  <w:style w:type="character" w:styleId="FollowedHyperlink">
    <w:name w:val="FollowedHyperlink"/>
    <w:basedOn w:val="DefaultParagraphFont"/>
    <w:semiHidden/>
    <w:unhideWhenUsed/>
    <w:rsid w:val="0098128E"/>
    <w:rPr>
      <w:color w:val="800080" w:themeColor="followedHyperlink"/>
      <w:u w:val="single"/>
    </w:rPr>
  </w:style>
  <w:style w:type="character" w:customStyle="1" w:styleId="HeaderChar">
    <w:name w:val="Header Char"/>
    <w:basedOn w:val="DefaultParagraphFont"/>
    <w:link w:val="Header"/>
    <w:uiPriority w:val="99"/>
    <w:rsid w:val="00C043C3"/>
    <w:rPr>
      <w:lang w:val="es-ES" w:eastAsia="en-US"/>
    </w:rPr>
  </w:style>
  <w:style w:type="paragraph" w:styleId="NormalWeb">
    <w:name w:val="Normal (Web)"/>
    <w:basedOn w:val="Normal"/>
    <w:uiPriority w:val="99"/>
    <w:semiHidden/>
    <w:unhideWhenUsed/>
    <w:rsid w:val="00AB289F"/>
    <w:pPr>
      <w:widowControl/>
      <w:autoSpaceDE/>
      <w:autoSpaceDN/>
      <w:adjustRightInd/>
      <w:spacing w:before="100" w:beforeAutospacing="1" w:after="100" w:afterAutospacing="1"/>
    </w:pPr>
    <w:rPr>
      <w:sz w:val="24"/>
      <w:szCs w:val="24"/>
      <w:lang w:eastAsia="en-GB"/>
    </w:rPr>
  </w:style>
  <w:style w:type="character" w:customStyle="1" w:styleId="UnresolvedMention2">
    <w:name w:val="Unresolved Mention2"/>
    <w:basedOn w:val="DefaultParagraphFont"/>
    <w:uiPriority w:val="99"/>
    <w:semiHidden/>
    <w:unhideWhenUsed/>
    <w:rsid w:val="001D5D7F"/>
    <w:rPr>
      <w:color w:val="605E5C"/>
      <w:shd w:val="clear" w:color="auto" w:fill="E1DFDD"/>
    </w:rPr>
  </w:style>
  <w:style w:type="paragraph" w:styleId="Revision">
    <w:name w:val="Revision"/>
    <w:hidden/>
    <w:uiPriority w:val="99"/>
    <w:semiHidden/>
    <w:rsid w:val="00D26C9B"/>
    <w:rPr>
      <w:lang w:eastAsia="en-US"/>
    </w:rPr>
  </w:style>
  <w:style w:type="character" w:styleId="UnresolvedMention">
    <w:name w:val="Unresolved Mention"/>
    <w:basedOn w:val="DefaultParagraphFont"/>
    <w:uiPriority w:val="99"/>
    <w:semiHidden/>
    <w:unhideWhenUsed/>
    <w:rsid w:val="00A838B1"/>
    <w:rPr>
      <w:color w:val="605E5C"/>
      <w:shd w:val="clear" w:color="auto" w:fill="E1DFDD"/>
    </w:rPr>
  </w:style>
  <w:style w:type="character" w:customStyle="1" w:styleId="p-element">
    <w:name w:val="p-element"/>
    <w:basedOn w:val="DefaultParagraphFont"/>
    <w:rsid w:val="0092721C"/>
  </w:style>
  <w:style w:type="character" w:customStyle="1" w:styleId="ui-provider">
    <w:name w:val="ui-provider"/>
    <w:basedOn w:val="DefaultParagraphFont"/>
    <w:rsid w:val="00A935C2"/>
  </w:style>
  <w:style w:type="character" w:styleId="Strong">
    <w:name w:val="Strong"/>
    <w:basedOn w:val="DefaultParagraphFont"/>
    <w:uiPriority w:val="22"/>
    <w:qFormat/>
    <w:rsid w:val="00A935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815">
      <w:bodyDiv w:val="1"/>
      <w:marLeft w:val="0"/>
      <w:marRight w:val="0"/>
      <w:marTop w:val="0"/>
      <w:marBottom w:val="0"/>
      <w:divBdr>
        <w:top w:val="none" w:sz="0" w:space="0" w:color="auto"/>
        <w:left w:val="none" w:sz="0" w:space="0" w:color="auto"/>
        <w:bottom w:val="none" w:sz="0" w:space="0" w:color="auto"/>
        <w:right w:val="none" w:sz="0" w:space="0" w:color="auto"/>
      </w:divBdr>
    </w:div>
    <w:div w:id="16469440">
      <w:bodyDiv w:val="1"/>
      <w:marLeft w:val="0"/>
      <w:marRight w:val="0"/>
      <w:marTop w:val="0"/>
      <w:marBottom w:val="0"/>
      <w:divBdr>
        <w:top w:val="none" w:sz="0" w:space="0" w:color="auto"/>
        <w:left w:val="none" w:sz="0" w:space="0" w:color="auto"/>
        <w:bottom w:val="none" w:sz="0" w:space="0" w:color="auto"/>
        <w:right w:val="none" w:sz="0" w:space="0" w:color="auto"/>
      </w:divBdr>
    </w:div>
    <w:div w:id="26224935">
      <w:bodyDiv w:val="1"/>
      <w:marLeft w:val="0"/>
      <w:marRight w:val="0"/>
      <w:marTop w:val="0"/>
      <w:marBottom w:val="0"/>
      <w:divBdr>
        <w:top w:val="none" w:sz="0" w:space="0" w:color="auto"/>
        <w:left w:val="none" w:sz="0" w:space="0" w:color="auto"/>
        <w:bottom w:val="none" w:sz="0" w:space="0" w:color="auto"/>
        <w:right w:val="none" w:sz="0" w:space="0" w:color="auto"/>
      </w:divBdr>
    </w:div>
    <w:div w:id="47001451">
      <w:bodyDiv w:val="1"/>
      <w:marLeft w:val="0"/>
      <w:marRight w:val="0"/>
      <w:marTop w:val="0"/>
      <w:marBottom w:val="0"/>
      <w:divBdr>
        <w:top w:val="none" w:sz="0" w:space="0" w:color="auto"/>
        <w:left w:val="none" w:sz="0" w:space="0" w:color="auto"/>
        <w:bottom w:val="none" w:sz="0" w:space="0" w:color="auto"/>
        <w:right w:val="none" w:sz="0" w:space="0" w:color="auto"/>
      </w:divBdr>
    </w:div>
    <w:div w:id="48384050">
      <w:bodyDiv w:val="1"/>
      <w:marLeft w:val="0"/>
      <w:marRight w:val="0"/>
      <w:marTop w:val="0"/>
      <w:marBottom w:val="0"/>
      <w:divBdr>
        <w:top w:val="none" w:sz="0" w:space="0" w:color="auto"/>
        <w:left w:val="none" w:sz="0" w:space="0" w:color="auto"/>
        <w:bottom w:val="none" w:sz="0" w:space="0" w:color="auto"/>
        <w:right w:val="none" w:sz="0" w:space="0" w:color="auto"/>
      </w:divBdr>
    </w:div>
    <w:div w:id="55520337">
      <w:bodyDiv w:val="1"/>
      <w:marLeft w:val="0"/>
      <w:marRight w:val="0"/>
      <w:marTop w:val="0"/>
      <w:marBottom w:val="0"/>
      <w:divBdr>
        <w:top w:val="none" w:sz="0" w:space="0" w:color="auto"/>
        <w:left w:val="none" w:sz="0" w:space="0" w:color="auto"/>
        <w:bottom w:val="none" w:sz="0" w:space="0" w:color="auto"/>
        <w:right w:val="none" w:sz="0" w:space="0" w:color="auto"/>
      </w:divBdr>
    </w:div>
    <w:div w:id="58864657">
      <w:bodyDiv w:val="1"/>
      <w:marLeft w:val="0"/>
      <w:marRight w:val="0"/>
      <w:marTop w:val="0"/>
      <w:marBottom w:val="0"/>
      <w:divBdr>
        <w:top w:val="none" w:sz="0" w:space="0" w:color="auto"/>
        <w:left w:val="none" w:sz="0" w:space="0" w:color="auto"/>
        <w:bottom w:val="none" w:sz="0" w:space="0" w:color="auto"/>
        <w:right w:val="none" w:sz="0" w:space="0" w:color="auto"/>
      </w:divBdr>
    </w:div>
    <w:div w:id="64030060">
      <w:bodyDiv w:val="1"/>
      <w:marLeft w:val="0"/>
      <w:marRight w:val="0"/>
      <w:marTop w:val="0"/>
      <w:marBottom w:val="0"/>
      <w:divBdr>
        <w:top w:val="none" w:sz="0" w:space="0" w:color="auto"/>
        <w:left w:val="none" w:sz="0" w:space="0" w:color="auto"/>
        <w:bottom w:val="none" w:sz="0" w:space="0" w:color="auto"/>
        <w:right w:val="none" w:sz="0" w:space="0" w:color="auto"/>
      </w:divBdr>
    </w:div>
    <w:div w:id="70201813">
      <w:bodyDiv w:val="1"/>
      <w:marLeft w:val="0"/>
      <w:marRight w:val="0"/>
      <w:marTop w:val="0"/>
      <w:marBottom w:val="0"/>
      <w:divBdr>
        <w:top w:val="none" w:sz="0" w:space="0" w:color="auto"/>
        <w:left w:val="none" w:sz="0" w:space="0" w:color="auto"/>
        <w:bottom w:val="none" w:sz="0" w:space="0" w:color="auto"/>
        <w:right w:val="none" w:sz="0" w:space="0" w:color="auto"/>
      </w:divBdr>
    </w:div>
    <w:div w:id="78068310">
      <w:bodyDiv w:val="1"/>
      <w:marLeft w:val="0"/>
      <w:marRight w:val="0"/>
      <w:marTop w:val="0"/>
      <w:marBottom w:val="0"/>
      <w:divBdr>
        <w:top w:val="none" w:sz="0" w:space="0" w:color="auto"/>
        <w:left w:val="none" w:sz="0" w:space="0" w:color="auto"/>
        <w:bottom w:val="none" w:sz="0" w:space="0" w:color="auto"/>
        <w:right w:val="none" w:sz="0" w:space="0" w:color="auto"/>
      </w:divBdr>
    </w:div>
    <w:div w:id="92480517">
      <w:bodyDiv w:val="1"/>
      <w:marLeft w:val="0"/>
      <w:marRight w:val="0"/>
      <w:marTop w:val="0"/>
      <w:marBottom w:val="0"/>
      <w:divBdr>
        <w:top w:val="none" w:sz="0" w:space="0" w:color="auto"/>
        <w:left w:val="none" w:sz="0" w:space="0" w:color="auto"/>
        <w:bottom w:val="none" w:sz="0" w:space="0" w:color="auto"/>
        <w:right w:val="none" w:sz="0" w:space="0" w:color="auto"/>
      </w:divBdr>
    </w:div>
    <w:div w:id="121467267">
      <w:bodyDiv w:val="1"/>
      <w:marLeft w:val="0"/>
      <w:marRight w:val="0"/>
      <w:marTop w:val="0"/>
      <w:marBottom w:val="0"/>
      <w:divBdr>
        <w:top w:val="none" w:sz="0" w:space="0" w:color="auto"/>
        <w:left w:val="none" w:sz="0" w:space="0" w:color="auto"/>
        <w:bottom w:val="none" w:sz="0" w:space="0" w:color="auto"/>
        <w:right w:val="none" w:sz="0" w:space="0" w:color="auto"/>
      </w:divBdr>
    </w:div>
    <w:div w:id="129055530">
      <w:bodyDiv w:val="1"/>
      <w:marLeft w:val="0"/>
      <w:marRight w:val="0"/>
      <w:marTop w:val="0"/>
      <w:marBottom w:val="0"/>
      <w:divBdr>
        <w:top w:val="none" w:sz="0" w:space="0" w:color="auto"/>
        <w:left w:val="none" w:sz="0" w:space="0" w:color="auto"/>
        <w:bottom w:val="none" w:sz="0" w:space="0" w:color="auto"/>
        <w:right w:val="none" w:sz="0" w:space="0" w:color="auto"/>
      </w:divBdr>
    </w:div>
    <w:div w:id="141777063">
      <w:bodyDiv w:val="1"/>
      <w:marLeft w:val="0"/>
      <w:marRight w:val="0"/>
      <w:marTop w:val="0"/>
      <w:marBottom w:val="0"/>
      <w:divBdr>
        <w:top w:val="none" w:sz="0" w:space="0" w:color="auto"/>
        <w:left w:val="none" w:sz="0" w:space="0" w:color="auto"/>
        <w:bottom w:val="none" w:sz="0" w:space="0" w:color="auto"/>
        <w:right w:val="none" w:sz="0" w:space="0" w:color="auto"/>
      </w:divBdr>
    </w:div>
    <w:div w:id="150488100">
      <w:bodyDiv w:val="1"/>
      <w:marLeft w:val="0"/>
      <w:marRight w:val="0"/>
      <w:marTop w:val="0"/>
      <w:marBottom w:val="0"/>
      <w:divBdr>
        <w:top w:val="none" w:sz="0" w:space="0" w:color="auto"/>
        <w:left w:val="none" w:sz="0" w:space="0" w:color="auto"/>
        <w:bottom w:val="none" w:sz="0" w:space="0" w:color="auto"/>
        <w:right w:val="none" w:sz="0" w:space="0" w:color="auto"/>
      </w:divBdr>
    </w:div>
    <w:div w:id="150872251">
      <w:bodyDiv w:val="1"/>
      <w:marLeft w:val="0"/>
      <w:marRight w:val="0"/>
      <w:marTop w:val="0"/>
      <w:marBottom w:val="0"/>
      <w:divBdr>
        <w:top w:val="none" w:sz="0" w:space="0" w:color="auto"/>
        <w:left w:val="none" w:sz="0" w:space="0" w:color="auto"/>
        <w:bottom w:val="none" w:sz="0" w:space="0" w:color="auto"/>
        <w:right w:val="none" w:sz="0" w:space="0" w:color="auto"/>
      </w:divBdr>
    </w:div>
    <w:div w:id="151459144">
      <w:bodyDiv w:val="1"/>
      <w:marLeft w:val="0"/>
      <w:marRight w:val="0"/>
      <w:marTop w:val="0"/>
      <w:marBottom w:val="0"/>
      <w:divBdr>
        <w:top w:val="none" w:sz="0" w:space="0" w:color="auto"/>
        <w:left w:val="none" w:sz="0" w:space="0" w:color="auto"/>
        <w:bottom w:val="none" w:sz="0" w:space="0" w:color="auto"/>
        <w:right w:val="none" w:sz="0" w:space="0" w:color="auto"/>
      </w:divBdr>
    </w:div>
    <w:div w:id="158037430">
      <w:bodyDiv w:val="1"/>
      <w:marLeft w:val="0"/>
      <w:marRight w:val="0"/>
      <w:marTop w:val="0"/>
      <w:marBottom w:val="0"/>
      <w:divBdr>
        <w:top w:val="none" w:sz="0" w:space="0" w:color="auto"/>
        <w:left w:val="none" w:sz="0" w:space="0" w:color="auto"/>
        <w:bottom w:val="none" w:sz="0" w:space="0" w:color="auto"/>
        <w:right w:val="none" w:sz="0" w:space="0" w:color="auto"/>
      </w:divBdr>
    </w:div>
    <w:div w:id="195318859">
      <w:bodyDiv w:val="1"/>
      <w:marLeft w:val="0"/>
      <w:marRight w:val="0"/>
      <w:marTop w:val="0"/>
      <w:marBottom w:val="0"/>
      <w:divBdr>
        <w:top w:val="none" w:sz="0" w:space="0" w:color="auto"/>
        <w:left w:val="none" w:sz="0" w:space="0" w:color="auto"/>
        <w:bottom w:val="none" w:sz="0" w:space="0" w:color="auto"/>
        <w:right w:val="none" w:sz="0" w:space="0" w:color="auto"/>
      </w:divBdr>
    </w:div>
    <w:div w:id="221671838">
      <w:bodyDiv w:val="1"/>
      <w:marLeft w:val="0"/>
      <w:marRight w:val="0"/>
      <w:marTop w:val="0"/>
      <w:marBottom w:val="0"/>
      <w:divBdr>
        <w:top w:val="none" w:sz="0" w:space="0" w:color="auto"/>
        <w:left w:val="none" w:sz="0" w:space="0" w:color="auto"/>
        <w:bottom w:val="none" w:sz="0" w:space="0" w:color="auto"/>
        <w:right w:val="none" w:sz="0" w:space="0" w:color="auto"/>
      </w:divBdr>
    </w:div>
    <w:div w:id="225192173">
      <w:bodyDiv w:val="1"/>
      <w:marLeft w:val="0"/>
      <w:marRight w:val="0"/>
      <w:marTop w:val="0"/>
      <w:marBottom w:val="0"/>
      <w:divBdr>
        <w:top w:val="none" w:sz="0" w:space="0" w:color="auto"/>
        <w:left w:val="none" w:sz="0" w:space="0" w:color="auto"/>
        <w:bottom w:val="none" w:sz="0" w:space="0" w:color="auto"/>
        <w:right w:val="none" w:sz="0" w:space="0" w:color="auto"/>
      </w:divBdr>
    </w:div>
    <w:div w:id="229770753">
      <w:bodyDiv w:val="1"/>
      <w:marLeft w:val="0"/>
      <w:marRight w:val="0"/>
      <w:marTop w:val="0"/>
      <w:marBottom w:val="0"/>
      <w:divBdr>
        <w:top w:val="none" w:sz="0" w:space="0" w:color="auto"/>
        <w:left w:val="none" w:sz="0" w:space="0" w:color="auto"/>
        <w:bottom w:val="none" w:sz="0" w:space="0" w:color="auto"/>
        <w:right w:val="none" w:sz="0" w:space="0" w:color="auto"/>
      </w:divBdr>
    </w:div>
    <w:div w:id="251663928">
      <w:bodyDiv w:val="1"/>
      <w:marLeft w:val="0"/>
      <w:marRight w:val="0"/>
      <w:marTop w:val="0"/>
      <w:marBottom w:val="0"/>
      <w:divBdr>
        <w:top w:val="none" w:sz="0" w:space="0" w:color="auto"/>
        <w:left w:val="none" w:sz="0" w:space="0" w:color="auto"/>
        <w:bottom w:val="none" w:sz="0" w:space="0" w:color="auto"/>
        <w:right w:val="none" w:sz="0" w:space="0" w:color="auto"/>
      </w:divBdr>
    </w:div>
    <w:div w:id="264273005">
      <w:bodyDiv w:val="1"/>
      <w:marLeft w:val="0"/>
      <w:marRight w:val="0"/>
      <w:marTop w:val="0"/>
      <w:marBottom w:val="0"/>
      <w:divBdr>
        <w:top w:val="none" w:sz="0" w:space="0" w:color="auto"/>
        <w:left w:val="none" w:sz="0" w:space="0" w:color="auto"/>
        <w:bottom w:val="none" w:sz="0" w:space="0" w:color="auto"/>
        <w:right w:val="none" w:sz="0" w:space="0" w:color="auto"/>
      </w:divBdr>
    </w:div>
    <w:div w:id="266623533">
      <w:bodyDiv w:val="1"/>
      <w:marLeft w:val="0"/>
      <w:marRight w:val="0"/>
      <w:marTop w:val="0"/>
      <w:marBottom w:val="0"/>
      <w:divBdr>
        <w:top w:val="none" w:sz="0" w:space="0" w:color="auto"/>
        <w:left w:val="none" w:sz="0" w:space="0" w:color="auto"/>
        <w:bottom w:val="none" w:sz="0" w:space="0" w:color="auto"/>
        <w:right w:val="none" w:sz="0" w:space="0" w:color="auto"/>
      </w:divBdr>
    </w:div>
    <w:div w:id="270552229">
      <w:bodyDiv w:val="1"/>
      <w:marLeft w:val="0"/>
      <w:marRight w:val="0"/>
      <w:marTop w:val="0"/>
      <w:marBottom w:val="0"/>
      <w:divBdr>
        <w:top w:val="none" w:sz="0" w:space="0" w:color="auto"/>
        <w:left w:val="none" w:sz="0" w:space="0" w:color="auto"/>
        <w:bottom w:val="none" w:sz="0" w:space="0" w:color="auto"/>
        <w:right w:val="none" w:sz="0" w:space="0" w:color="auto"/>
      </w:divBdr>
    </w:div>
    <w:div w:id="272906386">
      <w:bodyDiv w:val="1"/>
      <w:marLeft w:val="0"/>
      <w:marRight w:val="0"/>
      <w:marTop w:val="0"/>
      <w:marBottom w:val="0"/>
      <w:divBdr>
        <w:top w:val="none" w:sz="0" w:space="0" w:color="auto"/>
        <w:left w:val="none" w:sz="0" w:space="0" w:color="auto"/>
        <w:bottom w:val="none" w:sz="0" w:space="0" w:color="auto"/>
        <w:right w:val="none" w:sz="0" w:space="0" w:color="auto"/>
      </w:divBdr>
    </w:div>
    <w:div w:id="274139974">
      <w:bodyDiv w:val="1"/>
      <w:marLeft w:val="0"/>
      <w:marRight w:val="0"/>
      <w:marTop w:val="0"/>
      <w:marBottom w:val="0"/>
      <w:divBdr>
        <w:top w:val="none" w:sz="0" w:space="0" w:color="auto"/>
        <w:left w:val="none" w:sz="0" w:space="0" w:color="auto"/>
        <w:bottom w:val="none" w:sz="0" w:space="0" w:color="auto"/>
        <w:right w:val="none" w:sz="0" w:space="0" w:color="auto"/>
      </w:divBdr>
    </w:div>
    <w:div w:id="291979569">
      <w:bodyDiv w:val="1"/>
      <w:marLeft w:val="0"/>
      <w:marRight w:val="0"/>
      <w:marTop w:val="0"/>
      <w:marBottom w:val="0"/>
      <w:divBdr>
        <w:top w:val="none" w:sz="0" w:space="0" w:color="auto"/>
        <w:left w:val="none" w:sz="0" w:space="0" w:color="auto"/>
        <w:bottom w:val="none" w:sz="0" w:space="0" w:color="auto"/>
        <w:right w:val="none" w:sz="0" w:space="0" w:color="auto"/>
      </w:divBdr>
    </w:div>
    <w:div w:id="327055999">
      <w:bodyDiv w:val="1"/>
      <w:marLeft w:val="0"/>
      <w:marRight w:val="0"/>
      <w:marTop w:val="0"/>
      <w:marBottom w:val="0"/>
      <w:divBdr>
        <w:top w:val="none" w:sz="0" w:space="0" w:color="auto"/>
        <w:left w:val="none" w:sz="0" w:space="0" w:color="auto"/>
        <w:bottom w:val="none" w:sz="0" w:space="0" w:color="auto"/>
        <w:right w:val="none" w:sz="0" w:space="0" w:color="auto"/>
      </w:divBdr>
    </w:div>
    <w:div w:id="331688986">
      <w:bodyDiv w:val="1"/>
      <w:marLeft w:val="0"/>
      <w:marRight w:val="0"/>
      <w:marTop w:val="0"/>
      <w:marBottom w:val="0"/>
      <w:divBdr>
        <w:top w:val="none" w:sz="0" w:space="0" w:color="auto"/>
        <w:left w:val="none" w:sz="0" w:space="0" w:color="auto"/>
        <w:bottom w:val="none" w:sz="0" w:space="0" w:color="auto"/>
        <w:right w:val="none" w:sz="0" w:space="0" w:color="auto"/>
      </w:divBdr>
    </w:div>
    <w:div w:id="336150568">
      <w:bodyDiv w:val="1"/>
      <w:marLeft w:val="0"/>
      <w:marRight w:val="0"/>
      <w:marTop w:val="0"/>
      <w:marBottom w:val="0"/>
      <w:divBdr>
        <w:top w:val="none" w:sz="0" w:space="0" w:color="auto"/>
        <w:left w:val="none" w:sz="0" w:space="0" w:color="auto"/>
        <w:bottom w:val="none" w:sz="0" w:space="0" w:color="auto"/>
        <w:right w:val="none" w:sz="0" w:space="0" w:color="auto"/>
      </w:divBdr>
    </w:div>
    <w:div w:id="348341131">
      <w:bodyDiv w:val="1"/>
      <w:marLeft w:val="0"/>
      <w:marRight w:val="0"/>
      <w:marTop w:val="0"/>
      <w:marBottom w:val="0"/>
      <w:divBdr>
        <w:top w:val="none" w:sz="0" w:space="0" w:color="auto"/>
        <w:left w:val="none" w:sz="0" w:space="0" w:color="auto"/>
        <w:bottom w:val="none" w:sz="0" w:space="0" w:color="auto"/>
        <w:right w:val="none" w:sz="0" w:space="0" w:color="auto"/>
      </w:divBdr>
    </w:div>
    <w:div w:id="348456191">
      <w:bodyDiv w:val="1"/>
      <w:marLeft w:val="0"/>
      <w:marRight w:val="0"/>
      <w:marTop w:val="0"/>
      <w:marBottom w:val="0"/>
      <w:divBdr>
        <w:top w:val="none" w:sz="0" w:space="0" w:color="auto"/>
        <w:left w:val="none" w:sz="0" w:space="0" w:color="auto"/>
        <w:bottom w:val="none" w:sz="0" w:space="0" w:color="auto"/>
        <w:right w:val="none" w:sz="0" w:space="0" w:color="auto"/>
      </w:divBdr>
    </w:div>
    <w:div w:id="368183973">
      <w:bodyDiv w:val="1"/>
      <w:marLeft w:val="0"/>
      <w:marRight w:val="0"/>
      <w:marTop w:val="0"/>
      <w:marBottom w:val="0"/>
      <w:divBdr>
        <w:top w:val="none" w:sz="0" w:space="0" w:color="auto"/>
        <w:left w:val="none" w:sz="0" w:space="0" w:color="auto"/>
        <w:bottom w:val="none" w:sz="0" w:space="0" w:color="auto"/>
        <w:right w:val="none" w:sz="0" w:space="0" w:color="auto"/>
      </w:divBdr>
    </w:div>
    <w:div w:id="369914878">
      <w:bodyDiv w:val="1"/>
      <w:marLeft w:val="0"/>
      <w:marRight w:val="0"/>
      <w:marTop w:val="0"/>
      <w:marBottom w:val="0"/>
      <w:divBdr>
        <w:top w:val="none" w:sz="0" w:space="0" w:color="auto"/>
        <w:left w:val="none" w:sz="0" w:space="0" w:color="auto"/>
        <w:bottom w:val="none" w:sz="0" w:space="0" w:color="auto"/>
        <w:right w:val="none" w:sz="0" w:space="0" w:color="auto"/>
      </w:divBdr>
    </w:div>
    <w:div w:id="396363993">
      <w:bodyDiv w:val="1"/>
      <w:marLeft w:val="0"/>
      <w:marRight w:val="0"/>
      <w:marTop w:val="0"/>
      <w:marBottom w:val="0"/>
      <w:divBdr>
        <w:top w:val="none" w:sz="0" w:space="0" w:color="auto"/>
        <w:left w:val="none" w:sz="0" w:space="0" w:color="auto"/>
        <w:bottom w:val="none" w:sz="0" w:space="0" w:color="auto"/>
        <w:right w:val="none" w:sz="0" w:space="0" w:color="auto"/>
      </w:divBdr>
    </w:div>
    <w:div w:id="397677000">
      <w:bodyDiv w:val="1"/>
      <w:marLeft w:val="0"/>
      <w:marRight w:val="0"/>
      <w:marTop w:val="0"/>
      <w:marBottom w:val="0"/>
      <w:divBdr>
        <w:top w:val="none" w:sz="0" w:space="0" w:color="auto"/>
        <w:left w:val="none" w:sz="0" w:space="0" w:color="auto"/>
        <w:bottom w:val="none" w:sz="0" w:space="0" w:color="auto"/>
        <w:right w:val="none" w:sz="0" w:space="0" w:color="auto"/>
      </w:divBdr>
    </w:div>
    <w:div w:id="398283474">
      <w:bodyDiv w:val="1"/>
      <w:marLeft w:val="0"/>
      <w:marRight w:val="0"/>
      <w:marTop w:val="0"/>
      <w:marBottom w:val="0"/>
      <w:divBdr>
        <w:top w:val="none" w:sz="0" w:space="0" w:color="auto"/>
        <w:left w:val="none" w:sz="0" w:space="0" w:color="auto"/>
        <w:bottom w:val="none" w:sz="0" w:space="0" w:color="auto"/>
        <w:right w:val="none" w:sz="0" w:space="0" w:color="auto"/>
      </w:divBdr>
    </w:div>
    <w:div w:id="413816600">
      <w:bodyDiv w:val="1"/>
      <w:marLeft w:val="0"/>
      <w:marRight w:val="0"/>
      <w:marTop w:val="0"/>
      <w:marBottom w:val="0"/>
      <w:divBdr>
        <w:top w:val="none" w:sz="0" w:space="0" w:color="auto"/>
        <w:left w:val="none" w:sz="0" w:space="0" w:color="auto"/>
        <w:bottom w:val="none" w:sz="0" w:space="0" w:color="auto"/>
        <w:right w:val="none" w:sz="0" w:space="0" w:color="auto"/>
      </w:divBdr>
    </w:div>
    <w:div w:id="415828513">
      <w:bodyDiv w:val="1"/>
      <w:marLeft w:val="0"/>
      <w:marRight w:val="0"/>
      <w:marTop w:val="0"/>
      <w:marBottom w:val="0"/>
      <w:divBdr>
        <w:top w:val="none" w:sz="0" w:space="0" w:color="auto"/>
        <w:left w:val="none" w:sz="0" w:space="0" w:color="auto"/>
        <w:bottom w:val="none" w:sz="0" w:space="0" w:color="auto"/>
        <w:right w:val="none" w:sz="0" w:space="0" w:color="auto"/>
      </w:divBdr>
    </w:div>
    <w:div w:id="444160822">
      <w:bodyDiv w:val="1"/>
      <w:marLeft w:val="0"/>
      <w:marRight w:val="0"/>
      <w:marTop w:val="0"/>
      <w:marBottom w:val="0"/>
      <w:divBdr>
        <w:top w:val="none" w:sz="0" w:space="0" w:color="auto"/>
        <w:left w:val="none" w:sz="0" w:space="0" w:color="auto"/>
        <w:bottom w:val="none" w:sz="0" w:space="0" w:color="auto"/>
        <w:right w:val="none" w:sz="0" w:space="0" w:color="auto"/>
      </w:divBdr>
    </w:div>
    <w:div w:id="452405548">
      <w:bodyDiv w:val="1"/>
      <w:marLeft w:val="0"/>
      <w:marRight w:val="0"/>
      <w:marTop w:val="0"/>
      <w:marBottom w:val="0"/>
      <w:divBdr>
        <w:top w:val="none" w:sz="0" w:space="0" w:color="auto"/>
        <w:left w:val="none" w:sz="0" w:space="0" w:color="auto"/>
        <w:bottom w:val="none" w:sz="0" w:space="0" w:color="auto"/>
        <w:right w:val="none" w:sz="0" w:space="0" w:color="auto"/>
      </w:divBdr>
    </w:div>
    <w:div w:id="455023852">
      <w:bodyDiv w:val="1"/>
      <w:marLeft w:val="0"/>
      <w:marRight w:val="0"/>
      <w:marTop w:val="0"/>
      <w:marBottom w:val="0"/>
      <w:divBdr>
        <w:top w:val="none" w:sz="0" w:space="0" w:color="auto"/>
        <w:left w:val="none" w:sz="0" w:space="0" w:color="auto"/>
        <w:bottom w:val="none" w:sz="0" w:space="0" w:color="auto"/>
        <w:right w:val="none" w:sz="0" w:space="0" w:color="auto"/>
      </w:divBdr>
    </w:div>
    <w:div w:id="458183742">
      <w:bodyDiv w:val="1"/>
      <w:marLeft w:val="0"/>
      <w:marRight w:val="0"/>
      <w:marTop w:val="0"/>
      <w:marBottom w:val="0"/>
      <w:divBdr>
        <w:top w:val="none" w:sz="0" w:space="0" w:color="auto"/>
        <w:left w:val="none" w:sz="0" w:space="0" w:color="auto"/>
        <w:bottom w:val="none" w:sz="0" w:space="0" w:color="auto"/>
        <w:right w:val="none" w:sz="0" w:space="0" w:color="auto"/>
      </w:divBdr>
    </w:div>
    <w:div w:id="459613444">
      <w:bodyDiv w:val="1"/>
      <w:marLeft w:val="0"/>
      <w:marRight w:val="0"/>
      <w:marTop w:val="0"/>
      <w:marBottom w:val="0"/>
      <w:divBdr>
        <w:top w:val="none" w:sz="0" w:space="0" w:color="auto"/>
        <w:left w:val="none" w:sz="0" w:space="0" w:color="auto"/>
        <w:bottom w:val="none" w:sz="0" w:space="0" w:color="auto"/>
        <w:right w:val="none" w:sz="0" w:space="0" w:color="auto"/>
      </w:divBdr>
    </w:div>
    <w:div w:id="460003104">
      <w:bodyDiv w:val="1"/>
      <w:marLeft w:val="0"/>
      <w:marRight w:val="0"/>
      <w:marTop w:val="0"/>
      <w:marBottom w:val="0"/>
      <w:divBdr>
        <w:top w:val="none" w:sz="0" w:space="0" w:color="auto"/>
        <w:left w:val="none" w:sz="0" w:space="0" w:color="auto"/>
        <w:bottom w:val="none" w:sz="0" w:space="0" w:color="auto"/>
        <w:right w:val="none" w:sz="0" w:space="0" w:color="auto"/>
      </w:divBdr>
    </w:div>
    <w:div w:id="465516017">
      <w:bodyDiv w:val="1"/>
      <w:marLeft w:val="0"/>
      <w:marRight w:val="0"/>
      <w:marTop w:val="0"/>
      <w:marBottom w:val="0"/>
      <w:divBdr>
        <w:top w:val="none" w:sz="0" w:space="0" w:color="auto"/>
        <w:left w:val="none" w:sz="0" w:space="0" w:color="auto"/>
        <w:bottom w:val="none" w:sz="0" w:space="0" w:color="auto"/>
        <w:right w:val="none" w:sz="0" w:space="0" w:color="auto"/>
      </w:divBdr>
    </w:div>
    <w:div w:id="466705874">
      <w:bodyDiv w:val="1"/>
      <w:marLeft w:val="0"/>
      <w:marRight w:val="0"/>
      <w:marTop w:val="0"/>
      <w:marBottom w:val="0"/>
      <w:divBdr>
        <w:top w:val="none" w:sz="0" w:space="0" w:color="auto"/>
        <w:left w:val="none" w:sz="0" w:space="0" w:color="auto"/>
        <w:bottom w:val="none" w:sz="0" w:space="0" w:color="auto"/>
        <w:right w:val="none" w:sz="0" w:space="0" w:color="auto"/>
      </w:divBdr>
    </w:div>
    <w:div w:id="481049203">
      <w:bodyDiv w:val="1"/>
      <w:marLeft w:val="0"/>
      <w:marRight w:val="0"/>
      <w:marTop w:val="0"/>
      <w:marBottom w:val="0"/>
      <w:divBdr>
        <w:top w:val="none" w:sz="0" w:space="0" w:color="auto"/>
        <w:left w:val="none" w:sz="0" w:space="0" w:color="auto"/>
        <w:bottom w:val="none" w:sz="0" w:space="0" w:color="auto"/>
        <w:right w:val="none" w:sz="0" w:space="0" w:color="auto"/>
      </w:divBdr>
    </w:div>
    <w:div w:id="481778033">
      <w:bodyDiv w:val="1"/>
      <w:marLeft w:val="0"/>
      <w:marRight w:val="0"/>
      <w:marTop w:val="0"/>
      <w:marBottom w:val="0"/>
      <w:divBdr>
        <w:top w:val="none" w:sz="0" w:space="0" w:color="auto"/>
        <w:left w:val="none" w:sz="0" w:space="0" w:color="auto"/>
        <w:bottom w:val="none" w:sz="0" w:space="0" w:color="auto"/>
        <w:right w:val="none" w:sz="0" w:space="0" w:color="auto"/>
      </w:divBdr>
    </w:div>
    <w:div w:id="483745197">
      <w:bodyDiv w:val="1"/>
      <w:marLeft w:val="0"/>
      <w:marRight w:val="0"/>
      <w:marTop w:val="0"/>
      <w:marBottom w:val="0"/>
      <w:divBdr>
        <w:top w:val="none" w:sz="0" w:space="0" w:color="auto"/>
        <w:left w:val="none" w:sz="0" w:space="0" w:color="auto"/>
        <w:bottom w:val="none" w:sz="0" w:space="0" w:color="auto"/>
        <w:right w:val="none" w:sz="0" w:space="0" w:color="auto"/>
      </w:divBdr>
    </w:div>
    <w:div w:id="495345413">
      <w:bodyDiv w:val="1"/>
      <w:marLeft w:val="0"/>
      <w:marRight w:val="0"/>
      <w:marTop w:val="0"/>
      <w:marBottom w:val="0"/>
      <w:divBdr>
        <w:top w:val="none" w:sz="0" w:space="0" w:color="auto"/>
        <w:left w:val="none" w:sz="0" w:space="0" w:color="auto"/>
        <w:bottom w:val="none" w:sz="0" w:space="0" w:color="auto"/>
        <w:right w:val="none" w:sz="0" w:space="0" w:color="auto"/>
      </w:divBdr>
    </w:div>
    <w:div w:id="511341755">
      <w:bodyDiv w:val="1"/>
      <w:marLeft w:val="0"/>
      <w:marRight w:val="0"/>
      <w:marTop w:val="0"/>
      <w:marBottom w:val="0"/>
      <w:divBdr>
        <w:top w:val="none" w:sz="0" w:space="0" w:color="auto"/>
        <w:left w:val="none" w:sz="0" w:space="0" w:color="auto"/>
        <w:bottom w:val="none" w:sz="0" w:space="0" w:color="auto"/>
        <w:right w:val="none" w:sz="0" w:space="0" w:color="auto"/>
      </w:divBdr>
    </w:div>
    <w:div w:id="518156753">
      <w:bodyDiv w:val="1"/>
      <w:marLeft w:val="0"/>
      <w:marRight w:val="0"/>
      <w:marTop w:val="0"/>
      <w:marBottom w:val="0"/>
      <w:divBdr>
        <w:top w:val="none" w:sz="0" w:space="0" w:color="auto"/>
        <w:left w:val="none" w:sz="0" w:space="0" w:color="auto"/>
        <w:bottom w:val="none" w:sz="0" w:space="0" w:color="auto"/>
        <w:right w:val="none" w:sz="0" w:space="0" w:color="auto"/>
      </w:divBdr>
    </w:div>
    <w:div w:id="520750280">
      <w:bodyDiv w:val="1"/>
      <w:marLeft w:val="0"/>
      <w:marRight w:val="0"/>
      <w:marTop w:val="0"/>
      <w:marBottom w:val="0"/>
      <w:divBdr>
        <w:top w:val="none" w:sz="0" w:space="0" w:color="auto"/>
        <w:left w:val="none" w:sz="0" w:space="0" w:color="auto"/>
        <w:bottom w:val="none" w:sz="0" w:space="0" w:color="auto"/>
        <w:right w:val="none" w:sz="0" w:space="0" w:color="auto"/>
      </w:divBdr>
    </w:div>
    <w:div w:id="536813784">
      <w:bodyDiv w:val="1"/>
      <w:marLeft w:val="0"/>
      <w:marRight w:val="0"/>
      <w:marTop w:val="0"/>
      <w:marBottom w:val="0"/>
      <w:divBdr>
        <w:top w:val="none" w:sz="0" w:space="0" w:color="auto"/>
        <w:left w:val="none" w:sz="0" w:space="0" w:color="auto"/>
        <w:bottom w:val="none" w:sz="0" w:space="0" w:color="auto"/>
        <w:right w:val="none" w:sz="0" w:space="0" w:color="auto"/>
      </w:divBdr>
    </w:div>
    <w:div w:id="563609799">
      <w:bodyDiv w:val="1"/>
      <w:marLeft w:val="0"/>
      <w:marRight w:val="0"/>
      <w:marTop w:val="0"/>
      <w:marBottom w:val="0"/>
      <w:divBdr>
        <w:top w:val="none" w:sz="0" w:space="0" w:color="auto"/>
        <w:left w:val="none" w:sz="0" w:space="0" w:color="auto"/>
        <w:bottom w:val="none" w:sz="0" w:space="0" w:color="auto"/>
        <w:right w:val="none" w:sz="0" w:space="0" w:color="auto"/>
      </w:divBdr>
    </w:div>
    <w:div w:id="585847194">
      <w:bodyDiv w:val="1"/>
      <w:marLeft w:val="0"/>
      <w:marRight w:val="0"/>
      <w:marTop w:val="0"/>
      <w:marBottom w:val="0"/>
      <w:divBdr>
        <w:top w:val="none" w:sz="0" w:space="0" w:color="auto"/>
        <w:left w:val="none" w:sz="0" w:space="0" w:color="auto"/>
        <w:bottom w:val="none" w:sz="0" w:space="0" w:color="auto"/>
        <w:right w:val="none" w:sz="0" w:space="0" w:color="auto"/>
      </w:divBdr>
    </w:div>
    <w:div w:id="608046959">
      <w:bodyDiv w:val="1"/>
      <w:marLeft w:val="0"/>
      <w:marRight w:val="0"/>
      <w:marTop w:val="0"/>
      <w:marBottom w:val="0"/>
      <w:divBdr>
        <w:top w:val="none" w:sz="0" w:space="0" w:color="auto"/>
        <w:left w:val="none" w:sz="0" w:space="0" w:color="auto"/>
        <w:bottom w:val="none" w:sz="0" w:space="0" w:color="auto"/>
        <w:right w:val="none" w:sz="0" w:space="0" w:color="auto"/>
      </w:divBdr>
    </w:div>
    <w:div w:id="626355090">
      <w:bodyDiv w:val="1"/>
      <w:marLeft w:val="0"/>
      <w:marRight w:val="0"/>
      <w:marTop w:val="0"/>
      <w:marBottom w:val="0"/>
      <w:divBdr>
        <w:top w:val="none" w:sz="0" w:space="0" w:color="auto"/>
        <w:left w:val="none" w:sz="0" w:space="0" w:color="auto"/>
        <w:bottom w:val="none" w:sz="0" w:space="0" w:color="auto"/>
        <w:right w:val="none" w:sz="0" w:space="0" w:color="auto"/>
      </w:divBdr>
    </w:div>
    <w:div w:id="636225752">
      <w:bodyDiv w:val="1"/>
      <w:marLeft w:val="0"/>
      <w:marRight w:val="0"/>
      <w:marTop w:val="0"/>
      <w:marBottom w:val="0"/>
      <w:divBdr>
        <w:top w:val="none" w:sz="0" w:space="0" w:color="auto"/>
        <w:left w:val="none" w:sz="0" w:space="0" w:color="auto"/>
        <w:bottom w:val="none" w:sz="0" w:space="0" w:color="auto"/>
        <w:right w:val="none" w:sz="0" w:space="0" w:color="auto"/>
      </w:divBdr>
    </w:div>
    <w:div w:id="652106786">
      <w:bodyDiv w:val="1"/>
      <w:marLeft w:val="0"/>
      <w:marRight w:val="0"/>
      <w:marTop w:val="0"/>
      <w:marBottom w:val="0"/>
      <w:divBdr>
        <w:top w:val="none" w:sz="0" w:space="0" w:color="auto"/>
        <w:left w:val="none" w:sz="0" w:space="0" w:color="auto"/>
        <w:bottom w:val="none" w:sz="0" w:space="0" w:color="auto"/>
        <w:right w:val="none" w:sz="0" w:space="0" w:color="auto"/>
      </w:divBdr>
    </w:div>
    <w:div w:id="666523581">
      <w:bodyDiv w:val="1"/>
      <w:marLeft w:val="0"/>
      <w:marRight w:val="0"/>
      <w:marTop w:val="0"/>
      <w:marBottom w:val="0"/>
      <w:divBdr>
        <w:top w:val="none" w:sz="0" w:space="0" w:color="auto"/>
        <w:left w:val="none" w:sz="0" w:space="0" w:color="auto"/>
        <w:bottom w:val="none" w:sz="0" w:space="0" w:color="auto"/>
        <w:right w:val="none" w:sz="0" w:space="0" w:color="auto"/>
      </w:divBdr>
    </w:div>
    <w:div w:id="682048406">
      <w:bodyDiv w:val="1"/>
      <w:marLeft w:val="0"/>
      <w:marRight w:val="0"/>
      <w:marTop w:val="0"/>
      <w:marBottom w:val="0"/>
      <w:divBdr>
        <w:top w:val="none" w:sz="0" w:space="0" w:color="auto"/>
        <w:left w:val="none" w:sz="0" w:space="0" w:color="auto"/>
        <w:bottom w:val="none" w:sz="0" w:space="0" w:color="auto"/>
        <w:right w:val="none" w:sz="0" w:space="0" w:color="auto"/>
      </w:divBdr>
    </w:div>
    <w:div w:id="682517396">
      <w:bodyDiv w:val="1"/>
      <w:marLeft w:val="0"/>
      <w:marRight w:val="0"/>
      <w:marTop w:val="0"/>
      <w:marBottom w:val="0"/>
      <w:divBdr>
        <w:top w:val="none" w:sz="0" w:space="0" w:color="auto"/>
        <w:left w:val="none" w:sz="0" w:space="0" w:color="auto"/>
        <w:bottom w:val="none" w:sz="0" w:space="0" w:color="auto"/>
        <w:right w:val="none" w:sz="0" w:space="0" w:color="auto"/>
      </w:divBdr>
    </w:div>
    <w:div w:id="714086164">
      <w:bodyDiv w:val="1"/>
      <w:marLeft w:val="0"/>
      <w:marRight w:val="0"/>
      <w:marTop w:val="0"/>
      <w:marBottom w:val="0"/>
      <w:divBdr>
        <w:top w:val="none" w:sz="0" w:space="0" w:color="auto"/>
        <w:left w:val="none" w:sz="0" w:space="0" w:color="auto"/>
        <w:bottom w:val="none" w:sz="0" w:space="0" w:color="auto"/>
        <w:right w:val="none" w:sz="0" w:space="0" w:color="auto"/>
      </w:divBdr>
    </w:div>
    <w:div w:id="746269977">
      <w:bodyDiv w:val="1"/>
      <w:marLeft w:val="0"/>
      <w:marRight w:val="0"/>
      <w:marTop w:val="0"/>
      <w:marBottom w:val="0"/>
      <w:divBdr>
        <w:top w:val="none" w:sz="0" w:space="0" w:color="auto"/>
        <w:left w:val="none" w:sz="0" w:space="0" w:color="auto"/>
        <w:bottom w:val="none" w:sz="0" w:space="0" w:color="auto"/>
        <w:right w:val="none" w:sz="0" w:space="0" w:color="auto"/>
      </w:divBdr>
    </w:div>
    <w:div w:id="793061024">
      <w:bodyDiv w:val="1"/>
      <w:marLeft w:val="0"/>
      <w:marRight w:val="0"/>
      <w:marTop w:val="0"/>
      <w:marBottom w:val="0"/>
      <w:divBdr>
        <w:top w:val="none" w:sz="0" w:space="0" w:color="auto"/>
        <w:left w:val="none" w:sz="0" w:space="0" w:color="auto"/>
        <w:bottom w:val="none" w:sz="0" w:space="0" w:color="auto"/>
        <w:right w:val="none" w:sz="0" w:space="0" w:color="auto"/>
      </w:divBdr>
    </w:div>
    <w:div w:id="798837957">
      <w:bodyDiv w:val="1"/>
      <w:marLeft w:val="0"/>
      <w:marRight w:val="0"/>
      <w:marTop w:val="0"/>
      <w:marBottom w:val="0"/>
      <w:divBdr>
        <w:top w:val="none" w:sz="0" w:space="0" w:color="auto"/>
        <w:left w:val="none" w:sz="0" w:space="0" w:color="auto"/>
        <w:bottom w:val="none" w:sz="0" w:space="0" w:color="auto"/>
        <w:right w:val="none" w:sz="0" w:space="0" w:color="auto"/>
      </w:divBdr>
    </w:div>
    <w:div w:id="809174601">
      <w:bodyDiv w:val="1"/>
      <w:marLeft w:val="0"/>
      <w:marRight w:val="0"/>
      <w:marTop w:val="0"/>
      <w:marBottom w:val="0"/>
      <w:divBdr>
        <w:top w:val="none" w:sz="0" w:space="0" w:color="auto"/>
        <w:left w:val="none" w:sz="0" w:space="0" w:color="auto"/>
        <w:bottom w:val="none" w:sz="0" w:space="0" w:color="auto"/>
        <w:right w:val="none" w:sz="0" w:space="0" w:color="auto"/>
      </w:divBdr>
    </w:div>
    <w:div w:id="813763151">
      <w:bodyDiv w:val="1"/>
      <w:marLeft w:val="0"/>
      <w:marRight w:val="0"/>
      <w:marTop w:val="0"/>
      <w:marBottom w:val="0"/>
      <w:divBdr>
        <w:top w:val="none" w:sz="0" w:space="0" w:color="auto"/>
        <w:left w:val="none" w:sz="0" w:space="0" w:color="auto"/>
        <w:bottom w:val="none" w:sz="0" w:space="0" w:color="auto"/>
        <w:right w:val="none" w:sz="0" w:space="0" w:color="auto"/>
      </w:divBdr>
    </w:div>
    <w:div w:id="845218473">
      <w:bodyDiv w:val="1"/>
      <w:marLeft w:val="0"/>
      <w:marRight w:val="0"/>
      <w:marTop w:val="0"/>
      <w:marBottom w:val="0"/>
      <w:divBdr>
        <w:top w:val="none" w:sz="0" w:space="0" w:color="auto"/>
        <w:left w:val="none" w:sz="0" w:space="0" w:color="auto"/>
        <w:bottom w:val="none" w:sz="0" w:space="0" w:color="auto"/>
        <w:right w:val="none" w:sz="0" w:space="0" w:color="auto"/>
      </w:divBdr>
    </w:div>
    <w:div w:id="865678447">
      <w:bodyDiv w:val="1"/>
      <w:marLeft w:val="0"/>
      <w:marRight w:val="0"/>
      <w:marTop w:val="0"/>
      <w:marBottom w:val="0"/>
      <w:divBdr>
        <w:top w:val="none" w:sz="0" w:space="0" w:color="auto"/>
        <w:left w:val="none" w:sz="0" w:space="0" w:color="auto"/>
        <w:bottom w:val="none" w:sz="0" w:space="0" w:color="auto"/>
        <w:right w:val="none" w:sz="0" w:space="0" w:color="auto"/>
      </w:divBdr>
    </w:div>
    <w:div w:id="876625653">
      <w:bodyDiv w:val="1"/>
      <w:marLeft w:val="0"/>
      <w:marRight w:val="0"/>
      <w:marTop w:val="0"/>
      <w:marBottom w:val="0"/>
      <w:divBdr>
        <w:top w:val="none" w:sz="0" w:space="0" w:color="auto"/>
        <w:left w:val="none" w:sz="0" w:space="0" w:color="auto"/>
        <w:bottom w:val="none" w:sz="0" w:space="0" w:color="auto"/>
        <w:right w:val="none" w:sz="0" w:space="0" w:color="auto"/>
      </w:divBdr>
    </w:div>
    <w:div w:id="889418167">
      <w:bodyDiv w:val="1"/>
      <w:marLeft w:val="0"/>
      <w:marRight w:val="0"/>
      <w:marTop w:val="0"/>
      <w:marBottom w:val="0"/>
      <w:divBdr>
        <w:top w:val="none" w:sz="0" w:space="0" w:color="auto"/>
        <w:left w:val="none" w:sz="0" w:space="0" w:color="auto"/>
        <w:bottom w:val="none" w:sz="0" w:space="0" w:color="auto"/>
        <w:right w:val="none" w:sz="0" w:space="0" w:color="auto"/>
      </w:divBdr>
    </w:div>
    <w:div w:id="902057056">
      <w:bodyDiv w:val="1"/>
      <w:marLeft w:val="0"/>
      <w:marRight w:val="0"/>
      <w:marTop w:val="0"/>
      <w:marBottom w:val="0"/>
      <w:divBdr>
        <w:top w:val="none" w:sz="0" w:space="0" w:color="auto"/>
        <w:left w:val="none" w:sz="0" w:space="0" w:color="auto"/>
        <w:bottom w:val="none" w:sz="0" w:space="0" w:color="auto"/>
        <w:right w:val="none" w:sz="0" w:space="0" w:color="auto"/>
      </w:divBdr>
    </w:div>
    <w:div w:id="905917898">
      <w:bodyDiv w:val="1"/>
      <w:marLeft w:val="0"/>
      <w:marRight w:val="0"/>
      <w:marTop w:val="0"/>
      <w:marBottom w:val="0"/>
      <w:divBdr>
        <w:top w:val="none" w:sz="0" w:space="0" w:color="auto"/>
        <w:left w:val="none" w:sz="0" w:space="0" w:color="auto"/>
        <w:bottom w:val="none" w:sz="0" w:space="0" w:color="auto"/>
        <w:right w:val="none" w:sz="0" w:space="0" w:color="auto"/>
      </w:divBdr>
    </w:div>
    <w:div w:id="922834056">
      <w:bodyDiv w:val="1"/>
      <w:marLeft w:val="0"/>
      <w:marRight w:val="0"/>
      <w:marTop w:val="0"/>
      <w:marBottom w:val="0"/>
      <w:divBdr>
        <w:top w:val="none" w:sz="0" w:space="0" w:color="auto"/>
        <w:left w:val="none" w:sz="0" w:space="0" w:color="auto"/>
        <w:bottom w:val="none" w:sz="0" w:space="0" w:color="auto"/>
        <w:right w:val="none" w:sz="0" w:space="0" w:color="auto"/>
      </w:divBdr>
    </w:div>
    <w:div w:id="938217828">
      <w:bodyDiv w:val="1"/>
      <w:marLeft w:val="0"/>
      <w:marRight w:val="0"/>
      <w:marTop w:val="0"/>
      <w:marBottom w:val="0"/>
      <w:divBdr>
        <w:top w:val="none" w:sz="0" w:space="0" w:color="auto"/>
        <w:left w:val="none" w:sz="0" w:space="0" w:color="auto"/>
        <w:bottom w:val="none" w:sz="0" w:space="0" w:color="auto"/>
        <w:right w:val="none" w:sz="0" w:space="0" w:color="auto"/>
      </w:divBdr>
    </w:div>
    <w:div w:id="989600695">
      <w:bodyDiv w:val="1"/>
      <w:marLeft w:val="0"/>
      <w:marRight w:val="0"/>
      <w:marTop w:val="0"/>
      <w:marBottom w:val="0"/>
      <w:divBdr>
        <w:top w:val="none" w:sz="0" w:space="0" w:color="auto"/>
        <w:left w:val="none" w:sz="0" w:space="0" w:color="auto"/>
        <w:bottom w:val="none" w:sz="0" w:space="0" w:color="auto"/>
        <w:right w:val="none" w:sz="0" w:space="0" w:color="auto"/>
      </w:divBdr>
    </w:div>
    <w:div w:id="996306904">
      <w:bodyDiv w:val="1"/>
      <w:marLeft w:val="0"/>
      <w:marRight w:val="0"/>
      <w:marTop w:val="0"/>
      <w:marBottom w:val="0"/>
      <w:divBdr>
        <w:top w:val="none" w:sz="0" w:space="0" w:color="auto"/>
        <w:left w:val="none" w:sz="0" w:space="0" w:color="auto"/>
        <w:bottom w:val="none" w:sz="0" w:space="0" w:color="auto"/>
        <w:right w:val="none" w:sz="0" w:space="0" w:color="auto"/>
      </w:divBdr>
    </w:div>
    <w:div w:id="1017928279">
      <w:bodyDiv w:val="1"/>
      <w:marLeft w:val="0"/>
      <w:marRight w:val="0"/>
      <w:marTop w:val="0"/>
      <w:marBottom w:val="0"/>
      <w:divBdr>
        <w:top w:val="none" w:sz="0" w:space="0" w:color="auto"/>
        <w:left w:val="none" w:sz="0" w:space="0" w:color="auto"/>
        <w:bottom w:val="none" w:sz="0" w:space="0" w:color="auto"/>
        <w:right w:val="none" w:sz="0" w:space="0" w:color="auto"/>
      </w:divBdr>
    </w:div>
    <w:div w:id="1022590562">
      <w:bodyDiv w:val="1"/>
      <w:marLeft w:val="0"/>
      <w:marRight w:val="0"/>
      <w:marTop w:val="0"/>
      <w:marBottom w:val="0"/>
      <w:divBdr>
        <w:top w:val="none" w:sz="0" w:space="0" w:color="auto"/>
        <w:left w:val="none" w:sz="0" w:space="0" w:color="auto"/>
        <w:bottom w:val="none" w:sz="0" w:space="0" w:color="auto"/>
        <w:right w:val="none" w:sz="0" w:space="0" w:color="auto"/>
      </w:divBdr>
    </w:div>
    <w:div w:id="1022703246">
      <w:bodyDiv w:val="1"/>
      <w:marLeft w:val="0"/>
      <w:marRight w:val="0"/>
      <w:marTop w:val="0"/>
      <w:marBottom w:val="0"/>
      <w:divBdr>
        <w:top w:val="none" w:sz="0" w:space="0" w:color="auto"/>
        <w:left w:val="none" w:sz="0" w:space="0" w:color="auto"/>
        <w:bottom w:val="none" w:sz="0" w:space="0" w:color="auto"/>
        <w:right w:val="none" w:sz="0" w:space="0" w:color="auto"/>
      </w:divBdr>
    </w:div>
    <w:div w:id="1035039740">
      <w:bodyDiv w:val="1"/>
      <w:marLeft w:val="0"/>
      <w:marRight w:val="0"/>
      <w:marTop w:val="0"/>
      <w:marBottom w:val="0"/>
      <w:divBdr>
        <w:top w:val="none" w:sz="0" w:space="0" w:color="auto"/>
        <w:left w:val="none" w:sz="0" w:space="0" w:color="auto"/>
        <w:bottom w:val="none" w:sz="0" w:space="0" w:color="auto"/>
        <w:right w:val="none" w:sz="0" w:space="0" w:color="auto"/>
      </w:divBdr>
    </w:div>
    <w:div w:id="1044862983">
      <w:bodyDiv w:val="1"/>
      <w:marLeft w:val="0"/>
      <w:marRight w:val="0"/>
      <w:marTop w:val="0"/>
      <w:marBottom w:val="0"/>
      <w:divBdr>
        <w:top w:val="none" w:sz="0" w:space="0" w:color="auto"/>
        <w:left w:val="none" w:sz="0" w:space="0" w:color="auto"/>
        <w:bottom w:val="none" w:sz="0" w:space="0" w:color="auto"/>
        <w:right w:val="none" w:sz="0" w:space="0" w:color="auto"/>
      </w:divBdr>
    </w:div>
    <w:div w:id="1053427432">
      <w:bodyDiv w:val="1"/>
      <w:marLeft w:val="0"/>
      <w:marRight w:val="0"/>
      <w:marTop w:val="0"/>
      <w:marBottom w:val="0"/>
      <w:divBdr>
        <w:top w:val="none" w:sz="0" w:space="0" w:color="auto"/>
        <w:left w:val="none" w:sz="0" w:space="0" w:color="auto"/>
        <w:bottom w:val="none" w:sz="0" w:space="0" w:color="auto"/>
        <w:right w:val="none" w:sz="0" w:space="0" w:color="auto"/>
      </w:divBdr>
    </w:div>
    <w:div w:id="1064180545">
      <w:bodyDiv w:val="1"/>
      <w:marLeft w:val="0"/>
      <w:marRight w:val="0"/>
      <w:marTop w:val="0"/>
      <w:marBottom w:val="0"/>
      <w:divBdr>
        <w:top w:val="none" w:sz="0" w:space="0" w:color="auto"/>
        <w:left w:val="none" w:sz="0" w:space="0" w:color="auto"/>
        <w:bottom w:val="none" w:sz="0" w:space="0" w:color="auto"/>
        <w:right w:val="none" w:sz="0" w:space="0" w:color="auto"/>
      </w:divBdr>
      <w:divsChild>
        <w:div w:id="938294467">
          <w:marLeft w:val="0"/>
          <w:marRight w:val="0"/>
          <w:marTop w:val="0"/>
          <w:marBottom w:val="0"/>
          <w:divBdr>
            <w:top w:val="none" w:sz="0" w:space="0" w:color="auto"/>
            <w:left w:val="none" w:sz="0" w:space="0" w:color="auto"/>
            <w:bottom w:val="none" w:sz="0" w:space="0" w:color="auto"/>
            <w:right w:val="none" w:sz="0" w:space="0" w:color="auto"/>
          </w:divBdr>
        </w:div>
        <w:div w:id="406343897">
          <w:marLeft w:val="0"/>
          <w:marRight w:val="0"/>
          <w:marTop w:val="0"/>
          <w:marBottom w:val="0"/>
          <w:divBdr>
            <w:top w:val="none" w:sz="0" w:space="0" w:color="auto"/>
            <w:left w:val="none" w:sz="0" w:space="0" w:color="auto"/>
            <w:bottom w:val="none" w:sz="0" w:space="0" w:color="auto"/>
            <w:right w:val="none" w:sz="0" w:space="0" w:color="auto"/>
          </w:divBdr>
        </w:div>
        <w:div w:id="608664345">
          <w:marLeft w:val="0"/>
          <w:marRight w:val="0"/>
          <w:marTop w:val="0"/>
          <w:marBottom w:val="0"/>
          <w:divBdr>
            <w:top w:val="none" w:sz="0" w:space="0" w:color="auto"/>
            <w:left w:val="none" w:sz="0" w:space="0" w:color="auto"/>
            <w:bottom w:val="none" w:sz="0" w:space="0" w:color="auto"/>
            <w:right w:val="none" w:sz="0" w:space="0" w:color="auto"/>
          </w:divBdr>
        </w:div>
        <w:div w:id="705911878">
          <w:marLeft w:val="0"/>
          <w:marRight w:val="0"/>
          <w:marTop w:val="0"/>
          <w:marBottom w:val="0"/>
          <w:divBdr>
            <w:top w:val="none" w:sz="0" w:space="0" w:color="auto"/>
            <w:left w:val="none" w:sz="0" w:space="0" w:color="auto"/>
            <w:bottom w:val="none" w:sz="0" w:space="0" w:color="auto"/>
            <w:right w:val="none" w:sz="0" w:space="0" w:color="auto"/>
          </w:divBdr>
        </w:div>
        <w:div w:id="361712091">
          <w:marLeft w:val="0"/>
          <w:marRight w:val="0"/>
          <w:marTop w:val="0"/>
          <w:marBottom w:val="0"/>
          <w:divBdr>
            <w:top w:val="none" w:sz="0" w:space="0" w:color="auto"/>
            <w:left w:val="none" w:sz="0" w:space="0" w:color="auto"/>
            <w:bottom w:val="none" w:sz="0" w:space="0" w:color="auto"/>
            <w:right w:val="none" w:sz="0" w:space="0" w:color="auto"/>
          </w:divBdr>
        </w:div>
        <w:div w:id="1747145606">
          <w:marLeft w:val="0"/>
          <w:marRight w:val="0"/>
          <w:marTop w:val="0"/>
          <w:marBottom w:val="0"/>
          <w:divBdr>
            <w:top w:val="none" w:sz="0" w:space="0" w:color="auto"/>
            <w:left w:val="none" w:sz="0" w:space="0" w:color="auto"/>
            <w:bottom w:val="none" w:sz="0" w:space="0" w:color="auto"/>
            <w:right w:val="none" w:sz="0" w:space="0" w:color="auto"/>
          </w:divBdr>
        </w:div>
        <w:div w:id="1640333228">
          <w:marLeft w:val="0"/>
          <w:marRight w:val="0"/>
          <w:marTop w:val="0"/>
          <w:marBottom w:val="0"/>
          <w:divBdr>
            <w:top w:val="none" w:sz="0" w:space="0" w:color="auto"/>
            <w:left w:val="none" w:sz="0" w:space="0" w:color="auto"/>
            <w:bottom w:val="none" w:sz="0" w:space="0" w:color="auto"/>
            <w:right w:val="none" w:sz="0" w:space="0" w:color="auto"/>
          </w:divBdr>
        </w:div>
        <w:div w:id="425464903">
          <w:marLeft w:val="0"/>
          <w:marRight w:val="0"/>
          <w:marTop w:val="0"/>
          <w:marBottom w:val="0"/>
          <w:divBdr>
            <w:top w:val="none" w:sz="0" w:space="0" w:color="auto"/>
            <w:left w:val="none" w:sz="0" w:space="0" w:color="auto"/>
            <w:bottom w:val="none" w:sz="0" w:space="0" w:color="auto"/>
            <w:right w:val="none" w:sz="0" w:space="0" w:color="auto"/>
          </w:divBdr>
        </w:div>
        <w:div w:id="48236115">
          <w:marLeft w:val="0"/>
          <w:marRight w:val="0"/>
          <w:marTop w:val="0"/>
          <w:marBottom w:val="0"/>
          <w:divBdr>
            <w:top w:val="none" w:sz="0" w:space="0" w:color="auto"/>
            <w:left w:val="none" w:sz="0" w:space="0" w:color="auto"/>
            <w:bottom w:val="none" w:sz="0" w:space="0" w:color="auto"/>
            <w:right w:val="none" w:sz="0" w:space="0" w:color="auto"/>
          </w:divBdr>
        </w:div>
        <w:div w:id="956330586">
          <w:marLeft w:val="0"/>
          <w:marRight w:val="0"/>
          <w:marTop w:val="0"/>
          <w:marBottom w:val="0"/>
          <w:divBdr>
            <w:top w:val="none" w:sz="0" w:space="0" w:color="auto"/>
            <w:left w:val="none" w:sz="0" w:space="0" w:color="auto"/>
            <w:bottom w:val="none" w:sz="0" w:space="0" w:color="auto"/>
            <w:right w:val="none" w:sz="0" w:space="0" w:color="auto"/>
          </w:divBdr>
        </w:div>
        <w:div w:id="213472137">
          <w:marLeft w:val="0"/>
          <w:marRight w:val="0"/>
          <w:marTop w:val="0"/>
          <w:marBottom w:val="0"/>
          <w:divBdr>
            <w:top w:val="none" w:sz="0" w:space="0" w:color="auto"/>
            <w:left w:val="none" w:sz="0" w:space="0" w:color="auto"/>
            <w:bottom w:val="none" w:sz="0" w:space="0" w:color="auto"/>
            <w:right w:val="none" w:sz="0" w:space="0" w:color="auto"/>
          </w:divBdr>
        </w:div>
      </w:divsChild>
    </w:div>
    <w:div w:id="1074818696">
      <w:bodyDiv w:val="1"/>
      <w:marLeft w:val="0"/>
      <w:marRight w:val="0"/>
      <w:marTop w:val="0"/>
      <w:marBottom w:val="0"/>
      <w:divBdr>
        <w:top w:val="none" w:sz="0" w:space="0" w:color="auto"/>
        <w:left w:val="none" w:sz="0" w:space="0" w:color="auto"/>
        <w:bottom w:val="none" w:sz="0" w:space="0" w:color="auto"/>
        <w:right w:val="none" w:sz="0" w:space="0" w:color="auto"/>
      </w:divBdr>
    </w:div>
    <w:div w:id="1093670599">
      <w:bodyDiv w:val="1"/>
      <w:marLeft w:val="0"/>
      <w:marRight w:val="0"/>
      <w:marTop w:val="0"/>
      <w:marBottom w:val="0"/>
      <w:divBdr>
        <w:top w:val="none" w:sz="0" w:space="0" w:color="auto"/>
        <w:left w:val="none" w:sz="0" w:space="0" w:color="auto"/>
        <w:bottom w:val="none" w:sz="0" w:space="0" w:color="auto"/>
        <w:right w:val="none" w:sz="0" w:space="0" w:color="auto"/>
      </w:divBdr>
    </w:div>
    <w:div w:id="1121341464">
      <w:bodyDiv w:val="1"/>
      <w:marLeft w:val="0"/>
      <w:marRight w:val="0"/>
      <w:marTop w:val="0"/>
      <w:marBottom w:val="0"/>
      <w:divBdr>
        <w:top w:val="none" w:sz="0" w:space="0" w:color="auto"/>
        <w:left w:val="none" w:sz="0" w:space="0" w:color="auto"/>
        <w:bottom w:val="none" w:sz="0" w:space="0" w:color="auto"/>
        <w:right w:val="none" w:sz="0" w:space="0" w:color="auto"/>
      </w:divBdr>
      <w:divsChild>
        <w:div w:id="1183203094">
          <w:marLeft w:val="0"/>
          <w:marRight w:val="0"/>
          <w:marTop w:val="0"/>
          <w:marBottom w:val="0"/>
          <w:divBdr>
            <w:top w:val="none" w:sz="0" w:space="0" w:color="auto"/>
            <w:left w:val="none" w:sz="0" w:space="0" w:color="auto"/>
            <w:bottom w:val="none" w:sz="0" w:space="0" w:color="auto"/>
            <w:right w:val="none" w:sz="0" w:space="0" w:color="auto"/>
          </w:divBdr>
        </w:div>
        <w:div w:id="1083449691">
          <w:marLeft w:val="0"/>
          <w:marRight w:val="0"/>
          <w:marTop w:val="0"/>
          <w:marBottom w:val="0"/>
          <w:divBdr>
            <w:top w:val="none" w:sz="0" w:space="0" w:color="auto"/>
            <w:left w:val="none" w:sz="0" w:space="0" w:color="auto"/>
            <w:bottom w:val="none" w:sz="0" w:space="0" w:color="auto"/>
            <w:right w:val="none" w:sz="0" w:space="0" w:color="auto"/>
          </w:divBdr>
        </w:div>
        <w:div w:id="731318841">
          <w:marLeft w:val="0"/>
          <w:marRight w:val="0"/>
          <w:marTop w:val="0"/>
          <w:marBottom w:val="0"/>
          <w:divBdr>
            <w:top w:val="none" w:sz="0" w:space="0" w:color="auto"/>
            <w:left w:val="none" w:sz="0" w:space="0" w:color="auto"/>
            <w:bottom w:val="none" w:sz="0" w:space="0" w:color="auto"/>
            <w:right w:val="none" w:sz="0" w:space="0" w:color="auto"/>
          </w:divBdr>
        </w:div>
        <w:div w:id="955135835">
          <w:marLeft w:val="0"/>
          <w:marRight w:val="0"/>
          <w:marTop w:val="0"/>
          <w:marBottom w:val="0"/>
          <w:divBdr>
            <w:top w:val="none" w:sz="0" w:space="0" w:color="auto"/>
            <w:left w:val="none" w:sz="0" w:space="0" w:color="auto"/>
            <w:bottom w:val="none" w:sz="0" w:space="0" w:color="auto"/>
            <w:right w:val="none" w:sz="0" w:space="0" w:color="auto"/>
          </w:divBdr>
        </w:div>
        <w:div w:id="847673933">
          <w:marLeft w:val="0"/>
          <w:marRight w:val="0"/>
          <w:marTop w:val="0"/>
          <w:marBottom w:val="0"/>
          <w:divBdr>
            <w:top w:val="none" w:sz="0" w:space="0" w:color="auto"/>
            <w:left w:val="none" w:sz="0" w:space="0" w:color="auto"/>
            <w:bottom w:val="none" w:sz="0" w:space="0" w:color="auto"/>
            <w:right w:val="none" w:sz="0" w:space="0" w:color="auto"/>
          </w:divBdr>
        </w:div>
        <w:div w:id="123276262">
          <w:marLeft w:val="0"/>
          <w:marRight w:val="0"/>
          <w:marTop w:val="0"/>
          <w:marBottom w:val="0"/>
          <w:divBdr>
            <w:top w:val="none" w:sz="0" w:space="0" w:color="auto"/>
            <w:left w:val="none" w:sz="0" w:space="0" w:color="auto"/>
            <w:bottom w:val="none" w:sz="0" w:space="0" w:color="auto"/>
            <w:right w:val="none" w:sz="0" w:space="0" w:color="auto"/>
          </w:divBdr>
        </w:div>
        <w:div w:id="282926142">
          <w:marLeft w:val="0"/>
          <w:marRight w:val="0"/>
          <w:marTop w:val="0"/>
          <w:marBottom w:val="0"/>
          <w:divBdr>
            <w:top w:val="none" w:sz="0" w:space="0" w:color="auto"/>
            <w:left w:val="none" w:sz="0" w:space="0" w:color="auto"/>
            <w:bottom w:val="none" w:sz="0" w:space="0" w:color="auto"/>
            <w:right w:val="none" w:sz="0" w:space="0" w:color="auto"/>
          </w:divBdr>
        </w:div>
        <w:div w:id="183130957">
          <w:marLeft w:val="0"/>
          <w:marRight w:val="0"/>
          <w:marTop w:val="0"/>
          <w:marBottom w:val="0"/>
          <w:divBdr>
            <w:top w:val="none" w:sz="0" w:space="0" w:color="auto"/>
            <w:left w:val="none" w:sz="0" w:space="0" w:color="auto"/>
            <w:bottom w:val="none" w:sz="0" w:space="0" w:color="auto"/>
            <w:right w:val="none" w:sz="0" w:space="0" w:color="auto"/>
          </w:divBdr>
        </w:div>
        <w:div w:id="688799440">
          <w:marLeft w:val="0"/>
          <w:marRight w:val="0"/>
          <w:marTop w:val="0"/>
          <w:marBottom w:val="0"/>
          <w:divBdr>
            <w:top w:val="none" w:sz="0" w:space="0" w:color="auto"/>
            <w:left w:val="none" w:sz="0" w:space="0" w:color="auto"/>
            <w:bottom w:val="none" w:sz="0" w:space="0" w:color="auto"/>
            <w:right w:val="none" w:sz="0" w:space="0" w:color="auto"/>
          </w:divBdr>
        </w:div>
        <w:div w:id="1373918572">
          <w:marLeft w:val="0"/>
          <w:marRight w:val="0"/>
          <w:marTop w:val="0"/>
          <w:marBottom w:val="0"/>
          <w:divBdr>
            <w:top w:val="none" w:sz="0" w:space="0" w:color="auto"/>
            <w:left w:val="none" w:sz="0" w:space="0" w:color="auto"/>
            <w:bottom w:val="none" w:sz="0" w:space="0" w:color="auto"/>
            <w:right w:val="none" w:sz="0" w:space="0" w:color="auto"/>
          </w:divBdr>
        </w:div>
      </w:divsChild>
    </w:div>
    <w:div w:id="1167984185">
      <w:bodyDiv w:val="1"/>
      <w:marLeft w:val="0"/>
      <w:marRight w:val="0"/>
      <w:marTop w:val="0"/>
      <w:marBottom w:val="0"/>
      <w:divBdr>
        <w:top w:val="none" w:sz="0" w:space="0" w:color="auto"/>
        <w:left w:val="none" w:sz="0" w:space="0" w:color="auto"/>
        <w:bottom w:val="none" w:sz="0" w:space="0" w:color="auto"/>
        <w:right w:val="none" w:sz="0" w:space="0" w:color="auto"/>
      </w:divBdr>
    </w:div>
    <w:div w:id="1207983343">
      <w:bodyDiv w:val="1"/>
      <w:marLeft w:val="0"/>
      <w:marRight w:val="0"/>
      <w:marTop w:val="0"/>
      <w:marBottom w:val="0"/>
      <w:divBdr>
        <w:top w:val="none" w:sz="0" w:space="0" w:color="auto"/>
        <w:left w:val="none" w:sz="0" w:space="0" w:color="auto"/>
        <w:bottom w:val="none" w:sz="0" w:space="0" w:color="auto"/>
        <w:right w:val="none" w:sz="0" w:space="0" w:color="auto"/>
      </w:divBdr>
    </w:div>
    <w:div w:id="1293438995">
      <w:bodyDiv w:val="1"/>
      <w:marLeft w:val="0"/>
      <w:marRight w:val="0"/>
      <w:marTop w:val="0"/>
      <w:marBottom w:val="0"/>
      <w:divBdr>
        <w:top w:val="none" w:sz="0" w:space="0" w:color="auto"/>
        <w:left w:val="none" w:sz="0" w:space="0" w:color="auto"/>
        <w:bottom w:val="none" w:sz="0" w:space="0" w:color="auto"/>
        <w:right w:val="none" w:sz="0" w:space="0" w:color="auto"/>
      </w:divBdr>
    </w:div>
    <w:div w:id="1307011196">
      <w:bodyDiv w:val="1"/>
      <w:marLeft w:val="0"/>
      <w:marRight w:val="0"/>
      <w:marTop w:val="0"/>
      <w:marBottom w:val="0"/>
      <w:divBdr>
        <w:top w:val="none" w:sz="0" w:space="0" w:color="auto"/>
        <w:left w:val="none" w:sz="0" w:space="0" w:color="auto"/>
        <w:bottom w:val="none" w:sz="0" w:space="0" w:color="auto"/>
        <w:right w:val="none" w:sz="0" w:space="0" w:color="auto"/>
      </w:divBdr>
    </w:div>
    <w:div w:id="1312442017">
      <w:bodyDiv w:val="1"/>
      <w:marLeft w:val="0"/>
      <w:marRight w:val="0"/>
      <w:marTop w:val="0"/>
      <w:marBottom w:val="0"/>
      <w:divBdr>
        <w:top w:val="none" w:sz="0" w:space="0" w:color="auto"/>
        <w:left w:val="none" w:sz="0" w:space="0" w:color="auto"/>
        <w:bottom w:val="none" w:sz="0" w:space="0" w:color="auto"/>
        <w:right w:val="none" w:sz="0" w:space="0" w:color="auto"/>
      </w:divBdr>
    </w:div>
    <w:div w:id="1342974943">
      <w:bodyDiv w:val="1"/>
      <w:marLeft w:val="0"/>
      <w:marRight w:val="0"/>
      <w:marTop w:val="0"/>
      <w:marBottom w:val="0"/>
      <w:divBdr>
        <w:top w:val="none" w:sz="0" w:space="0" w:color="auto"/>
        <w:left w:val="none" w:sz="0" w:space="0" w:color="auto"/>
        <w:bottom w:val="none" w:sz="0" w:space="0" w:color="auto"/>
        <w:right w:val="none" w:sz="0" w:space="0" w:color="auto"/>
      </w:divBdr>
    </w:div>
    <w:div w:id="1367411380">
      <w:bodyDiv w:val="1"/>
      <w:marLeft w:val="0"/>
      <w:marRight w:val="0"/>
      <w:marTop w:val="0"/>
      <w:marBottom w:val="0"/>
      <w:divBdr>
        <w:top w:val="none" w:sz="0" w:space="0" w:color="auto"/>
        <w:left w:val="none" w:sz="0" w:space="0" w:color="auto"/>
        <w:bottom w:val="none" w:sz="0" w:space="0" w:color="auto"/>
        <w:right w:val="none" w:sz="0" w:space="0" w:color="auto"/>
      </w:divBdr>
    </w:div>
    <w:div w:id="1379664800">
      <w:bodyDiv w:val="1"/>
      <w:marLeft w:val="0"/>
      <w:marRight w:val="0"/>
      <w:marTop w:val="0"/>
      <w:marBottom w:val="0"/>
      <w:divBdr>
        <w:top w:val="none" w:sz="0" w:space="0" w:color="auto"/>
        <w:left w:val="none" w:sz="0" w:space="0" w:color="auto"/>
        <w:bottom w:val="none" w:sz="0" w:space="0" w:color="auto"/>
        <w:right w:val="none" w:sz="0" w:space="0" w:color="auto"/>
      </w:divBdr>
      <w:divsChild>
        <w:div w:id="664094269">
          <w:marLeft w:val="0"/>
          <w:marRight w:val="0"/>
          <w:marTop w:val="0"/>
          <w:marBottom w:val="0"/>
          <w:divBdr>
            <w:top w:val="none" w:sz="0" w:space="0" w:color="auto"/>
            <w:left w:val="none" w:sz="0" w:space="0" w:color="auto"/>
            <w:bottom w:val="none" w:sz="0" w:space="0" w:color="auto"/>
            <w:right w:val="none" w:sz="0" w:space="0" w:color="auto"/>
          </w:divBdr>
        </w:div>
        <w:div w:id="559632143">
          <w:marLeft w:val="0"/>
          <w:marRight w:val="0"/>
          <w:marTop w:val="0"/>
          <w:marBottom w:val="0"/>
          <w:divBdr>
            <w:top w:val="none" w:sz="0" w:space="0" w:color="auto"/>
            <w:left w:val="none" w:sz="0" w:space="0" w:color="auto"/>
            <w:bottom w:val="none" w:sz="0" w:space="0" w:color="auto"/>
            <w:right w:val="none" w:sz="0" w:space="0" w:color="auto"/>
          </w:divBdr>
        </w:div>
        <w:div w:id="297996231">
          <w:marLeft w:val="0"/>
          <w:marRight w:val="0"/>
          <w:marTop w:val="0"/>
          <w:marBottom w:val="0"/>
          <w:divBdr>
            <w:top w:val="none" w:sz="0" w:space="0" w:color="auto"/>
            <w:left w:val="none" w:sz="0" w:space="0" w:color="auto"/>
            <w:bottom w:val="none" w:sz="0" w:space="0" w:color="auto"/>
            <w:right w:val="none" w:sz="0" w:space="0" w:color="auto"/>
          </w:divBdr>
        </w:div>
      </w:divsChild>
    </w:div>
    <w:div w:id="1422792676">
      <w:bodyDiv w:val="1"/>
      <w:marLeft w:val="0"/>
      <w:marRight w:val="0"/>
      <w:marTop w:val="0"/>
      <w:marBottom w:val="0"/>
      <w:divBdr>
        <w:top w:val="none" w:sz="0" w:space="0" w:color="auto"/>
        <w:left w:val="none" w:sz="0" w:space="0" w:color="auto"/>
        <w:bottom w:val="none" w:sz="0" w:space="0" w:color="auto"/>
        <w:right w:val="none" w:sz="0" w:space="0" w:color="auto"/>
      </w:divBdr>
    </w:div>
    <w:div w:id="1456215980">
      <w:bodyDiv w:val="1"/>
      <w:marLeft w:val="0"/>
      <w:marRight w:val="0"/>
      <w:marTop w:val="0"/>
      <w:marBottom w:val="0"/>
      <w:divBdr>
        <w:top w:val="none" w:sz="0" w:space="0" w:color="auto"/>
        <w:left w:val="none" w:sz="0" w:space="0" w:color="auto"/>
        <w:bottom w:val="none" w:sz="0" w:space="0" w:color="auto"/>
        <w:right w:val="none" w:sz="0" w:space="0" w:color="auto"/>
      </w:divBdr>
    </w:div>
    <w:div w:id="1494028755">
      <w:bodyDiv w:val="1"/>
      <w:marLeft w:val="0"/>
      <w:marRight w:val="0"/>
      <w:marTop w:val="0"/>
      <w:marBottom w:val="0"/>
      <w:divBdr>
        <w:top w:val="none" w:sz="0" w:space="0" w:color="auto"/>
        <w:left w:val="none" w:sz="0" w:space="0" w:color="auto"/>
        <w:bottom w:val="none" w:sz="0" w:space="0" w:color="auto"/>
        <w:right w:val="none" w:sz="0" w:space="0" w:color="auto"/>
      </w:divBdr>
    </w:div>
    <w:div w:id="1528567904">
      <w:bodyDiv w:val="1"/>
      <w:marLeft w:val="0"/>
      <w:marRight w:val="0"/>
      <w:marTop w:val="0"/>
      <w:marBottom w:val="0"/>
      <w:divBdr>
        <w:top w:val="none" w:sz="0" w:space="0" w:color="auto"/>
        <w:left w:val="none" w:sz="0" w:space="0" w:color="auto"/>
        <w:bottom w:val="none" w:sz="0" w:space="0" w:color="auto"/>
        <w:right w:val="none" w:sz="0" w:space="0" w:color="auto"/>
      </w:divBdr>
    </w:div>
    <w:div w:id="1554535415">
      <w:bodyDiv w:val="1"/>
      <w:marLeft w:val="0"/>
      <w:marRight w:val="0"/>
      <w:marTop w:val="0"/>
      <w:marBottom w:val="0"/>
      <w:divBdr>
        <w:top w:val="none" w:sz="0" w:space="0" w:color="auto"/>
        <w:left w:val="none" w:sz="0" w:space="0" w:color="auto"/>
        <w:bottom w:val="none" w:sz="0" w:space="0" w:color="auto"/>
        <w:right w:val="none" w:sz="0" w:space="0" w:color="auto"/>
      </w:divBdr>
    </w:div>
    <w:div w:id="1565723856">
      <w:bodyDiv w:val="1"/>
      <w:marLeft w:val="0"/>
      <w:marRight w:val="0"/>
      <w:marTop w:val="0"/>
      <w:marBottom w:val="0"/>
      <w:divBdr>
        <w:top w:val="none" w:sz="0" w:space="0" w:color="auto"/>
        <w:left w:val="none" w:sz="0" w:space="0" w:color="auto"/>
        <w:bottom w:val="none" w:sz="0" w:space="0" w:color="auto"/>
        <w:right w:val="none" w:sz="0" w:space="0" w:color="auto"/>
      </w:divBdr>
    </w:div>
    <w:div w:id="1567033038">
      <w:bodyDiv w:val="1"/>
      <w:marLeft w:val="0"/>
      <w:marRight w:val="0"/>
      <w:marTop w:val="0"/>
      <w:marBottom w:val="0"/>
      <w:divBdr>
        <w:top w:val="none" w:sz="0" w:space="0" w:color="auto"/>
        <w:left w:val="none" w:sz="0" w:space="0" w:color="auto"/>
        <w:bottom w:val="none" w:sz="0" w:space="0" w:color="auto"/>
        <w:right w:val="none" w:sz="0" w:space="0" w:color="auto"/>
      </w:divBdr>
    </w:div>
    <w:div w:id="1599681708">
      <w:bodyDiv w:val="1"/>
      <w:marLeft w:val="0"/>
      <w:marRight w:val="0"/>
      <w:marTop w:val="0"/>
      <w:marBottom w:val="0"/>
      <w:divBdr>
        <w:top w:val="none" w:sz="0" w:space="0" w:color="auto"/>
        <w:left w:val="none" w:sz="0" w:space="0" w:color="auto"/>
        <w:bottom w:val="none" w:sz="0" w:space="0" w:color="auto"/>
        <w:right w:val="none" w:sz="0" w:space="0" w:color="auto"/>
      </w:divBdr>
    </w:div>
    <w:div w:id="1614550638">
      <w:bodyDiv w:val="1"/>
      <w:marLeft w:val="0"/>
      <w:marRight w:val="0"/>
      <w:marTop w:val="0"/>
      <w:marBottom w:val="0"/>
      <w:divBdr>
        <w:top w:val="none" w:sz="0" w:space="0" w:color="auto"/>
        <w:left w:val="none" w:sz="0" w:space="0" w:color="auto"/>
        <w:bottom w:val="none" w:sz="0" w:space="0" w:color="auto"/>
        <w:right w:val="none" w:sz="0" w:space="0" w:color="auto"/>
      </w:divBdr>
    </w:div>
    <w:div w:id="1632789153">
      <w:bodyDiv w:val="1"/>
      <w:marLeft w:val="0"/>
      <w:marRight w:val="0"/>
      <w:marTop w:val="0"/>
      <w:marBottom w:val="0"/>
      <w:divBdr>
        <w:top w:val="none" w:sz="0" w:space="0" w:color="auto"/>
        <w:left w:val="none" w:sz="0" w:space="0" w:color="auto"/>
        <w:bottom w:val="none" w:sz="0" w:space="0" w:color="auto"/>
        <w:right w:val="none" w:sz="0" w:space="0" w:color="auto"/>
      </w:divBdr>
    </w:div>
    <w:div w:id="1653171011">
      <w:bodyDiv w:val="1"/>
      <w:marLeft w:val="0"/>
      <w:marRight w:val="0"/>
      <w:marTop w:val="0"/>
      <w:marBottom w:val="0"/>
      <w:divBdr>
        <w:top w:val="none" w:sz="0" w:space="0" w:color="auto"/>
        <w:left w:val="none" w:sz="0" w:space="0" w:color="auto"/>
        <w:bottom w:val="none" w:sz="0" w:space="0" w:color="auto"/>
        <w:right w:val="none" w:sz="0" w:space="0" w:color="auto"/>
      </w:divBdr>
    </w:div>
    <w:div w:id="1663699800">
      <w:bodyDiv w:val="1"/>
      <w:marLeft w:val="0"/>
      <w:marRight w:val="0"/>
      <w:marTop w:val="0"/>
      <w:marBottom w:val="0"/>
      <w:divBdr>
        <w:top w:val="none" w:sz="0" w:space="0" w:color="auto"/>
        <w:left w:val="none" w:sz="0" w:space="0" w:color="auto"/>
        <w:bottom w:val="none" w:sz="0" w:space="0" w:color="auto"/>
        <w:right w:val="none" w:sz="0" w:space="0" w:color="auto"/>
      </w:divBdr>
    </w:div>
    <w:div w:id="1669553477">
      <w:bodyDiv w:val="1"/>
      <w:marLeft w:val="0"/>
      <w:marRight w:val="0"/>
      <w:marTop w:val="0"/>
      <w:marBottom w:val="0"/>
      <w:divBdr>
        <w:top w:val="none" w:sz="0" w:space="0" w:color="auto"/>
        <w:left w:val="none" w:sz="0" w:space="0" w:color="auto"/>
        <w:bottom w:val="none" w:sz="0" w:space="0" w:color="auto"/>
        <w:right w:val="none" w:sz="0" w:space="0" w:color="auto"/>
      </w:divBdr>
    </w:div>
    <w:div w:id="1670517923">
      <w:bodyDiv w:val="1"/>
      <w:marLeft w:val="0"/>
      <w:marRight w:val="0"/>
      <w:marTop w:val="0"/>
      <w:marBottom w:val="0"/>
      <w:divBdr>
        <w:top w:val="none" w:sz="0" w:space="0" w:color="auto"/>
        <w:left w:val="none" w:sz="0" w:space="0" w:color="auto"/>
        <w:bottom w:val="none" w:sz="0" w:space="0" w:color="auto"/>
        <w:right w:val="none" w:sz="0" w:space="0" w:color="auto"/>
      </w:divBdr>
    </w:div>
    <w:div w:id="1707489897">
      <w:bodyDiv w:val="1"/>
      <w:marLeft w:val="0"/>
      <w:marRight w:val="0"/>
      <w:marTop w:val="0"/>
      <w:marBottom w:val="0"/>
      <w:divBdr>
        <w:top w:val="none" w:sz="0" w:space="0" w:color="auto"/>
        <w:left w:val="none" w:sz="0" w:space="0" w:color="auto"/>
        <w:bottom w:val="none" w:sz="0" w:space="0" w:color="auto"/>
        <w:right w:val="none" w:sz="0" w:space="0" w:color="auto"/>
      </w:divBdr>
    </w:div>
    <w:div w:id="1726492546">
      <w:bodyDiv w:val="1"/>
      <w:marLeft w:val="0"/>
      <w:marRight w:val="0"/>
      <w:marTop w:val="0"/>
      <w:marBottom w:val="0"/>
      <w:divBdr>
        <w:top w:val="none" w:sz="0" w:space="0" w:color="auto"/>
        <w:left w:val="none" w:sz="0" w:space="0" w:color="auto"/>
        <w:bottom w:val="none" w:sz="0" w:space="0" w:color="auto"/>
        <w:right w:val="none" w:sz="0" w:space="0" w:color="auto"/>
      </w:divBdr>
    </w:div>
    <w:div w:id="1732537524">
      <w:bodyDiv w:val="1"/>
      <w:marLeft w:val="0"/>
      <w:marRight w:val="0"/>
      <w:marTop w:val="0"/>
      <w:marBottom w:val="0"/>
      <w:divBdr>
        <w:top w:val="none" w:sz="0" w:space="0" w:color="auto"/>
        <w:left w:val="none" w:sz="0" w:space="0" w:color="auto"/>
        <w:bottom w:val="none" w:sz="0" w:space="0" w:color="auto"/>
        <w:right w:val="none" w:sz="0" w:space="0" w:color="auto"/>
      </w:divBdr>
    </w:div>
    <w:div w:id="1749158817">
      <w:bodyDiv w:val="1"/>
      <w:marLeft w:val="0"/>
      <w:marRight w:val="0"/>
      <w:marTop w:val="0"/>
      <w:marBottom w:val="0"/>
      <w:divBdr>
        <w:top w:val="none" w:sz="0" w:space="0" w:color="auto"/>
        <w:left w:val="none" w:sz="0" w:space="0" w:color="auto"/>
        <w:bottom w:val="none" w:sz="0" w:space="0" w:color="auto"/>
        <w:right w:val="none" w:sz="0" w:space="0" w:color="auto"/>
      </w:divBdr>
    </w:div>
    <w:div w:id="1815371114">
      <w:bodyDiv w:val="1"/>
      <w:marLeft w:val="0"/>
      <w:marRight w:val="0"/>
      <w:marTop w:val="0"/>
      <w:marBottom w:val="0"/>
      <w:divBdr>
        <w:top w:val="none" w:sz="0" w:space="0" w:color="auto"/>
        <w:left w:val="none" w:sz="0" w:space="0" w:color="auto"/>
        <w:bottom w:val="none" w:sz="0" w:space="0" w:color="auto"/>
        <w:right w:val="none" w:sz="0" w:space="0" w:color="auto"/>
      </w:divBdr>
    </w:div>
    <w:div w:id="1841190864">
      <w:bodyDiv w:val="1"/>
      <w:marLeft w:val="0"/>
      <w:marRight w:val="0"/>
      <w:marTop w:val="0"/>
      <w:marBottom w:val="0"/>
      <w:divBdr>
        <w:top w:val="none" w:sz="0" w:space="0" w:color="auto"/>
        <w:left w:val="none" w:sz="0" w:space="0" w:color="auto"/>
        <w:bottom w:val="none" w:sz="0" w:space="0" w:color="auto"/>
        <w:right w:val="none" w:sz="0" w:space="0" w:color="auto"/>
      </w:divBdr>
    </w:div>
    <w:div w:id="1843429098">
      <w:bodyDiv w:val="1"/>
      <w:marLeft w:val="0"/>
      <w:marRight w:val="0"/>
      <w:marTop w:val="0"/>
      <w:marBottom w:val="0"/>
      <w:divBdr>
        <w:top w:val="none" w:sz="0" w:space="0" w:color="auto"/>
        <w:left w:val="none" w:sz="0" w:space="0" w:color="auto"/>
        <w:bottom w:val="none" w:sz="0" w:space="0" w:color="auto"/>
        <w:right w:val="none" w:sz="0" w:space="0" w:color="auto"/>
      </w:divBdr>
    </w:div>
    <w:div w:id="1875583166">
      <w:bodyDiv w:val="1"/>
      <w:marLeft w:val="0"/>
      <w:marRight w:val="0"/>
      <w:marTop w:val="0"/>
      <w:marBottom w:val="0"/>
      <w:divBdr>
        <w:top w:val="none" w:sz="0" w:space="0" w:color="auto"/>
        <w:left w:val="none" w:sz="0" w:space="0" w:color="auto"/>
        <w:bottom w:val="none" w:sz="0" w:space="0" w:color="auto"/>
        <w:right w:val="none" w:sz="0" w:space="0" w:color="auto"/>
      </w:divBdr>
    </w:div>
    <w:div w:id="1879586780">
      <w:bodyDiv w:val="1"/>
      <w:marLeft w:val="0"/>
      <w:marRight w:val="0"/>
      <w:marTop w:val="0"/>
      <w:marBottom w:val="0"/>
      <w:divBdr>
        <w:top w:val="none" w:sz="0" w:space="0" w:color="auto"/>
        <w:left w:val="none" w:sz="0" w:space="0" w:color="auto"/>
        <w:bottom w:val="none" w:sz="0" w:space="0" w:color="auto"/>
        <w:right w:val="none" w:sz="0" w:space="0" w:color="auto"/>
      </w:divBdr>
    </w:div>
    <w:div w:id="1892644228">
      <w:bodyDiv w:val="1"/>
      <w:marLeft w:val="0"/>
      <w:marRight w:val="0"/>
      <w:marTop w:val="0"/>
      <w:marBottom w:val="0"/>
      <w:divBdr>
        <w:top w:val="none" w:sz="0" w:space="0" w:color="auto"/>
        <w:left w:val="none" w:sz="0" w:space="0" w:color="auto"/>
        <w:bottom w:val="none" w:sz="0" w:space="0" w:color="auto"/>
        <w:right w:val="none" w:sz="0" w:space="0" w:color="auto"/>
      </w:divBdr>
    </w:div>
    <w:div w:id="1894273695">
      <w:bodyDiv w:val="1"/>
      <w:marLeft w:val="0"/>
      <w:marRight w:val="0"/>
      <w:marTop w:val="0"/>
      <w:marBottom w:val="0"/>
      <w:divBdr>
        <w:top w:val="none" w:sz="0" w:space="0" w:color="auto"/>
        <w:left w:val="none" w:sz="0" w:space="0" w:color="auto"/>
        <w:bottom w:val="none" w:sz="0" w:space="0" w:color="auto"/>
        <w:right w:val="none" w:sz="0" w:space="0" w:color="auto"/>
      </w:divBdr>
    </w:div>
    <w:div w:id="1924484222">
      <w:bodyDiv w:val="1"/>
      <w:marLeft w:val="0"/>
      <w:marRight w:val="0"/>
      <w:marTop w:val="0"/>
      <w:marBottom w:val="0"/>
      <w:divBdr>
        <w:top w:val="none" w:sz="0" w:space="0" w:color="auto"/>
        <w:left w:val="none" w:sz="0" w:space="0" w:color="auto"/>
        <w:bottom w:val="none" w:sz="0" w:space="0" w:color="auto"/>
        <w:right w:val="none" w:sz="0" w:space="0" w:color="auto"/>
      </w:divBdr>
    </w:div>
    <w:div w:id="1929271044">
      <w:bodyDiv w:val="1"/>
      <w:marLeft w:val="0"/>
      <w:marRight w:val="0"/>
      <w:marTop w:val="0"/>
      <w:marBottom w:val="0"/>
      <w:divBdr>
        <w:top w:val="none" w:sz="0" w:space="0" w:color="auto"/>
        <w:left w:val="none" w:sz="0" w:space="0" w:color="auto"/>
        <w:bottom w:val="none" w:sz="0" w:space="0" w:color="auto"/>
        <w:right w:val="none" w:sz="0" w:space="0" w:color="auto"/>
      </w:divBdr>
    </w:div>
    <w:div w:id="1931740774">
      <w:bodyDiv w:val="1"/>
      <w:marLeft w:val="0"/>
      <w:marRight w:val="0"/>
      <w:marTop w:val="0"/>
      <w:marBottom w:val="0"/>
      <w:divBdr>
        <w:top w:val="none" w:sz="0" w:space="0" w:color="auto"/>
        <w:left w:val="none" w:sz="0" w:space="0" w:color="auto"/>
        <w:bottom w:val="none" w:sz="0" w:space="0" w:color="auto"/>
        <w:right w:val="none" w:sz="0" w:space="0" w:color="auto"/>
      </w:divBdr>
    </w:div>
    <w:div w:id="1949240322">
      <w:bodyDiv w:val="1"/>
      <w:marLeft w:val="0"/>
      <w:marRight w:val="0"/>
      <w:marTop w:val="0"/>
      <w:marBottom w:val="0"/>
      <w:divBdr>
        <w:top w:val="none" w:sz="0" w:space="0" w:color="auto"/>
        <w:left w:val="none" w:sz="0" w:space="0" w:color="auto"/>
        <w:bottom w:val="none" w:sz="0" w:space="0" w:color="auto"/>
        <w:right w:val="none" w:sz="0" w:space="0" w:color="auto"/>
      </w:divBdr>
    </w:div>
    <w:div w:id="1981959678">
      <w:bodyDiv w:val="1"/>
      <w:marLeft w:val="0"/>
      <w:marRight w:val="0"/>
      <w:marTop w:val="0"/>
      <w:marBottom w:val="0"/>
      <w:divBdr>
        <w:top w:val="none" w:sz="0" w:space="0" w:color="auto"/>
        <w:left w:val="none" w:sz="0" w:space="0" w:color="auto"/>
        <w:bottom w:val="none" w:sz="0" w:space="0" w:color="auto"/>
        <w:right w:val="none" w:sz="0" w:space="0" w:color="auto"/>
      </w:divBdr>
    </w:div>
    <w:div w:id="2001304445">
      <w:bodyDiv w:val="1"/>
      <w:marLeft w:val="0"/>
      <w:marRight w:val="0"/>
      <w:marTop w:val="0"/>
      <w:marBottom w:val="0"/>
      <w:divBdr>
        <w:top w:val="none" w:sz="0" w:space="0" w:color="auto"/>
        <w:left w:val="none" w:sz="0" w:space="0" w:color="auto"/>
        <w:bottom w:val="none" w:sz="0" w:space="0" w:color="auto"/>
        <w:right w:val="none" w:sz="0" w:space="0" w:color="auto"/>
      </w:divBdr>
    </w:div>
    <w:div w:id="2052919352">
      <w:bodyDiv w:val="1"/>
      <w:marLeft w:val="0"/>
      <w:marRight w:val="0"/>
      <w:marTop w:val="0"/>
      <w:marBottom w:val="0"/>
      <w:divBdr>
        <w:top w:val="none" w:sz="0" w:space="0" w:color="auto"/>
        <w:left w:val="none" w:sz="0" w:space="0" w:color="auto"/>
        <w:bottom w:val="none" w:sz="0" w:space="0" w:color="auto"/>
        <w:right w:val="none" w:sz="0" w:space="0" w:color="auto"/>
      </w:divBdr>
    </w:div>
    <w:div w:id="2069107809">
      <w:bodyDiv w:val="1"/>
      <w:marLeft w:val="0"/>
      <w:marRight w:val="0"/>
      <w:marTop w:val="0"/>
      <w:marBottom w:val="0"/>
      <w:divBdr>
        <w:top w:val="none" w:sz="0" w:space="0" w:color="auto"/>
        <w:left w:val="none" w:sz="0" w:space="0" w:color="auto"/>
        <w:bottom w:val="none" w:sz="0" w:space="0" w:color="auto"/>
        <w:right w:val="none" w:sz="0" w:space="0" w:color="auto"/>
      </w:divBdr>
    </w:div>
    <w:div w:id="2072920375">
      <w:bodyDiv w:val="1"/>
      <w:marLeft w:val="0"/>
      <w:marRight w:val="0"/>
      <w:marTop w:val="0"/>
      <w:marBottom w:val="0"/>
      <w:divBdr>
        <w:top w:val="none" w:sz="0" w:space="0" w:color="auto"/>
        <w:left w:val="none" w:sz="0" w:space="0" w:color="auto"/>
        <w:bottom w:val="none" w:sz="0" w:space="0" w:color="auto"/>
        <w:right w:val="none" w:sz="0" w:space="0" w:color="auto"/>
      </w:divBdr>
    </w:div>
    <w:div w:id="2124110259">
      <w:bodyDiv w:val="1"/>
      <w:marLeft w:val="0"/>
      <w:marRight w:val="0"/>
      <w:marTop w:val="0"/>
      <w:marBottom w:val="0"/>
      <w:divBdr>
        <w:top w:val="none" w:sz="0" w:space="0" w:color="auto"/>
        <w:left w:val="none" w:sz="0" w:space="0" w:color="auto"/>
        <w:bottom w:val="none" w:sz="0" w:space="0" w:color="auto"/>
        <w:right w:val="none" w:sz="0" w:space="0" w:color="auto"/>
      </w:divBdr>
    </w:div>
    <w:div w:id="2146392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cat.int/es/VesselsRecord.asp" TargetMode="External"/><Relationship Id="rId18" Type="http://schemas.openxmlformats.org/officeDocument/2006/relationships/hyperlink" Target="https://www.iccat.int/es/VesselsRecord.asp" TargetMode="External"/><Relationship Id="rId26" Type="http://schemas.openxmlformats.org/officeDocument/2006/relationships/hyperlink" Target="https://www.iccat.int/Documents/Recs/compendiopdf-s/2019-06-s.pdf" TargetMode="External"/><Relationship Id="rId39" Type="http://schemas.openxmlformats.org/officeDocument/2006/relationships/hyperlink" Target="https://www.iccat.int/es/SubmitCOMP.html" TargetMode="External"/><Relationship Id="rId21" Type="http://schemas.openxmlformats.org/officeDocument/2006/relationships/hyperlink" Target="https://www.iccat.int/es/Ffb.asp" TargetMode="External"/><Relationship Id="rId34" Type="http://schemas.openxmlformats.org/officeDocument/2006/relationships/hyperlink" Target="https://www.iccat.int/es/VesselsRecord.asp"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ccat.int/es/VesselsRecord.asp" TargetMode="External"/><Relationship Id="rId20" Type="http://schemas.openxmlformats.org/officeDocument/2006/relationships/hyperlink" Target="https://www.iccat.int/es/VesselsRecord.asp" TargetMode="External"/><Relationship Id="rId29" Type="http://schemas.openxmlformats.org/officeDocument/2006/relationships/header" Target="header1.xm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es/Ports.asp" TargetMode="External"/><Relationship Id="rId24" Type="http://schemas.openxmlformats.org/officeDocument/2006/relationships/hyperlink" Target="https://www.iccat.int/es/JFO.asp" TargetMode="External"/><Relationship Id="rId32" Type="http://schemas.openxmlformats.org/officeDocument/2006/relationships/hyperlink" Target="https://www.iccat.int/es/portinspection.html" TargetMode="External"/><Relationship Id="rId37" Type="http://schemas.openxmlformats.org/officeDocument/2006/relationships/hyperlink" Target="https://www.iccat.int/es/EAP.html" TargetMode="External"/><Relationship Id="rId40" Type="http://schemas.openxmlformats.org/officeDocument/2006/relationships/hyperlink" Target="https://www.iccat.int/Documents/Comply/Guidelines_SPA.pdf" TargetMode="External"/><Relationship Id="rId5" Type="http://schemas.openxmlformats.org/officeDocument/2006/relationships/webSettings" Target="webSettings.xml"/><Relationship Id="rId15" Type="http://schemas.openxmlformats.org/officeDocument/2006/relationships/hyperlink" Target="https://www.iccat.int/es/VesselsRecord.asp" TargetMode="External"/><Relationship Id="rId23" Type="http://schemas.openxmlformats.org/officeDocument/2006/relationships/hyperlink" Target="https://www.iccat.int/es/Traps.asp" TargetMode="External"/><Relationship Id="rId28" Type="http://schemas.openxmlformats.org/officeDocument/2006/relationships/hyperlink" Target="https://www.iccat.int/Documents/Recs/compendiopdf-s/2018-06-s.pdf" TargetMode="External"/><Relationship Id="rId36" Type="http://schemas.openxmlformats.org/officeDocument/2006/relationships/hyperlink" Target="https://www.iccat.int/Documents/Recs/compendiopdf-s/2019-10-s.pdf" TargetMode="External"/><Relationship Id="rId10" Type="http://schemas.openxmlformats.org/officeDocument/2006/relationships/hyperlink" Target="https://www.iccat.int/es/VesselsRecord.asp" TargetMode="External"/><Relationship Id="rId19" Type="http://schemas.openxmlformats.org/officeDocument/2006/relationships/hyperlink" Target="https://www.iccat.int/es/BFTMonth.html" TargetMode="External"/><Relationship Id="rId31" Type="http://schemas.openxmlformats.org/officeDocument/2006/relationships/hyperlink" Target="https://faolex.fao.org/docs/pdf/kor207693.pdf"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ccat.int/es/VesselsRecord.asp" TargetMode="External"/><Relationship Id="rId14" Type="http://schemas.openxmlformats.org/officeDocument/2006/relationships/hyperlink" Target="https://www.iccat.int/es/VesselsRecord.asp" TargetMode="External"/><Relationship Id="rId22" Type="http://schemas.openxmlformats.org/officeDocument/2006/relationships/hyperlink" Target="https://www.iccat.int/es/Ports.asp" TargetMode="External"/><Relationship Id="rId27" Type="http://schemas.openxmlformats.org/officeDocument/2006/relationships/hyperlink" Target="https://www.iccat.int/Documents/Recs/compendiopdf-s/2019-06-s.pdf" TargetMode="External"/><Relationship Id="rId30" Type="http://schemas.openxmlformats.org/officeDocument/2006/relationships/footer" Target="footer1.xml"/><Relationship Id="rId35" Type="http://schemas.openxmlformats.org/officeDocument/2006/relationships/hyperlink" Target="https://www.iccat.int/es/ROP.html" TargetMode="External"/><Relationship Id="rId43" Type="http://schemas.openxmlformats.org/officeDocument/2006/relationships/fontTable" Target="fontTable.xml"/><Relationship Id="rId8" Type="http://schemas.openxmlformats.org/officeDocument/2006/relationships/hyperlink" Target="https://www.iccat.int/es/VesselsRecord.asp" TargetMode="External"/><Relationship Id="rId3" Type="http://schemas.openxmlformats.org/officeDocument/2006/relationships/styles" Target="styles.xml"/><Relationship Id="rId12" Type="http://schemas.openxmlformats.org/officeDocument/2006/relationships/hyperlink" Target="https://www.iccat.int/es/Inspection.html" TargetMode="External"/><Relationship Id="rId17" Type="http://schemas.openxmlformats.org/officeDocument/2006/relationships/hyperlink" Target="https://www.iccat.int/es/VesselsRecord.asp" TargetMode="External"/><Relationship Id="rId25" Type="http://schemas.openxmlformats.org/officeDocument/2006/relationships/image" Target="media/image1.png"/><Relationship Id="rId33" Type="http://schemas.openxmlformats.org/officeDocument/2006/relationships/hyperlink" Target="https://www.iccat.int/es/Ports.asp" TargetMode="External"/><Relationship Id="rId38" Type="http://schemas.openxmlformats.org/officeDocument/2006/relationships/hyperlink" Target="https://www.iccat.int/es/eBCDprog.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9F89D-4072-4E42-A382-61FDF8DFF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14930</Words>
  <Characters>85102</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Alberto Parrilla</dc:creator>
  <cp:lastModifiedBy>autor</cp:lastModifiedBy>
  <cp:revision>2</cp:revision>
  <dcterms:created xsi:type="dcterms:W3CDTF">2026-10-28T14:27:00Z</dcterms:created>
  <dcterms:modified xsi:type="dcterms:W3CDTF">2026-10-28T14:27:00Z</dcterms:modified>
</cp:coreProperties>
</file>