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F9AE7F" w14:textId="079ED39B" w:rsidR="00601528" w:rsidRPr="00582ECD" w:rsidRDefault="003D0E42" w:rsidP="00005EA9">
      <w:pPr>
        <w:widowControl/>
        <w:tabs>
          <w:tab w:val="left" w:pos="284"/>
        </w:tabs>
        <w:autoSpaceDE/>
        <w:autoSpaceDN/>
        <w:adjustRightInd/>
        <w:jc w:val="right"/>
        <w:rPr>
          <w:rFonts w:asciiTheme="majorHAnsi" w:hAnsiTheme="majorHAnsi"/>
          <w:b/>
          <w:bCs/>
        </w:rPr>
      </w:pPr>
      <w:r w:rsidRPr="00582ECD">
        <w:rPr>
          <w:rFonts w:asciiTheme="majorHAnsi" w:hAnsiTheme="majorHAnsi"/>
          <w:b/>
          <w:bCs/>
        </w:rPr>
        <w:t xml:space="preserve">Original : </w:t>
      </w:r>
      <w:r w:rsidR="00005EA9" w:rsidRPr="00582ECD">
        <w:rPr>
          <w:rFonts w:asciiTheme="majorHAnsi" w:hAnsiTheme="majorHAnsi"/>
          <w:b/>
          <w:bCs/>
        </w:rPr>
        <w:t>a</w:t>
      </w:r>
      <w:r w:rsidRPr="00582ECD">
        <w:rPr>
          <w:rFonts w:asciiTheme="majorHAnsi" w:hAnsiTheme="majorHAnsi"/>
          <w:b/>
          <w:bCs/>
        </w:rPr>
        <w:t>nglais / espagnol / français</w:t>
      </w:r>
    </w:p>
    <w:p w14:paraId="7D5474A4" w14:textId="77777777" w:rsidR="008F7FE7" w:rsidRPr="00582ECD" w:rsidRDefault="008F7FE7" w:rsidP="00820485">
      <w:pPr>
        <w:widowControl/>
        <w:autoSpaceDE/>
        <w:autoSpaceDN/>
        <w:adjustRightInd/>
        <w:ind w:left="5440" w:firstLine="340"/>
        <w:jc w:val="right"/>
        <w:rPr>
          <w:rFonts w:asciiTheme="majorHAnsi" w:hAnsiTheme="majorHAnsi" w:cs="Calibri"/>
          <w:b/>
        </w:rPr>
      </w:pPr>
    </w:p>
    <w:p w14:paraId="391542D9" w14:textId="51E11BFF" w:rsidR="003D0E42" w:rsidRPr="00582ECD" w:rsidRDefault="006836FF" w:rsidP="00820485">
      <w:pPr>
        <w:widowControl/>
        <w:autoSpaceDE/>
        <w:autoSpaceDN/>
        <w:adjustRightInd/>
        <w:jc w:val="center"/>
        <w:rPr>
          <w:rFonts w:asciiTheme="majorHAnsi" w:hAnsiTheme="majorHAnsi" w:cs="Calibri"/>
          <w:b/>
        </w:rPr>
      </w:pPr>
      <w:r w:rsidRPr="00582ECD">
        <w:rPr>
          <w:rFonts w:asciiTheme="majorHAnsi" w:hAnsiTheme="majorHAnsi"/>
          <w:b/>
        </w:rPr>
        <w:t>Rapport du Secrétariat au Comité d'application des mesures de conservation et de gestion (COC)</w:t>
      </w:r>
    </w:p>
    <w:p w14:paraId="7FB262DC" w14:textId="77777777" w:rsidR="003D0E42" w:rsidRPr="00582ECD" w:rsidRDefault="003D0E42" w:rsidP="00820485">
      <w:pPr>
        <w:widowControl/>
        <w:autoSpaceDE/>
        <w:autoSpaceDN/>
        <w:adjustRightInd/>
        <w:jc w:val="both"/>
        <w:rPr>
          <w:rFonts w:asciiTheme="majorHAnsi" w:hAnsiTheme="majorHAnsi" w:cs="Calibri"/>
          <w:b/>
        </w:rPr>
      </w:pPr>
    </w:p>
    <w:p w14:paraId="79877E91" w14:textId="691AB5BF" w:rsidR="003D0E42" w:rsidRPr="00582ECD" w:rsidRDefault="003D0E42" w:rsidP="00820485">
      <w:pPr>
        <w:widowControl/>
        <w:tabs>
          <w:tab w:val="left" w:pos="284"/>
        </w:tabs>
        <w:autoSpaceDE/>
        <w:autoSpaceDN/>
        <w:adjustRightInd/>
        <w:jc w:val="both"/>
        <w:rPr>
          <w:rFonts w:asciiTheme="majorHAnsi" w:hAnsiTheme="majorHAnsi" w:cs="Calibri"/>
          <w:b/>
        </w:rPr>
      </w:pPr>
      <w:r w:rsidRPr="00582ECD">
        <w:rPr>
          <w:rFonts w:asciiTheme="majorHAnsi" w:hAnsiTheme="majorHAnsi"/>
          <w:b/>
        </w:rPr>
        <w:t xml:space="preserve">NOTE </w:t>
      </w:r>
      <w:r w:rsidRPr="00582ECD">
        <w:rPr>
          <w:rFonts w:asciiTheme="majorHAnsi" w:hAnsiTheme="majorHAnsi"/>
        </w:rPr>
        <w:t>: Le présent rapport contient des informations que le Secrétariat de l’ICCAT a reçues avant le</w:t>
      </w:r>
      <w:r w:rsidRPr="00582ECD">
        <w:rPr>
          <w:rFonts w:asciiTheme="majorHAnsi" w:hAnsiTheme="majorHAnsi"/>
          <w:b/>
          <w:bCs/>
        </w:rPr>
        <w:t xml:space="preserve"> </w:t>
      </w:r>
      <w:r w:rsidR="0093557F">
        <w:rPr>
          <w:rFonts w:asciiTheme="majorHAnsi" w:hAnsiTheme="majorHAnsi"/>
          <w:b/>
          <w:bCs/>
        </w:rPr>
        <w:t>7 </w:t>
      </w:r>
      <w:r w:rsidRPr="00582ECD">
        <w:rPr>
          <w:rFonts w:asciiTheme="majorHAnsi" w:hAnsiTheme="majorHAnsi"/>
          <w:b/>
          <w:bCs/>
        </w:rPr>
        <w:t>octobre 2026</w:t>
      </w:r>
      <w:r w:rsidRPr="00582ECD">
        <w:rPr>
          <w:rFonts w:asciiTheme="majorHAnsi" w:hAnsiTheme="majorHAnsi"/>
        </w:rPr>
        <w:t>, sauf indication contraire. Toute information reçue après cette date sera portée à l’attention du Président du Comité d’application (COC). Cette information additionnelle ne sera pas traduite.</w:t>
      </w:r>
    </w:p>
    <w:p w14:paraId="5E0F6933" w14:textId="77777777" w:rsidR="003D0E42" w:rsidRPr="00582ECD" w:rsidRDefault="003D0E42" w:rsidP="00820485">
      <w:pPr>
        <w:widowControl/>
        <w:tabs>
          <w:tab w:val="left" w:pos="284"/>
        </w:tabs>
        <w:autoSpaceDE/>
        <w:autoSpaceDN/>
        <w:adjustRightInd/>
        <w:jc w:val="both"/>
        <w:rPr>
          <w:rFonts w:asciiTheme="majorHAnsi" w:hAnsiTheme="majorHAnsi" w:cs="Calibri"/>
          <w:b/>
        </w:rPr>
      </w:pPr>
    </w:p>
    <w:p w14:paraId="1043B25B" w14:textId="0F3F7BA3" w:rsidR="003D0E42" w:rsidRPr="00582ECD" w:rsidRDefault="003D0E42" w:rsidP="00820485">
      <w:pPr>
        <w:jc w:val="both"/>
        <w:rPr>
          <w:rFonts w:asciiTheme="majorHAnsi" w:hAnsiTheme="majorHAnsi"/>
        </w:rPr>
      </w:pPr>
      <w:r w:rsidRPr="00582ECD">
        <w:rPr>
          <w:rFonts w:asciiTheme="majorHAnsi" w:hAnsiTheme="majorHAnsi"/>
        </w:rPr>
        <w:t>Ce rapport ne comporte que les mesures pour lesquelles l’examen du Comité d’application s’impose. Dans certains cas, les mesures peuvent avoir expiré mais étaient en vigueur pendant la période d’examen à l’étude (2025).</w:t>
      </w:r>
    </w:p>
    <w:p w14:paraId="27367B52" w14:textId="77777777" w:rsidR="003D0E42" w:rsidRPr="00582ECD" w:rsidRDefault="003D0E42" w:rsidP="00820485">
      <w:pPr>
        <w:ind w:firstLine="426"/>
        <w:rPr>
          <w:rFonts w:asciiTheme="majorHAnsi" w:hAnsiTheme="majorHAnsi"/>
        </w:rPr>
      </w:pPr>
    </w:p>
    <w:p w14:paraId="1CBDFC3D" w14:textId="77777777" w:rsidR="001E5CEC" w:rsidRPr="00582ECD" w:rsidRDefault="001E5CEC" w:rsidP="00820485">
      <w:pPr>
        <w:ind w:firstLine="426"/>
        <w:rPr>
          <w:rFonts w:asciiTheme="majorHAnsi" w:hAnsiTheme="majorHAnsi"/>
        </w:rPr>
      </w:pPr>
    </w:p>
    <w:p w14:paraId="7025AEBC" w14:textId="31352CE8" w:rsidR="00FC577E" w:rsidRPr="00582ECD" w:rsidRDefault="00FC577E" w:rsidP="00820485">
      <w:pPr>
        <w:tabs>
          <w:tab w:val="left" w:pos="1276"/>
          <w:tab w:val="left" w:pos="1418"/>
          <w:tab w:val="left" w:leader="dot" w:pos="8222"/>
          <w:tab w:val="right" w:pos="8647"/>
        </w:tabs>
        <w:jc w:val="both"/>
        <w:rPr>
          <w:rFonts w:asciiTheme="majorHAnsi" w:hAnsiTheme="majorHAnsi"/>
          <w:b/>
          <w:bCs/>
          <w:i/>
          <w:iCs/>
        </w:rPr>
      </w:pPr>
      <w:r w:rsidRPr="00582ECD">
        <w:rPr>
          <w:rFonts w:asciiTheme="majorHAnsi" w:hAnsiTheme="majorHAnsi"/>
          <w:b/>
        </w:rPr>
        <w:t xml:space="preserve">TRO – TROPICAUX - BET - THON OBÈSE </w:t>
      </w:r>
      <w:r w:rsidRPr="00582ECD">
        <w:rPr>
          <w:rFonts w:asciiTheme="majorHAnsi" w:hAnsiTheme="majorHAnsi"/>
          <w:b/>
          <w:i/>
        </w:rPr>
        <w:t xml:space="preserve">(Thunnus </w:t>
      </w:r>
      <w:proofErr w:type="spellStart"/>
      <w:r w:rsidRPr="00582ECD">
        <w:rPr>
          <w:rFonts w:asciiTheme="majorHAnsi" w:hAnsiTheme="majorHAnsi"/>
          <w:b/>
          <w:i/>
        </w:rPr>
        <w:t>obesus</w:t>
      </w:r>
      <w:proofErr w:type="spellEnd"/>
      <w:r w:rsidRPr="00582ECD">
        <w:rPr>
          <w:rFonts w:asciiTheme="majorHAnsi" w:hAnsiTheme="majorHAnsi"/>
          <w:b/>
          <w:i/>
        </w:rPr>
        <w:t xml:space="preserve">); </w:t>
      </w:r>
      <w:r w:rsidRPr="00582ECD">
        <w:rPr>
          <w:rFonts w:asciiTheme="majorHAnsi" w:hAnsiTheme="majorHAnsi"/>
          <w:b/>
          <w:color w:val="FFFFFF" w:themeColor="background1"/>
        </w:rPr>
        <w:t xml:space="preserve"> </w:t>
      </w:r>
      <w:r w:rsidRPr="00582ECD">
        <w:rPr>
          <w:rFonts w:asciiTheme="majorHAnsi" w:hAnsiTheme="majorHAnsi"/>
          <w:b/>
        </w:rPr>
        <w:t>YFT - ALBACORE (</w:t>
      </w:r>
      <w:r w:rsidRPr="00582ECD">
        <w:rPr>
          <w:rFonts w:asciiTheme="majorHAnsi" w:hAnsiTheme="majorHAnsi"/>
          <w:b/>
          <w:i/>
        </w:rPr>
        <w:t xml:space="preserve">Thunnus </w:t>
      </w:r>
      <w:proofErr w:type="spellStart"/>
      <w:r w:rsidRPr="00582ECD">
        <w:rPr>
          <w:rFonts w:asciiTheme="majorHAnsi" w:hAnsiTheme="majorHAnsi"/>
          <w:b/>
          <w:i/>
        </w:rPr>
        <w:t>albacares</w:t>
      </w:r>
      <w:proofErr w:type="spellEnd"/>
      <w:r w:rsidRPr="00582ECD">
        <w:rPr>
          <w:rFonts w:asciiTheme="majorHAnsi" w:hAnsiTheme="majorHAnsi"/>
          <w:b/>
          <w:i/>
        </w:rPr>
        <w:t xml:space="preserve">); </w:t>
      </w:r>
      <w:r w:rsidRPr="00582ECD">
        <w:rPr>
          <w:rFonts w:asciiTheme="majorHAnsi" w:hAnsiTheme="majorHAnsi"/>
          <w:b/>
          <w:color w:val="FFFFFF" w:themeColor="background1"/>
        </w:rPr>
        <w:t xml:space="preserve">- </w:t>
      </w:r>
      <w:r w:rsidRPr="00582ECD">
        <w:rPr>
          <w:rFonts w:asciiTheme="majorHAnsi" w:hAnsiTheme="majorHAnsi"/>
          <w:b/>
        </w:rPr>
        <w:t xml:space="preserve">SKJ - LISTAO </w:t>
      </w:r>
      <w:r w:rsidRPr="00582ECD">
        <w:rPr>
          <w:rFonts w:asciiTheme="majorHAnsi" w:hAnsiTheme="majorHAnsi"/>
          <w:b/>
          <w:i/>
        </w:rPr>
        <w:t>(</w:t>
      </w:r>
      <w:proofErr w:type="spellStart"/>
      <w:r w:rsidRPr="00582ECD">
        <w:rPr>
          <w:rFonts w:asciiTheme="majorHAnsi" w:hAnsiTheme="majorHAnsi"/>
          <w:b/>
          <w:i/>
        </w:rPr>
        <w:t>Katsuwonus</w:t>
      </w:r>
      <w:proofErr w:type="spellEnd"/>
      <w:r w:rsidRPr="00582ECD">
        <w:rPr>
          <w:rFonts w:asciiTheme="majorHAnsi" w:hAnsiTheme="majorHAnsi"/>
          <w:b/>
          <w:i/>
        </w:rPr>
        <w:t xml:space="preserve"> </w:t>
      </w:r>
      <w:proofErr w:type="spellStart"/>
      <w:r w:rsidRPr="00582ECD">
        <w:rPr>
          <w:rFonts w:asciiTheme="majorHAnsi" w:hAnsiTheme="majorHAnsi"/>
          <w:b/>
          <w:i/>
        </w:rPr>
        <w:t>pelamis</w:t>
      </w:r>
      <w:proofErr w:type="spellEnd"/>
      <w:r w:rsidRPr="00582ECD">
        <w:rPr>
          <w:rFonts w:asciiTheme="majorHAnsi" w:hAnsiTheme="majorHAnsi"/>
          <w:b/>
          <w:i/>
        </w:rPr>
        <w:t>)</w:t>
      </w:r>
    </w:p>
    <w:p w14:paraId="0838E8B1" w14:textId="77777777" w:rsidR="00D415A6" w:rsidRPr="00582ECD" w:rsidRDefault="00D415A6" w:rsidP="00820485">
      <w:pPr>
        <w:tabs>
          <w:tab w:val="left" w:pos="1276"/>
          <w:tab w:val="left" w:pos="1418"/>
          <w:tab w:val="left" w:leader="dot" w:pos="8222"/>
          <w:tab w:val="right" w:pos="8647"/>
        </w:tabs>
        <w:jc w:val="both"/>
        <w:rPr>
          <w:rFonts w:asciiTheme="majorHAnsi" w:hAnsiTheme="majorHAnsi"/>
          <w:bCs/>
          <w:i/>
          <w:iCs/>
        </w:rPr>
      </w:pPr>
    </w:p>
    <w:p w14:paraId="4B03EFAF" w14:textId="67091665" w:rsidR="005428B7" w:rsidRPr="00582ECD" w:rsidRDefault="005428B7" w:rsidP="005428B7">
      <w:pPr>
        <w:tabs>
          <w:tab w:val="left" w:pos="1276"/>
          <w:tab w:val="left" w:pos="1418"/>
          <w:tab w:val="left" w:leader="dot" w:pos="8222"/>
          <w:tab w:val="right" w:pos="8647"/>
        </w:tabs>
        <w:jc w:val="both"/>
        <w:rPr>
          <w:rFonts w:asciiTheme="majorHAnsi" w:hAnsiTheme="majorHAnsi"/>
          <w:bCs/>
        </w:rPr>
      </w:pPr>
      <w:r w:rsidRPr="00582ECD">
        <w:rPr>
          <w:rFonts w:asciiTheme="majorHAnsi" w:hAnsiTheme="majorHAnsi"/>
          <w:i/>
        </w:rPr>
        <w:t>Rec. 24-01 : Recommandation de l’ICCAT remplaçant la Recommandation 22-01 sur un programme pluriannuel de conservation et de gestion pour les thonidés tropicaux</w:t>
      </w:r>
    </w:p>
    <w:p w14:paraId="579DFC58" w14:textId="77777777" w:rsidR="00F77C97" w:rsidRPr="00582ECD" w:rsidRDefault="00F77C97" w:rsidP="00820485">
      <w:pPr>
        <w:tabs>
          <w:tab w:val="left" w:pos="1276"/>
          <w:tab w:val="left" w:pos="1418"/>
          <w:tab w:val="left" w:leader="dot" w:pos="8222"/>
          <w:tab w:val="right" w:pos="8647"/>
        </w:tabs>
        <w:jc w:val="both"/>
        <w:rPr>
          <w:rFonts w:asciiTheme="majorHAnsi" w:hAnsiTheme="majorHAnsi"/>
          <w:bCs/>
        </w:rPr>
      </w:pPr>
    </w:p>
    <w:p w14:paraId="6C0191CB" w14:textId="2932932B" w:rsidR="00792FA7" w:rsidRPr="00582ECD" w:rsidRDefault="0085595B" w:rsidP="00792FA7">
      <w:pPr>
        <w:tabs>
          <w:tab w:val="left" w:pos="1276"/>
          <w:tab w:val="left" w:pos="1418"/>
          <w:tab w:val="left" w:leader="dot" w:pos="8222"/>
          <w:tab w:val="right" w:pos="8647"/>
        </w:tabs>
        <w:jc w:val="both"/>
        <w:rPr>
          <w:rFonts w:asciiTheme="majorHAnsi" w:hAnsiTheme="majorHAnsi"/>
        </w:rPr>
      </w:pPr>
      <w:r w:rsidRPr="00582ECD">
        <w:rPr>
          <w:rFonts w:asciiTheme="majorHAnsi" w:hAnsiTheme="majorHAnsi"/>
          <w:b/>
          <w:i/>
          <w:color w:val="000000"/>
        </w:rPr>
        <w:t xml:space="preserve">Plans de gestion de la pêche des thonidés tropicaux et plans de gestion des DCP : </w:t>
      </w:r>
      <w:r w:rsidRPr="00582ECD">
        <w:rPr>
          <w:rFonts w:asciiTheme="majorHAnsi" w:hAnsiTheme="majorHAnsi"/>
          <w:color w:val="000000"/>
        </w:rPr>
        <w:t xml:space="preserve">Les plans de pêche reçus ont été soumis à la deuxième réunion intersessions de la Sous-commission 1 à des fins d’examen. </w:t>
      </w:r>
      <w:r w:rsidRPr="00582ECD">
        <w:rPr>
          <w:rFonts w:asciiTheme="majorHAnsi" w:hAnsiTheme="majorHAnsi"/>
        </w:rPr>
        <w:t>Ceux-ci sont présentés dans le rapport de la deuxième réunion intersessions de la Sous-commission 1 (PA1_502/2026).</w:t>
      </w:r>
    </w:p>
    <w:p w14:paraId="4C4AB660" w14:textId="77777777" w:rsidR="001C2499" w:rsidRPr="00582ECD" w:rsidRDefault="001C2499" w:rsidP="00820485">
      <w:pPr>
        <w:tabs>
          <w:tab w:val="left" w:pos="1276"/>
          <w:tab w:val="left" w:pos="1418"/>
          <w:tab w:val="left" w:leader="dot" w:pos="8222"/>
          <w:tab w:val="right" w:pos="8647"/>
        </w:tabs>
        <w:jc w:val="both"/>
        <w:rPr>
          <w:rFonts w:asciiTheme="majorHAnsi" w:hAnsiTheme="majorHAnsi" w:cs="Cambria"/>
          <w:color w:val="000000"/>
          <w:lang w:eastAsia="en-GB"/>
        </w:rPr>
      </w:pPr>
    </w:p>
    <w:p w14:paraId="63035371" w14:textId="77777777" w:rsidR="001C2499" w:rsidRPr="00582ECD" w:rsidRDefault="001C2499" w:rsidP="001C2499">
      <w:pPr>
        <w:tabs>
          <w:tab w:val="left" w:pos="1276"/>
          <w:tab w:val="left" w:pos="1418"/>
          <w:tab w:val="left" w:leader="dot" w:pos="8222"/>
          <w:tab w:val="right" w:pos="8647"/>
        </w:tabs>
        <w:jc w:val="both"/>
        <w:rPr>
          <w:rFonts w:asciiTheme="majorHAnsi" w:hAnsiTheme="majorHAnsi"/>
          <w:b/>
          <w:bCs/>
          <w:iCs/>
        </w:rPr>
      </w:pPr>
      <w:r w:rsidRPr="00582ECD">
        <w:rPr>
          <w:rFonts w:asciiTheme="majorHAnsi" w:hAnsiTheme="majorHAnsi"/>
          <w:b/>
          <w:i/>
        </w:rPr>
        <w:t xml:space="preserve">Gestion de la capacité: </w:t>
      </w:r>
      <w:r w:rsidRPr="00582ECD">
        <w:rPr>
          <w:rFonts w:asciiTheme="majorHAnsi" w:hAnsiTheme="majorHAnsi"/>
        </w:rPr>
        <w:t>Les plans de gestion de la capacité et les déclarations sur l'expansion de la capacité sont inclus dans les plans de pêche.</w:t>
      </w:r>
    </w:p>
    <w:p w14:paraId="11A507B8" w14:textId="77777777" w:rsidR="001C2499" w:rsidRPr="00582ECD" w:rsidRDefault="001C2499" w:rsidP="001C2499">
      <w:pPr>
        <w:tabs>
          <w:tab w:val="left" w:pos="1276"/>
          <w:tab w:val="left" w:pos="1418"/>
          <w:tab w:val="left" w:leader="dot" w:pos="8222"/>
          <w:tab w:val="right" w:pos="8647"/>
        </w:tabs>
        <w:rPr>
          <w:rFonts w:asciiTheme="majorHAnsi" w:hAnsiTheme="majorHAnsi"/>
          <w:b/>
          <w:bCs/>
          <w:i/>
        </w:rPr>
      </w:pPr>
    </w:p>
    <w:p w14:paraId="0325E661" w14:textId="71F17EEC" w:rsidR="001C2499" w:rsidRPr="00582ECD" w:rsidRDefault="001C2499" w:rsidP="001C2499">
      <w:pPr>
        <w:tabs>
          <w:tab w:val="left" w:pos="1276"/>
          <w:tab w:val="left" w:pos="1418"/>
          <w:tab w:val="left" w:leader="dot" w:pos="8222"/>
          <w:tab w:val="right" w:pos="8647"/>
        </w:tabs>
        <w:jc w:val="both"/>
        <w:rPr>
          <w:rFonts w:asciiTheme="majorHAnsi" w:hAnsiTheme="majorHAnsi"/>
          <w:b/>
        </w:rPr>
      </w:pPr>
      <w:r w:rsidRPr="00582ECD">
        <w:rPr>
          <w:rFonts w:asciiTheme="majorHAnsi" w:hAnsiTheme="majorHAnsi"/>
          <w:b/>
          <w:i/>
        </w:rPr>
        <w:t>Plans de gestion des DCP et démarches entreprises en vue de l'utilisation des DCP non-</w:t>
      </w:r>
      <w:proofErr w:type="spellStart"/>
      <w:r w:rsidRPr="00582ECD">
        <w:rPr>
          <w:rFonts w:asciiTheme="majorHAnsi" w:hAnsiTheme="majorHAnsi"/>
          <w:b/>
          <w:i/>
        </w:rPr>
        <w:t>emmêlants</w:t>
      </w:r>
      <w:proofErr w:type="spellEnd"/>
      <w:r w:rsidRPr="00582ECD">
        <w:rPr>
          <w:rFonts w:asciiTheme="majorHAnsi" w:hAnsiTheme="majorHAnsi"/>
          <w:b/>
          <w:i/>
        </w:rPr>
        <w:t xml:space="preserve"> : </w:t>
      </w:r>
      <w:r w:rsidRPr="00582ECD">
        <w:rPr>
          <w:rFonts w:asciiTheme="majorHAnsi" w:hAnsiTheme="majorHAnsi"/>
        </w:rPr>
        <w:t>Les plans de gestion des DCP reçus en 2026 sont disponibles sur le site des documents de la Sous-commission 1 et sont inclus dans les plans de pêche soumis.</w:t>
      </w:r>
    </w:p>
    <w:p w14:paraId="6003C41E" w14:textId="77777777" w:rsidR="001C2499" w:rsidRPr="00582ECD" w:rsidRDefault="001C2499" w:rsidP="001C2499">
      <w:pPr>
        <w:tabs>
          <w:tab w:val="left" w:pos="1276"/>
          <w:tab w:val="left" w:pos="1418"/>
          <w:tab w:val="left" w:leader="dot" w:pos="8222"/>
          <w:tab w:val="right" w:pos="8647"/>
        </w:tabs>
        <w:jc w:val="center"/>
        <w:rPr>
          <w:rFonts w:asciiTheme="majorHAnsi" w:hAnsiTheme="majorHAnsi"/>
          <w:iCs/>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88"/>
        <w:gridCol w:w="2326"/>
        <w:gridCol w:w="2326"/>
        <w:gridCol w:w="2325"/>
      </w:tblGrid>
      <w:tr w:rsidR="002676A7" w:rsidRPr="00582ECD" w14:paraId="580026B2" w14:textId="458E3AE2" w:rsidTr="006D1FBF">
        <w:trPr>
          <w:trHeight w:val="780"/>
          <w:jc w:val="center"/>
        </w:trPr>
        <w:tc>
          <w:tcPr>
            <w:tcW w:w="1014" w:type="pct"/>
            <w:noWrap/>
            <w:vAlign w:val="center"/>
            <w:hideMark/>
          </w:tcPr>
          <w:p w14:paraId="0B87AB8A" w14:textId="77777777" w:rsidR="002676A7" w:rsidRPr="00582ECD" w:rsidRDefault="002676A7" w:rsidP="00505320">
            <w:pPr>
              <w:widowControl/>
              <w:autoSpaceDE/>
              <w:autoSpaceDN/>
              <w:adjustRightInd/>
              <w:rPr>
                <w:rFonts w:asciiTheme="majorHAnsi" w:hAnsiTheme="majorHAnsi"/>
                <w:i/>
                <w:iCs/>
                <w:color w:val="000000"/>
              </w:rPr>
            </w:pPr>
            <w:r w:rsidRPr="00582ECD">
              <w:rPr>
                <w:rFonts w:asciiTheme="majorHAnsi" w:hAnsiTheme="majorHAnsi"/>
                <w:i/>
                <w:color w:val="000000"/>
              </w:rPr>
              <w:t>CPC</w:t>
            </w:r>
          </w:p>
        </w:tc>
        <w:tc>
          <w:tcPr>
            <w:tcW w:w="1329" w:type="pct"/>
            <w:vAlign w:val="center"/>
            <w:hideMark/>
          </w:tcPr>
          <w:p w14:paraId="6ECC822E" w14:textId="292B04BA" w:rsidR="002676A7" w:rsidRPr="00582ECD" w:rsidRDefault="002676A7" w:rsidP="00505320">
            <w:pPr>
              <w:widowControl/>
              <w:autoSpaceDE/>
              <w:autoSpaceDN/>
              <w:adjustRightInd/>
              <w:jc w:val="center"/>
              <w:rPr>
                <w:rFonts w:asciiTheme="majorHAnsi" w:hAnsiTheme="majorHAnsi"/>
                <w:i/>
                <w:iCs/>
                <w:color w:val="000000"/>
              </w:rPr>
            </w:pPr>
            <w:r w:rsidRPr="00582ECD">
              <w:rPr>
                <w:rFonts w:asciiTheme="majorHAnsi" w:hAnsiTheme="majorHAnsi"/>
                <w:i/>
                <w:color w:val="000000"/>
              </w:rPr>
              <w:t>Plan de gestion des DCP (2025)</w:t>
            </w:r>
          </w:p>
          <w:p w14:paraId="36AB0FA1" w14:textId="77777777" w:rsidR="002676A7" w:rsidRPr="00582ECD" w:rsidRDefault="002676A7" w:rsidP="00505320">
            <w:pPr>
              <w:widowControl/>
              <w:autoSpaceDE/>
              <w:autoSpaceDN/>
              <w:adjustRightInd/>
              <w:jc w:val="center"/>
              <w:rPr>
                <w:rFonts w:asciiTheme="majorHAnsi" w:hAnsiTheme="majorHAnsi"/>
                <w:i/>
                <w:iCs/>
                <w:color w:val="000000"/>
              </w:rPr>
            </w:pPr>
            <w:r w:rsidRPr="00582ECD">
              <w:rPr>
                <w:rFonts w:asciiTheme="majorHAnsi" w:hAnsiTheme="majorHAnsi"/>
                <w:i/>
                <w:color w:val="000000"/>
              </w:rPr>
              <w:t>Envoyé :</w:t>
            </w:r>
          </w:p>
        </w:tc>
        <w:tc>
          <w:tcPr>
            <w:tcW w:w="1329" w:type="pct"/>
            <w:vAlign w:val="center"/>
            <w:hideMark/>
          </w:tcPr>
          <w:p w14:paraId="5B836323" w14:textId="633F591F" w:rsidR="002676A7" w:rsidRPr="00582ECD" w:rsidRDefault="002676A7" w:rsidP="00505320">
            <w:pPr>
              <w:widowControl/>
              <w:autoSpaceDE/>
              <w:autoSpaceDN/>
              <w:adjustRightInd/>
              <w:jc w:val="center"/>
              <w:rPr>
                <w:rFonts w:asciiTheme="majorHAnsi" w:hAnsiTheme="majorHAnsi"/>
                <w:i/>
                <w:iCs/>
                <w:color w:val="000000"/>
              </w:rPr>
            </w:pPr>
            <w:r w:rsidRPr="00582ECD">
              <w:rPr>
                <w:rFonts w:asciiTheme="majorHAnsi" w:hAnsiTheme="majorHAnsi"/>
                <w:i/>
                <w:color w:val="000000"/>
              </w:rPr>
              <w:t xml:space="preserve">ST-08 - données sur les DCP (2025) </w:t>
            </w:r>
          </w:p>
          <w:p w14:paraId="5A7F12C6" w14:textId="77777777" w:rsidR="002676A7" w:rsidRPr="00582ECD" w:rsidRDefault="002676A7" w:rsidP="00505320">
            <w:pPr>
              <w:widowControl/>
              <w:autoSpaceDE/>
              <w:autoSpaceDN/>
              <w:adjustRightInd/>
              <w:jc w:val="center"/>
              <w:rPr>
                <w:rFonts w:asciiTheme="majorHAnsi" w:hAnsiTheme="majorHAnsi"/>
                <w:i/>
                <w:iCs/>
                <w:color w:val="000000"/>
              </w:rPr>
            </w:pPr>
            <w:r w:rsidRPr="00582ECD">
              <w:rPr>
                <w:rFonts w:asciiTheme="majorHAnsi" w:hAnsiTheme="majorHAnsi"/>
                <w:i/>
                <w:color w:val="000000"/>
              </w:rPr>
              <w:t>Envoyé :</w:t>
            </w:r>
          </w:p>
        </w:tc>
        <w:tc>
          <w:tcPr>
            <w:tcW w:w="1328" w:type="pct"/>
            <w:vAlign w:val="center"/>
          </w:tcPr>
          <w:p w14:paraId="22C85773" w14:textId="5201F206" w:rsidR="002676A7" w:rsidRPr="00582ECD" w:rsidRDefault="002676A7" w:rsidP="002676A7">
            <w:pPr>
              <w:widowControl/>
              <w:autoSpaceDE/>
              <w:autoSpaceDN/>
              <w:adjustRightInd/>
              <w:jc w:val="center"/>
              <w:rPr>
                <w:rFonts w:asciiTheme="majorHAnsi" w:hAnsiTheme="majorHAnsi"/>
                <w:i/>
                <w:iCs/>
                <w:color w:val="000000"/>
              </w:rPr>
            </w:pPr>
            <w:r w:rsidRPr="00582ECD">
              <w:rPr>
                <w:rFonts w:asciiTheme="majorHAnsi" w:hAnsiTheme="majorHAnsi"/>
                <w:i/>
                <w:color w:val="000000"/>
              </w:rPr>
              <w:t xml:space="preserve">Plan de gestion des DCP (2026) </w:t>
            </w:r>
          </w:p>
          <w:p w14:paraId="7C75C956" w14:textId="7ACFAC31" w:rsidR="002676A7" w:rsidRPr="00582ECD" w:rsidRDefault="002676A7" w:rsidP="002676A7">
            <w:pPr>
              <w:widowControl/>
              <w:autoSpaceDE/>
              <w:autoSpaceDN/>
              <w:adjustRightInd/>
              <w:jc w:val="center"/>
              <w:rPr>
                <w:rFonts w:asciiTheme="majorHAnsi" w:hAnsiTheme="majorHAnsi"/>
                <w:i/>
                <w:iCs/>
                <w:color w:val="000000"/>
              </w:rPr>
            </w:pPr>
            <w:r w:rsidRPr="00582ECD">
              <w:rPr>
                <w:rFonts w:asciiTheme="majorHAnsi" w:hAnsiTheme="majorHAnsi"/>
                <w:i/>
                <w:color w:val="000000"/>
              </w:rPr>
              <w:t>Envoyé :</w:t>
            </w:r>
          </w:p>
        </w:tc>
      </w:tr>
      <w:tr w:rsidR="0043516D" w:rsidRPr="00582ECD" w14:paraId="3E1AE071" w14:textId="4DB9F542" w:rsidTr="006D1FBF">
        <w:trPr>
          <w:trHeight w:val="315"/>
          <w:jc w:val="center"/>
        </w:trPr>
        <w:tc>
          <w:tcPr>
            <w:tcW w:w="1014" w:type="pct"/>
            <w:noWrap/>
            <w:vAlign w:val="center"/>
            <w:hideMark/>
          </w:tcPr>
          <w:p w14:paraId="18D962AB" w14:textId="77777777" w:rsidR="0043516D" w:rsidRPr="00582ECD" w:rsidRDefault="0043516D" w:rsidP="0043516D">
            <w:pPr>
              <w:widowControl/>
              <w:autoSpaceDE/>
              <w:autoSpaceDN/>
              <w:adjustRightInd/>
              <w:rPr>
                <w:rFonts w:asciiTheme="majorHAnsi" w:hAnsiTheme="majorHAnsi"/>
                <w:color w:val="000000"/>
              </w:rPr>
            </w:pPr>
            <w:r w:rsidRPr="00582ECD">
              <w:rPr>
                <w:rFonts w:asciiTheme="majorHAnsi" w:hAnsiTheme="majorHAnsi"/>
                <w:color w:val="000000"/>
              </w:rPr>
              <w:t>Belize</w:t>
            </w:r>
          </w:p>
        </w:tc>
        <w:tc>
          <w:tcPr>
            <w:tcW w:w="1329" w:type="pct"/>
            <w:noWrap/>
            <w:vAlign w:val="center"/>
            <w:hideMark/>
          </w:tcPr>
          <w:p w14:paraId="66AAF217" w14:textId="69E75DB8" w:rsidR="0043516D" w:rsidRPr="00582ECD" w:rsidRDefault="0043516D" w:rsidP="0043516D">
            <w:pPr>
              <w:widowControl/>
              <w:autoSpaceDE/>
              <w:autoSpaceDN/>
              <w:adjustRightInd/>
              <w:jc w:val="center"/>
              <w:rPr>
                <w:rFonts w:asciiTheme="majorHAnsi" w:hAnsiTheme="majorHAnsi"/>
                <w:color w:val="000000"/>
              </w:rPr>
            </w:pPr>
            <w:r w:rsidRPr="00582ECD">
              <w:rPr>
                <w:rFonts w:asciiTheme="majorHAnsi" w:hAnsiTheme="majorHAnsi"/>
                <w:color w:val="000000"/>
              </w:rPr>
              <w:t>P</w:t>
            </w:r>
          </w:p>
        </w:tc>
        <w:tc>
          <w:tcPr>
            <w:tcW w:w="1329" w:type="pct"/>
            <w:noWrap/>
            <w:vAlign w:val="center"/>
            <w:hideMark/>
          </w:tcPr>
          <w:p w14:paraId="4716507F" w14:textId="6C035E37" w:rsidR="0043516D" w:rsidRPr="00582ECD" w:rsidRDefault="0043516D" w:rsidP="0043516D">
            <w:pPr>
              <w:widowControl/>
              <w:autoSpaceDE/>
              <w:autoSpaceDN/>
              <w:adjustRightInd/>
              <w:jc w:val="center"/>
              <w:rPr>
                <w:rFonts w:asciiTheme="majorHAnsi" w:hAnsiTheme="majorHAnsi"/>
                <w:color w:val="000000"/>
              </w:rPr>
            </w:pPr>
            <w:r w:rsidRPr="00582ECD">
              <w:rPr>
                <w:rFonts w:asciiTheme="majorHAnsi" w:hAnsiTheme="majorHAnsi"/>
                <w:color w:val="000000"/>
              </w:rPr>
              <w:t>Rejeté.</w:t>
            </w:r>
          </w:p>
        </w:tc>
        <w:tc>
          <w:tcPr>
            <w:tcW w:w="1328" w:type="pct"/>
            <w:vAlign w:val="center"/>
          </w:tcPr>
          <w:p w14:paraId="7202B91E" w14:textId="2CB350E4" w:rsidR="0043516D" w:rsidRPr="00582ECD" w:rsidRDefault="0043516D" w:rsidP="0043516D">
            <w:pPr>
              <w:widowControl/>
              <w:autoSpaceDE/>
              <w:autoSpaceDN/>
              <w:adjustRightInd/>
              <w:jc w:val="center"/>
              <w:rPr>
                <w:rFonts w:asciiTheme="majorHAnsi" w:hAnsiTheme="majorHAnsi"/>
                <w:color w:val="000000"/>
              </w:rPr>
            </w:pPr>
            <w:r w:rsidRPr="00582ECD">
              <w:rPr>
                <w:rFonts w:asciiTheme="majorHAnsi" w:hAnsiTheme="majorHAnsi"/>
                <w:color w:val="000000"/>
              </w:rPr>
              <w:t>P</w:t>
            </w:r>
          </w:p>
        </w:tc>
      </w:tr>
      <w:tr w:rsidR="0043516D" w:rsidRPr="00582ECD" w14:paraId="5A27D5F5" w14:textId="4CEF2E16" w:rsidTr="006D1FBF">
        <w:trPr>
          <w:trHeight w:val="315"/>
          <w:jc w:val="center"/>
        </w:trPr>
        <w:tc>
          <w:tcPr>
            <w:tcW w:w="1014" w:type="pct"/>
            <w:noWrap/>
            <w:vAlign w:val="center"/>
            <w:hideMark/>
          </w:tcPr>
          <w:p w14:paraId="6A746957" w14:textId="77777777" w:rsidR="0043516D" w:rsidRPr="00582ECD" w:rsidRDefault="0043516D" w:rsidP="0043516D">
            <w:pPr>
              <w:widowControl/>
              <w:autoSpaceDE/>
              <w:autoSpaceDN/>
              <w:adjustRightInd/>
              <w:rPr>
                <w:rFonts w:asciiTheme="majorHAnsi" w:hAnsiTheme="majorHAnsi"/>
                <w:color w:val="000000"/>
              </w:rPr>
            </w:pPr>
            <w:r w:rsidRPr="00582ECD">
              <w:rPr>
                <w:rFonts w:asciiTheme="majorHAnsi" w:hAnsiTheme="majorHAnsi"/>
                <w:color w:val="000000"/>
              </w:rPr>
              <w:t>Costa Rica</w:t>
            </w:r>
          </w:p>
        </w:tc>
        <w:tc>
          <w:tcPr>
            <w:tcW w:w="1329" w:type="pct"/>
            <w:noWrap/>
            <w:vAlign w:val="center"/>
            <w:hideMark/>
          </w:tcPr>
          <w:p w14:paraId="0EFA2585" w14:textId="059EF1A8" w:rsidR="0043516D" w:rsidRPr="00582ECD" w:rsidRDefault="0043516D" w:rsidP="0043516D">
            <w:pPr>
              <w:widowControl/>
              <w:autoSpaceDE/>
              <w:autoSpaceDN/>
              <w:adjustRightInd/>
              <w:jc w:val="center"/>
              <w:rPr>
                <w:rFonts w:asciiTheme="majorHAnsi" w:hAnsiTheme="majorHAnsi"/>
                <w:color w:val="000000"/>
              </w:rPr>
            </w:pPr>
            <w:r w:rsidRPr="00582ECD">
              <w:rPr>
                <w:rFonts w:asciiTheme="majorHAnsi" w:hAnsiTheme="majorHAnsi"/>
                <w:color w:val="000000"/>
              </w:rPr>
              <w:t>P</w:t>
            </w:r>
          </w:p>
        </w:tc>
        <w:tc>
          <w:tcPr>
            <w:tcW w:w="1329" w:type="pct"/>
            <w:noWrap/>
            <w:vAlign w:val="center"/>
            <w:hideMark/>
          </w:tcPr>
          <w:p w14:paraId="2D7E1CE9" w14:textId="3DA9693D" w:rsidR="0043516D" w:rsidRPr="00582ECD" w:rsidRDefault="0043516D" w:rsidP="0043516D">
            <w:pPr>
              <w:widowControl/>
              <w:autoSpaceDE/>
              <w:autoSpaceDN/>
              <w:adjustRightInd/>
              <w:jc w:val="center"/>
              <w:rPr>
                <w:rFonts w:asciiTheme="majorHAnsi" w:hAnsiTheme="majorHAnsi"/>
                <w:color w:val="000000"/>
              </w:rPr>
            </w:pPr>
            <w:r w:rsidRPr="00582ECD">
              <w:rPr>
                <w:rFonts w:asciiTheme="majorHAnsi" w:hAnsiTheme="majorHAnsi"/>
                <w:color w:val="000000"/>
              </w:rPr>
              <w:t>P</w:t>
            </w:r>
          </w:p>
        </w:tc>
        <w:tc>
          <w:tcPr>
            <w:tcW w:w="1328" w:type="pct"/>
            <w:vAlign w:val="center"/>
          </w:tcPr>
          <w:p w14:paraId="0EC7F1F0" w14:textId="360F6402" w:rsidR="0043516D" w:rsidRPr="00582ECD" w:rsidRDefault="0043516D" w:rsidP="0043516D">
            <w:pPr>
              <w:widowControl/>
              <w:autoSpaceDE/>
              <w:autoSpaceDN/>
              <w:adjustRightInd/>
              <w:jc w:val="center"/>
              <w:rPr>
                <w:rFonts w:asciiTheme="majorHAnsi" w:hAnsiTheme="majorHAnsi"/>
                <w:color w:val="000000"/>
              </w:rPr>
            </w:pPr>
            <w:r w:rsidRPr="00582ECD">
              <w:rPr>
                <w:rFonts w:asciiTheme="majorHAnsi" w:hAnsiTheme="majorHAnsi"/>
                <w:color w:val="000000"/>
              </w:rPr>
              <w:t>P</w:t>
            </w:r>
          </w:p>
        </w:tc>
      </w:tr>
      <w:tr w:rsidR="0043516D" w:rsidRPr="00582ECD" w14:paraId="4FFC6C96" w14:textId="3D525A94" w:rsidTr="006D1FBF">
        <w:trPr>
          <w:trHeight w:val="315"/>
          <w:jc w:val="center"/>
        </w:trPr>
        <w:tc>
          <w:tcPr>
            <w:tcW w:w="1014" w:type="pct"/>
            <w:noWrap/>
            <w:vAlign w:val="center"/>
            <w:hideMark/>
          </w:tcPr>
          <w:p w14:paraId="7BD5E2A9" w14:textId="77777777" w:rsidR="0043516D" w:rsidRPr="00582ECD" w:rsidRDefault="0043516D" w:rsidP="0043516D">
            <w:pPr>
              <w:widowControl/>
              <w:autoSpaceDE/>
              <w:autoSpaceDN/>
              <w:adjustRightInd/>
              <w:rPr>
                <w:rFonts w:asciiTheme="majorHAnsi" w:hAnsiTheme="majorHAnsi"/>
                <w:color w:val="000000"/>
              </w:rPr>
            </w:pPr>
            <w:r w:rsidRPr="00582ECD">
              <w:rPr>
                <w:rFonts w:asciiTheme="majorHAnsi" w:hAnsiTheme="majorHAnsi"/>
                <w:color w:val="000000"/>
              </w:rPr>
              <w:t>El Salvador</w:t>
            </w:r>
          </w:p>
        </w:tc>
        <w:tc>
          <w:tcPr>
            <w:tcW w:w="1329" w:type="pct"/>
            <w:noWrap/>
            <w:vAlign w:val="center"/>
            <w:hideMark/>
          </w:tcPr>
          <w:p w14:paraId="57656175" w14:textId="2B9B2243" w:rsidR="0043516D" w:rsidRPr="00582ECD" w:rsidRDefault="0043516D" w:rsidP="0043516D">
            <w:pPr>
              <w:widowControl/>
              <w:autoSpaceDE/>
              <w:autoSpaceDN/>
              <w:adjustRightInd/>
              <w:jc w:val="center"/>
              <w:rPr>
                <w:rFonts w:asciiTheme="majorHAnsi" w:hAnsiTheme="majorHAnsi"/>
                <w:color w:val="000000"/>
              </w:rPr>
            </w:pPr>
            <w:r w:rsidRPr="00582ECD">
              <w:rPr>
                <w:rFonts w:asciiTheme="majorHAnsi" w:hAnsiTheme="majorHAnsi"/>
                <w:color w:val="000000"/>
              </w:rPr>
              <w:t>P</w:t>
            </w:r>
          </w:p>
        </w:tc>
        <w:tc>
          <w:tcPr>
            <w:tcW w:w="1329" w:type="pct"/>
            <w:noWrap/>
            <w:vAlign w:val="center"/>
            <w:hideMark/>
          </w:tcPr>
          <w:p w14:paraId="6758AD47" w14:textId="797E1BB5" w:rsidR="0043516D" w:rsidRPr="00582ECD" w:rsidRDefault="0043516D" w:rsidP="0043516D">
            <w:pPr>
              <w:widowControl/>
              <w:autoSpaceDE/>
              <w:autoSpaceDN/>
              <w:adjustRightInd/>
              <w:jc w:val="center"/>
              <w:rPr>
                <w:rFonts w:asciiTheme="majorHAnsi" w:hAnsiTheme="majorHAnsi"/>
                <w:color w:val="000000"/>
              </w:rPr>
            </w:pPr>
            <w:r w:rsidRPr="00582ECD">
              <w:rPr>
                <w:rFonts w:asciiTheme="majorHAnsi" w:hAnsiTheme="majorHAnsi"/>
                <w:color w:val="000000"/>
              </w:rPr>
              <w:t>P</w:t>
            </w:r>
          </w:p>
        </w:tc>
        <w:tc>
          <w:tcPr>
            <w:tcW w:w="1328" w:type="pct"/>
            <w:vAlign w:val="center"/>
          </w:tcPr>
          <w:p w14:paraId="1B69A873" w14:textId="793B6CE1" w:rsidR="0043516D" w:rsidRPr="00582ECD" w:rsidRDefault="0043516D" w:rsidP="0043516D">
            <w:pPr>
              <w:widowControl/>
              <w:autoSpaceDE/>
              <w:autoSpaceDN/>
              <w:adjustRightInd/>
              <w:jc w:val="center"/>
              <w:rPr>
                <w:rFonts w:asciiTheme="majorHAnsi" w:hAnsiTheme="majorHAnsi"/>
                <w:color w:val="000000"/>
              </w:rPr>
            </w:pPr>
            <w:r w:rsidRPr="00582ECD">
              <w:rPr>
                <w:rFonts w:asciiTheme="majorHAnsi" w:hAnsiTheme="majorHAnsi"/>
                <w:color w:val="000000"/>
              </w:rPr>
              <w:t>P</w:t>
            </w:r>
          </w:p>
        </w:tc>
      </w:tr>
      <w:tr w:rsidR="0043516D" w:rsidRPr="00582ECD" w14:paraId="5F88B625" w14:textId="3F6FFE99" w:rsidTr="006D1FBF">
        <w:trPr>
          <w:trHeight w:val="315"/>
          <w:jc w:val="center"/>
        </w:trPr>
        <w:tc>
          <w:tcPr>
            <w:tcW w:w="1014" w:type="pct"/>
            <w:noWrap/>
            <w:vAlign w:val="center"/>
            <w:hideMark/>
          </w:tcPr>
          <w:p w14:paraId="21DE90A2" w14:textId="77777777" w:rsidR="0043516D" w:rsidRPr="00582ECD" w:rsidRDefault="0043516D" w:rsidP="0043516D">
            <w:pPr>
              <w:widowControl/>
              <w:autoSpaceDE/>
              <w:autoSpaceDN/>
              <w:adjustRightInd/>
              <w:rPr>
                <w:rFonts w:asciiTheme="majorHAnsi" w:hAnsiTheme="majorHAnsi"/>
                <w:color w:val="000000"/>
              </w:rPr>
            </w:pPr>
            <w:r w:rsidRPr="00582ECD">
              <w:rPr>
                <w:rFonts w:asciiTheme="majorHAnsi" w:hAnsiTheme="majorHAnsi"/>
                <w:color w:val="000000"/>
              </w:rPr>
              <w:t>UE</w:t>
            </w:r>
          </w:p>
        </w:tc>
        <w:tc>
          <w:tcPr>
            <w:tcW w:w="1329" w:type="pct"/>
            <w:noWrap/>
            <w:vAlign w:val="center"/>
            <w:hideMark/>
          </w:tcPr>
          <w:p w14:paraId="725F5E08" w14:textId="75F9F7DF" w:rsidR="0043516D" w:rsidRPr="00582ECD" w:rsidRDefault="0043516D" w:rsidP="0043516D">
            <w:pPr>
              <w:widowControl/>
              <w:autoSpaceDE/>
              <w:autoSpaceDN/>
              <w:adjustRightInd/>
              <w:jc w:val="center"/>
              <w:rPr>
                <w:rFonts w:asciiTheme="majorHAnsi" w:hAnsiTheme="majorHAnsi"/>
                <w:color w:val="000000"/>
              </w:rPr>
            </w:pPr>
            <w:r w:rsidRPr="00582ECD">
              <w:rPr>
                <w:rFonts w:asciiTheme="majorHAnsi" w:hAnsiTheme="majorHAnsi"/>
                <w:color w:val="000000"/>
              </w:rPr>
              <w:t>P</w:t>
            </w:r>
          </w:p>
        </w:tc>
        <w:tc>
          <w:tcPr>
            <w:tcW w:w="1329" w:type="pct"/>
            <w:noWrap/>
            <w:vAlign w:val="center"/>
            <w:hideMark/>
          </w:tcPr>
          <w:p w14:paraId="4FA7482D" w14:textId="11A70F70" w:rsidR="0043516D" w:rsidRPr="00582ECD" w:rsidRDefault="0043516D" w:rsidP="0043516D">
            <w:pPr>
              <w:widowControl/>
              <w:autoSpaceDE/>
              <w:autoSpaceDN/>
              <w:adjustRightInd/>
              <w:jc w:val="center"/>
              <w:rPr>
                <w:rFonts w:asciiTheme="majorHAnsi" w:hAnsiTheme="majorHAnsi"/>
                <w:color w:val="000000"/>
              </w:rPr>
            </w:pPr>
            <w:r w:rsidRPr="00582ECD">
              <w:rPr>
                <w:rFonts w:asciiTheme="majorHAnsi" w:hAnsiTheme="majorHAnsi"/>
                <w:color w:val="000000"/>
              </w:rPr>
              <w:t>P</w:t>
            </w:r>
          </w:p>
        </w:tc>
        <w:tc>
          <w:tcPr>
            <w:tcW w:w="1328" w:type="pct"/>
            <w:vAlign w:val="center"/>
          </w:tcPr>
          <w:p w14:paraId="4686FD9C" w14:textId="7C352261" w:rsidR="0043516D" w:rsidRPr="00582ECD" w:rsidRDefault="0043516D" w:rsidP="0043516D">
            <w:pPr>
              <w:widowControl/>
              <w:autoSpaceDE/>
              <w:autoSpaceDN/>
              <w:adjustRightInd/>
              <w:jc w:val="center"/>
              <w:rPr>
                <w:rFonts w:asciiTheme="majorHAnsi" w:hAnsiTheme="majorHAnsi"/>
                <w:color w:val="000000"/>
              </w:rPr>
            </w:pPr>
            <w:r w:rsidRPr="00582ECD">
              <w:rPr>
                <w:rFonts w:asciiTheme="majorHAnsi" w:hAnsiTheme="majorHAnsi"/>
                <w:color w:val="000000"/>
              </w:rPr>
              <w:t>P</w:t>
            </w:r>
          </w:p>
        </w:tc>
      </w:tr>
      <w:tr w:rsidR="0043516D" w:rsidRPr="00582ECD" w14:paraId="489029E8" w14:textId="216AC3EE" w:rsidTr="006D1FBF">
        <w:trPr>
          <w:trHeight w:val="315"/>
          <w:jc w:val="center"/>
        </w:trPr>
        <w:tc>
          <w:tcPr>
            <w:tcW w:w="1014" w:type="pct"/>
            <w:noWrap/>
            <w:vAlign w:val="center"/>
            <w:hideMark/>
          </w:tcPr>
          <w:p w14:paraId="27321C0E" w14:textId="77777777" w:rsidR="0043516D" w:rsidRPr="00582ECD" w:rsidRDefault="0043516D" w:rsidP="0043516D">
            <w:pPr>
              <w:widowControl/>
              <w:autoSpaceDE/>
              <w:autoSpaceDN/>
              <w:adjustRightInd/>
              <w:rPr>
                <w:rFonts w:asciiTheme="majorHAnsi" w:hAnsiTheme="majorHAnsi"/>
                <w:color w:val="000000"/>
              </w:rPr>
            </w:pPr>
            <w:r w:rsidRPr="00582ECD">
              <w:rPr>
                <w:rFonts w:asciiTheme="majorHAnsi" w:hAnsiTheme="majorHAnsi"/>
                <w:color w:val="000000"/>
              </w:rPr>
              <w:t>Ghana</w:t>
            </w:r>
          </w:p>
        </w:tc>
        <w:tc>
          <w:tcPr>
            <w:tcW w:w="1329" w:type="pct"/>
            <w:noWrap/>
            <w:vAlign w:val="center"/>
            <w:hideMark/>
          </w:tcPr>
          <w:p w14:paraId="486B181B" w14:textId="6BE2DD90" w:rsidR="0043516D" w:rsidRPr="00582ECD" w:rsidRDefault="0043516D" w:rsidP="0043516D">
            <w:pPr>
              <w:widowControl/>
              <w:autoSpaceDE/>
              <w:autoSpaceDN/>
              <w:adjustRightInd/>
              <w:jc w:val="center"/>
              <w:rPr>
                <w:rFonts w:asciiTheme="majorHAnsi" w:hAnsiTheme="majorHAnsi"/>
                <w:color w:val="000000"/>
              </w:rPr>
            </w:pPr>
            <w:r w:rsidRPr="00582ECD">
              <w:rPr>
                <w:rFonts w:asciiTheme="majorHAnsi" w:hAnsiTheme="majorHAnsi"/>
                <w:color w:val="000000"/>
              </w:rPr>
              <w:t>P</w:t>
            </w:r>
          </w:p>
        </w:tc>
        <w:tc>
          <w:tcPr>
            <w:tcW w:w="1329" w:type="pct"/>
            <w:noWrap/>
            <w:vAlign w:val="center"/>
            <w:hideMark/>
          </w:tcPr>
          <w:p w14:paraId="4F88A78A" w14:textId="795AD45F" w:rsidR="0043516D" w:rsidRPr="00582ECD" w:rsidRDefault="0043516D" w:rsidP="0043516D">
            <w:pPr>
              <w:widowControl/>
              <w:autoSpaceDE/>
              <w:autoSpaceDN/>
              <w:adjustRightInd/>
              <w:jc w:val="center"/>
              <w:rPr>
                <w:rFonts w:asciiTheme="majorHAnsi" w:hAnsiTheme="majorHAnsi"/>
                <w:color w:val="000000"/>
              </w:rPr>
            </w:pPr>
            <w:r w:rsidRPr="00582ECD">
              <w:rPr>
                <w:rFonts w:asciiTheme="majorHAnsi" w:hAnsiTheme="majorHAnsi"/>
                <w:color w:val="000000"/>
              </w:rPr>
              <w:t>P</w:t>
            </w:r>
          </w:p>
        </w:tc>
        <w:tc>
          <w:tcPr>
            <w:tcW w:w="1328" w:type="pct"/>
            <w:vAlign w:val="center"/>
          </w:tcPr>
          <w:p w14:paraId="17EB3504" w14:textId="786977BC" w:rsidR="0043516D" w:rsidRPr="00582ECD" w:rsidRDefault="0043516D" w:rsidP="0043516D">
            <w:pPr>
              <w:widowControl/>
              <w:autoSpaceDE/>
              <w:autoSpaceDN/>
              <w:adjustRightInd/>
              <w:jc w:val="center"/>
              <w:rPr>
                <w:rFonts w:asciiTheme="majorHAnsi" w:hAnsiTheme="majorHAnsi"/>
                <w:color w:val="000000"/>
              </w:rPr>
            </w:pPr>
            <w:r w:rsidRPr="00582ECD">
              <w:rPr>
                <w:rFonts w:asciiTheme="majorHAnsi" w:hAnsiTheme="majorHAnsi"/>
                <w:color w:val="000000"/>
              </w:rPr>
              <w:t>P</w:t>
            </w:r>
          </w:p>
        </w:tc>
      </w:tr>
      <w:tr w:rsidR="0043516D" w:rsidRPr="00582ECD" w14:paraId="05ABB761" w14:textId="743D147D" w:rsidTr="006D1FBF">
        <w:trPr>
          <w:trHeight w:val="315"/>
          <w:jc w:val="center"/>
        </w:trPr>
        <w:tc>
          <w:tcPr>
            <w:tcW w:w="1014" w:type="pct"/>
            <w:noWrap/>
            <w:vAlign w:val="center"/>
          </w:tcPr>
          <w:p w14:paraId="163261D9" w14:textId="77777777" w:rsidR="0043516D" w:rsidRPr="00582ECD" w:rsidRDefault="0043516D" w:rsidP="0043516D">
            <w:pPr>
              <w:widowControl/>
              <w:autoSpaceDE/>
              <w:autoSpaceDN/>
              <w:adjustRightInd/>
              <w:rPr>
                <w:rFonts w:asciiTheme="majorHAnsi" w:hAnsiTheme="majorHAnsi"/>
                <w:color w:val="000000"/>
              </w:rPr>
            </w:pPr>
            <w:r w:rsidRPr="00582ECD">
              <w:rPr>
                <w:rFonts w:asciiTheme="majorHAnsi" w:hAnsiTheme="majorHAnsi"/>
                <w:color w:val="000000"/>
              </w:rPr>
              <w:t>République de Guinée</w:t>
            </w:r>
          </w:p>
        </w:tc>
        <w:tc>
          <w:tcPr>
            <w:tcW w:w="1329" w:type="pct"/>
            <w:noWrap/>
            <w:vAlign w:val="center"/>
          </w:tcPr>
          <w:p w14:paraId="25E07FF3" w14:textId="41754834" w:rsidR="0043516D" w:rsidRPr="00582ECD" w:rsidRDefault="0043516D" w:rsidP="0043516D">
            <w:pPr>
              <w:widowControl/>
              <w:autoSpaceDE/>
              <w:autoSpaceDN/>
              <w:adjustRightInd/>
              <w:jc w:val="center"/>
              <w:rPr>
                <w:rFonts w:asciiTheme="majorHAnsi" w:hAnsiTheme="majorHAnsi"/>
                <w:color w:val="000000"/>
              </w:rPr>
            </w:pPr>
            <w:r w:rsidRPr="00582ECD">
              <w:rPr>
                <w:rFonts w:asciiTheme="majorHAnsi" w:hAnsiTheme="majorHAnsi"/>
                <w:color w:val="000000"/>
              </w:rPr>
              <w:t>P</w:t>
            </w:r>
          </w:p>
        </w:tc>
        <w:tc>
          <w:tcPr>
            <w:tcW w:w="1329" w:type="pct"/>
            <w:noWrap/>
            <w:vAlign w:val="center"/>
          </w:tcPr>
          <w:p w14:paraId="30995702" w14:textId="4B5FD186" w:rsidR="0043516D" w:rsidRPr="00582ECD" w:rsidRDefault="0043516D" w:rsidP="0043516D">
            <w:pPr>
              <w:widowControl/>
              <w:autoSpaceDE/>
              <w:autoSpaceDN/>
              <w:adjustRightInd/>
              <w:jc w:val="center"/>
              <w:rPr>
                <w:rFonts w:asciiTheme="majorHAnsi" w:hAnsiTheme="majorHAnsi"/>
                <w:color w:val="000000"/>
              </w:rPr>
            </w:pPr>
            <w:r w:rsidRPr="00582ECD">
              <w:rPr>
                <w:rFonts w:asciiTheme="majorHAnsi" w:hAnsiTheme="majorHAnsi"/>
                <w:color w:val="000000"/>
              </w:rPr>
              <w:t>Non</w:t>
            </w:r>
          </w:p>
        </w:tc>
        <w:tc>
          <w:tcPr>
            <w:tcW w:w="1328" w:type="pct"/>
            <w:vAlign w:val="center"/>
          </w:tcPr>
          <w:p w14:paraId="6647EE01" w14:textId="06E63E46" w:rsidR="0043516D" w:rsidRPr="00582ECD" w:rsidRDefault="0043516D" w:rsidP="0043516D">
            <w:pPr>
              <w:widowControl/>
              <w:autoSpaceDE/>
              <w:autoSpaceDN/>
              <w:adjustRightInd/>
              <w:jc w:val="center"/>
              <w:rPr>
                <w:rFonts w:asciiTheme="majorHAnsi" w:hAnsiTheme="majorHAnsi"/>
                <w:color w:val="000000"/>
              </w:rPr>
            </w:pPr>
            <w:r w:rsidRPr="00582ECD">
              <w:rPr>
                <w:rFonts w:asciiTheme="majorHAnsi" w:hAnsiTheme="majorHAnsi"/>
                <w:color w:val="000000"/>
              </w:rPr>
              <w:t>Non</w:t>
            </w:r>
          </w:p>
        </w:tc>
      </w:tr>
      <w:tr w:rsidR="0043516D" w:rsidRPr="00582ECD" w14:paraId="6BB865A6" w14:textId="6E1E4E1E" w:rsidTr="006D1FBF">
        <w:trPr>
          <w:trHeight w:val="315"/>
          <w:jc w:val="center"/>
        </w:trPr>
        <w:tc>
          <w:tcPr>
            <w:tcW w:w="1014" w:type="pct"/>
            <w:noWrap/>
            <w:vAlign w:val="center"/>
            <w:hideMark/>
          </w:tcPr>
          <w:p w14:paraId="28205E49" w14:textId="77777777" w:rsidR="0043516D" w:rsidRPr="00582ECD" w:rsidRDefault="0043516D" w:rsidP="0043516D">
            <w:pPr>
              <w:widowControl/>
              <w:autoSpaceDE/>
              <w:autoSpaceDN/>
              <w:adjustRightInd/>
              <w:rPr>
                <w:rFonts w:asciiTheme="majorHAnsi" w:hAnsiTheme="majorHAnsi"/>
                <w:color w:val="000000"/>
              </w:rPr>
            </w:pPr>
            <w:r w:rsidRPr="00582ECD">
              <w:rPr>
                <w:rFonts w:asciiTheme="majorHAnsi" w:hAnsiTheme="majorHAnsi"/>
                <w:color w:val="000000"/>
              </w:rPr>
              <w:t>Maroc</w:t>
            </w:r>
          </w:p>
        </w:tc>
        <w:tc>
          <w:tcPr>
            <w:tcW w:w="1329" w:type="pct"/>
            <w:noWrap/>
            <w:vAlign w:val="center"/>
            <w:hideMark/>
          </w:tcPr>
          <w:p w14:paraId="7CCDD083" w14:textId="4EA05266" w:rsidR="0043516D" w:rsidRPr="00582ECD" w:rsidRDefault="0043516D" w:rsidP="0043516D">
            <w:pPr>
              <w:widowControl/>
              <w:autoSpaceDE/>
              <w:autoSpaceDN/>
              <w:adjustRightInd/>
              <w:jc w:val="center"/>
              <w:rPr>
                <w:rFonts w:asciiTheme="majorHAnsi" w:hAnsiTheme="majorHAnsi"/>
                <w:color w:val="000000"/>
              </w:rPr>
            </w:pPr>
            <w:r w:rsidRPr="00582ECD">
              <w:rPr>
                <w:rFonts w:asciiTheme="majorHAnsi" w:hAnsiTheme="majorHAnsi"/>
                <w:color w:val="000000"/>
              </w:rPr>
              <w:t>P</w:t>
            </w:r>
          </w:p>
        </w:tc>
        <w:tc>
          <w:tcPr>
            <w:tcW w:w="1329" w:type="pct"/>
            <w:noWrap/>
            <w:vAlign w:val="center"/>
            <w:hideMark/>
          </w:tcPr>
          <w:p w14:paraId="7EC5220E" w14:textId="7785DF54" w:rsidR="0043516D" w:rsidRPr="00582ECD" w:rsidRDefault="0043516D" w:rsidP="0043516D">
            <w:pPr>
              <w:widowControl/>
              <w:autoSpaceDE/>
              <w:autoSpaceDN/>
              <w:adjustRightInd/>
              <w:jc w:val="center"/>
              <w:rPr>
                <w:rFonts w:asciiTheme="majorHAnsi" w:hAnsiTheme="majorHAnsi"/>
                <w:color w:val="000000"/>
              </w:rPr>
            </w:pPr>
            <w:r w:rsidRPr="00582ECD">
              <w:rPr>
                <w:rFonts w:asciiTheme="majorHAnsi" w:hAnsiTheme="majorHAnsi"/>
                <w:color w:val="000000"/>
              </w:rPr>
              <w:t>P</w:t>
            </w:r>
          </w:p>
        </w:tc>
        <w:tc>
          <w:tcPr>
            <w:tcW w:w="1328" w:type="pct"/>
            <w:vAlign w:val="center"/>
          </w:tcPr>
          <w:p w14:paraId="1BA7CAC3" w14:textId="43C03A5F" w:rsidR="0043516D" w:rsidRPr="00582ECD" w:rsidRDefault="0043516D" w:rsidP="0043516D">
            <w:pPr>
              <w:widowControl/>
              <w:autoSpaceDE/>
              <w:autoSpaceDN/>
              <w:adjustRightInd/>
              <w:jc w:val="center"/>
              <w:rPr>
                <w:rFonts w:asciiTheme="majorHAnsi" w:hAnsiTheme="majorHAnsi"/>
                <w:color w:val="000000"/>
              </w:rPr>
            </w:pPr>
            <w:r w:rsidRPr="00582ECD">
              <w:rPr>
                <w:rFonts w:asciiTheme="majorHAnsi" w:hAnsiTheme="majorHAnsi"/>
                <w:color w:val="000000"/>
              </w:rPr>
              <w:t>Non</w:t>
            </w:r>
          </w:p>
        </w:tc>
      </w:tr>
      <w:tr w:rsidR="0043516D" w:rsidRPr="00582ECD" w14:paraId="50973C22" w14:textId="0281E305" w:rsidTr="006D1FBF">
        <w:trPr>
          <w:trHeight w:val="315"/>
          <w:jc w:val="center"/>
        </w:trPr>
        <w:tc>
          <w:tcPr>
            <w:tcW w:w="1014" w:type="pct"/>
            <w:noWrap/>
            <w:vAlign w:val="center"/>
            <w:hideMark/>
          </w:tcPr>
          <w:p w14:paraId="434E9F1D" w14:textId="77777777" w:rsidR="0043516D" w:rsidRPr="00582ECD" w:rsidRDefault="0043516D" w:rsidP="0043516D">
            <w:pPr>
              <w:widowControl/>
              <w:autoSpaceDE/>
              <w:autoSpaceDN/>
              <w:adjustRightInd/>
              <w:rPr>
                <w:rFonts w:asciiTheme="majorHAnsi" w:hAnsiTheme="majorHAnsi"/>
                <w:color w:val="000000"/>
              </w:rPr>
            </w:pPr>
            <w:r w:rsidRPr="00582ECD">
              <w:rPr>
                <w:rFonts w:asciiTheme="majorHAnsi" w:hAnsiTheme="majorHAnsi"/>
                <w:color w:val="000000"/>
              </w:rPr>
              <w:t>Panama</w:t>
            </w:r>
          </w:p>
        </w:tc>
        <w:tc>
          <w:tcPr>
            <w:tcW w:w="1329" w:type="pct"/>
            <w:noWrap/>
            <w:vAlign w:val="center"/>
            <w:hideMark/>
          </w:tcPr>
          <w:p w14:paraId="3A3AE8A4" w14:textId="43226D86" w:rsidR="0043516D" w:rsidRPr="00582ECD" w:rsidRDefault="0043516D" w:rsidP="0043516D">
            <w:pPr>
              <w:widowControl/>
              <w:autoSpaceDE/>
              <w:autoSpaceDN/>
              <w:adjustRightInd/>
              <w:jc w:val="center"/>
              <w:rPr>
                <w:rFonts w:asciiTheme="majorHAnsi" w:hAnsiTheme="majorHAnsi"/>
                <w:color w:val="000000"/>
              </w:rPr>
            </w:pPr>
            <w:r w:rsidRPr="00582ECD">
              <w:rPr>
                <w:rFonts w:asciiTheme="majorHAnsi" w:hAnsiTheme="majorHAnsi"/>
                <w:color w:val="000000"/>
              </w:rPr>
              <w:t>P</w:t>
            </w:r>
          </w:p>
        </w:tc>
        <w:tc>
          <w:tcPr>
            <w:tcW w:w="1329" w:type="pct"/>
            <w:noWrap/>
            <w:vAlign w:val="center"/>
            <w:hideMark/>
          </w:tcPr>
          <w:p w14:paraId="00FBA28A" w14:textId="1AD0862C" w:rsidR="0043516D" w:rsidRPr="00582ECD" w:rsidRDefault="0043516D" w:rsidP="0043516D">
            <w:pPr>
              <w:widowControl/>
              <w:autoSpaceDE/>
              <w:autoSpaceDN/>
              <w:adjustRightInd/>
              <w:jc w:val="center"/>
              <w:rPr>
                <w:rFonts w:asciiTheme="majorHAnsi" w:hAnsiTheme="majorHAnsi"/>
                <w:color w:val="000000"/>
              </w:rPr>
            </w:pPr>
            <w:r w:rsidRPr="00582ECD">
              <w:rPr>
                <w:rFonts w:asciiTheme="majorHAnsi" w:hAnsiTheme="majorHAnsi"/>
                <w:color w:val="000000"/>
              </w:rPr>
              <w:t>P</w:t>
            </w:r>
          </w:p>
        </w:tc>
        <w:tc>
          <w:tcPr>
            <w:tcW w:w="1328" w:type="pct"/>
            <w:vAlign w:val="center"/>
          </w:tcPr>
          <w:p w14:paraId="4BEEF635" w14:textId="10B057EA" w:rsidR="0043516D" w:rsidRPr="00582ECD" w:rsidRDefault="0043516D" w:rsidP="0043516D">
            <w:pPr>
              <w:widowControl/>
              <w:autoSpaceDE/>
              <w:autoSpaceDN/>
              <w:adjustRightInd/>
              <w:jc w:val="center"/>
              <w:rPr>
                <w:rFonts w:asciiTheme="majorHAnsi" w:hAnsiTheme="majorHAnsi"/>
                <w:color w:val="000000"/>
              </w:rPr>
            </w:pPr>
            <w:r w:rsidRPr="00582ECD">
              <w:rPr>
                <w:rFonts w:asciiTheme="majorHAnsi" w:hAnsiTheme="majorHAnsi"/>
                <w:color w:val="000000"/>
              </w:rPr>
              <w:t>P</w:t>
            </w:r>
          </w:p>
        </w:tc>
      </w:tr>
      <w:tr w:rsidR="0043516D" w:rsidRPr="00582ECD" w14:paraId="3CC2E9EA" w14:textId="29681C5C" w:rsidTr="006D1FBF">
        <w:trPr>
          <w:trHeight w:val="315"/>
          <w:jc w:val="center"/>
        </w:trPr>
        <w:tc>
          <w:tcPr>
            <w:tcW w:w="1014" w:type="pct"/>
            <w:noWrap/>
            <w:vAlign w:val="center"/>
            <w:hideMark/>
          </w:tcPr>
          <w:p w14:paraId="54EAC070" w14:textId="77777777" w:rsidR="0043516D" w:rsidRPr="00582ECD" w:rsidRDefault="0043516D" w:rsidP="0043516D">
            <w:pPr>
              <w:widowControl/>
              <w:autoSpaceDE/>
              <w:autoSpaceDN/>
              <w:adjustRightInd/>
              <w:rPr>
                <w:rFonts w:asciiTheme="majorHAnsi" w:hAnsiTheme="majorHAnsi"/>
                <w:color w:val="000000"/>
              </w:rPr>
            </w:pPr>
            <w:r w:rsidRPr="00582ECD">
              <w:rPr>
                <w:rFonts w:asciiTheme="majorHAnsi" w:hAnsiTheme="majorHAnsi"/>
                <w:color w:val="000000"/>
              </w:rPr>
              <w:t>Sénégal</w:t>
            </w:r>
          </w:p>
        </w:tc>
        <w:tc>
          <w:tcPr>
            <w:tcW w:w="1329" w:type="pct"/>
            <w:noWrap/>
            <w:vAlign w:val="center"/>
            <w:hideMark/>
          </w:tcPr>
          <w:p w14:paraId="4CE5770E" w14:textId="4CB80D51" w:rsidR="0043516D" w:rsidRPr="00582ECD" w:rsidRDefault="0043516D" w:rsidP="0043516D">
            <w:pPr>
              <w:widowControl/>
              <w:autoSpaceDE/>
              <w:autoSpaceDN/>
              <w:adjustRightInd/>
              <w:jc w:val="center"/>
              <w:rPr>
                <w:rFonts w:asciiTheme="majorHAnsi" w:hAnsiTheme="majorHAnsi"/>
                <w:color w:val="000000"/>
              </w:rPr>
            </w:pPr>
            <w:r w:rsidRPr="00582ECD">
              <w:rPr>
                <w:rFonts w:asciiTheme="majorHAnsi" w:hAnsiTheme="majorHAnsi"/>
                <w:color w:val="000000"/>
              </w:rPr>
              <w:t>P</w:t>
            </w:r>
          </w:p>
        </w:tc>
        <w:tc>
          <w:tcPr>
            <w:tcW w:w="1329" w:type="pct"/>
            <w:noWrap/>
            <w:vAlign w:val="center"/>
            <w:hideMark/>
          </w:tcPr>
          <w:p w14:paraId="1A154348" w14:textId="4BE3B344" w:rsidR="0043516D" w:rsidRPr="00582ECD" w:rsidRDefault="0043516D" w:rsidP="0043516D">
            <w:pPr>
              <w:widowControl/>
              <w:autoSpaceDE/>
              <w:autoSpaceDN/>
              <w:adjustRightInd/>
              <w:jc w:val="center"/>
              <w:rPr>
                <w:rFonts w:asciiTheme="majorHAnsi" w:hAnsiTheme="majorHAnsi"/>
                <w:color w:val="000000"/>
              </w:rPr>
            </w:pPr>
            <w:r w:rsidRPr="00582ECD">
              <w:rPr>
                <w:rFonts w:asciiTheme="majorHAnsi" w:hAnsiTheme="majorHAnsi"/>
                <w:color w:val="000000"/>
              </w:rPr>
              <w:t>P</w:t>
            </w:r>
          </w:p>
        </w:tc>
        <w:tc>
          <w:tcPr>
            <w:tcW w:w="1328" w:type="pct"/>
            <w:vAlign w:val="center"/>
          </w:tcPr>
          <w:p w14:paraId="1A14BC62" w14:textId="5532D740" w:rsidR="0043516D" w:rsidRPr="00582ECD" w:rsidRDefault="0043516D" w:rsidP="0043516D">
            <w:pPr>
              <w:widowControl/>
              <w:autoSpaceDE/>
              <w:autoSpaceDN/>
              <w:adjustRightInd/>
              <w:jc w:val="center"/>
              <w:rPr>
                <w:rFonts w:asciiTheme="majorHAnsi" w:hAnsiTheme="majorHAnsi"/>
                <w:color w:val="000000"/>
              </w:rPr>
            </w:pPr>
            <w:r w:rsidRPr="00582ECD">
              <w:rPr>
                <w:rFonts w:asciiTheme="majorHAnsi" w:hAnsiTheme="majorHAnsi"/>
                <w:color w:val="000000"/>
              </w:rPr>
              <w:t>P</w:t>
            </w:r>
          </w:p>
        </w:tc>
      </w:tr>
    </w:tbl>
    <w:p w14:paraId="6928E320" w14:textId="77777777" w:rsidR="00A17641" w:rsidRPr="00582ECD" w:rsidRDefault="00A17641" w:rsidP="001C2499">
      <w:pPr>
        <w:tabs>
          <w:tab w:val="left" w:pos="1276"/>
          <w:tab w:val="left" w:pos="1418"/>
          <w:tab w:val="left" w:leader="dot" w:pos="8222"/>
          <w:tab w:val="right" w:pos="8647"/>
        </w:tabs>
        <w:jc w:val="both"/>
        <w:rPr>
          <w:rFonts w:asciiTheme="majorHAnsi" w:hAnsiTheme="majorHAnsi"/>
          <w:bCs/>
          <w:iCs/>
          <w:lang w:val="en-GB"/>
        </w:rPr>
      </w:pPr>
    </w:p>
    <w:p w14:paraId="1D8B5AE0" w14:textId="73FDAB14" w:rsidR="00A17641" w:rsidRPr="00582ECD" w:rsidRDefault="00A17641" w:rsidP="001C2499">
      <w:pPr>
        <w:tabs>
          <w:tab w:val="left" w:pos="1276"/>
          <w:tab w:val="left" w:pos="1418"/>
          <w:tab w:val="left" w:leader="dot" w:pos="8222"/>
          <w:tab w:val="right" w:pos="8647"/>
        </w:tabs>
        <w:jc w:val="both"/>
        <w:rPr>
          <w:rFonts w:asciiTheme="majorHAnsi" w:hAnsiTheme="majorHAnsi"/>
          <w:bCs/>
          <w:iCs/>
        </w:rPr>
      </w:pPr>
      <w:r w:rsidRPr="00582ECD">
        <w:rPr>
          <w:rFonts w:asciiTheme="majorHAnsi" w:hAnsiTheme="majorHAnsi"/>
        </w:rPr>
        <w:t>Veuillez noter que le tableau ci-dessus ne répertorie que les CPC qui ont soumis des plans de gestion des DCP pour 2025 et/ou 2026 et qui ont activement pêché des thonidés tropicaux en 2025.</w:t>
      </w:r>
    </w:p>
    <w:p w14:paraId="77765EAF" w14:textId="77777777" w:rsidR="0043516D" w:rsidRPr="00582ECD" w:rsidRDefault="0043516D" w:rsidP="001C2499">
      <w:pPr>
        <w:tabs>
          <w:tab w:val="left" w:pos="1276"/>
          <w:tab w:val="left" w:pos="1418"/>
          <w:tab w:val="left" w:leader="dot" w:pos="8222"/>
          <w:tab w:val="right" w:pos="8647"/>
        </w:tabs>
        <w:jc w:val="both"/>
        <w:rPr>
          <w:rFonts w:asciiTheme="majorHAnsi" w:hAnsiTheme="majorHAnsi"/>
        </w:rPr>
      </w:pPr>
    </w:p>
    <w:p w14:paraId="7DED72DA" w14:textId="53F36B31" w:rsidR="001C2499" w:rsidRPr="00582ECD" w:rsidRDefault="001C2499" w:rsidP="001C2499">
      <w:pPr>
        <w:tabs>
          <w:tab w:val="left" w:pos="1276"/>
          <w:tab w:val="left" w:pos="1418"/>
          <w:tab w:val="left" w:leader="dot" w:pos="8222"/>
          <w:tab w:val="right" w:pos="8647"/>
        </w:tabs>
        <w:jc w:val="both"/>
        <w:rPr>
          <w:rFonts w:asciiTheme="majorHAnsi" w:hAnsiTheme="majorHAnsi"/>
        </w:rPr>
      </w:pPr>
      <w:r w:rsidRPr="00582ECD">
        <w:rPr>
          <w:rFonts w:asciiTheme="majorHAnsi" w:hAnsiTheme="majorHAnsi"/>
        </w:rPr>
        <w:t>Pour plus de détails sur les données relatives aux DCP reçues, voir le « Rapport 2026 du Secrétariat de l’ICCAT sur la recherche et les statistiques » [PLE_105/2026],</w:t>
      </w:r>
      <w:r w:rsidRPr="00582ECD">
        <w:rPr>
          <w:rFonts w:asciiTheme="majorHAnsi" w:hAnsiTheme="majorHAnsi"/>
          <w:b/>
        </w:rPr>
        <w:t xml:space="preserve"> </w:t>
      </w:r>
      <w:r w:rsidRPr="00582ECD">
        <w:rPr>
          <w:rFonts w:asciiTheme="majorHAnsi" w:hAnsiTheme="majorHAnsi"/>
        </w:rPr>
        <w:t xml:space="preserve">appendice 2. </w:t>
      </w:r>
    </w:p>
    <w:p w14:paraId="70D68C61" w14:textId="77777777" w:rsidR="0043516D" w:rsidRPr="00582ECD" w:rsidRDefault="0043516D" w:rsidP="001C2499">
      <w:pPr>
        <w:tabs>
          <w:tab w:val="left" w:pos="1276"/>
          <w:tab w:val="left" w:pos="1418"/>
          <w:tab w:val="left" w:leader="dot" w:pos="8222"/>
          <w:tab w:val="right" w:pos="8647"/>
        </w:tabs>
        <w:jc w:val="both"/>
        <w:rPr>
          <w:rFonts w:asciiTheme="majorHAnsi" w:hAnsiTheme="majorHAnsi"/>
        </w:rPr>
      </w:pPr>
    </w:p>
    <w:p w14:paraId="76BB4136" w14:textId="057B86FF" w:rsidR="0098128E" w:rsidRDefault="00B4660A" w:rsidP="00820485">
      <w:pPr>
        <w:tabs>
          <w:tab w:val="left" w:pos="1276"/>
          <w:tab w:val="left" w:pos="1418"/>
          <w:tab w:val="left" w:leader="dot" w:pos="8222"/>
          <w:tab w:val="right" w:pos="8647"/>
        </w:tabs>
        <w:jc w:val="both"/>
        <w:rPr>
          <w:rFonts w:asciiTheme="majorHAnsi" w:hAnsiTheme="majorHAnsi"/>
        </w:rPr>
      </w:pPr>
      <w:r w:rsidRPr="00582ECD">
        <w:rPr>
          <w:rFonts w:asciiTheme="majorHAnsi" w:hAnsiTheme="majorHAnsi"/>
          <w:b/>
          <w:bCs/>
          <w:i/>
        </w:rPr>
        <w:t>Captures trimestrielles/mensuelles de thonidés tropicaux</w:t>
      </w:r>
      <w:r w:rsidRPr="00582ECD">
        <w:rPr>
          <w:rFonts w:asciiTheme="majorHAnsi" w:hAnsiTheme="majorHAnsi"/>
        </w:rPr>
        <w:t xml:space="preserve"> Le </w:t>
      </w:r>
      <w:r w:rsidRPr="00582ECD">
        <w:rPr>
          <w:rFonts w:asciiTheme="majorHAnsi" w:hAnsiTheme="majorHAnsi"/>
          <w:b/>
          <w:bCs/>
        </w:rPr>
        <w:t>tableau 1</w:t>
      </w:r>
      <w:r w:rsidRPr="00582ECD">
        <w:rPr>
          <w:rFonts w:asciiTheme="majorHAnsi" w:hAnsiTheme="majorHAnsi"/>
        </w:rPr>
        <w:t xml:space="preserve"> montre les captures de thonidés tropicaux en 2025 déclarées trimestriellement et mensuellement. Les exigences sont quelque peu contradictoires, certaines CPC étant obligées de faire des déclarations à la fois trimestrielles et mensuelles, et dans certains cas, hebdomadaires. Il est très difficile de collecter et d'extraire des données de manière significative, en raison des doublons impliqués. Le paragraphe 15 exige la déclaration des espèces de </w:t>
      </w:r>
      <w:r w:rsidRPr="00582ECD">
        <w:rPr>
          <w:rFonts w:asciiTheme="majorHAnsi" w:hAnsiTheme="majorHAnsi"/>
        </w:rPr>
        <w:lastRenderedPageBreak/>
        <w:t xml:space="preserve">thonidés tropicaux, tandis que le paragraphe 16 exige une déclaration mensuelle pour les senneurs ou les palangriers, passant à une déclaration hebdomadaire </w:t>
      </w:r>
      <w:r w:rsidR="00D14349">
        <w:rPr>
          <w:rFonts w:asciiTheme="majorHAnsi" w:hAnsiTheme="majorHAnsi"/>
        </w:rPr>
        <w:t>« </w:t>
      </w:r>
      <w:r w:rsidRPr="00582ECD">
        <w:rPr>
          <w:rFonts w:asciiTheme="majorHAnsi" w:hAnsiTheme="majorHAnsi"/>
        </w:rPr>
        <w:t>lorsque 80% de leurs limites de capture ont été capturés</w:t>
      </w:r>
      <w:r w:rsidR="00D14349">
        <w:rPr>
          <w:rFonts w:asciiTheme="majorHAnsi" w:hAnsiTheme="majorHAnsi"/>
        </w:rPr>
        <w:t> »</w:t>
      </w:r>
      <w:r w:rsidRPr="00582ECD">
        <w:rPr>
          <w:rFonts w:asciiTheme="majorHAnsi" w:hAnsiTheme="majorHAnsi"/>
        </w:rPr>
        <w:t>, bien que les limites de capture ne s'appliquent qu'au thon obèse et non à toutes les espèces de thonidés tropicaux.</w:t>
      </w:r>
    </w:p>
    <w:p w14:paraId="386E471D" w14:textId="77777777" w:rsidR="00623041" w:rsidRPr="00582ECD" w:rsidRDefault="00623041" w:rsidP="00820485">
      <w:pPr>
        <w:tabs>
          <w:tab w:val="left" w:pos="1276"/>
          <w:tab w:val="left" w:pos="1418"/>
          <w:tab w:val="left" w:leader="dot" w:pos="8222"/>
          <w:tab w:val="right" w:pos="8647"/>
        </w:tabs>
        <w:jc w:val="both"/>
        <w:rPr>
          <w:rFonts w:asciiTheme="majorHAnsi" w:hAnsiTheme="majorHAnsi"/>
          <w:bCs/>
        </w:rPr>
      </w:pPr>
    </w:p>
    <w:p w14:paraId="6D359157" w14:textId="27A397B0" w:rsidR="00015B4B" w:rsidRPr="00582ECD" w:rsidRDefault="00015B4B" w:rsidP="00820485">
      <w:pPr>
        <w:tabs>
          <w:tab w:val="left" w:pos="1276"/>
          <w:tab w:val="left" w:pos="1418"/>
          <w:tab w:val="left" w:leader="dot" w:pos="8222"/>
          <w:tab w:val="right" w:pos="8647"/>
        </w:tabs>
        <w:jc w:val="both"/>
        <w:rPr>
          <w:rFonts w:asciiTheme="majorHAnsi" w:hAnsiTheme="majorHAnsi"/>
          <w:bCs/>
        </w:rPr>
      </w:pPr>
      <w:r w:rsidRPr="00582ECD">
        <w:rPr>
          <w:rFonts w:asciiTheme="majorHAnsi" w:hAnsiTheme="majorHAnsi"/>
        </w:rPr>
        <w:t>Le paragraphe 15 stipule que</w:t>
      </w:r>
      <w:r w:rsidRPr="00582ECD">
        <w:rPr>
          <w:rFonts w:asciiTheme="majorHAnsi" w:hAnsiTheme="majorHAnsi"/>
          <w:i/>
          <w:iCs/>
        </w:rPr>
        <w:t xml:space="preserve"> les CPC devront déclarer au Secrétariat de l’ICCAT tous les trois mois le volume de thonidés tropicaux (par espèce) capturé par les navires battant leur pavillon, dans les 30 jours suivant la fin de la période durant laquelle les captures ont été réalisées.</w:t>
      </w:r>
      <w:r w:rsidRPr="00582ECD">
        <w:rPr>
          <w:rFonts w:asciiTheme="majorHAnsi" w:hAnsiTheme="majorHAnsi"/>
        </w:rPr>
        <w:t xml:space="preserve"> Le Secrétariat de l’ICCAT comprend que cela fait référence à toutes les CPC qui capturent des espèces de thonidés tropicaux.</w:t>
      </w:r>
    </w:p>
    <w:p w14:paraId="0AB888AA" w14:textId="77777777" w:rsidR="0098128E" w:rsidRPr="00582ECD" w:rsidRDefault="0098128E" w:rsidP="00820485">
      <w:pPr>
        <w:tabs>
          <w:tab w:val="left" w:pos="1276"/>
          <w:tab w:val="left" w:pos="1418"/>
          <w:tab w:val="left" w:leader="dot" w:pos="8222"/>
          <w:tab w:val="right" w:pos="8647"/>
        </w:tabs>
        <w:jc w:val="both"/>
        <w:rPr>
          <w:rFonts w:asciiTheme="majorHAnsi" w:hAnsiTheme="majorHAnsi"/>
          <w:bCs/>
        </w:rPr>
      </w:pPr>
    </w:p>
    <w:p w14:paraId="462E1D94" w14:textId="5FC5EE70" w:rsidR="007A3316" w:rsidRPr="00582ECD" w:rsidRDefault="007A3316" w:rsidP="00820485">
      <w:pPr>
        <w:tabs>
          <w:tab w:val="left" w:pos="1276"/>
          <w:tab w:val="left" w:pos="1418"/>
          <w:tab w:val="left" w:leader="dot" w:pos="8222"/>
          <w:tab w:val="right" w:pos="8647"/>
        </w:tabs>
        <w:jc w:val="both"/>
        <w:rPr>
          <w:rFonts w:asciiTheme="majorHAnsi" w:hAnsiTheme="majorHAnsi"/>
          <w:bCs/>
        </w:rPr>
      </w:pPr>
      <w:r w:rsidRPr="00582ECD">
        <w:rPr>
          <w:rFonts w:asciiTheme="majorHAnsi" w:hAnsiTheme="majorHAnsi"/>
        </w:rPr>
        <w:t xml:space="preserve">Les données de la tâche 1 pour 2025 indiquent que les CPC suivantes ont pêché des thonidés tropicaux, mais aucune déclaration de capture trimestrielle (ou mensuelle) correspondante n'a été reçue : </w:t>
      </w:r>
    </w:p>
    <w:p w14:paraId="56D43C2A" w14:textId="2714F153" w:rsidR="000D3A2C" w:rsidRPr="00582ECD" w:rsidRDefault="000D3A2C" w:rsidP="00820485">
      <w:pPr>
        <w:tabs>
          <w:tab w:val="left" w:pos="1276"/>
          <w:tab w:val="left" w:pos="1418"/>
          <w:tab w:val="left" w:leader="dot" w:pos="8222"/>
          <w:tab w:val="right" w:pos="8647"/>
        </w:tabs>
        <w:jc w:val="both"/>
        <w:rPr>
          <w:rFonts w:asciiTheme="majorHAnsi" w:hAnsiTheme="majorHAnsi"/>
        </w:rPr>
      </w:pPr>
    </w:p>
    <w:tbl>
      <w:tblPr>
        <w:tblW w:w="509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57"/>
        <w:gridCol w:w="2341"/>
      </w:tblGrid>
      <w:tr w:rsidR="00B271B4" w:rsidRPr="00582ECD" w14:paraId="205C1517" w14:textId="77777777" w:rsidTr="006D1FBF">
        <w:trPr>
          <w:trHeight w:val="295"/>
          <w:jc w:val="center"/>
        </w:trPr>
        <w:tc>
          <w:tcPr>
            <w:tcW w:w="2757" w:type="dxa"/>
            <w:tcBorders>
              <w:bottom w:val="single" w:sz="4" w:space="0" w:color="auto"/>
            </w:tcBorders>
            <w:shd w:val="clear" w:color="4472C4" w:fill="auto"/>
            <w:noWrap/>
            <w:vAlign w:val="center"/>
            <w:hideMark/>
          </w:tcPr>
          <w:p w14:paraId="63B93C41" w14:textId="552DC1D3" w:rsidR="00B271B4" w:rsidRPr="00582ECD" w:rsidRDefault="00DF5C32" w:rsidP="006D1FBF">
            <w:pPr>
              <w:widowControl/>
              <w:autoSpaceDE/>
              <w:autoSpaceDN/>
              <w:adjustRightInd/>
              <w:rPr>
                <w:rFonts w:asciiTheme="majorHAnsi" w:hAnsiTheme="majorHAnsi" w:cs="Calibri"/>
                <w:i/>
                <w:iCs/>
              </w:rPr>
            </w:pPr>
            <w:r w:rsidRPr="00582ECD">
              <w:rPr>
                <w:rFonts w:asciiTheme="majorHAnsi" w:hAnsiTheme="majorHAnsi"/>
                <w:i/>
              </w:rPr>
              <w:t>CPC</w:t>
            </w:r>
          </w:p>
        </w:tc>
        <w:tc>
          <w:tcPr>
            <w:tcW w:w="2341" w:type="dxa"/>
            <w:shd w:val="clear" w:color="4472C4" w:fill="auto"/>
            <w:noWrap/>
            <w:vAlign w:val="center"/>
            <w:hideMark/>
          </w:tcPr>
          <w:p w14:paraId="5449700A" w14:textId="6CEDBFAF" w:rsidR="00B271B4" w:rsidRPr="00582ECD" w:rsidRDefault="00DF5C32" w:rsidP="00F627F4">
            <w:pPr>
              <w:widowControl/>
              <w:autoSpaceDE/>
              <w:autoSpaceDN/>
              <w:adjustRightInd/>
              <w:jc w:val="center"/>
              <w:rPr>
                <w:rFonts w:asciiTheme="majorHAnsi" w:hAnsiTheme="majorHAnsi" w:cs="Calibri"/>
                <w:i/>
                <w:iCs/>
              </w:rPr>
            </w:pPr>
            <w:r w:rsidRPr="00582ECD">
              <w:rPr>
                <w:rFonts w:asciiTheme="majorHAnsi" w:hAnsiTheme="majorHAnsi"/>
                <w:i/>
              </w:rPr>
              <w:t>Total des captures de thonidés tropicaux (t)</w:t>
            </w:r>
          </w:p>
        </w:tc>
      </w:tr>
      <w:tr w:rsidR="00A17641" w:rsidRPr="00582ECD" w14:paraId="594F8264" w14:textId="77777777" w:rsidTr="006D1FBF">
        <w:trPr>
          <w:trHeight w:val="295"/>
          <w:jc w:val="center"/>
        </w:trPr>
        <w:tc>
          <w:tcPr>
            <w:tcW w:w="2757" w:type="dxa"/>
            <w:shd w:val="clear" w:color="000000" w:fill="auto"/>
            <w:noWrap/>
            <w:vAlign w:val="center"/>
            <w:hideMark/>
          </w:tcPr>
          <w:p w14:paraId="07A1C496" w14:textId="3C642548" w:rsidR="00A17641" w:rsidRPr="00582ECD" w:rsidRDefault="00A17641" w:rsidP="00A17641">
            <w:pPr>
              <w:widowControl/>
              <w:autoSpaceDE/>
              <w:autoSpaceDN/>
              <w:adjustRightInd/>
              <w:rPr>
                <w:rFonts w:asciiTheme="majorHAnsi" w:hAnsiTheme="majorHAnsi"/>
              </w:rPr>
            </w:pPr>
            <w:r w:rsidRPr="00582ECD">
              <w:rPr>
                <w:rFonts w:asciiTheme="majorHAnsi" w:hAnsiTheme="majorHAnsi"/>
                <w:color w:val="000000"/>
              </w:rPr>
              <w:t>Cabo Verde</w:t>
            </w:r>
          </w:p>
        </w:tc>
        <w:tc>
          <w:tcPr>
            <w:tcW w:w="2341" w:type="dxa"/>
            <w:noWrap/>
            <w:vAlign w:val="center"/>
            <w:hideMark/>
          </w:tcPr>
          <w:p w14:paraId="63FF6EEE" w14:textId="68F721A8" w:rsidR="00A17641" w:rsidRPr="00582ECD" w:rsidRDefault="00A17641" w:rsidP="00A17641">
            <w:pPr>
              <w:widowControl/>
              <w:autoSpaceDE/>
              <w:autoSpaceDN/>
              <w:adjustRightInd/>
              <w:jc w:val="right"/>
              <w:rPr>
                <w:rFonts w:asciiTheme="majorHAnsi" w:hAnsiTheme="majorHAnsi"/>
              </w:rPr>
            </w:pPr>
            <w:r w:rsidRPr="00582ECD">
              <w:rPr>
                <w:rFonts w:asciiTheme="majorHAnsi" w:hAnsiTheme="majorHAnsi"/>
                <w:color w:val="000000"/>
              </w:rPr>
              <w:t>1.540</w:t>
            </w:r>
          </w:p>
        </w:tc>
      </w:tr>
      <w:tr w:rsidR="00A17641" w:rsidRPr="00582ECD" w14:paraId="4AB97A64" w14:textId="77777777" w:rsidTr="006D1FBF">
        <w:trPr>
          <w:trHeight w:val="295"/>
          <w:jc w:val="center"/>
        </w:trPr>
        <w:tc>
          <w:tcPr>
            <w:tcW w:w="2757" w:type="dxa"/>
            <w:shd w:val="clear" w:color="000000" w:fill="auto"/>
            <w:noWrap/>
            <w:vAlign w:val="center"/>
            <w:hideMark/>
          </w:tcPr>
          <w:p w14:paraId="7866FE69" w14:textId="6BD31673" w:rsidR="00A17641" w:rsidRPr="00582ECD" w:rsidRDefault="00A17641" w:rsidP="00A17641">
            <w:pPr>
              <w:widowControl/>
              <w:autoSpaceDE/>
              <w:autoSpaceDN/>
              <w:adjustRightInd/>
              <w:rPr>
                <w:rFonts w:asciiTheme="majorHAnsi" w:hAnsiTheme="majorHAnsi"/>
              </w:rPr>
            </w:pPr>
            <w:r w:rsidRPr="00582ECD">
              <w:rPr>
                <w:rFonts w:asciiTheme="majorHAnsi" w:hAnsiTheme="majorHAnsi"/>
                <w:color w:val="000000"/>
              </w:rPr>
              <w:t>Côte d'Ivoire</w:t>
            </w:r>
          </w:p>
        </w:tc>
        <w:tc>
          <w:tcPr>
            <w:tcW w:w="2341" w:type="dxa"/>
            <w:noWrap/>
            <w:vAlign w:val="center"/>
            <w:hideMark/>
          </w:tcPr>
          <w:p w14:paraId="223AF443" w14:textId="1C11339D" w:rsidR="00A17641" w:rsidRPr="00582ECD" w:rsidRDefault="00A17641" w:rsidP="00A17641">
            <w:pPr>
              <w:widowControl/>
              <w:autoSpaceDE/>
              <w:autoSpaceDN/>
              <w:adjustRightInd/>
              <w:jc w:val="right"/>
              <w:rPr>
                <w:rFonts w:asciiTheme="majorHAnsi" w:hAnsiTheme="majorHAnsi"/>
              </w:rPr>
            </w:pPr>
            <w:r w:rsidRPr="00582ECD">
              <w:rPr>
                <w:rFonts w:asciiTheme="majorHAnsi" w:hAnsiTheme="majorHAnsi"/>
                <w:color w:val="000000"/>
              </w:rPr>
              <w:t>5.611</w:t>
            </w:r>
          </w:p>
        </w:tc>
      </w:tr>
      <w:tr w:rsidR="00A17641" w:rsidRPr="00582ECD" w14:paraId="45412F31" w14:textId="77777777" w:rsidTr="006D1FBF">
        <w:trPr>
          <w:trHeight w:val="295"/>
          <w:jc w:val="center"/>
        </w:trPr>
        <w:tc>
          <w:tcPr>
            <w:tcW w:w="2757" w:type="dxa"/>
            <w:shd w:val="clear" w:color="000000" w:fill="auto"/>
            <w:noWrap/>
            <w:vAlign w:val="center"/>
            <w:hideMark/>
          </w:tcPr>
          <w:p w14:paraId="4899362E" w14:textId="5AF5CEFF" w:rsidR="00A17641" w:rsidRPr="00582ECD" w:rsidRDefault="00A17641" w:rsidP="00A17641">
            <w:pPr>
              <w:widowControl/>
              <w:autoSpaceDE/>
              <w:autoSpaceDN/>
              <w:adjustRightInd/>
              <w:rPr>
                <w:rFonts w:asciiTheme="majorHAnsi" w:hAnsiTheme="majorHAnsi"/>
              </w:rPr>
            </w:pPr>
            <w:r w:rsidRPr="00582ECD">
              <w:rPr>
                <w:rFonts w:asciiTheme="majorHAnsi" w:hAnsiTheme="majorHAnsi"/>
                <w:color w:val="000000"/>
              </w:rPr>
              <w:t>Cuba</w:t>
            </w:r>
          </w:p>
        </w:tc>
        <w:tc>
          <w:tcPr>
            <w:tcW w:w="2341" w:type="dxa"/>
            <w:noWrap/>
            <w:vAlign w:val="center"/>
            <w:hideMark/>
          </w:tcPr>
          <w:p w14:paraId="38C0531C" w14:textId="2312F8FC" w:rsidR="00A17641" w:rsidRPr="00582ECD" w:rsidRDefault="00A17641" w:rsidP="00A17641">
            <w:pPr>
              <w:widowControl/>
              <w:autoSpaceDE/>
              <w:autoSpaceDN/>
              <w:adjustRightInd/>
              <w:jc w:val="right"/>
              <w:rPr>
                <w:rFonts w:asciiTheme="majorHAnsi" w:hAnsiTheme="majorHAnsi"/>
              </w:rPr>
            </w:pPr>
            <w:r w:rsidRPr="00582ECD">
              <w:rPr>
                <w:rFonts w:asciiTheme="majorHAnsi" w:hAnsiTheme="majorHAnsi"/>
                <w:color w:val="000000"/>
              </w:rPr>
              <w:t>26</w:t>
            </w:r>
          </w:p>
        </w:tc>
      </w:tr>
      <w:tr w:rsidR="00A17641" w:rsidRPr="00582ECD" w14:paraId="6D650C1C" w14:textId="77777777" w:rsidTr="006D1FBF">
        <w:trPr>
          <w:trHeight w:val="295"/>
          <w:jc w:val="center"/>
        </w:trPr>
        <w:tc>
          <w:tcPr>
            <w:tcW w:w="2757" w:type="dxa"/>
            <w:shd w:val="clear" w:color="000000" w:fill="auto"/>
            <w:noWrap/>
            <w:vAlign w:val="center"/>
            <w:hideMark/>
          </w:tcPr>
          <w:p w14:paraId="3FF5D584" w14:textId="42BC936C" w:rsidR="00A17641" w:rsidRPr="00582ECD" w:rsidRDefault="00A17641" w:rsidP="00A17641">
            <w:pPr>
              <w:widowControl/>
              <w:autoSpaceDE/>
              <w:autoSpaceDN/>
              <w:adjustRightInd/>
              <w:rPr>
                <w:rFonts w:asciiTheme="majorHAnsi" w:hAnsiTheme="majorHAnsi"/>
              </w:rPr>
            </w:pPr>
            <w:r w:rsidRPr="00582ECD">
              <w:rPr>
                <w:rFonts w:asciiTheme="majorHAnsi" w:hAnsiTheme="majorHAnsi"/>
                <w:color w:val="000000"/>
              </w:rPr>
              <w:t>Égypte</w:t>
            </w:r>
          </w:p>
        </w:tc>
        <w:tc>
          <w:tcPr>
            <w:tcW w:w="2341" w:type="dxa"/>
            <w:noWrap/>
            <w:vAlign w:val="center"/>
            <w:hideMark/>
          </w:tcPr>
          <w:p w14:paraId="550CF6CD" w14:textId="57705F37" w:rsidR="00A17641" w:rsidRPr="00582ECD" w:rsidRDefault="00A17641" w:rsidP="00A17641">
            <w:pPr>
              <w:widowControl/>
              <w:autoSpaceDE/>
              <w:autoSpaceDN/>
              <w:adjustRightInd/>
              <w:jc w:val="right"/>
              <w:rPr>
                <w:rFonts w:asciiTheme="majorHAnsi" w:hAnsiTheme="majorHAnsi"/>
              </w:rPr>
            </w:pPr>
            <w:r w:rsidRPr="00582ECD">
              <w:rPr>
                <w:rFonts w:asciiTheme="majorHAnsi" w:hAnsiTheme="majorHAnsi"/>
                <w:color w:val="000000"/>
              </w:rPr>
              <w:t>6</w:t>
            </w:r>
          </w:p>
        </w:tc>
      </w:tr>
      <w:tr w:rsidR="00A17641" w:rsidRPr="00582ECD" w14:paraId="6E6F8842" w14:textId="77777777" w:rsidTr="006D1FBF">
        <w:trPr>
          <w:trHeight w:val="295"/>
          <w:jc w:val="center"/>
        </w:trPr>
        <w:tc>
          <w:tcPr>
            <w:tcW w:w="2757" w:type="dxa"/>
            <w:shd w:val="clear" w:color="000000" w:fill="auto"/>
            <w:noWrap/>
            <w:vAlign w:val="center"/>
            <w:hideMark/>
          </w:tcPr>
          <w:p w14:paraId="588E6EC1" w14:textId="0D0197AD" w:rsidR="00A17641" w:rsidRPr="00582ECD" w:rsidRDefault="00A17641" w:rsidP="00A17641">
            <w:pPr>
              <w:widowControl/>
              <w:autoSpaceDE/>
              <w:autoSpaceDN/>
              <w:adjustRightInd/>
              <w:rPr>
                <w:rFonts w:asciiTheme="majorHAnsi" w:hAnsiTheme="majorHAnsi"/>
              </w:rPr>
            </w:pPr>
            <w:r w:rsidRPr="00582ECD">
              <w:rPr>
                <w:rFonts w:asciiTheme="majorHAnsi" w:hAnsiTheme="majorHAnsi"/>
                <w:color w:val="000000"/>
              </w:rPr>
              <w:t>Grenade</w:t>
            </w:r>
          </w:p>
        </w:tc>
        <w:tc>
          <w:tcPr>
            <w:tcW w:w="2341" w:type="dxa"/>
            <w:noWrap/>
            <w:vAlign w:val="center"/>
            <w:hideMark/>
          </w:tcPr>
          <w:p w14:paraId="6B3BC132" w14:textId="11248165" w:rsidR="00A17641" w:rsidRPr="00582ECD" w:rsidRDefault="00A17641" w:rsidP="00A17641">
            <w:pPr>
              <w:widowControl/>
              <w:autoSpaceDE/>
              <w:autoSpaceDN/>
              <w:adjustRightInd/>
              <w:jc w:val="right"/>
              <w:rPr>
                <w:rFonts w:asciiTheme="majorHAnsi" w:hAnsiTheme="majorHAnsi"/>
              </w:rPr>
            </w:pPr>
            <w:r w:rsidRPr="00582ECD">
              <w:rPr>
                <w:rFonts w:asciiTheme="majorHAnsi" w:hAnsiTheme="majorHAnsi"/>
                <w:color w:val="000000"/>
              </w:rPr>
              <w:t>1 429</w:t>
            </w:r>
          </w:p>
        </w:tc>
      </w:tr>
      <w:tr w:rsidR="00A17641" w:rsidRPr="00582ECD" w14:paraId="5D35B09A" w14:textId="77777777" w:rsidTr="006D1FBF">
        <w:trPr>
          <w:trHeight w:val="295"/>
          <w:jc w:val="center"/>
        </w:trPr>
        <w:tc>
          <w:tcPr>
            <w:tcW w:w="2757" w:type="dxa"/>
            <w:shd w:val="clear" w:color="000000" w:fill="auto"/>
            <w:noWrap/>
            <w:vAlign w:val="center"/>
            <w:hideMark/>
          </w:tcPr>
          <w:p w14:paraId="47CB37CC" w14:textId="4084C659" w:rsidR="00A17641" w:rsidRPr="00582ECD" w:rsidRDefault="00A17641" w:rsidP="00A17641">
            <w:pPr>
              <w:widowControl/>
              <w:autoSpaceDE/>
              <w:autoSpaceDN/>
              <w:adjustRightInd/>
              <w:rPr>
                <w:rFonts w:asciiTheme="majorHAnsi" w:hAnsiTheme="majorHAnsi"/>
              </w:rPr>
            </w:pPr>
            <w:r w:rsidRPr="00582ECD">
              <w:rPr>
                <w:rFonts w:asciiTheme="majorHAnsi" w:hAnsiTheme="majorHAnsi"/>
                <w:color w:val="000000"/>
              </w:rPr>
              <w:t>Guinée équatoriale</w:t>
            </w:r>
          </w:p>
        </w:tc>
        <w:tc>
          <w:tcPr>
            <w:tcW w:w="2341" w:type="dxa"/>
            <w:noWrap/>
            <w:vAlign w:val="center"/>
            <w:hideMark/>
          </w:tcPr>
          <w:p w14:paraId="5A2875A2" w14:textId="40BA2930" w:rsidR="00A17641" w:rsidRPr="00582ECD" w:rsidRDefault="00A17641" w:rsidP="00A17641">
            <w:pPr>
              <w:widowControl/>
              <w:autoSpaceDE/>
              <w:autoSpaceDN/>
              <w:adjustRightInd/>
              <w:jc w:val="right"/>
              <w:rPr>
                <w:rFonts w:asciiTheme="majorHAnsi" w:hAnsiTheme="majorHAnsi"/>
              </w:rPr>
            </w:pPr>
            <w:r w:rsidRPr="00582ECD">
              <w:rPr>
                <w:rFonts w:asciiTheme="majorHAnsi" w:hAnsiTheme="majorHAnsi"/>
                <w:color w:val="000000"/>
              </w:rPr>
              <w:t>6</w:t>
            </w:r>
          </w:p>
        </w:tc>
      </w:tr>
      <w:tr w:rsidR="00A17641" w:rsidRPr="00582ECD" w14:paraId="6BB5CA9D" w14:textId="77777777" w:rsidTr="006D1FBF">
        <w:trPr>
          <w:trHeight w:val="295"/>
          <w:jc w:val="center"/>
        </w:trPr>
        <w:tc>
          <w:tcPr>
            <w:tcW w:w="2757" w:type="dxa"/>
            <w:shd w:val="clear" w:color="000000" w:fill="auto"/>
            <w:noWrap/>
            <w:vAlign w:val="center"/>
          </w:tcPr>
          <w:p w14:paraId="0D3B1F2A" w14:textId="40CADCA5" w:rsidR="00A17641" w:rsidRPr="00582ECD" w:rsidRDefault="00A17641" w:rsidP="00A17641">
            <w:pPr>
              <w:widowControl/>
              <w:autoSpaceDE/>
              <w:autoSpaceDN/>
              <w:adjustRightInd/>
              <w:rPr>
                <w:rFonts w:asciiTheme="majorHAnsi" w:hAnsiTheme="majorHAnsi"/>
              </w:rPr>
            </w:pPr>
            <w:r w:rsidRPr="00582ECD">
              <w:rPr>
                <w:rFonts w:asciiTheme="majorHAnsi" w:hAnsiTheme="majorHAnsi"/>
                <w:color w:val="000000"/>
              </w:rPr>
              <w:t>République de Guinée</w:t>
            </w:r>
          </w:p>
        </w:tc>
        <w:tc>
          <w:tcPr>
            <w:tcW w:w="2341" w:type="dxa"/>
            <w:noWrap/>
            <w:vAlign w:val="center"/>
          </w:tcPr>
          <w:p w14:paraId="302738AB" w14:textId="417F8759" w:rsidR="00A17641" w:rsidRPr="00582ECD" w:rsidRDefault="00A17641" w:rsidP="00A17641">
            <w:pPr>
              <w:widowControl/>
              <w:autoSpaceDE/>
              <w:autoSpaceDN/>
              <w:adjustRightInd/>
              <w:jc w:val="right"/>
              <w:rPr>
                <w:rFonts w:asciiTheme="majorHAnsi" w:hAnsiTheme="majorHAnsi"/>
              </w:rPr>
            </w:pPr>
            <w:r w:rsidRPr="00582ECD">
              <w:rPr>
                <w:rFonts w:asciiTheme="majorHAnsi" w:hAnsiTheme="majorHAnsi"/>
                <w:color w:val="000000"/>
              </w:rPr>
              <w:t>4.383</w:t>
            </w:r>
          </w:p>
        </w:tc>
      </w:tr>
      <w:tr w:rsidR="00A17641" w:rsidRPr="00582ECD" w14:paraId="7344E9FE" w14:textId="77777777" w:rsidTr="006D1FBF">
        <w:trPr>
          <w:trHeight w:val="295"/>
          <w:jc w:val="center"/>
        </w:trPr>
        <w:tc>
          <w:tcPr>
            <w:tcW w:w="2757" w:type="dxa"/>
            <w:shd w:val="clear" w:color="000000" w:fill="auto"/>
            <w:noWrap/>
            <w:vAlign w:val="center"/>
          </w:tcPr>
          <w:p w14:paraId="26D35A83" w14:textId="54784044" w:rsidR="00A17641" w:rsidRPr="00582ECD" w:rsidRDefault="00A17641" w:rsidP="00A17641">
            <w:pPr>
              <w:widowControl/>
              <w:autoSpaceDE/>
              <w:autoSpaceDN/>
              <w:adjustRightInd/>
              <w:rPr>
                <w:rFonts w:asciiTheme="majorHAnsi" w:hAnsiTheme="majorHAnsi"/>
              </w:rPr>
            </w:pPr>
            <w:r w:rsidRPr="00582ECD">
              <w:rPr>
                <w:rFonts w:asciiTheme="majorHAnsi" w:hAnsiTheme="majorHAnsi"/>
                <w:color w:val="000000"/>
              </w:rPr>
              <w:t>Guyana</w:t>
            </w:r>
          </w:p>
        </w:tc>
        <w:tc>
          <w:tcPr>
            <w:tcW w:w="2341" w:type="dxa"/>
            <w:noWrap/>
            <w:vAlign w:val="center"/>
          </w:tcPr>
          <w:p w14:paraId="15442B7C" w14:textId="24464FDD" w:rsidR="00A17641" w:rsidRPr="00582ECD" w:rsidRDefault="00A17641" w:rsidP="00A17641">
            <w:pPr>
              <w:widowControl/>
              <w:autoSpaceDE/>
              <w:autoSpaceDN/>
              <w:adjustRightInd/>
              <w:jc w:val="right"/>
              <w:rPr>
                <w:rFonts w:asciiTheme="majorHAnsi" w:hAnsiTheme="majorHAnsi"/>
              </w:rPr>
            </w:pPr>
            <w:r w:rsidRPr="00582ECD">
              <w:rPr>
                <w:rFonts w:asciiTheme="majorHAnsi" w:hAnsiTheme="majorHAnsi"/>
                <w:color w:val="000000"/>
              </w:rPr>
              <w:t>36</w:t>
            </w:r>
          </w:p>
        </w:tc>
      </w:tr>
      <w:tr w:rsidR="00A17641" w:rsidRPr="00582ECD" w14:paraId="52EDA979" w14:textId="77777777" w:rsidTr="006D1FBF">
        <w:trPr>
          <w:trHeight w:val="295"/>
          <w:jc w:val="center"/>
        </w:trPr>
        <w:tc>
          <w:tcPr>
            <w:tcW w:w="2757" w:type="dxa"/>
            <w:shd w:val="clear" w:color="000000" w:fill="auto"/>
            <w:noWrap/>
            <w:vAlign w:val="center"/>
          </w:tcPr>
          <w:p w14:paraId="7B9B3F93" w14:textId="38729EFD" w:rsidR="00A17641" w:rsidRPr="00582ECD" w:rsidRDefault="00A17641" w:rsidP="00A17641">
            <w:pPr>
              <w:widowControl/>
              <w:autoSpaceDE/>
              <w:autoSpaceDN/>
              <w:adjustRightInd/>
              <w:rPr>
                <w:rFonts w:asciiTheme="majorHAnsi" w:hAnsiTheme="majorHAnsi"/>
              </w:rPr>
            </w:pPr>
            <w:r w:rsidRPr="00582ECD">
              <w:rPr>
                <w:rFonts w:asciiTheme="majorHAnsi" w:hAnsiTheme="majorHAnsi"/>
                <w:color w:val="000000"/>
              </w:rPr>
              <w:t>Liberia</w:t>
            </w:r>
          </w:p>
        </w:tc>
        <w:tc>
          <w:tcPr>
            <w:tcW w:w="2341" w:type="dxa"/>
            <w:noWrap/>
            <w:vAlign w:val="center"/>
          </w:tcPr>
          <w:p w14:paraId="0DE2DAB9" w14:textId="204A1140" w:rsidR="00A17641" w:rsidRPr="00582ECD" w:rsidRDefault="00A17641" w:rsidP="00A17641">
            <w:pPr>
              <w:widowControl/>
              <w:autoSpaceDE/>
              <w:autoSpaceDN/>
              <w:adjustRightInd/>
              <w:jc w:val="right"/>
              <w:rPr>
                <w:rFonts w:asciiTheme="majorHAnsi" w:hAnsiTheme="majorHAnsi"/>
              </w:rPr>
            </w:pPr>
            <w:r w:rsidRPr="00582ECD">
              <w:rPr>
                <w:rFonts w:asciiTheme="majorHAnsi" w:hAnsiTheme="majorHAnsi"/>
                <w:color w:val="000000"/>
              </w:rPr>
              <w:t>14</w:t>
            </w:r>
          </w:p>
        </w:tc>
      </w:tr>
      <w:tr w:rsidR="00A17641" w:rsidRPr="00582ECD" w14:paraId="3524F956" w14:textId="77777777" w:rsidTr="006D1FBF">
        <w:trPr>
          <w:trHeight w:val="295"/>
          <w:jc w:val="center"/>
        </w:trPr>
        <w:tc>
          <w:tcPr>
            <w:tcW w:w="2757" w:type="dxa"/>
            <w:shd w:val="clear" w:color="000000" w:fill="auto"/>
            <w:noWrap/>
            <w:vAlign w:val="center"/>
          </w:tcPr>
          <w:p w14:paraId="277B6E61" w14:textId="76BA3527" w:rsidR="00A17641" w:rsidRPr="00582ECD" w:rsidRDefault="00A17641" w:rsidP="00A17641">
            <w:pPr>
              <w:widowControl/>
              <w:autoSpaceDE/>
              <w:autoSpaceDN/>
              <w:adjustRightInd/>
              <w:rPr>
                <w:rFonts w:asciiTheme="majorHAnsi" w:hAnsiTheme="majorHAnsi"/>
              </w:rPr>
            </w:pPr>
            <w:r w:rsidRPr="00582ECD">
              <w:rPr>
                <w:rFonts w:asciiTheme="majorHAnsi" w:hAnsiTheme="majorHAnsi"/>
                <w:color w:val="000000"/>
              </w:rPr>
              <w:t>Namibie</w:t>
            </w:r>
          </w:p>
        </w:tc>
        <w:tc>
          <w:tcPr>
            <w:tcW w:w="2341" w:type="dxa"/>
            <w:noWrap/>
            <w:vAlign w:val="center"/>
          </w:tcPr>
          <w:p w14:paraId="45464DD7" w14:textId="4967FD9A" w:rsidR="00A17641" w:rsidRPr="00582ECD" w:rsidRDefault="00A17641" w:rsidP="00A17641">
            <w:pPr>
              <w:widowControl/>
              <w:autoSpaceDE/>
              <w:autoSpaceDN/>
              <w:adjustRightInd/>
              <w:jc w:val="right"/>
              <w:rPr>
                <w:rFonts w:asciiTheme="majorHAnsi" w:hAnsiTheme="majorHAnsi"/>
              </w:rPr>
            </w:pPr>
            <w:r w:rsidRPr="00582ECD">
              <w:rPr>
                <w:rFonts w:asciiTheme="majorHAnsi" w:hAnsiTheme="majorHAnsi"/>
                <w:color w:val="000000"/>
              </w:rPr>
              <w:t>1.109</w:t>
            </w:r>
          </w:p>
        </w:tc>
      </w:tr>
      <w:tr w:rsidR="00A17641" w:rsidRPr="00582ECD" w14:paraId="093C487E" w14:textId="77777777" w:rsidTr="006D1FBF">
        <w:trPr>
          <w:trHeight w:val="295"/>
          <w:jc w:val="center"/>
        </w:trPr>
        <w:tc>
          <w:tcPr>
            <w:tcW w:w="2757" w:type="dxa"/>
            <w:shd w:val="clear" w:color="000000" w:fill="auto"/>
            <w:noWrap/>
            <w:vAlign w:val="center"/>
          </w:tcPr>
          <w:p w14:paraId="44516DCE" w14:textId="5870035B" w:rsidR="00A17641" w:rsidRPr="00582ECD" w:rsidRDefault="00A17641" w:rsidP="00A17641">
            <w:pPr>
              <w:widowControl/>
              <w:autoSpaceDE/>
              <w:autoSpaceDN/>
              <w:adjustRightInd/>
              <w:rPr>
                <w:rFonts w:asciiTheme="majorHAnsi" w:hAnsiTheme="majorHAnsi"/>
              </w:rPr>
            </w:pPr>
            <w:r w:rsidRPr="00582ECD">
              <w:rPr>
                <w:rFonts w:asciiTheme="majorHAnsi" w:hAnsiTheme="majorHAnsi"/>
                <w:color w:val="000000"/>
              </w:rPr>
              <w:t>Sao Tomé-et-Principe</w:t>
            </w:r>
          </w:p>
        </w:tc>
        <w:tc>
          <w:tcPr>
            <w:tcW w:w="2341" w:type="dxa"/>
            <w:noWrap/>
            <w:vAlign w:val="center"/>
          </w:tcPr>
          <w:p w14:paraId="02EE40E5" w14:textId="412352F1" w:rsidR="00A17641" w:rsidRPr="00582ECD" w:rsidRDefault="00A17641" w:rsidP="00A17641">
            <w:pPr>
              <w:widowControl/>
              <w:autoSpaceDE/>
              <w:autoSpaceDN/>
              <w:adjustRightInd/>
              <w:jc w:val="right"/>
              <w:rPr>
                <w:rFonts w:asciiTheme="majorHAnsi" w:hAnsiTheme="majorHAnsi"/>
              </w:rPr>
            </w:pPr>
            <w:r w:rsidRPr="00582ECD">
              <w:rPr>
                <w:rFonts w:asciiTheme="majorHAnsi" w:hAnsiTheme="majorHAnsi"/>
                <w:color w:val="000000"/>
              </w:rPr>
              <w:t>246</w:t>
            </w:r>
          </w:p>
        </w:tc>
      </w:tr>
      <w:tr w:rsidR="00A17641" w:rsidRPr="00582ECD" w14:paraId="21272776" w14:textId="77777777" w:rsidTr="006D1FBF">
        <w:trPr>
          <w:trHeight w:val="295"/>
          <w:jc w:val="center"/>
        </w:trPr>
        <w:tc>
          <w:tcPr>
            <w:tcW w:w="2757" w:type="dxa"/>
            <w:shd w:val="clear" w:color="000000" w:fill="auto"/>
            <w:noWrap/>
            <w:vAlign w:val="center"/>
          </w:tcPr>
          <w:p w14:paraId="763D5190" w14:textId="1F6D0C71" w:rsidR="00A17641" w:rsidRPr="00582ECD" w:rsidRDefault="00A17641" w:rsidP="00A17641">
            <w:pPr>
              <w:widowControl/>
              <w:autoSpaceDE/>
              <w:autoSpaceDN/>
              <w:adjustRightInd/>
              <w:rPr>
                <w:rFonts w:asciiTheme="majorHAnsi" w:hAnsiTheme="majorHAnsi"/>
              </w:rPr>
            </w:pPr>
            <w:r w:rsidRPr="00582ECD">
              <w:rPr>
                <w:rFonts w:asciiTheme="majorHAnsi" w:hAnsiTheme="majorHAnsi"/>
                <w:color w:val="000000"/>
              </w:rPr>
              <w:t>Trinité-et-Tobago</w:t>
            </w:r>
          </w:p>
        </w:tc>
        <w:tc>
          <w:tcPr>
            <w:tcW w:w="2341" w:type="dxa"/>
            <w:noWrap/>
            <w:vAlign w:val="center"/>
          </w:tcPr>
          <w:p w14:paraId="296EF7DA" w14:textId="05B4446C" w:rsidR="00A17641" w:rsidRPr="00582ECD" w:rsidRDefault="00A17641" w:rsidP="00A17641">
            <w:pPr>
              <w:widowControl/>
              <w:autoSpaceDE/>
              <w:autoSpaceDN/>
              <w:adjustRightInd/>
              <w:jc w:val="right"/>
              <w:rPr>
                <w:rFonts w:asciiTheme="majorHAnsi" w:hAnsiTheme="majorHAnsi"/>
              </w:rPr>
            </w:pPr>
            <w:r w:rsidRPr="00582ECD">
              <w:rPr>
                <w:rFonts w:asciiTheme="majorHAnsi" w:hAnsiTheme="majorHAnsi"/>
                <w:color w:val="000000"/>
              </w:rPr>
              <w:t>1.258</w:t>
            </w:r>
          </w:p>
        </w:tc>
      </w:tr>
    </w:tbl>
    <w:p w14:paraId="55205682" w14:textId="77777777" w:rsidR="00184E60" w:rsidRPr="00582ECD" w:rsidRDefault="00184E60" w:rsidP="00820485">
      <w:pPr>
        <w:tabs>
          <w:tab w:val="left" w:pos="1276"/>
          <w:tab w:val="left" w:pos="1418"/>
          <w:tab w:val="left" w:leader="dot" w:pos="8222"/>
          <w:tab w:val="right" w:pos="8647"/>
        </w:tabs>
        <w:jc w:val="both"/>
        <w:rPr>
          <w:rFonts w:asciiTheme="majorHAnsi" w:hAnsiTheme="majorHAnsi"/>
          <w:lang w:val="en-IE"/>
        </w:rPr>
      </w:pPr>
    </w:p>
    <w:p w14:paraId="3A8A4483" w14:textId="6DD7EAF8" w:rsidR="00451E89" w:rsidRPr="00582ECD" w:rsidRDefault="00451E89" w:rsidP="00451E89">
      <w:pPr>
        <w:pBdr>
          <w:top w:val="single" w:sz="4" w:space="1" w:color="auto"/>
          <w:left w:val="single" w:sz="4" w:space="4" w:color="auto"/>
          <w:bottom w:val="single" w:sz="4" w:space="1" w:color="auto"/>
          <w:right w:val="single" w:sz="4" w:space="4" w:color="auto"/>
        </w:pBdr>
        <w:jc w:val="both"/>
        <w:rPr>
          <w:rFonts w:asciiTheme="majorHAnsi" w:hAnsiTheme="majorHAnsi"/>
        </w:rPr>
      </w:pPr>
      <w:r w:rsidRPr="00582ECD">
        <w:rPr>
          <w:rFonts w:asciiTheme="majorHAnsi" w:hAnsiTheme="majorHAnsi"/>
          <w:b/>
          <w:bCs/>
        </w:rPr>
        <w:t>Suggestion du Secrétariat de l’ICCAT:</w:t>
      </w:r>
      <w:r w:rsidRPr="00582ECD">
        <w:rPr>
          <w:rFonts w:asciiTheme="majorHAnsi" w:hAnsiTheme="majorHAnsi"/>
        </w:rPr>
        <w:t xml:space="preserve"> </w:t>
      </w:r>
      <w:proofErr w:type="spellStart"/>
      <w:r w:rsidRPr="00582ECD">
        <w:rPr>
          <w:rFonts w:asciiTheme="majorHAnsi" w:hAnsiTheme="majorHAnsi"/>
        </w:rPr>
        <w:t>Veuillez vous</w:t>
      </w:r>
      <w:proofErr w:type="spellEnd"/>
      <w:r w:rsidRPr="00582ECD">
        <w:rPr>
          <w:rFonts w:asciiTheme="majorHAnsi" w:hAnsiTheme="majorHAnsi"/>
        </w:rPr>
        <w:t xml:space="preserve"> référer au document </w:t>
      </w:r>
      <w:r w:rsidRPr="00582ECD">
        <w:rPr>
          <w:rFonts w:asciiTheme="majorHAnsi" w:hAnsiTheme="majorHAnsi"/>
          <w:b/>
        </w:rPr>
        <w:t>PLE_103/2026</w:t>
      </w:r>
      <w:r w:rsidRPr="00582ECD">
        <w:rPr>
          <w:rFonts w:asciiTheme="majorHAnsi" w:hAnsiTheme="majorHAnsi"/>
        </w:rPr>
        <w:t xml:space="preserve">, dans la section « Suggestions visant à une future simplification des Recommandations", en particulier le point sur les </w:t>
      </w:r>
      <w:r w:rsidR="00623041">
        <w:rPr>
          <w:rFonts w:asciiTheme="majorHAnsi" w:hAnsiTheme="majorHAnsi"/>
        </w:rPr>
        <w:t>« </w:t>
      </w:r>
      <w:r w:rsidRPr="00582ECD">
        <w:rPr>
          <w:rFonts w:asciiTheme="majorHAnsi" w:hAnsiTheme="majorHAnsi"/>
        </w:rPr>
        <w:t>thonidés tropicaux ».</w:t>
      </w:r>
    </w:p>
    <w:p w14:paraId="6AFF7FE4" w14:textId="6D018BD0" w:rsidR="0089443A" w:rsidRPr="00582ECD" w:rsidRDefault="0089443A" w:rsidP="00451E89">
      <w:pPr>
        <w:tabs>
          <w:tab w:val="left" w:pos="1276"/>
          <w:tab w:val="left" w:pos="1418"/>
          <w:tab w:val="left" w:leader="dot" w:pos="8222"/>
          <w:tab w:val="right" w:pos="8647"/>
        </w:tabs>
        <w:jc w:val="both"/>
        <w:rPr>
          <w:rFonts w:asciiTheme="majorHAnsi" w:hAnsiTheme="majorHAnsi"/>
          <w:b/>
          <w:i/>
        </w:rPr>
      </w:pPr>
    </w:p>
    <w:p w14:paraId="5DBC35F6" w14:textId="22337EC6" w:rsidR="00655B33" w:rsidRPr="00582ECD" w:rsidRDefault="00655B33" w:rsidP="00655B33">
      <w:pPr>
        <w:tabs>
          <w:tab w:val="left" w:pos="1276"/>
          <w:tab w:val="left" w:pos="1418"/>
          <w:tab w:val="left" w:leader="dot" w:pos="8222"/>
          <w:tab w:val="right" w:pos="8647"/>
        </w:tabs>
        <w:jc w:val="both"/>
        <w:rPr>
          <w:rFonts w:asciiTheme="majorHAnsi" w:hAnsiTheme="majorHAnsi"/>
        </w:rPr>
      </w:pPr>
      <w:r w:rsidRPr="00582ECD">
        <w:rPr>
          <w:rFonts w:asciiTheme="majorHAnsi" w:hAnsiTheme="majorHAnsi"/>
          <w:b/>
          <w:bCs/>
          <w:i/>
          <w:iCs/>
        </w:rPr>
        <w:t>Application des q</w:t>
      </w:r>
      <w:r w:rsidRPr="00582ECD">
        <w:rPr>
          <w:rFonts w:asciiTheme="majorHAnsi" w:hAnsiTheme="majorHAnsi"/>
          <w:b/>
          <w:i/>
        </w:rPr>
        <w:t>uotas/li</w:t>
      </w:r>
      <w:r w:rsidRPr="00582ECD">
        <w:rPr>
          <w:rFonts w:asciiTheme="majorHAnsi" w:hAnsiTheme="majorHAnsi"/>
          <w:b/>
          <w:bCs/>
          <w:i/>
          <w:iCs/>
        </w:rPr>
        <w:t>mites de capture :</w:t>
      </w:r>
      <w:r w:rsidRPr="00582ECD">
        <w:rPr>
          <w:rFonts w:asciiTheme="majorHAnsi" w:hAnsiTheme="majorHAnsi"/>
        </w:rPr>
        <w:t xml:space="preserve"> Veuillez consulter les</w:t>
      </w:r>
      <w:r w:rsidR="00D63F90">
        <w:rPr>
          <w:rFonts w:asciiTheme="majorHAnsi" w:hAnsiTheme="majorHAnsi"/>
        </w:rPr>
        <w:t xml:space="preserve"> </w:t>
      </w:r>
      <w:r w:rsidRPr="00582ECD">
        <w:rPr>
          <w:rFonts w:asciiTheme="majorHAnsi" w:hAnsiTheme="majorHAnsi"/>
        </w:rPr>
        <w:t>"Tableaux d'application 2025 reçus en 2026" [COC_304/2026].</w:t>
      </w:r>
    </w:p>
    <w:p w14:paraId="627D796F" w14:textId="77777777" w:rsidR="00451E89" w:rsidRPr="00582ECD" w:rsidRDefault="00451E89" w:rsidP="00451E89">
      <w:pPr>
        <w:tabs>
          <w:tab w:val="left" w:pos="1276"/>
          <w:tab w:val="left" w:pos="1418"/>
          <w:tab w:val="left" w:leader="dot" w:pos="8222"/>
          <w:tab w:val="right" w:pos="8647"/>
        </w:tabs>
        <w:jc w:val="both"/>
        <w:rPr>
          <w:rFonts w:asciiTheme="majorHAnsi" w:hAnsiTheme="majorHAnsi"/>
        </w:rPr>
      </w:pPr>
    </w:p>
    <w:p w14:paraId="66959878" w14:textId="28021A57" w:rsidR="001C2499" w:rsidRPr="00582ECD" w:rsidRDefault="00451E89" w:rsidP="001C2499">
      <w:pPr>
        <w:tabs>
          <w:tab w:val="left" w:pos="1276"/>
          <w:tab w:val="left" w:pos="1418"/>
          <w:tab w:val="left" w:leader="dot" w:pos="8222"/>
          <w:tab w:val="right" w:pos="8647"/>
        </w:tabs>
        <w:jc w:val="both"/>
        <w:rPr>
          <w:rFonts w:asciiTheme="majorHAnsi" w:hAnsiTheme="majorHAnsi"/>
        </w:rPr>
      </w:pPr>
      <w:r w:rsidRPr="00582ECD">
        <w:rPr>
          <w:rFonts w:asciiTheme="majorHAnsi" w:hAnsiTheme="majorHAnsi"/>
        </w:rPr>
        <w:t>Conformément au paragraphe 55 de la Rec. 24-01, les CPC suivantes ont inclus des informations dans leurs rapports annuels sur certains aspects spécifiques relatifs aux prises accessoires de thonidés tropicaux par les navires de pêche d'une longueur hors tout de 20 m</w:t>
      </w:r>
      <w:r w:rsidR="00D63F90">
        <w:rPr>
          <w:rFonts w:asciiTheme="majorHAnsi" w:hAnsiTheme="majorHAnsi"/>
        </w:rPr>
        <w:t xml:space="preserve"> </w:t>
      </w:r>
      <w:r w:rsidR="001C2499" w:rsidRPr="00582ECD">
        <w:rPr>
          <w:rFonts w:asciiTheme="majorHAnsi" w:hAnsiTheme="majorHAnsi"/>
        </w:rPr>
        <w:t>ou plus non autorisés à pêcher des thonidés tropicaux</w:t>
      </w:r>
      <w:r w:rsidR="00D63F90">
        <w:rPr>
          <w:rFonts w:asciiTheme="majorHAnsi" w:hAnsiTheme="majorHAnsi"/>
        </w:rPr>
        <w:t> :</w:t>
      </w:r>
    </w:p>
    <w:p w14:paraId="5A470D16" w14:textId="77777777" w:rsidR="001C2499" w:rsidRPr="00582ECD" w:rsidRDefault="001C2499" w:rsidP="00451E89">
      <w:pPr>
        <w:tabs>
          <w:tab w:val="left" w:pos="1276"/>
          <w:tab w:val="left" w:pos="1418"/>
          <w:tab w:val="left" w:leader="dot" w:pos="8222"/>
          <w:tab w:val="right" w:pos="8647"/>
        </w:tabs>
        <w:jc w:val="both"/>
        <w:rPr>
          <w:rFonts w:asciiTheme="majorHAnsi" w:hAnsiTheme="majorHAnsi"/>
        </w:rPr>
      </w:pPr>
    </w:p>
    <w:p w14:paraId="289E16D1" w14:textId="061D030C" w:rsidR="00536AB6" w:rsidRDefault="00CC2541" w:rsidP="005B120F">
      <w:pPr>
        <w:tabs>
          <w:tab w:val="left" w:pos="1276"/>
          <w:tab w:val="left" w:pos="1418"/>
          <w:tab w:val="left" w:leader="dot" w:pos="8222"/>
          <w:tab w:val="right" w:pos="8647"/>
        </w:tabs>
        <w:jc w:val="both"/>
        <w:rPr>
          <w:rFonts w:asciiTheme="majorHAnsi" w:hAnsiTheme="majorHAnsi"/>
          <w:i/>
        </w:rPr>
      </w:pPr>
      <w:r w:rsidRPr="00582ECD">
        <w:rPr>
          <w:rFonts w:asciiTheme="majorHAnsi" w:hAnsiTheme="majorHAnsi"/>
          <w:i/>
        </w:rPr>
        <w:t>Limite maximale des prises accessoires</w:t>
      </w:r>
    </w:p>
    <w:p w14:paraId="7A734F21" w14:textId="77777777" w:rsidR="00D34BB5" w:rsidRPr="00582ECD" w:rsidRDefault="00D34BB5" w:rsidP="005B120F">
      <w:pPr>
        <w:tabs>
          <w:tab w:val="left" w:pos="1276"/>
          <w:tab w:val="left" w:pos="1418"/>
          <w:tab w:val="left" w:leader="dot" w:pos="8222"/>
          <w:tab w:val="right" w:pos="8647"/>
        </w:tabs>
        <w:jc w:val="both"/>
        <w:rPr>
          <w:rFonts w:asciiTheme="majorHAnsi" w:hAnsiTheme="majorHAnsi"/>
          <w:i/>
          <w:iCs/>
        </w:rPr>
      </w:pPr>
    </w:p>
    <w:tbl>
      <w:tblPr>
        <w:tblW w:w="5000" w:type="pct"/>
        <w:tblLook w:val="04A0" w:firstRow="1" w:lastRow="0" w:firstColumn="1" w:lastColumn="0" w:noHBand="0" w:noVBand="1"/>
      </w:tblPr>
      <w:tblGrid>
        <w:gridCol w:w="1799"/>
        <w:gridCol w:w="7256"/>
      </w:tblGrid>
      <w:tr w:rsidR="00451E89" w:rsidRPr="00582ECD" w14:paraId="47933C97" w14:textId="77777777" w:rsidTr="00505320">
        <w:tc>
          <w:tcPr>
            <w:tcW w:w="856" w:type="pct"/>
            <w:tcBorders>
              <w:top w:val="single" w:sz="8" w:space="0" w:color="auto"/>
              <w:left w:val="single" w:sz="8" w:space="0" w:color="auto"/>
              <w:bottom w:val="single" w:sz="8" w:space="0" w:color="auto"/>
              <w:right w:val="single" w:sz="8" w:space="0" w:color="auto"/>
            </w:tcBorders>
            <w:noWrap/>
            <w:vAlign w:val="center"/>
            <w:hideMark/>
          </w:tcPr>
          <w:p w14:paraId="3FC1B9C1" w14:textId="77777777" w:rsidR="00451E89" w:rsidRPr="00582ECD" w:rsidRDefault="00451E89" w:rsidP="00505320">
            <w:pPr>
              <w:widowControl/>
              <w:autoSpaceDE/>
              <w:autoSpaceDN/>
              <w:adjustRightInd/>
              <w:jc w:val="center"/>
              <w:rPr>
                <w:rFonts w:asciiTheme="majorHAnsi" w:hAnsiTheme="majorHAnsi" w:cs="Calibri"/>
                <w:i/>
                <w:iCs/>
                <w:color w:val="000000"/>
              </w:rPr>
            </w:pPr>
            <w:r w:rsidRPr="00582ECD">
              <w:rPr>
                <w:rFonts w:asciiTheme="majorHAnsi" w:hAnsiTheme="majorHAnsi"/>
                <w:i/>
                <w:color w:val="000000"/>
              </w:rPr>
              <w:t>CPC</w:t>
            </w:r>
          </w:p>
        </w:tc>
        <w:tc>
          <w:tcPr>
            <w:tcW w:w="4144" w:type="pct"/>
            <w:tcBorders>
              <w:top w:val="single" w:sz="8" w:space="0" w:color="auto"/>
              <w:left w:val="nil"/>
              <w:bottom w:val="single" w:sz="8" w:space="0" w:color="auto"/>
              <w:right w:val="single" w:sz="8" w:space="0" w:color="auto"/>
            </w:tcBorders>
            <w:vAlign w:val="center"/>
            <w:hideMark/>
          </w:tcPr>
          <w:p w14:paraId="05FFF629" w14:textId="77777777" w:rsidR="00451E89" w:rsidRPr="00582ECD" w:rsidRDefault="00451E89" w:rsidP="00505320">
            <w:pPr>
              <w:widowControl/>
              <w:autoSpaceDE/>
              <w:autoSpaceDN/>
              <w:adjustRightInd/>
              <w:jc w:val="center"/>
              <w:rPr>
                <w:rFonts w:asciiTheme="majorHAnsi" w:hAnsiTheme="majorHAnsi" w:cs="Calibri"/>
                <w:i/>
                <w:iCs/>
                <w:color w:val="000000"/>
              </w:rPr>
            </w:pPr>
            <w:r w:rsidRPr="00582ECD">
              <w:rPr>
                <w:rFonts w:asciiTheme="majorHAnsi" w:hAnsiTheme="majorHAnsi"/>
                <w:i/>
                <w:color w:val="000000"/>
              </w:rPr>
              <w:t>Réponse</w:t>
            </w:r>
          </w:p>
        </w:tc>
      </w:tr>
      <w:tr w:rsidR="00451E89" w:rsidRPr="00582ECD" w14:paraId="1492844A" w14:textId="77777777" w:rsidTr="00505320">
        <w:tc>
          <w:tcPr>
            <w:tcW w:w="856" w:type="pct"/>
            <w:tcBorders>
              <w:top w:val="nil"/>
              <w:left w:val="single" w:sz="8" w:space="0" w:color="auto"/>
              <w:bottom w:val="single" w:sz="8" w:space="0" w:color="auto"/>
              <w:right w:val="single" w:sz="8" w:space="0" w:color="auto"/>
            </w:tcBorders>
            <w:noWrap/>
            <w:vAlign w:val="center"/>
            <w:hideMark/>
          </w:tcPr>
          <w:p w14:paraId="76884172" w14:textId="77777777" w:rsidR="00451E89" w:rsidRPr="00582ECD" w:rsidRDefault="00451E89" w:rsidP="00505320">
            <w:pPr>
              <w:widowControl/>
              <w:autoSpaceDE/>
              <w:autoSpaceDN/>
              <w:adjustRightInd/>
              <w:rPr>
                <w:rFonts w:asciiTheme="majorHAnsi" w:hAnsiTheme="majorHAnsi" w:cs="Calibri"/>
                <w:color w:val="000000"/>
              </w:rPr>
            </w:pPr>
            <w:r w:rsidRPr="00582ECD">
              <w:rPr>
                <w:rFonts w:asciiTheme="majorHAnsi" w:hAnsiTheme="majorHAnsi"/>
                <w:color w:val="000000"/>
              </w:rPr>
              <w:t>Belize</w:t>
            </w:r>
          </w:p>
        </w:tc>
        <w:tc>
          <w:tcPr>
            <w:tcW w:w="4144" w:type="pct"/>
            <w:tcBorders>
              <w:top w:val="nil"/>
              <w:left w:val="nil"/>
              <w:bottom w:val="single" w:sz="8" w:space="0" w:color="auto"/>
              <w:right w:val="single" w:sz="8" w:space="0" w:color="auto"/>
            </w:tcBorders>
            <w:vAlign w:val="center"/>
            <w:hideMark/>
          </w:tcPr>
          <w:p w14:paraId="6443B563" w14:textId="7B30D260" w:rsidR="00451E89" w:rsidRPr="00582ECD" w:rsidRDefault="00C315D5" w:rsidP="00505320">
            <w:pPr>
              <w:widowControl/>
              <w:autoSpaceDE/>
              <w:autoSpaceDN/>
              <w:adjustRightInd/>
              <w:jc w:val="both"/>
              <w:rPr>
                <w:rFonts w:asciiTheme="majorHAnsi" w:hAnsiTheme="majorHAnsi" w:cs="Calibri"/>
                <w:color w:val="000000"/>
              </w:rPr>
            </w:pPr>
            <w:r w:rsidRPr="00582ECD">
              <w:rPr>
                <w:rFonts w:asciiTheme="majorHAnsi" w:hAnsiTheme="majorHAnsi"/>
                <w:color w:val="000000"/>
              </w:rPr>
              <w:t>Le Belize a fixé une limite de prises accessoires à bord pour toutes les espèces, y compris les thonidés tropicaux. La limite de prises accessoires fixée pour les navires non autorisés à pêcher des thonidés tropicaux est de 10 t. Cette quantité est prise en compte dans l'allocation globale pour le Belize.</w:t>
            </w:r>
          </w:p>
        </w:tc>
      </w:tr>
      <w:tr w:rsidR="009A56D8" w:rsidRPr="00582ECD" w14:paraId="117FF45D" w14:textId="77777777" w:rsidTr="006D1FBF">
        <w:tc>
          <w:tcPr>
            <w:tcW w:w="856" w:type="pct"/>
            <w:tcBorders>
              <w:top w:val="nil"/>
              <w:left w:val="single" w:sz="8" w:space="0" w:color="auto"/>
              <w:bottom w:val="single" w:sz="8" w:space="0" w:color="auto"/>
              <w:right w:val="single" w:sz="8" w:space="0" w:color="auto"/>
            </w:tcBorders>
            <w:noWrap/>
          </w:tcPr>
          <w:p w14:paraId="24BAE119" w14:textId="05F626C1" w:rsidR="009A56D8" w:rsidRPr="00582ECD" w:rsidRDefault="009A56D8" w:rsidP="009A56D8">
            <w:pPr>
              <w:widowControl/>
              <w:autoSpaceDE/>
              <w:autoSpaceDN/>
              <w:adjustRightInd/>
              <w:rPr>
                <w:rFonts w:asciiTheme="majorHAnsi" w:hAnsiTheme="majorHAnsi" w:cs="Calibri"/>
                <w:color w:val="000000"/>
              </w:rPr>
            </w:pPr>
            <w:r w:rsidRPr="00582ECD">
              <w:rPr>
                <w:rFonts w:asciiTheme="majorHAnsi" w:hAnsiTheme="majorHAnsi"/>
              </w:rPr>
              <w:t>Union européenne</w:t>
            </w:r>
          </w:p>
        </w:tc>
        <w:tc>
          <w:tcPr>
            <w:tcW w:w="4144" w:type="pct"/>
            <w:tcBorders>
              <w:top w:val="nil"/>
              <w:left w:val="nil"/>
              <w:bottom w:val="single" w:sz="8" w:space="0" w:color="auto"/>
              <w:right w:val="single" w:sz="8" w:space="0" w:color="auto"/>
            </w:tcBorders>
          </w:tcPr>
          <w:p w14:paraId="305A4118" w14:textId="4F395B75" w:rsidR="009A56D8" w:rsidRPr="00582ECD" w:rsidRDefault="009A56D8" w:rsidP="009A56D8">
            <w:pPr>
              <w:widowControl/>
              <w:autoSpaceDE/>
              <w:autoSpaceDN/>
              <w:adjustRightInd/>
              <w:jc w:val="both"/>
              <w:rPr>
                <w:rFonts w:asciiTheme="majorHAnsi" w:hAnsiTheme="majorHAnsi" w:cs="Calibri"/>
                <w:color w:val="000000"/>
              </w:rPr>
            </w:pPr>
            <w:r w:rsidRPr="00582ECD">
              <w:rPr>
                <w:rFonts w:asciiTheme="majorHAnsi" w:hAnsiTheme="majorHAnsi"/>
              </w:rPr>
              <w:t>Des détails supplémentaires sont inclus dans la section 2 de son rapport annuel.</w:t>
            </w:r>
          </w:p>
        </w:tc>
      </w:tr>
      <w:tr w:rsidR="00451E89" w:rsidRPr="00582ECD" w14:paraId="2075D458" w14:textId="77777777" w:rsidTr="00505320">
        <w:tc>
          <w:tcPr>
            <w:tcW w:w="856" w:type="pct"/>
            <w:tcBorders>
              <w:top w:val="nil"/>
              <w:left w:val="single" w:sz="8" w:space="0" w:color="auto"/>
              <w:bottom w:val="single" w:sz="8" w:space="0" w:color="auto"/>
              <w:right w:val="single" w:sz="8" w:space="0" w:color="auto"/>
            </w:tcBorders>
            <w:noWrap/>
            <w:vAlign w:val="center"/>
            <w:hideMark/>
          </w:tcPr>
          <w:p w14:paraId="53E9BEE2" w14:textId="1B039A0C" w:rsidR="00451E89" w:rsidRPr="00582ECD" w:rsidRDefault="0098780C" w:rsidP="00505320">
            <w:pPr>
              <w:widowControl/>
              <w:autoSpaceDE/>
              <w:autoSpaceDN/>
              <w:adjustRightInd/>
              <w:rPr>
                <w:rFonts w:asciiTheme="majorHAnsi" w:hAnsiTheme="majorHAnsi" w:cs="Calibri"/>
                <w:color w:val="000000"/>
              </w:rPr>
            </w:pPr>
            <w:r w:rsidRPr="00582ECD">
              <w:rPr>
                <w:rFonts w:asciiTheme="majorHAnsi" w:hAnsiTheme="majorHAnsi"/>
                <w:color w:val="000000"/>
              </w:rPr>
              <w:t>Ghana</w:t>
            </w:r>
          </w:p>
        </w:tc>
        <w:tc>
          <w:tcPr>
            <w:tcW w:w="4144" w:type="pct"/>
            <w:tcBorders>
              <w:top w:val="nil"/>
              <w:left w:val="nil"/>
              <w:bottom w:val="single" w:sz="8" w:space="0" w:color="auto"/>
              <w:right w:val="single" w:sz="8" w:space="0" w:color="auto"/>
            </w:tcBorders>
            <w:vAlign w:val="center"/>
            <w:hideMark/>
          </w:tcPr>
          <w:p w14:paraId="494CC030" w14:textId="7C821360" w:rsidR="00451E89" w:rsidRPr="00582ECD" w:rsidRDefault="0098780C" w:rsidP="00505320">
            <w:pPr>
              <w:widowControl/>
              <w:autoSpaceDE/>
              <w:autoSpaceDN/>
              <w:adjustRightInd/>
              <w:jc w:val="both"/>
              <w:rPr>
                <w:rFonts w:asciiTheme="majorHAnsi" w:hAnsiTheme="majorHAnsi" w:cs="Calibri"/>
                <w:color w:val="000000"/>
              </w:rPr>
            </w:pPr>
            <w:r w:rsidRPr="00582ECD">
              <w:rPr>
                <w:rFonts w:asciiTheme="majorHAnsi" w:hAnsiTheme="majorHAnsi"/>
                <w:color w:val="000000"/>
              </w:rPr>
              <w:t>15% du TJB du navire.</w:t>
            </w:r>
          </w:p>
        </w:tc>
      </w:tr>
      <w:tr w:rsidR="00451E89" w:rsidRPr="00582ECD" w14:paraId="6DE09485" w14:textId="77777777" w:rsidTr="00505320">
        <w:tc>
          <w:tcPr>
            <w:tcW w:w="856" w:type="pct"/>
            <w:tcBorders>
              <w:top w:val="nil"/>
              <w:left w:val="single" w:sz="8" w:space="0" w:color="auto"/>
              <w:bottom w:val="single" w:sz="4" w:space="0" w:color="auto"/>
              <w:right w:val="single" w:sz="8" w:space="0" w:color="auto"/>
            </w:tcBorders>
            <w:noWrap/>
            <w:vAlign w:val="center"/>
            <w:hideMark/>
          </w:tcPr>
          <w:p w14:paraId="636004D1" w14:textId="252E4881" w:rsidR="00451E89" w:rsidRPr="00582ECD" w:rsidRDefault="0098780C" w:rsidP="00505320">
            <w:pPr>
              <w:widowControl/>
              <w:autoSpaceDE/>
              <w:autoSpaceDN/>
              <w:adjustRightInd/>
              <w:rPr>
                <w:rFonts w:asciiTheme="majorHAnsi" w:hAnsiTheme="majorHAnsi" w:cs="Calibri"/>
                <w:color w:val="000000"/>
              </w:rPr>
            </w:pPr>
            <w:r w:rsidRPr="00582ECD">
              <w:rPr>
                <w:rFonts w:asciiTheme="majorHAnsi" w:hAnsiTheme="majorHAnsi"/>
                <w:color w:val="000000"/>
              </w:rPr>
              <w:t>Russie</w:t>
            </w:r>
          </w:p>
        </w:tc>
        <w:tc>
          <w:tcPr>
            <w:tcW w:w="4144" w:type="pct"/>
            <w:tcBorders>
              <w:top w:val="nil"/>
              <w:left w:val="nil"/>
              <w:bottom w:val="single" w:sz="4" w:space="0" w:color="auto"/>
              <w:right w:val="single" w:sz="8" w:space="0" w:color="auto"/>
            </w:tcBorders>
            <w:vAlign w:val="center"/>
            <w:hideMark/>
          </w:tcPr>
          <w:p w14:paraId="75A59F63" w14:textId="34AF9E60" w:rsidR="00896BDF" w:rsidRPr="00582ECD" w:rsidRDefault="0098780C" w:rsidP="00E11F10">
            <w:pPr>
              <w:widowControl/>
              <w:autoSpaceDE/>
              <w:autoSpaceDN/>
              <w:adjustRightInd/>
              <w:jc w:val="both"/>
              <w:rPr>
                <w:rFonts w:asciiTheme="majorHAnsi" w:hAnsiTheme="majorHAnsi"/>
              </w:rPr>
            </w:pPr>
            <w:r w:rsidRPr="00582ECD">
              <w:rPr>
                <w:rFonts w:asciiTheme="majorHAnsi" w:hAnsiTheme="majorHAnsi"/>
              </w:rPr>
              <w:t>La limite maximale de prises accessoires de thonidés tropicaux par sortie en mer est fixée à un maximum de 5% par espèce pour les navires (non autorisés à pêcher les thonidés tropicaux) et les prises accessoires sont comptabilisées dans la limite de capture de la CPC  (seuil de déclenchement ) de 1.575 t pour le thon obèse (Rec. 24 01).</w:t>
            </w:r>
          </w:p>
        </w:tc>
      </w:tr>
      <w:tr w:rsidR="00451E89" w:rsidRPr="00582ECD" w14:paraId="5778AEA1" w14:textId="77777777" w:rsidTr="00505320">
        <w:trPr>
          <w:trHeight w:val="75"/>
        </w:trPr>
        <w:tc>
          <w:tcPr>
            <w:tcW w:w="856" w:type="pct"/>
            <w:tcBorders>
              <w:top w:val="single" w:sz="4" w:space="0" w:color="auto"/>
              <w:left w:val="single" w:sz="4" w:space="0" w:color="auto"/>
              <w:bottom w:val="single" w:sz="4" w:space="0" w:color="auto"/>
              <w:right w:val="single" w:sz="4" w:space="0" w:color="auto"/>
            </w:tcBorders>
            <w:noWrap/>
            <w:vAlign w:val="center"/>
            <w:hideMark/>
          </w:tcPr>
          <w:p w14:paraId="5BAEA062" w14:textId="1FA0854E" w:rsidR="00451E89" w:rsidRPr="00582ECD" w:rsidRDefault="001F1E60" w:rsidP="00505320">
            <w:pPr>
              <w:widowControl/>
              <w:autoSpaceDE/>
              <w:autoSpaceDN/>
              <w:adjustRightInd/>
              <w:rPr>
                <w:rFonts w:asciiTheme="majorHAnsi" w:hAnsiTheme="majorHAnsi" w:cs="Calibri"/>
                <w:color w:val="000000"/>
              </w:rPr>
            </w:pPr>
            <w:r w:rsidRPr="00582ECD">
              <w:rPr>
                <w:rFonts w:asciiTheme="majorHAnsi" w:hAnsiTheme="majorHAnsi"/>
                <w:color w:val="000000"/>
              </w:rPr>
              <w:t>Türkiye</w:t>
            </w:r>
          </w:p>
        </w:tc>
        <w:tc>
          <w:tcPr>
            <w:tcW w:w="4144" w:type="pct"/>
            <w:tcBorders>
              <w:top w:val="single" w:sz="4" w:space="0" w:color="auto"/>
              <w:left w:val="single" w:sz="4" w:space="0" w:color="auto"/>
              <w:bottom w:val="single" w:sz="4" w:space="0" w:color="auto"/>
              <w:right w:val="single" w:sz="4" w:space="0" w:color="auto"/>
            </w:tcBorders>
            <w:vAlign w:val="center"/>
            <w:hideMark/>
          </w:tcPr>
          <w:p w14:paraId="554BC95C" w14:textId="6239C94B" w:rsidR="00451E89" w:rsidRPr="00582ECD" w:rsidRDefault="001F1E60" w:rsidP="00505320">
            <w:pPr>
              <w:jc w:val="both"/>
              <w:rPr>
                <w:rFonts w:asciiTheme="majorHAnsi" w:hAnsiTheme="majorHAnsi" w:cs="Calibri"/>
                <w:color w:val="000000"/>
              </w:rPr>
            </w:pPr>
            <w:r w:rsidRPr="00582ECD">
              <w:rPr>
                <w:rFonts w:asciiTheme="majorHAnsi" w:hAnsiTheme="majorHAnsi"/>
                <w:color w:val="000000"/>
              </w:rPr>
              <w:t>La Türkiye n'a pas pratiqué la pêche au thon obèse (</w:t>
            </w:r>
            <w:r w:rsidRPr="00582ECD">
              <w:rPr>
                <w:rFonts w:asciiTheme="majorHAnsi" w:hAnsiTheme="majorHAnsi"/>
                <w:i/>
                <w:iCs/>
                <w:color w:val="000000"/>
              </w:rPr>
              <w:t xml:space="preserve">Thunnus </w:t>
            </w:r>
            <w:proofErr w:type="spellStart"/>
            <w:r w:rsidRPr="00582ECD">
              <w:rPr>
                <w:rFonts w:asciiTheme="majorHAnsi" w:hAnsiTheme="majorHAnsi"/>
                <w:i/>
                <w:iCs/>
                <w:color w:val="000000"/>
              </w:rPr>
              <w:t>obesus</w:t>
            </w:r>
            <w:proofErr w:type="spellEnd"/>
            <w:r w:rsidRPr="00582ECD">
              <w:rPr>
                <w:rFonts w:asciiTheme="majorHAnsi" w:hAnsiTheme="majorHAnsi"/>
                <w:color w:val="000000"/>
              </w:rPr>
              <w:t xml:space="preserve">) et </w:t>
            </w:r>
            <w:proofErr w:type="spellStart"/>
            <w:r w:rsidRPr="00582ECD">
              <w:rPr>
                <w:rFonts w:asciiTheme="majorHAnsi" w:hAnsiTheme="majorHAnsi"/>
                <w:color w:val="000000"/>
              </w:rPr>
              <w:t>àl’albacore</w:t>
            </w:r>
            <w:proofErr w:type="spellEnd"/>
            <w:r w:rsidRPr="00582ECD">
              <w:rPr>
                <w:rFonts w:asciiTheme="majorHAnsi" w:hAnsiTheme="majorHAnsi"/>
                <w:color w:val="000000"/>
              </w:rPr>
              <w:t xml:space="preserve"> </w:t>
            </w:r>
            <w:r w:rsidRPr="00582ECD">
              <w:rPr>
                <w:rFonts w:asciiTheme="majorHAnsi" w:hAnsiTheme="majorHAnsi"/>
                <w:color w:val="000000"/>
              </w:rPr>
              <w:lastRenderedPageBreak/>
              <w:t>(</w:t>
            </w:r>
            <w:r w:rsidRPr="00582ECD">
              <w:rPr>
                <w:rFonts w:asciiTheme="majorHAnsi" w:hAnsiTheme="majorHAnsi"/>
                <w:i/>
                <w:iCs/>
                <w:color w:val="000000"/>
              </w:rPr>
              <w:t xml:space="preserve">Thunnus </w:t>
            </w:r>
            <w:proofErr w:type="spellStart"/>
            <w:r w:rsidRPr="00582ECD">
              <w:rPr>
                <w:rFonts w:asciiTheme="majorHAnsi" w:hAnsiTheme="majorHAnsi"/>
                <w:i/>
                <w:iCs/>
                <w:color w:val="000000"/>
              </w:rPr>
              <w:t>albacares</w:t>
            </w:r>
            <w:proofErr w:type="spellEnd"/>
            <w:r w:rsidRPr="00582ECD">
              <w:rPr>
                <w:rFonts w:asciiTheme="majorHAnsi" w:hAnsiTheme="majorHAnsi"/>
                <w:color w:val="000000"/>
              </w:rPr>
              <w:t>), qui est soumise à la mise en œuvre d'un total admissible des captures (TAC) et de quotas conformément à la Rec. 24-01 de l’ICCAT. Étant donné que les captures de listao ont commencé à être déclarées au cours de la campagne de pêche 2023 afin d’assurer un suivi plus étroit de la pêche au listao, à compter de 2025, la notification 6/1 relative à la réglementation de la pêche commerciale (n° 2024/20), entrée en vigueur le 11 août 2024 et couvrant la période 2024-2028, impose aux navires ciblant le listao d'obtenir un permis de pêche spécial. La limite maximale de prises accessoires de listao à bord devra être mise en œuvre conformément à l'article 18 de la notification 6/1 relative à la réglementation de la pêche commerciale (n° 2024/20).  En conséquence, le niveau de la limite de prises accessoires de listao ne devra pas dépasser 5% du total des captures à bord à la fin de chaque sortie de pêche. Les prises accessoires devront être calculées par rapport au total des captures retenues à bord « en poids ». Les carnets de pêche électroniques et les carnets de pêche  reliés devront tous deux être utilisés pour consigner les données de capture. Les prises accessoires en question devront être comptabilisées dans le total des prises de listao de la Türkiye.</w:t>
            </w:r>
          </w:p>
        </w:tc>
      </w:tr>
    </w:tbl>
    <w:p w14:paraId="4579FC01" w14:textId="77777777" w:rsidR="000B40DF" w:rsidRPr="00582ECD" w:rsidRDefault="000B40DF" w:rsidP="00451E89">
      <w:pPr>
        <w:tabs>
          <w:tab w:val="left" w:pos="1276"/>
          <w:tab w:val="left" w:pos="1418"/>
          <w:tab w:val="left" w:leader="dot" w:pos="8222"/>
          <w:tab w:val="right" w:pos="8647"/>
        </w:tabs>
        <w:jc w:val="both"/>
        <w:rPr>
          <w:rFonts w:asciiTheme="majorHAnsi" w:hAnsiTheme="majorHAnsi" w:cs="Calibri"/>
          <w:color w:val="000000"/>
        </w:rPr>
      </w:pPr>
    </w:p>
    <w:p w14:paraId="0E284930" w14:textId="5DEC3B1B" w:rsidR="00451E89" w:rsidRPr="00582ECD" w:rsidRDefault="00451E89" w:rsidP="00451E89">
      <w:pPr>
        <w:tabs>
          <w:tab w:val="left" w:pos="1276"/>
          <w:tab w:val="left" w:pos="1418"/>
          <w:tab w:val="left" w:leader="dot" w:pos="8222"/>
          <w:tab w:val="right" w:pos="8647"/>
        </w:tabs>
        <w:jc w:val="both"/>
        <w:rPr>
          <w:rFonts w:asciiTheme="majorHAnsi" w:hAnsiTheme="majorHAnsi" w:cs="Calibri"/>
          <w:color w:val="000000"/>
        </w:rPr>
      </w:pPr>
      <w:r w:rsidRPr="00582ECD">
        <w:rPr>
          <w:rFonts w:asciiTheme="majorHAnsi" w:hAnsiTheme="majorHAnsi"/>
          <w:color w:val="000000"/>
        </w:rPr>
        <w:t>Il convient de noter que les données ci-dessus ne concernent que les CPC ayant indiqué qu'une limite avait été fixée. Dans de nombreux cas, aucune limite n'est fixée car tous les navires concernés disposent d'une licence et/ou que les prises accessoires ne sont pas autorisées. Toutefois, certaines réponses concernant les limites maximales de prises accessoires sont incohérentes, les CPC n'ayant pas lu ou compris l'exigence. Dans plusieurs cas, des réponses nullement pertinentes sont fournies, par exemple : il n’y a pas de pêcherie ciblant cette espèce, il n’y a pas de navires sous pavillon de xx pêchant cette espèce.</w:t>
      </w:r>
    </w:p>
    <w:p w14:paraId="7DE5CC87" w14:textId="77777777" w:rsidR="00C315D5" w:rsidRPr="00582ECD" w:rsidRDefault="00C315D5" w:rsidP="00C315D5">
      <w:pPr>
        <w:tabs>
          <w:tab w:val="left" w:pos="1276"/>
          <w:tab w:val="left" w:pos="1418"/>
          <w:tab w:val="left" w:leader="dot" w:pos="8222"/>
          <w:tab w:val="right" w:pos="8647"/>
        </w:tabs>
        <w:jc w:val="both"/>
        <w:rPr>
          <w:rFonts w:asciiTheme="majorHAnsi" w:hAnsiTheme="majorHAnsi" w:cs="Calibri"/>
          <w:color w:val="000000"/>
        </w:rPr>
      </w:pPr>
    </w:p>
    <w:p w14:paraId="73E45C43" w14:textId="77777777" w:rsidR="00C315D5" w:rsidRPr="00582ECD" w:rsidRDefault="00C315D5" w:rsidP="00C315D5">
      <w:pPr>
        <w:tabs>
          <w:tab w:val="left" w:pos="1276"/>
          <w:tab w:val="left" w:pos="1418"/>
          <w:tab w:val="left" w:leader="dot" w:pos="8222"/>
          <w:tab w:val="right" w:pos="8647"/>
        </w:tabs>
        <w:jc w:val="both"/>
        <w:rPr>
          <w:rFonts w:asciiTheme="majorHAnsi" w:hAnsiTheme="majorHAnsi" w:cs="Calibri"/>
          <w:i/>
          <w:iCs/>
          <w:color w:val="000000"/>
        </w:rPr>
      </w:pPr>
      <w:r w:rsidRPr="00582ECD">
        <w:rPr>
          <w:rFonts w:asciiTheme="majorHAnsi" w:hAnsiTheme="majorHAnsi"/>
          <w:i/>
        </w:rPr>
        <w:t>Informations sur la façon dont la CPC veille au respect de la limite</w:t>
      </w:r>
    </w:p>
    <w:tbl>
      <w:tblPr>
        <w:tblW w:w="5000" w:type="pct"/>
        <w:tblLook w:val="04A0" w:firstRow="1" w:lastRow="0" w:firstColumn="1" w:lastColumn="0" w:noHBand="0" w:noVBand="1"/>
      </w:tblPr>
      <w:tblGrid>
        <w:gridCol w:w="1799"/>
        <w:gridCol w:w="7256"/>
      </w:tblGrid>
      <w:tr w:rsidR="00C315D5" w:rsidRPr="00582ECD" w14:paraId="1441D912" w14:textId="77777777" w:rsidTr="00DE686D">
        <w:tc>
          <w:tcPr>
            <w:tcW w:w="856" w:type="pct"/>
            <w:tcBorders>
              <w:top w:val="single" w:sz="8" w:space="0" w:color="auto"/>
              <w:left w:val="single" w:sz="8" w:space="0" w:color="auto"/>
              <w:bottom w:val="single" w:sz="8" w:space="0" w:color="auto"/>
              <w:right w:val="single" w:sz="8" w:space="0" w:color="auto"/>
            </w:tcBorders>
            <w:noWrap/>
            <w:vAlign w:val="center"/>
            <w:hideMark/>
          </w:tcPr>
          <w:p w14:paraId="1AB4750C" w14:textId="77777777" w:rsidR="00C315D5" w:rsidRPr="00582ECD" w:rsidRDefault="00C315D5" w:rsidP="00DE686D">
            <w:pPr>
              <w:widowControl/>
              <w:autoSpaceDE/>
              <w:autoSpaceDN/>
              <w:adjustRightInd/>
              <w:jc w:val="center"/>
              <w:rPr>
                <w:rFonts w:asciiTheme="majorHAnsi" w:hAnsiTheme="majorHAnsi" w:cs="Calibri"/>
                <w:i/>
                <w:iCs/>
                <w:color w:val="000000"/>
              </w:rPr>
            </w:pPr>
            <w:r w:rsidRPr="00582ECD">
              <w:rPr>
                <w:rFonts w:asciiTheme="majorHAnsi" w:hAnsiTheme="majorHAnsi"/>
                <w:i/>
                <w:color w:val="000000"/>
              </w:rPr>
              <w:t>CPC</w:t>
            </w:r>
          </w:p>
        </w:tc>
        <w:tc>
          <w:tcPr>
            <w:tcW w:w="4144" w:type="pct"/>
            <w:tcBorders>
              <w:top w:val="single" w:sz="8" w:space="0" w:color="auto"/>
              <w:left w:val="nil"/>
              <w:bottom w:val="single" w:sz="8" w:space="0" w:color="auto"/>
              <w:right w:val="single" w:sz="8" w:space="0" w:color="auto"/>
            </w:tcBorders>
            <w:vAlign w:val="center"/>
            <w:hideMark/>
          </w:tcPr>
          <w:p w14:paraId="17FB06D5" w14:textId="77777777" w:rsidR="00C315D5" w:rsidRPr="00582ECD" w:rsidRDefault="00C315D5" w:rsidP="00DE686D">
            <w:pPr>
              <w:widowControl/>
              <w:autoSpaceDE/>
              <w:autoSpaceDN/>
              <w:adjustRightInd/>
              <w:jc w:val="center"/>
              <w:rPr>
                <w:rFonts w:asciiTheme="majorHAnsi" w:hAnsiTheme="majorHAnsi" w:cs="Calibri"/>
                <w:i/>
                <w:iCs/>
                <w:color w:val="000000"/>
              </w:rPr>
            </w:pPr>
            <w:r w:rsidRPr="00582ECD">
              <w:rPr>
                <w:rFonts w:asciiTheme="majorHAnsi" w:hAnsiTheme="majorHAnsi"/>
                <w:i/>
                <w:color w:val="000000"/>
              </w:rPr>
              <w:t>Réponse</w:t>
            </w:r>
          </w:p>
        </w:tc>
      </w:tr>
      <w:tr w:rsidR="00C315D5" w:rsidRPr="00582ECD" w14:paraId="599964ED" w14:textId="77777777" w:rsidTr="00DE686D">
        <w:tc>
          <w:tcPr>
            <w:tcW w:w="856" w:type="pct"/>
            <w:tcBorders>
              <w:top w:val="nil"/>
              <w:left w:val="single" w:sz="8" w:space="0" w:color="auto"/>
              <w:bottom w:val="single" w:sz="8" w:space="0" w:color="auto"/>
              <w:right w:val="single" w:sz="8" w:space="0" w:color="auto"/>
            </w:tcBorders>
            <w:noWrap/>
            <w:vAlign w:val="center"/>
            <w:hideMark/>
          </w:tcPr>
          <w:p w14:paraId="3D314A27" w14:textId="77777777" w:rsidR="00C315D5" w:rsidRPr="00582ECD" w:rsidRDefault="00C315D5" w:rsidP="00DE686D">
            <w:pPr>
              <w:widowControl/>
              <w:autoSpaceDE/>
              <w:autoSpaceDN/>
              <w:adjustRightInd/>
              <w:rPr>
                <w:rFonts w:asciiTheme="majorHAnsi" w:hAnsiTheme="majorHAnsi" w:cs="Calibri"/>
                <w:color w:val="000000"/>
              </w:rPr>
            </w:pPr>
            <w:r w:rsidRPr="00582ECD">
              <w:rPr>
                <w:rFonts w:asciiTheme="majorHAnsi" w:hAnsiTheme="majorHAnsi"/>
                <w:color w:val="000000"/>
              </w:rPr>
              <w:t>Belize</w:t>
            </w:r>
          </w:p>
        </w:tc>
        <w:tc>
          <w:tcPr>
            <w:tcW w:w="4144" w:type="pct"/>
            <w:tcBorders>
              <w:top w:val="nil"/>
              <w:left w:val="nil"/>
              <w:bottom w:val="single" w:sz="8" w:space="0" w:color="auto"/>
              <w:right w:val="single" w:sz="8" w:space="0" w:color="auto"/>
            </w:tcBorders>
            <w:vAlign w:val="center"/>
            <w:hideMark/>
          </w:tcPr>
          <w:p w14:paraId="26F68001" w14:textId="532638FC" w:rsidR="00C315D5" w:rsidRPr="00582ECD" w:rsidRDefault="00C22F63" w:rsidP="00DE686D">
            <w:pPr>
              <w:widowControl/>
              <w:autoSpaceDE/>
              <w:autoSpaceDN/>
              <w:adjustRightInd/>
              <w:jc w:val="both"/>
              <w:rPr>
                <w:rFonts w:asciiTheme="majorHAnsi" w:hAnsiTheme="majorHAnsi" w:cs="Calibri"/>
                <w:color w:val="000000"/>
              </w:rPr>
            </w:pPr>
            <w:r w:rsidRPr="00582ECD">
              <w:rPr>
                <w:rFonts w:asciiTheme="majorHAnsi" w:hAnsiTheme="majorHAnsi"/>
                <w:color w:val="000000"/>
              </w:rPr>
              <w:t>Le Belize a adopté en 2021 une politique de gestion des quotas visant à garantir que les allocations de tous les quotas de thonidés tropicaux soit répartie de manière équitable et efficace entre nos navires et que les limites de prises accessoires soient prises en compte dans le processus d'attribution des quotas. Des politiques de déclaration et de contrôle des captures ont été mises en place afin de garantir que les navires pêchent dans les limites de leur quota et de leur autorisation.</w:t>
            </w:r>
          </w:p>
        </w:tc>
      </w:tr>
      <w:tr w:rsidR="00C315D5" w:rsidRPr="00582ECD" w14:paraId="6CAF52E2" w14:textId="77777777" w:rsidTr="00DE686D">
        <w:tc>
          <w:tcPr>
            <w:tcW w:w="856" w:type="pct"/>
            <w:tcBorders>
              <w:top w:val="nil"/>
              <w:left w:val="single" w:sz="8" w:space="0" w:color="auto"/>
              <w:bottom w:val="single" w:sz="8" w:space="0" w:color="auto"/>
              <w:right w:val="single" w:sz="8" w:space="0" w:color="auto"/>
            </w:tcBorders>
            <w:noWrap/>
            <w:vAlign w:val="center"/>
            <w:hideMark/>
          </w:tcPr>
          <w:p w14:paraId="6CC1CBA2" w14:textId="7C650724" w:rsidR="00C315D5" w:rsidRPr="00582ECD" w:rsidRDefault="00C22F63" w:rsidP="00DE686D">
            <w:pPr>
              <w:widowControl/>
              <w:autoSpaceDE/>
              <w:autoSpaceDN/>
              <w:adjustRightInd/>
              <w:rPr>
                <w:rFonts w:asciiTheme="majorHAnsi" w:hAnsiTheme="majorHAnsi" w:cs="Calibri"/>
                <w:color w:val="000000"/>
              </w:rPr>
            </w:pPr>
            <w:r w:rsidRPr="00582ECD">
              <w:rPr>
                <w:rFonts w:asciiTheme="majorHAnsi" w:hAnsiTheme="majorHAnsi"/>
                <w:color w:val="000000"/>
              </w:rPr>
              <w:t>Curaçao</w:t>
            </w:r>
          </w:p>
        </w:tc>
        <w:tc>
          <w:tcPr>
            <w:tcW w:w="4144" w:type="pct"/>
            <w:tcBorders>
              <w:top w:val="nil"/>
              <w:left w:val="nil"/>
              <w:bottom w:val="single" w:sz="8" w:space="0" w:color="auto"/>
              <w:right w:val="single" w:sz="8" w:space="0" w:color="auto"/>
            </w:tcBorders>
            <w:vAlign w:val="center"/>
            <w:hideMark/>
          </w:tcPr>
          <w:p w14:paraId="61AE0980" w14:textId="4ACFE9FC" w:rsidR="00C315D5" w:rsidRPr="00582ECD" w:rsidRDefault="00C22F63" w:rsidP="00DE686D">
            <w:pPr>
              <w:widowControl/>
              <w:autoSpaceDE/>
              <w:autoSpaceDN/>
              <w:adjustRightInd/>
              <w:jc w:val="both"/>
              <w:rPr>
                <w:rFonts w:asciiTheme="majorHAnsi" w:hAnsiTheme="majorHAnsi" w:cs="Calibri"/>
                <w:color w:val="000000"/>
              </w:rPr>
            </w:pPr>
            <w:r w:rsidRPr="00582ECD">
              <w:rPr>
                <w:rFonts w:asciiTheme="majorHAnsi" w:hAnsiTheme="majorHAnsi"/>
                <w:color w:val="000000"/>
              </w:rPr>
              <w:t xml:space="preserve">Aucun navire de pêche n'opérait dans la zone de l'ICCAT. En ce qui concerne les activités de pêche, Curaçao assure une surveillance et un contrôle à 100 %. Des observateurs sont présents à bord, et lorsque ce n'est pas le cas, Curaçao reçoit des extraits électroniques des journaux de bord via le système de gestion des captures </w:t>
            </w:r>
            <w:proofErr w:type="spellStart"/>
            <w:r w:rsidRPr="00582ECD">
              <w:rPr>
                <w:rFonts w:asciiTheme="majorHAnsi" w:hAnsiTheme="majorHAnsi"/>
                <w:color w:val="000000"/>
              </w:rPr>
              <w:t>Halios</w:t>
            </w:r>
            <w:proofErr w:type="spellEnd"/>
            <w:r w:rsidRPr="00582ECD">
              <w:rPr>
                <w:rFonts w:asciiTheme="majorHAnsi" w:hAnsiTheme="majorHAnsi"/>
                <w:color w:val="000000"/>
              </w:rPr>
              <w:t>, en temps réel et en ligne ; l'inspection est effectuée au port par deux sociétés d'inspection. Curaçao élabore actuellement un plan visant à renforcer les mesures de MCS afin de réduire au minimum les prises accessoires.</w:t>
            </w:r>
          </w:p>
        </w:tc>
      </w:tr>
      <w:tr w:rsidR="009A56D8" w:rsidRPr="00582ECD" w14:paraId="3C28C117" w14:textId="77777777" w:rsidTr="006D1FBF">
        <w:tc>
          <w:tcPr>
            <w:tcW w:w="856" w:type="pct"/>
            <w:tcBorders>
              <w:top w:val="nil"/>
              <w:left w:val="single" w:sz="8" w:space="0" w:color="auto"/>
              <w:bottom w:val="single" w:sz="8" w:space="0" w:color="auto"/>
              <w:right w:val="single" w:sz="8" w:space="0" w:color="auto"/>
            </w:tcBorders>
            <w:noWrap/>
          </w:tcPr>
          <w:p w14:paraId="1AA11BC5" w14:textId="0A434726" w:rsidR="009A56D8" w:rsidRPr="00582ECD" w:rsidRDefault="009A56D8" w:rsidP="009A56D8">
            <w:pPr>
              <w:widowControl/>
              <w:autoSpaceDE/>
              <w:autoSpaceDN/>
              <w:adjustRightInd/>
              <w:rPr>
                <w:rFonts w:asciiTheme="majorHAnsi" w:hAnsiTheme="majorHAnsi" w:cs="Calibri"/>
                <w:color w:val="000000"/>
              </w:rPr>
            </w:pPr>
            <w:r w:rsidRPr="00582ECD">
              <w:rPr>
                <w:rFonts w:asciiTheme="majorHAnsi" w:hAnsiTheme="majorHAnsi"/>
              </w:rPr>
              <w:t>Union européenne</w:t>
            </w:r>
          </w:p>
        </w:tc>
        <w:tc>
          <w:tcPr>
            <w:tcW w:w="4144" w:type="pct"/>
            <w:tcBorders>
              <w:top w:val="nil"/>
              <w:left w:val="nil"/>
              <w:bottom w:val="single" w:sz="8" w:space="0" w:color="auto"/>
              <w:right w:val="single" w:sz="8" w:space="0" w:color="auto"/>
            </w:tcBorders>
          </w:tcPr>
          <w:p w14:paraId="31B30738" w14:textId="520D2544" w:rsidR="009A56D8" w:rsidRPr="00582ECD" w:rsidRDefault="009A56D8" w:rsidP="009A56D8">
            <w:pPr>
              <w:widowControl/>
              <w:autoSpaceDE/>
              <w:autoSpaceDN/>
              <w:adjustRightInd/>
              <w:jc w:val="both"/>
              <w:rPr>
                <w:rFonts w:asciiTheme="majorHAnsi" w:hAnsiTheme="majorHAnsi" w:cs="Calibri"/>
                <w:color w:val="000000"/>
              </w:rPr>
            </w:pPr>
            <w:r w:rsidRPr="00582ECD">
              <w:rPr>
                <w:rFonts w:asciiTheme="majorHAnsi" w:hAnsiTheme="majorHAnsi"/>
              </w:rPr>
              <w:t>Des détails supplémentaires sont inclus dans la section 2 de son rapport annuel.</w:t>
            </w:r>
          </w:p>
        </w:tc>
      </w:tr>
      <w:tr w:rsidR="009A56D8" w:rsidRPr="00582ECD" w14:paraId="30C9E54E" w14:textId="77777777" w:rsidTr="00DE686D">
        <w:tc>
          <w:tcPr>
            <w:tcW w:w="856" w:type="pct"/>
            <w:tcBorders>
              <w:top w:val="nil"/>
              <w:left w:val="single" w:sz="8" w:space="0" w:color="auto"/>
              <w:bottom w:val="single" w:sz="4" w:space="0" w:color="auto"/>
              <w:right w:val="single" w:sz="8" w:space="0" w:color="auto"/>
            </w:tcBorders>
            <w:noWrap/>
            <w:vAlign w:val="center"/>
            <w:hideMark/>
          </w:tcPr>
          <w:p w14:paraId="1D0B8AB6" w14:textId="255056C5" w:rsidR="009A56D8" w:rsidRPr="00582ECD" w:rsidRDefault="009A56D8" w:rsidP="009A56D8">
            <w:pPr>
              <w:widowControl/>
              <w:autoSpaceDE/>
              <w:autoSpaceDN/>
              <w:adjustRightInd/>
              <w:rPr>
                <w:rFonts w:asciiTheme="majorHAnsi" w:hAnsiTheme="majorHAnsi" w:cs="Calibri"/>
                <w:color w:val="000000"/>
              </w:rPr>
            </w:pPr>
            <w:r w:rsidRPr="00582ECD">
              <w:rPr>
                <w:rFonts w:asciiTheme="majorHAnsi" w:hAnsiTheme="majorHAnsi"/>
                <w:color w:val="000000"/>
              </w:rPr>
              <w:t>Russie</w:t>
            </w:r>
          </w:p>
        </w:tc>
        <w:tc>
          <w:tcPr>
            <w:tcW w:w="4144" w:type="pct"/>
            <w:tcBorders>
              <w:top w:val="nil"/>
              <w:left w:val="nil"/>
              <w:bottom w:val="single" w:sz="4" w:space="0" w:color="auto"/>
              <w:right w:val="single" w:sz="8" w:space="0" w:color="auto"/>
            </w:tcBorders>
            <w:vAlign w:val="center"/>
            <w:hideMark/>
          </w:tcPr>
          <w:p w14:paraId="5ED51D17" w14:textId="447A6629" w:rsidR="009A56D8" w:rsidRPr="00582ECD" w:rsidRDefault="009A56D8" w:rsidP="009A56D8">
            <w:pPr>
              <w:widowControl/>
              <w:autoSpaceDE/>
              <w:autoSpaceDN/>
              <w:adjustRightInd/>
              <w:jc w:val="both"/>
              <w:rPr>
                <w:rFonts w:asciiTheme="majorHAnsi" w:hAnsiTheme="majorHAnsi"/>
              </w:rPr>
            </w:pPr>
            <w:r w:rsidRPr="00582ECD">
              <w:rPr>
                <w:rFonts w:asciiTheme="majorHAnsi" w:hAnsiTheme="majorHAnsi"/>
              </w:rPr>
              <w:t>Il n'existe pas de pêche russe spécialisée dans le thon. Des thonidés mineurs se retrouvent parmi les prises accessoires des chaluts. Les observateurs présents à bord des navires recensent les espèces de poissons capturées accidentellement. Des données sont collectées sur le nombre de prises accessoires par espèce, en fonction de la longueur et du stade de développement des espèces (15 juillet 2026). Par ailleurs, pour contrôler l'ensemble des captures de tous les navires, on utilise le système national de surveillance des ressources biologiques aquatiques et des navires de pêche mis en place par le Centre de surveillance et de communication des pêches (CFMC https://cfmc.ru).</w:t>
            </w:r>
          </w:p>
        </w:tc>
      </w:tr>
      <w:tr w:rsidR="009A56D8" w:rsidRPr="00582ECD" w14:paraId="4DFAD12C" w14:textId="77777777" w:rsidTr="00DE686D">
        <w:trPr>
          <w:trHeight w:val="75"/>
        </w:trPr>
        <w:tc>
          <w:tcPr>
            <w:tcW w:w="856" w:type="pct"/>
            <w:tcBorders>
              <w:top w:val="single" w:sz="4" w:space="0" w:color="auto"/>
              <w:left w:val="single" w:sz="4" w:space="0" w:color="auto"/>
              <w:bottom w:val="single" w:sz="4" w:space="0" w:color="auto"/>
              <w:right w:val="single" w:sz="4" w:space="0" w:color="auto"/>
            </w:tcBorders>
            <w:noWrap/>
            <w:vAlign w:val="center"/>
            <w:hideMark/>
          </w:tcPr>
          <w:p w14:paraId="4C6EB508" w14:textId="56C3C867" w:rsidR="009A56D8" w:rsidRPr="00582ECD" w:rsidRDefault="009A56D8" w:rsidP="009A56D8">
            <w:pPr>
              <w:widowControl/>
              <w:autoSpaceDE/>
              <w:autoSpaceDN/>
              <w:adjustRightInd/>
              <w:rPr>
                <w:rFonts w:asciiTheme="majorHAnsi" w:hAnsiTheme="majorHAnsi" w:cs="Calibri"/>
                <w:color w:val="000000"/>
              </w:rPr>
            </w:pPr>
            <w:r w:rsidRPr="00582ECD">
              <w:rPr>
                <w:rFonts w:asciiTheme="majorHAnsi" w:hAnsiTheme="majorHAnsi"/>
                <w:color w:val="000000"/>
              </w:rPr>
              <w:t>Türkiye</w:t>
            </w:r>
          </w:p>
        </w:tc>
        <w:tc>
          <w:tcPr>
            <w:tcW w:w="4144" w:type="pct"/>
            <w:tcBorders>
              <w:top w:val="single" w:sz="4" w:space="0" w:color="auto"/>
              <w:left w:val="single" w:sz="4" w:space="0" w:color="auto"/>
              <w:bottom w:val="single" w:sz="4" w:space="0" w:color="auto"/>
              <w:right w:val="single" w:sz="4" w:space="0" w:color="auto"/>
            </w:tcBorders>
            <w:vAlign w:val="center"/>
            <w:hideMark/>
          </w:tcPr>
          <w:p w14:paraId="4E23C9A0" w14:textId="2DB31726" w:rsidR="009A56D8" w:rsidRPr="00582ECD" w:rsidRDefault="009A56D8" w:rsidP="009A56D8">
            <w:pPr>
              <w:jc w:val="both"/>
              <w:rPr>
                <w:rFonts w:asciiTheme="majorHAnsi" w:hAnsiTheme="majorHAnsi" w:cs="Calibri"/>
                <w:color w:val="000000"/>
              </w:rPr>
            </w:pPr>
            <w:r w:rsidRPr="00582ECD">
              <w:rPr>
                <w:rFonts w:asciiTheme="majorHAnsi" w:hAnsiTheme="majorHAnsi"/>
                <w:color w:val="000000"/>
              </w:rPr>
              <w:t>La Türkiye n'a pas pratiqué la pêche au thon obèse (</w:t>
            </w:r>
            <w:r w:rsidRPr="00582ECD">
              <w:rPr>
                <w:rFonts w:asciiTheme="majorHAnsi" w:hAnsiTheme="majorHAnsi"/>
                <w:i/>
                <w:iCs/>
                <w:color w:val="000000"/>
              </w:rPr>
              <w:t xml:space="preserve">Thunnus </w:t>
            </w:r>
            <w:proofErr w:type="spellStart"/>
            <w:r w:rsidRPr="00582ECD">
              <w:rPr>
                <w:rFonts w:asciiTheme="majorHAnsi" w:hAnsiTheme="majorHAnsi"/>
                <w:i/>
                <w:iCs/>
                <w:color w:val="000000"/>
              </w:rPr>
              <w:t>obesus</w:t>
            </w:r>
            <w:proofErr w:type="spellEnd"/>
            <w:r w:rsidRPr="00582ECD">
              <w:rPr>
                <w:rFonts w:asciiTheme="majorHAnsi" w:hAnsiTheme="majorHAnsi"/>
                <w:color w:val="000000"/>
              </w:rPr>
              <w:t xml:space="preserve">) et </w:t>
            </w:r>
            <w:proofErr w:type="spellStart"/>
            <w:r w:rsidRPr="00582ECD">
              <w:rPr>
                <w:rFonts w:asciiTheme="majorHAnsi" w:hAnsiTheme="majorHAnsi"/>
                <w:color w:val="000000"/>
              </w:rPr>
              <w:t>àl’albacore</w:t>
            </w:r>
            <w:proofErr w:type="spellEnd"/>
            <w:r w:rsidRPr="00582ECD">
              <w:rPr>
                <w:rFonts w:asciiTheme="majorHAnsi" w:hAnsiTheme="majorHAnsi"/>
                <w:color w:val="000000"/>
              </w:rPr>
              <w:t xml:space="preserve"> (</w:t>
            </w:r>
            <w:r w:rsidRPr="00582ECD">
              <w:rPr>
                <w:rFonts w:asciiTheme="majorHAnsi" w:hAnsiTheme="majorHAnsi"/>
                <w:i/>
                <w:iCs/>
                <w:color w:val="000000"/>
              </w:rPr>
              <w:t xml:space="preserve">Thunnus </w:t>
            </w:r>
            <w:proofErr w:type="spellStart"/>
            <w:r w:rsidRPr="00582ECD">
              <w:rPr>
                <w:rFonts w:asciiTheme="majorHAnsi" w:hAnsiTheme="majorHAnsi"/>
                <w:i/>
                <w:iCs/>
                <w:color w:val="000000"/>
              </w:rPr>
              <w:t>albacares</w:t>
            </w:r>
            <w:proofErr w:type="spellEnd"/>
            <w:r w:rsidRPr="00582ECD">
              <w:rPr>
                <w:rFonts w:asciiTheme="majorHAnsi" w:hAnsiTheme="majorHAnsi"/>
                <w:color w:val="000000"/>
              </w:rPr>
              <w:t xml:space="preserve">), qui est soumise à la mise en œuvre d'un total admissible des captures (TAC) et de quotas conformément à la Rec. 24-01 de l’ICCAT. Afin d’assurer un suivi plus étroit de la pêche au listao, à compter de 2025, la notification 6/1 relative à la réglementation de la pêche commerciale (n° 2024/20), entrée en vigueur le 11 août 2024 et couvrant la période 2024-2028, impose aux navires ciblant le listao d'obtenir un permis de pêche spécial. La limite maximale de prises accessoires de listao à bord devra être mise en œuvre conformément à l'article 18 de la notification 6/1 relative à la réglementation de la pêche commerciale (n° 2024/20). En conséquence, le niveau de la limite de prises accessoires de listao ne </w:t>
            </w:r>
            <w:r w:rsidRPr="00582ECD">
              <w:rPr>
                <w:rFonts w:asciiTheme="majorHAnsi" w:hAnsiTheme="majorHAnsi"/>
                <w:color w:val="000000"/>
              </w:rPr>
              <w:lastRenderedPageBreak/>
              <w:t xml:space="preserve">devra pas dépasser 5% du total des captures à bord à la fin de chaque sortie de pêche. Les prises accessoires devront être calculées par rapport au total des captures retenues à bord « en poids ». Les carnets de pêche électroniques et les carnets de pêche  reliés devront tous deux être utilisés pour consigner les données de capture.  Les prises accessoires en question devront être comptabilisées dans le total des prises de listao de la </w:t>
            </w:r>
            <w:proofErr w:type="gramStart"/>
            <w:r w:rsidRPr="00582ECD">
              <w:rPr>
                <w:rFonts w:asciiTheme="majorHAnsi" w:hAnsiTheme="majorHAnsi"/>
                <w:color w:val="000000"/>
              </w:rPr>
              <w:t>Türkiye..</w:t>
            </w:r>
            <w:proofErr w:type="gramEnd"/>
            <w:r w:rsidRPr="00582ECD">
              <w:rPr>
                <w:rFonts w:asciiTheme="majorHAnsi" w:hAnsiTheme="majorHAnsi"/>
                <w:color w:val="000000"/>
              </w:rPr>
              <w:t xml:space="preserve"> Afin de garantir le respect des dispositions relatives à M:TRO17, la notification n° 6/1 relative à la réglementation de la pêche commerciale (n° 2024/20) et le règlement sur la pêche (n° 4988) doivent être mis en œuvre. La pêche au listao doit faire l'objet d'une surveillance étroite et être gérée conformément aux règles et règlements applicables de l’ICCAT.</w:t>
            </w:r>
          </w:p>
        </w:tc>
      </w:tr>
      <w:tr w:rsidR="009A56D8" w:rsidRPr="00582ECD" w14:paraId="3354D7A4" w14:textId="77777777" w:rsidTr="00DE686D">
        <w:trPr>
          <w:trHeight w:val="75"/>
        </w:trPr>
        <w:tc>
          <w:tcPr>
            <w:tcW w:w="856" w:type="pct"/>
            <w:tcBorders>
              <w:top w:val="single" w:sz="4" w:space="0" w:color="auto"/>
              <w:left w:val="single" w:sz="4" w:space="0" w:color="auto"/>
              <w:bottom w:val="single" w:sz="4" w:space="0" w:color="auto"/>
              <w:right w:val="single" w:sz="4" w:space="0" w:color="auto"/>
            </w:tcBorders>
            <w:noWrap/>
            <w:vAlign w:val="center"/>
          </w:tcPr>
          <w:p w14:paraId="08BF3619" w14:textId="2A73A519" w:rsidR="009A56D8" w:rsidRPr="00582ECD" w:rsidDel="00C22F63" w:rsidRDefault="009A56D8" w:rsidP="009A56D8">
            <w:pPr>
              <w:widowControl/>
              <w:autoSpaceDE/>
              <w:autoSpaceDN/>
              <w:adjustRightInd/>
              <w:rPr>
                <w:rFonts w:asciiTheme="majorHAnsi" w:hAnsiTheme="majorHAnsi" w:cs="Calibri"/>
                <w:color w:val="000000"/>
              </w:rPr>
            </w:pPr>
            <w:r w:rsidRPr="00582ECD">
              <w:rPr>
                <w:rFonts w:asciiTheme="majorHAnsi" w:hAnsiTheme="majorHAnsi"/>
                <w:color w:val="000000"/>
              </w:rPr>
              <w:lastRenderedPageBreak/>
              <w:t>Venezuela</w:t>
            </w:r>
          </w:p>
        </w:tc>
        <w:tc>
          <w:tcPr>
            <w:tcW w:w="4144" w:type="pct"/>
            <w:tcBorders>
              <w:top w:val="single" w:sz="4" w:space="0" w:color="auto"/>
              <w:left w:val="single" w:sz="4" w:space="0" w:color="auto"/>
              <w:bottom w:val="single" w:sz="4" w:space="0" w:color="auto"/>
              <w:right w:val="single" w:sz="4" w:space="0" w:color="auto"/>
            </w:tcBorders>
            <w:vAlign w:val="center"/>
          </w:tcPr>
          <w:p w14:paraId="2A8B0BEA" w14:textId="494DCDC1" w:rsidR="009A56D8" w:rsidRPr="00582ECD" w:rsidRDefault="00DE0294" w:rsidP="009A56D8">
            <w:pPr>
              <w:jc w:val="both"/>
              <w:rPr>
                <w:rFonts w:asciiTheme="majorHAnsi" w:hAnsiTheme="majorHAnsi" w:cs="Calibri"/>
                <w:color w:val="000000"/>
              </w:rPr>
            </w:pPr>
            <w:r w:rsidRPr="00582ECD">
              <w:rPr>
                <w:rFonts w:asciiTheme="majorHAnsi" w:hAnsiTheme="majorHAnsi"/>
                <w:color w:val="000000"/>
              </w:rPr>
              <w:t xml:space="preserve">Le Venezuela présente un programme de surveillance de la flotte dédiée à la pêche aux </w:t>
            </w:r>
            <w:r w:rsidR="00690433" w:rsidRPr="00582ECD">
              <w:rPr>
                <w:rFonts w:asciiTheme="majorHAnsi" w:hAnsiTheme="majorHAnsi"/>
                <w:color w:val="000000"/>
              </w:rPr>
              <w:t>thonidés</w:t>
            </w:r>
            <w:r w:rsidRPr="00582ECD">
              <w:rPr>
                <w:rFonts w:asciiTheme="majorHAnsi" w:hAnsiTheme="majorHAnsi"/>
                <w:color w:val="000000"/>
              </w:rPr>
              <w:t xml:space="preserve"> tropicaux, assurant une couverture à 100 % et un suivi continu des activités concernées.</w:t>
            </w:r>
          </w:p>
        </w:tc>
      </w:tr>
    </w:tbl>
    <w:p w14:paraId="2A375ADB" w14:textId="77777777" w:rsidR="00C315D5" w:rsidRPr="00582ECD" w:rsidRDefault="00C315D5" w:rsidP="00C315D5">
      <w:pPr>
        <w:jc w:val="both"/>
        <w:rPr>
          <w:rFonts w:asciiTheme="majorHAnsi" w:hAnsiTheme="majorHAnsi" w:cs="Calibri"/>
          <w:color w:val="000000"/>
        </w:rPr>
      </w:pPr>
    </w:p>
    <w:p w14:paraId="28A53D2E" w14:textId="75897B16" w:rsidR="00C315D5" w:rsidRPr="00582ECD" w:rsidRDefault="00C315D5" w:rsidP="00C315D5">
      <w:pPr>
        <w:tabs>
          <w:tab w:val="left" w:pos="1276"/>
          <w:tab w:val="left" w:pos="1418"/>
          <w:tab w:val="left" w:leader="dot" w:pos="8222"/>
          <w:tab w:val="right" w:pos="8647"/>
        </w:tabs>
        <w:jc w:val="both"/>
        <w:rPr>
          <w:rFonts w:asciiTheme="majorHAnsi" w:hAnsiTheme="majorHAnsi" w:cs="Calibri"/>
          <w:color w:val="000000"/>
        </w:rPr>
      </w:pPr>
      <w:r w:rsidRPr="00582ECD">
        <w:rPr>
          <w:rFonts w:asciiTheme="majorHAnsi" w:hAnsiTheme="majorHAnsi"/>
          <w:color w:val="000000"/>
        </w:rPr>
        <w:t xml:space="preserve">Il convient de noter que le tableau ci-dessus ne présente que </w:t>
      </w:r>
      <w:r w:rsidR="003B4A5E">
        <w:rPr>
          <w:rFonts w:asciiTheme="majorHAnsi" w:hAnsiTheme="majorHAnsi"/>
          <w:color w:val="000000"/>
        </w:rPr>
        <w:t xml:space="preserve">les CPC </w:t>
      </w:r>
      <w:r w:rsidRPr="00582ECD">
        <w:rPr>
          <w:rFonts w:asciiTheme="majorHAnsi" w:hAnsiTheme="majorHAnsi"/>
          <w:color w:val="000000"/>
        </w:rPr>
        <w:t xml:space="preserve">ayant indiqué avoir pris des mesures pour garantir le respect de la limite maximale de prises accessoires à bord pour les thonidés tropicaux. Dans de nombreux cas, aucune mesure n'est prise car tous les navires concernés disposent d'une licence et/ou que les prises accessoires ne sont pas autorisées. Toutefois, certaines réponses concernant les </w:t>
      </w:r>
      <w:r w:rsidR="00DE1ABD" w:rsidRPr="00582ECD">
        <w:rPr>
          <w:rFonts w:asciiTheme="majorHAnsi" w:hAnsiTheme="majorHAnsi"/>
          <w:color w:val="000000"/>
        </w:rPr>
        <w:t>mesures</w:t>
      </w:r>
      <w:r w:rsidRPr="00582ECD">
        <w:rPr>
          <w:rFonts w:asciiTheme="majorHAnsi" w:hAnsiTheme="majorHAnsi"/>
          <w:color w:val="000000"/>
        </w:rPr>
        <w:t xml:space="preserve"> sont incohérentes, les CPC n'ayant pas lu ou compris l'exigence. Dans plusieurs cas, des réponses totalement non pertinentes sont fournies, par exemple : il n’y a pas de pêcherie ciblant cette espèce, il n’y a pas de navires sous pavillon de xx pêchant cette espèce.</w:t>
      </w:r>
    </w:p>
    <w:p w14:paraId="2F8BBE4B" w14:textId="77777777" w:rsidR="00EE6957" w:rsidRPr="00582ECD" w:rsidRDefault="00EE6957" w:rsidP="00C315D5">
      <w:pPr>
        <w:tabs>
          <w:tab w:val="left" w:pos="1276"/>
          <w:tab w:val="left" w:pos="1418"/>
          <w:tab w:val="left" w:leader="dot" w:pos="8222"/>
          <w:tab w:val="right" w:pos="8647"/>
        </w:tabs>
        <w:jc w:val="both"/>
        <w:rPr>
          <w:rFonts w:asciiTheme="majorHAnsi" w:hAnsiTheme="majorHAnsi" w:cs="Calibri"/>
          <w:color w:val="000000"/>
        </w:rPr>
      </w:pPr>
    </w:p>
    <w:p w14:paraId="6C3AB04F" w14:textId="4C4CD6B5" w:rsidR="00CC2541" w:rsidRPr="00582ECD" w:rsidRDefault="00E43E02" w:rsidP="00CC2541">
      <w:pPr>
        <w:tabs>
          <w:tab w:val="left" w:pos="1276"/>
          <w:tab w:val="left" w:pos="1418"/>
          <w:tab w:val="left" w:leader="dot" w:pos="8222"/>
          <w:tab w:val="right" w:pos="8647"/>
        </w:tabs>
        <w:jc w:val="both"/>
        <w:rPr>
          <w:rFonts w:asciiTheme="majorHAnsi" w:hAnsiTheme="majorHAnsi" w:cs="Calibri"/>
          <w:i/>
          <w:iCs/>
          <w:color w:val="000000"/>
        </w:rPr>
      </w:pPr>
      <w:r w:rsidRPr="00582ECD">
        <w:rPr>
          <w:rFonts w:asciiTheme="majorHAnsi" w:hAnsiTheme="majorHAnsi"/>
          <w:i/>
        </w:rPr>
        <w:t>Quantité totale de thonidés tropicaux capturés en tant que prises accessoires au cours de l'année déclarée</w:t>
      </w:r>
    </w:p>
    <w:tbl>
      <w:tblPr>
        <w:tblW w:w="5000" w:type="pct"/>
        <w:tblLook w:val="04A0" w:firstRow="1" w:lastRow="0" w:firstColumn="1" w:lastColumn="0" w:noHBand="0" w:noVBand="1"/>
      </w:tblPr>
      <w:tblGrid>
        <w:gridCol w:w="2088"/>
        <w:gridCol w:w="6967"/>
      </w:tblGrid>
      <w:tr w:rsidR="00CC2541" w:rsidRPr="00582ECD" w14:paraId="318F1833" w14:textId="77777777" w:rsidTr="006D1FBF">
        <w:tc>
          <w:tcPr>
            <w:tcW w:w="1139" w:type="pct"/>
            <w:tcBorders>
              <w:top w:val="single" w:sz="8" w:space="0" w:color="auto"/>
              <w:left w:val="single" w:sz="8" w:space="0" w:color="auto"/>
              <w:bottom w:val="single" w:sz="8" w:space="0" w:color="auto"/>
              <w:right w:val="single" w:sz="8" w:space="0" w:color="auto"/>
            </w:tcBorders>
            <w:noWrap/>
            <w:vAlign w:val="center"/>
            <w:hideMark/>
          </w:tcPr>
          <w:p w14:paraId="228AC4E1" w14:textId="77777777" w:rsidR="00CC2541" w:rsidRPr="00582ECD" w:rsidRDefault="00CC2541" w:rsidP="00505320">
            <w:pPr>
              <w:widowControl/>
              <w:autoSpaceDE/>
              <w:autoSpaceDN/>
              <w:adjustRightInd/>
              <w:jc w:val="center"/>
              <w:rPr>
                <w:rFonts w:asciiTheme="majorHAnsi" w:hAnsiTheme="majorHAnsi" w:cs="Calibri"/>
                <w:i/>
                <w:iCs/>
                <w:color w:val="000000"/>
              </w:rPr>
            </w:pPr>
            <w:r w:rsidRPr="00582ECD">
              <w:rPr>
                <w:rFonts w:asciiTheme="majorHAnsi" w:hAnsiTheme="majorHAnsi"/>
                <w:i/>
                <w:color w:val="000000"/>
              </w:rPr>
              <w:t>CPC</w:t>
            </w:r>
          </w:p>
        </w:tc>
        <w:tc>
          <w:tcPr>
            <w:tcW w:w="3861" w:type="pct"/>
            <w:tcBorders>
              <w:top w:val="single" w:sz="8" w:space="0" w:color="auto"/>
              <w:left w:val="nil"/>
              <w:bottom w:val="single" w:sz="8" w:space="0" w:color="auto"/>
              <w:right w:val="single" w:sz="8" w:space="0" w:color="auto"/>
            </w:tcBorders>
            <w:vAlign w:val="center"/>
            <w:hideMark/>
          </w:tcPr>
          <w:p w14:paraId="40AFC115" w14:textId="77777777" w:rsidR="00CC2541" w:rsidRPr="00582ECD" w:rsidRDefault="00CC2541" w:rsidP="00505320">
            <w:pPr>
              <w:widowControl/>
              <w:autoSpaceDE/>
              <w:autoSpaceDN/>
              <w:adjustRightInd/>
              <w:jc w:val="center"/>
              <w:rPr>
                <w:rFonts w:asciiTheme="majorHAnsi" w:hAnsiTheme="majorHAnsi" w:cs="Calibri"/>
                <w:i/>
                <w:iCs/>
                <w:color w:val="000000"/>
              </w:rPr>
            </w:pPr>
            <w:r w:rsidRPr="00582ECD">
              <w:rPr>
                <w:rFonts w:asciiTheme="majorHAnsi" w:hAnsiTheme="majorHAnsi"/>
                <w:i/>
                <w:color w:val="000000"/>
              </w:rPr>
              <w:t>Réponse</w:t>
            </w:r>
          </w:p>
        </w:tc>
      </w:tr>
      <w:tr w:rsidR="00CC2541" w:rsidRPr="00582ECD" w14:paraId="7720AE62" w14:textId="77777777" w:rsidTr="006D1FBF">
        <w:tc>
          <w:tcPr>
            <w:tcW w:w="1139" w:type="pct"/>
            <w:tcBorders>
              <w:top w:val="nil"/>
              <w:left w:val="single" w:sz="8" w:space="0" w:color="auto"/>
              <w:bottom w:val="single" w:sz="8" w:space="0" w:color="auto"/>
              <w:right w:val="single" w:sz="8" w:space="0" w:color="auto"/>
            </w:tcBorders>
            <w:noWrap/>
            <w:vAlign w:val="center"/>
            <w:hideMark/>
          </w:tcPr>
          <w:p w14:paraId="59A020A3" w14:textId="4EB3DA20" w:rsidR="00CC2541" w:rsidRPr="00582ECD" w:rsidRDefault="005368D3" w:rsidP="00505320">
            <w:pPr>
              <w:widowControl/>
              <w:autoSpaceDE/>
              <w:autoSpaceDN/>
              <w:adjustRightInd/>
              <w:rPr>
                <w:rFonts w:asciiTheme="majorHAnsi" w:hAnsiTheme="majorHAnsi" w:cs="Calibri"/>
                <w:color w:val="000000"/>
              </w:rPr>
            </w:pPr>
            <w:r w:rsidRPr="00582ECD">
              <w:rPr>
                <w:rFonts w:asciiTheme="majorHAnsi" w:hAnsiTheme="majorHAnsi"/>
                <w:color w:val="000000"/>
              </w:rPr>
              <w:t>Chine</w:t>
            </w:r>
          </w:p>
        </w:tc>
        <w:tc>
          <w:tcPr>
            <w:tcW w:w="3861" w:type="pct"/>
            <w:tcBorders>
              <w:top w:val="nil"/>
              <w:left w:val="nil"/>
              <w:bottom w:val="single" w:sz="8" w:space="0" w:color="auto"/>
              <w:right w:val="single" w:sz="8" w:space="0" w:color="auto"/>
            </w:tcBorders>
            <w:vAlign w:val="center"/>
            <w:hideMark/>
          </w:tcPr>
          <w:p w14:paraId="6F10EB52" w14:textId="4F677B7F" w:rsidR="00CC2541" w:rsidRPr="00582ECD" w:rsidRDefault="005368D3" w:rsidP="00505320">
            <w:pPr>
              <w:widowControl/>
              <w:autoSpaceDE/>
              <w:autoSpaceDN/>
              <w:adjustRightInd/>
              <w:jc w:val="both"/>
              <w:rPr>
                <w:rFonts w:asciiTheme="majorHAnsi" w:hAnsiTheme="majorHAnsi" w:cs="Calibri"/>
                <w:color w:val="000000"/>
              </w:rPr>
            </w:pPr>
            <w:r w:rsidRPr="00582ECD">
              <w:rPr>
                <w:rFonts w:asciiTheme="majorHAnsi" w:hAnsiTheme="majorHAnsi"/>
                <w:color w:val="000000"/>
              </w:rPr>
              <w:t>Soumission au moyen des formulaires SCRS en 2026-2027.</w:t>
            </w:r>
          </w:p>
        </w:tc>
      </w:tr>
      <w:tr w:rsidR="00CC2541" w:rsidRPr="00582ECD" w14:paraId="3AF0D0EC" w14:textId="77777777" w:rsidTr="006D1FBF">
        <w:tc>
          <w:tcPr>
            <w:tcW w:w="1139" w:type="pct"/>
            <w:tcBorders>
              <w:top w:val="nil"/>
              <w:left w:val="single" w:sz="8" w:space="0" w:color="auto"/>
              <w:bottom w:val="single" w:sz="8" w:space="0" w:color="auto"/>
              <w:right w:val="single" w:sz="8" w:space="0" w:color="auto"/>
            </w:tcBorders>
            <w:noWrap/>
            <w:vAlign w:val="center"/>
            <w:hideMark/>
          </w:tcPr>
          <w:p w14:paraId="3BCEE0B6" w14:textId="4B4FBDD2" w:rsidR="00CC2541" w:rsidRPr="00582ECD" w:rsidRDefault="005368D3" w:rsidP="00505320">
            <w:pPr>
              <w:widowControl/>
              <w:autoSpaceDE/>
              <w:autoSpaceDN/>
              <w:adjustRightInd/>
              <w:rPr>
                <w:rFonts w:asciiTheme="majorHAnsi" w:hAnsiTheme="majorHAnsi" w:cs="Calibri"/>
                <w:color w:val="000000"/>
              </w:rPr>
            </w:pPr>
            <w:r w:rsidRPr="00582ECD">
              <w:rPr>
                <w:rFonts w:asciiTheme="majorHAnsi" w:hAnsiTheme="majorHAnsi"/>
                <w:color w:val="000000"/>
              </w:rPr>
              <w:t>Ghana</w:t>
            </w:r>
          </w:p>
        </w:tc>
        <w:tc>
          <w:tcPr>
            <w:tcW w:w="3861" w:type="pct"/>
            <w:tcBorders>
              <w:top w:val="nil"/>
              <w:left w:val="nil"/>
              <w:bottom w:val="single" w:sz="8" w:space="0" w:color="auto"/>
              <w:right w:val="single" w:sz="8" w:space="0" w:color="auto"/>
            </w:tcBorders>
            <w:vAlign w:val="center"/>
            <w:hideMark/>
          </w:tcPr>
          <w:p w14:paraId="0A8F6A61" w14:textId="7735360D" w:rsidR="00CC2541" w:rsidRPr="00582ECD" w:rsidRDefault="005368D3" w:rsidP="00505320">
            <w:pPr>
              <w:widowControl/>
              <w:autoSpaceDE/>
              <w:autoSpaceDN/>
              <w:adjustRightInd/>
              <w:jc w:val="both"/>
              <w:rPr>
                <w:rFonts w:asciiTheme="majorHAnsi" w:hAnsiTheme="majorHAnsi" w:cs="Calibri"/>
                <w:color w:val="000000"/>
              </w:rPr>
            </w:pPr>
            <w:r w:rsidRPr="00582ECD">
              <w:rPr>
                <w:rFonts w:asciiTheme="majorHAnsi" w:hAnsiTheme="majorHAnsi"/>
                <w:color w:val="000000"/>
              </w:rPr>
              <w:t>La GHA exploite une pêcherie de thonidés tropicaux. Toutes les captures de thonidés sont déclarées dans le cadre des tâches 1 et 2.</w:t>
            </w:r>
          </w:p>
        </w:tc>
      </w:tr>
      <w:tr w:rsidR="00CC2541" w:rsidRPr="00582ECD" w14:paraId="78250E72" w14:textId="77777777" w:rsidTr="006D1FBF">
        <w:tc>
          <w:tcPr>
            <w:tcW w:w="1139" w:type="pct"/>
            <w:tcBorders>
              <w:top w:val="nil"/>
              <w:left w:val="single" w:sz="8" w:space="0" w:color="auto"/>
              <w:bottom w:val="single" w:sz="4" w:space="0" w:color="auto"/>
              <w:right w:val="single" w:sz="8" w:space="0" w:color="auto"/>
            </w:tcBorders>
            <w:noWrap/>
            <w:vAlign w:val="center"/>
            <w:hideMark/>
          </w:tcPr>
          <w:p w14:paraId="438BC4BA" w14:textId="0A3ABD13" w:rsidR="00CC2541" w:rsidRPr="00582ECD" w:rsidRDefault="005368D3" w:rsidP="00505320">
            <w:pPr>
              <w:widowControl/>
              <w:autoSpaceDE/>
              <w:autoSpaceDN/>
              <w:adjustRightInd/>
              <w:rPr>
                <w:rFonts w:asciiTheme="majorHAnsi" w:hAnsiTheme="majorHAnsi" w:cs="Calibri"/>
                <w:color w:val="000000"/>
              </w:rPr>
            </w:pPr>
            <w:r w:rsidRPr="00582ECD">
              <w:rPr>
                <w:rFonts w:asciiTheme="majorHAnsi" w:hAnsiTheme="majorHAnsi"/>
                <w:color w:val="000000"/>
              </w:rPr>
              <w:t>Grenade</w:t>
            </w:r>
          </w:p>
        </w:tc>
        <w:tc>
          <w:tcPr>
            <w:tcW w:w="3861" w:type="pct"/>
            <w:tcBorders>
              <w:top w:val="nil"/>
              <w:left w:val="nil"/>
              <w:bottom w:val="single" w:sz="4" w:space="0" w:color="auto"/>
              <w:right w:val="single" w:sz="8" w:space="0" w:color="auto"/>
            </w:tcBorders>
            <w:vAlign w:val="center"/>
            <w:hideMark/>
          </w:tcPr>
          <w:p w14:paraId="6406E8FD" w14:textId="44619DFA" w:rsidR="00CC2541" w:rsidRPr="00582ECD" w:rsidRDefault="005368D3" w:rsidP="00505320">
            <w:pPr>
              <w:widowControl/>
              <w:autoSpaceDE/>
              <w:autoSpaceDN/>
              <w:adjustRightInd/>
              <w:jc w:val="both"/>
              <w:rPr>
                <w:rFonts w:asciiTheme="majorHAnsi" w:hAnsiTheme="majorHAnsi"/>
              </w:rPr>
            </w:pPr>
            <w:r w:rsidRPr="00582ECD">
              <w:rPr>
                <w:rFonts w:asciiTheme="majorHAnsi" w:hAnsiTheme="majorHAnsi"/>
              </w:rPr>
              <w:t>La Grenade ne pratique pas la pêche à la senne, et aucune prise accessoire de thonidés tropicaux n'a été signalée au cours de la période considérée. Toutefois, d'après la tâche 1, les quantités de prises nominales déclarées (pour lesquelles les données relatives à BET et SKJ sont enregistrées et communiquées)</w:t>
            </w:r>
          </w:p>
        </w:tc>
      </w:tr>
      <w:tr w:rsidR="00CC2541" w:rsidRPr="00582ECD" w14:paraId="46157D64" w14:textId="77777777" w:rsidTr="006D1FBF">
        <w:trPr>
          <w:trHeight w:val="75"/>
        </w:trPr>
        <w:tc>
          <w:tcPr>
            <w:tcW w:w="1139" w:type="pct"/>
            <w:tcBorders>
              <w:top w:val="single" w:sz="4" w:space="0" w:color="auto"/>
              <w:left w:val="single" w:sz="4" w:space="0" w:color="auto"/>
              <w:bottom w:val="single" w:sz="4" w:space="0" w:color="auto"/>
              <w:right w:val="single" w:sz="4" w:space="0" w:color="auto"/>
            </w:tcBorders>
            <w:noWrap/>
            <w:vAlign w:val="center"/>
            <w:hideMark/>
          </w:tcPr>
          <w:p w14:paraId="40A811C4" w14:textId="6FF65071" w:rsidR="00CC2541" w:rsidRPr="00582ECD" w:rsidRDefault="005368D3" w:rsidP="00505320">
            <w:pPr>
              <w:widowControl/>
              <w:autoSpaceDE/>
              <w:autoSpaceDN/>
              <w:adjustRightInd/>
              <w:rPr>
                <w:rFonts w:asciiTheme="majorHAnsi" w:hAnsiTheme="majorHAnsi" w:cs="Calibri"/>
                <w:color w:val="000000"/>
              </w:rPr>
            </w:pPr>
            <w:r w:rsidRPr="00582ECD">
              <w:rPr>
                <w:rFonts w:asciiTheme="majorHAnsi" w:hAnsiTheme="majorHAnsi"/>
                <w:color w:val="000000"/>
              </w:rPr>
              <w:t>République de Guinée</w:t>
            </w:r>
          </w:p>
        </w:tc>
        <w:tc>
          <w:tcPr>
            <w:tcW w:w="3861" w:type="pct"/>
            <w:tcBorders>
              <w:top w:val="single" w:sz="4" w:space="0" w:color="auto"/>
              <w:left w:val="single" w:sz="4" w:space="0" w:color="auto"/>
              <w:bottom w:val="single" w:sz="4" w:space="0" w:color="auto"/>
              <w:right w:val="single" w:sz="4" w:space="0" w:color="auto"/>
            </w:tcBorders>
            <w:vAlign w:val="center"/>
            <w:hideMark/>
          </w:tcPr>
          <w:p w14:paraId="0ABE6AD7" w14:textId="5778E9F9" w:rsidR="00CC2541" w:rsidRPr="00582ECD" w:rsidRDefault="005368D3" w:rsidP="00505320">
            <w:pPr>
              <w:jc w:val="both"/>
              <w:rPr>
                <w:rFonts w:asciiTheme="majorHAnsi" w:hAnsiTheme="majorHAnsi" w:cs="Calibri"/>
                <w:color w:val="000000"/>
              </w:rPr>
            </w:pPr>
            <w:r w:rsidRPr="00582ECD">
              <w:rPr>
                <w:rFonts w:asciiTheme="majorHAnsi" w:hAnsiTheme="majorHAnsi"/>
                <w:color w:val="000000"/>
              </w:rPr>
              <w:t>2639,7 tonnes avec 2595,2 tonnes débarqués par la pêche artisanale et 27,3 tonnes pour la pêche semi-industrielle et 17,08 tonne comme prise accessoire des navires de la pêche industrielle (autres licences de pêche) / SCRS/2026/081, Mai 206.</w:t>
            </w:r>
          </w:p>
        </w:tc>
      </w:tr>
      <w:tr w:rsidR="005368D3" w:rsidRPr="00582ECD" w14:paraId="2FF4C536" w14:textId="77777777" w:rsidTr="006D1FBF">
        <w:trPr>
          <w:trHeight w:val="75"/>
        </w:trPr>
        <w:tc>
          <w:tcPr>
            <w:tcW w:w="1139" w:type="pct"/>
            <w:tcBorders>
              <w:top w:val="single" w:sz="4" w:space="0" w:color="auto"/>
              <w:left w:val="single" w:sz="4" w:space="0" w:color="auto"/>
              <w:bottom w:val="single" w:sz="4" w:space="0" w:color="auto"/>
              <w:right w:val="single" w:sz="4" w:space="0" w:color="auto"/>
            </w:tcBorders>
            <w:noWrap/>
            <w:vAlign w:val="center"/>
          </w:tcPr>
          <w:p w14:paraId="1D9E8273" w14:textId="03E71AD4" w:rsidR="005368D3" w:rsidRPr="00582ECD" w:rsidRDefault="005368D3" w:rsidP="00505320">
            <w:pPr>
              <w:widowControl/>
              <w:autoSpaceDE/>
              <w:autoSpaceDN/>
              <w:adjustRightInd/>
              <w:rPr>
                <w:rFonts w:asciiTheme="majorHAnsi" w:hAnsiTheme="majorHAnsi" w:cs="Calibri"/>
                <w:color w:val="000000"/>
              </w:rPr>
            </w:pPr>
            <w:r w:rsidRPr="00582ECD">
              <w:rPr>
                <w:rFonts w:asciiTheme="majorHAnsi" w:hAnsiTheme="majorHAnsi"/>
                <w:color w:val="000000"/>
              </w:rPr>
              <w:t>Maroc</w:t>
            </w:r>
          </w:p>
        </w:tc>
        <w:tc>
          <w:tcPr>
            <w:tcW w:w="3861" w:type="pct"/>
            <w:tcBorders>
              <w:top w:val="single" w:sz="4" w:space="0" w:color="auto"/>
              <w:left w:val="single" w:sz="4" w:space="0" w:color="auto"/>
              <w:bottom w:val="single" w:sz="4" w:space="0" w:color="auto"/>
              <w:right w:val="single" w:sz="4" w:space="0" w:color="auto"/>
            </w:tcBorders>
            <w:vAlign w:val="center"/>
          </w:tcPr>
          <w:p w14:paraId="64FF4486" w14:textId="44BE9CC1" w:rsidR="005368D3" w:rsidRPr="00582ECD" w:rsidRDefault="005368D3" w:rsidP="00505320">
            <w:pPr>
              <w:jc w:val="both"/>
              <w:rPr>
                <w:rFonts w:asciiTheme="majorHAnsi" w:hAnsiTheme="majorHAnsi" w:cs="Calibri"/>
                <w:color w:val="000000"/>
              </w:rPr>
            </w:pPr>
            <w:r w:rsidRPr="00582ECD">
              <w:rPr>
                <w:rFonts w:asciiTheme="majorHAnsi" w:hAnsiTheme="majorHAnsi"/>
                <w:color w:val="000000"/>
              </w:rPr>
              <w:t>La quantité totale des thonidés capturés comme prise accessoire en 2026 (jusqu'au septembre 2026) est 25 tonnes</w:t>
            </w:r>
          </w:p>
        </w:tc>
      </w:tr>
      <w:tr w:rsidR="005368D3" w:rsidRPr="00582ECD" w14:paraId="2B1A4404" w14:textId="77777777" w:rsidTr="005368D3">
        <w:trPr>
          <w:trHeight w:val="75"/>
        </w:trPr>
        <w:tc>
          <w:tcPr>
            <w:tcW w:w="1139" w:type="pct"/>
            <w:tcBorders>
              <w:top w:val="single" w:sz="4" w:space="0" w:color="auto"/>
              <w:left w:val="single" w:sz="4" w:space="0" w:color="auto"/>
              <w:bottom w:val="single" w:sz="4" w:space="0" w:color="auto"/>
              <w:right w:val="single" w:sz="4" w:space="0" w:color="auto"/>
            </w:tcBorders>
            <w:noWrap/>
            <w:vAlign w:val="center"/>
          </w:tcPr>
          <w:p w14:paraId="6C0E3C1F" w14:textId="462AB57E" w:rsidR="005368D3" w:rsidRPr="00582ECD" w:rsidRDefault="005368D3" w:rsidP="00505320">
            <w:pPr>
              <w:widowControl/>
              <w:autoSpaceDE/>
              <w:autoSpaceDN/>
              <w:adjustRightInd/>
              <w:rPr>
                <w:rFonts w:asciiTheme="majorHAnsi" w:hAnsiTheme="majorHAnsi" w:cs="Calibri"/>
                <w:color w:val="000000"/>
              </w:rPr>
            </w:pPr>
            <w:r w:rsidRPr="00582ECD">
              <w:rPr>
                <w:rFonts w:asciiTheme="majorHAnsi" w:hAnsiTheme="majorHAnsi"/>
                <w:color w:val="000000"/>
              </w:rPr>
              <w:t>Russie</w:t>
            </w:r>
          </w:p>
        </w:tc>
        <w:tc>
          <w:tcPr>
            <w:tcW w:w="3861" w:type="pct"/>
            <w:tcBorders>
              <w:top w:val="single" w:sz="4" w:space="0" w:color="auto"/>
              <w:left w:val="single" w:sz="4" w:space="0" w:color="auto"/>
              <w:bottom w:val="single" w:sz="4" w:space="0" w:color="auto"/>
              <w:right w:val="single" w:sz="4" w:space="0" w:color="auto"/>
            </w:tcBorders>
            <w:vAlign w:val="center"/>
          </w:tcPr>
          <w:p w14:paraId="7925682B" w14:textId="7A49EE25" w:rsidR="005368D3" w:rsidRPr="00582ECD" w:rsidRDefault="005368D3" w:rsidP="00505320">
            <w:pPr>
              <w:jc w:val="both"/>
              <w:rPr>
                <w:rFonts w:asciiTheme="majorHAnsi" w:hAnsiTheme="majorHAnsi" w:cs="Calibri"/>
                <w:color w:val="000000"/>
              </w:rPr>
            </w:pPr>
            <w:r w:rsidRPr="00582ECD">
              <w:rPr>
                <w:rFonts w:asciiTheme="majorHAnsi" w:hAnsiTheme="majorHAnsi"/>
                <w:color w:val="000000"/>
              </w:rPr>
              <w:t>Il n'existe pas de pêche russe spécialisée dans le thon. Des thonidés mineurs se retrouvent parmi les prises accessoires des chaluts. En 2025, 28 kg de SKJ ont été pêchés.</w:t>
            </w:r>
          </w:p>
        </w:tc>
      </w:tr>
      <w:tr w:rsidR="005368D3" w:rsidRPr="00582ECD" w14:paraId="31DCABE0" w14:textId="77777777" w:rsidTr="005368D3">
        <w:trPr>
          <w:trHeight w:val="75"/>
        </w:trPr>
        <w:tc>
          <w:tcPr>
            <w:tcW w:w="1139" w:type="pct"/>
            <w:tcBorders>
              <w:top w:val="single" w:sz="4" w:space="0" w:color="auto"/>
              <w:left w:val="single" w:sz="4" w:space="0" w:color="auto"/>
              <w:bottom w:val="single" w:sz="4" w:space="0" w:color="auto"/>
              <w:right w:val="single" w:sz="4" w:space="0" w:color="auto"/>
            </w:tcBorders>
            <w:noWrap/>
            <w:vAlign w:val="center"/>
          </w:tcPr>
          <w:p w14:paraId="05784D24" w14:textId="120B3BC1" w:rsidR="005368D3" w:rsidRPr="00582ECD" w:rsidRDefault="005368D3" w:rsidP="00505320">
            <w:pPr>
              <w:widowControl/>
              <w:autoSpaceDE/>
              <w:autoSpaceDN/>
              <w:adjustRightInd/>
              <w:rPr>
                <w:rFonts w:asciiTheme="majorHAnsi" w:hAnsiTheme="majorHAnsi" w:cs="Calibri"/>
                <w:color w:val="000000"/>
              </w:rPr>
            </w:pPr>
            <w:r w:rsidRPr="00582ECD">
              <w:rPr>
                <w:rFonts w:asciiTheme="majorHAnsi" w:hAnsiTheme="majorHAnsi"/>
                <w:color w:val="000000"/>
              </w:rPr>
              <w:t>Türkiye</w:t>
            </w:r>
          </w:p>
        </w:tc>
        <w:tc>
          <w:tcPr>
            <w:tcW w:w="3861" w:type="pct"/>
            <w:tcBorders>
              <w:top w:val="single" w:sz="4" w:space="0" w:color="auto"/>
              <w:left w:val="single" w:sz="4" w:space="0" w:color="auto"/>
              <w:bottom w:val="single" w:sz="4" w:space="0" w:color="auto"/>
              <w:right w:val="single" w:sz="4" w:space="0" w:color="auto"/>
            </w:tcBorders>
            <w:vAlign w:val="center"/>
          </w:tcPr>
          <w:p w14:paraId="733420D6" w14:textId="13DCC7BE" w:rsidR="005368D3" w:rsidRPr="00582ECD" w:rsidRDefault="005368D3" w:rsidP="00505320">
            <w:pPr>
              <w:jc w:val="both"/>
              <w:rPr>
                <w:rFonts w:asciiTheme="majorHAnsi" w:hAnsiTheme="majorHAnsi" w:cs="Calibri"/>
                <w:color w:val="000000"/>
              </w:rPr>
            </w:pPr>
            <w:r w:rsidRPr="00582ECD">
              <w:rPr>
                <w:rFonts w:asciiTheme="majorHAnsi" w:hAnsiTheme="majorHAnsi"/>
                <w:color w:val="000000"/>
              </w:rPr>
              <w:t>Non applicable. Aucune espèce de thonidés tropicaux n'a été capturée en tant que prise accessoire. Quantité totale de SKJ capturé, transmise via le fichier ST02-T1NC_TUR2025.xlsx.</w:t>
            </w:r>
          </w:p>
        </w:tc>
      </w:tr>
      <w:tr w:rsidR="005368D3" w:rsidRPr="00582ECD" w14:paraId="0584C277" w14:textId="77777777" w:rsidTr="005368D3">
        <w:trPr>
          <w:trHeight w:val="75"/>
        </w:trPr>
        <w:tc>
          <w:tcPr>
            <w:tcW w:w="1139" w:type="pct"/>
            <w:tcBorders>
              <w:top w:val="single" w:sz="4" w:space="0" w:color="auto"/>
              <w:left w:val="single" w:sz="4" w:space="0" w:color="auto"/>
              <w:bottom w:val="single" w:sz="4" w:space="0" w:color="auto"/>
              <w:right w:val="single" w:sz="4" w:space="0" w:color="auto"/>
            </w:tcBorders>
            <w:noWrap/>
            <w:vAlign w:val="center"/>
          </w:tcPr>
          <w:p w14:paraId="375D816D" w14:textId="29927337" w:rsidR="005368D3" w:rsidRPr="00582ECD" w:rsidRDefault="005368D3" w:rsidP="00505320">
            <w:pPr>
              <w:widowControl/>
              <w:autoSpaceDE/>
              <w:autoSpaceDN/>
              <w:adjustRightInd/>
              <w:rPr>
                <w:rFonts w:asciiTheme="majorHAnsi" w:hAnsiTheme="majorHAnsi" w:cs="Calibri"/>
                <w:color w:val="000000"/>
              </w:rPr>
            </w:pPr>
            <w:r w:rsidRPr="00582ECD">
              <w:rPr>
                <w:rFonts w:asciiTheme="majorHAnsi" w:hAnsiTheme="majorHAnsi"/>
                <w:color w:val="000000"/>
              </w:rPr>
              <w:t>Royaume-Uni</w:t>
            </w:r>
          </w:p>
        </w:tc>
        <w:tc>
          <w:tcPr>
            <w:tcW w:w="3861" w:type="pct"/>
            <w:tcBorders>
              <w:top w:val="single" w:sz="4" w:space="0" w:color="auto"/>
              <w:left w:val="single" w:sz="4" w:space="0" w:color="auto"/>
              <w:bottom w:val="single" w:sz="4" w:space="0" w:color="auto"/>
              <w:right w:val="single" w:sz="4" w:space="0" w:color="auto"/>
            </w:tcBorders>
            <w:vAlign w:val="center"/>
          </w:tcPr>
          <w:p w14:paraId="193AF2E4" w14:textId="7CDDBB42" w:rsidR="005368D3" w:rsidRPr="00582ECD" w:rsidRDefault="005368D3" w:rsidP="00505320">
            <w:pPr>
              <w:jc w:val="both"/>
              <w:rPr>
                <w:rFonts w:asciiTheme="majorHAnsi" w:hAnsiTheme="majorHAnsi" w:cs="Calibri"/>
                <w:color w:val="000000"/>
              </w:rPr>
            </w:pPr>
            <w:r w:rsidRPr="00582ECD">
              <w:rPr>
                <w:rFonts w:asciiTheme="majorHAnsi" w:hAnsiTheme="majorHAnsi"/>
                <w:color w:val="000000"/>
              </w:rPr>
              <w:t>En 2025, les Bermudes ont débarqué/pêché 569 kg de BET et 10 kg de SKJ en prises accessoires. Le Royaume-Uni et les îles Turques-et-Caïques n'ont pas débarqué d'espèces de thonidés tropicaux en 2025. L'ensemble des débarquements d'espèces de thonidés tropicaux à Sainte-Hélène et dans les Îles Vierges britanniques a été ciblé.</w:t>
            </w:r>
          </w:p>
        </w:tc>
      </w:tr>
    </w:tbl>
    <w:p w14:paraId="41784383" w14:textId="77777777" w:rsidR="00CC2541" w:rsidRPr="00582ECD" w:rsidRDefault="00CC2541" w:rsidP="00CC2541">
      <w:pPr>
        <w:jc w:val="both"/>
        <w:rPr>
          <w:rFonts w:asciiTheme="majorHAnsi" w:hAnsiTheme="majorHAnsi" w:cs="Calibri"/>
          <w:color w:val="000000"/>
        </w:rPr>
      </w:pPr>
    </w:p>
    <w:p w14:paraId="0DCBFF33" w14:textId="4F7FCDF0" w:rsidR="00E43E02" w:rsidRPr="00582ECD" w:rsidRDefault="0019560F" w:rsidP="00366A78">
      <w:pPr>
        <w:tabs>
          <w:tab w:val="left" w:pos="1276"/>
          <w:tab w:val="left" w:pos="1418"/>
          <w:tab w:val="left" w:leader="dot" w:pos="8222"/>
          <w:tab w:val="right" w:pos="8647"/>
        </w:tabs>
        <w:jc w:val="both"/>
        <w:rPr>
          <w:rFonts w:asciiTheme="majorHAnsi" w:hAnsiTheme="majorHAnsi" w:cs="Calibri"/>
          <w:color w:val="000000"/>
        </w:rPr>
      </w:pPr>
      <w:r w:rsidRPr="00582ECD">
        <w:rPr>
          <w:rFonts w:asciiTheme="majorHAnsi" w:hAnsiTheme="majorHAnsi"/>
          <w:color w:val="000000"/>
        </w:rPr>
        <w:t xml:space="preserve">Il convient de noter que le tableau ci-dessus ne présente que </w:t>
      </w:r>
      <w:r>
        <w:rPr>
          <w:rFonts w:asciiTheme="majorHAnsi" w:hAnsiTheme="majorHAnsi"/>
          <w:color w:val="000000"/>
        </w:rPr>
        <w:t>les CPC</w:t>
      </w:r>
      <w:r w:rsidRPr="00582ECD">
        <w:rPr>
          <w:rFonts w:asciiTheme="majorHAnsi" w:hAnsiTheme="majorHAnsi"/>
          <w:color w:val="000000"/>
        </w:rPr>
        <w:t xml:space="preserve"> ayant indiqué</w:t>
      </w:r>
      <w:r w:rsidR="00CC2541" w:rsidRPr="00582ECD">
        <w:rPr>
          <w:rFonts w:asciiTheme="majorHAnsi" w:hAnsiTheme="majorHAnsi"/>
          <w:color w:val="000000"/>
        </w:rPr>
        <w:t xml:space="preserve"> un chiffre précis, une référence à celui-ci ou à tout document dans lequel ces chiffres figuraient. Dans de nombreux cas, aucune donnée n’est fournie car tous les navires concernés disposent d'une licence et/ou les prises accessoires ne sont pas autorisées. </w:t>
      </w:r>
      <w:r w:rsidR="00CC2541" w:rsidRPr="00582ECD">
        <w:rPr>
          <w:rFonts w:asciiTheme="majorHAnsi" w:hAnsiTheme="majorHAnsi"/>
        </w:rPr>
        <w:t>Toutefois, certaines des réponses concernant la quantité totale de thonidés tropicaux capturés en tant que prises accessoires au cours de l'année déclarée sont incohérentes, les CPC n'ayant pas lu ou compris l'exigence.</w:t>
      </w:r>
      <w:r w:rsidR="00CC2541" w:rsidRPr="00582ECD">
        <w:rPr>
          <w:rFonts w:asciiTheme="majorHAnsi" w:hAnsiTheme="majorHAnsi"/>
          <w:color w:val="000000"/>
        </w:rPr>
        <w:t xml:space="preserve"> Dans plusieurs cas, des réponses non pertinentes sont fournies, par exemple : il n’y a pas de pêcherie ciblant cette espèce, il n’y a pas de navires sous pavillon de </w:t>
      </w:r>
      <w:r w:rsidR="00F549E4" w:rsidRPr="00582ECD">
        <w:rPr>
          <w:rFonts w:asciiTheme="majorHAnsi" w:hAnsiTheme="majorHAnsi"/>
          <w:color w:val="000000"/>
        </w:rPr>
        <w:t xml:space="preserve">XX </w:t>
      </w:r>
      <w:r w:rsidR="00CC2541" w:rsidRPr="00582ECD">
        <w:rPr>
          <w:rFonts w:asciiTheme="majorHAnsi" w:hAnsiTheme="majorHAnsi"/>
          <w:color w:val="000000"/>
        </w:rPr>
        <w:t>pêchant cette espèce.</w:t>
      </w:r>
    </w:p>
    <w:p w14:paraId="2CF40A00" w14:textId="77777777" w:rsidR="00EE760B" w:rsidRPr="00582ECD" w:rsidRDefault="00EE760B" w:rsidP="00366A78">
      <w:pPr>
        <w:tabs>
          <w:tab w:val="left" w:pos="1276"/>
          <w:tab w:val="left" w:pos="1418"/>
          <w:tab w:val="left" w:leader="dot" w:pos="8222"/>
          <w:tab w:val="right" w:pos="8647"/>
        </w:tabs>
        <w:jc w:val="both"/>
        <w:rPr>
          <w:rFonts w:asciiTheme="majorHAnsi" w:hAnsiTheme="majorHAnsi" w:cs="Calibri"/>
          <w:color w:val="000000"/>
        </w:rPr>
      </w:pPr>
    </w:p>
    <w:p w14:paraId="2F126798" w14:textId="77777777" w:rsidR="00005EA9" w:rsidRPr="00582ECD" w:rsidRDefault="00005EA9">
      <w:pPr>
        <w:widowControl/>
        <w:autoSpaceDE/>
        <w:autoSpaceDN/>
        <w:adjustRightInd/>
        <w:rPr>
          <w:rFonts w:asciiTheme="majorHAnsi" w:hAnsiTheme="majorHAnsi"/>
          <w:i/>
        </w:rPr>
      </w:pPr>
      <w:r w:rsidRPr="00582ECD">
        <w:rPr>
          <w:rFonts w:asciiTheme="majorHAnsi" w:hAnsiTheme="majorHAnsi"/>
          <w:i/>
        </w:rPr>
        <w:br w:type="page"/>
      </w:r>
    </w:p>
    <w:p w14:paraId="660A0E68" w14:textId="34BC18DB" w:rsidR="00E43E02" w:rsidRPr="00582ECD" w:rsidRDefault="00E43E02" w:rsidP="00E43E02">
      <w:pPr>
        <w:tabs>
          <w:tab w:val="left" w:pos="1276"/>
          <w:tab w:val="left" w:pos="1418"/>
          <w:tab w:val="left" w:leader="dot" w:pos="8222"/>
          <w:tab w:val="right" w:pos="8647"/>
        </w:tabs>
        <w:jc w:val="both"/>
        <w:rPr>
          <w:rFonts w:asciiTheme="majorHAnsi" w:hAnsiTheme="majorHAnsi" w:cs="Calibri"/>
          <w:i/>
          <w:iCs/>
          <w:color w:val="000000"/>
        </w:rPr>
      </w:pPr>
      <w:r w:rsidRPr="00582ECD">
        <w:rPr>
          <w:rFonts w:asciiTheme="majorHAnsi" w:hAnsiTheme="majorHAnsi"/>
          <w:i/>
        </w:rPr>
        <w:lastRenderedPageBreak/>
        <w:t>Limite maximale de prises accessoires par sortie autorisée par la CPC par stock pour la prochaine année de pêche</w:t>
      </w:r>
    </w:p>
    <w:tbl>
      <w:tblPr>
        <w:tblW w:w="5000" w:type="pct"/>
        <w:tblLook w:val="04A0" w:firstRow="1" w:lastRow="0" w:firstColumn="1" w:lastColumn="0" w:noHBand="0" w:noVBand="1"/>
      </w:tblPr>
      <w:tblGrid>
        <w:gridCol w:w="1550"/>
        <w:gridCol w:w="7505"/>
      </w:tblGrid>
      <w:tr w:rsidR="00E43E02" w:rsidRPr="00582ECD" w14:paraId="64800F22" w14:textId="77777777" w:rsidTr="00505320">
        <w:tc>
          <w:tcPr>
            <w:tcW w:w="856" w:type="pct"/>
            <w:tcBorders>
              <w:top w:val="single" w:sz="8" w:space="0" w:color="auto"/>
              <w:left w:val="single" w:sz="8" w:space="0" w:color="auto"/>
              <w:bottom w:val="single" w:sz="8" w:space="0" w:color="auto"/>
              <w:right w:val="single" w:sz="8" w:space="0" w:color="auto"/>
            </w:tcBorders>
            <w:noWrap/>
            <w:vAlign w:val="center"/>
            <w:hideMark/>
          </w:tcPr>
          <w:p w14:paraId="2AD7A58B" w14:textId="77777777" w:rsidR="00E43E02" w:rsidRPr="00582ECD" w:rsidRDefault="00E43E02" w:rsidP="00505320">
            <w:pPr>
              <w:widowControl/>
              <w:autoSpaceDE/>
              <w:autoSpaceDN/>
              <w:adjustRightInd/>
              <w:jc w:val="center"/>
              <w:rPr>
                <w:rFonts w:asciiTheme="majorHAnsi" w:hAnsiTheme="majorHAnsi" w:cs="Calibri"/>
                <w:i/>
                <w:iCs/>
                <w:color w:val="000000"/>
              </w:rPr>
            </w:pPr>
            <w:r w:rsidRPr="00582ECD">
              <w:rPr>
                <w:rFonts w:asciiTheme="majorHAnsi" w:hAnsiTheme="majorHAnsi"/>
                <w:i/>
                <w:color w:val="000000"/>
              </w:rPr>
              <w:t>CPC</w:t>
            </w:r>
          </w:p>
        </w:tc>
        <w:tc>
          <w:tcPr>
            <w:tcW w:w="4144" w:type="pct"/>
            <w:tcBorders>
              <w:top w:val="single" w:sz="8" w:space="0" w:color="auto"/>
              <w:left w:val="nil"/>
              <w:bottom w:val="single" w:sz="8" w:space="0" w:color="auto"/>
              <w:right w:val="single" w:sz="8" w:space="0" w:color="auto"/>
            </w:tcBorders>
            <w:vAlign w:val="center"/>
            <w:hideMark/>
          </w:tcPr>
          <w:p w14:paraId="2DF67F58" w14:textId="77777777" w:rsidR="00E43E02" w:rsidRPr="00582ECD" w:rsidRDefault="00E43E02" w:rsidP="00505320">
            <w:pPr>
              <w:widowControl/>
              <w:autoSpaceDE/>
              <w:autoSpaceDN/>
              <w:adjustRightInd/>
              <w:jc w:val="center"/>
              <w:rPr>
                <w:rFonts w:asciiTheme="majorHAnsi" w:hAnsiTheme="majorHAnsi" w:cs="Calibri"/>
                <w:i/>
                <w:iCs/>
                <w:color w:val="000000"/>
              </w:rPr>
            </w:pPr>
            <w:r w:rsidRPr="00582ECD">
              <w:rPr>
                <w:rFonts w:asciiTheme="majorHAnsi" w:hAnsiTheme="majorHAnsi"/>
                <w:i/>
                <w:color w:val="000000"/>
              </w:rPr>
              <w:t>Réponse</w:t>
            </w:r>
          </w:p>
        </w:tc>
      </w:tr>
      <w:tr w:rsidR="00E43E02" w:rsidRPr="00582ECD" w14:paraId="7840C358" w14:textId="77777777" w:rsidTr="00505320">
        <w:tc>
          <w:tcPr>
            <w:tcW w:w="856" w:type="pct"/>
            <w:tcBorders>
              <w:top w:val="nil"/>
              <w:left w:val="single" w:sz="8" w:space="0" w:color="auto"/>
              <w:bottom w:val="single" w:sz="8" w:space="0" w:color="auto"/>
              <w:right w:val="single" w:sz="8" w:space="0" w:color="auto"/>
            </w:tcBorders>
            <w:noWrap/>
            <w:vAlign w:val="center"/>
            <w:hideMark/>
          </w:tcPr>
          <w:p w14:paraId="1FD18616" w14:textId="584C1A82" w:rsidR="00E43E02" w:rsidRPr="00582ECD" w:rsidRDefault="00D21449" w:rsidP="00505320">
            <w:pPr>
              <w:widowControl/>
              <w:autoSpaceDE/>
              <w:autoSpaceDN/>
              <w:adjustRightInd/>
              <w:rPr>
                <w:rFonts w:asciiTheme="majorHAnsi" w:hAnsiTheme="majorHAnsi" w:cs="Calibri"/>
                <w:color w:val="000000"/>
              </w:rPr>
            </w:pPr>
            <w:r w:rsidRPr="00582ECD">
              <w:rPr>
                <w:rFonts w:asciiTheme="majorHAnsi" w:hAnsiTheme="majorHAnsi"/>
                <w:color w:val="000000"/>
              </w:rPr>
              <w:t>Ghana</w:t>
            </w:r>
          </w:p>
        </w:tc>
        <w:tc>
          <w:tcPr>
            <w:tcW w:w="4144" w:type="pct"/>
            <w:tcBorders>
              <w:top w:val="nil"/>
              <w:left w:val="nil"/>
              <w:bottom w:val="single" w:sz="8" w:space="0" w:color="auto"/>
              <w:right w:val="single" w:sz="8" w:space="0" w:color="auto"/>
            </w:tcBorders>
            <w:vAlign w:val="center"/>
            <w:hideMark/>
          </w:tcPr>
          <w:p w14:paraId="4411C1B3" w14:textId="7AA1C8EF" w:rsidR="00E43E02" w:rsidRPr="00582ECD" w:rsidRDefault="00D21449" w:rsidP="00505320">
            <w:pPr>
              <w:widowControl/>
              <w:autoSpaceDE/>
              <w:autoSpaceDN/>
              <w:adjustRightInd/>
              <w:jc w:val="both"/>
              <w:rPr>
                <w:rFonts w:asciiTheme="majorHAnsi" w:hAnsiTheme="majorHAnsi" w:cs="Calibri"/>
                <w:color w:val="000000"/>
              </w:rPr>
            </w:pPr>
            <w:r w:rsidRPr="00582ECD">
              <w:rPr>
                <w:rFonts w:asciiTheme="majorHAnsi" w:hAnsiTheme="majorHAnsi"/>
                <w:color w:val="000000"/>
              </w:rPr>
              <w:t>15% du TJB du navire</w:t>
            </w:r>
          </w:p>
        </w:tc>
      </w:tr>
      <w:tr w:rsidR="00E43E02" w:rsidRPr="00582ECD" w14:paraId="78343B2A" w14:textId="77777777" w:rsidTr="00505320">
        <w:tc>
          <w:tcPr>
            <w:tcW w:w="856" w:type="pct"/>
            <w:tcBorders>
              <w:top w:val="nil"/>
              <w:left w:val="single" w:sz="8" w:space="0" w:color="auto"/>
              <w:bottom w:val="single" w:sz="8" w:space="0" w:color="auto"/>
              <w:right w:val="single" w:sz="8" w:space="0" w:color="auto"/>
            </w:tcBorders>
            <w:noWrap/>
            <w:vAlign w:val="center"/>
            <w:hideMark/>
          </w:tcPr>
          <w:p w14:paraId="67930692" w14:textId="2BA6859E" w:rsidR="00E43E02" w:rsidRPr="00582ECD" w:rsidRDefault="00D21449" w:rsidP="00505320">
            <w:pPr>
              <w:widowControl/>
              <w:autoSpaceDE/>
              <w:autoSpaceDN/>
              <w:adjustRightInd/>
              <w:rPr>
                <w:rFonts w:asciiTheme="majorHAnsi" w:hAnsiTheme="majorHAnsi" w:cs="Calibri"/>
                <w:color w:val="000000"/>
              </w:rPr>
            </w:pPr>
            <w:r w:rsidRPr="00582ECD">
              <w:rPr>
                <w:rFonts w:asciiTheme="majorHAnsi" w:hAnsiTheme="majorHAnsi"/>
                <w:color w:val="000000"/>
              </w:rPr>
              <w:t>Maroc</w:t>
            </w:r>
          </w:p>
        </w:tc>
        <w:tc>
          <w:tcPr>
            <w:tcW w:w="4144" w:type="pct"/>
            <w:tcBorders>
              <w:top w:val="nil"/>
              <w:left w:val="nil"/>
              <w:bottom w:val="single" w:sz="8" w:space="0" w:color="auto"/>
              <w:right w:val="single" w:sz="8" w:space="0" w:color="auto"/>
            </w:tcBorders>
            <w:vAlign w:val="center"/>
            <w:hideMark/>
          </w:tcPr>
          <w:p w14:paraId="0E6FF5C5" w14:textId="15B741B4" w:rsidR="00E43E02" w:rsidRPr="00582ECD" w:rsidRDefault="00A57088" w:rsidP="00505320">
            <w:pPr>
              <w:widowControl/>
              <w:autoSpaceDE/>
              <w:autoSpaceDN/>
              <w:adjustRightInd/>
              <w:jc w:val="both"/>
              <w:rPr>
                <w:rFonts w:asciiTheme="majorHAnsi" w:hAnsiTheme="majorHAnsi" w:cs="Calibri"/>
                <w:color w:val="000000"/>
              </w:rPr>
            </w:pPr>
            <w:r w:rsidRPr="00582ECD">
              <w:rPr>
                <w:rFonts w:asciiTheme="majorHAnsi" w:hAnsiTheme="majorHAnsi"/>
                <w:color w:val="000000"/>
              </w:rPr>
              <w:t>Le Maroc a fixé à 5 % la limite maximale des prises accessoires.</w:t>
            </w:r>
          </w:p>
        </w:tc>
      </w:tr>
      <w:tr w:rsidR="00E43E02" w:rsidRPr="00582ECD" w14:paraId="091788BB" w14:textId="77777777" w:rsidTr="00505320">
        <w:tc>
          <w:tcPr>
            <w:tcW w:w="856" w:type="pct"/>
            <w:tcBorders>
              <w:top w:val="nil"/>
              <w:left w:val="single" w:sz="8" w:space="0" w:color="auto"/>
              <w:bottom w:val="single" w:sz="4" w:space="0" w:color="auto"/>
              <w:right w:val="single" w:sz="8" w:space="0" w:color="auto"/>
            </w:tcBorders>
            <w:noWrap/>
            <w:vAlign w:val="center"/>
            <w:hideMark/>
          </w:tcPr>
          <w:p w14:paraId="06CEA7BB" w14:textId="6728949B" w:rsidR="00E43E02" w:rsidRPr="00582ECD" w:rsidRDefault="00D21449" w:rsidP="00505320">
            <w:pPr>
              <w:widowControl/>
              <w:autoSpaceDE/>
              <w:autoSpaceDN/>
              <w:adjustRightInd/>
              <w:rPr>
                <w:rFonts w:asciiTheme="majorHAnsi" w:hAnsiTheme="majorHAnsi" w:cs="Calibri"/>
                <w:color w:val="000000"/>
              </w:rPr>
            </w:pPr>
            <w:r w:rsidRPr="00582ECD">
              <w:rPr>
                <w:rFonts w:asciiTheme="majorHAnsi" w:hAnsiTheme="majorHAnsi"/>
                <w:color w:val="000000"/>
              </w:rPr>
              <w:t>Russie</w:t>
            </w:r>
          </w:p>
        </w:tc>
        <w:tc>
          <w:tcPr>
            <w:tcW w:w="4144" w:type="pct"/>
            <w:tcBorders>
              <w:top w:val="nil"/>
              <w:left w:val="nil"/>
              <w:bottom w:val="single" w:sz="4" w:space="0" w:color="auto"/>
              <w:right w:val="single" w:sz="8" w:space="0" w:color="auto"/>
            </w:tcBorders>
            <w:vAlign w:val="center"/>
            <w:hideMark/>
          </w:tcPr>
          <w:p w14:paraId="5AD43C54" w14:textId="4ADFB036" w:rsidR="00D21449" w:rsidRPr="00582ECD" w:rsidRDefault="00D21449" w:rsidP="00D21449">
            <w:pPr>
              <w:widowControl/>
              <w:autoSpaceDE/>
              <w:autoSpaceDN/>
              <w:adjustRightInd/>
              <w:jc w:val="both"/>
              <w:rPr>
                <w:rFonts w:asciiTheme="majorHAnsi" w:hAnsiTheme="majorHAnsi"/>
              </w:rPr>
            </w:pPr>
            <w:r w:rsidRPr="00582ECD">
              <w:rPr>
                <w:rFonts w:asciiTheme="majorHAnsi" w:hAnsiTheme="majorHAnsi"/>
              </w:rPr>
              <w:t xml:space="preserve">La limite maximale de prises accessoires de thonidés tropicaux par sortie à bord est fixée à 5 % au maximum par espèce pour les navires (non autorisés à pêcher les thonidés tropicaux) et </w:t>
            </w:r>
          </w:p>
          <w:p w14:paraId="410572F2" w14:textId="0A4AA65A" w:rsidR="00E43E02" w:rsidRPr="00582ECD" w:rsidRDefault="00D21449" w:rsidP="00D21449">
            <w:pPr>
              <w:widowControl/>
              <w:autoSpaceDE/>
              <w:autoSpaceDN/>
              <w:adjustRightInd/>
              <w:jc w:val="both"/>
              <w:rPr>
                <w:rFonts w:asciiTheme="majorHAnsi" w:hAnsiTheme="majorHAnsi"/>
              </w:rPr>
            </w:pPr>
            <w:r w:rsidRPr="00582ECD">
              <w:rPr>
                <w:rFonts w:asciiTheme="majorHAnsi" w:hAnsiTheme="majorHAnsi"/>
              </w:rPr>
              <w:t>les prises accessoires sont décomptées de la limite de capture (seuil de déclenchement) de 1.575 tonnes fixée pour le BET (Rec. 24-01)</w:t>
            </w:r>
          </w:p>
        </w:tc>
      </w:tr>
      <w:tr w:rsidR="00E43E02" w:rsidRPr="00582ECD" w14:paraId="00A4BD03" w14:textId="77777777" w:rsidTr="00505320">
        <w:trPr>
          <w:trHeight w:val="75"/>
        </w:trPr>
        <w:tc>
          <w:tcPr>
            <w:tcW w:w="856" w:type="pct"/>
            <w:tcBorders>
              <w:top w:val="single" w:sz="4" w:space="0" w:color="auto"/>
              <w:left w:val="single" w:sz="4" w:space="0" w:color="auto"/>
              <w:bottom w:val="single" w:sz="4" w:space="0" w:color="auto"/>
              <w:right w:val="single" w:sz="4" w:space="0" w:color="auto"/>
            </w:tcBorders>
            <w:noWrap/>
            <w:vAlign w:val="center"/>
            <w:hideMark/>
          </w:tcPr>
          <w:p w14:paraId="66E5271A" w14:textId="753E37C1" w:rsidR="00E43E02" w:rsidRPr="00582ECD" w:rsidRDefault="00D21449" w:rsidP="00505320">
            <w:pPr>
              <w:widowControl/>
              <w:autoSpaceDE/>
              <w:autoSpaceDN/>
              <w:adjustRightInd/>
              <w:rPr>
                <w:rFonts w:asciiTheme="majorHAnsi" w:hAnsiTheme="majorHAnsi" w:cs="Calibri"/>
                <w:color w:val="000000"/>
              </w:rPr>
            </w:pPr>
            <w:r w:rsidRPr="00582ECD">
              <w:rPr>
                <w:rFonts w:asciiTheme="majorHAnsi" w:hAnsiTheme="majorHAnsi"/>
                <w:color w:val="000000"/>
              </w:rPr>
              <w:t>Türkiye</w:t>
            </w:r>
          </w:p>
        </w:tc>
        <w:tc>
          <w:tcPr>
            <w:tcW w:w="4144" w:type="pct"/>
            <w:tcBorders>
              <w:top w:val="single" w:sz="4" w:space="0" w:color="auto"/>
              <w:left w:val="single" w:sz="4" w:space="0" w:color="auto"/>
              <w:bottom w:val="single" w:sz="4" w:space="0" w:color="auto"/>
              <w:right w:val="single" w:sz="4" w:space="0" w:color="auto"/>
            </w:tcBorders>
            <w:vAlign w:val="center"/>
            <w:hideMark/>
          </w:tcPr>
          <w:p w14:paraId="001A00FE" w14:textId="4B1BA3AF" w:rsidR="00E43E02" w:rsidRPr="00582ECD" w:rsidRDefault="00D21449" w:rsidP="00505320">
            <w:pPr>
              <w:jc w:val="both"/>
              <w:rPr>
                <w:rFonts w:asciiTheme="majorHAnsi" w:hAnsiTheme="majorHAnsi" w:cs="Calibri"/>
                <w:color w:val="000000"/>
              </w:rPr>
            </w:pPr>
            <w:r w:rsidRPr="00582ECD">
              <w:rPr>
                <w:rFonts w:asciiTheme="majorHAnsi" w:hAnsiTheme="majorHAnsi"/>
                <w:color w:val="000000"/>
              </w:rPr>
              <w:t xml:space="preserve">La notification 6/1 relative à la réglementation de la pêche commerciale (n° 2024/20), entrée en vigueur le 11 août 2024 et couvrant la période 2024-2028, impose aux navires ciblant le listao d'obtenir un permis de pêche spécial. La limite maximale de prises accessoires de listao à bord devra être mise en œuvre conformément à l'article 18 de la notification 6/1 relative à la réglementation de la pêche commerciale (n° 2024/20).  En conséquence, le niveau de la limite de prises accessoires de listao ne devra pas dépasser 5% du total des captures à bord à la fin de chaque sortie de pêche. Les prises accessoires devront être calculées par rapport au total des captures retenues à bord « en poids ».  Les carnets de pêche électroniques et les carnets de pêche reliés devront tous deux être utilisés pour consigner les données de capture. Les prises accessoires en question devront être comptabilisées dans le total des prises de listao de la </w:t>
            </w:r>
            <w:proofErr w:type="gramStart"/>
            <w:r w:rsidRPr="00582ECD">
              <w:rPr>
                <w:rFonts w:asciiTheme="majorHAnsi" w:hAnsiTheme="majorHAnsi"/>
                <w:color w:val="000000"/>
              </w:rPr>
              <w:t>Türkiye..</w:t>
            </w:r>
            <w:proofErr w:type="gramEnd"/>
          </w:p>
        </w:tc>
      </w:tr>
    </w:tbl>
    <w:p w14:paraId="4AF3BA10" w14:textId="77777777" w:rsidR="00E43E02" w:rsidRPr="00582ECD" w:rsidRDefault="00E43E02" w:rsidP="00E43E02">
      <w:pPr>
        <w:jc w:val="both"/>
        <w:rPr>
          <w:rFonts w:asciiTheme="majorHAnsi" w:hAnsiTheme="majorHAnsi" w:cs="Calibri"/>
          <w:color w:val="000000"/>
        </w:rPr>
      </w:pPr>
    </w:p>
    <w:p w14:paraId="0335D2D7" w14:textId="593BEAD3" w:rsidR="00E43E02" w:rsidRPr="00582ECD" w:rsidRDefault="00F809B7" w:rsidP="00E43E02">
      <w:pPr>
        <w:tabs>
          <w:tab w:val="left" w:pos="1276"/>
          <w:tab w:val="left" w:pos="1418"/>
          <w:tab w:val="left" w:leader="dot" w:pos="8222"/>
          <w:tab w:val="right" w:pos="8647"/>
        </w:tabs>
        <w:jc w:val="both"/>
        <w:rPr>
          <w:rFonts w:asciiTheme="majorHAnsi" w:hAnsiTheme="majorHAnsi"/>
          <w:b/>
        </w:rPr>
      </w:pPr>
      <w:r w:rsidRPr="00582ECD">
        <w:rPr>
          <w:rFonts w:asciiTheme="majorHAnsi" w:hAnsiTheme="majorHAnsi"/>
          <w:color w:val="000000"/>
        </w:rPr>
        <w:t xml:space="preserve">Il convient de noter que le tableau ci-dessus ne présente que </w:t>
      </w:r>
      <w:r>
        <w:rPr>
          <w:rFonts w:asciiTheme="majorHAnsi" w:hAnsiTheme="majorHAnsi"/>
          <w:color w:val="000000"/>
        </w:rPr>
        <w:t>les CPC</w:t>
      </w:r>
      <w:r w:rsidRPr="00582ECD">
        <w:rPr>
          <w:rFonts w:asciiTheme="majorHAnsi" w:hAnsiTheme="majorHAnsi"/>
          <w:color w:val="000000"/>
        </w:rPr>
        <w:t xml:space="preserve"> </w:t>
      </w:r>
      <w:r w:rsidR="00D21449" w:rsidRPr="00582ECD">
        <w:rPr>
          <w:rFonts w:asciiTheme="majorHAnsi" w:hAnsiTheme="majorHAnsi"/>
          <w:color w:val="000000"/>
        </w:rPr>
        <w:t>ayant indiqué un chiffre précis, une référence à celui-ci ou à tout document dans lequel ces chiffres figuraient. Dans de nombreux cas, aucune limite n'est fixée car tous les navires concernés disposent d'une licence et/ou que les prises accessoires ne sont pas autorisées. Pourtant, certaines des réponses concernant la limite maximale de prises accessoires par sortie autorisée par la CPC pour chaque stock pour la prochaine campagne de pêche manquent de cohérence, les CPC n'ayant manifestement pas lu ou compris cette exigence. Dans plusieurs cas, des réponses totalement non pertinentes sont fournies (par exemple : il n’y a pas de pêcherie ciblant cette espèce, il n’y a pas de navires sous pavillon de xx pêchant cette espèce).</w:t>
      </w:r>
    </w:p>
    <w:p w14:paraId="6A4FC055" w14:textId="77777777" w:rsidR="00E43E02" w:rsidRPr="00582ECD" w:rsidRDefault="00E43E02" w:rsidP="00820485">
      <w:pPr>
        <w:tabs>
          <w:tab w:val="left" w:pos="1276"/>
          <w:tab w:val="left" w:pos="1418"/>
          <w:tab w:val="left" w:leader="dot" w:pos="8222"/>
          <w:tab w:val="right" w:pos="8647"/>
        </w:tabs>
        <w:jc w:val="both"/>
        <w:rPr>
          <w:rFonts w:asciiTheme="majorHAnsi" w:hAnsiTheme="majorHAnsi"/>
          <w:b/>
          <w:bCs/>
          <w:i/>
          <w:iCs/>
        </w:rPr>
      </w:pPr>
    </w:p>
    <w:p w14:paraId="3738F2A7" w14:textId="6C6306F0" w:rsidR="00086AE7" w:rsidRPr="00582ECD" w:rsidRDefault="00765C78" w:rsidP="00820485">
      <w:pPr>
        <w:tabs>
          <w:tab w:val="left" w:pos="1276"/>
          <w:tab w:val="left" w:pos="1418"/>
          <w:tab w:val="left" w:leader="dot" w:pos="8222"/>
          <w:tab w:val="right" w:pos="8647"/>
        </w:tabs>
        <w:jc w:val="both"/>
        <w:rPr>
          <w:rFonts w:asciiTheme="majorHAnsi" w:hAnsiTheme="majorHAnsi"/>
          <w:color w:val="000000" w:themeColor="text1"/>
        </w:rPr>
      </w:pPr>
      <w:r w:rsidRPr="00582ECD">
        <w:rPr>
          <w:rFonts w:asciiTheme="majorHAnsi" w:hAnsiTheme="majorHAnsi"/>
          <w:b/>
          <w:bCs/>
          <w:i/>
        </w:rPr>
        <w:t>Registre ICCAT des navires tropicaux :</w:t>
      </w:r>
      <w:r w:rsidRPr="00582ECD">
        <w:rPr>
          <w:rFonts w:asciiTheme="majorHAnsi" w:hAnsiTheme="majorHAnsi"/>
          <w:i/>
        </w:rPr>
        <w:t xml:space="preserve"> </w:t>
      </w:r>
      <w:r w:rsidRPr="00582ECD">
        <w:rPr>
          <w:rFonts w:asciiTheme="majorHAnsi" w:hAnsiTheme="majorHAnsi"/>
        </w:rPr>
        <w:t xml:space="preserve">La liste des navires autorisés figure dans le </w:t>
      </w:r>
      <w:hyperlink r:id="rId8" w:history="1">
        <w:r w:rsidRPr="00582ECD">
          <w:rPr>
            <w:rStyle w:val="Hyperlink"/>
            <w:rFonts w:asciiTheme="majorHAnsi" w:hAnsiTheme="majorHAnsi"/>
            <w:u w:val="none"/>
          </w:rPr>
          <w:t>Registre des navires de l’ICCAT</w:t>
        </w:r>
      </w:hyperlink>
      <w:r w:rsidRPr="00582ECD">
        <w:rPr>
          <w:rFonts w:asciiTheme="majorHAnsi" w:hAnsiTheme="majorHAnsi"/>
        </w:rPr>
        <w:t>. Des informations concernant la liste des navires ayant pêché l'année précédente figure à l'</w:t>
      </w:r>
      <w:r w:rsidRPr="00582ECD">
        <w:rPr>
          <w:rFonts w:asciiTheme="majorHAnsi" w:hAnsiTheme="majorHAnsi"/>
          <w:b/>
          <w:bCs/>
        </w:rPr>
        <w:t>annexe</w:t>
      </w:r>
      <w:r w:rsidR="00005EA9" w:rsidRPr="00582ECD">
        <w:rPr>
          <w:rFonts w:asciiTheme="majorHAnsi" w:hAnsiTheme="majorHAnsi"/>
          <w:b/>
          <w:bCs/>
        </w:rPr>
        <w:t> </w:t>
      </w:r>
      <w:r w:rsidRPr="00582ECD">
        <w:rPr>
          <w:rFonts w:asciiTheme="majorHAnsi" w:hAnsiTheme="majorHAnsi"/>
          <w:b/>
          <w:bCs/>
        </w:rPr>
        <w:t>4</w:t>
      </w:r>
      <w:r w:rsidRPr="00582ECD">
        <w:rPr>
          <w:rFonts w:asciiTheme="majorHAnsi" w:hAnsiTheme="majorHAnsi"/>
        </w:rPr>
        <w:t>.</w:t>
      </w:r>
    </w:p>
    <w:p w14:paraId="13A5FC48" w14:textId="77777777" w:rsidR="006D1BF6" w:rsidRPr="00582ECD" w:rsidRDefault="006D1BF6" w:rsidP="00820485">
      <w:pPr>
        <w:tabs>
          <w:tab w:val="left" w:pos="1276"/>
          <w:tab w:val="left" w:pos="1418"/>
          <w:tab w:val="left" w:leader="dot" w:pos="8222"/>
          <w:tab w:val="right" w:pos="8647"/>
        </w:tabs>
        <w:jc w:val="both"/>
        <w:rPr>
          <w:rFonts w:asciiTheme="majorHAnsi" w:hAnsiTheme="majorHAnsi"/>
          <w:color w:val="000000" w:themeColor="text1"/>
        </w:rPr>
      </w:pPr>
    </w:p>
    <w:p w14:paraId="13A9F8ED" w14:textId="71AFA424" w:rsidR="00A7179D" w:rsidRPr="00582ECD" w:rsidRDefault="0048587F" w:rsidP="00820485">
      <w:pPr>
        <w:tabs>
          <w:tab w:val="left" w:pos="1276"/>
          <w:tab w:val="left" w:pos="1418"/>
          <w:tab w:val="left" w:leader="dot" w:pos="8222"/>
          <w:tab w:val="right" w:pos="8647"/>
        </w:tabs>
        <w:jc w:val="both"/>
        <w:rPr>
          <w:rFonts w:asciiTheme="majorHAnsi" w:hAnsiTheme="majorHAnsi"/>
          <w:color w:val="000000" w:themeColor="text1"/>
        </w:rPr>
      </w:pPr>
      <w:r w:rsidRPr="00582ECD">
        <w:rPr>
          <w:rFonts w:asciiTheme="majorHAnsi" w:hAnsiTheme="majorHAnsi"/>
          <w:color w:val="000000" w:themeColor="text1"/>
        </w:rPr>
        <w:t>À la date de rédaction, le registre des navires de l'ICCAT contenait 1.193 navires (</w:t>
      </w:r>
      <w:r w:rsidRPr="00582ECD">
        <w:rPr>
          <w:rFonts w:asciiTheme="majorHAnsi" w:hAnsiTheme="majorHAnsi"/>
          <w:b/>
          <w:color w:val="000000" w:themeColor="text1"/>
        </w:rPr>
        <w:t>117</w:t>
      </w:r>
      <w:r w:rsidRPr="00582ECD">
        <w:rPr>
          <w:rFonts w:asciiTheme="majorHAnsi" w:hAnsiTheme="majorHAnsi"/>
          <w:color w:val="000000" w:themeColor="text1"/>
        </w:rPr>
        <w:t xml:space="preserve"> navires de moins par rapport au niveau de 2025) dans sa liste de registres de navires tropicaux, avec des navires de 27 CPC. Il est à noter que le registre de l’ICCAT est une liste dynamique qui peut varier tous les jours. </w:t>
      </w:r>
    </w:p>
    <w:p w14:paraId="7701EB23" w14:textId="77777777" w:rsidR="0082575E" w:rsidRPr="00582ECD" w:rsidRDefault="0082575E" w:rsidP="00820485">
      <w:pPr>
        <w:tabs>
          <w:tab w:val="left" w:pos="1276"/>
          <w:tab w:val="left" w:pos="1418"/>
          <w:tab w:val="left" w:leader="dot" w:pos="8222"/>
          <w:tab w:val="right" w:pos="8647"/>
        </w:tabs>
        <w:rPr>
          <w:rFonts w:asciiTheme="majorHAnsi" w:hAnsiTheme="majorHAnsi"/>
          <w:b/>
          <w:bCs/>
          <w:i/>
          <w:iCs/>
        </w:rPr>
      </w:pPr>
    </w:p>
    <w:p w14:paraId="5E38CE46" w14:textId="01926593" w:rsidR="00CE6BE0" w:rsidRPr="00582ECD" w:rsidRDefault="00976C7C" w:rsidP="00362405">
      <w:pPr>
        <w:tabs>
          <w:tab w:val="left" w:pos="1276"/>
          <w:tab w:val="left" w:pos="1418"/>
          <w:tab w:val="left" w:leader="dot" w:pos="8222"/>
          <w:tab w:val="right" w:pos="8647"/>
        </w:tabs>
        <w:jc w:val="both"/>
        <w:rPr>
          <w:rFonts w:asciiTheme="majorHAnsi" w:hAnsiTheme="majorHAnsi"/>
          <w:bCs/>
          <w:iCs/>
        </w:rPr>
      </w:pPr>
      <w:bookmarkStart w:id="0" w:name="_Hlk109293781"/>
      <w:r w:rsidRPr="00582ECD">
        <w:rPr>
          <w:rFonts w:asciiTheme="majorHAnsi" w:hAnsiTheme="majorHAnsi"/>
          <w:b/>
          <w:bCs/>
          <w:i/>
        </w:rPr>
        <w:t>Données et information collectées du programme d'échantillonnage :</w:t>
      </w:r>
      <w:r w:rsidRPr="00582ECD">
        <w:rPr>
          <w:rFonts w:asciiTheme="majorHAnsi" w:hAnsiTheme="majorHAnsi"/>
          <w:i/>
        </w:rPr>
        <w:t xml:space="preserve"> </w:t>
      </w:r>
      <w:r w:rsidRPr="00582ECD">
        <w:rPr>
          <w:rFonts w:asciiTheme="majorHAnsi" w:hAnsiTheme="majorHAnsi"/>
        </w:rPr>
        <w:t>Les informations provenant de l'échantillonnage au port, conformément au paragraphe 73 de la Rec. 24-01, ont été soumises respectivement par l'Albanie, le Canada, le Salvador, la France (Saint-Pierre-et-Miquelon), le Ghana, la Corée (</w:t>
      </w:r>
      <w:proofErr w:type="spellStart"/>
      <w:r w:rsidRPr="00582ECD">
        <w:rPr>
          <w:rFonts w:asciiTheme="majorHAnsi" w:hAnsiTheme="majorHAnsi"/>
        </w:rPr>
        <w:t>Rép</w:t>
      </w:r>
      <w:proofErr w:type="spellEnd"/>
      <w:r w:rsidRPr="00582ECD">
        <w:rPr>
          <w:rFonts w:asciiTheme="majorHAnsi" w:hAnsiTheme="majorHAnsi"/>
        </w:rPr>
        <w:t>.), le Mexique, le Panama et le Royaume-Uni.</w:t>
      </w:r>
    </w:p>
    <w:bookmarkEnd w:id="0"/>
    <w:p w14:paraId="38EE6907" w14:textId="77777777" w:rsidR="00B56A79" w:rsidRPr="00582ECD" w:rsidRDefault="00B56A79" w:rsidP="00820485">
      <w:pPr>
        <w:tabs>
          <w:tab w:val="left" w:pos="1276"/>
          <w:tab w:val="left" w:pos="1418"/>
          <w:tab w:val="left" w:leader="dot" w:pos="8222"/>
          <w:tab w:val="right" w:pos="8647"/>
        </w:tabs>
        <w:jc w:val="both"/>
        <w:rPr>
          <w:rFonts w:asciiTheme="majorHAnsi" w:hAnsiTheme="majorHAnsi"/>
          <w:bCs/>
          <w:iCs/>
        </w:rPr>
      </w:pPr>
    </w:p>
    <w:p w14:paraId="12C7B5EA" w14:textId="66E146E5" w:rsidR="00AF1AE8" w:rsidRPr="00582ECD" w:rsidRDefault="00976C7C" w:rsidP="00820485">
      <w:pPr>
        <w:tabs>
          <w:tab w:val="left" w:pos="1276"/>
          <w:tab w:val="left" w:pos="1418"/>
          <w:tab w:val="left" w:leader="dot" w:pos="8222"/>
          <w:tab w:val="right" w:pos="8647"/>
        </w:tabs>
        <w:jc w:val="both"/>
        <w:rPr>
          <w:rFonts w:asciiTheme="majorHAnsi" w:hAnsiTheme="majorHAnsi"/>
          <w:bCs/>
          <w:iCs/>
        </w:rPr>
      </w:pPr>
      <w:r w:rsidRPr="00582ECD">
        <w:rPr>
          <w:rFonts w:asciiTheme="majorHAnsi" w:hAnsiTheme="majorHAnsi"/>
          <w:b/>
          <w:i/>
          <w:iCs/>
        </w:rPr>
        <w:t>Programme d’observateurs :</w:t>
      </w:r>
      <w:r w:rsidRPr="00582ECD">
        <w:rPr>
          <w:rFonts w:asciiTheme="majorHAnsi" w:hAnsiTheme="majorHAnsi"/>
          <w:b/>
          <w:i/>
        </w:rPr>
        <w:t xml:space="preserve"> </w:t>
      </w:r>
      <w:r w:rsidRPr="00582ECD">
        <w:rPr>
          <w:rFonts w:asciiTheme="majorHAnsi" w:hAnsiTheme="majorHAnsi"/>
        </w:rPr>
        <w:t xml:space="preserve">Aucune difficulté pour embarquer des observateurs conformément à la Recommandation n'a été déclarée au Secrétariat de l'ICCAT. </w:t>
      </w:r>
    </w:p>
    <w:p w14:paraId="3D8FBC85" w14:textId="77777777" w:rsidR="00F801C1" w:rsidRPr="00582ECD" w:rsidRDefault="00F801C1" w:rsidP="00820485">
      <w:pPr>
        <w:tabs>
          <w:tab w:val="left" w:pos="1276"/>
          <w:tab w:val="left" w:pos="1418"/>
          <w:tab w:val="left" w:leader="dot" w:pos="8222"/>
          <w:tab w:val="right" w:pos="8647"/>
        </w:tabs>
        <w:jc w:val="both"/>
        <w:rPr>
          <w:rFonts w:asciiTheme="majorHAnsi" w:hAnsiTheme="majorHAnsi"/>
          <w:bCs/>
          <w:iCs/>
        </w:rPr>
      </w:pPr>
    </w:p>
    <w:p w14:paraId="202A9CCC" w14:textId="77777777" w:rsidR="00996E93" w:rsidRPr="00582ECD" w:rsidRDefault="00996E93" w:rsidP="00820485">
      <w:pPr>
        <w:tabs>
          <w:tab w:val="left" w:pos="1276"/>
          <w:tab w:val="left" w:pos="1418"/>
          <w:tab w:val="center" w:pos="4750"/>
        </w:tabs>
        <w:rPr>
          <w:rFonts w:asciiTheme="majorHAnsi" w:hAnsiTheme="majorHAnsi"/>
          <w:b/>
          <w:bCs/>
        </w:rPr>
      </w:pPr>
    </w:p>
    <w:p w14:paraId="076ECE50" w14:textId="77777777" w:rsidR="00005EA9" w:rsidRPr="00582ECD" w:rsidRDefault="00005EA9">
      <w:pPr>
        <w:widowControl/>
        <w:autoSpaceDE/>
        <w:autoSpaceDN/>
        <w:adjustRightInd/>
        <w:rPr>
          <w:rFonts w:asciiTheme="majorHAnsi" w:hAnsiTheme="majorHAnsi"/>
          <w:b/>
        </w:rPr>
      </w:pPr>
      <w:r w:rsidRPr="00582ECD">
        <w:rPr>
          <w:rFonts w:asciiTheme="majorHAnsi" w:hAnsiTheme="majorHAnsi"/>
          <w:b/>
        </w:rPr>
        <w:br w:type="page"/>
      </w:r>
    </w:p>
    <w:p w14:paraId="77CC6B99" w14:textId="75F3075F" w:rsidR="009C4906" w:rsidRPr="00582ECD" w:rsidRDefault="00F225F3" w:rsidP="00820485">
      <w:pPr>
        <w:tabs>
          <w:tab w:val="left" w:pos="1276"/>
          <w:tab w:val="left" w:pos="1418"/>
          <w:tab w:val="center" w:pos="4750"/>
        </w:tabs>
        <w:rPr>
          <w:rFonts w:asciiTheme="majorHAnsi" w:hAnsiTheme="majorHAnsi"/>
          <w:b/>
          <w:bCs/>
          <w:i/>
          <w:iCs/>
        </w:rPr>
      </w:pPr>
      <w:r w:rsidRPr="00582ECD">
        <w:rPr>
          <w:rFonts w:asciiTheme="majorHAnsi" w:hAnsiTheme="majorHAnsi"/>
          <w:b/>
        </w:rPr>
        <w:lastRenderedPageBreak/>
        <w:t xml:space="preserve">SWO - ESPADON </w:t>
      </w:r>
      <w:r w:rsidRPr="00582ECD">
        <w:rPr>
          <w:rFonts w:asciiTheme="majorHAnsi" w:hAnsiTheme="majorHAnsi"/>
          <w:b/>
          <w:i/>
        </w:rPr>
        <w:t xml:space="preserve">(Xiphias </w:t>
      </w:r>
      <w:proofErr w:type="spellStart"/>
      <w:r w:rsidRPr="00582ECD">
        <w:rPr>
          <w:rFonts w:asciiTheme="majorHAnsi" w:hAnsiTheme="majorHAnsi"/>
          <w:b/>
          <w:i/>
        </w:rPr>
        <w:t>gladius</w:t>
      </w:r>
      <w:proofErr w:type="spellEnd"/>
      <w:r w:rsidRPr="00582ECD">
        <w:rPr>
          <w:rFonts w:asciiTheme="majorHAnsi" w:hAnsiTheme="majorHAnsi"/>
          <w:b/>
          <w:i/>
        </w:rPr>
        <w:t>)</w:t>
      </w:r>
    </w:p>
    <w:p w14:paraId="7848C4EA" w14:textId="77777777" w:rsidR="009C4906" w:rsidRPr="00582ECD" w:rsidRDefault="009C4906" w:rsidP="00820485">
      <w:pPr>
        <w:tabs>
          <w:tab w:val="left" w:pos="993"/>
          <w:tab w:val="left" w:pos="1276"/>
          <w:tab w:val="left" w:pos="1418"/>
          <w:tab w:val="center" w:pos="4750"/>
        </w:tabs>
        <w:jc w:val="both"/>
        <w:rPr>
          <w:rFonts w:asciiTheme="majorHAnsi" w:hAnsiTheme="majorHAnsi"/>
          <w:i/>
          <w:color w:val="000000" w:themeColor="text1"/>
        </w:rPr>
      </w:pPr>
    </w:p>
    <w:p w14:paraId="1AB73A6C" w14:textId="5D68D491" w:rsidR="009C4906" w:rsidRPr="00582ECD" w:rsidRDefault="009C4906" w:rsidP="00820485">
      <w:pPr>
        <w:tabs>
          <w:tab w:val="left" w:pos="993"/>
          <w:tab w:val="left" w:pos="1276"/>
          <w:tab w:val="left" w:pos="1418"/>
          <w:tab w:val="center" w:pos="4750"/>
        </w:tabs>
        <w:jc w:val="both"/>
        <w:rPr>
          <w:rFonts w:asciiTheme="majorHAnsi" w:hAnsiTheme="majorHAnsi"/>
          <w:i/>
        </w:rPr>
      </w:pPr>
      <w:r w:rsidRPr="00582ECD">
        <w:rPr>
          <w:rFonts w:asciiTheme="majorHAnsi" w:hAnsiTheme="majorHAnsi"/>
          <w:i/>
        </w:rPr>
        <w:t>Rec. 03-04 : Recommandation de l’ICCAT sur l’espadon de la Méditerranée</w:t>
      </w:r>
    </w:p>
    <w:p w14:paraId="02490CFE" w14:textId="77777777" w:rsidR="00DC446B" w:rsidRPr="00582ECD" w:rsidRDefault="00DC446B" w:rsidP="00820485">
      <w:pPr>
        <w:tabs>
          <w:tab w:val="left" w:pos="1276"/>
          <w:tab w:val="left" w:pos="1418"/>
          <w:tab w:val="left" w:leader="dot" w:pos="8222"/>
          <w:tab w:val="right" w:pos="8647"/>
        </w:tabs>
        <w:jc w:val="both"/>
        <w:rPr>
          <w:rFonts w:asciiTheme="majorHAnsi" w:hAnsiTheme="majorHAnsi"/>
          <w:bCs/>
          <w:lang w:eastAsia="en-GB"/>
        </w:rPr>
      </w:pPr>
    </w:p>
    <w:p w14:paraId="4E600CEE" w14:textId="357DB439" w:rsidR="00B71DB5" w:rsidRPr="00582ECD" w:rsidRDefault="009C4906" w:rsidP="00820485">
      <w:pPr>
        <w:tabs>
          <w:tab w:val="left" w:pos="1276"/>
          <w:tab w:val="left" w:pos="1418"/>
          <w:tab w:val="left" w:leader="dot" w:pos="8222"/>
          <w:tab w:val="right" w:pos="8647"/>
        </w:tabs>
        <w:jc w:val="both"/>
        <w:rPr>
          <w:rFonts w:asciiTheme="majorHAnsi" w:hAnsiTheme="majorHAnsi"/>
        </w:rPr>
      </w:pPr>
      <w:r w:rsidRPr="00582ECD">
        <w:rPr>
          <w:rFonts w:asciiTheme="majorHAnsi" w:hAnsiTheme="majorHAnsi"/>
        </w:rPr>
        <w:t xml:space="preserve">Il n'est prévu aucune déclaration spécifique au Secrétariat de l’ICCAT si ce n'est à travers la section 4 des rapports annuels. Le Secrétariat de l’ICCAT n'a rien à déclarer. </w:t>
      </w:r>
    </w:p>
    <w:p w14:paraId="4F199D26" w14:textId="77777777" w:rsidR="00562EB1" w:rsidRPr="00582ECD" w:rsidRDefault="00562EB1" w:rsidP="00820485">
      <w:pPr>
        <w:tabs>
          <w:tab w:val="left" w:pos="1276"/>
          <w:tab w:val="left" w:pos="1418"/>
          <w:tab w:val="left" w:leader="dot" w:pos="8222"/>
          <w:tab w:val="right" w:pos="8647"/>
        </w:tabs>
        <w:rPr>
          <w:rFonts w:asciiTheme="majorHAnsi" w:hAnsiTheme="majorHAnsi"/>
          <w:i/>
        </w:rPr>
      </w:pPr>
    </w:p>
    <w:p w14:paraId="67D4F0B7" w14:textId="11A7DF29" w:rsidR="00CD4D77" w:rsidRPr="00582ECD" w:rsidRDefault="00905BD5" w:rsidP="00CD4D77">
      <w:pPr>
        <w:tabs>
          <w:tab w:val="left" w:pos="1276"/>
          <w:tab w:val="left" w:pos="1418"/>
          <w:tab w:val="left" w:leader="dot" w:pos="8222"/>
          <w:tab w:val="right" w:pos="8647"/>
        </w:tabs>
        <w:jc w:val="both"/>
        <w:rPr>
          <w:rFonts w:asciiTheme="majorHAnsi" w:hAnsiTheme="majorHAnsi"/>
          <w:bCs/>
        </w:rPr>
      </w:pPr>
      <w:r w:rsidRPr="00582ECD">
        <w:rPr>
          <w:rFonts w:asciiTheme="majorHAnsi" w:hAnsiTheme="majorHAnsi"/>
          <w:i/>
        </w:rPr>
        <w:t xml:space="preserve">Rec. 16-05 : Recommandation de l’ICCAT pour remplacer la Recommandation 13-04 et établir un programme pluriannuel de rétablissement pour l'espadon de la Méditerranée </w:t>
      </w:r>
      <w:r w:rsidRPr="00582ECD">
        <w:rPr>
          <w:rFonts w:asciiTheme="majorHAnsi" w:hAnsiTheme="majorHAnsi"/>
        </w:rPr>
        <w:t xml:space="preserve">telle que complétée par la </w:t>
      </w:r>
      <w:r w:rsidRPr="00582ECD">
        <w:rPr>
          <w:rFonts w:asciiTheme="majorHAnsi" w:hAnsiTheme="majorHAnsi"/>
          <w:i/>
        </w:rPr>
        <w:t>Rec. 24-11 : Recommandation de l’ICCAT sur les limites de capture pour l'espadon de la</w:t>
      </w:r>
      <w:r w:rsidR="00005EA9" w:rsidRPr="00582ECD">
        <w:rPr>
          <w:rFonts w:asciiTheme="majorHAnsi" w:hAnsiTheme="majorHAnsi"/>
          <w:i/>
        </w:rPr>
        <w:t xml:space="preserve"> Méditerranée</w:t>
      </w:r>
      <w:r w:rsidRPr="00582ECD">
        <w:rPr>
          <w:rFonts w:asciiTheme="majorHAnsi" w:hAnsiTheme="majorHAnsi"/>
          <w:i/>
        </w:rPr>
        <w:t xml:space="preserve">  </w:t>
      </w:r>
      <w:r w:rsidRPr="00582ECD">
        <w:rPr>
          <w:rFonts w:asciiTheme="majorHAnsi" w:hAnsiTheme="majorHAnsi"/>
        </w:rPr>
        <w:t>telle qu’amendée par la</w:t>
      </w:r>
      <w:r w:rsidRPr="00582ECD">
        <w:rPr>
          <w:rFonts w:asciiTheme="majorHAnsi" w:hAnsiTheme="majorHAnsi"/>
          <w:i/>
        </w:rPr>
        <w:t xml:space="preserve"> Rec. 25-13 : Recommandation de l’ICCAT amendant la Recommandation 16-05 afin d’inclure les</w:t>
      </w:r>
      <w:r w:rsidR="00005EA9" w:rsidRPr="00582ECD">
        <w:rPr>
          <w:rFonts w:asciiTheme="majorHAnsi" w:hAnsiTheme="majorHAnsi"/>
          <w:i/>
        </w:rPr>
        <w:t xml:space="preserve"> </w:t>
      </w:r>
      <w:r w:rsidRPr="00582ECD">
        <w:rPr>
          <w:rFonts w:asciiTheme="majorHAnsi" w:hAnsiTheme="majorHAnsi"/>
          <w:i/>
        </w:rPr>
        <w:t xml:space="preserve">suites données aux constats d’inspections effectuées dans le cadre du programme d'inspection internationale conjointe (JIS) pour le thon rouge et l'espadon </w:t>
      </w:r>
    </w:p>
    <w:p w14:paraId="6F3383EF" w14:textId="77777777" w:rsidR="00CD4D77" w:rsidRPr="00582ECD" w:rsidRDefault="00CD4D77" w:rsidP="0057473F">
      <w:pPr>
        <w:tabs>
          <w:tab w:val="left" w:pos="1276"/>
          <w:tab w:val="left" w:pos="1418"/>
          <w:tab w:val="left" w:leader="dot" w:pos="8222"/>
          <w:tab w:val="right" w:pos="8647"/>
        </w:tabs>
        <w:jc w:val="both"/>
        <w:rPr>
          <w:rFonts w:asciiTheme="majorHAnsi" w:hAnsiTheme="majorHAnsi"/>
          <w:bCs/>
        </w:rPr>
      </w:pPr>
    </w:p>
    <w:p w14:paraId="6A526B2C" w14:textId="37F41645" w:rsidR="001C2499" w:rsidRPr="00582ECD" w:rsidRDefault="001C2499" w:rsidP="008F5C43">
      <w:pPr>
        <w:jc w:val="both"/>
        <w:rPr>
          <w:rFonts w:asciiTheme="majorHAnsi" w:hAnsiTheme="majorHAnsi"/>
          <w:bCs/>
        </w:rPr>
      </w:pPr>
      <w:r w:rsidRPr="00582ECD">
        <w:rPr>
          <w:rFonts w:asciiTheme="majorHAnsi" w:hAnsiTheme="majorHAnsi"/>
          <w:b/>
          <w:bCs/>
          <w:i/>
          <w:iCs/>
        </w:rPr>
        <w:t>Plans de pêche SWO-MD :</w:t>
      </w:r>
      <w:r w:rsidRPr="00582ECD">
        <w:rPr>
          <w:rFonts w:asciiTheme="majorHAnsi" w:hAnsiTheme="majorHAnsi"/>
        </w:rPr>
        <w:t xml:space="preserve"> Les CPC suivantes ont soumis des plans de pêche en 2026 : Algérie, Égypte, Maroc, Tunisie, Türkiye et Union européenne. Ces plans ont été distribués aux CPC et ont été rendus disponibles en tant que « plans de pêche de l'espadon de la Méditerranée soumis en 2026 (Rec. (Rec. 16-05)”</w:t>
      </w:r>
      <w:r w:rsidRPr="00582ECD">
        <w:rPr>
          <w:rFonts w:asciiTheme="majorHAnsi" w:hAnsiTheme="majorHAnsi"/>
          <w:b/>
        </w:rPr>
        <w:t xml:space="preserve"> </w:t>
      </w:r>
      <w:r w:rsidRPr="00582ECD">
        <w:rPr>
          <w:rFonts w:asciiTheme="majorHAnsi" w:hAnsiTheme="majorHAnsi"/>
        </w:rPr>
        <w:t>[PA4_802/2026].</w:t>
      </w:r>
      <w:r w:rsidRPr="00582ECD">
        <w:rPr>
          <w:rFonts w:asciiTheme="majorHAnsi" w:hAnsiTheme="majorHAnsi"/>
          <w:b/>
        </w:rPr>
        <w:t xml:space="preserve"> </w:t>
      </w:r>
      <w:r w:rsidRPr="00582ECD">
        <w:rPr>
          <w:rFonts w:asciiTheme="majorHAnsi" w:hAnsiTheme="majorHAnsi"/>
        </w:rPr>
        <w:t>Aucun plan de pêche de SWO-MD n'a été reçu de la Libye.</w:t>
      </w:r>
    </w:p>
    <w:p w14:paraId="49B93029" w14:textId="77777777" w:rsidR="00254CF8" w:rsidRPr="00582ECD" w:rsidRDefault="00254CF8" w:rsidP="001C2499">
      <w:pPr>
        <w:tabs>
          <w:tab w:val="left" w:pos="1276"/>
          <w:tab w:val="left" w:pos="1418"/>
          <w:tab w:val="left" w:leader="dot" w:pos="8222"/>
          <w:tab w:val="right" w:pos="8647"/>
        </w:tabs>
        <w:jc w:val="both"/>
        <w:rPr>
          <w:rFonts w:asciiTheme="majorHAnsi" w:hAnsiTheme="majorHAnsi"/>
          <w:b/>
        </w:rPr>
      </w:pPr>
    </w:p>
    <w:p w14:paraId="7F3E4339" w14:textId="677ED3C9" w:rsidR="001C2499" w:rsidRPr="00582ECD" w:rsidRDefault="001C2499" w:rsidP="001C2499">
      <w:pPr>
        <w:tabs>
          <w:tab w:val="left" w:pos="1276"/>
          <w:tab w:val="left" w:pos="1418"/>
          <w:tab w:val="left" w:leader="dot" w:pos="8222"/>
          <w:tab w:val="right" w:pos="8647"/>
        </w:tabs>
        <w:jc w:val="both"/>
        <w:rPr>
          <w:rFonts w:asciiTheme="majorHAnsi" w:hAnsiTheme="majorHAnsi"/>
        </w:rPr>
      </w:pPr>
      <w:r w:rsidRPr="00582ECD">
        <w:rPr>
          <w:rFonts w:asciiTheme="majorHAnsi" w:hAnsiTheme="majorHAnsi"/>
          <w:b/>
          <w:i/>
        </w:rPr>
        <w:t>Fermetures :</w:t>
      </w:r>
      <w:r w:rsidRPr="00582ECD">
        <w:rPr>
          <w:rFonts w:asciiTheme="majorHAnsi" w:hAnsiTheme="majorHAnsi"/>
          <w:b/>
        </w:rPr>
        <w:t xml:space="preserve"> </w:t>
      </w:r>
      <w:r w:rsidRPr="00582ECD">
        <w:rPr>
          <w:rFonts w:asciiTheme="majorHAnsi" w:hAnsiTheme="majorHAnsi"/>
        </w:rPr>
        <w:t>Des rapports sur la mise en œuvre des périodes de fermeture ont été reçus de l’Algérie, de l’Egypte, de l’Union européenne, du Maroc, de la Tunisie et de la Türkiye, et figurent à l'</w:t>
      </w:r>
      <w:r w:rsidRPr="00582ECD">
        <w:rPr>
          <w:rFonts w:asciiTheme="majorHAnsi" w:hAnsiTheme="majorHAnsi"/>
          <w:b/>
          <w:bCs/>
        </w:rPr>
        <w:t>appendice 1</w:t>
      </w:r>
      <w:r w:rsidRPr="00582ECD">
        <w:rPr>
          <w:rFonts w:asciiTheme="majorHAnsi" w:hAnsiTheme="majorHAnsi"/>
        </w:rPr>
        <w:t xml:space="preserve"> du présent rapport. L'Algérie a indiqué que les informations sont disponibles dans son rapport annuel (« Rapports annuels des CPC », [COC-301/2026]). L'Egypte a indiqué que l'information peut être trouvée dans son plan de pêche de l'espadon de la Méditerranée [PA4_802/2026]. Aucun rapport concernant la mise en œuvre de la période de fermeture n'a été reçu de la Libye.</w:t>
      </w:r>
    </w:p>
    <w:p w14:paraId="5F954541" w14:textId="77777777" w:rsidR="001C2499" w:rsidRPr="00582ECD" w:rsidRDefault="001C2499" w:rsidP="0057473F">
      <w:pPr>
        <w:tabs>
          <w:tab w:val="left" w:pos="1276"/>
          <w:tab w:val="left" w:pos="1418"/>
          <w:tab w:val="left" w:leader="dot" w:pos="8222"/>
          <w:tab w:val="right" w:pos="8647"/>
        </w:tabs>
        <w:jc w:val="both"/>
        <w:rPr>
          <w:rFonts w:asciiTheme="majorHAnsi" w:hAnsiTheme="majorHAnsi"/>
          <w:bCs/>
        </w:rPr>
      </w:pPr>
    </w:p>
    <w:p w14:paraId="5F790EF3" w14:textId="77777777" w:rsidR="001C2499" w:rsidRPr="00582ECD" w:rsidRDefault="001C2499" w:rsidP="001C2499">
      <w:pPr>
        <w:tabs>
          <w:tab w:val="left" w:pos="1276"/>
          <w:tab w:val="left" w:pos="1418"/>
          <w:tab w:val="left" w:leader="dot" w:pos="8222"/>
          <w:tab w:val="right" w:pos="8647"/>
        </w:tabs>
        <w:jc w:val="both"/>
        <w:rPr>
          <w:rFonts w:asciiTheme="majorHAnsi" w:hAnsiTheme="majorHAnsi"/>
        </w:rPr>
      </w:pPr>
      <w:r w:rsidRPr="00582ECD">
        <w:rPr>
          <w:rFonts w:asciiTheme="majorHAnsi" w:hAnsiTheme="majorHAnsi"/>
          <w:b/>
          <w:i/>
        </w:rPr>
        <w:t xml:space="preserve">Rapports trimestriels : </w:t>
      </w:r>
      <w:r w:rsidRPr="00582ECD">
        <w:rPr>
          <w:rFonts w:asciiTheme="majorHAnsi" w:hAnsiTheme="majorHAnsi"/>
        </w:rPr>
        <w:t xml:space="preserve">Les rapports trimestriels reçus des CPC pour 2025 sont présentés ci-dessous, ainsi que les totaux de la tâche 1 et des tableaux d’application. Dans la plupart des cas, les totaux sont identiques ou les différences sont très mineures, sauf dans le cas de l'Union européenne, où les totaux diffèrent plus substantiellement. </w:t>
      </w:r>
    </w:p>
    <w:p w14:paraId="423F6AE7" w14:textId="77777777" w:rsidR="001C2499" w:rsidRPr="00582ECD" w:rsidRDefault="001C2499" w:rsidP="001C2499">
      <w:pPr>
        <w:tabs>
          <w:tab w:val="left" w:pos="1276"/>
          <w:tab w:val="left" w:pos="1418"/>
          <w:tab w:val="left" w:leader="dot" w:pos="8222"/>
          <w:tab w:val="right" w:pos="8647"/>
        </w:tabs>
        <w:jc w:val="both"/>
        <w:rPr>
          <w:rFonts w:asciiTheme="majorHAnsi" w:hAnsiTheme="majorHAnsi"/>
        </w:rPr>
      </w:pPr>
    </w:p>
    <w:tbl>
      <w:tblPr>
        <w:tblW w:w="9351" w:type="dxa"/>
        <w:jc w:val="center"/>
        <w:tblLayout w:type="fixed"/>
        <w:tblLook w:val="04A0" w:firstRow="1" w:lastRow="0" w:firstColumn="1" w:lastColumn="0" w:noHBand="0" w:noVBand="1"/>
      </w:tblPr>
      <w:tblGrid>
        <w:gridCol w:w="988"/>
        <w:gridCol w:w="992"/>
        <w:gridCol w:w="992"/>
        <w:gridCol w:w="992"/>
        <w:gridCol w:w="993"/>
        <w:gridCol w:w="1134"/>
        <w:gridCol w:w="992"/>
        <w:gridCol w:w="992"/>
        <w:gridCol w:w="1276"/>
      </w:tblGrid>
      <w:tr w:rsidR="001C2499" w:rsidRPr="00582ECD" w14:paraId="6F33ECB8" w14:textId="77777777" w:rsidTr="006D1FBF">
        <w:trPr>
          <w:trHeight w:val="777"/>
          <w:jc w:val="center"/>
        </w:trPr>
        <w:tc>
          <w:tcPr>
            <w:tcW w:w="988" w:type="dxa"/>
            <w:tcBorders>
              <w:top w:val="single" w:sz="4" w:space="0" w:color="auto"/>
              <w:left w:val="single" w:sz="4" w:space="0" w:color="auto"/>
              <w:bottom w:val="single" w:sz="4" w:space="0" w:color="auto"/>
              <w:right w:val="single" w:sz="4" w:space="0" w:color="auto"/>
            </w:tcBorders>
            <w:noWrap/>
            <w:vAlign w:val="center"/>
            <w:hideMark/>
          </w:tcPr>
          <w:p w14:paraId="15F4E59B" w14:textId="77777777" w:rsidR="001C2499" w:rsidRPr="00582ECD" w:rsidRDefault="001C2499" w:rsidP="00505320">
            <w:pPr>
              <w:widowControl/>
              <w:autoSpaceDE/>
              <w:autoSpaceDN/>
              <w:adjustRightInd/>
              <w:rPr>
                <w:rFonts w:asciiTheme="majorHAnsi" w:hAnsiTheme="majorHAnsi"/>
                <w:b/>
                <w:i/>
                <w:color w:val="000000"/>
              </w:rPr>
            </w:pPr>
            <w:r w:rsidRPr="00582ECD">
              <w:rPr>
                <w:rFonts w:asciiTheme="majorHAnsi" w:hAnsiTheme="majorHAnsi"/>
                <w:b/>
                <w:i/>
                <w:color w:val="000000"/>
              </w:rPr>
              <w:t>CPC</w:t>
            </w:r>
          </w:p>
        </w:tc>
        <w:tc>
          <w:tcPr>
            <w:tcW w:w="992" w:type="dxa"/>
            <w:tcBorders>
              <w:top w:val="single" w:sz="4" w:space="0" w:color="auto"/>
              <w:left w:val="nil"/>
              <w:bottom w:val="single" w:sz="4" w:space="0" w:color="auto"/>
              <w:right w:val="single" w:sz="4" w:space="0" w:color="auto"/>
            </w:tcBorders>
            <w:vAlign w:val="center"/>
            <w:hideMark/>
          </w:tcPr>
          <w:p w14:paraId="6F191BEF" w14:textId="4568E23B" w:rsidR="001C2499" w:rsidRPr="00582ECD" w:rsidRDefault="001C2499" w:rsidP="00505320">
            <w:pPr>
              <w:widowControl/>
              <w:autoSpaceDE/>
              <w:autoSpaceDN/>
              <w:adjustRightInd/>
              <w:jc w:val="center"/>
              <w:rPr>
                <w:rFonts w:asciiTheme="majorHAnsi" w:hAnsiTheme="majorHAnsi"/>
                <w:b/>
                <w:i/>
                <w:color w:val="000000"/>
              </w:rPr>
            </w:pPr>
            <w:r w:rsidRPr="00582ECD">
              <w:rPr>
                <w:rFonts w:asciiTheme="majorHAnsi" w:hAnsiTheme="majorHAnsi"/>
                <w:b/>
                <w:i/>
                <w:color w:val="000000"/>
              </w:rPr>
              <w:t>2025 limites de capture (t)</w:t>
            </w:r>
          </w:p>
        </w:tc>
        <w:tc>
          <w:tcPr>
            <w:tcW w:w="992" w:type="dxa"/>
            <w:tcBorders>
              <w:top w:val="single" w:sz="4" w:space="0" w:color="auto"/>
              <w:left w:val="nil"/>
              <w:bottom w:val="single" w:sz="4" w:space="0" w:color="auto"/>
              <w:right w:val="single" w:sz="4" w:space="0" w:color="auto"/>
            </w:tcBorders>
            <w:vAlign w:val="center"/>
            <w:hideMark/>
          </w:tcPr>
          <w:p w14:paraId="31519B9B" w14:textId="77777777" w:rsidR="001C2499" w:rsidRPr="00582ECD" w:rsidRDefault="001C2499" w:rsidP="00505320">
            <w:pPr>
              <w:widowControl/>
              <w:autoSpaceDE/>
              <w:autoSpaceDN/>
              <w:adjustRightInd/>
              <w:jc w:val="center"/>
              <w:rPr>
                <w:rFonts w:asciiTheme="majorHAnsi" w:hAnsiTheme="majorHAnsi"/>
                <w:b/>
                <w:i/>
                <w:color w:val="000000"/>
              </w:rPr>
            </w:pPr>
            <w:r w:rsidRPr="00582ECD">
              <w:rPr>
                <w:rFonts w:asciiTheme="majorHAnsi" w:hAnsiTheme="majorHAnsi"/>
                <w:b/>
                <w:i/>
                <w:color w:val="000000"/>
              </w:rPr>
              <w:t>Prises réalisées au cours du 1er trimestre</w:t>
            </w:r>
          </w:p>
        </w:tc>
        <w:tc>
          <w:tcPr>
            <w:tcW w:w="992" w:type="dxa"/>
            <w:tcBorders>
              <w:top w:val="single" w:sz="4" w:space="0" w:color="auto"/>
              <w:left w:val="nil"/>
              <w:bottom w:val="single" w:sz="4" w:space="0" w:color="auto"/>
              <w:right w:val="single" w:sz="4" w:space="0" w:color="auto"/>
            </w:tcBorders>
            <w:vAlign w:val="center"/>
            <w:hideMark/>
          </w:tcPr>
          <w:p w14:paraId="22CB65D9" w14:textId="77777777" w:rsidR="001C2499" w:rsidRPr="00582ECD" w:rsidRDefault="001C2499" w:rsidP="00505320">
            <w:pPr>
              <w:widowControl/>
              <w:autoSpaceDE/>
              <w:autoSpaceDN/>
              <w:adjustRightInd/>
              <w:jc w:val="center"/>
              <w:rPr>
                <w:rFonts w:asciiTheme="majorHAnsi" w:hAnsiTheme="majorHAnsi"/>
                <w:b/>
                <w:i/>
                <w:color w:val="000000"/>
              </w:rPr>
            </w:pPr>
            <w:r w:rsidRPr="00582ECD">
              <w:rPr>
                <w:rFonts w:asciiTheme="majorHAnsi" w:hAnsiTheme="majorHAnsi"/>
                <w:b/>
                <w:i/>
                <w:color w:val="000000"/>
              </w:rPr>
              <w:t>Prises réalisées au cours du 2e trimestre</w:t>
            </w:r>
          </w:p>
        </w:tc>
        <w:tc>
          <w:tcPr>
            <w:tcW w:w="993" w:type="dxa"/>
            <w:tcBorders>
              <w:top w:val="single" w:sz="4" w:space="0" w:color="auto"/>
              <w:left w:val="nil"/>
              <w:bottom w:val="single" w:sz="4" w:space="0" w:color="auto"/>
              <w:right w:val="single" w:sz="4" w:space="0" w:color="auto"/>
            </w:tcBorders>
            <w:vAlign w:val="center"/>
            <w:hideMark/>
          </w:tcPr>
          <w:p w14:paraId="700EF5D1" w14:textId="77777777" w:rsidR="001C2499" w:rsidRPr="00582ECD" w:rsidRDefault="001C2499" w:rsidP="00505320">
            <w:pPr>
              <w:widowControl/>
              <w:autoSpaceDE/>
              <w:autoSpaceDN/>
              <w:adjustRightInd/>
              <w:jc w:val="center"/>
              <w:rPr>
                <w:rFonts w:asciiTheme="majorHAnsi" w:hAnsiTheme="majorHAnsi"/>
                <w:b/>
                <w:i/>
                <w:color w:val="000000"/>
              </w:rPr>
            </w:pPr>
            <w:r w:rsidRPr="00582ECD">
              <w:rPr>
                <w:rFonts w:asciiTheme="majorHAnsi" w:hAnsiTheme="majorHAnsi"/>
                <w:b/>
                <w:i/>
                <w:color w:val="000000"/>
              </w:rPr>
              <w:t>Prises réalisées au cours du 3e trimestre</w:t>
            </w:r>
          </w:p>
        </w:tc>
        <w:tc>
          <w:tcPr>
            <w:tcW w:w="1134" w:type="dxa"/>
            <w:tcBorders>
              <w:top w:val="single" w:sz="4" w:space="0" w:color="auto"/>
              <w:left w:val="nil"/>
              <w:bottom w:val="single" w:sz="4" w:space="0" w:color="auto"/>
              <w:right w:val="single" w:sz="4" w:space="0" w:color="auto"/>
            </w:tcBorders>
            <w:vAlign w:val="center"/>
            <w:hideMark/>
          </w:tcPr>
          <w:p w14:paraId="08F957C7" w14:textId="77777777" w:rsidR="001C2499" w:rsidRPr="00582ECD" w:rsidRDefault="001C2499" w:rsidP="00505320">
            <w:pPr>
              <w:widowControl/>
              <w:autoSpaceDE/>
              <w:autoSpaceDN/>
              <w:adjustRightInd/>
              <w:jc w:val="center"/>
              <w:rPr>
                <w:rFonts w:asciiTheme="majorHAnsi" w:hAnsiTheme="majorHAnsi"/>
                <w:b/>
                <w:i/>
                <w:color w:val="000000"/>
              </w:rPr>
            </w:pPr>
            <w:r w:rsidRPr="00582ECD">
              <w:rPr>
                <w:rFonts w:asciiTheme="majorHAnsi" w:hAnsiTheme="majorHAnsi"/>
                <w:b/>
                <w:i/>
                <w:color w:val="000000"/>
              </w:rPr>
              <w:t>Prises réalisées au cours du 4e trimestre</w:t>
            </w:r>
          </w:p>
        </w:tc>
        <w:tc>
          <w:tcPr>
            <w:tcW w:w="992" w:type="dxa"/>
            <w:tcBorders>
              <w:top w:val="single" w:sz="4" w:space="0" w:color="auto"/>
              <w:left w:val="nil"/>
              <w:bottom w:val="single" w:sz="4" w:space="0" w:color="auto"/>
              <w:right w:val="single" w:sz="4" w:space="0" w:color="auto"/>
            </w:tcBorders>
            <w:vAlign w:val="center"/>
            <w:hideMark/>
          </w:tcPr>
          <w:p w14:paraId="60A922B7" w14:textId="3A1D5CF1" w:rsidR="001C2499" w:rsidRPr="00582ECD" w:rsidRDefault="001C2499" w:rsidP="00505320">
            <w:pPr>
              <w:widowControl/>
              <w:autoSpaceDE/>
              <w:autoSpaceDN/>
              <w:adjustRightInd/>
              <w:jc w:val="center"/>
              <w:rPr>
                <w:rFonts w:asciiTheme="majorHAnsi" w:hAnsiTheme="majorHAnsi"/>
                <w:b/>
                <w:bCs/>
                <w:i/>
                <w:iCs/>
                <w:color w:val="000000"/>
              </w:rPr>
            </w:pPr>
            <w:r w:rsidRPr="00582ECD">
              <w:rPr>
                <w:rFonts w:asciiTheme="majorHAnsi" w:hAnsiTheme="majorHAnsi"/>
                <w:b/>
                <w:i/>
                <w:color w:val="000000"/>
              </w:rPr>
              <w:t>Total 2025</w:t>
            </w:r>
          </w:p>
        </w:tc>
        <w:tc>
          <w:tcPr>
            <w:tcW w:w="992" w:type="dxa"/>
            <w:tcBorders>
              <w:top w:val="single" w:sz="4" w:space="0" w:color="auto"/>
              <w:left w:val="nil"/>
              <w:bottom w:val="single" w:sz="4" w:space="0" w:color="auto"/>
              <w:right w:val="single" w:sz="4" w:space="0" w:color="auto"/>
            </w:tcBorders>
            <w:vAlign w:val="center"/>
            <w:hideMark/>
          </w:tcPr>
          <w:p w14:paraId="53A5B3E0" w14:textId="6CF2DC79" w:rsidR="001C2499" w:rsidRPr="00582ECD" w:rsidRDefault="001C2499" w:rsidP="00505320">
            <w:pPr>
              <w:widowControl/>
              <w:autoSpaceDE/>
              <w:autoSpaceDN/>
              <w:adjustRightInd/>
              <w:jc w:val="center"/>
              <w:rPr>
                <w:rFonts w:asciiTheme="majorHAnsi" w:hAnsiTheme="majorHAnsi"/>
                <w:b/>
                <w:i/>
                <w:color w:val="000000"/>
              </w:rPr>
            </w:pPr>
            <w:r w:rsidRPr="00582ECD">
              <w:rPr>
                <w:rFonts w:asciiTheme="majorHAnsi" w:hAnsiTheme="majorHAnsi"/>
                <w:b/>
                <w:i/>
                <w:color w:val="000000"/>
              </w:rPr>
              <w:t>Tâche 1 2025</w:t>
            </w:r>
          </w:p>
        </w:tc>
        <w:tc>
          <w:tcPr>
            <w:tcW w:w="1276" w:type="dxa"/>
            <w:tcBorders>
              <w:top w:val="single" w:sz="4" w:space="0" w:color="auto"/>
              <w:left w:val="nil"/>
              <w:bottom w:val="single" w:sz="4" w:space="0" w:color="auto"/>
              <w:right w:val="single" w:sz="4" w:space="0" w:color="auto"/>
            </w:tcBorders>
            <w:vAlign w:val="center"/>
            <w:hideMark/>
          </w:tcPr>
          <w:p w14:paraId="16F279B6" w14:textId="77777777" w:rsidR="001C2499" w:rsidRPr="00582ECD" w:rsidRDefault="001C2499" w:rsidP="00505320">
            <w:pPr>
              <w:widowControl/>
              <w:autoSpaceDE/>
              <w:autoSpaceDN/>
              <w:adjustRightInd/>
              <w:jc w:val="center"/>
              <w:rPr>
                <w:rFonts w:asciiTheme="majorHAnsi" w:hAnsiTheme="majorHAnsi"/>
                <w:b/>
                <w:i/>
                <w:color w:val="000000"/>
              </w:rPr>
            </w:pPr>
            <w:r w:rsidRPr="00582ECD">
              <w:rPr>
                <w:rFonts w:asciiTheme="majorHAnsi" w:hAnsiTheme="majorHAnsi"/>
                <w:b/>
                <w:i/>
                <w:color w:val="000000"/>
              </w:rPr>
              <w:t>Tableaux d'application</w:t>
            </w:r>
          </w:p>
        </w:tc>
      </w:tr>
      <w:tr w:rsidR="00753A7B" w:rsidRPr="00582ECD" w14:paraId="68455290" w14:textId="77777777" w:rsidTr="006D1FBF">
        <w:trPr>
          <w:trHeight w:val="285"/>
          <w:jc w:val="center"/>
        </w:trPr>
        <w:tc>
          <w:tcPr>
            <w:tcW w:w="988" w:type="dxa"/>
            <w:tcBorders>
              <w:top w:val="nil"/>
              <w:left w:val="single" w:sz="4" w:space="0" w:color="auto"/>
              <w:bottom w:val="single" w:sz="4" w:space="0" w:color="auto"/>
              <w:right w:val="single" w:sz="4" w:space="0" w:color="auto"/>
            </w:tcBorders>
            <w:noWrap/>
            <w:vAlign w:val="center"/>
            <w:hideMark/>
          </w:tcPr>
          <w:p w14:paraId="360D3220" w14:textId="77777777" w:rsidR="00753A7B" w:rsidRPr="00582ECD" w:rsidRDefault="00753A7B" w:rsidP="00753A7B">
            <w:pPr>
              <w:widowControl/>
              <w:autoSpaceDE/>
              <w:autoSpaceDN/>
              <w:adjustRightInd/>
              <w:rPr>
                <w:rFonts w:asciiTheme="majorHAnsi" w:hAnsiTheme="majorHAnsi"/>
                <w:color w:val="000000"/>
              </w:rPr>
            </w:pPr>
            <w:r w:rsidRPr="00582ECD">
              <w:rPr>
                <w:rFonts w:asciiTheme="majorHAnsi" w:hAnsiTheme="majorHAnsi"/>
                <w:color w:val="000000"/>
              </w:rPr>
              <w:t>Algérie</w:t>
            </w:r>
          </w:p>
        </w:tc>
        <w:tc>
          <w:tcPr>
            <w:tcW w:w="992" w:type="dxa"/>
            <w:tcBorders>
              <w:top w:val="nil"/>
              <w:left w:val="nil"/>
              <w:bottom w:val="single" w:sz="4" w:space="0" w:color="auto"/>
              <w:right w:val="single" w:sz="4" w:space="0" w:color="auto"/>
            </w:tcBorders>
            <w:hideMark/>
          </w:tcPr>
          <w:p w14:paraId="3348C307" w14:textId="275BD621" w:rsidR="00753A7B" w:rsidRPr="00582ECD" w:rsidRDefault="00753A7B" w:rsidP="00753A7B">
            <w:pPr>
              <w:widowControl/>
              <w:autoSpaceDE/>
              <w:autoSpaceDN/>
              <w:adjustRightInd/>
              <w:jc w:val="center"/>
              <w:rPr>
                <w:rFonts w:asciiTheme="majorHAnsi" w:hAnsiTheme="majorHAnsi"/>
                <w:color w:val="000000"/>
                <w:sz w:val="18"/>
                <w:szCs w:val="18"/>
              </w:rPr>
            </w:pPr>
            <w:r w:rsidRPr="00582ECD">
              <w:rPr>
                <w:rFonts w:asciiTheme="majorHAnsi" w:hAnsiTheme="majorHAnsi"/>
              </w:rPr>
              <w:t>472,3</w:t>
            </w:r>
          </w:p>
        </w:tc>
        <w:tc>
          <w:tcPr>
            <w:tcW w:w="992" w:type="dxa"/>
            <w:tcBorders>
              <w:top w:val="nil"/>
              <w:left w:val="nil"/>
              <w:bottom w:val="single" w:sz="4" w:space="0" w:color="auto"/>
              <w:right w:val="single" w:sz="4" w:space="0" w:color="auto"/>
            </w:tcBorders>
            <w:hideMark/>
          </w:tcPr>
          <w:p w14:paraId="096EAF60" w14:textId="093288DB" w:rsidR="00753A7B" w:rsidRPr="00582ECD" w:rsidRDefault="00753A7B" w:rsidP="00753A7B">
            <w:pPr>
              <w:widowControl/>
              <w:autoSpaceDE/>
              <w:autoSpaceDN/>
              <w:adjustRightInd/>
              <w:jc w:val="center"/>
              <w:rPr>
                <w:rFonts w:asciiTheme="majorHAnsi" w:hAnsiTheme="majorHAnsi"/>
                <w:color w:val="000000"/>
                <w:sz w:val="18"/>
                <w:szCs w:val="18"/>
              </w:rPr>
            </w:pPr>
            <w:r w:rsidRPr="00582ECD">
              <w:rPr>
                <w:rFonts w:asciiTheme="majorHAnsi" w:hAnsiTheme="majorHAnsi"/>
              </w:rPr>
              <w:t>0,3</w:t>
            </w:r>
          </w:p>
        </w:tc>
        <w:tc>
          <w:tcPr>
            <w:tcW w:w="992" w:type="dxa"/>
            <w:tcBorders>
              <w:top w:val="nil"/>
              <w:left w:val="nil"/>
              <w:bottom w:val="single" w:sz="4" w:space="0" w:color="auto"/>
              <w:right w:val="single" w:sz="4" w:space="0" w:color="auto"/>
            </w:tcBorders>
            <w:hideMark/>
          </w:tcPr>
          <w:p w14:paraId="764AA274" w14:textId="72B8FD5E" w:rsidR="00753A7B" w:rsidRPr="00582ECD" w:rsidRDefault="00753A7B" w:rsidP="00753A7B">
            <w:pPr>
              <w:widowControl/>
              <w:autoSpaceDE/>
              <w:autoSpaceDN/>
              <w:adjustRightInd/>
              <w:jc w:val="center"/>
              <w:rPr>
                <w:rFonts w:asciiTheme="majorHAnsi" w:hAnsiTheme="majorHAnsi"/>
                <w:color w:val="000000"/>
                <w:sz w:val="18"/>
                <w:szCs w:val="18"/>
              </w:rPr>
            </w:pPr>
            <w:r w:rsidRPr="00582ECD">
              <w:rPr>
                <w:rFonts w:asciiTheme="majorHAnsi" w:hAnsiTheme="majorHAnsi"/>
              </w:rPr>
              <w:t>157,9</w:t>
            </w:r>
          </w:p>
        </w:tc>
        <w:tc>
          <w:tcPr>
            <w:tcW w:w="993" w:type="dxa"/>
            <w:tcBorders>
              <w:top w:val="nil"/>
              <w:left w:val="nil"/>
              <w:bottom w:val="single" w:sz="4" w:space="0" w:color="auto"/>
              <w:right w:val="single" w:sz="4" w:space="0" w:color="auto"/>
            </w:tcBorders>
            <w:hideMark/>
          </w:tcPr>
          <w:p w14:paraId="28473F44" w14:textId="3DDCE7C0" w:rsidR="00753A7B" w:rsidRPr="00582ECD" w:rsidRDefault="00753A7B" w:rsidP="00753A7B">
            <w:pPr>
              <w:widowControl/>
              <w:autoSpaceDE/>
              <w:autoSpaceDN/>
              <w:adjustRightInd/>
              <w:jc w:val="center"/>
              <w:rPr>
                <w:rFonts w:asciiTheme="majorHAnsi" w:hAnsiTheme="majorHAnsi"/>
                <w:color w:val="000000"/>
                <w:sz w:val="18"/>
                <w:szCs w:val="18"/>
              </w:rPr>
            </w:pPr>
            <w:r w:rsidRPr="00582ECD">
              <w:rPr>
                <w:rFonts w:asciiTheme="majorHAnsi" w:hAnsiTheme="majorHAnsi"/>
              </w:rPr>
              <w:t>153,9</w:t>
            </w:r>
          </w:p>
        </w:tc>
        <w:tc>
          <w:tcPr>
            <w:tcW w:w="1134" w:type="dxa"/>
            <w:tcBorders>
              <w:top w:val="nil"/>
              <w:left w:val="nil"/>
              <w:bottom w:val="single" w:sz="4" w:space="0" w:color="auto"/>
              <w:right w:val="single" w:sz="4" w:space="0" w:color="auto"/>
            </w:tcBorders>
            <w:hideMark/>
          </w:tcPr>
          <w:p w14:paraId="5052E8BF" w14:textId="5EB37A1A" w:rsidR="00753A7B" w:rsidRPr="00582ECD" w:rsidRDefault="00753A7B" w:rsidP="00753A7B">
            <w:pPr>
              <w:widowControl/>
              <w:autoSpaceDE/>
              <w:autoSpaceDN/>
              <w:adjustRightInd/>
              <w:jc w:val="center"/>
              <w:rPr>
                <w:rFonts w:asciiTheme="majorHAnsi" w:hAnsiTheme="majorHAnsi"/>
                <w:color w:val="000000"/>
                <w:sz w:val="18"/>
                <w:szCs w:val="18"/>
              </w:rPr>
            </w:pPr>
            <w:r w:rsidRPr="00582ECD">
              <w:rPr>
                <w:rFonts w:asciiTheme="majorHAnsi" w:hAnsiTheme="majorHAnsi"/>
              </w:rPr>
              <w:t>159,7</w:t>
            </w:r>
          </w:p>
        </w:tc>
        <w:tc>
          <w:tcPr>
            <w:tcW w:w="992" w:type="dxa"/>
            <w:tcBorders>
              <w:top w:val="nil"/>
              <w:left w:val="nil"/>
              <w:bottom w:val="single" w:sz="4" w:space="0" w:color="auto"/>
              <w:right w:val="single" w:sz="4" w:space="0" w:color="auto"/>
            </w:tcBorders>
            <w:hideMark/>
          </w:tcPr>
          <w:p w14:paraId="17B7C773" w14:textId="266030FB" w:rsidR="00753A7B" w:rsidRPr="00582ECD" w:rsidRDefault="00753A7B" w:rsidP="00753A7B">
            <w:pPr>
              <w:widowControl/>
              <w:autoSpaceDE/>
              <w:autoSpaceDN/>
              <w:adjustRightInd/>
              <w:jc w:val="center"/>
              <w:rPr>
                <w:rFonts w:asciiTheme="majorHAnsi" w:hAnsiTheme="majorHAnsi"/>
                <w:b/>
                <w:bCs/>
                <w:color w:val="000000"/>
                <w:sz w:val="18"/>
                <w:szCs w:val="18"/>
              </w:rPr>
            </w:pPr>
            <w:r w:rsidRPr="00582ECD">
              <w:rPr>
                <w:rFonts w:asciiTheme="majorHAnsi" w:hAnsiTheme="majorHAnsi"/>
              </w:rPr>
              <w:t>471,8</w:t>
            </w:r>
          </w:p>
        </w:tc>
        <w:tc>
          <w:tcPr>
            <w:tcW w:w="992" w:type="dxa"/>
            <w:tcBorders>
              <w:top w:val="nil"/>
              <w:left w:val="nil"/>
              <w:bottom w:val="single" w:sz="4" w:space="0" w:color="auto"/>
              <w:right w:val="single" w:sz="4" w:space="0" w:color="auto"/>
            </w:tcBorders>
            <w:hideMark/>
          </w:tcPr>
          <w:p w14:paraId="006B3503" w14:textId="5343D87C" w:rsidR="00753A7B" w:rsidRPr="00582ECD" w:rsidRDefault="00753A7B" w:rsidP="00753A7B">
            <w:pPr>
              <w:widowControl/>
              <w:autoSpaceDE/>
              <w:autoSpaceDN/>
              <w:adjustRightInd/>
              <w:jc w:val="center"/>
              <w:rPr>
                <w:rFonts w:asciiTheme="majorHAnsi" w:hAnsiTheme="majorHAnsi"/>
                <w:color w:val="000000"/>
                <w:sz w:val="18"/>
                <w:szCs w:val="18"/>
              </w:rPr>
            </w:pPr>
            <w:r w:rsidRPr="00582ECD">
              <w:rPr>
                <w:rFonts w:asciiTheme="majorHAnsi" w:hAnsiTheme="majorHAnsi"/>
              </w:rPr>
              <w:t>471,4</w:t>
            </w:r>
          </w:p>
        </w:tc>
        <w:tc>
          <w:tcPr>
            <w:tcW w:w="1276" w:type="dxa"/>
            <w:tcBorders>
              <w:top w:val="nil"/>
              <w:left w:val="nil"/>
              <w:bottom w:val="single" w:sz="4" w:space="0" w:color="auto"/>
              <w:right w:val="single" w:sz="4" w:space="0" w:color="auto"/>
            </w:tcBorders>
            <w:hideMark/>
          </w:tcPr>
          <w:p w14:paraId="2BDD6A57" w14:textId="6CD4FBF0" w:rsidR="00753A7B" w:rsidRPr="00582ECD" w:rsidRDefault="00753A7B" w:rsidP="00753A7B">
            <w:pPr>
              <w:widowControl/>
              <w:autoSpaceDE/>
              <w:autoSpaceDN/>
              <w:adjustRightInd/>
              <w:jc w:val="center"/>
              <w:rPr>
                <w:rFonts w:asciiTheme="majorHAnsi" w:hAnsiTheme="majorHAnsi"/>
                <w:color w:val="000000"/>
                <w:sz w:val="18"/>
                <w:szCs w:val="18"/>
              </w:rPr>
            </w:pPr>
            <w:r w:rsidRPr="00582ECD">
              <w:rPr>
                <w:rFonts w:asciiTheme="majorHAnsi" w:hAnsiTheme="majorHAnsi"/>
              </w:rPr>
              <w:t>471,40</w:t>
            </w:r>
          </w:p>
        </w:tc>
      </w:tr>
      <w:tr w:rsidR="00753A7B" w:rsidRPr="00582ECD" w14:paraId="5641E861" w14:textId="77777777" w:rsidTr="006D1FBF">
        <w:trPr>
          <w:trHeight w:val="285"/>
          <w:jc w:val="center"/>
        </w:trPr>
        <w:tc>
          <w:tcPr>
            <w:tcW w:w="988" w:type="dxa"/>
            <w:tcBorders>
              <w:top w:val="nil"/>
              <w:left w:val="single" w:sz="4" w:space="0" w:color="auto"/>
              <w:bottom w:val="single" w:sz="4" w:space="0" w:color="auto"/>
              <w:right w:val="single" w:sz="4" w:space="0" w:color="auto"/>
            </w:tcBorders>
            <w:noWrap/>
            <w:vAlign w:val="center"/>
          </w:tcPr>
          <w:p w14:paraId="19E9FBE5" w14:textId="22A4C3A1" w:rsidR="00753A7B" w:rsidRPr="00582ECD" w:rsidRDefault="00753A7B" w:rsidP="00753A7B">
            <w:pPr>
              <w:widowControl/>
              <w:autoSpaceDE/>
              <w:autoSpaceDN/>
              <w:adjustRightInd/>
              <w:rPr>
                <w:rFonts w:asciiTheme="majorHAnsi" w:hAnsiTheme="majorHAnsi"/>
                <w:color w:val="000000"/>
              </w:rPr>
            </w:pPr>
            <w:r w:rsidRPr="00582ECD">
              <w:rPr>
                <w:rFonts w:asciiTheme="majorHAnsi" w:hAnsiTheme="majorHAnsi"/>
                <w:color w:val="000000"/>
              </w:rPr>
              <w:t>Égypte</w:t>
            </w:r>
          </w:p>
        </w:tc>
        <w:tc>
          <w:tcPr>
            <w:tcW w:w="992" w:type="dxa"/>
            <w:tcBorders>
              <w:top w:val="nil"/>
              <w:left w:val="nil"/>
              <w:bottom w:val="single" w:sz="4" w:space="0" w:color="auto"/>
              <w:right w:val="single" w:sz="4" w:space="0" w:color="auto"/>
            </w:tcBorders>
          </w:tcPr>
          <w:p w14:paraId="407147E6" w14:textId="2B4DFEC6" w:rsidR="00753A7B" w:rsidRPr="00582ECD" w:rsidRDefault="00753A7B" w:rsidP="00753A7B">
            <w:pPr>
              <w:widowControl/>
              <w:autoSpaceDE/>
              <w:autoSpaceDN/>
              <w:adjustRightInd/>
              <w:jc w:val="center"/>
              <w:rPr>
                <w:rFonts w:asciiTheme="majorHAnsi" w:hAnsiTheme="majorHAnsi"/>
                <w:color w:val="000000"/>
                <w:sz w:val="18"/>
                <w:szCs w:val="18"/>
              </w:rPr>
            </w:pPr>
            <w:r w:rsidRPr="00582ECD">
              <w:rPr>
                <w:rFonts w:asciiTheme="majorHAnsi" w:hAnsiTheme="majorHAnsi"/>
              </w:rPr>
              <w:t>125,0</w:t>
            </w:r>
          </w:p>
        </w:tc>
        <w:tc>
          <w:tcPr>
            <w:tcW w:w="992" w:type="dxa"/>
            <w:tcBorders>
              <w:top w:val="nil"/>
              <w:left w:val="nil"/>
              <w:bottom w:val="single" w:sz="4" w:space="0" w:color="auto"/>
              <w:right w:val="single" w:sz="4" w:space="0" w:color="auto"/>
            </w:tcBorders>
          </w:tcPr>
          <w:p w14:paraId="54E015E0" w14:textId="77777777" w:rsidR="00753A7B" w:rsidRPr="00582ECD" w:rsidRDefault="00753A7B" w:rsidP="00753A7B">
            <w:pPr>
              <w:widowControl/>
              <w:autoSpaceDE/>
              <w:autoSpaceDN/>
              <w:adjustRightInd/>
              <w:jc w:val="center"/>
              <w:rPr>
                <w:rFonts w:asciiTheme="majorHAnsi" w:hAnsiTheme="majorHAnsi"/>
                <w:color w:val="000000"/>
                <w:sz w:val="18"/>
                <w:szCs w:val="18"/>
                <w:lang w:val="en-GB" w:eastAsia="en-GB"/>
              </w:rPr>
            </w:pPr>
          </w:p>
        </w:tc>
        <w:tc>
          <w:tcPr>
            <w:tcW w:w="992" w:type="dxa"/>
            <w:tcBorders>
              <w:top w:val="nil"/>
              <w:left w:val="nil"/>
              <w:bottom w:val="single" w:sz="4" w:space="0" w:color="auto"/>
              <w:right w:val="single" w:sz="4" w:space="0" w:color="auto"/>
            </w:tcBorders>
          </w:tcPr>
          <w:p w14:paraId="33B40B9E" w14:textId="77777777" w:rsidR="00753A7B" w:rsidRPr="00582ECD" w:rsidRDefault="00753A7B" w:rsidP="00753A7B">
            <w:pPr>
              <w:widowControl/>
              <w:autoSpaceDE/>
              <w:autoSpaceDN/>
              <w:adjustRightInd/>
              <w:jc w:val="center"/>
              <w:rPr>
                <w:rFonts w:asciiTheme="majorHAnsi" w:hAnsiTheme="majorHAnsi"/>
                <w:color w:val="000000"/>
                <w:sz w:val="18"/>
                <w:szCs w:val="18"/>
                <w:lang w:val="en-GB" w:eastAsia="en-GB"/>
              </w:rPr>
            </w:pPr>
          </w:p>
        </w:tc>
        <w:tc>
          <w:tcPr>
            <w:tcW w:w="993" w:type="dxa"/>
            <w:tcBorders>
              <w:top w:val="nil"/>
              <w:left w:val="nil"/>
              <w:bottom w:val="single" w:sz="4" w:space="0" w:color="auto"/>
              <w:right w:val="single" w:sz="4" w:space="0" w:color="auto"/>
            </w:tcBorders>
          </w:tcPr>
          <w:p w14:paraId="1D2E6CB0" w14:textId="77777777" w:rsidR="00753A7B" w:rsidRPr="00582ECD" w:rsidRDefault="00753A7B" w:rsidP="00753A7B">
            <w:pPr>
              <w:widowControl/>
              <w:autoSpaceDE/>
              <w:autoSpaceDN/>
              <w:adjustRightInd/>
              <w:jc w:val="center"/>
              <w:rPr>
                <w:rFonts w:asciiTheme="majorHAnsi" w:hAnsiTheme="majorHAnsi"/>
                <w:color w:val="000000"/>
                <w:sz w:val="18"/>
                <w:szCs w:val="18"/>
                <w:lang w:val="en-GB" w:eastAsia="en-GB"/>
              </w:rPr>
            </w:pPr>
          </w:p>
        </w:tc>
        <w:tc>
          <w:tcPr>
            <w:tcW w:w="1134" w:type="dxa"/>
            <w:tcBorders>
              <w:top w:val="nil"/>
              <w:left w:val="nil"/>
              <w:bottom w:val="single" w:sz="4" w:space="0" w:color="auto"/>
              <w:right w:val="single" w:sz="4" w:space="0" w:color="auto"/>
            </w:tcBorders>
          </w:tcPr>
          <w:p w14:paraId="190C6FEF" w14:textId="660336F4" w:rsidR="00753A7B" w:rsidRPr="00582ECD" w:rsidRDefault="00753A7B" w:rsidP="00753A7B">
            <w:pPr>
              <w:widowControl/>
              <w:autoSpaceDE/>
              <w:autoSpaceDN/>
              <w:adjustRightInd/>
              <w:jc w:val="center"/>
              <w:rPr>
                <w:rFonts w:asciiTheme="majorHAnsi" w:hAnsiTheme="majorHAnsi"/>
                <w:color w:val="000000"/>
                <w:sz w:val="18"/>
                <w:szCs w:val="18"/>
              </w:rPr>
            </w:pPr>
            <w:r w:rsidRPr="00582ECD">
              <w:rPr>
                <w:rFonts w:asciiTheme="majorHAnsi" w:hAnsiTheme="majorHAnsi"/>
              </w:rPr>
              <w:t>124,5</w:t>
            </w:r>
          </w:p>
        </w:tc>
        <w:tc>
          <w:tcPr>
            <w:tcW w:w="992" w:type="dxa"/>
            <w:tcBorders>
              <w:top w:val="nil"/>
              <w:left w:val="nil"/>
              <w:bottom w:val="single" w:sz="4" w:space="0" w:color="auto"/>
              <w:right w:val="single" w:sz="4" w:space="0" w:color="auto"/>
            </w:tcBorders>
          </w:tcPr>
          <w:p w14:paraId="0D2EEF0E" w14:textId="7B85A6B2" w:rsidR="00753A7B" w:rsidRPr="00582ECD" w:rsidRDefault="00753A7B" w:rsidP="00753A7B">
            <w:pPr>
              <w:widowControl/>
              <w:autoSpaceDE/>
              <w:autoSpaceDN/>
              <w:adjustRightInd/>
              <w:jc w:val="center"/>
              <w:rPr>
                <w:rFonts w:asciiTheme="majorHAnsi" w:hAnsiTheme="majorHAnsi"/>
                <w:b/>
                <w:bCs/>
                <w:color w:val="000000"/>
                <w:sz w:val="18"/>
                <w:szCs w:val="18"/>
              </w:rPr>
            </w:pPr>
            <w:r w:rsidRPr="00582ECD">
              <w:rPr>
                <w:rFonts w:asciiTheme="majorHAnsi" w:hAnsiTheme="majorHAnsi"/>
              </w:rPr>
              <w:t>124,5</w:t>
            </w:r>
          </w:p>
        </w:tc>
        <w:tc>
          <w:tcPr>
            <w:tcW w:w="992" w:type="dxa"/>
            <w:tcBorders>
              <w:top w:val="nil"/>
              <w:left w:val="nil"/>
              <w:bottom w:val="single" w:sz="4" w:space="0" w:color="auto"/>
              <w:right w:val="single" w:sz="4" w:space="0" w:color="auto"/>
            </w:tcBorders>
          </w:tcPr>
          <w:p w14:paraId="5C95ADA6" w14:textId="43596C5B" w:rsidR="00753A7B" w:rsidRPr="00582ECD" w:rsidRDefault="00753A7B" w:rsidP="00753A7B">
            <w:pPr>
              <w:widowControl/>
              <w:autoSpaceDE/>
              <w:autoSpaceDN/>
              <w:adjustRightInd/>
              <w:jc w:val="center"/>
              <w:rPr>
                <w:rFonts w:asciiTheme="majorHAnsi" w:hAnsiTheme="majorHAnsi"/>
                <w:color w:val="000000"/>
                <w:sz w:val="18"/>
                <w:szCs w:val="18"/>
              </w:rPr>
            </w:pPr>
            <w:r w:rsidRPr="00582ECD">
              <w:rPr>
                <w:rFonts w:asciiTheme="majorHAnsi" w:hAnsiTheme="majorHAnsi"/>
              </w:rPr>
              <w:t>133,6</w:t>
            </w:r>
          </w:p>
        </w:tc>
        <w:tc>
          <w:tcPr>
            <w:tcW w:w="1276" w:type="dxa"/>
            <w:tcBorders>
              <w:top w:val="nil"/>
              <w:left w:val="nil"/>
              <w:bottom w:val="single" w:sz="4" w:space="0" w:color="auto"/>
              <w:right w:val="single" w:sz="4" w:space="0" w:color="auto"/>
            </w:tcBorders>
          </w:tcPr>
          <w:p w14:paraId="753390AB" w14:textId="74123C9A" w:rsidR="00753A7B" w:rsidRPr="00582ECD" w:rsidRDefault="00753A7B" w:rsidP="00753A7B">
            <w:pPr>
              <w:widowControl/>
              <w:autoSpaceDE/>
              <w:autoSpaceDN/>
              <w:adjustRightInd/>
              <w:jc w:val="center"/>
              <w:rPr>
                <w:rFonts w:asciiTheme="majorHAnsi" w:hAnsiTheme="majorHAnsi"/>
                <w:color w:val="000000"/>
                <w:sz w:val="18"/>
                <w:szCs w:val="18"/>
              </w:rPr>
            </w:pPr>
            <w:r w:rsidRPr="00582ECD">
              <w:rPr>
                <w:rFonts w:asciiTheme="majorHAnsi" w:hAnsiTheme="majorHAnsi"/>
              </w:rPr>
              <w:t>133,63</w:t>
            </w:r>
          </w:p>
        </w:tc>
      </w:tr>
      <w:tr w:rsidR="00753A7B" w:rsidRPr="00582ECD" w14:paraId="6872ACEF" w14:textId="77777777" w:rsidTr="006D1FBF">
        <w:trPr>
          <w:trHeight w:val="285"/>
          <w:jc w:val="center"/>
        </w:trPr>
        <w:tc>
          <w:tcPr>
            <w:tcW w:w="988" w:type="dxa"/>
            <w:tcBorders>
              <w:top w:val="nil"/>
              <w:left w:val="single" w:sz="4" w:space="0" w:color="auto"/>
              <w:bottom w:val="single" w:sz="4" w:space="0" w:color="auto"/>
              <w:right w:val="single" w:sz="4" w:space="0" w:color="auto"/>
            </w:tcBorders>
            <w:noWrap/>
            <w:vAlign w:val="center"/>
            <w:hideMark/>
          </w:tcPr>
          <w:p w14:paraId="467D442D" w14:textId="77777777" w:rsidR="00753A7B" w:rsidRPr="00582ECD" w:rsidRDefault="00753A7B" w:rsidP="00753A7B">
            <w:pPr>
              <w:widowControl/>
              <w:autoSpaceDE/>
              <w:autoSpaceDN/>
              <w:adjustRightInd/>
              <w:rPr>
                <w:rFonts w:asciiTheme="majorHAnsi" w:hAnsiTheme="majorHAnsi"/>
                <w:color w:val="000000"/>
              </w:rPr>
            </w:pPr>
            <w:r w:rsidRPr="00582ECD">
              <w:rPr>
                <w:rFonts w:asciiTheme="majorHAnsi" w:hAnsiTheme="majorHAnsi"/>
                <w:color w:val="000000"/>
              </w:rPr>
              <w:t>UE</w:t>
            </w:r>
          </w:p>
        </w:tc>
        <w:tc>
          <w:tcPr>
            <w:tcW w:w="992" w:type="dxa"/>
            <w:tcBorders>
              <w:top w:val="nil"/>
              <w:left w:val="nil"/>
              <w:bottom w:val="single" w:sz="4" w:space="0" w:color="auto"/>
              <w:right w:val="single" w:sz="4" w:space="0" w:color="auto"/>
            </w:tcBorders>
            <w:hideMark/>
          </w:tcPr>
          <w:p w14:paraId="4EAD5D0C" w14:textId="41D21FCC" w:rsidR="00753A7B" w:rsidRPr="00582ECD" w:rsidRDefault="00753A7B" w:rsidP="00753A7B">
            <w:pPr>
              <w:widowControl/>
              <w:autoSpaceDE/>
              <w:autoSpaceDN/>
              <w:adjustRightInd/>
              <w:jc w:val="center"/>
              <w:rPr>
                <w:rFonts w:asciiTheme="majorHAnsi" w:hAnsiTheme="majorHAnsi"/>
                <w:color w:val="000000"/>
                <w:sz w:val="18"/>
                <w:szCs w:val="18"/>
              </w:rPr>
            </w:pPr>
            <w:r w:rsidRPr="00582ECD">
              <w:rPr>
                <w:rFonts w:asciiTheme="majorHAnsi" w:hAnsiTheme="majorHAnsi"/>
              </w:rPr>
              <w:t>6363,6</w:t>
            </w:r>
          </w:p>
        </w:tc>
        <w:tc>
          <w:tcPr>
            <w:tcW w:w="992" w:type="dxa"/>
            <w:tcBorders>
              <w:top w:val="nil"/>
              <w:left w:val="nil"/>
              <w:bottom w:val="single" w:sz="4" w:space="0" w:color="auto"/>
              <w:right w:val="single" w:sz="4" w:space="0" w:color="auto"/>
            </w:tcBorders>
            <w:hideMark/>
          </w:tcPr>
          <w:p w14:paraId="6BD76202" w14:textId="351AA775" w:rsidR="00753A7B" w:rsidRPr="00582ECD" w:rsidRDefault="00753A7B" w:rsidP="00753A7B">
            <w:pPr>
              <w:widowControl/>
              <w:autoSpaceDE/>
              <w:autoSpaceDN/>
              <w:adjustRightInd/>
              <w:jc w:val="center"/>
              <w:rPr>
                <w:rFonts w:asciiTheme="majorHAnsi" w:hAnsiTheme="majorHAnsi"/>
                <w:color w:val="000000"/>
                <w:sz w:val="18"/>
                <w:szCs w:val="18"/>
              </w:rPr>
            </w:pPr>
            <w:r w:rsidRPr="00582ECD">
              <w:rPr>
                <w:rFonts w:asciiTheme="majorHAnsi" w:hAnsiTheme="majorHAnsi"/>
              </w:rPr>
              <w:t>0,0</w:t>
            </w:r>
          </w:p>
        </w:tc>
        <w:tc>
          <w:tcPr>
            <w:tcW w:w="992" w:type="dxa"/>
            <w:tcBorders>
              <w:top w:val="nil"/>
              <w:left w:val="nil"/>
              <w:bottom w:val="single" w:sz="4" w:space="0" w:color="auto"/>
              <w:right w:val="single" w:sz="4" w:space="0" w:color="auto"/>
            </w:tcBorders>
            <w:hideMark/>
          </w:tcPr>
          <w:p w14:paraId="40D7DFF6" w14:textId="5A96FEE1" w:rsidR="00753A7B" w:rsidRPr="00582ECD" w:rsidRDefault="00753A7B" w:rsidP="00753A7B">
            <w:pPr>
              <w:widowControl/>
              <w:autoSpaceDE/>
              <w:autoSpaceDN/>
              <w:adjustRightInd/>
              <w:jc w:val="center"/>
              <w:rPr>
                <w:rFonts w:asciiTheme="majorHAnsi" w:hAnsiTheme="majorHAnsi"/>
                <w:color w:val="000000"/>
                <w:sz w:val="18"/>
                <w:szCs w:val="18"/>
              </w:rPr>
            </w:pPr>
            <w:r w:rsidRPr="00582ECD">
              <w:rPr>
                <w:rFonts w:asciiTheme="majorHAnsi" w:hAnsiTheme="majorHAnsi"/>
              </w:rPr>
              <w:t>1143,0</w:t>
            </w:r>
          </w:p>
        </w:tc>
        <w:tc>
          <w:tcPr>
            <w:tcW w:w="993" w:type="dxa"/>
            <w:tcBorders>
              <w:top w:val="nil"/>
              <w:left w:val="nil"/>
              <w:bottom w:val="single" w:sz="4" w:space="0" w:color="auto"/>
              <w:right w:val="single" w:sz="4" w:space="0" w:color="auto"/>
            </w:tcBorders>
            <w:hideMark/>
          </w:tcPr>
          <w:p w14:paraId="34B7B650" w14:textId="6DBCF399" w:rsidR="00753A7B" w:rsidRPr="00582ECD" w:rsidRDefault="00753A7B" w:rsidP="00753A7B">
            <w:pPr>
              <w:widowControl/>
              <w:autoSpaceDE/>
              <w:autoSpaceDN/>
              <w:adjustRightInd/>
              <w:jc w:val="center"/>
              <w:rPr>
                <w:rFonts w:asciiTheme="majorHAnsi" w:hAnsiTheme="majorHAnsi"/>
                <w:color w:val="000000"/>
                <w:sz w:val="18"/>
                <w:szCs w:val="18"/>
              </w:rPr>
            </w:pPr>
            <w:r w:rsidRPr="00582ECD">
              <w:rPr>
                <w:rFonts w:asciiTheme="majorHAnsi" w:hAnsiTheme="majorHAnsi"/>
              </w:rPr>
              <w:t>2370,9</w:t>
            </w:r>
          </w:p>
        </w:tc>
        <w:tc>
          <w:tcPr>
            <w:tcW w:w="1134" w:type="dxa"/>
            <w:tcBorders>
              <w:top w:val="nil"/>
              <w:left w:val="nil"/>
              <w:bottom w:val="single" w:sz="4" w:space="0" w:color="auto"/>
              <w:right w:val="single" w:sz="4" w:space="0" w:color="auto"/>
            </w:tcBorders>
            <w:hideMark/>
          </w:tcPr>
          <w:p w14:paraId="06D9DBA8" w14:textId="04DA2A13" w:rsidR="00753A7B" w:rsidRPr="00582ECD" w:rsidRDefault="00753A7B" w:rsidP="00753A7B">
            <w:pPr>
              <w:widowControl/>
              <w:autoSpaceDE/>
              <w:autoSpaceDN/>
              <w:adjustRightInd/>
              <w:jc w:val="center"/>
              <w:rPr>
                <w:rFonts w:asciiTheme="majorHAnsi" w:hAnsiTheme="majorHAnsi"/>
                <w:color w:val="000000"/>
                <w:sz w:val="18"/>
                <w:szCs w:val="18"/>
              </w:rPr>
            </w:pPr>
            <w:r w:rsidRPr="00582ECD">
              <w:rPr>
                <w:rFonts w:asciiTheme="majorHAnsi" w:hAnsiTheme="majorHAnsi"/>
              </w:rPr>
              <w:t>589,7</w:t>
            </w:r>
          </w:p>
        </w:tc>
        <w:tc>
          <w:tcPr>
            <w:tcW w:w="992" w:type="dxa"/>
            <w:tcBorders>
              <w:top w:val="nil"/>
              <w:left w:val="nil"/>
              <w:bottom w:val="single" w:sz="4" w:space="0" w:color="auto"/>
              <w:right w:val="single" w:sz="4" w:space="0" w:color="auto"/>
            </w:tcBorders>
            <w:hideMark/>
          </w:tcPr>
          <w:p w14:paraId="6ECC5F2C" w14:textId="408CC72F" w:rsidR="00753A7B" w:rsidRPr="00582ECD" w:rsidRDefault="00753A7B" w:rsidP="00753A7B">
            <w:pPr>
              <w:widowControl/>
              <w:autoSpaceDE/>
              <w:autoSpaceDN/>
              <w:adjustRightInd/>
              <w:jc w:val="center"/>
              <w:rPr>
                <w:rFonts w:asciiTheme="majorHAnsi" w:hAnsiTheme="majorHAnsi"/>
                <w:b/>
                <w:bCs/>
                <w:color w:val="000000"/>
                <w:sz w:val="18"/>
                <w:szCs w:val="18"/>
              </w:rPr>
            </w:pPr>
            <w:r w:rsidRPr="00582ECD">
              <w:rPr>
                <w:rFonts w:asciiTheme="majorHAnsi" w:hAnsiTheme="majorHAnsi"/>
              </w:rPr>
              <w:t>4103,6</w:t>
            </w:r>
          </w:p>
        </w:tc>
        <w:tc>
          <w:tcPr>
            <w:tcW w:w="992" w:type="dxa"/>
            <w:tcBorders>
              <w:top w:val="nil"/>
              <w:left w:val="nil"/>
              <w:bottom w:val="single" w:sz="4" w:space="0" w:color="auto"/>
              <w:right w:val="single" w:sz="4" w:space="0" w:color="auto"/>
            </w:tcBorders>
            <w:hideMark/>
          </w:tcPr>
          <w:p w14:paraId="316BFC18" w14:textId="73C23D53" w:rsidR="00753A7B" w:rsidRPr="00582ECD" w:rsidRDefault="00753A7B" w:rsidP="00753A7B">
            <w:pPr>
              <w:widowControl/>
              <w:autoSpaceDE/>
              <w:autoSpaceDN/>
              <w:adjustRightInd/>
              <w:jc w:val="center"/>
              <w:rPr>
                <w:rFonts w:asciiTheme="majorHAnsi" w:hAnsiTheme="majorHAnsi"/>
                <w:color w:val="000000"/>
                <w:sz w:val="18"/>
                <w:szCs w:val="18"/>
              </w:rPr>
            </w:pPr>
            <w:r w:rsidRPr="00582ECD">
              <w:rPr>
                <w:rFonts w:asciiTheme="majorHAnsi" w:hAnsiTheme="majorHAnsi"/>
              </w:rPr>
              <w:t>4274,6</w:t>
            </w:r>
          </w:p>
        </w:tc>
        <w:tc>
          <w:tcPr>
            <w:tcW w:w="1276" w:type="dxa"/>
            <w:tcBorders>
              <w:top w:val="nil"/>
              <w:left w:val="nil"/>
              <w:bottom w:val="single" w:sz="4" w:space="0" w:color="auto"/>
              <w:right w:val="single" w:sz="4" w:space="0" w:color="auto"/>
            </w:tcBorders>
            <w:hideMark/>
          </w:tcPr>
          <w:p w14:paraId="16B2E7C8" w14:textId="7DB77E87" w:rsidR="00753A7B" w:rsidRPr="00582ECD" w:rsidRDefault="00753A7B" w:rsidP="00753A7B">
            <w:pPr>
              <w:widowControl/>
              <w:autoSpaceDE/>
              <w:autoSpaceDN/>
              <w:adjustRightInd/>
              <w:jc w:val="center"/>
              <w:rPr>
                <w:rFonts w:asciiTheme="majorHAnsi" w:hAnsiTheme="majorHAnsi"/>
                <w:color w:val="000000"/>
                <w:sz w:val="18"/>
                <w:szCs w:val="18"/>
              </w:rPr>
            </w:pPr>
            <w:r w:rsidRPr="00582ECD">
              <w:rPr>
                <w:rFonts w:asciiTheme="majorHAnsi" w:hAnsiTheme="majorHAnsi"/>
              </w:rPr>
              <w:t>4472,44</w:t>
            </w:r>
          </w:p>
        </w:tc>
      </w:tr>
      <w:tr w:rsidR="00753A7B" w:rsidRPr="00582ECD" w14:paraId="76E89B02" w14:textId="77777777" w:rsidTr="006D1FBF">
        <w:trPr>
          <w:trHeight w:val="285"/>
          <w:jc w:val="center"/>
        </w:trPr>
        <w:tc>
          <w:tcPr>
            <w:tcW w:w="988" w:type="dxa"/>
            <w:tcBorders>
              <w:top w:val="nil"/>
              <w:left w:val="single" w:sz="4" w:space="0" w:color="auto"/>
              <w:bottom w:val="single" w:sz="4" w:space="0" w:color="auto"/>
              <w:right w:val="single" w:sz="4" w:space="0" w:color="auto"/>
            </w:tcBorders>
            <w:noWrap/>
            <w:vAlign w:val="center"/>
          </w:tcPr>
          <w:p w14:paraId="6DAC5E41" w14:textId="678B61BD" w:rsidR="00753A7B" w:rsidRPr="00582ECD" w:rsidRDefault="00753A7B" w:rsidP="00753A7B">
            <w:pPr>
              <w:widowControl/>
              <w:autoSpaceDE/>
              <w:autoSpaceDN/>
              <w:adjustRightInd/>
              <w:rPr>
                <w:rFonts w:asciiTheme="majorHAnsi" w:hAnsiTheme="majorHAnsi"/>
                <w:color w:val="000000"/>
              </w:rPr>
            </w:pPr>
            <w:r w:rsidRPr="00582ECD">
              <w:rPr>
                <w:rFonts w:asciiTheme="majorHAnsi" w:hAnsiTheme="majorHAnsi"/>
                <w:color w:val="000000"/>
              </w:rPr>
              <w:t>Libye</w:t>
            </w:r>
          </w:p>
        </w:tc>
        <w:tc>
          <w:tcPr>
            <w:tcW w:w="992" w:type="dxa"/>
            <w:tcBorders>
              <w:top w:val="nil"/>
              <w:left w:val="nil"/>
              <w:bottom w:val="single" w:sz="4" w:space="0" w:color="auto"/>
              <w:right w:val="single" w:sz="4" w:space="0" w:color="auto"/>
            </w:tcBorders>
          </w:tcPr>
          <w:p w14:paraId="08A8E59E" w14:textId="5B737251" w:rsidR="00753A7B" w:rsidRPr="00582ECD" w:rsidRDefault="00753A7B" w:rsidP="00753A7B">
            <w:pPr>
              <w:widowControl/>
              <w:autoSpaceDE/>
              <w:autoSpaceDN/>
              <w:adjustRightInd/>
              <w:jc w:val="center"/>
              <w:rPr>
                <w:rFonts w:asciiTheme="majorHAnsi" w:hAnsiTheme="majorHAnsi"/>
                <w:color w:val="000000"/>
                <w:sz w:val="18"/>
                <w:szCs w:val="18"/>
              </w:rPr>
            </w:pPr>
            <w:r w:rsidRPr="00582ECD">
              <w:rPr>
                <w:rFonts w:asciiTheme="majorHAnsi" w:hAnsiTheme="majorHAnsi"/>
              </w:rPr>
              <w:t>125,0</w:t>
            </w:r>
          </w:p>
        </w:tc>
        <w:tc>
          <w:tcPr>
            <w:tcW w:w="992" w:type="dxa"/>
            <w:tcBorders>
              <w:top w:val="nil"/>
              <w:left w:val="nil"/>
              <w:bottom w:val="single" w:sz="4" w:space="0" w:color="auto"/>
              <w:right w:val="single" w:sz="4" w:space="0" w:color="auto"/>
            </w:tcBorders>
          </w:tcPr>
          <w:p w14:paraId="527D9791" w14:textId="77777777" w:rsidR="00753A7B" w:rsidRPr="00582ECD" w:rsidRDefault="00753A7B" w:rsidP="00753A7B">
            <w:pPr>
              <w:widowControl/>
              <w:autoSpaceDE/>
              <w:autoSpaceDN/>
              <w:adjustRightInd/>
              <w:jc w:val="center"/>
              <w:rPr>
                <w:rFonts w:asciiTheme="majorHAnsi" w:hAnsiTheme="majorHAnsi"/>
                <w:color w:val="000000"/>
                <w:sz w:val="18"/>
                <w:szCs w:val="18"/>
                <w:lang w:val="en-GB" w:eastAsia="en-GB"/>
              </w:rPr>
            </w:pPr>
          </w:p>
        </w:tc>
        <w:tc>
          <w:tcPr>
            <w:tcW w:w="992" w:type="dxa"/>
            <w:tcBorders>
              <w:top w:val="nil"/>
              <w:left w:val="nil"/>
              <w:bottom w:val="single" w:sz="4" w:space="0" w:color="auto"/>
              <w:right w:val="single" w:sz="4" w:space="0" w:color="auto"/>
            </w:tcBorders>
          </w:tcPr>
          <w:p w14:paraId="372C8638" w14:textId="77777777" w:rsidR="00753A7B" w:rsidRPr="00582ECD" w:rsidRDefault="00753A7B" w:rsidP="00753A7B">
            <w:pPr>
              <w:widowControl/>
              <w:autoSpaceDE/>
              <w:autoSpaceDN/>
              <w:adjustRightInd/>
              <w:jc w:val="center"/>
              <w:rPr>
                <w:rFonts w:asciiTheme="majorHAnsi" w:hAnsiTheme="majorHAnsi"/>
                <w:color w:val="000000"/>
                <w:sz w:val="18"/>
                <w:szCs w:val="18"/>
                <w:lang w:val="en-GB" w:eastAsia="en-GB"/>
              </w:rPr>
            </w:pPr>
          </w:p>
        </w:tc>
        <w:tc>
          <w:tcPr>
            <w:tcW w:w="993" w:type="dxa"/>
            <w:tcBorders>
              <w:top w:val="nil"/>
              <w:left w:val="nil"/>
              <w:bottom w:val="single" w:sz="4" w:space="0" w:color="auto"/>
              <w:right w:val="single" w:sz="4" w:space="0" w:color="auto"/>
            </w:tcBorders>
          </w:tcPr>
          <w:p w14:paraId="4225E570" w14:textId="77777777" w:rsidR="00753A7B" w:rsidRPr="00582ECD" w:rsidRDefault="00753A7B" w:rsidP="00753A7B">
            <w:pPr>
              <w:widowControl/>
              <w:autoSpaceDE/>
              <w:autoSpaceDN/>
              <w:adjustRightInd/>
              <w:jc w:val="center"/>
              <w:rPr>
                <w:rFonts w:asciiTheme="majorHAnsi" w:hAnsiTheme="majorHAnsi"/>
                <w:color w:val="000000"/>
                <w:sz w:val="18"/>
                <w:szCs w:val="18"/>
                <w:lang w:val="en-GB" w:eastAsia="en-GB"/>
              </w:rPr>
            </w:pPr>
          </w:p>
        </w:tc>
        <w:tc>
          <w:tcPr>
            <w:tcW w:w="1134" w:type="dxa"/>
            <w:tcBorders>
              <w:top w:val="nil"/>
              <w:left w:val="nil"/>
              <w:bottom w:val="single" w:sz="4" w:space="0" w:color="auto"/>
              <w:right w:val="single" w:sz="4" w:space="0" w:color="auto"/>
            </w:tcBorders>
          </w:tcPr>
          <w:p w14:paraId="42DFE463" w14:textId="77777777" w:rsidR="00753A7B" w:rsidRPr="00582ECD" w:rsidRDefault="00753A7B" w:rsidP="00753A7B">
            <w:pPr>
              <w:widowControl/>
              <w:autoSpaceDE/>
              <w:autoSpaceDN/>
              <w:adjustRightInd/>
              <w:jc w:val="center"/>
              <w:rPr>
                <w:rFonts w:asciiTheme="majorHAnsi" w:hAnsiTheme="majorHAnsi"/>
                <w:color w:val="000000"/>
                <w:sz w:val="18"/>
                <w:szCs w:val="18"/>
                <w:lang w:val="en-GB" w:eastAsia="en-GB"/>
              </w:rPr>
            </w:pPr>
          </w:p>
        </w:tc>
        <w:tc>
          <w:tcPr>
            <w:tcW w:w="992" w:type="dxa"/>
            <w:tcBorders>
              <w:top w:val="nil"/>
              <w:left w:val="nil"/>
              <w:bottom w:val="single" w:sz="4" w:space="0" w:color="auto"/>
              <w:right w:val="single" w:sz="4" w:space="0" w:color="auto"/>
            </w:tcBorders>
          </w:tcPr>
          <w:p w14:paraId="2249769E" w14:textId="77777777" w:rsidR="00753A7B" w:rsidRPr="00582ECD" w:rsidRDefault="00753A7B" w:rsidP="00753A7B">
            <w:pPr>
              <w:widowControl/>
              <w:autoSpaceDE/>
              <w:autoSpaceDN/>
              <w:adjustRightInd/>
              <w:jc w:val="center"/>
              <w:rPr>
                <w:rFonts w:asciiTheme="majorHAnsi" w:hAnsiTheme="majorHAnsi"/>
                <w:b/>
                <w:bCs/>
                <w:color w:val="000000"/>
                <w:sz w:val="18"/>
                <w:szCs w:val="18"/>
                <w:lang w:val="en-GB" w:eastAsia="en-GB"/>
              </w:rPr>
            </w:pPr>
          </w:p>
        </w:tc>
        <w:tc>
          <w:tcPr>
            <w:tcW w:w="992" w:type="dxa"/>
            <w:tcBorders>
              <w:top w:val="nil"/>
              <w:left w:val="nil"/>
              <w:bottom w:val="single" w:sz="4" w:space="0" w:color="auto"/>
              <w:right w:val="single" w:sz="4" w:space="0" w:color="auto"/>
            </w:tcBorders>
          </w:tcPr>
          <w:p w14:paraId="77585E44" w14:textId="77777777" w:rsidR="00753A7B" w:rsidRPr="00582ECD" w:rsidRDefault="00753A7B" w:rsidP="00753A7B">
            <w:pPr>
              <w:widowControl/>
              <w:autoSpaceDE/>
              <w:autoSpaceDN/>
              <w:adjustRightInd/>
              <w:jc w:val="center"/>
              <w:rPr>
                <w:rFonts w:asciiTheme="majorHAnsi" w:hAnsiTheme="majorHAnsi"/>
                <w:color w:val="000000"/>
                <w:sz w:val="18"/>
                <w:szCs w:val="18"/>
                <w:lang w:val="en-GB" w:eastAsia="en-GB"/>
              </w:rPr>
            </w:pPr>
          </w:p>
        </w:tc>
        <w:tc>
          <w:tcPr>
            <w:tcW w:w="1276" w:type="dxa"/>
            <w:tcBorders>
              <w:top w:val="nil"/>
              <w:left w:val="nil"/>
              <w:bottom w:val="single" w:sz="4" w:space="0" w:color="auto"/>
              <w:right w:val="single" w:sz="4" w:space="0" w:color="auto"/>
            </w:tcBorders>
            <w:vAlign w:val="center"/>
          </w:tcPr>
          <w:p w14:paraId="142552DD" w14:textId="77777777" w:rsidR="00753A7B" w:rsidRPr="00582ECD" w:rsidRDefault="00753A7B" w:rsidP="00753A7B">
            <w:pPr>
              <w:widowControl/>
              <w:autoSpaceDE/>
              <w:autoSpaceDN/>
              <w:adjustRightInd/>
              <w:jc w:val="center"/>
              <w:rPr>
                <w:rFonts w:asciiTheme="majorHAnsi" w:hAnsiTheme="majorHAnsi"/>
                <w:color w:val="000000"/>
                <w:sz w:val="18"/>
                <w:szCs w:val="18"/>
                <w:lang w:val="en-GB" w:eastAsia="en-GB"/>
              </w:rPr>
            </w:pPr>
          </w:p>
        </w:tc>
      </w:tr>
      <w:tr w:rsidR="00753A7B" w:rsidRPr="00582ECD" w14:paraId="00ED2477" w14:textId="77777777" w:rsidTr="006D1FBF">
        <w:trPr>
          <w:trHeight w:val="285"/>
          <w:jc w:val="center"/>
        </w:trPr>
        <w:tc>
          <w:tcPr>
            <w:tcW w:w="988" w:type="dxa"/>
            <w:tcBorders>
              <w:top w:val="nil"/>
              <w:left w:val="single" w:sz="4" w:space="0" w:color="auto"/>
              <w:bottom w:val="single" w:sz="4" w:space="0" w:color="auto"/>
              <w:right w:val="single" w:sz="4" w:space="0" w:color="auto"/>
            </w:tcBorders>
            <w:noWrap/>
            <w:vAlign w:val="center"/>
            <w:hideMark/>
          </w:tcPr>
          <w:p w14:paraId="12613F65" w14:textId="77777777" w:rsidR="00753A7B" w:rsidRPr="00582ECD" w:rsidRDefault="00753A7B" w:rsidP="00753A7B">
            <w:pPr>
              <w:widowControl/>
              <w:autoSpaceDE/>
              <w:autoSpaceDN/>
              <w:adjustRightInd/>
              <w:rPr>
                <w:rFonts w:asciiTheme="majorHAnsi" w:hAnsiTheme="majorHAnsi"/>
                <w:color w:val="000000"/>
              </w:rPr>
            </w:pPr>
            <w:r w:rsidRPr="00582ECD">
              <w:rPr>
                <w:rFonts w:asciiTheme="majorHAnsi" w:hAnsiTheme="majorHAnsi"/>
                <w:color w:val="000000"/>
              </w:rPr>
              <w:t>Maroc</w:t>
            </w:r>
          </w:p>
        </w:tc>
        <w:tc>
          <w:tcPr>
            <w:tcW w:w="992" w:type="dxa"/>
            <w:tcBorders>
              <w:top w:val="nil"/>
              <w:left w:val="nil"/>
              <w:bottom w:val="single" w:sz="4" w:space="0" w:color="auto"/>
              <w:right w:val="single" w:sz="4" w:space="0" w:color="auto"/>
            </w:tcBorders>
            <w:hideMark/>
          </w:tcPr>
          <w:p w14:paraId="37C9AEC1" w14:textId="037DF81C" w:rsidR="00753A7B" w:rsidRPr="00582ECD" w:rsidRDefault="00753A7B" w:rsidP="00753A7B">
            <w:pPr>
              <w:widowControl/>
              <w:autoSpaceDE/>
              <w:autoSpaceDN/>
              <w:adjustRightInd/>
              <w:jc w:val="center"/>
              <w:rPr>
                <w:rFonts w:asciiTheme="majorHAnsi" w:hAnsiTheme="majorHAnsi"/>
                <w:color w:val="000000"/>
                <w:sz w:val="18"/>
                <w:szCs w:val="18"/>
              </w:rPr>
            </w:pPr>
            <w:r w:rsidRPr="00582ECD">
              <w:rPr>
                <w:rFonts w:asciiTheme="majorHAnsi" w:hAnsiTheme="majorHAnsi"/>
              </w:rPr>
              <w:t>896,5</w:t>
            </w:r>
          </w:p>
        </w:tc>
        <w:tc>
          <w:tcPr>
            <w:tcW w:w="992" w:type="dxa"/>
            <w:tcBorders>
              <w:top w:val="nil"/>
              <w:left w:val="nil"/>
              <w:bottom w:val="single" w:sz="4" w:space="0" w:color="auto"/>
              <w:right w:val="single" w:sz="4" w:space="0" w:color="auto"/>
            </w:tcBorders>
            <w:hideMark/>
          </w:tcPr>
          <w:p w14:paraId="4F41EA45" w14:textId="12A3EF6A" w:rsidR="00753A7B" w:rsidRPr="00582ECD" w:rsidRDefault="00753A7B" w:rsidP="00753A7B">
            <w:pPr>
              <w:widowControl/>
              <w:autoSpaceDE/>
              <w:autoSpaceDN/>
              <w:adjustRightInd/>
              <w:jc w:val="center"/>
              <w:rPr>
                <w:rFonts w:asciiTheme="majorHAnsi" w:hAnsiTheme="majorHAnsi"/>
                <w:color w:val="000000"/>
                <w:sz w:val="18"/>
                <w:szCs w:val="18"/>
              </w:rPr>
            </w:pPr>
            <w:r w:rsidRPr="00582ECD">
              <w:rPr>
                <w:rFonts w:asciiTheme="majorHAnsi" w:hAnsiTheme="majorHAnsi"/>
              </w:rPr>
              <w:t>29,1</w:t>
            </w:r>
          </w:p>
        </w:tc>
        <w:tc>
          <w:tcPr>
            <w:tcW w:w="992" w:type="dxa"/>
            <w:tcBorders>
              <w:top w:val="nil"/>
              <w:left w:val="nil"/>
              <w:bottom w:val="single" w:sz="4" w:space="0" w:color="auto"/>
              <w:right w:val="single" w:sz="4" w:space="0" w:color="auto"/>
            </w:tcBorders>
            <w:hideMark/>
          </w:tcPr>
          <w:p w14:paraId="2EC52FD6" w14:textId="3624738D" w:rsidR="00753A7B" w:rsidRPr="00582ECD" w:rsidRDefault="00753A7B" w:rsidP="00753A7B">
            <w:pPr>
              <w:widowControl/>
              <w:autoSpaceDE/>
              <w:autoSpaceDN/>
              <w:adjustRightInd/>
              <w:jc w:val="center"/>
              <w:rPr>
                <w:rFonts w:asciiTheme="majorHAnsi" w:hAnsiTheme="majorHAnsi"/>
                <w:color w:val="000000"/>
                <w:sz w:val="18"/>
                <w:szCs w:val="18"/>
              </w:rPr>
            </w:pPr>
            <w:r w:rsidRPr="00582ECD">
              <w:rPr>
                <w:rFonts w:asciiTheme="majorHAnsi" w:hAnsiTheme="majorHAnsi"/>
              </w:rPr>
              <w:t>627,3</w:t>
            </w:r>
          </w:p>
        </w:tc>
        <w:tc>
          <w:tcPr>
            <w:tcW w:w="993" w:type="dxa"/>
            <w:tcBorders>
              <w:top w:val="nil"/>
              <w:left w:val="nil"/>
              <w:bottom w:val="single" w:sz="4" w:space="0" w:color="auto"/>
              <w:right w:val="single" w:sz="4" w:space="0" w:color="auto"/>
            </w:tcBorders>
            <w:hideMark/>
          </w:tcPr>
          <w:p w14:paraId="5DC8E541" w14:textId="2F71AAFC" w:rsidR="00753A7B" w:rsidRPr="00582ECD" w:rsidRDefault="00753A7B" w:rsidP="00753A7B">
            <w:pPr>
              <w:widowControl/>
              <w:autoSpaceDE/>
              <w:autoSpaceDN/>
              <w:adjustRightInd/>
              <w:jc w:val="center"/>
              <w:rPr>
                <w:rFonts w:asciiTheme="majorHAnsi" w:hAnsiTheme="majorHAnsi"/>
                <w:color w:val="000000"/>
                <w:sz w:val="18"/>
                <w:szCs w:val="18"/>
              </w:rPr>
            </w:pPr>
            <w:r w:rsidRPr="00582ECD">
              <w:rPr>
                <w:rFonts w:asciiTheme="majorHAnsi" w:hAnsiTheme="majorHAnsi"/>
              </w:rPr>
              <w:t>88,0</w:t>
            </w:r>
          </w:p>
        </w:tc>
        <w:tc>
          <w:tcPr>
            <w:tcW w:w="1134" w:type="dxa"/>
            <w:tcBorders>
              <w:top w:val="nil"/>
              <w:left w:val="nil"/>
              <w:bottom w:val="single" w:sz="4" w:space="0" w:color="auto"/>
              <w:right w:val="single" w:sz="4" w:space="0" w:color="auto"/>
            </w:tcBorders>
            <w:hideMark/>
          </w:tcPr>
          <w:p w14:paraId="7F0FD782" w14:textId="36B95951" w:rsidR="00753A7B" w:rsidRPr="00582ECD" w:rsidRDefault="00753A7B" w:rsidP="00753A7B">
            <w:pPr>
              <w:widowControl/>
              <w:autoSpaceDE/>
              <w:autoSpaceDN/>
              <w:adjustRightInd/>
              <w:jc w:val="center"/>
              <w:rPr>
                <w:rFonts w:asciiTheme="majorHAnsi" w:hAnsiTheme="majorHAnsi"/>
                <w:color w:val="000000"/>
                <w:sz w:val="18"/>
                <w:szCs w:val="18"/>
              </w:rPr>
            </w:pPr>
            <w:r w:rsidRPr="00582ECD">
              <w:rPr>
                <w:rFonts w:asciiTheme="majorHAnsi" w:hAnsiTheme="majorHAnsi"/>
              </w:rPr>
              <w:t>152,1</w:t>
            </w:r>
          </w:p>
        </w:tc>
        <w:tc>
          <w:tcPr>
            <w:tcW w:w="992" w:type="dxa"/>
            <w:tcBorders>
              <w:top w:val="nil"/>
              <w:left w:val="nil"/>
              <w:bottom w:val="single" w:sz="4" w:space="0" w:color="auto"/>
              <w:right w:val="single" w:sz="4" w:space="0" w:color="auto"/>
            </w:tcBorders>
            <w:hideMark/>
          </w:tcPr>
          <w:p w14:paraId="1DCBA1D2" w14:textId="7FA4551C" w:rsidR="00753A7B" w:rsidRPr="00582ECD" w:rsidRDefault="00753A7B" w:rsidP="00753A7B">
            <w:pPr>
              <w:widowControl/>
              <w:autoSpaceDE/>
              <w:autoSpaceDN/>
              <w:adjustRightInd/>
              <w:jc w:val="center"/>
              <w:rPr>
                <w:rFonts w:asciiTheme="majorHAnsi" w:hAnsiTheme="majorHAnsi"/>
                <w:b/>
                <w:bCs/>
                <w:color w:val="000000"/>
                <w:sz w:val="18"/>
                <w:szCs w:val="18"/>
              </w:rPr>
            </w:pPr>
            <w:r w:rsidRPr="00582ECD">
              <w:rPr>
                <w:rFonts w:asciiTheme="majorHAnsi" w:hAnsiTheme="majorHAnsi"/>
              </w:rPr>
              <w:t>896,5</w:t>
            </w:r>
          </w:p>
        </w:tc>
        <w:tc>
          <w:tcPr>
            <w:tcW w:w="992" w:type="dxa"/>
            <w:tcBorders>
              <w:top w:val="nil"/>
              <w:left w:val="nil"/>
              <w:bottom w:val="single" w:sz="4" w:space="0" w:color="auto"/>
              <w:right w:val="single" w:sz="4" w:space="0" w:color="auto"/>
            </w:tcBorders>
            <w:hideMark/>
          </w:tcPr>
          <w:p w14:paraId="280BB80D" w14:textId="5E620776" w:rsidR="00753A7B" w:rsidRPr="00582ECD" w:rsidRDefault="00753A7B" w:rsidP="00753A7B">
            <w:pPr>
              <w:widowControl/>
              <w:autoSpaceDE/>
              <w:autoSpaceDN/>
              <w:adjustRightInd/>
              <w:jc w:val="center"/>
              <w:rPr>
                <w:rFonts w:asciiTheme="majorHAnsi" w:hAnsiTheme="majorHAnsi"/>
                <w:color w:val="000000"/>
                <w:sz w:val="18"/>
                <w:szCs w:val="18"/>
              </w:rPr>
            </w:pPr>
            <w:r w:rsidRPr="00582ECD">
              <w:rPr>
                <w:rFonts w:asciiTheme="majorHAnsi" w:hAnsiTheme="majorHAnsi"/>
              </w:rPr>
              <w:t>896,5</w:t>
            </w:r>
          </w:p>
        </w:tc>
        <w:tc>
          <w:tcPr>
            <w:tcW w:w="1276" w:type="dxa"/>
            <w:tcBorders>
              <w:top w:val="nil"/>
              <w:left w:val="nil"/>
              <w:bottom w:val="single" w:sz="4" w:space="0" w:color="auto"/>
              <w:right w:val="single" w:sz="4" w:space="0" w:color="auto"/>
            </w:tcBorders>
            <w:vAlign w:val="center"/>
            <w:hideMark/>
          </w:tcPr>
          <w:p w14:paraId="64A09E7E" w14:textId="71C5101B" w:rsidR="00753A7B" w:rsidRPr="00582ECD" w:rsidRDefault="00753A7B" w:rsidP="00753A7B">
            <w:pPr>
              <w:widowControl/>
              <w:autoSpaceDE/>
              <w:autoSpaceDN/>
              <w:adjustRightInd/>
              <w:jc w:val="center"/>
              <w:rPr>
                <w:rFonts w:asciiTheme="majorHAnsi" w:hAnsiTheme="majorHAnsi"/>
                <w:color w:val="000000"/>
                <w:sz w:val="18"/>
                <w:szCs w:val="18"/>
              </w:rPr>
            </w:pPr>
            <w:r w:rsidRPr="00582ECD">
              <w:rPr>
                <w:rFonts w:asciiTheme="majorHAnsi" w:hAnsiTheme="majorHAnsi"/>
                <w:color w:val="000000"/>
                <w:sz w:val="18"/>
              </w:rPr>
              <w:t>896,47</w:t>
            </w:r>
          </w:p>
        </w:tc>
      </w:tr>
      <w:tr w:rsidR="00753A7B" w:rsidRPr="00582ECD" w14:paraId="50DDBEAE" w14:textId="77777777" w:rsidTr="006D1FBF">
        <w:trPr>
          <w:trHeight w:val="285"/>
          <w:jc w:val="center"/>
        </w:trPr>
        <w:tc>
          <w:tcPr>
            <w:tcW w:w="988" w:type="dxa"/>
            <w:tcBorders>
              <w:top w:val="nil"/>
              <w:left w:val="single" w:sz="4" w:space="0" w:color="auto"/>
              <w:bottom w:val="single" w:sz="4" w:space="0" w:color="auto"/>
              <w:right w:val="single" w:sz="4" w:space="0" w:color="auto"/>
            </w:tcBorders>
            <w:noWrap/>
            <w:vAlign w:val="center"/>
            <w:hideMark/>
          </w:tcPr>
          <w:p w14:paraId="249C90CB" w14:textId="77777777" w:rsidR="00753A7B" w:rsidRPr="00582ECD" w:rsidRDefault="00753A7B" w:rsidP="00753A7B">
            <w:pPr>
              <w:widowControl/>
              <w:autoSpaceDE/>
              <w:autoSpaceDN/>
              <w:adjustRightInd/>
              <w:rPr>
                <w:rFonts w:asciiTheme="majorHAnsi" w:hAnsiTheme="majorHAnsi"/>
                <w:color w:val="000000"/>
              </w:rPr>
            </w:pPr>
            <w:r w:rsidRPr="00582ECD">
              <w:rPr>
                <w:rFonts w:asciiTheme="majorHAnsi" w:hAnsiTheme="majorHAnsi"/>
                <w:color w:val="000000"/>
              </w:rPr>
              <w:t>Tunisie</w:t>
            </w:r>
          </w:p>
        </w:tc>
        <w:tc>
          <w:tcPr>
            <w:tcW w:w="992" w:type="dxa"/>
            <w:tcBorders>
              <w:top w:val="nil"/>
              <w:left w:val="nil"/>
              <w:bottom w:val="single" w:sz="4" w:space="0" w:color="auto"/>
              <w:right w:val="single" w:sz="4" w:space="0" w:color="auto"/>
            </w:tcBorders>
            <w:hideMark/>
          </w:tcPr>
          <w:p w14:paraId="256B91FE" w14:textId="3007DEA2" w:rsidR="00753A7B" w:rsidRPr="00582ECD" w:rsidRDefault="00753A7B" w:rsidP="00753A7B">
            <w:pPr>
              <w:widowControl/>
              <w:autoSpaceDE/>
              <w:autoSpaceDN/>
              <w:adjustRightInd/>
              <w:jc w:val="center"/>
              <w:rPr>
                <w:rFonts w:asciiTheme="majorHAnsi" w:hAnsiTheme="majorHAnsi"/>
                <w:color w:val="000000"/>
                <w:sz w:val="18"/>
                <w:szCs w:val="18"/>
              </w:rPr>
            </w:pPr>
            <w:r w:rsidRPr="00582ECD">
              <w:rPr>
                <w:rFonts w:asciiTheme="majorHAnsi" w:hAnsiTheme="majorHAnsi"/>
              </w:rPr>
              <w:t>865,3</w:t>
            </w:r>
          </w:p>
        </w:tc>
        <w:tc>
          <w:tcPr>
            <w:tcW w:w="992" w:type="dxa"/>
            <w:tcBorders>
              <w:top w:val="nil"/>
              <w:left w:val="nil"/>
              <w:bottom w:val="single" w:sz="4" w:space="0" w:color="auto"/>
              <w:right w:val="single" w:sz="4" w:space="0" w:color="auto"/>
            </w:tcBorders>
            <w:hideMark/>
          </w:tcPr>
          <w:p w14:paraId="2ACC7EE0" w14:textId="38F4CC63" w:rsidR="00753A7B" w:rsidRPr="00582ECD" w:rsidRDefault="00753A7B" w:rsidP="00753A7B">
            <w:pPr>
              <w:widowControl/>
              <w:autoSpaceDE/>
              <w:autoSpaceDN/>
              <w:adjustRightInd/>
              <w:jc w:val="center"/>
              <w:rPr>
                <w:rFonts w:asciiTheme="majorHAnsi" w:hAnsiTheme="majorHAnsi"/>
                <w:color w:val="000000"/>
                <w:sz w:val="18"/>
                <w:szCs w:val="18"/>
              </w:rPr>
            </w:pPr>
            <w:r w:rsidRPr="00582ECD">
              <w:rPr>
                <w:rFonts w:asciiTheme="majorHAnsi" w:hAnsiTheme="majorHAnsi"/>
              </w:rPr>
              <w:t>0,0</w:t>
            </w:r>
          </w:p>
        </w:tc>
        <w:tc>
          <w:tcPr>
            <w:tcW w:w="992" w:type="dxa"/>
            <w:tcBorders>
              <w:top w:val="nil"/>
              <w:left w:val="nil"/>
              <w:bottom w:val="single" w:sz="4" w:space="0" w:color="auto"/>
              <w:right w:val="single" w:sz="4" w:space="0" w:color="auto"/>
            </w:tcBorders>
            <w:hideMark/>
          </w:tcPr>
          <w:p w14:paraId="022C1F0C" w14:textId="2251BC25" w:rsidR="00753A7B" w:rsidRPr="00582ECD" w:rsidRDefault="00753A7B" w:rsidP="00753A7B">
            <w:pPr>
              <w:widowControl/>
              <w:autoSpaceDE/>
              <w:autoSpaceDN/>
              <w:adjustRightInd/>
              <w:jc w:val="center"/>
              <w:rPr>
                <w:rFonts w:asciiTheme="majorHAnsi" w:hAnsiTheme="majorHAnsi"/>
                <w:color w:val="000000"/>
                <w:sz w:val="18"/>
                <w:szCs w:val="18"/>
              </w:rPr>
            </w:pPr>
            <w:r w:rsidRPr="00582ECD">
              <w:rPr>
                <w:rFonts w:asciiTheme="majorHAnsi" w:hAnsiTheme="majorHAnsi"/>
              </w:rPr>
              <w:t>159,0</w:t>
            </w:r>
          </w:p>
        </w:tc>
        <w:tc>
          <w:tcPr>
            <w:tcW w:w="993" w:type="dxa"/>
            <w:tcBorders>
              <w:top w:val="nil"/>
              <w:left w:val="nil"/>
              <w:bottom w:val="single" w:sz="4" w:space="0" w:color="auto"/>
              <w:right w:val="single" w:sz="4" w:space="0" w:color="auto"/>
            </w:tcBorders>
            <w:hideMark/>
          </w:tcPr>
          <w:p w14:paraId="71AFCC03" w14:textId="34ABAA8A" w:rsidR="00753A7B" w:rsidRPr="00582ECD" w:rsidRDefault="00753A7B" w:rsidP="00753A7B">
            <w:pPr>
              <w:widowControl/>
              <w:autoSpaceDE/>
              <w:autoSpaceDN/>
              <w:adjustRightInd/>
              <w:jc w:val="center"/>
              <w:rPr>
                <w:rFonts w:asciiTheme="majorHAnsi" w:hAnsiTheme="majorHAnsi"/>
                <w:color w:val="000000"/>
                <w:sz w:val="18"/>
                <w:szCs w:val="18"/>
              </w:rPr>
            </w:pPr>
            <w:r w:rsidRPr="00582ECD">
              <w:rPr>
                <w:rFonts w:asciiTheme="majorHAnsi" w:hAnsiTheme="majorHAnsi"/>
              </w:rPr>
              <w:t>490,4</w:t>
            </w:r>
          </w:p>
        </w:tc>
        <w:tc>
          <w:tcPr>
            <w:tcW w:w="1134" w:type="dxa"/>
            <w:tcBorders>
              <w:top w:val="nil"/>
              <w:left w:val="nil"/>
              <w:bottom w:val="single" w:sz="4" w:space="0" w:color="auto"/>
              <w:right w:val="single" w:sz="4" w:space="0" w:color="auto"/>
            </w:tcBorders>
            <w:hideMark/>
          </w:tcPr>
          <w:p w14:paraId="00327D94" w14:textId="38BA3478" w:rsidR="00753A7B" w:rsidRPr="00582ECD" w:rsidRDefault="00753A7B" w:rsidP="00753A7B">
            <w:pPr>
              <w:widowControl/>
              <w:autoSpaceDE/>
              <w:autoSpaceDN/>
              <w:adjustRightInd/>
              <w:jc w:val="center"/>
              <w:rPr>
                <w:rFonts w:asciiTheme="majorHAnsi" w:hAnsiTheme="majorHAnsi"/>
                <w:color w:val="000000"/>
                <w:sz w:val="18"/>
                <w:szCs w:val="18"/>
              </w:rPr>
            </w:pPr>
            <w:r w:rsidRPr="00582ECD">
              <w:rPr>
                <w:rFonts w:asciiTheme="majorHAnsi" w:hAnsiTheme="majorHAnsi"/>
              </w:rPr>
              <w:t>114,3</w:t>
            </w:r>
          </w:p>
        </w:tc>
        <w:tc>
          <w:tcPr>
            <w:tcW w:w="992" w:type="dxa"/>
            <w:tcBorders>
              <w:top w:val="nil"/>
              <w:left w:val="nil"/>
              <w:bottom w:val="single" w:sz="4" w:space="0" w:color="auto"/>
              <w:right w:val="single" w:sz="4" w:space="0" w:color="auto"/>
            </w:tcBorders>
            <w:hideMark/>
          </w:tcPr>
          <w:p w14:paraId="2C08478C" w14:textId="5A7BAC3E" w:rsidR="00753A7B" w:rsidRPr="00582ECD" w:rsidRDefault="00753A7B" w:rsidP="00753A7B">
            <w:pPr>
              <w:widowControl/>
              <w:autoSpaceDE/>
              <w:autoSpaceDN/>
              <w:adjustRightInd/>
              <w:jc w:val="center"/>
              <w:rPr>
                <w:rFonts w:asciiTheme="majorHAnsi" w:hAnsiTheme="majorHAnsi"/>
                <w:b/>
                <w:bCs/>
                <w:color w:val="000000"/>
                <w:sz w:val="18"/>
                <w:szCs w:val="18"/>
              </w:rPr>
            </w:pPr>
            <w:r w:rsidRPr="00582ECD">
              <w:rPr>
                <w:rFonts w:asciiTheme="majorHAnsi" w:hAnsiTheme="majorHAnsi"/>
              </w:rPr>
              <w:t>763,6</w:t>
            </w:r>
          </w:p>
        </w:tc>
        <w:tc>
          <w:tcPr>
            <w:tcW w:w="992" w:type="dxa"/>
            <w:tcBorders>
              <w:top w:val="nil"/>
              <w:left w:val="nil"/>
              <w:bottom w:val="single" w:sz="4" w:space="0" w:color="auto"/>
              <w:right w:val="single" w:sz="4" w:space="0" w:color="auto"/>
            </w:tcBorders>
            <w:hideMark/>
          </w:tcPr>
          <w:p w14:paraId="54AD82DA" w14:textId="558BBFC2" w:rsidR="00753A7B" w:rsidRPr="00582ECD" w:rsidRDefault="00753A7B" w:rsidP="00753A7B">
            <w:pPr>
              <w:widowControl/>
              <w:autoSpaceDE/>
              <w:autoSpaceDN/>
              <w:adjustRightInd/>
              <w:jc w:val="center"/>
              <w:rPr>
                <w:rFonts w:asciiTheme="majorHAnsi" w:hAnsiTheme="majorHAnsi"/>
                <w:color w:val="000000"/>
                <w:sz w:val="18"/>
                <w:szCs w:val="18"/>
              </w:rPr>
            </w:pPr>
            <w:r w:rsidRPr="00582ECD">
              <w:rPr>
                <w:rFonts w:asciiTheme="majorHAnsi" w:hAnsiTheme="majorHAnsi"/>
              </w:rPr>
              <w:t>763,6</w:t>
            </w:r>
          </w:p>
        </w:tc>
        <w:tc>
          <w:tcPr>
            <w:tcW w:w="1276" w:type="dxa"/>
            <w:tcBorders>
              <w:top w:val="nil"/>
              <w:left w:val="nil"/>
              <w:bottom w:val="single" w:sz="4" w:space="0" w:color="auto"/>
              <w:right w:val="single" w:sz="4" w:space="0" w:color="auto"/>
            </w:tcBorders>
            <w:hideMark/>
          </w:tcPr>
          <w:p w14:paraId="1F81C7E1" w14:textId="6D484B44" w:rsidR="00753A7B" w:rsidRPr="00582ECD" w:rsidRDefault="00753A7B" w:rsidP="00753A7B">
            <w:pPr>
              <w:widowControl/>
              <w:autoSpaceDE/>
              <w:autoSpaceDN/>
              <w:adjustRightInd/>
              <w:jc w:val="center"/>
              <w:rPr>
                <w:rFonts w:asciiTheme="majorHAnsi" w:hAnsiTheme="majorHAnsi"/>
                <w:color w:val="000000"/>
                <w:sz w:val="18"/>
                <w:szCs w:val="18"/>
              </w:rPr>
            </w:pPr>
            <w:r w:rsidRPr="00582ECD">
              <w:rPr>
                <w:rFonts w:asciiTheme="majorHAnsi" w:hAnsiTheme="majorHAnsi"/>
              </w:rPr>
              <w:t>763,63</w:t>
            </w:r>
          </w:p>
        </w:tc>
      </w:tr>
      <w:tr w:rsidR="00753A7B" w:rsidRPr="00582ECD" w14:paraId="4ADB8617" w14:textId="77777777" w:rsidTr="006D1FBF">
        <w:trPr>
          <w:trHeight w:val="285"/>
          <w:jc w:val="center"/>
        </w:trPr>
        <w:tc>
          <w:tcPr>
            <w:tcW w:w="988" w:type="dxa"/>
            <w:tcBorders>
              <w:top w:val="nil"/>
              <w:left w:val="single" w:sz="4" w:space="0" w:color="auto"/>
              <w:bottom w:val="single" w:sz="4" w:space="0" w:color="auto"/>
              <w:right w:val="single" w:sz="4" w:space="0" w:color="auto"/>
            </w:tcBorders>
            <w:noWrap/>
            <w:vAlign w:val="center"/>
            <w:hideMark/>
          </w:tcPr>
          <w:p w14:paraId="65E8FF09" w14:textId="77777777" w:rsidR="00753A7B" w:rsidRPr="00582ECD" w:rsidRDefault="00753A7B" w:rsidP="00753A7B">
            <w:pPr>
              <w:widowControl/>
              <w:autoSpaceDE/>
              <w:autoSpaceDN/>
              <w:adjustRightInd/>
              <w:rPr>
                <w:rFonts w:asciiTheme="majorHAnsi" w:hAnsiTheme="majorHAnsi"/>
                <w:color w:val="000000"/>
              </w:rPr>
            </w:pPr>
            <w:r w:rsidRPr="00582ECD">
              <w:rPr>
                <w:rFonts w:asciiTheme="majorHAnsi" w:hAnsiTheme="majorHAnsi"/>
                <w:color w:val="000000"/>
              </w:rPr>
              <w:t>Türkiye</w:t>
            </w:r>
          </w:p>
        </w:tc>
        <w:tc>
          <w:tcPr>
            <w:tcW w:w="992" w:type="dxa"/>
            <w:tcBorders>
              <w:top w:val="nil"/>
              <w:left w:val="nil"/>
              <w:bottom w:val="single" w:sz="4" w:space="0" w:color="auto"/>
              <w:right w:val="single" w:sz="4" w:space="0" w:color="auto"/>
            </w:tcBorders>
            <w:hideMark/>
          </w:tcPr>
          <w:p w14:paraId="368CF6B4" w14:textId="097C6F16" w:rsidR="00753A7B" w:rsidRPr="00582ECD" w:rsidRDefault="00753A7B" w:rsidP="00753A7B">
            <w:pPr>
              <w:widowControl/>
              <w:autoSpaceDE/>
              <w:autoSpaceDN/>
              <w:adjustRightInd/>
              <w:jc w:val="center"/>
              <w:rPr>
                <w:rFonts w:asciiTheme="majorHAnsi" w:hAnsiTheme="majorHAnsi"/>
                <w:color w:val="000000"/>
                <w:sz w:val="18"/>
                <w:szCs w:val="18"/>
              </w:rPr>
            </w:pPr>
            <w:r w:rsidRPr="00582ECD">
              <w:rPr>
                <w:rFonts w:asciiTheme="majorHAnsi" w:hAnsiTheme="majorHAnsi"/>
              </w:rPr>
              <w:t>378,7</w:t>
            </w:r>
          </w:p>
        </w:tc>
        <w:tc>
          <w:tcPr>
            <w:tcW w:w="992" w:type="dxa"/>
            <w:tcBorders>
              <w:top w:val="nil"/>
              <w:left w:val="nil"/>
              <w:bottom w:val="single" w:sz="4" w:space="0" w:color="auto"/>
              <w:right w:val="single" w:sz="4" w:space="0" w:color="auto"/>
            </w:tcBorders>
            <w:hideMark/>
          </w:tcPr>
          <w:p w14:paraId="58E12996" w14:textId="05BE4A61" w:rsidR="00753A7B" w:rsidRPr="00582ECD" w:rsidRDefault="00753A7B" w:rsidP="00753A7B">
            <w:pPr>
              <w:widowControl/>
              <w:autoSpaceDE/>
              <w:autoSpaceDN/>
              <w:adjustRightInd/>
              <w:jc w:val="center"/>
              <w:rPr>
                <w:rFonts w:asciiTheme="majorHAnsi" w:hAnsiTheme="majorHAnsi"/>
                <w:color w:val="000000"/>
                <w:sz w:val="18"/>
                <w:szCs w:val="18"/>
              </w:rPr>
            </w:pPr>
            <w:r w:rsidRPr="00582ECD">
              <w:rPr>
                <w:rFonts w:asciiTheme="majorHAnsi" w:hAnsiTheme="majorHAnsi"/>
              </w:rPr>
              <w:t>32,5</w:t>
            </w:r>
          </w:p>
        </w:tc>
        <w:tc>
          <w:tcPr>
            <w:tcW w:w="992" w:type="dxa"/>
            <w:tcBorders>
              <w:top w:val="nil"/>
              <w:left w:val="nil"/>
              <w:bottom w:val="single" w:sz="4" w:space="0" w:color="auto"/>
              <w:right w:val="single" w:sz="4" w:space="0" w:color="auto"/>
            </w:tcBorders>
            <w:hideMark/>
          </w:tcPr>
          <w:p w14:paraId="5105434C" w14:textId="7038253B" w:rsidR="00753A7B" w:rsidRPr="00582ECD" w:rsidRDefault="00753A7B" w:rsidP="00753A7B">
            <w:pPr>
              <w:widowControl/>
              <w:autoSpaceDE/>
              <w:autoSpaceDN/>
              <w:adjustRightInd/>
              <w:jc w:val="center"/>
              <w:rPr>
                <w:rFonts w:asciiTheme="majorHAnsi" w:hAnsiTheme="majorHAnsi"/>
                <w:color w:val="000000"/>
                <w:sz w:val="18"/>
                <w:szCs w:val="18"/>
              </w:rPr>
            </w:pPr>
            <w:r w:rsidRPr="00582ECD">
              <w:rPr>
                <w:rFonts w:asciiTheme="majorHAnsi" w:hAnsiTheme="majorHAnsi"/>
              </w:rPr>
              <w:t>158,3</w:t>
            </w:r>
          </w:p>
        </w:tc>
        <w:tc>
          <w:tcPr>
            <w:tcW w:w="993" w:type="dxa"/>
            <w:tcBorders>
              <w:top w:val="nil"/>
              <w:left w:val="nil"/>
              <w:bottom w:val="single" w:sz="4" w:space="0" w:color="auto"/>
              <w:right w:val="single" w:sz="4" w:space="0" w:color="auto"/>
            </w:tcBorders>
            <w:hideMark/>
          </w:tcPr>
          <w:p w14:paraId="51F3925A" w14:textId="34F938E7" w:rsidR="00753A7B" w:rsidRPr="00582ECD" w:rsidRDefault="00753A7B" w:rsidP="00753A7B">
            <w:pPr>
              <w:widowControl/>
              <w:autoSpaceDE/>
              <w:autoSpaceDN/>
              <w:adjustRightInd/>
              <w:jc w:val="center"/>
              <w:rPr>
                <w:rFonts w:asciiTheme="majorHAnsi" w:hAnsiTheme="majorHAnsi"/>
                <w:color w:val="000000"/>
                <w:sz w:val="18"/>
                <w:szCs w:val="18"/>
              </w:rPr>
            </w:pPr>
            <w:r w:rsidRPr="00582ECD">
              <w:rPr>
                <w:rFonts w:asciiTheme="majorHAnsi" w:hAnsiTheme="majorHAnsi"/>
              </w:rPr>
              <w:t>140,3</w:t>
            </w:r>
          </w:p>
        </w:tc>
        <w:tc>
          <w:tcPr>
            <w:tcW w:w="1134" w:type="dxa"/>
            <w:tcBorders>
              <w:top w:val="nil"/>
              <w:left w:val="nil"/>
              <w:bottom w:val="single" w:sz="4" w:space="0" w:color="auto"/>
              <w:right w:val="single" w:sz="4" w:space="0" w:color="auto"/>
            </w:tcBorders>
            <w:hideMark/>
          </w:tcPr>
          <w:p w14:paraId="08425513" w14:textId="5808C21E" w:rsidR="00753A7B" w:rsidRPr="00582ECD" w:rsidRDefault="00753A7B" w:rsidP="00753A7B">
            <w:pPr>
              <w:widowControl/>
              <w:autoSpaceDE/>
              <w:autoSpaceDN/>
              <w:adjustRightInd/>
              <w:jc w:val="center"/>
              <w:rPr>
                <w:rFonts w:asciiTheme="majorHAnsi" w:hAnsiTheme="majorHAnsi"/>
                <w:color w:val="000000"/>
                <w:sz w:val="18"/>
                <w:szCs w:val="18"/>
              </w:rPr>
            </w:pPr>
            <w:r w:rsidRPr="00582ECD">
              <w:rPr>
                <w:rFonts w:asciiTheme="majorHAnsi" w:hAnsiTheme="majorHAnsi"/>
              </w:rPr>
              <w:t>47,6</w:t>
            </w:r>
          </w:p>
        </w:tc>
        <w:tc>
          <w:tcPr>
            <w:tcW w:w="992" w:type="dxa"/>
            <w:tcBorders>
              <w:top w:val="nil"/>
              <w:left w:val="nil"/>
              <w:bottom w:val="single" w:sz="4" w:space="0" w:color="auto"/>
              <w:right w:val="single" w:sz="4" w:space="0" w:color="auto"/>
            </w:tcBorders>
            <w:hideMark/>
          </w:tcPr>
          <w:p w14:paraId="73C66D3A" w14:textId="630BEEAF" w:rsidR="00753A7B" w:rsidRPr="00582ECD" w:rsidRDefault="00753A7B" w:rsidP="00753A7B">
            <w:pPr>
              <w:widowControl/>
              <w:autoSpaceDE/>
              <w:autoSpaceDN/>
              <w:adjustRightInd/>
              <w:jc w:val="center"/>
              <w:rPr>
                <w:rFonts w:asciiTheme="majorHAnsi" w:hAnsiTheme="majorHAnsi"/>
                <w:b/>
                <w:bCs/>
                <w:color w:val="000000"/>
                <w:sz w:val="18"/>
                <w:szCs w:val="18"/>
              </w:rPr>
            </w:pPr>
            <w:r w:rsidRPr="00582ECD">
              <w:rPr>
                <w:rFonts w:asciiTheme="majorHAnsi" w:hAnsiTheme="majorHAnsi"/>
              </w:rPr>
              <w:t>378,7</w:t>
            </w:r>
          </w:p>
        </w:tc>
        <w:tc>
          <w:tcPr>
            <w:tcW w:w="992" w:type="dxa"/>
            <w:tcBorders>
              <w:top w:val="nil"/>
              <w:left w:val="nil"/>
              <w:bottom w:val="single" w:sz="4" w:space="0" w:color="auto"/>
              <w:right w:val="single" w:sz="4" w:space="0" w:color="auto"/>
            </w:tcBorders>
            <w:hideMark/>
          </w:tcPr>
          <w:p w14:paraId="1E59342C" w14:textId="5BD09E18" w:rsidR="00753A7B" w:rsidRPr="00582ECD" w:rsidRDefault="00753A7B" w:rsidP="00753A7B">
            <w:pPr>
              <w:widowControl/>
              <w:autoSpaceDE/>
              <w:autoSpaceDN/>
              <w:adjustRightInd/>
              <w:jc w:val="center"/>
              <w:rPr>
                <w:rFonts w:asciiTheme="majorHAnsi" w:hAnsiTheme="majorHAnsi"/>
                <w:color w:val="000000"/>
                <w:sz w:val="18"/>
                <w:szCs w:val="18"/>
              </w:rPr>
            </w:pPr>
            <w:r w:rsidRPr="00582ECD">
              <w:rPr>
                <w:rFonts w:asciiTheme="majorHAnsi" w:hAnsiTheme="majorHAnsi"/>
              </w:rPr>
              <w:t>378,7</w:t>
            </w:r>
          </w:p>
        </w:tc>
        <w:tc>
          <w:tcPr>
            <w:tcW w:w="1276" w:type="dxa"/>
            <w:tcBorders>
              <w:top w:val="nil"/>
              <w:left w:val="nil"/>
              <w:bottom w:val="single" w:sz="4" w:space="0" w:color="auto"/>
              <w:right w:val="single" w:sz="4" w:space="0" w:color="auto"/>
            </w:tcBorders>
            <w:hideMark/>
          </w:tcPr>
          <w:p w14:paraId="5F333740" w14:textId="6D4DD57C" w:rsidR="00753A7B" w:rsidRPr="00582ECD" w:rsidRDefault="00753A7B" w:rsidP="00753A7B">
            <w:pPr>
              <w:widowControl/>
              <w:autoSpaceDE/>
              <w:autoSpaceDN/>
              <w:adjustRightInd/>
              <w:jc w:val="center"/>
              <w:rPr>
                <w:rFonts w:asciiTheme="majorHAnsi" w:hAnsiTheme="majorHAnsi"/>
                <w:color w:val="000000"/>
                <w:sz w:val="18"/>
                <w:szCs w:val="18"/>
              </w:rPr>
            </w:pPr>
            <w:r w:rsidRPr="00582ECD">
              <w:rPr>
                <w:rFonts w:asciiTheme="majorHAnsi" w:hAnsiTheme="majorHAnsi"/>
              </w:rPr>
              <w:t>378,69</w:t>
            </w:r>
          </w:p>
        </w:tc>
      </w:tr>
      <w:tr w:rsidR="00753A7B" w:rsidRPr="00582ECD" w14:paraId="77250A31" w14:textId="77777777" w:rsidTr="006D1FBF">
        <w:trPr>
          <w:trHeight w:val="300"/>
          <w:jc w:val="center"/>
        </w:trPr>
        <w:tc>
          <w:tcPr>
            <w:tcW w:w="988" w:type="dxa"/>
            <w:tcBorders>
              <w:top w:val="nil"/>
              <w:left w:val="single" w:sz="4" w:space="0" w:color="auto"/>
              <w:bottom w:val="single" w:sz="4" w:space="0" w:color="auto"/>
              <w:right w:val="single" w:sz="4" w:space="0" w:color="auto"/>
            </w:tcBorders>
            <w:noWrap/>
            <w:vAlign w:val="center"/>
            <w:hideMark/>
          </w:tcPr>
          <w:p w14:paraId="65B0DDC0" w14:textId="77777777" w:rsidR="00753A7B" w:rsidRPr="00582ECD" w:rsidRDefault="00753A7B" w:rsidP="00753A7B">
            <w:pPr>
              <w:widowControl/>
              <w:autoSpaceDE/>
              <w:autoSpaceDN/>
              <w:adjustRightInd/>
              <w:rPr>
                <w:rFonts w:asciiTheme="majorHAnsi" w:hAnsiTheme="majorHAnsi"/>
                <w:b/>
                <w:bCs/>
                <w:color w:val="000000"/>
              </w:rPr>
            </w:pPr>
            <w:r w:rsidRPr="00582ECD">
              <w:rPr>
                <w:rFonts w:asciiTheme="majorHAnsi" w:hAnsiTheme="majorHAnsi"/>
                <w:b/>
                <w:color w:val="000000"/>
              </w:rPr>
              <w:t>Total</w:t>
            </w:r>
          </w:p>
        </w:tc>
        <w:tc>
          <w:tcPr>
            <w:tcW w:w="992" w:type="dxa"/>
            <w:tcBorders>
              <w:top w:val="nil"/>
              <w:left w:val="nil"/>
              <w:bottom w:val="single" w:sz="4" w:space="0" w:color="auto"/>
              <w:right w:val="single" w:sz="4" w:space="0" w:color="auto"/>
            </w:tcBorders>
            <w:hideMark/>
          </w:tcPr>
          <w:p w14:paraId="4D37F94C" w14:textId="508E208F" w:rsidR="00753A7B" w:rsidRPr="00582ECD" w:rsidRDefault="00753A7B" w:rsidP="00753A7B">
            <w:pPr>
              <w:widowControl/>
              <w:autoSpaceDE/>
              <w:autoSpaceDN/>
              <w:adjustRightInd/>
              <w:jc w:val="center"/>
              <w:rPr>
                <w:rFonts w:asciiTheme="majorHAnsi" w:hAnsiTheme="majorHAnsi"/>
                <w:b/>
                <w:bCs/>
                <w:color w:val="000000"/>
                <w:sz w:val="18"/>
                <w:szCs w:val="18"/>
              </w:rPr>
            </w:pPr>
            <w:r w:rsidRPr="00582ECD">
              <w:rPr>
                <w:rFonts w:asciiTheme="majorHAnsi" w:hAnsiTheme="majorHAnsi"/>
                <w:b/>
              </w:rPr>
              <w:t>9226,5</w:t>
            </w:r>
          </w:p>
        </w:tc>
        <w:tc>
          <w:tcPr>
            <w:tcW w:w="992" w:type="dxa"/>
            <w:tcBorders>
              <w:top w:val="nil"/>
              <w:left w:val="nil"/>
              <w:bottom w:val="single" w:sz="4" w:space="0" w:color="auto"/>
              <w:right w:val="single" w:sz="4" w:space="0" w:color="auto"/>
            </w:tcBorders>
            <w:hideMark/>
          </w:tcPr>
          <w:p w14:paraId="7763BDAF" w14:textId="7783FAE4" w:rsidR="00753A7B" w:rsidRPr="00582ECD" w:rsidRDefault="00753A7B" w:rsidP="00753A7B">
            <w:pPr>
              <w:widowControl/>
              <w:autoSpaceDE/>
              <w:autoSpaceDN/>
              <w:adjustRightInd/>
              <w:jc w:val="center"/>
              <w:rPr>
                <w:rFonts w:asciiTheme="majorHAnsi" w:hAnsiTheme="majorHAnsi"/>
                <w:b/>
                <w:bCs/>
                <w:color w:val="000000"/>
                <w:sz w:val="18"/>
                <w:szCs w:val="18"/>
              </w:rPr>
            </w:pPr>
            <w:r w:rsidRPr="00582ECD">
              <w:rPr>
                <w:rFonts w:asciiTheme="majorHAnsi" w:hAnsiTheme="majorHAnsi"/>
                <w:b/>
              </w:rPr>
              <w:t>61,9</w:t>
            </w:r>
          </w:p>
        </w:tc>
        <w:tc>
          <w:tcPr>
            <w:tcW w:w="992" w:type="dxa"/>
            <w:tcBorders>
              <w:top w:val="nil"/>
              <w:left w:val="nil"/>
              <w:bottom w:val="single" w:sz="4" w:space="0" w:color="auto"/>
              <w:right w:val="single" w:sz="4" w:space="0" w:color="auto"/>
            </w:tcBorders>
            <w:hideMark/>
          </w:tcPr>
          <w:p w14:paraId="4870E40D" w14:textId="1D3D0114" w:rsidR="00753A7B" w:rsidRPr="00582ECD" w:rsidRDefault="00753A7B" w:rsidP="00753A7B">
            <w:pPr>
              <w:widowControl/>
              <w:autoSpaceDE/>
              <w:autoSpaceDN/>
              <w:adjustRightInd/>
              <w:jc w:val="center"/>
              <w:rPr>
                <w:rFonts w:asciiTheme="majorHAnsi" w:hAnsiTheme="majorHAnsi"/>
                <w:b/>
                <w:bCs/>
                <w:color w:val="000000"/>
                <w:sz w:val="18"/>
                <w:szCs w:val="18"/>
              </w:rPr>
            </w:pPr>
            <w:r w:rsidRPr="00582ECD">
              <w:rPr>
                <w:rFonts w:asciiTheme="majorHAnsi" w:hAnsiTheme="majorHAnsi"/>
                <w:b/>
              </w:rPr>
              <w:t>2245,4</w:t>
            </w:r>
          </w:p>
        </w:tc>
        <w:tc>
          <w:tcPr>
            <w:tcW w:w="993" w:type="dxa"/>
            <w:tcBorders>
              <w:top w:val="nil"/>
              <w:left w:val="nil"/>
              <w:bottom w:val="single" w:sz="4" w:space="0" w:color="auto"/>
              <w:right w:val="single" w:sz="4" w:space="0" w:color="auto"/>
            </w:tcBorders>
            <w:hideMark/>
          </w:tcPr>
          <w:p w14:paraId="2DE99BC5" w14:textId="485F26AB" w:rsidR="00753A7B" w:rsidRPr="00582ECD" w:rsidRDefault="00753A7B" w:rsidP="00753A7B">
            <w:pPr>
              <w:widowControl/>
              <w:autoSpaceDE/>
              <w:autoSpaceDN/>
              <w:adjustRightInd/>
              <w:jc w:val="center"/>
              <w:rPr>
                <w:rFonts w:asciiTheme="majorHAnsi" w:hAnsiTheme="majorHAnsi"/>
                <w:b/>
                <w:bCs/>
                <w:color w:val="000000"/>
                <w:sz w:val="18"/>
                <w:szCs w:val="18"/>
              </w:rPr>
            </w:pPr>
            <w:r w:rsidRPr="00582ECD">
              <w:rPr>
                <w:rFonts w:asciiTheme="majorHAnsi" w:hAnsiTheme="majorHAnsi"/>
                <w:b/>
              </w:rPr>
              <w:t>3243,6</w:t>
            </w:r>
          </w:p>
        </w:tc>
        <w:tc>
          <w:tcPr>
            <w:tcW w:w="1134" w:type="dxa"/>
            <w:tcBorders>
              <w:top w:val="nil"/>
              <w:left w:val="nil"/>
              <w:bottom w:val="single" w:sz="4" w:space="0" w:color="auto"/>
              <w:right w:val="single" w:sz="4" w:space="0" w:color="auto"/>
            </w:tcBorders>
            <w:hideMark/>
          </w:tcPr>
          <w:p w14:paraId="76098E42" w14:textId="055B5620" w:rsidR="00753A7B" w:rsidRPr="00582ECD" w:rsidRDefault="00753A7B" w:rsidP="00753A7B">
            <w:pPr>
              <w:widowControl/>
              <w:autoSpaceDE/>
              <w:autoSpaceDN/>
              <w:adjustRightInd/>
              <w:jc w:val="center"/>
              <w:rPr>
                <w:rFonts w:asciiTheme="majorHAnsi" w:hAnsiTheme="majorHAnsi"/>
                <w:b/>
                <w:bCs/>
                <w:color w:val="000000"/>
                <w:sz w:val="18"/>
                <w:szCs w:val="18"/>
              </w:rPr>
            </w:pPr>
            <w:r w:rsidRPr="00582ECD">
              <w:rPr>
                <w:rFonts w:asciiTheme="majorHAnsi" w:hAnsiTheme="majorHAnsi"/>
                <w:b/>
              </w:rPr>
              <w:t>1187,8</w:t>
            </w:r>
          </w:p>
        </w:tc>
        <w:tc>
          <w:tcPr>
            <w:tcW w:w="992" w:type="dxa"/>
            <w:tcBorders>
              <w:top w:val="nil"/>
              <w:left w:val="nil"/>
              <w:bottom w:val="single" w:sz="4" w:space="0" w:color="auto"/>
              <w:right w:val="single" w:sz="4" w:space="0" w:color="auto"/>
            </w:tcBorders>
            <w:hideMark/>
          </w:tcPr>
          <w:p w14:paraId="67A374EF" w14:textId="1C03C199" w:rsidR="00753A7B" w:rsidRPr="00582ECD" w:rsidRDefault="00753A7B" w:rsidP="00753A7B">
            <w:pPr>
              <w:widowControl/>
              <w:autoSpaceDE/>
              <w:autoSpaceDN/>
              <w:adjustRightInd/>
              <w:jc w:val="center"/>
              <w:rPr>
                <w:rFonts w:asciiTheme="majorHAnsi" w:hAnsiTheme="majorHAnsi"/>
                <w:b/>
                <w:bCs/>
                <w:color w:val="000000"/>
                <w:sz w:val="18"/>
                <w:szCs w:val="18"/>
              </w:rPr>
            </w:pPr>
            <w:r w:rsidRPr="00582ECD">
              <w:rPr>
                <w:rFonts w:asciiTheme="majorHAnsi" w:hAnsiTheme="majorHAnsi"/>
                <w:b/>
              </w:rPr>
              <w:t>6738,7</w:t>
            </w:r>
          </w:p>
        </w:tc>
        <w:tc>
          <w:tcPr>
            <w:tcW w:w="992" w:type="dxa"/>
            <w:tcBorders>
              <w:top w:val="nil"/>
              <w:left w:val="nil"/>
              <w:bottom w:val="single" w:sz="4" w:space="0" w:color="auto"/>
              <w:right w:val="single" w:sz="4" w:space="0" w:color="auto"/>
            </w:tcBorders>
            <w:hideMark/>
          </w:tcPr>
          <w:p w14:paraId="04C9D184" w14:textId="5726D85B" w:rsidR="00753A7B" w:rsidRPr="00582ECD" w:rsidRDefault="00753A7B" w:rsidP="00753A7B">
            <w:pPr>
              <w:widowControl/>
              <w:autoSpaceDE/>
              <w:autoSpaceDN/>
              <w:adjustRightInd/>
              <w:jc w:val="center"/>
              <w:rPr>
                <w:rFonts w:asciiTheme="majorHAnsi" w:hAnsiTheme="majorHAnsi"/>
                <w:b/>
                <w:bCs/>
                <w:color w:val="000000"/>
                <w:sz w:val="18"/>
                <w:szCs w:val="18"/>
              </w:rPr>
            </w:pPr>
            <w:r w:rsidRPr="00582ECD">
              <w:rPr>
                <w:rFonts w:asciiTheme="majorHAnsi" w:hAnsiTheme="majorHAnsi"/>
                <w:b/>
              </w:rPr>
              <w:t>6918,4</w:t>
            </w:r>
          </w:p>
        </w:tc>
        <w:tc>
          <w:tcPr>
            <w:tcW w:w="1276" w:type="dxa"/>
            <w:tcBorders>
              <w:top w:val="nil"/>
              <w:left w:val="nil"/>
              <w:bottom w:val="single" w:sz="4" w:space="0" w:color="auto"/>
              <w:right w:val="single" w:sz="4" w:space="0" w:color="auto"/>
            </w:tcBorders>
            <w:hideMark/>
          </w:tcPr>
          <w:p w14:paraId="4D775C84" w14:textId="084709BB" w:rsidR="00753A7B" w:rsidRPr="00582ECD" w:rsidRDefault="00753A7B" w:rsidP="00753A7B">
            <w:pPr>
              <w:widowControl/>
              <w:autoSpaceDE/>
              <w:autoSpaceDN/>
              <w:adjustRightInd/>
              <w:jc w:val="center"/>
              <w:rPr>
                <w:rFonts w:asciiTheme="majorHAnsi" w:hAnsiTheme="majorHAnsi"/>
                <w:b/>
                <w:bCs/>
                <w:color w:val="000000"/>
                <w:sz w:val="18"/>
                <w:szCs w:val="18"/>
              </w:rPr>
            </w:pPr>
            <w:r w:rsidRPr="00582ECD">
              <w:rPr>
                <w:rFonts w:asciiTheme="majorHAnsi" w:hAnsiTheme="majorHAnsi"/>
                <w:b/>
              </w:rPr>
              <w:t>7116,26</w:t>
            </w:r>
          </w:p>
        </w:tc>
      </w:tr>
    </w:tbl>
    <w:p w14:paraId="411C5D23" w14:textId="77777777" w:rsidR="00842AE5" w:rsidRPr="00582ECD" w:rsidRDefault="00842AE5" w:rsidP="005B120F">
      <w:pPr>
        <w:tabs>
          <w:tab w:val="left" w:pos="1276"/>
          <w:tab w:val="left" w:pos="1418"/>
          <w:tab w:val="left" w:leader="dot" w:pos="8222"/>
          <w:tab w:val="right" w:pos="8647"/>
        </w:tabs>
        <w:rPr>
          <w:rFonts w:asciiTheme="majorHAnsi" w:hAnsiTheme="majorHAnsi"/>
          <w:lang w:val="en-IE"/>
        </w:rPr>
      </w:pPr>
    </w:p>
    <w:p w14:paraId="782DD39D" w14:textId="047FCFA7" w:rsidR="00B421D7" w:rsidRPr="00582ECD" w:rsidRDefault="00B421D7" w:rsidP="00820485">
      <w:pPr>
        <w:tabs>
          <w:tab w:val="left" w:pos="1276"/>
          <w:tab w:val="left" w:pos="1418"/>
          <w:tab w:val="left" w:leader="dot" w:pos="8222"/>
          <w:tab w:val="right" w:pos="8647"/>
        </w:tabs>
        <w:jc w:val="both"/>
        <w:rPr>
          <w:rFonts w:asciiTheme="majorHAnsi" w:hAnsiTheme="majorHAnsi"/>
        </w:rPr>
      </w:pPr>
      <w:r w:rsidRPr="00582ECD">
        <w:rPr>
          <w:rFonts w:asciiTheme="majorHAnsi" w:hAnsiTheme="majorHAnsi"/>
          <w:b/>
          <w:bCs/>
          <w:i/>
          <w:iCs/>
        </w:rPr>
        <w:t>Application des q</w:t>
      </w:r>
      <w:r w:rsidRPr="00582ECD">
        <w:rPr>
          <w:rFonts w:asciiTheme="majorHAnsi" w:hAnsiTheme="majorHAnsi"/>
          <w:b/>
          <w:i/>
        </w:rPr>
        <w:t>uotas/li</w:t>
      </w:r>
      <w:r w:rsidRPr="00582ECD">
        <w:rPr>
          <w:rFonts w:asciiTheme="majorHAnsi" w:hAnsiTheme="majorHAnsi"/>
          <w:b/>
          <w:bCs/>
          <w:i/>
          <w:iCs/>
        </w:rPr>
        <w:t>mites de capture :</w:t>
      </w:r>
      <w:r w:rsidRPr="00582ECD">
        <w:rPr>
          <w:rFonts w:asciiTheme="majorHAnsi" w:hAnsiTheme="majorHAnsi"/>
        </w:rPr>
        <w:t xml:space="preserve"> Veuillez consulter les</w:t>
      </w:r>
      <w:r w:rsidR="00005EA9" w:rsidRPr="00582ECD">
        <w:rPr>
          <w:rFonts w:asciiTheme="majorHAnsi" w:hAnsiTheme="majorHAnsi"/>
        </w:rPr>
        <w:t xml:space="preserve"> « </w:t>
      </w:r>
      <w:r w:rsidRPr="00582ECD">
        <w:rPr>
          <w:rFonts w:asciiTheme="majorHAnsi" w:hAnsiTheme="majorHAnsi"/>
        </w:rPr>
        <w:t>Tableaux d'application 2025 reçus en 2026</w:t>
      </w:r>
      <w:r w:rsidR="00005EA9" w:rsidRPr="00582ECD">
        <w:rPr>
          <w:rFonts w:asciiTheme="majorHAnsi" w:hAnsiTheme="majorHAnsi"/>
        </w:rPr>
        <w:t> »</w:t>
      </w:r>
      <w:r w:rsidRPr="00582ECD">
        <w:rPr>
          <w:rFonts w:asciiTheme="majorHAnsi" w:hAnsiTheme="majorHAnsi"/>
        </w:rPr>
        <w:t xml:space="preserve"> [COC_304/2026]. </w:t>
      </w:r>
    </w:p>
    <w:p w14:paraId="111C2E51" w14:textId="77777777" w:rsidR="0062071E" w:rsidRPr="00582ECD" w:rsidRDefault="0062071E" w:rsidP="00820485">
      <w:pPr>
        <w:tabs>
          <w:tab w:val="left" w:pos="1276"/>
          <w:tab w:val="left" w:pos="1418"/>
          <w:tab w:val="left" w:leader="dot" w:pos="8222"/>
          <w:tab w:val="right" w:pos="8647"/>
        </w:tabs>
        <w:jc w:val="both"/>
        <w:rPr>
          <w:rFonts w:asciiTheme="majorHAnsi" w:hAnsiTheme="majorHAnsi"/>
        </w:rPr>
      </w:pPr>
    </w:p>
    <w:p w14:paraId="7975A765" w14:textId="21D2D759" w:rsidR="00435B70" w:rsidRPr="00582ECD" w:rsidRDefault="001B6990" w:rsidP="00820485">
      <w:pPr>
        <w:tabs>
          <w:tab w:val="left" w:pos="1276"/>
          <w:tab w:val="left" w:pos="1418"/>
          <w:tab w:val="left" w:leader="dot" w:pos="8222"/>
          <w:tab w:val="right" w:pos="8647"/>
        </w:tabs>
        <w:jc w:val="both"/>
        <w:rPr>
          <w:rFonts w:asciiTheme="majorHAnsi" w:hAnsiTheme="majorHAnsi"/>
          <w:bCs/>
        </w:rPr>
      </w:pPr>
      <w:r w:rsidRPr="00582ECD">
        <w:rPr>
          <w:rFonts w:asciiTheme="majorHAnsi" w:hAnsiTheme="majorHAnsi"/>
          <w:b/>
          <w:i/>
        </w:rPr>
        <w:t xml:space="preserve">Registres ICCAT de navires autorisés à pêcher de l’espadon de la Méditerranée : </w:t>
      </w:r>
      <w:r w:rsidRPr="00582ECD">
        <w:rPr>
          <w:rFonts w:asciiTheme="majorHAnsi" w:hAnsiTheme="majorHAnsi"/>
        </w:rPr>
        <w:t xml:space="preserve">Les listes autorisées, reçues de cinq CPC (Algérie, Union européenne, Maroc, Tunisie et Turquie), ont été publiées sur le </w:t>
      </w:r>
      <w:hyperlink r:id="rId9" w:history="1">
        <w:r w:rsidRPr="00582ECD">
          <w:rPr>
            <w:rStyle w:val="Hyperlink"/>
            <w:rFonts w:asciiTheme="majorHAnsi" w:hAnsiTheme="majorHAnsi"/>
            <w:u w:val="none"/>
          </w:rPr>
          <w:t>site web de l’ICCAT</w:t>
        </w:r>
      </w:hyperlink>
      <w:r w:rsidRPr="00582ECD">
        <w:rPr>
          <w:rFonts w:asciiTheme="majorHAnsi" w:hAnsiTheme="majorHAnsi"/>
        </w:rPr>
        <w:t>. La liste des navires ayant pêché l'année précédente figure à l</w:t>
      </w:r>
      <w:r w:rsidRPr="00582ECD">
        <w:rPr>
          <w:rFonts w:asciiTheme="majorHAnsi" w:hAnsiTheme="majorHAnsi"/>
          <w:b/>
          <w:bCs/>
        </w:rPr>
        <w:t>'annexe 4</w:t>
      </w:r>
      <w:r w:rsidRPr="00582ECD">
        <w:rPr>
          <w:rFonts w:asciiTheme="majorHAnsi" w:hAnsiTheme="majorHAnsi"/>
        </w:rPr>
        <w:t xml:space="preserve">. </w:t>
      </w:r>
      <w:r w:rsidR="003924B1" w:rsidRPr="00582ECD">
        <w:rPr>
          <w:rFonts w:asciiTheme="majorHAnsi" w:hAnsiTheme="majorHAnsi"/>
        </w:rPr>
        <w:t xml:space="preserve">Aucune liste </w:t>
      </w:r>
      <w:r w:rsidR="003924B1">
        <w:rPr>
          <w:rFonts w:asciiTheme="majorHAnsi" w:hAnsiTheme="majorHAnsi"/>
        </w:rPr>
        <w:t>de navires autorisés</w:t>
      </w:r>
      <w:r w:rsidR="003924B1" w:rsidRPr="00582ECD">
        <w:rPr>
          <w:rFonts w:asciiTheme="majorHAnsi" w:hAnsiTheme="majorHAnsi"/>
        </w:rPr>
        <w:t xml:space="preserve"> </w:t>
      </w:r>
      <w:r w:rsidRPr="00582ECD">
        <w:rPr>
          <w:rFonts w:asciiTheme="majorHAnsi" w:hAnsiTheme="majorHAnsi"/>
        </w:rPr>
        <w:t>n'a été reçue ni de l'Égypte ni de la Libye.</w:t>
      </w:r>
    </w:p>
    <w:p w14:paraId="2895BB62" w14:textId="77777777" w:rsidR="00D26C9B" w:rsidRPr="00582ECD" w:rsidRDefault="00D26C9B" w:rsidP="00820485">
      <w:pPr>
        <w:tabs>
          <w:tab w:val="left" w:pos="1276"/>
          <w:tab w:val="left" w:pos="1418"/>
          <w:tab w:val="left" w:leader="dot" w:pos="8222"/>
          <w:tab w:val="right" w:pos="8647"/>
        </w:tabs>
        <w:jc w:val="both"/>
        <w:rPr>
          <w:rFonts w:asciiTheme="majorHAnsi" w:hAnsiTheme="majorHAnsi"/>
          <w:i/>
        </w:rPr>
      </w:pPr>
    </w:p>
    <w:p w14:paraId="7201BCCE" w14:textId="77777777" w:rsidR="00005EA9" w:rsidRPr="00582ECD" w:rsidRDefault="00005EA9">
      <w:pPr>
        <w:widowControl/>
        <w:autoSpaceDE/>
        <w:autoSpaceDN/>
        <w:adjustRightInd/>
        <w:rPr>
          <w:rFonts w:asciiTheme="majorHAnsi" w:hAnsiTheme="majorHAnsi"/>
          <w:b/>
          <w:bCs/>
          <w:i/>
        </w:rPr>
      </w:pPr>
      <w:r w:rsidRPr="00582ECD">
        <w:rPr>
          <w:rFonts w:asciiTheme="majorHAnsi" w:hAnsiTheme="majorHAnsi"/>
          <w:b/>
          <w:bCs/>
          <w:i/>
        </w:rPr>
        <w:br w:type="page"/>
      </w:r>
    </w:p>
    <w:p w14:paraId="5509D924" w14:textId="48002196" w:rsidR="005C195F" w:rsidRPr="00582ECD" w:rsidRDefault="001B6990" w:rsidP="005C195F">
      <w:pPr>
        <w:jc w:val="both"/>
        <w:rPr>
          <w:rFonts w:asciiTheme="majorHAnsi" w:hAnsiTheme="majorHAnsi"/>
          <w:bCs/>
        </w:rPr>
      </w:pPr>
      <w:r w:rsidRPr="00582ECD">
        <w:rPr>
          <w:rFonts w:asciiTheme="majorHAnsi" w:hAnsiTheme="majorHAnsi"/>
          <w:b/>
          <w:bCs/>
          <w:i/>
        </w:rPr>
        <w:lastRenderedPageBreak/>
        <w:t>Registres IC</w:t>
      </w:r>
      <w:r w:rsidRPr="00582ECD">
        <w:rPr>
          <w:rFonts w:asciiTheme="majorHAnsi" w:hAnsiTheme="majorHAnsi"/>
          <w:b/>
          <w:i/>
        </w:rPr>
        <w:t>CAT de navires autorisés à pêcher du germon</w:t>
      </w:r>
      <w:r w:rsidRPr="00582ECD">
        <w:rPr>
          <w:rFonts w:asciiTheme="majorHAnsi" w:hAnsiTheme="majorHAnsi"/>
          <w:b/>
          <w:bCs/>
          <w:i/>
        </w:rPr>
        <w:t xml:space="preserve"> de la Méditerranée :</w:t>
      </w:r>
      <w:r w:rsidRPr="00582ECD">
        <w:rPr>
          <w:rFonts w:asciiTheme="majorHAnsi" w:hAnsiTheme="majorHAnsi"/>
        </w:rPr>
        <w:t xml:space="preserve"> Les listes autorisées, reçues de quatre CPC (Égypte, Union européenne, Maroc et Türkiye), ont été publiées sur le </w:t>
      </w:r>
      <w:hyperlink r:id="rId10" w:history="1">
        <w:r w:rsidRPr="00582ECD">
          <w:rPr>
            <w:rStyle w:val="Hyperlink"/>
            <w:rFonts w:asciiTheme="majorHAnsi" w:hAnsiTheme="majorHAnsi"/>
            <w:u w:val="none"/>
          </w:rPr>
          <w:t>site web de l'ICCAT</w:t>
        </w:r>
      </w:hyperlink>
      <w:r w:rsidRPr="00582ECD">
        <w:rPr>
          <w:rFonts w:asciiTheme="majorHAnsi" w:hAnsiTheme="majorHAnsi"/>
        </w:rPr>
        <w:t xml:space="preserve">. Aucune liste </w:t>
      </w:r>
      <w:r w:rsidR="00206538">
        <w:rPr>
          <w:rFonts w:asciiTheme="majorHAnsi" w:hAnsiTheme="majorHAnsi"/>
        </w:rPr>
        <w:t>de navires autorisés</w:t>
      </w:r>
      <w:r w:rsidRPr="00582ECD">
        <w:rPr>
          <w:rFonts w:asciiTheme="majorHAnsi" w:hAnsiTheme="majorHAnsi"/>
        </w:rPr>
        <w:t xml:space="preserve"> n'a été reçue de la Libye.</w:t>
      </w:r>
    </w:p>
    <w:p w14:paraId="75457EFE" w14:textId="77777777" w:rsidR="00F953E1" w:rsidRPr="00582ECD" w:rsidRDefault="00F953E1" w:rsidP="00820485">
      <w:pPr>
        <w:tabs>
          <w:tab w:val="left" w:pos="1276"/>
          <w:tab w:val="left" w:pos="1418"/>
          <w:tab w:val="left" w:leader="dot" w:pos="8222"/>
          <w:tab w:val="right" w:pos="8647"/>
        </w:tabs>
        <w:jc w:val="both"/>
        <w:rPr>
          <w:rStyle w:val="Hyperlink"/>
          <w:rFonts w:asciiTheme="majorHAnsi" w:hAnsiTheme="majorHAnsi"/>
          <w:bCs/>
          <w:u w:val="none"/>
        </w:rPr>
      </w:pPr>
    </w:p>
    <w:p w14:paraId="7B5C1413" w14:textId="3C6C184D" w:rsidR="001443C5" w:rsidRPr="00582ECD" w:rsidRDefault="001443C5" w:rsidP="00820485">
      <w:pPr>
        <w:tabs>
          <w:tab w:val="left" w:pos="1276"/>
          <w:tab w:val="left" w:pos="1418"/>
          <w:tab w:val="left" w:leader="dot" w:pos="8222"/>
          <w:tab w:val="right" w:pos="8647"/>
        </w:tabs>
        <w:jc w:val="both"/>
        <w:rPr>
          <w:rFonts w:asciiTheme="majorHAnsi" w:hAnsiTheme="majorHAnsi"/>
          <w:bCs/>
        </w:rPr>
      </w:pPr>
      <w:r w:rsidRPr="00C96B81">
        <w:rPr>
          <w:rFonts w:asciiTheme="majorHAnsi" w:hAnsiTheme="majorHAnsi"/>
          <w:b/>
          <w:i/>
          <w:iCs/>
        </w:rPr>
        <w:t>Registre</w:t>
      </w:r>
      <w:r w:rsidRPr="00582ECD">
        <w:rPr>
          <w:rFonts w:asciiTheme="majorHAnsi" w:hAnsiTheme="majorHAnsi"/>
          <w:b/>
        </w:rPr>
        <w:t xml:space="preserve"> </w:t>
      </w:r>
      <w:r w:rsidRPr="00582ECD">
        <w:rPr>
          <w:rFonts w:asciiTheme="majorHAnsi" w:hAnsiTheme="majorHAnsi"/>
          <w:b/>
          <w:i/>
        </w:rPr>
        <w:t xml:space="preserve">ICCAT des ports autorisés pour le débarquement de l'espadon de la Méditerranée </w:t>
      </w:r>
      <w:r w:rsidRPr="00582ECD">
        <w:rPr>
          <w:rFonts w:asciiTheme="majorHAnsi" w:hAnsiTheme="majorHAnsi"/>
          <w:b/>
        </w:rPr>
        <w:t xml:space="preserve">: </w:t>
      </w:r>
      <w:r w:rsidRPr="00582ECD">
        <w:rPr>
          <w:rFonts w:asciiTheme="majorHAnsi" w:hAnsiTheme="majorHAnsi"/>
        </w:rPr>
        <w:t>Au total, 909 ports, de sept CPC</w:t>
      </w:r>
      <w:r w:rsidR="00BD2ADC">
        <w:rPr>
          <w:rFonts w:asciiTheme="majorHAnsi" w:hAnsiTheme="majorHAnsi"/>
        </w:rPr>
        <w:t xml:space="preserve"> (</w:t>
      </w:r>
      <w:r w:rsidR="00BD2ADC" w:rsidRPr="00582ECD">
        <w:rPr>
          <w:rFonts w:asciiTheme="majorHAnsi" w:hAnsiTheme="majorHAnsi"/>
        </w:rPr>
        <w:t>Algérie, Égypte, Libye, Maroc, Tunisie, Türkiye et Union européenne</w:t>
      </w:r>
      <w:r w:rsidR="00BD2ADC">
        <w:rPr>
          <w:rFonts w:asciiTheme="majorHAnsi" w:hAnsiTheme="majorHAnsi"/>
        </w:rPr>
        <w:t>)</w:t>
      </w:r>
      <w:r w:rsidRPr="00582ECD">
        <w:rPr>
          <w:rFonts w:asciiTheme="majorHAnsi" w:hAnsiTheme="majorHAnsi"/>
        </w:rPr>
        <w:t xml:space="preserve"> sont publiés sur </w:t>
      </w:r>
      <w:hyperlink r:id="rId11" w:history="1"/>
      <w:r w:rsidRPr="00582ECD">
        <w:rPr>
          <w:rStyle w:val="Hyperlink"/>
          <w:rFonts w:asciiTheme="majorHAnsi" w:hAnsiTheme="majorHAnsi"/>
          <w:color w:val="auto"/>
          <w:u w:val="none"/>
        </w:rPr>
        <w:t>le</w:t>
      </w:r>
      <w:r w:rsidRPr="00582ECD">
        <w:rPr>
          <w:rStyle w:val="Hyperlink"/>
          <w:rFonts w:asciiTheme="majorHAnsi" w:hAnsiTheme="majorHAnsi"/>
          <w:u w:val="none"/>
        </w:rPr>
        <w:t xml:space="preserve"> </w:t>
      </w:r>
      <w:hyperlink r:id="rId12" w:history="1">
        <w:r w:rsidRPr="00582ECD">
          <w:rPr>
            <w:rStyle w:val="Hyperlink"/>
            <w:rFonts w:asciiTheme="majorHAnsi" w:hAnsiTheme="majorHAnsi"/>
            <w:u w:val="none"/>
          </w:rPr>
          <w:t>site web de l’ICCAT</w:t>
        </w:r>
        <w:r w:rsidR="00BD2ADC">
          <w:rPr>
            <w:rStyle w:val="Hyperlink"/>
            <w:rFonts w:asciiTheme="majorHAnsi" w:hAnsiTheme="majorHAnsi"/>
            <w:u w:val="none"/>
          </w:rPr>
          <w:t>.</w:t>
        </w:r>
      </w:hyperlink>
    </w:p>
    <w:p w14:paraId="1AFD0E89" w14:textId="77777777" w:rsidR="00B421D7" w:rsidRPr="00582ECD" w:rsidRDefault="00B421D7" w:rsidP="00820485">
      <w:pPr>
        <w:tabs>
          <w:tab w:val="left" w:pos="1276"/>
          <w:tab w:val="left" w:pos="1418"/>
          <w:tab w:val="left" w:leader="dot" w:pos="8222"/>
          <w:tab w:val="right" w:pos="8647"/>
        </w:tabs>
        <w:ind w:firstLine="426"/>
        <w:rPr>
          <w:rFonts w:asciiTheme="majorHAnsi" w:hAnsiTheme="majorHAnsi"/>
          <w:b/>
        </w:rPr>
      </w:pPr>
    </w:p>
    <w:p w14:paraId="35098901" w14:textId="395B06E5" w:rsidR="0058307A" w:rsidRPr="00582ECD" w:rsidRDefault="003F475D" w:rsidP="00820485">
      <w:pPr>
        <w:tabs>
          <w:tab w:val="left" w:pos="1276"/>
          <w:tab w:val="left" w:pos="1418"/>
          <w:tab w:val="left" w:leader="dot" w:pos="8222"/>
          <w:tab w:val="right" w:pos="8647"/>
        </w:tabs>
        <w:jc w:val="both"/>
        <w:rPr>
          <w:rFonts w:asciiTheme="majorHAnsi" w:hAnsiTheme="majorHAnsi"/>
          <w:b/>
        </w:rPr>
      </w:pPr>
      <w:r w:rsidRPr="00582ECD">
        <w:rPr>
          <w:rFonts w:asciiTheme="majorHAnsi" w:hAnsiTheme="majorHAnsi"/>
          <w:b/>
          <w:i/>
        </w:rPr>
        <w:t xml:space="preserve">Agences d'inspection, inspecteurs et navires : </w:t>
      </w:r>
      <w:r w:rsidRPr="00582ECD">
        <w:rPr>
          <w:rFonts w:asciiTheme="majorHAnsi" w:hAnsiTheme="majorHAnsi"/>
        </w:rPr>
        <w:t>Des informations ont été reçues de l'Algérie, de l'Union européenne, de la Tunisie et de la Türkiye. Les listes d'agences, de moyens et d'inspecteurs sont présentées à l'</w:t>
      </w:r>
      <w:r w:rsidRPr="00582ECD">
        <w:rPr>
          <w:rFonts w:asciiTheme="majorHAnsi" w:hAnsiTheme="majorHAnsi"/>
          <w:b/>
          <w:bCs/>
        </w:rPr>
        <w:t>annexe 3</w:t>
      </w:r>
      <w:r w:rsidRPr="00582ECD">
        <w:rPr>
          <w:rFonts w:asciiTheme="majorHAnsi" w:hAnsiTheme="majorHAnsi"/>
        </w:rPr>
        <w:t xml:space="preserve">. La liste des navires d’inspection est publiée sur le site web de l'ICCAT. Un résumé des rapports d'inspection reçus est inclus au </w:t>
      </w:r>
      <w:r w:rsidRPr="00582ECD">
        <w:rPr>
          <w:rFonts w:asciiTheme="majorHAnsi" w:hAnsiTheme="majorHAnsi"/>
          <w:b/>
          <w:bCs/>
        </w:rPr>
        <w:t>tableau 2</w:t>
      </w:r>
      <w:r w:rsidRPr="00582ECD">
        <w:rPr>
          <w:rFonts w:asciiTheme="majorHAnsi" w:hAnsiTheme="majorHAnsi"/>
        </w:rPr>
        <w:t>. Un résumé des rapports comportant des infractions ainsi que les réponses apportées si elles sont disponibles sont inclus à l’</w:t>
      </w:r>
      <w:r w:rsidRPr="00582ECD">
        <w:rPr>
          <w:rFonts w:asciiTheme="majorHAnsi" w:hAnsiTheme="majorHAnsi"/>
          <w:b/>
          <w:bCs/>
        </w:rPr>
        <w:t>appendice</w:t>
      </w:r>
      <w:r w:rsidRPr="00582ECD">
        <w:rPr>
          <w:rFonts w:asciiTheme="majorHAnsi" w:hAnsiTheme="majorHAnsi"/>
        </w:rPr>
        <w:t xml:space="preserve"> </w:t>
      </w:r>
      <w:r w:rsidRPr="00582ECD">
        <w:rPr>
          <w:rFonts w:asciiTheme="majorHAnsi" w:hAnsiTheme="majorHAnsi"/>
          <w:b/>
        </w:rPr>
        <w:t>4</w:t>
      </w:r>
      <w:r w:rsidRPr="00582ECD">
        <w:rPr>
          <w:rFonts w:asciiTheme="majorHAnsi" w:hAnsiTheme="majorHAnsi"/>
        </w:rPr>
        <w:t xml:space="preserve"> et des copies des rapports comportant des infractions sont inclus à l’</w:t>
      </w:r>
      <w:r w:rsidRPr="00582ECD">
        <w:rPr>
          <w:rFonts w:asciiTheme="majorHAnsi" w:hAnsiTheme="majorHAnsi"/>
          <w:b/>
          <w:bCs/>
        </w:rPr>
        <w:t>annexe 2.</w:t>
      </w:r>
    </w:p>
    <w:p w14:paraId="5755B84C" w14:textId="77777777" w:rsidR="0073319D" w:rsidRPr="00582ECD" w:rsidRDefault="0073319D" w:rsidP="00820485">
      <w:pPr>
        <w:tabs>
          <w:tab w:val="left" w:pos="1276"/>
          <w:tab w:val="left" w:pos="1418"/>
          <w:tab w:val="left" w:leader="dot" w:pos="8222"/>
          <w:tab w:val="right" w:pos="8647"/>
        </w:tabs>
        <w:jc w:val="both"/>
        <w:rPr>
          <w:rFonts w:asciiTheme="majorHAnsi" w:hAnsiTheme="majorHAnsi"/>
          <w:b/>
        </w:rPr>
      </w:pPr>
    </w:p>
    <w:p w14:paraId="7104EAEB" w14:textId="4023AA4C" w:rsidR="00FA5585" w:rsidRPr="00582ECD" w:rsidRDefault="0073319D" w:rsidP="00FA5585">
      <w:pPr>
        <w:pBdr>
          <w:top w:val="single" w:sz="4" w:space="1" w:color="auto"/>
          <w:left w:val="single" w:sz="4" w:space="4" w:color="auto"/>
          <w:bottom w:val="single" w:sz="4" w:space="1" w:color="auto"/>
          <w:right w:val="single" w:sz="4" w:space="4" w:color="auto"/>
        </w:pBdr>
        <w:jc w:val="both"/>
        <w:rPr>
          <w:rFonts w:asciiTheme="majorHAnsi" w:hAnsiTheme="majorHAnsi"/>
        </w:rPr>
      </w:pPr>
      <w:r w:rsidRPr="00582ECD">
        <w:rPr>
          <w:rFonts w:asciiTheme="majorHAnsi" w:hAnsiTheme="majorHAnsi"/>
          <w:b/>
          <w:bCs/>
        </w:rPr>
        <w:t>Demande du Secrétariat de l’ICCAT:</w:t>
      </w:r>
    </w:p>
    <w:p w14:paraId="2DD73852" w14:textId="77777777" w:rsidR="00FA5585" w:rsidRPr="00582ECD" w:rsidRDefault="00FA5585" w:rsidP="00FA5585">
      <w:pPr>
        <w:pBdr>
          <w:top w:val="single" w:sz="4" w:space="1" w:color="auto"/>
          <w:left w:val="single" w:sz="4" w:space="4" w:color="auto"/>
          <w:bottom w:val="single" w:sz="4" w:space="1" w:color="auto"/>
          <w:right w:val="single" w:sz="4" w:space="4" w:color="auto"/>
        </w:pBdr>
        <w:jc w:val="both"/>
        <w:rPr>
          <w:rFonts w:asciiTheme="majorHAnsi" w:hAnsiTheme="majorHAnsi"/>
        </w:rPr>
      </w:pPr>
    </w:p>
    <w:p w14:paraId="313C9101" w14:textId="333E8525" w:rsidR="00FA5585" w:rsidRPr="00582ECD" w:rsidRDefault="00FA5585" w:rsidP="00FA5585">
      <w:pPr>
        <w:pBdr>
          <w:top w:val="single" w:sz="4" w:space="1" w:color="auto"/>
          <w:left w:val="single" w:sz="4" w:space="4" w:color="auto"/>
          <w:bottom w:val="single" w:sz="4" w:space="1" w:color="auto"/>
          <w:right w:val="single" w:sz="4" w:space="4" w:color="auto"/>
        </w:pBdr>
        <w:jc w:val="both"/>
        <w:rPr>
          <w:rFonts w:asciiTheme="majorHAnsi" w:hAnsiTheme="majorHAnsi"/>
        </w:rPr>
      </w:pPr>
      <w:r w:rsidRPr="00582ECD">
        <w:rPr>
          <w:rFonts w:asciiTheme="majorHAnsi" w:hAnsiTheme="majorHAnsi"/>
        </w:rPr>
        <w:t>Comme cela a été souligné lors des précédentes réunions de la Commission, les rapports d'inspection doivent être transmis au Secrétariat dès que possible après chaque inspection, en évitant toutefois d'envoyer des lots trop volumineux. Cela faciliterait grandement le travail du Secrétariat dans le traitement des rapports du JIS. Au moment de la rédaction du présent document, près de 140 rapports du JIS étaient encore en attente d'examen en raison de leur soumission par lots importants.</w:t>
      </w:r>
    </w:p>
    <w:p w14:paraId="526D0A94" w14:textId="77777777" w:rsidR="00FA5585" w:rsidRPr="00582ECD" w:rsidRDefault="00FA5585" w:rsidP="00FA5585">
      <w:pPr>
        <w:pBdr>
          <w:top w:val="single" w:sz="4" w:space="1" w:color="auto"/>
          <w:left w:val="single" w:sz="4" w:space="4" w:color="auto"/>
          <w:bottom w:val="single" w:sz="4" w:space="1" w:color="auto"/>
          <w:right w:val="single" w:sz="4" w:space="4" w:color="auto"/>
        </w:pBdr>
        <w:jc w:val="both"/>
        <w:rPr>
          <w:rFonts w:asciiTheme="majorHAnsi" w:hAnsiTheme="majorHAnsi"/>
        </w:rPr>
      </w:pPr>
    </w:p>
    <w:p w14:paraId="0817FE20" w14:textId="4FC7A65E" w:rsidR="0073319D" w:rsidRPr="00582ECD" w:rsidRDefault="0073319D" w:rsidP="00FA5585">
      <w:pPr>
        <w:pBdr>
          <w:top w:val="single" w:sz="4" w:space="1" w:color="auto"/>
          <w:left w:val="single" w:sz="4" w:space="4" w:color="auto"/>
          <w:bottom w:val="single" w:sz="4" w:space="1" w:color="auto"/>
          <w:right w:val="single" w:sz="4" w:space="4" w:color="auto"/>
        </w:pBdr>
        <w:jc w:val="both"/>
        <w:rPr>
          <w:rFonts w:asciiTheme="majorHAnsi" w:hAnsiTheme="majorHAnsi"/>
        </w:rPr>
      </w:pPr>
      <w:r w:rsidRPr="00582ECD">
        <w:rPr>
          <w:rFonts w:asciiTheme="majorHAnsi" w:hAnsiTheme="majorHAnsi"/>
        </w:rPr>
        <w:t xml:space="preserve">Conformément au point 12 de l’annexe 7 de la Rec. 25-04 et au point 12 de l’annexe 1 de la Rec. 16-05 (telle qu’amendée par la Rec. 25-13), les mesures prises à la suite des conclusions des inspections menées dans le cadre du Programme d’inspection internationale conjointe (JIS) qui ont mis en évidence des infractions présumées ont été publiées par le Secrétariat sur le </w:t>
      </w:r>
      <w:hyperlink r:id="rId13" w:history="1">
        <w:r w:rsidRPr="00582ECD">
          <w:rPr>
            <w:rStyle w:val="Hyperlink"/>
            <w:rFonts w:asciiTheme="majorHAnsi" w:hAnsiTheme="majorHAnsi"/>
            <w:u w:val="none"/>
          </w:rPr>
          <w:t>site web</w:t>
        </w:r>
      </w:hyperlink>
      <w:r w:rsidR="00DC39C1">
        <w:t xml:space="preserve"> </w:t>
      </w:r>
      <w:r w:rsidRPr="00582ECD">
        <w:rPr>
          <w:rFonts w:asciiTheme="majorHAnsi" w:hAnsiTheme="majorHAnsi"/>
        </w:rPr>
        <w:t>de l’ICCAT, dans la section consacrée au JIS de l’ICCAT.</w:t>
      </w:r>
    </w:p>
    <w:p w14:paraId="1B7CC9F9" w14:textId="77777777" w:rsidR="0073319D" w:rsidRPr="00582ECD" w:rsidRDefault="0073319D" w:rsidP="0073319D">
      <w:pPr>
        <w:pBdr>
          <w:top w:val="single" w:sz="4" w:space="1" w:color="auto"/>
          <w:left w:val="single" w:sz="4" w:space="4" w:color="auto"/>
          <w:bottom w:val="single" w:sz="4" w:space="1" w:color="auto"/>
          <w:right w:val="single" w:sz="4" w:space="4" w:color="auto"/>
        </w:pBdr>
        <w:jc w:val="both"/>
        <w:rPr>
          <w:rFonts w:asciiTheme="majorHAnsi" w:hAnsiTheme="majorHAnsi"/>
        </w:rPr>
      </w:pPr>
    </w:p>
    <w:p w14:paraId="1D5D1FB7" w14:textId="28FEF8DC" w:rsidR="0073319D" w:rsidRPr="00582ECD" w:rsidRDefault="0073319D" w:rsidP="0073319D">
      <w:pPr>
        <w:pBdr>
          <w:top w:val="single" w:sz="4" w:space="1" w:color="auto"/>
          <w:left w:val="single" w:sz="4" w:space="4" w:color="auto"/>
          <w:bottom w:val="single" w:sz="4" w:space="1" w:color="auto"/>
          <w:right w:val="single" w:sz="4" w:space="4" w:color="auto"/>
        </w:pBdr>
        <w:jc w:val="both"/>
        <w:rPr>
          <w:rFonts w:asciiTheme="majorHAnsi" w:hAnsiTheme="majorHAnsi"/>
        </w:rPr>
      </w:pPr>
      <w:r w:rsidRPr="00582ECD">
        <w:rPr>
          <w:rFonts w:asciiTheme="majorHAnsi" w:hAnsiTheme="majorHAnsi"/>
        </w:rPr>
        <w:t>Étant donné que le Secrétariat prépare actuellement l’</w:t>
      </w:r>
      <w:r w:rsidRPr="00582ECD">
        <w:rPr>
          <w:rFonts w:asciiTheme="majorHAnsi" w:hAnsiTheme="majorHAnsi"/>
          <w:b/>
        </w:rPr>
        <w:t>appendice 4</w:t>
      </w:r>
      <w:r w:rsidRPr="00582ECD">
        <w:rPr>
          <w:rFonts w:asciiTheme="majorHAnsi" w:hAnsiTheme="majorHAnsi"/>
        </w:rPr>
        <w:t xml:space="preserve"> de ce même document, qui rassemble des informations pratiquement identiques, nous demanderons au Comité d’application de préciser si le Secrétariat doit continuer à produire cet appendice dans les années à venir, ou si la publication actuelle sur le site web pourrait s’y substituer.</w:t>
      </w:r>
    </w:p>
    <w:p w14:paraId="1896632F" w14:textId="77777777" w:rsidR="0073319D" w:rsidRPr="00582ECD" w:rsidRDefault="0073319D" w:rsidP="0073319D">
      <w:pPr>
        <w:tabs>
          <w:tab w:val="left" w:pos="1276"/>
          <w:tab w:val="left" w:pos="1418"/>
          <w:tab w:val="left" w:leader="dot" w:pos="8222"/>
          <w:tab w:val="right" w:pos="8647"/>
        </w:tabs>
        <w:jc w:val="both"/>
        <w:rPr>
          <w:rFonts w:asciiTheme="majorHAnsi" w:hAnsiTheme="majorHAnsi"/>
          <w:b/>
          <w:i/>
        </w:rPr>
      </w:pPr>
    </w:p>
    <w:p w14:paraId="3CD53A2D" w14:textId="18D2381A" w:rsidR="004E2703" w:rsidRPr="00582ECD" w:rsidRDefault="004E2703" w:rsidP="00820485">
      <w:pPr>
        <w:tabs>
          <w:tab w:val="left" w:pos="1276"/>
          <w:tab w:val="left" w:pos="1418"/>
          <w:tab w:val="left" w:leader="dot" w:pos="8222"/>
          <w:tab w:val="right" w:pos="8647"/>
        </w:tabs>
        <w:jc w:val="both"/>
        <w:rPr>
          <w:rFonts w:asciiTheme="majorHAnsi" w:hAnsiTheme="majorHAnsi"/>
          <w:bCs/>
          <w:i/>
          <w:iCs/>
        </w:rPr>
      </w:pPr>
      <w:r w:rsidRPr="00582ECD">
        <w:rPr>
          <w:rFonts w:asciiTheme="majorHAnsi" w:hAnsiTheme="majorHAnsi"/>
          <w:i/>
        </w:rPr>
        <w:t>Rec. 24-10 : Recommandation de l'ICCAT sur des mesures de conservation et de gestion, incluant une procédure de gestion, pour l’espadon de l'Atlantique Nord</w:t>
      </w:r>
    </w:p>
    <w:p w14:paraId="1E666A46" w14:textId="77777777" w:rsidR="00E136DE" w:rsidRPr="00582ECD" w:rsidRDefault="00E136DE" w:rsidP="00820485">
      <w:pPr>
        <w:tabs>
          <w:tab w:val="left" w:pos="1276"/>
          <w:tab w:val="left" w:pos="1418"/>
          <w:tab w:val="left" w:leader="dot" w:pos="8222"/>
          <w:tab w:val="right" w:pos="8647"/>
        </w:tabs>
        <w:jc w:val="both"/>
        <w:rPr>
          <w:rFonts w:asciiTheme="majorHAnsi" w:hAnsiTheme="majorHAnsi"/>
          <w:bCs/>
          <w:i/>
          <w:iCs/>
        </w:rPr>
      </w:pPr>
    </w:p>
    <w:p w14:paraId="15D9C12B" w14:textId="0E1A10E4" w:rsidR="00E136DE" w:rsidRPr="00582ECD" w:rsidRDefault="00E136DE" w:rsidP="00E136DE">
      <w:pPr>
        <w:tabs>
          <w:tab w:val="left" w:pos="1276"/>
          <w:tab w:val="left" w:pos="1418"/>
          <w:tab w:val="left" w:leader="dot" w:pos="8222"/>
          <w:tab w:val="right" w:pos="8647"/>
        </w:tabs>
        <w:jc w:val="both"/>
        <w:rPr>
          <w:rFonts w:asciiTheme="majorHAnsi" w:hAnsiTheme="majorHAnsi"/>
          <w:i/>
        </w:rPr>
      </w:pPr>
      <w:r w:rsidRPr="00582ECD">
        <w:rPr>
          <w:rFonts w:asciiTheme="majorHAnsi" w:hAnsiTheme="majorHAnsi"/>
        </w:rPr>
        <w:t xml:space="preserve">(Remplacée par la </w:t>
      </w:r>
      <w:r w:rsidRPr="00582ECD">
        <w:rPr>
          <w:rFonts w:asciiTheme="majorHAnsi" w:hAnsiTheme="majorHAnsi"/>
          <w:i/>
          <w:iCs/>
        </w:rPr>
        <w:t>Rec. 25-10 : Recommandation de l’ICCAT remplaçant la Recommandation 24-10 sur des mesures de conservation et de gestion, incluant une procédure de gestion, pour l’espadon de l’Atlantique Nord</w:t>
      </w:r>
    </w:p>
    <w:p w14:paraId="6EFEFB4A" w14:textId="77777777" w:rsidR="00D26C9B" w:rsidRPr="00582ECD" w:rsidRDefault="00D26C9B" w:rsidP="00820485">
      <w:pPr>
        <w:tabs>
          <w:tab w:val="left" w:pos="1276"/>
          <w:tab w:val="left" w:pos="1418"/>
          <w:tab w:val="left" w:leader="dot" w:pos="8222"/>
          <w:tab w:val="right" w:pos="8647"/>
        </w:tabs>
        <w:jc w:val="both"/>
        <w:rPr>
          <w:rFonts w:asciiTheme="majorHAnsi" w:hAnsiTheme="majorHAnsi"/>
          <w:i/>
        </w:rPr>
      </w:pPr>
    </w:p>
    <w:p w14:paraId="5DADCC76" w14:textId="5097EA20" w:rsidR="001C2499" w:rsidRPr="00582ECD" w:rsidRDefault="001C2499" w:rsidP="001C2499">
      <w:pPr>
        <w:tabs>
          <w:tab w:val="left" w:pos="1276"/>
          <w:tab w:val="left" w:pos="1418"/>
          <w:tab w:val="left" w:leader="dot" w:pos="8222"/>
          <w:tab w:val="right" w:pos="8647"/>
        </w:tabs>
        <w:jc w:val="both"/>
        <w:rPr>
          <w:rFonts w:asciiTheme="majorHAnsi" w:hAnsiTheme="majorHAnsi"/>
          <w:b/>
          <w:bCs/>
        </w:rPr>
      </w:pPr>
      <w:r w:rsidRPr="00582ECD">
        <w:rPr>
          <w:rFonts w:asciiTheme="majorHAnsi" w:hAnsiTheme="majorHAnsi"/>
          <w:b/>
          <w:i/>
        </w:rPr>
        <w:t xml:space="preserve">Plans de gestion/développement de la pêcherie d'espadon du Nord : </w:t>
      </w:r>
      <w:r w:rsidRPr="00582ECD">
        <w:rPr>
          <w:rFonts w:asciiTheme="majorHAnsi" w:hAnsiTheme="majorHAnsi"/>
        </w:rPr>
        <w:t xml:space="preserve">Les versions actualisées reçues sont contenues dans les « Plans de développement, de pêche ou de gestion de l'espadon de l'Atlantique Nord » [PA4_801/2026]. Une nouvelle soumission n'est plus nécessaire si les plans précédents n'ont pas été modifiés. </w:t>
      </w:r>
    </w:p>
    <w:p w14:paraId="45E5AE77" w14:textId="77777777" w:rsidR="001C2499" w:rsidRPr="00582ECD" w:rsidRDefault="001C2499" w:rsidP="00820485">
      <w:pPr>
        <w:tabs>
          <w:tab w:val="left" w:pos="1276"/>
          <w:tab w:val="left" w:pos="1418"/>
          <w:tab w:val="left" w:leader="dot" w:pos="8222"/>
          <w:tab w:val="right" w:pos="8647"/>
        </w:tabs>
        <w:jc w:val="both"/>
        <w:rPr>
          <w:rFonts w:asciiTheme="majorHAnsi" w:hAnsiTheme="majorHAnsi"/>
          <w:b/>
          <w:bCs/>
          <w:i/>
        </w:rPr>
      </w:pPr>
    </w:p>
    <w:p w14:paraId="7B2F6A90" w14:textId="3F2E7AFA" w:rsidR="0062071E" w:rsidRPr="00582ECD" w:rsidRDefault="0062071E" w:rsidP="00820485">
      <w:pPr>
        <w:tabs>
          <w:tab w:val="left" w:pos="1276"/>
          <w:tab w:val="left" w:pos="1418"/>
          <w:tab w:val="left" w:leader="dot" w:pos="8222"/>
          <w:tab w:val="right" w:pos="8647"/>
        </w:tabs>
        <w:jc w:val="both"/>
        <w:rPr>
          <w:rFonts w:asciiTheme="majorHAnsi" w:hAnsiTheme="majorHAnsi"/>
        </w:rPr>
      </w:pPr>
      <w:r w:rsidRPr="00582ECD">
        <w:rPr>
          <w:rFonts w:asciiTheme="majorHAnsi" w:hAnsiTheme="majorHAnsi"/>
          <w:b/>
          <w:bCs/>
          <w:i/>
          <w:iCs/>
        </w:rPr>
        <w:t>Application des q</w:t>
      </w:r>
      <w:r w:rsidRPr="00582ECD">
        <w:rPr>
          <w:rFonts w:asciiTheme="majorHAnsi" w:hAnsiTheme="majorHAnsi"/>
          <w:b/>
          <w:i/>
        </w:rPr>
        <w:t>uotas/li</w:t>
      </w:r>
      <w:r w:rsidRPr="00582ECD">
        <w:rPr>
          <w:rFonts w:asciiTheme="majorHAnsi" w:hAnsiTheme="majorHAnsi"/>
          <w:b/>
          <w:bCs/>
          <w:i/>
          <w:iCs/>
        </w:rPr>
        <w:t>mites de capture :</w:t>
      </w:r>
      <w:r w:rsidRPr="00582ECD">
        <w:rPr>
          <w:rFonts w:asciiTheme="majorHAnsi" w:hAnsiTheme="majorHAnsi"/>
        </w:rPr>
        <w:t xml:space="preserve"> Veuillez consulter les</w:t>
      </w:r>
      <w:r w:rsidR="00005EA9" w:rsidRPr="00582ECD">
        <w:rPr>
          <w:rFonts w:asciiTheme="majorHAnsi" w:hAnsiTheme="majorHAnsi"/>
        </w:rPr>
        <w:t xml:space="preserve"> « </w:t>
      </w:r>
      <w:r w:rsidRPr="00582ECD">
        <w:rPr>
          <w:rFonts w:asciiTheme="majorHAnsi" w:hAnsiTheme="majorHAnsi"/>
        </w:rPr>
        <w:t>Tableaux d'application 2025 reçus en 2026</w:t>
      </w:r>
      <w:r w:rsidR="00005EA9" w:rsidRPr="00582ECD">
        <w:rPr>
          <w:rFonts w:asciiTheme="majorHAnsi" w:hAnsiTheme="majorHAnsi"/>
        </w:rPr>
        <w:t> »</w:t>
      </w:r>
      <w:r w:rsidRPr="00582ECD">
        <w:rPr>
          <w:rFonts w:asciiTheme="majorHAnsi" w:hAnsiTheme="majorHAnsi"/>
        </w:rPr>
        <w:t xml:space="preserve"> [COC_304/2026].</w:t>
      </w:r>
    </w:p>
    <w:p w14:paraId="6518008F" w14:textId="77777777" w:rsidR="00A83EF2" w:rsidRPr="00582ECD" w:rsidRDefault="00A83EF2" w:rsidP="00820485">
      <w:pPr>
        <w:tabs>
          <w:tab w:val="left" w:pos="1276"/>
          <w:tab w:val="left" w:pos="1418"/>
          <w:tab w:val="left" w:leader="dot" w:pos="8222"/>
          <w:tab w:val="right" w:pos="8647"/>
        </w:tabs>
        <w:ind w:firstLine="426"/>
        <w:rPr>
          <w:rFonts w:asciiTheme="majorHAnsi" w:hAnsiTheme="majorHAnsi"/>
        </w:rPr>
      </w:pPr>
    </w:p>
    <w:p w14:paraId="64DA5DAA" w14:textId="4CCB7F04" w:rsidR="00B66141" w:rsidRPr="00582ECD" w:rsidRDefault="00233926" w:rsidP="00820485">
      <w:pPr>
        <w:tabs>
          <w:tab w:val="left" w:pos="1276"/>
          <w:tab w:val="left" w:pos="1418"/>
          <w:tab w:val="left" w:leader="dot" w:pos="8222"/>
          <w:tab w:val="right" w:pos="8647"/>
        </w:tabs>
        <w:jc w:val="both"/>
        <w:rPr>
          <w:rFonts w:asciiTheme="majorHAnsi" w:hAnsiTheme="majorHAnsi"/>
        </w:rPr>
      </w:pPr>
      <w:r w:rsidRPr="00582ECD">
        <w:rPr>
          <w:rFonts w:asciiTheme="majorHAnsi" w:hAnsiTheme="majorHAnsi"/>
        </w:rPr>
        <w:t>Conformément au paragraphe 14 de la Rec. 24-10, les CPC suivantes ont inclus des informations dans leurs rapports annuels sur la limite maximale de prise accessoire d’espadon de l’Atlantique Nord à bord :</w:t>
      </w:r>
    </w:p>
    <w:p w14:paraId="74688093" w14:textId="77777777" w:rsidR="00FD756E" w:rsidRPr="00582ECD" w:rsidRDefault="00FD756E" w:rsidP="00820485">
      <w:pPr>
        <w:jc w:val="both"/>
        <w:rPr>
          <w:rFonts w:asciiTheme="majorHAnsi" w:hAnsiTheme="majorHAnsi" w:cs="Calibri"/>
          <w:color w:val="000000"/>
        </w:rPr>
      </w:pPr>
    </w:p>
    <w:tbl>
      <w:tblPr>
        <w:tblW w:w="5000" w:type="pct"/>
        <w:tblLook w:val="04A0" w:firstRow="1" w:lastRow="0" w:firstColumn="1" w:lastColumn="0" w:noHBand="0" w:noVBand="1"/>
      </w:tblPr>
      <w:tblGrid>
        <w:gridCol w:w="1799"/>
        <w:gridCol w:w="7256"/>
      </w:tblGrid>
      <w:tr w:rsidR="00FD756E" w:rsidRPr="00582ECD" w14:paraId="5DAE7ED8" w14:textId="77777777" w:rsidTr="00730878">
        <w:tc>
          <w:tcPr>
            <w:tcW w:w="856" w:type="pct"/>
            <w:tcBorders>
              <w:top w:val="single" w:sz="8" w:space="0" w:color="auto"/>
              <w:left w:val="single" w:sz="8" w:space="0" w:color="auto"/>
              <w:bottom w:val="single" w:sz="8" w:space="0" w:color="auto"/>
              <w:right w:val="single" w:sz="8" w:space="0" w:color="auto"/>
            </w:tcBorders>
            <w:noWrap/>
            <w:vAlign w:val="center"/>
            <w:hideMark/>
          </w:tcPr>
          <w:p w14:paraId="1F5EB3F2" w14:textId="77777777" w:rsidR="00FD756E" w:rsidRPr="00582ECD" w:rsidRDefault="00FD756E" w:rsidP="00FD756E">
            <w:pPr>
              <w:widowControl/>
              <w:autoSpaceDE/>
              <w:autoSpaceDN/>
              <w:adjustRightInd/>
              <w:jc w:val="center"/>
              <w:rPr>
                <w:rFonts w:asciiTheme="majorHAnsi" w:hAnsiTheme="majorHAnsi" w:cs="Calibri"/>
                <w:i/>
                <w:iCs/>
                <w:color w:val="000000"/>
              </w:rPr>
            </w:pPr>
            <w:r w:rsidRPr="00582ECD">
              <w:rPr>
                <w:rFonts w:asciiTheme="majorHAnsi" w:hAnsiTheme="majorHAnsi"/>
                <w:i/>
                <w:color w:val="000000"/>
              </w:rPr>
              <w:t>CPC</w:t>
            </w:r>
          </w:p>
        </w:tc>
        <w:tc>
          <w:tcPr>
            <w:tcW w:w="4144" w:type="pct"/>
            <w:tcBorders>
              <w:top w:val="single" w:sz="8" w:space="0" w:color="auto"/>
              <w:left w:val="nil"/>
              <w:bottom w:val="single" w:sz="8" w:space="0" w:color="auto"/>
              <w:right w:val="single" w:sz="8" w:space="0" w:color="auto"/>
            </w:tcBorders>
            <w:vAlign w:val="center"/>
            <w:hideMark/>
          </w:tcPr>
          <w:p w14:paraId="0F2A1D30" w14:textId="77777777" w:rsidR="00FD756E" w:rsidRPr="00582ECD" w:rsidRDefault="00FD756E" w:rsidP="00FD756E">
            <w:pPr>
              <w:widowControl/>
              <w:autoSpaceDE/>
              <w:autoSpaceDN/>
              <w:adjustRightInd/>
              <w:jc w:val="center"/>
              <w:rPr>
                <w:rFonts w:asciiTheme="majorHAnsi" w:hAnsiTheme="majorHAnsi" w:cs="Calibri"/>
                <w:i/>
                <w:iCs/>
                <w:color w:val="000000"/>
              </w:rPr>
            </w:pPr>
            <w:r w:rsidRPr="00582ECD">
              <w:rPr>
                <w:rFonts w:asciiTheme="majorHAnsi" w:hAnsiTheme="majorHAnsi"/>
                <w:i/>
                <w:color w:val="000000"/>
              </w:rPr>
              <w:t>Réponse</w:t>
            </w:r>
          </w:p>
        </w:tc>
      </w:tr>
      <w:tr w:rsidR="00FD756E" w:rsidRPr="00582ECD" w14:paraId="69B0FEFE" w14:textId="77777777" w:rsidTr="00536AB6">
        <w:tc>
          <w:tcPr>
            <w:tcW w:w="856" w:type="pct"/>
            <w:tcBorders>
              <w:top w:val="nil"/>
              <w:left w:val="single" w:sz="8" w:space="0" w:color="auto"/>
              <w:bottom w:val="single" w:sz="4" w:space="0" w:color="auto"/>
              <w:right w:val="single" w:sz="8" w:space="0" w:color="auto"/>
            </w:tcBorders>
            <w:noWrap/>
            <w:vAlign w:val="center"/>
            <w:hideMark/>
          </w:tcPr>
          <w:p w14:paraId="0A451E75" w14:textId="521153D0" w:rsidR="00FD756E" w:rsidRPr="00582ECD" w:rsidRDefault="00511B40" w:rsidP="00FD756E">
            <w:pPr>
              <w:widowControl/>
              <w:autoSpaceDE/>
              <w:autoSpaceDN/>
              <w:adjustRightInd/>
              <w:rPr>
                <w:rFonts w:asciiTheme="majorHAnsi" w:hAnsiTheme="majorHAnsi" w:cs="Calibri"/>
                <w:color w:val="000000"/>
              </w:rPr>
            </w:pPr>
            <w:r w:rsidRPr="00582ECD">
              <w:rPr>
                <w:rFonts w:asciiTheme="majorHAnsi" w:hAnsiTheme="majorHAnsi"/>
                <w:color w:val="000000"/>
              </w:rPr>
              <w:t>Belize</w:t>
            </w:r>
          </w:p>
        </w:tc>
        <w:tc>
          <w:tcPr>
            <w:tcW w:w="4144" w:type="pct"/>
            <w:tcBorders>
              <w:top w:val="nil"/>
              <w:left w:val="nil"/>
              <w:bottom w:val="single" w:sz="4" w:space="0" w:color="auto"/>
              <w:right w:val="single" w:sz="8" w:space="0" w:color="auto"/>
            </w:tcBorders>
            <w:vAlign w:val="center"/>
            <w:hideMark/>
          </w:tcPr>
          <w:p w14:paraId="5BC01F60" w14:textId="5691E39D" w:rsidR="00FD756E" w:rsidRPr="00582ECD" w:rsidRDefault="00DB630B" w:rsidP="00FD756E">
            <w:pPr>
              <w:widowControl/>
              <w:autoSpaceDE/>
              <w:autoSpaceDN/>
              <w:adjustRightInd/>
              <w:jc w:val="both"/>
              <w:rPr>
                <w:rFonts w:asciiTheme="majorHAnsi" w:hAnsiTheme="majorHAnsi" w:cs="Calibri"/>
                <w:color w:val="000000"/>
              </w:rPr>
            </w:pPr>
            <w:r w:rsidRPr="00582ECD">
              <w:rPr>
                <w:rFonts w:asciiTheme="majorHAnsi" w:hAnsiTheme="majorHAnsi"/>
                <w:color w:val="000000"/>
              </w:rPr>
              <w:t>Le Belize a instauré une limite de capture accessoire à bord pour toutes les espèces, y compris l’espadon de l’Atlantique Nord. La limite de prises accessoires fixée pour les navires non autorisés à pêcher exclusivement cette espèce est de 10 t. Cette quantité est prise en compte dans l'allocation globale de quota pour le Belize. Cependant, aucun navire n’a déclaré de prise accessoire d’espadon de l’Atlantique Sud.</w:t>
            </w:r>
          </w:p>
          <w:p w14:paraId="18AE16E5" w14:textId="066B84EA" w:rsidR="00536AB6" w:rsidRPr="00582ECD" w:rsidRDefault="00536AB6" w:rsidP="00FD756E">
            <w:pPr>
              <w:widowControl/>
              <w:autoSpaceDE/>
              <w:autoSpaceDN/>
              <w:adjustRightInd/>
              <w:jc w:val="both"/>
              <w:rPr>
                <w:rFonts w:asciiTheme="majorHAnsi" w:hAnsiTheme="majorHAnsi" w:cs="Calibri"/>
                <w:color w:val="000000"/>
                <w:lang w:eastAsia="en-GB"/>
              </w:rPr>
            </w:pPr>
          </w:p>
        </w:tc>
      </w:tr>
      <w:tr w:rsidR="00FD756E" w:rsidRPr="00582ECD" w14:paraId="460D8701" w14:textId="77777777" w:rsidTr="00536AB6">
        <w:tc>
          <w:tcPr>
            <w:tcW w:w="856" w:type="pct"/>
            <w:tcBorders>
              <w:top w:val="single" w:sz="4" w:space="0" w:color="auto"/>
              <w:left w:val="single" w:sz="8" w:space="0" w:color="auto"/>
              <w:bottom w:val="single" w:sz="8" w:space="0" w:color="auto"/>
              <w:right w:val="single" w:sz="8" w:space="0" w:color="auto"/>
            </w:tcBorders>
            <w:noWrap/>
            <w:vAlign w:val="center"/>
            <w:hideMark/>
          </w:tcPr>
          <w:p w14:paraId="46335221" w14:textId="2B430B60" w:rsidR="00FD756E" w:rsidRPr="00582ECD" w:rsidRDefault="00511B40" w:rsidP="00FD756E">
            <w:pPr>
              <w:widowControl/>
              <w:autoSpaceDE/>
              <w:autoSpaceDN/>
              <w:adjustRightInd/>
              <w:rPr>
                <w:rFonts w:asciiTheme="majorHAnsi" w:hAnsiTheme="majorHAnsi" w:cs="Calibri"/>
                <w:color w:val="000000"/>
              </w:rPr>
            </w:pPr>
            <w:r w:rsidRPr="00582ECD">
              <w:rPr>
                <w:rFonts w:asciiTheme="majorHAnsi" w:hAnsiTheme="majorHAnsi"/>
                <w:color w:val="000000"/>
              </w:rPr>
              <w:lastRenderedPageBreak/>
              <w:t>Chine</w:t>
            </w:r>
          </w:p>
        </w:tc>
        <w:tc>
          <w:tcPr>
            <w:tcW w:w="4144" w:type="pct"/>
            <w:tcBorders>
              <w:top w:val="single" w:sz="4" w:space="0" w:color="auto"/>
              <w:left w:val="nil"/>
              <w:bottom w:val="single" w:sz="8" w:space="0" w:color="auto"/>
              <w:right w:val="single" w:sz="8" w:space="0" w:color="auto"/>
            </w:tcBorders>
            <w:vAlign w:val="center"/>
            <w:hideMark/>
          </w:tcPr>
          <w:p w14:paraId="39E29F7E" w14:textId="5D5B9B1C" w:rsidR="00FD756E" w:rsidRPr="00582ECD" w:rsidRDefault="00DB630B" w:rsidP="00FD756E">
            <w:pPr>
              <w:widowControl/>
              <w:autoSpaceDE/>
              <w:autoSpaceDN/>
              <w:adjustRightInd/>
              <w:jc w:val="both"/>
              <w:rPr>
                <w:rFonts w:asciiTheme="majorHAnsi" w:hAnsiTheme="majorHAnsi" w:cs="Calibri"/>
                <w:color w:val="000000"/>
              </w:rPr>
            </w:pPr>
            <w:r w:rsidRPr="00582ECD">
              <w:rPr>
                <w:rFonts w:asciiTheme="majorHAnsi" w:hAnsiTheme="majorHAnsi"/>
                <w:color w:val="000000"/>
              </w:rPr>
              <w:t>La Chine n'a pas de navires ciblant l'espadon du Nord et l'espadon du Sud, tous les espadons sont capturés comme prises accessoires et les palangriers tropicaux peuvent capturer de l'espadon comme prise accessoire. En 2025, la Chine disposait de 121 t de germon du Nord et de 344,3 t de germon du Sud. La Chine a fixé une limite de capture pour le germon du Nord et du Sud pour chaque palangrier sur la base du TAC alloué à la Chine conformément aux recommandations concernant ces espèces. Chaque navire doit respecter strictement la limite de capture qui lui a été fixée.</w:t>
            </w:r>
          </w:p>
        </w:tc>
      </w:tr>
      <w:tr w:rsidR="00FD756E" w:rsidRPr="00582ECD" w14:paraId="36A90707" w14:textId="77777777" w:rsidTr="006D1DE6">
        <w:tc>
          <w:tcPr>
            <w:tcW w:w="856" w:type="pct"/>
            <w:tcBorders>
              <w:top w:val="nil"/>
              <w:left w:val="single" w:sz="8" w:space="0" w:color="auto"/>
              <w:bottom w:val="single" w:sz="4" w:space="0" w:color="auto"/>
              <w:right w:val="single" w:sz="8" w:space="0" w:color="auto"/>
            </w:tcBorders>
            <w:noWrap/>
            <w:vAlign w:val="center"/>
            <w:hideMark/>
          </w:tcPr>
          <w:p w14:paraId="7FC81133" w14:textId="7E3FA3F1" w:rsidR="00FD756E" w:rsidRPr="00582ECD" w:rsidRDefault="00511B40" w:rsidP="00FD756E">
            <w:pPr>
              <w:widowControl/>
              <w:autoSpaceDE/>
              <w:autoSpaceDN/>
              <w:adjustRightInd/>
              <w:rPr>
                <w:rFonts w:asciiTheme="majorHAnsi" w:hAnsiTheme="majorHAnsi" w:cs="Calibri"/>
                <w:color w:val="000000"/>
              </w:rPr>
            </w:pPr>
            <w:r w:rsidRPr="00582ECD">
              <w:rPr>
                <w:rFonts w:asciiTheme="majorHAnsi" w:hAnsiTheme="majorHAnsi"/>
                <w:color w:val="000000"/>
              </w:rPr>
              <w:t>Curaçao</w:t>
            </w:r>
          </w:p>
        </w:tc>
        <w:tc>
          <w:tcPr>
            <w:tcW w:w="4144" w:type="pct"/>
            <w:tcBorders>
              <w:top w:val="nil"/>
              <w:left w:val="nil"/>
              <w:bottom w:val="single" w:sz="4" w:space="0" w:color="auto"/>
              <w:right w:val="single" w:sz="8" w:space="0" w:color="auto"/>
            </w:tcBorders>
            <w:vAlign w:val="center"/>
            <w:hideMark/>
          </w:tcPr>
          <w:p w14:paraId="3948BDE0" w14:textId="37B64938" w:rsidR="00FD756E" w:rsidRPr="00582ECD" w:rsidRDefault="00DB630B" w:rsidP="00FD756E">
            <w:pPr>
              <w:widowControl/>
              <w:autoSpaceDE/>
              <w:autoSpaceDN/>
              <w:adjustRightInd/>
              <w:jc w:val="both"/>
              <w:rPr>
                <w:rFonts w:asciiTheme="majorHAnsi" w:hAnsiTheme="majorHAnsi"/>
              </w:rPr>
            </w:pPr>
            <w:r w:rsidRPr="00582ECD">
              <w:rPr>
                <w:rFonts w:asciiTheme="majorHAnsi" w:hAnsiTheme="majorHAnsi"/>
              </w:rPr>
              <w:t>Dans le cas des activités de pêche, Curaçao a conclu un accord avec les navires sur un maximum de 10 t de prise accessoire. Dans ce cas, il n'y a pas eu d'activités de pêche en 2025.</w:t>
            </w:r>
          </w:p>
        </w:tc>
      </w:tr>
      <w:tr w:rsidR="009A56D8" w:rsidRPr="00582ECD" w14:paraId="4C82AD54" w14:textId="77777777" w:rsidTr="006D1FBF">
        <w:tc>
          <w:tcPr>
            <w:tcW w:w="856" w:type="pct"/>
            <w:tcBorders>
              <w:top w:val="nil"/>
              <w:left w:val="single" w:sz="8" w:space="0" w:color="auto"/>
              <w:bottom w:val="single" w:sz="4" w:space="0" w:color="auto"/>
              <w:right w:val="single" w:sz="8" w:space="0" w:color="auto"/>
            </w:tcBorders>
            <w:noWrap/>
          </w:tcPr>
          <w:p w14:paraId="1BE3E8D2" w14:textId="2C4B3E6D" w:rsidR="009A56D8" w:rsidRPr="00582ECD" w:rsidRDefault="009A56D8" w:rsidP="009A56D8">
            <w:pPr>
              <w:widowControl/>
              <w:autoSpaceDE/>
              <w:autoSpaceDN/>
              <w:adjustRightInd/>
              <w:rPr>
                <w:rFonts w:asciiTheme="majorHAnsi" w:hAnsiTheme="majorHAnsi"/>
                <w:color w:val="000000"/>
              </w:rPr>
            </w:pPr>
            <w:r w:rsidRPr="00582ECD">
              <w:rPr>
                <w:rFonts w:asciiTheme="majorHAnsi" w:hAnsiTheme="majorHAnsi"/>
              </w:rPr>
              <w:t>Union européenne</w:t>
            </w:r>
          </w:p>
        </w:tc>
        <w:tc>
          <w:tcPr>
            <w:tcW w:w="4144" w:type="pct"/>
            <w:tcBorders>
              <w:top w:val="nil"/>
              <w:left w:val="nil"/>
              <w:bottom w:val="single" w:sz="4" w:space="0" w:color="auto"/>
              <w:right w:val="single" w:sz="8" w:space="0" w:color="auto"/>
            </w:tcBorders>
          </w:tcPr>
          <w:p w14:paraId="11678C6B" w14:textId="189A3AB2" w:rsidR="009A56D8" w:rsidRPr="00582ECD" w:rsidRDefault="009A56D8" w:rsidP="009A56D8">
            <w:pPr>
              <w:widowControl/>
              <w:autoSpaceDE/>
              <w:autoSpaceDN/>
              <w:adjustRightInd/>
              <w:jc w:val="both"/>
              <w:rPr>
                <w:rFonts w:asciiTheme="majorHAnsi" w:hAnsiTheme="majorHAnsi"/>
              </w:rPr>
            </w:pPr>
            <w:r w:rsidRPr="00582ECD">
              <w:rPr>
                <w:rFonts w:asciiTheme="majorHAnsi" w:hAnsiTheme="majorHAnsi"/>
              </w:rPr>
              <w:t>Des détails supplémentaires sont inclus dans la section 2 de son rapport annuel.</w:t>
            </w:r>
          </w:p>
        </w:tc>
      </w:tr>
      <w:tr w:rsidR="00B05F2B" w:rsidRPr="00582ECD" w14:paraId="782374FC" w14:textId="77777777" w:rsidTr="006D1DE6">
        <w:trPr>
          <w:trHeight w:val="75"/>
        </w:trPr>
        <w:tc>
          <w:tcPr>
            <w:tcW w:w="856" w:type="pct"/>
            <w:tcBorders>
              <w:top w:val="single" w:sz="4" w:space="0" w:color="auto"/>
              <w:left w:val="single" w:sz="4" w:space="0" w:color="auto"/>
              <w:bottom w:val="single" w:sz="4" w:space="0" w:color="auto"/>
              <w:right w:val="single" w:sz="4" w:space="0" w:color="auto"/>
            </w:tcBorders>
            <w:noWrap/>
            <w:vAlign w:val="center"/>
            <w:hideMark/>
          </w:tcPr>
          <w:p w14:paraId="0D7F6A6B" w14:textId="5077D6C3" w:rsidR="00B05F2B" w:rsidRPr="00582ECD" w:rsidRDefault="00C50DA4" w:rsidP="00FD756E">
            <w:pPr>
              <w:widowControl/>
              <w:autoSpaceDE/>
              <w:autoSpaceDN/>
              <w:adjustRightInd/>
              <w:rPr>
                <w:rFonts w:asciiTheme="majorHAnsi" w:hAnsiTheme="majorHAnsi" w:cs="Calibri"/>
                <w:color w:val="000000"/>
              </w:rPr>
            </w:pPr>
            <w:r w:rsidRPr="00582ECD">
              <w:rPr>
                <w:rFonts w:asciiTheme="majorHAnsi" w:hAnsiTheme="majorHAnsi"/>
                <w:color w:val="000000"/>
              </w:rPr>
              <w:t>Royaume-Uni</w:t>
            </w:r>
          </w:p>
        </w:tc>
        <w:tc>
          <w:tcPr>
            <w:tcW w:w="4144" w:type="pct"/>
            <w:tcBorders>
              <w:top w:val="single" w:sz="4" w:space="0" w:color="auto"/>
              <w:left w:val="single" w:sz="4" w:space="0" w:color="auto"/>
              <w:bottom w:val="single" w:sz="4" w:space="0" w:color="auto"/>
              <w:right w:val="single" w:sz="4" w:space="0" w:color="auto"/>
            </w:tcBorders>
            <w:vAlign w:val="center"/>
            <w:hideMark/>
          </w:tcPr>
          <w:p w14:paraId="6C223A4C" w14:textId="1EB69EF0" w:rsidR="00B05F2B" w:rsidRPr="00582ECD" w:rsidRDefault="00C50DA4" w:rsidP="006D1DE6">
            <w:pPr>
              <w:jc w:val="both"/>
              <w:rPr>
                <w:rFonts w:asciiTheme="majorHAnsi" w:hAnsiTheme="majorHAnsi" w:cs="Calibri"/>
                <w:color w:val="000000"/>
              </w:rPr>
            </w:pPr>
            <w:r w:rsidRPr="00582ECD">
              <w:rPr>
                <w:rFonts w:asciiTheme="majorHAnsi" w:hAnsiTheme="majorHAnsi"/>
                <w:color w:val="000000"/>
              </w:rPr>
              <w:t>En 2025, les Territoires britanniques d'outre-mer ne comptaient aucun navire de plus de 20 m dans la zone de pêche. En 2025, les navires britanniques de plus de 20 m de long ont capturé du SWO-N en prises accessoires ; une limite maximale de prises accessoires à bord pour le SWO-</w:t>
            </w:r>
            <w:proofErr w:type="gramStart"/>
            <w:r w:rsidRPr="00582ECD">
              <w:rPr>
                <w:rFonts w:asciiTheme="majorHAnsi" w:hAnsiTheme="majorHAnsi"/>
                <w:color w:val="000000"/>
              </w:rPr>
              <w:t>N a</w:t>
            </w:r>
            <w:proofErr w:type="gramEnd"/>
            <w:r w:rsidRPr="00582ECD">
              <w:rPr>
                <w:rFonts w:asciiTheme="majorHAnsi" w:hAnsiTheme="majorHAnsi"/>
                <w:color w:val="000000"/>
              </w:rPr>
              <w:t xml:space="preserve"> été convenue et fixée. Par souci d'exhaustivité, tous les navires du RU Met  sont désormais autorisés, en 2026, à conserver au maximum deux (2) spécimens du stock SWO-N au cours de chaque sortie de pêche.</w:t>
            </w:r>
          </w:p>
        </w:tc>
      </w:tr>
    </w:tbl>
    <w:p w14:paraId="4CDDC0A4" w14:textId="77777777" w:rsidR="00D30794" w:rsidRPr="00582ECD" w:rsidRDefault="00D30794" w:rsidP="00820485">
      <w:pPr>
        <w:jc w:val="both"/>
        <w:rPr>
          <w:rFonts w:asciiTheme="majorHAnsi" w:hAnsiTheme="majorHAnsi" w:cs="Calibri"/>
          <w:color w:val="000000"/>
        </w:rPr>
      </w:pPr>
    </w:p>
    <w:p w14:paraId="7E60B700" w14:textId="7E95C5F8" w:rsidR="005C222D" w:rsidRPr="00582ECD" w:rsidRDefault="008F44BD" w:rsidP="006D1DE6">
      <w:pPr>
        <w:tabs>
          <w:tab w:val="left" w:pos="1276"/>
          <w:tab w:val="left" w:pos="1418"/>
          <w:tab w:val="left" w:leader="dot" w:pos="8222"/>
          <w:tab w:val="right" w:pos="8647"/>
        </w:tabs>
        <w:jc w:val="both"/>
        <w:rPr>
          <w:rFonts w:asciiTheme="majorHAnsi" w:hAnsiTheme="majorHAnsi"/>
          <w:b/>
        </w:rPr>
      </w:pPr>
      <w:r w:rsidRPr="00582ECD">
        <w:rPr>
          <w:rFonts w:asciiTheme="majorHAnsi" w:hAnsiTheme="majorHAnsi"/>
          <w:color w:val="000000"/>
        </w:rPr>
        <w:t xml:space="preserve">Il convient de noter que les données ci-dessus ne concernent que les CPC ayant indiqué qu'une limite avait été fixée. Dans de nombreux cas, aucune limite n'est fixée car tous les navires concernés disposent d'une licence et/ou que les prises accessoires ne sont pas autorisées. </w:t>
      </w:r>
      <w:bookmarkStart w:id="1" w:name="_Hlk148612685"/>
      <w:r w:rsidRPr="00582ECD">
        <w:rPr>
          <w:rFonts w:asciiTheme="majorHAnsi" w:hAnsiTheme="majorHAnsi"/>
          <w:color w:val="000000"/>
        </w:rPr>
        <w:t>Toutefois, certaines réponses concernant les limites maximales de prises accessoires sont incohérentes, les CPC n'ayant pas lu ou compris l'exigence. Dans plusieurs cas, les espèces sont mélangées ou des réponses nullement pertinentes sont fournies, par exemple : il n’y a pas de pêcherie ciblant cette espèce, il n’y a pas de navires sous pavillon de xx pêchant cette espèce.</w:t>
      </w:r>
    </w:p>
    <w:bookmarkEnd w:id="1"/>
    <w:p w14:paraId="588C560F" w14:textId="77777777" w:rsidR="00A83EF2" w:rsidRPr="00582ECD" w:rsidRDefault="00A83EF2" w:rsidP="00820485">
      <w:pPr>
        <w:tabs>
          <w:tab w:val="left" w:pos="1276"/>
          <w:tab w:val="left" w:pos="1418"/>
          <w:tab w:val="left" w:leader="dot" w:pos="8222"/>
          <w:tab w:val="right" w:pos="8647"/>
        </w:tabs>
        <w:ind w:firstLine="426"/>
        <w:jc w:val="both"/>
        <w:rPr>
          <w:rFonts w:asciiTheme="majorHAnsi" w:hAnsiTheme="majorHAnsi"/>
          <w:b/>
          <w:bCs/>
          <w:i/>
          <w:iCs/>
        </w:rPr>
      </w:pPr>
    </w:p>
    <w:p w14:paraId="1ACE4FA6" w14:textId="48146823" w:rsidR="00304B87" w:rsidRPr="00582ECD" w:rsidRDefault="00210F2C" w:rsidP="00820485">
      <w:pPr>
        <w:tabs>
          <w:tab w:val="left" w:pos="1276"/>
          <w:tab w:val="left" w:pos="1418"/>
          <w:tab w:val="left" w:leader="dot" w:pos="8222"/>
          <w:tab w:val="right" w:pos="8647"/>
        </w:tabs>
        <w:jc w:val="both"/>
        <w:rPr>
          <w:rFonts w:asciiTheme="majorHAnsi" w:hAnsiTheme="majorHAnsi"/>
          <w:bCs/>
        </w:rPr>
      </w:pPr>
      <w:r w:rsidRPr="00582ECD">
        <w:rPr>
          <w:rFonts w:asciiTheme="majorHAnsi" w:hAnsiTheme="majorHAnsi"/>
          <w:b/>
          <w:i/>
          <w:iCs/>
        </w:rPr>
        <w:t>Autorisation spécifique pour les navires d’espadon du Nord :</w:t>
      </w:r>
      <w:r w:rsidRPr="00582ECD">
        <w:rPr>
          <w:rFonts w:asciiTheme="majorHAnsi" w:hAnsiTheme="majorHAnsi"/>
          <w:b/>
        </w:rPr>
        <w:t xml:space="preserve"> </w:t>
      </w:r>
      <w:r w:rsidRPr="00582ECD">
        <w:rPr>
          <w:rFonts w:asciiTheme="majorHAnsi" w:hAnsiTheme="majorHAnsi"/>
        </w:rPr>
        <w:t xml:space="preserve">Les navires autorisés de 20 m ou plus disposant d’autorisations spécifiques pour l'espadon du Nord figurent dans le </w:t>
      </w:r>
      <w:hyperlink r:id="rId14" w:history="1">
        <w:r w:rsidRPr="00582ECD">
          <w:rPr>
            <w:rStyle w:val="Hyperlink"/>
            <w:rFonts w:asciiTheme="majorHAnsi" w:hAnsiTheme="majorHAnsi"/>
            <w:u w:val="none"/>
          </w:rPr>
          <w:t>Registre des navires de l’ICCAT</w:t>
        </w:r>
      </w:hyperlink>
      <w:r w:rsidRPr="00582ECD">
        <w:rPr>
          <w:rFonts w:asciiTheme="majorHAnsi" w:hAnsiTheme="majorHAnsi"/>
        </w:rPr>
        <w:t>.</w:t>
      </w:r>
    </w:p>
    <w:p w14:paraId="68A9F764" w14:textId="77777777" w:rsidR="004078B1" w:rsidRPr="00582ECD" w:rsidRDefault="004078B1" w:rsidP="00820485">
      <w:pPr>
        <w:tabs>
          <w:tab w:val="left" w:pos="1276"/>
          <w:tab w:val="left" w:pos="1418"/>
          <w:tab w:val="left" w:leader="dot" w:pos="8222"/>
          <w:tab w:val="right" w:pos="8647"/>
        </w:tabs>
        <w:jc w:val="both"/>
        <w:rPr>
          <w:rFonts w:asciiTheme="majorHAnsi" w:hAnsiTheme="majorHAnsi"/>
          <w:bCs/>
        </w:rPr>
      </w:pPr>
    </w:p>
    <w:p w14:paraId="5A708720" w14:textId="10A84718" w:rsidR="00304B87" w:rsidRPr="00582ECD" w:rsidRDefault="00274C6B" w:rsidP="00820485">
      <w:pPr>
        <w:tabs>
          <w:tab w:val="left" w:pos="1276"/>
          <w:tab w:val="left" w:pos="1418"/>
          <w:tab w:val="left" w:leader="dot" w:pos="8222"/>
          <w:tab w:val="right" w:pos="8647"/>
        </w:tabs>
        <w:jc w:val="both"/>
        <w:rPr>
          <w:rFonts w:asciiTheme="majorHAnsi" w:hAnsiTheme="majorHAnsi"/>
        </w:rPr>
      </w:pPr>
      <w:r w:rsidRPr="00582ECD">
        <w:rPr>
          <w:rFonts w:asciiTheme="majorHAnsi" w:hAnsiTheme="majorHAnsi"/>
        </w:rPr>
        <w:t xml:space="preserve">Sept CPC dotées d'un quota n’ont actuellement aucun navire (de 20 m ou plus) sur le Registre ICCAT des navires autorisés à capturer l'espadon de l'Atlantique Nord : </w:t>
      </w:r>
      <w:r w:rsidR="006146FF">
        <w:rPr>
          <w:rFonts w:asciiTheme="majorHAnsi" w:hAnsiTheme="majorHAnsi"/>
        </w:rPr>
        <w:t>l</w:t>
      </w:r>
      <w:r w:rsidRPr="00582ECD">
        <w:rPr>
          <w:rFonts w:asciiTheme="majorHAnsi" w:hAnsiTheme="majorHAnsi"/>
        </w:rPr>
        <w:t>a Barbade, le Costa Rica, la France (Saint-Pierre-et-Miquelon), le Mexique, Saint-Vincent-et-les-Grenadines, le Royaume-Uni et le Venezuela.</w:t>
      </w:r>
    </w:p>
    <w:p w14:paraId="29FCCB71" w14:textId="77777777" w:rsidR="00210F2C" w:rsidRPr="00582ECD" w:rsidRDefault="00210F2C" w:rsidP="00820485">
      <w:pPr>
        <w:tabs>
          <w:tab w:val="left" w:pos="1276"/>
          <w:tab w:val="left" w:pos="1418"/>
          <w:tab w:val="left" w:leader="dot" w:pos="8222"/>
          <w:tab w:val="right" w:pos="8647"/>
        </w:tabs>
        <w:ind w:firstLine="426"/>
        <w:rPr>
          <w:rFonts w:asciiTheme="majorHAnsi" w:hAnsiTheme="majorHAnsi"/>
        </w:rPr>
      </w:pPr>
    </w:p>
    <w:p w14:paraId="037621D4" w14:textId="02FBEDD8" w:rsidR="00501981" w:rsidRPr="00582ECD" w:rsidRDefault="003E0403" w:rsidP="00820485">
      <w:pPr>
        <w:tabs>
          <w:tab w:val="left" w:pos="1276"/>
          <w:tab w:val="left" w:pos="1418"/>
          <w:tab w:val="left" w:leader="dot" w:pos="8222"/>
          <w:tab w:val="right" w:pos="8647"/>
        </w:tabs>
        <w:jc w:val="both"/>
        <w:rPr>
          <w:rFonts w:asciiTheme="majorHAnsi" w:hAnsiTheme="majorHAnsi"/>
          <w:i/>
        </w:rPr>
      </w:pPr>
      <w:r w:rsidRPr="00582ECD">
        <w:rPr>
          <w:rFonts w:asciiTheme="majorHAnsi" w:hAnsiTheme="majorHAnsi"/>
          <w:i/>
        </w:rPr>
        <w:t>Rec. 17-03 : Recommandation de l’ICCAT amendant la Recommandation 16-04 sur la conservation de l'espadon de l’Atlantique Sud</w:t>
      </w:r>
      <w:r w:rsidRPr="00582ECD">
        <w:rPr>
          <w:rFonts w:asciiTheme="majorHAnsi" w:hAnsiTheme="majorHAnsi"/>
        </w:rPr>
        <w:t xml:space="preserve">, telle qu’amendée par la </w:t>
      </w:r>
      <w:r w:rsidRPr="00582ECD">
        <w:rPr>
          <w:rFonts w:asciiTheme="majorHAnsi" w:hAnsiTheme="majorHAnsi"/>
          <w:i/>
          <w:iCs/>
        </w:rPr>
        <w:t>Rec. 22-04 : Recommandation de l’ICCAT remplaçant la Recommandation supplémentaire 21-03prolongeant et modifiant la Recommandation 17-03 sur la conservation de l'espadon de l’Atlantique Sud</w:t>
      </w:r>
    </w:p>
    <w:p w14:paraId="4C5400E3" w14:textId="77777777" w:rsidR="00F6337D" w:rsidRPr="00582ECD" w:rsidRDefault="00F6337D" w:rsidP="00820485">
      <w:pPr>
        <w:tabs>
          <w:tab w:val="left" w:pos="1276"/>
          <w:tab w:val="left" w:pos="1418"/>
          <w:tab w:val="left" w:leader="dot" w:pos="8222"/>
          <w:tab w:val="right" w:pos="8647"/>
        </w:tabs>
        <w:jc w:val="both"/>
        <w:rPr>
          <w:rFonts w:asciiTheme="majorHAnsi" w:hAnsiTheme="majorHAnsi"/>
          <w:i/>
        </w:rPr>
      </w:pPr>
    </w:p>
    <w:p w14:paraId="625E0A22" w14:textId="60EB44ED" w:rsidR="000F0D6D" w:rsidRPr="00582ECD" w:rsidRDefault="000F0D6D" w:rsidP="000F0D6D">
      <w:pPr>
        <w:tabs>
          <w:tab w:val="left" w:pos="1276"/>
          <w:tab w:val="left" w:pos="1418"/>
          <w:tab w:val="left" w:leader="dot" w:pos="8222"/>
          <w:tab w:val="right" w:pos="8647"/>
        </w:tabs>
        <w:jc w:val="both"/>
        <w:rPr>
          <w:rFonts w:asciiTheme="majorHAnsi" w:hAnsiTheme="majorHAnsi"/>
          <w:bCs/>
        </w:rPr>
      </w:pPr>
      <w:r w:rsidRPr="00582ECD">
        <w:rPr>
          <w:rFonts w:asciiTheme="majorHAnsi" w:hAnsiTheme="majorHAnsi"/>
          <w:b/>
          <w:bCs/>
          <w:i/>
          <w:iCs/>
        </w:rPr>
        <w:t>Application des q</w:t>
      </w:r>
      <w:r w:rsidRPr="00582ECD">
        <w:rPr>
          <w:rFonts w:asciiTheme="majorHAnsi" w:hAnsiTheme="majorHAnsi"/>
          <w:b/>
          <w:i/>
        </w:rPr>
        <w:t>uotas/li</w:t>
      </w:r>
      <w:r w:rsidRPr="00582ECD">
        <w:rPr>
          <w:rFonts w:asciiTheme="majorHAnsi" w:hAnsiTheme="majorHAnsi"/>
          <w:b/>
          <w:bCs/>
          <w:i/>
          <w:iCs/>
        </w:rPr>
        <w:t>mites de capture :</w:t>
      </w:r>
      <w:r w:rsidRPr="00582ECD">
        <w:rPr>
          <w:rFonts w:asciiTheme="majorHAnsi" w:hAnsiTheme="majorHAnsi"/>
        </w:rPr>
        <w:t xml:space="preserve"> Veuillez consulter les</w:t>
      </w:r>
      <w:r w:rsidR="002123AC">
        <w:rPr>
          <w:rFonts w:asciiTheme="majorHAnsi" w:hAnsiTheme="majorHAnsi"/>
        </w:rPr>
        <w:t xml:space="preserve"> « </w:t>
      </w:r>
      <w:r w:rsidRPr="00582ECD">
        <w:rPr>
          <w:rFonts w:asciiTheme="majorHAnsi" w:hAnsiTheme="majorHAnsi"/>
        </w:rPr>
        <w:t>Tableaux d'application 2025 reçus en 2026</w:t>
      </w:r>
      <w:r w:rsidR="002123AC">
        <w:rPr>
          <w:rFonts w:asciiTheme="majorHAnsi" w:hAnsiTheme="majorHAnsi"/>
        </w:rPr>
        <w:t> »</w:t>
      </w:r>
      <w:r w:rsidRPr="00582ECD">
        <w:rPr>
          <w:rFonts w:asciiTheme="majorHAnsi" w:hAnsiTheme="majorHAnsi"/>
        </w:rPr>
        <w:t xml:space="preserve"> [COC_304/2026].</w:t>
      </w:r>
    </w:p>
    <w:p w14:paraId="3B103C63" w14:textId="77777777" w:rsidR="000F0D6D" w:rsidRPr="00582ECD" w:rsidRDefault="000F0D6D" w:rsidP="00820485">
      <w:pPr>
        <w:rPr>
          <w:rFonts w:asciiTheme="majorHAnsi" w:hAnsiTheme="majorHAnsi"/>
          <w:bCs/>
        </w:rPr>
      </w:pPr>
    </w:p>
    <w:p w14:paraId="4C196771" w14:textId="7DF66BDB" w:rsidR="00225F13" w:rsidRPr="00582ECD" w:rsidRDefault="00894DA8" w:rsidP="00A9091D">
      <w:pPr>
        <w:jc w:val="both"/>
        <w:rPr>
          <w:rFonts w:asciiTheme="majorHAnsi" w:eastAsiaTheme="minorHAnsi" w:hAnsiTheme="majorHAnsi"/>
          <w:color w:val="1F497D"/>
        </w:rPr>
      </w:pPr>
      <w:r w:rsidRPr="00582ECD">
        <w:rPr>
          <w:rFonts w:asciiTheme="majorHAnsi" w:hAnsiTheme="majorHAnsi"/>
        </w:rPr>
        <w:t>Conformément à la Rec. 17-03, paragraphe 9, les CPC suivantes ont inclus des informations dans leurs rapports annuels sur la limite maximale de capture accessoire d’espadon de l’Atlantique Sud à bord :</w:t>
      </w:r>
    </w:p>
    <w:p w14:paraId="39269517" w14:textId="77777777" w:rsidR="00225F13" w:rsidRPr="00582ECD" w:rsidRDefault="00225F13" w:rsidP="00820485">
      <w:pPr>
        <w:rPr>
          <w:rFonts w:asciiTheme="majorHAnsi" w:eastAsiaTheme="minorHAnsi" w:hAnsiTheme="majorHAnsi"/>
          <w:color w:val="1F497D"/>
        </w:rPr>
      </w:pPr>
    </w:p>
    <w:tbl>
      <w:tblPr>
        <w:tblW w:w="5000" w:type="pct"/>
        <w:tblLook w:val="04A0" w:firstRow="1" w:lastRow="0" w:firstColumn="1" w:lastColumn="0" w:noHBand="0" w:noVBand="1"/>
      </w:tblPr>
      <w:tblGrid>
        <w:gridCol w:w="1680"/>
        <w:gridCol w:w="7375"/>
      </w:tblGrid>
      <w:tr w:rsidR="00C57434" w:rsidRPr="00582ECD" w14:paraId="1F346ABF" w14:textId="77777777" w:rsidTr="006D1FBF">
        <w:tc>
          <w:tcPr>
            <w:tcW w:w="1091" w:type="pct"/>
            <w:tcBorders>
              <w:top w:val="single" w:sz="8" w:space="0" w:color="auto"/>
              <w:left w:val="single" w:sz="8" w:space="0" w:color="auto"/>
              <w:bottom w:val="single" w:sz="8" w:space="0" w:color="auto"/>
              <w:right w:val="single" w:sz="8" w:space="0" w:color="auto"/>
            </w:tcBorders>
            <w:noWrap/>
            <w:vAlign w:val="center"/>
            <w:hideMark/>
          </w:tcPr>
          <w:p w14:paraId="2D8DA168" w14:textId="77777777" w:rsidR="00C57434" w:rsidRPr="00582ECD" w:rsidRDefault="00C57434" w:rsidP="00C57434">
            <w:pPr>
              <w:widowControl/>
              <w:autoSpaceDE/>
              <w:autoSpaceDN/>
              <w:adjustRightInd/>
              <w:jc w:val="center"/>
              <w:rPr>
                <w:rFonts w:asciiTheme="majorHAnsi" w:hAnsiTheme="majorHAnsi" w:cs="Calibri"/>
                <w:i/>
                <w:iCs/>
                <w:color w:val="000000"/>
              </w:rPr>
            </w:pPr>
            <w:r w:rsidRPr="00582ECD">
              <w:rPr>
                <w:rFonts w:asciiTheme="majorHAnsi" w:hAnsiTheme="majorHAnsi"/>
                <w:i/>
                <w:color w:val="000000"/>
              </w:rPr>
              <w:t>CPC</w:t>
            </w:r>
          </w:p>
        </w:tc>
        <w:tc>
          <w:tcPr>
            <w:tcW w:w="3909" w:type="pct"/>
            <w:tcBorders>
              <w:top w:val="single" w:sz="8" w:space="0" w:color="auto"/>
              <w:left w:val="nil"/>
              <w:bottom w:val="single" w:sz="8" w:space="0" w:color="auto"/>
              <w:right w:val="single" w:sz="8" w:space="0" w:color="auto"/>
            </w:tcBorders>
            <w:noWrap/>
            <w:vAlign w:val="center"/>
            <w:hideMark/>
          </w:tcPr>
          <w:p w14:paraId="2D75E73A" w14:textId="77777777" w:rsidR="00C57434" w:rsidRPr="00582ECD" w:rsidRDefault="00C57434" w:rsidP="00C57434">
            <w:pPr>
              <w:widowControl/>
              <w:autoSpaceDE/>
              <w:autoSpaceDN/>
              <w:adjustRightInd/>
              <w:jc w:val="center"/>
              <w:rPr>
                <w:rFonts w:asciiTheme="majorHAnsi" w:hAnsiTheme="majorHAnsi" w:cs="Calibri"/>
                <w:i/>
                <w:iCs/>
                <w:color w:val="000000"/>
              </w:rPr>
            </w:pPr>
            <w:r w:rsidRPr="00582ECD">
              <w:rPr>
                <w:rFonts w:asciiTheme="majorHAnsi" w:hAnsiTheme="majorHAnsi"/>
                <w:i/>
                <w:color w:val="000000"/>
              </w:rPr>
              <w:t>Réponse</w:t>
            </w:r>
          </w:p>
        </w:tc>
      </w:tr>
      <w:tr w:rsidR="009A56D8" w:rsidRPr="00582ECD" w14:paraId="01E7767A" w14:textId="77777777" w:rsidTr="006D1FBF">
        <w:tc>
          <w:tcPr>
            <w:tcW w:w="1091" w:type="pct"/>
            <w:tcBorders>
              <w:top w:val="single" w:sz="8" w:space="0" w:color="auto"/>
              <w:left w:val="single" w:sz="8" w:space="0" w:color="auto"/>
              <w:bottom w:val="single" w:sz="8" w:space="0" w:color="auto"/>
              <w:right w:val="single" w:sz="8" w:space="0" w:color="auto"/>
            </w:tcBorders>
            <w:noWrap/>
            <w:vAlign w:val="center"/>
          </w:tcPr>
          <w:p w14:paraId="37285898" w14:textId="4E1C36C2" w:rsidR="009A56D8" w:rsidRPr="00582ECD" w:rsidRDefault="009A56D8" w:rsidP="006D1FBF">
            <w:pPr>
              <w:widowControl/>
              <w:autoSpaceDE/>
              <w:autoSpaceDN/>
              <w:adjustRightInd/>
              <w:rPr>
                <w:rFonts w:asciiTheme="majorHAnsi" w:hAnsiTheme="majorHAnsi" w:cs="Calibri"/>
                <w:color w:val="000000"/>
              </w:rPr>
            </w:pPr>
            <w:r w:rsidRPr="00582ECD">
              <w:rPr>
                <w:rFonts w:asciiTheme="majorHAnsi" w:hAnsiTheme="majorHAnsi"/>
                <w:color w:val="000000"/>
              </w:rPr>
              <w:t>Angola</w:t>
            </w:r>
          </w:p>
        </w:tc>
        <w:tc>
          <w:tcPr>
            <w:tcW w:w="3909" w:type="pct"/>
            <w:tcBorders>
              <w:top w:val="single" w:sz="8" w:space="0" w:color="auto"/>
              <w:left w:val="nil"/>
              <w:bottom w:val="single" w:sz="8" w:space="0" w:color="auto"/>
              <w:right w:val="single" w:sz="8" w:space="0" w:color="auto"/>
            </w:tcBorders>
            <w:noWrap/>
            <w:vAlign w:val="center"/>
          </w:tcPr>
          <w:p w14:paraId="21DBA220" w14:textId="64D39E78" w:rsidR="009A56D8" w:rsidRPr="00582ECD" w:rsidRDefault="009A56D8" w:rsidP="006D1FBF">
            <w:pPr>
              <w:widowControl/>
              <w:autoSpaceDE/>
              <w:autoSpaceDN/>
              <w:adjustRightInd/>
              <w:jc w:val="both"/>
              <w:rPr>
                <w:rFonts w:asciiTheme="majorHAnsi" w:hAnsiTheme="majorHAnsi" w:cs="Calibri"/>
                <w:color w:val="000000"/>
              </w:rPr>
            </w:pPr>
            <w:r w:rsidRPr="00582ECD">
              <w:rPr>
                <w:rFonts w:asciiTheme="majorHAnsi" w:hAnsiTheme="majorHAnsi"/>
                <w:color w:val="000000"/>
              </w:rPr>
              <w:t>La limite maximale autorisée est de 5 %, et cette information figure dans le rapport annuel.</w:t>
            </w:r>
          </w:p>
        </w:tc>
      </w:tr>
      <w:tr w:rsidR="00C57434" w:rsidRPr="00582ECD" w14:paraId="1DF1E2F1" w14:textId="77777777" w:rsidTr="006D1FBF">
        <w:tc>
          <w:tcPr>
            <w:tcW w:w="1091" w:type="pct"/>
            <w:tcBorders>
              <w:top w:val="nil"/>
              <w:left w:val="single" w:sz="8" w:space="0" w:color="auto"/>
              <w:bottom w:val="single" w:sz="8" w:space="0" w:color="auto"/>
              <w:right w:val="single" w:sz="8" w:space="0" w:color="auto"/>
            </w:tcBorders>
            <w:noWrap/>
            <w:vAlign w:val="center"/>
            <w:hideMark/>
          </w:tcPr>
          <w:p w14:paraId="38EFF096" w14:textId="2F9C8D92" w:rsidR="00C57434" w:rsidRPr="00582ECD" w:rsidRDefault="00EC4866" w:rsidP="009A56D8">
            <w:pPr>
              <w:widowControl/>
              <w:autoSpaceDE/>
              <w:autoSpaceDN/>
              <w:adjustRightInd/>
              <w:rPr>
                <w:rFonts w:asciiTheme="majorHAnsi" w:hAnsiTheme="majorHAnsi" w:cs="Calibri"/>
                <w:color w:val="000000"/>
              </w:rPr>
            </w:pPr>
            <w:r w:rsidRPr="00582ECD">
              <w:rPr>
                <w:rFonts w:asciiTheme="majorHAnsi" w:hAnsiTheme="majorHAnsi"/>
                <w:color w:val="000000"/>
              </w:rPr>
              <w:t>Belize</w:t>
            </w:r>
          </w:p>
        </w:tc>
        <w:tc>
          <w:tcPr>
            <w:tcW w:w="3909" w:type="pct"/>
            <w:tcBorders>
              <w:top w:val="nil"/>
              <w:left w:val="nil"/>
              <w:bottom w:val="single" w:sz="8" w:space="0" w:color="auto"/>
              <w:right w:val="single" w:sz="8" w:space="0" w:color="auto"/>
            </w:tcBorders>
            <w:vAlign w:val="center"/>
            <w:hideMark/>
          </w:tcPr>
          <w:p w14:paraId="67ED841B" w14:textId="74DB1A4E" w:rsidR="00C57434" w:rsidRPr="00582ECD" w:rsidRDefault="009A56D8" w:rsidP="009A56D8">
            <w:pPr>
              <w:widowControl/>
              <w:autoSpaceDE/>
              <w:autoSpaceDN/>
              <w:adjustRightInd/>
              <w:jc w:val="both"/>
              <w:rPr>
                <w:rFonts w:asciiTheme="majorHAnsi" w:hAnsiTheme="majorHAnsi" w:cs="Calibri"/>
              </w:rPr>
            </w:pPr>
            <w:r w:rsidRPr="00582ECD">
              <w:rPr>
                <w:rFonts w:asciiTheme="majorHAnsi" w:hAnsiTheme="majorHAnsi"/>
              </w:rPr>
              <w:t>Le Belize a instauré une limite de capture accessoire à bord pour toutes les espèces, y compris l’espadon de l’Atlantique Nord. La limite de prises accessoires fixée pour les navires non autorisés à pêcher exclusivement cette espèce est de 10 t. Cette quantité est prise en compte dans l'allocation globale de quota pour le Belize. Cependant, aucun navire n’a déclaré de prise accessoire d’espadon de l’Atlantique Sud.</w:t>
            </w:r>
          </w:p>
        </w:tc>
      </w:tr>
      <w:tr w:rsidR="00C57434" w:rsidRPr="00582ECD" w14:paraId="22B904FD" w14:textId="77777777" w:rsidTr="006D1FBF">
        <w:tc>
          <w:tcPr>
            <w:tcW w:w="1091" w:type="pct"/>
            <w:tcBorders>
              <w:top w:val="nil"/>
              <w:left w:val="single" w:sz="8" w:space="0" w:color="auto"/>
              <w:bottom w:val="single" w:sz="8" w:space="0" w:color="auto"/>
              <w:right w:val="single" w:sz="8" w:space="0" w:color="auto"/>
            </w:tcBorders>
            <w:noWrap/>
            <w:vAlign w:val="center"/>
            <w:hideMark/>
          </w:tcPr>
          <w:p w14:paraId="639BF6F0" w14:textId="44A2F07C" w:rsidR="00C57434" w:rsidRPr="00582ECD" w:rsidRDefault="00EC4866" w:rsidP="009A56D8">
            <w:pPr>
              <w:widowControl/>
              <w:autoSpaceDE/>
              <w:autoSpaceDN/>
              <w:adjustRightInd/>
              <w:rPr>
                <w:rFonts w:asciiTheme="majorHAnsi" w:hAnsiTheme="majorHAnsi" w:cs="Calibri"/>
                <w:color w:val="000000"/>
              </w:rPr>
            </w:pPr>
            <w:r w:rsidRPr="00582ECD">
              <w:rPr>
                <w:rFonts w:asciiTheme="majorHAnsi" w:hAnsiTheme="majorHAnsi"/>
                <w:color w:val="000000"/>
              </w:rPr>
              <w:t xml:space="preserve">Chine </w:t>
            </w:r>
          </w:p>
        </w:tc>
        <w:tc>
          <w:tcPr>
            <w:tcW w:w="3909" w:type="pct"/>
            <w:tcBorders>
              <w:top w:val="nil"/>
              <w:left w:val="nil"/>
              <w:bottom w:val="single" w:sz="8" w:space="0" w:color="auto"/>
              <w:right w:val="single" w:sz="8" w:space="0" w:color="auto"/>
            </w:tcBorders>
            <w:vAlign w:val="center"/>
            <w:hideMark/>
          </w:tcPr>
          <w:p w14:paraId="715D48A6" w14:textId="646A4F53" w:rsidR="00C57434" w:rsidRPr="00582ECD" w:rsidRDefault="009A56D8" w:rsidP="009A56D8">
            <w:pPr>
              <w:widowControl/>
              <w:autoSpaceDE/>
              <w:autoSpaceDN/>
              <w:adjustRightInd/>
              <w:jc w:val="both"/>
              <w:rPr>
                <w:rFonts w:asciiTheme="majorHAnsi" w:hAnsiTheme="majorHAnsi" w:cs="Calibri"/>
              </w:rPr>
            </w:pPr>
            <w:r w:rsidRPr="00582ECD">
              <w:rPr>
                <w:rFonts w:asciiTheme="majorHAnsi" w:hAnsiTheme="majorHAnsi"/>
              </w:rPr>
              <w:t xml:space="preserve">La Chine n'a pas de navires ciblant le N-SWO et le S-SWO, tous les espadons sont capturés en tant que prises accessoires et chaque palangrier tropical peut réaliser des prises accessoires d’espadon. En 2025, la Chine disposait de 121 t de germon du </w:t>
            </w:r>
            <w:r w:rsidRPr="00582ECD">
              <w:rPr>
                <w:rFonts w:asciiTheme="majorHAnsi" w:hAnsiTheme="majorHAnsi"/>
              </w:rPr>
              <w:lastRenderedPageBreak/>
              <w:t>Nord et de 344,3 t de germon du Sud. La Chine a fixé une limite de capture pour le germon du Nord et du Sud pour chaque palangrier sur la base du TAC alloué à la Chine conformément aux recommandations concernant ces espèces. Chaque navire doit respecter strictement la limite de capture qui lui a été fixée.</w:t>
            </w:r>
          </w:p>
        </w:tc>
      </w:tr>
      <w:tr w:rsidR="00C57434" w:rsidRPr="00582ECD" w14:paraId="518935AE" w14:textId="77777777" w:rsidTr="006D1FBF">
        <w:tc>
          <w:tcPr>
            <w:tcW w:w="1091" w:type="pct"/>
            <w:tcBorders>
              <w:top w:val="nil"/>
              <w:left w:val="single" w:sz="8" w:space="0" w:color="auto"/>
              <w:bottom w:val="single" w:sz="8" w:space="0" w:color="auto"/>
              <w:right w:val="single" w:sz="8" w:space="0" w:color="auto"/>
            </w:tcBorders>
            <w:noWrap/>
            <w:vAlign w:val="center"/>
            <w:hideMark/>
          </w:tcPr>
          <w:p w14:paraId="3589047D" w14:textId="1A772783" w:rsidR="00C57434" w:rsidRPr="00582ECD" w:rsidRDefault="00EC4866" w:rsidP="00C57434">
            <w:pPr>
              <w:widowControl/>
              <w:autoSpaceDE/>
              <w:autoSpaceDN/>
              <w:adjustRightInd/>
              <w:rPr>
                <w:rFonts w:asciiTheme="majorHAnsi" w:hAnsiTheme="majorHAnsi" w:cs="Calibri"/>
                <w:color w:val="000000"/>
              </w:rPr>
            </w:pPr>
            <w:r w:rsidRPr="00582ECD">
              <w:rPr>
                <w:rFonts w:asciiTheme="majorHAnsi" w:hAnsiTheme="majorHAnsi"/>
                <w:color w:val="000000"/>
              </w:rPr>
              <w:t>Curaçao</w:t>
            </w:r>
          </w:p>
        </w:tc>
        <w:tc>
          <w:tcPr>
            <w:tcW w:w="3909" w:type="pct"/>
            <w:tcBorders>
              <w:top w:val="nil"/>
              <w:left w:val="nil"/>
              <w:bottom w:val="single" w:sz="8" w:space="0" w:color="auto"/>
              <w:right w:val="single" w:sz="8" w:space="0" w:color="auto"/>
            </w:tcBorders>
            <w:vAlign w:val="center"/>
            <w:hideMark/>
          </w:tcPr>
          <w:p w14:paraId="647E04C0" w14:textId="6B0E3A23" w:rsidR="00C57434" w:rsidRPr="00582ECD" w:rsidRDefault="00366A78" w:rsidP="00C57434">
            <w:pPr>
              <w:widowControl/>
              <w:autoSpaceDE/>
              <w:autoSpaceDN/>
              <w:adjustRightInd/>
              <w:jc w:val="both"/>
              <w:rPr>
                <w:rFonts w:asciiTheme="majorHAnsi" w:hAnsiTheme="majorHAnsi" w:cs="Calibri"/>
              </w:rPr>
            </w:pPr>
            <w:r w:rsidRPr="00582ECD">
              <w:rPr>
                <w:rFonts w:asciiTheme="majorHAnsi" w:hAnsiTheme="majorHAnsi"/>
              </w:rPr>
              <w:t>Dans le cas des activités de pêche, Curaçao a conclu un accord avec les navires sur un maximum de 10 t de prise accessoire. Dans ce cas, il n'y a pas eu d'activités de pêche en 2025.</w:t>
            </w:r>
          </w:p>
        </w:tc>
      </w:tr>
      <w:tr w:rsidR="00C57434" w:rsidRPr="00582ECD" w14:paraId="1B4021D0" w14:textId="77777777" w:rsidTr="006D1FBF">
        <w:tc>
          <w:tcPr>
            <w:tcW w:w="1091" w:type="pct"/>
            <w:tcBorders>
              <w:top w:val="nil"/>
              <w:left w:val="single" w:sz="8" w:space="0" w:color="auto"/>
              <w:bottom w:val="single" w:sz="8" w:space="0" w:color="auto"/>
              <w:right w:val="single" w:sz="8" w:space="0" w:color="auto"/>
            </w:tcBorders>
            <w:noWrap/>
            <w:vAlign w:val="center"/>
            <w:hideMark/>
          </w:tcPr>
          <w:p w14:paraId="17DD3EB0" w14:textId="42D7AF01" w:rsidR="00C57434" w:rsidRPr="00582ECD" w:rsidRDefault="00EC4866" w:rsidP="00C57434">
            <w:pPr>
              <w:widowControl/>
              <w:autoSpaceDE/>
              <w:autoSpaceDN/>
              <w:adjustRightInd/>
              <w:rPr>
                <w:rFonts w:asciiTheme="majorHAnsi" w:hAnsiTheme="majorHAnsi" w:cs="Calibri"/>
                <w:color w:val="000000"/>
              </w:rPr>
            </w:pPr>
            <w:r w:rsidRPr="00582ECD">
              <w:rPr>
                <w:rFonts w:asciiTheme="majorHAnsi" w:hAnsiTheme="majorHAnsi"/>
                <w:color w:val="000000"/>
              </w:rPr>
              <w:t>Union européenne</w:t>
            </w:r>
          </w:p>
        </w:tc>
        <w:tc>
          <w:tcPr>
            <w:tcW w:w="3909" w:type="pct"/>
            <w:tcBorders>
              <w:top w:val="nil"/>
              <w:left w:val="nil"/>
              <w:bottom w:val="single" w:sz="8" w:space="0" w:color="auto"/>
              <w:right w:val="single" w:sz="8" w:space="0" w:color="auto"/>
            </w:tcBorders>
            <w:vAlign w:val="center"/>
            <w:hideMark/>
          </w:tcPr>
          <w:p w14:paraId="1DBA9DB0" w14:textId="1BD9350C" w:rsidR="00C57434" w:rsidRPr="00582ECD" w:rsidRDefault="00366A78" w:rsidP="00C57434">
            <w:pPr>
              <w:widowControl/>
              <w:autoSpaceDE/>
              <w:autoSpaceDN/>
              <w:adjustRightInd/>
              <w:jc w:val="both"/>
              <w:rPr>
                <w:rFonts w:asciiTheme="majorHAnsi" w:hAnsiTheme="majorHAnsi"/>
                <w:color w:val="000000"/>
              </w:rPr>
            </w:pPr>
            <w:r w:rsidRPr="00582ECD">
              <w:rPr>
                <w:rFonts w:asciiTheme="majorHAnsi" w:hAnsiTheme="majorHAnsi"/>
                <w:color w:val="000000"/>
              </w:rPr>
              <w:t>Des détails supplémentaires sont inclus dans la section 2 de son rapport annuel.</w:t>
            </w:r>
          </w:p>
        </w:tc>
      </w:tr>
    </w:tbl>
    <w:p w14:paraId="45B69952" w14:textId="77777777" w:rsidR="00536AB6" w:rsidRPr="00582ECD" w:rsidRDefault="00536AB6" w:rsidP="00820485">
      <w:pPr>
        <w:tabs>
          <w:tab w:val="left" w:pos="1276"/>
          <w:tab w:val="left" w:pos="1418"/>
          <w:tab w:val="left" w:leader="dot" w:pos="8222"/>
          <w:tab w:val="right" w:pos="8647"/>
        </w:tabs>
        <w:jc w:val="both"/>
        <w:rPr>
          <w:rFonts w:asciiTheme="majorHAnsi" w:hAnsiTheme="majorHAnsi" w:cs="Calibri"/>
          <w:color w:val="000000"/>
        </w:rPr>
      </w:pPr>
    </w:p>
    <w:p w14:paraId="73764076" w14:textId="5E450742" w:rsidR="008F44BD" w:rsidRPr="00582ECD" w:rsidRDefault="008F44BD" w:rsidP="00820485">
      <w:pPr>
        <w:tabs>
          <w:tab w:val="left" w:pos="1276"/>
          <w:tab w:val="left" w:pos="1418"/>
          <w:tab w:val="left" w:leader="dot" w:pos="8222"/>
          <w:tab w:val="right" w:pos="8647"/>
        </w:tabs>
        <w:jc w:val="both"/>
        <w:rPr>
          <w:rFonts w:asciiTheme="majorHAnsi" w:hAnsiTheme="majorHAnsi"/>
          <w:b/>
          <w:bCs/>
          <w:iCs/>
        </w:rPr>
      </w:pPr>
      <w:r w:rsidRPr="00582ECD">
        <w:rPr>
          <w:rFonts w:asciiTheme="majorHAnsi" w:hAnsiTheme="majorHAnsi"/>
          <w:color w:val="000000"/>
        </w:rPr>
        <w:t xml:space="preserve">Il convient de noter que les données ci-dessus ne concernent que les CPC ayant indiqué qu'une limite avait été fixée. Dans de nombreux cas, aucune limite n'est fixée car tous les navires concernés disposent d'une licence et/ou que les prises accessoires ne sont pas autorisées. </w:t>
      </w:r>
      <w:bookmarkStart w:id="2" w:name="_Hlk211950338"/>
      <w:r w:rsidRPr="00582ECD">
        <w:rPr>
          <w:rFonts w:asciiTheme="majorHAnsi" w:hAnsiTheme="majorHAnsi"/>
          <w:color w:val="000000"/>
        </w:rPr>
        <w:t>Toutefois, certaines réponses concernant les limites maximales de prises accessoires sont incohérentes, les CPC n'ayant pas lu ou compris l'exigence. Dans plusieurs cas, les espèces sont mélangées ou des réponses nullement pertinentes sont fournies, par exemple : il n’y a pas de pêcherie ciblant cette espèce, il n’y a pas de navires sous pavillon de xx pêchant cette espèce.</w:t>
      </w:r>
    </w:p>
    <w:bookmarkEnd w:id="2"/>
    <w:p w14:paraId="367E4BC6" w14:textId="77777777" w:rsidR="008F44BD" w:rsidRPr="00582ECD" w:rsidRDefault="008F44BD" w:rsidP="00820485">
      <w:pPr>
        <w:tabs>
          <w:tab w:val="left" w:pos="1276"/>
          <w:tab w:val="left" w:pos="1418"/>
          <w:tab w:val="left" w:leader="dot" w:pos="8222"/>
          <w:tab w:val="right" w:pos="8647"/>
        </w:tabs>
        <w:jc w:val="both"/>
        <w:rPr>
          <w:rFonts w:asciiTheme="majorHAnsi" w:hAnsiTheme="majorHAnsi"/>
          <w:b/>
          <w:bCs/>
          <w:i/>
        </w:rPr>
      </w:pPr>
    </w:p>
    <w:p w14:paraId="628EFE8A" w14:textId="63BBEB73" w:rsidR="000F0D6D" w:rsidRPr="00582ECD" w:rsidRDefault="000F0D6D" w:rsidP="000F0D6D">
      <w:pPr>
        <w:tabs>
          <w:tab w:val="left" w:pos="1276"/>
          <w:tab w:val="left" w:pos="1418"/>
          <w:tab w:val="left" w:leader="dot" w:pos="8222"/>
          <w:tab w:val="right" w:pos="8647"/>
        </w:tabs>
        <w:jc w:val="both"/>
        <w:rPr>
          <w:rFonts w:asciiTheme="majorHAnsi" w:hAnsiTheme="majorHAnsi"/>
          <w:bCs/>
        </w:rPr>
      </w:pPr>
      <w:r w:rsidRPr="00582ECD">
        <w:rPr>
          <w:rFonts w:asciiTheme="majorHAnsi" w:hAnsiTheme="majorHAnsi"/>
          <w:b/>
          <w:i/>
          <w:iCs/>
        </w:rPr>
        <w:t>Autorisation spécifique pour les navires d’espadon du Sud:</w:t>
      </w:r>
      <w:r w:rsidRPr="00582ECD">
        <w:rPr>
          <w:rFonts w:asciiTheme="majorHAnsi" w:hAnsiTheme="majorHAnsi"/>
        </w:rPr>
        <w:t xml:space="preserve"> Les navires autorisés de 20 m ou plus disposant d’autorisations spécifiques pour l'espadon du Sud figurent dans le </w:t>
      </w:r>
      <w:hyperlink r:id="rId15" w:history="1">
        <w:r w:rsidRPr="00582ECD">
          <w:rPr>
            <w:rStyle w:val="Hyperlink"/>
            <w:rFonts w:asciiTheme="majorHAnsi" w:hAnsiTheme="majorHAnsi"/>
            <w:u w:val="none"/>
          </w:rPr>
          <w:t>Registre des navires de l’ICCAT</w:t>
        </w:r>
      </w:hyperlink>
      <w:r w:rsidRPr="00582ECD">
        <w:rPr>
          <w:rFonts w:asciiTheme="majorHAnsi" w:hAnsiTheme="majorHAnsi"/>
        </w:rPr>
        <w:t>.</w:t>
      </w:r>
    </w:p>
    <w:p w14:paraId="22C7D252" w14:textId="77777777" w:rsidR="000F0D6D" w:rsidRPr="00582ECD" w:rsidRDefault="000F0D6D" w:rsidP="000F0D6D">
      <w:pPr>
        <w:tabs>
          <w:tab w:val="left" w:pos="1276"/>
          <w:tab w:val="left" w:pos="1418"/>
          <w:tab w:val="left" w:leader="dot" w:pos="8222"/>
          <w:tab w:val="right" w:pos="8647"/>
        </w:tabs>
        <w:ind w:firstLine="426"/>
        <w:rPr>
          <w:rFonts w:asciiTheme="majorHAnsi" w:hAnsiTheme="majorHAnsi"/>
          <w:bCs/>
          <w:i/>
          <w:iCs/>
        </w:rPr>
      </w:pPr>
    </w:p>
    <w:p w14:paraId="66DC53A0" w14:textId="77777777" w:rsidR="000F0D6D" w:rsidRPr="00582ECD" w:rsidRDefault="000F0D6D" w:rsidP="000F0D6D">
      <w:pPr>
        <w:tabs>
          <w:tab w:val="left" w:pos="1276"/>
          <w:tab w:val="left" w:pos="1418"/>
          <w:tab w:val="left" w:leader="dot" w:pos="8222"/>
          <w:tab w:val="right" w:pos="8647"/>
        </w:tabs>
        <w:jc w:val="both"/>
        <w:rPr>
          <w:rFonts w:asciiTheme="majorHAnsi" w:hAnsiTheme="majorHAnsi"/>
          <w:bCs/>
        </w:rPr>
      </w:pPr>
      <w:r w:rsidRPr="00582ECD">
        <w:rPr>
          <w:rFonts w:asciiTheme="majorHAnsi" w:hAnsiTheme="majorHAnsi"/>
        </w:rPr>
        <w:t>Cinq CPC dotées d'un quota n’ont actuellement aucun navire (de 20 m ou plus) inscrits au Registre ICCAT des navires autorisés à capturer l'espadon de l'Atlantique Sud: Ghana, Sao Tomé-et-Principe, Royaume-Uni, Uruguay et États-Unis.</w:t>
      </w:r>
    </w:p>
    <w:p w14:paraId="6AA18E81" w14:textId="5300C1EE" w:rsidR="00E136DE" w:rsidRPr="00582ECD" w:rsidRDefault="00E136DE" w:rsidP="00820485">
      <w:pPr>
        <w:tabs>
          <w:tab w:val="left" w:pos="1276"/>
          <w:tab w:val="left" w:pos="1418"/>
          <w:tab w:val="left" w:leader="dot" w:pos="8222"/>
          <w:tab w:val="right" w:pos="8647"/>
        </w:tabs>
        <w:jc w:val="both"/>
        <w:rPr>
          <w:rFonts w:asciiTheme="majorHAnsi" w:hAnsiTheme="majorHAnsi"/>
          <w:b/>
          <w:bCs/>
          <w:i/>
        </w:rPr>
      </w:pPr>
    </w:p>
    <w:p w14:paraId="4EF20F96" w14:textId="239452EE" w:rsidR="00E136DE" w:rsidRPr="00582ECD" w:rsidRDefault="00E136DE" w:rsidP="00E136DE">
      <w:pPr>
        <w:tabs>
          <w:tab w:val="left" w:pos="1276"/>
          <w:tab w:val="left" w:pos="1418"/>
          <w:tab w:val="left" w:leader="dot" w:pos="8222"/>
          <w:tab w:val="right" w:pos="8647"/>
        </w:tabs>
        <w:jc w:val="both"/>
        <w:rPr>
          <w:rFonts w:asciiTheme="majorHAnsi" w:hAnsiTheme="majorHAnsi"/>
          <w:i/>
        </w:rPr>
      </w:pPr>
      <w:r w:rsidRPr="00582ECD">
        <w:rPr>
          <w:rFonts w:asciiTheme="majorHAnsi" w:hAnsiTheme="majorHAnsi"/>
          <w:i/>
        </w:rPr>
        <w:t xml:space="preserve">Rec. 25- 09 </w:t>
      </w:r>
      <w:r w:rsidRPr="00582ECD">
        <w:rPr>
          <w:rStyle w:val="FootnoteReference"/>
          <w:rFonts w:asciiTheme="majorHAnsi" w:hAnsiTheme="majorHAnsi"/>
          <w:bCs/>
          <w:i/>
          <w:lang w:val="en-GB"/>
        </w:rPr>
        <w:footnoteReference w:id="2"/>
      </w:r>
      <w:r w:rsidRPr="00582ECD">
        <w:rPr>
          <w:rFonts w:asciiTheme="majorHAnsi" w:hAnsiTheme="majorHAnsi"/>
          <w:i/>
        </w:rPr>
        <w:t>Recommandation de l’ICCAT sur l’utilisation expérimentale des lignes de piégeage</w:t>
      </w:r>
    </w:p>
    <w:p w14:paraId="646CDA52" w14:textId="77777777" w:rsidR="00E136DE" w:rsidRPr="00582ECD" w:rsidRDefault="00E136DE" w:rsidP="00820485">
      <w:pPr>
        <w:tabs>
          <w:tab w:val="left" w:pos="1276"/>
          <w:tab w:val="left" w:pos="1418"/>
          <w:tab w:val="left" w:leader="dot" w:pos="8222"/>
          <w:tab w:val="right" w:pos="8647"/>
        </w:tabs>
        <w:jc w:val="both"/>
        <w:rPr>
          <w:rFonts w:asciiTheme="majorHAnsi" w:hAnsiTheme="majorHAnsi"/>
          <w:b/>
          <w:bCs/>
          <w:i/>
        </w:rPr>
      </w:pPr>
    </w:p>
    <w:p w14:paraId="3BA9F552" w14:textId="25FF315F" w:rsidR="004451B9" w:rsidRPr="00582ECD" w:rsidRDefault="00E136DE" w:rsidP="00E136DE">
      <w:pPr>
        <w:tabs>
          <w:tab w:val="left" w:pos="1276"/>
          <w:tab w:val="left" w:pos="1418"/>
          <w:tab w:val="left" w:leader="dot" w:pos="8222"/>
          <w:tab w:val="right" w:pos="8647"/>
        </w:tabs>
        <w:jc w:val="both"/>
        <w:rPr>
          <w:rFonts w:asciiTheme="majorHAnsi" w:hAnsiTheme="majorHAnsi"/>
          <w:bCs/>
        </w:rPr>
      </w:pPr>
      <w:r w:rsidRPr="00582ECD">
        <w:rPr>
          <w:rFonts w:asciiTheme="majorHAnsi" w:hAnsiTheme="majorHAnsi"/>
          <w:b/>
          <w:bCs/>
          <w:i/>
        </w:rPr>
        <w:t>Liste des navires autorisés à utiliser des lignes de piégeage</w:t>
      </w:r>
      <w:r w:rsidRPr="00582ECD">
        <w:rPr>
          <w:rFonts w:asciiTheme="majorHAnsi" w:hAnsiTheme="majorHAnsi"/>
          <w:i/>
        </w:rPr>
        <w:t xml:space="preserve"> </w:t>
      </w:r>
      <w:r w:rsidRPr="00582ECD">
        <w:rPr>
          <w:rFonts w:asciiTheme="majorHAnsi" w:hAnsiTheme="majorHAnsi"/>
        </w:rPr>
        <w:t xml:space="preserve">La liste des navires autorisés figure dans le </w:t>
      </w:r>
      <w:hyperlink r:id="rId16" w:history="1">
        <w:r w:rsidRPr="00582ECD">
          <w:rPr>
            <w:rStyle w:val="Hyperlink"/>
            <w:rFonts w:asciiTheme="majorHAnsi" w:hAnsiTheme="majorHAnsi"/>
            <w:u w:val="none"/>
          </w:rPr>
          <w:t>Registre des navires de l’ICCAT</w:t>
        </w:r>
      </w:hyperlink>
      <w:r w:rsidRPr="00582ECD">
        <w:rPr>
          <w:rFonts w:asciiTheme="majorHAnsi" w:hAnsiTheme="majorHAnsi"/>
        </w:rPr>
        <w:t xml:space="preserve">. </w:t>
      </w:r>
    </w:p>
    <w:p w14:paraId="4442F130" w14:textId="77777777" w:rsidR="00E136DE" w:rsidRPr="00582ECD" w:rsidRDefault="00E136DE" w:rsidP="005B120F">
      <w:pPr>
        <w:tabs>
          <w:tab w:val="left" w:pos="1276"/>
          <w:tab w:val="left" w:pos="1418"/>
          <w:tab w:val="left" w:leader="dot" w:pos="8222"/>
          <w:tab w:val="right" w:pos="8647"/>
        </w:tabs>
        <w:jc w:val="both"/>
        <w:rPr>
          <w:rFonts w:asciiTheme="majorHAnsi" w:hAnsiTheme="majorHAnsi"/>
          <w:b/>
          <w:bCs/>
        </w:rPr>
      </w:pPr>
    </w:p>
    <w:p w14:paraId="5F01E33A" w14:textId="77777777" w:rsidR="00501981" w:rsidRPr="00582ECD" w:rsidRDefault="00501981" w:rsidP="00820485">
      <w:pPr>
        <w:tabs>
          <w:tab w:val="left" w:pos="1276"/>
          <w:tab w:val="left" w:pos="1418"/>
          <w:tab w:val="left" w:leader="dot" w:pos="8222"/>
          <w:tab w:val="right" w:pos="8647"/>
        </w:tabs>
        <w:rPr>
          <w:rFonts w:asciiTheme="majorHAnsi" w:hAnsiTheme="majorHAnsi"/>
          <w:b/>
          <w:bCs/>
        </w:rPr>
      </w:pPr>
    </w:p>
    <w:p w14:paraId="02352322" w14:textId="0BB5F843" w:rsidR="00F225F3" w:rsidRPr="00582ECD" w:rsidRDefault="00F225F3" w:rsidP="00820485">
      <w:pPr>
        <w:tabs>
          <w:tab w:val="left" w:pos="1276"/>
          <w:tab w:val="left" w:pos="1418"/>
          <w:tab w:val="left" w:leader="dot" w:pos="8222"/>
          <w:tab w:val="right" w:pos="8647"/>
        </w:tabs>
        <w:rPr>
          <w:rFonts w:asciiTheme="majorHAnsi" w:hAnsiTheme="majorHAnsi"/>
          <w:b/>
          <w:bCs/>
          <w:i/>
          <w:iCs/>
        </w:rPr>
      </w:pPr>
      <w:r w:rsidRPr="00582ECD">
        <w:rPr>
          <w:rFonts w:asciiTheme="majorHAnsi" w:hAnsiTheme="majorHAnsi"/>
          <w:b/>
        </w:rPr>
        <w:t xml:space="preserve">ALB - GERMON </w:t>
      </w:r>
      <w:r w:rsidRPr="00582ECD">
        <w:rPr>
          <w:rFonts w:asciiTheme="majorHAnsi" w:hAnsiTheme="majorHAnsi"/>
          <w:b/>
          <w:i/>
        </w:rPr>
        <w:t xml:space="preserve">(Thunnus </w:t>
      </w:r>
      <w:proofErr w:type="spellStart"/>
      <w:r w:rsidRPr="00582ECD">
        <w:rPr>
          <w:rFonts w:asciiTheme="majorHAnsi" w:hAnsiTheme="majorHAnsi"/>
          <w:b/>
          <w:i/>
        </w:rPr>
        <w:t>alalunga</w:t>
      </w:r>
      <w:proofErr w:type="spellEnd"/>
      <w:r w:rsidRPr="00582ECD">
        <w:rPr>
          <w:rFonts w:asciiTheme="majorHAnsi" w:hAnsiTheme="majorHAnsi"/>
          <w:b/>
          <w:i/>
        </w:rPr>
        <w:t>)</w:t>
      </w:r>
    </w:p>
    <w:p w14:paraId="4B9188BF" w14:textId="77777777" w:rsidR="00F225F3" w:rsidRPr="00582ECD" w:rsidRDefault="00F225F3" w:rsidP="00820485">
      <w:pPr>
        <w:tabs>
          <w:tab w:val="left" w:pos="1276"/>
          <w:tab w:val="left" w:pos="1418"/>
          <w:tab w:val="left" w:leader="dot" w:pos="8222"/>
          <w:tab w:val="right" w:pos="8647"/>
        </w:tabs>
        <w:ind w:firstLine="426"/>
        <w:rPr>
          <w:rFonts w:asciiTheme="majorHAnsi" w:hAnsiTheme="majorHAnsi"/>
          <w:b/>
          <w:bCs/>
          <w:i/>
          <w:iCs/>
        </w:rPr>
      </w:pPr>
    </w:p>
    <w:p w14:paraId="1FFA614D" w14:textId="3D4A1FD7" w:rsidR="00501981" w:rsidRPr="00582ECD" w:rsidRDefault="00905BD5" w:rsidP="00501981">
      <w:pPr>
        <w:tabs>
          <w:tab w:val="left" w:pos="1276"/>
          <w:tab w:val="left" w:pos="1418"/>
          <w:tab w:val="left" w:leader="dot" w:pos="8222"/>
          <w:tab w:val="right" w:pos="8647"/>
        </w:tabs>
        <w:jc w:val="both"/>
        <w:rPr>
          <w:rFonts w:asciiTheme="majorHAnsi" w:hAnsiTheme="majorHAnsi"/>
          <w:iCs/>
        </w:rPr>
      </w:pPr>
      <w:r w:rsidRPr="00582ECD">
        <w:rPr>
          <w:rFonts w:asciiTheme="majorHAnsi" w:hAnsiTheme="majorHAnsi"/>
          <w:i/>
        </w:rPr>
        <w:t xml:space="preserve">[Rec. 21-04] </w:t>
      </w:r>
      <w:r w:rsidRPr="00582ECD">
        <w:rPr>
          <w:rFonts w:asciiTheme="majorHAnsi" w:hAnsiTheme="majorHAnsi"/>
          <w:i/>
          <w:iCs/>
        </w:rPr>
        <w:t>Recommandation de l'ICCAT sur des mesures de conservation et de gestion, incluant</w:t>
      </w:r>
      <w:r w:rsidR="00005EA9" w:rsidRPr="00582ECD">
        <w:rPr>
          <w:rFonts w:asciiTheme="majorHAnsi" w:hAnsiTheme="majorHAnsi"/>
          <w:i/>
          <w:iCs/>
        </w:rPr>
        <w:t xml:space="preserve"> </w:t>
      </w:r>
      <w:r w:rsidRPr="00582ECD">
        <w:rPr>
          <w:rFonts w:asciiTheme="majorHAnsi" w:hAnsiTheme="majorHAnsi"/>
          <w:i/>
          <w:iCs/>
        </w:rPr>
        <w:t>une procédure de gestion et un protocole de circonstances exceptionnelles, pour</w:t>
      </w:r>
      <w:r w:rsidR="00005EA9" w:rsidRPr="00582ECD">
        <w:rPr>
          <w:rFonts w:asciiTheme="majorHAnsi" w:hAnsiTheme="majorHAnsi"/>
          <w:i/>
          <w:iCs/>
        </w:rPr>
        <w:t xml:space="preserve"> </w:t>
      </w:r>
      <w:r w:rsidRPr="00582ECD">
        <w:rPr>
          <w:rFonts w:asciiTheme="majorHAnsi" w:hAnsiTheme="majorHAnsi"/>
          <w:i/>
          <w:iCs/>
        </w:rPr>
        <w:t>le germon de l’Atlantique Nord</w:t>
      </w:r>
      <w:r w:rsidRPr="00582ECD">
        <w:rPr>
          <w:rFonts w:asciiTheme="majorHAnsi" w:hAnsiTheme="majorHAnsi"/>
        </w:rPr>
        <w:t xml:space="preserve">, telle qu’amendée par la Rec. 23-05 : </w:t>
      </w:r>
      <w:r w:rsidRPr="00582ECD">
        <w:rPr>
          <w:rFonts w:asciiTheme="majorHAnsi" w:hAnsiTheme="majorHAnsi"/>
          <w:i/>
          <w:iCs/>
        </w:rPr>
        <w:t>Recommandation de l’ICCAT amendant la Recommandation 21-04 sur des mesures de conservation et de gestion, incluant une procédure de gestion et un protocole de circonstances exceptionnelles, pour le germon de l’Atlantique Nord</w:t>
      </w:r>
      <w:r w:rsidRPr="00582ECD">
        <w:rPr>
          <w:rFonts w:asciiTheme="majorHAnsi" w:hAnsiTheme="majorHAnsi"/>
        </w:rPr>
        <w:t>.</w:t>
      </w:r>
    </w:p>
    <w:p w14:paraId="75BA4E17" w14:textId="77777777" w:rsidR="00501981" w:rsidRPr="00582ECD" w:rsidRDefault="00501981" w:rsidP="00820485">
      <w:pPr>
        <w:tabs>
          <w:tab w:val="left" w:pos="1276"/>
          <w:tab w:val="left" w:pos="1418"/>
          <w:tab w:val="left" w:leader="dot" w:pos="8222"/>
          <w:tab w:val="right" w:pos="8647"/>
        </w:tabs>
        <w:jc w:val="both"/>
        <w:rPr>
          <w:rFonts w:asciiTheme="majorHAnsi" w:hAnsiTheme="majorHAnsi"/>
          <w:bCs/>
          <w:i/>
        </w:rPr>
      </w:pPr>
    </w:p>
    <w:p w14:paraId="3A1B89C6" w14:textId="371F0280" w:rsidR="00D26C9B" w:rsidRPr="00582ECD" w:rsidRDefault="00D26C9B" w:rsidP="00820485">
      <w:pPr>
        <w:tabs>
          <w:tab w:val="left" w:pos="1276"/>
          <w:tab w:val="left" w:pos="1418"/>
          <w:tab w:val="left" w:leader="dot" w:pos="8222"/>
          <w:tab w:val="right" w:pos="8647"/>
        </w:tabs>
        <w:jc w:val="both"/>
        <w:rPr>
          <w:rFonts w:asciiTheme="majorHAnsi" w:hAnsiTheme="majorHAnsi"/>
        </w:rPr>
      </w:pPr>
      <w:r w:rsidRPr="00582ECD">
        <w:rPr>
          <w:rFonts w:asciiTheme="majorHAnsi" w:hAnsiTheme="majorHAnsi"/>
        </w:rPr>
        <w:t xml:space="preserve">Il n'est prévu aucune déclaration spécifique au Secrétariat de l’ICCAT si ce n'est à travers la section 4 des rapports annuels. </w:t>
      </w:r>
    </w:p>
    <w:p w14:paraId="4C56DC5C" w14:textId="77777777" w:rsidR="00021885" w:rsidRPr="00582ECD" w:rsidRDefault="00021885" w:rsidP="00820485">
      <w:pPr>
        <w:tabs>
          <w:tab w:val="left" w:pos="1276"/>
          <w:tab w:val="left" w:pos="1418"/>
          <w:tab w:val="left" w:leader="dot" w:pos="8222"/>
          <w:tab w:val="right" w:pos="8647"/>
        </w:tabs>
        <w:ind w:firstLine="426"/>
        <w:rPr>
          <w:rFonts w:asciiTheme="majorHAnsi" w:hAnsiTheme="majorHAnsi"/>
          <w:bCs/>
        </w:rPr>
      </w:pPr>
    </w:p>
    <w:p w14:paraId="14DB2CD6" w14:textId="6E941E96" w:rsidR="00765C78" w:rsidRPr="00582ECD" w:rsidRDefault="00765C78" w:rsidP="00765C78">
      <w:pPr>
        <w:tabs>
          <w:tab w:val="left" w:pos="1276"/>
          <w:tab w:val="left" w:pos="1418"/>
          <w:tab w:val="left" w:leader="dot" w:pos="8222"/>
          <w:tab w:val="right" w:pos="8647"/>
        </w:tabs>
        <w:jc w:val="both"/>
        <w:rPr>
          <w:rFonts w:asciiTheme="majorHAnsi" w:hAnsiTheme="majorHAnsi"/>
          <w:bCs/>
        </w:rPr>
      </w:pPr>
      <w:r w:rsidRPr="00582ECD">
        <w:rPr>
          <w:rFonts w:asciiTheme="majorHAnsi" w:hAnsiTheme="majorHAnsi"/>
          <w:b/>
          <w:bCs/>
          <w:i/>
          <w:iCs/>
        </w:rPr>
        <w:t>Application des q</w:t>
      </w:r>
      <w:r w:rsidRPr="00582ECD">
        <w:rPr>
          <w:rFonts w:asciiTheme="majorHAnsi" w:hAnsiTheme="majorHAnsi"/>
          <w:b/>
          <w:i/>
        </w:rPr>
        <w:t>uotas/li</w:t>
      </w:r>
      <w:r w:rsidRPr="00582ECD">
        <w:rPr>
          <w:rFonts w:asciiTheme="majorHAnsi" w:hAnsiTheme="majorHAnsi"/>
          <w:b/>
          <w:bCs/>
          <w:i/>
          <w:iCs/>
        </w:rPr>
        <w:t>mites de capture :</w:t>
      </w:r>
      <w:r w:rsidRPr="00582ECD">
        <w:rPr>
          <w:rFonts w:asciiTheme="majorHAnsi" w:hAnsiTheme="majorHAnsi"/>
        </w:rPr>
        <w:t xml:space="preserve"> Veuillez consulter les</w:t>
      </w:r>
      <w:r w:rsidR="00245A33">
        <w:rPr>
          <w:rFonts w:asciiTheme="majorHAnsi" w:hAnsiTheme="majorHAnsi"/>
        </w:rPr>
        <w:t xml:space="preserve"> </w:t>
      </w:r>
      <w:r w:rsidR="00AB1674">
        <w:rPr>
          <w:rFonts w:asciiTheme="majorHAnsi" w:hAnsiTheme="majorHAnsi"/>
        </w:rPr>
        <w:t>« </w:t>
      </w:r>
      <w:r w:rsidRPr="00582ECD">
        <w:rPr>
          <w:rFonts w:asciiTheme="majorHAnsi" w:hAnsiTheme="majorHAnsi"/>
        </w:rPr>
        <w:t>Tableaux d'application 2025 reçus en 2026</w:t>
      </w:r>
      <w:r w:rsidR="00AB1674">
        <w:rPr>
          <w:rFonts w:asciiTheme="majorHAnsi" w:hAnsiTheme="majorHAnsi"/>
        </w:rPr>
        <w:t> »</w:t>
      </w:r>
      <w:r w:rsidRPr="00582ECD">
        <w:rPr>
          <w:rFonts w:asciiTheme="majorHAnsi" w:hAnsiTheme="majorHAnsi"/>
        </w:rPr>
        <w:t xml:space="preserve"> [COC_304/2026].</w:t>
      </w:r>
    </w:p>
    <w:p w14:paraId="185715AD" w14:textId="77777777" w:rsidR="00765C78" w:rsidRPr="00582ECD" w:rsidRDefault="00765C78" w:rsidP="00820485">
      <w:pPr>
        <w:tabs>
          <w:tab w:val="left" w:pos="1276"/>
          <w:tab w:val="left" w:pos="1418"/>
          <w:tab w:val="left" w:leader="dot" w:pos="8222"/>
          <w:tab w:val="right" w:pos="8647"/>
        </w:tabs>
        <w:jc w:val="both"/>
        <w:rPr>
          <w:rFonts w:asciiTheme="majorHAnsi" w:hAnsiTheme="majorHAnsi"/>
          <w:bCs/>
        </w:rPr>
      </w:pPr>
    </w:p>
    <w:p w14:paraId="6FF73E93" w14:textId="05D2D030" w:rsidR="004A64B4" w:rsidRPr="00582ECD" w:rsidRDefault="00501981" w:rsidP="00820485">
      <w:pPr>
        <w:tabs>
          <w:tab w:val="left" w:pos="1276"/>
          <w:tab w:val="left" w:pos="1418"/>
          <w:tab w:val="left" w:leader="dot" w:pos="8222"/>
          <w:tab w:val="right" w:pos="8647"/>
        </w:tabs>
        <w:jc w:val="both"/>
        <w:rPr>
          <w:rFonts w:asciiTheme="majorHAnsi" w:hAnsiTheme="majorHAnsi"/>
          <w:bCs/>
        </w:rPr>
      </w:pPr>
      <w:r w:rsidRPr="00582ECD">
        <w:rPr>
          <w:rFonts w:asciiTheme="majorHAnsi" w:hAnsiTheme="majorHAnsi"/>
        </w:rPr>
        <w:t>Conformément au paragraphe 13 de la Rec. 21-04, les CPC suivantes ont inclus des informations dans leurs rapports annuels sur la limite maximale de capture accessoire de germon de l’Atlantique Nord à bord :</w:t>
      </w:r>
    </w:p>
    <w:p w14:paraId="59217ADB" w14:textId="77777777" w:rsidR="004A64B4" w:rsidRPr="00582ECD" w:rsidRDefault="004A64B4" w:rsidP="00820485">
      <w:pPr>
        <w:tabs>
          <w:tab w:val="left" w:pos="1276"/>
          <w:tab w:val="left" w:pos="1418"/>
          <w:tab w:val="left" w:leader="dot" w:pos="8222"/>
          <w:tab w:val="right" w:pos="8647"/>
        </w:tabs>
        <w:jc w:val="both"/>
        <w:rPr>
          <w:rFonts w:asciiTheme="majorHAnsi" w:hAnsiTheme="majorHAnsi"/>
          <w:bCs/>
        </w:rPr>
      </w:pPr>
    </w:p>
    <w:tbl>
      <w:tblPr>
        <w:tblW w:w="5000" w:type="pct"/>
        <w:tblLook w:val="04A0" w:firstRow="1" w:lastRow="0" w:firstColumn="1" w:lastColumn="0" w:noHBand="0" w:noVBand="1"/>
      </w:tblPr>
      <w:tblGrid>
        <w:gridCol w:w="1833"/>
        <w:gridCol w:w="7222"/>
      </w:tblGrid>
      <w:tr w:rsidR="00E13086" w:rsidRPr="00582ECD" w14:paraId="02CFC7FD" w14:textId="77777777" w:rsidTr="00E13086">
        <w:tc>
          <w:tcPr>
            <w:tcW w:w="1012" w:type="pct"/>
            <w:tcBorders>
              <w:top w:val="single" w:sz="8" w:space="0" w:color="auto"/>
              <w:left w:val="single" w:sz="8" w:space="0" w:color="auto"/>
              <w:bottom w:val="single" w:sz="8" w:space="0" w:color="auto"/>
              <w:right w:val="single" w:sz="8" w:space="0" w:color="auto"/>
            </w:tcBorders>
            <w:vAlign w:val="center"/>
            <w:hideMark/>
          </w:tcPr>
          <w:p w14:paraId="0AB0D2F8" w14:textId="77777777" w:rsidR="00E13086" w:rsidRPr="00582ECD" w:rsidRDefault="00E13086" w:rsidP="00E13086">
            <w:pPr>
              <w:widowControl/>
              <w:autoSpaceDE/>
              <w:autoSpaceDN/>
              <w:adjustRightInd/>
              <w:jc w:val="center"/>
              <w:rPr>
                <w:rFonts w:asciiTheme="majorHAnsi" w:hAnsiTheme="majorHAnsi" w:cs="Calibri"/>
                <w:i/>
                <w:iCs/>
                <w:color w:val="000000"/>
              </w:rPr>
            </w:pPr>
            <w:r w:rsidRPr="00582ECD">
              <w:rPr>
                <w:rFonts w:asciiTheme="majorHAnsi" w:hAnsiTheme="majorHAnsi"/>
                <w:i/>
                <w:color w:val="000000"/>
              </w:rPr>
              <w:t>CPC</w:t>
            </w:r>
          </w:p>
        </w:tc>
        <w:tc>
          <w:tcPr>
            <w:tcW w:w="3988" w:type="pct"/>
            <w:tcBorders>
              <w:top w:val="single" w:sz="8" w:space="0" w:color="auto"/>
              <w:left w:val="nil"/>
              <w:bottom w:val="single" w:sz="8" w:space="0" w:color="auto"/>
              <w:right w:val="single" w:sz="8" w:space="0" w:color="auto"/>
            </w:tcBorders>
            <w:vAlign w:val="center"/>
            <w:hideMark/>
          </w:tcPr>
          <w:p w14:paraId="3C9A3428" w14:textId="77777777" w:rsidR="00E13086" w:rsidRPr="00582ECD" w:rsidRDefault="00E13086" w:rsidP="00E13086">
            <w:pPr>
              <w:widowControl/>
              <w:autoSpaceDE/>
              <w:autoSpaceDN/>
              <w:adjustRightInd/>
              <w:jc w:val="center"/>
              <w:rPr>
                <w:rFonts w:asciiTheme="majorHAnsi" w:hAnsiTheme="majorHAnsi" w:cs="Calibri"/>
                <w:i/>
                <w:iCs/>
                <w:color w:val="000000"/>
              </w:rPr>
            </w:pPr>
            <w:r w:rsidRPr="00582ECD">
              <w:rPr>
                <w:rFonts w:asciiTheme="majorHAnsi" w:hAnsiTheme="majorHAnsi"/>
                <w:i/>
                <w:color w:val="000000"/>
              </w:rPr>
              <w:t>Réponse</w:t>
            </w:r>
          </w:p>
        </w:tc>
      </w:tr>
      <w:tr w:rsidR="00E13086" w:rsidRPr="00582ECD" w14:paraId="64E7C7F6" w14:textId="77777777" w:rsidTr="00E13086">
        <w:tc>
          <w:tcPr>
            <w:tcW w:w="1012" w:type="pct"/>
            <w:tcBorders>
              <w:top w:val="nil"/>
              <w:left w:val="single" w:sz="8" w:space="0" w:color="auto"/>
              <w:bottom w:val="single" w:sz="8" w:space="0" w:color="auto"/>
              <w:right w:val="single" w:sz="8" w:space="0" w:color="auto"/>
            </w:tcBorders>
            <w:vAlign w:val="center"/>
            <w:hideMark/>
          </w:tcPr>
          <w:p w14:paraId="7837E623" w14:textId="708DC2F4" w:rsidR="00E13086" w:rsidRPr="00582ECD" w:rsidRDefault="000F7BE0" w:rsidP="00E13086">
            <w:pPr>
              <w:widowControl/>
              <w:autoSpaceDE/>
              <w:autoSpaceDN/>
              <w:adjustRightInd/>
              <w:rPr>
                <w:rFonts w:asciiTheme="majorHAnsi" w:hAnsiTheme="majorHAnsi" w:cs="Calibri"/>
                <w:color w:val="000000"/>
              </w:rPr>
            </w:pPr>
            <w:r w:rsidRPr="00582ECD">
              <w:rPr>
                <w:rFonts w:asciiTheme="majorHAnsi" w:hAnsiTheme="majorHAnsi"/>
                <w:color w:val="000000"/>
              </w:rPr>
              <w:t>Belize</w:t>
            </w:r>
          </w:p>
        </w:tc>
        <w:tc>
          <w:tcPr>
            <w:tcW w:w="3988" w:type="pct"/>
            <w:tcBorders>
              <w:top w:val="nil"/>
              <w:left w:val="nil"/>
              <w:bottom w:val="single" w:sz="8" w:space="0" w:color="auto"/>
              <w:right w:val="single" w:sz="8" w:space="0" w:color="auto"/>
            </w:tcBorders>
            <w:vAlign w:val="center"/>
            <w:hideMark/>
          </w:tcPr>
          <w:p w14:paraId="1384B386" w14:textId="0A109D8A" w:rsidR="00E13086" w:rsidRPr="00582ECD" w:rsidRDefault="00366A78" w:rsidP="00E13086">
            <w:pPr>
              <w:widowControl/>
              <w:autoSpaceDE/>
              <w:autoSpaceDN/>
              <w:adjustRightInd/>
              <w:jc w:val="both"/>
              <w:rPr>
                <w:rFonts w:asciiTheme="majorHAnsi" w:hAnsiTheme="majorHAnsi" w:cs="Calibri"/>
              </w:rPr>
            </w:pPr>
            <w:r w:rsidRPr="00582ECD">
              <w:rPr>
                <w:rFonts w:asciiTheme="majorHAnsi" w:hAnsiTheme="majorHAnsi"/>
              </w:rPr>
              <w:t>Le Belize a instauré une limite de capture accessoire à bord pour toutes les espèces, y compris le germon du Nord. La limite de prises accessoires fixée pour les navires non autorisés à pêcher exclusivement cette espèce est de 10 t. Cette quantité est prise en compte dans l'allocation globale de quota pour le Belize. Cependant, aucun navire n’a déclaré de prise accessoire de germon du Nord.</w:t>
            </w:r>
          </w:p>
        </w:tc>
      </w:tr>
      <w:tr w:rsidR="00E13086" w:rsidRPr="00582ECD" w14:paraId="49E573EA" w14:textId="77777777" w:rsidTr="00E13086">
        <w:tc>
          <w:tcPr>
            <w:tcW w:w="1012" w:type="pct"/>
            <w:tcBorders>
              <w:top w:val="nil"/>
              <w:left w:val="single" w:sz="8" w:space="0" w:color="auto"/>
              <w:bottom w:val="single" w:sz="8" w:space="0" w:color="auto"/>
              <w:right w:val="single" w:sz="8" w:space="0" w:color="auto"/>
            </w:tcBorders>
            <w:vAlign w:val="center"/>
            <w:hideMark/>
          </w:tcPr>
          <w:p w14:paraId="2AEF0F9F" w14:textId="1BCE20F6" w:rsidR="00E13086" w:rsidRPr="00582ECD" w:rsidRDefault="000F7BE0" w:rsidP="00E13086">
            <w:pPr>
              <w:widowControl/>
              <w:autoSpaceDE/>
              <w:autoSpaceDN/>
              <w:adjustRightInd/>
              <w:rPr>
                <w:rFonts w:asciiTheme="majorHAnsi" w:hAnsiTheme="majorHAnsi" w:cs="Calibri"/>
                <w:color w:val="000000"/>
              </w:rPr>
            </w:pPr>
            <w:r w:rsidRPr="00582ECD">
              <w:rPr>
                <w:rFonts w:asciiTheme="majorHAnsi" w:hAnsiTheme="majorHAnsi"/>
                <w:color w:val="000000"/>
              </w:rPr>
              <w:lastRenderedPageBreak/>
              <w:t>Chine</w:t>
            </w:r>
          </w:p>
        </w:tc>
        <w:tc>
          <w:tcPr>
            <w:tcW w:w="3988" w:type="pct"/>
            <w:tcBorders>
              <w:top w:val="nil"/>
              <w:left w:val="nil"/>
              <w:bottom w:val="single" w:sz="8" w:space="0" w:color="auto"/>
              <w:right w:val="single" w:sz="8" w:space="0" w:color="auto"/>
            </w:tcBorders>
            <w:vAlign w:val="center"/>
            <w:hideMark/>
          </w:tcPr>
          <w:p w14:paraId="303705C7" w14:textId="6FB88636" w:rsidR="00E13086" w:rsidRPr="00582ECD" w:rsidRDefault="00A74100" w:rsidP="00E13086">
            <w:pPr>
              <w:widowControl/>
              <w:autoSpaceDE/>
              <w:autoSpaceDN/>
              <w:adjustRightInd/>
              <w:jc w:val="both"/>
              <w:rPr>
                <w:rFonts w:asciiTheme="majorHAnsi" w:hAnsiTheme="majorHAnsi" w:cs="Calibri"/>
              </w:rPr>
            </w:pPr>
            <w:r w:rsidRPr="00582ECD">
              <w:rPr>
                <w:rFonts w:asciiTheme="majorHAnsi" w:hAnsiTheme="majorHAnsi"/>
              </w:rPr>
              <w:t>La Chine n'a pas de navires ciblant le germon du Nord et le germon du Sud, tous les germons sont capturés comme prises accessoires et les palangriers tropicaux peuvent capturer du germon comme prise accessoire. En 2025, la Chine disposait de 357,93 t de germon du Nord et de 300 t de germon du Sud. La Chine a fixé une limite de capture pour le germon du Nord et du Sud pour chaque palangrier sur la base du TAC alloué à la Chine conformément aux recommandations concernant ces espèces. Chaque navire doit respecter strictement la limite de capture qui lui a été fixée.</w:t>
            </w:r>
          </w:p>
        </w:tc>
      </w:tr>
      <w:tr w:rsidR="00E13086" w:rsidRPr="00582ECD" w14:paraId="0F0A8A02" w14:textId="77777777" w:rsidTr="00E13086">
        <w:tc>
          <w:tcPr>
            <w:tcW w:w="1012" w:type="pct"/>
            <w:tcBorders>
              <w:top w:val="nil"/>
              <w:left w:val="single" w:sz="8" w:space="0" w:color="auto"/>
              <w:bottom w:val="single" w:sz="8" w:space="0" w:color="auto"/>
              <w:right w:val="single" w:sz="8" w:space="0" w:color="auto"/>
            </w:tcBorders>
            <w:noWrap/>
            <w:vAlign w:val="center"/>
            <w:hideMark/>
          </w:tcPr>
          <w:p w14:paraId="0000C214" w14:textId="79FCAB01" w:rsidR="00E13086" w:rsidRPr="00582ECD" w:rsidRDefault="000F7BE0" w:rsidP="00E13086">
            <w:pPr>
              <w:widowControl/>
              <w:autoSpaceDE/>
              <w:autoSpaceDN/>
              <w:adjustRightInd/>
              <w:rPr>
                <w:rFonts w:asciiTheme="majorHAnsi" w:hAnsiTheme="majorHAnsi" w:cs="Calibri"/>
                <w:color w:val="000000"/>
              </w:rPr>
            </w:pPr>
            <w:r w:rsidRPr="00582ECD">
              <w:rPr>
                <w:rFonts w:asciiTheme="majorHAnsi" w:hAnsiTheme="majorHAnsi"/>
                <w:color w:val="000000"/>
              </w:rPr>
              <w:t>Curaçao</w:t>
            </w:r>
          </w:p>
        </w:tc>
        <w:tc>
          <w:tcPr>
            <w:tcW w:w="3988" w:type="pct"/>
            <w:tcBorders>
              <w:top w:val="nil"/>
              <w:left w:val="nil"/>
              <w:bottom w:val="single" w:sz="8" w:space="0" w:color="auto"/>
              <w:right w:val="single" w:sz="8" w:space="0" w:color="auto"/>
            </w:tcBorders>
            <w:vAlign w:val="center"/>
            <w:hideMark/>
          </w:tcPr>
          <w:p w14:paraId="38221849" w14:textId="7A3C05F7" w:rsidR="00E13086" w:rsidRPr="00582ECD" w:rsidRDefault="00A74100" w:rsidP="00E13086">
            <w:pPr>
              <w:widowControl/>
              <w:autoSpaceDE/>
              <w:autoSpaceDN/>
              <w:adjustRightInd/>
              <w:jc w:val="both"/>
              <w:rPr>
                <w:rFonts w:asciiTheme="majorHAnsi" w:hAnsiTheme="majorHAnsi" w:cs="Calibri"/>
                <w:color w:val="000000"/>
              </w:rPr>
            </w:pPr>
            <w:r w:rsidRPr="00582ECD">
              <w:rPr>
                <w:rFonts w:asciiTheme="majorHAnsi" w:hAnsiTheme="majorHAnsi"/>
                <w:color w:val="000000"/>
              </w:rPr>
              <w:t>Il n'y avait pas de navire de pêche autorisé pour les activités de pêche. Dans le cas des activités de pêche (Rés. 16-06), la limite des prises accessoires de germon du Nord que Curaçao a convenue avec les navires est de 50 t.</w:t>
            </w:r>
          </w:p>
        </w:tc>
      </w:tr>
      <w:tr w:rsidR="00A74100" w:rsidRPr="00582ECD" w14:paraId="2C11B7F6" w14:textId="77777777" w:rsidTr="006D1FBF">
        <w:tc>
          <w:tcPr>
            <w:tcW w:w="1012" w:type="pct"/>
            <w:tcBorders>
              <w:top w:val="nil"/>
              <w:left w:val="single" w:sz="8" w:space="0" w:color="auto"/>
              <w:bottom w:val="single" w:sz="8" w:space="0" w:color="auto"/>
              <w:right w:val="single" w:sz="8" w:space="0" w:color="auto"/>
            </w:tcBorders>
            <w:noWrap/>
            <w:hideMark/>
          </w:tcPr>
          <w:p w14:paraId="225D15B1" w14:textId="6A82FB64" w:rsidR="00A74100" w:rsidRPr="00582ECD" w:rsidRDefault="00A74100" w:rsidP="00A74100">
            <w:pPr>
              <w:widowControl/>
              <w:autoSpaceDE/>
              <w:autoSpaceDN/>
              <w:adjustRightInd/>
              <w:rPr>
                <w:rFonts w:asciiTheme="majorHAnsi" w:hAnsiTheme="majorHAnsi" w:cs="Calibri"/>
                <w:color w:val="000000"/>
              </w:rPr>
            </w:pPr>
            <w:r w:rsidRPr="00582ECD">
              <w:rPr>
                <w:rFonts w:asciiTheme="majorHAnsi" w:hAnsiTheme="majorHAnsi"/>
              </w:rPr>
              <w:t>Union européenne</w:t>
            </w:r>
          </w:p>
        </w:tc>
        <w:tc>
          <w:tcPr>
            <w:tcW w:w="3988" w:type="pct"/>
            <w:tcBorders>
              <w:top w:val="nil"/>
              <w:left w:val="nil"/>
              <w:bottom w:val="single" w:sz="8" w:space="0" w:color="auto"/>
              <w:right w:val="single" w:sz="8" w:space="0" w:color="auto"/>
            </w:tcBorders>
            <w:hideMark/>
          </w:tcPr>
          <w:p w14:paraId="6815EC28" w14:textId="3DF30AA3" w:rsidR="00A74100" w:rsidRPr="00582ECD" w:rsidRDefault="00A74100" w:rsidP="00A74100">
            <w:pPr>
              <w:widowControl/>
              <w:autoSpaceDE/>
              <w:autoSpaceDN/>
              <w:adjustRightInd/>
              <w:jc w:val="both"/>
              <w:rPr>
                <w:rFonts w:asciiTheme="majorHAnsi" w:hAnsiTheme="majorHAnsi" w:cs="Calibri"/>
                <w:color w:val="000000"/>
              </w:rPr>
            </w:pPr>
            <w:r w:rsidRPr="00582ECD">
              <w:rPr>
                <w:rFonts w:asciiTheme="majorHAnsi" w:hAnsiTheme="majorHAnsi"/>
              </w:rPr>
              <w:t>Des détails supplémentaires sont inclus dans la section 2 de son rapport annuel.</w:t>
            </w:r>
          </w:p>
        </w:tc>
      </w:tr>
    </w:tbl>
    <w:p w14:paraId="3FC9FC05" w14:textId="77777777" w:rsidR="00E13086" w:rsidRPr="00582ECD" w:rsidRDefault="00E13086" w:rsidP="00827721">
      <w:pPr>
        <w:tabs>
          <w:tab w:val="left" w:pos="851"/>
          <w:tab w:val="left" w:pos="1276"/>
          <w:tab w:val="left" w:pos="1418"/>
          <w:tab w:val="left" w:leader="dot" w:pos="8222"/>
          <w:tab w:val="right" w:pos="8647"/>
        </w:tabs>
        <w:jc w:val="both"/>
        <w:rPr>
          <w:rFonts w:asciiTheme="majorHAnsi" w:hAnsiTheme="majorHAnsi"/>
          <w:color w:val="000000"/>
        </w:rPr>
      </w:pPr>
    </w:p>
    <w:p w14:paraId="6FAB85CD" w14:textId="218D3DBE" w:rsidR="00DC0214" w:rsidRPr="00582ECD" w:rsidRDefault="008F44BD" w:rsidP="00DC0214">
      <w:pPr>
        <w:tabs>
          <w:tab w:val="left" w:pos="1276"/>
          <w:tab w:val="left" w:pos="1418"/>
          <w:tab w:val="left" w:leader="dot" w:pos="8222"/>
          <w:tab w:val="right" w:pos="8647"/>
        </w:tabs>
        <w:jc w:val="both"/>
        <w:rPr>
          <w:rFonts w:asciiTheme="majorHAnsi" w:hAnsiTheme="majorHAnsi"/>
          <w:b/>
          <w:bCs/>
          <w:iCs/>
        </w:rPr>
      </w:pPr>
      <w:r w:rsidRPr="00582ECD">
        <w:rPr>
          <w:rFonts w:asciiTheme="majorHAnsi" w:hAnsiTheme="majorHAnsi"/>
          <w:color w:val="000000"/>
        </w:rPr>
        <w:t>Il convient de noter que les données ci-dessus ne concernent que les CPC ayant indiqué qu'une limite avait été fixée. Dans de nombreux cas, aucune limite n'est fixée car tous les navires concernés disposent d'une licence et/ou que les prises accessoires ne sont pas autorisées. Toutefois, certaines réponses concernant les limites maximales de prises accessoires sont incohérentes, les CPC n'ayant pas lu ou compris l'exigence. Dans plusieurs cas, des réponses non pertinentes sont fournies, par exemple : il n’y a pas de pêcherie ciblant cette espèce, il n’y a pas de navires sous pavillon de xx pêchant cette espèce.</w:t>
      </w:r>
    </w:p>
    <w:p w14:paraId="23999909" w14:textId="7E65223F" w:rsidR="008F44BD" w:rsidRPr="00582ECD" w:rsidRDefault="008F44BD" w:rsidP="00827721">
      <w:pPr>
        <w:tabs>
          <w:tab w:val="left" w:pos="851"/>
          <w:tab w:val="left" w:pos="1276"/>
          <w:tab w:val="left" w:pos="1418"/>
          <w:tab w:val="left" w:leader="dot" w:pos="8222"/>
          <w:tab w:val="right" w:pos="8647"/>
        </w:tabs>
        <w:jc w:val="both"/>
        <w:rPr>
          <w:rFonts w:asciiTheme="majorHAnsi" w:hAnsiTheme="majorHAnsi"/>
          <w:bCs/>
          <w:iCs/>
        </w:rPr>
      </w:pPr>
    </w:p>
    <w:p w14:paraId="4E9E0023" w14:textId="32F8789B" w:rsidR="00765C78" w:rsidRPr="00582ECD" w:rsidRDefault="00765C78" w:rsidP="00765C78">
      <w:pPr>
        <w:tabs>
          <w:tab w:val="left" w:pos="1276"/>
          <w:tab w:val="left" w:pos="1418"/>
          <w:tab w:val="left" w:leader="dot" w:pos="8222"/>
          <w:tab w:val="right" w:pos="8647"/>
        </w:tabs>
        <w:jc w:val="both"/>
        <w:rPr>
          <w:rFonts w:asciiTheme="majorHAnsi" w:hAnsiTheme="majorHAnsi"/>
          <w:bCs/>
        </w:rPr>
      </w:pPr>
      <w:r w:rsidRPr="00582ECD">
        <w:rPr>
          <w:rFonts w:asciiTheme="majorHAnsi" w:hAnsiTheme="majorHAnsi"/>
          <w:b/>
          <w:bCs/>
          <w:i/>
          <w:iCs/>
        </w:rPr>
        <w:t>Autorisation spécifique pour les navires de germon du Nord</w:t>
      </w:r>
      <w:r w:rsidRPr="00582ECD">
        <w:rPr>
          <w:rFonts w:asciiTheme="majorHAnsi" w:hAnsiTheme="majorHAnsi"/>
          <w:b/>
          <w:bCs/>
        </w:rPr>
        <w:t xml:space="preserve"> </w:t>
      </w:r>
      <w:r w:rsidRPr="00582ECD">
        <w:rPr>
          <w:rFonts w:asciiTheme="majorHAnsi" w:hAnsiTheme="majorHAnsi"/>
        </w:rPr>
        <w:t xml:space="preserve">: les navires autorisés de 20 m ou plus disposant d’autorisations spécifiques pour le germon du Nord figurent dans le </w:t>
      </w:r>
      <w:hyperlink r:id="rId17" w:history="1">
        <w:r w:rsidRPr="00582ECD">
          <w:rPr>
            <w:rStyle w:val="Hyperlink"/>
            <w:rFonts w:asciiTheme="majorHAnsi" w:hAnsiTheme="majorHAnsi"/>
            <w:u w:val="none"/>
          </w:rPr>
          <w:t>Registre des navires de l’ICCAT</w:t>
        </w:r>
      </w:hyperlink>
      <w:r w:rsidRPr="00582ECD">
        <w:rPr>
          <w:rFonts w:asciiTheme="majorHAnsi" w:hAnsiTheme="majorHAnsi"/>
        </w:rPr>
        <w:t>.</w:t>
      </w:r>
    </w:p>
    <w:p w14:paraId="1E78194E" w14:textId="77777777" w:rsidR="00765C78" w:rsidRPr="00582ECD" w:rsidRDefault="00765C78" w:rsidP="00765C78">
      <w:pPr>
        <w:tabs>
          <w:tab w:val="left" w:pos="1276"/>
          <w:tab w:val="left" w:pos="1418"/>
          <w:tab w:val="left" w:leader="dot" w:pos="8222"/>
          <w:tab w:val="right" w:pos="8647"/>
        </w:tabs>
        <w:jc w:val="both"/>
        <w:rPr>
          <w:rFonts w:asciiTheme="majorHAnsi" w:hAnsiTheme="majorHAnsi"/>
          <w:bCs/>
        </w:rPr>
      </w:pPr>
    </w:p>
    <w:p w14:paraId="64D7255A" w14:textId="054F30F2" w:rsidR="00765C78" w:rsidRPr="00582ECD" w:rsidRDefault="00765C78" w:rsidP="005B120F">
      <w:pPr>
        <w:tabs>
          <w:tab w:val="left" w:pos="1276"/>
          <w:tab w:val="left" w:pos="1418"/>
          <w:tab w:val="left" w:leader="dot" w:pos="8222"/>
          <w:tab w:val="right" w:pos="8647"/>
        </w:tabs>
        <w:jc w:val="both"/>
        <w:rPr>
          <w:rFonts w:asciiTheme="majorHAnsi" w:hAnsiTheme="majorHAnsi"/>
          <w:bCs/>
          <w:i/>
        </w:rPr>
      </w:pPr>
      <w:r w:rsidRPr="00582ECD">
        <w:rPr>
          <w:rFonts w:asciiTheme="majorHAnsi" w:hAnsiTheme="majorHAnsi"/>
        </w:rPr>
        <w:t>Une CPC dotée d'un quota n’a actuellement aucun navire (de 20 m ou plus) inscrit sur le Registre ICCAT des navires autorisés à capturer le germon du Nord : Venezuela.</w:t>
      </w:r>
    </w:p>
    <w:p w14:paraId="7E0ADEF8" w14:textId="77777777" w:rsidR="00765C78" w:rsidRPr="00582ECD" w:rsidRDefault="00765C78" w:rsidP="00D5335E">
      <w:pPr>
        <w:tabs>
          <w:tab w:val="left" w:pos="851"/>
          <w:tab w:val="left" w:pos="1276"/>
          <w:tab w:val="left" w:pos="1418"/>
          <w:tab w:val="left" w:leader="dot" w:pos="8222"/>
          <w:tab w:val="right" w:pos="8647"/>
        </w:tabs>
        <w:rPr>
          <w:rFonts w:asciiTheme="majorHAnsi" w:hAnsiTheme="majorHAnsi"/>
          <w:bCs/>
          <w:i/>
        </w:rPr>
      </w:pPr>
    </w:p>
    <w:p w14:paraId="530716F3" w14:textId="5664672E" w:rsidR="00F62486" w:rsidRPr="00582ECD" w:rsidRDefault="00501981" w:rsidP="00005EA9">
      <w:pPr>
        <w:tabs>
          <w:tab w:val="left" w:pos="851"/>
          <w:tab w:val="left" w:pos="1276"/>
          <w:tab w:val="left" w:pos="1418"/>
          <w:tab w:val="left" w:leader="dot" w:pos="8222"/>
          <w:tab w:val="right" w:pos="8647"/>
        </w:tabs>
        <w:jc w:val="both"/>
        <w:rPr>
          <w:rFonts w:asciiTheme="majorHAnsi" w:hAnsiTheme="majorHAnsi"/>
          <w:i/>
        </w:rPr>
      </w:pPr>
      <w:r w:rsidRPr="00582ECD">
        <w:rPr>
          <w:rFonts w:asciiTheme="majorHAnsi" w:hAnsiTheme="majorHAnsi"/>
          <w:i/>
        </w:rPr>
        <w:t>Rec. 22-06 : Recommandation de l'ICCAT sur les limites de capture de germon de l’Atlantique Sud pour la période 2023–2026</w:t>
      </w:r>
    </w:p>
    <w:p w14:paraId="79827FD8" w14:textId="77777777" w:rsidR="00E632BF" w:rsidRPr="00582ECD" w:rsidRDefault="00E632BF" w:rsidP="00820485">
      <w:pPr>
        <w:tabs>
          <w:tab w:val="left" w:pos="1276"/>
          <w:tab w:val="left" w:pos="1418"/>
          <w:tab w:val="left" w:leader="dot" w:pos="8222"/>
          <w:tab w:val="right" w:pos="8647"/>
        </w:tabs>
        <w:ind w:firstLine="426"/>
        <w:rPr>
          <w:rFonts w:asciiTheme="majorHAnsi" w:hAnsiTheme="majorHAnsi"/>
          <w:bCs/>
          <w:i/>
        </w:rPr>
      </w:pPr>
    </w:p>
    <w:p w14:paraId="10BA9BEE" w14:textId="60DC60DE" w:rsidR="00A660C1" w:rsidRPr="00582ECD" w:rsidRDefault="00A660C1" w:rsidP="00A660C1">
      <w:pPr>
        <w:tabs>
          <w:tab w:val="left" w:pos="1276"/>
          <w:tab w:val="left" w:pos="1418"/>
          <w:tab w:val="left" w:leader="dot" w:pos="8222"/>
          <w:tab w:val="right" w:pos="8647"/>
        </w:tabs>
        <w:jc w:val="both"/>
        <w:rPr>
          <w:rFonts w:asciiTheme="majorHAnsi" w:hAnsiTheme="majorHAnsi"/>
          <w:bCs/>
        </w:rPr>
      </w:pPr>
      <w:r w:rsidRPr="00582ECD">
        <w:rPr>
          <w:rFonts w:asciiTheme="majorHAnsi" w:hAnsiTheme="majorHAnsi"/>
          <w:b/>
          <w:bCs/>
          <w:i/>
          <w:iCs/>
        </w:rPr>
        <w:t>Application des q</w:t>
      </w:r>
      <w:r w:rsidRPr="00582ECD">
        <w:rPr>
          <w:rFonts w:asciiTheme="majorHAnsi" w:hAnsiTheme="majorHAnsi"/>
          <w:b/>
          <w:i/>
        </w:rPr>
        <w:t>uotas/li</w:t>
      </w:r>
      <w:r w:rsidRPr="00582ECD">
        <w:rPr>
          <w:rFonts w:asciiTheme="majorHAnsi" w:hAnsiTheme="majorHAnsi"/>
          <w:b/>
          <w:bCs/>
          <w:i/>
          <w:iCs/>
        </w:rPr>
        <w:t>mites de capture :</w:t>
      </w:r>
      <w:r w:rsidRPr="00582ECD">
        <w:rPr>
          <w:rFonts w:asciiTheme="majorHAnsi" w:hAnsiTheme="majorHAnsi"/>
        </w:rPr>
        <w:t xml:space="preserve"> Veuillez consulter les</w:t>
      </w:r>
      <w:r w:rsidR="00005EA9" w:rsidRPr="00582ECD">
        <w:rPr>
          <w:rFonts w:asciiTheme="majorHAnsi" w:hAnsiTheme="majorHAnsi"/>
        </w:rPr>
        <w:t xml:space="preserve"> « </w:t>
      </w:r>
      <w:r w:rsidRPr="00582ECD">
        <w:rPr>
          <w:rFonts w:asciiTheme="majorHAnsi" w:hAnsiTheme="majorHAnsi"/>
        </w:rPr>
        <w:t>Tableaux d'application 2025 reçus en 2026</w:t>
      </w:r>
      <w:r w:rsidR="00005EA9" w:rsidRPr="00582ECD">
        <w:rPr>
          <w:rFonts w:asciiTheme="majorHAnsi" w:hAnsiTheme="majorHAnsi"/>
        </w:rPr>
        <w:t> »</w:t>
      </w:r>
      <w:r w:rsidRPr="00582ECD">
        <w:rPr>
          <w:rFonts w:asciiTheme="majorHAnsi" w:hAnsiTheme="majorHAnsi"/>
        </w:rPr>
        <w:t xml:space="preserve"> [COC_304/2026].</w:t>
      </w:r>
    </w:p>
    <w:p w14:paraId="43121CE8" w14:textId="77777777" w:rsidR="00145308" w:rsidRPr="00582ECD" w:rsidRDefault="00145308" w:rsidP="00820485">
      <w:pPr>
        <w:tabs>
          <w:tab w:val="left" w:pos="1276"/>
          <w:tab w:val="left" w:pos="1418"/>
          <w:tab w:val="left" w:leader="dot" w:pos="8222"/>
          <w:tab w:val="right" w:pos="8647"/>
        </w:tabs>
        <w:rPr>
          <w:rStyle w:val="Hyperlink"/>
          <w:rFonts w:asciiTheme="majorHAnsi" w:hAnsiTheme="majorHAnsi"/>
          <w:bCs/>
        </w:rPr>
      </w:pPr>
    </w:p>
    <w:p w14:paraId="5A75DBAB" w14:textId="04DC9104" w:rsidR="007F158F" w:rsidRPr="00582ECD" w:rsidRDefault="005E0BFB" w:rsidP="00820485">
      <w:pPr>
        <w:tabs>
          <w:tab w:val="left" w:pos="1276"/>
          <w:tab w:val="left" w:pos="1418"/>
          <w:tab w:val="left" w:leader="dot" w:pos="8222"/>
          <w:tab w:val="right" w:pos="8647"/>
        </w:tabs>
        <w:jc w:val="both"/>
        <w:rPr>
          <w:rFonts w:asciiTheme="majorHAnsi" w:hAnsiTheme="majorHAnsi"/>
        </w:rPr>
      </w:pPr>
      <w:r w:rsidRPr="00582ECD">
        <w:rPr>
          <w:rFonts w:asciiTheme="majorHAnsi" w:hAnsiTheme="majorHAnsi"/>
        </w:rPr>
        <w:t>Conformément à la Rec. 22-06, paragraphe 11, les CPC suivantes ont inclus des informations dans leurs rapports annuels sur la limite maximale de capture accessoire de germon de l’Atlantique Sud à bord :</w:t>
      </w:r>
    </w:p>
    <w:p w14:paraId="77D2E54E" w14:textId="77777777" w:rsidR="009B47A0" w:rsidRPr="00582ECD" w:rsidRDefault="009B47A0" w:rsidP="00820485">
      <w:pPr>
        <w:tabs>
          <w:tab w:val="left" w:pos="1276"/>
          <w:tab w:val="left" w:pos="1418"/>
          <w:tab w:val="left" w:leader="dot" w:pos="8222"/>
          <w:tab w:val="right" w:pos="8647"/>
        </w:tabs>
        <w:jc w:val="both"/>
        <w:rPr>
          <w:rFonts w:asciiTheme="majorHAnsi" w:hAnsiTheme="majorHAnsi"/>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99"/>
        <w:gridCol w:w="7266"/>
      </w:tblGrid>
      <w:tr w:rsidR="009B47A0" w:rsidRPr="00582ECD" w14:paraId="3E603646" w14:textId="77777777" w:rsidTr="006D1FBF">
        <w:trPr>
          <w:trHeight w:val="315"/>
          <w:tblHeader/>
        </w:trPr>
        <w:tc>
          <w:tcPr>
            <w:tcW w:w="888" w:type="pct"/>
            <w:noWrap/>
            <w:vAlign w:val="center"/>
            <w:hideMark/>
          </w:tcPr>
          <w:p w14:paraId="2DECEB1B" w14:textId="77777777" w:rsidR="009B47A0" w:rsidRPr="00582ECD" w:rsidRDefault="009B47A0" w:rsidP="009B47A0">
            <w:pPr>
              <w:widowControl/>
              <w:autoSpaceDE/>
              <w:autoSpaceDN/>
              <w:adjustRightInd/>
              <w:jc w:val="center"/>
              <w:rPr>
                <w:rFonts w:asciiTheme="majorHAnsi" w:hAnsiTheme="majorHAnsi" w:cs="Calibri"/>
                <w:i/>
                <w:iCs/>
                <w:color w:val="000000"/>
              </w:rPr>
            </w:pPr>
            <w:r w:rsidRPr="00582ECD">
              <w:rPr>
                <w:rFonts w:asciiTheme="majorHAnsi" w:hAnsiTheme="majorHAnsi"/>
                <w:i/>
                <w:color w:val="000000"/>
              </w:rPr>
              <w:t>CPC</w:t>
            </w:r>
          </w:p>
        </w:tc>
        <w:tc>
          <w:tcPr>
            <w:tcW w:w="4112" w:type="pct"/>
            <w:vAlign w:val="center"/>
            <w:hideMark/>
          </w:tcPr>
          <w:p w14:paraId="75043B34" w14:textId="77777777" w:rsidR="009B47A0" w:rsidRPr="00582ECD" w:rsidRDefault="009B47A0" w:rsidP="009B47A0">
            <w:pPr>
              <w:widowControl/>
              <w:autoSpaceDE/>
              <w:autoSpaceDN/>
              <w:adjustRightInd/>
              <w:jc w:val="center"/>
              <w:rPr>
                <w:rFonts w:asciiTheme="majorHAnsi" w:hAnsiTheme="majorHAnsi" w:cs="Calibri"/>
                <w:i/>
                <w:iCs/>
                <w:color w:val="000000"/>
              </w:rPr>
            </w:pPr>
            <w:r w:rsidRPr="00582ECD">
              <w:rPr>
                <w:rFonts w:asciiTheme="majorHAnsi" w:hAnsiTheme="majorHAnsi"/>
                <w:i/>
                <w:color w:val="000000"/>
              </w:rPr>
              <w:t>Réponse</w:t>
            </w:r>
          </w:p>
        </w:tc>
      </w:tr>
      <w:tr w:rsidR="00096831" w:rsidRPr="00582ECD" w14:paraId="19C3DD6D" w14:textId="77777777" w:rsidTr="006D1FBF">
        <w:trPr>
          <w:trHeight w:val="315"/>
          <w:tblHeader/>
        </w:trPr>
        <w:tc>
          <w:tcPr>
            <w:tcW w:w="888" w:type="pct"/>
            <w:noWrap/>
            <w:vAlign w:val="center"/>
          </w:tcPr>
          <w:p w14:paraId="2DEA1CC8" w14:textId="44D63C27" w:rsidR="00096831" w:rsidRPr="00582ECD" w:rsidRDefault="00096831" w:rsidP="006D1FBF">
            <w:pPr>
              <w:widowControl/>
              <w:autoSpaceDE/>
              <w:autoSpaceDN/>
              <w:adjustRightInd/>
              <w:rPr>
                <w:rFonts w:asciiTheme="majorHAnsi" w:hAnsiTheme="majorHAnsi" w:cs="Calibri"/>
                <w:color w:val="000000"/>
              </w:rPr>
            </w:pPr>
            <w:r w:rsidRPr="00582ECD">
              <w:rPr>
                <w:rFonts w:asciiTheme="majorHAnsi" w:hAnsiTheme="majorHAnsi"/>
                <w:color w:val="000000"/>
              </w:rPr>
              <w:t>Angola</w:t>
            </w:r>
          </w:p>
        </w:tc>
        <w:tc>
          <w:tcPr>
            <w:tcW w:w="4112" w:type="pct"/>
            <w:vAlign w:val="center"/>
          </w:tcPr>
          <w:p w14:paraId="095EED57" w14:textId="4602ED20" w:rsidR="00096831" w:rsidRPr="00582ECD" w:rsidRDefault="00096831" w:rsidP="006D1FBF">
            <w:pPr>
              <w:widowControl/>
              <w:autoSpaceDE/>
              <w:autoSpaceDN/>
              <w:adjustRightInd/>
              <w:jc w:val="both"/>
              <w:rPr>
                <w:rFonts w:asciiTheme="majorHAnsi" w:hAnsiTheme="majorHAnsi" w:cs="Calibri"/>
                <w:color w:val="000000"/>
              </w:rPr>
            </w:pPr>
            <w:r w:rsidRPr="00582ECD">
              <w:rPr>
                <w:rFonts w:asciiTheme="majorHAnsi" w:hAnsiTheme="majorHAnsi"/>
                <w:color w:val="000000"/>
              </w:rPr>
              <w:t>La limite maximale autorisée est de 5 %, et cette information figure dans le rapport annuel.</w:t>
            </w:r>
          </w:p>
        </w:tc>
      </w:tr>
      <w:tr w:rsidR="009B47A0" w:rsidRPr="00582ECD" w14:paraId="150523BB" w14:textId="77777777" w:rsidTr="006D1FBF">
        <w:trPr>
          <w:trHeight w:val="1290"/>
        </w:trPr>
        <w:tc>
          <w:tcPr>
            <w:tcW w:w="888" w:type="pct"/>
            <w:noWrap/>
            <w:vAlign w:val="center"/>
            <w:hideMark/>
          </w:tcPr>
          <w:p w14:paraId="0C0EE2FD" w14:textId="552E6791" w:rsidR="009B47A0" w:rsidRPr="00582ECD" w:rsidRDefault="00C928F2" w:rsidP="009B47A0">
            <w:pPr>
              <w:widowControl/>
              <w:autoSpaceDE/>
              <w:autoSpaceDN/>
              <w:adjustRightInd/>
              <w:rPr>
                <w:rFonts w:asciiTheme="majorHAnsi" w:hAnsiTheme="majorHAnsi" w:cs="Calibri"/>
                <w:color w:val="000000"/>
              </w:rPr>
            </w:pPr>
            <w:r w:rsidRPr="00582ECD">
              <w:rPr>
                <w:rFonts w:asciiTheme="majorHAnsi" w:hAnsiTheme="majorHAnsi"/>
                <w:color w:val="000000"/>
              </w:rPr>
              <w:t>Belize</w:t>
            </w:r>
          </w:p>
        </w:tc>
        <w:tc>
          <w:tcPr>
            <w:tcW w:w="4112" w:type="pct"/>
            <w:vAlign w:val="center"/>
            <w:hideMark/>
          </w:tcPr>
          <w:p w14:paraId="3226C94C" w14:textId="02209F0B" w:rsidR="009B47A0" w:rsidRPr="00582ECD" w:rsidRDefault="00096831" w:rsidP="00096831">
            <w:pPr>
              <w:widowControl/>
              <w:autoSpaceDE/>
              <w:autoSpaceDN/>
              <w:adjustRightInd/>
              <w:jc w:val="both"/>
              <w:rPr>
                <w:rFonts w:asciiTheme="majorHAnsi" w:hAnsiTheme="majorHAnsi" w:cs="Calibri"/>
              </w:rPr>
            </w:pPr>
            <w:r w:rsidRPr="00582ECD">
              <w:rPr>
                <w:rFonts w:asciiTheme="majorHAnsi" w:hAnsiTheme="majorHAnsi"/>
              </w:rPr>
              <w:t xml:space="preserve">Le Belize a instauré une limite de capture accessoire à bord pour toutes les espèces, y compris le germon de l’Atlantique Nord. La limite de prises accessoires fixée pour les navires non autorisés à pêcher exclusivement cette espèce est de 10 t. Cette quantité est prise en compte dans l'allocation globale de quota pour le Belize. Cependant, aucun navire n’a déclaré de prise accessoire de germon du </w:t>
            </w:r>
            <w:proofErr w:type="gramStart"/>
            <w:r w:rsidRPr="00582ECD">
              <w:rPr>
                <w:rFonts w:asciiTheme="majorHAnsi" w:hAnsiTheme="majorHAnsi"/>
              </w:rPr>
              <w:t>Sud..</w:t>
            </w:r>
            <w:proofErr w:type="gramEnd"/>
          </w:p>
        </w:tc>
      </w:tr>
      <w:tr w:rsidR="009B47A0" w:rsidRPr="00582ECD" w14:paraId="3BC1ECB7" w14:textId="77777777" w:rsidTr="006D1FBF">
        <w:trPr>
          <w:trHeight w:val="1290"/>
        </w:trPr>
        <w:tc>
          <w:tcPr>
            <w:tcW w:w="888" w:type="pct"/>
            <w:noWrap/>
            <w:vAlign w:val="center"/>
            <w:hideMark/>
          </w:tcPr>
          <w:p w14:paraId="01387C7A" w14:textId="16EB4811" w:rsidR="009B47A0" w:rsidRPr="00582ECD" w:rsidRDefault="00C928F2" w:rsidP="009B47A0">
            <w:pPr>
              <w:widowControl/>
              <w:autoSpaceDE/>
              <w:autoSpaceDN/>
              <w:adjustRightInd/>
              <w:rPr>
                <w:rFonts w:asciiTheme="majorHAnsi" w:hAnsiTheme="majorHAnsi" w:cs="Calibri"/>
                <w:color w:val="000000"/>
              </w:rPr>
            </w:pPr>
            <w:r w:rsidRPr="00582ECD">
              <w:rPr>
                <w:rFonts w:asciiTheme="majorHAnsi" w:hAnsiTheme="majorHAnsi"/>
                <w:color w:val="000000"/>
              </w:rPr>
              <w:t>Chine</w:t>
            </w:r>
          </w:p>
        </w:tc>
        <w:tc>
          <w:tcPr>
            <w:tcW w:w="4112" w:type="pct"/>
            <w:vAlign w:val="center"/>
            <w:hideMark/>
          </w:tcPr>
          <w:p w14:paraId="6F0C08FE" w14:textId="4A297E7F" w:rsidR="009B47A0" w:rsidRPr="00582ECD" w:rsidRDefault="00A74100" w:rsidP="00096831">
            <w:pPr>
              <w:widowControl/>
              <w:autoSpaceDE/>
              <w:autoSpaceDN/>
              <w:adjustRightInd/>
              <w:jc w:val="both"/>
              <w:rPr>
                <w:rFonts w:asciiTheme="majorHAnsi" w:hAnsiTheme="majorHAnsi" w:cs="Calibri"/>
              </w:rPr>
            </w:pPr>
            <w:r w:rsidRPr="00582ECD">
              <w:rPr>
                <w:rFonts w:asciiTheme="majorHAnsi" w:hAnsiTheme="majorHAnsi"/>
              </w:rPr>
              <w:t>La Chine n'a pas de navires ciblant le germon du Nord et le germon du Sud, tous les germons sont capturés comme prises accessoires et les palangriers tropicaux peuvent capturer du germon comme prise accessoire. En 2025, la Chine disposait de 357,93 t de germon du Nord et de 300 t de germon du Sud. La Chine a fixé une limite de capture pour le germon du Nord et du Sud pour chaque palangrier sur la base du TAC alloué à la Chine conformément aux recommandations concernant ces espèces. Chaque navire doit respecter strictement la limite de capture qui lui a été fixée.</w:t>
            </w:r>
          </w:p>
        </w:tc>
      </w:tr>
      <w:tr w:rsidR="009B47A0" w:rsidRPr="00582ECD" w14:paraId="7CD3D380" w14:textId="77777777" w:rsidTr="006D1FBF">
        <w:trPr>
          <w:trHeight w:val="315"/>
        </w:trPr>
        <w:tc>
          <w:tcPr>
            <w:tcW w:w="888" w:type="pct"/>
            <w:noWrap/>
            <w:vAlign w:val="center"/>
            <w:hideMark/>
          </w:tcPr>
          <w:p w14:paraId="1C2D6A98" w14:textId="5A305089" w:rsidR="009B47A0" w:rsidRPr="00582ECD" w:rsidRDefault="00C928F2" w:rsidP="009B47A0">
            <w:pPr>
              <w:widowControl/>
              <w:autoSpaceDE/>
              <w:autoSpaceDN/>
              <w:adjustRightInd/>
              <w:rPr>
                <w:rFonts w:asciiTheme="majorHAnsi" w:hAnsiTheme="majorHAnsi" w:cs="Calibri"/>
                <w:color w:val="000000"/>
              </w:rPr>
            </w:pPr>
            <w:r w:rsidRPr="00582ECD">
              <w:rPr>
                <w:rFonts w:asciiTheme="majorHAnsi" w:hAnsiTheme="majorHAnsi"/>
                <w:color w:val="000000"/>
              </w:rPr>
              <w:t>Curaçao</w:t>
            </w:r>
          </w:p>
        </w:tc>
        <w:tc>
          <w:tcPr>
            <w:tcW w:w="4112" w:type="pct"/>
            <w:vAlign w:val="center"/>
            <w:hideMark/>
          </w:tcPr>
          <w:p w14:paraId="155F1C78" w14:textId="51EA363F" w:rsidR="009B47A0" w:rsidRPr="00582ECD" w:rsidRDefault="00096831" w:rsidP="00096831">
            <w:pPr>
              <w:widowControl/>
              <w:autoSpaceDE/>
              <w:autoSpaceDN/>
              <w:adjustRightInd/>
              <w:jc w:val="both"/>
              <w:rPr>
                <w:rFonts w:asciiTheme="majorHAnsi" w:hAnsiTheme="majorHAnsi" w:cs="Calibri"/>
              </w:rPr>
            </w:pPr>
            <w:r w:rsidRPr="00582ECD">
              <w:rPr>
                <w:rFonts w:asciiTheme="majorHAnsi" w:hAnsiTheme="majorHAnsi"/>
              </w:rPr>
              <w:t>Il n'y avait pas de navire de pêche autorisé pour les activités de pêche. Dans le cas des activités de pêche (Rés. 16-06), la limite des prises accessoires de germon du Sud que Curaçao a convenue avec les navires est de 50 t.</w:t>
            </w:r>
          </w:p>
        </w:tc>
      </w:tr>
      <w:tr w:rsidR="00A74100" w:rsidRPr="00582ECD" w14:paraId="6433CE57" w14:textId="77777777" w:rsidTr="006D1FBF">
        <w:trPr>
          <w:trHeight w:val="86"/>
        </w:trPr>
        <w:tc>
          <w:tcPr>
            <w:tcW w:w="888" w:type="pct"/>
            <w:noWrap/>
            <w:vAlign w:val="center"/>
            <w:hideMark/>
          </w:tcPr>
          <w:p w14:paraId="6565C045" w14:textId="4426A6E5" w:rsidR="00A74100" w:rsidRPr="00582ECD" w:rsidRDefault="00A74100" w:rsidP="00A74100">
            <w:pPr>
              <w:widowControl/>
              <w:autoSpaceDE/>
              <w:autoSpaceDN/>
              <w:adjustRightInd/>
              <w:rPr>
                <w:rFonts w:asciiTheme="majorHAnsi" w:hAnsiTheme="majorHAnsi" w:cs="Calibri"/>
                <w:color w:val="000000"/>
              </w:rPr>
            </w:pPr>
            <w:r w:rsidRPr="00582ECD">
              <w:rPr>
                <w:rFonts w:asciiTheme="majorHAnsi" w:hAnsiTheme="majorHAnsi"/>
                <w:color w:val="000000"/>
              </w:rPr>
              <w:t>Union européenne</w:t>
            </w:r>
          </w:p>
        </w:tc>
        <w:tc>
          <w:tcPr>
            <w:tcW w:w="4112" w:type="pct"/>
            <w:hideMark/>
          </w:tcPr>
          <w:p w14:paraId="0B8E1121" w14:textId="732AFF6E" w:rsidR="00A74100" w:rsidRPr="00582ECD" w:rsidRDefault="00A74100" w:rsidP="00096831">
            <w:pPr>
              <w:widowControl/>
              <w:autoSpaceDE/>
              <w:autoSpaceDN/>
              <w:adjustRightInd/>
              <w:jc w:val="both"/>
              <w:rPr>
                <w:rFonts w:asciiTheme="majorHAnsi" w:hAnsiTheme="majorHAnsi" w:cs="Calibri"/>
              </w:rPr>
            </w:pPr>
            <w:r w:rsidRPr="00582ECD">
              <w:rPr>
                <w:rFonts w:asciiTheme="majorHAnsi" w:hAnsiTheme="majorHAnsi"/>
              </w:rPr>
              <w:t>Des détails supplémentaires sont inclus dans la section 2 de son rapport annuel.</w:t>
            </w:r>
          </w:p>
        </w:tc>
      </w:tr>
      <w:tr w:rsidR="00096831" w:rsidRPr="00582ECD" w14:paraId="020896B2" w14:textId="77777777" w:rsidTr="006D1FBF">
        <w:trPr>
          <w:trHeight w:val="86"/>
        </w:trPr>
        <w:tc>
          <w:tcPr>
            <w:tcW w:w="888" w:type="pct"/>
            <w:noWrap/>
            <w:vAlign w:val="center"/>
          </w:tcPr>
          <w:p w14:paraId="7B5F7786" w14:textId="16291493" w:rsidR="00096831" w:rsidRPr="00582ECD" w:rsidRDefault="00096831" w:rsidP="00A74100">
            <w:pPr>
              <w:widowControl/>
              <w:autoSpaceDE/>
              <w:autoSpaceDN/>
              <w:adjustRightInd/>
              <w:rPr>
                <w:rFonts w:asciiTheme="majorHAnsi" w:hAnsiTheme="majorHAnsi" w:cs="Calibri"/>
                <w:color w:val="000000"/>
              </w:rPr>
            </w:pPr>
            <w:r w:rsidRPr="00582ECD">
              <w:rPr>
                <w:rFonts w:asciiTheme="majorHAnsi" w:hAnsiTheme="majorHAnsi"/>
                <w:color w:val="000000"/>
              </w:rPr>
              <w:t>Namibie</w:t>
            </w:r>
          </w:p>
        </w:tc>
        <w:tc>
          <w:tcPr>
            <w:tcW w:w="4112" w:type="pct"/>
          </w:tcPr>
          <w:p w14:paraId="187956EE" w14:textId="3F86C03A" w:rsidR="00096831" w:rsidRPr="00582ECD" w:rsidRDefault="00096831" w:rsidP="00096831">
            <w:pPr>
              <w:widowControl/>
              <w:autoSpaceDE/>
              <w:autoSpaceDN/>
              <w:adjustRightInd/>
              <w:jc w:val="both"/>
              <w:rPr>
                <w:rFonts w:asciiTheme="majorHAnsi" w:hAnsiTheme="majorHAnsi"/>
              </w:rPr>
            </w:pPr>
            <w:r w:rsidRPr="00582ECD">
              <w:rPr>
                <w:rFonts w:asciiTheme="majorHAnsi" w:hAnsiTheme="majorHAnsi"/>
              </w:rPr>
              <w:t>5%</w:t>
            </w:r>
          </w:p>
        </w:tc>
      </w:tr>
    </w:tbl>
    <w:p w14:paraId="4C09E2E5" w14:textId="77777777" w:rsidR="00005EA9" w:rsidRPr="00582ECD" w:rsidRDefault="00005EA9">
      <w:pPr>
        <w:widowControl/>
        <w:autoSpaceDE/>
        <w:autoSpaceDN/>
        <w:adjustRightInd/>
        <w:rPr>
          <w:rFonts w:asciiTheme="majorHAnsi" w:hAnsiTheme="majorHAnsi"/>
          <w:color w:val="000000"/>
        </w:rPr>
      </w:pPr>
      <w:r w:rsidRPr="00582ECD">
        <w:rPr>
          <w:rFonts w:asciiTheme="majorHAnsi" w:hAnsiTheme="majorHAnsi"/>
          <w:color w:val="000000"/>
        </w:rPr>
        <w:br w:type="page"/>
      </w:r>
    </w:p>
    <w:p w14:paraId="2F630975" w14:textId="320384C9" w:rsidR="008F44BD" w:rsidRPr="00582ECD" w:rsidRDefault="008F44BD" w:rsidP="00820485">
      <w:pPr>
        <w:tabs>
          <w:tab w:val="left" w:pos="851"/>
          <w:tab w:val="left" w:pos="1418"/>
          <w:tab w:val="left" w:leader="dot" w:pos="8222"/>
          <w:tab w:val="right" w:pos="8647"/>
        </w:tabs>
        <w:jc w:val="both"/>
        <w:rPr>
          <w:rFonts w:asciiTheme="majorHAnsi" w:hAnsiTheme="majorHAnsi" w:cs="Calibri"/>
          <w:color w:val="000000"/>
        </w:rPr>
      </w:pPr>
      <w:r w:rsidRPr="00582ECD">
        <w:rPr>
          <w:rFonts w:asciiTheme="majorHAnsi" w:hAnsiTheme="majorHAnsi"/>
          <w:color w:val="000000"/>
        </w:rPr>
        <w:lastRenderedPageBreak/>
        <w:t>Il convient de noter que les données ci-dessus ne concernent que les CPC ayant indiqué qu'une limite avait été fixée. Dans de nombreux cas, aucune limite n'est fixée car tous les navires concernés disposent d'une licence et/ou que les prises accessoires ne sont pas autorisées. Toutefois, certaines réponses concernant les limites maximales de prises accessoires sont incohérentes, les CPC n'ayant pas lu ou compris l'exigence. Dans plusieurs cas, des réponses totalement non pertinentes sont fournies, par exemple : il n’y a pas de pêcherie ciblant cette espèce, il n’y a pas de navires sous pavillon de xx pêchant cette espèce.</w:t>
      </w:r>
    </w:p>
    <w:p w14:paraId="79205534" w14:textId="77777777" w:rsidR="00765C78" w:rsidRPr="00582ECD" w:rsidRDefault="00765C78" w:rsidP="00820485">
      <w:pPr>
        <w:tabs>
          <w:tab w:val="left" w:pos="851"/>
          <w:tab w:val="left" w:pos="1418"/>
          <w:tab w:val="left" w:leader="dot" w:pos="8222"/>
          <w:tab w:val="right" w:pos="8647"/>
        </w:tabs>
        <w:jc w:val="both"/>
        <w:rPr>
          <w:rFonts w:asciiTheme="majorHAnsi" w:hAnsiTheme="majorHAnsi" w:cs="Calibri"/>
          <w:color w:val="000000"/>
        </w:rPr>
      </w:pPr>
    </w:p>
    <w:p w14:paraId="675CFAA7" w14:textId="601C43C3" w:rsidR="00765C78" w:rsidRPr="00582ECD" w:rsidRDefault="005C195F" w:rsidP="00765C78">
      <w:pPr>
        <w:tabs>
          <w:tab w:val="left" w:pos="1276"/>
          <w:tab w:val="left" w:pos="1418"/>
          <w:tab w:val="left" w:leader="dot" w:pos="8222"/>
          <w:tab w:val="right" w:pos="8647"/>
        </w:tabs>
        <w:jc w:val="both"/>
        <w:rPr>
          <w:rFonts w:asciiTheme="majorHAnsi" w:hAnsiTheme="majorHAnsi"/>
          <w:bCs/>
        </w:rPr>
      </w:pPr>
      <w:r w:rsidRPr="00582ECD">
        <w:rPr>
          <w:rFonts w:asciiTheme="majorHAnsi" w:hAnsiTheme="majorHAnsi"/>
          <w:b/>
          <w:bCs/>
          <w:i/>
        </w:rPr>
        <w:t>Autorisation spécifique pour les navires de germon du Sud:</w:t>
      </w:r>
      <w:r w:rsidRPr="00582ECD">
        <w:rPr>
          <w:rFonts w:asciiTheme="majorHAnsi" w:hAnsiTheme="majorHAnsi"/>
        </w:rPr>
        <w:t xml:space="preserve"> Les navires autorisés de 20 m ou plus disposant d’autorisations spécifiques pour le germon du Sud figurent dans le </w:t>
      </w:r>
      <w:hyperlink r:id="rId18" w:history="1">
        <w:r w:rsidRPr="00582ECD">
          <w:rPr>
            <w:rStyle w:val="Hyperlink"/>
            <w:rFonts w:asciiTheme="majorHAnsi" w:hAnsiTheme="majorHAnsi"/>
            <w:u w:val="none"/>
          </w:rPr>
          <w:t>Registre des navires de l’ICCAT</w:t>
        </w:r>
      </w:hyperlink>
      <w:r w:rsidRPr="00582ECD">
        <w:rPr>
          <w:rFonts w:asciiTheme="majorHAnsi" w:hAnsiTheme="majorHAnsi"/>
        </w:rPr>
        <w:t>.</w:t>
      </w:r>
    </w:p>
    <w:p w14:paraId="7508BA4C" w14:textId="77777777" w:rsidR="00765C78" w:rsidRPr="00582ECD" w:rsidRDefault="00765C78" w:rsidP="00765C78">
      <w:pPr>
        <w:tabs>
          <w:tab w:val="left" w:pos="1276"/>
          <w:tab w:val="left" w:pos="1418"/>
          <w:tab w:val="left" w:leader="dot" w:pos="8222"/>
          <w:tab w:val="right" w:pos="8647"/>
        </w:tabs>
        <w:rPr>
          <w:rStyle w:val="Hyperlink"/>
          <w:rFonts w:asciiTheme="majorHAnsi" w:hAnsiTheme="majorHAnsi"/>
          <w:bCs/>
        </w:rPr>
      </w:pPr>
    </w:p>
    <w:p w14:paraId="6ADFE972" w14:textId="77777777" w:rsidR="00765C78" w:rsidRPr="00582ECD" w:rsidRDefault="00765C78" w:rsidP="00765C78">
      <w:pPr>
        <w:tabs>
          <w:tab w:val="left" w:pos="1276"/>
          <w:tab w:val="left" w:pos="1418"/>
          <w:tab w:val="left" w:leader="dot" w:pos="8222"/>
          <w:tab w:val="right" w:pos="8647"/>
        </w:tabs>
        <w:jc w:val="both"/>
        <w:rPr>
          <w:rFonts w:asciiTheme="majorHAnsi" w:hAnsiTheme="majorHAnsi"/>
          <w:bCs/>
        </w:rPr>
      </w:pPr>
      <w:r w:rsidRPr="00582ECD">
        <w:rPr>
          <w:rFonts w:asciiTheme="majorHAnsi" w:hAnsiTheme="majorHAnsi"/>
        </w:rPr>
        <w:t>Cinq CPC dotées d'un quota n’ont actuellement aucun navire (de 20 m ou plus) inscrits au Registre ICCAT des navires autorisés à capturer le germon de l'Atlantique Sud: Curaçao, Saint-Vincent-et-les-Grenadines, les Philippines, le Royaume-Uni et l'Uruguay.</w:t>
      </w:r>
    </w:p>
    <w:p w14:paraId="7FB7FC6A" w14:textId="77777777" w:rsidR="008F44BD" w:rsidRPr="00582ECD" w:rsidRDefault="008F44BD" w:rsidP="00820485">
      <w:pPr>
        <w:tabs>
          <w:tab w:val="left" w:pos="851"/>
          <w:tab w:val="left" w:pos="1418"/>
          <w:tab w:val="left" w:leader="dot" w:pos="8222"/>
          <w:tab w:val="right" w:pos="8647"/>
        </w:tabs>
        <w:jc w:val="both"/>
        <w:rPr>
          <w:rFonts w:asciiTheme="majorHAnsi" w:hAnsiTheme="majorHAnsi"/>
          <w:bCs/>
          <w:i/>
        </w:rPr>
      </w:pPr>
    </w:p>
    <w:p w14:paraId="024AE804" w14:textId="40941B26" w:rsidR="00C30FAB" w:rsidRPr="00582ECD" w:rsidRDefault="00C30FAB" w:rsidP="00C30FAB">
      <w:pPr>
        <w:tabs>
          <w:tab w:val="left" w:pos="1276"/>
          <w:tab w:val="left" w:pos="1418"/>
          <w:tab w:val="left" w:leader="dot" w:pos="8222"/>
          <w:tab w:val="right" w:pos="8647"/>
        </w:tabs>
        <w:jc w:val="both"/>
        <w:rPr>
          <w:rFonts w:asciiTheme="majorHAnsi" w:hAnsiTheme="majorHAnsi"/>
          <w:bCs/>
        </w:rPr>
      </w:pPr>
      <w:r w:rsidRPr="00582ECD">
        <w:rPr>
          <w:rFonts w:asciiTheme="majorHAnsi" w:hAnsiTheme="majorHAnsi"/>
          <w:i/>
        </w:rPr>
        <w:t>Rec. 24-08 : Recommandation de l'ICCAT amendant la Recommandation 22-05 établissant un plan de rétablissement pour le germon de la Méditerranée</w:t>
      </w:r>
    </w:p>
    <w:p w14:paraId="1D8B51FE" w14:textId="77777777" w:rsidR="00AD56BD" w:rsidRPr="00582ECD" w:rsidRDefault="00AD56BD" w:rsidP="00820485">
      <w:pPr>
        <w:tabs>
          <w:tab w:val="left" w:pos="1276"/>
          <w:tab w:val="left" w:pos="1418"/>
          <w:tab w:val="left" w:leader="dot" w:pos="8222"/>
          <w:tab w:val="right" w:pos="8647"/>
        </w:tabs>
        <w:jc w:val="both"/>
        <w:rPr>
          <w:rFonts w:asciiTheme="majorHAnsi" w:hAnsiTheme="majorHAnsi"/>
          <w:bCs/>
          <w:i/>
        </w:rPr>
      </w:pPr>
    </w:p>
    <w:p w14:paraId="3607918A" w14:textId="4300A6EC" w:rsidR="00F45E6A" w:rsidRPr="00582ECD" w:rsidRDefault="00F45E6A" w:rsidP="00820485">
      <w:pPr>
        <w:tabs>
          <w:tab w:val="left" w:pos="1276"/>
          <w:tab w:val="left" w:pos="1418"/>
          <w:tab w:val="left" w:leader="dot" w:pos="8222"/>
          <w:tab w:val="right" w:pos="8647"/>
        </w:tabs>
        <w:jc w:val="both"/>
        <w:rPr>
          <w:rFonts w:asciiTheme="majorHAnsi" w:hAnsiTheme="majorHAnsi"/>
        </w:rPr>
      </w:pPr>
      <w:r w:rsidRPr="00582ECD">
        <w:rPr>
          <w:rFonts w:asciiTheme="majorHAnsi" w:hAnsiTheme="majorHAnsi"/>
          <w:b/>
          <w:bCs/>
          <w:i/>
          <w:iCs/>
        </w:rPr>
        <w:t>Application des q</w:t>
      </w:r>
      <w:r w:rsidRPr="00582ECD">
        <w:rPr>
          <w:rFonts w:asciiTheme="majorHAnsi" w:hAnsiTheme="majorHAnsi"/>
          <w:b/>
          <w:i/>
        </w:rPr>
        <w:t>uotas/li</w:t>
      </w:r>
      <w:r w:rsidRPr="00582ECD">
        <w:rPr>
          <w:rFonts w:asciiTheme="majorHAnsi" w:hAnsiTheme="majorHAnsi"/>
          <w:b/>
          <w:bCs/>
          <w:i/>
          <w:iCs/>
        </w:rPr>
        <w:t>mites de capture :</w:t>
      </w:r>
      <w:r w:rsidRPr="00582ECD">
        <w:rPr>
          <w:rFonts w:asciiTheme="majorHAnsi" w:hAnsiTheme="majorHAnsi"/>
        </w:rPr>
        <w:t xml:space="preserve"> Veuillez consulter les</w:t>
      </w:r>
      <w:r w:rsidR="004B503C">
        <w:rPr>
          <w:rFonts w:asciiTheme="majorHAnsi" w:hAnsiTheme="majorHAnsi"/>
        </w:rPr>
        <w:t xml:space="preserve"> « </w:t>
      </w:r>
      <w:r w:rsidRPr="00582ECD">
        <w:rPr>
          <w:rFonts w:asciiTheme="majorHAnsi" w:hAnsiTheme="majorHAnsi"/>
        </w:rPr>
        <w:t>Tableaux d'application 2025 reçus en 2026</w:t>
      </w:r>
      <w:r w:rsidR="004B503C">
        <w:rPr>
          <w:rFonts w:asciiTheme="majorHAnsi" w:hAnsiTheme="majorHAnsi"/>
        </w:rPr>
        <w:t> »</w:t>
      </w:r>
      <w:r w:rsidRPr="00582ECD">
        <w:rPr>
          <w:rFonts w:asciiTheme="majorHAnsi" w:hAnsiTheme="majorHAnsi"/>
        </w:rPr>
        <w:t>[COC_304/2026].</w:t>
      </w:r>
    </w:p>
    <w:p w14:paraId="378C779F" w14:textId="77777777" w:rsidR="009B47A0" w:rsidRPr="00582ECD" w:rsidRDefault="009B47A0" w:rsidP="00820485">
      <w:pPr>
        <w:tabs>
          <w:tab w:val="left" w:pos="1276"/>
          <w:tab w:val="left" w:pos="1418"/>
          <w:tab w:val="left" w:leader="dot" w:pos="8222"/>
          <w:tab w:val="right" w:pos="8647"/>
        </w:tabs>
        <w:jc w:val="both"/>
        <w:rPr>
          <w:rStyle w:val="Hyperlink"/>
          <w:rFonts w:asciiTheme="majorHAnsi" w:hAnsiTheme="majorHAnsi"/>
          <w:bCs/>
          <w:u w:val="none"/>
        </w:rPr>
      </w:pPr>
    </w:p>
    <w:p w14:paraId="4444C210" w14:textId="32ABA47D" w:rsidR="005C195F" w:rsidRPr="00582ECD" w:rsidRDefault="005C195F" w:rsidP="005C195F">
      <w:pPr>
        <w:jc w:val="both"/>
        <w:rPr>
          <w:rFonts w:asciiTheme="majorHAnsi" w:hAnsiTheme="majorHAnsi"/>
          <w:bCs/>
        </w:rPr>
      </w:pPr>
      <w:r w:rsidRPr="00582ECD">
        <w:rPr>
          <w:rFonts w:asciiTheme="majorHAnsi" w:hAnsiTheme="majorHAnsi"/>
          <w:b/>
          <w:bCs/>
          <w:i/>
        </w:rPr>
        <w:t>Registres IC</w:t>
      </w:r>
      <w:r w:rsidRPr="00582ECD">
        <w:rPr>
          <w:rFonts w:asciiTheme="majorHAnsi" w:hAnsiTheme="majorHAnsi"/>
          <w:b/>
          <w:i/>
        </w:rPr>
        <w:t>CAT de navires autorisés à pêcher du germon</w:t>
      </w:r>
      <w:r w:rsidRPr="00582ECD">
        <w:rPr>
          <w:rFonts w:asciiTheme="majorHAnsi" w:hAnsiTheme="majorHAnsi"/>
          <w:b/>
          <w:bCs/>
          <w:i/>
        </w:rPr>
        <w:t xml:space="preserve"> de la Méditerranée :</w:t>
      </w:r>
      <w:r w:rsidRPr="00582ECD">
        <w:rPr>
          <w:rFonts w:asciiTheme="majorHAnsi" w:hAnsiTheme="majorHAnsi"/>
        </w:rPr>
        <w:t xml:space="preserve"> Les listes autorisées, reçues de quatre CPC (Égypte, Union européenne, Maroc et Türkiye), ont été publiées sur le </w:t>
      </w:r>
      <w:hyperlink r:id="rId19" w:history="1">
        <w:r w:rsidRPr="00582ECD">
          <w:rPr>
            <w:rStyle w:val="Hyperlink"/>
            <w:rFonts w:asciiTheme="majorHAnsi" w:hAnsiTheme="majorHAnsi"/>
            <w:u w:val="none"/>
          </w:rPr>
          <w:t>site web de l'ICCAT</w:t>
        </w:r>
      </w:hyperlink>
      <w:r w:rsidRPr="00582ECD">
        <w:rPr>
          <w:rFonts w:asciiTheme="majorHAnsi" w:hAnsiTheme="majorHAnsi"/>
        </w:rPr>
        <w:t xml:space="preserve">. Aucune liste de navires </w:t>
      </w:r>
      <w:r w:rsidR="005E5C8A" w:rsidRPr="00582ECD">
        <w:rPr>
          <w:rFonts w:asciiTheme="majorHAnsi" w:hAnsiTheme="majorHAnsi"/>
        </w:rPr>
        <w:t>autorisés</w:t>
      </w:r>
      <w:r w:rsidRPr="00582ECD">
        <w:rPr>
          <w:rFonts w:asciiTheme="majorHAnsi" w:hAnsiTheme="majorHAnsi"/>
        </w:rPr>
        <w:t xml:space="preserve"> n'a été reçue de la Libye.</w:t>
      </w:r>
    </w:p>
    <w:p w14:paraId="2476FAD7" w14:textId="66A4F675" w:rsidR="00FB5CBC" w:rsidRPr="00582ECD" w:rsidRDefault="00FB5CBC">
      <w:pPr>
        <w:widowControl/>
        <w:autoSpaceDE/>
        <w:autoSpaceDN/>
        <w:adjustRightInd/>
        <w:rPr>
          <w:rFonts w:asciiTheme="majorHAnsi" w:hAnsiTheme="majorHAnsi"/>
          <w:b/>
          <w:bCs/>
        </w:rPr>
      </w:pPr>
    </w:p>
    <w:p w14:paraId="70D3FD36" w14:textId="77777777" w:rsidR="00536AB6" w:rsidRPr="00582ECD" w:rsidRDefault="00536AB6" w:rsidP="00820485">
      <w:pPr>
        <w:tabs>
          <w:tab w:val="left" w:pos="1276"/>
          <w:tab w:val="left" w:pos="1418"/>
          <w:tab w:val="left" w:leader="dot" w:pos="8222"/>
          <w:tab w:val="right" w:pos="8647"/>
        </w:tabs>
        <w:rPr>
          <w:rFonts w:asciiTheme="majorHAnsi" w:hAnsiTheme="majorHAnsi"/>
          <w:b/>
          <w:bCs/>
        </w:rPr>
      </w:pPr>
    </w:p>
    <w:p w14:paraId="2C91A849" w14:textId="087E501C" w:rsidR="00F225F3" w:rsidRPr="00582ECD" w:rsidRDefault="00F225F3" w:rsidP="00820485">
      <w:pPr>
        <w:tabs>
          <w:tab w:val="left" w:pos="1276"/>
          <w:tab w:val="left" w:pos="1418"/>
          <w:tab w:val="left" w:leader="dot" w:pos="8222"/>
          <w:tab w:val="right" w:pos="8647"/>
        </w:tabs>
        <w:rPr>
          <w:rFonts w:asciiTheme="majorHAnsi" w:hAnsiTheme="majorHAnsi"/>
          <w:b/>
          <w:bCs/>
          <w:i/>
          <w:iCs/>
          <w:lang w:val="en-US"/>
        </w:rPr>
      </w:pPr>
      <w:r w:rsidRPr="00582ECD">
        <w:rPr>
          <w:rFonts w:asciiTheme="majorHAnsi" w:hAnsiTheme="majorHAnsi"/>
          <w:b/>
          <w:lang w:val="en-US"/>
        </w:rPr>
        <w:t xml:space="preserve">BFT - THON ROUGE </w:t>
      </w:r>
      <w:r w:rsidRPr="00582ECD">
        <w:rPr>
          <w:rFonts w:asciiTheme="majorHAnsi" w:hAnsiTheme="majorHAnsi"/>
          <w:b/>
          <w:i/>
          <w:lang w:val="en-US"/>
        </w:rPr>
        <w:t>(Thunnus thynnus)</w:t>
      </w:r>
    </w:p>
    <w:p w14:paraId="6F3DC13D" w14:textId="77777777" w:rsidR="00536AB6" w:rsidRPr="00582ECD" w:rsidRDefault="00536AB6" w:rsidP="00820485">
      <w:pPr>
        <w:tabs>
          <w:tab w:val="left" w:pos="1276"/>
          <w:tab w:val="left" w:pos="1418"/>
          <w:tab w:val="left" w:leader="dot" w:pos="8222"/>
          <w:tab w:val="right" w:pos="8647"/>
        </w:tabs>
        <w:rPr>
          <w:rFonts w:asciiTheme="majorHAnsi" w:hAnsiTheme="majorHAnsi"/>
          <w:lang w:val="en-GB"/>
        </w:rPr>
      </w:pPr>
    </w:p>
    <w:p w14:paraId="26350691" w14:textId="2F2B3C32" w:rsidR="001A3174" w:rsidRPr="00582ECD" w:rsidRDefault="001A3174" w:rsidP="00536AB6">
      <w:pPr>
        <w:tabs>
          <w:tab w:val="left" w:pos="851"/>
          <w:tab w:val="left" w:pos="1276"/>
          <w:tab w:val="left" w:pos="1418"/>
          <w:tab w:val="left" w:leader="dot" w:pos="8222"/>
          <w:tab w:val="right" w:pos="8647"/>
        </w:tabs>
        <w:jc w:val="both"/>
        <w:rPr>
          <w:rFonts w:asciiTheme="majorHAnsi" w:hAnsiTheme="majorHAnsi"/>
          <w:i/>
        </w:rPr>
      </w:pPr>
      <w:r w:rsidRPr="00582ECD">
        <w:rPr>
          <w:rFonts w:asciiTheme="majorHAnsi" w:hAnsiTheme="majorHAnsi"/>
          <w:i/>
        </w:rPr>
        <w:t>Rec. 22-10 : Recommandation de l’ICCAT concernant un plan de conservation et de gestion du thon rouge de l’Atlantique Ouest</w:t>
      </w:r>
    </w:p>
    <w:p w14:paraId="375B5C53" w14:textId="77777777" w:rsidR="00AA6BF1" w:rsidRPr="00582ECD" w:rsidRDefault="00AA6BF1" w:rsidP="00820485">
      <w:pPr>
        <w:tabs>
          <w:tab w:val="left" w:pos="1276"/>
          <w:tab w:val="left" w:pos="1418"/>
          <w:tab w:val="left" w:leader="dot" w:pos="8222"/>
          <w:tab w:val="right" w:pos="8647"/>
        </w:tabs>
        <w:jc w:val="both"/>
        <w:rPr>
          <w:rFonts w:asciiTheme="majorHAnsi" w:hAnsiTheme="majorHAnsi"/>
          <w:i/>
        </w:rPr>
      </w:pPr>
    </w:p>
    <w:p w14:paraId="1855EE35" w14:textId="307F1ECE" w:rsidR="00AA6BF1" w:rsidRPr="00582ECD" w:rsidRDefault="00AA6BF1" w:rsidP="00AA6BF1">
      <w:pPr>
        <w:tabs>
          <w:tab w:val="left" w:pos="1276"/>
          <w:tab w:val="left" w:pos="1418"/>
          <w:tab w:val="left" w:leader="dot" w:pos="8222"/>
          <w:tab w:val="right" w:pos="8647"/>
        </w:tabs>
        <w:jc w:val="both"/>
        <w:rPr>
          <w:rFonts w:asciiTheme="majorHAnsi" w:hAnsiTheme="majorHAnsi"/>
        </w:rPr>
      </w:pPr>
      <w:r w:rsidRPr="00582ECD">
        <w:rPr>
          <w:rFonts w:asciiTheme="majorHAnsi" w:hAnsiTheme="majorHAnsi"/>
        </w:rPr>
        <w:t>(Remplacée par la Rec. 25-05 :</w:t>
      </w:r>
      <w:r w:rsidRPr="00582ECD">
        <w:rPr>
          <w:rFonts w:asciiTheme="majorHAnsi" w:hAnsiTheme="majorHAnsi"/>
          <w:i/>
          <w:iCs/>
        </w:rPr>
        <w:t xml:space="preserve"> Recommandation de l’ICCAT remplaçant la Recommandation 22-10 concernant un plan de conservation et de gestion du thon rouge de l’Atlantique Ouest)</w:t>
      </w:r>
    </w:p>
    <w:p w14:paraId="0D5D97C6" w14:textId="77777777" w:rsidR="006150C6" w:rsidRPr="00582ECD" w:rsidRDefault="006150C6" w:rsidP="00820485">
      <w:pPr>
        <w:tabs>
          <w:tab w:val="left" w:pos="1276"/>
          <w:tab w:val="left" w:pos="1418"/>
          <w:tab w:val="left" w:leader="dot" w:pos="8222"/>
          <w:tab w:val="right" w:pos="8647"/>
        </w:tabs>
        <w:ind w:firstLine="426"/>
        <w:rPr>
          <w:rFonts w:asciiTheme="majorHAnsi" w:hAnsiTheme="majorHAnsi"/>
          <w:i/>
        </w:rPr>
      </w:pPr>
    </w:p>
    <w:p w14:paraId="5A944797" w14:textId="4D44EA74" w:rsidR="006150C6" w:rsidRPr="00582ECD" w:rsidRDefault="006150C6" w:rsidP="00820485">
      <w:pPr>
        <w:tabs>
          <w:tab w:val="left" w:pos="1276"/>
          <w:tab w:val="left" w:pos="1418"/>
          <w:tab w:val="left" w:leader="dot" w:pos="8222"/>
          <w:tab w:val="right" w:pos="8647"/>
        </w:tabs>
        <w:jc w:val="both"/>
        <w:rPr>
          <w:rFonts w:asciiTheme="majorHAnsi" w:hAnsiTheme="majorHAnsi"/>
          <w:bCs/>
        </w:rPr>
      </w:pPr>
      <w:r w:rsidRPr="00582ECD">
        <w:rPr>
          <w:rFonts w:asciiTheme="majorHAnsi" w:hAnsiTheme="majorHAnsi"/>
          <w:b/>
          <w:i/>
        </w:rPr>
        <w:t xml:space="preserve">Rapports mensuels de capture : </w:t>
      </w:r>
      <w:r w:rsidRPr="00582ECD">
        <w:rPr>
          <w:rFonts w:asciiTheme="majorHAnsi" w:hAnsiTheme="majorHAnsi"/>
        </w:rPr>
        <w:t xml:space="preserve">Veuillez consulter le </w:t>
      </w:r>
      <w:r w:rsidRPr="00582ECD">
        <w:rPr>
          <w:rFonts w:asciiTheme="majorHAnsi" w:hAnsiTheme="majorHAnsi"/>
          <w:b/>
          <w:bCs/>
        </w:rPr>
        <w:t xml:space="preserve">tableau </w:t>
      </w:r>
      <w:r w:rsidRPr="00582ECD">
        <w:rPr>
          <w:rFonts w:asciiTheme="majorHAnsi" w:hAnsiTheme="majorHAnsi"/>
          <w:b/>
        </w:rPr>
        <w:t xml:space="preserve">7 </w:t>
      </w:r>
      <w:r w:rsidRPr="00582ECD">
        <w:rPr>
          <w:rFonts w:asciiTheme="majorHAnsi" w:hAnsiTheme="majorHAnsi"/>
        </w:rPr>
        <w:t xml:space="preserve">pour obtenir un résumé des rapports reçus au cours de l’année. Les quantités déclarées continuent à être publiées sur le </w:t>
      </w:r>
      <w:hyperlink r:id="rId20" w:history="1">
        <w:r w:rsidRPr="00582ECD">
          <w:rPr>
            <w:rStyle w:val="Hyperlink"/>
            <w:rFonts w:asciiTheme="majorHAnsi" w:hAnsiTheme="majorHAnsi"/>
            <w:u w:val="none"/>
          </w:rPr>
          <w:t>site web de l’ICCAT</w:t>
        </w:r>
      </w:hyperlink>
      <w:r w:rsidRPr="00582ECD">
        <w:rPr>
          <w:rFonts w:asciiTheme="majorHAnsi" w:hAnsiTheme="majorHAnsi"/>
        </w:rPr>
        <w:t xml:space="preserve"> protégé par mot de passe. </w:t>
      </w:r>
    </w:p>
    <w:p w14:paraId="0CB318CC" w14:textId="77777777" w:rsidR="00345418" w:rsidRPr="00582ECD" w:rsidRDefault="00345418" w:rsidP="00820485">
      <w:pPr>
        <w:tabs>
          <w:tab w:val="left" w:pos="1276"/>
          <w:tab w:val="left" w:pos="1418"/>
          <w:tab w:val="left" w:leader="dot" w:pos="8222"/>
          <w:tab w:val="right" w:pos="8647"/>
        </w:tabs>
        <w:jc w:val="both"/>
        <w:rPr>
          <w:rFonts w:asciiTheme="majorHAnsi" w:hAnsiTheme="majorHAnsi"/>
          <w:b/>
          <w:bCs/>
          <w:i/>
        </w:rPr>
      </w:pPr>
    </w:p>
    <w:p w14:paraId="4F55FD49" w14:textId="25EE6274" w:rsidR="00500DD6" w:rsidRPr="00582ECD" w:rsidRDefault="00500DD6" w:rsidP="00820485">
      <w:pPr>
        <w:tabs>
          <w:tab w:val="left" w:pos="1276"/>
          <w:tab w:val="left" w:pos="1418"/>
          <w:tab w:val="left" w:leader="dot" w:pos="8222"/>
          <w:tab w:val="right" w:pos="8647"/>
        </w:tabs>
        <w:jc w:val="both"/>
        <w:rPr>
          <w:rFonts w:asciiTheme="majorHAnsi" w:hAnsiTheme="majorHAnsi"/>
          <w:bCs/>
        </w:rPr>
      </w:pPr>
      <w:r w:rsidRPr="00582ECD">
        <w:rPr>
          <w:rFonts w:asciiTheme="majorHAnsi" w:hAnsiTheme="majorHAnsi"/>
          <w:b/>
          <w:bCs/>
          <w:i/>
          <w:iCs/>
        </w:rPr>
        <w:t>Application des q</w:t>
      </w:r>
      <w:r w:rsidRPr="00582ECD">
        <w:rPr>
          <w:rFonts w:asciiTheme="majorHAnsi" w:hAnsiTheme="majorHAnsi"/>
          <w:b/>
          <w:i/>
        </w:rPr>
        <w:t>uotas/li</w:t>
      </w:r>
      <w:r w:rsidRPr="00582ECD">
        <w:rPr>
          <w:rFonts w:asciiTheme="majorHAnsi" w:hAnsiTheme="majorHAnsi"/>
          <w:b/>
          <w:bCs/>
          <w:i/>
          <w:iCs/>
        </w:rPr>
        <w:t>mites de capture :</w:t>
      </w:r>
      <w:r w:rsidRPr="00582ECD">
        <w:rPr>
          <w:rFonts w:asciiTheme="majorHAnsi" w:hAnsiTheme="majorHAnsi"/>
        </w:rPr>
        <w:t xml:space="preserve"> Veuillez consulter les « Tableaux d'application 2025 reçus en 2026 » [COC_304/2026].</w:t>
      </w:r>
    </w:p>
    <w:p w14:paraId="5A573A0D" w14:textId="77777777" w:rsidR="00BD7007" w:rsidRPr="00582ECD" w:rsidRDefault="00BD7007" w:rsidP="00820485">
      <w:pPr>
        <w:tabs>
          <w:tab w:val="left" w:pos="1276"/>
          <w:tab w:val="left" w:pos="1418"/>
          <w:tab w:val="left" w:leader="dot" w:pos="8222"/>
          <w:tab w:val="right" w:pos="8647"/>
        </w:tabs>
        <w:jc w:val="both"/>
        <w:rPr>
          <w:rFonts w:asciiTheme="majorHAnsi" w:hAnsiTheme="majorHAnsi"/>
        </w:rPr>
      </w:pPr>
    </w:p>
    <w:p w14:paraId="3CC9EAF0" w14:textId="436E6C2A" w:rsidR="00BD7007" w:rsidRPr="00582ECD" w:rsidRDefault="00BD7007" w:rsidP="00BD7007">
      <w:pPr>
        <w:tabs>
          <w:tab w:val="left" w:pos="1276"/>
          <w:tab w:val="left" w:pos="1418"/>
          <w:tab w:val="left" w:leader="dot" w:pos="8222"/>
          <w:tab w:val="right" w:pos="8647"/>
        </w:tabs>
        <w:jc w:val="both"/>
        <w:rPr>
          <w:rFonts w:asciiTheme="majorHAnsi" w:hAnsiTheme="majorHAnsi"/>
          <w:i/>
        </w:rPr>
      </w:pPr>
      <w:r w:rsidRPr="002616C9">
        <w:rPr>
          <w:rFonts w:asciiTheme="majorHAnsi" w:hAnsiTheme="majorHAnsi"/>
          <w:i/>
        </w:rPr>
        <w:t>Rec. 25-04</w:t>
      </w:r>
      <w:r w:rsidR="005F7EB3" w:rsidRPr="002616C9">
        <w:rPr>
          <w:rStyle w:val="FootnoteReference"/>
          <w:rFonts w:asciiTheme="majorHAnsi" w:hAnsiTheme="majorHAnsi"/>
          <w:i/>
        </w:rPr>
        <w:footnoteReference w:id="3"/>
      </w:r>
      <w:r w:rsidRPr="002616C9">
        <w:rPr>
          <w:rFonts w:asciiTheme="majorHAnsi" w:hAnsiTheme="majorHAnsi"/>
          <w:i/>
        </w:rPr>
        <w:t xml:space="preserve"> Recommandation de l’ICCAT remplaçant la Recommandation 24-05 établissant un plan pluriannuel de gestion du thon rouge dans l’Atlantique Est et la Méditerranée</w:t>
      </w:r>
    </w:p>
    <w:p w14:paraId="2946D247" w14:textId="77777777" w:rsidR="00BD7007" w:rsidRPr="00582ECD" w:rsidRDefault="00BD7007" w:rsidP="00BD7007">
      <w:pPr>
        <w:tabs>
          <w:tab w:val="left" w:pos="1276"/>
          <w:tab w:val="left" w:pos="1418"/>
          <w:tab w:val="left" w:leader="dot" w:pos="8222"/>
          <w:tab w:val="right" w:pos="8647"/>
        </w:tabs>
        <w:ind w:firstLine="426"/>
        <w:rPr>
          <w:rFonts w:asciiTheme="majorHAnsi" w:hAnsiTheme="majorHAnsi"/>
          <w:bCs/>
        </w:rPr>
      </w:pPr>
    </w:p>
    <w:p w14:paraId="1CFDC683" w14:textId="77777777" w:rsidR="00BD7007" w:rsidRPr="00582ECD" w:rsidRDefault="00BD7007" w:rsidP="00BD7007">
      <w:pPr>
        <w:tabs>
          <w:tab w:val="left" w:pos="709"/>
          <w:tab w:val="left" w:pos="1276"/>
          <w:tab w:val="left" w:pos="1418"/>
          <w:tab w:val="left" w:leader="dot" w:pos="8222"/>
          <w:tab w:val="right" w:pos="8647"/>
        </w:tabs>
        <w:jc w:val="both"/>
        <w:rPr>
          <w:rFonts w:asciiTheme="majorHAnsi" w:hAnsiTheme="majorHAnsi"/>
          <w:bCs/>
          <w:i/>
        </w:rPr>
      </w:pPr>
      <w:r w:rsidRPr="00582ECD">
        <w:rPr>
          <w:rFonts w:asciiTheme="majorHAnsi" w:hAnsiTheme="majorHAnsi"/>
          <w:i/>
        </w:rPr>
        <w:t>Réf. 16-24 : Directives pour la préparation des plans de pêche, d'inspection et de gestion de la capacité du thon rouge de l’Atlantique Est et de la Méditerranée</w:t>
      </w:r>
    </w:p>
    <w:p w14:paraId="4EB54576" w14:textId="77777777" w:rsidR="00BD7007" w:rsidRPr="00582ECD" w:rsidRDefault="00BD7007" w:rsidP="00BD7007">
      <w:pPr>
        <w:tabs>
          <w:tab w:val="left" w:pos="1276"/>
          <w:tab w:val="left" w:pos="1418"/>
          <w:tab w:val="left" w:leader="dot" w:pos="8222"/>
          <w:tab w:val="right" w:pos="8647"/>
        </w:tabs>
        <w:jc w:val="both"/>
        <w:rPr>
          <w:rFonts w:asciiTheme="majorHAnsi" w:hAnsiTheme="majorHAnsi"/>
          <w:b/>
          <w:i/>
        </w:rPr>
      </w:pPr>
    </w:p>
    <w:p w14:paraId="1B36B0B6" w14:textId="77777777" w:rsidR="00BD7007" w:rsidRPr="00582ECD" w:rsidRDefault="00BD7007" w:rsidP="00BD7007">
      <w:pPr>
        <w:tabs>
          <w:tab w:val="left" w:pos="1276"/>
          <w:tab w:val="left" w:pos="1418"/>
          <w:tab w:val="left" w:leader="dot" w:pos="8222"/>
          <w:tab w:val="right" w:pos="8647"/>
        </w:tabs>
        <w:jc w:val="both"/>
        <w:rPr>
          <w:rFonts w:asciiTheme="majorHAnsi" w:hAnsiTheme="majorHAnsi"/>
        </w:rPr>
      </w:pPr>
      <w:r w:rsidRPr="00582ECD">
        <w:rPr>
          <w:rFonts w:asciiTheme="majorHAnsi" w:hAnsiTheme="majorHAnsi"/>
          <w:b/>
          <w:bCs/>
          <w:i/>
        </w:rPr>
        <w:t>Plans de pêche :</w:t>
      </w:r>
      <w:r w:rsidRPr="00582ECD">
        <w:rPr>
          <w:rFonts w:asciiTheme="majorHAnsi" w:hAnsiTheme="majorHAnsi"/>
          <w:i/>
        </w:rPr>
        <w:t xml:space="preserve"> </w:t>
      </w:r>
      <w:r w:rsidRPr="00582ECD">
        <w:rPr>
          <w:rFonts w:asciiTheme="majorHAnsi" w:hAnsiTheme="majorHAnsi"/>
        </w:rPr>
        <w:t>Les Plans de pêche, d'inspection et de gestion de la capacité ont été reçus dans les délais et conformément aux Lignes directrices adoptées, de la part de toutes les CPC disposant d'un quota pour le BFT-E. Tous les plans ont été approuvés et sont joints au « Rapport de la réunion intersessions de la Sous-commission 2 » [PA2_602/2026].</w:t>
      </w:r>
    </w:p>
    <w:p w14:paraId="2526707B" w14:textId="77777777" w:rsidR="00655B33" w:rsidRPr="00582ECD" w:rsidRDefault="00655B33" w:rsidP="00BD7007">
      <w:pPr>
        <w:tabs>
          <w:tab w:val="left" w:pos="1276"/>
          <w:tab w:val="left" w:pos="1418"/>
          <w:tab w:val="left" w:leader="dot" w:pos="8222"/>
          <w:tab w:val="right" w:pos="8647"/>
        </w:tabs>
        <w:jc w:val="both"/>
        <w:rPr>
          <w:rFonts w:asciiTheme="majorHAnsi" w:hAnsiTheme="majorHAnsi"/>
        </w:rPr>
      </w:pPr>
    </w:p>
    <w:p w14:paraId="3C4D7442" w14:textId="6EE1A0F2" w:rsidR="00D575BF" w:rsidRPr="00582ECD" w:rsidRDefault="00655B33" w:rsidP="00655B33">
      <w:pPr>
        <w:tabs>
          <w:tab w:val="left" w:pos="1276"/>
          <w:tab w:val="left" w:pos="1418"/>
          <w:tab w:val="left" w:leader="dot" w:pos="8222"/>
          <w:tab w:val="right" w:pos="8647"/>
        </w:tabs>
        <w:jc w:val="both"/>
        <w:rPr>
          <w:rFonts w:asciiTheme="majorHAnsi" w:hAnsiTheme="majorHAnsi"/>
        </w:rPr>
      </w:pPr>
      <w:r w:rsidRPr="00582ECD">
        <w:rPr>
          <w:rFonts w:asciiTheme="majorHAnsi" w:hAnsiTheme="majorHAnsi"/>
          <w:b/>
          <w:i/>
        </w:rPr>
        <w:t>Fermeture de la pêcherie :</w:t>
      </w:r>
      <w:r w:rsidRPr="00582ECD">
        <w:rPr>
          <w:rFonts w:asciiTheme="majorHAnsi" w:hAnsiTheme="majorHAnsi"/>
          <w:i/>
        </w:rPr>
        <w:t xml:space="preserve"> </w:t>
      </w:r>
      <w:r w:rsidRPr="00582ECD">
        <w:rPr>
          <w:rFonts w:asciiTheme="majorHAnsi" w:hAnsiTheme="majorHAnsi"/>
        </w:rPr>
        <w:t>Conformément au paragraphe 87 de la Rec. 25-04, les CPC ont informé de leur date d'utilisation du quota comme suit :</w:t>
      </w:r>
    </w:p>
    <w:p w14:paraId="62E5E3A5" w14:textId="77777777" w:rsidR="00D575BF" w:rsidRPr="00582ECD" w:rsidRDefault="00D575BF" w:rsidP="00655B33">
      <w:pPr>
        <w:tabs>
          <w:tab w:val="left" w:pos="1276"/>
          <w:tab w:val="left" w:pos="1418"/>
          <w:tab w:val="left" w:leader="dot" w:pos="8222"/>
          <w:tab w:val="right" w:pos="8647"/>
        </w:tabs>
        <w:jc w:val="both"/>
        <w:rPr>
          <w:rFonts w:asciiTheme="majorHAnsi" w:hAnsiTheme="majorHAnsi"/>
        </w:rPr>
      </w:pPr>
    </w:p>
    <w:tbl>
      <w:tblPr>
        <w:tblW w:w="66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760"/>
        <w:gridCol w:w="4900"/>
      </w:tblGrid>
      <w:tr w:rsidR="00655B33" w:rsidRPr="00582ECD" w14:paraId="076D3E96" w14:textId="77777777" w:rsidTr="00ED046E">
        <w:trPr>
          <w:trHeight w:val="450"/>
          <w:jc w:val="center"/>
        </w:trPr>
        <w:tc>
          <w:tcPr>
            <w:tcW w:w="1760" w:type="dxa"/>
            <w:tcMar>
              <w:top w:w="15" w:type="dxa"/>
              <w:left w:w="15" w:type="dxa"/>
              <w:bottom w:w="0" w:type="dxa"/>
              <w:right w:w="15" w:type="dxa"/>
            </w:tcMar>
            <w:vAlign w:val="center"/>
            <w:hideMark/>
          </w:tcPr>
          <w:p w14:paraId="497D619E" w14:textId="77777777" w:rsidR="00655B33" w:rsidRPr="00582ECD" w:rsidRDefault="00655B33" w:rsidP="00ED046E">
            <w:pPr>
              <w:widowControl/>
              <w:autoSpaceDE/>
              <w:autoSpaceDN/>
              <w:adjustRightInd/>
              <w:jc w:val="center"/>
              <w:rPr>
                <w:rFonts w:asciiTheme="majorHAnsi" w:hAnsiTheme="majorHAnsi"/>
                <w:i/>
                <w:iCs/>
                <w:color w:val="000000"/>
              </w:rPr>
            </w:pPr>
            <w:r w:rsidRPr="00582ECD">
              <w:rPr>
                <w:rFonts w:asciiTheme="majorHAnsi" w:hAnsiTheme="majorHAnsi"/>
                <w:i/>
                <w:color w:val="000000"/>
              </w:rPr>
              <w:lastRenderedPageBreak/>
              <w:t>CPC</w:t>
            </w:r>
          </w:p>
        </w:tc>
        <w:tc>
          <w:tcPr>
            <w:tcW w:w="4900" w:type="dxa"/>
            <w:tcMar>
              <w:top w:w="15" w:type="dxa"/>
              <w:left w:w="15" w:type="dxa"/>
              <w:bottom w:w="0" w:type="dxa"/>
              <w:right w:w="15" w:type="dxa"/>
            </w:tcMar>
            <w:vAlign w:val="center"/>
            <w:hideMark/>
          </w:tcPr>
          <w:p w14:paraId="6A16CAC1" w14:textId="77777777" w:rsidR="00655B33" w:rsidRPr="00582ECD" w:rsidRDefault="00655B33" w:rsidP="00400461">
            <w:pPr>
              <w:jc w:val="center"/>
              <w:rPr>
                <w:rFonts w:asciiTheme="majorHAnsi" w:hAnsiTheme="majorHAnsi"/>
                <w:i/>
                <w:iCs/>
                <w:color w:val="000000"/>
              </w:rPr>
            </w:pPr>
            <w:r w:rsidRPr="00582ECD">
              <w:rPr>
                <w:rFonts w:asciiTheme="majorHAnsi" w:hAnsiTheme="majorHAnsi"/>
                <w:i/>
                <w:color w:val="000000"/>
              </w:rPr>
              <w:t>Date à laquelle la totalité du quota de BFT-E a été utilisée</w:t>
            </w:r>
          </w:p>
        </w:tc>
      </w:tr>
      <w:tr w:rsidR="0023584B" w:rsidRPr="00582ECD" w14:paraId="04A8409B" w14:textId="77777777" w:rsidTr="006D1FBF">
        <w:trPr>
          <w:trHeight w:val="255"/>
          <w:jc w:val="center"/>
        </w:trPr>
        <w:tc>
          <w:tcPr>
            <w:tcW w:w="1760" w:type="dxa"/>
            <w:tcMar>
              <w:top w:w="15" w:type="dxa"/>
              <w:left w:w="15" w:type="dxa"/>
              <w:bottom w:w="0" w:type="dxa"/>
              <w:right w:w="15" w:type="dxa"/>
            </w:tcMar>
            <w:vAlign w:val="center"/>
            <w:hideMark/>
          </w:tcPr>
          <w:p w14:paraId="0506A643" w14:textId="77777777" w:rsidR="0023584B" w:rsidRPr="00582ECD" w:rsidRDefault="0023584B" w:rsidP="0023584B">
            <w:pPr>
              <w:widowControl/>
              <w:autoSpaceDE/>
              <w:autoSpaceDN/>
              <w:adjustRightInd/>
              <w:ind w:firstLine="118"/>
              <w:rPr>
                <w:rFonts w:asciiTheme="majorHAnsi" w:hAnsiTheme="majorHAnsi"/>
                <w:color w:val="000000"/>
              </w:rPr>
            </w:pPr>
            <w:r w:rsidRPr="00582ECD">
              <w:rPr>
                <w:rFonts w:asciiTheme="majorHAnsi" w:hAnsiTheme="majorHAnsi"/>
                <w:color w:val="000000"/>
              </w:rPr>
              <w:t>Albanie</w:t>
            </w:r>
          </w:p>
        </w:tc>
        <w:tc>
          <w:tcPr>
            <w:tcW w:w="4900" w:type="dxa"/>
            <w:tcMar>
              <w:top w:w="15" w:type="dxa"/>
              <w:left w:w="15" w:type="dxa"/>
              <w:bottom w:w="0" w:type="dxa"/>
              <w:right w:w="15" w:type="dxa"/>
            </w:tcMar>
            <w:hideMark/>
          </w:tcPr>
          <w:p w14:paraId="6B24FA6E" w14:textId="4A05D64E" w:rsidR="0023584B" w:rsidRPr="00582ECD" w:rsidRDefault="0023584B" w:rsidP="00400461">
            <w:pPr>
              <w:jc w:val="center"/>
              <w:rPr>
                <w:rFonts w:asciiTheme="majorHAnsi" w:hAnsiTheme="majorHAnsi"/>
                <w:color w:val="000000"/>
              </w:rPr>
            </w:pPr>
            <w:r w:rsidRPr="00582ECD">
              <w:rPr>
                <w:rFonts w:asciiTheme="majorHAnsi" w:hAnsiTheme="majorHAnsi"/>
              </w:rPr>
              <w:t>Le 18 juin 2026</w:t>
            </w:r>
          </w:p>
        </w:tc>
      </w:tr>
      <w:tr w:rsidR="0023584B" w:rsidRPr="00582ECD" w14:paraId="56BDB180" w14:textId="77777777" w:rsidTr="006D1FBF">
        <w:trPr>
          <w:trHeight w:val="255"/>
          <w:jc w:val="center"/>
        </w:trPr>
        <w:tc>
          <w:tcPr>
            <w:tcW w:w="1760" w:type="dxa"/>
            <w:tcMar>
              <w:top w:w="15" w:type="dxa"/>
              <w:left w:w="15" w:type="dxa"/>
              <w:bottom w:w="0" w:type="dxa"/>
              <w:right w:w="15" w:type="dxa"/>
            </w:tcMar>
            <w:vAlign w:val="center"/>
            <w:hideMark/>
          </w:tcPr>
          <w:p w14:paraId="45C32A7D" w14:textId="77777777" w:rsidR="0023584B" w:rsidRPr="00582ECD" w:rsidRDefault="0023584B" w:rsidP="0023584B">
            <w:pPr>
              <w:widowControl/>
              <w:autoSpaceDE/>
              <w:autoSpaceDN/>
              <w:adjustRightInd/>
              <w:ind w:firstLine="118"/>
              <w:rPr>
                <w:rFonts w:asciiTheme="majorHAnsi" w:hAnsiTheme="majorHAnsi"/>
                <w:color w:val="000000"/>
              </w:rPr>
            </w:pPr>
            <w:r w:rsidRPr="00582ECD">
              <w:rPr>
                <w:rFonts w:asciiTheme="majorHAnsi" w:hAnsiTheme="majorHAnsi"/>
                <w:color w:val="000000"/>
              </w:rPr>
              <w:t>Algérie</w:t>
            </w:r>
          </w:p>
        </w:tc>
        <w:tc>
          <w:tcPr>
            <w:tcW w:w="4900" w:type="dxa"/>
            <w:tcMar>
              <w:top w:w="15" w:type="dxa"/>
              <w:left w:w="15" w:type="dxa"/>
              <w:bottom w:w="0" w:type="dxa"/>
              <w:right w:w="15" w:type="dxa"/>
            </w:tcMar>
            <w:hideMark/>
          </w:tcPr>
          <w:p w14:paraId="6B41CF61" w14:textId="3176BC37" w:rsidR="0023584B" w:rsidRPr="00582ECD" w:rsidRDefault="0023584B" w:rsidP="00400461">
            <w:pPr>
              <w:jc w:val="center"/>
              <w:rPr>
                <w:rFonts w:asciiTheme="majorHAnsi" w:hAnsiTheme="majorHAnsi"/>
                <w:color w:val="000000"/>
              </w:rPr>
            </w:pPr>
            <w:r w:rsidRPr="00582ECD">
              <w:rPr>
                <w:rFonts w:asciiTheme="majorHAnsi" w:hAnsiTheme="majorHAnsi"/>
              </w:rPr>
              <w:t>Le 11 juillet 2026</w:t>
            </w:r>
          </w:p>
        </w:tc>
      </w:tr>
      <w:tr w:rsidR="00655B33" w:rsidRPr="00582ECD" w14:paraId="6CFDDE17" w14:textId="77777777" w:rsidTr="00ED046E">
        <w:trPr>
          <w:trHeight w:val="255"/>
          <w:jc w:val="center"/>
        </w:trPr>
        <w:tc>
          <w:tcPr>
            <w:tcW w:w="1760" w:type="dxa"/>
            <w:tcMar>
              <w:top w:w="15" w:type="dxa"/>
              <w:left w:w="15" w:type="dxa"/>
              <w:bottom w:w="0" w:type="dxa"/>
              <w:right w:w="15" w:type="dxa"/>
            </w:tcMar>
            <w:vAlign w:val="center"/>
            <w:hideMark/>
          </w:tcPr>
          <w:p w14:paraId="464F5FAE" w14:textId="77777777" w:rsidR="00655B33" w:rsidRPr="00582ECD" w:rsidRDefault="00655B33" w:rsidP="00ED046E">
            <w:pPr>
              <w:widowControl/>
              <w:autoSpaceDE/>
              <w:autoSpaceDN/>
              <w:adjustRightInd/>
              <w:ind w:firstLine="118"/>
              <w:rPr>
                <w:rFonts w:asciiTheme="majorHAnsi" w:hAnsiTheme="majorHAnsi"/>
                <w:color w:val="000000"/>
              </w:rPr>
            </w:pPr>
            <w:r w:rsidRPr="00582ECD">
              <w:rPr>
                <w:rFonts w:asciiTheme="majorHAnsi" w:hAnsiTheme="majorHAnsi"/>
                <w:color w:val="000000"/>
              </w:rPr>
              <w:t>Chine</w:t>
            </w:r>
          </w:p>
        </w:tc>
        <w:tc>
          <w:tcPr>
            <w:tcW w:w="4900" w:type="dxa"/>
            <w:tcMar>
              <w:top w:w="15" w:type="dxa"/>
              <w:left w:w="15" w:type="dxa"/>
              <w:bottom w:w="0" w:type="dxa"/>
              <w:right w:w="15" w:type="dxa"/>
            </w:tcMar>
            <w:vAlign w:val="center"/>
            <w:hideMark/>
          </w:tcPr>
          <w:p w14:paraId="6E166A6E" w14:textId="4B5246E7" w:rsidR="00655B33" w:rsidRPr="00582ECD" w:rsidRDefault="00655B33" w:rsidP="00400461">
            <w:pPr>
              <w:jc w:val="center"/>
              <w:rPr>
                <w:rFonts w:asciiTheme="majorHAnsi" w:hAnsiTheme="majorHAnsi"/>
                <w:color w:val="000000"/>
              </w:rPr>
            </w:pPr>
            <w:r w:rsidRPr="00582ECD">
              <w:rPr>
                <w:rFonts w:asciiTheme="majorHAnsi" w:hAnsiTheme="majorHAnsi"/>
                <w:color w:val="000000"/>
              </w:rPr>
              <w:t xml:space="preserve">N/A: le quota n'était pas entièrement utilisé au moment de la </w:t>
            </w:r>
            <w:r w:rsidR="00342F1C">
              <w:rPr>
                <w:rFonts w:asciiTheme="majorHAnsi" w:hAnsiTheme="majorHAnsi"/>
                <w:color w:val="000000"/>
              </w:rPr>
              <w:t>rédaction du présent rapport</w:t>
            </w:r>
          </w:p>
        </w:tc>
      </w:tr>
      <w:tr w:rsidR="00655B33" w:rsidRPr="00582ECD" w14:paraId="45053566" w14:textId="77777777" w:rsidTr="00ED046E">
        <w:trPr>
          <w:trHeight w:val="260"/>
          <w:jc w:val="center"/>
        </w:trPr>
        <w:tc>
          <w:tcPr>
            <w:tcW w:w="1760" w:type="dxa"/>
            <w:tcMar>
              <w:top w:w="15" w:type="dxa"/>
              <w:left w:w="15" w:type="dxa"/>
              <w:bottom w:w="0" w:type="dxa"/>
              <w:right w:w="15" w:type="dxa"/>
            </w:tcMar>
            <w:vAlign w:val="center"/>
            <w:hideMark/>
          </w:tcPr>
          <w:p w14:paraId="623E1A5B" w14:textId="77777777" w:rsidR="00655B33" w:rsidRPr="00582ECD" w:rsidRDefault="00655B33" w:rsidP="00ED046E">
            <w:pPr>
              <w:widowControl/>
              <w:autoSpaceDE/>
              <w:autoSpaceDN/>
              <w:adjustRightInd/>
              <w:ind w:firstLine="118"/>
              <w:rPr>
                <w:rFonts w:asciiTheme="majorHAnsi" w:hAnsiTheme="majorHAnsi"/>
                <w:color w:val="000000"/>
              </w:rPr>
            </w:pPr>
            <w:r w:rsidRPr="00582ECD">
              <w:rPr>
                <w:rFonts w:asciiTheme="majorHAnsi" w:hAnsiTheme="majorHAnsi"/>
                <w:color w:val="000000"/>
              </w:rPr>
              <w:t>Égypte</w:t>
            </w:r>
          </w:p>
        </w:tc>
        <w:tc>
          <w:tcPr>
            <w:tcW w:w="4900" w:type="dxa"/>
            <w:tcMar>
              <w:top w:w="15" w:type="dxa"/>
              <w:left w:w="15" w:type="dxa"/>
              <w:bottom w:w="0" w:type="dxa"/>
              <w:right w:w="15" w:type="dxa"/>
            </w:tcMar>
            <w:vAlign w:val="center"/>
            <w:hideMark/>
          </w:tcPr>
          <w:p w14:paraId="0385F499" w14:textId="55A72813" w:rsidR="00655B33" w:rsidRPr="00582ECD" w:rsidRDefault="0023584B" w:rsidP="00400461">
            <w:pPr>
              <w:jc w:val="center"/>
              <w:rPr>
                <w:rFonts w:asciiTheme="majorHAnsi" w:hAnsiTheme="majorHAnsi"/>
                <w:color w:val="000000"/>
              </w:rPr>
            </w:pPr>
            <w:r w:rsidRPr="00582ECD">
              <w:rPr>
                <w:rFonts w:asciiTheme="majorHAnsi" w:hAnsiTheme="majorHAnsi"/>
                <w:color w:val="000000"/>
              </w:rPr>
              <w:t>Le 20 juin 2026</w:t>
            </w:r>
          </w:p>
        </w:tc>
      </w:tr>
      <w:tr w:rsidR="00655B33" w:rsidRPr="00582ECD" w14:paraId="3B4AD284" w14:textId="77777777" w:rsidTr="00ED046E">
        <w:trPr>
          <w:trHeight w:val="176"/>
          <w:jc w:val="center"/>
        </w:trPr>
        <w:tc>
          <w:tcPr>
            <w:tcW w:w="1760" w:type="dxa"/>
            <w:tcMar>
              <w:top w:w="15" w:type="dxa"/>
              <w:left w:w="15" w:type="dxa"/>
              <w:bottom w:w="0" w:type="dxa"/>
              <w:right w:w="15" w:type="dxa"/>
            </w:tcMar>
            <w:vAlign w:val="center"/>
            <w:hideMark/>
          </w:tcPr>
          <w:p w14:paraId="73DE5D26" w14:textId="77777777" w:rsidR="00655B33" w:rsidRPr="00582ECD" w:rsidRDefault="00655B33" w:rsidP="00ED046E">
            <w:pPr>
              <w:widowControl/>
              <w:autoSpaceDE/>
              <w:autoSpaceDN/>
              <w:adjustRightInd/>
              <w:ind w:firstLine="118"/>
              <w:rPr>
                <w:rFonts w:asciiTheme="majorHAnsi" w:hAnsiTheme="majorHAnsi"/>
                <w:color w:val="000000"/>
              </w:rPr>
            </w:pPr>
            <w:r w:rsidRPr="00582ECD">
              <w:rPr>
                <w:rFonts w:asciiTheme="majorHAnsi" w:hAnsiTheme="majorHAnsi"/>
                <w:color w:val="000000"/>
              </w:rPr>
              <w:t>Union européenne</w:t>
            </w:r>
          </w:p>
        </w:tc>
        <w:tc>
          <w:tcPr>
            <w:tcW w:w="4900" w:type="dxa"/>
            <w:tcMar>
              <w:top w:w="15" w:type="dxa"/>
              <w:left w:w="15" w:type="dxa"/>
              <w:bottom w:w="0" w:type="dxa"/>
              <w:right w:w="15" w:type="dxa"/>
            </w:tcMar>
            <w:vAlign w:val="center"/>
            <w:hideMark/>
          </w:tcPr>
          <w:p w14:paraId="34A86581" w14:textId="0040411A" w:rsidR="00655B33" w:rsidRPr="00582ECD" w:rsidRDefault="00655B33" w:rsidP="00400461">
            <w:pPr>
              <w:jc w:val="center"/>
              <w:rPr>
                <w:rFonts w:asciiTheme="majorHAnsi" w:hAnsiTheme="majorHAnsi"/>
                <w:color w:val="000000"/>
              </w:rPr>
            </w:pPr>
            <w:r w:rsidRPr="00582ECD">
              <w:rPr>
                <w:rFonts w:asciiTheme="majorHAnsi" w:hAnsiTheme="majorHAnsi"/>
                <w:color w:val="000000"/>
              </w:rPr>
              <w:t>N/A: le quota n'était pas entièrement utilisé</w:t>
            </w:r>
            <w:r w:rsidR="00342F1C" w:rsidRPr="00582ECD">
              <w:rPr>
                <w:rFonts w:asciiTheme="majorHAnsi" w:hAnsiTheme="majorHAnsi"/>
                <w:color w:val="000000"/>
              </w:rPr>
              <w:t xml:space="preserve"> </w:t>
            </w:r>
            <w:r w:rsidR="00342F1C" w:rsidRPr="00582ECD">
              <w:rPr>
                <w:rFonts w:asciiTheme="majorHAnsi" w:hAnsiTheme="majorHAnsi"/>
                <w:color w:val="000000"/>
              </w:rPr>
              <w:t xml:space="preserve">au moment de la </w:t>
            </w:r>
            <w:r w:rsidR="00342F1C">
              <w:rPr>
                <w:rFonts w:asciiTheme="majorHAnsi" w:hAnsiTheme="majorHAnsi"/>
                <w:color w:val="000000"/>
              </w:rPr>
              <w:t>rédaction du présent rapport</w:t>
            </w:r>
          </w:p>
        </w:tc>
      </w:tr>
      <w:tr w:rsidR="00655B33" w:rsidRPr="00582ECD" w14:paraId="0A4D166F" w14:textId="77777777" w:rsidTr="00ED046E">
        <w:trPr>
          <w:trHeight w:val="255"/>
          <w:jc w:val="center"/>
        </w:trPr>
        <w:tc>
          <w:tcPr>
            <w:tcW w:w="1760" w:type="dxa"/>
            <w:tcMar>
              <w:top w:w="15" w:type="dxa"/>
              <w:left w:w="270" w:type="dxa"/>
              <w:bottom w:w="0" w:type="dxa"/>
              <w:right w:w="15" w:type="dxa"/>
            </w:tcMar>
            <w:vAlign w:val="center"/>
            <w:hideMark/>
          </w:tcPr>
          <w:p w14:paraId="407AE4D3" w14:textId="77777777" w:rsidR="00655B33" w:rsidRPr="00582ECD" w:rsidRDefault="00655B33" w:rsidP="00ED046E">
            <w:pPr>
              <w:ind w:firstLineChars="200" w:firstLine="400"/>
              <w:rPr>
                <w:rFonts w:asciiTheme="majorHAnsi" w:hAnsiTheme="majorHAnsi"/>
                <w:color w:val="000000"/>
              </w:rPr>
            </w:pPr>
            <w:r w:rsidRPr="00582ECD">
              <w:rPr>
                <w:rFonts w:asciiTheme="majorHAnsi" w:hAnsiTheme="majorHAnsi"/>
                <w:color w:val="000000"/>
              </w:rPr>
              <w:t>UE-Croatie</w:t>
            </w:r>
          </w:p>
        </w:tc>
        <w:tc>
          <w:tcPr>
            <w:tcW w:w="4900" w:type="dxa"/>
            <w:tcMar>
              <w:top w:w="15" w:type="dxa"/>
              <w:left w:w="15" w:type="dxa"/>
              <w:bottom w:w="0" w:type="dxa"/>
              <w:right w:w="15" w:type="dxa"/>
            </w:tcMar>
            <w:vAlign w:val="center"/>
            <w:hideMark/>
          </w:tcPr>
          <w:p w14:paraId="45A94872" w14:textId="77777777" w:rsidR="00655B33" w:rsidRPr="00582ECD" w:rsidRDefault="00655B33" w:rsidP="00400461">
            <w:pPr>
              <w:jc w:val="center"/>
              <w:rPr>
                <w:rFonts w:asciiTheme="majorHAnsi" w:hAnsiTheme="majorHAnsi"/>
                <w:color w:val="000000"/>
                <w:lang w:val="en-GB"/>
              </w:rPr>
            </w:pPr>
          </w:p>
        </w:tc>
      </w:tr>
      <w:tr w:rsidR="00655B33" w:rsidRPr="00582ECD" w14:paraId="562505A3" w14:textId="77777777" w:rsidTr="00ED046E">
        <w:trPr>
          <w:trHeight w:val="255"/>
          <w:jc w:val="center"/>
        </w:trPr>
        <w:tc>
          <w:tcPr>
            <w:tcW w:w="1760" w:type="dxa"/>
            <w:tcMar>
              <w:top w:w="15" w:type="dxa"/>
              <w:left w:w="270" w:type="dxa"/>
              <w:bottom w:w="0" w:type="dxa"/>
              <w:right w:w="15" w:type="dxa"/>
            </w:tcMar>
            <w:vAlign w:val="center"/>
            <w:hideMark/>
          </w:tcPr>
          <w:p w14:paraId="4A624BB5" w14:textId="77777777" w:rsidR="00655B33" w:rsidRPr="00582ECD" w:rsidRDefault="00655B33" w:rsidP="00ED046E">
            <w:pPr>
              <w:ind w:firstLineChars="200" w:firstLine="400"/>
              <w:rPr>
                <w:rFonts w:asciiTheme="majorHAnsi" w:hAnsiTheme="majorHAnsi"/>
                <w:color w:val="000000"/>
              </w:rPr>
            </w:pPr>
            <w:r w:rsidRPr="00582ECD">
              <w:rPr>
                <w:rFonts w:asciiTheme="majorHAnsi" w:hAnsiTheme="majorHAnsi"/>
                <w:color w:val="000000"/>
              </w:rPr>
              <w:t>UE-Chypre</w:t>
            </w:r>
          </w:p>
        </w:tc>
        <w:tc>
          <w:tcPr>
            <w:tcW w:w="4900" w:type="dxa"/>
            <w:tcMar>
              <w:top w:w="15" w:type="dxa"/>
              <w:left w:w="15" w:type="dxa"/>
              <w:bottom w:w="0" w:type="dxa"/>
              <w:right w:w="15" w:type="dxa"/>
            </w:tcMar>
            <w:vAlign w:val="center"/>
            <w:hideMark/>
          </w:tcPr>
          <w:p w14:paraId="37FF3F1D" w14:textId="77777777" w:rsidR="00655B33" w:rsidRPr="00582ECD" w:rsidRDefault="00655B33" w:rsidP="00400461">
            <w:pPr>
              <w:jc w:val="center"/>
              <w:rPr>
                <w:rFonts w:asciiTheme="majorHAnsi" w:hAnsiTheme="majorHAnsi"/>
                <w:color w:val="000000"/>
                <w:lang w:val="en-GB"/>
              </w:rPr>
            </w:pPr>
          </w:p>
        </w:tc>
      </w:tr>
      <w:tr w:rsidR="00655B33" w:rsidRPr="00582ECD" w14:paraId="671FDBE4" w14:textId="77777777" w:rsidTr="00ED046E">
        <w:trPr>
          <w:trHeight w:val="255"/>
          <w:jc w:val="center"/>
        </w:trPr>
        <w:tc>
          <w:tcPr>
            <w:tcW w:w="1760" w:type="dxa"/>
            <w:tcMar>
              <w:top w:w="15" w:type="dxa"/>
              <w:left w:w="270" w:type="dxa"/>
              <w:bottom w:w="0" w:type="dxa"/>
              <w:right w:w="15" w:type="dxa"/>
            </w:tcMar>
            <w:vAlign w:val="center"/>
            <w:hideMark/>
          </w:tcPr>
          <w:p w14:paraId="655630B4" w14:textId="77777777" w:rsidR="00655B33" w:rsidRPr="00582ECD" w:rsidRDefault="00655B33" w:rsidP="00ED046E">
            <w:pPr>
              <w:ind w:firstLineChars="200" w:firstLine="400"/>
              <w:rPr>
                <w:rFonts w:asciiTheme="majorHAnsi" w:hAnsiTheme="majorHAnsi"/>
                <w:color w:val="000000"/>
              </w:rPr>
            </w:pPr>
            <w:r w:rsidRPr="00582ECD">
              <w:rPr>
                <w:rFonts w:asciiTheme="majorHAnsi" w:hAnsiTheme="majorHAnsi"/>
                <w:color w:val="000000"/>
              </w:rPr>
              <w:t>UE-France</w:t>
            </w:r>
          </w:p>
        </w:tc>
        <w:tc>
          <w:tcPr>
            <w:tcW w:w="4900" w:type="dxa"/>
            <w:tcMar>
              <w:top w:w="15" w:type="dxa"/>
              <w:left w:w="15" w:type="dxa"/>
              <w:bottom w:w="0" w:type="dxa"/>
              <w:right w:w="15" w:type="dxa"/>
            </w:tcMar>
            <w:vAlign w:val="center"/>
            <w:hideMark/>
          </w:tcPr>
          <w:p w14:paraId="36975836" w14:textId="77777777" w:rsidR="00655B33" w:rsidRPr="00582ECD" w:rsidRDefault="00655B33" w:rsidP="00400461">
            <w:pPr>
              <w:jc w:val="center"/>
              <w:rPr>
                <w:rFonts w:asciiTheme="majorHAnsi" w:hAnsiTheme="majorHAnsi"/>
                <w:color w:val="000000"/>
                <w:lang w:val="en-GB"/>
              </w:rPr>
            </w:pPr>
          </w:p>
        </w:tc>
      </w:tr>
      <w:tr w:rsidR="00655B33" w:rsidRPr="00582ECD" w14:paraId="5AAA7E2F" w14:textId="77777777" w:rsidTr="00ED046E">
        <w:trPr>
          <w:trHeight w:val="255"/>
          <w:jc w:val="center"/>
        </w:trPr>
        <w:tc>
          <w:tcPr>
            <w:tcW w:w="1760" w:type="dxa"/>
            <w:tcMar>
              <w:top w:w="15" w:type="dxa"/>
              <w:left w:w="270" w:type="dxa"/>
              <w:bottom w:w="0" w:type="dxa"/>
              <w:right w:w="15" w:type="dxa"/>
            </w:tcMar>
            <w:vAlign w:val="center"/>
            <w:hideMark/>
          </w:tcPr>
          <w:p w14:paraId="4C43B695" w14:textId="77777777" w:rsidR="00655B33" w:rsidRPr="00582ECD" w:rsidRDefault="00655B33" w:rsidP="00ED046E">
            <w:pPr>
              <w:ind w:firstLineChars="200" w:firstLine="400"/>
              <w:rPr>
                <w:rFonts w:asciiTheme="majorHAnsi" w:hAnsiTheme="majorHAnsi"/>
                <w:color w:val="000000"/>
              </w:rPr>
            </w:pPr>
            <w:r w:rsidRPr="00582ECD">
              <w:rPr>
                <w:rFonts w:asciiTheme="majorHAnsi" w:hAnsiTheme="majorHAnsi"/>
                <w:color w:val="000000"/>
              </w:rPr>
              <w:t>UE-Italie</w:t>
            </w:r>
          </w:p>
        </w:tc>
        <w:tc>
          <w:tcPr>
            <w:tcW w:w="4900" w:type="dxa"/>
            <w:tcMar>
              <w:top w:w="15" w:type="dxa"/>
              <w:left w:w="15" w:type="dxa"/>
              <w:bottom w:w="0" w:type="dxa"/>
              <w:right w:w="15" w:type="dxa"/>
            </w:tcMar>
            <w:vAlign w:val="center"/>
            <w:hideMark/>
          </w:tcPr>
          <w:p w14:paraId="5CC05C87" w14:textId="77777777" w:rsidR="00655B33" w:rsidRPr="00582ECD" w:rsidRDefault="00655B33" w:rsidP="00400461">
            <w:pPr>
              <w:jc w:val="center"/>
              <w:rPr>
                <w:rFonts w:asciiTheme="majorHAnsi" w:hAnsiTheme="majorHAnsi"/>
                <w:color w:val="000000"/>
                <w:lang w:val="en-GB"/>
              </w:rPr>
            </w:pPr>
          </w:p>
        </w:tc>
      </w:tr>
      <w:tr w:rsidR="00655B33" w:rsidRPr="00582ECD" w14:paraId="2BBD08B7" w14:textId="77777777" w:rsidTr="00ED046E">
        <w:trPr>
          <w:trHeight w:val="255"/>
          <w:jc w:val="center"/>
        </w:trPr>
        <w:tc>
          <w:tcPr>
            <w:tcW w:w="1760" w:type="dxa"/>
            <w:tcMar>
              <w:top w:w="15" w:type="dxa"/>
              <w:left w:w="270" w:type="dxa"/>
              <w:bottom w:w="0" w:type="dxa"/>
              <w:right w:w="15" w:type="dxa"/>
            </w:tcMar>
            <w:vAlign w:val="center"/>
            <w:hideMark/>
          </w:tcPr>
          <w:p w14:paraId="59B7B46E" w14:textId="77777777" w:rsidR="00655B33" w:rsidRPr="00582ECD" w:rsidRDefault="00655B33" w:rsidP="00ED046E">
            <w:pPr>
              <w:ind w:firstLineChars="200" w:firstLine="400"/>
              <w:rPr>
                <w:rFonts w:asciiTheme="majorHAnsi" w:hAnsiTheme="majorHAnsi"/>
                <w:color w:val="000000"/>
              </w:rPr>
            </w:pPr>
            <w:r w:rsidRPr="00582ECD">
              <w:rPr>
                <w:rFonts w:asciiTheme="majorHAnsi" w:hAnsiTheme="majorHAnsi"/>
                <w:color w:val="000000"/>
              </w:rPr>
              <w:t xml:space="preserve">UE-Espagne </w:t>
            </w:r>
          </w:p>
        </w:tc>
        <w:tc>
          <w:tcPr>
            <w:tcW w:w="4900" w:type="dxa"/>
            <w:tcMar>
              <w:top w:w="15" w:type="dxa"/>
              <w:left w:w="15" w:type="dxa"/>
              <w:bottom w:w="0" w:type="dxa"/>
              <w:right w:w="15" w:type="dxa"/>
            </w:tcMar>
            <w:vAlign w:val="center"/>
            <w:hideMark/>
          </w:tcPr>
          <w:p w14:paraId="7791B441" w14:textId="77777777" w:rsidR="00655B33" w:rsidRPr="00582ECD" w:rsidRDefault="00655B33" w:rsidP="00400461">
            <w:pPr>
              <w:jc w:val="center"/>
              <w:rPr>
                <w:rFonts w:asciiTheme="majorHAnsi" w:hAnsiTheme="majorHAnsi"/>
                <w:color w:val="000000"/>
                <w:lang w:val="en-GB"/>
              </w:rPr>
            </w:pPr>
          </w:p>
        </w:tc>
      </w:tr>
      <w:tr w:rsidR="00655B33" w:rsidRPr="00582ECD" w14:paraId="0F8631D7" w14:textId="77777777" w:rsidTr="006D1FBF">
        <w:trPr>
          <w:trHeight w:val="252"/>
          <w:jc w:val="center"/>
        </w:trPr>
        <w:tc>
          <w:tcPr>
            <w:tcW w:w="1760" w:type="dxa"/>
            <w:tcMar>
              <w:top w:w="15" w:type="dxa"/>
              <w:left w:w="15" w:type="dxa"/>
              <w:bottom w:w="0" w:type="dxa"/>
              <w:right w:w="15" w:type="dxa"/>
            </w:tcMar>
            <w:vAlign w:val="center"/>
            <w:hideMark/>
          </w:tcPr>
          <w:p w14:paraId="0E042BED" w14:textId="77777777" w:rsidR="00655B33" w:rsidRPr="00582ECD" w:rsidRDefault="00655B33" w:rsidP="00ED046E">
            <w:pPr>
              <w:widowControl/>
              <w:autoSpaceDE/>
              <w:autoSpaceDN/>
              <w:adjustRightInd/>
              <w:ind w:firstLine="118"/>
              <w:rPr>
                <w:rFonts w:asciiTheme="majorHAnsi" w:hAnsiTheme="majorHAnsi"/>
                <w:color w:val="000000"/>
              </w:rPr>
            </w:pPr>
            <w:r w:rsidRPr="00582ECD">
              <w:rPr>
                <w:rFonts w:asciiTheme="majorHAnsi" w:hAnsiTheme="majorHAnsi"/>
                <w:color w:val="000000"/>
              </w:rPr>
              <w:t>Islande</w:t>
            </w:r>
          </w:p>
        </w:tc>
        <w:tc>
          <w:tcPr>
            <w:tcW w:w="4900" w:type="dxa"/>
            <w:tcMar>
              <w:top w:w="15" w:type="dxa"/>
              <w:left w:w="15" w:type="dxa"/>
              <w:bottom w:w="0" w:type="dxa"/>
              <w:right w:w="15" w:type="dxa"/>
            </w:tcMar>
            <w:vAlign w:val="center"/>
            <w:hideMark/>
          </w:tcPr>
          <w:p w14:paraId="7C7E2CB6" w14:textId="7D06B3EF" w:rsidR="00655B33" w:rsidRPr="00582ECD" w:rsidRDefault="00655B33" w:rsidP="00400461">
            <w:pPr>
              <w:jc w:val="center"/>
              <w:rPr>
                <w:rFonts w:asciiTheme="majorHAnsi" w:hAnsiTheme="majorHAnsi"/>
                <w:color w:val="000000"/>
              </w:rPr>
            </w:pPr>
            <w:r w:rsidRPr="00582ECD">
              <w:rPr>
                <w:rFonts w:asciiTheme="majorHAnsi" w:hAnsiTheme="majorHAnsi"/>
                <w:color w:val="000000"/>
              </w:rPr>
              <w:t>N/A: Aucun navire islandais ne réalisera de pêche ciblée de thon rouge de l’Atlantique Est en 2026.</w:t>
            </w:r>
          </w:p>
        </w:tc>
      </w:tr>
      <w:tr w:rsidR="00655B33" w:rsidRPr="00582ECD" w14:paraId="21E4147C" w14:textId="77777777" w:rsidTr="00ED046E">
        <w:trPr>
          <w:trHeight w:val="255"/>
          <w:jc w:val="center"/>
        </w:trPr>
        <w:tc>
          <w:tcPr>
            <w:tcW w:w="1760" w:type="dxa"/>
            <w:tcMar>
              <w:top w:w="15" w:type="dxa"/>
              <w:left w:w="15" w:type="dxa"/>
              <w:bottom w:w="0" w:type="dxa"/>
              <w:right w:w="15" w:type="dxa"/>
            </w:tcMar>
            <w:vAlign w:val="center"/>
            <w:hideMark/>
          </w:tcPr>
          <w:p w14:paraId="2A32B1FD" w14:textId="77777777" w:rsidR="00655B33" w:rsidRPr="00582ECD" w:rsidRDefault="00655B33" w:rsidP="00ED046E">
            <w:pPr>
              <w:widowControl/>
              <w:autoSpaceDE/>
              <w:autoSpaceDN/>
              <w:adjustRightInd/>
              <w:ind w:firstLine="118"/>
              <w:rPr>
                <w:rFonts w:asciiTheme="majorHAnsi" w:hAnsiTheme="majorHAnsi"/>
                <w:color w:val="000000"/>
              </w:rPr>
            </w:pPr>
            <w:r w:rsidRPr="00582ECD">
              <w:rPr>
                <w:rFonts w:asciiTheme="majorHAnsi" w:hAnsiTheme="majorHAnsi"/>
                <w:color w:val="000000"/>
              </w:rPr>
              <w:t>Japon</w:t>
            </w:r>
          </w:p>
        </w:tc>
        <w:tc>
          <w:tcPr>
            <w:tcW w:w="4900" w:type="dxa"/>
            <w:tcMar>
              <w:top w:w="15" w:type="dxa"/>
              <w:left w:w="15" w:type="dxa"/>
              <w:bottom w:w="0" w:type="dxa"/>
              <w:right w:w="15" w:type="dxa"/>
            </w:tcMar>
            <w:vAlign w:val="center"/>
            <w:hideMark/>
          </w:tcPr>
          <w:p w14:paraId="75E3092E" w14:textId="5F3106AE" w:rsidR="00655B33" w:rsidRPr="00582ECD" w:rsidRDefault="00400461" w:rsidP="00400461">
            <w:pPr>
              <w:jc w:val="center"/>
              <w:rPr>
                <w:rFonts w:asciiTheme="majorHAnsi" w:hAnsiTheme="majorHAnsi"/>
                <w:color w:val="000000"/>
              </w:rPr>
            </w:pPr>
            <w:r w:rsidRPr="00582ECD">
              <w:rPr>
                <w:rFonts w:asciiTheme="majorHAnsi" w:hAnsiTheme="majorHAnsi"/>
                <w:color w:val="000000"/>
              </w:rPr>
              <w:t>3 mars 2026 (quota de 2025)</w:t>
            </w:r>
          </w:p>
        </w:tc>
      </w:tr>
      <w:tr w:rsidR="00655B33" w:rsidRPr="00582ECD" w14:paraId="0343AD13" w14:textId="77777777" w:rsidTr="00ED046E">
        <w:trPr>
          <w:trHeight w:val="255"/>
          <w:jc w:val="center"/>
        </w:trPr>
        <w:tc>
          <w:tcPr>
            <w:tcW w:w="1760" w:type="dxa"/>
            <w:tcMar>
              <w:top w:w="15" w:type="dxa"/>
              <w:left w:w="15" w:type="dxa"/>
              <w:bottom w:w="0" w:type="dxa"/>
              <w:right w:w="15" w:type="dxa"/>
            </w:tcMar>
            <w:vAlign w:val="center"/>
            <w:hideMark/>
          </w:tcPr>
          <w:p w14:paraId="45F2ACBE" w14:textId="77777777" w:rsidR="00655B33" w:rsidRPr="00582ECD" w:rsidRDefault="00655B33" w:rsidP="00ED046E">
            <w:pPr>
              <w:widowControl/>
              <w:autoSpaceDE/>
              <w:autoSpaceDN/>
              <w:adjustRightInd/>
              <w:ind w:firstLine="118"/>
              <w:rPr>
                <w:rFonts w:asciiTheme="majorHAnsi" w:hAnsiTheme="majorHAnsi"/>
                <w:color w:val="000000"/>
              </w:rPr>
            </w:pPr>
            <w:r w:rsidRPr="00582ECD">
              <w:rPr>
                <w:rFonts w:asciiTheme="majorHAnsi" w:hAnsiTheme="majorHAnsi"/>
                <w:color w:val="000000"/>
              </w:rPr>
              <w:t>Corée</w:t>
            </w:r>
          </w:p>
        </w:tc>
        <w:tc>
          <w:tcPr>
            <w:tcW w:w="4900" w:type="dxa"/>
            <w:tcMar>
              <w:top w:w="15" w:type="dxa"/>
              <w:left w:w="15" w:type="dxa"/>
              <w:bottom w:w="0" w:type="dxa"/>
              <w:right w:w="15" w:type="dxa"/>
            </w:tcMar>
            <w:vAlign w:val="center"/>
            <w:hideMark/>
          </w:tcPr>
          <w:p w14:paraId="09D9CABF" w14:textId="05A24E28" w:rsidR="00655B33" w:rsidRPr="00582ECD" w:rsidRDefault="00655B33" w:rsidP="00400461">
            <w:pPr>
              <w:jc w:val="center"/>
              <w:rPr>
                <w:rFonts w:asciiTheme="majorHAnsi" w:hAnsiTheme="majorHAnsi"/>
                <w:color w:val="000000"/>
              </w:rPr>
            </w:pPr>
            <w:r w:rsidRPr="00582ECD">
              <w:rPr>
                <w:rFonts w:asciiTheme="majorHAnsi" w:hAnsiTheme="majorHAnsi"/>
                <w:color w:val="000000"/>
              </w:rPr>
              <w:t xml:space="preserve">N/A: le quota n'était pas entièrement utilisé </w:t>
            </w:r>
            <w:r w:rsidR="00342F1C" w:rsidRPr="00582ECD">
              <w:rPr>
                <w:rFonts w:asciiTheme="majorHAnsi" w:hAnsiTheme="majorHAnsi"/>
                <w:color w:val="000000"/>
              </w:rPr>
              <w:t xml:space="preserve">au moment de la </w:t>
            </w:r>
            <w:r w:rsidR="00342F1C">
              <w:rPr>
                <w:rFonts w:asciiTheme="majorHAnsi" w:hAnsiTheme="majorHAnsi"/>
                <w:color w:val="000000"/>
              </w:rPr>
              <w:t>rédaction du présent rapport</w:t>
            </w:r>
          </w:p>
        </w:tc>
      </w:tr>
      <w:tr w:rsidR="00655B33" w:rsidRPr="00582ECD" w14:paraId="62F2EDD4" w14:textId="77777777" w:rsidTr="00ED046E">
        <w:trPr>
          <w:trHeight w:val="255"/>
          <w:jc w:val="center"/>
        </w:trPr>
        <w:tc>
          <w:tcPr>
            <w:tcW w:w="1760" w:type="dxa"/>
            <w:tcMar>
              <w:top w:w="15" w:type="dxa"/>
              <w:left w:w="15" w:type="dxa"/>
              <w:bottom w:w="0" w:type="dxa"/>
              <w:right w:w="15" w:type="dxa"/>
            </w:tcMar>
            <w:vAlign w:val="center"/>
            <w:hideMark/>
          </w:tcPr>
          <w:p w14:paraId="56536168" w14:textId="77777777" w:rsidR="00655B33" w:rsidRPr="00582ECD" w:rsidRDefault="00655B33" w:rsidP="00ED046E">
            <w:pPr>
              <w:widowControl/>
              <w:autoSpaceDE/>
              <w:autoSpaceDN/>
              <w:adjustRightInd/>
              <w:ind w:firstLine="118"/>
              <w:rPr>
                <w:rFonts w:asciiTheme="majorHAnsi" w:hAnsiTheme="majorHAnsi"/>
                <w:color w:val="000000"/>
              </w:rPr>
            </w:pPr>
            <w:r w:rsidRPr="00582ECD">
              <w:rPr>
                <w:rFonts w:asciiTheme="majorHAnsi" w:hAnsiTheme="majorHAnsi"/>
                <w:color w:val="000000"/>
              </w:rPr>
              <w:t>Libye</w:t>
            </w:r>
          </w:p>
        </w:tc>
        <w:tc>
          <w:tcPr>
            <w:tcW w:w="4900" w:type="dxa"/>
            <w:tcMar>
              <w:top w:w="15" w:type="dxa"/>
              <w:left w:w="15" w:type="dxa"/>
              <w:bottom w:w="0" w:type="dxa"/>
              <w:right w:w="15" w:type="dxa"/>
            </w:tcMar>
            <w:vAlign w:val="center"/>
            <w:hideMark/>
          </w:tcPr>
          <w:p w14:paraId="57CCB2C4" w14:textId="29B081BF" w:rsidR="00655B33" w:rsidRPr="00582ECD" w:rsidRDefault="00400461" w:rsidP="00400461">
            <w:pPr>
              <w:jc w:val="center"/>
              <w:rPr>
                <w:rFonts w:asciiTheme="majorHAnsi" w:hAnsiTheme="majorHAnsi"/>
                <w:color w:val="000000"/>
              </w:rPr>
            </w:pPr>
            <w:r w:rsidRPr="00582ECD">
              <w:rPr>
                <w:rFonts w:asciiTheme="majorHAnsi" w:hAnsiTheme="majorHAnsi"/>
                <w:color w:val="000000"/>
              </w:rPr>
              <w:t xml:space="preserve">Aucune information n'a été reçue </w:t>
            </w:r>
            <w:r w:rsidR="00342F1C" w:rsidRPr="00582ECD">
              <w:rPr>
                <w:rFonts w:asciiTheme="majorHAnsi" w:hAnsiTheme="majorHAnsi"/>
                <w:color w:val="000000"/>
              </w:rPr>
              <w:t xml:space="preserve">au moment de la </w:t>
            </w:r>
            <w:r w:rsidR="00342F1C">
              <w:rPr>
                <w:rFonts w:asciiTheme="majorHAnsi" w:hAnsiTheme="majorHAnsi"/>
                <w:color w:val="000000"/>
              </w:rPr>
              <w:t>rédaction du présent rapport</w:t>
            </w:r>
          </w:p>
        </w:tc>
      </w:tr>
      <w:tr w:rsidR="00400461" w:rsidRPr="00582ECD" w14:paraId="074A6004" w14:textId="77777777" w:rsidTr="00ED046E">
        <w:trPr>
          <w:trHeight w:val="255"/>
          <w:jc w:val="center"/>
        </w:trPr>
        <w:tc>
          <w:tcPr>
            <w:tcW w:w="1760" w:type="dxa"/>
            <w:tcMar>
              <w:top w:w="15" w:type="dxa"/>
              <w:left w:w="15" w:type="dxa"/>
              <w:bottom w:w="0" w:type="dxa"/>
              <w:right w:w="15" w:type="dxa"/>
            </w:tcMar>
            <w:vAlign w:val="center"/>
            <w:hideMark/>
          </w:tcPr>
          <w:p w14:paraId="1C9ADC0C" w14:textId="77777777" w:rsidR="00400461" w:rsidRPr="00582ECD" w:rsidRDefault="00400461" w:rsidP="00400461">
            <w:pPr>
              <w:widowControl/>
              <w:autoSpaceDE/>
              <w:autoSpaceDN/>
              <w:adjustRightInd/>
              <w:ind w:firstLine="118"/>
              <w:rPr>
                <w:rFonts w:asciiTheme="majorHAnsi" w:hAnsiTheme="majorHAnsi"/>
                <w:color w:val="000000"/>
              </w:rPr>
            </w:pPr>
            <w:r w:rsidRPr="00582ECD">
              <w:rPr>
                <w:rFonts w:asciiTheme="majorHAnsi" w:hAnsiTheme="majorHAnsi"/>
                <w:color w:val="000000"/>
              </w:rPr>
              <w:t>Maroc</w:t>
            </w:r>
          </w:p>
        </w:tc>
        <w:tc>
          <w:tcPr>
            <w:tcW w:w="4900" w:type="dxa"/>
            <w:tcMar>
              <w:top w:w="15" w:type="dxa"/>
              <w:left w:w="15" w:type="dxa"/>
              <w:bottom w:w="0" w:type="dxa"/>
              <w:right w:w="15" w:type="dxa"/>
            </w:tcMar>
            <w:vAlign w:val="center"/>
            <w:hideMark/>
          </w:tcPr>
          <w:p w14:paraId="7BF87FC3" w14:textId="65E13AF0" w:rsidR="00400461" w:rsidRPr="00582ECD" w:rsidRDefault="00400461" w:rsidP="00400461">
            <w:pPr>
              <w:jc w:val="center"/>
              <w:rPr>
                <w:rFonts w:asciiTheme="majorHAnsi" w:hAnsiTheme="majorHAnsi"/>
                <w:color w:val="000000"/>
              </w:rPr>
            </w:pPr>
            <w:r w:rsidRPr="00582ECD">
              <w:rPr>
                <w:rFonts w:asciiTheme="majorHAnsi" w:hAnsiTheme="majorHAnsi"/>
                <w:color w:val="000000"/>
              </w:rPr>
              <w:t xml:space="preserve">N/A: le quota n'était pas entièrement utilisé </w:t>
            </w:r>
            <w:r w:rsidR="00342F1C" w:rsidRPr="00582ECD">
              <w:rPr>
                <w:rFonts w:asciiTheme="majorHAnsi" w:hAnsiTheme="majorHAnsi"/>
                <w:color w:val="000000"/>
              </w:rPr>
              <w:t xml:space="preserve">au moment de la </w:t>
            </w:r>
            <w:r w:rsidR="00342F1C">
              <w:rPr>
                <w:rFonts w:asciiTheme="majorHAnsi" w:hAnsiTheme="majorHAnsi"/>
                <w:color w:val="000000"/>
              </w:rPr>
              <w:t>rédaction du présent rapport</w:t>
            </w:r>
          </w:p>
        </w:tc>
      </w:tr>
      <w:tr w:rsidR="00655B33" w:rsidRPr="00582ECD" w14:paraId="22673A90" w14:textId="77777777" w:rsidTr="00ED046E">
        <w:trPr>
          <w:trHeight w:val="255"/>
          <w:jc w:val="center"/>
        </w:trPr>
        <w:tc>
          <w:tcPr>
            <w:tcW w:w="1760" w:type="dxa"/>
            <w:tcMar>
              <w:top w:w="15" w:type="dxa"/>
              <w:left w:w="15" w:type="dxa"/>
              <w:bottom w:w="0" w:type="dxa"/>
              <w:right w:w="15" w:type="dxa"/>
            </w:tcMar>
            <w:vAlign w:val="center"/>
            <w:hideMark/>
          </w:tcPr>
          <w:p w14:paraId="4B523CD0" w14:textId="77777777" w:rsidR="00655B33" w:rsidRPr="00582ECD" w:rsidRDefault="00655B33" w:rsidP="00ED046E">
            <w:pPr>
              <w:widowControl/>
              <w:autoSpaceDE/>
              <w:autoSpaceDN/>
              <w:adjustRightInd/>
              <w:ind w:firstLine="118"/>
              <w:rPr>
                <w:rFonts w:asciiTheme="majorHAnsi" w:hAnsiTheme="majorHAnsi"/>
                <w:color w:val="000000"/>
              </w:rPr>
            </w:pPr>
            <w:r w:rsidRPr="00582ECD">
              <w:rPr>
                <w:rFonts w:asciiTheme="majorHAnsi" w:hAnsiTheme="majorHAnsi"/>
                <w:color w:val="000000"/>
              </w:rPr>
              <w:t>Norvège</w:t>
            </w:r>
          </w:p>
        </w:tc>
        <w:tc>
          <w:tcPr>
            <w:tcW w:w="4900" w:type="dxa"/>
            <w:tcMar>
              <w:top w:w="15" w:type="dxa"/>
              <w:left w:w="15" w:type="dxa"/>
              <w:bottom w:w="0" w:type="dxa"/>
              <w:right w:w="15" w:type="dxa"/>
            </w:tcMar>
            <w:vAlign w:val="center"/>
            <w:hideMark/>
          </w:tcPr>
          <w:p w14:paraId="2CF3DCB8" w14:textId="30EB41DD" w:rsidR="00655B33" w:rsidRPr="00582ECD" w:rsidRDefault="00655B33" w:rsidP="00400461">
            <w:pPr>
              <w:jc w:val="center"/>
              <w:rPr>
                <w:rFonts w:asciiTheme="majorHAnsi" w:hAnsiTheme="majorHAnsi"/>
                <w:color w:val="000000"/>
              </w:rPr>
            </w:pPr>
            <w:r w:rsidRPr="00582ECD">
              <w:rPr>
                <w:rFonts w:asciiTheme="majorHAnsi" w:hAnsiTheme="majorHAnsi"/>
                <w:color w:val="000000"/>
              </w:rPr>
              <w:t xml:space="preserve">N/A: le quota n'était pas entièrement utilisé </w:t>
            </w:r>
            <w:r w:rsidR="00342F1C" w:rsidRPr="00582ECD">
              <w:rPr>
                <w:rFonts w:asciiTheme="majorHAnsi" w:hAnsiTheme="majorHAnsi"/>
                <w:color w:val="000000"/>
              </w:rPr>
              <w:t xml:space="preserve">au moment de la </w:t>
            </w:r>
            <w:r w:rsidR="00342F1C">
              <w:rPr>
                <w:rFonts w:asciiTheme="majorHAnsi" w:hAnsiTheme="majorHAnsi"/>
                <w:color w:val="000000"/>
              </w:rPr>
              <w:t>rédaction du présent rapport</w:t>
            </w:r>
          </w:p>
        </w:tc>
      </w:tr>
      <w:tr w:rsidR="00400461" w:rsidRPr="00582ECD" w14:paraId="5DE1BD94" w14:textId="77777777" w:rsidTr="006D1FBF">
        <w:trPr>
          <w:trHeight w:val="194"/>
          <w:jc w:val="center"/>
        </w:trPr>
        <w:tc>
          <w:tcPr>
            <w:tcW w:w="1760" w:type="dxa"/>
            <w:tcMar>
              <w:top w:w="15" w:type="dxa"/>
              <w:left w:w="15" w:type="dxa"/>
              <w:bottom w:w="0" w:type="dxa"/>
              <w:right w:w="15" w:type="dxa"/>
            </w:tcMar>
            <w:vAlign w:val="center"/>
            <w:hideMark/>
          </w:tcPr>
          <w:p w14:paraId="6D3E773C" w14:textId="77777777" w:rsidR="00400461" w:rsidRPr="00582ECD" w:rsidRDefault="00400461" w:rsidP="00400461">
            <w:pPr>
              <w:widowControl/>
              <w:autoSpaceDE/>
              <w:autoSpaceDN/>
              <w:adjustRightInd/>
              <w:ind w:firstLine="118"/>
              <w:rPr>
                <w:rFonts w:asciiTheme="majorHAnsi" w:hAnsiTheme="majorHAnsi"/>
                <w:color w:val="000000"/>
              </w:rPr>
            </w:pPr>
            <w:r w:rsidRPr="00582ECD">
              <w:rPr>
                <w:rFonts w:asciiTheme="majorHAnsi" w:hAnsiTheme="majorHAnsi"/>
                <w:color w:val="000000"/>
              </w:rPr>
              <w:t>Syrie</w:t>
            </w:r>
          </w:p>
        </w:tc>
        <w:tc>
          <w:tcPr>
            <w:tcW w:w="4900" w:type="dxa"/>
            <w:tcMar>
              <w:top w:w="15" w:type="dxa"/>
              <w:left w:w="15" w:type="dxa"/>
              <w:bottom w:w="0" w:type="dxa"/>
              <w:right w:w="15" w:type="dxa"/>
            </w:tcMar>
            <w:vAlign w:val="center"/>
            <w:hideMark/>
          </w:tcPr>
          <w:p w14:paraId="1071193C" w14:textId="122BEEE8" w:rsidR="00400461" w:rsidRPr="00582ECD" w:rsidRDefault="00400461" w:rsidP="00400461">
            <w:pPr>
              <w:jc w:val="center"/>
              <w:rPr>
                <w:rFonts w:asciiTheme="majorHAnsi" w:hAnsiTheme="majorHAnsi"/>
                <w:color w:val="000000"/>
              </w:rPr>
            </w:pPr>
            <w:r w:rsidRPr="00582ECD">
              <w:rPr>
                <w:rFonts w:asciiTheme="majorHAnsi" w:hAnsiTheme="majorHAnsi"/>
                <w:color w:val="000000"/>
              </w:rPr>
              <w:t xml:space="preserve">Aucune information n'a été reçue </w:t>
            </w:r>
            <w:r w:rsidR="00342F1C" w:rsidRPr="00582ECD">
              <w:rPr>
                <w:rFonts w:asciiTheme="majorHAnsi" w:hAnsiTheme="majorHAnsi"/>
                <w:color w:val="000000"/>
              </w:rPr>
              <w:t xml:space="preserve">au moment de la </w:t>
            </w:r>
            <w:r w:rsidR="00342F1C">
              <w:rPr>
                <w:rFonts w:asciiTheme="majorHAnsi" w:hAnsiTheme="majorHAnsi"/>
                <w:color w:val="000000"/>
              </w:rPr>
              <w:t>rédaction du présent rapport</w:t>
            </w:r>
          </w:p>
        </w:tc>
      </w:tr>
      <w:tr w:rsidR="00400461" w:rsidRPr="00582ECD" w14:paraId="439A7372" w14:textId="77777777" w:rsidTr="006D1FBF">
        <w:trPr>
          <w:trHeight w:val="255"/>
          <w:jc w:val="center"/>
        </w:trPr>
        <w:tc>
          <w:tcPr>
            <w:tcW w:w="1760" w:type="dxa"/>
            <w:tcMar>
              <w:top w:w="15" w:type="dxa"/>
              <w:left w:w="15" w:type="dxa"/>
              <w:bottom w:w="0" w:type="dxa"/>
              <w:right w:w="15" w:type="dxa"/>
            </w:tcMar>
            <w:vAlign w:val="center"/>
            <w:hideMark/>
          </w:tcPr>
          <w:p w14:paraId="3832CC1B" w14:textId="77777777" w:rsidR="00400461" w:rsidRPr="00582ECD" w:rsidRDefault="00400461" w:rsidP="00400461">
            <w:pPr>
              <w:widowControl/>
              <w:autoSpaceDE/>
              <w:autoSpaceDN/>
              <w:adjustRightInd/>
              <w:ind w:firstLine="118"/>
              <w:rPr>
                <w:rFonts w:asciiTheme="majorHAnsi" w:hAnsiTheme="majorHAnsi"/>
                <w:color w:val="000000"/>
              </w:rPr>
            </w:pPr>
            <w:r w:rsidRPr="00582ECD">
              <w:rPr>
                <w:rFonts w:asciiTheme="majorHAnsi" w:hAnsiTheme="majorHAnsi"/>
                <w:color w:val="000000"/>
              </w:rPr>
              <w:t>Tunisie</w:t>
            </w:r>
          </w:p>
        </w:tc>
        <w:tc>
          <w:tcPr>
            <w:tcW w:w="4900" w:type="dxa"/>
            <w:tcMar>
              <w:top w:w="15" w:type="dxa"/>
              <w:left w:w="15" w:type="dxa"/>
              <w:bottom w:w="0" w:type="dxa"/>
              <w:right w:w="15" w:type="dxa"/>
            </w:tcMar>
            <w:hideMark/>
          </w:tcPr>
          <w:p w14:paraId="0FCCEC85" w14:textId="5DF25685" w:rsidR="00400461" w:rsidRPr="00582ECD" w:rsidRDefault="00400461" w:rsidP="00400461">
            <w:pPr>
              <w:jc w:val="center"/>
              <w:rPr>
                <w:rFonts w:asciiTheme="majorHAnsi" w:hAnsiTheme="majorHAnsi"/>
                <w:color w:val="000000"/>
              </w:rPr>
            </w:pPr>
            <w:r w:rsidRPr="00582ECD">
              <w:rPr>
                <w:rFonts w:asciiTheme="majorHAnsi" w:hAnsiTheme="majorHAnsi"/>
              </w:rPr>
              <w:t>Le 29 juin 2026</w:t>
            </w:r>
          </w:p>
        </w:tc>
      </w:tr>
      <w:tr w:rsidR="00400461" w:rsidRPr="00582ECD" w14:paraId="4CEF332A" w14:textId="77777777" w:rsidTr="006D1FBF">
        <w:trPr>
          <w:trHeight w:val="255"/>
          <w:jc w:val="center"/>
        </w:trPr>
        <w:tc>
          <w:tcPr>
            <w:tcW w:w="1760" w:type="dxa"/>
            <w:tcMar>
              <w:top w:w="15" w:type="dxa"/>
              <w:left w:w="15" w:type="dxa"/>
              <w:bottom w:w="0" w:type="dxa"/>
              <w:right w:w="15" w:type="dxa"/>
            </w:tcMar>
            <w:vAlign w:val="center"/>
            <w:hideMark/>
          </w:tcPr>
          <w:p w14:paraId="174BC10C" w14:textId="77777777" w:rsidR="00400461" w:rsidRPr="00582ECD" w:rsidRDefault="00400461" w:rsidP="00400461">
            <w:pPr>
              <w:widowControl/>
              <w:autoSpaceDE/>
              <w:autoSpaceDN/>
              <w:adjustRightInd/>
              <w:ind w:firstLine="118"/>
              <w:rPr>
                <w:rFonts w:asciiTheme="majorHAnsi" w:hAnsiTheme="majorHAnsi"/>
                <w:color w:val="000000"/>
              </w:rPr>
            </w:pPr>
            <w:r w:rsidRPr="00582ECD">
              <w:rPr>
                <w:rFonts w:asciiTheme="majorHAnsi" w:hAnsiTheme="majorHAnsi"/>
                <w:color w:val="000000"/>
              </w:rPr>
              <w:t>Türkiye</w:t>
            </w:r>
          </w:p>
        </w:tc>
        <w:tc>
          <w:tcPr>
            <w:tcW w:w="4900" w:type="dxa"/>
            <w:tcMar>
              <w:top w:w="15" w:type="dxa"/>
              <w:left w:w="15" w:type="dxa"/>
              <w:bottom w:w="0" w:type="dxa"/>
              <w:right w:w="15" w:type="dxa"/>
            </w:tcMar>
            <w:hideMark/>
          </w:tcPr>
          <w:p w14:paraId="50399AA9" w14:textId="34EE119F" w:rsidR="00400461" w:rsidRPr="00582ECD" w:rsidRDefault="00400461" w:rsidP="00400461">
            <w:pPr>
              <w:jc w:val="center"/>
              <w:rPr>
                <w:rFonts w:asciiTheme="majorHAnsi" w:hAnsiTheme="majorHAnsi"/>
                <w:color w:val="000000"/>
              </w:rPr>
            </w:pPr>
            <w:r w:rsidRPr="00582ECD">
              <w:rPr>
                <w:rFonts w:asciiTheme="majorHAnsi" w:hAnsiTheme="majorHAnsi"/>
              </w:rPr>
              <w:t>Le 16 juin 2026</w:t>
            </w:r>
          </w:p>
        </w:tc>
      </w:tr>
      <w:tr w:rsidR="00400461" w:rsidRPr="00582ECD" w14:paraId="22FF0DB6" w14:textId="77777777" w:rsidTr="00ED046E">
        <w:trPr>
          <w:trHeight w:val="270"/>
          <w:jc w:val="center"/>
        </w:trPr>
        <w:tc>
          <w:tcPr>
            <w:tcW w:w="1760" w:type="dxa"/>
            <w:tcMar>
              <w:top w:w="15" w:type="dxa"/>
              <w:left w:w="15" w:type="dxa"/>
              <w:bottom w:w="0" w:type="dxa"/>
              <w:right w:w="15" w:type="dxa"/>
            </w:tcMar>
            <w:vAlign w:val="center"/>
            <w:hideMark/>
          </w:tcPr>
          <w:p w14:paraId="0F8AB012" w14:textId="77777777" w:rsidR="00400461" w:rsidRPr="00582ECD" w:rsidRDefault="00400461" w:rsidP="00400461">
            <w:pPr>
              <w:widowControl/>
              <w:autoSpaceDE/>
              <w:autoSpaceDN/>
              <w:adjustRightInd/>
              <w:ind w:firstLine="118"/>
              <w:rPr>
                <w:rFonts w:asciiTheme="majorHAnsi" w:hAnsiTheme="majorHAnsi"/>
                <w:color w:val="000000"/>
              </w:rPr>
            </w:pPr>
            <w:r w:rsidRPr="00582ECD">
              <w:rPr>
                <w:rFonts w:asciiTheme="majorHAnsi" w:hAnsiTheme="majorHAnsi"/>
                <w:color w:val="000000"/>
              </w:rPr>
              <w:t>Taipei chinois</w:t>
            </w:r>
          </w:p>
        </w:tc>
        <w:tc>
          <w:tcPr>
            <w:tcW w:w="4900" w:type="dxa"/>
            <w:tcMar>
              <w:top w:w="15" w:type="dxa"/>
              <w:left w:w="15" w:type="dxa"/>
              <w:bottom w:w="0" w:type="dxa"/>
              <w:right w:w="15" w:type="dxa"/>
            </w:tcMar>
            <w:vAlign w:val="center"/>
            <w:hideMark/>
          </w:tcPr>
          <w:p w14:paraId="569165E6" w14:textId="5393BB2D" w:rsidR="00400461" w:rsidRPr="00582ECD" w:rsidRDefault="00400461" w:rsidP="00400461">
            <w:pPr>
              <w:jc w:val="center"/>
              <w:rPr>
                <w:rFonts w:asciiTheme="majorHAnsi" w:hAnsiTheme="majorHAnsi"/>
                <w:color w:val="000000"/>
              </w:rPr>
            </w:pPr>
            <w:r w:rsidRPr="00582ECD">
              <w:rPr>
                <w:rFonts w:asciiTheme="majorHAnsi" w:hAnsiTheme="majorHAnsi"/>
                <w:color w:val="000000"/>
              </w:rPr>
              <w:t>N/A: le quota n'était pas entièrement utilisé</w:t>
            </w:r>
            <w:r w:rsidR="00342F1C" w:rsidRPr="00582ECD">
              <w:rPr>
                <w:rFonts w:asciiTheme="majorHAnsi" w:hAnsiTheme="majorHAnsi"/>
                <w:color w:val="000000"/>
              </w:rPr>
              <w:t xml:space="preserve"> </w:t>
            </w:r>
            <w:r w:rsidR="00342F1C" w:rsidRPr="00582ECD">
              <w:rPr>
                <w:rFonts w:asciiTheme="majorHAnsi" w:hAnsiTheme="majorHAnsi"/>
                <w:color w:val="000000"/>
              </w:rPr>
              <w:t xml:space="preserve">au moment de la </w:t>
            </w:r>
            <w:r w:rsidR="00342F1C">
              <w:rPr>
                <w:rFonts w:asciiTheme="majorHAnsi" w:hAnsiTheme="majorHAnsi"/>
                <w:color w:val="000000"/>
              </w:rPr>
              <w:t>rédaction du présent rapport</w:t>
            </w:r>
          </w:p>
        </w:tc>
      </w:tr>
    </w:tbl>
    <w:p w14:paraId="39C104F0" w14:textId="77777777" w:rsidR="00983D1E" w:rsidRPr="00582ECD" w:rsidRDefault="00983D1E" w:rsidP="004B2E75">
      <w:pPr>
        <w:tabs>
          <w:tab w:val="left" w:pos="1276"/>
          <w:tab w:val="left" w:pos="1418"/>
          <w:tab w:val="left" w:leader="dot" w:pos="8222"/>
          <w:tab w:val="right" w:pos="8647"/>
        </w:tabs>
        <w:jc w:val="both"/>
        <w:rPr>
          <w:rFonts w:asciiTheme="majorHAnsi" w:hAnsiTheme="majorHAnsi"/>
          <w:b/>
          <w:i/>
        </w:rPr>
      </w:pPr>
    </w:p>
    <w:p w14:paraId="1C95B921" w14:textId="72EAF7C3" w:rsidR="004B2E75" w:rsidRPr="00582ECD" w:rsidRDefault="00655B33" w:rsidP="004B2E75">
      <w:pPr>
        <w:tabs>
          <w:tab w:val="left" w:pos="1276"/>
          <w:tab w:val="left" w:pos="1418"/>
          <w:tab w:val="left" w:leader="dot" w:pos="8222"/>
          <w:tab w:val="right" w:pos="8647"/>
        </w:tabs>
        <w:jc w:val="both"/>
        <w:rPr>
          <w:rFonts w:asciiTheme="majorHAnsi" w:hAnsiTheme="majorHAnsi"/>
          <w:b/>
        </w:rPr>
      </w:pPr>
      <w:r w:rsidRPr="00582ECD">
        <w:rPr>
          <w:rFonts w:asciiTheme="majorHAnsi" w:hAnsiTheme="majorHAnsi"/>
          <w:b/>
          <w:i/>
        </w:rPr>
        <w:t xml:space="preserve">Rapports </w:t>
      </w:r>
      <w:r w:rsidR="006333AB" w:rsidRPr="00733CB5">
        <w:rPr>
          <w:rFonts w:asciiTheme="majorHAnsi" w:hAnsiTheme="majorHAnsi"/>
          <w:b/>
          <w:bCs/>
          <w:i/>
        </w:rPr>
        <w:t>bimensuel</w:t>
      </w:r>
      <w:r w:rsidR="006333AB" w:rsidRPr="00733CB5">
        <w:rPr>
          <w:rFonts w:asciiTheme="majorHAnsi" w:hAnsiTheme="majorHAnsi"/>
          <w:b/>
          <w:bCs/>
          <w:i/>
        </w:rPr>
        <w:t>s</w:t>
      </w:r>
      <w:r w:rsidRPr="00582ECD">
        <w:rPr>
          <w:rFonts w:asciiTheme="majorHAnsi" w:hAnsiTheme="majorHAnsi"/>
          <w:b/>
          <w:i/>
        </w:rPr>
        <w:t xml:space="preserve"> de capture : </w:t>
      </w:r>
      <w:r w:rsidRPr="00582ECD">
        <w:rPr>
          <w:rFonts w:asciiTheme="majorHAnsi" w:hAnsiTheme="majorHAnsi"/>
        </w:rPr>
        <w:t xml:space="preserve">Veuillez consulter le </w:t>
      </w:r>
      <w:r w:rsidRPr="00582ECD">
        <w:rPr>
          <w:rFonts w:asciiTheme="majorHAnsi" w:hAnsiTheme="majorHAnsi"/>
          <w:b/>
          <w:bCs/>
        </w:rPr>
        <w:t>t</w:t>
      </w:r>
      <w:r w:rsidRPr="00582ECD">
        <w:rPr>
          <w:rFonts w:asciiTheme="majorHAnsi" w:hAnsiTheme="majorHAnsi"/>
          <w:b/>
        </w:rPr>
        <w:t>ableau 8.</w:t>
      </w:r>
      <w:r w:rsidRPr="00582ECD">
        <w:rPr>
          <w:rFonts w:asciiTheme="majorHAnsi" w:hAnsiTheme="majorHAnsi"/>
        </w:rPr>
        <w:t xml:space="preserve"> </w:t>
      </w:r>
    </w:p>
    <w:p w14:paraId="6F754649" w14:textId="77777777" w:rsidR="004B2E75" w:rsidRPr="00582ECD" w:rsidRDefault="004B2E75" w:rsidP="00C30FAB">
      <w:pPr>
        <w:tabs>
          <w:tab w:val="left" w:pos="1276"/>
          <w:tab w:val="left" w:pos="1418"/>
          <w:tab w:val="left" w:leader="dot" w:pos="8222"/>
          <w:tab w:val="right" w:pos="8647"/>
        </w:tabs>
        <w:jc w:val="both"/>
        <w:rPr>
          <w:rFonts w:asciiTheme="majorHAnsi" w:hAnsiTheme="majorHAnsi"/>
          <w:i/>
        </w:rPr>
      </w:pPr>
    </w:p>
    <w:p w14:paraId="190079E5" w14:textId="24507F43" w:rsidR="00BD7007" w:rsidRPr="00582ECD" w:rsidRDefault="003716E6" w:rsidP="00820485">
      <w:pPr>
        <w:tabs>
          <w:tab w:val="left" w:pos="1276"/>
          <w:tab w:val="left" w:pos="1418"/>
          <w:tab w:val="left" w:leader="dot" w:pos="8222"/>
          <w:tab w:val="right" w:pos="8647"/>
        </w:tabs>
        <w:jc w:val="both"/>
        <w:rPr>
          <w:rFonts w:asciiTheme="majorHAnsi" w:hAnsiTheme="majorHAnsi"/>
        </w:rPr>
      </w:pPr>
      <w:r w:rsidRPr="00582ECD">
        <w:rPr>
          <w:rFonts w:asciiTheme="majorHAnsi" w:hAnsiTheme="majorHAnsi"/>
          <w:b/>
          <w:bCs/>
          <w:i/>
          <w:iCs/>
        </w:rPr>
        <w:t>Application des q</w:t>
      </w:r>
      <w:r w:rsidRPr="00582ECD">
        <w:rPr>
          <w:rFonts w:asciiTheme="majorHAnsi" w:hAnsiTheme="majorHAnsi"/>
          <w:b/>
          <w:i/>
        </w:rPr>
        <w:t>uotas/li</w:t>
      </w:r>
      <w:r w:rsidRPr="00582ECD">
        <w:rPr>
          <w:rFonts w:asciiTheme="majorHAnsi" w:hAnsiTheme="majorHAnsi"/>
          <w:b/>
          <w:bCs/>
          <w:i/>
          <w:iCs/>
        </w:rPr>
        <w:t>mites de capture :</w:t>
      </w:r>
      <w:r w:rsidRPr="00582ECD">
        <w:rPr>
          <w:rFonts w:asciiTheme="majorHAnsi" w:hAnsiTheme="majorHAnsi"/>
          <w:i/>
        </w:rPr>
        <w:t xml:space="preserve"> </w:t>
      </w:r>
      <w:r w:rsidRPr="00582ECD">
        <w:rPr>
          <w:rFonts w:asciiTheme="majorHAnsi" w:hAnsiTheme="majorHAnsi"/>
        </w:rPr>
        <w:t>Veuillez consulter les</w:t>
      </w:r>
      <w:r w:rsidR="00CB0ED1">
        <w:rPr>
          <w:rFonts w:asciiTheme="majorHAnsi" w:hAnsiTheme="majorHAnsi"/>
        </w:rPr>
        <w:t xml:space="preserve"> « </w:t>
      </w:r>
      <w:r w:rsidRPr="00582ECD">
        <w:rPr>
          <w:rFonts w:asciiTheme="majorHAnsi" w:hAnsiTheme="majorHAnsi"/>
        </w:rPr>
        <w:t>Tableaux d'application 2025 reçus en 2026</w:t>
      </w:r>
      <w:r w:rsidR="00CB0ED1">
        <w:rPr>
          <w:rFonts w:asciiTheme="majorHAnsi" w:hAnsiTheme="majorHAnsi"/>
        </w:rPr>
        <w:t> »</w:t>
      </w:r>
      <w:r w:rsidRPr="00582ECD">
        <w:rPr>
          <w:rFonts w:asciiTheme="majorHAnsi" w:hAnsiTheme="majorHAnsi"/>
        </w:rPr>
        <w:t xml:space="preserve"> [COC_304/2026].</w:t>
      </w:r>
    </w:p>
    <w:p w14:paraId="61E2ED04" w14:textId="77777777" w:rsidR="00BD7007" w:rsidRPr="00582ECD" w:rsidRDefault="00BD7007" w:rsidP="00820485">
      <w:pPr>
        <w:tabs>
          <w:tab w:val="left" w:pos="1276"/>
          <w:tab w:val="left" w:pos="1418"/>
          <w:tab w:val="left" w:leader="dot" w:pos="8222"/>
          <w:tab w:val="right" w:pos="8647"/>
        </w:tabs>
        <w:jc w:val="both"/>
        <w:rPr>
          <w:rFonts w:asciiTheme="majorHAnsi" w:hAnsiTheme="majorHAnsi"/>
        </w:rPr>
      </w:pPr>
    </w:p>
    <w:p w14:paraId="3CA79ABE" w14:textId="6730338D" w:rsidR="00BD7007" w:rsidRPr="00582ECD" w:rsidRDefault="00BD7007" w:rsidP="00BD7007">
      <w:pPr>
        <w:jc w:val="both"/>
        <w:rPr>
          <w:rFonts w:asciiTheme="majorHAnsi" w:hAnsiTheme="majorHAnsi"/>
          <w:bCs/>
        </w:rPr>
      </w:pPr>
      <w:r w:rsidRPr="00582ECD">
        <w:rPr>
          <w:rFonts w:asciiTheme="majorHAnsi" w:hAnsiTheme="majorHAnsi"/>
          <w:b/>
          <w:i/>
        </w:rPr>
        <w:t xml:space="preserve">Registre ICCAT des navires de capture de thon rouge / d’autres navires de thon rouge : </w:t>
      </w:r>
      <w:r w:rsidRPr="00582ECD">
        <w:rPr>
          <w:rFonts w:asciiTheme="majorHAnsi" w:hAnsiTheme="majorHAnsi"/>
        </w:rPr>
        <w:t xml:space="preserve">La liste des navires autorisés figure dans le </w:t>
      </w:r>
      <w:hyperlink r:id="rId21" w:history="1">
        <w:r w:rsidRPr="00582ECD">
          <w:rPr>
            <w:rStyle w:val="Hyperlink"/>
            <w:rFonts w:asciiTheme="majorHAnsi" w:hAnsiTheme="majorHAnsi"/>
            <w:u w:val="none"/>
          </w:rPr>
          <w:t>Registre des navires de l’ICCAT</w:t>
        </w:r>
      </w:hyperlink>
      <w:r w:rsidRPr="00582ECD">
        <w:rPr>
          <w:rFonts w:asciiTheme="majorHAnsi" w:hAnsiTheme="majorHAnsi"/>
        </w:rPr>
        <w:t>. Des informations concernant la liste des navires ayant pêché l'année précédente figure à l'</w:t>
      </w:r>
      <w:r w:rsidRPr="00582ECD">
        <w:rPr>
          <w:rFonts w:asciiTheme="majorHAnsi" w:hAnsiTheme="majorHAnsi"/>
          <w:b/>
          <w:bCs/>
        </w:rPr>
        <w:t>annexe 4</w:t>
      </w:r>
      <w:r w:rsidRPr="00582ECD">
        <w:rPr>
          <w:rFonts w:asciiTheme="majorHAnsi" w:hAnsiTheme="majorHAnsi"/>
        </w:rPr>
        <w:t xml:space="preserve">. </w:t>
      </w:r>
    </w:p>
    <w:p w14:paraId="381D08BF" w14:textId="77777777" w:rsidR="00655B33" w:rsidRPr="00582ECD" w:rsidRDefault="00655B33" w:rsidP="00BD7007">
      <w:pPr>
        <w:jc w:val="both"/>
        <w:rPr>
          <w:rFonts w:asciiTheme="majorHAnsi" w:hAnsiTheme="majorHAnsi"/>
          <w:bCs/>
        </w:rPr>
      </w:pPr>
    </w:p>
    <w:p w14:paraId="7605D5E7" w14:textId="3F368968" w:rsidR="00655B33" w:rsidRPr="00582ECD" w:rsidRDefault="00655B33" w:rsidP="00655B33">
      <w:pPr>
        <w:tabs>
          <w:tab w:val="left" w:pos="1276"/>
          <w:tab w:val="left" w:pos="1418"/>
          <w:tab w:val="left" w:leader="dot" w:pos="8222"/>
          <w:tab w:val="right" w:pos="8647"/>
        </w:tabs>
        <w:jc w:val="both"/>
        <w:rPr>
          <w:rFonts w:asciiTheme="majorHAnsi" w:hAnsiTheme="majorHAnsi"/>
        </w:rPr>
      </w:pPr>
      <w:r w:rsidRPr="00582ECD">
        <w:rPr>
          <w:rFonts w:asciiTheme="majorHAnsi" w:hAnsiTheme="majorHAnsi"/>
          <w:b/>
          <w:bCs/>
          <w:i/>
          <w:iCs/>
        </w:rPr>
        <w:t>Registre des établissements d’engraissement du thon rouge de l’ICCAT :</w:t>
      </w:r>
      <w:r w:rsidRPr="00582ECD">
        <w:rPr>
          <w:rFonts w:asciiTheme="majorHAnsi" w:hAnsiTheme="majorHAnsi"/>
        </w:rPr>
        <w:t xml:space="preserve"> Le registre ICCAT des fermes, contenant actuellement 74 fermes, est publié sur la </w:t>
      </w:r>
      <w:hyperlink r:id="rId22" w:history="1">
        <w:r w:rsidRPr="00582ECD">
          <w:rPr>
            <w:rStyle w:val="Hyperlink"/>
            <w:rFonts w:asciiTheme="majorHAnsi" w:hAnsiTheme="majorHAnsi"/>
            <w:u w:val="none"/>
          </w:rPr>
          <w:t>page web de l’IC</w:t>
        </w:r>
        <w:r w:rsidRPr="00582ECD">
          <w:rPr>
            <w:rStyle w:val="Hyperlink"/>
            <w:rFonts w:asciiTheme="majorHAnsi" w:hAnsiTheme="majorHAnsi"/>
            <w:u w:val="none"/>
          </w:rPr>
          <w:t>CAT</w:t>
        </w:r>
      </w:hyperlink>
      <w:r w:rsidRPr="00582ECD">
        <w:rPr>
          <w:rStyle w:val="Hyperlink"/>
          <w:rFonts w:asciiTheme="majorHAnsi" w:hAnsiTheme="majorHAnsi"/>
          <w:color w:val="auto"/>
          <w:u w:val="none"/>
        </w:rPr>
        <w:t>.</w:t>
      </w:r>
      <w:r w:rsidRPr="00582ECD">
        <w:rPr>
          <w:rFonts w:asciiTheme="majorHAnsi" w:hAnsiTheme="majorHAnsi"/>
        </w:rPr>
        <w:t xml:space="preserve"> Les listes/autorisations annuelles ne sont pas nécessaires.  Nombre des fermes répertoriées sur le site web de l’ICCAT comme étant autorisées à opérer ne participent pas au Programme régional d’observateurs de l’ICCAT (ROP-BFT).</w:t>
      </w:r>
    </w:p>
    <w:p w14:paraId="30731AC2" w14:textId="77777777" w:rsidR="00655B33" w:rsidRPr="00582ECD" w:rsidRDefault="00655B33" w:rsidP="00655B33">
      <w:pPr>
        <w:tabs>
          <w:tab w:val="left" w:pos="1276"/>
          <w:tab w:val="left" w:pos="1418"/>
          <w:tab w:val="left" w:leader="dot" w:pos="8222"/>
          <w:tab w:val="right" w:pos="8647"/>
        </w:tabs>
        <w:jc w:val="both"/>
        <w:rPr>
          <w:rFonts w:asciiTheme="majorHAnsi" w:hAnsiTheme="majorHAnsi"/>
        </w:rPr>
      </w:pPr>
    </w:p>
    <w:p w14:paraId="4E2975EC" w14:textId="2F8BFB2F" w:rsidR="00655B33" w:rsidRPr="00582ECD" w:rsidRDefault="00655B33" w:rsidP="00655B33">
      <w:pPr>
        <w:pStyle w:val="wordsection1"/>
        <w:spacing w:before="0" w:beforeAutospacing="0" w:after="0" w:afterAutospacing="0"/>
        <w:jc w:val="both"/>
        <w:rPr>
          <w:rFonts w:asciiTheme="majorHAnsi" w:hAnsiTheme="majorHAnsi"/>
          <w:sz w:val="20"/>
          <w:szCs w:val="20"/>
        </w:rPr>
      </w:pPr>
      <w:r w:rsidRPr="00582ECD">
        <w:rPr>
          <w:rFonts w:asciiTheme="majorHAnsi" w:hAnsiTheme="majorHAnsi"/>
          <w:b/>
          <w:i/>
          <w:iCs/>
          <w:sz w:val="20"/>
        </w:rPr>
        <w:t>Rapports d'élevage / déclarations de mise en cage / report de poissons mis en cage :</w:t>
      </w:r>
      <w:r w:rsidRPr="00582ECD">
        <w:rPr>
          <w:rFonts w:asciiTheme="majorHAnsi" w:hAnsiTheme="majorHAnsi"/>
          <w:b/>
          <w:sz w:val="20"/>
        </w:rPr>
        <w:t xml:space="preserve"> </w:t>
      </w:r>
      <w:r w:rsidRPr="00582ECD">
        <w:rPr>
          <w:rFonts w:asciiTheme="majorHAnsi" w:hAnsiTheme="majorHAnsi"/>
          <w:color w:val="000000"/>
          <w:sz w:val="20"/>
        </w:rPr>
        <w:t>Selon les déclarations reçues au Secrétariat de l’ICCAT, aucune mise en cage n'a eu lieu après le 22 août 2026.</w:t>
      </w:r>
      <w:r w:rsidRPr="00582ECD">
        <w:rPr>
          <w:rFonts w:asciiTheme="majorHAnsi" w:hAnsiTheme="majorHAnsi"/>
          <w:b/>
          <w:color w:val="000000"/>
          <w:sz w:val="20"/>
        </w:rPr>
        <w:t xml:space="preserve"> </w:t>
      </w:r>
      <w:r w:rsidRPr="00582ECD">
        <w:rPr>
          <w:rFonts w:asciiTheme="majorHAnsi" w:hAnsiTheme="majorHAnsi"/>
          <w:sz w:val="20"/>
        </w:rPr>
        <w:t xml:space="preserve">Le report du poisson mis en cage a été signalé par l'UE et la Türkiye, comme le montre le </w:t>
      </w:r>
      <w:r w:rsidRPr="00582ECD">
        <w:rPr>
          <w:rFonts w:asciiTheme="majorHAnsi" w:hAnsiTheme="majorHAnsi"/>
          <w:b/>
          <w:bCs/>
          <w:sz w:val="20"/>
        </w:rPr>
        <w:t>tableau 9</w:t>
      </w:r>
      <w:r w:rsidRPr="00582ECD">
        <w:rPr>
          <w:rFonts w:asciiTheme="majorHAnsi" w:hAnsiTheme="majorHAnsi"/>
          <w:sz w:val="20"/>
        </w:rPr>
        <w:t>. L’Albanie, le Maroc et la Tunisie ont indiqué qu’aucun poisson n’avait été reporté de 2025 à 2026.</w:t>
      </w:r>
    </w:p>
    <w:p w14:paraId="390F7350" w14:textId="77777777" w:rsidR="00535819" w:rsidRPr="00582ECD" w:rsidRDefault="00535819" w:rsidP="00655B33">
      <w:pPr>
        <w:pStyle w:val="wordsection1"/>
        <w:spacing w:before="0" w:beforeAutospacing="0" w:after="0" w:afterAutospacing="0"/>
        <w:jc w:val="both"/>
        <w:rPr>
          <w:rFonts w:asciiTheme="majorHAnsi" w:hAnsiTheme="majorHAnsi"/>
          <w:sz w:val="20"/>
          <w:szCs w:val="20"/>
        </w:rPr>
      </w:pPr>
    </w:p>
    <w:p w14:paraId="30546A41" w14:textId="024C5FF4" w:rsidR="002616C9" w:rsidRDefault="00535819" w:rsidP="002616C9">
      <w:pPr>
        <w:jc w:val="both"/>
        <w:rPr>
          <w:rFonts w:asciiTheme="majorHAnsi" w:hAnsiTheme="majorHAnsi"/>
          <w:b/>
          <w:bCs/>
          <w:i/>
        </w:rPr>
      </w:pPr>
      <w:r w:rsidRPr="00582ECD">
        <w:rPr>
          <w:rFonts w:asciiTheme="majorHAnsi" w:hAnsiTheme="majorHAnsi"/>
          <w:b/>
          <w:i/>
        </w:rPr>
        <w:t xml:space="preserve">Transferts à l’intérieur des fermes et contrôles aléatoires : </w:t>
      </w:r>
      <w:r w:rsidRPr="00582ECD">
        <w:rPr>
          <w:rFonts w:asciiTheme="majorHAnsi" w:hAnsiTheme="majorHAnsi"/>
        </w:rPr>
        <w:t xml:space="preserve">Conformément au paragraphe 218 de la Rec. 25-04, 18 fermes sous pavillon de trois CPC ont communiqué au Secrétariat de l’ICCAT les résultats des contrôles aléatoires réalisés dans leurs installations de ferme de thon rouge. Comme le résume le </w:t>
      </w:r>
      <w:r w:rsidRPr="00582ECD">
        <w:rPr>
          <w:rFonts w:asciiTheme="majorHAnsi" w:hAnsiTheme="majorHAnsi"/>
          <w:b/>
          <w:bCs/>
        </w:rPr>
        <w:t>tableau</w:t>
      </w:r>
      <w:r w:rsidR="002616C9">
        <w:rPr>
          <w:rFonts w:asciiTheme="majorHAnsi" w:hAnsiTheme="majorHAnsi"/>
          <w:b/>
          <w:bCs/>
        </w:rPr>
        <w:t> </w:t>
      </w:r>
      <w:r w:rsidRPr="00582ECD">
        <w:rPr>
          <w:rFonts w:asciiTheme="majorHAnsi" w:hAnsiTheme="majorHAnsi"/>
          <w:b/>
          <w:bCs/>
        </w:rPr>
        <w:t>11</w:t>
      </w:r>
      <w:r w:rsidRPr="00582ECD">
        <w:rPr>
          <w:rFonts w:asciiTheme="majorHAnsi" w:hAnsiTheme="majorHAnsi"/>
        </w:rPr>
        <w:t xml:space="preserve">, 8 rapports au total ont été soumis au cours de la période allant du 28 mars au 15 septembre 2026 pour les années 2025 et 2026. </w:t>
      </w:r>
      <w:r w:rsidR="002616C9">
        <w:rPr>
          <w:rFonts w:asciiTheme="majorHAnsi" w:hAnsiTheme="majorHAnsi"/>
          <w:b/>
          <w:bCs/>
          <w:i/>
        </w:rPr>
        <w:br w:type="page"/>
      </w:r>
    </w:p>
    <w:p w14:paraId="713113CC" w14:textId="1D5BE3BB" w:rsidR="00655B33" w:rsidRPr="00582ECD" w:rsidRDefault="00655B33" w:rsidP="00655B33">
      <w:pPr>
        <w:tabs>
          <w:tab w:val="left" w:pos="1276"/>
          <w:tab w:val="left" w:pos="1418"/>
          <w:tab w:val="left" w:leader="dot" w:pos="8222"/>
          <w:tab w:val="right" w:pos="8647"/>
        </w:tabs>
        <w:jc w:val="both"/>
        <w:rPr>
          <w:rFonts w:asciiTheme="majorHAnsi" w:hAnsiTheme="majorHAnsi"/>
        </w:rPr>
      </w:pPr>
      <w:r w:rsidRPr="00582ECD">
        <w:rPr>
          <w:rFonts w:asciiTheme="majorHAnsi" w:hAnsiTheme="majorHAnsi"/>
          <w:b/>
          <w:bCs/>
          <w:i/>
        </w:rPr>
        <w:lastRenderedPageBreak/>
        <w:t>Listes de ports autorisés :</w:t>
      </w:r>
      <w:r w:rsidRPr="00582ECD">
        <w:rPr>
          <w:rFonts w:asciiTheme="majorHAnsi" w:hAnsiTheme="majorHAnsi"/>
          <w:i/>
        </w:rPr>
        <w:t xml:space="preserve"> </w:t>
      </w:r>
      <w:r w:rsidRPr="00582ECD">
        <w:rPr>
          <w:rFonts w:asciiTheme="majorHAnsi" w:hAnsiTheme="majorHAnsi"/>
        </w:rPr>
        <w:t>Il existe actuellement 1</w:t>
      </w:r>
      <w:r w:rsidR="00722C7E">
        <w:rPr>
          <w:rFonts w:asciiTheme="majorHAnsi" w:hAnsiTheme="majorHAnsi"/>
        </w:rPr>
        <w:t>.</w:t>
      </w:r>
      <w:r w:rsidRPr="00582ECD">
        <w:rPr>
          <w:rFonts w:asciiTheme="majorHAnsi" w:hAnsiTheme="majorHAnsi"/>
        </w:rPr>
        <w:t xml:space="preserve">111 ports (110 de plus qu’en 2025) inscrits au Registre ICCAT des ports autorisés à des fins de débarquement et/ou transbordement de thon rouge de l’Atlantique Est et de la Méditerranée, publiés sur la </w:t>
      </w:r>
      <w:hyperlink r:id="rId23" w:history="1">
        <w:r w:rsidRPr="00582ECD">
          <w:rPr>
            <w:rStyle w:val="Hyperlink"/>
            <w:rFonts w:asciiTheme="majorHAnsi" w:hAnsiTheme="majorHAnsi"/>
            <w:u w:val="none"/>
          </w:rPr>
          <w:t>page web de l’ICCAT</w:t>
        </w:r>
      </w:hyperlink>
      <w:r w:rsidRPr="00582ECD">
        <w:rPr>
          <w:rFonts w:asciiTheme="majorHAnsi" w:hAnsiTheme="majorHAnsi"/>
        </w:rPr>
        <w:t>.</w:t>
      </w:r>
    </w:p>
    <w:p w14:paraId="7D6C9E81" w14:textId="73709C29" w:rsidR="00983D1E" w:rsidRPr="00582ECD" w:rsidRDefault="00983D1E">
      <w:pPr>
        <w:widowControl/>
        <w:autoSpaceDE/>
        <w:autoSpaceDN/>
        <w:adjustRightInd/>
        <w:rPr>
          <w:rFonts w:asciiTheme="majorHAnsi" w:hAnsiTheme="majorHAnsi"/>
          <w:b/>
          <w:i/>
        </w:rPr>
      </w:pPr>
    </w:p>
    <w:p w14:paraId="66C45052" w14:textId="51E29B4C" w:rsidR="00BD7007" w:rsidRPr="00582ECD" w:rsidRDefault="00655B33" w:rsidP="00820485">
      <w:pPr>
        <w:tabs>
          <w:tab w:val="left" w:pos="1276"/>
          <w:tab w:val="left" w:pos="1418"/>
          <w:tab w:val="left" w:leader="dot" w:pos="8222"/>
          <w:tab w:val="right" w:pos="8647"/>
        </w:tabs>
        <w:jc w:val="both"/>
        <w:rPr>
          <w:rFonts w:asciiTheme="majorHAnsi" w:hAnsiTheme="majorHAnsi"/>
        </w:rPr>
      </w:pPr>
      <w:r w:rsidRPr="00582ECD">
        <w:rPr>
          <w:rFonts w:asciiTheme="majorHAnsi" w:hAnsiTheme="majorHAnsi"/>
          <w:b/>
          <w:i/>
        </w:rPr>
        <w:t xml:space="preserve">Listes des madragues </w:t>
      </w:r>
      <w:r w:rsidRPr="00582ECD">
        <w:rPr>
          <w:rFonts w:asciiTheme="majorHAnsi" w:hAnsiTheme="majorHAnsi"/>
          <w:i/>
        </w:rPr>
        <w:t xml:space="preserve">: </w:t>
      </w:r>
      <w:r w:rsidRPr="00582ECD">
        <w:rPr>
          <w:rFonts w:asciiTheme="majorHAnsi" w:hAnsiTheme="majorHAnsi"/>
        </w:rPr>
        <w:t xml:space="preserve">Il existe actuellement 33 madragues inscrites au Registre ICCAT des madragues autorisées à capturer du thon rouge de l'Atlantique Est et de la Méditerranée, publié sur le </w:t>
      </w:r>
      <w:hyperlink r:id="rId24" w:history="1">
        <w:r w:rsidRPr="00582ECD">
          <w:rPr>
            <w:rStyle w:val="Hyperlink"/>
            <w:rFonts w:asciiTheme="majorHAnsi" w:hAnsiTheme="majorHAnsi"/>
            <w:u w:val="none"/>
          </w:rPr>
          <w:t>site web de l’ICCAT</w:t>
        </w:r>
      </w:hyperlink>
      <w:r w:rsidRPr="00582ECD">
        <w:rPr>
          <w:rFonts w:asciiTheme="majorHAnsi" w:hAnsiTheme="majorHAnsi"/>
        </w:rPr>
        <w:t>.</w:t>
      </w:r>
    </w:p>
    <w:p w14:paraId="77443963" w14:textId="77777777" w:rsidR="00D26C9B" w:rsidRPr="00582ECD" w:rsidRDefault="00D26C9B" w:rsidP="00820485">
      <w:pPr>
        <w:tabs>
          <w:tab w:val="left" w:pos="1276"/>
          <w:tab w:val="left" w:pos="1418"/>
          <w:tab w:val="left" w:leader="dot" w:pos="8222"/>
          <w:tab w:val="right" w:pos="8647"/>
        </w:tabs>
        <w:jc w:val="both"/>
        <w:rPr>
          <w:rFonts w:asciiTheme="majorHAnsi" w:hAnsiTheme="majorHAnsi"/>
        </w:rPr>
      </w:pPr>
    </w:p>
    <w:p w14:paraId="4D53F026" w14:textId="729F3EE8" w:rsidR="002D61E1" w:rsidRPr="00582ECD" w:rsidRDefault="00795BCA" w:rsidP="00820485">
      <w:pPr>
        <w:jc w:val="both"/>
        <w:rPr>
          <w:rFonts w:asciiTheme="majorHAnsi" w:hAnsiTheme="majorHAnsi"/>
        </w:rPr>
      </w:pPr>
      <w:r w:rsidRPr="00582ECD">
        <w:rPr>
          <w:rFonts w:asciiTheme="majorHAnsi" w:hAnsiTheme="majorHAnsi"/>
          <w:b/>
          <w:bCs/>
          <w:i/>
        </w:rPr>
        <w:t>Opérations de pêche conjointes :</w:t>
      </w:r>
      <w:r w:rsidRPr="00582ECD">
        <w:rPr>
          <w:rFonts w:asciiTheme="majorHAnsi" w:hAnsiTheme="majorHAnsi"/>
          <w:i/>
        </w:rPr>
        <w:t xml:space="preserve"> </w:t>
      </w:r>
      <w:r w:rsidRPr="00582ECD">
        <w:rPr>
          <w:rFonts w:asciiTheme="majorHAnsi" w:hAnsiTheme="majorHAnsi"/>
        </w:rPr>
        <w:t xml:space="preserve">30 opérations de pêche conjointes (JFO) ont été déclarées pour 2026. Le Secrétariat de l’ICCAT a reçu, dans la plupart des cas, les informations nécessaires cinq jours avant les JFO. L'information a été publiée sur la </w:t>
      </w:r>
      <w:hyperlink r:id="rId25" w:history="1">
        <w:r w:rsidRPr="00582ECD">
          <w:rPr>
            <w:rStyle w:val="Hyperlink"/>
            <w:rFonts w:asciiTheme="majorHAnsi" w:hAnsiTheme="majorHAnsi"/>
            <w:u w:val="none"/>
          </w:rPr>
          <w:t>page web de l'ICCAT</w:t>
        </w:r>
      </w:hyperlink>
      <w:r w:rsidRPr="00582ECD">
        <w:rPr>
          <w:rFonts w:asciiTheme="majorHAnsi" w:hAnsiTheme="majorHAnsi"/>
        </w:rPr>
        <w:t xml:space="preserve"> : </w:t>
      </w:r>
      <w:bookmarkStart w:id="3" w:name="_Hlk212038714"/>
      <w:r w:rsidRPr="00582ECD">
        <w:rPr>
          <w:rFonts w:asciiTheme="majorHAnsi" w:hAnsiTheme="majorHAnsi"/>
        </w:rPr>
        <w:t>Dans de nombreux cas, le délai très court entre la soumission des données JFO et leur date de début continue de compliquer la saisie complète de toutes les informations dans les bases de données de l’ICCAT, leur synchronisation avec le système eBCD et leur transmission aux observateurs ROP-BFT à temps pour leur déploiement. En outre, la procédure actuelle ne permet pas de saisir des JFO sans information sur la destination de l’élevage, et certaines difficultés ont été rencontrées lorsque des changements étaient nécessaires, étant donné qu'une fois que les eBCD sont associés à une JFO, l'information ne peut pas être mise à jour à moins que tous les eBCD ne soient réémis.</w:t>
      </w:r>
    </w:p>
    <w:p w14:paraId="0AC58349" w14:textId="77777777" w:rsidR="00400461" w:rsidRPr="00582ECD" w:rsidRDefault="00400461" w:rsidP="00820485">
      <w:pPr>
        <w:jc w:val="both"/>
        <w:rPr>
          <w:rFonts w:asciiTheme="majorHAnsi" w:hAnsiTheme="majorHAnsi"/>
        </w:rPr>
      </w:pPr>
    </w:p>
    <w:p w14:paraId="11F70ADF" w14:textId="0A1D28BF" w:rsidR="00400461" w:rsidRPr="00582ECD" w:rsidRDefault="00400461" w:rsidP="000843E5">
      <w:pPr>
        <w:pBdr>
          <w:top w:val="single" w:sz="4" w:space="1" w:color="auto"/>
          <w:left w:val="single" w:sz="4" w:space="4" w:color="auto"/>
          <w:bottom w:val="single" w:sz="4" w:space="1" w:color="auto"/>
          <w:right w:val="single" w:sz="4" w:space="4" w:color="auto"/>
        </w:pBdr>
        <w:jc w:val="both"/>
        <w:rPr>
          <w:rFonts w:asciiTheme="majorHAnsi" w:hAnsiTheme="majorHAnsi"/>
          <w:b/>
          <w:i/>
        </w:rPr>
      </w:pPr>
      <w:r w:rsidRPr="00582ECD">
        <w:rPr>
          <w:rFonts w:asciiTheme="majorHAnsi" w:hAnsiTheme="majorHAnsi"/>
          <w:b/>
          <w:bCs/>
        </w:rPr>
        <w:t>Commentaires du Secrétariat de l’ICCAT:</w:t>
      </w:r>
      <w:r w:rsidRPr="00582ECD">
        <w:rPr>
          <w:rFonts w:asciiTheme="majorHAnsi" w:hAnsiTheme="majorHAnsi"/>
        </w:rPr>
        <w:t xml:space="preserve"> Le Secrétariat a été informé par la Tunisie du naufrage du navire </w:t>
      </w:r>
      <w:r w:rsidRPr="00582ECD">
        <w:rPr>
          <w:rFonts w:asciiTheme="majorHAnsi" w:hAnsiTheme="majorHAnsi"/>
          <w:i/>
          <w:iCs/>
        </w:rPr>
        <w:t>Amir</w:t>
      </w:r>
      <w:r w:rsidRPr="00582ECD">
        <w:rPr>
          <w:rFonts w:asciiTheme="majorHAnsi" w:hAnsiTheme="majorHAnsi"/>
        </w:rPr>
        <w:t xml:space="preserve"> (AT0024786) et a transmis cette information aux CPC par le biais de la circulaire n° 04967/</w:t>
      </w:r>
      <w:r w:rsidR="00252D1F">
        <w:rPr>
          <w:rFonts w:asciiTheme="majorHAnsi" w:hAnsiTheme="majorHAnsi"/>
        </w:rPr>
        <w:t>20</w:t>
      </w:r>
      <w:r w:rsidRPr="00582ECD">
        <w:rPr>
          <w:rFonts w:asciiTheme="majorHAnsi" w:hAnsiTheme="majorHAnsi"/>
        </w:rPr>
        <w:t xml:space="preserve">26 de l’ICCAT. Dans sa communication, la Tunisie a demandé que le navire </w:t>
      </w:r>
      <w:r w:rsidR="00252D1F">
        <w:rPr>
          <w:rFonts w:asciiTheme="majorHAnsi" w:hAnsiTheme="majorHAnsi"/>
        </w:rPr>
        <w:t>reste inscrit</w:t>
      </w:r>
      <w:r w:rsidRPr="00582ECD">
        <w:rPr>
          <w:rFonts w:asciiTheme="majorHAnsi" w:hAnsiTheme="majorHAnsi"/>
        </w:rPr>
        <w:t xml:space="preserve"> sur la liste des navires autorisés pour la JFO 2026-025 jusqu'à la fin de la saison et que son quota soit maintenu dans le cadre de l'allocation globale de </w:t>
      </w:r>
      <w:r w:rsidR="00232D7A">
        <w:rPr>
          <w:rFonts w:asciiTheme="majorHAnsi" w:hAnsiTheme="majorHAnsi"/>
        </w:rPr>
        <w:t xml:space="preserve">la </w:t>
      </w:r>
      <w:r w:rsidRPr="00582ECD">
        <w:rPr>
          <w:rFonts w:asciiTheme="majorHAnsi" w:hAnsiTheme="majorHAnsi"/>
        </w:rPr>
        <w:t>JFO, sans remplacer le navire ni modifier la composition de la JFO. Après consultation du Président de la Sous-commission 2, les CPC ont été invitées à présenter leurs observations sur cette question. Des observations ont été reçues du Japon et ont ensuite été diffusées par le biais de la circulaire n° 06838/</w:t>
      </w:r>
      <w:r w:rsidR="00B87070">
        <w:rPr>
          <w:rFonts w:asciiTheme="majorHAnsi" w:hAnsiTheme="majorHAnsi"/>
        </w:rPr>
        <w:t>20</w:t>
      </w:r>
      <w:r w:rsidRPr="00582ECD">
        <w:rPr>
          <w:rFonts w:asciiTheme="majorHAnsi" w:hAnsiTheme="majorHAnsi"/>
        </w:rPr>
        <w:t>26 de l’ICCAT. Le rapport détaillé de la Tunisie sur l'incident et les opérations qui ont suivi a également été reçu. Le document PA2_608/2026 rassemble l'ensemble des documents reçus concernant cet événement.</w:t>
      </w:r>
    </w:p>
    <w:p w14:paraId="58FB9FB5" w14:textId="77777777" w:rsidR="000843E5" w:rsidRPr="00582ECD" w:rsidRDefault="000843E5" w:rsidP="00820485">
      <w:pPr>
        <w:jc w:val="both"/>
        <w:rPr>
          <w:rFonts w:asciiTheme="majorHAnsi" w:hAnsiTheme="majorHAnsi"/>
        </w:rPr>
      </w:pPr>
    </w:p>
    <w:p w14:paraId="7CA99842" w14:textId="61CFA8FE" w:rsidR="00DF112A" w:rsidRPr="00582ECD" w:rsidRDefault="000371A1" w:rsidP="00FD278B">
      <w:pPr>
        <w:tabs>
          <w:tab w:val="left" w:pos="1276"/>
          <w:tab w:val="left" w:pos="1418"/>
          <w:tab w:val="left" w:leader="dot" w:pos="8222"/>
          <w:tab w:val="right" w:pos="8647"/>
        </w:tabs>
        <w:jc w:val="both"/>
        <w:rPr>
          <w:rFonts w:asciiTheme="majorHAnsi" w:hAnsiTheme="majorHAnsi"/>
        </w:rPr>
      </w:pPr>
      <w:bookmarkStart w:id="4" w:name="_Hlk23928350"/>
      <w:bookmarkStart w:id="5" w:name="_Hlk52880218"/>
      <w:bookmarkStart w:id="6" w:name="_Hlk23241440"/>
      <w:bookmarkStart w:id="7" w:name="_Hlk179901459"/>
      <w:bookmarkEnd w:id="3"/>
      <w:r w:rsidRPr="00582ECD">
        <w:rPr>
          <w:rFonts w:asciiTheme="majorHAnsi" w:hAnsiTheme="majorHAnsi"/>
          <w:b/>
          <w:i/>
        </w:rPr>
        <w:t>Système de surveillance des navires (VMS) :</w:t>
      </w:r>
      <w:bookmarkEnd w:id="4"/>
      <w:bookmarkEnd w:id="5"/>
      <w:bookmarkEnd w:id="6"/>
      <w:r w:rsidRPr="00582ECD">
        <w:rPr>
          <w:rFonts w:asciiTheme="majorHAnsi" w:hAnsiTheme="majorHAnsi"/>
          <w:b/>
          <w:i/>
        </w:rPr>
        <w:t xml:space="preserve"> </w:t>
      </w:r>
      <w:r w:rsidRPr="00582ECD">
        <w:rPr>
          <w:rFonts w:asciiTheme="majorHAnsi" w:hAnsiTheme="majorHAnsi"/>
        </w:rPr>
        <w:t>Cette année, en date du 15 octobre 2026, un total de 3.109.345 messages VMS a été reçu (aux fins de ce calcul global, les messages que le système identifie comme position au port n'ont pas été pris en compte). Par rapport à la même période de l'année dernière, 333.353 messages de plus ont été reçus, soit une augmentation d'environ 12%. Sur la même période cette année, 1</w:t>
      </w:r>
      <w:r w:rsidR="0045688E">
        <w:rPr>
          <w:rFonts w:asciiTheme="majorHAnsi" w:hAnsiTheme="majorHAnsi"/>
        </w:rPr>
        <w:t>.</w:t>
      </w:r>
      <w:r w:rsidRPr="00582ECD">
        <w:rPr>
          <w:rFonts w:asciiTheme="majorHAnsi" w:hAnsiTheme="majorHAnsi"/>
        </w:rPr>
        <w:t>472 navires ont été actifs (comme dans le critère des messages, sont considérés comme actifs les navires qui ont transmis au moins un message avec une position hors du port), soit 443</w:t>
      </w:r>
      <w:r w:rsidR="0045688E">
        <w:rPr>
          <w:rFonts w:asciiTheme="majorHAnsi" w:hAnsiTheme="majorHAnsi"/>
        </w:rPr>
        <w:t xml:space="preserve"> </w:t>
      </w:r>
      <w:r w:rsidRPr="00582ECD">
        <w:rPr>
          <w:rFonts w:asciiTheme="majorHAnsi" w:hAnsiTheme="majorHAnsi"/>
        </w:rPr>
        <w:t>navires de plus que l'année dernière, c'est-à-dire une augmentation de près de 43%</w:t>
      </w:r>
      <w:r w:rsidR="002E0265" w:rsidRPr="00582ECD">
        <w:rPr>
          <w:rStyle w:val="FootnoteReference"/>
          <w:rFonts w:asciiTheme="majorHAnsi" w:hAnsiTheme="majorHAnsi"/>
          <w:lang w:val="en-US"/>
        </w:rPr>
        <w:footnoteReference w:id="4"/>
      </w:r>
      <w:r w:rsidRPr="00582ECD">
        <w:rPr>
          <w:rFonts w:asciiTheme="majorHAnsi" w:hAnsiTheme="majorHAnsi"/>
        </w:rPr>
        <w:t>.</w:t>
      </w:r>
    </w:p>
    <w:p w14:paraId="125E65AB" w14:textId="77777777" w:rsidR="00E96692" w:rsidRPr="00582ECD" w:rsidRDefault="00E96692" w:rsidP="00FD278B">
      <w:pPr>
        <w:tabs>
          <w:tab w:val="left" w:pos="1276"/>
          <w:tab w:val="left" w:pos="1418"/>
          <w:tab w:val="left" w:leader="dot" w:pos="8222"/>
          <w:tab w:val="right" w:pos="8647"/>
        </w:tabs>
        <w:jc w:val="both"/>
        <w:rPr>
          <w:rFonts w:asciiTheme="majorHAnsi" w:hAnsiTheme="majorHAnsi"/>
        </w:rPr>
      </w:pPr>
    </w:p>
    <w:p w14:paraId="24D2C0F2" w14:textId="77777777" w:rsidR="00DF112A" w:rsidRPr="00582ECD" w:rsidRDefault="00DF112A" w:rsidP="00820485">
      <w:pPr>
        <w:tabs>
          <w:tab w:val="left" w:pos="1276"/>
          <w:tab w:val="left" w:pos="1418"/>
          <w:tab w:val="left" w:leader="dot" w:pos="8222"/>
          <w:tab w:val="right" w:pos="8647"/>
        </w:tabs>
        <w:jc w:val="both"/>
        <w:rPr>
          <w:rFonts w:asciiTheme="majorHAnsi" w:hAnsiTheme="majorHAnsi"/>
        </w:rPr>
      </w:pPr>
      <w:r w:rsidRPr="00582ECD">
        <w:rPr>
          <w:rFonts w:asciiTheme="majorHAnsi" w:hAnsiTheme="majorHAnsi"/>
        </w:rPr>
        <w:t xml:space="preserve">Pour obtenir davantage de détails sur les messages VMS transmis, veuillez consulter les </w:t>
      </w:r>
      <w:r w:rsidRPr="00582ECD">
        <w:rPr>
          <w:rFonts w:asciiTheme="majorHAnsi" w:hAnsiTheme="majorHAnsi"/>
          <w:b/>
          <w:bCs/>
        </w:rPr>
        <w:t xml:space="preserve">tableaux 4, 5 </w:t>
      </w:r>
      <w:r w:rsidRPr="00582ECD">
        <w:rPr>
          <w:rFonts w:asciiTheme="majorHAnsi" w:hAnsiTheme="majorHAnsi"/>
        </w:rPr>
        <w:t xml:space="preserve">et </w:t>
      </w:r>
      <w:r w:rsidRPr="00582ECD">
        <w:rPr>
          <w:rFonts w:asciiTheme="majorHAnsi" w:hAnsiTheme="majorHAnsi"/>
          <w:b/>
          <w:bCs/>
        </w:rPr>
        <w:t>6</w:t>
      </w:r>
      <w:r w:rsidRPr="00582ECD">
        <w:rPr>
          <w:rFonts w:asciiTheme="majorHAnsi" w:hAnsiTheme="majorHAnsi"/>
        </w:rPr>
        <w:t>.</w:t>
      </w:r>
    </w:p>
    <w:p w14:paraId="625C6BE4" w14:textId="77777777" w:rsidR="00DF112A" w:rsidRPr="00582ECD" w:rsidRDefault="00DF112A" w:rsidP="00820485">
      <w:pPr>
        <w:tabs>
          <w:tab w:val="left" w:pos="1276"/>
          <w:tab w:val="left" w:pos="1418"/>
          <w:tab w:val="left" w:leader="dot" w:pos="8222"/>
          <w:tab w:val="right" w:pos="8647"/>
        </w:tabs>
        <w:jc w:val="both"/>
        <w:rPr>
          <w:rFonts w:asciiTheme="majorHAnsi" w:hAnsiTheme="majorHAnsi"/>
        </w:rPr>
      </w:pPr>
    </w:p>
    <w:p w14:paraId="7E9A06B9" w14:textId="23DCD1FF" w:rsidR="00DF112A" w:rsidRPr="00582ECD" w:rsidRDefault="005332C7" w:rsidP="00820485">
      <w:pPr>
        <w:tabs>
          <w:tab w:val="left" w:pos="1276"/>
          <w:tab w:val="left" w:pos="1418"/>
          <w:tab w:val="left" w:leader="dot" w:pos="8222"/>
          <w:tab w:val="right" w:pos="8647"/>
        </w:tabs>
        <w:jc w:val="both"/>
        <w:rPr>
          <w:rFonts w:asciiTheme="majorHAnsi" w:hAnsiTheme="majorHAnsi"/>
        </w:rPr>
      </w:pPr>
      <w:r w:rsidRPr="00582ECD">
        <w:rPr>
          <w:rFonts w:asciiTheme="majorHAnsi" w:hAnsiTheme="majorHAnsi"/>
        </w:rPr>
        <w:t>Depuis 2014, le nombre de messages VMS reçus a augmenté d'environ 117</w:t>
      </w:r>
      <w:r w:rsidR="00003302">
        <w:rPr>
          <w:rFonts w:asciiTheme="majorHAnsi" w:hAnsiTheme="majorHAnsi"/>
        </w:rPr>
        <w:t> </w:t>
      </w:r>
      <w:r w:rsidRPr="00582ECD">
        <w:rPr>
          <w:rFonts w:asciiTheme="majorHAnsi" w:hAnsiTheme="majorHAnsi"/>
        </w:rPr>
        <w:t>%.</w:t>
      </w:r>
    </w:p>
    <w:p w14:paraId="7BAF0344" w14:textId="2D138A7A" w:rsidR="00122A9E" w:rsidRPr="00582ECD" w:rsidRDefault="00122A9E" w:rsidP="00820485">
      <w:pPr>
        <w:tabs>
          <w:tab w:val="left" w:pos="1276"/>
          <w:tab w:val="left" w:pos="1418"/>
          <w:tab w:val="left" w:leader="dot" w:pos="8222"/>
          <w:tab w:val="right" w:pos="8647"/>
        </w:tabs>
        <w:jc w:val="both"/>
        <w:rPr>
          <w:rFonts w:asciiTheme="majorHAnsi" w:hAnsiTheme="majorHAnsi"/>
        </w:rPr>
      </w:pPr>
    </w:p>
    <w:bookmarkEnd w:id="7"/>
    <w:p w14:paraId="075F2021" w14:textId="21E5C113" w:rsidR="00C07B4D" w:rsidRPr="00582ECD" w:rsidRDefault="00C07B4D" w:rsidP="00820485">
      <w:pPr>
        <w:tabs>
          <w:tab w:val="left" w:pos="1276"/>
          <w:tab w:val="left" w:pos="1418"/>
          <w:tab w:val="left" w:leader="dot" w:pos="8222"/>
          <w:tab w:val="right" w:pos="8647"/>
        </w:tabs>
        <w:rPr>
          <w:rFonts w:asciiTheme="majorHAnsi" w:hAnsiTheme="majorHAnsi"/>
          <w:bCs/>
        </w:rPr>
      </w:pPr>
    </w:p>
    <w:p w14:paraId="0014C2FD" w14:textId="16009E11" w:rsidR="005332C7" w:rsidRPr="00582ECD" w:rsidRDefault="005332C7" w:rsidP="00820485">
      <w:pPr>
        <w:tabs>
          <w:tab w:val="left" w:pos="1276"/>
          <w:tab w:val="left" w:pos="1418"/>
          <w:tab w:val="left" w:leader="dot" w:pos="8222"/>
          <w:tab w:val="right" w:pos="8647"/>
        </w:tabs>
        <w:rPr>
          <w:rFonts w:asciiTheme="majorHAnsi" w:hAnsiTheme="majorHAnsi"/>
          <w:bCs/>
        </w:rPr>
      </w:pPr>
      <w:r w:rsidRPr="00582ECD">
        <w:rPr>
          <w:rFonts w:asciiTheme="majorHAnsi" w:hAnsiTheme="majorHAnsi"/>
          <w:noProof/>
        </w:rPr>
        <w:lastRenderedPageBreak/>
        <w:drawing>
          <wp:inline distT="0" distB="0" distL="0" distR="0" wp14:anchorId="30BC9C70" wp14:editId="4ECA393F">
            <wp:extent cx="5721983" cy="4042796"/>
            <wp:effectExtent l="0" t="0" r="0" b="0"/>
            <wp:docPr id="206116793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1167939" name="Picture 2061167939"/>
                    <pic:cNvPicPr/>
                  </pic:nvPicPr>
                  <pic:blipFill>
                    <a:blip r:embed="rId26" cstate="print">
                      <a:extLst>
                        <a:ext uri="{28A0092B-C50C-407E-A947-70E740481C1C}">
                          <a14:useLocalDpi xmlns:a14="http://schemas.microsoft.com/office/drawing/2010/main" val="0"/>
                        </a:ext>
                      </a:extLst>
                    </a:blip>
                    <a:stretch>
                      <a:fillRect/>
                    </a:stretch>
                  </pic:blipFill>
                  <pic:spPr>
                    <a:xfrm>
                      <a:off x="0" y="0"/>
                      <a:ext cx="5721983" cy="4042796"/>
                    </a:xfrm>
                    <a:prstGeom prst="rect">
                      <a:avLst/>
                    </a:prstGeom>
                  </pic:spPr>
                </pic:pic>
              </a:graphicData>
            </a:graphic>
          </wp:inline>
        </w:drawing>
      </w:r>
    </w:p>
    <w:p w14:paraId="142B8DED" w14:textId="77777777" w:rsidR="005332C7" w:rsidRPr="00582ECD" w:rsidRDefault="005332C7" w:rsidP="00820485">
      <w:pPr>
        <w:tabs>
          <w:tab w:val="left" w:pos="1276"/>
          <w:tab w:val="left" w:pos="1418"/>
          <w:tab w:val="left" w:leader="dot" w:pos="8222"/>
          <w:tab w:val="right" w:pos="8647"/>
        </w:tabs>
        <w:jc w:val="both"/>
        <w:rPr>
          <w:rFonts w:asciiTheme="majorHAnsi" w:hAnsiTheme="majorHAnsi"/>
          <w:b/>
          <w:i/>
          <w:lang w:val="en-GB"/>
        </w:rPr>
      </w:pPr>
    </w:p>
    <w:p w14:paraId="4CE0E6A1" w14:textId="587388EA" w:rsidR="00535819" w:rsidRPr="00582ECD" w:rsidRDefault="00F11564" w:rsidP="00820485">
      <w:pPr>
        <w:tabs>
          <w:tab w:val="left" w:pos="1276"/>
          <w:tab w:val="left" w:pos="1418"/>
          <w:tab w:val="left" w:leader="dot" w:pos="8222"/>
          <w:tab w:val="right" w:pos="8647"/>
        </w:tabs>
        <w:jc w:val="both"/>
        <w:rPr>
          <w:rFonts w:asciiTheme="majorHAnsi" w:hAnsiTheme="majorHAnsi"/>
          <w:bCs/>
        </w:rPr>
      </w:pPr>
      <w:r w:rsidRPr="00582ECD">
        <w:rPr>
          <w:rFonts w:asciiTheme="majorHAnsi" w:hAnsiTheme="majorHAnsi"/>
          <w:b/>
          <w:i/>
          <w:iCs/>
        </w:rPr>
        <w:t>Rapports d'inspection dans le cadre du programme d'inspection conjointe et liste des agences et noms des inspecteurs :</w:t>
      </w:r>
      <w:r w:rsidRPr="00582ECD">
        <w:rPr>
          <w:rFonts w:asciiTheme="majorHAnsi" w:hAnsiTheme="majorHAnsi"/>
        </w:rPr>
        <w:t xml:space="preserve"> Veuillez consulter le </w:t>
      </w:r>
      <w:r w:rsidRPr="00582ECD">
        <w:rPr>
          <w:rFonts w:asciiTheme="majorHAnsi" w:hAnsiTheme="majorHAnsi"/>
          <w:b/>
          <w:bCs/>
        </w:rPr>
        <w:t>tableau 2</w:t>
      </w:r>
      <w:r w:rsidRPr="00582ECD">
        <w:rPr>
          <w:rFonts w:asciiTheme="majorHAnsi" w:hAnsiTheme="majorHAnsi"/>
        </w:rPr>
        <w:t xml:space="preserve"> qui contient la liste des rapports d'inspection concernant le thon rouge présentés par l’Algérie, l’UE et la Türkiye. Des copies des rapports comportant des infractions sont disponibles aux </w:t>
      </w:r>
      <w:r w:rsidRPr="00582ECD">
        <w:rPr>
          <w:rFonts w:asciiTheme="majorHAnsi" w:hAnsiTheme="majorHAnsi"/>
          <w:b/>
          <w:bCs/>
        </w:rPr>
        <w:t>annexe</w:t>
      </w:r>
      <w:r w:rsidRPr="00EB70F5">
        <w:rPr>
          <w:rFonts w:asciiTheme="majorHAnsi" w:hAnsiTheme="majorHAnsi"/>
          <w:b/>
          <w:bCs/>
        </w:rPr>
        <w:t>s 2 et 3</w:t>
      </w:r>
      <w:r w:rsidRPr="00582ECD">
        <w:rPr>
          <w:rFonts w:asciiTheme="majorHAnsi" w:hAnsiTheme="majorHAnsi"/>
        </w:rPr>
        <w:t xml:space="preserve"> ; ils contiennent la liste des agences, des moyens et les noms des inspecteurs reçus de de l’Algérie, de l’UE, de la Tunisie et de la Türkiye. La liste des navires d’inspection est publiée sur le site web de l'ICCAT. Un résumé des rapports comportant des infractions ainsi que les réponses apportées si elles sont disponibles sont inclus à l’</w:t>
      </w:r>
      <w:r w:rsidRPr="00582ECD">
        <w:rPr>
          <w:rFonts w:asciiTheme="majorHAnsi" w:hAnsiTheme="majorHAnsi"/>
          <w:b/>
          <w:bCs/>
        </w:rPr>
        <w:t xml:space="preserve">appendice </w:t>
      </w:r>
      <w:r w:rsidRPr="00582ECD">
        <w:rPr>
          <w:rFonts w:asciiTheme="majorHAnsi" w:hAnsiTheme="majorHAnsi"/>
          <w:b/>
        </w:rPr>
        <w:t>4</w:t>
      </w:r>
      <w:r w:rsidRPr="00582ECD">
        <w:rPr>
          <w:rFonts w:asciiTheme="majorHAnsi" w:hAnsiTheme="majorHAnsi"/>
        </w:rPr>
        <w:t>.</w:t>
      </w:r>
    </w:p>
    <w:p w14:paraId="19C014CE" w14:textId="77777777" w:rsidR="00535819" w:rsidRPr="00582ECD" w:rsidRDefault="00535819" w:rsidP="00535819">
      <w:pPr>
        <w:tabs>
          <w:tab w:val="left" w:pos="1276"/>
          <w:tab w:val="left" w:pos="1418"/>
          <w:tab w:val="left" w:leader="dot" w:pos="8222"/>
          <w:tab w:val="right" w:pos="8647"/>
        </w:tabs>
        <w:jc w:val="both"/>
        <w:rPr>
          <w:rFonts w:asciiTheme="majorHAnsi" w:hAnsiTheme="majorHAnsi"/>
          <w:b/>
        </w:rPr>
      </w:pPr>
    </w:p>
    <w:p w14:paraId="4B59BDAF" w14:textId="1A1C3523" w:rsidR="00535819" w:rsidRPr="00582ECD" w:rsidRDefault="00535819" w:rsidP="00535819">
      <w:pPr>
        <w:pBdr>
          <w:top w:val="single" w:sz="4" w:space="1" w:color="auto"/>
          <w:left w:val="single" w:sz="4" w:space="4" w:color="auto"/>
          <w:bottom w:val="single" w:sz="4" w:space="1" w:color="auto"/>
          <w:right w:val="single" w:sz="4" w:space="4" w:color="auto"/>
        </w:pBdr>
        <w:jc w:val="both"/>
        <w:rPr>
          <w:rFonts w:asciiTheme="majorHAnsi" w:hAnsiTheme="majorHAnsi"/>
        </w:rPr>
      </w:pPr>
      <w:r w:rsidRPr="00582ECD">
        <w:rPr>
          <w:rFonts w:asciiTheme="majorHAnsi" w:hAnsiTheme="majorHAnsi"/>
          <w:b/>
          <w:bCs/>
        </w:rPr>
        <w:t>Demande du Secrétariat de l’ICCAT:</w:t>
      </w:r>
      <w:r w:rsidRPr="00582ECD">
        <w:rPr>
          <w:rFonts w:asciiTheme="majorHAnsi" w:hAnsiTheme="majorHAnsi"/>
        </w:rPr>
        <w:t xml:space="preserve"> Voir la demande au point « ESPADON » dans la section « Agences d'inspection, inspecteurs et navires ».</w:t>
      </w:r>
    </w:p>
    <w:p w14:paraId="4CCEBEE3" w14:textId="77777777" w:rsidR="00535819" w:rsidRPr="00582ECD" w:rsidRDefault="00535819" w:rsidP="00535819">
      <w:pPr>
        <w:tabs>
          <w:tab w:val="left" w:pos="1276"/>
          <w:tab w:val="left" w:pos="1418"/>
          <w:tab w:val="left" w:leader="dot" w:pos="8222"/>
          <w:tab w:val="right" w:pos="8647"/>
        </w:tabs>
        <w:jc w:val="both"/>
        <w:rPr>
          <w:rFonts w:asciiTheme="majorHAnsi" w:hAnsiTheme="majorHAnsi"/>
          <w:b/>
          <w:i/>
        </w:rPr>
      </w:pPr>
    </w:p>
    <w:p w14:paraId="77E1E544" w14:textId="799CC56E" w:rsidR="0018461D" w:rsidRPr="00582ECD" w:rsidRDefault="00206E17" w:rsidP="008E2D42">
      <w:pPr>
        <w:widowControl/>
        <w:autoSpaceDE/>
        <w:autoSpaceDN/>
        <w:adjustRightInd/>
        <w:jc w:val="both"/>
        <w:rPr>
          <w:rFonts w:asciiTheme="majorHAnsi" w:hAnsiTheme="majorHAnsi"/>
        </w:rPr>
      </w:pPr>
      <w:r w:rsidRPr="00582ECD">
        <w:rPr>
          <w:rFonts w:asciiTheme="majorHAnsi" w:hAnsiTheme="majorHAnsi"/>
          <w:b/>
          <w:bCs/>
          <w:i/>
          <w:iCs/>
        </w:rPr>
        <w:t>Rapports de mise en œuvre:</w:t>
      </w:r>
      <w:r w:rsidRPr="00582ECD">
        <w:rPr>
          <w:rFonts w:asciiTheme="majorHAnsi" w:hAnsiTheme="majorHAnsi"/>
        </w:rPr>
        <w:t xml:space="preserve"> Conformément au paragraphe 238 de la Rec. 24-05, le Secrétariat de l'ICCAT est mandaté pour préparer un rapport sur la mise en œuvre de cette Recommandation. </w:t>
      </w:r>
      <w:bookmarkStart w:id="8" w:name="_Hlk203483165"/>
      <w:r w:rsidRPr="00582ECD">
        <w:rPr>
          <w:rFonts w:asciiTheme="majorHAnsi" w:hAnsiTheme="majorHAnsi"/>
        </w:rPr>
        <w:t xml:space="preserve">Ce rapport devant être établi tous les deux ans, le Secrétariat de l’ICCAT a donc demandé des informations aux CPC. Veuillez consulter les « Réglementations et autres documents connexes adoptés par toutes les Parties contractantes concernées aux fins de la mise en œuvre de la Recommandation 24-05 »  [PA2_603/2026]. </w:t>
      </w:r>
    </w:p>
    <w:bookmarkEnd w:id="8"/>
    <w:p w14:paraId="3025649B" w14:textId="77777777" w:rsidR="006150C6" w:rsidRPr="00582ECD" w:rsidRDefault="006150C6" w:rsidP="008E2D42">
      <w:pPr>
        <w:tabs>
          <w:tab w:val="left" w:pos="1276"/>
          <w:tab w:val="left" w:pos="1418"/>
          <w:tab w:val="left" w:leader="dot" w:pos="8222"/>
          <w:tab w:val="right" w:pos="8647"/>
        </w:tabs>
        <w:jc w:val="both"/>
        <w:rPr>
          <w:rFonts w:asciiTheme="majorHAnsi" w:hAnsiTheme="majorHAnsi"/>
          <w:b/>
          <w:bCs/>
          <w:sz w:val="12"/>
          <w:szCs w:val="12"/>
        </w:rPr>
      </w:pPr>
    </w:p>
    <w:p w14:paraId="3DD47DF1" w14:textId="01EAA415" w:rsidR="00657DD9" w:rsidRPr="00582ECD" w:rsidRDefault="006150C6" w:rsidP="008E2D42">
      <w:pPr>
        <w:tabs>
          <w:tab w:val="left" w:pos="1276"/>
          <w:tab w:val="left" w:pos="1418"/>
          <w:tab w:val="left" w:leader="dot" w:pos="8222"/>
          <w:tab w:val="right" w:pos="8647"/>
        </w:tabs>
        <w:jc w:val="both"/>
        <w:rPr>
          <w:rFonts w:asciiTheme="majorHAnsi" w:hAnsiTheme="majorHAnsi"/>
          <w:bCs/>
          <w:i/>
        </w:rPr>
      </w:pPr>
      <w:r w:rsidRPr="00582ECD">
        <w:rPr>
          <w:rFonts w:asciiTheme="majorHAnsi" w:hAnsiTheme="majorHAnsi"/>
          <w:b/>
          <w:i/>
        </w:rPr>
        <w:t xml:space="preserve">Programmes d’observateurs : </w:t>
      </w:r>
      <w:r w:rsidRPr="00582ECD">
        <w:rPr>
          <w:rFonts w:asciiTheme="majorHAnsi" w:hAnsiTheme="majorHAnsi"/>
        </w:rPr>
        <w:t xml:space="preserve">Étant donné que les exigences et les procédures de soumission des informations n'ont pas été développées par la Commission en 2009, comme l'exigent les recommandations, les informations des programmes d'observateurs nationaux sont incluses dans les soumissions scientifiques régulières. Pour plus d'informations sur le programme d'observateurs régionaux pour le thon rouge de l'Atlantique Est et de la Méditerranée, veuillez consulter le document « Mise en œuvre du ROP-BFT» [PA2_601/2026] et « Questions de non-application potentielle découlant des Programmes d'observateurs régionaux de l'ICCAT et réponses apportées » [COC_305/2026]. </w:t>
      </w:r>
      <w:bookmarkStart w:id="9" w:name="_Hlk86227871"/>
    </w:p>
    <w:p w14:paraId="5FBC8403" w14:textId="77777777" w:rsidR="005C1EE7" w:rsidRPr="00582ECD" w:rsidRDefault="005C1EE7" w:rsidP="00820485">
      <w:pPr>
        <w:tabs>
          <w:tab w:val="left" w:pos="1276"/>
          <w:tab w:val="left" w:pos="1418"/>
          <w:tab w:val="left" w:leader="dot" w:pos="8222"/>
          <w:tab w:val="right" w:pos="8647"/>
        </w:tabs>
        <w:ind w:firstLine="426"/>
        <w:rPr>
          <w:rFonts w:asciiTheme="majorHAnsi" w:hAnsiTheme="majorHAnsi"/>
          <w:bCs/>
          <w:i/>
        </w:rPr>
      </w:pPr>
    </w:p>
    <w:p w14:paraId="4584FC82" w14:textId="77777777" w:rsidR="00536AB6" w:rsidRPr="00582ECD" w:rsidRDefault="00536AB6" w:rsidP="00820485">
      <w:pPr>
        <w:tabs>
          <w:tab w:val="left" w:pos="1276"/>
          <w:tab w:val="left" w:pos="1418"/>
          <w:tab w:val="left" w:leader="dot" w:pos="8222"/>
          <w:tab w:val="right" w:pos="8647"/>
        </w:tabs>
        <w:ind w:firstLine="426"/>
        <w:rPr>
          <w:rFonts w:asciiTheme="majorHAnsi" w:hAnsiTheme="majorHAnsi"/>
          <w:bCs/>
          <w:i/>
        </w:rPr>
      </w:pPr>
    </w:p>
    <w:p w14:paraId="1065F9BE" w14:textId="77777777" w:rsidR="00536AB6" w:rsidRPr="00582ECD" w:rsidRDefault="00536AB6" w:rsidP="00820485">
      <w:pPr>
        <w:tabs>
          <w:tab w:val="left" w:pos="1276"/>
          <w:tab w:val="left" w:pos="1418"/>
          <w:tab w:val="left" w:leader="dot" w:pos="8222"/>
          <w:tab w:val="right" w:pos="8647"/>
        </w:tabs>
        <w:ind w:firstLine="426"/>
        <w:rPr>
          <w:rFonts w:asciiTheme="majorHAnsi" w:hAnsiTheme="majorHAnsi"/>
          <w:bCs/>
          <w:i/>
        </w:rPr>
      </w:pPr>
    </w:p>
    <w:p w14:paraId="02F79514" w14:textId="77777777" w:rsidR="00536AB6" w:rsidRPr="00582ECD" w:rsidRDefault="00536AB6" w:rsidP="00820485">
      <w:pPr>
        <w:tabs>
          <w:tab w:val="left" w:pos="1276"/>
          <w:tab w:val="left" w:pos="1418"/>
          <w:tab w:val="left" w:leader="dot" w:pos="8222"/>
          <w:tab w:val="right" w:pos="8647"/>
        </w:tabs>
        <w:ind w:firstLine="426"/>
        <w:rPr>
          <w:rFonts w:asciiTheme="majorHAnsi" w:hAnsiTheme="majorHAnsi"/>
          <w:bCs/>
          <w:i/>
        </w:rPr>
      </w:pPr>
    </w:p>
    <w:bookmarkEnd w:id="9"/>
    <w:p w14:paraId="5BE95DC9" w14:textId="77777777" w:rsidR="00211B07" w:rsidRPr="00582ECD" w:rsidRDefault="00211B07">
      <w:pPr>
        <w:widowControl/>
        <w:autoSpaceDE/>
        <w:autoSpaceDN/>
        <w:adjustRightInd/>
        <w:rPr>
          <w:rFonts w:asciiTheme="majorHAnsi" w:hAnsiTheme="majorHAnsi"/>
          <w:b/>
        </w:rPr>
      </w:pPr>
      <w:r w:rsidRPr="00582ECD">
        <w:rPr>
          <w:rFonts w:asciiTheme="majorHAnsi" w:hAnsiTheme="majorHAnsi"/>
          <w:b/>
        </w:rPr>
        <w:br w:type="page"/>
      </w:r>
    </w:p>
    <w:p w14:paraId="0C9038CA" w14:textId="21CD4C00" w:rsidR="00F225F3" w:rsidRPr="00582ECD" w:rsidRDefault="00F225F3" w:rsidP="00820485">
      <w:pPr>
        <w:tabs>
          <w:tab w:val="left" w:pos="1276"/>
          <w:tab w:val="left" w:pos="1418"/>
          <w:tab w:val="left" w:leader="dot" w:pos="8222"/>
          <w:tab w:val="right" w:pos="8647"/>
        </w:tabs>
        <w:jc w:val="both"/>
        <w:rPr>
          <w:rFonts w:asciiTheme="majorHAnsi" w:hAnsiTheme="majorHAnsi"/>
        </w:rPr>
      </w:pPr>
      <w:r w:rsidRPr="00582ECD">
        <w:rPr>
          <w:rFonts w:asciiTheme="majorHAnsi" w:hAnsiTheme="majorHAnsi"/>
          <w:b/>
        </w:rPr>
        <w:lastRenderedPageBreak/>
        <w:t>BIL - ISTIOPHORIDÉS : Makaire bleu (</w:t>
      </w:r>
      <w:r w:rsidRPr="00582ECD">
        <w:rPr>
          <w:rFonts w:asciiTheme="majorHAnsi" w:hAnsiTheme="majorHAnsi"/>
          <w:b/>
          <w:i/>
          <w:iCs/>
        </w:rPr>
        <w:t xml:space="preserve">Makaira </w:t>
      </w:r>
      <w:proofErr w:type="spellStart"/>
      <w:r w:rsidRPr="00582ECD">
        <w:rPr>
          <w:rFonts w:asciiTheme="majorHAnsi" w:hAnsiTheme="majorHAnsi"/>
          <w:b/>
          <w:i/>
          <w:iCs/>
        </w:rPr>
        <w:t>nigricans</w:t>
      </w:r>
      <w:proofErr w:type="spellEnd"/>
      <w:r w:rsidRPr="00582ECD">
        <w:rPr>
          <w:rFonts w:asciiTheme="majorHAnsi" w:hAnsiTheme="majorHAnsi"/>
          <w:b/>
        </w:rPr>
        <w:t>), makaire blanc (</w:t>
      </w:r>
      <w:proofErr w:type="spellStart"/>
      <w:r w:rsidRPr="00582ECD">
        <w:rPr>
          <w:rFonts w:asciiTheme="majorHAnsi" w:hAnsiTheme="majorHAnsi"/>
          <w:b/>
          <w:i/>
          <w:iCs/>
        </w:rPr>
        <w:t>Tetrapturus</w:t>
      </w:r>
      <w:proofErr w:type="spellEnd"/>
      <w:r w:rsidRPr="00582ECD">
        <w:rPr>
          <w:rFonts w:asciiTheme="majorHAnsi" w:hAnsiTheme="majorHAnsi"/>
          <w:b/>
          <w:i/>
          <w:iCs/>
        </w:rPr>
        <w:t xml:space="preserve"> </w:t>
      </w:r>
      <w:proofErr w:type="spellStart"/>
      <w:r w:rsidRPr="00582ECD">
        <w:rPr>
          <w:rFonts w:asciiTheme="majorHAnsi" w:hAnsiTheme="majorHAnsi"/>
          <w:b/>
          <w:i/>
          <w:iCs/>
        </w:rPr>
        <w:t>albidus</w:t>
      </w:r>
      <w:proofErr w:type="spellEnd"/>
      <w:r w:rsidRPr="00582ECD">
        <w:rPr>
          <w:rFonts w:asciiTheme="majorHAnsi" w:hAnsiTheme="majorHAnsi"/>
          <w:b/>
        </w:rPr>
        <w:t>), voilier (</w:t>
      </w:r>
      <w:proofErr w:type="spellStart"/>
      <w:r w:rsidRPr="00582ECD">
        <w:rPr>
          <w:rFonts w:asciiTheme="majorHAnsi" w:hAnsiTheme="majorHAnsi"/>
          <w:b/>
          <w:i/>
          <w:iCs/>
        </w:rPr>
        <w:t>Istiophorus</w:t>
      </w:r>
      <w:proofErr w:type="spellEnd"/>
      <w:r w:rsidRPr="00582ECD">
        <w:rPr>
          <w:rFonts w:asciiTheme="majorHAnsi" w:hAnsiTheme="majorHAnsi"/>
          <w:b/>
          <w:i/>
          <w:iCs/>
        </w:rPr>
        <w:t xml:space="preserve"> </w:t>
      </w:r>
      <w:proofErr w:type="spellStart"/>
      <w:r w:rsidRPr="00582ECD">
        <w:rPr>
          <w:rFonts w:asciiTheme="majorHAnsi" w:hAnsiTheme="majorHAnsi"/>
          <w:b/>
          <w:i/>
          <w:iCs/>
        </w:rPr>
        <w:t>platypterus</w:t>
      </w:r>
      <w:proofErr w:type="spellEnd"/>
      <w:r w:rsidRPr="00582ECD">
        <w:rPr>
          <w:rFonts w:asciiTheme="majorHAnsi" w:hAnsiTheme="majorHAnsi"/>
          <w:b/>
        </w:rPr>
        <w:t xml:space="preserve">), </w:t>
      </w:r>
      <w:proofErr w:type="spellStart"/>
      <w:r w:rsidRPr="00582ECD">
        <w:rPr>
          <w:rFonts w:asciiTheme="majorHAnsi" w:hAnsiTheme="majorHAnsi"/>
          <w:b/>
        </w:rPr>
        <w:t>Tetrapturus</w:t>
      </w:r>
      <w:proofErr w:type="spellEnd"/>
      <w:r w:rsidRPr="00582ECD">
        <w:rPr>
          <w:rFonts w:asciiTheme="majorHAnsi" w:hAnsiTheme="majorHAnsi"/>
          <w:b/>
        </w:rPr>
        <w:t xml:space="preserve"> </w:t>
      </w:r>
      <w:proofErr w:type="spellStart"/>
      <w:r w:rsidRPr="00582ECD">
        <w:rPr>
          <w:rFonts w:asciiTheme="majorHAnsi" w:hAnsiTheme="majorHAnsi"/>
          <w:b/>
        </w:rPr>
        <w:t>sp</w:t>
      </w:r>
      <w:proofErr w:type="spellEnd"/>
      <w:r w:rsidRPr="00582ECD">
        <w:rPr>
          <w:rFonts w:asciiTheme="majorHAnsi" w:hAnsiTheme="majorHAnsi"/>
          <w:b/>
        </w:rPr>
        <w:t>. (</w:t>
      </w:r>
      <w:proofErr w:type="spellStart"/>
      <w:r w:rsidRPr="00582ECD">
        <w:rPr>
          <w:rFonts w:asciiTheme="majorHAnsi" w:hAnsiTheme="majorHAnsi"/>
          <w:b/>
          <w:i/>
          <w:iCs/>
        </w:rPr>
        <w:t>Tetrapturus</w:t>
      </w:r>
      <w:proofErr w:type="spellEnd"/>
      <w:r w:rsidRPr="00582ECD">
        <w:rPr>
          <w:rFonts w:asciiTheme="majorHAnsi" w:hAnsiTheme="majorHAnsi"/>
          <w:b/>
          <w:i/>
          <w:iCs/>
        </w:rPr>
        <w:t xml:space="preserve"> </w:t>
      </w:r>
      <w:proofErr w:type="spellStart"/>
      <w:r w:rsidRPr="00582ECD">
        <w:rPr>
          <w:rFonts w:asciiTheme="majorHAnsi" w:hAnsiTheme="majorHAnsi"/>
          <w:b/>
          <w:i/>
          <w:iCs/>
        </w:rPr>
        <w:t>pfluegeri</w:t>
      </w:r>
      <w:proofErr w:type="spellEnd"/>
      <w:r w:rsidRPr="00582ECD">
        <w:rPr>
          <w:rFonts w:asciiTheme="majorHAnsi" w:hAnsiTheme="majorHAnsi"/>
          <w:b/>
        </w:rPr>
        <w:t xml:space="preserve"> et </w:t>
      </w:r>
      <w:proofErr w:type="spellStart"/>
      <w:r w:rsidRPr="00582ECD">
        <w:rPr>
          <w:rFonts w:asciiTheme="majorHAnsi" w:hAnsiTheme="majorHAnsi"/>
          <w:b/>
          <w:i/>
          <w:iCs/>
        </w:rPr>
        <w:t>Tetrapturus</w:t>
      </w:r>
      <w:proofErr w:type="spellEnd"/>
      <w:r w:rsidRPr="00582ECD">
        <w:rPr>
          <w:rFonts w:asciiTheme="majorHAnsi" w:hAnsiTheme="majorHAnsi"/>
          <w:b/>
          <w:i/>
          <w:iCs/>
        </w:rPr>
        <w:t xml:space="preserve"> </w:t>
      </w:r>
      <w:proofErr w:type="spellStart"/>
      <w:r w:rsidRPr="00582ECD">
        <w:rPr>
          <w:rFonts w:asciiTheme="majorHAnsi" w:hAnsiTheme="majorHAnsi"/>
          <w:b/>
          <w:i/>
          <w:iCs/>
        </w:rPr>
        <w:t>belone</w:t>
      </w:r>
      <w:proofErr w:type="spellEnd"/>
      <w:r w:rsidRPr="00582ECD">
        <w:rPr>
          <w:rFonts w:asciiTheme="majorHAnsi" w:hAnsiTheme="majorHAnsi"/>
          <w:b/>
        </w:rPr>
        <w:t>)</w:t>
      </w:r>
    </w:p>
    <w:p w14:paraId="0C2F17EF" w14:textId="77777777" w:rsidR="004D1CA8" w:rsidRPr="00582ECD" w:rsidRDefault="004D1CA8" w:rsidP="00820485">
      <w:pPr>
        <w:tabs>
          <w:tab w:val="left" w:pos="0"/>
          <w:tab w:val="left" w:pos="1276"/>
        </w:tabs>
        <w:ind w:right="3"/>
        <w:jc w:val="both"/>
        <w:rPr>
          <w:rFonts w:asciiTheme="majorHAnsi" w:hAnsiTheme="majorHAnsi"/>
        </w:rPr>
      </w:pPr>
    </w:p>
    <w:p w14:paraId="4BF46FB3" w14:textId="0DD6F3D9" w:rsidR="0083344E" w:rsidRPr="00582ECD" w:rsidRDefault="009445AC" w:rsidP="005B120F">
      <w:pPr>
        <w:tabs>
          <w:tab w:val="left" w:pos="1276"/>
          <w:tab w:val="left" w:pos="1418"/>
          <w:tab w:val="left" w:leader="dot" w:pos="8222"/>
          <w:tab w:val="right" w:pos="8647"/>
        </w:tabs>
        <w:jc w:val="both"/>
        <w:rPr>
          <w:rFonts w:asciiTheme="majorHAnsi" w:hAnsiTheme="majorHAnsi"/>
          <w:iCs/>
        </w:rPr>
      </w:pPr>
      <w:r w:rsidRPr="00582ECD">
        <w:rPr>
          <w:rFonts w:asciiTheme="majorHAnsi" w:hAnsiTheme="majorHAnsi"/>
          <w:i/>
        </w:rPr>
        <w:t>Rec. 19-05 :</w:t>
      </w:r>
      <w:r w:rsidRPr="00582ECD">
        <w:rPr>
          <w:rFonts w:asciiTheme="majorHAnsi" w:hAnsiTheme="majorHAnsi"/>
        </w:rPr>
        <w:t xml:space="preserve"> </w:t>
      </w:r>
      <w:hyperlink r:id="rId27" w:tgtFrame="_blank" w:history="1">
        <w:r w:rsidRPr="00582ECD">
          <w:rPr>
            <w:rFonts w:asciiTheme="majorHAnsi" w:hAnsiTheme="majorHAnsi"/>
            <w:i/>
            <w:iCs/>
          </w:rPr>
          <w:t>Recommandation de l'ICCAT visant à établir des programmes de rétablissement pour le makaire bleu et le makaire blanc/makaire épée</w:t>
        </w:r>
      </w:hyperlink>
      <w:r w:rsidRPr="00582ECD">
        <w:rPr>
          <w:rFonts w:asciiTheme="majorHAnsi" w:hAnsiTheme="majorHAnsi"/>
        </w:rPr>
        <w:t xml:space="preserve">, telle qu’amendée par la Rec. 25-06 : </w:t>
      </w:r>
      <w:r w:rsidRPr="00582ECD">
        <w:rPr>
          <w:rFonts w:asciiTheme="majorHAnsi" w:hAnsiTheme="majorHAnsi"/>
          <w:i/>
          <w:iCs/>
        </w:rPr>
        <w:t>Recommandation de l’ICCAT visant à accorder des mesures provisoires aux CPC côtières en développement de l’ICCAT au titre des circonstances atténuantes résultant de la Recommandation 19-05</w:t>
      </w:r>
    </w:p>
    <w:p w14:paraId="445A0C34" w14:textId="77777777" w:rsidR="0083344E" w:rsidRPr="00582ECD" w:rsidRDefault="0083344E" w:rsidP="00820485">
      <w:pPr>
        <w:tabs>
          <w:tab w:val="left" w:pos="1276"/>
          <w:tab w:val="left" w:pos="1418"/>
          <w:tab w:val="left" w:leader="dot" w:pos="8222"/>
          <w:tab w:val="right" w:pos="8647"/>
        </w:tabs>
        <w:jc w:val="both"/>
        <w:rPr>
          <w:rFonts w:asciiTheme="majorHAnsi" w:hAnsiTheme="majorHAnsi"/>
          <w:i/>
        </w:rPr>
      </w:pPr>
    </w:p>
    <w:p w14:paraId="75C23498" w14:textId="39BB297C" w:rsidR="00351F1F" w:rsidRPr="00582ECD" w:rsidRDefault="00AA571A" w:rsidP="0064289F">
      <w:pPr>
        <w:tabs>
          <w:tab w:val="left" w:pos="1276"/>
          <w:tab w:val="left" w:pos="1418"/>
          <w:tab w:val="left" w:leader="dot" w:pos="8222"/>
          <w:tab w:val="right" w:pos="8647"/>
        </w:tabs>
        <w:jc w:val="both"/>
        <w:rPr>
          <w:rFonts w:asciiTheme="majorHAnsi" w:hAnsiTheme="majorHAnsi"/>
          <w:bCs/>
        </w:rPr>
      </w:pPr>
      <w:r w:rsidRPr="00582ECD">
        <w:rPr>
          <w:rFonts w:asciiTheme="majorHAnsi" w:hAnsiTheme="majorHAnsi"/>
        </w:rPr>
        <w:t xml:space="preserve">En ce qui concerne l’application des quotas/limites de capture, veuillez consulter la section suivante. Pour d’autres informations, veuillez consulter la Rec. 18-05 ci-dessous. </w:t>
      </w:r>
    </w:p>
    <w:p w14:paraId="2DCE4715" w14:textId="77777777" w:rsidR="006C013F" w:rsidRPr="00582ECD" w:rsidRDefault="006C013F" w:rsidP="0064289F">
      <w:pPr>
        <w:tabs>
          <w:tab w:val="left" w:pos="1276"/>
          <w:tab w:val="left" w:pos="1418"/>
          <w:tab w:val="left" w:leader="dot" w:pos="8222"/>
          <w:tab w:val="right" w:pos="8647"/>
        </w:tabs>
        <w:jc w:val="both"/>
        <w:rPr>
          <w:rFonts w:asciiTheme="majorHAnsi" w:hAnsiTheme="majorHAnsi"/>
          <w:bCs/>
        </w:rPr>
      </w:pPr>
    </w:p>
    <w:p w14:paraId="2074BF37" w14:textId="496FCB8F" w:rsidR="006C013F" w:rsidRPr="00582ECD" w:rsidRDefault="006C013F" w:rsidP="006C013F">
      <w:pPr>
        <w:tabs>
          <w:tab w:val="left" w:pos="1276"/>
          <w:tab w:val="left" w:pos="1418"/>
          <w:tab w:val="left" w:leader="dot" w:pos="8222"/>
          <w:tab w:val="right" w:pos="8647"/>
        </w:tabs>
        <w:jc w:val="both"/>
        <w:rPr>
          <w:rFonts w:asciiTheme="majorHAnsi" w:hAnsiTheme="majorHAnsi"/>
        </w:rPr>
      </w:pPr>
      <w:r w:rsidRPr="00582ECD">
        <w:rPr>
          <w:rFonts w:asciiTheme="majorHAnsi" w:hAnsiTheme="majorHAnsi"/>
          <w:b/>
          <w:bCs/>
          <w:i/>
          <w:iCs/>
        </w:rPr>
        <w:t>Application des q</w:t>
      </w:r>
      <w:r w:rsidRPr="00582ECD">
        <w:rPr>
          <w:rFonts w:asciiTheme="majorHAnsi" w:hAnsiTheme="majorHAnsi"/>
          <w:b/>
          <w:i/>
        </w:rPr>
        <w:t>uotas/li</w:t>
      </w:r>
      <w:r w:rsidRPr="00582ECD">
        <w:rPr>
          <w:rFonts w:asciiTheme="majorHAnsi" w:hAnsiTheme="majorHAnsi"/>
          <w:b/>
          <w:bCs/>
          <w:i/>
          <w:iCs/>
        </w:rPr>
        <w:t>mites de capture :</w:t>
      </w:r>
      <w:r w:rsidRPr="00582ECD">
        <w:rPr>
          <w:rFonts w:asciiTheme="majorHAnsi" w:hAnsiTheme="majorHAnsi"/>
          <w:i/>
        </w:rPr>
        <w:t xml:space="preserve"> </w:t>
      </w:r>
      <w:r w:rsidRPr="00582ECD">
        <w:rPr>
          <w:rFonts w:asciiTheme="majorHAnsi" w:hAnsiTheme="majorHAnsi"/>
        </w:rPr>
        <w:t>Veuillez consulter les</w:t>
      </w:r>
      <w:r w:rsidR="00C45B50">
        <w:rPr>
          <w:rFonts w:asciiTheme="majorHAnsi" w:hAnsiTheme="majorHAnsi"/>
        </w:rPr>
        <w:t xml:space="preserve"> « </w:t>
      </w:r>
      <w:r w:rsidRPr="00582ECD">
        <w:rPr>
          <w:rFonts w:asciiTheme="majorHAnsi" w:hAnsiTheme="majorHAnsi"/>
        </w:rPr>
        <w:t>Tableaux d'application 2025 reçus en 2026</w:t>
      </w:r>
      <w:r w:rsidR="00C45B50">
        <w:rPr>
          <w:rFonts w:asciiTheme="majorHAnsi" w:hAnsiTheme="majorHAnsi"/>
        </w:rPr>
        <w:t> »</w:t>
      </w:r>
      <w:r w:rsidRPr="00582ECD">
        <w:rPr>
          <w:rFonts w:asciiTheme="majorHAnsi" w:hAnsiTheme="majorHAnsi"/>
        </w:rPr>
        <w:t xml:space="preserve"> [COC_304/2026].</w:t>
      </w:r>
    </w:p>
    <w:p w14:paraId="150C44F1" w14:textId="77777777" w:rsidR="006C013F" w:rsidRPr="00582ECD" w:rsidRDefault="006C013F" w:rsidP="0064289F">
      <w:pPr>
        <w:tabs>
          <w:tab w:val="left" w:pos="1276"/>
          <w:tab w:val="left" w:pos="1418"/>
          <w:tab w:val="left" w:leader="dot" w:pos="8222"/>
          <w:tab w:val="right" w:pos="8647"/>
        </w:tabs>
        <w:jc w:val="both"/>
        <w:rPr>
          <w:rFonts w:asciiTheme="majorHAnsi" w:hAnsiTheme="majorHAnsi"/>
          <w:bCs/>
        </w:rPr>
      </w:pPr>
    </w:p>
    <w:p w14:paraId="4BEDD6DA" w14:textId="2A44A2E6" w:rsidR="00C72BAF" w:rsidRPr="00582ECD" w:rsidRDefault="00C72BAF" w:rsidP="00820485">
      <w:pPr>
        <w:jc w:val="both"/>
        <w:rPr>
          <w:rFonts w:asciiTheme="majorHAnsi" w:hAnsiTheme="majorHAnsi"/>
          <w:bCs/>
        </w:rPr>
      </w:pPr>
      <w:r w:rsidRPr="00582ECD">
        <w:rPr>
          <w:rFonts w:asciiTheme="majorHAnsi" w:hAnsiTheme="majorHAnsi"/>
          <w:i/>
        </w:rPr>
        <w:t>Rec. 16-11 : Recommandation de l’ICCAT concernant des mesures de gestion aux fins de la conservation du voilier de l'Atlantique</w:t>
      </w:r>
    </w:p>
    <w:p w14:paraId="6834A39A" w14:textId="49072D55" w:rsidR="00351F1F" w:rsidRPr="00582ECD" w:rsidRDefault="00351F1F" w:rsidP="00820485">
      <w:pPr>
        <w:widowControl/>
        <w:autoSpaceDE/>
        <w:autoSpaceDN/>
        <w:adjustRightInd/>
        <w:rPr>
          <w:rFonts w:asciiTheme="majorHAnsi" w:hAnsiTheme="majorHAnsi"/>
        </w:rPr>
      </w:pPr>
    </w:p>
    <w:p w14:paraId="66A2EE56" w14:textId="3B4EC579" w:rsidR="00F76A5D" w:rsidRPr="00582ECD" w:rsidRDefault="00A75441" w:rsidP="00820485">
      <w:pPr>
        <w:jc w:val="both"/>
        <w:rPr>
          <w:rFonts w:asciiTheme="majorHAnsi" w:hAnsiTheme="majorHAnsi"/>
        </w:rPr>
      </w:pPr>
      <w:r w:rsidRPr="00582ECD">
        <w:rPr>
          <w:rFonts w:asciiTheme="majorHAnsi" w:hAnsiTheme="majorHAnsi"/>
        </w:rPr>
        <w:t>Si, au cours d'une année donnée, le total des captures de l'un ou l'autre des stocks de voiliers de l'Atlantique dépasse le niveau correspondant à 67% de l'estimation moyenne de leur production maximale équilibrée (PME) (niveaux antérieurs : 1.271 t pour le stock oriental et 1.030 t pour le stock occidental ; niveaux actualisés à la suite de l'évaluation des stocks de 2023 : 1</w:t>
      </w:r>
      <w:r w:rsidR="006847B0">
        <w:rPr>
          <w:rFonts w:asciiTheme="majorHAnsi" w:hAnsiTheme="majorHAnsi"/>
        </w:rPr>
        <w:t>.</w:t>
      </w:r>
      <w:r w:rsidRPr="00582ECD">
        <w:rPr>
          <w:rFonts w:asciiTheme="majorHAnsi" w:hAnsiTheme="majorHAnsi"/>
        </w:rPr>
        <w:t xml:space="preserve">566 t pour le stock oriental et 1.080 t pour le stock occidental), la Commission devra procéder à un examen de la mise en œuvre et de l'efficacité de la présente recommandation. </w:t>
      </w:r>
    </w:p>
    <w:p w14:paraId="75D9E071" w14:textId="77777777" w:rsidR="00F76A5D" w:rsidRPr="00582ECD" w:rsidRDefault="00F76A5D" w:rsidP="00820485">
      <w:pPr>
        <w:jc w:val="both"/>
        <w:rPr>
          <w:rFonts w:asciiTheme="majorHAnsi" w:hAnsiTheme="majorHAnsi"/>
        </w:rPr>
      </w:pPr>
    </w:p>
    <w:p w14:paraId="1A7548ED" w14:textId="387F1B6D" w:rsidR="00902C39" w:rsidRPr="00582ECD" w:rsidRDefault="003A79C8" w:rsidP="00820485">
      <w:pPr>
        <w:jc w:val="both"/>
        <w:rPr>
          <w:rFonts w:asciiTheme="majorHAnsi" w:hAnsiTheme="majorHAnsi"/>
        </w:rPr>
      </w:pPr>
      <w:r w:rsidRPr="00582ECD">
        <w:rPr>
          <w:rFonts w:asciiTheme="majorHAnsi" w:hAnsiTheme="majorHAnsi"/>
        </w:rPr>
        <w:t>Les captures totales sont indiquées ci-dessous, ce qui montre que le stock de l’Ouest a fait l’objet d’une surconsommation en 2025</w:t>
      </w:r>
      <w:r w:rsidR="00866934">
        <w:rPr>
          <w:rFonts w:asciiTheme="majorHAnsi" w:hAnsiTheme="majorHAnsi"/>
        </w:rPr>
        <w:t> :</w:t>
      </w:r>
    </w:p>
    <w:p w14:paraId="19B51576" w14:textId="77777777" w:rsidR="00CD39ED" w:rsidRPr="00582ECD" w:rsidRDefault="00CD39ED" w:rsidP="00820485">
      <w:pPr>
        <w:jc w:val="both"/>
        <w:rPr>
          <w:rFonts w:asciiTheme="majorHAnsi" w:hAnsiTheme="majorHAnsi"/>
          <w:sz w:val="18"/>
          <w:szCs w:val="18"/>
        </w:rPr>
      </w:pPr>
    </w:p>
    <w:p w14:paraId="675580D1" w14:textId="4136D522" w:rsidR="000220BD" w:rsidRPr="00582ECD" w:rsidRDefault="000220BD" w:rsidP="00820485">
      <w:pPr>
        <w:jc w:val="both"/>
        <w:rPr>
          <w:rFonts w:asciiTheme="majorHAnsi" w:hAnsiTheme="majorHAnsi"/>
        </w:rPr>
      </w:pPr>
      <w:r w:rsidRPr="00582ECD">
        <w:rPr>
          <w:rFonts w:asciiTheme="majorHAnsi" w:hAnsiTheme="majorHAnsi"/>
        </w:rPr>
        <w:t xml:space="preserve">Données de tâche 1 (incluant les estimations du SCRS) : </w:t>
      </w:r>
    </w:p>
    <w:p w14:paraId="6F9B4819" w14:textId="3329E39D" w:rsidR="00CD39ED" w:rsidRPr="00582ECD" w:rsidRDefault="00CD39ED" w:rsidP="00820485">
      <w:pPr>
        <w:jc w:val="both"/>
        <w:rPr>
          <w:rFonts w:asciiTheme="majorHAnsi" w:hAnsiTheme="majorHAnsi"/>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top w:w="15" w:type="dxa"/>
          <w:left w:w="15" w:type="dxa"/>
          <w:bottom w:w="15" w:type="dxa"/>
          <w:right w:w="15" w:type="dxa"/>
        </w:tblCellMar>
        <w:tblLook w:val="04A0" w:firstRow="1" w:lastRow="0" w:firstColumn="1" w:lastColumn="0" w:noHBand="0" w:noVBand="1"/>
      </w:tblPr>
      <w:tblGrid>
        <w:gridCol w:w="1053"/>
        <w:gridCol w:w="916"/>
        <w:gridCol w:w="916"/>
        <w:gridCol w:w="916"/>
        <w:gridCol w:w="916"/>
        <w:gridCol w:w="916"/>
        <w:gridCol w:w="916"/>
        <w:gridCol w:w="916"/>
        <w:gridCol w:w="916"/>
        <w:gridCol w:w="684"/>
      </w:tblGrid>
      <w:tr w:rsidR="007E2F3A" w:rsidRPr="00582ECD" w14:paraId="6869149E" w14:textId="344069A6" w:rsidTr="00E00474">
        <w:tc>
          <w:tcPr>
            <w:tcW w:w="581" w:type="pct"/>
            <w:shd w:val="clear" w:color="auto" w:fill="FFFFFF"/>
            <w:vAlign w:val="center"/>
            <w:hideMark/>
          </w:tcPr>
          <w:p w14:paraId="527E854A" w14:textId="77777777" w:rsidR="007E2F3A" w:rsidRPr="00582ECD" w:rsidRDefault="007E2F3A" w:rsidP="00820485">
            <w:pPr>
              <w:widowControl/>
              <w:autoSpaceDE/>
              <w:autoSpaceDN/>
              <w:adjustRightInd/>
              <w:jc w:val="center"/>
              <w:rPr>
                <w:rFonts w:asciiTheme="majorHAnsi" w:hAnsiTheme="majorHAnsi"/>
                <w:i/>
                <w:iCs/>
              </w:rPr>
            </w:pPr>
            <w:r w:rsidRPr="00582ECD">
              <w:rPr>
                <w:rFonts w:asciiTheme="majorHAnsi" w:hAnsiTheme="majorHAnsi"/>
                <w:i/>
              </w:rPr>
              <w:t>Voilier</w:t>
            </w:r>
          </w:p>
        </w:tc>
        <w:tc>
          <w:tcPr>
            <w:tcW w:w="505" w:type="pct"/>
            <w:shd w:val="clear" w:color="auto" w:fill="FFFFFF"/>
            <w:vAlign w:val="center"/>
            <w:hideMark/>
          </w:tcPr>
          <w:p w14:paraId="5ACC41DF" w14:textId="77777777" w:rsidR="007E2F3A" w:rsidRPr="00582ECD" w:rsidRDefault="007E2F3A" w:rsidP="00820485">
            <w:pPr>
              <w:widowControl/>
              <w:autoSpaceDE/>
              <w:autoSpaceDN/>
              <w:adjustRightInd/>
              <w:jc w:val="center"/>
              <w:rPr>
                <w:rFonts w:asciiTheme="majorHAnsi" w:hAnsiTheme="majorHAnsi"/>
                <w:i/>
                <w:iCs/>
              </w:rPr>
            </w:pPr>
            <w:r w:rsidRPr="00582ECD">
              <w:rPr>
                <w:rFonts w:asciiTheme="majorHAnsi" w:hAnsiTheme="majorHAnsi"/>
                <w:i/>
              </w:rPr>
              <w:t>2017</w:t>
            </w:r>
          </w:p>
        </w:tc>
        <w:tc>
          <w:tcPr>
            <w:tcW w:w="505" w:type="pct"/>
            <w:shd w:val="clear" w:color="auto" w:fill="FFFFFF"/>
            <w:vAlign w:val="center"/>
            <w:hideMark/>
          </w:tcPr>
          <w:p w14:paraId="6907E79E" w14:textId="77777777" w:rsidR="007E2F3A" w:rsidRPr="00582ECD" w:rsidRDefault="007E2F3A" w:rsidP="00820485">
            <w:pPr>
              <w:widowControl/>
              <w:autoSpaceDE/>
              <w:autoSpaceDN/>
              <w:adjustRightInd/>
              <w:jc w:val="center"/>
              <w:rPr>
                <w:rFonts w:asciiTheme="majorHAnsi" w:hAnsiTheme="majorHAnsi"/>
                <w:i/>
                <w:iCs/>
              </w:rPr>
            </w:pPr>
            <w:r w:rsidRPr="00582ECD">
              <w:rPr>
                <w:rFonts w:asciiTheme="majorHAnsi" w:hAnsiTheme="majorHAnsi"/>
                <w:i/>
              </w:rPr>
              <w:t>2018</w:t>
            </w:r>
          </w:p>
        </w:tc>
        <w:tc>
          <w:tcPr>
            <w:tcW w:w="505" w:type="pct"/>
            <w:shd w:val="clear" w:color="auto" w:fill="FFFFFF"/>
            <w:vAlign w:val="center"/>
            <w:hideMark/>
          </w:tcPr>
          <w:p w14:paraId="6F4D8FE8" w14:textId="77777777" w:rsidR="007E2F3A" w:rsidRPr="00582ECD" w:rsidRDefault="007E2F3A" w:rsidP="00820485">
            <w:pPr>
              <w:widowControl/>
              <w:autoSpaceDE/>
              <w:autoSpaceDN/>
              <w:adjustRightInd/>
              <w:jc w:val="center"/>
              <w:rPr>
                <w:rFonts w:asciiTheme="majorHAnsi" w:hAnsiTheme="majorHAnsi"/>
                <w:i/>
                <w:iCs/>
              </w:rPr>
            </w:pPr>
            <w:r w:rsidRPr="00582ECD">
              <w:rPr>
                <w:rFonts w:asciiTheme="majorHAnsi" w:hAnsiTheme="majorHAnsi"/>
                <w:i/>
              </w:rPr>
              <w:t>2019</w:t>
            </w:r>
          </w:p>
        </w:tc>
        <w:tc>
          <w:tcPr>
            <w:tcW w:w="505" w:type="pct"/>
            <w:shd w:val="clear" w:color="auto" w:fill="FFFFFF"/>
            <w:vAlign w:val="center"/>
            <w:hideMark/>
          </w:tcPr>
          <w:p w14:paraId="0D96AC9F" w14:textId="77777777" w:rsidR="007E2F3A" w:rsidRPr="00582ECD" w:rsidRDefault="007E2F3A" w:rsidP="00820485">
            <w:pPr>
              <w:widowControl/>
              <w:autoSpaceDE/>
              <w:autoSpaceDN/>
              <w:adjustRightInd/>
              <w:jc w:val="center"/>
              <w:rPr>
                <w:rFonts w:asciiTheme="majorHAnsi" w:hAnsiTheme="majorHAnsi"/>
                <w:i/>
                <w:iCs/>
              </w:rPr>
            </w:pPr>
            <w:r w:rsidRPr="00582ECD">
              <w:rPr>
                <w:rFonts w:asciiTheme="majorHAnsi" w:hAnsiTheme="majorHAnsi"/>
                <w:i/>
              </w:rPr>
              <w:t>2020</w:t>
            </w:r>
          </w:p>
        </w:tc>
        <w:tc>
          <w:tcPr>
            <w:tcW w:w="505" w:type="pct"/>
            <w:shd w:val="clear" w:color="auto" w:fill="FFFFFF"/>
          </w:tcPr>
          <w:p w14:paraId="4C7CF085" w14:textId="764DBF86" w:rsidR="007E2F3A" w:rsidRPr="00582ECD" w:rsidRDefault="007E2F3A" w:rsidP="00820485">
            <w:pPr>
              <w:widowControl/>
              <w:autoSpaceDE/>
              <w:autoSpaceDN/>
              <w:adjustRightInd/>
              <w:jc w:val="center"/>
              <w:rPr>
                <w:rFonts w:asciiTheme="majorHAnsi" w:hAnsiTheme="majorHAnsi"/>
                <w:i/>
                <w:iCs/>
              </w:rPr>
            </w:pPr>
            <w:r w:rsidRPr="00582ECD">
              <w:rPr>
                <w:rFonts w:asciiTheme="majorHAnsi" w:hAnsiTheme="majorHAnsi"/>
                <w:i/>
              </w:rPr>
              <w:t>2021</w:t>
            </w:r>
          </w:p>
        </w:tc>
        <w:tc>
          <w:tcPr>
            <w:tcW w:w="505" w:type="pct"/>
            <w:shd w:val="clear" w:color="auto" w:fill="FFFFFF"/>
          </w:tcPr>
          <w:p w14:paraId="53B70A9A" w14:textId="179D7F49" w:rsidR="007E2F3A" w:rsidRPr="00582ECD" w:rsidRDefault="007E2F3A" w:rsidP="00820485">
            <w:pPr>
              <w:widowControl/>
              <w:autoSpaceDE/>
              <w:autoSpaceDN/>
              <w:adjustRightInd/>
              <w:jc w:val="center"/>
              <w:rPr>
                <w:rFonts w:asciiTheme="majorHAnsi" w:hAnsiTheme="majorHAnsi"/>
                <w:i/>
                <w:iCs/>
              </w:rPr>
            </w:pPr>
            <w:r w:rsidRPr="00582ECD">
              <w:rPr>
                <w:rFonts w:asciiTheme="majorHAnsi" w:hAnsiTheme="majorHAnsi"/>
                <w:i/>
              </w:rPr>
              <w:t>2022</w:t>
            </w:r>
          </w:p>
        </w:tc>
        <w:tc>
          <w:tcPr>
            <w:tcW w:w="505" w:type="pct"/>
            <w:shd w:val="clear" w:color="auto" w:fill="FFFFFF"/>
          </w:tcPr>
          <w:p w14:paraId="3E4C5A73" w14:textId="6FF8BBAC" w:rsidR="007E2F3A" w:rsidRPr="00582ECD" w:rsidRDefault="007E2F3A" w:rsidP="00820485">
            <w:pPr>
              <w:widowControl/>
              <w:autoSpaceDE/>
              <w:autoSpaceDN/>
              <w:adjustRightInd/>
              <w:jc w:val="center"/>
              <w:rPr>
                <w:rFonts w:asciiTheme="majorHAnsi" w:hAnsiTheme="majorHAnsi"/>
                <w:i/>
                <w:iCs/>
              </w:rPr>
            </w:pPr>
            <w:r w:rsidRPr="00582ECD">
              <w:rPr>
                <w:rFonts w:asciiTheme="majorHAnsi" w:hAnsiTheme="majorHAnsi"/>
                <w:i/>
              </w:rPr>
              <w:t>2023</w:t>
            </w:r>
          </w:p>
        </w:tc>
        <w:tc>
          <w:tcPr>
            <w:tcW w:w="505" w:type="pct"/>
            <w:shd w:val="clear" w:color="auto" w:fill="FFFFFF"/>
          </w:tcPr>
          <w:p w14:paraId="5B50B154" w14:textId="7B47FB77" w:rsidR="007E2F3A" w:rsidRPr="00582ECD" w:rsidRDefault="007E2F3A" w:rsidP="00820485">
            <w:pPr>
              <w:widowControl/>
              <w:autoSpaceDE/>
              <w:autoSpaceDN/>
              <w:adjustRightInd/>
              <w:jc w:val="center"/>
              <w:rPr>
                <w:rFonts w:asciiTheme="majorHAnsi" w:hAnsiTheme="majorHAnsi"/>
                <w:i/>
                <w:iCs/>
              </w:rPr>
            </w:pPr>
            <w:r w:rsidRPr="00582ECD">
              <w:rPr>
                <w:rFonts w:asciiTheme="majorHAnsi" w:hAnsiTheme="majorHAnsi"/>
                <w:i/>
              </w:rPr>
              <w:t>2024</w:t>
            </w:r>
          </w:p>
        </w:tc>
        <w:tc>
          <w:tcPr>
            <w:tcW w:w="377" w:type="pct"/>
            <w:shd w:val="clear" w:color="auto" w:fill="FFFFFF"/>
          </w:tcPr>
          <w:p w14:paraId="2621C299" w14:textId="5086CE1E" w:rsidR="007E2F3A" w:rsidRPr="00582ECD" w:rsidRDefault="007E2F3A" w:rsidP="00820485">
            <w:pPr>
              <w:widowControl/>
              <w:autoSpaceDE/>
              <w:autoSpaceDN/>
              <w:adjustRightInd/>
              <w:jc w:val="center"/>
              <w:rPr>
                <w:rFonts w:asciiTheme="majorHAnsi" w:hAnsiTheme="majorHAnsi"/>
                <w:i/>
                <w:iCs/>
              </w:rPr>
            </w:pPr>
            <w:r w:rsidRPr="00582ECD">
              <w:rPr>
                <w:rFonts w:asciiTheme="majorHAnsi" w:hAnsiTheme="majorHAnsi"/>
                <w:i/>
              </w:rPr>
              <w:t>2025</w:t>
            </w:r>
          </w:p>
        </w:tc>
      </w:tr>
      <w:tr w:rsidR="00E00474" w:rsidRPr="00582ECD" w14:paraId="0637ECE9" w14:textId="78333162" w:rsidTr="00E00474">
        <w:tc>
          <w:tcPr>
            <w:tcW w:w="581" w:type="pct"/>
            <w:shd w:val="clear" w:color="auto" w:fill="FFFFFF"/>
            <w:vAlign w:val="center"/>
            <w:hideMark/>
          </w:tcPr>
          <w:p w14:paraId="2248EED5" w14:textId="77777777" w:rsidR="00E00474" w:rsidRPr="00582ECD" w:rsidRDefault="00E00474" w:rsidP="00E00474">
            <w:pPr>
              <w:widowControl/>
              <w:autoSpaceDE/>
              <w:autoSpaceDN/>
              <w:adjustRightInd/>
              <w:jc w:val="center"/>
              <w:rPr>
                <w:rFonts w:asciiTheme="majorHAnsi" w:hAnsiTheme="majorHAnsi"/>
                <w:color w:val="000000"/>
              </w:rPr>
            </w:pPr>
            <w:r w:rsidRPr="00582ECD">
              <w:rPr>
                <w:rFonts w:asciiTheme="majorHAnsi" w:hAnsiTheme="majorHAnsi"/>
                <w:color w:val="000000"/>
              </w:rPr>
              <w:t>ATE</w:t>
            </w:r>
          </w:p>
        </w:tc>
        <w:tc>
          <w:tcPr>
            <w:tcW w:w="505" w:type="pct"/>
            <w:shd w:val="clear" w:color="auto" w:fill="FFFFFF"/>
            <w:hideMark/>
          </w:tcPr>
          <w:p w14:paraId="62FF1767" w14:textId="48ECF3A7" w:rsidR="00E00474" w:rsidRPr="00582ECD" w:rsidRDefault="00E00474" w:rsidP="00E00474">
            <w:pPr>
              <w:widowControl/>
              <w:autoSpaceDE/>
              <w:autoSpaceDN/>
              <w:adjustRightInd/>
              <w:jc w:val="center"/>
              <w:rPr>
                <w:rFonts w:asciiTheme="majorHAnsi" w:hAnsiTheme="majorHAnsi"/>
              </w:rPr>
            </w:pPr>
            <w:r w:rsidRPr="00582ECD">
              <w:rPr>
                <w:rFonts w:asciiTheme="majorHAnsi" w:hAnsiTheme="majorHAnsi"/>
              </w:rPr>
              <w:t>1651</w:t>
            </w:r>
          </w:p>
        </w:tc>
        <w:tc>
          <w:tcPr>
            <w:tcW w:w="505" w:type="pct"/>
            <w:shd w:val="clear" w:color="auto" w:fill="FFFFFF"/>
            <w:hideMark/>
          </w:tcPr>
          <w:p w14:paraId="6F31A2D5" w14:textId="454C1959" w:rsidR="00E00474" w:rsidRPr="00582ECD" w:rsidRDefault="00E00474" w:rsidP="00E00474">
            <w:pPr>
              <w:widowControl/>
              <w:autoSpaceDE/>
              <w:autoSpaceDN/>
              <w:adjustRightInd/>
              <w:jc w:val="center"/>
              <w:rPr>
                <w:rFonts w:asciiTheme="majorHAnsi" w:hAnsiTheme="majorHAnsi"/>
              </w:rPr>
            </w:pPr>
            <w:r w:rsidRPr="00582ECD">
              <w:rPr>
                <w:rFonts w:asciiTheme="majorHAnsi" w:hAnsiTheme="majorHAnsi"/>
              </w:rPr>
              <w:t>962</w:t>
            </w:r>
          </w:p>
        </w:tc>
        <w:tc>
          <w:tcPr>
            <w:tcW w:w="505" w:type="pct"/>
            <w:shd w:val="clear" w:color="auto" w:fill="FFFFFF"/>
            <w:hideMark/>
          </w:tcPr>
          <w:p w14:paraId="5E40AC1B" w14:textId="13753BCF" w:rsidR="00E00474" w:rsidRPr="00582ECD" w:rsidRDefault="00E00474" w:rsidP="00E00474">
            <w:pPr>
              <w:widowControl/>
              <w:autoSpaceDE/>
              <w:autoSpaceDN/>
              <w:adjustRightInd/>
              <w:jc w:val="center"/>
              <w:rPr>
                <w:rFonts w:asciiTheme="majorHAnsi" w:hAnsiTheme="majorHAnsi"/>
              </w:rPr>
            </w:pPr>
            <w:r w:rsidRPr="00582ECD">
              <w:rPr>
                <w:rFonts w:asciiTheme="majorHAnsi" w:hAnsiTheme="majorHAnsi"/>
              </w:rPr>
              <w:t>2271</w:t>
            </w:r>
          </w:p>
        </w:tc>
        <w:tc>
          <w:tcPr>
            <w:tcW w:w="505" w:type="pct"/>
            <w:shd w:val="clear" w:color="auto" w:fill="FFFFFF"/>
            <w:hideMark/>
          </w:tcPr>
          <w:p w14:paraId="721762D8" w14:textId="13842AD3" w:rsidR="00E00474" w:rsidRPr="00582ECD" w:rsidRDefault="00E00474" w:rsidP="00E00474">
            <w:pPr>
              <w:widowControl/>
              <w:autoSpaceDE/>
              <w:autoSpaceDN/>
              <w:adjustRightInd/>
              <w:jc w:val="center"/>
              <w:rPr>
                <w:rFonts w:asciiTheme="majorHAnsi" w:hAnsiTheme="majorHAnsi"/>
              </w:rPr>
            </w:pPr>
            <w:r w:rsidRPr="00582ECD">
              <w:rPr>
                <w:rFonts w:asciiTheme="majorHAnsi" w:hAnsiTheme="majorHAnsi"/>
              </w:rPr>
              <w:t>1219</w:t>
            </w:r>
          </w:p>
        </w:tc>
        <w:tc>
          <w:tcPr>
            <w:tcW w:w="505" w:type="pct"/>
            <w:shd w:val="clear" w:color="auto" w:fill="FFFFFF"/>
          </w:tcPr>
          <w:p w14:paraId="2D16BDAC" w14:textId="506BA416" w:rsidR="00E00474" w:rsidRPr="00582ECD" w:rsidRDefault="00E00474" w:rsidP="00E00474">
            <w:pPr>
              <w:widowControl/>
              <w:autoSpaceDE/>
              <w:autoSpaceDN/>
              <w:adjustRightInd/>
              <w:jc w:val="center"/>
              <w:rPr>
                <w:rFonts w:asciiTheme="majorHAnsi" w:hAnsiTheme="majorHAnsi"/>
              </w:rPr>
            </w:pPr>
            <w:r w:rsidRPr="00582ECD">
              <w:rPr>
                <w:rFonts w:asciiTheme="majorHAnsi" w:hAnsiTheme="majorHAnsi"/>
              </w:rPr>
              <w:t>1733</w:t>
            </w:r>
          </w:p>
        </w:tc>
        <w:tc>
          <w:tcPr>
            <w:tcW w:w="505" w:type="pct"/>
            <w:shd w:val="clear" w:color="auto" w:fill="FFFFFF"/>
          </w:tcPr>
          <w:p w14:paraId="212E104B" w14:textId="4C82CC1D" w:rsidR="00E00474" w:rsidRPr="00582ECD" w:rsidRDefault="00E00474" w:rsidP="00E00474">
            <w:pPr>
              <w:widowControl/>
              <w:autoSpaceDE/>
              <w:autoSpaceDN/>
              <w:adjustRightInd/>
              <w:jc w:val="center"/>
              <w:rPr>
                <w:rFonts w:asciiTheme="majorHAnsi" w:hAnsiTheme="majorHAnsi"/>
                <w:color w:val="FF0000"/>
              </w:rPr>
            </w:pPr>
            <w:r w:rsidRPr="00582ECD">
              <w:rPr>
                <w:rFonts w:asciiTheme="majorHAnsi" w:hAnsiTheme="majorHAnsi"/>
              </w:rPr>
              <w:t>1183</w:t>
            </w:r>
          </w:p>
        </w:tc>
        <w:tc>
          <w:tcPr>
            <w:tcW w:w="505" w:type="pct"/>
            <w:shd w:val="clear" w:color="auto" w:fill="FFFFFF"/>
          </w:tcPr>
          <w:p w14:paraId="5B1EC3DC" w14:textId="50DD527F" w:rsidR="00E00474" w:rsidRPr="00582ECD" w:rsidRDefault="00E00474" w:rsidP="00E00474">
            <w:pPr>
              <w:widowControl/>
              <w:autoSpaceDE/>
              <w:autoSpaceDN/>
              <w:adjustRightInd/>
              <w:jc w:val="center"/>
              <w:rPr>
                <w:rFonts w:asciiTheme="majorHAnsi" w:hAnsiTheme="majorHAnsi"/>
              </w:rPr>
            </w:pPr>
            <w:r w:rsidRPr="00582ECD">
              <w:rPr>
                <w:rFonts w:asciiTheme="majorHAnsi" w:hAnsiTheme="majorHAnsi"/>
              </w:rPr>
              <w:t>1084</w:t>
            </w:r>
          </w:p>
        </w:tc>
        <w:tc>
          <w:tcPr>
            <w:tcW w:w="505" w:type="pct"/>
            <w:shd w:val="clear" w:color="auto" w:fill="FFFFFF"/>
          </w:tcPr>
          <w:p w14:paraId="1152F774" w14:textId="55B2A36F" w:rsidR="00E00474" w:rsidRPr="00582ECD" w:rsidRDefault="00E00474" w:rsidP="00E00474">
            <w:pPr>
              <w:widowControl/>
              <w:autoSpaceDE/>
              <w:autoSpaceDN/>
              <w:adjustRightInd/>
              <w:jc w:val="center"/>
              <w:rPr>
                <w:rFonts w:asciiTheme="majorHAnsi" w:hAnsiTheme="majorHAnsi"/>
              </w:rPr>
            </w:pPr>
            <w:r w:rsidRPr="00582ECD">
              <w:rPr>
                <w:rFonts w:asciiTheme="majorHAnsi" w:hAnsiTheme="majorHAnsi"/>
              </w:rPr>
              <w:t>1243</w:t>
            </w:r>
          </w:p>
        </w:tc>
        <w:tc>
          <w:tcPr>
            <w:tcW w:w="377" w:type="pct"/>
            <w:shd w:val="clear" w:color="auto" w:fill="FFFFFF"/>
          </w:tcPr>
          <w:p w14:paraId="5EFA7995" w14:textId="3F698D33" w:rsidR="00E00474" w:rsidRPr="00582ECD" w:rsidRDefault="00E00474" w:rsidP="00E00474">
            <w:pPr>
              <w:widowControl/>
              <w:autoSpaceDE/>
              <w:autoSpaceDN/>
              <w:adjustRightInd/>
              <w:jc w:val="center"/>
              <w:rPr>
                <w:rFonts w:asciiTheme="majorHAnsi" w:hAnsiTheme="majorHAnsi"/>
              </w:rPr>
            </w:pPr>
            <w:r w:rsidRPr="00582ECD">
              <w:rPr>
                <w:rFonts w:asciiTheme="majorHAnsi" w:hAnsiTheme="majorHAnsi"/>
              </w:rPr>
              <w:t>1289</w:t>
            </w:r>
          </w:p>
        </w:tc>
      </w:tr>
      <w:tr w:rsidR="00E00474" w:rsidRPr="00582ECD" w14:paraId="17C4BE9C" w14:textId="4A172212" w:rsidTr="00E00474">
        <w:tc>
          <w:tcPr>
            <w:tcW w:w="581" w:type="pct"/>
            <w:shd w:val="clear" w:color="auto" w:fill="FFFFFF"/>
            <w:vAlign w:val="center"/>
            <w:hideMark/>
          </w:tcPr>
          <w:p w14:paraId="2A88649D" w14:textId="77777777" w:rsidR="00E00474" w:rsidRPr="00582ECD" w:rsidRDefault="00E00474" w:rsidP="00E00474">
            <w:pPr>
              <w:widowControl/>
              <w:autoSpaceDE/>
              <w:autoSpaceDN/>
              <w:adjustRightInd/>
              <w:jc w:val="center"/>
              <w:rPr>
                <w:rFonts w:asciiTheme="majorHAnsi" w:hAnsiTheme="majorHAnsi"/>
                <w:color w:val="000000"/>
              </w:rPr>
            </w:pPr>
            <w:r w:rsidRPr="00582ECD">
              <w:rPr>
                <w:rFonts w:asciiTheme="majorHAnsi" w:hAnsiTheme="majorHAnsi"/>
                <w:color w:val="000000"/>
              </w:rPr>
              <w:t>ATW</w:t>
            </w:r>
          </w:p>
        </w:tc>
        <w:tc>
          <w:tcPr>
            <w:tcW w:w="505" w:type="pct"/>
            <w:shd w:val="clear" w:color="auto" w:fill="FFFFFF"/>
            <w:hideMark/>
          </w:tcPr>
          <w:p w14:paraId="4D8896D4" w14:textId="4134B63C" w:rsidR="00E00474" w:rsidRPr="00582ECD" w:rsidRDefault="00E00474" w:rsidP="00E00474">
            <w:pPr>
              <w:widowControl/>
              <w:autoSpaceDE/>
              <w:autoSpaceDN/>
              <w:adjustRightInd/>
              <w:jc w:val="center"/>
              <w:rPr>
                <w:rFonts w:asciiTheme="majorHAnsi" w:hAnsiTheme="majorHAnsi"/>
              </w:rPr>
            </w:pPr>
            <w:r w:rsidRPr="00582ECD">
              <w:rPr>
                <w:rFonts w:asciiTheme="majorHAnsi" w:hAnsiTheme="majorHAnsi"/>
              </w:rPr>
              <w:t>1967</w:t>
            </w:r>
          </w:p>
        </w:tc>
        <w:tc>
          <w:tcPr>
            <w:tcW w:w="505" w:type="pct"/>
            <w:shd w:val="clear" w:color="auto" w:fill="FFFFFF"/>
            <w:hideMark/>
          </w:tcPr>
          <w:p w14:paraId="0C0F1AE9" w14:textId="1E3FFEA1" w:rsidR="00E00474" w:rsidRPr="00582ECD" w:rsidRDefault="00E00474" w:rsidP="00E00474">
            <w:pPr>
              <w:widowControl/>
              <w:autoSpaceDE/>
              <w:autoSpaceDN/>
              <w:adjustRightInd/>
              <w:jc w:val="center"/>
              <w:rPr>
                <w:rFonts w:asciiTheme="majorHAnsi" w:hAnsiTheme="majorHAnsi"/>
              </w:rPr>
            </w:pPr>
            <w:r w:rsidRPr="00582ECD">
              <w:rPr>
                <w:rFonts w:asciiTheme="majorHAnsi" w:hAnsiTheme="majorHAnsi"/>
              </w:rPr>
              <w:t>1955</w:t>
            </w:r>
          </w:p>
        </w:tc>
        <w:tc>
          <w:tcPr>
            <w:tcW w:w="505" w:type="pct"/>
            <w:shd w:val="clear" w:color="auto" w:fill="FFFFFF"/>
            <w:hideMark/>
          </w:tcPr>
          <w:p w14:paraId="3A881298" w14:textId="1818305F" w:rsidR="00E00474" w:rsidRPr="00582ECD" w:rsidRDefault="00E00474" w:rsidP="00E00474">
            <w:pPr>
              <w:widowControl/>
              <w:autoSpaceDE/>
              <w:autoSpaceDN/>
              <w:adjustRightInd/>
              <w:jc w:val="center"/>
              <w:rPr>
                <w:rFonts w:asciiTheme="majorHAnsi" w:hAnsiTheme="majorHAnsi"/>
              </w:rPr>
            </w:pPr>
            <w:r w:rsidRPr="00582ECD">
              <w:rPr>
                <w:rFonts w:asciiTheme="majorHAnsi" w:hAnsiTheme="majorHAnsi"/>
              </w:rPr>
              <w:t>1625</w:t>
            </w:r>
          </w:p>
        </w:tc>
        <w:tc>
          <w:tcPr>
            <w:tcW w:w="505" w:type="pct"/>
            <w:shd w:val="clear" w:color="auto" w:fill="FFFFFF"/>
            <w:hideMark/>
          </w:tcPr>
          <w:p w14:paraId="113E22AB" w14:textId="730463BB" w:rsidR="00E00474" w:rsidRPr="00582ECD" w:rsidRDefault="00E00474" w:rsidP="00E00474">
            <w:pPr>
              <w:widowControl/>
              <w:autoSpaceDE/>
              <w:autoSpaceDN/>
              <w:adjustRightInd/>
              <w:jc w:val="center"/>
              <w:rPr>
                <w:rFonts w:asciiTheme="majorHAnsi" w:hAnsiTheme="majorHAnsi"/>
              </w:rPr>
            </w:pPr>
            <w:r w:rsidRPr="00582ECD">
              <w:rPr>
                <w:rFonts w:asciiTheme="majorHAnsi" w:hAnsiTheme="majorHAnsi"/>
              </w:rPr>
              <w:t>1392</w:t>
            </w:r>
          </w:p>
        </w:tc>
        <w:tc>
          <w:tcPr>
            <w:tcW w:w="505" w:type="pct"/>
            <w:shd w:val="clear" w:color="auto" w:fill="FFFFFF"/>
          </w:tcPr>
          <w:p w14:paraId="663C52B8" w14:textId="0A72F81F" w:rsidR="00E00474" w:rsidRPr="00582ECD" w:rsidRDefault="00E00474" w:rsidP="00E00474">
            <w:pPr>
              <w:widowControl/>
              <w:autoSpaceDE/>
              <w:autoSpaceDN/>
              <w:adjustRightInd/>
              <w:jc w:val="center"/>
              <w:rPr>
                <w:rFonts w:asciiTheme="majorHAnsi" w:hAnsiTheme="majorHAnsi"/>
              </w:rPr>
            </w:pPr>
            <w:r w:rsidRPr="00582ECD">
              <w:rPr>
                <w:rFonts w:asciiTheme="majorHAnsi" w:hAnsiTheme="majorHAnsi"/>
              </w:rPr>
              <w:t>934</w:t>
            </w:r>
          </w:p>
        </w:tc>
        <w:tc>
          <w:tcPr>
            <w:tcW w:w="505" w:type="pct"/>
            <w:shd w:val="clear" w:color="auto" w:fill="FFFFFF"/>
          </w:tcPr>
          <w:p w14:paraId="047D10F2" w14:textId="77A5620C" w:rsidR="00E00474" w:rsidRPr="00582ECD" w:rsidRDefault="00E00474" w:rsidP="00E00474">
            <w:pPr>
              <w:widowControl/>
              <w:autoSpaceDE/>
              <w:autoSpaceDN/>
              <w:adjustRightInd/>
              <w:jc w:val="center"/>
              <w:rPr>
                <w:rFonts w:asciiTheme="majorHAnsi" w:hAnsiTheme="majorHAnsi"/>
              </w:rPr>
            </w:pPr>
            <w:r w:rsidRPr="00582ECD">
              <w:rPr>
                <w:rFonts w:asciiTheme="majorHAnsi" w:hAnsiTheme="majorHAnsi"/>
              </w:rPr>
              <w:t>1096</w:t>
            </w:r>
          </w:p>
        </w:tc>
        <w:tc>
          <w:tcPr>
            <w:tcW w:w="505" w:type="pct"/>
            <w:shd w:val="clear" w:color="auto" w:fill="FFFFFF"/>
          </w:tcPr>
          <w:p w14:paraId="0ABB9B6C" w14:textId="1EAF6DAF" w:rsidR="00E00474" w:rsidRPr="00582ECD" w:rsidRDefault="00E00474" w:rsidP="00E00474">
            <w:pPr>
              <w:widowControl/>
              <w:autoSpaceDE/>
              <w:autoSpaceDN/>
              <w:adjustRightInd/>
              <w:jc w:val="center"/>
              <w:rPr>
                <w:rFonts w:asciiTheme="majorHAnsi" w:hAnsiTheme="majorHAnsi"/>
              </w:rPr>
            </w:pPr>
            <w:r w:rsidRPr="00582ECD">
              <w:rPr>
                <w:rFonts w:asciiTheme="majorHAnsi" w:hAnsiTheme="majorHAnsi"/>
              </w:rPr>
              <w:t>1267</w:t>
            </w:r>
          </w:p>
        </w:tc>
        <w:tc>
          <w:tcPr>
            <w:tcW w:w="505" w:type="pct"/>
            <w:shd w:val="clear" w:color="auto" w:fill="FFFFFF"/>
          </w:tcPr>
          <w:p w14:paraId="10C8C266" w14:textId="4B0F87D9" w:rsidR="00E00474" w:rsidRPr="00582ECD" w:rsidRDefault="00E00474" w:rsidP="00E00474">
            <w:pPr>
              <w:widowControl/>
              <w:autoSpaceDE/>
              <w:autoSpaceDN/>
              <w:adjustRightInd/>
              <w:jc w:val="center"/>
              <w:rPr>
                <w:rFonts w:asciiTheme="majorHAnsi" w:hAnsiTheme="majorHAnsi"/>
              </w:rPr>
            </w:pPr>
            <w:r w:rsidRPr="00582ECD">
              <w:rPr>
                <w:rFonts w:asciiTheme="majorHAnsi" w:hAnsiTheme="majorHAnsi"/>
              </w:rPr>
              <w:t>1275</w:t>
            </w:r>
          </w:p>
        </w:tc>
        <w:tc>
          <w:tcPr>
            <w:tcW w:w="377" w:type="pct"/>
            <w:shd w:val="clear" w:color="auto" w:fill="FFFFFF"/>
          </w:tcPr>
          <w:p w14:paraId="7482D751" w14:textId="0A5BFF89" w:rsidR="00E00474" w:rsidRPr="00582ECD" w:rsidRDefault="00E00474" w:rsidP="00E00474">
            <w:pPr>
              <w:widowControl/>
              <w:autoSpaceDE/>
              <w:autoSpaceDN/>
              <w:adjustRightInd/>
              <w:jc w:val="center"/>
              <w:rPr>
                <w:rFonts w:asciiTheme="majorHAnsi" w:hAnsiTheme="majorHAnsi"/>
              </w:rPr>
            </w:pPr>
            <w:r w:rsidRPr="00582ECD">
              <w:rPr>
                <w:rFonts w:asciiTheme="majorHAnsi" w:hAnsiTheme="majorHAnsi"/>
              </w:rPr>
              <w:t>1161</w:t>
            </w:r>
          </w:p>
        </w:tc>
      </w:tr>
    </w:tbl>
    <w:p w14:paraId="690DD3AD" w14:textId="77777777" w:rsidR="00CD39ED" w:rsidRPr="00582ECD" w:rsidRDefault="00CD39ED" w:rsidP="006D1DE6">
      <w:pPr>
        <w:jc w:val="both"/>
        <w:rPr>
          <w:rFonts w:asciiTheme="majorHAnsi" w:hAnsiTheme="majorHAnsi"/>
          <w:lang w:val="en-IE"/>
        </w:rPr>
      </w:pPr>
    </w:p>
    <w:p w14:paraId="7DF53343" w14:textId="53029986" w:rsidR="00AB289F" w:rsidRPr="00582ECD" w:rsidRDefault="00AB289F" w:rsidP="00820485">
      <w:pPr>
        <w:rPr>
          <w:rFonts w:asciiTheme="majorHAnsi" w:hAnsiTheme="majorHAnsi"/>
        </w:rPr>
      </w:pPr>
      <w:r w:rsidRPr="00582ECD">
        <w:rPr>
          <w:rFonts w:asciiTheme="majorHAnsi" w:hAnsiTheme="majorHAnsi"/>
        </w:rPr>
        <w:t>Données de la tâche 1 (données déclarées uniquement):</w:t>
      </w:r>
    </w:p>
    <w:p w14:paraId="04221596" w14:textId="6864CC0E" w:rsidR="00AB289F" w:rsidRPr="00582ECD" w:rsidRDefault="00AB289F" w:rsidP="006D1DE6">
      <w:pPr>
        <w:widowControl/>
        <w:autoSpaceDE/>
        <w:autoSpaceDN/>
        <w:adjustRightInd/>
        <w:jc w:val="center"/>
        <w:rPr>
          <w:rFonts w:asciiTheme="majorHAnsi" w:hAnsiTheme="majorHAnsi"/>
          <w:b/>
          <w:i/>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top w:w="15" w:type="dxa"/>
          <w:left w:w="15" w:type="dxa"/>
          <w:bottom w:w="15" w:type="dxa"/>
          <w:right w:w="15" w:type="dxa"/>
        </w:tblCellMar>
        <w:tblLook w:val="04A0" w:firstRow="1" w:lastRow="0" w:firstColumn="1" w:lastColumn="0" w:noHBand="0" w:noVBand="1"/>
      </w:tblPr>
      <w:tblGrid>
        <w:gridCol w:w="1228"/>
        <w:gridCol w:w="874"/>
        <w:gridCol w:w="874"/>
        <w:gridCol w:w="874"/>
        <w:gridCol w:w="874"/>
        <w:gridCol w:w="874"/>
        <w:gridCol w:w="874"/>
        <w:gridCol w:w="874"/>
        <w:gridCol w:w="874"/>
        <w:gridCol w:w="845"/>
      </w:tblGrid>
      <w:tr w:rsidR="007E2F3A" w:rsidRPr="00582ECD" w14:paraId="61497943" w14:textId="2043E873" w:rsidTr="00E00474">
        <w:tc>
          <w:tcPr>
            <w:tcW w:w="677" w:type="pct"/>
            <w:shd w:val="clear" w:color="auto" w:fill="FFFFFF"/>
            <w:vAlign w:val="center"/>
            <w:hideMark/>
          </w:tcPr>
          <w:p w14:paraId="4038F0CE" w14:textId="2D219087" w:rsidR="007E2F3A" w:rsidRPr="00582ECD" w:rsidRDefault="007E2F3A" w:rsidP="00820485">
            <w:pPr>
              <w:widowControl/>
              <w:autoSpaceDE/>
              <w:autoSpaceDN/>
              <w:adjustRightInd/>
              <w:jc w:val="center"/>
              <w:rPr>
                <w:rFonts w:asciiTheme="majorHAnsi" w:hAnsiTheme="majorHAnsi"/>
                <w:i/>
                <w:iCs/>
              </w:rPr>
            </w:pPr>
            <w:r w:rsidRPr="00582ECD">
              <w:rPr>
                <w:rFonts w:asciiTheme="majorHAnsi" w:hAnsiTheme="majorHAnsi"/>
                <w:i/>
              </w:rPr>
              <w:t>Voilier</w:t>
            </w:r>
          </w:p>
        </w:tc>
        <w:tc>
          <w:tcPr>
            <w:tcW w:w="482" w:type="pct"/>
            <w:shd w:val="clear" w:color="auto" w:fill="FFFFFF"/>
            <w:vAlign w:val="center"/>
            <w:hideMark/>
          </w:tcPr>
          <w:p w14:paraId="637ADFD5" w14:textId="77777777" w:rsidR="007E2F3A" w:rsidRPr="00582ECD" w:rsidRDefault="007E2F3A" w:rsidP="00820485">
            <w:pPr>
              <w:widowControl/>
              <w:autoSpaceDE/>
              <w:autoSpaceDN/>
              <w:adjustRightInd/>
              <w:jc w:val="center"/>
              <w:rPr>
                <w:rFonts w:asciiTheme="majorHAnsi" w:hAnsiTheme="majorHAnsi"/>
                <w:i/>
                <w:iCs/>
              </w:rPr>
            </w:pPr>
            <w:r w:rsidRPr="00582ECD">
              <w:rPr>
                <w:rFonts w:asciiTheme="majorHAnsi" w:hAnsiTheme="majorHAnsi"/>
                <w:i/>
              </w:rPr>
              <w:t>2017</w:t>
            </w:r>
          </w:p>
        </w:tc>
        <w:tc>
          <w:tcPr>
            <w:tcW w:w="482" w:type="pct"/>
            <w:shd w:val="clear" w:color="auto" w:fill="FFFFFF"/>
            <w:vAlign w:val="center"/>
            <w:hideMark/>
          </w:tcPr>
          <w:p w14:paraId="7BE9D5C7" w14:textId="77777777" w:rsidR="007E2F3A" w:rsidRPr="00582ECD" w:rsidRDefault="007E2F3A" w:rsidP="00820485">
            <w:pPr>
              <w:widowControl/>
              <w:autoSpaceDE/>
              <w:autoSpaceDN/>
              <w:adjustRightInd/>
              <w:jc w:val="center"/>
              <w:rPr>
                <w:rFonts w:asciiTheme="majorHAnsi" w:hAnsiTheme="majorHAnsi"/>
                <w:i/>
                <w:iCs/>
              </w:rPr>
            </w:pPr>
            <w:r w:rsidRPr="00582ECD">
              <w:rPr>
                <w:rFonts w:asciiTheme="majorHAnsi" w:hAnsiTheme="majorHAnsi"/>
                <w:i/>
              </w:rPr>
              <w:t>2018</w:t>
            </w:r>
          </w:p>
        </w:tc>
        <w:tc>
          <w:tcPr>
            <w:tcW w:w="482" w:type="pct"/>
            <w:shd w:val="clear" w:color="auto" w:fill="FFFFFF"/>
            <w:vAlign w:val="center"/>
            <w:hideMark/>
          </w:tcPr>
          <w:p w14:paraId="54BB269B" w14:textId="77777777" w:rsidR="007E2F3A" w:rsidRPr="00582ECD" w:rsidRDefault="007E2F3A" w:rsidP="00820485">
            <w:pPr>
              <w:widowControl/>
              <w:autoSpaceDE/>
              <w:autoSpaceDN/>
              <w:adjustRightInd/>
              <w:jc w:val="center"/>
              <w:rPr>
                <w:rFonts w:asciiTheme="majorHAnsi" w:hAnsiTheme="majorHAnsi"/>
                <w:i/>
                <w:iCs/>
              </w:rPr>
            </w:pPr>
            <w:r w:rsidRPr="00582ECD">
              <w:rPr>
                <w:rFonts w:asciiTheme="majorHAnsi" w:hAnsiTheme="majorHAnsi"/>
                <w:i/>
              </w:rPr>
              <w:t>2019</w:t>
            </w:r>
          </w:p>
        </w:tc>
        <w:tc>
          <w:tcPr>
            <w:tcW w:w="482" w:type="pct"/>
            <w:shd w:val="clear" w:color="auto" w:fill="FFFFFF"/>
            <w:vAlign w:val="center"/>
            <w:hideMark/>
          </w:tcPr>
          <w:p w14:paraId="2AC4F721" w14:textId="77777777" w:rsidR="007E2F3A" w:rsidRPr="00582ECD" w:rsidRDefault="007E2F3A" w:rsidP="00820485">
            <w:pPr>
              <w:widowControl/>
              <w:autoSpaceDE/>
              <w:autoSpaceDN/>
              <w:adjustRightInd/>
              <w:jc w:val="center"/>
              <w:rPr>
                <w:rFonts w:asciiTheme="majorHAnsi" w:hAnsiTheme="majorHAnsi"/>
                <w:i/>
                <w:iCs/>
              </w:rPr>
            </w:pPr>
            <w:r w:rsidRPr="00582ECD">
              <w:rPr>
                <w:rFonts w:asciiTheme="majorHAnsi" w:hAnsiTheme="majorHAnsi"/>
                <w:i/>
              </w:rPr>
              <w:t>2020</w:t>
            </w:r>
          </w:p>
        </w:tc>
        <w:tc>
          <w:tcPr>
            <w:tcW w:w="482" w:type="pct"/>
            <w:shd w:val="clear" w:color="auto" w:fill="FFFFFF"/>
          </w:tcPr>
          <w:p w14:paraId="703B4824" w14:textId="2483666E" w:rsidR="007E2F3A" w:rsidRPr="00582ECD" w:rsidRDefault="007E2F3A" w:rsidP="00820485">
            <w:pPr>
              <w:widowControl/>
              <w:autoSpaceDE/>
              <w:autoSpaceDN/>
              <w:adjustRightInd/>
              <w:jc w:val="center"/>
              <w:rPr>
                <w:rFonts w:asciiTheme="majorHAnsi" w:hAnsiTheme="majorHAnsi"/>
                <w:i/>
                <w:iCs/>
              </w:rPr>
            </w:pPr>
            <w:r w:rsidRPr="00582ECD">
              <w:rPr>
                <w:rFonts w:asciiTheme="majorHAnsi" w:hAnsiTheme="majorHAnsi"/>
                <w:i/>
              </w:rPr>
              <w:t>2021</w:t>
            </w:r>
          </w:p>
        </w:tc>
        <w:tc>
          <w:tcPr>
            <w:tcW w:w="482" w:type="pct"/>
            <w:shd w:val="clear" w:color="auto" w:fill="FFFFFF"/>
          </w:tcPr>
          <w:p w14:paraId="2D7980C4" w14:textId="461F9FF1" w:rsidR="007E2F3A" w:rsidRPr="00582ECD" w:rsidRDefault="007E2F3A" w:rsidP="00820485">
            <w:pPr>
              <w:widowControl/>
              <w:autoSpaceDE/>
              <w:autoSpaceDN/>
              <w:adjustRightInd/>
              <w:jc w:val="center"/>
              <w:rPr>
                <w:rFonts w:asciiTheme="majorHAnsi" w:hAnsiTheme="majorHAnsi"/>
                <w:i/>
                <w:iCs/>
              </w:rPr>
            </w:pPr>
            <w:r w:rsidRPr="00582ECD">
              <w:rPr>
                <w:rFonts w:asciiTheme="majorHAnsi" w:hAnsiTheme="majorHAnsi"/>
                <w:i/>
              </w:rPr>
              <w:t>2022</w:t>
            </w:r>
          </w:p>
        </w:tc>
        <w:tc>
          <w:tcPr>
            <w:tcW w:w="482" w:type="pct"/>
            <w:shd w:val="clear" w:color="auto" w:fill="FFFFFF"/>
          </w:tcPr>
          <w:p w14:paraId="2E58081B" w14:textId="1A15FEEA" w:rsidR="007E2F3A" w:rsidRPr="00582ECD" w:rsidRDefault="007E2F3A" w:rsidP="00820485">
            <w:pPr>
              <w:widowControl/>
              <w:autoSpaceDE/>
              <w:autoSpaceDN/>
              <w:adjustRightInd/>
              <w:jc w:val="center"/>
              <w:rPr>
                <w:rFonts w:asciiTheme="majorHAnsi" w:hAnsiTheme="majorHAnsi"/>
                <w:i/>
                <w:iCs/>
              </w:rPr>
            </w:pPr>
            <w:r w:rsidRPr="00582ECD">
              <w:rPr>
                <w:rFonts w:asciiTheme="majorHAnsi" w:hAnsiTheme="majorHAnsi"/>
                <w:i/>
              </w:rPr>
              <w:t>2023</w:t>
            </w:r>
          </w:p>
        </w:tc>
        <w:tc>
          <w:tcPr>
            <w:tcW w:w="482" w:type="pct"/>
            <w:shd w:val="clear" w:color="auto" w:fill="FFFFFF"/>
          </w:tcPr>
          <w:p w14:paraId="17EE6AD3" w14:textId="0D7E32B7" w:rsidR="007E2F3A" w:rsidRPr="00582ECD" w:rsidRDefault="007E2F3A" w:rsidP="00820485">
            <w:pPr>
              <w:widowControl/>
              <w:autoSpaceDE/>
              <w:autoSpaceDN/>
              <w:adjustRightInd/>
              <w:jc w:val="center"/>
              <w:rPr>
                <w:rFonts w:asciiTheme="majorHAnsi" w:hAnsiTheme="majorHAnsi"/>
                <w:i/>
                <w:iCs/>
              </w:rPr>
            </w:pPr>
            <w:r w:rsidRPr="00582ECD">
              <w:rPr>
                <w:rFonts w:asciiTheme="majorHAnsi" w:hAnsiTheme="majorHAnsi"/>
                <w:i/>
              </w:rPr>
              <w:t>2024</w:t>
            </w:r>
          </w:p>
        </w:tc>
        <w:tc>
          <w:tcPr>
            <w:tcW w:w="466" w:type="pct"/>
            <w:shd w:val="clear" w:color="auto" w:fill="FFFFFF"/>
          </w:tcPr>
          <w:p w14:paraId="68393B13" w14:textId="6DF4F1EA" w:rsidR="007E2F3A" w:rsidRPr="00582ECD" w:rsidRDefault="007E2F3A" w:rsidP="00820485">
            <w:pPr>
              <w:widowControl/>
              <w:autoSpaceDE/>
              <w:autoSpaceDN/>
              <w:adjustRightInd/>
              <w:jc w:val="center"/>
              <w:rPr>
                <w:rFonts w:asciiTheme="majorHAnsi" w:hAnsiTheme="majorHAnsi"/>
                <w:i/>
                <w:iCs/>
              </w:rPr>
            </w:pPr>
            <w:r w:rsidRPr="00582ECD">
              <w:rPr>
                <w:rFonts w:asciiTheme="majorHAnsi" w:hAnsiTheme="majorHAnsi"/>
                <w:i/>
              </w:rPr>
              <w:t>2025</w:t>
            </w:r>
          </w:p>
        </w:tc>
      </w:tr>
      <w:tr w:rsidR="00E00474" w:rsidRPr="00582ECD" w14:paraId="517E65B7" w14:textId="769C23B0" w:rsidTr="00E00474">
        <w:tc>
          <w:tcPr>
            <w:tcW w:w="677" w:type="pct"/>
            <w:shd w:val="clear" w:color="auto" w:fill="FFFFFF"/>
            <w:vAlign w:val="center"/>
            <w:hideMark/>
          </w:tcPr>
          <w:p w14:paraId="457D0F1E" w14:textId="77777777" w:rsidR="00E00474" w:rsidRPr="00582ECD" w:rsidRDefault="00E00474" w:rsidP="00E00474">
            <w:pPr>
              <w:widowControl/>
              <w:autoSpaceDE/>
              <w:autoSpaceDN/>
              <w:adjustRightInd/>
              <w:jc w:val="center"/>
              <w:rPr>
                <w:rFonts w:asciiTheme="majorHAnsi" w:hAnsiTheme="majorHAnsi"/>
                <w:color w:val="000000"/>
              </w:rPr>
            </w:pPr>
            <w:r w:rsidRPr="00582ECD">
              <w:rPr>
                <w:rFonts w:asciiTheme="majorHAnsi" w:hAnsiTheme="majorHAnsi"/>
                <w:color w:val="000000"/>
              </w:rPr>
              <w:t>ATE</w:t>
            </w:r>
          </w:p>
        </w:tc>
        <w:tc>
          <w:tcPr>
            <w:tcW w:w="482" w:type="pct"/>
            <w:shd w:val="clear" w:color="auto" w:fill="FFFFFF"/>
            <w:hideMark/>
          </w:tcPr>
          <w:p w14:paraId="69B9C90A" w14:textId="2DDB6F4B" w:rsidR="00E00474" w:rsidRPr="00582ECD" w:rsidRDefault="00E00474" w:rsidP="00E00474">
            <w:pPr>
              <w:widowControl/>
              <w:autoSpaceDE/>
              <w:autoSpaceDN/>
              <w:adjustRightInd/>
              <w:jc w:val="center"/>
              <w:rPr>
                <w:rFonts w:asciiTheme="majorHAnsi" w:hAnsiTheme="majorHAnsi"/>
              </w:rPr>
            </w:pPr>
            <w:r w:rsidRPr="00582ECD">
              <w:rPr>
                <w:rFonts w:asciiTheme="majorHAnsi" w:hAnsiTheme="majorHAnsi"/>
              </w:rPr>
              <w:t>1632</w:t>
            </w:r>
          </w:p>
        </w:tc>
        <w:tc>
          <w:tcPr>
            <w:tcW w:w="482" w:type="pct"/>
            <w:shd w:val="clear" w:color="auto" w:fill="FFFFFF"/>
            <w:hideMark/>
          </w:tcPr>
          <w:p w14:paraId="176267FE" w14:textId="56495375" w:rsidR="00E00474" w:rsidRPr="00582ECD" w:rsidRDefault="00E00474" w:rsidP="00E00474">
            <w:pPr>
              <w:widowControl/>
              <w:autoSpaceDE/>
              <w:autoSpaceDN/>
              <w:adjustRightInd/>
              <w:jc w:val="center"/>
              <w:rPr>
                <w:rFonts w:asciiTheme="majorHAnsi" w:hAnsiTheme="majorHAnsi"/>
              </w:rPr>
            </w:pPr>
            <w:r w:rsidRPr="00582ECD">
              <w:rPr>
                <w:rFonts w:asciiTheme="majorHAnsi" w:hAnsiTheme="majorHAnsi"/>
              </w:rPr>
              <w:t>677</w:t>
            </w:r>
          </w:p>
        </w:tc>
        <w:tc>
          <w:tcPr>
            <w:tcW w:w="482" w:type="pct"/>
            <w:shd w:val="clear" w:color="auto" w:fill="FFFFFF"/>
            <w:hideMark/>
          </w:tcPr>
          <w:p w14:paraId="353C2935" w14:textId="561386B8" w:rsidR="00E00474" w:rsidRPr="00582ECD" w:rsidRDefault="00E00474" w:rsidP="00E00474">
            <w:pPr>
              <w:widowControl/>
              <w:autoSpaceDE/>
              <w:autoSpaceDN/>
              <w:adjustRightInd/>
              <w:jc w:val="center"/>
              <w:rPr>
                <w:rFonts w:asciiTheme="majorHAnsi" w:hAnsiTheme="majorHAnsi"/>
              </w:rPr>
            </w:pPr>
            <w:r w:rsidRPr="00582ECD">
              <w:rPr>
                <w:rFonts w:asciiTheme="majorHAnsi" w:hAnsiTheme="majorHAnsi"/>
              </w:rPr>
              <w:t>1922</w:t>
            </w:r>
          </w:p>
        </w:tc>
        <w:tc>
          <w:tcPr>
            <w:tcW w:w="482" w:type="pct"/>
            <w:shd w:val="clear" w:color="auto" w:fill="FFFFFF"/>
            <w:hideMark/>
          </w:tcPr>
          <w:p w14:paraId="600596FE" w14:textId="46242B2B" w:rsidR="00E00474" w:rsidRPr="00582ECD" w:rsidRDefault="00E00474" w:rsidP="00E00474">
            <w:pPr>
              <w:widowControl/>
              <w:autoSpaceDE/>
              <w:autoSpaceDN/>
              <w:adjustRightInd/>
              <w:jc w:val="center"/>
              <w:rPr>
                <w:rFonts w:asciiTheme="majorHAnsi" w:hAnsiTheme="majorHAnsi"/>
              </w:rPr>
            </w:pPr>
            <w:r w:rsidRPr="00582ECD">
              <w:rPr>
                <w:rFonts w:asciiTheme="majorHAnsi" w:hAnsiTheme="majorHAnsi"/>
              </w:rPr>
              <w:t>1209</w:t>
            </w:r>
          </w:p>
        </w:tc>
        <w:tc>
          <w:tcPr>
            <w:tcW w:w="482" w:type="pct"/>
            <w:shd w:val="clear" w:color="auto" w:fill="FFFFFF"/>
          </w:tcPr>
          <w:p w14:paraId="43952D25" w14:textId="7498E0CB" w:rsidR="00E00474" w:rsidRPr="00582ECD" w:rsidRDefault="00E00474" w:rsidP="00E00474">
            <w:pPr>
              <w:widowControl/>
              <w:autoSpaceDE/>
              <w:autoSpaceDN/>
              <w:adjustRightInd/>
              <w:jc w:val="center"/>
              <w:rPr>
                <w:rFonts w:asciiTheme="majorHAnsi" w:hAnsiTheme="majorHAnsi"/>
              </w:rPr>
            </w:pPr>
            <w:r w:rsidRPr="00582ECD">
              <w:rPr>
                <w:rFonts w:asciiTheme="majorHAnsi" w:hAnsiTheme="majorHAnsi"/>
              </w:rPr>
              <w:t>1730</w:t>
            </w:r>
          </w:p>
        </w:tc>
        <w:tc>
          <w:tcPr>
            <w:tcW w:w="482" w:type="pct"/>
            <w:shd w:val="clear" w:color="auto" w:fill="FFFFFF"/>
          </w:tcPr>
          <w:p w14:paraId="223A1547" w14:textId="27F4B339" w:rsidR="00E00474" w:rsidRPr="00582ECD" w:rsidRDefault="00E00474" w:rsidP="00E00474">
            <w:pPr>
              <w:widowControl/>
              <w:autoSpaceDE/>
              <w:autoSpaceDN/>
              <w:adjustRightInd/>
              <w:jc w:val="center"/>
              <w:rPr>
                <w:rFonts w:asciiTheme="majorHAnsi" w:hAnsiTheme="majorHAnsi"/>
                <w:color w:val="FF0000"/>
              </w:rPr>
            </w:pPr>
            <w:r w:rsidRPr="00582ECD">
              <w:rPr>
                <w:rFonts w:asciiTheme="majorHAnsi" w:hAnsiTheme="majorHAnsi"/>
              </w:rPr>
              <w:t>1170</w:t>
            </w:r>
          </w:p>
        </w:tc>
        <w:tc>
          <w:tcPr>
            <w:tcW w:w="482" w:type="pct"/>
            <w:shd w:val="clear" w:color="auto" w:fill="FFFFFF"/>
          </w:tcPr>
          <w:p w14:paraId="48E606A7" w14:textId="718C65B3" w:rsidR="00E00474" w:rsidRPr="00582ECD" w:rsidRDefault="00E00474" w:rsidP="00E00474">
            <w:pPr>
              <w:widowControl/>
              <w:autoSpaceDE/>
              <w:autoSpaceDN/>
              <w:adjustRightInd/>
              <w:jc w:val="center"/>
              <w:rPr>
                <w:rFonts w:asciiTheme="majorHAnsi" w:hAnsiTheme="majorHAnsi"/>
              </w:rPr>
            </w:pPr>
            <w:r w:rsidRPr="00582ECD">
              <w:rPr>
                <w:rFonts w:asciiTheme="majorHAnsi" w:hAnsiTheme="majorHAnsi"/>
              </w:rPr>
              <w:t>983</w:t>
            </w:r>
          </w:p>
        </w:tc>
        <w:tc>
          <w:tcPr>
            <w:tcW w:w="482" w:type="pct"/>
            <w:shd w:val="clear" w:color="auto" w:fill="FFFFFF"/>
          </w:tcPr>
          <w:p w14:paraId="755FE9EA" w14:textId="3226759F" w:rsidR="00E00474" w:rsidRPr="00582ECD" w:rsidRDefault="00E00474" w:rsidP="00E00474">
            <w:pPr>
              <w:widowControl/>
              <w:autoSpaceDE/>
              <w:autoSpaceDN/>
              <w:adjustRightInd/>
              <w:jc w:val="center"/>
              <w:rPr>
                <w:rFonts w:asciiTheme="majorHAnsi" w:hAnsiTheme="majorHAnsi"/>
              </w:rPr>
            </w:pPr>
            <w:r w:rsidRPr="00582ECD">
              <w:rPr>
                <w:rFonts w:asciiTheme="majorHAnsi" w:hAnsiTheme="majorHAnsi"/>
              </w:rPr>
              <w:t>1152</w:t>
            </w:r>
          </w:p>
        </w:tc>
        <w:tc>
          <w:tcPr>
            <w:tcW w:w="466" w:type="pct"/>
            <w:shd w:val="clear" w:color="auto" w:fill="FFFFFF"/>
          </w:tcPr>
          <w:p w14:paraId="5F120455" w14:textId="4F1F16D0" w:rsidR="00E00474" w:rsidRPr="00582ECD" w:rsidRDefault="00E00474" w:rsidP="00E00474">
            <w:pPr>
              <w:widowControl/>
              <w:autoSpaceDE/>
              <w:autoSpaceDN/>
              <w:adjustRightInd/>
              <w:jc w:val="center"/>
              <w:rPr>
                <w:rFonts w:asciiTheme="majorHAnsi" w:hAnsiTheme="majorHAnsi"/>
              </w:rPr>
            </w:pPr>
            <w:r w:rsidRPr="00582ECD">
              <w:rPr>
                <w:rFonts w:asciiTheme="majorHAnsi" w:hAnsiTheme="majorHAnsi"/>
              </w:rPr>
              <w:t>1158</w:t>
            </w:r>
          </w:p>
        </w:tc>
      </w:tr>
      <w:tr w:rsidR="00E00474" w:rsidRPr="00582ECD" w14:paraId="639DC47C" w14:textId="513D1236" w:rsidTr="00E00474">
        <w:tc>
          <w:tcPr>
            <w:tcW w:w="677" w:type="pct"/>
            <w:shd w:val="clear" w:color="auto" w:fill="FFFFFF"/>
            <w:vAlign w:val="center"/>
            <w:hideMark/>
          </w:tcPr>
          <w:p w14:paraId="1AC77825" w14:textId="77777777" w:rsidR="00E00474" w:rsidRPr="00582ECD" w:rsidRDefault="00E00474" w:rsidP="00E00474">
            <w:pPr>
              <w:widowControl/>
              <w:autoSpaceDE/>
              <w:autoSpaceDN/>
              <w:adjustRightInd/>
              <w:jc w:val="center"/>
              <w:rPr>
                <w:rFonts w:asciiTheme="majorHAnsi" w:hAnsiTheme="majorHAnsi"/>
                <w:color w:val="000000"/>
              </w:rPr>
            </w:pPr>
            <w:r w:rsidRPr="00582ECD">
              <w:rPr>
                <w:rFonts w:asciiTheme="majorHAnsi" w:hAnsiTheme="majorHAnsi"/>
                <w:color w:val="000000"/>
              </w:rPr>
              <w:t>ATW</w:t>
            </w:r>
          </w:p>
        </w:tc>
        <w:tc>
          <w:tcPr>
            <w:tcW w:w="482" w:type="pct"/>
            <w:shd w:val="clear" w:color="auto" w:fill="FFFFFF"/>
            <w:hideMark/>
          </w:tcPr>
          <w:p w14:paraId="7158E5C0" w14:textId="087B1654" w:rsidR="00E00474" w:rsidRPr="00582ECD" w:rsidRDefault="00E00474" w:rsidP="00E00474">
            <w:pPr>
              <w:widowControl/>
              <w:autoSpaceDE/>
              <w:autoSpaceDN/>
              <w:adjustRightInd/>
              <w:jc w:val="center"/>
              <w:rPr>
                <w:rFonts w:asciiTheme="majorHAnsi" w:hAnsiTheme="majorHAnsi"/>
              </w:rPr>
            </w:pPr>
            <w:r w:rsidRPr="00582ECD">
              <w:rPr>
                <w:rFonts w:asciiTheme="majorHAnsi" w:hAnsiTheme="majorHAnsi"/>
              </w:rPr>
              <w:t>1933</w:t>
            </w:r>
          </w:p>
        </w:tc>
        <w:tc>
          <w:tcPr>
            <w:tcW w:w="482" w:type="pct"/>
            <w:shd w:val="clear" w:color="auto" w:fill="FFFFFF"/>
            <w:hideMark/>
          </w:tcPr>
          <w:p w14:paraId="7A72ED6F" w14:textId="75144584" w:rsidR="00E00474" w:rsidRPr="00582ECD" w:rsidRDefault="00E00474" w:rsidP="00E00474">
            <w:pPr>
              <w:widowControl/>
              <w:autoSpaceDE/>
              <w:autoSpaceDN/>
              <w:adjustRightInd/>
              <w:jc w:val="center"/>
              <w:rPr>
                <w:rFonts w:asciiTheme="majorHAnsi" w:hAnsiTheme="majorHAnsi"/>
              </w:rPr>
            </w:pPr>
            <w:r w:rsidRPr="00582ECD">
              <w:rPr>
                <w:rFonts w:asciiTheme="majorHAnsi" w:hAnsiTheme="majorHAnsi"/>
              </w:rPr>
              <w:t>1660</w:t>
            </w:r>
          </w:p>
        </w:tc>
        <w:tc>
          <w:tcPr>
            <w:tcW w:w="482" w:type="pct"/>
            <w:shd w:val="clear" w:color="auto" w:fill="FFFFFF"/>
            <w:hideMark/>
          </w:tcPr>
          <w:p w14:paraId="260BB0BD" w14:textId="25BBD137" w:rsidR="00E00474" w:rsidRPr="00582ECD" w:rsidRDefault="00E00474" w:rsidP="00E00474">
            <w:pPr>
              <w:widowControl/>
              <w:autoSpaceDE/>
              <w:autoSpaceDN/>
              <w:adjustRightInd/>
              <w:jc w:val="center"/>
              <w:rPr>
                <w:rFonts w:asciiTheme="majorHAnsi" w:hAnsiTheme="majorHAnsi"/>
              </w:rPr>
            </w:pPr>
            <w:r w:rsidRPr="00582ECD">
              <w:rPr>
                <w:rFonts w:asciiTheme="majorHAnsi" w:hAnsiTheme="majorHAnsi"/>
              </w:rPr>
              <w:t>1395</w:t>
            </w:r>
          </w:p>
        </w:tc>
        <w:tc>
          <w:tcPr>
            <w:tcW w:w="482" w:type="pct"/>
            <w:shd w:val="clear" w:color="auto" w:fill="FFFFFF"/>
            <w:hideMark/>
          </w:tcPr>
          <w:p w14:paraId="29880E6A" w14:textId="3155F2FD" w:rsidR="00E00474" w:rsidRPr="00582ECD" w:rsidRDefault="00E00474" w:rsidP="00E00474">
            <w:pPr>
              <w:widowControl/>
              <w:autoSpaceDE/>
              <w:autoSpaceDN/>
              <w:adjustRightInd/>
              <w:jc w:val="center"/>
              <w:rPr>
                <w:rFonts w:asciiTheme="majorHAnsi" w:hAnsiTheme="majorHAnsi"/>
              </w:rPr>
            </w:pPr>
            <w:r w:rsidRPr="00582ECD">
              <w:rPr>
                <w:rFonts w:asciiTheme="majorHAnsi" w:hAnsiTheme="majorHAnsi"/>
              </w:rPr>
              <w:t>1391</w:t>
            </w:r>
          </w:p>
        </w:tc>
        <w:tc>
          <w:tcPr>
            <w:tcW w:w="482" w:type="pct"/>
            <w:shd w:val="clear" w:color="auto" w:fill="FFFFFF"/>
          </w:tcPr>
          <w:p w14:paraId="6E7A2038" w14:textId="49579CBD" w:rsidR="00E00474" w:rsidRPr="00582ECD" w:rsidRDefault="00E00474" w:rsidP="00E00474">
            <w:pPr>
              <w:widowControl/>
              <w:autoSpaceDE/>
              <w:autoSpaceDN/>
              <w:adjustRightInd/>
              <w:jc w:val="center"/>
              <w:rPr>
                <w:rFonts w:asciiTheme="majorHAnsi" w:hAnsiTheme="majorHAnsi"/>
              </w:rPr>
            </w:pPr>
            <w:r w:rsidRPr="00582ECD">
              <w:rPr>
                <w:rFonts w:asciiTheme="majorHAnsi" w:hAnsiTheme="majorHAnsi"/>
              </w:rPr>
              <w:t>900</w:t>
            </w:r>
          </w:p>
        </w:tc>
        <w:tc>
          <w:tcPr>
            <w:tcW w:w="482" w:type="pct"/>
            <w:shd w:val="clear" w:color="auto" w:fill="FFFFFF"/>
          </w:tcPr>
          <w:p w14:paraId="59B91125" w14:textId="4124EDC7" w:rsidR="00E00474" w:rsidRPr="00582ECD" w:rsidRDefault="00E00474" w:rsidP="00E00474">
            <w:pPr>
              <w:widowControl/>
              <w:autoSpaceDE/>
              <w:autoSpaceDN/>
              <w:adjustRightInd/>
              <w:jc w:val="center"/>
              <w:rPr>
                <w:rFonts w:asciiTheme="majorHAnsi" w:hAnsiTheme="majorHAnsi"/>
              </w:rPr>
            </w:pPr>
            <w:r w:rsidRPr="00582ECD">
              <w:rPr>
                <w:rFonts w:asciiTheme="majorHAnsi" w:hAnsiTheme="majorHAnsi"/>
              </w:rPr>
              <w:t>1089</w:t>
            </w:r>
          </w:p>
        </w:tc>
        <w:tc>
          <w:tcPr>
            <w:tcW w:w="482" w:type="pct"/>
            <w:shd w:val="clear" w:color="auto" w:fill="FFFFFF"/>
          </w:tcPr>
          <w:p w14:paraId="2008FB75" w14:textId="40C2D372" w:rsidR="00E00474" w:rsidRPr="00582ECD" w:rsidRDefault="00E00474" w:rsidP="00E00474">
            <w:pPr>
              <w:widowControl/>
              <w:autoSpaceDE/>
              <w:autoSpaceDN/>
              <w:adjustRightInd/>
              <w:jc w:val="center"/>
              <w:rPr>
                <w:rFonts w:asciiTheme="majorHAnsi" w:hAnsiTheme="majorHAnsi"/>
              </w:rPr>
            </w:pPr>
            <w:r w:rsidRPr="00582ECD">
              <w:rPr>
                <w:rFonts w:asciiTheme="majorHAnsi" w:hAnsiTheme="majorHAnsi"/>
              </w:rPr>
              <w:t>1266</w:t>
            </w:r>
          </w:p>
        </w:tc>
        <w:tc>
          <w:tcPr>
            <w:tcW w:w="482" w:type="pct"/>
            <w:shd w:val="clear" w:color="auto" w:fill="FFFFFF"/>
          </w:tcPr>
          <w:p w14:paraId="684236F4" w14:textId="0D368253" w:rsidR="00E00474" w:rsidRPr="00582ECD" w:rsidRDefault="00E00474" w:rsidP="00E00474">
            <w:pPr>
              <w:widowControl/>
              <w:autoSpaceDE/>
              <w:autoSpaceDN/>
              <w:adjustRightInd/>
              <w:jc w:val="center"/>
              <w:rPr>
                <w:rFonts w:asciiTheme="majorHAnsi" w:hAnsiTheme="majorHAnsi"/>
              </w:rPr>
            </w:pPr>
            <w:r w:rsidRPr="00582ECD">
              <w:rPr>
                <w:rFonts w:asciiTheme="majorHAnsi" w:hAnsiTheme="majorHAnsi"/>
              </w:rPr>
              <w:t>1168</w:t>
            </w:r>
          </w:p>
        </w:tc>
        <w:tc>
          <w:tcPr>
            <w:tcW w:w="466" w:type="pct"/>
            <w:shd w:val="clear" w:color="auto" w:fill="FFFFFF"/>
          </w:tcPr>
          <w:p w14:paraId="2EF07996" w14:textId="036CDD20" w:rsidR="00E00474" w:rsidRPr="00582ECD" w:rsidRDefault="00E00474" w:rsidP="00E00474">
            <w:pPr>
              <w:widowControl/>
              <w:autoSpaceDE/>
              <w:autoSpaceDN/>
              <w:adjustRightInd/>
              <w:jc w:val="center"/>
              <w:rPr>
                <w:rFonts w:asciiTheme="majorHAnsi" w:hAnsiTheme="majorHAnsi"/>
              </w:rPr>
            </w:pPr>
            <w:r w:rsidRPr="00582ECD">
              <w:rPr>
                <w:rFonts w:asciiTheme="majorHAnsi" w:hAnsiTheme="majorHAnsi"/>
              </w:rPr>
              <w:t>1137</w:t>
            </w:r>
          </w:p>
        </w:tc>
      </w:tr>
    </w:tbl>
    <w:p w14:paraId="47861E26" w14:textId="77777777" w:rsidR="00AB289F" w:rsidRPr="00582ECD" w:rsidRDefault="00AB289F" w:rsidP="00820485">
      <w:pPr>
        <w:jc w:val="both"/>
        <w:rPr>
          <w:rFonts w:asciiTheme="majorHAnsi" w:hAnsiTheme="majorHAnsi"/>
          <w:lang w:val="en-IE"/>
        </w:rPr>
      </w:pPr>
    </w:p>
    <w:p w14:paraId="5A8D70B9" w14:textId="14822216" w:rsidR="00C07B4D" w:rsidRPr="00582ECD" w:rsidRDefault="0072170F" w:rsidP="00820485">
      <w:pPr>
        <w:jc w:val="both"/>
        <w:rPr>
          <w:rFonts w:asciiTheme="majorHAnsi" w:hAnsiTheme="majorHAnsi"/>
          <w:color w:val="000000" w:themeColor="text1"/>
        </w:rPr>
      </w:pPr>
      <w:r w:rsidRPr="00582ECD">
        <w:rPr>
          <w:rFonts w:asciiTheme="majorHAnsi" w:hAnsiTheme="majorHAnsi"/>
          <w:color w:val="000000" w:themeColor="text1"/>
        </w:rPr>
        <w:t xml:space="preserve">Les obligations en matière de déclaration de la tâche 1 sont examinées en vertu de la Rec. 11-15. Aux termes de cette Recommandation, à partir de 2017, les CPC devront décrire, dans leurs rapports annuels, leurs programmes de collecte de données et les démarches entreprises en vue de mettre en œuvre cette Recommandation.  Ces rapports sont inclus dans les feuilles de contrôle de la mise en œuvre des mesures s’appliquant aux istiophoridés (cf. Rec. 18-05 ci-dessous). </w:t>
      </w:r>
    </w:p>
    <w:p w14:paraId="4F5E966B" w14:textId="77777777" w:rsidR="00C07B4D" w:rsidRPr="00582ECD" w:rsidRDefault="00C07B4D" w:rsidP="00820485">
      <w:pPr>
        <w:jc w:val="both"/>
        <w:rPr>
          <w:rFonts w:asciiTheme="majorHAnsi" w:hAnsiTheme="majorHAnsi"/>
          <w:color w:val="000000" w:themeColor="text1"/>
        </w:rPr>
      </w:pPr>
    </w:p>
    <w:p w14:paraId="7DBE9C2F" w14:textId="4A6FED6D" w:rsidR="00C37678" w:rsidRPr="00582ECD" w:rsidRDefault="008C1984" w:rsidP="00820485">
      <w:pPr>
        <w:jc w:val="both"/>
        <w:rPr>
          <w:rFonts w:asciiTheme="majorHAnsi" w:hAnsiTheme="majorHAnsi"/>
          <w:iCs/>
        </w:rPr>
      </w:pPr>
      <w:r w:rsidRPr="00582ECD">
        <w:rPr>
          <w:rFonts w:asciiTheme="majorHAnsi" w:hAnsiTheme="majorHAnsi"/>
          <w:i/>
        </w:rPr>
        <w:t xml:space="preserve">[18-05] </w:t>
      </w:r>
      <w:bookmarkStart w:id="10" w:name="_Hlk117848927"/>
      <w:r w:rsidR="00347845" w:rsidRPr="00582ECD">
        <w:rPr>
          <w:rFonts w:asciiTheme="majorHAnsi" w:hAnsiTheme="majorHAnsi"/>
        </w:rPr>
        <w:fldChar w:fldCharType="begin"/>
      </w:r>
      <w:r w:rsidR="00347845" w:rsidRPr="00582ECD">
        <w:rPr>
          <w:rFonts w:asciiTheme="majorHAnsi" w:hAnsiTheme="majorHAnsi"/>
        </w:rPr>
        <w:instrText>HYPERLINK "https://www.iccat.int/Documents/Recs/compendiopdf-f/2018-05-f.pdf" \t "_blank"</w:instrText>
      </w:r>
      <w:r w:rsidR="00347845" w:rsidRPr="00582ECD">
        <w:rPr>
          <w:rFonts w:asciiTheme="majorHAnsi" w:hAnsiTheme="majorHAnsi"/>
        </w:rPr>
      </w:r>
      <w:r w:rsidR="00347845" w:rsidRPr="00582ECD">
        <w:rPr>
          <w:rFonts w:asciiTheme="majorHAnsi" w:hAnsiTheme="majorHAnsi"/>
        </w:rPr>
        <w:fldChar w:fldCharType="separate"/>
      </w:r>
      <w:r w:rsidRPr="00582ECD">
        <w:rPr>
          <w:rFonts w:asciiTheme="majorHAnsi" w:hAnsiTheme="majorHAnsi"/>
          <w:i/>
        </w:rPr>
        <w:t>Recommandation de l’ICCAT en vue d’améliorer l’examen de l’application des mesures de conservation et de gestion s’appliquant aux istiophoridés capturés dans la zone de la Convention de l’ICCAT</w:t>
      </w:r>
      <w:r w:rsidR="00347845" w:rsidRPr="00582ECD">
        <w:rPr>
          <w:rFonts w:asciiTheme="majorHAnsi" w:hAnsiTheme="majorHAnsi"/>
          <w:i/>
        </w:rPr>
        <w:fldChar w:fldCharType="end"/>
      </w:r>
    </w:p>
    <w:p w14:paraId="7610A484" w14:textId="77777777" w:rsidR="004460EF" w:rsidRPr="00582ECD" w:rsidRDefault="004460EF" w:rsidP="00820485">
      <w:pPr>
        <w:jc w:val="both"/>
        <w:rPr>
          <w:rFonts w:asciiTheme="majorHAnsi" w:hAnsiTheme="majorHAnsi"/>
          <w:iCs/>
        </w:rPr>
      </w:pPr>
    </w:p>
    <w:p w14:paraId="1AFFC308" w14:textId="63197E7C" w:rsidR="00CB0C74" w:rsidRPr="00582ECD" w:rsidRDefault="00CB0C74" w:rsidP="00820485">
      <w:pPr>
        <w:jc w:val="both"/>
        <w:rPr>
          <w:rFonts w:asciiTheme="majorHAnsi" w:hAnsiTheme="majorHAnsi"/>
          <w:iCs/>
        </w:rPr>
      </w:pPr>
      <w:r w:rsidRPr="00582ECD">
        <w:rPr>
          <w:rFonts w:asciiTheme="majorHAnsi" w:hAnsiTheme="majorHAnsi"/>
        </w:rPr>
        <w:t>Des feuilles de co</w:t>
      </w:r>
      <w:r w:rsidRPr="00CF3B78">
        <w:rPr>
          <w:rFonts w:asciiTheme="majorHAnsi" w:hAnsiTheme="majorHAnsi"/>
        </w:rPr>
        <w:t xml:space="preserve">ntrôle révisées/actualisées pour les istiophoridés ont été reçues cette année de la part de 40 CPC, dix </w:t>
      </w:r>
      <w:r w:rsidR="004A2726" w:rsidRPr="00CF3B78">
        <w:rPr>
          <w:rFonts w:asciiTheme="majorHAnsi" w:hAnsiTheme="majorHAnsi"/>
        </w:rPr>
        <w:t xml:space="preserve">(10) </w:t>
      </w:r>
      <w:r w:rsidRPr="00CF3B78">
        <w:rPr>
          <w:rFonts w:asciiTheme="majorHAnsi" w:hAnsiTheme="majorHAnsi"/>
        </w:rPr>
        <w:t>soumissions ayant été faites après la date limite. Neuf (9) CPC (Algérie, Barbade, Brésil, Côte d’Ivoire, Honduras, Philippines, Gu</w:t>
      </w:r>
      <w:r w:rsidRPr="00582ECD">
        <w:rPr>
          <w:rFonts w:asciiTheme="majorHAnsi" w:hAnsiTheme="majorHAnsi"/>
        </w:rPr>
        <w:t>inée (</w:t>
      </w:r>
      <w:proofErr w:type="spellStart"/>
      <w:r w:rsidRPr="00582ECD">
        <w:rPr>
          <w:rFonts w:asciiTheme="majorHAnsi" w:hAnsiTheme="majorHAnsi"/>
        </w:rPr>
        <w:t>Rép</w:t>
      </w:r>
      <w:proofErr w:type="spellEnd"/>
      <w:r w:rsidRPr="00582ECD">
        <w:rPr>
          <w:rFonts w:asciiTheme="majorHAnsi" w:hAnsiTheme="majorHAnsi"/>
        </w:rPr>
        <w:t xml:space="preserve">.), Guyana et Saint-Vincent-et-les-Grenadines) n’ont transmis aucune mise à jour par rapport aux versions précédentes de l’année dernière (2025). Neuf (9) CPC n'ont jamais transmis de feuille de contrôle pour les istiophoridés (Cuba, Guinée équatoriale, Guinée-Bissau, Libye, Mauritanie, São Tomé-et-Príncipe, Sierra Leone, République arabe syrienne et Trinité-et-Tobago). Deux (2) CPC </w:t>
      </w:r>
      <w:r w:rsidR="003E34CE">
        <w:rPr>
          <w:rFonts w:asciiTheme="majorHAnsi" w:hAnsiTheme="majorHAnsi"/>
        </w:rPr>
        <w:t>ont rejoint l’ICCAT</w:t>
      </w:r>
      <w:r w:rsidRPr="00582ECD">
        <w:rPr>
          <w:rFonts w:asciiTheme="majorHAnsi" w:hAnsiTheme="majorHAnsi"/>
        </w:rPr>
        <w:t xml:space="preserve"> cette année (le Monténégro et le Togo). Celles-ci se trouvent dans les « Feuilles de contrôle s'appliquant aux istiophoridés reçues en vertu de la Rec. 18-05 » [COC_315/2026]. Le contenu des feuilles de contrôle sur les istiophoridés est résumé à l'annexe 1 du document COC_315/2026.</w:t>
      </w:r>
    </w:p>
    <w:bookmarkEnd w:id="10"/>
    <w:p w14:paraId="01A03BB8" w14:textId="77777777" w:rsidR="00211B07" w:rsidRPr="00582ECD" w:rsidRDefault="00211B07">
      <w:pPr>
        <w:widowControl/>
        <w:autoSpaceDE/>
        <w:autoSpaceDN/>
        <w:adjustRightInd/>
        <w:rPr>
          <w:rFonts w:asciiTheme="majorHAnsi" w:hAnsiTheme="majorHAnsi"/>
          <w:b/>
        </w:rPr>
      </w:pPr>
      <w:r w:rsidRPr="00582ECD">
        <w:rPr>
          <w:rFonts w:asciiTheme="majorHAnsi" w:hAnsiTheme="majorHAnsi"/>
          <w:b/>
        </w:rPr>
        <w:br w:type="page"/>
      </w:r>
    </w:p>
    <w:p w14:paraId="2FA08A2A" w14:textId="17CF2A8E" w:rsidR="004E41C9" w:rsidRPr="00582ECD" w:rsidRDefault="004E41C9" w:rsidP="00C37678">
      <w:pPr>
        <w:tabs>
          <w:tab w:val="left" w:pos="1276"/>
          <w:tab w:val="left" w:pos="1418"/>
          <w:tab w:val="left" w:leader="dot" w:pos="8222"/>
          <w:tab w:val="right" w:pos="8647"/>
        </w:tabs>
        <w:jc w:val="both"/>
        <w:rPr>
          <w:rFonts w:asciiTheme="majorHAnsi" w:hAnsiTheme="majorHAnsi"/>
          <w:b/>
        </w:rPr>
      </w:pPr>
      <w:r w:rsidRPr="00582ECD">
        <w:rPr>
          <w:rFonts w:asciiTheme="majorHAnsi" w:hAnsiTheme="majorHAnsi"/>
          <w:b/>
        </w:rPr>
        <w:lastRenderedPageBreak/>
        <w:t>SHK - REQUINS : Renards de mer (genre Alopias spp), requin-taupe bleu (Isurus oxyrinchus), requin océanique (</w:t>
      </w:r>
      <w:proofErr w:type="spellStart"/>
      <w:r w:rsidRPr="00582ECD">
        <w:rPr>
          <w:rFonts w:asciiTheme="majorHAnsi" w:hAnsiTheme="majorHAnsi"/>
          <w:b/>
        </w:rPr>
        <w:t>Carcharhinus</w:t>
      </w:r>
      <w:proofErr w:type="spellEnd"/>
      <w:r w:rsidRPr="00582ECD">
        <w:rPr>
          <w:rFonts w:asciiTheme="majorHAnsi" w:hAnsiTheme="majorHAnsi"/>
          <w:b/>
        </w:rPr>
        <w:t xml:space="preserve"> </w:t>
      </w:r>
      <w:proofErr w:type="spellStart"/>
      <w:r w:rsidRPr="00582ECD">
        <w:rPr>
          <w:rFonts w:asciiTheme="majorHAnsi" w:hAnsiTheme="majorHAnsi"/>
          <w:b/>
        </w:rPr>
        <w:t>longimanus</w:t>
      </w:r>
      <w:proofErr w:type="spellEnd"/>
      <w:r w:rsidRPr="00582ECD">
        <w:rPr>
          <w:rFonts w:asciiTheme="majorHAnsi" w:hAnsiTheme="majorHAnsi"/>
          <w:b/>
        </w:rPr>
        <w:t>), requins marteau (</w:t>
      </w:r>
      <w:proofErr w:type="spellStart"/>
      <w:r w:rsidRPr="00582ECD">
        <w:rPr>
          <w:rFonts w:asciiTheme="majorHAnsi" w:hAnsiTheme="majorHAnsi"/>
          <w:b/>
        </w:rPr>
        <w:t>familie</w:t>
      </w:r>
      <w:proofErr w:type="spellEnd"/>
      <w:r w:rsidRPr="00582ECD">
        <w:rPr>
          <w:rFonts w:asciiTheme="majorHAnsi" w:hAnsiTheme="majorHAnsi"/>
          <w:b/>
        </w:rPr>
        <w:t xml:space="preserve"> Sphyrnidae), requin soyeux (</w:t>
      </w:r>
      <w:proofErr w:type="spellStart"/>
      <w:r w:rsidRPr="00582ECD">
        <w:rPr>
          <w:rFonts w:asciiTheme="majorHAnsi" w:hAnsiTheme="majorHAnsi"/>
          <w:b/>
        </w:rPr>
        <w:t>Carcharhinus</w:t>
      </w:r>
      <w:proofErr w:type="spellEnd"/>
      <w:r w:rsidRPr="00582ECD">
        <w:rPr>
          <w:rFonts w:asciiTheme="majorHAnsi" w:hAnsiTheme="majorHAnsi"/>
          <w:b/>
        </w:rPr>
        <w:t xml:space="preserve"> </w:t>
      </w:r>
      <w:proofErr w:type="spellStart"/>
      <w:r w:rsidRPr="00582ECD">
        <w:rPr>
          <w:rFonts w:asciiTheme="majorHAnsi" w:hAnsiTheme="majorHAnsi"/>
          <w:b/>
        </w:rPr>
        <w:t>falciformis</w:t>
      </w:r>
      <w:proofErr w:type="spellEnd"/>
      <w:r w:rsidRPr="00582ECD">
        <w:rPr>
          <w:rFonts w:asciiTheme="majorHAnsi" w:hAnsiTheme="majorHAnsi"/>
          <w:b/>
        </w:rPr>
        <w:t>), requin-taupe commun (Lamna nasus), requin peau bleue (</w:t>
      </w:r>
      <w:proofErr w:type="spellStart"/>
      <w:r w:rsidRPr="00582ECD">
        <w:rPr>
          <w:rFonts w:asciiTheme="majorHAnsi" w:hAnsiTheme="majorHAnsi"/>
          <w:b/>
        </w:rPr>
        <w:t>Prionace</w:t>
      </w:r>
      <w:proofErr w:type="spellEnd"/>
      <w:r w:rsidRPr="00582ECD">
        <w:rPr>
          <w:rFonts w:asciiTheme="majorHAnsi" w:hAnsiTheme="majorHAnsi"/>
          <w:b/>
        </w:rPr>
        <w:t xml:space="preserve"> </w:t>
      </w:r>
      <w:proofErr w:type="spellStart"/>
      <w:r w:rsidRPr="00582ECD">
        <w:rPr>
          <w:rFonts w:asciiTheme="majorHAnsi" w:hAnsiTheme="majorHAnsi"/>
          <w:b/>
        </w:rPr>
        <w:t>glauca</w:t>
      </w:r>
      <w:proofErr w:type="spellEnd"/>
      <w:r w:rsidRPr="00582ECD">
        <w:rPr>
          <w:rFonts w:asciiTheme="majorHAnsi" w:hAnsiTheme="majorHAnsi"/>
          <w:b/>
        </w:rPr>
        <w:t>)</w:t>
      </w:r>
    </w:p>
    <w:p w14:paraId="3CE140A7" w14:textId="77777777" w:rsidR="004E41C9" w:rsidRPr="00582ECD" w:rsidRDefault="004E41C9" w:rsidP="004E41C9">
      <w:pPr>
        <w:tabs>
          <w:tab w:val="left" w:pos="1276"/>
          <w:tab w:val="left" w:pos="1418"/>
          <w:tab w:val="left" w:leader="dot" w:pos="8222"/>
          <w:tab w:val="right" w:pos="8647"/>
        </w:tabs>
        <w:ind w:firstLine="425"/>
        <w:rPr>
          <w:rFonts w:asciiTheme="majorHAnsi" w:hAnsiTheme="majorHAnsi"/>
        </w:rPr>
      </w:pPr>
    </w:p>
    <w:p w14:paraId="287A26E1" w14:textId="16E8A10D" w:rsidR="004E41C9" w:rsidRPr="00582ECD" w:rsidRDefault="004E41C9" w:rsidP="004E41C9">
      <w:pPr>
        <w:tabs>
          <w:tab w:val="left" w:pos="1276"/>
          <w:tab w:val="left" w:leader="dot" w:pos="8222"/>
          <w:tab w:val="right" w:pos="8647"/>
        </w:tabs>
        <w:jc w:val="both"/>
        <w:rPr>
          <w:rFonts w:asciiTheme="majorHAnsi" w:hAnsiTheme="majorHAnsi"/>
        </w:rPr>
      </w:pPr>
      <w:r w:rsidRPr="00582ECD">
        <w:rPr>
          <w:rFonts w:asciiTheme="majorHAnsi" w:hAnsiTheme="majorHAnsi"/>
          <w:i/>
        </w:rPr>
        <w:t>Rec. 04-10 : Recommandation de l’ICCAT concernant la conservation des requins capturés en association avec les pêcheries gérées par l’ICCAT</w:t>
      </w:r>
    </w:p>
    <w:p w14:paraId="713241E7" w14:textId="77777777" w:rsidR="004E41C9" w:rsidRPr="00582ECD" w:rsidRDefault="004E41C9" w:rsidP="004E41C9">
      <w:pPr>
        <w:tabs>
          <w:tab w:val="left" w:pos="1276"/>
          <w:tab w:val="left" w:leader="dot" w:pos="8222"/>
          <w:tab w:val="right" w:pos="8647"/>
        </w:tabs>
        <w:ind w:left="1417" w:hanging="1417"/>
        <w:rPr>
          <w:rFonts w:asciiTheme="majorHAnsi" w:hAnsiTheme="majorHAnsi"/>
        </w:rPr>
      </w:pPr>
    </w:p>
    <w:p w14:paraId="301735A7" w14:textId="77777777" w:rsidR="004E41C9" w:rsidRPr="00582ECD" w:rsidRDefault="004E41C9" w:rsidP="004E41C9">
      <w:pPr>
        <w:tabs>
          <w:tab w:val="left" w:pos="1276"/>
          <w:tab w:val="left" w:leader="dot" w:pos="8222"/>
          <w:tab w:val="right" w:pos="8647"/>
        </w:tabs>
        <w:ind w:left="1417" w:hanging="1417"/>
        <w:rPr>
          <w:rFonts w:asciiTheme="majorHAnsi" w:hAnsiTheme="majorHAnsi"/>
        </w:rPr>
      </w:pPr>
      <w:r w:rsidRPr="00582ECD">
        <w:rPr>
          <w:rFonts w:asciiTheme="majorHAnsi" w:hAnsiTheme="majorHAnsi"/>
        </w:rPr>
        <w:t xml:space="preserve">Pour consulter les informations déclarées, </w:t>
      </w:r>
      <w:proofErr w:type="spellStart"/>
      <w:r w:rsidRPr="00582ECD">
        <w:rPr>
          <w:rFonts w:asciiTheme="majorHAnsi" w:hAnsiTheme="majorHAnsi"/>
        </w:rPr>
        <w:t>veuillez vous</w:t>
      </w:r>
      <w:proofErr w:type="spellEnd"/>
      <w:r w:rsidRPr="00582ECD">
        <w:rPr>
          <w:rFonts w:asciiTheme="majorHAnsi" w:hAnsiTheme="majorHAnsi"/>
        </w:rPr>
        <w:t xml:space="preserve"> reporter à la Rec. 18-06 ci-dessous.</w:t>
      </w:r>
    </w:p>
    <w:p w14:paraId="05720F87" w14:textId="77777777" w:rsidR="004E41C9" w:rsidRPr="00582ECD" w:rsidRDefault="004E41C9" w:rsidP="004E41C9">
      <w:pPr>
        <w:tabs>
          <w:tab w:val="left" w:pos="1276"/>
          <w:tab w:val="left" w:leader="dot" w:pos="8222"/>
          <w:tab w:val="right" w:pos="8647"/>
        </w:tabs>
        <w:ind w:left="1417" w:hanging="992"/>
        <w:rPr>
          <w:rFonts w:asciiTheme="majorHAnsi" w:hAnsiTheme="majorHAnsi"/>
        </w:rPr>
      </w:pPr>
    </w:p>
    <w:p w14:paraId="03CA68F1" w14:textId="00B378B0" w:rsidR="004E41C9" w:rsidRPr="00582ECD" w:rsidRDefault="004E41C9" w:rsidP="004E41C9">
      <w:pPr>
        <w:tabs>
          <w:tab w:val="left" w:pos="1276"/>
          <w:tab w:val="left" w:leader="dot" w:pos="8222"/>
          <w:tab w:val="right" w:pos="8647"/>
        </w:tabs>
        <w:ind w:left="709" w:hanging="709"/>
        <w:jc w:val="both"/>
        <w:rPr>
          <w:rFonts w:asciiTheme="majorHAnsi" w:hAnsiTheme="majorHAnsi"/>
          <w:i/>
        </w:rPr>
      </w:pPr>
      <w:r w:rsidRPr="00582ECD">
        <w:rPr>
          <w:rFonts w:asciiTheme="majorHAnsi" w:hAnsiTheme="majorHAnsi"/>
          <w:i/>
        </w:rPr>
        <w:t>Rec. 07-06 :  Recommandation supplémentaire de l’ICCAT concernant les requins</w:t>
      </w:r>
    </w:p>
    <w:p w14:paraId="07289030" w14:textId="77777777" w:rsidR="004E41C9" w:rsidRPr="00582ECD" w:rsidRDefault="004E41C9" w:rsidP="004E41C9">
      <w:pPr>
        <w:tabs>
          <w:tab w:val="left" w:pos="1276"/>
          <w:tab w:val="left" w:leader="dot" w:pos="8222"/>
          <w:tab w:val="right" w:pos="8647"/>
        </w:tabs>
        <w:ind w:left="1417" w:hanging="992"/>
        <w:rPr>
          <w:rFonts w:asciiTheme="majorHAnsi" w:hAnsiTheme="majorHAnsi"/>
          <w:i/>
        </w:rPr>
      </w:pPr>
    </w:p>
    <w:p w14:paraId="3A30427A" w14:textId="77777777" w:rsidR="004E41C9" w:rsidRPr="00582ECD" w:rsidRDefault="004E41C9" w:rsidP="004E41C9">
      <w:pPr>
        <w:tabs>
          <w:tab w:val="left" w:pos="1276"/>
          <w:tab w:val="left" w:leader="dot" w:pos="8222"/>
          <w:tab w:val="right" w:pos="8647"/>
        </w:tabs>
        <w:ind w:left="1417" w:hanging="1417"/>
        <w:rPr>
          <w:rFonts w:asciiTheme="majorHAnsi" w:hAnsiTheme="majorHAnsi"/>
        </w:rPr>
      </w:pPr>
      <w:r w:rsidRPr="00582ECD">
        <w:rPr>
          <w:rFonts w:asciiTheme="majorHAnsi" w:hAnsiTheme="majorHAnsi"/>
        </w:rPr>
        <w:t xml:space="preserve">Pour consulter les informations déclarées, </w:t>
      </w:r>
      <w:proofErr w:type="spellStart"/>
      <w:r w:rsidRPr="00582ECD">
        <w:rPr>
          <w:rFonts w:asciiTheme="majorHAnsi" w:hAnsiTheme="majorHAnsi"/>
        </w:rPr>
        <w:t>veuillez vous</w:t>
      </w:r>
      <w:proofErr w:type="spellEnd"/>
      <w:r w:rsidRPr="00582ECD">
        <w:rPr>
          <w:rFonts w:asciiTheme="majorHAnsi" w:hAnsiTheme="majorHAnsi"/>
        </w:rPr>
        <w:t xml:space="preserve"> reporter à la Rec. 18-06 ci-dessous.</w:t>
      </w:r>
    </w:p>
    <w:p w14:paraId="00C42F0F" w14:textId="77777777" w:rsidR="004E41C9" w:rsidRPr="00582ECD" w:rsidRDefault="004E41C9" w:rsidP="004E41C9">
      <w:pPr>
        <w:tabs>
          <w:tab w:val="left" w:pos="1276"/>
          <w:tab w:val="left" w:pos="1418"/>
          <w:tab w:val="left" w:leader="dot" w:pos="8222"/>
          <w:tab w:val="right" w:pos="8647"/>
        </w:tabs>
        <w:ind w:firstLine="425"/>
        <w:jc w:val="both"/>
        <w:rPr>
          <w:rFonts w:asciiTheme="majorHAnsi" w:hAnsiTheme="majorHAnsi"/>
          <w:bCs/>
          <w:i/>
        </w:rPr>
      </w:pPr>
    </w:p>
    <w:p w14:paraId="014DFDB0" w14:textId="0029BAED" w:rsidR="004E41C9" w:rsidRPr="00582ECD" w:rsidRDefault="004E41C9" w:rsidP="004E41C9">
      <w:pPr>
        <w:tabs>
          <w:tab w:val="left" w:pos="1276"/>
          <w:tab w:val="left" w:leader="dot" w:pos="8222"/>
          <w:tab w:val="right" w:pos="8647"/>
        </w:tabs>
        <w:jc w:val="both"/>
        <w:rPr>
          <w:rFonts w:asciiTheme="majorHAnsi" w:hAnsiTheme="majorHAnsi"/>
          <w:bCs/>
          <w:i/>
        </w:rPr>
      </w:pPr>
      <w:r w:rsidRPr="00582ECD">
        <w:rPr>
          <w:rFonts w:asciiTheme="majorHAnsi" w:hAnsiTheme="majorHAnsi"/>
          <w:i/>
        </w:rPr>
        <w:t>Rec. 09-07 : Recommandation de l’ICCAT sur la conservation des renards de mer capturés en association avec les pêcheries dans la zone de la Convention de l’ICCAT</w:t>
      </w:r>
    </w:p>
    <w:p w14:paraId="2809F500" w14:textId="77777777" w:rsidR="004E41C9" w:rsidRPr="00582ECD" w:rsidRDefault="004E41C9" w:rsidP="004E41C9">
      <w:pPr>
        <w:tabs>
          <w:tab w:val="left" w:pos="1276"/>
          <w:tab w:val="left" w:pos="1418"/>
          <w:tab w:val="left" w:leader="dot" w:pos="8222"/>
          <w:tab w:val="right" w:pos="8647"/>
        </w:tabs>
        <w:ind w:firstLine="425"/>
        <w:rPr>
          <w:rFonts w:asciiTheme="majorHAnsi" w:hAnsiTheme="majorHAnsi"/>
          <w:bCs/>
          <w:i/>
          <w:iCs/>
        </w:rPr>
      </w:pPr>
    </w:p>
    <w:p w14:paraId="2108B87C" w14:textId="77777777" w:rsidR="004E41C9" w:rsidRPr="00582ECD" w:rsidRDefault="004E41C9" w:rsidP="004E41C9">
      <w:pPr>
        <w:tabs>
          <w:tab w:val="left" w:pos="1276"/>
          <w:tab w:val="left" w:pos="1418"/>
          <w:tab w:val="left" w:leader="dot" w:pos="8222"/>
          <w:tab w:val="right" w:pos="8647"/>
        </w:tabs>
        <w:jc w:val="both"/>
        <w:rPr>
          <w:rFonts w:asciiTheme="majorHAnsi" w:hAnsiTheme="majorHAnsi"/>
        </w:rPr>
      </w:pPr>
      <w:r w:rsidRPr="00582ECD">
        <w:rPr>
          <w:rFonts w:asciiTheme="majorHAnsi" w:hAnsiTheme="majorHAnsi"/>
        </w:rPr>
        <w:t xml:space="preserve">Pour consulter les informations déclarées, </w:t>
      </w:r>
      <w:proofErr w:type="spellStart"/>
      <w:r w:rsidRPr="00582ECD">
        <w:rPr>
          <w:rFonts w:asciiTheme="majorHAnsi" w:hAnsiTheme="majorHAnsi"/>
        </w:rPr>
        <w:t>veuillez vous</w:t>
      </w:r>
      <w:proofErr w:type="spellEnd"/>
      <w:r w:rsidRPr="00582ECD">
        <w:rPr>
          <w:rFonts w:asciiTheme="majorHAnsi" w:hAnsiTheme="majorHAnsi"/>
        </w:rPr>
        <w:t xml:space="preserve"> reporter à la Rec. 18-06 ci-dessous. </w:t>
      </w:r>
    </w:p>
    <w:p w14:paraId="669A3011" w14:textId="77777777" w:rsidR="004E41C9" w:rsidRPr="00582ECD" w:rsidRDefault="004E41C9" w:rsidP="004E41C9">
      <w:pPr>
        <w:tabs>
          <w:tab w:val="left" w:pos="1276"/>
          <w:tab w:val="left" w:pos="1418"/>
          <w:tab w:val="left" w:leader="dot" w:pos="8222"/>
          <w:tab w:val="right" w:pos="8647"/>
        </w:tabs>
        <w:ind w:firstLine="425"/>
        <w:rPr>
          <w:rFonts w:asciiTheme="majorHAnsi" w:hAnsiTheme="majorHAnsi"/>
          <w:bCs/>
          <w:i/>
          <w:iCs/>
        </w:rPr>
      </w:pPr>
    </w:p>
    <w:p w14:paraId="18426BEB" w14:textId="5BF4D869" w:rsidR="004E41C9" w:rsidRPr="00582ECD" w:rsidRDefault="004E41C9" w:rsidP="004E41C9">
      <w:pPr>
        <w:tabs>
          <w:tab w:val="left" w:pos="1276"/>
          <w:tab w:val="left" w:leader="dot" w:pos="8222"/>
          <w:tab w:val="right" w:pos="8647"/>
        </w:tabs>
        <w:jc w:val="both"/>
        <w:rPr>
          <w:rFonts w:asciiTheme="majorHAnsi" w:hAnsiTheme="majorHAnsi"/>
          <w:bCs/>
          <w:i/>
          <w:iCs/>
        </w:rPr>
      </w:pPr>
      <w:r w:rsidRPr="00582ECD">
        <w:rPr>
          <w:rFonts w:asciiTheme="majorHAnsi" w:hAnsiTheme="majorHAnsi"/>
          <w:i/>
        </w:rPr>
        <w:t>Rec. 10-07 : Recommandation de l’ICCAT sur la conservation du requin océanique capturé en association avec les pêcheries dans la zone de la Convention de l’ICCAT</w:t>
      </w:r>
    </w:p>
    <w:p w14:paraId="4732D3BD" w14:textId="77777777" w:rsidR="004E41C9" w:rsidRPr="00582ECD" w:rsidRDefault="004E41C9" w:rsidP="004E41C9">
      <w:pPr>
        <w:tabs>
          <w:tab w:val="left" w:pos="1276"/>
          <w:tab w:val="left" w:pos="1418"/>
          <w:tab w:val="left" w:leader="dot" w:pos="8222"/>
          <w:tab w:val="right" w:pos="8647"/>
        </w:tabs>
        <w:ind w:firstLine="425"/>
        <w:rPr>
          <w:rFonts w:asciiTheme="majorHAnsi" w:hAnsiTheme="majorHAnsi"/>
          <w:bCs/>
          <w:i/>
          <w:iCs/>
        </w:rPr>
      </w:pPr>
    </w:p>
    <w:p w14:paraId="03F1CA70" w14:textId="12F83CEC" w:rsidR="004E41C9" w:rsidRPr="00582ECD" w:rsidRDefault="004E41C9" w:rsidP="004E41C9">
      <w:pPr>
        <w:tabs>
          <w:tab w:val="left" w:pos="1276"/>
          <w:tab w:val="left" w:pos="1418"/>
          <w:tab w:val="left" w:leader="dot" w:pos="8222"/>
          <w:tab w:val="right" w:pos="8647"/>
        </w:tabs>
        <w:jc w:val="both"/>
        <w:rPr>
          <w:rFonts w:asciiTheme="majorHAnsi" w:hAnsiTheme="majorHAnsi"/>
        </w:rPr>
      </w:pPr>
      <w:r w:rsidRPr="00582ECD">
        <w:rPr>
          <w:rFonts w:asciiTheme="majorHAnsi" w:hAnsiTheme="majorHAnsi"/>
        </w:rPr>
        <w:t xml:space="preserve">Pour consulter les informations déclarées, </w:t>
      </w:r>
      <w:proofErr w:type="spellStart"/>
      <w:r w:rsidRPr="00582ECD">
        <w:rPr>
          <w:rFonts w:asciiTheme="majorHAnsi" w:hAnsiTheme="majorHAnsi"/>
        </w:rPr>
        <w:t>veuillez vous</w:t>
      </w:r>
      <w:proofErr w:type="spellEnd"/>
      <w:r w:rsidRPr="00582ECD">
        <w:rPr>
          <w:rFonts w:asciiTheme="majorHAnsi" w:hAnsiTheme="majorHAnsi"/>
        </w:rPr>
        <w:t xml:space="preserve"> reporter à la Rec. 18-06 ci-dessous. </w:t>
      </w:r>
    </w:p>
    <w:p w14:paraId="6DEFD6D1" w14:textId="77777777" w:rsidR="004E41C9" w:rsidRPr="00582ECD" w:rsidRDefault="004E41C9" w:rsidP="004E41C9">
      <w:pPr>
        <w:tabs>
          <w:tab w:val="left" w:pos="1276"/>
          <w:tab w:val="left" w:pos="1418"/>
          <w:tab w:val="left" w:leader="dot" w:pos="8222"/>
          <w:tab w:val="right" w:pos="8647"/>
        </w:tabs>
        <w:ind w:firstLine="425"/>
        <w:rPr>
          <w:rFonts w:asciiTheme="majorHAnsi" w:hAnsiTheme="majorHAnsi"/>
          <w:bCs/>
          <w:i/>
          <w:iCs/>
        </w:rPr>
      </w:pPr>
    </w:p>
    <w:p w14:paraId="25110F9B" w14:textId="5B1F0FF7" w:rsidR="004E41C9" w:rsidRPr="00582ECD" w:rsidRDefault="004E41C9" w:rsidP="004E41C9">
      <w:pPr>
        <w:tabs>
          <w:tab w:val="left" w:pos="1276"/>
          <w:tab w:val="left" w:leader="dot" w:pos="8222"/>
          <w:tab w:val="right" w:pos="8647"/>
        </w:tabs>
        <w:jc w:val="both"/>
        <w:rPr>
          <w:rFonts w:asciiTheme="majorHAnsi" w:hAnsiTheme="majorHAnsi"/>
          <w:bCs/>
          <w:i/>
          <w:iCs/>
        </w:rPr>
      </w:pPr>
      <w:r w:rsidRPr="00582ECD">
        <w:rPr>
          <w:rFonts w:asciiTheme="majorHAnsi" w:hAnsiTheme="majorHAnsi"/>
          <w:i/>
        </w:rPr>
        <w:t>Rec. 10-08 : Recommandation de l’ICCAT sur le requin marteau (famille Sphyrnidae) capturé en association avec les pêcheries gérées par l'ICCAT</w:t>
      </w:r>
    </w:p>
    <w:p w14:paraId="1A907491" w14:textId="77777777" w:rsidR="004E41C9" w:rsidRPr="00582ECD" w:rsidRDefault="004E41C9" w:rsidP="004E41C9">
      <w:pPr>
        <w:tabs>
          <w:tab w:val="left" w:pos="1276"/>
          <w:tab w:val="left" w:pos="1418"/>
          <w:tab w:val="left" w:leader="dot" w:pos="8222"/>
          <w:tab w:val="right" w:pos="8647"/>
        </w:tabs>
        <w:ind w:firstLine="425"/>
        <w:rPr>
          <w:rFonts w:asciiTheme="majorHAnsi" w:hAnsiTheme="majorHAnsi"/>
          <w:bCs/>
          <w:i/>
          <w:iCs/>
        </w:rPr>
      </w:pPr>
    </w:p>
    <w:p w14:paraId="32D4AE8D" w14:textId="5845E8E6" w:rsidR="004E41C9" w:rsidRPr="00582ECD" w:rsidRDefault="004E41C9" w:rsidP="004E41C9">
      <w:pPr>
        <w:tabs>
          <w:tab w:val="left" w:pos="1276"/>
          <w:tab w:val="left" w:pos="1418"/>
          <w:tab w:val="left" w:leader="dot" w:pos="8222"/>
          <w:tab w:val="right" w:pos="8647"/>
        </w:tabs>
        <w:jc w:val="both"/>
        <w:rPr>
          <w:rFonts w:asciiTheme="majorHAnsi" w:hAnsiTheme="majorHAnsi"/>
        </w:rPr>
      </w:pPr>
      <w:r w:rsidRPr="00582ECD">
        <w:rPr>
          <w:rFonts w:asciiTheme="majorHAnsi" w:hAnsiTheme="majorHAnsi"/>
        </w:rPr>
        <w:t xml:space="preserve">Pour consulter les informations déclarées, </w:t>
      </w:r>
      <w:proofErr w:type="spellStart"/>
      <w:r w:rsidRPr="00582ECD">
        <w:rPr>
          <w:rFonts w:asciiTheme="majorHAnsi" w:hAnsiTheme="majorHAnsi"/>
        </w:rPr>
        <w:t>veuillez vous</w:t>
      </w:r>
      <w:proofErr w:type="spellEnd"/>
      <w:r w:rsidRPr="00582ECD">
        <w:rPr>
          <w:rFonts w:asciiTheme="majorHAnsi" w:hAnsiTheme="majorHAnsi"/>
        </w:rPr>
        <w:t xml:space="preserve"> reporter à la Rec. 18-06 ci-dessous. </w:t>
      </w:r>
    </w:p>
    <w:p w14:paraId="243922D4" w14:textId="77777777" w:rsidR="004E41C9" w:rsidRPr="00582ECD" w:rsidRDefault="004E41C9" w:rsidP="004E41C9">
      <w:pPr>
        <w:tabs>
          <w:tab w:val="left" w:pos="1276"/>
          <w:tab w:val="left" w:pos="1418"/>
          <w:tab w:val="left" w:leader="dot" w:pos="8222"/>
          <w:tab w:val="right" w:pos="8647"/>
        </w:tabs>
        <w:ind w:firstLine="425"/>
        <w:rPr>
          <w:rFonts w:asciiTheme="majorHAnsi" w:hAnsiTheme="majorHAnsi"/>
          <w:bCs/>
          <w:iCs/>
        </w:rPr>
      </w:pPr>
    </w:p>
    <w:p w14:paraId="496C1617" w14:textId="73FF8813" w:rsidR="004E41C9" w:rsidRPr="00582ECD" w:rsidRDefault="004E41C9" w:rsidP="00207538">
      <w:pPr>
        <w:tabs>
          <w:tab w:val="left" w:pos="1276"/>
          <w:tab w:val="left" w:pos="1418"/>
          <w:tab w:val="left" w:leader="dot" w:pos="8222"/>
          <w:tab w:val="right" w:pos="8647"/>
        </w:tabs>
        <w:jc w:val="both"/>
        <w:rPr>
          <w:rFonts w:asciiTheme="majorHAnsi" w:hAnsiTheme="majorHAnsi"/>
          <w:i/>
          <w:iCs/>
        </w:rPr>
      </w:pPr>
      <w:r w:rsidRPr="00582ECD">
        <w:rPr>
          <w:rFonts w:asciiTheme="majorHAnsi" w:hAnsiTheme="majorHAnsi"/>
          <w:i/>
        </w:rPr>
        <w:t>Rec. 11-08 : Recommandation de l’ICCAT sur la conservation du requin soyeux capturé en association avec les pêcheries de l’ICCAT</w:t>
      </w:r>
    </w:p>
    <w:p w14:paraId="52984BFE" w14:textId="77777777" w:rsidR="004E41C9" w:rsidRPr="00582ECD" w:rsidRDefault="004E41C9" w:rsidP="004E41C9">
      <w:pPr>
        <w:tabs>
          <w:tab w:val="left" w:pos="1276"/>
          <w:tab w:val="left" w:leader="dot" w:pos="8222"/>
          <w:tab w:val="right" w:pos="8647"/>
        </w:tabs>
        <w:ind w:left="709" w:hanging="709"/>
        <w:jc w:val="both"/>
        <w:rPr>
          <w:rFonts w:asciiTheme="majorHAnsi" w:hAnsiTheme="majorHAnsi"/>
          <w:iCs/>
        </w:rPr>
      </w:pPr>
    </w:p>
    <w:p w14:paraId="008AC359" w14:textId="7624FD11" w:rsidR="004E41C9" w:rsidRPr="00582ECD" w:rsidRDefault="004E41C9" w:rsidP="00207538">
      <w:pPr>
        <w:tabs>
          <w:tab w:val="left" w:pos="1276"/>
          <w:tab w:val="left" w:pos="1418"/>
          <w:tab w:val="left" w:leader="dot" w:pos="8222"/>
          <w:tab w:val="right" w:pos="8647"/>
        </w:tabs>
        <w:rPr>
          <w:rFonts w:asciiTheme="majorHAnsi" w:hAnsiTheme="majorHAnsi"/>
        </w:rPr>
      </w:pPr>
      <w:r w:rsidRPr="00582ECD">
        <w:rPr>
          <w:rFonts w:asciiTheme="majorHAnsi" w:hAnsiTheme="majorHAnsi"/>
        </w:rPr>
        <w:t xml:space="preserve">Pour consulter les informations déclarées, </w:t>
      </w:r>
      <w:proofErr w:type="spellStart"/>
      <w:r w:rsidRPr="00582ECD">
        <w:rPr>
          <w:rFonts w:asciiTheme="majorHAnsi" w:hAnsiTheme="majorHAnsi"/>
        </w:rPr>
        <w:t>veuillez vous</w:t>
      </w:r>
      <w:proofErr w:type="spellEnd"/>
      <w:r w:rsidRPr="00582ECD">
        <w:rPr>
          <w:rFonts w:asciiTheme="majorHAnsi" w:hAnsiTheme="majorHAnsi"/>
        </w:rPr>
        <w:t xml:space="preserve"> reporter à la Rec. 18-06 ci-dessous.</w:t>
      </w:r>
    </w:p>
    <w:p w14:paraId="1CB26BEA" w14:textId="77777777" w:rsidR="004E41C9" w:rsidRPr="00582ECD" w:rsidRDefault="004E41C9" w:rsidP="00D5335E">
      <w:pPr>
        <w:tabs>
          <w:tab w:val="left" w:pos="1276"/>
          <w:tab w:val="left" w:pos="1418"/>
          <w:tab w:val="left" w:leader="dot" w:pos="8222"/>
          <w:tab w:val="right" w:pos="8647"/>
        </w:tabs>
        <w:rPr>
          <w:rFonts w:asciiTheme="majorHAnsi" w:hAnsiTheme="majorHAnsi"/>
          <w:bCs/>
          <w:lang w:eastAsia="en-GB"/>
        </w:rPr>
      </w:pPr>
    </w:p>
    <w:p w14:paraId="03E2AE47" w14:textId="10D3BC90" w:rsidR="004E41C9" w:rsidRPr="00582ECD" w:rsidRDefault="004E41C9" w:rsidP="004E41C9">
      <w:pPr>
        <w:tabs>
          <w:tab w:val="left" w:pos="1276"/>
          <w:tab w:val="left" w:pos="1418"/>
          <w:tab w:val="left" w:leader="dot" w:pos="8222"/>
          <w:tab w:val="right" w:pos="8647"/>
        </w:tabs>
        <w:ind w:left="1276" w:hanging="1276"/>
        <w:rPr>
          <w:rFonts w:asciiTheme="majorHAnsi" w:hAnsiTheme="majorHAnsi"/>
          <w:bCs/>
          <w:i/>
        </w:rPr>
      </w:pPr>
      <w:r w:rsidRPr="00582ECD">
        <w:rPr>
          <w:rFonts w:asciiTheme="majorHAnsi" w:hAnsiTheme="majorHAnsi"/>
          <w:i/>
        </w:rPr>
        <w:t>Rec. 15-06 :  Recommandation de l’ICCAT sur le requin-taupe commun capturé en association avec les pêcheries de l’ICCAT</w:t>
      </w:r>
    </w:p>
    <w:p w14:paraId="2A448B19" w14:textId="77777777" w:rsidR="004E41C9" w:rsidRPr="00582ECD" w:rsidRDefault="004E41C9" w:rsidP="004E41C9">
      <w:pPr>
        <w:tabs>
          <w:tab w:val="left" w:pos="1276"/>
          <w:tab w:val="left" w:leader="dot" w:pos="8222"/>
          <w:tab w:val="right" w:pos="8647"/>
        </w:tabs>
        <w:ind w:left="1417" w:hanging="992"/>
        <w:rPr>
          <w:rFonts w:asciiTheme="majorHAnsi" w:hAnsiTheme="majorHAnsi"/>
        </w:rPr>
      </w:pPr>
    </w:p>
    <w:p w14:paraId="2299057E" w14:textId="040D7263" w:rsidR="004E41C9" w:rsidRPr="00582ECD" w:rsidRDefault="004E41C9" w:rsidP="004E41C9">
      <w:pPr>
        <w:tabs>
          <w:tab w:val="left" w:pos="1276"/>
          <w:tab w:val="left" w:leader="dot" w:pos="8222"/>
          <w:tab w:val="right" w:pos="8647"/>
        </w:tabs>
        <w:jc w:val="both"/>
        <w:rPr>
          <w:rFonts w:asciiTheme="majorHAnsi" w:hAnsiTheme="majorHAnsi"/>
        </w:rPr>
      </w:pPr>
      <w:r w:rsidRPr="00582ECD">
        <w:rPr>
          <w:rFonts w:asciiTheme="majorHAnsi" w:hAnsiTheme="majorHAnsi"/>
        </w:rPr>
        <w:t xml:space="preserve">Pour consulter les informations déclarées, </w:t>
      </w:r>
      <w:proofErr w:type="spellStart"/>
      <w:r w:rsidRPr="00582ECD">
        <w:rPr>
          <w:rFonts w:asciiTheme="majorHAnsi" w:hAnsiTheme="majorHAnsi"/>
        </w:rPr>
        <w:t>veuillez vous</w:t>
      </w:r>
      <w:proofErr w:type="spellEnd"/>
      <w:r w:rsidRPr="00582ECD">
        <w:rPr>
          <w:rFonts w:asciiTheme="majorHAnsi" w:hAnsiTheme="majorHAnsi"/>
        </w:rPr>
        <w:t xml:space="preserve"> reporter à la Rec. 18-06 ci-dessous. </w:t>
      </w:r>
    </w:p>
    <w:p w14:paraId="63746A38" w14:textId="77777777" w:rsidR="004E41C9" w:rsidRPr="00582ECD" w:rsidRDefault="004E41C9" w:rsidP="004E41C9">
      <w:pPr>
        <w:tabs>
          <w:tab w:val="left" w:pos="1276"/>
          <w:tab w:val="left" w:pos="1418"/>
          <w:tab w:val="left" w:leader="dot" w:pos="8222"/>
          <w:tab w:val="right" w:pos="8647"/>
        </w:tabs>
        <w:ind w:left="1276" w:hanging="992"/>
        <w:rPr>
          <w:rFonts w:asciiTheme="majorHAnsi" w:hAnsiTheme="majorHAnsi"/>
          <w:bCs/>
          <w:lang w:eastAsia="en-GB"/>
        </w:rPr>
      </w:pPr>
    </w:p>
    <w:p w14:paraId="45987639" w14:textId="25F59F41" w:rsidR="0044546A" w:rsidRPr="00582ECD" w:rsidRDefault="0044546A" w:rsidP="0044546A">
      <w:pPr>
        <w:tabs>
          <w:tab w:val="left" w:pos="1276"/>
          <w:tab w:val="left" w:pos="1418"/>
          <w:tab w:val="left" w:leader="dot" w:pos="8222"/>
          <w:tab w:val="right" w:pos="8647"/>
        </w:tabs>
        <w:jc w:val="both"/>
        <w:rPr>
          <w:rFonts w:asciiTheme="majorHAnsi" w:hAnsiTheme="majorHAnsi"/>
          <w:iCs/>
        </w:rPr>
      </w:pPr>
      <w:r w:rsidRPr="00582ECD">
        <w:rPr>
          <w:rFonts w:asciiTheme="majorHAnsi" w:hAnsiTheme="majorHAnsi"/>
          <w:i/>
        </w:rPr>
        <w:t>Rec. 23-10 : Recommandation de l'ICCAT remplaçant la Recommandation 19-07 sur des mesures de gestion pour la conservation du requin peau bleue de l’Atlantique Nord capturé en association avec les pêcheries de l’ICCAT</w:t>
      </w:r>
    </w:p>
    <w:p w14:paraId="549822FE" w14:textId="77777777" w:rsidR="009167F1" w:rsidRPr="00582ECD" w:rsidRDefault="009167F1" w:rsidP="004E41C9">
      <w:pPr>
        <w:widowControl/>
        <w:autoSpaceDE/>
        <w:autoSpaceDN/>
        <w:adjustRightInd/>
        <w:jc w:val="both"/>
        <w:rPr>
          <w:rFonts w:asciiTheme="majorHAnsi" w:hAnsiTheme="majorHAnsi"/>
          <w:bCs/>
          <w:i/>
          <w:lang w:eastAsia="en-GB"/>
        </w:rPr>
      </w:pPr>
    </w:p>
    <w:p w14:paraId="712BEF1F" w14:textId="3B10042C" w:rsidR="005949C4" w:rsidRPr="00582ECD" w:rsidRDefault="005949C4" w:rsidP="005949C4">
      <w:pPr>
        <w:jc w:val="both"/>
        <w:rPr>
          <w:rFonts w:asciiTheme="majorHAnsi" w:hAnsiTheme="majorHAnsi"/>
        </w:rPr>
      </w:pPr>
      <w:r w:rsidRPr="00582ECD">
        <w:rPr>
          <w:rFonts w:asciiTheme="majorHAnsi" w:hAnsiTheme="majorHAnsi"/>
        </w:rPr>
        <w:t>Lors de sa 28e réunion ordinaire, l’ICCAT a établi un total de prises admissibles (TAC ) annuel de 30.000 t de requin peau bleue de l'Atlantique Nord à partir de 2024.</w:t>
      </w:r>
    </w:p>
    <w:p w14:paraId="67458693" w14:textId="77777777" w:rsidR="00701334" w:rsidRPr="00582ECD" w:rsidRDefault="00701334" w:rsidP="005949C4">
      <w:pPr>
        <w:jc w:val="both"/>
        <w:rPr>
          <w:rFonts w:asciiTheme="majorHAnsi" w:hAnsiTheme="majorHAnsi"/>
        </w:rPr>
      </w:pPr>
    </w:p>
    <w:p w14:paraId="0B96993C" w14:textId="232BAF01" w:rsidR="00073F57" w:rsidRPr="00582ECD" w:rsidRDefault="005949C4" w:rsidP="005949C4">
      <w:pPr>
        <w:jc w:val="both"/>
        <w:rPr>
          <w:rFonts w:asciiTheme="majorHAnsi" w:hAnsiTheme="majorHAnsi"/>
        </w:rPr>
      </w:pPr>
      <w:r w:rsidRPr="00582ECD">
        <w:rPr>
          <w:rFonts w:asciiTheme="majorHAnsi" w:hAnsiTheme="majorHAnsi"/>
        </w:rPr>
        <w:t>Si, au cours d'une année quelconque, le total des captures de requin peau bleue de l'Atlantique Nord dépasse le TAC, la Commission devra examiner la mise en œuvre de ces mesures.</w:t>
      </w:r>
    </w:p>
    <w:p w14:paraId="173E5674" w14:textId="77777777" w:rsidR="00073F57" w:rsidRPr="00582ECD" w:rsidRDefault="00073F57" w:rsidP="005949C4">
      <w:pPr>
        <w:jc w:val="both"/>
        <w:rPr>
          <w:rFonts w:asciiTheme="majorHAnsi" w:hAnsiTheme="majorHAnsi"/>
        </w:rPr>
      </w:pPr>
    </w:p>
    <w:p w14:paraId="1E6889A9" w14:textId="0121AB37" w:rsidR="005949C4" w:rsidRPr="00582ECD" w:rsidRDefault="005949C4" w:rsidP="005949C4">
      <w:pPr>
        <w:jc w:val="both"/>
        <w:rPr>
          <w:rFonts w:asciiTheme="majorHAnsi" w:hAnsiTheme="majorHAnsi"/>
        </w:rPr>
      </w:pPr>
      <w:r w:rsidRPr="00582ECD">
        <w:rPr>
          <w:rFonts w:asciiTheme="majorHAnsi" w:hAnsiTheme="majorHAnsi"/>
        </w:rPr>
        <w:t>Les captures totales sont indiquées ci-dessous, ce qui montre que le stock a fait n’a pas fait l’objet d’une surconsommation en 2025</w:t>
      </w:r>
      <w:r w:rsidR="00FA3B64">
        <w:rPr>
          <w:rFonts w:asciiTheme="majorHAnsi" w:hAnsiTheme="majorHAnsi"/>
        </w:rPr>
        <w:t> :</w:t>
      </w:r>
    </w:p>
    <w:p w14:paraId="2B75E187" w14:textId="77777777" w:rsidR="005949C4" w:rsidRPr="00582ECD" w:rsidRDefault="005949C4" w:rsidP="006D1DE6">
      <w:pPr>
        <w:rPr>
          <w:rFonts w:asciiTheme="majorHAnsi" w:hAnsiTheme="majorHAnsi"/>
        </w:rPr>
      </w:pPr>
    </w:p>
    <w:p w14:paraId="6459B64E" w14:textId="77777777" w:rsidR="005949C4" w:rsidRPr="00582ECD" w:rsidRDefault="005949C4" w:rsidP="005949C4">
      <w:pPr>
        <w:rPr>
          <w:rFonts w:asciiTheme="majorHAnsi" w:hAnsiTheme="majorHAnsi"/>
        </w:rPr>
      </w:pPr>
      <w:r w:rsidRPr="00582ECD">
        <w:rPr>
          <w:rFonts w:asciiTheme="majorHAnsi" w:hAnsiTheme="majorHAnsi"/>
        </w:rPr>
        <w:t>Données de la tâche 1 (données déclarées uniquement) :</w:t>
      </w:r>
    </w:p>
    <w:p w14:paraId="60B3CC5D" w14:textId="77777777" w:rsidR="005949C4" w:rsidRPr="00582ECD" w:rsidRDefault="005949C4" w:rsidP="006D1DE6">
      <w:pPr>
        <w:rPr>
          <w:rFonts w:asciiTheme="majorHAnsi" w:hAnsiTheme="majorHAnsi"/>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top w:w="15" w:type="dxa"/>
          <w:left w:w="15" w:type="dxa"/>
          <w:bottom w:w="15" w:type="dxa"/>
          <w:right w:w="15" w:type="dxa"/>
        </w:tblCellMar>
        <w:tblLook w:val="04A0" w:firstRow="1" w:lastRow="0" w:firstColumn="1" w:lastColumn="0" w:noHBand="0" w:noVBand="1"/>
      </w:tblPr>
      <w:tblGrid>
        <w:gridCol w:w="2162"/>
        <w:gridCol w:w="1153"/>
        <w:gridCol w:w="1151"/>
        <w:gridCol w:w="1151"/>
        <w:gridCol w:w="1151"/>
        <w:gridCol w:w="1149"/>
        <w:gridCol w:w="1148"/>
      </w:tblGrid>
      <w:tr w:rsidR="00607A6D" w:rsidRPr="00582ECD" w14:paraId="098A8F3F" w14:textId="3E37DB26" w:rsidTr="005B120F">
        <w:tc>
          <w:tcPr>
            <w:tcW w:w="1192" w:type="pct"/>
            <w:shd w:val="clear" w:color="auto" w:fill="FFFFFF"/>
            <w:vAlign w:val="center"/>
            <w:hideMark/>
          </w:tcPr>
          <w:p w14:paraId="6CB3F98D" w14:textId="77777777" w:rsidR="00607A6D" w:rsidRPr="00582ECD" w:rsidRDefault="00607A6D" w:rsidP="00761E12">
            <w:pPr>
              <w:widowControl/>
              <w:autoSpaceDE/>
              <w:autoSpaceDN/>
              <w:adjustRightInd/>
              <w:jc w:val="center"/>
              <w:rPr>
                <w:rFonts w:asciiTheme="majorHAnsi" w:hAnsiTheme="majorHAnsi"/>
                <w:i/>
                <w:iCs/>
              </w:rPr>
            </w:pPr>
            <w:r w:rsidRPr="00582ECD">
              <w:rPr>
                <w:rFonts w:asciiTheme="majorHAnsi" w:hAnsiTheme="majorHAnsi"/>
                <w:i/>
              </w:rPr>
              <w:t>Requin peau bleue</w:t>
            </w:r>
          </w:p>
        </w:tc>
        <w:tc>
          <w:tcPr>
            <w:tcW w:w="636" w:type="pct"/>
            <w:shd w:val="clear" w:color="auto" w:fill="FFFFFF"/>
            <w:vAlign w:val="center"/>
            <w:hideMark/>
          </w:tcPr>
          <w:p w14:paraId="4F799A65" w14:textId="77777777" w:rsidR="00607A6D" w:rsidRPr="00582ECD" w:rsidRDefault="00607A6D" w:rsidP="00761E12">
            <w:pPr>
              <w:widowControl/>
              <w:autoSpaceDE/>
              <w:autoSpaceDN/>
              <w:adjustRightInd/>
              <w:jc w:val="center"/>
              <w:rPr>
                <w:rFonts w:asciiTheme="majorHAnsi" w:hAnsiTheme="majorHAnsi"/>
                <w:i/>
                <w:iCs/>
              </w:rPr>
            </w:pPr>
            <w:r w:rsidRPr="00582ECD">
              <w:rPr>
                <w:rFonts w:asciiTheme="majorHAnsi" w:hAnsiTheme="majorHAnsi"/>
                <w:i/>
              </w:rPr>
              <w:t>2020</w:t>
            </w:r>
          </w:p>
        </w:tc>
        <w:tc>
          <w:tcPr>
            <w:tcW w:w="635" w:type="pct"/>
            <w:shd w:val="clear" w:color="auto" w:fill="FFFFFF"/>
          </w:tcPr>
          <w:p w14:paraId="0724FE6B" w14:textId="77777777" w:rsidR="00607A6D" w:rsidRPr="00582ECD" w:rsidRDefault="00607A6D" w:rsidP="00761E12">
            <w:pPr>
              <w:widowControl/>
              <w:autoSpaceDE/>
              <w:autoSpaceDN/>
              <w:adjustRightInd/>
              <w:jc w:val="center"/>
              <w:rPr>
                <w:rFonts w:asciiTheme="majorHAnsi" w:hAnsiTheme="majorHAnsi"/>
                <w:i/>
                <w:iCs/>
              </w:rPr>
            </w:pPr>
            <w:r w:rsidRPr="00582ECD">
              <w:rPr>
                <w:rFonts w:asciiTheme="majorHAnsi" w:hAnsiTheme="majorHAnsi"/>
                <w:i/>
              </w:rPr>
              <w:t>2021</w:t>
            </w:r>
          </w:p>
        </w:tc>
        <w:tc>
          <w:tcPr>
            <w:tcW w:w="635" w:type="pct"/>
            <w:shd w:val="clear" w:color="auto" w:fill="FFFFFF"/>
          </w:tcPr>
          <w:p w14:paraId="31410DAA" w14:textId="77777777" w:rsidR="00607A6D" w:rsidRPr="00582ECD" w:rsidRDefault="00607A6D" w:rsidP="00761E12">
            <w:pPr>
              <w:widowControl/>
              <w:autoSpaceDE/>
              <w:autoSpaceDN/>
              <w:adjustRightInd/>
              <w:jc w:val="center"/>
              <w:rPr>
                <w:rFonts w:asciiTheme="majorHAnsi" w:hAnsiTheme="majorHAnsi"/>
                <w:i/>
                <w:iCs/>
              </w:rPr>
            </w:pPr>
            <w:r w:rsidRPr="00582ECD">
              <w:rPr>
                <w:rFonts w:asciiTheme="majorHAnsi" w:hAnsiTheme="majorHAnsi"/>
                <w:i/>
              </w:rPr>
              <w:t>2022</w:t>
            </w:r>
          </w:p>
        </w:tc>
        <w:tc>
          <w:tcPr>
            <w:tcW w:w="635" w:type="pct"/>
            <w:shd w:val="clear" w:color="auto" w:fill="FFFFFF"/>
          </w:tcPr>
          <w:p w14:paraId="27B5EE7A" w14:textId="77777777" w:rsidR="00607A6D" w:rsidRPr="00582ECD" w:rsidRDefault="00607A6D" w:rsidP="00761E12">
            <w:pPr>
              <w:widowControl/>
              <w:autoSpaceDE/>
              <w:autoSpaceDN/>
              <w:adjustRightInd/>
              <w:jc w:val="center"/>
              <w:rPr>
                <w:rFonts w:asciiTheme="majorHAnsi" w:hAnsiTheme="majorHAnsi"/>
                <w:i/>
                <w:iCs/>
              </w:rPr>
            </w:pPr>
            <w:r w:rsidRPr="00582ECD">
              <w:rPr>
                <w:rFonts w:asciiTheme="majorHAnsi" w:hAnsiTheme="majorHAnsi"/>
                <w:i/>
              </w:rPr>
              <w:t>2023</w:t>
            </w:r>
          </w:p>
        </w:tc>
        <w:tc>
          <w:tcPr>
            <w:tcW w:w="634" w:type="pct"/>
            <w:shd w:val="clear" w:color="auto" w:fill="FFFFFF"/>
          </w:tcPr>
          <w:p w14:paraId="3C467E80" w14:textId="7C8D5D31" w:rsidR="00607A6D" w:rsidRPr="00582ECD" w:rsidRDefault="00607A6D" w:rsidP="00761E12">
            <w:pPr>
              <w:widowControl/>
              <w:autoSpaceDE/>
              <w:autoSpaceDN/>
              <w:adjustRightInd/>
              <w:jc w:val="center"/>
              <w:rPr>
                <w:rFonts w:asciiTheme="majorHAnsi" w:hAnsiTheme="majorHAnsi"/>
                <w:i/>
                <w:iCs/>
              </w:rPr>
            </w:pPr>
            <w:r w:rsidRPr="00582ECD">
              <w:rPr>
                <w:rFonts w:asciiTheme="majorHAnsi" w:hAnsiTheme="majorHAnsi"/>
                <w:i/>
              </w:rPr>
              <w:t>2024</w:t>
            </w:r>
          </w:p>
        </w:tc>
        <w:tc>
          <w:tcPr>
            <w:tcW w:w="633" w:type="pct"/>
            <w:shd w:val="clear" w:color="auto" w:fill="FFFFFF"/>
          </w:tcPr>
          <w:p w14:paraId="7FDF17CB" w14:textId="7E834992" w:rsidR="00607A6D" w:rsidRPr="00582ECD" w:rsidRDefault="00607A6D" w:rsidP="00761E12">
            <w:pPr>
              <w:widowControl/>
              <w:autoSpaceDE/>
              <w:autoSpaceDN/>
              <w:adjustRightInd/>
              <w:jc w:val="center"/>
              <w:rPr>
                <w:rFonts w:asciiTheme="majorHAnsi" w:hAnsiTheme="majorHAnsi"/>
                <w:i/>
                <w:iCs/>
              </w:rPr>
            </w:pPr>
            <w:r w:rsidRPr="00582ECD">
              <w:rPr>
                <w:rFonts w:asciiTheme="majorHAnsi" w:hAnsiTheme="majorHAnsi"/>
                <w:i/>
              </w:rPr>
              <w:t>2025</w:t>
            </w:r>
          </w:p>
        </w:tc>
      </w:tr>
      <w:tr w:rsidR="00F76A5D" w:rsidRPr="00582ECD" w14:paraId="38A4E1DF" w14:textId="2CA0C287" w:rsidTr="005B120F">
        <w:tc>
          <w:tcPr>
            <w:tcW w:w="1192" w:type="pct"/>
            <w:shd w:val="clear" w:color="auto" w:fill="FFFFFF"/>
            <w:vAlign w:val="center"/>
            <w:hideMark/>
          </w:tcPr>
          <w:p w14:paraId="23A61DF5" w14:textId="2B12810C" w:rsidR="00F76A5D" w:rsidRPr="00582ECD" w:rsidRDefault="00F76A5D" w:rsidP="00F76A5D">
            <w:pPr>
              <w:widowControl/>
              <w:autoSpaceDE/>
              <w:autoSpaceDN/>
              <w:adjustRightInd/>
              <w:jc w:val="center"/>
              <w:rPr>
                <w:rFonts w:asciiTheme="majorHAnsi" w:hAnsiTheme="majorHAnsi"/>
                <w:color w:val="000000"/>
              </w:rPr>
            </w:pPr>
            <w:r w:rsidRPr="00582ECD">
              <w:rPr>
                <w:rFonts w:asciiTheme="majorHAnsi" w:hAnsiTheme="majorHAnsi"/>
                <w:color w:val="000000"/>
              </w:rPr>
              <w:t>ATN</w:t>
            </w:r>
          </w:p>
        </w:tc>
        <w:tc>
          <w:tcPr>
            <w:tcW w:w="636" w:type="pct"/>
            <w:shd w:val="clear" w:color="auto" w:fill="FFFFFF"/>
            <w:hideMark/>
          </w:tcPr>
          <w:p w14:paraId="36D81114" w14:textId="7A6C650F" w:rsidR="00F76A5D" w:rsidRPr="00582ECD" w:rsidRDefault="00F76A5D" w:rsidP="00F76A5D">
            <w:pPr>
              <w:widowControl/>
              <w:autoSpaceDE/>
              <w:autoSpaceDN/>
              <w:adjustRightInd/>
              <w:jc w:val="center"/>
              <w:rPr>
                <w:rFonts w:asciiTheme="majorHAnsi" w:hAnsiTheme="majorHAnsi"/>
              </w:rPr>
            </w:pPr>
            <w:r w:rsidRPr="00582ECD">
              <w:rPr>
                <w:rFonts w:asciiTheme="majorHAnsi" w:hAnsiTheme="majorHAnsi"/>
              </w:rPr>
              <w:t>20955</w:t>
            </w:r>
          </w:p>
        </w:tc>
        <w:tc>
          <w:tcPr>
            <w:tcW w:w="635" w:type="pct"/>
            <w:shd w:val="clear" w:color="auto" w:fill="FFFFFF"/>
          </w:tcPr>
          <w:p w14:paraId="1A13F446" w14:textId="2B6DE770" w:rsidR="00F76A5D" w:rsidRPr="00582ECD" w:rsidRDefault="00F76A5D" w:rsidP="00F76A5D">
            <w:pPr>
              <w:widowControl/>
              <w:autoSpaceDE/>
              <w:autoSpaceDN/>
              <w:adjustRightInd/>
              <w:jc w:val="center"/>
              <w:rPr>
                <w:rFonts w:asciiTheme="majorHAnsi" w:hAnsiTheme="majorHAnsi"/>
              </w:rPr>
            </w:pPr>
            <w:r w:rsidRPr="00582ECD">
              <w:rPr>
                <w:rFonts w:asciiTheme="majorHAnsi" w:hAnsiTheme="majorHAnsi"/>
              </w:rPr>
              <w:t>21637</w:t>
            </w:r>
          </w:p>
        </w:tc>
        <w:tc>
          <w:tcPr>
            <w:tcW w:w="635" w:type="pct"/>
            <w:shd w:val="clear" w:color="auto" w:fill="FFFFFF"/>
          </w:tcPr>
          <w:p w14:paraId="0A8EEA43" w14:textId="32547840" w:rsidR="00F76A5D" w:rsidRPr="00582ECD" w:rsidRDefault="00F76A5D" w:rsidP="00F76A5D">
            <w:pPr>
              <w:widowControl/>
              <w:autoSpaceDE/>
              <w:autoSpaceDN/>
              <w:adjustRightInd/>
              <w:jc w:val="center"/>
              <w:rPr>
                <w:rFonts w:asciiTheme="majorHAnsi" w:hAnsiTheme="majorHAnsi"/>
              </w:rPr>
            </w:pPr>
            <w:r w:rsidRPr="00582ECD">
              <w:rPr>
                <w:rFonts w:asciiTheme="majorHAnsi" w:hAnsiTheme="majorHAnsi"/>
              </w:rPr>
              <w:t>21852</w:t>
            </w:r>
          </w:p>
        </w:tc>
        <w:tc>
          <w:tcPr>
            <w:tcW w:w="635" w:type="pct"/>
            <w:shd w:val="clear" w:color="auto" w:fill="FFFFFF"/>
          </w:tcPr>
          <w:p w14:paraId="27BDD519" w14:textId="6D95EA71" w:rsidR="00F76A5D" w:rsidRPr="00582ECD" w:rsidRDefault="00F76A5D" w:rsidP="00F76A5D">
            <w:pPr>
              <w:widowControl/>
              <w:autoSpaceDE/>
              <w:autoSpaceDN/>
              <w:adjustRightInd/>
              <w:jc w:val="center"/>
              <w:rPr>
                <w:rFonts w:asciiTheme="majorHAnsi" w:hAnsiTheme="majorHAnsi"/>
                <w:color w:val="FF0000"/>
              </w:rPr>
            </w:pPr>
            <w:r w:rsidRPr="00582ECD">
              <w:rPr>
                <w:rFonts w:asciiTheme="majorHAnsi" w:hAnsiTheme="majorHAnsi"/>
              </w:rPr>
              <w:t>23786</w:t>
            </w:r>
          </w:p>
        </w:tc>
        <w:tc>
          <w:tcPr>
            <w:tcW w:w="634" w:type="pct"/>
            <w:shd w:val="clear" w:color="auto" w:fill="FFFFFF"/>
          </w:tcPr>
          <w:p w14:paraId="1485B139" w14:textId="2B4FDDEC" w:rsidR="00F76A5D" w:rsidRPr="00582ECD" w:rsidRDefault="00F76A5D" w:rsidP="00F76A5D">
            <w:pPr>
              <w:widowControl/>
              <w:autoSpaceDE/>
              <w:autoSpaceDN/>
              <w:adjustRightInd/>
              <w:jc w:val="center"/>
              <w:rPr>
                <w:rFonts w:asciiTheme="majorHAnsi" w:hAnsiTheme="majorHAnsi"/>
              </w:rPr>
            </w:pPr>
            <w:r w:rsidRPr="00582ECD">
              <w:rPr>
                <w:rFonts w:asciiTheme="majorHAnsi" w:hAnsiTheme="majorHAnsi"/>
              </w:rPr>
              <w:t>24006</w:t>
            </w:r>
          </w:p>
        </w:tc>
        <w:tc>
          <w:tcPr>
            <w:tcW w:w="633" w:type="pct"/>
            <w:shd w:val="clear" w:color="auto" w:fill="FFFFFF"/>
          </w:tcPr>
          <w:p w14:paraId="2E539195" w14:textId="6DC7B586" w:rsidR="00F76A5D" w:rsidRPr="00582ECD" w:rsidRDefault="00F76A5D" w:rsidP="00F76A5D">
            <w:pPr>
              <w:widowControl/>
              <w:autoSpaceDE/>
              <w:autoSpaceDN/>
              <w:adjustRightInd/>
              <w:jc w:val="center"/>
              <w:rPr>
                <w:rFonts w:asciiTheme="majorHAnsi" w:hAnsiTheme="majorHAnsi"/>
              </w:rPr>
            </w:pPr>
            <w:r w:rsidRPr="00582ECD">
              <w:rPr>
                <w:rFonts w:asciiTheme="majorHAnsi" w:hAnsiTheme="majorHAnsi"/>
              </w:rPr>
              <w:t>19387</w:t>
            </w:r>
          </w:p>
        </w:tc>
      </w:tr>
    </w:tbl>
    <w:p w14:paraId="2879EDEC" w14:textId="77777777" w:rsidR="005949C4" w:rsidRPr="00582ECD" w:rsidRDefault="005949C4" w:rsidP="005949C4">
      <w:pPr>
        <w:jc w:val="both"/>
        <w:rPr>
          <w:rFonts w:asciiTheme="majorHAnsi" w:hAnsiTheme="majorHAnsi"/>
          <w:lang w:val="en-GB"/>
        </w:rPr>
      </w:pPr>
    </w:p>
    <w:p w14:paraId="07B5DC69" w14:textId="77777777" w:rsidR="00211B07" w:rsidRPr="00582ECD" w:rsidRDefault="00211B07">
      <w:pPr>
        <w:widowControl/>
        <w:autoSpaceDE/>
        <w:autoSpaceDN/>
        <w:adjustRightInd/>
        <w:rPr>
          <w:rFonts w:asciiTheme="majorHAnsi" w:hAnsiTheme="majorHAnsi"/>
          <w:color w:val="000000" w:themeColor="text1"/>
        </w:rPr>
      </w:pPr>
      <w:r w:rsidRPr="00582ECD">
        <w:rPr>
          <w:rFonts w:asciiTheme="majorHAnsi" w:hAnsiTheme="majorHAnsi"/>
          <w:color w:val="000000" w:themeColor="text1"/>
        </w:rPr>
        <w:br w:type="page"/>
      </w:r>
    </w:p>
    <w:p w14:paraId="68A93C44" w14:textId="7B1FA2CF" w:rsidR="005949C4" w:rsidRPr="00582ECD" w:rsidRDefault="005949C4" w:rsidP="005949C4">
      <w:pPr>
        <w:jc w:val="both"/>
        <w:rPr>
          <w:rFonts w:asciiTheme="majorHAnsi" w:hAnsiTheme="majorHAnsi"/>
          <w:color w:val="000000" w:themeColor="text1"/>
        </w:rPr>
      </w:pPr>
      <w:r w:rsidRPr="00582ECD">
        <w:rPr>
          <w:rFonts w:asciiTheme="majorHAnsi" w:hAnsiTheme="majorHAnsi"/>
          <w:color w:val="000000" w:themeColor="text1"/>
        </w:rPr>
        <w:lastRenderedPageBreak/>
        <w:t xml:space="preserve">Les obligations en matière de déclaration de la tâche 1 sont examinées en vertu de la Rec. 11-15. Aux termes de cette Recommandation, à partir de 2020, les CPC devront décrire, dans leurs rapports annuels, leurs programmes de collecte de données et les démarches entreprises en vue de mettre en œuvre cette Recommandation. Ces rapports sont inclus dans les feuilles de contrôle de la mise en œuvre des mesures s’appliquant aux requins (cf. Rec. 18-06 ci-dessous). </w:t>
      </w:r>
    </w:p>
    <w:p w14:paraId="308ECBC4" w14:textId="77777777" w:rsidR="005949C4" w:rsidRPr="00582ECD" w:rsidRDefault="005949C4" w:rsidP="006D1DE6">
      <w:pPr>
        <w:widowControl/>
        <w:autoSpaceDE/>
        <w:autoSpaceDN/>
        <w:adjustRightInd/>
        <w:jc w:val="both"/>
        <w:rPr>
          <w:rFonts w:asciiTheme="majorHAnsi" w:hAnsiTheme="majorHAnsi"/>
          <w:bCs/>
          <w:i/>
          <w:lang w:eastAsia="en-GB"/>
        </w:rPr>
      </w:pPr>
    </w:p>
    <w:p w14:paraId="765B37D2" w14:textId="6165AE9F" w:rsidR="0064289F" w:rsidRPr="00582ECD" w:rsidRDefault="004E41C9" w:rsidP="0064289F">
      <w:pPr>
        <w:tabs>
          <w:tab w:val="left" w:pos="1276"/>
          <w:tab w:val="left" w:pos="1418"/>
          <w:tab w:val="left" w:leader="dot" w:pos="8222"/>
          <w:tab w:val="right" w:pos="8647"/>
        </w:tabs>
        <w:jc w:val="both"/>
        <w:rPr>
          <w:rFonts w:asciiTheme="majorHAnsi" w:hAnsiTheme="majorHAnsi"/>
        </w:rPr>
      </w:pPr>
      <w:r w:rsidRPr="00582ECD">
        <w:rPr>
          <w:rFonts w:asciiTheme="majorHAnsi" w:hAnsiTheme="majorHAnsi"/>
          <w:b/>
          <w:bCs/>
          <w:i/>
          <w:iCs/>
        </w:rPr>
        <w:t>Application des q</w:t>
      </w:r>
      <w:r w:rsidRPr="00582ECD">
        <w:rPr>
          <w:rFonts w:asciiTheme="majorHAnsi" w:hAnsiTheme="majorHAnsi"/>
          <w:b/>
          <w:i/>
        </w:rPr>
        <w:t>uotas/li</w:t>
      </w:r>
      <w:r w:rsidRPr="00582ECD">
        <w:rPr>
          <w:rFonts w:asciiTheme="majorHAnsi" w:hAnsiTheme="majorHAnsi"/>
          <w:b/>
          <w:bCs/>
          <w:i/>
          <w:iCs/>
        </w:rPr>
        <w:t>mites de capture :</w:t>
      </w:r>
      <w:r w:rsidRPr="00582ECD">
        <w:rPr>
          <w:rFonts w:asciiTheme="majorHAnsi" w:hAnsiTheme="majorHAnsi"/>
        </w:rPr>
        <w:t xml:space="preserve"> Veuillez consulter les</w:t>
      </w:r>
      <w:r w:rsidR="00211D67">
        <w:rPr>
          <w:rFonts w:asciiTheme="majorHAnsi" w:hAnsiTheme="majorHAnsi"/>
        </w:rPr>
        <w:t xml:space="preserve"> « </w:t>
      </w:r>
      <w:r w:rsidRPr="00582ECD">
        <w:rPr>
          <w:rFonts w:asciiTheme="majorHAnsi" w:hAnsiTheme="majorHAnsi"/>
        </w:rPr>
        <w:t>Tableaux d'application 2025 reçus en 2026</w:t>
      </w:r>
      <w:r w:rsidR="0031319C">
        <w:rPr>
          <w:rFonts w:asciiTheme="majorHAnsi" w:hAnsiTheme="majorHAnsi"/>
        </w:rPr>
        <w:t xml:space="preserve"> » </w:t>
      </w:r>
      <w:r w:rsidRPr="00582ECD">
        <w:rPr>
          <w:rFonts w:asciiTheme="majorHAnsi" w:hAnsiTheme="majorHAnsi"/>
        </w:rPr>
        <w:t>[COC_304/2026].</w:t>
      </w:r>
    </w:p>
    <w:p w14:paraId="6ECC1F81" w14:textId="77777777" w:rsidR="004E41C9" w:rsidRPr="00582ECD" w:rsidRDefault="004E41C9" w:rsidP="004E41C9">
      <w:pPr>
        <w:widowControl/>
        <w:autoSpaceDE/>
        <w:autoSpaceDN/>
        <w:adjustRightInd/>
        <w:jc w:val="both"/>
        <w:rPr>
          <w:rFonts w:asciiTheme="majorHAnsi" w:hAnsiTheme="majorHAnsi"/>
          <w:bCs/>
          <w:i/>
          <w:lang w:eastAsia="en-GB"/>
        </w:rPr>
      </w:pPr>
    </w:p>
    <w:p w14:paraId="27E1784C" w14:textId="15EB8414" w:rsidR="004E41C9" w:rsidRPr="00582ECD" w:rsidRDefault="004E41C9" w:rsidP="004E41C9">
      <w:pPr>
        <w:widowControl/>
        <w:autoSpaceDE/>
        <w:autoSpaceDN/>
        <w:adjustRightInd/>
        <w:jc w:val="both"/>
        <w:rPr>
          <w:rFonts w:asciiTheme="majorHAnsi" w:hAnsiTheme="majorHAnsi"/>
        </w:rPr>
      </w:pPr>
      <w:r w:rsidRPr="00582ECD">
        <w:rPr>
          <w:rFonts w:asciiTheme="majorHAnsi" w:hAnsiTheme="majorHAnsi"/>
        </w:rPr>
        <w:t xml:space="preserve">Veuillez consulter les « feuilles de contrôle s'appliquant aux requins reçues en vertu de la Rec. 18-06 » [COC_314/2026] pour la mise en œuvre de ces mesures. </w:t>
      </w:r>
    </w:p>
    <w:p w14:paraId="0FD0CCC3" w14:textId="77777777" w:rsidR="004E41C9" w:rsidRPr="00582ECD" w:rsidRDefault="004E41C9" w:rsidP="004E41C9">
      <w:pPr>
        <w:widowControl/>
        <w:autoSpaceDE/>
        <w:autoSpaceDN/>
        <w:adjustRightInd/>
        <w:rPr>
          <w:rFonts w:asciiTheme="majorHAnsi" w:hAnsiTheme="majorHAnsi"/>
        </w:rPr>
      </w:pPr>
    </w:p>
    <w:p w14:paraId="4C3DAF8C" w14:textId="56FA9FE3" w:rsidR="0044546A" w:rsidRPr="00582ECD" w:rsidRDefault="0044546A" w:rsidP="0044546A">
      <w:pPr>
        <w:tabs>
          <w:tab w:val="left" w:pos="1276"/>
          <w:tab w:val="left" w:pos="1418"/>
          <w:tab w:val="left" w:leader="dot" w:pos="8222"/>
          <w:tab w:val="right" w:pos="8647"/>
        </w:tabs>
        <w:jc w:val="both"/>
        <w:rPr>
          <w:rFonts w:asciiTheme="majorHAnsi" w:hAnsiTheme="majorHAnsi"/>
          <w:iCs/>
        </w:rPr>
      </w:pPr>
      <w:r w:rsidRPr="00582ECD">
        <w:rPr>
          <w:rFonts w:asciiTheme="majorHAnsi" w:hAnsiTheme="majorHAnsi"/>
          <w:i/>
        </w:rPr>
        <w:t>[Rec. 23-11] Recommandation de l'ICCAT remplaçant la Recommandation 19-08 sur des mesures de gestion pour la conservation du requin peau bleue de l’Atlantique Sud capturé en association avec les pêcheries de l’ICCAT</w:t>
      </w:r>
    </w:p>
    <w:p w14:paraId="3F4B79AE" w14:textId="77777777" w:rsidR="009167F1" w:rsidRPr="00582ECD" w:rsidRDefault="009167F1" w:rsidP="009167F1">
      <w:pPr>
        <w:widowControl/>
        <w:autoSpaceDE/>
        <w:autoSpaceDN/>
        <w:adjustRightInd/>
        <w:jc w:val="both"/>
        <w:rPr>
          <w:rFonts w:asciiTheme="majorHAnsi" w:hAnsiTheme="majorHAnsi"/>
          <w:bCs/>
          <w:i/>
          <w:lang w:eastAsia="en-GB"/>
        </w:rPr>
      </w:pPr>
    </w:p>
    <w:p w14:paraId="5745B352" w14:textId="3DE66EFB" w:rsidR="004E41C9" w:rsidRPr="00582ECD" w:rsidRDefault="004E41C9" w:rsidP="009A22E5">
      <w:pPr>
        <w:jc w:val="both"/>
        <w:rPr>
          <w:rFonts w:asciiTheme="majorHAnsi" w:hAnsiTheme="majorHAnsi"/>
        </w:rPr>
      </w:pPr>
      <w:r w:rsidRPr="00582ECD">
        <w:rPr>
          <w:rFonts w:asciiTheme="majorHAnsi" w:hAnsiTheme="majorHAnsi"/>
        </w:rPr>
        <w:t>Lors de sa 28e réunion ordinaire, l’ICCAT a établi un total de prises admissibles (TAC ) annuel de 27.711t à partir de 2024.</w:t>
      </w:r>
    </w:p>
    <w:p w14:paraId="3E0638E8" w14:textId="77777777" w:rsidR="00701334" w:rsidRPr="00582ECD" w:rsidRDefault="00701334" w:rsidP="009A22E5">
      <w:pPr>
        <w:jc w:val="both"/>
        <w:rPr>
          <w:rFonts w:asciiTheme="majorHAnsi" w:hAnsiTheme="majorHAnsi"/>
        </w:rPr>
      </w:pPr>
    </w:p>
    <w:p w14:paraId="3FF23122" w14:textId="0F6A2F8F" w:rsidR="00F6554D" w:rsidRPr="00582ECD" w:rsidRDefault="009170D2" w:rsidP="009170D2">
      <w:pPr>
        <w:jc w:val="both"/>
        <w:rPr>
          <w:rFonts w:asciiTheme="majorHAnsi" w:hAnsiTheme="majorHAnsi"/>
        </w:rPr>
      </w:pPr>
      <w:r w:rsidRPr="00582ECD">
        <w:rPr>
          <w:rFonts w:asciiTheme="majorHAnsi" w:hAnsiTheme="majorHAnsi"/>
        </w:rPr>
        <w:t>La présente Recommandation devra être revue à la lumière des résultats de la prochaine évaluation du stock de requin peau bleue de l'Atlantique Sud du SCRS.</w:t>
      </w:r>
    </w:p>
    <w:p w14:paraId="27FD3E90" w14:textId="77777777" w:rsidR="004E41C9" w:rsidRPr="00582ECD" w:rsidRDefault="004E41C9" w:rsidP="004E41C9">
      <w:pPr>
        <w:jc w:val="both"/>
        <w:rPr>
          <w:rFonts w:asciiTheme="majorHAnsi" w:hAnsiTheme="majorHAnsi"/>
        </w:rPr>
      </w:pPr>
    </w:p>
    <w:p w14:paraId="3955D1C3" w14:textId="5C7CAED7" w:rsidR="004E41C9" w:rsidRPr="00582ECD" w:rsidRDefault="004E41C9" w:rsidP="004E41C9">
      <w:pPr>
        <w:jc w:val="both"/>
        <w:rPr>
          <w:rFonts w:asciiTheme="majorHAnsi" w:hAnsiTheme="majorHAnsi"/>
        </w:rPr>
      </w:pPr>
      <w:r w:rsidRPr="00582ECD">
        <w:rPr>
          <w:rFonts w:asciiTheme="majorHAnsi" w:hAnsiTheme="majorHAnsi"/>
        </w:rPr>
        <w:t xml:space="preserve">Les captures totales sont indiquées ci-dessous, ce qui montre que le stock a fait n’a pas fait l’objet d’une surconsommation en 2025 : </w:t>
      </w:r>
    </w:p>
    <w:p w14:paraId="2C5CE934" w14:textId="77777777" w:rsidR="004E41C9" w:rsidRPr="00582ECD" w:rsidRDefault="004E41C9" w:rsidP="004E41C9">
      <w:pPr>
        <w:rPr>
          <w:rFonts w:asciiTheme="majorHAnsi" w:hAnsiTheme="majorHAnsi"/>
        </w:rPr>
      </w:pPr>
    </w:p>
    <w:p w14:paraId="036B2EAF" w14:textId="00ECFCDB" w:rsidR="004E41C9" w:rsidRPr="00582ECD" w:rsidRDefault="004E41C9" w:rsidP="004E41C9">
      <w:pPr>
        <w:rPr>
          <w:rFonts w:asciiTheme="majorHAnsi" w:hAnsiTheme="majorHAnsi"/>
        </w:rPr>
      </w:pPr>
      <w:r w:rsidRPr="00582ECD">
        <w:rPr>
          <w:rFonts w:asciiTheme="majorHAnsi" w:hAnsiTheme="majorHAnsi"/>
        </w:rPr>
        <w:t>Données de la tâche 1 (données déclarées uniquement)</w:t>
      </w:r>
      <w:r w:rsidR="0031319C">
        <w:rPr>
          <w:rFonts w:asciiTheme="majorHAnsi" w:hAnsiTheme="majorHAnsi"/>
        </w:rPr>
        <w:t> :</w:t>
      </w:r>
    </w:p>
    <w:p w14:paraId="41EAAB4B" w14:textId="77777777" w:rsidR="004E41C9" w:rsidRPr="00582ECD" w:rsidRDefault="004E41C9" w:rsidP="004E41C9">
      <w:pPr>
        <w:rPr>
          <w:rFonts w:asciiTheme="majorHAnsi" w:hAnsiTheme="majorHAnsi"/>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top w:w="15" w:type="dxa"/>
          <w:left w:w="15" w:type="dxa"/>
          <w:bottom w:w="15" w:type="dxa"/>
          <w:right w:w="15" w:type="dxa"/>
        </w:tblCellMar>
        <w:tblLook w:val="04A0" w:firstRow="1" w:lastRow="0" w:firstColumn="1" w:lastColumn="0" w:noHBand="0" w:noVBand="1"/>
      </w:tblPr>
      <w:tblGrid>
        <w:gridCol w:w="2162"/>
        <w:gridCol w:w="1153"/>
        <w:gridCol w:w="1151"/>
        <w:gridCol w:w="1151"/>
        <w:gridCol w:w="1151"/>
        <w:gridCol w:w="1149"/>
        <w:gridCol w:w="1148"/>
      </w:tblGrid>
      <w:tr w:rsidR="00501F35" w:rsidRPr="00582ECD" w14:paraId="6F1933BF" w14:textId="7A494899" w:rsidTr="005B120F">
        <w:tc>
          <w:tcPr>
            <w:tcW w:w="1192" w:type="pct"/>
            <w:shd w:val="clear" w:color="auto" w:fill="FFFFFF"/>
            <w:vAlign w:val="center"/>
            <w:hideMark/>
          </w:tcPr>
          <w:p w14:paraId="62BA2D2B" w14:textId="77777777" w:rsidR="00501F35" w:rsidRPr="00582ECD" w:rsidRDefault="00501F35" w:rsidP="000C1506">
            <w:pPr>
              <w:widowControl/>
              <w:autoSpaceDE/>
              <w:autoSpaceDN/>
              <w:adjustRightInd/>
              <w:jc w:val="center"/>
              <w:rPr>
                <w:rFonts w:asciiTheme="majorHAnsi" w:hAnsiTheme="majorHAnsi"/>
                <w:i/>
                <w:iCs/>
              </w:rPr>
            </w:pPr>
            <w:r w:rsidRPr="00582ECD">
              <w:rPr>
                <w:rFonts w:asciiTheme="majorHAnsi" w:hAnsiTheme="majorHAnsi"/>
                <w:i/>
              </w:rPr>
              <w:t>Requin peau bleue</w:t>
            </w:r>
          </w:p>
        </w:tc>
        <w:tc>
          <w:tcPr>
            <w:tcW w:w="636" w:type="pct"/>
            <w:shd w:val="clear" w:color="auto" w:fill="FFFFFF"/>
            <w:vAlign w:val="center"/>
            <w:hideMark/>
          </w:tcPr>
          <w:p w14:paraId="1B63AB0E" w14:textId="77777777" w:rsidR="00501F35" w:rsidRPr="00582ECD" w:rsidRDefault="00501F35" w:rsidP="000C1506">
            <w:pPr>
              <w:widowControl/>
              <w:autoSpaceDE/>
              <w:autoSpaceDN/>
              <w:adjustRightInd/>
              <w:jc w:val="center"/>
              <w:rPr>
                <w:rFonts w:asciiTheme="majorHAnsi" w:hAnsiTheme="majorHAnsi"/>
                <w:i/>
                <w:iCs/>
              </w:rPr>
            </w:pPr>
            <w:r w:rsidRPr="00582ECD">
              <w:rPr>
                <w:rFonts w:asciiTheme="majorHAnsi" w:hAnsiTheme="majorHAnsi"/>
                <w:i/>
              </w:rPr>
              <w:t>2020</w:t>
            </w:r>
          </w:p>
        </w:tc>
        <w:tc>
          <w:tcPr>
            <w:tcW w:w="635" w:type="pct"/>
            <w:shd w:val="clear" w:color="auto" w:fill="FFFFFF"/>
          </w:tcPr>
          <w:p w14:paraId="59A60928" w14:textId="77777777" w:rsidR="00501F35" w:rsidRPr="00582ECD" w:rsidRDefault="00501F35" w:rsidP="000C1506">
            <w:pPr>
              <w:widowControl/>
              <w:autoSpaceDE/>
              <w:autoSpaceDN/>
              <w:adjustRightInd/>
              <w:jc w:val="center"/>
              <w:rPr>
                <w:rFonts w:asciiTheme="majorHAnsi" w:hAnsiTheme="majorHAnsi"/>
                <w:i/>
                <w:iCs/>
              </w:rPr>
            </w:pPr>
            <w:r w:rsidRPr="00582ECD">
              <w:rPr>
                <w:rFonts w:asciiTheme="majorHAnsi" w:hAnsiTheme="majorHAnsi"/>
                <w:i/>
              </w:rPr>
              <w:t>2021</w:t>
            </w:r>
          </w:p>
        </w:tc>
        <w:tc>
          <w:tcPr>
            <w:tcW w:w="635" w:type="pct"/>
            <w:shd w:val="clear" w:color="auto" w:fill="FFFFFF"/>
          </w:tcPr>
          <w:p w14:paraId="51BA31E6" w14:textId="77777777" w:rsidR="00501F35" w:rsidRPr="00582ECD" w:rsidRDefault="00501F35" w:rsidP="000C1506">
            <w:pPr>
              <w:widowControl/>
              <w:autoSpaceDE/>
              <w:autoSpaceDN/>
              <w:adjustRightInd/>
              <w:jc w:val="center"/>
              <w:rPr>
                <w:rFonts w:asciiTheme="majorHAnsi" w:hAnsiTheme="majorHAnsi"/>
                <w:i/>
                <w:iCs/>
              </w:rPr>
            </w:pPr>
            <w:r w:rsidRPr="00582ECD">
              <w:rPr>
                <w:rFonts w:asciiTheme="majorHAnsi" w:hAnsiTheme="majorHAnsi"/>
                <w:i/>
              </w:rPr>
              <w:t>2022</w:t>
            </w:r>
          </w:p>
        </w:tc>
        <w:tc>
          <w:tcPr>
            <w:tcW w:w="635" w:type="pct"/>
            <w:shd w:val="clear" w:color="auto" w:fill="FFFFFF"/>
          </w:tcPr>
          <w:p w14:paraId="7D52A2DD" w14:textId="3F9DBEC6" w:rsidR="00501F35" w:rsidRPr="00582ECD" w:rsidRDefault="00501F35" w:rsidP="009167F1">
            <w:pPr>
              <w:widowControl/>
              <w:autoSpaceDE/>
              <w:autoSpaceDN/>
              <w:adjustRightInd/>
              <w:jc w:val="center"/>
              <w:rPr>
                <w:rFonts w:asciiTheme="majorHAnsi" w:hAnsiTheme="majorHAnsi"/>
                <w:i/>
                <w:iCs/>
              </w:rPr>
            </w:pPr>
            <w:r w:rsidRPr="00582ECD">
              <w:rPr>
                <w:rFonts w:asciiTheme="majorHAnsi" w:hAnsiTheme="majorHAnsi"/>
                <w:i/>
              </w:rPr>
              <w:t>2023</w:t>
            </w:r>
          </w:p>
        </w:tc>
        <w:tc>
          <w:tcPr>
            <w:tcW w:w="634" w:type="pct"/>
            <w:shd w:val="clear" w:color="auto" w:fill="FFFFFF"/>
          </w:tcPr>
          <w:p w14:paraId="7AAB4AC3" w14:textId="3C74F588" w:rsidR="00501F35" w:rsidRPr="00582ECD" w:rsidRDefault="00501F35" w:rsidP="009167F1">
            <w:pPr>
              <w:widowControl/>
              <w:autoSpaceDE/>
              <w:autoSpaceDN/>
              <w:adjustRightInd/>
              <w:jc w:val="center"/>
              <w:rPr>
                <w:rFonts w:asciiTheme="majorHAnsi" w:hAnsiTheme="majorHAnsi"/>
                <w:i/>
                <w:iCs/>
              </w:rPr>
            </w:pPr>
            <w:r w:rsidRPr="00582ECD">
              <w:rPr>
                <w:rFonts w:asciiTheme="majorHAnsi" w:hAnsiTheme="majorHAnsi"/>
                <w:i/>
              </w:rPr>
              <w:t>2024</w:t>
            </w:r>
          </w:p>
        </w:tc>
        <w:tc>
          <w:tcPr>
            <w:tcW w:w="633" w:type="pct"/>
            <w:shd w:val="clear" w:color="auto" w:fill="FFFFFF"/>
          </w:tcPr>
          <w:p w14:paraId="6872FF01" w14:textId="7F60DCFB" w:rsidR="00501F35" w:rsidRPr="00582ECD" w:rsidRDefault="00501F35" w:rsidP="009167F1">
            <w:pPr>
              <w:widowControl/>
              <w:autoSpaceDE/>
              <w:autoSpaceDN/>
              <w:adjustRightInd/>
              <w:jc w:val="center"/>
              <w:rPr>
                <w:rFonts w:asciiTheme="majorHAnsi" w:hAnsiTheme="majorHAnsi"/>
                <w:i/>
                <w:iCs/>
              </w:rPr>
            </w:pPr>
            <w:r w:rsidRPr="00582ECD">
              <w:rPr>
                <w:rFonts w:asciiTheme="majorHAnsi" w:hAnsiTheme="majorHAnsi"/>
                <w:i/>
              </w:rPr>
              <w:t>2025</w:t>
            </w:r>
          </w:p>
        </w:tc>
      </w:tr>
      <w:tr w:rsidR="00F76A5D" w:rsidRPr="00582ECD" w14:paraId="14BA110D" w14:textId="1EADB915" w:rsidTr="005B120F">
        <w:tc>
          <w:tcPr>
            <w:tcW w:w="1192" w:type="pct"/>
            <w:shd w:val="clear" w:color="auto" w:fill="FFFFFF"/>
            <w:vAlign w:val="center"/>
            <w:hideMark/>
          </w:tcPr>
          <w:p w14:paraId="34E31582" w14:textId="2CD88AC7" w:rsidR="00F76A5D" w:rsidRPr="00582ECD" w:rsidRDefault="00F76A5D" w:rsidP="00F76A5D">
            <w:pPr>
              <w:widowControl/>
              <w:autoSpaceDE/>
              <w:autoSpaceDN/>
              <w:adjustRightInd/>
              <w:jc w:val="center"/>
              <w:rPr>
                <w:rFonts w:asciiTheme="majorHAnsi" w:hAnsiTheme="majorHAnsi"/>
                <w:color w:val="000000"/>
              </w:rPr>
            </w:pPr>
            <w:r w:rsidRPr="00582ECD">
              <w:rPr>
                <w:rFonts w:asciiTheme="majorHAnsi" w:hAnsiTheme="majorHAnsi"/>
                <w:color w:val="000000"/>
              </w:rPr>
              <w:t>ATS</w:t>
            </w:r>
          </w:p>
        </w:tc>
        <w:tc>
          <w:tcPr>
            <w:tcW w:w="636" w:type="pct"/>
            <w:shd w:val="clear" w:color="auto" w:fill="FFFFFF"/>
            <w:hideMark/>
          </w:tcPr>
          <w:p w14:paraId="06BCDE18" w14:textId="364C538F" w:rsidR="00F76A5D" w:rsidRPr="00582ECD" w:rsidRDefault="00F76A5D" w:rsidP="00F76A5D">
            <w:pPr>
              <w:widowControl/>
              <w:autoSpaceDE/>
              <w:autoSpaceDN/>
              <w:adjustRightInd/>
              <w:jc w:val="center"/>
              <w:rPr>
                <w:rFonts w:asciiTheme="majorHAnsi" w:hAnsiTheme="majorHAnsi"/>
              </w:rPr>
            </w:pPr>
            <w:r w:rsidRPr="00582ECD">
              <w:rPr>
                <w:rFonts w:asciiTheme="majorHAnsi" w:hAnsiTheme="majorHAnsi"/>
              </w:rPr>
              <w:t>33690</w:t>
            </w:r>
          </w:p>
        </w:tc>
        <w:tc>
          <w:tcPr>
            <w:tcW w:w="635" w:type="pct"/>
            <w:shd w:val="clear" w:color="auto" w:fill="FFFFFF"/>
          </w:tcPr>
          <w:p w14:paraId="16A0E53C" w14:textId="292E6C8B" w:rsidR="00F76A5D" w:rsidRPr="00582ECD" w:rsidRDefault="00F76A5D" w:rsidP="00F76A5D">
            <w:pPr>
              <w:widowControl/>
              <w:autoSpaceDE/>
              <w:autoSpaceDN/>
              <w:adjustRightInd/>
              <w:jc w:val="center"/>
              <w:rPr>
                <w:rFonts w:asciiTheme="majorHAnsi" w:hAnsiTheme="majorHAnsi"/>
              </w:rPr>
            </w:pPr>
            <w:r w:rsidRPr="00582ECD">
              <w:rPr>
                <w:rFonts w:asciiTheme="majorHAnsi" w:hAnsiTheme="majorHAnsi"/>
              </w:rPr>
              <w:t>33366</w:t>
            </w:r>
          </w:p>
        </w:tc>
        <w:tc>
          <w:tcPr>
            <w:tcW w:w="635" w:type="pct"/>
            <w:shd w:val="clear" w:color="auto" w:fill="FFFFFF"/>
          </w:tcPr>
          <w:p w14:paraId="3586F036" w14:textId="7506D0EE" w:rsidR="00F76A5D" w:rsidRPr="00582ECD" w:rsidRDefault="00F76A5D" w:rsidP="00F76A5D">
            <w:pPr>
              <w:widowControl/>
              <w:autoSpaceDE/>
              <w:autoSpaceDN/>
              <w:adjustRightInd/>
              <w:jc w:val="center"/>
              <w:rPr>
                <w:rFonts w:asciiTheme="majorHAnsi" w:hAnsiTheme="majorHAnsi"/>
              </w:rPr>
            </w:pPr>
            <w:r w:rsidRPr="00582ECD">
              <w:rPr>
                <w:rFonts w:asciiTheme="majorHAnsi" w:hAnsiTheme="majorHAnsi"/>
              </w:rPr>
              <w:t>31630</w:t>
            </w:r>
          </w:p>
        </w:tc>
        <w:tc>
          <w:tcPr>
            <w:tcW w:w="635" w:type="pct"/>
            <w:shd w:val="clear" w:color="auto" w:fill="FFFFFF"/>
          </w:tcPr>
          <w:p w14:paraId="19DDD901" w14:textId="218A42C2" w:rsidR="00F76A5D" w:rsidRPr="00582ECD" w:rsidRDefault="00F76A5D" w:rsidP="00F76A5D">
            <w:pPr>
              <w:widowControl/>
              <w:autoSpaceDE/>
              <w:autoSpaceDN/>
              <w:adjustRightInd/>
              <w:jc w:val="center"/>
              <w:rPr>
                <w:rFonts w:asciiTheme="majorHAnsi" w:hAnsiTheme="majorHAnsi"/>
                <w:color w:val="FF0000"/>
              </w:rPr>
            </w:pPr>
            <w:r w:rsidRPr="00582ECD">
              <w:rPr>
                <w:rFonts w:asciiTheme="majorHAnsi" w:hAnsiTheme="majorHAnsi"/>
              </w:rPr>
              <w:t>30415</w:t>
            </w:r>
          </w:p>
        </w:tc>
        <w:tc>
          <w:tcPr>
            <w:tcW w:w="634" w:type="pct"/>
            <w:shd w:val="clear" w:color="auto" w:fill="FFFFFF"/>
          </w:tcPr>
          <w:p w14:paraId="38FD5220" w14:textId="502FCF89" w:rsidR="00F76A5D" w:rsidRPr="00582ECD" w:rsidRDefault="00F76A5D" w:rsidP="00F76A5D">
            <w:pPr>
              <w:widowControl/>
              <w:autoSpaceDE/>
              <w:autoSpaceDN/>
              <w:adjustRightInd/>
              <w:jc w:val="center"/>
              <w:rPr>
                <w:rFonts w:asciiTheme="majorHAnsi" w:hAnsiTheme="majorHAnsi"/>
              </w:rPr>
            </w:pPr>
            <w:r w:rsidRPr="00582ECD">
              <w:rPr>
                <w:rFonts w:asciiTheme="majorHAnsi" w:hAnsiTheme="majorHAnsi"/>
              </w:rPr>
              <w:t>24831</w:t>
            </w:r>
          </w:p>
        </w:tc>
        <w:tc>
          <w:tcPr>
            <w:tcW w:w="633" w:type="pct"/>
            <w:shd w:val="clear" w:color="auto" w:fill="FFFFFF"/>
          </w:tcPr>
          <w:p w14:paraId="09A22DCE" w14:textId="6B702BFF" w:rsidR="00F76A5D" w:rsidRPr="00582ECD" w:rsidRDefault="00F76A5D" w:rsidP="00F76A5D">
            <w:pPr>
              <w:widowControl/>
              <w:autoSpaceDE/>
              <w:autoSpaceDN/>
              <w:adjustRightInd/>
              <w:jc w:val="center"/>
              <w:rPr>
                <w:rFonts w:asciiTheme="majorHAnsi" w:hAnsiTheme="majorHAnsi"/>
              </w:rPr>
            </w:pPr>
            <w:r w:rsidRPr="00582ECD">
              <w:rPr>
                <w:rFonts w:asciiTheme="majorHAnsi" w:hAnsiTheme="majorHAnsi"/>
              </w:rPr>
              <w:t>23200</w:t>
            </w:r>
          </w:p>
        </w:tc>
      </w:tr>
    </w:tbl>
    <w:p w14:paraId="412CD380" w14:textId="77777777" w:rsidR="004E41C9" w:rsidRPr="00582ECD" w:rsidRDefault="004E41C9" w:rsidP="004E41C9">
      <w:pPr>
        <w:jc w:val="both"/>
        <w:rPr>
          <w:rFonts w:asciiTheme="majorHAnsi" w:hAnsiTheme="majorHAnsi"/>
          <w:lang w:val="en-GB"/>
        </w:rPr>
      </w:pPr>
    </w:p>
    <w:p w14:paraId="6FBA9CAE" w14:textId="77777777" w:rsidR="004E41C9" w:rsidRPr="00582ECD" w:rsidRDefault="004E41C9" w:rsidP="004E41C9">
      <w:pPr>
        <w:jc w:val="both"/>
        <w:rPr>
          <w:rFonts w:asciiTheme="majorHAnsi" w:hAnsiTheme="majorHAnsi"/>
          <w:color w:val="000000" w:themeColor="text1"/>
        </w:rPr>
      </w:pPr>
      <w:r w:rsidRPr="00582ECD">
        <w:rPr>
          <w:rFonts w:asciiTheme="majorHAnsi" w:hAnsiTheme="majorHAnsi"/>
          <w:color w:val="000000" w:themeColor="text1"/>
        </w:rPr>
        <w:t xml:space="preserve">Les obligations en matière de déclaration de la tâche 1 sont examinées en vertu de la Rec. 11-15. Aux termes de cette Recommandation, à partir de 2020, les CPC devront décrire, dans leurs rapports annuels, leurs programmes de collecte de données et les démarches entreprises en vue de mettre en œuvre cette Recommandation. Ces rapports sont inclus dans les feuilles de contrôle de la mise en œuvre des mesures s’appliquant aux requins (cf. Rec. 18-06 ci-dessous). </w:t>
      </w:r>
    </w:p>
    <w:p w14:paraId="0BE96DA0" w14:textId="77777777" w:rsidR="006B5B0F" w:rsidRPr="00582ECD" w:rsidRDefault="006B5B0F" w:rsidP="006D1DE6">
      <w:pPr>
        <w:tabs>
          <w:tab w:val="left" w:pos="709"/>
          <w:tab w:val="left" w:pos="1276"/>
          <w:tab w:val="left" w:pos="1418"/>
          <w:tab w:val="left" w:leader="dot" w:pos="8222"/>
          <w:tab w:val="right" w:pos="8647"/>
        </w:tabs>
        <w:jc w:val="both"/>
        <w:rPr>
          <w:rFonts w:asciiTheme="majorHAnsi" w:hAnsiTheme="majorHAnsi"/>
          <w:bCs/>
          <w:i/>
        </w:rPr>
      </w:pPr>
    </w:p>
    <w:p w14:paraId="0E46F7B6" w14:textId="6585A8E0" w:rsidR="00501F35" w:rsidRPr="00582ECD" w:rsidRDefault="00501F35" w:rsidP="00501F35">
      <w:pPr>
        <w:tabs>
          <w:tab w:val="left" w:pos="1276"/>
          <w:tab w:val="left" w:pos="1418"/>
          <w:tab w:val="left" w:leader="dot" w:pos="8222"/>
          <w:tab w:val="right" w:pos="8647"/>
        </w:tabs>
        <w:jc w:val="both"/>
        <w:rPr>
          <w:rFonts w:asciiTheme="majorHAnsi" w:hAnsiTheme="majorHAnsi"/>
        </w:rPr>
      </w:pPr>
      <w:r w:rsidRPr="00582ECD">
        <w:rPr>
          <w:rFonts w:asciiTheme="majorHAnsi" w:hAnsiTheme="majorHAnsi"/>
          <w:b/>
          <w:bCs/>
          <w:i/>
          <w:iCs/>
        </w:rPr>
        <w:t>Application des q</w:t>
      </w:r>
      <w:r w:rsidRPr="00582ECD">
        <w:rPr>
          <w:rFonts w:asciiTheme="majorHAnsi" w:hAnsiTheme="majorHAnsi"/>
          <w:b/>
          <w:i/>
        </w:rPr>
        <w:t>uotas/li</w:t>
      </w:r>
      <w:r w:rsidRPr="00582ECD">
        <w:rPr>
          <w:rFonts w:asciiTheme="majorHAnsi" w:hAnsiTheme="majorHAnsi"/>
          <w:b/>
          <w:bCs/>
          <w:i/>
          <w:iCs/>
        </w:rPr>
        <w:t>mites de capture :</w:t>
      </w:r>
      <w:r w:rsidRPr="00582ECD">
        <w:rPr>
          <w:rFonts w:asciiTheme="majorHAnsi" w:hAnsiTheme="majorHAnsi"/>
        </w:rPr>
        <w:t xml:space="preserve"> Veuillez consulter les</w:t>
      </w:r>
      <w:r w:rsidR="0031319C">
        <w:rPr>
          <w:rFonts w:asciiTheme="majorHAnsi" w:hAnsiTheme="majorHAnsi"/>
        </w:rPr>
        <w:t xml:space="preserve"> « </w:t>
      </w:r>
      <w:r w:rsidRPr="00582ECD">
        <w:rPr>
          <w:rFonts w:asciiTheme="majorHAnsi" w:hAnsiTheme="majorHAnsi"/>
        </w:rPr>
        <w:t>Tableaux d'application 2025 reçus en 2026</w:t>
      </w:r>
      <w:r w:rsidR="0031319C">
        <w:rPr>
          <w:rFonts w:asciiTheme="majorHAnsi" w:hAnsiTheme="majorHAnsi"/>
        </w:rPr>
        <w:t> »</w:t>
      </w:r>
      <w:r w:rsidRPr="00582ECD">
        <w:rPr>
          <w:rFonts w:asciiTheme="majorHAnsi" w:hAnsiTheme="majorHAnsi"/>
        </w:rPr>
        <w:t xml:space="preserve"> [COC_304/2026].</w:t>
      </w:r>
    </w:p>
    <w:p w14:paraId="5399C500" w14:textId="77777777" w:rsidR="00501F35" w:rsidRPr="00582ECD" w:rsidRDefault="00501F35" w:rsidP="00501F35">
      <w:pPr>
        <w:widowControl/>
        <w:autoSpaceDE/>
        <w:autoSpaceDN/>
        <w:adjustRightInd/>
        <w:jc w:val="both"/>
        <w:rPr>
          <w:rFonts w:asciiTheme="majorHAnsi" w:hAnsiTheme="majorHAnsi"/>
          <w:bCs/>
          <w:i/>
          <w:lang w:eastAsia="en-GB"/>
        </w:rPr>
      </w:pPr>
    </w:p>
    <w:p w14:paraId="4D278091" w14:textId="77777777" w:rsidR="00501F35" w:rsidRPr="00582ECD" w:rsidRDefault="00501F35" w:rsidP="00501F35">
      <w:pPr>
        <w:widowControl/>
        <w:autoSpaceDE/>
        <w:autoSpaceDN/>
        <w:adjustRightInd/>
        <w:jc w:val="both"/>
        <w:rPr>
          <w:rFonts w:asciiTheme="majorHAnsi" w:hAnsiTheme="majorHAnsi"/>
        </w:rPr>
      </w:pPr>
      <w:r w:rsidRPr="00582ECD">
        <w:rPr>
          <w:rFonts w:asciiTheme="majorHAnsi" w:hAnsiTheme="majorHAnsi"/>
        </w:rPr>
        <w:t xml:space="preserve">Veuillez consulter les « feuilles de contrôle s'appliquant aux requins reçues en vertu de la Rec. 18-06 » [COC_314/2026] pour la mise en œuvre de ces mesures. </w:t>
      </w:r>
    </w:p>
    <w:p w14:paraId="72BD41ED" w14:textId="77777777" w:rsidR="00501F35" w:rsidRPr="00582ECD" w:rsidRDefault="00501F35" w:rsidP="006D1DE6">
      <w:pPr>
        <w:tabs>
          <w:tab w:val="left" w:pos="709"/>
          <w:tab w:val="left" w:pos="1276"/>
          <w:tab w:val="left" w:pos="1418"/>
          <w:tab w:val="left" w:leader="dot" w:pos="8222"/>
          <w:tab w:val="right" w:pos="8647"/>
        </w:tabs>
        <w:jc w:val="both"/>
        <w:rPr>
          <w:rFonts w:asciiTheme="majorHAnsi" w:hAnsiTheme="majorHAnsi"/>
          <w:bCs/>
          <w:i/>
        </w:rPr>
      </w:pPr>
    </w:p>
    <w:p w14:paraId="7D5CAEA1" w14:textId="53AC941B" w:rsidR="004E41C9" w:rsidRPr="00582ECD" w:rsidRDefault="004E41C9" w:rsidP="004E41C9">
      <w:pPr>
        <w:tabs>
          <w:tab w:val="left" w:pos="709"/>
          <w:tab w:val="left" w:pos="1276"/>
          <w:tab w:val="left" w:pos="1418"/>
          <w:tab w:val="left" w:leader="dot" w:pos="8222"/>
          <w:tab w:val="right" w:pos="8647"/>
        </w:tabs>
        <w:jc w:val="both"/>
        <w:rPr>
          <w:rFonts w:asciiTheme="majorHAnsi" w:hAnsiTheme="majorHAnsi"/>
          <w:bCs/>
          <w:i/>
        </w:rPr>
      </w:pPr>
      <w:r w:rsidRPr="00582ECD">
        <w:rPr>
          <w:rFonts w:asciiTheme="majorHAnsi" w:hAnsiTheme="majorHAnsi"/>
          <w:i/>
        </w:rPr>
        <w:t>Rec. 21-09 : Recommandation de l’ICCAT sur la conservation du stock de requin-taupe bleu de l'Atlantique Nord capturé en association avec les pêcheries de l’ICCAT</w:t>
      </w:r>
    </w:p>
    <w:p w14:paraId="066D23F6" w14:textId="77777777" w:rsidR="004F6619" w:rsidRPr="00582ECD" w:rsidRDefault="004F6619" w:rsidP="004E41C9">
      <w:pPr>
        <w:tabs>
          <w:tab w:val="left" w:pos="709"/>
          <w:tab w:val="left" w:pos="1276"/>
          <w:tab w:val="left" w:pos="1418"/>
          <w:tab w:val="left" w:leader="dot" w:pos="8222"/>
          <w:tab w:val="right" w:pos="8647"/>
        </w:tabs>
        <w:jc w:val="both"/>
        <w:rPr>
          <w:rFonts w:asciiTheme="majorHAnsi" w:hAnsiTheme="majorHAnsi"/>
          <w:bCs/>
          <w:i/>
        </w:rPr>
      </w:pPr>
    </w:p>
    <w:p w14:paraId="1DF77471" w14:textId="4A33A998" w:rsidR="004F6619" w:rsidRPr="00582ECD" w:rsidRDefault="004F6619" w:rsidP="004F6619">
      <w:pPr>
        <w:tabs>
          <w:tab w:val="left" w:pos="1276"/>
          <w:tab w:val="left" w:pos="1418"/>
          <w:tab w:val="left" w:leader="dot" w:pos="8222"/>
          <w:tab w:val="right" w:pos="8647"/>
        </w:tabs>
        <w:jc w:val="both"/>
        <w:rPr>
          <w:rFonts w:asciiTheme="majorHAnsi" w:hAnsiTheme="majorHAnsi"/>
          <w:bCs/>
        </w:rPr>
      </w:pPr>
      <w:r w:rsidRPr="00582ECD">
        <w:rPr>
          <w:rFonts w:asciiTheme="majorHAnsi" w:hAnsiTheme="majorHAnsi"/>
        </w:rPr>
        <w:t>La mortalité totale par pêche du requin-taupe bleu de l'Atlantique Nord ne doit pas dépasser 250 tonnes jusqu'à ce qu'un nouvel avis du SCRS soit fourni à la Commission.</w:t>
      </w:r>
    </w:p>
    <w:p w14:paraId="6C7F8CA2" w14:textId="77777777" w:rsidR="006B5B0F" w:rsidRPr="00582ECD" w:rsidRDefault="006B5B0F" w:rsidP="004F6619">
      <w:pPr>
        <w:tabs>
          <w:tab w:val="left" w:pos="1276"/>
          <w:tab w:val="left" w:pos="1418"/>
          <w:tab w:val="left" w:leader="dot" w:pos="8222"/>
          <w:tab w:val="right" w:pos="8647"/>
        </w:tabs>
        <w:jc w:val="both"/>
        <w:rPr>
          <w:rFonts w:asciiTheme="majorHAnsi" w:hAnsiTheme="majorHAnsi"/>
          <w:bCs/>
        </w:rPr>
      </w:pPr>
    </w:p>
    <w:p w14:paraId="1FB69105" w14:textId="4E343199" w:rsidR="004F6619" w:rsidRPr="00582ECD" w:rsidRDefault="004F6619" w:rsidP="004F6619">
      <w:pPr>
        <w:tabs>
          <w:tab w:val="left" w:pos="1276"/>
          <w:tab w:val="left" w:pos="1418"/>
          <w:tab w:val="left" w:leader="dot" w:pos="8222"/>
          <w:tab w:val="right" w:pos="8647"/>
        </w:tabs>
        <w:jc w:val="both"/>
        <w:rPr>
          <w:rFonts w:asciiTheme="majorHAnsi" w:hAnsiTheme="majorHAnsi"/>
        </w:rPr>
      </w:pPr>
      <w:r w:rsidRPr="00582ECD">
        <w:rPr>
          <w:rFonts w:asciiTheme="majorHAnsi" w:hAnsiTheme="majorHAnsi"/>
          <w:b/>
          <w:i/>
        </w:rPr>
        <w:t xml:space="preserve">Rapports mensuels : </w:t>
      </w:r>
      <w:r w:rsidRPr="00582ECD">
        <w:rPr>
          <w:rFonts w:asciiTheme="majorHAnsi" w:hAnsiTheme="majorHAnsi"/>
        </w:rPr>
        <w:t>Le montant total des rapports mensuels reçus des CPC pour 2025 est indiqué ci-dessous, ainsi que les totaux de la tâche 1, d'où il ressort que le stock a fait l’objet d’une surconsommation en 2025. Il existe une différence substantielle entre la quantité déclarée mensuellement et celle de la tâche</w:t>
      </w:r>
      <w:r w:rsidR="009B154A">
        <w:rPr>
          <w:rFonts w:asciiTheme="majorHAnsi" w:hAnsiTheme="majorHAnsi"/>
        </w:rPr>
        <w:t> </w:t>
      </w:r>
      <w:r w:rsidRPr="00582ECD">
        <w:rPr>
          <w:rFonts w:asciiTheme="majorHAnsi" w:hAnsiTheme="majorHAnsi"/>
        </w:rPr>
        <w:t xml:space="preserve">1 étant donné que seules trois CPC ont soumis ces rapports mensuels en 2025. </w:t>
      </w:r>
    </w:p>
    <w:p w14:paraId="23883D28" w14:textId="77777777" w:rsidR="001E5CEC" w:rsidRPr="00582ECD" w:rsidRDefault="001E5CEC" w:rsidP="004F6619">
      <w:pPr>
        <w:tabs>
          <w:tab w:val="left" w:pos="1276"/>
          <w:tab w:val="left" w:pos="1418"/>
          <w:tab w:val="left" w:leader="dot" w:pos="8222"/>
          <w:tab w:val="right" w:pos="8647"/>
        </w:tabs>
        <w:jc w:val="both"/>
        <w:rPr>
          <w:rFonts w:asciiTheme="majorHAnsi" w:hAnsiTheme="majorHAnsi"/>
        </w:rPr>
      </w:pPr>
    </w:p>
    <w:tbl>
      <w:tblPr>
        <w:tblW w:w="5000" w:type="pct"/>
        <w:tblLook w:val="04A0" w:firstRow="1" w:lastRow="0" w:firstColumn="1" w:lastColumn="0" w:noHBand="0" w:noVBand="1"/>
      </w:tblPr>
      <w:tblGrid>
        <w:gridCol w:w="1740"/>
        <w:gridCol w:w="2831"/>
        <w:gridCol w:w="2865"/>
        <w:gridCol w:w="1629"/>
      </w:tblGrid>
      <w:tr w:rsidR="004F6619" w:rsidRPr="00582ECD" w14:paraId="0F1DC8B7" w14:textId="77777777" w:rsidTr="006B5B0F">
        <w:trPr>
          <w:trHeight w:val="602"/>
        </w:trPr>
        <w:tc>
          <w:tcPr>
            <w:tcW w:w="843" w:type="pct"/>
            <w:tcBorders>
              <w:top w:val="single" w:sz="4" w:space="0" w:color="auto"/>
              <w:left w:val="single" w:sz="4" w:space="0" w:color="auto"/>
              <w:bottom w:val="single" w:sz="4" w:space="0" w:color="auto"/>
              <w:right w:val="single" w:sz="4" w:space="0" w:color="auto"/>
            </w:tcBorders>
            <w:noWrap/>
            <w:vAlign w:val="center"/>
            <w:hideMark/>
          </w:tcPr>
          <w:p w14:paraId="4C0D1372" w14:textId="77777777" w:rsidR="004F6619" w:rsidRPr="00582ECD" w:rsidRDefault="004F6619" w:rsidP="00761E12">
            <w:pPr>
              <w:widowControl/>
              <w:autoSpaceDE/>
              <w:autoSpaceDN/>
              <w:adjustRightInd/>
              <w:rPr>
                <w:rFonts w:asciiTheme="majorHAnsi" w:hAnsiTheme="majorHAnsi"/>
                <w:i/>
                <w:iCs/>
                <w:color w:val="000000"/>
              </w:rPr>
            </w:pPr>
            <w:r w:rsidRPr="00582ECD">
              <w:rPr>
                <w:rFonts w:asciiTheme="majorHAnsi" w:hAnsiTheme="majorHAnsi"/>
                <w:i/>
                <w:color w:val="000000"/>
              </w:rPr>
              <w:t>Requin-taupe bleu</w:t>
            </w:r>
          </w:p>
        </w:tc>
        <w:tc>
          <w:tcPr>
            <w:tcW w:w="1600" w:type="pct"/>
            <w:tcBorders>
              <w:top w:val="single" w:sz="4" w:space="0" w:color="auto"/>
              <w:left w:val="nil"/>
              <w:bottom w:val="single" w:sz="4" w:space="0" w:color="auto"/>
              <w:right w:val="single" w:sz="4" w:space="0" w:color="auto"/>
            </w:tcBorders>
            <w:vAlign w:val="center"/>
            <w:hideMark/>
          </w:tcPr>
          <w:p w14:paraId="2CAFCC97" w14:textId="03A8D9D7" w:rsidR="004F6619" w:rsidRPr="00582ECD" w:rsidRDefault="004F6619" w:rsidP="00761E12">
            <w:pPr>
              <w:widowControl/>
              <w:autoSpaceDE/>
              <w:autoSpaceDN/>
              <w:adjustRightInd/>
              <w:jc w:val="center"/>
              <w:rPr>
                <w:rFonts w:asciiTheme="majorHAnsi" w:hAnsiTheme="majorHAnsi" w:cs="Calibri"/>
                <w:i/>
                <w:iCs/>
                <w:color w:val="000000"/>
              </w:rPr>
            </w:pPr>
            <w:r w:rsidRPr="00582ECD">
              <w:rPr>
                <w:rFonts w:asciiTheme="majorHAnsi" w:hAnsiTheme="majorHAnsi"/>
                <w:i/>
                <w:color w:val="000000"/>
              </w:rPr>
              <w:t>Mortalité par pêche totale de 2025 (t)</w:t>
            </w:r>
          </w:p>
        </w:tc>
        <w:tc>
          <w:tcPr>
            <w:tcW w:w="1619" w:type="pct"/>
            <w:tcBorders>
              <w:top w:val="single" w:sz="4" w:space="0" w:color="auto"/>
              <w:left w:val="nil"/>
              <w:bottom w:val="single" w:sz="4" w:space="0" w:color="auto"/>
              <w:right w:val="single" w:sz="4" w:space="0" w:color="auto"/>
            </w:tcBorders>
            <w:vAlign w:val="center"/>
            <w:hideMark/>
          </w:tcPr>
          <w:p w14:paraId="76B2B122" w14:textId="7FB9C958" w:rsidR="00CA431D" w:rsidRPr="00582ECD" w:rsidRDefault="004F6619" w:rsidP="00761E12">
            <w:pPr>
              <w:widowControl/>
              <w:autoSpaceDE/>
              <w:autoSpaceDN/>
              <w:adjustRightInd/>
              <w:jc w:val="center"/>
              <w:rPr>
                <w:rFonts w:asciiTheme="majorHAnsi" w:hAnsiTheme="majorHAnsi" w:cs="Calibri"/>
                <w:i/>
                <w:iCs/>
                <w:color w:val="000000"/>
              </w:rPr>
            </w:pPr>
            <w:r w:rsidRPr="00582ECD">
              <w:rPr>
                <w:rFonts w:asciiTheme="majorHAnsi" w:hAnsiTheme="majorHAnsi"/>
                <w:i/>
                <w:color w:val="000000"/>
              </w:rPr>
              <w:t xml:space="preserve">Captures totales de 2025 </w:t>
            </w:r>
          </w:p>
          <w:p w14:paraId="6F487DF7" w14:textId="62B5E22D" w:rsidR="004F6619" w:rsidRPr="00582ECD" w:rsidRDefault="004F6619" w:rsidP="00761E12">
            <w:pPr>
              <w:widowControl/>
              <w:autoSpaceDE/>
              <w:autoSpaceDN/>
              <w:adjustRightInd/>
              <w:jc w:val="center"/>
              <w:rPr>
                <w:rFonts w:asciiTheme="majorHAnsi" w:hAnsiTheme="majorHAnsi" w:cs="Calibri"/>
                <w:i/>
                <w:iCs/>
                <w:color w:val="000000"/>
              </w:rPr>
            </w:pPr>
            <w:r w:rsidRPr="00582ECD">
              <w:rPr>
                <w:rFonts w:asciiTheme="majorHAnsi" w:hAnsiTheme="majorHAnsi"/>
                <w:i/>
                <w:color w:val="000000"/>
              </w:rPr>
              <w:t>déclarées mensuellement (t)</w:t>
            </w:r>
          </w:p>
        </w:tc>
        <w:tc>
          <w:tcPr>
            <w:tcW w:w="937" w:type="pct"/>
            <w:tcBorders>
              <w:top w:val="single" w:sz="4" w:space="0" w:color="auto"/>
              <w:left w:val="nil"/>
              <w:bottom w:val="single" w:sz="4" w:space="0" w:color="auto"/>
              <w:right w:val="single" w:sz="4" w:space="0" w:color="auto"/>
            </w:tcBorders>
            <w:vAlign w:val="center"/>
            <w:hideMark/>
          </w:tcPr>
          <w:p w14:paraId="4B156703" w14:textId="156E422B" w:rsidR="004F6619" w:rsidRPr="00582ECD" w:rsidRDefault="004F6619" w:rsidP="00761E12">
            <w:pPr>
              <w:widowControl/>
              <w:autoSpaceDE/>
              <w:autoSpaceDN/>
              <w:adjustRightInd/>
              <w:jc w:val="center"/>
              <w:rPr>
                <w:rFonts w:asciiTheme="majorHAnsi" w:hAnsiTheme="majorHAnsi" w:cs="Calibri"/>
                <w:i/>
                <w:iCs/>
                <w:color w:val="000000"/>
              </w:rPr>
            </w:pPr>
            <w:r w:rsidRPr="00582ECD">
              <w:rPr>
                <w:rFonts w:asciiTheme="majorHAnsi" w:hAnsiTheme="majorHAnsi"/>
                <w:i/>
                <w:color w:val="000000"/>
              </w:rPr>
              <w:t>Tâche 1 de 2025 (t)</w:t>
            </w:r>
          </w:p>
        </w:tc>
      </w:tr>
      <w:tr w:rsidR="004F6619" w:rsidRPr="00582ECD" w14:paraId="7A30A662" w14:textId="77777777" w:rsidTr="006B5B0F">
        <w:trPr>
          <w:trHeight w:val="300"/>
        </w:trPr>
        <w:tc>
          <w:tcPr>
            <w:tcW w:w="843" w:type="pct"/>
            <w:tcBorders>
              <w:top w:val="nil"/>
              <w:left w:val="single" w:sz="4" w:space="0" w:color="auto"/>
              <w:bottom w:val="single" w:sz="4" w:space="0" w:color="auto"/>
              <w:right w:val="single" w:sz="4" w:space="0" w:color="auto"/>
            </w:tcBorders>
            <w:noWrap/>
            <w:vAlign w:val="center"/>
            <w:hideMark/>
          </w:tcPr>
          <w:p w14:paraId="04A9DA2B" w14:textId="77777777" w:rsidR="004F6619" w:rsidRPr="00582ECD" w:rsidRDefault="004F6619" w:rsidP="00761E12">
            <w:pPr>
              <w:widowControl/>
              <w:autoSpaceDE/>
              <w:autoSpaceDN/>
              <w:adjustRightInd/>
              <w:jc w:val="center"/>
              <w:rPr>
                <w:rFonts w:asciiTheme="majorHAnsi" w:hAnsiTheme="majorHAnsi"/>
                <w:color w:val="000000"/>
              </w:rPr>
            </w:pPr>
            <w:r w:rsidRPr="00582ECD">
              <w:rPr>
                <w:rFonts w:asciiTheme="majorHAnsi" w:hAnsiTheme="majorHAnsi"/>
                <w:color w:val="000000"/>
              </w:rPr>
              <w:t>ATN</w:t>
            </w:r>
          </w:p>
        </w:tc>
        <w:tc>
          <w:tcPr>
            <w:tcW w:w="1600" w:type="pct"/>
            <w:tcBorders>
              <w:top w:val="nil"/>
              <w:left w:val="nil"/>
              <w:bottom w:val="single" w:sz="4" w:space="0" w:color="auto"/>
              <w:right w:val="single" w:sz="4" w:space="0" w:color="auto"/>
            </w:tcBorders>
            <w:vAlign w:val="center"/>
            <w:hideMark/>
          </w:tcPr>
          <w:p w14:paraId="03235441" w14:textId="77777777" w:rsidR="004F6619" w:rsidRPr="00582ECD" w:rsidRDefault="004F6619" w:rsidP="00761E12">
            <w:pPr>
              <w:widowControl/>
              <w:autoSpaceDE/>
              <w:autoSpaceDN/>
              <w:adjustRightInd/>
              <w:jc w:val="center"/>
              <w:rPr>
                <w:rFonts w:asciiTheme="majorHAnsi" w:hAnsiTheme="majorHAnsi"/>
                <w:color w:val="000000"/>
              </w:rPr>
            </w:pPr>
            <w:r w:rsidRPr="00582ECD">
              <w:rPr>
                <w:rFonts w:asciiTheme="majorHAnsi" w:hAnsiTheme="majorHAnsi"/>
                <w:color w:val="000000"/>
              </w:rPr>
              <w:t>250</w:t>
            </w:r>
          </w:p>
        </w:tc>
        <w:tc>
          <w:tcPr>
            <w:tcW w:w="1619" w:type="pct"/>
            <w:tcBorders>
              <w:top w:val="nil"/>
              <w:left w:val="nil"/>
              <w:bottom w:val="single" w:sz="4" w:space="0" w:color="auto"/>
              <w:right w:val="single" w:sz="4" w:space="0" w:color="auto"/>
            </w:tcBorders>
            <w:vAlign w:val="center"/>
            <w:hideMark/>
          </w:tcPr>
          <w:p w14:paraId="7D63F0AA" w14:textId="6976366F" w:rsidR="004F6619" w:rsidRPr="00582ECD" w:rsidRDefault="004F6619" w:rsidP="00761E12">
            <w:pPr>
              <w:widowControl/>
              <w:autoSpaceDE/>
              <w:autoSpaceDN/>
              <w:adjustRightInd/>
              <w:jc w:val="center"/>
              <w:rPr>
                <w:rFonts w:asciiTheme="majorHAnsi" w:hAnsiTheme="majorHAnsi"/>
                <w:color w:val="000000"/>
              </w:rPr>
            </w:pPr>
            <w:r w:rsidRPr="00582ECD">
              <w:rPr>
                <w:rFonts w:asciiTheme="majorHAnsi" w:hAnsiTheme="majorHAnsi"/>
                <w:color w:val="000000"/>
              </w:rPr>
              <w:t>0</w:t>
            </w:r>
          </w:p>
        </w:tc>
        <w:tc>
          <w:tcPr>
            <w:tcW w:w="937" w:type="pct"/>
            <w:tcBorders>
              <w:top w:val="nil"/>
              <w:left w:val="nil"/>
              <w:bottom w:val="single" w:sz="4" w:space="0" w:color="auto"/>
              <w:right w:val="single" w:sz="4" w:space="0" w:color="auto"/>
            </w:tcBorders>
            <w:vAlign w:val="center"/>
            <w:hideMark/>
          </w:tcPr>
          <w:p w14:paraId="7E14ACA8" w14:textId="77132733" w:rsidR="004F6619" w:rsidRPr="00582ECD" w:rsidRDefault="00B571DF" w:rsidP="00761E12">
            <w:pPr>
              <w:widowControl/>
              <w:autoSpaceDE/>
              <w:autoSpaceDN/>
              <w:adjustRightInd/>
              <w:jc w:val="center"/>
              <w:rPr>
                <w:rFonts w:asciiTheme="majorHAnsi" w:hAnsiTheme="majorHAnsi"/>
                <w:color w:val="000000"/>
              </w:rPr>
            </w:pPr>
            <w:r w:rsidRPr="00582ECD">
              <w:rPr>
                <w:rFonts w:asciiTheme="majorHAnsi" w:hAnsiTheme="majorHAnsi"/>
              </w:rPr>
              <w:t>631</w:t>
            </w:r>
          </w:p>
        </w:tc>
      </w:tr>
    </w:tbl>
    <w:p w14:paraId="376BF975" w14:textId="77777777" w:rsidR="004F6619" w:rsidRPr="00582ECD" w:rsidRDefault="004F6619" w:rsidP="004F6619">
      <w:pPr>
        <w:tabs>
          <w:tab w:val="left" w:pos="1276"/>
          <w:tab w:val="left" w:pos="1418"/>
          <w:tab w:val="left" w:leader="dot" w:pos="8222"/>
          <w:tab w:val="right" w:pos="8647"/>
        </w:tabs>
        <w:rPr>
          <w:rFonts w:asciiTheme="majorHAnsi" w:hAnsiTheme="majorHAnsi"/>
          <w:bCs/>
          <w:lang w:val="en-GB"/>
        </w:rPr>
      </w:pPr>
    </w:p>
    <w:p w14:paraId="06475150" w14:textId="77777777" w:rsidR="0099195F" w:rsidRDefault="0099195F">
      <w:pPr>
        <w:widowControl/>
        <w:autoSpaceDE/>
        <w:autoSpaceDN/>
        <w:adjustRightInd/>
        <w:rPr>
          <w:rFonts w:asciiTheme="majorHAnsi" w:hAnsiTheme="majorHAnsi"/>
          <w:color w:val="000000" w:themeColor="text1"/>
        </w:rPr>
      </w:pPr>
      <w:r>
        <w:rPr>
          <w:rFonts w:asciiTheme="majorHAnsi" w:hAnsiTheme="majorHAnsi"/>
          <w:color w:val="000000" w:themeColor="text1"/>
        </w:rPr>
        <w:br w:type="page"/>
      </w:r>
    </w:p>
    <w:p w14:paraId="444DE115" w14:textId="167AF64B" w:rsidR="004F6619" w:rsidRPr="00582ECD" w:rsidRDefault="00AA0D0C" w:rsidP="004F6619">
      <w:pPr>
        <w:jc w:val="both"/>
        <w:rPr>
          <w:rFonts w:asciiTheme="majorHAnsi" w:hAnsiTheme="majorHAnsi"/>
          <w:color w:val="000000" w:themeColor="text1"/>
        </w:rPr>
      </w:pPr>
      <w:r w:rsidRPr="00582ECD">
        <w:rPr>
          <w:rFonts w:asciiTheme="majorHAnsi" w:hAnsiTheme="majorHAnsi"/>
          <w:color w:val="000000" w:themeColor="text1"/>
        </w:rPr>
        <w:lastRenderedPageBreak/>
        <w:t xml:space="preserve">Veuillez noter que les rejets vivants (DL) sont exclus et que les données de la tâche 1 de ST02 excluent les reports. Les obligations en matière de déclaration de la tâche 1 sont examinées en vertu de la Rec. 11-15. La Recommandation impose aux CPC, à partir de 2020, de fournir dans leur rapport annuel des informations sur la manière dont cette Recommandation est mise en œuvre.  Ces rapports sont inclus dans les feuilles de contrôle de la mise en œuvre des mesures s’appliquant aux requins (cf. Rec. 18-06 ci-dessous). </w:t>
      </w:r>
    </w:p>
    <w:p w14:paraId="58975E11" w14:textId="77777777" w:rsidR="00B571DF" w:rsidRPr="00582ECD" w:rsidRDefault="00B571DF" w:rsidP="004F6619">
      <w:pPr>
        <w:jc w:val="both"/>
        <w:rPr>
          <w:rFonts w:asciiTheme="majorHAnsi" w:hAnsiTheme="majorHAnsi"/>
          <w:color w:val="000000" w:themeColor="text1"/>
        </w:rPr>
      </w:pPr>
    </w:p>
    <w:p w14:paraId="1B5BDEEC" w14:textId="2077CF59" w:rsidR="00607A6D" w:rsidRPr="00582ECD" w:rsidRDefault="00F8728F" w:rsidP="004E41C9">
      <w:pPr>
        <w:tabs>
          <w:tab w:val="left" w:pos="709"/>
          <w:tab w:val="left" w:pos="1276"/>
          <w:tab w:val="left" w:pos="1418"/>
          <w:tab w:val="left" w:leader="dot" w:pos="8222"/>
          <w:tab w:val="right" w:pos="8647"/>
        </w:tabs>
        <w:jc w:val="both"/>
        <w:rPr>
          <w:rFonts w:asciiTheme="majorHAnsi" w:hAnsiTheme="majorHAnsi"/>
        </w:rPr>
      </w:pPr>
      <w:r w:rsidRPr="00582ECD">
        <w:rPr>
          <w:rFonts w:asciiTheme="majorHAnsi" w:hAnsiTheme="majorHAnsi"/>
          <w:i/>
          <w:iCs/>
        </w:rPr>
        <w:t>Rec</w:t>
      </w:r>
      <w:r w:rsidRPr="00582ECD">
        <w:rPr>
          <w:rFonts w:asciiTheme="majorHAnsi" w:hAnsiTheme="majorHAnsi"/>
        </w:rPr>
        <w:t xml:space="preserve">. </w:t>
      </w:r>
      <w:r w:rsidRPr="00582ECD">
        <w:rPr>
          <w:rFonts w:asciiTheme="majorHAnsi" w:hAnsiTheme="majorHAnsi"/>
          <w:i/>
        </w:rPr>
        <w:t xml:space="preserve">22-11 : </w:t>
      </w:r>
      <w:hyperlink r:id="rId28" w:tgtFrame="_blank" w:history="1">
        <w:r w:rsidRPr="00582ECD">
          <w:rPr>
            <w:rFonts w:asciiTheme="majorHAnsi" w:hAnsiTheme="majorHAnsi"/>
            <w:i/>
          </w:rPr>
          <w:t>Recommandation de l’ICCAT sur la conservation du stock de requin-taupe bleu de l'Atlantique Sud capturé en association avec les pêcheries de l’ICCAT</w:t>
        </w:r>
      </w:hyperlink>
    </w:p>
    <w:p w14:paraId="5E308736" w14:textId="77777777" w:rsidR="00607A6D" w:rsidRPr="00582ECD" w:rsidRDefault="00607A6D" w:rsidP="004E41C9">
      <w:pPr>
        <w:tabs>
          <w:tab w:val="left" w:pos="709"/>
          <w:tab w:val="left" w:pos="1276"/>
          <w:tab w:val="left" w:pos="1418"/>
          <w:tab w:val="left" w:leader="dot" w:pos="8222"/>
          <w:tab w:val="right" w:pos="8647"/>
        </w:tabs>
        <w:jc w:val="both"/>
        <w:rPr>
          <w:rFonts w:asciiTheme="majorHAnsi" w:hAnsiTheme="majorHAnsi"/>
        </w:rPr>
      </w:pPr>
    </w:p>
    <w:p w14:paraId="107EA6F9" w14:textId="01771967" w:rsidR="00607A6D" w:rsidRDefault="0099195F" w:rsidP="00607A6D">
      <w:pPr>
        <w:tabs>
          <w:tab w:val="left" w:pos="1276"/>
          <w:tab w:val="left" w:pos="1418"/>
          <w:tab w:val="left" w:leader="dot" w:pos="8222"/>
          <w:tab w:val="right" w:pos="8647"/>
        </w:tabs>
        <w:jc w:val="both"/>
        <w:rPr>
          <w:rFonts w:asciiTheme="majorHAnsi" w:hAnsiTheme="majorHAnsi"/>
          <w:i/>
          <w:iCs/>
        </w:rPr>
      </w:pPr>
      <w:r>
        <w:rPr>
          <w:rFonts w:asciiTheme="majorHAnsi" w:hAnsiTheme="majorHAnsi"/>
        </w:rPr>
        <w:t xml:space="preserve">remplacée par la </w:t>
      </w:r>
      <w:r w:rsidR="00607A6D" w:rsidRPr="00582ECD">
        <w:rPr>
          <w:rFonts w:asciiTheme="majorHAnsi" w:hAnsiTheme="majorHAnsi"/>
        </w:rPr>
        <w:t>Rec. 25-08 :</w:t>
      </w:r>
      <w:r w:rsidR="00607A6D" w:rsidRPr="00582ECD">
        <w:rPr>
          <w:rFonts w:asciiTheme="majorHAnsi" w:hAnsiTheme="majorHAnsi"/>
          <w:i/>
          <w:iCs/>
        </w:rPr>
        <w:t xml:space="preserve"> Recommandation de l’ICCAT remplaçant la Recommandation 22-11 sur la conservation du stock de requin-taupe bleu de l'Atlantique Sud capturé en association avec les pêcheries de l’ICCAT</w:t>
      </w:r>
    </w:p>
    <w:p w14:paraId="1E74365C" w14:textId="77777777" w:rsidR="0099195F" w:rsidRPr="00582ECD" w:rsidRDefault="0099195F" w:rsidP="00607A6D">
      <w:pPr>
        <w:tabs>
          <w:tab w:val="left" w:pos="1276"/>
          <w:tab w:val="left" w:pos="1418"/>
          <w:tab w:val="left" w:leader="dot" w:pos="8222"/>
          <w:tab w:val="right" w:pos="8647"/>
        </w:tabs>
        <w:jc w:val="both"/>
        <w:rPr>
          <w:rFonts w:asciiTheme="majorHAnsi" w:hAnsiTheme="majorHAnsi"/>
          <w:bCs/>
        </w:rPr>
      </w:pPr>
    </w:p>
    <w:p w14:paraId="5B39881B" w14:textId="1F7C58BE" w:rsidR="00E46C95" w:rsidRPr="00582ECD" w:rsidRDefault="00914DFF" w:rsidP="006A2402">
      <w:pPr>
        <w:jc w:val="both"/>
        <w:rPr>
          <w:rFonts w:asciiTheme="majorHAnsi" w:hAnsiTheme="majorHAnsi"/>
          <w:bCs/>
        </w:rPr>
      </w:pPr>
      <w:r w:rsidRPr="00582ECD">
        <w:rPr>
          <w:rFonts w:asciiTheme="majorHAnsi" w:hAnsiTheme="majorHAnsi"/>
        </w:rPr>
        <w:t>Une tolérance de rétention totale de 1.295 t pour le requin-taupe bleu de l'Atlantique Sud a été établie pour 2023 et 2024. L'objectif était que cette tolérance de rétention, combinée à la somme de la mortalité après remise à l'eau et des rejets morts estimés, donnerait lieu à une mortalité totale inférieure à celle recommandée dans l'avis du SCRS. La Commission a réexaminé cette mesure lors de la 29e réunion ordinaire de l’ICCAT et a fixé un objectif de mortalité maximale de 1.000 t, ainsi qu’une tolérance de rétention pour différentes CPC pour l’année 2026. Pour les années à venir, le SCRS calculera les nouveaux niveaux de rétention, y compris les allocations individuelles des CPC, et communiquera les résultats à la Commission.</w:t>
      </w:r>
    </w:p>
    <w:p w14:paraId="20524707" w14:textId="77777777" w:rsidR="006A2402" w:rsidRPr="00CF3B78" w:rsidRDefault="006A2402" w:rsidP="006A2402">
      <w:pPr>
        <w:jc w:val="both"/>
        <w:rPr>
          <w:rFonts w:asciiTheme="majorHAnsi" w:hAnsiTheme="majorHAnsi"/>
          <w:bCs/>
          <w:sz w:val="8"/>
          <w:szCs w:val="8"/>
        </w:rPr>
      </w:pPr>
    </w:p>
    <w:p w14:paraId="3CECA133" w14:textId="5205F331" w:rsidR="004E41C9" w:rsidRPr="00582ECD" w:rsidRDefault="004E41C9" w:rsidP="004E41C9">
      <w:pPr>
        <w:tabs>
          <w:tab w:val="left" w:pos="1276"/>
          <w:tab w:val="left" w:pos="1418"/>
          <w:tab w:val="left" w:leader="dot" w:pos="8222"/>
          <w:tab w:val="right" w:pos="8647"/>
        </w:tabs>
        <w:jc w:val="both"/>
        <w:rPr>
          <w:rFonts w:asciiTheme="majorHAnsi" w:hAnsiTheme="majorHAnsi"/>
        </w:rPr>
      </w:pPr>
      <w:r w:rsidRPr="00582ECD">
        <w:rPr>
          <w:rFonts w:asciiTheme="majorHAnsi" w:hAnsiTheme="majorHAnsi"/>
          <w:b/>
          <w:i/>
        </w:rPr>
        <w:t xml:space="preserve">Rapports mensuels : </w:t>
      </w:r>
      <w:r w:rsidRPr="00582ECD">
        <w:rPr>
          <w:rFonts w:asciiTheme="majorHAnsi" w:hAnsiTheme="majorHAnsi"/>
        </w:rPr>
        <w:t xml:space="preserve">Le montant total des rapports mensuels reçus des CPC pour 2025 est indiqué ci-dessous, ainsi que les totaux de la tâche 1, d'où il ressort que le stock n’a pas fait l’objet d’une surconsommation en 2025. Il existe une différence substantielle entre la quantité déclarée mensuellement et celle de la tâche 1 étant donné que seules cinq CPC ont soumis ces rapports mensuels en 2025. </w:t>
      </w:r>
    </w:p>
    <w:p w14:paraId="5CF0EC14" w14:textId="77777777" w:rsidR="004E41C9" w:rsidRPr="00582ECD" w:rsidRDefault="004E41C9" w:rsidP="004E41C9">
      <w:pPr>
        <w:tabs>
          <w:tab w:val="left" w:pos="1276"/>
          <w:tab w:val="left" w:pos="1418"/>
          <w:tab w:val="left" w:leader="dot" w:pos="8222"/>
          <w:tab w:val="right" w:pos="8647"/>
        </w:tabs>
        <w:jc w:val="both"/>
        <w:rPr>
          <w:rFonts w:asciiTheme="majorHAnsi" w:hAnsiTheme="majorHAnsi"/>
        </w:rPr>
      </w:pPr>
    </w:p>
    <w:tbl>
      <w:tblPr>
        <w:tblW w:w="5000" w:type="pct"/>
        <w:tblLook w:val="04A0" w:firstRow="1" w:lastRow="0" w:firstColumn="1" w:lastColumn="0" w:noHBand="0" w:noVBand="1"/>
      </w:tblPr>
      <w:tblGrid>
        <w:gridCol w:w="1740"/>
        <w:gridCol w:w="2790"/>
        <w:gridCol w:w="2906"/>
        <w:gridCol w:w="1629"/>
      </w:tblGrid>
      <w:tr w:rsidR="004E41C9" w:rsidRPr="00582ECD" w14:paraId="6774621D" w14:textId="77777777" w:rsidTr="00620BD8">
        <w:trPr>
          <w:trHeight w:val="602"/>
        </w:trPr>
        <w:tc>
          <w:tcPr>
            <w:tcW w:w="843" w:type="pct"/>
            <w:tcBorders>
              <w:top w:val="single" w:sz="4" w:space="0" w:color="auto"/>
              <w:left w:val="single" w:sz="4" w:space="0" w:color="auto"/>
              <w:bottom w:val="single" w:sz="4" w:space="0" w:color="auto"/>
              <w:right w:val="single" w:sz="4" w:space="0" w:color="auto"/>
            </w:tcBorders>
            <w:noWrap/>
            <w:vAlign w:val="center"/>
            <w:hideMark/>
          </w:tcPr>
          <w:p w14:paraId="219DB134" w14:textId="77777777" w:rsidR="004E41C9" w:rsidRPr="00582ECD" w:rsidRDefault="004E41C9" w:rsidP="000C1506">
            <w:pPr>
              <w:widowControl/>
              <w:autoSpaceDE/>
              <w:autoSpaceDN/>
              <w:adjustRightInd/>
              <w:rPr>
                <w:rFonts w:asciiTheme="majorHAnsi" w:hAnsiTheme="majorHAnsi"/>
                <w:i/>
                <w:iCs/>
                <w:color w:val="000000"/>
              </w:rPr>
            </w:pPr>
            <w:r w:rsidRPr="00582ECD">
              <w:rPr>
                <w:rFonts w:asciiTheme="majorHAnsi" w:hAnsiTheme="majorHAnsi"/>
                <w:i/>
                <w:color w:val="000000"/>
              </w:rPr>
              <w:t>Requin-taupe bleu</w:t>
            </w:r>
          </w:p>
        </w:tc>
        <w:tc>
          <w:tcPr>
            <w:tcW w:w="1578" w:type="pct"/>
            <w:tcBorders>
              <w:top w:val="single" w:sz="4" w:space="0" w:color="auto"/>
              <w:left w:val="nil"/>
              <w:bottom w:val="single" w:sz="4" w:space="0" w:color="auto"/>
              <w:right w:val="single" w:sz="4" w:space="0" w:color="auto"/>
            </w:tcBorders>
            <w:vAlign w:val="center"/>
            <w:hideMark/>
          </w:tcPr>
          <w:p w14:paraId="29C64930" w14:textId="1DD277A5" w:rsidR="00620BD8" w:rsidRPr="00582ECD" w:rsidRDefault="00620BD8" w:rsidP="000C1506">
            <w:pPr>
              <w:widowControl/>
              <w:autoSpaceDE/>
              <w:autoSpaceDN/>
              <w:adjustRightInd/>
              <w:jc w:val="center"/>
              <w:rPr>
                <w:rFonts w:asciiTheme="majorHAnsi" w:hAnsiTheme="majorHAnsi" w:cs="Calibri"/>
                <w:i/>
                <w:iCs/>
                <w:color w:val="000000"/>
              </w:rPr>
            </w:pPr>
            <w:r w:rsidRPr="00582ECD">
              <w:rPr>
                <w:rFonts w:asciiTheme="majorHAnsi" w:hAnsiTheme="majorHAnsi"/>
                <w:i/>
                <w:color w:val="000000"/>
              </w:rPr>
              <w:t>Total 2025</w:t>
            </w:r>
          </w:p>
          <w:p w14:paraId="39A3EDFC" w14:textId="79F792C3" w:rsidR="004E41C9" w:rsidRPr="00582ECD" w:rsidRDefault="00E46C95" w:rsidP="000C1506">
            <w:pPr>
              <w:widowControl/>
              <w:autoSpaceDE/>
              <w:autoSpaceDN/>
              <w:adjustRightInd/>
              <w:jc w:val="center"/>
              <w:rPr>
                <w:rFonts w:asciiTheme="majorHAnsi" w:hAnsiTheme="majorHAnsi" w:cs="Calibri"/>
                <w:i/>
                <w:iCs/>
                <w:color w:val="000000"/>
              </w:rPr>
            </w:pPr>
            <w:r w:rsidRPr="00582ECD">
              <w:rPr>
                <w:rFonts w:asciiTheme="majorHAnsi" w:hAnsiTheme="majorHAnsi"/>
                <w:i/>
                <w:color w:val="000000"/>
              </w:rPr>
              <w:t>tolérance de rétention (t)</w:t>
            </w:r>
          </w:p>
        </w:tc>
        <w:tc>
          <w:tcPr>
            <w:tcW w:w="1642" w:type="pct"/>
            <w:tcBorders>
              <w:top w:val="single" w:sz="4" w:space="0" w:color="auto"/>
              <w:left w:val="nil"/>
              <w:bottom w:val="single" w:sz="4" w:space="0" w:color="auto"/>
              <w:right w:val="single" w:sz="4" w:space="0" w:color="auto"/>
            </w:tcBorders>
            <w:vAlign w:val="center"/>
            <w:hideMark/>
          </w:tcPr>
          <w:p w14:paraId="3243D3B3" w14:textId="2E44AEB6" w:rsidR="00CA431D" w:rsidRPr="00582ECD" w:rsidRDefault="004E41C9" w:rsidP="00CA431D">
            <w:pPr>
              <w:widowControl/>
              <w:autoSpaceDE/>
              <w:autoSpaceDN/>
              <w:adjustRightInd/>
              <w:jc w:val="center"/>
              <w:rPr>
                <w:rFonts w:asciiTheme="majorHAnsi" w:hAnsiTheme="majorHAnsi" w:cs="Calibri"/>
                <w:i/>
                <w:iCs/>
                <w:color w:val="000000"/>
              </w:rPr>
            </w:pPr>
            <w:r w:rsidRPr="00582ECD">
              <w:rPr>
                <w:rFonts w:asciiTheme="majorHAnsi" w:hAnsiTheme="majorHAnsi"/>
                <w:i/>
                <w:color w:val="000000"/>
              </w:rPr>
              <w:t xml:space="preserve">Captures totales de 2025 </w:t>
            </w:r>
          </w:p>
          <w:p w14:paraId="60EDAB12" w14:textId="4FA61A17" w:rsidR="004E41C9" w:rsidRPr="00582ECD" w:rsidRDefault="004E41C9" w:rsidP="00CA431D">
            <w:pPr>
              <w:widowControl/>
              <w:autoSpaceDE/>
              <w:autoSpaceDN/>
              <w:adjustRightInd/>
              <w:jc w:val="center"/>
              <w:rPr>
                <w:rFonts w:asciiTheme="majorHAnsi" w:hAnsiTheme="majorHAnsi" w:cs="Calibri"/>
                <w:i/>
                <w:iCs/>
                <w:color w:val="000000"/>
              </w:rPr>
            </w:pPr>
            <w:r w:rsidRPr="00582ECD">
              <w:rPr>
                <w:rFonts w:asciiTheme="majorHAnsi" w:hAnsiTheme="majorHAnsi"/>
                <w:i/>
                <w:color w:val="000000"/>
              </w:rPr>
              <w:t>déclarées mensuellement (t)</w:t>
            </w:r>
          </w:p>
        </w:tc>
        <w:tc>
          <w:tcPr>
            <w:tcW w:w="937" w:type="pct"/>
            <w:tcBorders>
              <w:top w:val="single" w:sz="4" w:space="0" w:color="auto"/>
              <w:left w:val="nil"/>
              <w:bottom w:val="single" w:sz="4" w:space="0" w:color="auto"/>
              <w:right w:val="single" w:sz="4" w:space="0" w:color="auto"/>
            </w:tcBorders>
            <w:vAlign w:val="center"/>
            <w:hideMark/>
          </w:tcPr>
          <w:p w14:paraId="18C8B92B" w14:textId="1BEF57AF" w:rsidR="004E41C9" w:rsidRPr="00582ECD" w:rsidRDefault="004E41C9" w:rsidP="000C1506">
            <w:pPr>
              <w:widowControl/>
              <w:autoSpaceDE/>
              <w:autoSpaceDN/>
              <w:adjustRightInd/>
              <w:jc w:val="center"/>
              <w:rPr>
                <w:rFonts w:asciiTheme="majorHAnsi" w:hAnsiTheme="majorHAnsi" w:cs="Calibri"/>
                <w:i/>
                <w:iCs/>
                <w:color w:val="000000"/>
              </w:rPr>
            </w:pPr>
            <w:r w:rsidRPr="00582ECD">
              <w:rPr>
                <w:rFonts w:asciiTheme="majorHAnsi" w:hAnsiTheme="majorHAnsi"/>
                <w:i/>
                <w:color w:val="000000"/>
              </w:rPr>
              <w:t>Tâche 1 de 2025 (t)</w:t>
            </w:r>
          </w:p>
        </w:tc>
      </w:tr>
      <w:tr w:rsidR="004E41C9" w:rsidRPr="00582ECD" w14:paraId="6EF9B123" w14:textId="77777777" w:rsidTr="00620BD8">
        <w:trPr>
          <w:trHeight w:val="300"/>
        </w:trPr>
        <w:tc>
          <w:tcPr>
            <w:tcW w:w="843" w:type="pct"/>
            <w:tcBorders>
              <w:top w:val="nil"/>
              <w:left w:val="single" w:sz="4" w:space="0" w:color="auto"/>
              <w:bottom w:val="single" w:sz="4" w:space="0" w:color="auto"/>
              <w:right w:val="single" w:sz="4" w:space="0" w:color="auto"/>
            </w:tcBorders>
            <w:noWrap/>
            <w:vAlign w:val="center"/>
            <w:hideMark/>
          </w:tcPr>
          <w:p w14:paraId="76E4D4EA" w14:textId="78667708" w:rsidR="004E41C9" w:rsidRPr="00582ECD" w:rsidRDefault="004E41C9" w:rsidP="000C1506">
            <w:pPr>
              <w:widowControl/>
              <w:autoSpaceDE/>
              <w:autoSpaceDN/>
              <w:adjustRightInd/>
              <w:jc w:val="center"/>
              <w:rPr>
                <w:rFonts w:asciiTheme="majorHAnsi" w:hAnsiTheme="majorHAnsi"/>
                <w:color w:val="000000"/>
              </w:rPr>
            </w:pPr>
            <w:r w:rsidRPr="00582ECD">
              <w:rPr>
                <w:rFonts w:asciiTheme="majorHAnsi" w:hAnsiTheme="majorHAnsi"/>
                <w:color w:val="000000"/>
              </w:rPr>
              <w:t>ATS</w:t>
            </w:r>
          </w:p>
        </w:tc>
        <w:tc>
          <w:tcPr>
            <w:tcW w:w="1578" w:type="pct"/>
            <w:tcBorders>
              <w:top w:val="nil"/>
              <w:left w:val="nil"/>
              <w:bottom w:val="single" w:sz="4" w:space="0" w:color="auto"/>
              <w:right w:val="single" w:sz="4" w:space="0" w:color="auto"/>
            </w:tcBorders>
            <w:vAlign w:val="center"/>
            <w:hideMark/>
          </w:tcPr>
          <w:p w14:paraId="43C901CE" w14:textId="68148727" w:rsidR="004E41C9" w:rsidRPr="00582ECD" w:rsidRDefault="00E46C95" w:rsidP="000C1506">
            <w:pPr>
              <w:widowControl/>
              <w:autoSpaceDE/>
              <w:autoSpaceDN/>
              <w:adjustRightInd/>
              <w:jc w:val="center"/>
              <w:rPr>
                <w:rFonts w:asciiTheme="majorHAnsi" w:hAnsiTheme="majorHAnsi"/>
                <w:color w:val="000000"/>
              </w:rPr>
            </w:pPr>
            <w:r w:rsidRPr="00582ECD">
              <w:rPr>
                <w:rFonts w:asciiTheme="majorHAnsi" w:hAnsiTheme="majorHAnsi"/>
                <w:color w:val="000000"/>
              </w:rPr>
              <w:t>1 295</w:t>
            </w:r>
          </w:p>
        </w:tc>
        <w:tc>
          <w:tcPr>
            <w:tcW w:w="1642" w:type="pct"/>
            <w:tcBorders>
              <w:top w:val="nil"/>
              <w:left w:val="nil"/>
              <w:bottom w:val="single" w:sz="4" w:space="0" w:color="auto"/>
              <w:right w:val="single" w:sz="4" w:space="0" w:color="auto"/>
            </w:tcBorders>
            <w:vAlign w:val="center"/>
            <w:hideMark/>
          </w:tcPr>
          <w:p w14:paraId="11570BCA" w14:textId="494F7F9C" w:rsidR="004E41C9" w:rsidRPr="00582ECD" w:rsidRDefault="00B571DF" w:rsidP="000C1506">
            <w:pPr>
              <w:widowControl/>
              <w:autoSpaceDE/>
              <w:autoSpaceDN/>
              <w:adjustRightInd/>
              <w:jc w:val="center"/>
              <w:rPr>
                <w:rFonts w:asciiTheme="majorHAnsi" w:hAnsiTheme="majorHAnsi"/>
                <w:color w:val="000000"/>
              </w:rPr>
            </w:pPr>
            <w:r w:rsidRPr="00582ECD">
              <w:rPr>
                <w:rFonts w:asciiTheme="majorHAnsi" w:hAnsiTheme="majorHAnsi"/>
                <w:color w:val="000000"/>
              </w:rPr>
              <w:t>91</w:t>
            </w:r>
          </w:p>
        </w:tc>
        <w:tc>
          <w:tcPr>
            <w:tcW w:w="937" w:type="pct"/>
            <w:tcBorders>
              <w:top w:val="nil"/>
              <w:left w:val="nil"/>
              <w:bottom w:val="single" w:sz="4" w:space="0" w:color="auto"/>
              <w:right w:val="single" w:sz="4" w:space="0" w:color="auto"/>
            </w:tcBorders>
            <w:vAlign w:val="center"/>
            <w:hideMark/>
          </w:tcPr>
          <w:p w14:paraId="536BF097" w14:textId="09DF513A" w:rsidR="004E41C9" w:rsidRPr="00582ECD" w:rsidRDefault="00B571DF" w:rsidP="000C1506">
            <w:pPr>
              <w:widowControl/>
              <w:autoSpaceDE/>
              <w:autoSpaceDN/>
              <w:adjustRightInd/>
              <w:jc w:val="center"/>
              <w:rPr>
                <w:rFonts w:asciiTheme="majorHAnsi" w:hAnsiTheme="majorHAnsi"/>
                <w:color w:val="000000"/>
              </w:rPr>
            </w:pPr>
            <w:r w:rsidRPr="00582ECD">
              <w:rPr>
                <w:rFonts w:asciiTheme="majorHAnsi" w:hAnsiTheme="majorHAnsi"/>
              </w:rPr>
              <w:t>672</w:t>
            </w:r>
          </w:p>
        </w:tc>
      </w:tr>
    </w:tbl>
    <w:p w14:paraId="7C0D7536" w14:textId="77777777" w:rsidR="004E41C9" w:rsidRPr="00CD799F" w:rsidRDefault="004E41C9" w:rsidP="004E41C9">
      <w:pPr>
        <w:tabs>
          <w:tab w:val="left" w:pos="1276"/>
          <w:tab w:val="left" w:pos="1418"/>
          <w:tab w:val="left" w:leader="dot" w:pos="8222"/>
          <w:tab w:val="right" w:pos="8647"/>
        </w:tabs>
        <w:rPr>
          <w:rFonts w:asciiTheme="majorHAnsi" w:hAnsiTheme="majorHAnsi"/>
          <w:bCs/>
          <w:sz w:val="8"/>
          <w:szCs w:val="8"/>
          <w:lang w:val="en-GB"/>
        </w:rPr>
      </w:pPr>
    </w:p>
    <w:p w14:paraId="2B568F3B" w14:textId="61CDD349" w:rsidR="004E41C9" w:rsidRPr="00582ECD" w:rsidRDefault="00AA0D0C" w:rsidP="004E41C9">
      <w:pPr>
        <w:jc w:val="both"/>
        <w:rPr>
          <w:rFonts w:asciiTheme="majorHAnsi" w:hAnsiTheme="majorHAnsi"/>
          <w:color w:val="000000" w:themeColor="text1"/>
        </w:rPr>
      </w:pPr>
      <w:r w:rsidRPr="00582ECD">
        <w:rPr>
          <w:rFonts w:asciiTheme="majorHAnsi" w:hAnsiTheme="majorHAnsi"/>
          <w:color w:val="000000" w:themeColor="text1"/>
        </w:rPr>
        <w:t xml:space="preserve">Veuillez noter que les rejets vivants (DL) sont exclus et que les données de la tâche 1 de ST02 excluent les reports. Les obligations en matière de déclaration de la tâche 1 sont examinées en vertu de la Rec. 11-15. La Recommandation impose aux CPC, à partir de 2020, de fournir dans leur rapport annuel des informations sur la manière dont cette Recommandation est mise en œuvre.  Ces rapports sont inclus dans les feuilles de contrôle de la mise en œuvre des mesures s’appliquant aux requins (cf. Rec. 18-06 ci-dessous). </w:t>
      </w:r>
    </w:p>
    <w:p w14:paraId="4BEF6ACC" w14:textId="77777777" w:rsidR="00607A6D" w:rsidRPr="00582ECD" w:rsidRDefault="00607A6D" w:rsidP="004E41C9">
      <w:pPr>
        <w:jc w:val="both"/>
        <w:rPr>
          <w:rFonts w:asciiTheme="majorHAnsi" w:hAnsiTheme="majorHAnsi"/>
          <w:color w:val="000000" w:themeColor="text1"/>
        </w:rPr>
      </w:pPr>
    </w:p>
    <w:p w14:paraId="7A4D5290" w14:textId="3423EE70" w:rsidR="00D0429F" w:rsidRPr="00582ECD" w:rsidRDefault="00D0429F" w:rsidP="00D0429F">
      <w:pPr>
        <w:tabs>
          <w:tab w:val="left" w:pos="709"/>
          <w:tab w:val="left" w:pos="1276"/>
          <w:tab w:val="left" w:pos="1418"/>
          <w:tab w:val="left" w:leader="dot" w:pos="8222"/>
          <w:tab w:val="right" w:pos="8647"/>
        </w:tabs>
        <w:jc w:val="both"/>
        <w:rPr>
          <w:rFonts w:asciiTheme="majorHAnsi" w:hAnsiTheme="majorHAnsi"/>
        </w:rPr>
      </w:pPr>
      <w:r w:rsidRPr="00582ECD">
        <w:rPr>
          <w:rFonts w:asciiTheme="majorHAnsi" w:hAnsiTheme="majorHAnsi"/>
        </w:rPr>
        <w:t xml:space="preserve">Rec. 23-12 : </w:t>
      </w:r>
      <w:r w:rsidRPr="00582ECD">
        <w:rPr>
          <w:rFonts w:asciiTheme="majorHAnsi" w:hAnsiTheme="majorHAnsi"/>
          <w:i/>
          <w:iCs/>
        </w:rPr>
        <w:t>Recommandation de l’ICCAT pour la conservation des requins-baleines (Rhincodon typus) capturés en association avec les pêcheries de l’ICCAT</w:t>
      </w:r>
    </w:p>
    <w:p w14:paraId="03656809" w14:textId="77777777" w:rsidR="00D0429F" w:rsidRPr="00582ECD" w:rsidRDefault="00D0429F" w:rsidP="00D0429F">
      <w:pPr>
        <w:jc w:val="both"/>
        <w:rPr>
          <w:rFonts w:asciiTheme="majorHAnsi" w:hAnsiTheme="majorHAnsi"/>
          <w:color w:val="000000" w:themeColor="text1"/>
        </w:rPr>
      </w:pPr>
    </w:p>
    <w:p w14:paraId="6454CF59" w14:textId="77777777" w:rsidR="00D0429F" w:rsidRPr="00582ECD" w:rsidRDefault="00D0429F" w:rsidP="00D0429F">
      <w:pPr>
        <w:tabs>
          <w:tab w:val="left" w:pos="1276"/>
          <w:tab w:val="left" w:leader="dot" w:pos="8222"/>
          <w:tab w:val="right" w:pos="8647"/>
        </w:tabs>
        <w:jc w:val="both"/>
        <w:rPr>
          <w:rFonts w:asciiTheme="majorHAnsi" w:hAnsiTheme="majorHAnsi"/>
        </w:rPr>
      </w:pPr>
      <w:r w:rsidRPr="00582ECD">
        <w:rPr>
          <w:rFonts w:asciiTheme="majorHAnsi" w:hAnsiTheme="majorHAnsi"/>
        </w:rPr>
        <w:t xml:space="preserve">Pour consulter les informations déclarées, </w:t>
      </w:r>
      <w:proofErr w:type="spellStart"/>
      <w:r w:rsidRPr="00582ECD">
        <w:rPr>
          <w:rFonts w:asciiTheme="majorHAnsi" w:hAnsiTheme="majorHAnsi"/>
        </w:rPr>
        <w:t>veuillez vous</w:t>
      </w:r>
      <w:proofErr w:type="spellEnd"/>
      <w:r w:rsidRPr="00582ECD">
        <w:rPr>
          <w:rFonts w:asciiTheme="majorHAnsi" w:hAnsiTheme="majorHAnsi"/>
        </w:rPr>
        <w:t xml:space="preserve"> reporter à la Rec. 18-06 ci-dessous. </w:t>
      </w:r>
    </w:p>
    <w:p w14:paraId="094A7171" w14:textId="77777777" w:rsidR="00D0429F" w:rsidRPr="00582ECD" w:rsidRDefault="00D0429F" w:rsidP="00607A6D">
      <w:pPr>
        <w:tabs>
          <w:tab w:val="left" w:pos="709"/>
          <w:tab w:val="left" w:pos="1276"/>
          <w:tab w:val="left" w:pos="1418"/>
          <w:tab w:val="left" w:leader="dot" w:pos="8222"/>
          <w:tab w:val="right" w:pos="8647"/>
        </w:tabs>
        <w:jc w:val="both"/>
        <w:rPr>
          <w:rFonts w:asciiTheme="majorHAnsi" w:hAnsiTheme="majorHAnsi"/>
          <w:i/>
        </w:rPr>
      </w:pPr>
    </w:p>
    <w:p w14:paraId="38A1E082" w14:textId="510F0B6A" w:rsidR="00607A6D" w:rsidRPr="00582ECD" w:rsidRDefault="00607A6D" w:rsidP="00607A6D">
      <w:pPr>
        <w:tabs>
          <w:tab w:val="left" w:pos="709"/>
          <w:tab w:val="left" w:pos="1276"/>
          <w:tab w:val="left" w:pos="1418"/>
          <w:tab w:val="left" w:leader="dot" w:pos="8222"/>
          <w:tab w:val="right" w:pos="8647"/>
        </w:tabs>
        <w:jc w:val="both"/>
        <w:rPr>
          <w:rFonts w:asciiTheme="majorHAnsi" w:hAnsiTheme="majorHAnsi"/>
        </w:rPr>
      </w:pPr>
      <w:r w:rsidRPr="00582ECD">
        <w:rPr>
          <w:rFonts w:asciiTheme="majorHAnsi" w:hAnsiTheme="majorHAnsi"/>
        </w:rPr>
        <w:t xml:space="preserve">Rec. 25-07 : </w:t>
      </w:r>
      <w:r w:rsidRPr="00582ECD">
        <w:rPr>
          <w:rFonts w:asciiTheme="majorHAnsi" w:hAnsiTheme="majorHAnsi"/>
          <w:i/>
          <w:iCs/>
        </w:rPr>
        <w:t>Recommandation de l’ICCAT concernant le requin pèlerin et le grand requin blanc capturés en association avec les pêcheries gérées par l’ICCAT</w:t>
      </w:r>
    </w:p>
    <w:p w14:paraId="5450CABA" w14:textId="77777777" w:rsidR="00607A6D" w:rsidRPr="00582ECD" w:rsidRDefault="00607A6D" w:rsidP="004E41C9">
      <w:pPr>
        <w:jc w:val="both"/>
        <w:rPr>
          <w:rFonts w:asciiTheme="majorHAnsi" w:hAnsiTheme="majorHAnsi"/>
          <w:color w:val="000000" w:themeColor="text1"/>
        </w:rPr>
      </w:pPr>
    </w:p>
    <w:p w14:paraId="4480E906" w14:textId="77777777" w:rsidR="00607A6D" w:rsidRPr="00582ECD" w:rsidRDefault="00607A6D" w:rsidP="00607A6D">
      <w:pPr>
        <w:tabs>
          <w:tab w:val="left" w:pos="1276"/>
          <w:tab w:val="left" w:leader="dot" w:pos="8222"/>
          <w:tab w:val="right" w:pos="8647"/>
        </w:tabs>
        <w:jc w:val="both"/>
        <w:rPr>
          <w:rFonts w:asciiTheme="majorHAnsi" w:hAnsiTheme="majorHAnsi"/>
        </w:rPr>
      </w:pPr>
      <w:r w:rsidRPr="00582ECD">
        <w:rPr>
          <w:rFonts w:asciiTheme="majorHAnsi" w:hAnsiTheme="majorHAnsi"/>
        </w:rPr>
        <w:t xml:space="preserve">Pour consulter les informations déclarées, </w:t>
      </w:r>
      <w:proofErr w:type="spellStart"/>
      <w:r w:rsidRPr="00582ECD">
        <w:rPr>
          <w:rFonts w:asciiTheme="majorHAnsi" w:hAnsiTheme="majorHAnsi"/>
        </w:rPr>
        <w:t>veuillez vous</w:t>
      </w:r>
      <w:proofErr w:type="spellEnd"/>
      <w:r w:rsidRPr="00582ECD">
        <w:rPr>
          <w:rFonts w:asciiTheme="majorHAnsi" w:hAnsiTheme="majorHAnsi"/>
        </w:rPr>
        <w:t xml:space="preserve"> reporter à la Rec. 18-06 ci-dessous. </w:t>
      </w:r>
    </w:p>
    <w:p w14:paraId="32C19297" w14:textId="77777777" w:rsidR="004E41C9" w:rsidRPr="00CD799F" w:rsidRDefault="004E41C9" w:rsidP="004E41C9">
      <w:pPr>
        <w:tabs>
          <w:tab w:val="left" w:pos="1276"/>
          <w:tab w:val="left" w:pos="1418"/>
          <w:tab w:val="left" w:leader="dot" w:pos="8222"/>
          <w:tab w:val="right" w:pos="8647"/>
        </w:tabs>
        <w:ind w:left="1276" w:hanging="851"/>
        <w:rPr>
          <w:rFonts w:asciiTheme="majorHAnsi" w:hAnsiTheme="majorHAnsi"/>
          <w:bCs/>
          <w:sz w:val="8"/>
          <w:szCs w:val="8"/>
        </w:rPr>
      </w:pPr>
    </w:p>
    <w:p w14:paraId="4721819F" w14:textId="36509314" w:rsidR="004E41C9" w:rsidRPr="00582ECD" w:rsidRDefault="004E41C9" w:rsidP="004E41C9">
      <w:pPr>
        <w:tabs>
          <w:tab w:val="left" w:pos="709"/>
          <w:tab w:val="left" w:pos="1418"/>
          <w:tab w:val="left" w:leader="dot" w:pos="8222"/>
          <w:tab w:val="right" w:pos="8647"/>
        </w:tabs>
        <w:jc w:val="both"/>
        <w:rPr>
          <w:rFonts w:asciiTheme="majorHAnsi" w:hAnsiTheme="majorHAnsi"/>
          <w:bCs/>
          <w:i/>
        </w:rPr>
      </w:pPr>
      <w:r w:rsidRPr="00582ECD">
        <w:rPr>
          <w:rFonts w:asciiTheme="majorHAnsi" w:hAnsiTheme="majorHAnsi"/>
          <w:i/>
          <w:iCs/>
        </w:rPr>
        <w:t>Rec.</w:t>
      </w:r>
      <w:r w:rsidRPr="00582ECD">
        <w:rPr>
          <w:rFonts w:asciiTheme="majorHAnsi" w:hAnsiTheme="majorHAnsi"/>
        </w:rPr>
        <w:t xml:space="preserve"> </w:t>
      </w:r>
      <w:r w:rsidRPr="00582ECD">
        <w:rPr>
          <w:rFonts w:asciiTheme="majorHAnsi" w:hAnsiTheme="majorHAnsi"/>
          <w:i/>
        </w:rPr>
        <w:t xml:space="preserve">18-06 : </w:t>
      </w:r>
      <w:hyperlink r:id="rId29" w:tgtFrame="_blank" w:history="1">
        <w:r w:rsidRPr="00582ECD">
          <w:rPr>
            <w:rFonts w:asciiTheme="majorHAnsi" w:hAnsiTheme="majorHAnsi"/>
            <w:i/>
          </w:rPr>
          <w:t>Recommandation de l’ICCAT remplaçant la Recommandation 16-13 en vue d'améliorer l'examen de l'application des mesures de conservation et de gestion s'appliquant aux requins capturés en association avec les pêcheries de l’ICCAT</w:t>
        </w:r>
      </w:hyperlink>
      <w:r w:rsidRPr="00582ECD">
        <w:rPr>
          <w:rFonts w:asciiTheme="majorHAnsi" w:hAnsiTheme="majorHAnsi"/>
          <w:i/>
        </w:rPr>
        <w:t xml:space="preserve"> </w:t>
      </w:r>
    </w:p>
    <w:p w14:paraId="6B7697A3" w14:textId="77777777" w:rsidR="004E41C9" w:rsidRPr="00582ECD" w:rsidRDefault="004E41C9" w:rsidP="004E41C9">
      <w:pPr>
        <w:tabs>
          <w:tab w:val="left" w:pos="1276"/>
          <w:tab w:val="left" w:pos="1418"/>
          <w:tab w:val="left" w:leader="dot" w:pos="8222"/>
          <w:tab w:val="right" w:pos="8647"/>
        </w:tabs>
        <w:ind w:left="1135" w:hanging="851"/>
        <w:rPr>
          <w:rFonts w:asciiTheme="majorHAnsi" w:hAnsiTheme="majorHAnsi"/>
          <w:bCs/>
        </w:rPr>
      </w:pPr>
    </w:p>
    <w:p w14:paraId="7149059F" w14:textId="6CFAD350" w:rsidR="00211B07" w:rsidRPr="00582ECD" w:rsidRDefault="00701334" w:rsidP="00211B07">
      <w:pPr>
        <w:jc w:val="both"/>
        <w:rPr>
          <w:rFonts w:asciiTheme="majorHAnsi" w:hAnsiTheme="majorHAnsi"/>
          <w:b/>
        </w:rPr>
      </w:pPr>
      <w:r w:rsidRPr="00582ECD">
        <w:rPr>
          <w:rFonts w:asciiTheme="majorHAnsi" w:hAnsiTheme="majorHAnsi"/>
        </w:rPr>
        <w:t>Cette année, 39 CPC ont envoyé des feuilles de contrôle s’appliquant aux requins révisées/mises à jour, neuf (9</w:t>
      </w:r>
      <w:r w:rsidR="00341146">
        <w:rPr>
          <w:rFonts w:asciiTheme="majorHAnsi" w:hAnsiTheme="majorHAnsi"/>
        </w:rPr>
        <w:t>)</w:t>
      </w:r>
      <w:r w:rsidRPr="00582ECD">
        <w:rPr>
          <w:rFonts w:asciiTheme="majorHAnsi" w:hAnsiTheme="majorHAnsi"/>
        </w:rPr>
        <w:t xml:space="preserve"> d'entre elles ayant été soumises après la date limite. Neuf (9) CPC (Algérie, Barbade, Brésil, Côte d’Ivoire, Honduras, Gambie, Grenade, Guinée (</w:t>
      </w:r>
      <w:proofErr w:type="spellStart"/>
      <w:r w:rsidRPr="00582ECD">
        <w:rPr>
          <w:rFonts w:asciiTheme="majorHAnsi" w:hAnsiTheme="majorHAnsi"/>
        </w:rPr>
        <w:t>Rép</w:t>
      </w:r>
      <w:proofErr w:type="spellEnd"/>
      <w:r w:rsidRPr="00582ECD">
        <w:rPr>
          <w:rFonts w:asciiTheme="majorHAnsi" w:hAnsiTheme="majorHAnsi"/>
        </w:rPr>
        <w:t xml:space="preserve">.) et Guyana) n’ont transmis aucune mise à jour par rapport aux versions précédentes de l’année dernière (2025). Neuf (9) CPC n'ont jamais transmis de feuille de contrôle pour les requins (Cuba, Guinée équatoriale, Guinée-Bissau, Libye, Mauritanie, São Tomé-et-Príncipe, Sierra Leone, Syrie et Trinité-et-Tobago). Une (1) CPC fait l'objet d'une dérogation (l'Uruguay) et deux (2) pays </w:t>
      </w:r>
      <w:r w:rsidR="00A36758">
        <w:rPr>
          <w:rFonts w:asciiTheme="majorHAnsi" w:hAnsiTheme="majorHAnsi"/>
        </w:rPr>
        <w:t>ont rejoint l’ICCAT</w:t>
      </w:r>
      <w:r w:rsidRPr="00582ECD">
        <w:rPr>
          <w:rFonts w:asciiTheme="majorHAnsi" w:hAnsiTheme="majorHAnsi"/>
        </w:rPr>
        <w:t xml:space="preserve"> (le Monténégro et le Togo). Celles-ci se trouvent dans les « Feuilles de contrôle s'appliquant aux requins reçues en vertu de la Rec. 18-06 » [COC_314/2026]. Le contenu de ces feuilles de contrôle s’appliquant aux requins est résumé à l'annexe 1 du COC_314/2026.</w:t>
      </w:r>
      <w:r w:rsidR="00211B07" w:rsidRPr="00582ECD">
        <w:rPr>
          <w:rFonts w:asciiTheme="majorHAnsi" w:hAnsiTheme="majorHAnsi"/>
          <w:b/>
        </w:rPr>
        <w:br w:type="page"/>
      </w:r>
    </w:p>
    <w:p w14:paraId="0D471F85" w14:textId="43355D4C" w:rsidR="00F225F3" w:rsidRPr="00582ECD" w:rsidRDefault="00AE0476" w:rsidP="00820485">
      <w:pPr>
        <w:tabs>
          <w:tab w:val="left" w:pos="1276"/>
          <w:tab w:val="left" w:pos="1418"/>
          <w:tab w:val="left" w:leader="dot" w:pos="8222"/>
          <w:tab w:val="right" w:pos="8647"/>
        </w:tabs>
        <w:rPr>
          <w:rFonts w:asciiTheme="majorHAnsi" w:hAnsiTheme="majorHAnsi"/>
          <w:b/>
        </w:rPr>
      </w:pPr>
      <w:r w:rsidRPr="00582ECD">
        <w:rPr>
          <w:rFonts w:asciiTheme="majorHAnsi" w:hAnsiTheme="majorHAnsi"/>
          <w:b/>
        </w:rPr>
        <w:lastRenderedPageBreak/>
        <w:t>BYC - ESPÈCES DE PRISES ACCESSOIRES</w:t>
      </w:r>
    </w:p>
    <w:p w14:paraId="7C90F0A1" w14:textId="77777777" w:rsidR="00F225F3" w:rsidRPr="00582ECD" w:rsidRDefault="00F225F3" w:rsidP="00820485">
      <w:pPr>
        <w:tabs>
          <w:tab w:val="left" w:pos="1276"/>
          <w:tab w:val="left" w:pos="1418"/>
          <w:tab w:val="left" w:leader="dot" w:pos="8222"/>
          <w:tab w:val="right" w:pos="8647"/>
        </w:tabs>
        <w:ind w:firstLine="425"/>
        <w:rPr>
          <w:rFonts w:asciiTheme="majorHAnsi" w:hAnsiTheme="majorHAnsi"/>
        </w:rPr>
      </w:pPr>
    </w:p>
    <w:p w14:paraId="4A57C6E9" w14:textId="5AEB4A44" w:rsidR="007668FE" w:rsidRPr="00582ECD" w:rsidRDefault="007668FE" w:rsidP="00820485">
      <w:pPr>
        <w:tabs>
          <w:tab w:val="left" w:pos="1276"/>
          <w:tab w:val="left" w:leader="dot" w:pos="8222"/>
          <w:tab w:val="right" w:pos="8647"/>
        </w:tabs>
        <w:ind w:left="709" w:hanging="709"/>
        <w:jc w:val="both"/>
        <w:rPr>
          <w:rFonts w:asciiTheme="majorHAnsi" w:hAnsiTheme="majorHAnsi"/>
          <w:bCs/>
          <w:i/>
        </w:rPr>
      </w:pPr>
      <w:r w:rsidRPr="00582ECD">
        <w:rPr>
          <w:rFonts w:asciiTheme="majorHAnsi" w:hAnsiTheme="majorHAnsi"/>
          <w:i/>
        </w:rPr>
        <w:t>Rec. 07-07 : Recommandation de l’ICCAT sur la réduction des captures accidentelles d’oiseaux de mer dans les pêcheries palangrières</w:t>
      </w:r>
    </w:p>
    <w:p w14:paraId="2476C212" w14:textId="77777777" w:rsidR="00956609" w:rsidRPr="00582ECD" w:rsidRDefault="00956609" w:rsidP="00820485">
      <w:pPr>
        <w:tabs>
          <w:tab w:val="left" w:pos="1276"/>
          <w:tab w:val="left" w:pos="1418"/>
          <w:tab w:val="left" w:leader="dot" w:pos="8222"/>
          <w:tab w:val="right" w:pos="8647"/>
        </w:tabs>
        <w:ind w:firstLine="425"/>
        <w:rPr>
          <w:rFonts w:asciiTheme="majorHAnsi" w:hAnsiTheme="majorHAnsi"/>
          <w:bCs/>
          <w:i/>
        </w:rPr>
      </w:pPr>
    </w:p>
    <w:p w14:paraId="4AB8620D" w14:textId="0AE27248" w:rsidR="00426C05" w:rsidRPr="00582ECD" w:rsidRDefault="00956609" w:rsidP="00AA5ADC">
      <w:pPr>
        <w:tabs>
          <w:tab w:val="left" w:pos="1276"/>
          <w:tab w:val="left" w:pos="1418"/>
          <w:tab w:val="left" w:leader="dot" w:pos="8222"/>
          <w:tab w:val="right" w:pos="8647"/>
        </w:tabs>
        <w:jc w:val="both"/>
        <w:rPr>
          <w:rFonts w:asciiTheme="majorHAnsi" w:hAnsiTheme="majorHAnsi"/>
          <w:bCs/>
          <w:iCs/>
        </w:rPr>
      </w:pPr>
      <w:r w:rsidRPr="00582ECD">
        <w:rPr>
          <w:rFonts w:asciiTheme="majorHAnsi" w:hAnsiTheme="majorHAnsi"/>
        </w:rPr>
        <w:t xml:space="preserve">Veuillez consulter la Rec. 11-09 ci-dessous. Le Secrétariat de l’ICCAT réitère sa suggestion visant à combiner ces deux Recommandations. </w:t>
      </w:r>
    </w:p>
    <w:p w14:paraId="659A3EF9" w14:textId="77777777" w:rsidR="002A17A1" w:rsidRPr="00582ECD" w:rsidRDefault="002A17A1" w:rsidP="00FB05AF">
      <w:pPr>
        <w:tabs>
          <w:tab w:val="left" w:pos="1276"/>
          <w:tab w:val="left" w:pos="1418"/>
          <w:tab w:val="left" w:leader="dot" w:pos="8222"/>
          <w:tab w:val="right" w:pos="8647"/>
        </w:tabs>
        <w:rPr>
          <w:rFonts w:asciiTheme="majorHAnsi" w:hAnsiTheme="majorHAnsi"/>
          <w:sz w:val="12"/>
          <w:szCs w:val="12"/>
        </w:rPr>
      </w:pPr>
    </w:p>
    <w:p w14:paraId="418EADFC" w14:textId="19C4929F" w:rsidR="00E01A0F" w:rsidRPr="00582ECD" w:rsidRDefault="00E01A0F" w:rsidP="00820485">
      <w:pPr>
        <w:tabs>
          <w:tab w:val="left" w:pos="1276"/>
          <w:tab w:val="left" w:leader="dot" w:pos="8222"/>
          <w:tab w:val="right" w:pos="8647"/>
        </w:tabs>
        <w:jc w:val="both"/>
        <w:rPr>
          <w:rFonts w:asciiTheme="majorHAnsi" w:hAnsiTheme="majorHAnsi"/>
          <w:i/>
          <w:iCs/>
        </w:rPr>
      </w:pPr>
      <w:r w:rsidRPr="00582ECD">
        <w:rPr>
          <w:rFonts w:asciiTheme="majorHAnsi" w:hAnsiTheme="majorHAnsi"/>
          <w:i/>
        </w:rPr>
        <w:t>Rec. 11-09 : Recommandation supplémentaire de l’ICCAT sur la réduction des captures accidentelles d’oiseaux de mer dans les pêcheries palangrières de l’ICCAT</w:t>
      </w:r>
    </w:p>
    <w:p w14:paraId="346B7E11" w14:textId="77777777" w:rsidR="005C1EE7" w:rsidRPr="00582ECD" w:rsidRDefault="005C1EE7" w:rsidP="00820485">
      <w:pPr>
        <w:tabs>
          <w:tab w:val="left" w:pos="1276"/>
          <w:tab w:val="left" w:leader="dot" w:pos="8222"/>
          <w:tab w:val="right" w:pos="8647"/>
        </w:tabs>
        <w:ind w:firstLine="425"/>
        <w:rPr>
          <w:rFonts w:asciiTheme="majorHAnsi" w:hAnsiTheme="majorHAnsi"/>
          <w:bCs/>
        </w:rPr>
        <w:sectPr w:rsidR="005C1EE7" w:rsidRPr="00582ECD" w:rsidSect="008A7405">
          <w:headerReference w:type="default" r:id="rId30"/>
          <w:footerReference w:type="default" r:id="rId31"/>
          <w:endnotePr>
            <w:numFmt w:val="decimal"/>
          </w:endnotePr>
          <w:type w:val="continuous"/>
          <w:pgSz w:w="11911" w:h="16832" w:code="9"/>
          <w:pgMar w:top="1418" w:right="1418" w:bottom="1418" w:left="1418" w:header="851" w:footer="1134" w:gutter="0"/>
          <w:pgNumType w:start="1"/>
          <w:cols w:space="720"/>
          <w:noEndnote/>
          <w:docGrid w:linePitch="360"/>
        </w:sectPr>
      </w:pPr>
    </w:p>
    <w:p w14:paraId="6046B440" w14:textId="3434D143" w:rsidR="00A33055" w:rsidRPr="00582ECD" w:rsidRDefault="00A33055" w:rsidP="00820485">
      <w:pPr>
        <w:tabs>
          <w:tab w:val="left" w:pos="1276"/>
          <w:tab w:val="left" w:pos="1418"/>
          <w:tab w:val="left" w:leader="dot" w:pos="8222"/>
          <w:tab w:val="right" w:pos="8647"/>
        </w:tabs>
        <w:jc w:val="both"/>
        <w:rPr>
          <w:rFonts w:asciiTheme="majorHAnsi" w:hAnsiTheme="majorHAnsi"/>
          <w:bCs/>
        </w:rPr>
      </w:pPr>
      <w:bookmarkStart w:id="18" w:name="_Hlk52808660"/>
      <w:r w:rsidRPr="00582ECD">
        <w:rPr>
          <w:rFonts w:asciiTheme="majorHAnsi" w:hAnsiTheme="majorHAnsi"/>
        </w:rPr>
        <w:lastRenderedPageBreak/>
        <w:t xml:space="preserve">Les prises accessoires d'oiseaux de mer sont incluses dans le « Rapport de 2026 du Secrétariat sur la recherche et les statistiques de l’ICCAT » [PLE_105/2026]. Les mesures d’atténuation et les autres mesures communiquées par les CPC pour 2025 par le biais du formulaire CP44 en 2026 sont indiquées ci-après : </w:t>
      </w:r>
    </w:p>
    <w:p w14:paraId="7199E23F" w14:textId="77777777" w:rsidR="00281FD1" w:rsidRPr="00582ECD" w:rsidRDefault="00281FD1" w:rsidP="00820485">
      <w:pPr>
        <w:tabs>
          <w:tab w:val="left" w:pos="1276"/>
          <w:tab w:val="left" w:pos="1418"/>
          <w:tab w:val="left" w:leader="dot" w:pos="8222"/>
          <w:tab w:val="right" w:pos="8647"/>
        </w:tabs>
        <w:jc w:val="both"/>
        <w:rPr>
          <w:rFonts w:asciiTheme="majorHAnsi" w:hAnsiTheme="majorHAnsi"/>
          <w:bCs/>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67"/>
        <w:gridCol w:w="1536"/>
        <w:gridCol w:w="1806"/>
        <w:gridCol w:w="1353"/>
        <w:gridCol w:w="4573"/>
        <w:gridCol w:w="3551"/>
      </w:tblGrid>
      <w:tr w:rsidR="008124D0" w:rsidRPr="00582ECD" w14:paraId="4E5FB8E0" w14:textId="77777777" w:rsidTr="006D1FBF">
        <w:trPr>
          <w:trHeight w:val="19"/>
          <w:tblHeader/>
          <w:jc w:val="center"/>
        </w:trPr>
        <w:tc>
          <w:tcPr>
            <w:tcW w:w="464" w:type="pct"/>
            <w:vAlign w:val="center"/>
            <w:hideMark/>
          </w:tcPr>
          <w:p w14:paraId="047885B8" w14:textId="77777777" w:rsidR="00281FD1" w:rsidRPr="00582ECD" w:rsidRDefault="00281FD1" w:rsidP="006D1DE6">
            <w:pPr>
              <w:jc w:val="center"/>
              <w:rPr>
                <w:rFonts w:asciiTheme="majorHAnsi" w:hAnsiTheme="majorHAnsi"/>
                <w:b/>
                <w:i/>
                <w:color w:val="000000"/>
              </w:rPr>
            </w:pPr>
            <w:r w:rsidRPr="00582ECD">
              <w:rPr>
                <w:rFonts w:asciiTheme="majorHAnsi" w:hAnsiTheme="majorHAnsi"/>
                <w:b/>
                <w:i/>
                <w:color w:val="000000"/>
              </w:rPr>
              <w:t>CPC</w:t>
            </w:r>
          </w:p>
        </w:tc>
        <w:tc>
          <w:tcPr>
            <w:tcW w:w="549" w:type="pct"/>
            <w:vAlign w:val="center"/>
            <w:hideMark/>
          </w:tcPr>
          <w:p w14:paraId="1EAE868A" w14:textId="77777777" w:rsidR="00281FD1" w:rsidRPr="00582ECD" w:rsidRDefault="00281FD1" w:rsidP="006D1DE6">
            <w:pPr>
              <w:jc w:val="center"/>
              <w:rPr>
                <w:rFonts w:asciiTheme="majorHAnsi" w:hAnsiTheme="majorHAnsi"/>
                <w:b/>
                <w:i/>
                <w:color w:val="000000"/>
              </w:rPr>
            </w:pPr>
            <w:r w:rsidRPr="00582ECD">
              <w:rPr>
                <w:rFonts w:asciiTheme="majorHAnsi" w:hAnsiTheme="majorHAnsi"/>
                <w:b/>
                <w:i/>
                <w:color w:val="000000"/>
              </w:rPr>
              <w:t>Mouillage de nuit avec un éclairage du pont minimal.</w:t>
            </w:r>
          </w:p>
        </w:tc>
        <w:tc>
          <w:tcPr>
            <w:tcW w:w="562" w:type="pct"/>
            <w:vAlign w:val="center"/>
            <w:hideMark/>
          </w:tcPr>
          <w:p w14:paraId="2D418795" w14:textId="77777777" w:rsidR="0071048D" w:rsidRPr="00582ECD" w:rsidRDefault="00281FD1" w:rsidP="006D1DE6">
            <w:pPr>
              <w:jc w:val="center"/>
              <w:rPr>
                <w:rFonts w:asciiTheme="majorHAnsi" w:hAnsiTheme="majorHAnsi"/>
                <w:b/>
                <w:i/>
                <w:color w:val="000000"/>
              </w:rPr>
            </w:pPr>
            <w:r w:rsidRPr="00582ECD">
              <w:rPr>
                <w:rFonts w:asciiTheme="majorHAnsi" w:hAnsiTheme="majorHAnsi"/>
                <w:b/>
                <w:i/>
                <w:color w:val="000000"/>
              </w:rPr>
              <w:t xml:space="preserve">Lignes d'effarouchement des oiseaux </w:t>
            </w:r>
          </w:p>
          <w:p w14:paraId="286C136F" w14:textId="40F5B585" w:rsidR="00281FD1" w:rsidRPr="00582ECD" w:rsidRDefault="00281FD1" w:rsidP="006D1DE6">
            <w:pPr>
              <w:jc w:val="center"/>
              <w:rPr>
                <w:rFonts w:asciiTheme="majorHAnsi" w:hAnsiTheme="majorHAnsi"/>
                <w:b/>
                <w:i/>
                <w:color w:val="000000"/>
              </w:rPr>
            </w:pPr>
            <w:r w:rsidRPr="00582ECD">
              <w:rPr>
                <w:rFonts w:asciiTheme="majorHAnsi" w:hAnsiTheme="majorHAnsi"/>
                <w:b/>
                <w:i/>
                <w:color w:val="000000"/>
              </w:rPr>
              <w:t xml:space="preserve">Lignes </w:t>
            </w:r>
            <w:proofErr w:type="spellStart"/>
            <w:r w:rsidRPr="00582ECD">
              <w:rPr>
                <w:rFonts w:asciiTheme="majorHAnsi" w:hAnsiTheme="majorHAnsi"/>
                <w:b/>
                <w:i/>
                <w:color w:val="000000"/>
              </w:rPr>
              <w:t>tori</w:t>
            </w:r>
            <w:proofErr w:type="spellEnd"/>
          </w:p>
        </w:tc>
        <w:tc>
          <w:tcPr>
            <w:tcW w:w="546" w:type="pct"/>
            <w:vAlign w:val="center"/>
            <w:hideMark/>
          </w:tcPr>
          <w:p w14:paraId="55323EBF" w14:textId="77777777" w:rsidR="00281FD1" w:rsidRPr="00582ECD" w:rsidRDefault="00281FD1" w:rsidP="006D1DE6">
            <w:pPr>
              <w:jc w:val="center"/>
              <w:rPr>
                <w:rFonts w:asciiTheme="majorHAnsi" w:hAnsiTheme="majorHAnsi"/>
                <w:b/>
                <w:i/>
                <w:color w:val="000000"/>
              </w:rPr>
            </w:pPr>
            <w:r w:rsidRPr="00582ECD">
              <w:rPr>
                <w:rFonts w:asciiTheme="majorHAnsi" w:hAnsiTheme="majorHAnsi"/>
                <w:b/>
                <w:i/>
                <w:color w:val="000000"/>
              </w:rPr>
              <w:t>Lestage des avançons</w:t>
            </w:r>
          </w:p>
        </w:tc>
        <w:tc>
          <w:tcPr>
            <w:tcW w:w="1555" w:type="pct"/>
            <w:vAlign w:val="center"/>
            <w:hideMark/>
          </w:tcPr>
          <w:p w14:paraId="039E12C9" w14:textId="77777777" w:rsidR="00281FD1" w:rsidRPr="00582ECD" w:rsidRDefault="00281FD1" w:rsidP="006D1DE6">
            <w:pPr>
              <w:jc w:val="center"/>
              <w:rPr>
                <w:rFonts w:asciiTheme="majorHAnsi" w:hAnsiTheme="majorHAnsi"/>
                <w:b/>
                <w:i/>
                <w:color w:val="000000"/>
              </w:rPr>
            </w:pPr>
            <w:r w:rsidRPr="00582ECD">
              <w:rPr>
                <w:rFonts w:asciiTheme="majorHAnsi" w:hAnsiTheme="majorHAnsi"/>
                <w:b/>
                <w:i/>
                <w:color w:val="000000"/>
              </w:rPr>
              <w:t>Situation du NPOA pour les oiseaux de mer</w:t>
            </w:r>
          </w:p>
        </w:tc>
        <w:tc>
          <w:tcPr>
            <w:tcW w:w="1324" w:type="pct"/>
            <w:vAlign w:val="center"/>
            <w:hideMark/>
          </w:tcPr>
          <w:p w14:paraId="624363FD" w14:textId="77777777" w:rsidR="00281FD1" w:rsidRPr="00582ECD" w:rsidRDefault="00281FD1" w:rsidP="006D1DE6">
            <w:pPr>
              <w:jc w:val="center"/>
              <w:rPr>
                <w:rFonts w:asciiTheme="majorHAnsi" w:hAnsiTheme="majorHAnsi"/>
                <w:b/>
                <w:i/>
                <w:color w:val="000000"/>
              </w:rPr>
            </w:pPr>
            <w:r w:rsidRPr="00582ECD">
              <w:rPr>
                <w:rFonts w:asciiTheme="majorHAnsi" w:hAnsiTheme="majorHAnsi"/>
                <w:b/>
                <w:i/>
                <w:color w:val="000000"/>
              </w:rPr>
              <w:t>Observations</w:t>
            </w:r>
          </w:p>
        </w:tc>
      </w:tr>
      <w:tr w:rsidR="00CA678C" w:rsidRPr="00582ECD" w14:paraId="2E27726F" w14:textId="77777777" w:rsidTr="006D1FBF">
        <w:trPr>
          <w:trHeight w:val="19"/>
          <w:jc w:val="center"/>
        </w:trPr>
        <w:tc>
          <w:tcPr>
            <w:tcW w:w="464" w:type="pct"/>
            <w:vAlign w:val="center"/>
          </w:tcPr>
          <w:p w14:paraId="49444CA8" w14:textId="47BFD7B8" w:rsidR="00CA678C" w:rsidRPr="00582ECD" w:rsidRDefault="00CA678C" w:rsidP="00CA678C">
            <w:pPr>
              <w:rPr>
                <w:rFonts w:asciiTheme="majorHAnsi" w:hAnsiTheme="majorHAnsi" w:cs="Calibri"/>
                <w:b/>
                <w:bCs/>
                <w:color w:val="000000"/>
                <w:sz w:val="18"/>
                <w:szCs w:val="18"/>
              </w:rPr>
            </w:pPr>
            <w:r w:rsidRPr="00582ECD">
              <w:rPr>
                <w:rFonts w:asciiTheme="majorHAnsi" w:hAnsiTheme="majorHAnsi"/>
                <w:b/>
                <w:sz w:val="18"/>
              </w:rPr>
              <w:t>Angola</w:t>
            </w:r>
          </w:p>
        </w:tc>
        <w:tc>
          <w:tcPr>
            <w:tcW w:w="549" w:type="pct"/>
          </w:tcPr>
          <w:p w14:paraId="5C3D965B" w14:textId="72009061" w:rsidR="00CA678C" w:rsidRPr="00582ECD" w:rsidRDefault="00CA678C" w:rsidP="006D1FBF">
            <w:pPr>
              <w:jc w:val="both"/>
              <w:rPr>
                <w:rFonts w:asciiTheme="majorHAnsi" w:hAnsiTheme="majorHAnsi" w:cstheme="minorHAnsi"/>
                <w:color w:val="000000"/>
                <w:sz w:val="18"/>
                <w:szCs w:val="18"/>
              </w:rPr>
            </w:pPr>
            <w:r w:rsidRPr="00582ECD">
              <w:rPr>
                <w:rFonts w:asciiTheme="majorHAnsi" w:hAnsiTheme="majorHAnsi"/>
                <w:sz w:val="18"/>
              </w:rPr>
              <w:t>Nous recommandons à l'opérateur du navire de mettre en œuvre plus efficacement la recommandation relative à la configuration nocturne prévoyant un éclairage minimal du pont.</w:t>
            </w:r>
          </w:p>
        </w:tc>
        <w:tc>
          <w:tcPr>
            <w:tcW w:w="562" w:type="pct"/>
          </w:tcPr>
          <w:p w14:paraId="41BE0C48" w14:textId="590DF82F" w:rsidR="00CA678C" w:rsidRPr="00582ECD" w:rsidRDefault="00CA678C" w:rsidP="006D1FBF">
            <w:pPr>
              <w:jc w:val="both"/>
              <w:rPr>
                <w:rFonts w:asciiTheme="majorHAnsi" w:hAnsiTheme="majorHAnsi" w:cstheme="minorHAnsi"/>
                <w:color w:val="000000"/>
                <w:sz w:val="18"/>
                <w:szCs w:val="18"/>
              </w:rPr>
            </w:pPr>
            <w:r w:rsidRPr="00582ECD">
              <w:rPr>
                <w:rFonts w:asciiTheme="majorHAnsi" w:hAnsiTheme="majorHAnsi"/>
                <w:sz w:val="18"/>
              </w:rPr>
              <w:t>Le navire est équipé d'une ligne d'effarouchement des oiseaux, installée et utilisée conformément à la Recommandation 11-09 de l’ICCAT afin de réduire la mortalité des oiseaux marins.</w:t>
            </w:r>
          </w:p>
        </w:tc>
        <w:tc>
          <w:tcPr>
            <w:tcW w:w="546" w:type="pct"/>
          </w:tcPr>
          <w:p w14:paraId="32E9FD39" w14:textId="07F713EC" w:rsidR="00CA678C" w:rsidRPr="00582ECD" w:rsidRDefault="00CA678C" w:rsidP="006D1FBF">
            <w:pPr>
              <w:jc w:val="both"/>
              <w:rPr>
                <w:rFonts w:asciiTheme="majorHAnsi" w:hAnsiTheme="majorHAnsi" w:cstheme="minorHAnsi"/>
                <w:color w:val="000000"/>
                <w:sz w:val="18"/>
                <w:szCs w:val="18"/>
              </w:rPr>
            </w:pPr>
            <w:r w:rsidRPr="00582ECD">
              <w:rPr>
                <w:rFonts w:asciiTheme="majorHAnsi" w:hAnsiTheme="majorHAnsi"/>
                <w:sz w:val="18"/>
              </w:rPr>
              <w:t>Un poids supérieur à un total de 45 g est fixé à 1 m de l'hameçon.</w:t>
            </w:r>
          </w:p>
        </w:tc>
        <w:tc>
          <w:tcPr>
            <w:tcW w:w="1555" w:type="pct"/>
          </w:tcPr>
          <w:p w14:paraId="36ECE9CF" w14:textId="77777777" w:rsidR="00CA678C" w:rsidRPr="00582ECD" w:rsidRDefault="00CA678C" w:rsidP="00CA678C">
            <w:pPr>
              <w:jc w:val="both"/>
              <w:rPr>
                <w:rFonts w:asciiTheme="majorHAnsi" w:hAnsiTheme="majorHAnsi"/>
                <w:sz w:val="18"/>
                <w:szCs w:val="18"/>
              </w:rPr>
            </w:pPr>
            <w:r w:rsidRPr="00582ECD">
              <w:rPr>
                <w:rFonts w:asciiTheme="majorHAnsi" w:hAnsiTheme="majorHAnsi"/>
                <w:sz w:val="18"/>
              </w:rPr>
              <w:t xml:space="preserve">Un plan d'action national (PAN) pour les oiseaux marins est </w:t>
            </w:r>
            <w:proofErr w:type="gramStart"/>
            <w:r w:rsidRPr="00582ECD">
              <w:rPr>
                <w:rFonts w:asciiTheme="majorHAnsi" w:hAnsiTheme="majorHAnsi"/>
                <w:sz w:val="18"/>
              </w:rPr>
              <w:t>actuellement en cours</w:t>
            </w:r>
            <w:proofErr w:type="gramEnd"/>
            <w:r w:rsidRPr="00582ECD">
              <w:rPr>
                <w:rFonts w:asciiTheme="majorHAnsi" w:hAnsiTheme="majorHAnsi"/>
                <w:sz w:val="18"/>
              </w:rPr>
              <w:t xml:space="preserve"> d'élaboration ; dans l'intervalle, un programme d'observateurs communautaires est mis en œuvre à titre de mesure de gestion visant à faciliter la collecte de données et le suivi des activités de pêche en eaux intérieures.</w:t>
            </w:r>
          </w:p>
          <w:p w14:paraId="01409F79" w14:textId="77777777" w:rsidR="00030A44" w:rsidRPr="00582ECD" w:rsidRDefault="00030A44" w:rsidP="00CA678C">
            <w:pPr>
              <w:jc w:val="both"/>
              <w:rPr>
                <w:rFonts w:asciiTheme="majorHAnsi" w:hAnsiTheme="majorHAnsi"/>
                <w:sz w:val="18"/>
                <w:szCs w:val="18"/>
              </w:rPr>
            </w:pPr>
          </w:p>
          <w:p w14:paraId="39D26BB0" w14:textId="57B4A91B" w:rsidR="00CA678C" w:rsidRPr="00582ECD" w:rsidRDefault="00CA678C" w:rsidP="00CA678C">
            <w:pPr>
              <w:jc w:val="both"/>
              <w:rPr>
                <w:rFonts w:asciiTheme="majorHAnsi" w:hAnsiTheme="majorHAnsi"/>
                <w:sz w:val="18"/>
                <w:szCs w:val="18"/>
              </w:rPr>
            </w:pPr>
            <w:r w:rsidRPr="00582ECD">
              <w:rPr>
                <w:rFonts w:asciiTheme="majorHAnsi" w:hAnsiTheme="majorHAnsi"/>
                <w:sz w:val="18"/>
              </w:rPr>
              <w:t>Afin d'obtenir de meilleurs résultats, un programme de formation sera mis en place pour permettre aux agents de collecter des données – conformément aux recommandations de l’ICCAT– concernant les prises accessoires d'oiseaux marins, de tortues marines, de raies et de requins.</w:t>
            </w:r>
          </w:p>
          <w:p w14:paraId="587A0F56" w14:textId="77777777" w:rsidR="00CA678C" w:rsidRPr="00582ECD" w:rsidRDefault="00CA678C" w:rsidP="00CA678C">
            <w:pPr>
              <w:jc w:val="both"/>
              <w:rPr>
                <w:rFonts w:asciiTheme="majorHAnsi" w:hAnsiTheme="majorHAnsi"/>
                <w:sz w:val="18"/>
                <w:szCs w:val="18"/>
              </w:rPr>
            </w:pPr>
          </w:p>
          <w:p w14:paraId="5DAB2C42" w14:textId="77777777" w:rsidR="00CA678C" w:rsidRPr="00582ECD" w:rsidRDefault="00CA678C" w:rsidP="00CA678C">
            <w:pPr>
              <w:jc w:val="both"/>
              <w:rPr>
                <w:rFonts w:asciiTheme="majorHAnsi" w:hAnsiTheme="majorHAnsi"/>
                <w:sz w:val="18"/>
                <w:szCs w:val="18"/>
              </w:rPr>
            </w:pPr>
            <w:r w:rsidRPr="00582ECD">
              <w:rPr>
                <w:rFonts w:asciiTheme="majorHAnsi" w:hAnsiTheme="majorHAnsi"/>
                <w:sz w:val="18"/>
              </w:rPr>
              <w:t>Depuis la mise en place du programme d'observateurs à bord, nous n'avons encore reçu aucune information concernant la capture accidentelle d'oiseaux.</w:t>
            </w:r>
          </w:p>
          <w:p w14:paraId="55A45018" w14:textId="38EB0A7C" w:rsidR="00CA678C" w:rsidRPr="00133BBC" w:rsidRDefault="00CA678C" w:rsidP="00CA678C">
            <w:pPr>
              <w:jc w:val="both"/>
              <w:rPr>
                <w:rFonts w:asciiTheme="majorHAnsi" w:hAnsiTheme="majorHAnsi" w:cstheme="minorHAnsi"/>
                <w:strike/>
                <w:color w:val="000000"/>
                <w:sz w:val="18"/>
                <w:szCs w:val="18"/>
              </w:rPr>
            </w:pPr>
          </w:p>
        </w:tc>
        <w:tc>
          <w:tcPr>
            <w:tcW w:w="1324" w:type="pct"/>
          </w:tcPr>
          <w:p w14:paraId="2EC52B7D" w14:textId="77777777" w:rsidR="00CA678C" w:rsidRPr="00582ECD" w:rsidRDefault="00CA678C" w:rsidP="00CA678C">
            <w:pPr>
              <w:jc w:val="both"/>
              <w:rPr>
                <w:rFonts w:asciiTheme="majorHAnsi" w:hAnsiTheme="majorHAnsi"/>
                <w:sz w:val="18"/>
                <w:szCs w:val="18"/>
              </w:rPr>
            </w:pPr>
            <w:r w:rsidRPr="00582ECD">
              <w:rPr>
                <w:rFonts w:asciiTheme="majorHAnsi" w:hAnsiTheme="majorHAnsi"/>
                <w:sz w:val="18"/>
              </w:rPr>
              <w:t>Le crépuscule et l’aube maritime sont définis selon les tableaux de l’Almanach nautique pour la latitude, l’heure locale et la date. L'éclairage minimal du pont ne doit pas enfreindre les normes minimales de sécurité et de navigation.</w:t>
            </w:r>
          </w:p>
          <w:p w14:paraId="5D221959" w14:textId="77777777" w:rsidR="00CA678C" w:rsidRPr="00582ECD" w:rsidRDefault="00CA678C" w:rsidP="00CA678C">
            <w:pPr>
              <w:jc w:val="both"/>
              <w:rPr>
                <w:rFonts w:asciiTheme="majorHAnsi" w:hAnsiTheme="majorHAnsi"/>
                <w:sz w:val="18"/>
                <w:szCs w:val="18"/>
              </w:rPr>
            </w:pPr>
          </w:p>
          <w:p w14:paraId="00335B5B" w14:textId="77777777" w:rsidR="00CA678C" w:rsidRPr="00582ECD" w:rsidRDefault="00CA678C" w:rsidP="00CA678C">
            <w:pPr>
              <w:jc w:val="both"/>
              <w:rPr>
                <w:rFonts w:asciiTheme="majorHAnsi" w:hAnsiTheme="majorHAnsi"/>
                <w:sz w:val="18"/>
                <w:szCs w:val="18"/>
              </w:rPr>
            </w:pPr>
            <w:r w:rsidRPr="00582ECD">
              <w:rPr>
                <w:rFonts w:asciiTheme="majorHAnsi" w:hAnsiTheme="majorHAnsi"/>
                <w:sz w:val="18"/>
              </w:rPr>
              <w:t xml:space="preserve">Notre palangrier mesure 33,56 mètres de long. Les mesures prises pour empêcher les oiseaux marins de s'approcher du navire sont les suivantes : </w:t>
            </w:r>
          </w:p>
          <w:p w14:paraId="4D445460" w14:textId="77777777" w:rsidR="00CA678C" w:rsidRPr="00582ECD" w:rsidRDefault="00CA678C" w:rsidP="00CA678C">
            <w:pPr>
              <w:jc w:val="both"/>
              <w:rPr>
                <w:rFonts w:asciiTheme="majorHAnsi" w:hAnsiTheme="majorHAnsi"/>
                <w:sz w:val="18"/>
                <w:szCs w:val="18"/>
              </w:rPr>
            </w:pPr>
            <w:r w:rsidRPr="00582ECD">
              <w:rPr>
                <w:rFonts w:asciiTheme="majorHAnsi" w:hAnsiTheme="majorHAnsi"/>
                <w:sz w:val="18"/>
              </w:rPr>
              <w:t>- Recommandation concernant les navires de moins de 35 mètres.</w:t>
            </w:r>
          </w:p>
          <w:p w14:paraId="5165C80F" w14:textId="77777777" w:rsidR="00CA678C" w:rsidRPr="00582ECD" w:rsidRDefault="00CA678C" w:rsidP="00CA678C">
            <w:pPr>
              <w:jc w:val="both"/>
              <w:rPr>
                <w:rFonts w:asciiTheme="majorHAnsi" w:hAnsiTheme="majorHAnsi"/>
                <w:sz w:val="18"/>
                <w:szCs w:val="18"/>
              </w:rPr>
            </w:pPr>
            <w:r w:rsidRPr="00582ECD">
              <w:rPr>
                <w:rFonts w:asciiTheme="majorHAnsi" w:hAnsiTheme="majorHAnsi"/>
                <w:sz w:val="18"/>
              </w:rPr>
              <w:t>- Déploiement d’au moins un dispositif d’effarouchement des oiseaux.</w:t>
            </w:r>
          </w:p>
          <w:p w14:paraId="48B8BFDD" w14:textId="722B62EF" w:rsidR="00CA678C" w:rsidRPr="00582ECD" w:rsidRDefault="00CA678C" w:rsidP="00CA678C">
            <w:pPr>
              <w:jc w:val="both"/>
              <w:rPr>
                <w:rFonts w:asciiTheme="majorHAnsi" w:hAnsiTheme="majorHAnsi"/>
                <w:sz w:val="18"/>
                <w:szCs w:val="18"/>
              </w:rPr>
            </w:pPr>
            <w:r w:rsidRPr="00582ECD">
              <w:rPr>
                <w:rFonts w:asciiTheme="majorHAnsi" w:hAnsiTheme="majorHAnsi"/>
                <w:sz w:val="18"/>
              </w:rPr>
              <w:t>- Superficie aérienne supérieure ou égale à 75 m.</w:t>
            </w:r>
          </w:p>
          <w:p w14:paraId="72A56802" w14:textId="057F5A9F" w:rsidR="00CA678C" w:rsidRPr="00582ECD" w:rsidRDefault="00CA678C" w:rsidP="00CA678C">
            <w:pPr>
              <w:jc w:val="both"/>
              <w:rPr>
                <w:rFonts w:asciiTheme="majorHAnsi" w:hAnsiTheme="majorHAnsi"/>
                <w:sz w:val="18"/>
                <w:szCs w:val="18"/>
              </w:rPr>
            </w:pPr>
            <w:r w:rsidRPr="00582ECD">
              <w:rPr>
                <w:rFonts w:asciiTheme="majorHAnsi" w:hAnsiTheme="majorHAnsi"/>
                <w:sz w:val="18"/>
              </w:rPr>
              <w:t>- Long et/ou court (mais d'une longueur supérieure à 1 m).</w:t>
            </w:r>
          </w:p>
          <w:p w14:paraId="4E94160D" w14:textId="77777777" w:rsidR="00CA678C" w:rsidRPr="00582ECD" w:rsidRDefault="00CA678C" w:rsidP="00CA678C">
            <w:pPr>
              <w:jc w:val="both"/>
              <w:rPr>
                <w:rFonts w:asciiTheme="majorHAnsi" w:hAnsiTheme="majorHAnsi"/>
                <w:sz w:val="18"/>
                <w:szCs w:val="18"/>
              </w:rPr>
            </w:pPr>
            <w:r w:rsidRPr="00582ECD">
              <w:rPr>
                <w:rFonts w:asciiTheme="majorHAnsi" w:hAnsiTheme="majorHAnsi"/>
                <w:sz w:val="18"/>
              </w:rPr>
              <w:t>on utilise des banderoles que l'on dispose à intervalles réguliers, comme</w:t>
            </w:r>
          </w:p>
          <w:p w14:paraId="221EDE58" w14:textId="77777777" w:rsidR="00CA678C" w:rsidRPr="00582ECD" w:rsidRDefault="00CA678C" w:rsidP="00CA678C">
            <w:pPr>
              <w:jc w:val="both"/>
              <w:rPr>
                <w:rFonts w:asciiTheme="majorHAnsi" w:hAnsiTheme="majorHAnsi"/>
                <w:sz w:val="18"/>
                <w:szCs w:val="18"/>
              </w:rPr>
            </w:pPr>
            <w:r w:rsidRPr="00582ECD">
              <w:rPr>
                <w:rFonts w:asciiTheme="majorHAnsi" w:hAnsiTheme="majorHAnsi"/>
                <w:sz w:val="18"/>
              </w:rPr>
              <w:t>suit:</w:t>
            </w:r>
          </w:p>
          <w:p w14:paraId="1544A5D8" w14:textId="01C4398B" w:rsidR="00CA678C" w:rsidRPr="00582ECD" w:rsidRDefault="00CA678C" w:rsidP="00CA678C">
            <w:pPr>
              <w:jc w:val="both"/>
              <w:rPr>
                <w:rFonts w:asciiTheme="majorHAnsi" w:hAnsiTheme="majorHAnsi"/>
                <w:sz w:val="18"/>
                <w:szCs w:val="18"/>
              </w:rPr>
            </w:pPr>
            <w:r w:rsidRPr="00582ECD">
              <w:rPr>
                <w:rFonts w:asciiTheme="majorHAnsi" w:hAnsiTheme="majorHAnsi"/>
                <w:sz w:val="18"/>
              </w:rPr>
              <w:t>• Court: intervalles ne dépassant pas 2 m.</w:t>
            </w:r>
          </w:p>
          <w:p w14:paraId="059B1B13" w14:textId="5FE02A50" w:rsidR="00CA678C" w:rsidRPr="00582ECD" w:rsidRDefault="00CA678C" w:rsidP="00CA678C">
            <w:pPr>
              <w:jc w:val="both"/>
              <w:rPr>
                <w:rFonts w:asciiTheme="majorHAnsi" w:hAnsiTheme="majorHAnsi"/>
                <w:sz w:val="18"/>
                <w:szCs w:val="18"/>
              </w:rPr>
            </w:pPr>
            <w:r w:rsidRPr="00582ECD">
              <w:rPr>
                <w:rFonts w:asciiTheme="majorHAnsi" w:hAnsiTheme="majorHAnsi"/>
                <w:sz w:val="18"/>
              </w:rPr>
              <w:t>• Long: intervalles ne dépassant pas 5 m pour les 55 premiers mètres de la ligne d’effarouchement des oiseaux.</w:t>
            </w:r>
          </w:p>
          <w:p w14:paraId="2A6A65F2" w14:textId="77777777" w:rsidR="00CA678C" w:rsidRPr="00582ECD" w:rsidRDefault="00CA678C" w:rsidP="00CA678C">
            <w:pPr>
              <w:jc w:val="both"/>
              <w:rPr>
                <w:rFonts w:asciiTheme="majorHAnsi" w:hAnsiTheme="majorHAnsi"/>
                <w:sz w:val="18"/>
                <w:szCs w:val="18"/>
              </w:rPr>
            </w:pPr>
          </w:p>
          <w:p w14:paraId="4ED5B7AD" w14:textId="77777777" w:rsidR="00CA678C" w:rsidRPr="00582ECD" w:rsidRDefault="00CA678C" w:rsidP="00CA678C">
            <w:pPr>
              <w:jc w:val="both"/>
              <w:rPr>
                <w:rFonts w:asciiTheme="majorHAnsi" w:hAnsiTheme="majorHAnsi"/>
                <w:sz w:val="18"/>
                <w:szCs w:val="18"/>
              </w:rPr>
            </w:pPr>
            <w:r w:rsidRPr="00582ECD">
              <w:rPr>
                <w:rFonts w:asciiTheme="majorHAnsi" w:hAnsiTheme="majorHAnsi"/>
                <w:sz w:val="18"/>
              </w:rPr>
              <w:t>Zone : Atlantique Sud-Est (SE)</w:t>
            </w:r>
          </w:p>
          <w:p w14:paraId="1F878C8B" w14:textId="2F5D91F0" w:rsidR="00CA678C" w:rsidRPr="00582ECD" w:rsidRDefault="00CA678C" w:rsidP="00CA678C">
            <w:pPr>
              <w:jc w:val="both"/>
              <w:rPr>
                <w:rFonts w:asciiTheme="majorHAnsi" w:hAnsiTheme="majorHAnsi" w:cstheme="minorHAnsi"/>
                <w:color w:val="000000"/>
                <w:sz w:val="18"/>
                <w:szCs w:val="18"/>
                <w:lang w:eastAsia="en-GB"/>
              </w:rPr>
            </w:pPr>
          </w:p>
        </w:tc>
      </w:tr>
      <w:tr w:rsidR="00724240" w:rsidRPr="00582ECD" w14:paraId="729DBFE7" w14:textId="77777777" w:rsidTr="006D1FBF">
        <w:trPr>
          <w:trHeight w:val="19"/>
          <w:jc w:val="center"/>
        </w:trPr>
        <w:tc>
          <w:tcPr>
            <w:tcW w:w="464" w:type="pct"/>
            <w:vAlign w:val="center"/>
          </w:tcPr>
          <w:p w14:paraId="602CB7FD" w14:textId="502A7392" w:rsidR="00724240" w:rsidRPr="00582ECD" w:rsidRDefault="00724240" w:rsidP="00724240">
            <w:pPr>
              <w:rPr>
                <w:rFonts w:asciiTheme="majorHAnsi" w:hAnsiTheme="majorHAnsi" w:cs="Calibri"/>
                <w:b/>
                <w:bCs/>
                <w:color w:val="000000"/>
                <w:sz w:val="18"/>
                <w:szCs w:val="18"/>
              </w:rPr>
            </w:pPr>
            <w:r w:rsidRPr="00582ECD">
              <w:rPr>
                <w:rFonts w:asciiTheme="majorHAnsi" w:hAnsiTheme="majorHAnsi"/>
                <w:b/>
                <w:color w:val="000000"/>
                <w:sz w:val="18"/>
              </w:rPr>
              <w:t>Belize</w:t>
            </w:r>
          </w:p>
        </w:tc>
        <w:tc>
          <w:tcPr>
            <w:tcW w:w="549" w:type="pct"/>
            <w:vAlign w:val="center"/>
          </w:tcPr>
          <w:p w14:paraId="2E9B6111" w14:textId="07A09AC2" w:rsidR="00724240" w:rsidRPr="00582ECD" w:rsidRDefault="00724240" w:rsidP="00724240">
            <w:pPr>
              <w:jc w:val="center"/>
              <w:rPr>
                <w:rFonts w:asciiTheme="majorHAnsi" w:hAnsiTheme="majorHAnsi" w:cstheme="minorHAnsi"/>
                <w:color w:val="000000"/>
                <w:sz w:val="18"/>
                <w:szCs w:val="18"/>
              </w:rPr>
            </w:pPr>
            <w:r w:rsidRPr="00582ECD">
              <w:rPr>
                <w:rFonts w:asciiTheme="majorHAnsi" w:hAnsiTheme="majorHAnsi"/>
                <w:color w:val="000000"/>
                <w:sz w:val="18"/>
              </w:rPr>
              <w:t>Oui</w:t>
            </w:r>
          </w:p>
        </w:tc>
        <w:tc>
          <w:tcPr>
            <w:tcW w:w="562" w:type="pct"/>
            <w:vAlign w:val="center"/>
          </w:tcPr>
          <w:p w14:paraId="19E7A231" w14:textId="375DBB7A" w:rsidR="00724240" w:rsidRPr="00582ECD" w:rsidRDefault="00724240" w:rsidP="00724240">
            <w:pPr>
              <w:jc w:val="center"/>
              <w:rPr>
                <w:rFonts w:asciiTheme="majorHAnsi" w:hAnsiTheme="majorHAnsi" w:cstheme="minorHAnsi"/>
                <w:color w:val="000000"/>
                <w:sz w:val="18"/>
                <w:szCs w:val="18"/>
              </w:rPr>
            </w:pPr>
            <w:r w:rsidRPr="00582ECD">
              <w:rPr>
                <w:rFonts w:asciiTheme="majorHAnsi" w:hAnsiTheme="majorHAnsi"/>
                <w:color w:val="000000"/>
                <w:sz w:val="18"/>
              </w:rPr>
              <w:t>Oui</w:t>
            </w:r>
          </w:p>
        </w:tc>
        <w:tc>
          <w:tcPr>
            <w:tcW w:w="546" w:type="pct"/>
            <w:vAlign w:val="center"/>
          </w:tcPr>
          <w:p w14:paraId="6646038C" w14:textId="21EDF73C" w:rsidR="00724240" w:rsidRPr="00582ECD" w:rsidRDefault="00724240" w:rsidP="00724240">
            <w:pPr>
              <w:jc w:val="center"/>
              <w:rPr>
                <w:rFonts w:asciiTheme="majorHAnsi" w:hAnsiTheme="majorHAnsi" w:cstheme="minorHAnsi"/>
                <w:color w:val="000000"/>
                <w:sz w:val="18"/>
                <w:szCs w:val="18"/>
              </w:rPr>
            </w:pPr>
            <w:r w:rsidRPr="00582ECD">
              <w:rPr>
                <w:rFonts w:asciiTheme="majorHAnsi" w:hAnsiTheme="majorHAnsi"/>
                <w:color w:val="000000"/>
                <w:sz w:val="18"/>
              </w:rPr>
              <w:t>Oui</w:t>
            </w:r>
          </w:p>
        </w:tc>
        <w:tc>
          <w:tcPr>
            <w:tcW w:w="1555" w:type="pct"/>
          </w:tcPr>
          <w:p w14:paraId="2702F238" w14:textId="41329050" w:rsidR="00724240" w:rsidRPr="00582ECD" w:rsidRDefault="00724240" w:rsidP="00724240">
            <w:pPr>
              <w:jc w:val="both"/>
              <w:rPr>
                <w:rFonts w:asciiTheme="majorHAnsi" w:hAnsiTheme="majorHAnsi"/>
                <w:sz w:val="18"/>
                <w:szCs w:val="18"/>
              </w:rPr>
            </w:pPr>
            <w:r w:rsidRPr="00582ECD">
              <w:rPr>
                <w:rFonts w:asciiTheme="majorHAnsi" w:hAnsiTheme="majorHAnsi"/>
                <w:sz w:val="18"/>
              </w:rPr>
              <w:t>Le NPOA pour les oiseaux de mer a été adopté en 2016.</w:t>
            </w:r>
          </w:p>
        </w:tc>
        <w:tc>
          <w:tcPr>
            <w:tcW w:w="1324" w:type="pct"/>
          </w:tcPr>
          <w:p w14:paraId="4BD72CE5" w14:textId="57599300" w:rsidR="00724240" w:rsidRPr="00582ECD" w:rsidRDefault="00724240" w:rsidP="00724240">
            <w:pPr>
              <w:jc w:val="both"/>
              <w:rPr>
                <w:rFonts w:asciiTheme="majorHAnsi" w:hAnsiTheme="majorHAnsi"/>
                <w:sz w:val="18"/>
                <w:szCs w:val="18"/>
              </w:rPr>
            </w:pPr>
            <w:r w:rsidRPr="00582ECD">
              <w:rPr>
                <w:rFonts w:asciiTheme="majorHAnsi" w:hAnsiTheme="majorHAnsi"/>
                <w:sz w:val="18"/>
              </w:rPr>
              <w:t xml:space="preserve">Une circulaire juridiquement contraignante a été émise conformément à cette exigence. Une ou plusieurs de ces mesures doivent être utilisées à bord des navires. Ces exigences sont également reflétées dans notre NPOA pour les oiseaux de mer. </w:t>
            </w:r>
          </w:p>
          <w:p w14:paraId="18E2333F" w14:textId="77777777" w:rsidR="00724240" w:rsidRPr="00582ECD" w:rsidRDefault="00724240" w:rsidP="00724240">
            <w:pPr>
              <w:jc w:val="both"/>
              <w:rPr>
                <w:rFonts w:asciiTheme="majorHAnsi" w:hAnsiTheme="majorHAnsi"/>
                <w:sz w:val="18"/>
                <w:szCs w:val="18"/>
              </w:rPr>
            </w:pPr>
          </w:p>
          <w:p w14:paraId="44D92B87" w14:textId="5B3E52A2" w:rsidR="00724240" w:rsidRPr="00582ECD" w:rsidRDefault="00724240" w:rsidP="00724240">
            <w:pPr>
              <w:jc w:val="both"/>
              <w:rPr>
                <w:rFonts w:asciiTheme="majorHAnsi" w:hAnsiTheme="majorHAnsi"/>
                <w:sz w:val="18"/>
                <w:szCs w:val="18"/>
              </w:rPr>
            </w:pPr>
            <w:r w:rsidRPr="00582ECD">
              <w:rPr>
                <w:rFonts w:asciiTheme="majorHAnsi" w:hAnsiTheme="majorHAnsi"/>
                <w:sz w:val="18"/>
              </w:rPr>
              <w:t>Zone : FAO 31 &amp; 34.</w:t>
            </w:r>
          </w:p>
          <w:p w14:paraId="389C1B95" w14:textId="77777777" w:rsidR="00CA678C" w:rsidRPr="00582ECD" w:rsidRDefault="00CA678C" w:rsidP="00724240">
            <w:pPr>
              <w:jc w:val="both"/>
              <w:rPr>
                <w:rFonts w:asciiTheme="majorHAnsi" w:hAnsiTheme="majorHAnsi"/>
                <w:sz w:val="18"/>
                <w:szCs w:val="18"/>
                <w:lang w:val="en-US"/>
              </w:rPr>
            </w:pPr>
          </w:p>
          <w:p w14:paraId="37131873" w14:textId="38D4BA80" w:rsidR="00536AB6" w:rsidRPr="00582ECD" w:rsidRDefault="00536AB6" w:rsidP="00724240">
            <w:pPr>
              <w:jc w:val="both"/>
              <w:rPr>
                <w:rFonts w:asciiTheme="majorHAnsi" w:hAnsiTheme="majorHAnsi"/>
                <w:sz w:val="18"/>
                <w:szCs w:val="18"/>
                <w:lang w:val="en-US"/>
              </w:rPr>
            </w:pPr>
          </w:p>
        </w:tc>
      </w:tr>
      <w:tr w:rsidR="00724240" w:rsidRPr="00582ECD" w14:paraId="48B99BCB" w14:textId="77777777" w:rsidTr="006D1FBF">
        <w:trPr>
          <w:trHeight w:val="19"/>
          <w:jc w:val="center"/>
        </w:trPr>
        <w:tc>
          <w:tcPr>
            <w:tcW w:w="464" w:type="pct"/>
            <w:vAlign w:val="center"/>
          </w:tcPr>
          <w:p w14:paraId="3A5DE02B" w14:textId="77777777" w:rsidR="00724240" w:rsidRPr="00582ECD" w:rsidRDefault="00724240" w:rsidP="00724240">
            <w:pPr>
              <w:rPr>
                <w:rFonts w:asciiTheme="majorHAnsi" w:hAnsiTheme="majorHAnsi" w:cs="Calibri"/>
                <w:b/>
                <w:bCs/>
                <w:color w:val="000000"/>
                <w:sz w:val="18"/>
                <w:szCs w:val="18"/>
              </w:rPr>
            </w:pPr>
            <w:r w:rsidRPr="00582ECD">
              <w:rPr>
                <w:rFonts w:asciiTheme="majorHAnsi" w:hAnsiTheme="majorHAnsi"/>
                <w:b/>
                <w:color w:val="000000"/>
                <w:sz w:val="18"/>
              </w:rPr>
              <w:t>Taipei chinois</w:t>
            </w:r>
          </w:p>
        </w:tc>
        <w:tc>
          <w:tcPr>
            <w:tcW w:w="549" w:type="pct"/>
            <w:vAlign w:val="center"/>
          </w:tcPr>
          <w:p w14:paraId="3E6DB547" w14:textId="77777777" w:rsidR="00724240" w:rsidRPr="00582ECD" w:rsidRDefault="00724240" w:rsidP="00724240">
            <w:pPr>
              <w:jc w:val="center"/>
              <w:rPr>
                <w:rFonts w:asciiTheme="majorHAnsi" w:hAnsiTheme="majorHAnsi" w:cstheme="minorHAnsi"/>
                <w:color w:val="000000"/>
                <w:sz w:val="18"/>
                <w:szCs w:val="18"/>
              </w:rPr>
            </w:pPr>
            <w:r w:rsidRPr="00582ECD">
              <w:rPr>
                <w:rFonts w:asciiTheme="majorHAnsi" w:hAnsiTheme="majorHAnsi"/>
                <w:color w:val="000000"/>
                <w:sz w:val="18"/>
              </w:rPr>
              <w:t>Oui</w:t>
            </w:r>
          </w:p>
        </w:tc>
        <w:tc>
          <w:tcPr>
            <w:tcW w:w="562" w:type="pct"/>
            <w:vAlign w:val="center"/>
          </w:tcPr>
          <w:p w14:paraId="11D02E9A" w14:textId="77777777" w:rsidR="00724240" w:rsidRPr="00582ECD" w:rsidRDefault="00724240" w:rsidP="00724240">
            <w:pPr>
              <w:jc w:val="center"/>
              <w:rPr>
                <w:rFonts w:asciiTheme="majorHAnsi" w:hAnsiTheme="majorHAnsi" w:cstheme="minorHAnsi"/>
                <w:color w:val="000000"/>
                <w:sz w:val="18"/>
                <w:szCs w:val="18"/>
              </w:rPr>
            </w:pPr>
            <w:r w:rsidRPr="00582ECD">
              <w:rPr>
                <w:rFonts w:asciiTheme="majorHAnsi" w:hAnsiTheme="majorHAnsi"/>
                <w:color w:val="000000"/>
                <w:sz w:val="18"/>
              </w:rPr>
              <w:t>Oui</w:t>
            </w:r>
          </w:p>
        </w:tc>
        <w:tc>
          <w:tcPr>
            <w:tcW w:w="546" w:type="pct"/>
            <w:vAlign w:val="center"/>
          </w:tcPr>
          <w:p w14:paraId="7A987A32" w14:textId="77777777" w:rsidR="00724240" w:rsidRPr="00582ECD" w:rsidRDefault="00724240" w:rsidP="00724240">
            <w:pPr>
              <w:jc w:val="center"/>
              <w:rPr>
                <w:rFonts w:asciiTheme="majorHAnsi" w:hAnsiTheme="majorHAnsi" w:cstheme="minorHAnsi"/>
                <w:color w:val="000000"/>
                <w:sz w:val="18"/>
                <w:szCs w:val="18"/>
              </w:rPr>
            </w:pPr>
            <w:r w:rsidRPr="00582ECD">
              <w:rPr>
                <w:rFonts w:asciiTheme="majorHAnsi" w:hAnsiTheme="majorHAnsi"/>
                <w:color w:val="000000"/>
                <w:sz w:val="18"/>
              </w:rPr>
              <w:t>Oui</w:t>
            </w:r>
          </w:p>
        </w:tc>
        <w:tc>
          <w:tcPr>
            <w:tcW w:w="1555" w:type="pct"/>
          </w:tcPr>
          <w:p w14:paraId="0457D6AC" w14:textId="77777777" w:rsidR="00CA678C" w:rsidRPr="00582ECD" w:rsidRDefault="00CA678C" w:rsidP="00CA678C">
            <w:pPr>
              <w:snapToGrid w:val="0"/>
              <w:spacing w:after="120"/>
              <w:jc w:val="both"/>
              <w:rPr>
                <w:rFonts w:asciiTheme="majorHAnsi" w:eastAsiaTheme="minorEastAsia" w:hAnsiTheme="majorHAnsi"/>
                <w:sz w:val="18"/>
                <w:szCs w:val="18"/>
              </w:rPr>
            </w:pPr>
            <w:r w:rsidRPr="00582ECD">
              <w:rPr>
                <w:rFonts w:asciiTheme="majorHAnsi" w:hAnsiTheme="majorHAnsi"/>
                <w:sz w:val="18"/>
              </w:rPr>
              <w:t xml:space="preserve">En 2006, nous avons adopté la première édition du NPOA-Oiseaux de mer qui inclut les trois mesures d’atténuation (filage de nuit, lignes </w:t>
            </w:r>
            <w:proofErr w:type="spellStart"/>
            <w:r w:rsidRPr="00582ECD">
              <w:rPr>
                <w:rFonts w:asciiTheme="majorHAnsi" w:hAnsiTheme="majorHAnsi"/>
                <w:sz w:val="18"/>
              </w:rPr>
              <w:t>tori</w:t>
            </w:r>
            <w:proofErr w:type="spellEnd"/>
            <w:r w:rsidRPr="00582ECD">
              <w:rPr>
                <w:rFonts w:asciiTheme="majorHAnsi" w:hAnsiTheme="majorHAnsi"/>
                <w:sz w:val="18"/>
              </w:rPr>
              <w:t xml:space="preserve"> et lestage des lignes) requises par l’ICCAT. </w:t>
            </w:r>
          </w:p>
          <w:p w14:paraId="55E7F972" w14:textId="7CB82C49" w:rsidR="00724240" w:rsidRPr="00582ECD" w:rsidRDefault="00CA678C" w:rsidP="00724240">
            <w:pPr>
              <w:jc w:val="both"/>
              <w:rPr>
                <w:rFonts w:asciiTheme="majorHAnsi" w:hAnsiTheme="majorHAnsi" w:cstheme="minorHAnsi"/>
                <w:color w:val="000000"/>
                <w:sz w:val="18"/>
                <w:szCs w:val="18"/>
              </w:rPr>
            </w:pPr>
            <w:r w:rsidRPr="00582ECD">
              <w:rPr>
                <w:rFonts w:asciiTheme="majorHAnsi" w:hAnsiTheme="majorHAnsi"/>
                <w:sz w:val="18"/>
              </w:rPr>
              <w:t>En 2014, nous avons révisé de manière approfondie le NPOA-Oiseaux de mer afin d’atteindre l’objectif de réduire la capture accidentelle d’oiseaux de mer dans les pêcheries palangrières.</w:t>
            </w:r>
          </w:p>
        </w:tc>
        <w:tc>
          <w:tcPr>
            <w:tcW w:w="1324" w:type="pct"/>
          </w:tcPr>
          <w:p w14:paraId="26B97078" w14:textId="77777777" w:rsidR="00CA678C" w:rsidRPr="00582ECD" w:rsidRDefault="00CA678C" w:rsidP="00CA678C">
            <w:pPr>
              <w:jc w:val="both"/>
              <w:rPr>
                <w:rFonts w:asciiTheme="majorHAnsi" w:eastAsiaTheme="minorEastAsia" w:hAnsiTheme="majorHAnsi"/>
                <w:sz w:val="18"/>
                <w:szCs w:val="18"/>
              </w:rPr>
            </w:pPr>
            <w:r w:rsidRPr="00582ECD">
              <w:rPr>
                <w:rFonts w:asciiTheme="majorHAnsi" w:hAnsiTheme="majorHAnsi"/>
                <w:sz w:val="18"/>
              </w:rPr>
              <w:t>Nous encourageons nos navires de pêche pêchant dans la zone située au sud de 20°S à adopter la mesure du mouillage nocturne avec un minimum d'éclairage sur le pont.</w:t>
            </w:r>
          </w:p>
          <w:p w14:paraId="331C72ED" w14:textId="77777777" w:rsidR="00CA678C" w:rsidRPr="00582ECD" w:rsidRDefault="00CA678C" w:rsidP="00CA678C">
            <w:pPr>
              <w:jc w:val="both"/>
              <w:rPr>
                <w:rFonts w:asciiTheme="majorHAnsi" w:eastAsiaTheme="minorEastAsia" w:hAnsiTheme="majorHAnsi"/>
                <w:sz w:val="18"/>
                <w:szCs w:val="18"/>
                <w:lang w:eastAsia="zh-TW"/>
              </w:rPr>
            </w:pPr>
          </w:p>
          <w:p w14:paraId="6571C4F0" w14:textId="77777777" w:rsidR="00CA678C" w:rsidRPr="00582ECD" w:rsidRDefault="00CA678C" w:rsidP="00CA678C">
            <w:pPr>
              <w:jc w:val="both"/>
              <w:rPr>
                <w:rFonts w:asciiTheme="majorHAnsi" w:eastAsiaTheme="minorEastAsia" w:hAnsiTheme="majorHAnsi"/>
                <w:sz w:val="18"/>
                <w:szCs w:val="18"/>
              </w:rPr>
            </w:pPr>
            <w:r w:rsidRPr="00582ECD">
              <w:rPr>
                <w:rFonts w:asciiTheme="majorHAnsi" w:hAnsiTheme="majorHAnsi"/>
                <w:sz w:val="18"/>
              </w:rPr>
              <w:t>Comme le stipule notre réglementation nationale, tout navire de pêche pêchant dans la zone située au Sud de 20°</w:t>
            </w:r>
            <w:proofErr w:type="spellStart"/>
            <w:r w:rsidRPr="00582ECD">
              <w:rPr>
                <w:rFonts w:asciiTheme="majorHAnsi" w:hAnsiTheme="majorHAnsi"/>
                <w:sz w:val="18"/>
              </w:rPr>
              <w:t>S est</w:t>
            </w:r>
            <w:proofErr w:type="spellEnd"/>
            <w:r w:rsidRPr="00582ECD">
              <w:rPr>
                <w:rFonts w:asciiTheme="majorHAnsi" w:hAnsiTheme="majorHAnsi"/>
                <w:sz w:val="18"/>
              </w:rPr>
              <w:t xml:space="preserve"> tenu d'utiliser des lignes de </w:t>
            </w:r>
            <w:proofErr w:type="spellStart"/>
            <w:r w:rsidRPr="00582ECD">
              <w:rPr>
                <w:rFonts w:asciiTheme="majorHAnsi" w:hAnsiTheme="majorHAnsi"/>
                <w:sz w:val="18"/>
              </w:rPr>
              <w:t>tori</w:t>
            </w:r>
            <w:proofErr w:type="spellEnd"/>
            <w:r w:rsidRPr="00582ECD">
              <w:rPr>
                <w:rFonts w:asciiTheme="majorHAnsi" w:hAnsiTheme="majorHAnsi"/>
                <w:sz w:val="18"/>
              </w:rPr>
              <w:t xml:space="preserve"> pendant la pêche et d'avoir à bord au moins un jeu de rechange. </w:t>
            </w:r>
          </w:p>
          <w:p w14:paraId="589D1908" w14:textId="77777777" w:rsidR="00CA678C" w:rsidRPr="00582ECD" w:rsidRDefault="00CA678C" w:rsidP="00CA678C">
            <w:pPr>
              <w:jc w:val="both"/>
              <w:rPr>
                <w:rFonts w:asciiTheme="majorHAnsi" w:eastAsiaTheme="minorEastAsia" w:hAnsiTheme="majorHAnsi"/>
                <w:sz w:val="18"/>
                <w:szCs w:val="18"/>
                <w:lang w:eastAsia="zh-TW"/>
              </w:rPr>
            </w:pPr>
          </w:p>
          <w:p w14:paraId="1DD62CB0" w14:textId="77777777" w:rsidR="00CA678C" w:rsidRPr="00582ECD" w:rsidRDefault="00CA678C" w:rsidP="00CA678C">
            <w:pPr>
              <w:jc w:val="both"/>
              <w:rPr>
                <w:rFonts w:asciiTheme="majorHAnsi" w:eastAsiaTheme="minorEastAsia" w:hAnsiTheme="majorHAnsi"/>
                <w:sz w:val="18"/>
                <w:szCs w:val="18"/>
              </w:rPr>
            </w:pPr>
            <w:r w:rsidRPr="00582ECD">
              <w:rPr>
                <w:rFonts w:asciiTheme="majorHAnsi" w:hAnsiTheme="majorHAnsi"/>
                <w:sz w:val="18"/>
              </w:rPr>
              <w:t>Tout navire de pêche pêchant dans la zone située au Sud de 25°</w:t>
            </w:r>
            <w:proofErr w:type="spellStart"/>
            <w:r w:rsidRPr="00582ECD">
              <w:rPr>
                <w:rFonts w:asciiTheme="majorHAnsi" w:hAnsiTheme="majorHAnsi"/>
                <w:sz w:val="18"/>
              </w:rPr>
              <w:t>S est</w:t>
            </w:r>
            <w:proofErr w:type="spellEnd"/>
            <w:r w:rsidRPr="00582ECD">
              <w:rPr>
                <w:rFonts w:asciiTheme="majorHAnsi" w:hAnsiTheme="majorHAnsi"/>
                <w:sz w:val="18"/>
              </w:rPr>
              <w:t xml:space="preserve"> tenu d'utiliser, en plus des lignes </w:t>
            </w:r>
            <w:proofErr w:type="spellStart"/>
            <w:r w:rsidRPr="00582ECD">
              <w:rPr>
                <w:rFonts w:asciiTheme="majorHAnsi" w:hAnsiTheme="majorHAnsi"/>
                <w:sz w:val="18"/>
              </w:rPr>
              <w:t>tori</w:t>
            </w:r>
            <w:proofErr w:type="spellEnd"/>
            <w:r w:rsidRPr="00582ECD">
              <w:rPr>
                <w:rFonts w:asciiTheme="majorHAnsi" w:hAnsiTheme="majorHAnsi"/>
                <w:sz w:val="18"/>
              </w:rPr>
              <w:t>, des avançons lestés pendant la pêche.</w:t>
            </w:r>
          </w:p>
          <w:p w14:paraId="3C7D1B2D" w14:textId="77777777" w:rsidR="00CA678C" w:rsidRPr="00582ECD" w:rsidRDefault="00CA678C" w:rsidP="00CA678C">
            <w:pPr>
              <w:jc w:val="both"/>
              <w:rPr>
                <w:rFonts w:asciiTheme="majorHAnsi" w:eastAsiaTheme="minorEastAsia" w:hAnsiTheme="majorHAnsi"/>
                <w:sz w:val="18"/>
                <w:szCs w:val="18"/>
                <w:lang w:eastAsia="zh-TW"/>
              </w:rPr>
            </w:pPr>
          </w:p>
          <w:p w14:paraId="268872E1" w14:textId="69684EE7" w:rsidR="00CA678C" w:rsidRPr="00582ECD" w:rsidRDefault="00CA678C" w:rsidP="00CA678C">
            <w:pPr>
              <w:jc w:val="both"/>
              <w:rPr>
                <w:rFonts w:asciiTheme="majorHAnsi" w:eastAsiaTheme="minorEastAsia" w:hAnsiTheme="majorHAnsi"/>
                <w:sz w:val="18"/>
                <w:szCs w:val="18"/>
              </w:rPr>
            </w:pPr>
            <w:r w:rsidRPr="00582ECD">
              <w:rPr>
                <w:rFonts w:asciiTheme="majorHAnsi" w:hAnsiTheme="majorHAnsi"/>
                <w:sz w:val="18"/>
              </w:rPr>
              <w:t xml:space="preserve">Comme le montre l'appendice de notre réglementation nationale, nous spécifions les exigences pour les lignes </w:t>
            </w:r>
            <w:proofErr w:type="spellStart"/>
            <w:r w:rsidRPr="00582ECD">
              <w:rPr>
                <w:rFonts w:asciiTheme="majorHAnsi" w:hAnsiTheme="majorHAnsi"/>
                <w:sz w:val="18"/>
              </w:rPr>
              <w:t>tori</w:t>
            </w:r>
            <w:proofErr w:type="spellEnd"/>
            <w:r w:rsidRPr="00582ECD">
              <w:rPr>
                <w:rFonts w:asciiTheme="majorHAnsi" w:hAnsiTheme="majorHAnsi"/>
                <w:sz w:val="18"/>
              </w:rPr>
              <w:t xml:space="preserve"> et les avançons lestés conformément aux normes techniques minimales de l’ICCAT.</w:t>
            </w:r>
          </w:p>
          <w:p w14:paraId="5BABD9EF" w14:textId="77777777" w:rsidR="00CA678C" w:rsidRPr="00582ECD" w:rsidRDefault="00CA678C" w:rsidP="00CA678C">
            <w:pPr>
              <w:jc w:val="both"/>
              <w:rPr>
                <w:rFonts w:asciiTheme="majorHAnsi" w:eastAsiaTheme="minorEastAsia" w:hAnsiTheme="majorHAnsi"/>
                <w:sz w:val="18"/>
                <w:szCs w:val="18"/>
                <w:lang w:eastAsia="zh-TW"/>
              </w:rPr>
            </w:pPr>
          </w:p>
          <w:p w14:paraId="6AD48881" w14:textId="61A7F159" w:rsidR="00CA678C" w:rsidRPr="00582ECD" w:rsidRDefault="00CA678C" w:rsidP="00CA678C">
            <w:pPr>
              <w:jc w:val="both"/>
              <w:rPr>
                <w:rFonts w:asciiTheme="majorHAnsi" w:eastAsiaTheme="minorEastAsia" w:hAnsiTheme="majorHAnsi"/>
                <w:sz w:val="18"/>
                <w:szCs w:val="18"/>
              </w:rPr>
            </w:pPr>
            <w:r w:rsidRPr="00582ECD">
              <w:rPr>
                <w:rFonts w:asciiTheme="majorHAnsi" w:hAnsiTheme="majorHAnsi"/>
                <w:sz w:val="18"/>
              </w:rPr>
              <w:t>Zone : Dans la zone située au sud du 20°S.</w:t>
            </w:r>
          </w:p>
          <w:p w14:paraId="131932AC" w14:textId="42D2A10D" w:rsidR="00724240" w:rsidRPr="00582ECD" w:rsidRDefault="00724240" w:rsidP="00724240">
            <w:pPr>
              <w:jc w:val="both"/>
              <w:rPr>
                <w:rFonts w:asciiTheme="majorHAnsi" w:hAnsiTheme="majorHAnsi" w:cstheme="minorHAnsi"/>
                <w:color w:val="000000"/>
                <w:sz w:val="18"/>
                <w:szCs w:val="18"/>
                <w:lang w:eastAsia="en-GB"/>
              </w:rPr>
            </w:pPr>
          </w:p>
        </w:tc>
      </w:tr>
      <w:tr w:rsidR="00CA678C" w:rsidRPr="00582ECD" w14:paraId="6F9963F8" w14:textId="77777777" w:rsidTr="006D1FBF">
        <w:trPr>
          <w:trHeight w:val="19"/>
          <w:jc w:val="center"/>
        </w:trPr>
        <w:tc>
          <w:tcPr>
            <w:tcW w:w="464" w:type="pct"/>
            <w:vAlign w:val="center"/>
          </w:tcPr>
          <w:p w14:paraId="139A9423" w14:textId="77777777" w:rsidR="00CA678C" w:rsidRPr="00582ECD" w:rsidRDefault="00CA678C" w:rsidP="00CA678C">
            <w:pPr>
              <w:rPr>
                <w:rFonts w:asciiTheme="majorHAnsi" w:hAnsiTheme="majorHAnsi" w:cs="Calibri"/>
                <w:b/>
                <w:bCs/>
                <w:color w:val="000000"/>
                <w:sz w:val="18"/>
                <w:szCs w:val="18"/>
              </w:rPr>
            </w:pPr>
            <w:r w:rsidRPr="00582ECD">
              <w:rPr>
                <w:rFonts w:asciiTheme="majorHAnsi" w:hAnsiTheme="majorHAnsi"/>
                <w:b/>
                <w:color w:val="000000"/>
                <w:sz w:val="18"/>
              </w:rPr>
              <w:t>Costa Rica</w:t>
            </w:r>
          </w:p>
        </w:tc>
        <w:tc>
          <w:tcPr>
            <w:tcW w:w="549" w:type="pct"/>
          </w:tcPr>
          <w:p w14:paraId="0E29794F" w14:textId="18DC6D1F" w:rsidR="00CA678C" w:rsidRPr="00582ECD" w:rsidRDefault="00CA678C" w:rsidP="00CA678C">
            <w:pPr>
              <w:jc w:val="both"/>
              <w:rPr>
                <w:rFonts w:asciiTheme="majorHAnsi" w:hAnsiTheme="majorHAnsi" w:cstheme="minorHAnsi"/>
                <w:color w:val="000000"/>
                <w:sz w:val="18"/>
                <w:szCs w:val="18"/>
              </w:rPr>
            </w:pPr>
            <w:r w:rsidRPr="00582ECD">
              <w:rPr>
                <w:rFonts w:asciiTheme="majorHAnsi" w:hAnsiTheme="majorHAnsi"/>
                <w:sz w:val="18"/>
              </w:rPr>
              <w:t>Le Costa Rica ne mène aucune activité de pêche dans l'Atlantique Sud.</w:t>
            </w:r>
          </w:p>
        </w:tc>
        <w:tc>
          <w:tcPr>
            <w:tcW w:w="562" w:type="pct"/>
          </w:tcPr>
          <w:p w14:paraId="681F7150" w14:textId="2EAC09BE" w:rsidR="00CA678C" w:rsidRPr="00582ECD" w:rsidRDefault="00276BEA" w:rsidP="00CA678C">
            <w:pPr>
              <w:jc w:val="both"/>
              <w:rPr>
                <w:rFonts w:asciiTheme="majorHAnsi" w:hAnsiTheme="majorHAnsi"/>
                <w:sz w:val="18"/>
                <w:szCs w:val="18"/>
              </w:rPr>
            </w:pPr>
            <w:r w:rsidRPr="00582ECD">
              <w:rPr>
                <w:rFonts w:asciiTheme="majorHAnsi" w:hAnsiTheme="majorHAnsi"/>
                <w:sz w:val="18"/>
              </w:rPr>
              <w:t>Le Costa Rica ne mène aucune activité de pêche dans l'Atlantique Sud.</w:t>
            </w:r>
          </w:p>
        </w:tc>
        <w:tc>
          <w:tcPr>
            <w:tcW w:w="546" w:type="pct"/>
          </w:tcPr>
          <w:p w14:paraId="0AB0170A" w14:textId="77777777" w:rsidR="00CA678C" w:rsidRDefault="00276BEA" w:rsidP="00276BEA">
            <w:pPr>
              <w:jc w:val="both"/>
              <w:rPr>
                <w:rFonts w:asciiTheme="majorHAnsi" w:hAnsiTheme="majorHAnsi"/>
                <w:sz w:val="18"/>
              </w:rPr>
            </w:pPr>
            <w:r w:rsidRPr="00582ECD">
              <w:rPr>
                <w:rFonts w:asciiTheme="majorHAnsi" w:hAnsiTheme="majorHAnsi"/>
                <w:sz w:val="18"/>
              </w:rPr>
              <w:t>Le Costa Rica ne mène aucune activité de pêche dans l'Atlantique Sud.</w:t>
            </w:r>
          </w:p>
          <w:p w14:paraId="194AEAF3" w14:textId="13D6A6AF" w:rsidR="00F24C04" w:rsidRPr="00582ECD" w:rsidRDefault="00F24C04" w:rsidP="00276BEA">
            <w:pPr>
              <w:jc w:val="both"/>
              <w:rPr>
                <w:rFonts w:asciiTheme="majorHAnsi" w:hAnsiTheme="majorHAnsi"/>
                <w:sz w:val="18"/>
                <w:szCs w:val="18"/>
              </w:rPr>
            </w:pPr>
          </w:p>
        </w:tc>
        <w:tc>
          <w:tcPr>
            <w:tcW w:w="1555" w:type="pct"/>
          </w:tcPr>
          <w:p w14:paraId="0616E9F9" w14:textId="6D2122A4" w:rsidR="00CA678C" w:rsidRPr="00582ECD" w:rsidRDefault="009E3EB2" w:rsidP="00CA678C">
            <w:pPr>
              <w:jc w:val="both"/>
              <w:rPr>
                <w:rFonts w:asciiTheme="majorHAnsi" w:hAnsiTheme="majorHAnsi" w:cstheme="minorHAnsi"/>
                <w:color w:val="000000"/>
                <w:sz w:val="18"/>
                <w:szCs w:val="18"/>
              </w:rPr>
            </w:pPr>
            <w:r w:rsidRPr="00582ECD">
              <w:rPr>
                <w:rFonts w:asciiTheme="majorHAnsi" w:hAnsiTheme="majorHAnsi"/>
                <w:sz w:val="18"/>
              </w:rPr>
              <w:t>Le Costa Rica ne mène aucune activité de pêche dans l'Atlantique Sud.</w:t>
            </w:r>
          </w:p>
        </w:tc>
        <w:tc>
          <w:tcPr>
            <w:tcW w:w="1324" w:type="pct"/>
          </w:tcPr>
          <w:p w14:paraId="381A9A2C" w14:textId="77777777" w:rsidR="00CA678C" w:rsidRPr="00582ECD" w:rsidRDefault="00CA678C" w:rsidP="00CA678C">
            <w:pPr>
              <w:rPr>
                <w:rFonts w:asciiTheme="majorHAnsi" w:hAnsiTheme="majorHAnsi" w:cstheme="minorHAnsi"/>
                <w:color w:val="000000"/>
                <w:sz w:val="18"/>
                <w:szCs w:val="18"/>
                <w:lang w:eastAsia="en-GB"/>
              </w:rPr>
            </w:pPr>
          </w:p>
        </w:tc>
      </w:tr>
      <w:tr w:rsidR="00724240" w:rsidRPr="00582ECD" w14:paraId="374DA128" w14:textId="77777777" w:rsidTr="006D1FBF">
        <w:trPr>
          <w:trHeight w:val="19"/>
          <w:jc w:val="center"/>
        </w:trPr>
        <w:tc>
          <w:tcPr>
            <w:tcW w:w="464" w:type="pct"/>
            <w:vAlign w:val="center"/>
          </w:tcPr>
          <w:p w14:paraId="71B69A52" w14:textId="77777777" w:rsidR="00724240" w:rsidRPr="00582ECD" w:rsidRDefault="00724240" w:rsidP="00724240">
            <w:pPr>
              <w:rPr>
                <w:rFonts w:asciiTheme="majorHAnsi" w:hAnsiTheme="majorHAnsi" w:cs="Calibri"/>
                <w:b/>
                <w:bCs/>
                <w:color w:val="000000"/>
                <w:sz w:val="18"/>
                <w:szCs w:val="18"/>
              </w:rPr>
            </w:pPr>
            <w:r w:rsidRPr="00582ECD">
              <w:rPr>
                <w:rFonts w:asciiTheme="majorHAnsi" w:hAnsiTheme="majorHAnsi"/>
                <w:b/>
                <w:color w:val="000000"/>
                <w:sz w:val="18"/>
              </w:rPr>
              <w:lastRenderedPageBreak/>
              <w:t>UE</w:t>
            </w:r>
          </w:p>
        </w:tc>
        <w:tc>
          <w:tcPr>
            <w:tcW w:w="549" w:type="pct"/>
          </w:tcPr>
          <w:p w14:paraId="054B23F1" w14:textId="27647DC9" w:rsidR="00724240" w:rsidRPr="00582ECD" w:rsidRDefault="00724240" w:rsidP="00724240">
            <w:pPr>
              <w:jc w:val="both"/>
              <w:rPr>
                <w:rFonts w:asciiTheme="majorHAnsi" w:hAnsiTheme="majorHAnsi"/>
                <w:sz w:val="18"/>
                <w:szCs w:val="18"/>
              </w:rPr>
            </w:pPr>
            <w:r w:rsidRPr="00582ECD">
              <w:rPr>
                <w:rFonts w:asciiTheme="majorHAnsi" w:hAnsiTheme="majorHAnsi"/>
                <w:sz w:val="18"/>
              </w:rPr>
              <w:t>Le mouillage nocturne des filets n'est généralement pas appliqué pour la plupart des opérations à la palangre de surface et de fond.</w:t>
            </w:r>
          </w:p>
        </w:tc>
        <w:tc>
          <w:tcPr>
            <w:tcW w:w="562" w:type="pct"/>
          </w:tcPr>
          <w:p w14:paraId="2EAE9A9C" w14:textId="77777777" w:rsidR="00724240" w:rsidRPr="00582ECD" w:rsidRDefault="00724240" w:rsidP="00724240">
            <w:pPr>
              <w:jc w:val="both"/>
              <w:rPr>
                <w:rFonts w:asciiTheme="majorHAnsi" w:hAnsiTheme="majorHAnsi"/>
                <w:sz w:val="18"/>
                <w:szCs w:val="18"/>
              </w:rPr>
            </w:pPr>
            <w:r w:rsidRPr="00582ECD">
              <w:rPr>
                <w:rFonts w:asciiTheme="majorHAnsi" w:hAnsiTheme="majorHAnsi"/>
                <w:sz w:val="18"/>
              </w:rPr>
              <w:t>Non appliqué</w:t>
            </w:r>
          </w:p>
        </w:tc>
        <w:tc>
          <w:tcPr>
            <w:tcW w:w="546" w:type="pct"/>
          </w:tcPr>
          <w:p w14:paraId="7B6E2624" w14:textId="77777777" w:rsidR="00724240" w:rsidRPr="00582ECD" w:rsidRDefault="00724240" w:rsidP="00724240">
            <w:pPr>
              <w:jc w:val="both"/>
              <w:rPr>
                <w:rFonts w:asciiTheme="majorHAnsi" w:hAnsiTheme="majorHAnsi"/>
                <w:sz w:val="18"/>
                <w:szCs w:val="18"/>
              </w:rPr>
            </w:pPr>
            <w:r w:rsidRPr="00582ECD">
              <w:rPr>
                <w:rFonts w:asciiTheme="majorHAnsi" w:hAnsiTheme="majorHAnsi"/>
                <w:sz w:val="18"/>
              </w:rPr>
              <w:t>Le lestage des lignes est utilisé dans les palangres de fond, mais il ne l'est généralement pas dans les palangres de surface.</w:t>
            </w:r>
          </w:p>
        </w:tc>
        <w:tc>
          <w:tcPr>
            <w:tcW w:w="1555" w:type="pct"/>
          </w:tcPr>
          <w:p w14:paraId="4BBA1A41" w14:textId="553A410A" w:rsidR="00724240" w:rsidRPr="00582ECD" w:rsidRDefault="00724240" w:rsidP="00724240">
            <w:pPr>
              <w:jc w:val="both"/>
              <w:rPr>
                <w:rFonts w:asciiTheme="majorHAnsi" w:hAnsiTheme="majorHAnsi"/>
                <w:sz w:val="18"/>
                <w:szCs w:val="18"/>
              </w:rPr>
            </w:pPr>
            <w:r w:rsidRPr="00582ECD">
              <w:rPr>
                <w:rFonts w:asciiTheme="majorHAnsi" w:hAnsiTheme="majorHAnsi"/>
                <w:sz w:val="18"/>
              </w:rPr>
              <w:t>Aucun plan national d'action n'est actuellement en vigueur.</w:t>
            </w:r>
          </w:p>
        </w:tc>
        <w:tc>
          <w:tcPr>
            <w:tcW w:w="1324" w:type="pct"/>
          </w:tcPr>
          <w:p w14:paraId="4FB57B1E" w14:textId="166958C9" w:rsidR="00CA678C" w:rsidRPr="00582ECD" w:rsidRDefault="00CA678C" w:rsidP="006D1FBF">
            <w:pPr>
              <w:widowControl/>
              <w:jc w:val="both"/>
              <w:rPr>
                <w:rFonts w:asciiTheme="majorHAnsi" w:hAnsiTheme="majorHAnsi"/>
                <w:color w:val="1C283D"/>
                <w:sz w:val="18"/>
                <w:szCs w:val="18"/>
              </w:rPr>
            </w:pPr>
            <w:r w:rsidRPr="00582ECD">
              <w:rPr>
                <w:rFonts w:asciiTheme="majorHAnsi" w:hAnsiTheme="majorHAnsi"/>
                <w:color w:val="1C283D"/>
                <w:sz w:val="18"/>
              </w:rPr>
              <w:t>Bien que le mouillage nocturne avec un éclairage minimal du pont ne soit généralement pas appliqué, les captures accidentelles d'oiseaux de mer à la palangre de surface et la palangre de fond sont extrêmement faibles.</w:t>
            </w:r>
          </w:p>
          <w:p w14:paraId="00411AC6" w14:textId="77777777" w:rsidR="00CA678C" w:rsidRPr="00582ECD" w:rsidRDefault="00CA678C" w:rsidP="006D1FBF">
            <w:pPr>
              <w:widowControl/>
              <w:jc w:val="both"/>
              <w:rPr>
                <w:rFonts w:asciiTheme="majorHAnsi" w:hAnsiTheme="majorHAnsi"/>
                <w:color w:val="1C283D"/>
                <w:sz w:val="18"/>
                <w:szCs w:val="18"/>
              </w:rPr>
            </w:pPr>
          </w:p>
          <w:p w14:paraId="5CACCE7B" w14:textId="66D02683" w:rsidR="00CA678C" w:rsidRPr="00582ECD" w:rsidRDefault="00CA678C" w:rsidP="006D1FBF">
            <w:pPr>
              <w:widowControl/>
              <w:jc w:val="both"/>
              <w:rPr>
                <w:rFonts w:asciiTheme="majorHAnsi" w:hAnsiTheme="majorHAnsi"/>
                <w:color w:val="1C283D"/>
                <w:sz w:val="18"/>
                <w:szCs w:val="18"/>
              </w:rPr>
            </w:pPr>
            <w:r w:rsidRPr="00582ECD">
              <w:rPr>
                <w:rFonts w:asciiTheme="majorHAnsi" w:hAnsiTheme="majorHAnsi"/>
                <w:color w:val="1C283D"/>
                <w:sz w:val="18"/>
              </w:rPr>
              <w:t xml:space="preserve">Bien que les lignes d'effarouchement des oiseaux (lignes </w:t>
            </w:r>
            <w:proofErr w:type="spellStart"/>
            <w:r w:rsidRPr="00582ECD">
              <w:rPr>
                <w:rFonts w:asciiTheme="majorHAnsi" w:hAnsiTheme="majorHAnsi"/>
                <w:color w:val="1C283D"/>
                <w:sz w:val="18"/>
              </w:rPr>
              <w:t>tori</w:t>
            </w:r>
            <w:proofErr w:type="spellEnd"/>
            <w:r w:rsidRPr="00582ECD">
              <w:rPr>
                <w:rFonts w:asciiTheme="majorHAnsi" w:hAnsiTheme="majorHAnsi"/>
                <w:color w:val="1C283D"/>
                <w:sz w:val="18"/>
              </w:rPr>
              <w:t>) ne soient pas utilisées, les captures accidentelles d'oiseaux de mer à la palangre de surface et à la palangre de fond sont extrêmement faibles.</w:t>
            </w:r>
          </w:p>
          <w:p w14:paraId="6C7A397F" w14:textId="77777777" w:rsidR="00CA678C" w:rsidRPr="00582ECD" w:rsidRDefault="00CA678C" w:rsidP="006D1FBF">
            <w:pPr>
              <w:widowControl/>
              <w:jc w:val="both"/>
              <w:rPr>
                <w:rFonts w:asciiTheme="majorHAnsi" w:hAnsiTheme="majorHAnsi"/>
                <w:color w:val="1C283D"/>
                <w:sz w:val="18"/>
                <w:szCs w:val="18"/>
              </w:rPr>
            </w:pPr>
          </w:p>
          <w:p w14:paraId="27FCAC2F" w14:textId="68EC1401" w:rsidR="00CA678C" w:rsidRPr="00582ECD" w:rsidRDefault="00CA678C" w:rsidP="006D1FBF">
            <w:pPr>
              <w:widowControl/>
              <w:jc w:val="both"/>
              <w:rPr>
                <w:rFonts w:asciiTheme="majorHAnsi" w:hAnsiTheme="majorHAnsi"/>
                <w:color w:val="1C283D"/>
                <w:sz w:val="18"/>
                <w:szCs w:val="18"/>
              </w:rPr>
            </w:pPr>
            <w:r w:rsidRPr="00582ECD">
              <w:rPr>
                <w:rFonts w:asciiTheme="majorHAnsi" w:hAnsiTheme="majorHAnsi"/>
                <w:color w:val="1C283D"/>
                <w:sz w:val="18"/>
              </w:rPr>
              <w:t>Lestage des lignes appliqué à toutes les opérations  à la palangre de fond. Le lestage des lignes n'est généralement pas appliquée aux palangres de surface. Les prises accessoires d’oiseaux de mer réalisées par les palangres de surface et de fond sont extrêmement faibles.</w:t>
            </w:r>
          </w:p>
          <w:p w14:paraId="2366420B" w14:textId="77777777" w:rsidR="00CA678C" w:rsidRPr="00582ECD" w:rsidRDefault="00CA678C" w:rsidP="006D1FBF">
            <w:pPr>
              <w:widowControl/>
              <w:jc w:val="both"/>
              <w:rPr>
                <w:rFonts w:asciiTheme="majorHAnsi" w:hAnsiTheme="majorHAnsi"/>
                <w:color w:val="1C283D"/>
                <w:sz w:val="18"/>
                <w:szCs w:val="18"/>
              </w:rPr>
            </w:pPr>
          </w:p>
          <w:p w14:paraId="250077F7" w14:textId="5988414F" w:rsidR="00CA678C" w:rsidRPr="00582ECD" w:rsidRDefault="00CA678C" w:rsidP="00CA678C">
            <w:pPr>
              <w:pStyle w:val="ListParagraph"/>
              <w:widowControl/>
              <w:numPr>
                <w:ilvl w:val="0"/>
                <w:numId w:val="11"/>
              </w:numPr>
              <w:jc w:val="both"/>
              <w:rPr>
                <w:rFonts w:asciiTheme="majorHAnsi" w:hAnsiTheme="majorHAnsi"/>
                <w:color w:val="1C283D"/>
                <w:sz w:val="18"/>
                <w:szCs w:val="18"/>
              </w:rPr>
            </w:pPr>
            <w:r w:rsidRPr="00582ECD">
              <w:rPr>
                <w:rFonts w:asciiTheme="majorHAnsi" w:hAnsiTheme="majorHAnsi"/>
                <w:color w:val="1C283D"/>
                <w:sz w:val="18"/>
              </w:rPr>
              <w:t>Zone : Méditerranée centrale.</w:t>
            </w:r>
          </w:p>
          <w:p w14:paraId="3EAABE27" w14:textId="241DBC3B" w:rsidR="00724240" w:rsidRPr="00582ECD" w:rsidRDefault="00724240" w:rsidP="00724240">
            <w:pPr>
              <w:jc w:val="both"/>
              <w:rPr>
                <w:rFonts w:asciiTheme="majorHAnsi" w:hAnsiTheme="majorHAnsi"/>
                <w:color w:val="1C283D"/>
                <w:sz w:val="18"/>
                <w:szCs w:val="18"/>
                <w:lang w:val="en-GB" w:eastAsia="en-GB"/>
              </w:rPr>
            </w:pPr>
          </w:p>
        </w:tc>
      </w:tr>
      <w:tr w:rsidR="00724240" w:rsidRPr="00582ECD" w14:paraId="03B65ECB" w14:textId="77777777" w:rsidTr="006D1FBF">
        <w:trPr>
          <w:trHeight w:val="19"/>
          <w:jc w:val="center"/>
        </w:trPr>
        <w:tc>
          <w:tcPr>
            <w:tcW w:w="464" w:type="pct"/>
            <w:vAlign w:val="center"/>
          </w:tcPr>
          <w:p w14:paraId="382C3DD8" w14:textId="77777777" w:rsidR="00724240" w:rsidRPr="00582ECD" w:rsidRDefault="00724240" w:rsidP="00724240">
            <w:pPr>
              <w:rPr>
                <w:rFonts w:asciiTheme="majorHAnsi" w:hAnsiTheme="majorHAnsi" w:cs="Calibri"/>
                <w:b/>
                <w:bCs/>
                <w:color w:val="000000"/>
                <w:sz w:val="18"/>
                <w:szCs w:val="18"/>
              </w:rPr>
            </w:pPr>
            <w:r w:rsidRPr="00582ECD">
              <w:rPr>
                <w:rFonts w:asciiTheme="majorHAnsi" w:hAnsiTheme="majorHAnsi"/>
                <w:b/>
                <w:color w:val="000000"/>
                <w:sz w:val="18"/>
              </w:rPr>
              <w:t>Japon</w:t>
            </w:r>
          </w:p>
        </w:tc>
        <w:tc>
          <w:tcPr>
            <w:tcW w:w="549" w:type="pct"/>
            <w:vAlign w:val="center"/>
          </w:tcPr>
          <w:p w14:paraId="144D57CB" w14:textId="77777777" w:rsidR="00724240" w:rsidRPr="00582ECD" w:rsidRDefault="00724240" w:rsidP="00724240">
            <w:pPr>
              <w:jc w:val="center"/>
              <w:rPr>
                <w:rFonts w:asciiTheme="majorHAnsi" w:hAnsiTheme="majorHAnsi" w:cstheme="minorHAnsi"/>
                <w:color w:val="000000"/>
                <w:sz w:val="18"/>
                <w:szCs w:val="18"/>
              </w:rPr>
            </w:pPr>
            <w:r w:rsidRPr="00582ECD">
              <w:rPr>
                <w:rFonts w:asciiTheme="majorHAnsi" w:hAnsiTheme="majorHAnsi"/>
                <w:color w:val="000000"/>
                <w:sz w:val="18"/>
              </w:rPr>
              <w:t>Oui</w:t>
            </w:r>
          </w:p>
        </w:tc>
        <w:tc>
          <w:tcPr>
            <w:tcW w:w="562" w:type="pct"/>
            <w:vAlign w:val="center"/>
          </w:tcPr>
          <w:p w14:paraId="762DD5CB" w14:textId="77777777" w:rsidR="00724240" w:rsidRPr="00582ECD" w:rsidRDefault="00724240" w:rsidP="00724240">
            <w:pPr>
              <w:jc w:val="center"/>
              <w:rPr>
                <w:rFonts w:asciiTheme="majorHAnsi" w:hAnsiTheme="majorHAnsi" w:cstheme="minorHAnsi"/>
                <w:color w:val="000000"/>
                <w:sz w:val="18"/>
                <w:szCs w:val="18"/>
              </w:rPr>
            </w:pPr>
            <w:r w:rsidRPr="00582ECD">
              <w:rPr>
                <w:rFonts w:asciiTheme="majorHAnsi" w:hAnsiTheme="majorHAnsi"/>
                <w:color w:val="000000"/>
                <w:sz w:val="18"/>
              </w:rPr>
              <w:t>Oui</w:t>
            </w:r>
          </w:p>
        </w:tc>
        <w:tc>
          <w:tcPr>
            <w:tcW w:w="546" w:type="pct"/>
            <w:vAlign w:val="center"/>
          </w:tcPr>
          <w:p w14:paraId="576FBEC9" w14:textId="77777777" w:rsidR="00724240" w:rsidRPr="00582ECD" w:rsidRDefault="00724240" w:rsidP="00724240">
            <w:pPr>
              <w:jc w:val="center"/>
              <w:rPr>
                <w:rFonts w:asciiTheme="majorHAnsi" w:hAnsiTheme="majorHAnsi" w:cstheme="minorHAnsi"/>
                <w:color w:val="000000"/>
                <w:sz w:val="18"/>
                <w:szCs w:val="18"/>
              </w:rPr>
            </w:pPr>
            <w:r w:rsidRPr="00582ECD">
              <w:rPr>
                <w:rFonts w:asciiTheme="majorHAnsi" w:hAnsiTheme="majorHAnsi"/>
                <w:color w:val="000000"/>
                <w:sz w:val="18"/>
              </w:rPr>
              <w:t>Oui</w:t>
            </w:r>
          </w:p>
        </w:tc>
        <w:tc>
          <w:tcPr>
            <w:tcW w:w="1555" w:type="pct"/>
          </w:tcPr>
          <w:p w14:paraId="74F7108A" w14:textId="3A161E20" w:rsidR="00724240" w:rsidRPr="00582ECD" w:rsidRDefault="00724240" w:rsidP="00724240">
            <w:pPr>
              <w:jc w:val="both"/>
              <w:rPr>
                <w:rFonts w:asciiTheme="majorHAnsi" w:hAnsiTheme="majorHAnsi" w:cstheme="minorHAnsi"/>
                <w:color w:val="000000"/>
                <w:sz w:val="18"/>
                <w:szCs w:val="18"/>
              </w:rPr>
            </w:pPr>
            <w:r w:rsidRPr="00582ECD">
              <w:rPr>
                <w:rFonts w:asciiTheme="majorHAnsi" w:hAnsiTheme="majorHAnsi"/>
                <w:color w:val="000000"/>
                <w:sz w:val="18"/>
              </w:rPr>
              <w:t xml:space="preserve">Voir l’ </w:t>
            </w:r>
            <w:r w:rsidRPr="00582ECD">
              <w:rPr>
                <w:rFonts w:asciiTheme="majorHAnsi" w:hAnsiTheme="majorHAnsi"/>
                <w:b/>
                <w:bCs/>
                <w:color w:val="000000"/>
                <w:sz w:val="18"/>
              </w:rPr>
              <w:t>Annexe 9</w:t>
            </w:r>
            <w:r w:rsidRPr="00582ECD">
              <w:rPr>
                <w:rFonts w:asciiTheme="majorHAnsi" w:hAnsiTheme="majorHAnsi"/>
                <w:color w:val="000000"/>
                <w:sz w:val="18"/>
              </w:rPr>
              <w:t xml:space="preserve"> au COC-303/ 2026.</w:t>
            </w:r>
          </w:p>
        </w:tc>
        <w:tc>
          <w:tcPr>
            <w:tcW w:w="1324" w:type="pct"/>
          </w:tcPr>
          <w:p w14:paraId="3D518A6F" w14:textId="77777777" w:rsidR="00CA678C" w:rsidRPr="00582ECD" w:rsidRDefault="00CA678C" w:rsidP="00CA678C">
            <w:pPr>
              <w:jc w:val="both"/>
              <w:rPr>
                <w:rFonts w:asciiTheme="majorHAnsi" w:eastAsiaTheme="minorEastAsia" w:hAnsiTheme="majorHAnsi"/>
                <w:sz w:val="18"/>
                <w:szCs w:val="18"/>
              </w:rPr>
            </w:pPr>
            <w:r w:rsidRPr="00582ECD">
              <w:rPr>
                <w:rFonts w:asciiTheme="majorHAnsi" w:hAnsiTheme="majorHAnsi"/>
                <w:sz w:val="18"/>
              </w:rPr>
              <w:t>Requis par Arrêté ministériel nº57</w:t>
            </w:r>
          </w:p>
          <w:p w14:paraId="7C38ABDF" w14:textId="77777777" w:rsidR="00CA678C" w:rsidRPr="00582ECD" w:rsidRDefault="00CA678C" w:rsidP="00CA678C">
            <w:pPr>
              <w:jc w:val="both"/>
              <w:rPr>
                <w:rFonts w:asciiTheme="majorHAnsi" w:eastAsiaTheme="minorEastAsia" w:hAnsiTheme="majorHAnsi"/>
                <w:sz w:val="18"/>
                <w:szCs w:val="18"/>
                <w:lang w:eastAsia="ja-JP"/>
              </w:rPr>
            </w:pPr>
          </w:p>
          <w:p w14:paraId="25268B44" w14:textId="77777777" w:rsidR="00CA678C" w:rsidRPr="00582ECD" w:rsidRDefault="00CA678C" w:rsidP="00CA678C">
            <w:pPr>
              <w:jc w:val="both"/>
              <w:rPr>
                <w:rFonts w:asciiTheme="majorHAnsi" w:eastAsiaTheme="minorEastAsia" w:hAnsiTheme="majorHAnsi"/>
                <w:sz w:val="18"/>
                <w:szCs w:val="18"/>
              </w:rPr>
            </w:pPr>
            <w:r w:rsidRPr="00582ECD">
              <w:rPr>
                <w:rFonts w:asciiTheme="majorHAnsi" w:hAnsiTheme="majorHAnsi"/>
                <w:sz w:val="18"/>
              </w:rPr>
              <w:t>Zone :</w:t>
            </w:r>
          </w:p>
          <w:p w14:paraId="52B96FEA" w14:textId="442DCDC0" w:rsidR="00CA678C" w:rsidRPr="00582ECD" w:rsidRDefault="00CA678C" w:rsidP="00CA678C">
            <w:pPr>
              <w:jc w:val="both"/>
              <w:rPr>
                <w:rFonts w:asciiTheme="majorHAnsi" w:eastAsiaTheme="minorEastAsia" w:hAnsiTheme="majorHAnsi"/>
                <w:sz w:val="18"/>
                <w:szCs w:val="18"/>
              </w:rPr>
            </w:pPr>
            <w:r w:rsidRPr="00582ECD">
              <w:rPr>
                <w:rFonts w:asciiTheme="majorHAnsi" w:hAnsiTheme="majorHAnsi"/>
                <w:sz w:val="18"/>
              </w:rPr>
              <w:t xml:space="preserve">Au sud de 25 degrés S, il est nécessaire d'utiliser au moins deux mesures d'atténuation sur les trois énumérées ici (conformément à la Rec. 11-09). Dans la zone située au Sud de 20 degrés S et au Nord de 25 degrés S, il est obligatoire d'utiliser la ligne </w:t>
            </w:r>
            <w:proofErr w:type="spellStart"/>
            <w:r w:rsidRPr="00582ECD">
              <w:rPr>
                <w:rFonts w:asciiTheme="majorHAnsi" w:hAnsiTheme="majorHAnsi"/>
                <w:sz w:val="18"/>
              </w:rPr>
              <w:t>tori</w:t>
            </w:r>
            <w:proofErr w:type="spellEnd"/>
            <w:r w:rsidRPr="00582ECD">
              <w:rPr>
                <w:rFonts w:asciiTheme="majorHAnsi" w:hAnsiTheme="majorHAnsi"/>
                <w:sz w:val="18"/>
              </w:rPr>
              <w:t xml:space="preserve"> (conformément à la Rec. 07-07).</w:t>
            </w:r>
          </w:p>
          <w:p w14:paraId="6395C513" w14:textId="504EE3A0" w:rsidR="00724240" w:rsidRPr="00582ECD" w:rsidRDefault="00724240" w:rsidP="00724240">
            <w:pPr>
              <w:jc w:val="both"/>
              <w:rPr>
                <w:rFonts w:asciiTheme="majorHAnsi" w:hAnsiTheme="majorHAnsi" w:cstheme="minorHAnsi"/>
                <w:color w:val="000000"/>
                <w:sz w:val="18"/>
                <w:szCs w:val="18"/>
                <w:lang w:eastAsia="en-GB"/>
              </w:rPr>
            </w:pPr>
          </w:p>
        </w:tc>
      </w:tr>
      <w:tr w:rsidR="00724240" w:rsidRPr="00582ECD" w14:paraId="3D8BC85A" w14:textId="77777777" w:rsidTr="006D1FBF">
        <w:trPr>
          <w:trHeight w:val="19"/>
          <w:jc w:val="center"/>
        </w:trPr>
        <w:tc>
          <w:tcPr>
            <w:tcW w:w="464" w:type="pct"/>
            <w:vAlign w:val="center"/>
          </w:tcPr>
          <w:p w14:paraId="065F5303" w14:textId="77777777" w:rsidR="00724240" w:rsidRPr="00582ECD" w:rsidRDefault="00724240" w:rsidP="00724240">
            <w:pPr>
              <w:rPr>
                <w:rFonts w:asciiTheme="majorHAnsi" w:hAnsiTheme="majorHAnsi" w:cs="Calibri"/>
                <w:b/>
                <w:bCs/>
                <w:color w:val="000000"/>
                <w:sz w:val="18"/>
                <w:szCs w:val="18"/>
              </w:rPr>
            </w:pPr>
            <w:r w:rsidRPr="00582ECD">
              <w:rPr>
                <w:rFonts w:asciiTheme="majorHAnsi" w:hAnsiTheme="majorHAnsi"/>
                <w:b/>
                <w:color w:val="000000"/>
                <w:sz w:val="18"/>
              </w:rPr>
              <w:t>Corée</w:t>
            </w:r>
          </w:p>
        </w:tc>
        <w:tc>
          <w:tcPr>
            <w:tcW w:w="549" w:type="pct"/>
            <w:vAlign w:val="center"/>
          </w:tcPr>
          <w:p w14:paraId="12005596" w14:textId="7D7F41E5" w:rsidR="00724240" w:rsidRPr="00582ECD" w:rsidRDefault="00CA678C" w:rsidP="00724240">
            <w:pPr>
              <w:jc w:val="center"/>
              <w:rPr>
                <w:rFonts w:asciiTheme="majorHAnsi" w:hAnsiTheme="majorHAnsi" w:cstheme="minorHAnsi"/>
                <w:color w:val="000000"/>
                <w:sz w:val="18"/>
                <w:szCs w:val="18"/>
              </w:rPr>
            </w:pPr>
            <w:r w:rsidRPr="00582ECD">
              <w:rPr>
                <w:rFonts w:asciiTheme="majorHAnsi" w:hAnsiTheme="majorHAnsi"/>
                <w:color w:val="000000"/>
                <w:sz w:val="18"/>
              </w:rPr>
              <w:t>Non</w:t>
            </w:r>
          </w:p>
        </w:tc>
        <w:tc>
          <w:tcPr>
            <w:tcW w:w="562" w:type="pct"/>
            <w:vAlign w:val="center"/>
          </w:tcPr>
          <w:p w14:paraId="31E01783" w14:textId="77777777" w:rsidR="00724240" w:rsidRPr="00582ECD" w:rsidRDefault="00724240" w:rsidP="00724240">
            <w:pPr>
              <w:jc w:val="center"/>
              <w:rPr>
                <w:rFonts w:asciiTheme="majorHAnsi" w:hAnsiTheme="majorHAnsi" w:cstheme="minorHAnsi"/>
                <w:color w:val="000000"/>
                <w:sz w:val="18"/>
                <w:szCs w:val="18"/>
              </w:rPr>
            </w:pPr>
            <w:r w:rsidRPr="00582ECD">
              <w:rPr>
                <w:rFonts w:asciiTheme="majorHAnsi" w:hAnsiTheme="majorHAnsi"/>
                <w:color w:val="000000"/>
                <w:sz w:val="18"/>
              </w:rPr>
              <w:t>Oui</w:t>
            </w:r>
          </w:p>
        </w:tc>
        <w:tc>
          <w:tcPr>
            <w:tcW w:w="546" w:type="pct"/>
            <w:vAlign w:val="center"/>
          </w:tcPr>
          <w:p w14:paraId="7CF2C305" w14:textId="77777777" w:rsidR="00724240" w:rsidRPr="00582ECD" w:rsidRDefault="00724240" w:rsidP="00724240">
            <w:pPr>
              <w:jc w:val="center"/>
              <w:rPr>
                <w:rFonts w:asciiTheme="majorHAnsi" w:hAnsiTheme="majorHAnsi" w:cstheme="minorHAnsi"/>
                <w:color w:val="000000"/>
                <w:sz w:val="18"/>
                <w:szCs w:val="18"/>
              </w:rPr>
            </w:pPr>
            <w:r w:rsidRPr="00582ECD">
              <w:rPr>
                <w:rFonts w:asciiTheme="majorHAnsi" w:hAnsiTheme="majorHAnsi"/>
                <w:color w:val="000000"/>
                <w:sz w:val="18"/>
              </w:rPr>
              <w:t>Oui</w:t>
            </w:r>
          </w:p>
        </w:tc>
        <w:tc>
          <w:tcPr>
            <w:tcW w:w="1555" w:type="pct"/>
          </w:tcPr>
          <w:p w14:paraId="4C2AF666" w14:textId="37C53083" w:rsidR="00CA678C" w:rsidRPr="00582ECD" w:rsidRDefault="00CA678C" w:rsidP="00CA678C">
            <w:pPr>
              <w:rPr>
                <w:rFonts w:asciiTheme="majorHAnsi" w:hAnsiTheme="majorHAnsi"/>
                <w:sz w:val="18"/>
                <w:szCs w:val="18"/>
              </w:rPr>
            </w:pPr>
            <w:r w:rsidRPr="00582ECD">
              <w:rPr>
                <w:rFonts w:asciiTheme="majorHAnsi" w:hAnsiTheme="majorHAnsi"/>
                <w:sz w:val="18"/>
              </w:rPr>
              <w:t xml:space="preserve">La République de Corée a élaboré son Plan d'action national pour la réduction des captures accidentelles d'oiseaux de mer par les palangriers (NPOA-Oiseaux de mer) en 2014 et veille à ce que les palangriers battant </w:t>
            </w:r>
            <w:r w:rsidRPr="00582ECD">
              <w:rPr>
                <w:rFonts w:asciiTheme="majorHAnsi" w:hAnsiTheme="majorHAnsi"/>
                <w:sz w:val="18"/>
              </w:rPr>
              <w:lastRenderedPageBreak/>
              <w:t>pavillon coréen respectent le NPOA-Oiseaux de mer. Le NPOA peut être consulté sur le site web de la FAO :</w:t>
            </w:r>
            <w:hyperlink r:id="rId32" w:history="1">
              <w:r w:rsidRPr="00582ECD">
                <w:rPr>
                  <w:rStyle w:val="Hyperlink"/>
                  <w:rFonts w:asciiTheme="majorHAnsi" w:hAnsiTheme="majorHAnsi"/>
                  <w:sz w:val="18"/>
                  <w:u w:val="none"/>
                </w:rPr>
                <w:t>https://faolex.fao.org/docs/pdf/kor207693.pdf</w:t>
              </w:r>
            </w:hyperlink>
            <w:r w:rsidRPr="00582ECD">
              <w:rPr>
                <w:rFonts w:asciiTheme="majorHAnsi" w:hAnsiTheme="majorHAnsi"/>
                <w:sz w:val="18"/>
              </w:rPr>
              <w:t xml:space="preserve">  </w:t>
            </w:r>
          </w:p>
          <w:p w14:paraId="49A2FDA2" w14:textId="1B0A8198" w:rsidR="00724240" w:rsidRPr="00582ECD" w:rsidRDefault="00724240" w:rsidP="00724240">
            <w:pPr>
              <w:jc w:val="both"/>
              <w:rPr>
                <w:rFonts w:asciiTheme="majorHAnsi" w:hAnsiTheme="majorHAnsi" w:cstheme="minorHAnsi"/>
                <w:color w:val="000000"/>
                <w:sz w:val="18"/>
                <w:szCs w:val="18"/>
                <w:lang w:eastAsia="en-GB"/>
              </w:rPr>
            </w:pPr>
          </w:p>
        </w:tc>
        <w:tc>
          <w:tcPr>
            <w:tcW w:w="1324" w:type="pct"/>
          </w:tcPr>
          <w:p w14:paraId="23003F56" w14:textId="77777777" w:rsidR="00CA678C" w:rsidRPr="00582ECD" w:rsidRDefault="00CA678C" w:rsidP="00CA678C">
            <w:pPr>
              <w:jc w:val="both"/>
              <w:rPr>
                <w:rFonts w:asciiTheme="majorHAnsi" w:eastAsiaTheme="minorEastAsia" w:hAnsiTheme="majorHAnsi"/>
                <w:sz w:val="18"/>
                <w:szCs w:val="18"/>
              </w:rPr>
            </w:pPr>
            <w:r w:rsidRPr="00582ECD">
              <w:rPr>
                <w:rFonts w:asciiTheme="majorHAnsi" w:hAnsiTheme="majorHAnsi"/>
                <w:sz w:val="18"/>
              </w:rPr>
              <w:lastRenderedPageBreak/>
              <w:t>i) Des lignes d'effarouchement des oiseaux et des avançons lestés ont été installés sur les palangriers opérant au sud du parallèle de 25 degrés sud ; et</w:t>
            </w:r>
          </w:p>
          <w:p w14:paraId="5B8A7958" w14:textId="77777777" w:rsidR="00CA678C" w:rsidRPr="00582ECD" w:rsidRDefault="00CA678C" w:rsidP="00CA678C">
            <w:pPr>
              <w:jc w:val="both"/>
              <w:rPr>
                <w:rFonts w:asciiTheme="majorHAnsi" w:eastAsiaTheme="minorEastAsia" w:hAnsiTheme="majorHAnsi"/>
                <w:sz w:val="18"/>
                <w:szCs w:val="18"/>
              </w:rPr>
            </w:pPr>
            <w:r w:rsidRPr="00582ECD">
              <w:rPr>
                <w:rFonts w:asciiTheme="majorHAnsi" w:hAnsiTheme="majorHAnsi"/>
                <w:sz w:val="18"/>
              </w:rPr>
              <w:lastRenderedPageBreak/>
              <w:t>ii) Des lignes d'effarouchement des oiseaux ont été installés par les palangriers opérant dans la zone située entre le sud du 20e parallèle sud et le nord du 25e parallèle sud.</w:t>
            </w:r>
          </w:p>
          <w:p w14:paraId="6A5DFA29" w14:textId="77777777" w:rsidR="00CA678C" w:rsidRPr="00582ECD" w:rsidRDefault="00CA678C" w:rsidP="00CA678C">
            <w:pPr>
              <w:jc w:val="both"/>
              <w:rPr>
                <w:rFonts w:asciiTheme="majorHAnsi" w:eastAsiaTheme="minorEastAsia" w:hAnsiTheme="majorHAnsi"/>
                <w:sz w:val="18"/>
                <w:szCs w:val="18"/>
                <w:lang w:eastAsia="ko-KR"/>
              </w:rPr>
            </w:pPr>
          </w:p>
          <w:p w14:paraId="503FE046" w14:textId="52E75FB6" w:rsidR="00CA678C" w:rsidRPr="00CF3B78" w:rsidRDefault="00CA678C" w:rsidP="00724240">
            <w:pPr>
              <w:jc w:val="both"/>
              <w:rPr>
                <w:rFonts w:asciiTheme="majorHAnsi" w:eastAsiaTheme="minorEastAsia" w:hAnsiTheme="majorHAnsi"/>
                <w:sz w:val="18"/>
                <w:szCs w:val="18"/>
              </w:rPr>
            </w:pPr>
            <w:r w:rsidRPr="00582ECD">
              <w:rPr>
                <w:rFonts w:asciiTheme="majorHAnsi" w:hAnsiTheme="majorHAnsi"/>
                <w:sz w:val="18"/>
              </w:rPr>
              <w:t>Zone : Certains navires coréens pratiquant la pêche à la palangre opéraient dans la zone située au sud du 25e parallèle sud.</w:t>
            </w:r>
          </w:p>
        </w:tc>
      </w:tr>
      <w:tr w:rsidR="00CA678C" w:rsidRPr="00582ECD" w14:paraId="7BB0F8EC" w14:textId="77777777" w:rsidTr="006D1FBF">
        <w:trPr>
          <w:trHeight w:val="19"/>
          <w:jc w:val="center"/>
        </w:trPr>
        <w:tc>
          <w:tcPr>
            <w:tcW w:w="464" w:type="pct"/>
            <w:vAlign w:val="center"/>
          </w:tcPr>
          <w:p w14:paraId="36920641" w14:textId="77777777" w:rsidR="00CA678C" w:rsidRPr="00582ECD" w:rsidRDefault="00CA678C" w:rsidP="00CA678C">
            <w:pPr>
              <w:rPr>
                <w:rFonts w:asciiTheme="majorHAnsi" w:hAnsiTheme="majorHAnsi" w:cs="Calibri"/>
                <w:b/>
                <w:bCs/>
                <w:color w:val="000000"/>
                <w:sz w:val="18"/>
                <w:szCs w:val="18"/>
              </w:rPr>
            </w:pPr>
            <w:r w:rsidRPr="00582ECD">
              <w:rPr>
                <w:rFonts w:asciiTheme="majorHAnsi" w:hAnsiTheme="majorHAnsi"/>
                <w:b/>
                <w:color w:val="000000"/>
                <w:sz w:val="18"/>
              </w:rPr>
              <w:t>Saint-Vincent-et-les-Grenadines</w:t>
            </w:r>
          </w:p>
        </w:tc>
        <w:tc>
          <w:tcPr>
            <w:tcW w:w="549" w:type="pct"/>
          </w:tcPr>
          <w:p w14:paraId="1B06B220" w14:textId="281C5300" w:rsidR="00CA678C" w:rsidRPr="00582ECD" w:rsidRDefault="00CA678C" w:rsidP="00CA678C">
            <w:pPr>
              <w:jc w:val="both"/>
              <w:rPr>
                <w:rFonts w:asciiTheme="majorHAnsi" w:hAnsiTheme="majorHAnsi" w:cstheme="minorHAnsi"/>
                <w:color w:val="000000"/>
                <w:sz w:val="18"/>
                <w:szCs w:val="18"/>
              </w:rPr>
            </w:pPr>
            <w:r w:rsidRPr="00582ECD">
              <w:rPr>
                <w:rFonts w:asciiTheme="majorHAnsi" w:hAnsiTheme="majorHAnsi"/>
                <w:sz w:val="18"/>
              </w:rPr>
              <w:t>Pas mis en œuvre. Seule la flotte artisanale était en activité depuis la mi-2022. La flottille artisanale est composée de pirogues dont la longueur ne dépasse pas 26 pieds et qui opèrent exclusivement dans la ZEE.</w:t>
            </w:r>
          </w:p>
        </w:tc>
        <w:tc>
          <w:tcPr>
            <w:tcW w:w="562" w:type="pct"/>
          </w:tcPr>
          <w:p w14:paraId="6AEC262D" w14:textId="61A8E676" w:rsidR="00CA678C" w:rsidRPr="00582ECD" w:rsidRDefault="00CA678C" w:rsidP="00CA678C">
            <w:pPr>
              <w:jc w:val="both"/>
              <w:rPr>
                <w:rFonts w:asciiTheme="majorHAnsi" w:hAnsiTheme="majorHAnsi" w:cstheme="minorHAnsi"/>
                <w:color w:val="000000"/>
                <w:sz w:val="18"/>
                <w:szCs w:val="18"/>
              </w:rPr>
            </w:pPr>
            <w:r w:rsidRPr="00582ECD">
              <w:rPr>
                <w:rFonts w:asciiTheme="majorHAnsi" w:hAnsiTheme="majorHAnsi"/>
                <w:sz w:val="18"/>
              </w:rPr>
              <w:t>Pas mis en œuvre. Seule la flotte artisanale était en activité depuis la mi-2022. La flottille artisanale est composée de pirogues dont la longueur ne dépasse pas 26 pieds et qui opèrent exclusivement dans la ZEE.</w:t>
            </w:r>
          </w:p>
        </w:tc>
        <w:tc>
          <w:tcPr>
            <w:tcW w:w="546" w:type="pct"/>
          </w:tcPr>
          <w:p w14:paraId="0081812A" w14:textId="2A022B99" w:rsidR="00CA678C" w:rsidRPr="00582ECD" w:rsidRDefault="00CA678C" w:rsidP="00211B07">
            <w:pPr>
              <w:jc w:val="both"/>
              <w:rPr>
                <w:rFonts w:asciiTheme="majorHAnsi" w:hAnsiTheme="majorHAnsi" w:cstheme="minorHAnsi"/>
                <w:color w:val="000000"/>
                <w:sz w:val="18"/>
                <w:szCs w:val="18"/>
                <w:lang w:eastAsia="en-GB"/>
              </w:rPr>
            </w:pPr>
            <w:r w:rsidRPr="00582ECD">
              <w:rPr>
                <w:rFonts w:asciiTheme="majorHAnsi" w:hAnsiTheme="majorHAnsi"/>
                <w:sz w:val="18"/>
              </w:rPr>
              <w:t>Pas mis en œuvre. Seule la flotte artisanale était en activité depuis la mi-2022. La flottille artisanale est composée de pirogues dont la longueur ne dépasse pas 26 pieds et qui opèrent exclusivement dans la ZEE.</w:t>
            </w:r>
          </w:p>
        </w:tc>
        <w:tc>
          <w:tcPr>
            <w:tcW w:w="1555" w:type="pct"/>
          </w:tcPr>
          <w:p w14:paraId="0344E2A2" w14:textId="7BBC572A" w:rsidR="00CA678C" w:rsidRPr="00582ECD" w:rsidRDefault="00CA678C" w:rsidP="00CA678C">
            <w:pPr>
              <w:jc w:val="both"/>
              <w:rPr>
                <w:rFonts w:asciiTheme="majorHAnsi" w:hAnsiTheme="majorHAnsi" w:cstheme="minorHAnsi"/>
                <w:color w:val="000000"/>
                <w:sz w:val="18"/>
                <w:szCs w:val="18"/>
              </w:rPr>
            </w:pPr>
            <w:r w:rsidRPr="00582ECD">
              <w:rPr>
                <w:rFonts w:asciiTheme="majorHAnsi" w:hAnsiTheme="majorHAnsi"/>
                <w:sz w:val="18"/>
              </w:rPr>
              <w:t>Des travaux ont été réalisés au niveau national pour la conservation et la protection des oiseaux de mer, mais il n'existe actuellement aucun plan d'action national.</w:t>
            </w:r>
          </w:p>
        </w:tc>
        <w:tc>
          <w:tcPr>
            <w:tcW w:w="1324" w:type="pct"/>
          </w:tcPr>
          <w:p w14:paraId="04B70113" w14:textId="0BFBDD17" w:rsidR="00CA678C" w:rsidRPr="00582ECD" w:rsidRDefault="00CA678C" w:rsidP="00CA678C">
            <w:pPr>
              <w:jc w:val="both"/>
              <w:rPr>
                <w:rFonts w:asciiTheme="majorHAnsi" w:hAnsiTheme="majorHAnsi"/>
                <w:sz w:val="18"/>
                <w:szCs w:val="18"/>
              </w:rPr>
            </w:pPr>
            <w:r w:rsidRPr="00582ECD">
              <w:rPr>
                <w:rFonts w:asciiTheme="majorHAnsi" w:hAnsiTheme="majorHAnsi"/>
                <w:sz w:val="18"/>
              </w:rPr>
              <w:t>Zone : ZEE de Saint-Vincent-et-les-Grenadines</w:t>
            </w:r>
          </w:p>
        </w:tc>
      </w:tr>
      <w:tr w:rsidR="00724240" w:rsidRPr="00582ECD" w14:paraId="7F7FD5B5" w14:textId="77777777" w:rsidTr="006D1FBF">
        <w:trPr>
          <w:trHeight w:val="19"/>
          <w:jc w:val="center"/>
        </w:trPr>
        <w:tc>
          <w:tcPr>
            <w:tcW w:w="464" w:type="pct"/>
            <w:vAlign w:val="center"/>
          </w:tcPr>
          <w:p w14:paraId="4F4A5E15" w14:textId="77777777" w:rsidR="00724240" w:rsidRPr="00582ECD" w:rsidRDefault="00724240" w:rsidP="00724240">
            <w:pPr>
              <w:rPr>
                <w:rFonts w:asciiTheme="majorHAnsi" w:hAnsiTheme="majorHAnsi" w:cs="Calibri"/>
                <w:b/>
                <w:bCs/>
                <w:color w:val="000000"/>
                <w:sz w:val="18"/>
                <w:szCs w:val="18"/>
              </w:rPr>
            </w:pPr>
            <w:r w:rsidRPr="00582ECD">
              <w:rPr>
                <w:rFonts w:asciiTheme="majorHAnsi" w:hAnsiTheme="majorHAnsi"/>
                <w:b/>
                <w:color w:val="000000"/>
                <w:sz w:val="18"/>
              </w:rPr>
              <w:t>Afrique du Sud</w:t>
            </w:r>
          </w:p>
        </w:tc>
        <w:tc>
          <w:tcPr>
            <w:tcW w:w="549" w:type="pct"/>
            <w:vAlign w:val="center"/>
          </w:tcPr>
          <w:p w14:paraId="73081F2C" w14:textId="77777777" w:rsidR="00724240" w:rsidRPr="00582ECD" w:rsidRDefault="00724240" w:rsidP="00724240">
            <w:pPr>
              <w:jc w:val="center"/>
              <w:rPr>
                <w:rFonts w:asciiTheme="majorHAnsi" w:hAnsiTheme="majorHAnsi" w:cstheme="minorHAnsi"/>
                <w:color w:val="000000"/>
                <w:sz w:val="18"/>
                <w:szCs w:val="18"/>
              </w:rPr>
            </w:pPr>
            <w:r w:rsidRPr="00582ECD">
              <w:rPr>
                <w:rFonts w:asciiTheme="majorHAnsi" w:hAnsiTheme="majorHAnsi"/>
                <w:color w:val="000000"/>
                <w:sz w:val="18"/>
              </w:rPr>
              <w:t>Oui</w:t>
            </w:r>
          </w:p>
        </w:tc>
        <w:tc>
          <w:tcPr>
            <w:tcW w:w="562" w:type="pct"/>
            <w:vAlign w:val="center"/>
          </w:tcPr>
          <w:p w14:paraId="19A0C922" w14:textId="77777777" w:rsidR="00724240" w:rsidRPr="00582ECD" w:rsidRDefault="00724240" w:rsidP="00724240">
            <w:pPr>
              <w:jc w:val="center"/>
              <w:rPr>
                <w:rFonts w:asciiTheme="majorHAnsi" w:hAnsiTheme="majorHAnsi" w:cstheme="minorHAnsi"/>
                <w:color w:val="000000"/>
                <w:sz w:val="18"/>
                <w:szCs w:val="18"/>
              </w:rPr>
            </w:pPr>
            <w:r w:rsidRPr="00582ECD">
              <w:rPr>
                <w:rFonts w:asciiTheme="majorHAnsi" w:hAnsiTheme="majorHAnsi"/>
                <w:color w:val="000000"/>
                <w:sz w:val="18"/>
              </w:rPr>
              <w:t>Oui</w:t>
            </w:r>
          </w:p>
        </w:tc>
        <w:tc>
          <w:tcPr>
            <w:tcW w:w="546" w:type="pct"/>
            <w:vAlign w:val="center"/>
          </w:tcPr>
          <w:p w14:paraId="4850D16D" w14:textId="77777777" w:rsidR="00724240" w:rsidRPr="00582ECD" w:rsidRDefault="00724240" w:rsidP="00724240">
            <w:pPr>
              <w:jc w:val="center"/>
              <w:rPr>
                <w:rFonts w:asciiTheme="majorHAnsi" w:hAnsiTheme="majorHAnsi" w:cstheme="minorHAnsi"/>
                <w:color w:val="000000"/>
                <w:sz w:val="18"/>
                <w:szCs w:val="18"/>
              </w:rPr>
            </w:pPr>
            <w:r w:rsidRPr="00582ECD">
              <w:rPr>
                <w:rFonts w:asciiTheme="majorHAnsi" w:hAnsiTheme="majorHAnsi"/>
                <w:color w:val="000000"/>
                <w:sz w:val="18"/>
              </w:rPr>
              <w:t>Oui</w:t>
            </w:r>
          </w:p>
        </w:tc>
        <w:tc>
          <w:tcPr>
            <w:tcW w:w="1555" w:type="pct"/>
          </w:tcPr>
          <w:p w14:paraId="5F7F25A7" w14:textId="6B4497BB" w:rsidR="00724240" w:rsidRPr="00582ECD" w:rsidRDefault="00CA678C" w:rsidP="00211B07">
            <w:pPr>
              <w:jc w:val="both"/>
              <w:rPr>
                <w:rFonts w:asciiTheme="majorHAnsi" w:hAnsiTheme="majorHAnsi"/>
                <w:color w:val="000000"/>
                <w:sz w:val="18"/>
                <w:szCs w:val="18"/>
              </w:rPr>
            </w:pPr>
            <w:r w:rsidRPr="00582ECD">
              <w:rPr>
                <w:rFonts w:asciiTheme="majorHAnsi" w:hAnsiTheme="majorHAnsi"/>
                <w:color w:val="000000"/>
                <w:sz w:val="18"/>
              </w:rPr>
              <w:t>Le premier plan d'action national sud-africain en faveur des oiseaux marins a été publié en 2008 et fixait comme objectif de réduire la mortalité des oiseaux marins dans les pêcheries à la palangre à moins de 0,05 oiseau pour 1 000 hameçons. S'appuyant sur les résultats obtenus dans le cadre du premier plan, l'Afrique du Sud a adopté en 2026 le « Plan d'action national II pour la conservation et la gestion des oiseaux marins dans les pêcheries sud-africaines 2026-2030 ». Le programme NPOA-</w:t>
            </w:r>
            <w:proofErr w:type="spellStart"/>
            <w:r w:rsidRPr="00582ECD">
              <w:rPr>
                <w:rFonts w:asciiTheme="majorHAnsi" w:hAnsiTheme="majorHAnsi"/>
                <w:color w:val="000000"/>
                <w:sz w:val="18"/>
              </w:rPr>
              <w:t>Seabirds</w:t>
            </w:r>
            <w:proofErr w:type="spellEnd"/>
            <w:r w:rsidRPr="00582ECD">
              <w:rPr>
                <w:rFonts w:asciiTheme="majorHAnsi" w:hAnsiTheme="majorHAnsi"/>
                <w:color w:val="000000"/>
                <w:sz w:val="18"/>
              </w:rPr>
              <w:t xml:space="preserve"> II élargit son champ d'action au-delà de la pêche à la palangre pour englober l'ensemble des activités de pêche sud-africaines qui ont des interactions significatives avec les oiseaux marins.</w:t>
            </w:r>
          </w:p>
        </w:tc>
        <w:tc>
          <w:tcPr>
            <w:tcW w:w="1324" w:type="pct"/>
          </w:tcPr>
          <w:p w14:paraId="568F79C1" w14:textId="4FA870CA" w:rsidR="00CA678C" w:rsidRPr="00582ECD" w:rsidRDefault="00CA678C" w:rsidP="00CA678C">
            <w:pPr>
              <w:jc w:val="both"/>
              <w:rPr>
                <w:rFonts w:asciiTheme="majorHAnsi" w:hAnsiTheme="majorHAnsi"/>
                <w:sz w:val="18"/>
                <w:szCs w:val="18"/>
              </w:rPr>
            </w:pPr>
            <w:r w:rsidRPr="00582ECD">
              <w:rPr>
                <w:rFonts w:asciiTheme="majorHAnsi" w:hAnsiTheme="majorHAnsi"/>
                <w:sz w:val="18"/>
              </w:rPr>
              <w:t>Fait partie des conditions des permis (section 22.2).</w:t>
            </w:r>
          </w:p>
          <w:p w14:paraId="593ECD75" w14:textId="77777777" w:rsidR="00CA678C" w:rsidRPr="00582ECD" w:rsidRDefault="00CA678C" w:rsidP="00CA678C">
            <w:pPr>
              <w:jc w:val="both"/>
              <w:rPr>
                <w:rFonts w:asciiTheme="majorHAnsi" w:hAnsiTheme="majorHAnsi"/>
                <w:sz w:val="18"/>
                <w:szCs w:val="18"/>
              </w:rPr>
            </w:pPr>
          </w:p>
          <w:p w14:paraId="648C9011" w14:textId="00F4F004" w:rsidR="00724240" w:rsidRPr="00582ECD" w:rsidRDefault="00CA678C" w:rsidP="006D1FBF">
            <w:pPr>
              <w:jc w:val="both"/>
              <w:rPr>
                <w:rFonts w:asciiTheme="majorHAnsi" w:hAnsiTheme="majorHAnsi"/>
                <w:color w:val="000000"/>
                <w:sz w:val="18"/>
                <w:szCs w:val="18"/>
              </w:rPr>
            </w:pPr>
            <w:r w:rsidRPr="00582ECD">
              <w:rPr>
                <w:rFonts w:asciiTheme="majorHAnsi" w:hAnsiTheme="majorHAnsi"/>
                <w:sz w:val="18"/>
              </w:rPr>
              <w:t>Zone : ZEE et haute mer.</w:t>
            </w:r>
          </w:p>
        </w:tc>
      </w:tr>
      <w:tr w:rsidR="00724240" w:rsidRPr="00582ECD" w14:paraId="20BFB09A" w14:textId="77777777" w:rsidTr="006D1FBF">
        <w:trPr>
          <w:trHeight w:val="19"/>
          <w:jc w:val="center"/>
        </w:trPr>
        <w:tc>
          <w:tcPr>
            <w:tcW w:w="464" w:type="pct"/>
            <w:vAlign w:val="center"/>
          </w:tcPr>
          <w:p w14:paraId="6636726B" w14:textId="77777777" w:rsidR="00724240" w:rsidRPr="00582ECD" w:rsidRDefault="00724240" w:rsidP="00724240">
            <w:pPr>
              <w:rPr>
                <w:rFonts w:asciiTheme="majorHAnsi" w:hAnsiTheme="majorHAnsi" w:cs="Calibri"/>
                <w:b/>
                <w:bCs/>
                <w:color w:val="000000"/>
                <w:sz w:val="18"/>
                <w:szCs w:val="18"/>
              </w:rPr>
            </w:pPr>
            <w:r w:rsidRPr="00582ECD">
              <w:rPr>
                <w:rFonts w:asciiTheme="majorHAnsi" w:hAnsiTheme="majorHAnsi"/>
                <w:b/>
                <w:color w:val="000000"/>
                <w:sz w:val="18"/>
              </w:rPr>
              <w:lastRenderedPageBreak/>
              <w:t>Türkiye</w:t>
            </w:r>
          </w:p>
        </w:tc>
        <w:tc>
          <w:tcPr>
            <w:tcW w:w="549" w:type="pct"/>
          </w:tcPr>
          <w:p w14:paraId="51D061D7" w14:textId="6EE1B83E" w:rsidR="00724240" w:rsidRPr="00582ECD" w:rsidRDefault="00724240" w:rsidP="00724240">
            <w:pPr>
              <w:jc w:val="both"/>
              <w:rPr>
                <w:rFonts w:asciiTheme="majorHAnsi" w:hAnsiTheme="majorHAnsi" w:cstheme="minorHAnsi"/>
                <w:color w:val="000000"/>
                <w:sz w:val="18"/>
                <w:szCs w:val="18"/>
              </w:rPr>
            </w:pPr>
            <w:r w:rsidRPr="00582ECD">
              <w:rPr>
                <w:rFonts w:asciiTheme="majorHAnsi" w:hAnsiTheme="majorHAnsi"/>
                <w:color w:val="000000"/>
                <w:sz w:val="18"/>
              </w:rPr>
              <w:t>Partiellement mis en œuvre</w:t>
            </w:r>
          </w:p>
        </w:tc>
        <w:tc>
          <w:tcPr>
            <w:tcW w:w="562" w:type="pct"/>
          </w:tcPr>
          <w:p w14:paraId="42464F52" w14:textId="2736B295" w:rsidR="00724240" w:rsidRPr="00582ECD" w:rsidRDefault="00724240" w:rsidP="00724240">
            <w:pPr>
              <w:jc w:val="both"/>
              <w:rPr>
                <w:rFonts w:asciiTheme="majorHAnsi" w:hAnsiTheme="majorHAnsi"/>
                <w:color w:val="000000"/>
                <w:sz w:val="18"/>
                <w:szCs w:val="18"/>
              </w:rPr>
            </w:pPr>
            <w:r w:rsidRPr="00582ECD">
              <w:rPr>
                <w:rFonts w:asciiTheme="majorHAnsi" w:hAnsiTheme="majorHAnsi"/>
                <w:color w:val="000000"/>
                <w:sz w:val="18"/>
              </w:rPr>
              <w:t>Aucune obligation légale n'existe, la mise en œuvre est volontaire.</w:t>
            </w:r>
          </w:p>
        </w:tc>
        <w:tc>
          <w:tcPr>
            <w:tcW w:w="546" w:type="pct"/>
          </w:tcPr>
          <w:p w14:paraId="1E5DCAF1" w14:textId="01C31B74" w:rsidR="00724240" w:rsidRPr="00582ECD" w:rsidRDefault="00724240" w:rsidP="00724240">
            <w:pPr>
              <w:jc w:val="both"/>
              <w:rPr>
                <w:rFonts w:asciiTheme="majorHAnsi" w:hAnsiTheme="majorHAnsi"/>
                <w:color w:val="000000"/>
                <w:sz w:val="18"/>
                <w:szCs w:val="18"/>
              </w:rPr>
            </w:pPr>
            <w:r w:rsidRPr="00582ECD">
              <w:rPr>
                <w:rFonts w:asciiTheme="majorHAnsi" w:hAnsiTheme="majorHAnsi"/>
                <w:color w:val="000000"/>
                <w:sz w:val="18"/>
              </w:rPr>
              <w:t>Aucune obligation légale n'existe, la mise en œuvre est volontaire.</w:t>
            </w:r>
          </w:p>
        </w:tc>
        <w:tc>
          <w:tcPr>
            <w:tcW w:w="1555" w:type="pct"/>
          </w:tcPr>
          <w:p w14:paraId="17000DB6" w14:textId="77777777" w:rsidR="00CA678C" w:rsidRPr="00582ECD" w:rsidRDefault="00CA678C" w:rsidP="006D1FBF">
            <w:pPr>
              <w:widowControl/>
              <w:autoSpaceDE/>
              <w:autoSpaceDN/>
              <w:adjustRightInd/>
              <w:jc w:val="both"/>
              <w:rPr>
                <w:rFonts w:asciiTheme="majorHAnsi" w:hAnsiTheme="majorHAnsi"/>
                <w:color w:val="000000"/>
                <w:sz w:val="18"/>
                <w:szCs w:val="18"/>
              </w:rPr>
            </w:pPr>
            <w:r w:rsidRPr="00582ECD">
              <w:rPr>
                <w:rFonts w:asciiTheme="majorHAnsi" w:hAnsiTheme="majorHAnsi"/>
                <w:color w:val="000000"/>
                <w:sz w:val="18"/>
              </w:rPr>
              <w:t xml:space="preserve">Divers organismes ont lancé des projets visant à créer les bases d'un inventaire des zones importantes pour la conservation des oiseaux marins (IBA) et à former le personnel et les bénévoles aux méthodes de recherche et de conservation des oiseaux marins. </w:t>
            </w:r>
          </w:p>
          <w:p w14:paraId="781AAD7F" w14:textId="77777777" w:rsidR="00CA678C" w:rsidRPr="00582ECD" w:rsidRDefault="00CA678C" w:rsidP="006D1FBF">
            <w:pPr>
              <w:widowControl/>
              <w:autoSpaceDE/>
              <w:autoSpaceDN/>
              <w:adjustRightInd/>
              <w:jc w:val="both"/>
              <w:rPr>
                <w:rFonts w:asciiTheme="majorHAnsi" w:hAnsiTheme="majorHAnsi"/>
                <w:color w:val="000000"/>
                <w:sz w:val="18"/>
                <w:szCs w:val="18"/>
              </w:rPr>
            </w:pPr>
          </w:p>
          <w:p w14:paraId="327ECBB0" w14:textId="77777777" w:rsidR="00CA678C" w:rsidRPr="00582ECD" w:rsidRDefault="00CA678C" w:rsidP="006D1FBF">
            <w:pPr>
              <w:widowControl/>
              <w:autoSpaceDE/>
              <w:autoSpaceDN/>
              <w:adjustRightInd/>
              <w:jc w:val="both"/>
              <w:rPr>
                <w:rFonts w:asciiTheme="majorHAnsi" w:hAnsiTheme="majorHAnsi"/>
                <w:color w:val="000000"/>
                <w:sz w:val="18"/>
                <w:szCs w:val="18"/>
              </w:rPr>
            </w:pPr>
            <w:r w:rsidRPr="00582ECD">
              <w:rPr>
                <w:rFonts w:asciiTheme="majorHAnsi" w:hAnsiTheme="majorHAnsi"/>
                <w:color w:val="000000"/>
                <w:sz w:val="18"/>
              </w:rPr>
              <w:t xml:space="preserve">Le ministère de l'Agriculture et des Forêts (Direction générale de la pêche et de l'aquaculture) a lancé un vaste programme visant à éliminer les « filets fantômes » et la pêche fantôme dans les principaux sites côtiers de Türkiye. </w:t>
            </w:r>
          </w:p>
          <w:p w14:paraId="4558DDCD" w14:textId="77777777" w:rsidR="00CA678C" w:rsidRPr="00582ECD" w:rsidRDefault="00CA678C" w:rsidP="006D1FBF">
            <w:pPr>
              <w:pStyle w:val="ListParagraph"/>
              <w:widowControl/>
              <w:autoSpaceDE/>
              <w:autoSpaceDN/>
              <w:adjustRightInd/>
              <w:ind w:left="360"/>
              <w:jc w:val="both"/>
              <w:rPr>
                <w:rFonts w:asciiTheme="majorHAnsi" w:hAnsiTheme="majorHAnsi"/>
                <w:color w:val="000000"/>
                <w:sz w:val="18"/>
                <w:szCs w:val="18"/>
              </w:rPr>
            </w:pPr>
          </w:p>
          <w:p w14:paraId="7D41EA85" w14:textId="0FE6328A" w:rsidR="00CA678C" w:rsidRPr="00582ECD" w:rsidRDefault="00CA678C" w:rsidP="006D1FBF">
            <w:pPr>
              <w:widowControl/>
              <w:autoSpaceDE/>
              <w:autoSpaceDN/>
              <w:adjustRightInd/>
              <w:jc w:val="both"/>
              <w:rPr>
                <w:rFonts w:asciiTheme="majorHAnsi" w:hAnsiTheme="majorHAnsi"/>
                <w:color w:val="000000"/>
                <w:sz w:val="18"/>
                <w:szCs w:val="18"/>
              </w:rPr>
            </w:pPr>
            <w:r w:rsidRPr="00582ECD">
              <w:rPr>
                <w:rFonts w:asciiTheme="majorHAnsi" w:hAnsiTheme="majorHAnsi"/>
                <w:color w:val="000000"/>
                <w:sz w:val="18"/>
              </w:rPr>
              <w:t>Lors de la phase de mise en œuvre du projet « Nettoyer les mers en ôtant les filets de pêche abandonnés », 801 millions de m</w:t>
            </w:r>
            <w:r w:rsidRPr="00582ECD">
              <w:rPr>
                <w:rFonts w:asciiTheme="majorHAnsi" w:hAnsiTheme="majorHAnsi"/>
                <w:color w:val="000000"/>
                <w:sz w:val="18"/>
                <w:vertAlign w:val="superscript"/>
              </w:rPr>
              <w:t>2</w:t>
            </w:r>
            <w:r w:rsidRPr="00582ECD">
              <w:rPr>
                <w:rFonts w:asciiTheme="majorHAnsi" w:hAnsiTheme="majorHAnsi"/>
                <w:color w:val="000000"/>
                <w:sz w:val="18"/>
              </w:rPr>
              <w:t xml:space="preserve"> d’eaux intérieures et de zones marines ont été draguées et un total de 2.885.000 m</w:t>
            </w:r>
            <w:r w:rsidRPr="00582ECD">
              <w:rPr>
                <w:rFonts w:asciiTheme="majorHAnsi" w:hAnsiTheme="majorHAnsi"/>
                <w:color w:val="000000"/>
                <w:sz w:val="18"/>
                <w:vertAlign w:val="superscript"/>
              </w:rPr>
              <w:t>2</w:t>
            </w:r>
            <w:r w:rsidRPr="00582ECD">
              <w:rPr>
                <w:rFonts w:asciiTheme="majorHAnsi" w:hAnsiTheme="majorHAnsi"/>
                <w:color w:val="000000"/>
                <w:sz w:val="18"/>
              </w:rPr>
              <w:t xml:space="preserve"> de filets de pêche et 103.551 morceaux de casiers et d’engins de pêche ont été extraits des eaux intérieures et des zones marines au cours de la période 2014-2025. L'extraction des filets et engins de pêche fantômes des milieux aquatiques a permis d'éviter la perte d'environ 9,6 millions d'organismes aquatiques.</w:t>
            </w:r>
          </w:p>
          <w:p w14:paraId="64CEE37B" w14:textId="77777777" w:rsidR="00CA678C" w:rsidRPr="00582ECD" w:rsidRDefault="00CA678C" w:rsidP="006D1FBF">
            <w:pPr>
              <w:pStyle w:val="ListParagraph"/>
              <w:widowControl/>
              <w:autoSpaceDE/>
              <w:autoSpaceDN/>
              <w:adjustRightInd/>
              <w:ind w:left="360"/>
              <w:jc w:val="both"/>
              <w:rPr>
                <w:rFonts w:asciiTheme="majorHAnsi" w:hAnsiTheme="majorHAnsi"/>
                <w:color w:val="000000"/>
                <w:sz w:val="18"/>
                <w:szCs w:val="18"/>
              </w:rPr>
            </w:pPr>
          </w:p>
          <w:p w14:paraId="6FF9C690" w14:textId="77777777" w:rsidR="00CA678C" w:rsidRPr="00582ECD" w:rsidRDefault="00CA678C" w:rsidP="006D1FBF">
            <w:pPr>
              <w:widowControl/>
              <w:autoSpaceDE/>
              <w:autoSpaceDN/>
              <w:adjustRightInd/>
              <w:jc w:val="both"/>
              <w:rPr>
                <w:rFonts w:asciiTheme="majorHAnsi" w:hAnsiTheme="majorHAnsi"/>
                <w:color w:val="000000"/>
                <w:sz w:val="18"/>
                <w:szCs w:val="18"/>
              </w:rPr>
            </w:pPr>
            <w:r w:rsidRPr="00582ECD">
              <w:rPr>
                <w:rFonts w:asciiTheme="majorHAnsi" w:hAnsiTheme="majorHAnsi"/>
                <w:color w:val="000000"/>
                <w:sz w:val="18"/>
              </w:rPr>
              <w:t xml:space="preserve">Le projet intitulé </w:t>
            </w:r>
            <w:proofErr w:type="spellStart"/>
            <w:r w:rsidRPr="00582ECD">
              <w:rPr>
                <w:rFonts w:asciiTheme="majorHAnsi" w:hAnsiTheme="majorHAnsi"/>
                <w:i/>
                <w:iCs/>
                <w:color w:val="000000"/>
                <w:sz w:val="18"/>
              </w:rPr>
              <w:t>Understanding</w:t>
            </w:r>
            <w:proofErr w:type="spellEnd"/>
            <w:r w:rsidRPr="00582ECD">
              <w:rPr>
                <w:rFonts w:asciiTheme="majorHAnsi" w:hAnsiTheme="majorHAnsi"/>
                <w:i/>
                <w:iCs/>
                <w:color w:val="000000"/>
                <w:sz w:val="18"/>
              </w:rPr>
              <w:t xml:space="preserve"> multi-taxa '</w:t>
            </w:r>
            <w:proofErr w:type="spellStart"/>
            <w:r w:rsidRPr="00582ECD">
              <w:rPr>
                <w:rFonts w:asciiTheme="majorHAnsi" w:hAnsiTheme="majorHAnsi"/>
                <w:i/>
                <w:iCs/>
                <w:color w:val="000000"/>
                <w:sz w:val="18"/>
              </w:rPr>
              <w:t>bycatch</w:t>
            </w:r>
            <w:proofErr w:type="spellEnd"/>
            <w:r w:rsidRPr="00582ECD">
              <w:rPr>
                <w:rFonts w:asciiTheme="majorHAnsi" w:hAnsiTheme="majorHAnsi"/>
                <w:i/>
                <w:iCs/>
                <w:color w:val="000000"/>
                <w:sz w:val="18"/>
              </w:rPr>
              <w:t xml:space="preserve">' of </w:t>
            </w:r>
            <w:proofErr w:type="spellStart"/>
            <w:r w:rsidRPr="00582ECD">
              <w:rPr>
                <w:rFonts w:asciiTheme="majorHAnsi" w:hAnsiTheme="majorHAnsi"/>
                <w:i/>
                <w:iCs/>
                <w:color w:val="000000"/>
                <w:sz w:val="18"/>
              </w:rPr>
              <w:t>vulnerable</w:t>
            </w:r>
            <w:proofErr w:type="spellEnd"/>
            <w:r w:rsidRPr="00582ECD">
              <w:rPr>
                <w:rFonts w:asciiTheme="majorHAnsi" w:hAnsiTheme="majorHAnsi"/>
                <w:i/>
                <w:iCs/>
                <w:color w:val="000000"/>
                <w:sz w:val="18"/>
              </w:rPr>
              <w:t xml:space="preserve"> </w:t>
            </w:r>
            <w:proofErr w:type="spellStart"/>
            <w:r w:rsidRPr="00582ECD">
              <w:rPr>
                <w:rFonts w:asciiTheme="majorHAnsi" w:hAnsiTheme="majorHAnsi"/>
                <w:i/>
                <w:iCs/>
                <w:color w:val="000000"/>
                <w:sz w:val="18"/>
              </w:rPr>
              <w:t>species</w:t>
            </w:r>
            <w:proofErr w:type="spellEnd"/>
            <w:r w:rsidRPr="00582ECD">
              <w:rPr>
                <w:rFonts w:asciiTheme="majorHAnsi" w:hAnsiTheme="majorHAnsi"/>
                <w:i/>
                <w:iCs/>
                <w:color w:val="000000"/>
                <w:sz w:val="18"/>
              </w:rPr>
              <w:t xml:space="preserve"> and testing mitigation a collaborative </w:t>
            </w:r>
            <w:proofErr w:type="spellStart"/>
            <w:r w:rsidRPr="00582ECD">
              <w:rPr>
                <w:rFonts w:asciiTheme="majorHAnsi" w:hAnsiTheme="majorHAnsi"/>
                <w:i/>
                <w:iCs/>
                <w:color w:val="000000"/>
                <w:sz w:val="18"/>
              </w:rPr>
              <w:t>approach</w:t>
            </w:r>
            <w:proofErr w:type="spellEnd"/>
            <w:r w:rsidRPr="00582ECD">
              <w:rPr>
                <w:rFonts w:asciiTheme="majorHAnsi" w:hAnsiTheme="majorHAnsi"/>
                <w:i/>
                <w:iCs/>
                <w:color w:val="000000"/>
                <w:sz w:val="18"/>
              </w:rPr>
              <w:t xml:space="preserve"> </w:t>
            </w:r>
            <w:r w:rsidRPr="00582ECD">
              <w:rPr>
                <w:rFonts w:asciiTheme="majorHAnsi" w:hAnsiTheme="majorHAnsi"/>
                <w:color w:val="000000"/>
                <w:sz w:val="18"/>
              </w:rPr>
              <w:t>a été mis en œuvre avec les partenaires du projet ACCOBAMS, CGPM, IUCN Med, MEDASSET, RAC/SPA dans le bassin méditerranéen. La durée du projet est de septembre 2017 à octobre 2022.</w:t>
            </w:r>
          </w:p>
          <w:p w14:paraId="5C437D32" w14:textId="77777777" w:rsidR="00CA678C" w:rsidRPr="00582ECD" w:rsidRDefault="00CA678C" w:rsidP="006D1FBF">
            <w:pPr>
              <w:pStyle w:val="ListParagraph"/>
              <w:widowControl/>
              <w:autoSpaceDE/>
              <w:autoSpaceDN/>
              <w:adjustRightInd/>
              <w:ind w:left="360"/>
              <w:jc w:val="both"/>
              <w:rPr>
                <w:rFonts w:asciiTheme="majorHAnsi" w:hAnsiTheme="majorHAnsi"/>
                <w:color w:val="000000"/>
                <w:sz w:val="18"/>
                <w:szCs w:val="18"/>
              </w:rPr>
            </w:pPr>
          </w:p>
          <w:p w14:paraId="2426BCCF" w14:textId="77777777" w:rsidR="00CA678C" w:rsidRPr="00582ECD" w:rsidRDefault="00CA678C" w:rsidP="006D1FBF">
            <w:pPr>
              <w:widowControl/>
              <w:autoSpaceDE/>
              <w:autoSpaceDN/>
              <w:adjustRightInd/>
              <w:jc w:val="both"/>
              <w:rPr>
                <w:rFonts w:asciiTheme="majorHAnsi" w:hAnsiTheme="majorHAnsi"/>
                <w:color w:val="000000"/>
                <w:sz w:val="18"/>
                <w:szCs w:val="18"/>
              </w:rPr>
            </w:pPr>
            <w:r w:rsidRPr="00582ECD">
              <w:rPr>
                <w:rFonts w:asciiTheme="majorHAnsi" w:hAnsiTheme="majorHAnsi"/>
                <w:color w:val="000000"/>
                <w:sz w:val="18"/>
              </w:rPr>
              <w:t xml:space="preserve">Les objectifs du projet sont de développer une méthode standard de collecte de données pour déterminer les taux de capture d'espèces non ciblées par les engins de pêche largement utilisés (chalut démersal, filets maillants, palangres) dans le bassin méditerranéen, de contribuer au développement d'exemples de bonnes pratiques qui réduiront les taux de prises accessoires de mammifères marins, d'oiseaux marins, de tortues de mer et de </w:t>
            </w:r>
            <w:r w:rsidRPr="00582ECD">
              <w:rPr>
                <w:rFonts w:asciiTheme="majorHAnsi" w:hAnsiTheme="majorHAnsi"/>
                <w:color w:val="000000"/>
                <w:sz w:val="18"/>
              </w:rPr>
              <w:lastRenderedPageBreak/>
              <w:t>poissons cartilagineux avec la participation de toutes les parties prenantes concernées.</w:t>
            </w:r>
          </w:p>
          <w:p w14:paraId="7D261C46" w14:textId="77777777" w:rsidR="00CA678C" w:rsidRPr="00582ECD" w:rsidRDefault="00CA678C" w:rsidP="006D1FBF">
            <w:pPr>
              <w:widowControl/>
              <w:autoSpaceDE/>
              <w:autoSpaceDN/>
              <w:adjustRightInd/>
              <w:jc w:val="both"/>
              <w:rPr>
                <w:rFonts w:asciiTheme="majorHAnsi" w:hAnsiTheme="majorHAnsi"/>
                <w:color w:val="000000"/>
                <w:sz w:val="18"/>
                <w:szCs w:val="18"/>
              </w:rPr>
            </w:pPr>
          </w:p>
          <w:p w14:paraId="3A17A9C8" w14:textId="77777777" w:rsidR="00CA678C" w:rsidRPr="00582ECD" w:rsidRDefault="00CA678C" w:rsidP="006D1FBF">
            <w:pPr>
              <w:widowControl/>
              <w:autoSpaceDE/>
              <w:autoSpaceDN/>
              <w:adjustRightInd/>
              <w:jc w:val="both"/>
              <w:rPr>
                <w:rFonts w:asciiTheme="majorHAnsi" w:hAnsiTheme="majorHAnsi"/>
                <w:color w:val="000000"/>
                <w:sz w:val="18"/>
                <w:szCs w:val="18"/>
              </w:rPr>
            </w:pPr>
            <w:r w:rsidRPr="00582ECD">
              <w:rPr>
                <w:rFonts w:asciiTheme="majorHAnsi" w:hAnsiTheme="majorHAnsi"/>
                <w:color w:val="000000"/>
                <w:sz w:val="18"/>
              </w:rPr>
              <w:t>Dans le cadre de ce projet, la collecte des données sur les prises accessoires d’espèces sensibles et des études d’expérimentations de méthodes d’atténuation des prises accessoires sont réalisées. En outre, un manuel de bonnes pratiques de manipulation des oiseaux de mer et un guide d’identification des espèces vulnérables capturées de façon accidentelle en Méditerranée ont été préparés à l’attention des pêcheurs et des chargés d’inspection.</w:t>
            </w:r>
          </w:p>
          <w:p w14:paraId="25673474" w14:textId="77777777" w:rsidR="00536AB6" w:rsidRPr="00582ECD" w:rsidRDefault="00536AB6" w:rsidP="006D1FBF">
            <w:pPr>
              <w:pStyle w:val="ListParagraph"/>
              <w:widowControl/>
              <w:autoSpaceDE/>
              <w:autoSpaceDN/>
              <w:adjustRightInd/>
              <w:ind w:left="360"/>
              <w:jc w:val="both"/>
              <w:rPr>
                <w:rFonts w:asciiTheme="majorHAnsi" w:hAnsiTheme="majorHAnsi"/>
                <w:color w:val="000000"/>
                <w:sz w:val="18"/>
                <w:szCs w:val="18"/>
              </w:rPr>
            </w:pPr>
          </w:p>
          <w:p w14:paraId="4A2596D8" w14:textId="77777777" w:rsidR="00536AB6" w:rsidRPr="00582ECD" w:rsidRDefault="00536AB6" w:rsidP="006D1FBF">
            <w:pPr>
              <w:pStyle w:val="ListParagraph"/>
              <w:widowControl/>
              <w:autoSpaceDE/>
              <w:autoSpaceDN/>
              <w:adjustRightInd/>
              <w:ind w:left="360"/>
              <w:jc w:val="both"/>
              <w:rPr>
                <w:rFonts w:asciiTheme="majorHAnsi" w:hAnsiTheme="majorHAnsi"/>
                <w:color w:val="000000"/>
                <w:sz w:val="18"/>
                <w:szCs w:val="18"/>
              </w:rPr>
            </w:pPr>
          </w:p>
          <w:p w14:paraId="01130ABA" w14:textId="5F5F2266" w:rsidR="00CA678C" w:rsidRPr="00582ECD" w:rsidRDefault="00CA678C" w:rsidP="006D1FBF">
            <w:pPr>
              <w:widowControl/>
              <w:autoSpaceDE/>
              <w:autoSpaceDN/>
              <w:adjustRightInd/>
              <w:jc w:val="both"/>
              <w:rPr>
                <w:rFonts w:asciiTheme="majorHAnsi" w:hAnsiTheme="majorHAnsi"/>
                <w:color w:val="000000"/>
                <w:sz w:val="18"/>
                <w:szCs w:val="18"/>
              </w:rPr>
            </w:pPr>
            <w:r w:rsidRPr="00582ECD">
              <w:rPr>
                <w:rFonts w:asciiTheme="majorHAnsi" w:hAnsiTheme="majorHAnsi"/>
                <w:color w:val="000000"/>
                <w:sz w:val="18"/>
              </w:rPr>
              <w:t xml:space="preserve">L’étude « Effets des </w:t>
            </w:r>
            <w:proofErr w:type="spellStart"/>
            <w:r w:rsidRPr="00582ECD">
              <w:rPr>
                <w:rFonts w:asciiTheme="majorHAnsi" w:hAnsiTheme="majorHAnsi"/>
                <w:color w:val="000000"/>
                <w:sz w:val="18"/>
              </w:rPr>
              <w:t>écho-sondeurs</w:t>
            </w:r>
            <w:proofErr w:type="spellEnd"/>
            <w:r w:rsidRPr="00582ECD">
              <w:rPr>
                <w:rFonts w:asciiTheme="majorHAnsi" w:hAnsiTheme="majorHAnsi"/>
                <w:color w:val="000000"/>
                <w:sz w:val="18"/>
              </w:rPr>
              <w:t xml:space="preserve"> PAL pour réduire les prises accessoires de mammifères marins (cétacés) dans les pêcheries de filet maillant de turbot dans la mer Noire » a été achevée en juin 2022. Il a été observé que les dispositifs PAL réduisaient le volume de capture de plongeon arctique (</w:t>
            </w:r>
            <w:r w:rsidRPr="00582ECD">
              <w:rPr>
                <w:rFonts w:asciiTheme="majorHAnsi" w:hAnsiTheme="majorHAnsi"/>
                <w:i/>
                <w:color w:val="000000"/>
                <w:sz w:val="18"/>
              </w:rPr>
              <w:t xml:space="preserve">Gavia </w:t>
            </w:r>
            <w:proofErr w:type="spellStart"/>
            <w:r w:rsidRPr="00582ECD">
              <w:rPr>
                <w:rFonts w:asciiTheme="majorHAnsi" w:hAnsiTheme="majorHAnsi"/>
                <w:i/>
                <w:color w:val="000000"/>
                <w:sz w:val="18"/>
              </w:rPr>
              <w:t>arctica</w:t>
            </w:r>
            <w:proofErr w:type="spellEnd"/>
            <w:r w:rsidRPr="00582ECD">
              <w:rPr>
                <w:rFonts w:asciiTheme="majorHAnsi" w:hAnsiTheme="majorHAnsi"/>
                <w:color w:val="000000"/>
                <w:sz w:val="18"/>
              </w:rPr>
              <w:t>) de 89,2% par rapport au groupe témoin.</w:t>
            </w:r>
          </w:p>
          <w:p w14:paraId="528F260F" w14:textId="77777777" w:rsidR="00CA678C" w:rsidRPr="00582ECD" w:rsidRDefault="00CA678C" w:rsidP="006D1FBF">
            <w:pPr>
              <w:pStyle w:val="ListParagraph"/>
              <w:widowControl/>
              <w:autoSpaceDE/>
              <w:autoSpaceDN/>
              <w:adjustRightInd/>
              <w:ind w:left="360"/>
              <w:jc w:val="both"/>
              <w:rPr>
                <w:rFonts w:asciiTheme="majorHAnsi" w:hAnsiTheme="majorHAnsi"/>
                <w:color w:val="000000"/>
                <w:sz w:val="18"/>
                <w:szCs w:val="18"/>
              </w:rPr>
            </w:pPr>
          </w:p>
          <w:p w14:paraId="58B3F8E5" w14:textId="77777777" w:rsidR="00CA678C" w:rsidRPr="00582ECD" w:rsidRDefault="00CA678C" w:rsidP="006D1FBF">
            <w:pPr>
              <w:widowControl/>
              <w:autoSpaceDE/>
              <w:autoSpaceDN/>
              <w:adjustRightInd/>
              <w:jc w:val="both"/>
              <w:rPr>
                <w:rFonts w:asciiTheme="majorHAnsi" w:hAnsiTheme="majorHAnsi"/>
                <w:color w:val="000000"/>
                <w:sz w:val="18"/>
                <w:szCs w:val="18"/>
              </w:rPr>
            </w:pPr>
            <w:r w:rsidRPr="00582ECD">
              <w:rPr>
                <w:rFonts w:asciiTheme="majorHAnsi" w:hAnsiTheme="majorHAnsi"/>
                <w:color w:val="000000"/>
                <w:sz w:val="18"/>
              </w:rPr>
              <w:t xml:space="preserve">L'article 18 de la Notification ministérielle sur la réglementation de la pêche commerciale (n° 2024/20), entrée en vigueur le 11 août 2024 et couvrant la période 2024-2028, stipule qu'en cas de capture accidentelle d'espèces interdites et d'oiseaux de mer au cours d'opérations de pêche commerciale, ces espèces devront obligatoirement être remises à l'eau vivantes et indemnes. </w:t>
            </w:r>
          </w:p>
          <w:p w14:paraId="0B6060A1" w14:textId="77777777" w:rsidR="00CA678C" w:rsidRPr="00582ECD" w:rsidRDefault="00CA678C" w:rsidP="006D1FBF">
            <w:pPr>
              <w:pStyle w:val="ListParagraph"/>
              <w:widowControl/>
              <w:autoSpaceDE/>
              <w:autoSpaceDN/>
              <w:adjustRightInd/>
              <w:ind w:left="360"/>
              <w:jc w:val="both"/>
              <w:rPr>
                <w:rFonts w:asciiTheme="majorHAnsi" w:hAnsiTheme="majorHAnsi"/>
                <w:color w:val="000000"/>
                <w:sz w:val="18"/>
                <w:szCs w:val="18"/>
              </w:rPr>
            </w:pPr>
          </w:p>
          <w:p w14:paraId="0B67C87F" w14:textId="77777777" w:rsidR="00CA678C" w:rsidRPr="00582ECD" w:rsidRDefault="00CA678C" w:rsidP="006D1FBF">
            <w:pPr>
              <w:widowControl/>
              <w:autoSpaceDE/>
              <w:autoSpaceDN/>
              <w:adjustRightInd/>
              <w:jc w:val="both"/>
              <w:rPr>
                <w:rFonts w:asciiTheme="majorHAnsi" w:hAnsiTheme="majorHAnsi"/>
                <w:color w:val="000000"/>
                <w:sz w:val="18"/>
                <w:szCs w:val="18"/>
              </w:rPr>
            </w:pPr>
            <w:r w:rsidRPr="00582ECD">
              <w:rPr>
                <w:rFonts w:asciiTheme="majorHAnsi" w:hAnsiTheme="majorHAnsi"/>
                <w:color w:val="000000"/>
                <w:sz w:val="18"/>
              </w:rPr>
              <w:t>La Türkiye a élaboré un guide d'identification spécifique aux requins, aux oiseaux marins, aux tortues et aux mammifères marins présents dans les eaux turques, intitulé « Lignes directrices pour la protection des espèces vulnérables ». Ces guides ont été distribués aux pêcheurs sous forme imprimée et publiés sur le site web de la Direction générale de la pêche et de l'aquaculture.</w:t>
            </w:r>
          </w:p>
          <w:p w14:paraId="278378F8" w14:textId="77777777" w:rsidR="00CA678C" w:rsidRPr="00582ECD" w:rsidRDefault="00CA678C" w:rsidP="006D1FBF">
            <w:pPr>
              <w:widowControl/>
              <w:autoSpaceDE/>
              <w:autoSpaceDN/>
              <w:adjustRightInd/>
              <w:jc w:val="both"/>
              <w:rPr>
                <w:rFonts w:asciiTheme="majorHAnsi" w:hAnsiTheme="majorHAnsi"/>
                <w:color w:val="000000"/>
                <w:sz w:val="18"/>
                <w:szCs w:val="18"/>
                <w:lang w:val="en-US"/>
              </w:rPr>
            </w:pPr>
            <w:r w:rsidRPr="00582ECD">
              <w:rPr>
                <w:rFonts w:asciiTheme="majorHAnsi" w:hAnsiTheme="majorHAnsi"/>
                <w:color w:val="000000"/>
                <w:sz w:val="18"/>
                <w:lang w:val="en-US"/>
              </w:rPr>
              <w:lastRenderedPageBreak/>
              <w:t>Cf.: https://www.tarimorman.gov.tr/BSGM/Link/56/Hedef-Disi-Avcilik-_hassas-Turleri-Koruma-Kilavuzlari_</w:t>
            </w:r>
          </w:p>
          <w:p w14:paraId="79C48AD9" w14:textId="77777777" w:rsidR="00CA678C" w:rsidRPr="00582ECD" w:rsidRDefault="00CA678C" w:rsidP="006D1FBF">
            <w:pPr>
              <w:widowControl/>
              <w:autoSpaceDE/>
              <w:autoSpaceDN/>
              <w:adjustRightInd/>
              <w:jc w:val="both"/>
              <w:rPr>
                <w:rFonts w:asciiTheme="majorHAnsi" w:hAnsiTheme="majorHAnsi"/>
                <w:color w:val="000000"/>
                <w:sz w:val="18"/>
                <w:szCs w:val="18"/>
                <w:lang w:val="en-GB"/>
              </w:rPr>
            </w:pPr>
          </w:p>
          <w:p w14:paraId="040F8EFD" w14:textId="77777777" w:rsidR="00CA678C" w:rsidRPr="00582ECD" w:rsidRDefault="00CA678C" w:rsidP="00CA678C">
            <w:pPr>
              <w:widowControl/>
              <w:autoSpaceDE/>
              <w:autoSpaceDN/>
              <w:adjustRightInd/>
              <w:jc w:val="both"/>
              <w:rPr>
                <w:rFonts w:asciiTheme="majorHAnsi" w:hAnsiTheme="majorHAnsi"/>
                <w:color w:val="000000"/>
                <w:sz w:val="18"/>
                <w:szCs w:val="18"/>
              </w:rPr>
            </w:pPr>
            <w:r w:rsidRPr="00582ECD">
              <w:rPr>
                <w:rFonts w:asciiTheme="majorHAnsi" w:hAnsiTheme="majorHAnsi"/>
                <w:color w:val="000000"/>
                <w:sz w:val="18"/>
              </w:rPr>
              <w:t xml:space="preserve">La manipulation, le traitement et la remise à l'eau des espèces capturées accidentellement dans le cadre de la présente opération doivent être effectués conformément aux « Directives relatives à la protection des espèces vulnérables ». </w:t>
            </w:r>
          </w:p>
          <w:p w14:paraId="0DF86EAD" w14:textId="77777777" w:rsidR="00CA678C" w:rsidRPr="00582ECD" w:rsidRDefault="00CA678C" w:rsidP="006D1FBF">
            <w:pPr>
              <w:widowControl/>
              <w:autoSpaceDE/>
              <w:autoSpaceDN/>
              <w:adjustRightInd/>
              <w:jc w:val="both"/>
              <w:rPr>
                <w:rFonts w:asciiTheme="majorHAnsi" w:hAnsiTheme="majorHAnsi"/>
                <w:color w:val="000000"/>
                <w:sz w:val="18"/>
                <w:szCs w:val="18"/>
              </w:rPr>
            </w:pPr>
          </w:p>
          <w:p w14:paraId="63ED1F9A" w14:textId="271D399B" w:rsidR="00CA678C" w:rsidRPr="00582ECD" w:rsidRDefault="00CA678C" w:rsidP="006D1FBF">
            <w:pPr>
              <w:widowControl/>
              <w:autoSpaceDE/>
              <w:autoSpaceDN/>
              <w:adjustRightInd/>
              <w:jc w:val="both"/>
              <w:rPr>
                <w:rFonts w:asciiTheme="majorHAnsi" w:hAnsiTheme="majorHAnsi"/>
                <w:color w:val="000000"/>
                <w:sz w:val="18"/>
                <w:szCs w:val="18"/>
              </w:rPr>
            </w:pPr>
            <w:r w:rsidRPr="00582ECD">
              <w:rPr>
                <w:rFonts w:asciiTheme="majorHAnsi" w:hAnsiTheme="majorHAnsi"/>
                <w:color w:val="000000"/>
                <w:sz w:val="18"/>
              </w:rPr>
              <w:t>Les lignes directrices susmentionnées sur la mise en œuvre pratique de la manipulation, de la libération et de la protection des espèces vulnérables dans les cas de prises accessoires ont été préparées et mises en pratique sur la base des lignes directrices pertinentes de la FAO, des résultats du projet sur les prises accessoires en Méditerranée et des recommandations connexes de l’ICCAT.</w:t>
            </w:r>
          </w:p>
          <w:p w14:paraId="0E2B6D1B" w14:textId="5BEAA38C" w:rsidR="00724240" w:rsidRPr="00582ECD" w:rsidRDefault="00724240" w:rsidP="00724240">
            <w:pPr>
              <w:ind w:left="360"/>
              <w:jc w:val="both"/>
              <w:rPr>
                <w:rFonts w:asciiTheme="majorHAnsi" w:hAnsiTheme="majorHAnsi"/>
                <w:color w:val="000000"/>
                <w:sz w:val="18"/>
                <w:szCs w:val="18"/>
              </w:rPr>
            </w:pPr>
          </w:p>
        </w:tc>
        <w:tc>
          <w:tcPr>
            <w:tcW w:w="1324" w:type="pct"/>
          </w:tcPr>
          <w:p w14:paraId="031191E6" w14:textId="2C17C44A" w:rsidR="00CA678C" w:rsidRPr="00582ECD" w:rsidRDefault="00CA678C" w:rsidP="00CA678C">
            <w:pPr>
              <w:jc w:val="both"/>
              <w:rPr>
                <w:rFonts w:asciiTheme="majorHAnsi" w:hAnsiTheme="majorHAnsi"/>
                <w:color w:val="1C283D"/>
                <w:sz w:val="18"/>
                <w:szCs w:val="18"/>
              </w:rPr>
            </w:pPr>
            <w:r w:rsidRPr="00582ECD">
              <w:rPr>
                <w:rFonts w:asciiTheme="majorHAnsi" w:hAnsiTheme="majorHAnsi"/>
                <w:color w:val="1C283D"/>
                <w:sz w:val="18"/>
              </w:rPr>
              <w:lastRenderedPageBreak/>
              <w:t xml:space="preserve">Conformément à l'article 14 et à l'article 15 de la Notification nº6/1 réglementant la pêche commerciale (2024-2028), les palangres, les filets maillants et les filets </w:t>
            </w:r>
            <w:proofErr w:type="spellStart"/>
            <w:r w:rsidRPr="00582ECD">
              <w:rPr>
                <w:rFonts w:asciiTheme="majorHAnsi" w:hAnsiTheme="majorHAnsi"/>
                <w:color w:val="1C283D"/>
                <w:sz w:val="18"/>
              </w:rPr>
              <w:t>emmêlants</w:t>
            </w:r>
            <w:proofErr w:type="spellEnd"/>
            <w:r w:rsidRPr="00582ECD">
              <w:rPr>
                <w:rFonts w:asciiTheme="majorHAnsi" w:hAnsiTheme="majorHAnsi"/>
                <w:color w:val="1C283D"/>
                <w:sz w:val="18"/>
              </w:rPr>
              <w:t xml:space="preserve"> devant être posés (ancrés) en mer doivent être marqués avec un drapeau / flotteur de signalisation de jour et avec une bouée lumineuse de nuit. </w:t>
            </w:r>
          </w:p>
          <w:p w14:paraId="5416CA18" w14:textId="77777777" w:rsidR="00CA678C" w:rsidRPr="00582ECD" w:rsidRDefault="00CA678C" w:rsidP="00CA678C">
            <w:pPr>
              <w:jc w:val="both"/>
              <w:rPr>
                <w:rFonts w:asciiTheme="majorHAnsi" w:hAnsiTheme="majorHAnsi"/>
                <w:color w:val="1C283D"/>
                <w:sz w:val="18"/>
                <w:szCs w:val="18"/>
              </w:rPr>
            </w:pPr>
          </w:p>
          <w:p w14:paraId="0953D4A4" w14:textId="77777777" w:rsidR="00CA678C" w:rsidRPr="00582ECD" w:rsidRDefault="00CA678C" w:rsidP="00CA678C">
            <w:pPr>
              <w:jc w:val="both"/>
              <w:rPr>
                <w:rFonts w:asciiTheme="majorHAnsi" w:hAnsiTheme="majorHAnsi"/>
                <w:color w:val="1C283D"/>
                <w:sz w:val="18"/>
                <w:szCs w:val="18"/>
              </w:rPr>
            </w:pPr>
            <w:r w:rsidRPr="00582ECD">
              <w:rPr>
                <w:rFonts w:asciiTheme="majorHAnsi" w:hAnsiTheme="majorHAnsi"/>
                <w:color w:val="1C283D"/>
                <w:sz w:val="18"/>
              </w:rPr>
              <w:t>Zone :</w:t>
            </w:r>
          </w:p>
          <w:p w14:paraId="70113A7E" w14:textId="1DCA0CAB" w:rsidR="00CA678C" w:rsidRPr="00582ECD" w:rsidRDefault="00CA678C" w:rsidP="00CA678C">
            <w:pPr>
              <w:jc w:val="both"/>
              <w:rPr>
                <w:rFonts w:asciiTheme="majorHAnsi" w:hAnsiTheme="majorHAnsi"/>
                <w:color w:val="1C283D"/>
                <w:sz w:val="18"/>
                <w:szCs w:val="18"/>
              </w:rPr>
            </w:pPr>
            <w:r w:rsidRPr="00582ECD">
              <w:rPr>
                <w:rFonts w:asciiTheme="majorHAnsi" w:hAnsiTheme="majorHAnsi"/>
                <w:color w:val="1C283D"/>
                <w:sz w:val="18"/>
              </w:rPr>
              <w:t>Mouillage nocturne avec éclairage minimal du pont (toutes les zones de pêche).</w:t>
            </w:r>
          </w:p>
          <w:p w14:paraId="5C115A3D" w14:textId="77777777" w:rsidR="00724240" w:rsidRPr="00582ECD" w:rsidRDefault="00724240" w:rsidP="00724240">
            <w:pPr>
              <w:jc w:val="both"/>
              <w:rPr>
                <w:rFonts w:asciiTheme="majorHAnsi" w:hAnsiTheme="majorHAnsi"/>
                <w:color w:val="000000"/>
                <w:sz w:val="18"/>
                <w:szCs w:val="18"/>
              </w:rPr>
            </w:pPr>
          </w:p>
        </w:tc>
      </w:tr>
    </w:tbl>
    <w:p w14:paraId="4D3E213E" w14:textId="77777777" w:rsidR="00281FD1" w:rsidRPr="00582ECD" w:rsidRDefault="00281FD1" w:rsidP="00C121BC">
      <w:pPr>
        <w:jc w:val="both"/>
        <w:rPr>
          <w:rFonts w:asciiTheme="majorHAnsi" w:hAnsiTheme="majorHAnsi"/>
          <w:bCs/>
        </w:rPr>
      </w:pPr>
    </w:p>
    <w:p w14:paraId="7503212F" w14:textId="54C22444" w:rsidR="00281FD1" w:rsidRPr="00582ECD" w:rsidRDefault="00BE1E41" w:rsidP="00210D3D">
      <w:pPr>
        <w:widowControl/>
        <w:autoSpaceDE/>
        <w:autoSpaceDN/>
        <w:adjustRightInd/>
        <w:jc w:val="both"/>
        <w:rPr>
          <w:rFonts w:asciiTheme="majorHAnsi" w:hAnsiTheme="majorHAnsi"/>
          <w:bCs/>
        </w:rPr>
      </w:pPr>
      <w:r w:rsidRPr="00582ECD">
        <w:rPr>
          <w:rFonts w:asciiTheme="majorHAnsi" w:hAnsiTheme="majorHAnsi"/>
        </w:rPr>
        <w:t>En outre, certaines CPC qui ne pêchent pas au Sud de 20º S ou en Méditerranée ont indiqué dans leurs rapports annuels qu'un NPOA pour les oiseaux de mer est en place.</w:t>
      </w:r>
    </w:p>
    <w:p w14:paraId="005CE53F" w14:textId="77777777" w:rsidR="005C1EE7" w:rsidRPr="00582ECD" w:rsidRDefault="005C1EE7">
      <w:pPr>
        <w:widowControl/>
        <w:autoSpaceDE/>
        <w:autoSpaceDN/>
        <w:adjustRightInd/>
        <w:rPr>
          <w:rFonts w:asciiTheme="majorHAnsi" w:hAnsiTheme="majorHAnsi"/>
          <w:bCs/>
        </w:rPr>
        <w:sectPr w:rsidR="005C1EE7" w:rsidRPr="00582ECD" w:rsidSect="00336BA9">
          <w:endnotePr>
            <w:numFmt w:val="decimal"/>
          </w:endnotePr>
          <w:pgSz w:w="16832" w:h="11911" w:orient="landscape" w:code="9"/>
          <w:pgMar w:top="1418" w:right="1418" w:bottom="1418" w:left="1418" w:header="851" w:footer="1134" w:gutter="0"/>
          <w:cols w:space="720"/>
          <w:noEndnote/>
          <w:docGrid w:linePitch="360"/>
        </w:sectPr>
      </w:pPr>
    </w:p>
    <w:bookmarkEnd w:id="18"/>
    <w:p w14:paraId="649A12FF" w14:textId="14645FCC" w:rsidR="00E01A0F" w:rsidRPr="00582ECD" w:rsidRDefault="00E01A0F" w:rsidP="005C1EE7">
      <w:pPr>
        <w:tabs>
          <w:tab w:val="left" w:pos="1276"/>
          <w:tab w:val="left" w:leader="dot" w:pos="8222"/>
          <w:tab w:val="right" w:pos="8647"/>
        </w:tabs>
        <w:jc w:val="both"/>
        <w:rPr>
          <w:rFonts w:asciiTheme="majorHAnsi" w:hAnsiTheme="majorHAnsi"/>
          <w:i/>
          <w:iCs/>
        </w:rPr>
      </w:pPr>
      <w:r w:rsidRPr="00582ECD">
        <w:rPr>
          <w:rFonts w:asciiTheme="majorHAnsi" w:hAnsiTheme="majorHAnsi"/>
          <w:i/>
        </w:rPr>
        <w:lastRenderedPageBreak/>
        <w:t>Rec. 11-10 :  Recommandation de l’ICCAT sur la collecte d'informations et l’harmonisation des données sur les prises accessoires et les rejets dans les pêcheries de l’ICCAT</w:t>
      </w:r>
    </w:p>
    <w:p w14:paraId="05D7BBE6" w14:textId="77777777" w:rsidR="0072170F" w:rsidRPr="00582ECD" w:rsidRDefault="0072170F" w:rsidP="005C1EE7">
      <w:pPr>
        <w:tabs>
          <w:tab w:val="left" w:pos="1276"/>
          <w:tab w:val="left" w:leader="dot" w:pos="8222"/>
          <w:tab w:val="right" w:pos="8647"/>
        </w:tabs>
        <w:ind w:firstLine="425"/>
        <w:jc w:val="both"/>
        <w:rPr>
          <w:rFonts w:asciiTheme="majorHAnsi" w:hAnsiTheme="majorHAnsi"/>
          <w:i/>
          <w:iCs/>
        </w:rPr>
      </w:pPr>
    </w:p>
    <w:p w14:paraId="40501250" w14:textId="7E2E40B7" w:rsidR="0072170F" w:rsidRPr="00582ECD" w:rsidRDefault="0072170F" w:rsidP="005C1EE7">
      <w:pPr>
        <w:tabs>
          <w:tab w:val="left" w:pos="1276"/>
          <w:tab w:val="left" w:leader="dot" w:pos="8222"/>
          <w:tab w:val="right" w:pos="8647"/>
        </w:tabs>
        <w:jc w:val="both"/>
        <w:rPr>
          <w:rFonts w:asciiTheme="majorHAnsi" w:hAnsiTheme="majorHAnsi"/>
        </w:rPr>
      </w:pPr>
      <w:r w:rsidRPr="00582ECD">
        <w:rPr>
          <w:rFonts w:asciiTheme="majorHAnsi" w:hAnsiTheme="majorHAnsi"/>
        </w:rPr>
        <w:t xml:space="preserve">Veuillez consulter la Rec. 16-14 et le </w:t>
      </w:r>
      <w:r w:rsidR="00FC7BFF">
        <w:rPr>
          <w:rFonts w:asciiTheme="majorHAnsi" w:hAnsiTheme="majorHAnsi"/>
        </w:rPr>
        <w:t>« </w:t>
      </w:r>
      <w:r w:rsidRPr="00582ECD">
        <w:rPr>
          <w:rFonts w:asciiTheme="majorHAnsi" w:hAnsiTheme="majorHAnsi"/>
        </w:rPr>
        <w:t>Rapport 2026 du Secrétariat de l'ICCAT sur la recherche et les statistiques</w:t>
      </w:r>
      <w:r w:rsidR="00FC7BFF">
        <w:rPr>
          <w:rFonts w:asciiTheme="majorHAnsi" w:hAnsiTheme="majorHAnsi"/>
        </w:rPr>
        <w:t> »</w:t>
      </w:r>
      <w:r w:rsidRPr="00582ECD">
        <w:rPr>
          <w:rFonts w:asciiTheme="majorHAnsi" w:hAnsiTheme="majorHAnsi"/>
        </w:rPr>
        <w:t xml:space="preserve"> [PLE_105/2026] pour les informations relatives à cette Recommandation.</w:t>
      </w:r>
    </w:p>
    <w:p w14:paraId="5ADB63E6" w14:textId="77777777" w:rsidR="00426C05" w:rsidRPr="00582ECD" w:rsidRDefault="00426C05" w:rsidP="005C1EE7">
      <w:pPr>
        <w:tabs>
          <w:tab w:val="left" w:pos="1276"/>
          <w:tab w:val="left" w:pos="1418"/>
          <w:tab w:val="left" w:leader="dot" w:pos="8222"/>
          <w:tab w:val="right" w:pos="8647"/>
        </w:tabs>
        <w:ind w:left="1276" w:hanging="851"/>
        <w:jc w:val="both"/>
        <w:rPr>
          <w:rFonts w:asciiTheme="majorHAnsi" w:hAnsiTheme="majorHAnsi"/>
        </w:rPr>
      </w:pPr>
    </w:p>
    <w:p w14:paraId="29EE0929" w14:textId="338606C4" w:rsidR="00EB20C5" w:rsidRPr="00582ECD" w:rsidRDefault="00EB20C5" w:rsidP="00EB20C5">
      <w:pPr>
        <w:tabs>
          <w:tab w:val="left" w:pos="1276"/>
          <w:tab w:val="left" w:pos="1418"/>
          <w:tab w:val="left" w:leader="dot" w:pos="8222"/>
          <w:tab w:val="right" w:pos="8647"/>
        </w:tabs>
        <w:jc w:val="both"/>
        <w:rPr>
          <w:rFonts w:asciiTheme="majorHAnsi" w:hAnsiTheme="majorHAnsi"/>
        </w:rPr>
      </w:pPr>
      <w:r w:rsidRPr="00582ECD">
        <w:rPr>
          <w:rFonts w:asciiTheme="majorHAnsi" w:hAnsiTheme="majorHAnsi"/>
          <w:i/>
          <w:iCs/>
        </w:rPr>
        <w:t xml:space="preserve">Rec. 22-12 </w:t>
      </w:r>
      <w:r w:rsidRPr="00582ECD">
        <w:rPr>
          <w:rFonts w:asciiTheme="majorHAnsi" w:hAnsiTheme="majorHAnsi"/>
        </w:rPr>
        <w:t xml:space="preserve">: </w:t>
      </w:r>
      <w:r w:rsidRPr="00582ECD">
        <w:rPr>
          <w:rFonts w:asciiTheme="majorHAnsi" w:hAnsiTheme="majorHAnsi"/>
          <w:i/>
          <w:iCs/>
        </w:rPr>
        <w:t>Recommandation de l’ICCAT sur les prises accessoires de tortues marines capturées en association avec les pêcheries de l’ICCAT (combine, simplifie et amende les Recommandations 10-09 et 13-11)</w:t>
      </w:r>
      <w:r w:rsidRPr="00582ECD">
        <w:rPr>
          <w:rFonts w:asciiTheme="majorHAnsi" w:hAnsiTheme="majorHAnsi"/>
        </w:rPr>
        <w:t xml:space="preserve">, telle qu'amendée par la </w:t>
      </w:r>
      <w:r w:rsidRPr="00582ECD">
        <w:rPr>
          <w:rFonts w:asciiTheme="majorHAnsi" w:hAnsiTheme="majorHAnsi"/>
          <w:i/>
          <w:iCs/>
        </w:rPr>
        <w:t>Rec. 23-13 : Recommandation supplémentaire de l’ICCAT amendant la Recommandation 22-12 sur les prises accessoires de tortues marines capturées en association avec les pêcheries de l’ICCAT</w:t>
      </w:r>
    </w:p>
    <w:p w14:paraId="2BE220E5" w14:textId="77777777" w:rsidR="00EB20C5" w:rsidRPr="00582ECD" w:rsidRDefault="00EB20C5" w:rsidP="00EB20C5">
      <w:pPr>
        <w:tabs>
          <w:tab w:val="left" w:pos="1276"/>
          <w:tab w:val="left" w:leader="dot" w:pos="8222"/>
          <w:tab w:val="right" w:pos="8647"/>
        </w:tabs>
        <w:jc w:val="both"/>
        <w:rPr>
          <w:rFonts w:asciiTheme="majorHAnsi" w:hAnsiTheme="majorHAnsi"/>
          <w:bCs/>
          <w:i/>
          <w:iCs/>
        </w:rPr>
      </w:pPr>
      <w:bookmarkStart w:id="19" w:name="_Hlk86071566"/>
    </w:p>
    <w:bookmarkEnd w:id="19"/>
    <w:p w14:paraId="1D14B11C" w14:textId="3F8666B3" w:rsidR="00EB20C5" w:rsidRPr="00582ECD" w:rsidRDefault="00EB20C5" w:rsidP="00EB20C5">
      <w:pPr>
        <w:tabs>
          <w:tab w:val="left" w:pos="1276"/>
          <w:tab w:val="left" w:leader="dot" w:pos="8222"/>
          <w:tab w:val="right" w:pos="8647"/>
        </w:tabs>
        <w:jc w:val="both"/>
        <w:rPr>
          <w:rFonts w:asciiTheme="majorHAnsi" w:hAnsiTheme="majorHAnsi"/>
          <w:bCs/>
        </w:rPr>
      </w:pPr>
      <w:r w:rsidRPr="00582ECD">
        <w:rPr>
          <w:rFonts w:asciiTheme="majorHAnsi" w:hAnsiTheme="majorHAnsi"/>
        </w:rPr>
        <w:t xml:space="preserve">En 2021, le Secrétariat de l’ICCAT a recommandé que les CPC citent leur législation dans leurs rapports annuels étant donné qu’il a noté que l'applicabilité des exigences relatives à l’optimisation de la survie des tortues marines ne dépend pas de l'ampleur des interactions ; c’est-à-dire que cela devrait être mis en œuvre par tous ceux qui pratiquent la pêche à la senne et/ou à la palangre. Certaines CPC, mais pas toutes, se sont conformées à cette Recommandation. </w:t>
      </w:r>
      <w:bookmarkStart w:id="20" w:name="_Hlk147757496"/>
      <w:r w:rsidRPr="00582ECD">
        <w:rPr>
          <w:rFonts w:asciiTheme="majorHAnsi" w:hAnsiTheme="majorHAnsi"/>
        </w:rPr>
        <w:t>L’extrait complet des réponses saisies dans le Système intégré de gestion en ligne (IOMS) de l’ICCAT pour M : BYC01 est disponible à l’</w:t>
      </w:r>
      <w:r w:rsidRPr="00582ECD">
        <w:rPr>
          <w:rFonts w:asciiTheme="majorHAnsi" w:hAnsiTheme="majorHAnsi"/>
          <w:b/>
          <w:bCs/>
        </w:rPr>
        <w:t>annexe 8.</w:t>
      </w:r>
    </w:p>
    <w:bookmarkEnd w:id="20"/>
    <w:p w14:paraId="1C3E79BC" w14:textId="77777777" w:rsidR="00DC5C13" w:rsidRPr="00582ECD" w:rsidRDefault="00DC5C13" w:rsidP="006D1DE6">
      <w:pPr>
        <w:tabs>
          <w:tab w:val="left" w:pos="1276"/>
          <w:tab w:val="left" w:pos="1418"/>
          <w:tab w:val="left" w:leader="dot" w:pos="8222"/>
          <w:tab w:val="right" w:pos="8647"/>
        </w:tabs>
        <w:jc w:val="both"/>
        <w:rPr>
          <w:rFonts w:asciiTheme="majorHAnsi" w:hAnsiTheme="majorHAnsi"/>
          <w:iCs/>
        </w:rPr>
      </w:pPr>
    </w:p>
    <w:p w14:paraId="29229501" w14:textId="077FAD5F" w:rsidR="00DC5C13" w:rsidRPr="00582ECD" w:rsidRDefault="00DC5C13" w:rsidP="005C1EE7">
      <w:pPr>
        <w:tabs>
          <w:tab w:val="left" w:pos="1276"/>
          <w:tab w:val="left" w:pos="1418"/>
          <w:tab w:val="left" w:leader="dot" w:pos="8222"/>
          <w:tab w:val="right" w:pos="8647"/>
        </w:tabs>
        <w:jc w:val="both"/>
        <w:rPr>
          <w:rFonts w:asciiTheme="majorHAnsi" w:hAnsiTheme="majorHAnsi"/>
          <w:i/>
        </w:rPr>
      </w:pPr>
      <w:r w:rsidRPr="00582ECD">
        <w:rPr>
          <w:rFonts w:asciiTheme="majorHAnsi" w:hAnsiTheme="majorHAnsi"/>
          <w:i/>
        </w:rPr>
        <w:t xml:space="preserve">Rec. 24-12 : Recommandation de l’ICCAT remplaçant la Recommandation 23-14 sur les raies </w:t>
      </w:r>
      <w:proofErr w:type="spellStart"/>
      <w:r w:rsidRPr="00582ECD">
        <w:rPr>
          <w:rFonts w:asciiTheme="majorHAnsi" w:hAnsiTheme="majorHAnsi"/>
          <w:i/>
        </w:rPr>
        <w:t>mobulidées</w:t>
      </w:r>
      <w:proofErr w:type="spellEnd"/>
      <w:r w:rsidRPr="00582ECD">
        <w:rPr>
          <w:rFonts w:asciiTheme="majorHAnsi" w:hAnsiTheme="majorHAnsi"/>
          <w:i/>
        </w:rPr>
        <w:t xml:space="preserve"> (famille </w:t>
      </w:r>
      <w:proofErr w:type="spellStart"/>
      <w:r w:rsidRPr="00582ECD">
        <w:rPr>
          <w:rFonts w:asciiTheme="majorHAnsi" w:hAnsiTheme="majorHAnsi"/>
          <w:i/>
        </w:rPr>
        <w:t>Mobulidae</w:t>
      </w:r>
      <w:proofErr w:type="spellEnd"/>
      <w:r w:rsidRPr="00582ECD">
        <w:rPr>
          <w:rFonts w:asciiTheme="majorHAnsi" w:hAnsiTheme="majorHAnsi"/>
          <w:i/>
        </w:rPr>
        <w:t>) capturées en association avec les pêcheries de l’ICCAT</w:t>
      </w:r>
    </w:p>
    <w:p w14:paraId="3E326EEB" w14:textId="77777777" w:rsidR="00DC5C13" w:rsidRPr="00582ECD" w:rsidRDefault="00DC5C13" w:rsidP="005C1EE7">
      <w:pPr>
        <w:tabs>
          <w:tab w:val="left" w:pos="1276"/>
          <w:tab w:val="left" w:pos="1418"/>
          <w:tab w:val="left" w:leader="dot" w:pos="8222"/>
          <w:tab w:val="right" w:pos="8647"/>
        </w:tabs>
        <w:jc w:val="both"/>
        <w:rPr>
          <w:rFonts w:asciiTheme="majorHAnsi" w:hAnsiTheme="majorHAnsi"/>
          <w:i/>
        </w:rPr>
      </w:pPr>
    </w:p>
    <w:p w14:paraId="7587CF83" w14:textId="2C08C81C" w:rsidR="00DC5C13" w:rsidRPr="00582ECD" w:rsidRDefault="004C55EE" w:rsidP="005C1EE7">
      <w:pPr>
        <w:tabs>
          <w:tab w:val="left" w:pos="1276"/>
          <w:tab w:val="left" w:pos="1418"/>
          <w:tab w:val="left" w:leader="dot" w:pos="8222"/>
          <w:tab w:val="right" w:pos="8647"/>
        </w:tabs>
        <w:jc w:val="both"/>
        <w:rPr>
          <w:rFonts w:asciiTheme="majorHAnsi" w:hAnsiTheme="majorHAnsi"/>
          <w:iCs/>
        </w:rPr>
      </w:pPr>
      <w:r w:rsidRPr="00582ECD">
        <w:rPr>
          <w:rFonts w:asciiTheme="majorHAnsi" w:hAnsiTheme="majorHAnsi"/>
        </w:rPr>
        <w:t xml:space="preserve">Les prises accessoires de raies </w:t>
      </w:r>
      <w:proofErr w:type="spellStart"/>
      <w:r w:rsidRPr="00582ECD">
        <w:rPr>
          <w:rFonts w:asciiTheme="majorHAnsi" w:hAnsiTheme="majorHAnsi"/>
        </w:rPr>
        <w:t>mobulidées</w:t>
      </w:r>
      <w:proofErr w:type="spellEnd"/>
      <w:r w:rsidRPr="00582ECD">
        <w:rPr>
          <w:rFonts w:asciiTheme="majorHAnsi" w:hAnsiTheme="majorHAnsi"/>
        </w:rPr>
        <w:t xml:space="preserve"> (famille des </w:t>
      </w:r>
      <w:proofErr w:type="spellStart"/>
      <w:r w:rsidRPr="00582ECD">
        <w:rPr>
          <w:rFonts w:asciiTheme="majorHAnsi" w:hAnsiTheme="majorHAnsi"/>
        </w:rPr>
        <w:t>Mobulidae</w:t>
      </w:r>
      <w:proofErr w:type="spellEnd"/>
      <w:r w:rsidRPr="00582ECD">
        <w:rPr>
          <w:rFonts w:asciiTheme="majorHAnsi" w:hAnsiTheme="majorHAnsi"/>
        </w:rPr>
        <w:t>) seront incluses, le cas échéant, dans le rapport du Secrétariat de l’ICCAT sur la recherche et les statistiques.</w:t>
      </w:r>
    </w:p>
    <w:p w14:paraId="56BED7A5" w14:textId="6526CEE3" w:rsidR="00B05931" w:rsidRPr="00582ECD" w:rsidRDefault="00B05931" w:rsidP="00820485">
      <w:pPr>
        <w:tabs>
          <w:tab w:val="left" w:pos="1276"/>
          <w:tab w:val="left" w:pos="1418"/>
          <w:tab w:val="left" w:leader="dot" w:pos="8222"/>
          <w:tab w:val="right" w:pos="8647"/>
        </w:tabs>
        <w:jc w:val="both"/>
        <w:rPr>
          <w:rFonts w:asciiTheme="majorHAnsi" w:hAnsiTheme="majorHAnsi"/>
        </w:rPr>
      </w:pPr>
    </w:p>
    <w:p w14:paraId="22603614" w14:textId="77777777" w:rsidR="00B150F5" w:rsidRPr="00582ECD" w:rsidRDefault="00B150F5" w:rsidP="00820485">
      <w:pPr>
        <w:jc w:val="both"/>
        <w:rPr>
          <w:rFonts w:asciiTheme="majorHAnsi" w:hAnsiTheme="majorHAnsi"/>
          <w:b/>
        </w:rPr>
      </w:pPr>
    </w:p>
    <w:p w14:paraId="6CF1245F" w14:textId="0720AE22" w:rsidR="00F225F3" w:rsidRPr="00582ECD" w:rsidRDefault="00366E9B" w:rsidP="00820485">
      <w:pPr>
        <w:pStyle w:val="Default"/>
        <w:rPr>
          <w:rFonts w:asciiTheme="majorHAnsi" w:hAnsiTheme="majorHAnsi"/>
          <w:b/>
          <w:sz w:val="20"/>
          <w:szCs w:val="20"/>
        </w:rPr>
      </w:pPr>
      <w:r w:rsidRPr="00582ECD">
        <w:rPr>
          <w:rFonts w:asciiTheme="majorHAnsi" w:hAnsiTheme="majorHAnsi"/>
          <w:b/>
          <w:sz w:val="20"/>
        </w:rPr>
        <w:t>SUIVI ET APPLICATION</w:t>
      </w:r>
    </w:p>
    <w:p w14:paraId="7A0D4193" w14:textId="77777777" w:rsidR="00F225F3" w:rsidRPr="00582ECD" w:rsidRDefault="00F225F3" w:rsidP="00820485">
      <w:pPr>
        <w:tabs>
          <w:tab w:val="left" w:pos="1276"/>
          <w:tab w:val="left" w:pos="1418"/>
          <w:tab w:val="left" w:leader="dot" w:pos="8222"/>
          <w:tab w:val="right" w:pos="8647"/>
        </w:tabs>
        <w:rPr>
          <w:rFonts w:asciiTheme="majorHAnsi" w:hAnsiTheme="majorHAnsi"/>
          <w:b/>
          <w:bCs/>
        </w:rPr>
      </w:pPr>
    </w:p>
    <w:p w14:paraId="6999A859" w14:textId="77777777" w:rsidR="00F225F3" w:rsidRPr="00582ECD" w:rsidRDefault="00F225F3" w:rsidP="00820485">
      <w:pPr>
        <w:pStyle w:val="Heading7"/>
        <w:ind w:firstLine="0"/>
        <w:rPr>
          <w:rFonts w:asciiTheme="majorHAnsi" w:hAnsiTheme="majorHAnsi"/>
        </w:rPr>
      </w:pPr>
      <w:r w:rsidRPr="00582ECD">
        <w:rPr>
          <w:rFonts w:asciiTheme="majorHAnsi" w:hAnsiTheme="majorHAnsi"/>
        </w:rPr>
        <w:t>GEN - QUESTIONS D’ORDRE GÉNÉRAL</w:t>
      </w:r>
    </w:p>
    <w:p w14:paraId="5C6F1557" w14:textId="77777777" w:rsidR="004A03A2" w:rsidRPr="00582ECD" w:rsidRDefault="004A03A2" w:rsidP="00820485">
      <w:pPr>
        <w:tabs>
          <w:tab w:val="left" w:pos="1276"/>
          <w:tab w:val="left" w:pos="1418"/>
          <w:tab w:val="left" w:leader="dot" w:pos="8222"/>
          <w:tab w:val="right" w:pos="8647"/>
        </w:tabs>
        <w:rPr>
          <w:rFonts w:asciiTheme="majorHAnsi" w:hAnsiTheme="majorHAnsi"/>
        </w:rPr>
      </w:pPr>
    </w:p>
    <w:p w14:paraId="1C2FF426" w14:textId="227FC65A" w:rsidR="00F225F3" w:rsidRPr="00582ECD" w:rsidRDefault="00F225F3" w:rsidP="00820485">
      <w:pPr>
        <w:tabs>
          <w:tab w:val="left" w:pos="1276"/>
          <w:tab w:val="left" w:pos="1418"/>
          <w:tab w:val="left" w:leader="dot" w:pos="8222"/>
          <w:tab w:val="right" w:pos="8647"/>
        </w:tabs>
        <w:jc w:val="both"/>
        <w:rPr>
          <w:rFonts w:asciiTheme="majorHAnsi" w:hAnsiTheme="majorHAnsi"/>
          <w:i/>
        </w:rPr>
      </w:pPr>
      <w:r w:rsidRPr="00582ECD">
        <w:rPr>
          <w:rFonts w:asciiTheme="majorHAnsi" w:hAnsiTheme="majorHAnsi"/>
          <w:i/>
        </w:rPr>
        <w:t>Rec. 98-11 : Recommandation de l'ICCAT sur l’interdiction concernant les débarquements et transbordements de bateaux de Parties non-contractantes identifiés comme ayant commis une infraction grave</w:t>
      </w:r>
    </w:p>
    <w:p w14:paraId="76B60515" w14:textId="77777777" w:rsidR="002728CE" w:rsidRPr="00582ECD" w:rsidRDefault="002728CE" w:rsidP="00820485">
      <w:pPr>
        <w:tabs>
          <w:tab w:val="left" w:pos="1276"/>
          <w:tab w:val="left" w:pos="1418"/>
          <w:tab w:val="left" w:leader="dot" w:pos="8222"/>
          <w:tab w:val="right" w:pos="8647"/>
        </w:tabs>
        <w:ind w:firstLine="426"/>
        <w:rPr>
          <w:rFonts w:asciiTheme="majorHAnsi" w:hAnsiTheme="majorHAnsi"/>
        </w:rPr>
      </w:pPr>
    </w:p>
    <w:p w14:paraId="3FEDE812" w14:textId="6E72DD7C" w:rsidR="002728CE" w:rsidRPr="00582ECD" w:rsidRDefault="002728CE" w:rsidP="00820485">
      <w:pPr>
        <w:tabs>
          <w:tab w:val="left" w:pos="284"/>
          <w:tab w:val="left" w:pos="1276"/>
          <w:tab w:val="left" w:pos="1418"/>
          <w:tab w:val="left" w:leader="dot" w:pos="8222"/>
          <w:tab w:val="right" w:pos="8647"/>
        </w:tabs>
        <w:rPr>
          <w:rFonts w:asciiTheme="majorHAnsi" w:hAnsiTheme="majorHAnsi"/>
        </w:rPr>
      </w:pPr>
      <w:r w:rsidRPr="00582ECD">
        <w:rPr>
          <w:rFonts w:asciiTheme="majorHAnsi" w:hAnsiTheme="majorHAnsi"/>
        </w:rPr>
        <w:t>Le Secrétariat de l'ICCAT n'a rien à déclarer pour le moment.</w:t>
      </w:r>
    </w:p>
    <w:p w14:paraId="505DD99A" w14:textId="77777777" w:rsidR="004916DC" w:rsidRPr="00582ECD" w:rsidRDefault="004916DC" w:rsidP="00820485">
      <w:pPr>
        <w:tabs>
          <w:tab w:val="left" w:pos="284"/>
          <w:tab w:val="left" w:pos="1276"/>
          <w:tab w:val="left" w:pos="1418"/>
          <w:tab w:val="left" w:leader="dot" w:pos="8222"/>
          <w:tab w:val="right" w:pos="8647"/>
        </w:tabs>
        <w:rPr>
          <w:rFonts w:asciiTheme="majorHAnsi" w:hAnsiTheme="majorHAnsi"/>
        </w:rPr>
      </w:pPr>
    </w:p>
    <w:p w14:paraId="4CDF9E4B" w14:textId="730A0FD0" w:rsidR="0082215A" w:rsidRPr="00582ECD" w:rsidRDefault="00BF05F4" w:rsidP="00820485">
      <w:pPr>
        <w:tabs>
          <w:tab w:val="left" w:pos="1276"/>
          <w:tab w:val="left" w:pos="1418"/>
          <w:tab w:val="left" w:leader="dot" w:pos="8222"/>
          <w:tab w:val="right" w:pos="8647"/>
        </w:tabs>
        <w:jc w:val="both"/>
        <w:rPr>
          <w:rFonts w:asciiTheme="majorHAnsi" w:hAnsiTheme="majorHAnsi"/>
          <w:i/>
        </w:rPr>
      </w:pPr>
      <w:r w:rsidRPr="00582ECD">
        <w:rPr>
          <w:rFonts w:asciiTheme="majorHAnsi" w:hAnsiTheme="majorHAnsi"/>
          <w:i/>
        </w:rPr>
        <w:t>Rec. 06-13 : Recommandation de l’ICCAT concernant des mesures commerciales</w:t>
      </w:r>
    </w:p>
    <w:p w14:paraId="39C880FB" w14:textId="77777777" w:rsidR="005A6C3F" w:rsidRPr="00582ECD" w:rsidRDefault="005A6C3F" w:rsidP="00820485">
      <w:pPr>
        <w:tabs>
          <w:tab w:val="left" w:pos="1276"/>
          <w:tab w:val="left" w:pos="1418"/>
          <w:tab w:val="left" w:leader="dot" w:pos="8222"/>
          <w:tab w:val="right" w:pos="8647"/>
        </w:tabs>
        <w:ind w:left="1276" w:hanging="851"/>
        <w:rPr>
          <w:rFonts w:asciiTheme="majorHAnsi" w:hAnsiTheme="majorHAnsi"/>
        </w:rPr>
      </w:pPr>
    </w:p>
    <w:p w14:paraId="3AAE276D" w14:textId="44B3BA8A" w:rsidR="006278F6" w:rsidRPr="00582ECD" w:rsidRDefault="004A4E59" w:rsidP="005B120F">
      <w:pPr>
        <w:tabs>
          <w:tab w:val="left" w:pos="1276"/>
          <w:tab w:val="left" w:pos="1418"/>
          <w:tab w:val="left" w:leader="dot" w:pos="8222"/>
          <w:tab w:val="right" w:pos="8647"/>
        </w:tabs>
        <w:jc w:val="both"/>
        <w:rPr>
          <w:rFonts w:asciiTheme="majorHAnsi" w:hAnsiTheme="majorHAnsi"/>
          <w:i/>
        </w:rPr>
      </w:pPr>
      <w:r w:rsidRPr="00582ECD">
        <w:rPr>
          <w:rFonts w:asciiTheme="majorHAnsi" w:hAnsiTheme="majorHAnsi"/>
        </w:rPr>
        <w:t>Les formulaires complétés comportant des informations sur les importations et les débarquements ont été soumis conformément à cette mesure, dans les délais impartis, par la Chine, le Taipei chinois, le Salvador, le Japon, la Corée (</w:t>
      </w:r>
      <w:proofErr w:type="spellStart"/>
      <w:r w:rsidRPr="00582ECD">
        <w:rPr>
          <w:rFonts w:asciiTheme="majorHAnsi" w:hAnsiTheme="majorHAnsi"/>
        </w:rPr>
        <w:t>Rép</w:t>
      </w:r>
      <w:proofErr w:type="spellEnd"/>
      <w:r w:rsidRPr="00582ECD">
        <w:rPr>
          <w:rFonts w:asciiTheme="majorHAnsi" w:hAnsiTheme="majorHAnsi"/>
        </w:rPr>
        <w:t xml:space="preserve">.), Saint-Vincent-et-les-Grenadines, la Türkiye et le Royaume-Uni. Les </w:t>
      </w:r>
      <w:r w:rsidRPr="00582ECD">
        <w:rPr>
          <w:rFonts w:asciiTheme="majorHAnsi" w:hAnsiTheme="majorHAnsi"/>
          <w:color w:val="000000" w:themeColor="text1"/>
        </w:rPr>
        <w:t>informations soumises par les CPC sont incluses à l’</w:t>
      </w:r>
      <w:r w:rsidRPr="00582ECD">
        <w:rPr>
          <w:rFonts w:asciiTheme="majorHAnsi" w:hAnsiTheme="majorHAnsi"/>
          <w:b/>
          <w:color w:val="000000" w:themeColor="text1"/>
        </w:rPr>
        <w:t>annexe 1</w:t>
      </w:r>
      <w:r w:rsidRPr="00582ECD">
        <w:rPr>
          <w:rFonts w:asciiTheme="majorHAnsi" w:hAnsiTheme="majorHAnsi"/>
          <w:color w:val="000000" w:themeColor="text1"/>
        </w:rPr>
        <w:t>.</w:t>
      </w:r>
    </w:p>
    <w:p w14:paraId="54188F2E" w14:textId="77777777" w:rsidR="002728CE" w:rsidRPr="00582ECD" w:rsidRDefault="002728CE" w:rsidP="00820485">
      <w:pPr>
        <w:tabs>
          <w:tab w:val="left" w:pos="1276"/>
        </w:tabs>
        <w:ind w:left="1272" w:right="432" w:hanging="840"/>
        <w:jc w:val="both"/>
        <w:rPr>
          <w:rFonts w:asciiTheme="majorHAnsi" w:hAnsiTheme="majorHAnsi"/>
          <w:i/>
        </w:rPr>
      </w:pPr>
    </w:p>
    <w:p w14:paraId="4D39AE07" w14:textId="478006DA" w:rsidR="00FB02A1" w:rsidRPr="00582ECD" w:rsidRDefault="00FB02A1" w:rsidP="00820485">
      <w:pPr>
        <w:ind w:right="3"/>
        <w:jc w:val="both"/>
        <w:rPr>
          <w:rFonts w:asciiTheme="majorHAnsi" w:hAnsiTheme="majorHAnsi"/>
          <w:bCs/>
          <w:i/>
        </w:rPr>
      </w:pPr>
      <w:r w:rsidRPr="00582ECD">
        <w:rPr>
          <w:rFonts w:asciiTheme="majorHAnsi" w:hAnsiTheme="majorHAnsi"/>
          <w:i/>
        </w:rPr>
        <w:t>Rec. 08-09 : Recommandation de l’ICCAT visant à établir un processus aux fins de l’examen et de la déclaration des informations sur l’application</w:t>
      </w:r>
    </w:p>
    <w:p w14:paraId="38D625F9" w14:textId="77777777" w:rsidR="00AC10BA" w:rsidRPr="00582ECD" w:rsidRDefault="00AC10BA" w:rsidP="00820485">
      <w:pPr>
        <w:tabs>
          <w:tab w:val="left" w:pos="1276"/>
        </w:tabs>
        <w:ind w:left="1272" w:right="432" w:hanging="840"/>
        <w:jc w:val="both"/>
        <w:rPr>
          <w:rFonts w:asciiTheme="majorHAnsi" w:hAnsiTheme="majorHAnsi"/>
          <w:bCs/>
          <w:i/>
        </w:rPr>
      </w:pPr>
    </w:p>
    <w:p w14:paraId="0D96337F" w14:textId="7A828548" w:rsidR="005F4C25" w:rsidRPr="00582ECD" w:rsidRDefault="00EB756D" w:rsidP="00820485">
      <w:pPr>
        <w:tabs>
          <w:tab w:val="left" w:pos="1276"/>
          <w:tab w:val="left" w:pos="1418"/>
          <w:tab w:val="left" w:leader="dot" w:pos="8222"/>
          <w:tab w:val="right" w:pos="8647"/>
        </w:tabs>
        <w:jc w:val="both"/>
        <w:rPr>
          <w:rFonts w:asciiTheme="majorHAnsi" w:hAnsiTheme="majorHAnsi"/>
        </w:rPr>
      </w:pPr>
      <w:r w:rsidRPr="00582ECD">
        <w:rPr>
          <w:rFonts w:asciiTheme="majorHAnsi" w:hAnsiTheme="majorHAnsi"/>
        </w:rPr>
        <w:t>Les informations soumises par les CPC et les organisations non-gouvernementales (ONG) conjointement avec les réponses reçues à cette date sont disponibles dans le COC_312/2026.</w:t>
      </w:r>
    </w:p>
    <w:p w14:paraId="5AD69D81" w14:textId="76654124" w:rsidR="00021E3E" w:rsidRPr="00582ECD" w:rsidRDefault="00021E3E" w:rsidP="00820485">
      <w:pPr>
        <w:tabs>
          <w:tab w:val="left" w:pos="1276"/>
          <w:tab w:val="left" w:pos="1418"/>
          <w:tab w:val="left" w:leader="dot" w:pos="8222"/>
          <w:tab w:val="right" w:pos="8647"/>
        </w:tabs>
        <w:rPr>
          <w:rFonts w:asciiTheme="majorHAnsi" w:hAnsiTheme="majorHAnsi"/>
          <w:i/>
          <w:iCs/>
        </w:rPr>
      </w:pPr>
    </w:p>
    <w:p w14:paraId="5B767378" w14:textId="1593AE8B" w:rsidR="00E01A0F" w:rsidRPr="00582ECD" w:rsidRDefault="00E01A0F" w:rsidP="00820485">
      <w:pPr>
        <w:tabs>
          <w:tab w:val="left" w:pos="1276"/>
          <w:tab w:val="left" w:pos="1418"/>
          <w:tab w:val="left" w:leader="dot" w:pos="8222"/>
          <w:tab w:val="right" w:pos="8647"/>
        </w:tabs>
        <w:jc w:val="both"/>
        <w:rPr>
          <w:rFonts w:asciiTheme="majorHAnsi" w:hAnsiTheme="majorHAnsi"/>
          <w:b/>
          <w:bCs/>
        </w:rPr>
      </w:pPr>
      <w:r w:rsidRPr="00582ECD">
        <w:rPr>
          <w:rFonts w:asciiTheme="majorHAnsi" w:hAnsiTheme="majorHAnsi"/>
          <w:i/>
        </w:rPr>
        <w:t>Rec. 11-11 : Recommandation de l'ICCAT visant à clarifier la mise en œuvre des recommandations d’application et aux fins de l’élaboration de l’annexe d’application</w:t>
      </w:r>
    </w:p>
    <w:p w14:paraId="6A3897EF" w14:textId="77777777" w:rsidR="002728CE" w:rsidRPr="00582ECD" w:rsidRDefault="002728CE" w:rsidP="00820485">
      <w:pPr>
        <w:tabs>
          <w:tab w:val="left" w:pos="1276"/>
          <w:tab w:val="left" w:pos="1418"/>
          <w:tab w:val="left" w:leader="dot" w:pos="8222"/>
          <w:tab w:val="right" w:pos="8647"/>
        </w:tabs>
        <w:ind w:firstLine="425"/>
        <w:rPr>
          <w:rFonts w:asciiTheme="majorHAnsi" w:hAnsiTheme="majorHAnsi"/>
          <w:iCs/>
        </w:rPr>
      </w:pPr>
    </w:p>
    <w:p w14:paraId="40548995" w14:textId="1F43B126" w:rsidR="0064289F" w:rsidRPr="00582ECD" w:rsidRDefault="002728CE" w:rsidP="0064289F">
      <w:pPr>
        <w:tabs>
          <w:tab w:val="left" w:pos="1276"/>
          <w:tab w:val="left" w:pos="1418"/>
          <w:tab w:val="left" w:leader="dot" w:pos="8222"/>
          <w:tab w:val="right" w:pos="8647"/>
        </w:tabs>
        <w:jc w:val="both"/>
        <w:rPr>
          <w:rFonts w:asciiTheme="majorHAnsi" w:hAnsiTheme="majorHAnsi"/>
          <w:bCs/>
        </w:rPr>
      </w:pPr>
      <w:r w:rsidRPr="00582ECD">
        <w:rPr>
          <w:rFonts w:asciiTheme="majorHAnsi" w:hAnsiTheme="majorHAnsi"/>
        </w:rPr>
        <w:t>Les tableaux d’application sont contenus dans les « Tableaux d'application de 2025 reçus en 2026 » [COC_304/2026].</w:t>
      </w:r>
    </w:p>
    <w:p w14:paraId="35C285EB" w14:textId="77777777" w:rsidR="00085A83" w:rsidRPr="00582ECD" w:rsidRDefault="00085A83" w:rsidP="0064289F">
      <w:pPr>
        <w:tabs>
          <w:tab w:val="left" w:pos="1276"/>
          <w:tab w:val="left" w:pos="1418"/>
          <w:tab w:val="left" w:leader="dot" w:pos="8222"/>
          <w:tab w:val="right" w:pos="8647"/>
        </w:tabs>
        <w:jc w:val="both"/>
        <w:rPr>
          <w:rFonts w:asciiTheme="majorHAnsi" w:hAnsiTheme="majorHAnsi"/>
        </w:rPr>
      </w:pPr>
    </w:p>
    <w:p w14:paraId="0119359B" w14:textId="5D9BB9B3" w:rsidR="00B61C58" w:rsidRPr="00582ECD" w:rsidRDefault="00B61C58" w:rsidP="00820485">
      <w:pPr>
        <w:tabs>
          <w:tab w:val="left" w:pos="1276"/>
          <w:tab w:val="left" w:pos="1418"/>
          <w:tab w:val="left" w:leader="dot" w:pos="9072"/>
        </w:tabs>
        <w:jc w:val="both"/>
        <w:rPr>
          <w:rFonts w:asciiTheme="majorHAnsi" w:hAnsiTheme="majorHAnsi"/>
          <w:i/>
          <w:iCs/>
        </w:rPr>
      </w:pPr>
      <w:r w:rsidRPr="00582ECD">
        <w:rPr>
          <w:rFonts w:asciiTheme="majorHAnsi" w:hAnsiTheme="majorHAnsi"/>
          <w:i/>
        </w:rPr>
        <w:t>Rec. 11-15 : Recommandation de l’ICCAT sur les pénalisations applicables en cas de non-respect des obligations en matière de déclaration</w:t>
      </w:r>
    </w:p>
    <w:p w14:paraId="3F2A342E" w14:textId="77777777" w:rsidR="00AC10BA" w:rsidRPr="00582ECD" w:rsidRDefault="00AC10BA" w:rsidP="00820485">
      <w:pPr>
        <w:tabs>
          <w:tab w:val="left" w:pos="1276"/>
          <w:tab w:val="left" w:pos="1418"/>
          <w:tab w:val="left" w:leader="dot" w:pos="8222"/>
          <w:tab w:val="right" w:pos="8647"/>
        </w:tabs>
        <w:ind w:firstLine="425"/>
        <w:rPr>
          <w:rFonts w:asciiTheme="majorHAnsi" w:hAnsiTheme="majorHAnsi"/>
          <w:iCs/>
        </w:rPr>
      </w:pPr>
    </w:p>
    <w:p w14:paraId="7B813BA5" w14:textId="64B5B5CF" w:rsidR="00E0125F" w:rsidRPr="00582ECD" w:rsidRDefault="00E0125F" w:rsidP="00820485">
      <w:pPr>
        <w:tabs>
          <w:tab w:val="left" w:pos="1276"/>
          <w:tab w:val="left" w:pos="1418"/>
          <w:tab w:val="left" w:leader="dot" w:pos="8222"/>
          <w:tab w:val="right" w:pos="8647"/>
        </w:tabs>
        <w:jc w:val="both"/>
        <w:rPr>
          <w:rFonts w:asciiTheme="majorHAnsi" w:hAnsiTheme="majorHAnsi"/>
          <w:iCs/>
        </w:rPr>
      </w:pPr>
      <w:r w:rsidRPr="00582ECD">
        <w:rPr>
          <w:rFonts w:asciiTheme="majorHAnsi" w:hAnsiTheme="majorHAnsi"/>
        </w:rPr>
        <w:t xml:space="preserve">À l'issue de la réunion de la Commission de 2025, une interdiction a été imposée </w:t>
      </w:r>
      <w:r w:rsidR="00CF3B78">
        <w:rPr>
          <w:rFonts w:asciiTheme="majorHAnsi" w:hAnsiTheme="majorHAnsi"/>
        </w:rPr>
        <w:t>au</w:t>
      </w:r>
      <w:r w:rsidRPr="00582ECD">
        <w:rPr>
          <w:rFonts w:asciiTheme="majorHAnsi" w:hAnsiTheme="majorHAnsi"/>
        </w:rPr>
        <w:t xml:space="preserve"> Guyan</w:t>
      </w:r>
      <w:r w:rsidR="00CF3B78">
        <w:rPr>
          <w:rFonts w:asciiTheme="majorHAnsi" w:hAnsiTheme="majorHAnsi"/>
        </w:rPr>
        <w:t>a</w:t>
      </w:r>
      <w:r w:rsidRPr="00582ECD">
        <w:rPr>
          <w:rFonts w:asciiTheme="majorHAnsi" w:hAnsiTheme="majorHAnsi"/>
        </w:rPr>
        <w:t>. Le Secrétariat de l’ICCAT indique que cette interdiction reste en vigueur, le Guyana n'ayant pas encore fourni les données manquantes.</w:t>
      </w:r>
    </w:p>
    <w:p w14:paraId="51F71863" w14:textId="77777777" w:rsidR="00DF04E9" w:rsidRPr="00582ECD" w:rsidRDefault="00DF04E9" w:rsidP="00820485">
      <w:pPr>
        <w:tabs>
          <w:tab w:val="left" w:pos="1276"/>
          <w:tab w:val="left" w:pos="1418"/>
          <w:tab w:val="left" w:leader="dot" w:pos="8222"/>
          <w:tab w:val="right" w:pos="8647"/>
        </w:tabs>
        <w:jc w:val="both"/>
        <w:rPr>
          <w:rFonts w:asciiTheme="majorHAnsi" w:hAnsiTheme="majorHAnsi"/>
          <w:iCs/>
        </w:rPr>
      </w:pPr>
    </w:p>
    <w:p w14:paraId="4EFE5087" w14:textId="5463B5EF" w:rsidR="00881FCA" w:rsidRPr="00582ECD" w:rsidRDefault="0023206B" w:rsidP="0023206B">
      <w:pPr>
        <w:tabs>
          <w:tab w:val="left" w:pos="1276"/>
          <w:tab w:val="left" w:pos="1418"/>
          <w:tab w:val="left" w:leader="dot" w:pos="8222"/>
          <w:tab w:val="right" w:pos="8647"/>
        </w:tabs>
        <w:jc w:val="both"/>
        <w:rPr>
          <w:rFonts w:asciiTheme="majorHAnsi" w:hAnsiTheme="majorHAnsi"/>
        </w:rPr>
      </w:pPr>
      <w:r w:rsidRPr="00582ECD">
        <w:rPr>
          <w:rFonts w:asciiTheme="majorHAnsi" w:hAnsiTheme="majorHAnsi"/>
        </w:rPr>
        <w:t>Au 7 octobre 2026, aucune donnée relative à la tâche 1 po</w:t>
      </w:r>
      <w:r w:rsidRPr="00CF3B78">
        <w:rPr>
          <w:rFonts w:asciiTheme="majorHAnsi" w:hAnsiTheme="majorHAnsi"/>
        </w:rPr>
        <w:t>ur l'année 2025 n'avait été reçue au cours de l'année 2026 de la part de la Guinée équatoriale, d</w:t>
      </w:r>
      <w:r w:rsidR="005D5823" w:rsidRPr="00CF3B78">
        <w:rPr>
          <w:rFonts w:asciiTheme="majorHAnsi" w:hAnsiTheme="majorHAnsi"/>
        </w:rPr>
        <w:t>u</w:t>
      </w:r>
      <w:r w:rsidRPr="00CF3B78">
        <w:rPr>
          <w:rFonts w:asciiTheme="majorHAnsi" w:hAnsiTheme="majorHAnsi"/>
        </w:rPr>
        <w:t xml:space="preserve"> Guyan</w:t>
      </w:r>
      <w:r w:rsidR="005D5823" w:rsidRPr="00CF3B78">
        <w:rPr>
          <w:rFonts w:asciiTheme="majorHAnsi" w:hAnsiTheme="majorHAnsi"/>
        </w:rPr>
        <w:t>a</w:t>
      </w:r>
      <w:r w:rsidRPr="00CF3B78">
        <w:rPr>
          <w:rFonts w:asciiTheme="majorHAnsi" w:hAnsiTheme="majorHAnsi"/>
        </w:rPr>
        <w:t>, du Ho</w:t>
      </w:r>
      <w:r w:rsidRPr="00582ECD">
        <w:rPr>
          <w:rFonts w:asciiTheme="majorHAnsi" w:hAnsiTheme="majorHAnsi"/>
        </w:rPr>
        <w:t>nduras, du Monténégro, de la Syrie et du Togo, comme l'indique l</w:t>
      </w:r>
      <w:r w:rsidRPr="00582ECD">
        <w:rPr>
          <w:rFonts w:asciiTheme="majorHAnsi" w:hAnsiTheme="majorHAnsi"/>
          <w:b/>
          <w:bCs/>
        </w:rPr>
        <w:t>'appendice 3</w:t>
      </w:r>
      <w:r w:rsidRPr="00582ECD">
        <w:rPr>
          <w:rFonts w:asciiTheme="majorHAnsi" w:hAnsiTheme="majorHAnsi"/>
        </w:rPr>
        <w:t>.</w:t>
      </w:r>
    </w:p>
    <w:p w14:paraId="5027AC88" w14:textId="77777777" w:rsidR="00D06415" w:rsidRPr="00582ECD" w:rsidRDefault="00D06415" w:rsidP="0023206B">
      <w:pPr>
        <w:tabs>
          <w:tab w:val="left" w:pos="1276"/>
          <w:tab w:val="left" w:pos="1418"/>
          <w:tab w:val="left" w:leader="dot" w:pos="8222"/>
          <w:tab w:val="right" w:pos="8647"/>
        </w:tabs>
        <w:jc w:val="both"/>
        <w:rPr>
          <w:rFonts w:asciiTheme="majorHAnsi" w:hAnsiTheme="majorHAnsi"/>
          <w:iCs/>
          <w:u w:val="single"/>
        </w:rPr>
      </w:pPr>
    </w:p>
    <w:p w14:paraId="147A4E7C" w14:textId="2826D478" w:rsidR="00D857ED" w:rsidRPr="00582ECD" w:rsidRDefault="00D857ED" w:rsidP="00820485">
      <w:pPr>
        <w:tabs>
          <w:tab w:val="left" w:pos="1276"/>
          <w:tab w:val="left" w:pos="1418"/>
          <w:tab w:val="left" w:leader="dot" w:pos="8222"/>
          <w:tab w:val="right" w:pos="8647"/>
        </w:tabs>
        <w:jc w:val="both"/>
        <w:rPr>
          <w:rFonts w:asciiTheme="majorHAnsi" w:hAnsiTheme="majorHAnsi"/>
          <w:iCs/>
        </w:rPr>
      </w:pPr>
      <w:r w:rsidRPr="00582ECD">
        <w:rPr>
          <w:rFonts w:asciiTheme="majorHAnsi" w:hAnsiTheme="majorHAnsi"/>
        </w:rPr>
        <w:t>L’historique des interdictions appliquées figure à l’</w:t>
      </w:r>
      <w:r w:rsidRPr="00582ECD">
        <w:rPr>
          <w:rFonts w:asciiTheme="majorHAnsi" w:hAnsiTheme="majorHAnsi"/>
          <w:b/>
          <w:bCs/>
        </w:rPr>
        <w:t>annexe 7</w:t>
      </w:r>
      <w:r w:rsidRPr="00582ECD">
        <w:rPr>
          <w:rFonts w:asciiTheme="majorHAnsi" w:hAnsiTheme="majorHAnsi"/>
        </w:rPr>
        <w:t xml:space="preserve">. </w:t>
      </w:r>
    </w:p>
    <w:p w14:paraId="07DB2278" w14:textId="77777777" w:rsidR="005B335D" w:rsidRPr="00582ECD" w:rsidRDefault="005B335D" w:rsidP="00820485">
      <w:pPr>
        <w:tabs>
          <w:tab w:val="left" w:pos="1276"/>
          <w:tab w:val="left" w:pos="1418"/>
          <w:tab w:val="left" w:leader="dot" w:pos="8222"/>
          <w:tab w:val="right" w:pos="8647"/>
        </w:tabs>
        <w:jc w:val="both"/>
        <w:rPr>
          <w:rFonts w:asciiTheme="majorHAnsi" w:hAnsiTheme="majorHAnsi"/>
          <w:iCs/>
        </w:rPr>
      </w:pPr>
    </w:p>
    <w:p w14:paraId="5F4B79CA" w14:textId="77777777" w:rsidR="005B335D" w:rsidRPr="00582ECD" w:rsidRDefault="005B335D" w:rsidP="005B335D">
      <w:pPr>
        <w:ind w:right="3"/>
        <w:jc w:val="both"/>
        <w:rPr>
          <w:rFonts w:asciiTheme="majorHAnsi" w:hAnsiTheme="majorHAnsi"/>
          <w:i/>
        </w:rPr>
      </w:pPr>
      <w:r w:rsidRPr="00582ECD">
        <w:rPr>
          <w:rFonts w:asciiTheme="majorHAnsi" w:hAnsiTheme="majorHAnsi"/>
          <w:i/>
        </w:rPr>
        <w:t>Rec. 21-16 :  Recommandation de l’ICCAT amendant la Recommandation 07-08 concernant un format et un protocole d’échange des données en ce qui concerne le système de surveillance des navires (VMS) dans la zone de la Convention de l’ICCAT pour la pêche du thon rouge</w:t>
      </w:r>
    </w:p>
    <w:p w14:paraId="6D8C34BD" w14:textId="77777777" w:rsidR="005B335D" w:rsidRPr="00582ECD" w:rsidRDefault="005B335D" w:rsidP="005B335D">
      <w:pPr>
        <w:tabs>
          <w:tab w:val="left" w:pos="1276"/>
        </w:tabs>
        <w:ind w:left="1272" w:right="432" w:hanging="840"/>
        <w:jc w:val="both"/>
        <w:rPr>
          <w:rFonts w:asciiTheme="majorHAnsi" w:hAnsiTheme="majorHAnsi"/>
          <w:i/>
        </w:rPr>
      </w:pPr>
    </w:p>
    <w:p w14:paraId="36D02841" w14:textId="77777777" w:rsidR="005B335D" w:rsidRPr="00582ECD" w:rsidRDefault="005B335D" w:rsidP="005B335D">
      <w:pPr>
        <w:tabs>
          <w:tab w:val="left" w:pos="1276"/>
          <w:tab w:val="left" w:pos="1418"/>
          <w:tab w:val="left" w:leader="dot" w:pos="8222"/>
          <w:tab w:val="right" w:pos="8647"/>
        </w:tabs>
        <w:jc w:val="both"/>
        <w:rPr>
          <w:rFonts w:asciiTheme="majorHAnsi" w:hAnsiTheme="majorHAnsi"/>
        </w:rPr>
      </w:pPr>
      <w:r w:rsidRPr="00582ECD">
        <w:rPr>
          <w:rFonts w:asciiTheme="majorHAnsi" w:hAnsiTheme="majorHAnsi"/>
        </w:rPr>
        <w:t>Le Secrétariat de l'ICCAT n'a rien à déclarer pour le moment.</w:t>
      </w:r>
    </w:p>
    <w:p w14:paraId="1BC138F9" w14:textId="77777777" w:rsidR="005B335D" w:rsidRPr="00582ECD" w:rsidRDefault="005B335D" w:rsidP="005B335D">
      <w:pPr>
        <w:tabs>
          <w:tab w:val="left" w:pos="1276"/>
          <w:tab w:val="left" w:pos="1418"/>
          <w:tab w:val="left" w:leader="dot" w:pos="8222"/>
          <w:tab w:val="right" w:pos="8647"/>
        </w:tabs>
        <w:jc w:val="both"/>
        <w:rPr>
          <w:rFonts w:asciiTheme="majorHAnsi" w:hAnsiTheme="majorHAnsi"/>
        </w:rPr>
      </w:pPr>
    </w:p>
    <w:p w14:paraId="2956AC0E" w14:textId="77777777" w:rsidR="005B335D" w:rsidRPr="00582ECD" w:rsidRDefault="005B335D" w:rsidP="005B335D">
      <w:pPr>
        <w:ind w:right="3"/>
        <w:jc w:val="both"/>
        <w:rPr>
          <w:rFonts w:asciiTheme="majorHAnsi" w:hAnsiTheme="majorHAnsi"/>
          <w:iCs/>
        </w:rPr>
      </w:pPr>
      <w:r w:rsidRPr="00582ECD">
        <w:rPr>
          <w:rFonts w:asciiTheme="majorHAnsi" w:hAnsiTheme="majorHAnsi"/>
          <w:i/>
        </w:rPr>
        <w:t>Rec. 22-14 : Recommandation de l’ICCAT remplaçant la Recommandation 06-14 visant à promouvoir l’application des mesures de conservation et de gestion de l’ICCAT par les ressortissants des Parties contractantes et des Parties, Entités ou Entités de pêche non contractantes coopérantes</w:t>
      </w:r>
    </w:p>
    <w:p w14:paraId="7D136EC6" w14:textId="77777777" w:rsidR="005B335D" w:rsidRPr="00582ECD" w:rsidRDefault="005B335D" w:rsidP="005B335D">
      <w:pPr>
        <w:tabs>
          <w:tab w:val="left" w:pos="1276"/>
        </w:tabs>
        <w:ind w:left="432" w:right="432"/>
        <w:rPr>
          <w:rFonts w:asciiTheme="majorHAnsi" w:hAnsiTheme="majorHAnsi"/>
          <w:i/>
        </w:rPr>
      </w:pPr>
    </w:p>
    <w:p w14:paraId="6D8D8C07" w14:textId="77777777" w:rsidR="005B335D" w:rsidRPr="00582ECD" w:rsidRDefault="005B335D" w:rsidP="005B335D">
      <w:pPr>
        <w:tabs>
          <w:tab w:val="left" w:pos="1276"/>
          <w:tab w:val="left" w:pos="1418"/>
          <w:tab w:val="left" w:leader="dot" w:pos="8222"/>
          <w:tab w:val="right" w:pos="8647"/>
        </w:tabs>
        <w:rPr>
          <w:rFonts w:asciiTheme="majorHAnsi" w:hAnsiTheme="majorHAnsi"/>
        </w:rPr>
      </w:pPr>
      <w:r w:rsidRPr="00582ECD">
        <w:rPr>
          <w:rFonts w:asciiTheme="majorHAnsi" w:hAnsiTheme="majorHAnsi"/>
        </w:rPr>
        <w:t>Le Secrétariat de l'ICCAT n'a rien à déclarer pour le moment.</w:t>
      </w:r>
    </w:p>
    <w:p w14:paraId="42D9B407" w14:textId="77777777" w:rsidR="00274AD4" w:rsidRPr="00582ECD" w:rsidRDefault="00274AD4" w:rsidP="00820485">
      <w:pPr>
        <w:tabs>
          <w:tab w:val="left" w:pos="1276"/>
          <w:tab w:val="left" w:pos="1418"/>
          <w:tab w:val="left" w:leader="dot" w:pos="8222"/>
          <w:tab w:val="right" w:pos="8647"/>
        </w:tabs>
        <w:jc w:val="both"/>
        <w:rPr>
          <w:rFonts w:asciiTheme="majorHAnsi" w:hAnsiTheme="majorHAnsi"/>
          <w:iCs/>
        </w:rPr>
      </w:pPr>
    </w:p>
    <w:p w14:paraId="39C3800F" w14:textId="1A34274A" w:rsidR="007C7401" w:rsidRPr="00582ECD" w:rsidRDefault="007C7401" w:rsidP="007C7401">
      <w:pPr>
        <w:tabs>
          <w:tab w:val="left" w:pos="1276"/>
          <w:tab w:val="left" w:pos="1418"/>
          <w:tab w:val="left" w:leader="dot" w:pos="8222"/>
          <w:tab w:val="right" w:pos="8647"/>
        </w:tabs>
        <w:jc w:val="both"/>
        <w:rPr>
          <w:rFonts w:asciiTheme="majorHAnsi" w:hAnsiTheme="majorHAnsi"/>
          <w:iCs/>
        </w:rPr>
      </w:pPr>
      <w:r w:rsidRPr="00582ECD">
        <w:rPr>
          <w:rFonts w:asciiTheme="majorHAnsi" w:hAnsiTheme="majorHAnsi"/>
          <w:i/>
        </w:rPr>
        <w:t>Rec. 23-16 :  Recommandation de l’ICCAT amendant la Recommandation 21-13 établissant une liste de navires présumés avoir exercé des activités de pêche illicites, non déclarées et non règlementées</w:t>
      </w:r>
    </w:p>
    <w:p w14:paraId="57CE3107" w14:textId="77777777" w:rsidR="007C7401" w:rsidRPr="00582ECD" w:rsidRDefault="007C7401" w:rsidP="00820485">
      <w:pPr>
        <w:tabs>
          <w:tab w:val="left" w:pos="1276"/>
          <w:tab w:val="left" w:pos="1418"/>
          <w:tab w:val="left" w:leader="dot" w:pos="8222"/>
          <w:tab w:val="right" w:pos="8647"/>
        </w:tabs>
        <w:jc w:val="both"/>
        <w:rPr>
          <w:rFonts w:asciiTheme="majorHAnsi" w:hAnsiTheme="majorHAnsi"/>
          <w:iCs/>
        </w:rPr>
      </w:pPr>
    </w:p>
    <w:p w14:paraId="2D187AB6" w14:textId="6CB0A334" w:rsidR="00FF0BB8" w:rsidRPr="00582ECD" w:rsidRDefault="00FF0BB8" w:rsidP="00820485">
      <w:pPr>
        <w:tabs>
          <w:tab w:val="left" w:pos="1276"/>
          <w:tab w:val="left" w:pos="1418"/>
          <w:tab w:val="left" w:leader="dot" w:pos="8222"/>
          <w:tab w:val="right" w:pos="8647"/>
        </w:tabs>
        <w:jc w:val="both"/>
        <w:rPr>
          <w:rFonts w:asciiTheme="majorHAnsi" w:hAnsiTheme="majorHAnsi"/>
          <w:iCs/>
        </w:rPr>
      </w:pPr>
      <w:r w:rsidRPr="00582ECD">
        <w:rPr>
          <w:rFonts w:asciiTheme="majorHAnsi" w:hAnsiTheme="majorHAnsi"/>
        </w:rPr>
        <w:t xml:space="preserve">Les informations recueillies par le Secrétariat de l’ICCAT depuis la réunion de la Commission de 2025 sont présentées dans le document intitulé « Projet de liste 2026 des navires présumés avoir mené des activités de pêche IUU » [PWG_405/2026]. Il est à noter que le système actuel d’inscription croisée pose de grandes difficultés pour s’assurer de l’exactitude des informations étant donné qu’il n’existe pas de présentation standard des informations provenant des ORGP concernées. </w:t>
      </w:r>
    </w:p>
    <w:p w14:paraId="1F286898" w14:textId="25C1C66D" w:rsidR="00FF0BB8" w:rsidRPr="00582ECD" w:rsidRDefault="00FF0BB8" w:rsidP="00820485">
      <w:pPr>
        <w:tabs>
          <w:tab w:val="left" w:pos="1276"/>
          <w:tab w:val="left" w:pos="1418"/>
          <w:tab w:val="left" w:leader="dot" w:pos="8222"/>
          <w:tab w:val="right" w:pos="8647"/>
        </w:tabs>
        <w:ind w:firstLine="425"/>
        <w:rPr>
          <w:rFonts w:asciiTheme="majorHAnsi" w:hAnsiTheme="majorHAnsi"/>
          <w:iCs/>
        </w:rPr>
      </w:pPr>
    </w:p>
    <w:p w14:paraId="32C996D1" w14:textId="0A3BD571" w:rsidR="007C7401" w:rsidRPr="00582ECD" w:rsidRDefault="007C7401" w:rsidP="007C7401">
      <w:pPr>
        <w:tabs>
          <w:tab w:val="left" w:pos="1276"/>
          <w:tab w:val="left" w:pos="1418"/>
          <w:tab w:val="left" w:leader="dot" w:pos="8222"/>
          <w:tab w:val="right" w:pos="8647"/>
        </w:tabs>
        <w:jc w:val="both"/>
        <w:rPr>
          <w:rFonts w:asciiTheme="majorHAnsi" w:hAnsiTheme="majorHAnsi"/>
          <w:i/>
        </w:rPr>
      </w:pPr>
      <w:r w:rsidRPr="00582ECD">
        <w:rPr>
          <w:rFonts w:asciiTheme="majorHAnsi" w:hAnsiTheme="majorHAnsi"/>
          <w:i/>
        </w:rPr>
        <w:t>Rec. 23-17 : Recommandation de l’ICCAT amendant la Recommandation 18-09 concernant des mesures du ressort de l’État du port visant à prévenir, contrecarrer et éliminer la pêche illicite, non déclarée et non règlementée</w:t>
      </w:r>
    </w:p>
    <w:p w14:paraId="6D5DDAD4" w14:textId="77777777" w:rsidR="00D64008" w:rsidRPr="00582ECD" w:rsidRDefault="00D64008" w:rsidP="007C7401">
      <w:pPr>
        <w:tabs>
          <w:tab w:val="left" w:pos="1276"/>
          <w:tab w:val="left" w:pos="1418"/>
          <w:tab w:val="left" w:leader="dot" w:pos="8222"/>
          <w:tab w:val="right" w:pos="8647"/>
        </w:tabs>
        <w:jc w:val="both"/>
        <w:rPr>
          <w:rFonts w:asciiTheme="majorHAnsi" w:hAnsiTheme="majorHAnsi"/>
          <w:i/>
        </w:rPr>
      </w:pPr>
    </w:p>
    <w:p w14:paraId="50CA5A04" w14:textId="33855525" w:rsidR="00D64008" w:rsidRPr="00582ECD" w:rsidRDefault="00D64008" w:rsidP="00D64008">
      <w:pPr>
        <w:tabs>
          <w:tab w:val="left" w:pos="1276"/>
          <w:tab w:val="left" w:pos="1418"/>
          <w:tab w:val="left" w:leader="dot" w:pos="8222"/>
          <w:tab w:val="right" w:pos="8647"/>
        </w:tabs>
        <w:jc w:val="both"/>
        <w:rPr>
          <w:rFonts w:asciiTheme="majorHAnsi" w:hAnsiTheme="majorHAnsi"/>
          <w:iCs/>
        </w:rPr>
      </w:pPr>
      <w:r w:rsidRPr="00582ECD">
        <w:rPr>
          <w:rFonts w:asciiTheme="majorHAnsi" w:hAnsiTheme="majorHAnsi"/>
        </w:rPr>
        <w:t xml:space="preserve">(Remplacée par la Rec. 25-11 : </w:t>
      </w:r>
      <w:r w:rsidRPr="00582ECD">
        <w:rPr>
          <w:rFonts w:asciiTheme="majorHAnsi" w:hAnsiTheme="majorHAnsi"/>
          <w:i/>
          <w:iCs/>
        </w:rPr>
        <w:t>Recommandation de l’ICCAT remplaçant la Recommandation 23-17 concernant des mesures du ressort de l’État du port visant à prévenir, contrecarrer et éliminer la pêche illicite, non déclarée et non règlementée (IUU)</w:t>
      </w:r>
    </w:p>
    <w:p w14:paraId="5F42C72F" w14:textId="77777777" w:rsidR="00D64008" w:rsidRPr="00582ECD" w:rsidRDefault="00D64008" w:rsidP="007C7401">
      <w:pPr>
        <w:tabs>
          <w:tab w:val="left" w:pos="1276"/>
          <w:tab w:val="left" w:pos="1418"/>
          <w:tab w:val="left" w:leader="dot" w:pos="8222"/>
          <w:tab w:val="right" w:pos="8647"/>
        </w:tabs>
        <w:jc w:val="both"/>
        <w:rPr>
          <w:rFonts w:asciiTheme="majorHAnsi" w:hAnsiTheme="majorHAnsi"/>
          <w:iCs/>
        </w:rPr>
      </w:pPr>
    </w:p>
    <w:p w14:paraId="57AAB40A" w14:textId="0E16787E" w:rsidR="00882FCC" w:rsidRPr="00582ECD" w:rsidRDefault="00882FCC" w:rsidP="00820485">
      <w:pPr>
        <w:tabs>
          <w:tab w:val="left" w:pos="1276"/>
          <w:tab w:val="left" w:pos="1418"/>
          <w:tab w:val="left" w:leader="dot" w:pos="8222"/>
          <w:tab w:val="right" w:pos="8647"/>
        </w:tabs>
        <w:jc w:val="both"/>
        <w:rPr>
          <w:rFonts w:asciiTheme="majorHAnsi" w:hAnsiTheme="majorHAnsi"/>
          <w:iCs/>
        </w:rPr>
      </w:pPr>
      <w:r w:rsidRPr="00582ECD">
        <w:rPr>
          <w:rFonts w:asciiTheme="majorHAnsi" w:hAnsiTheme="majorHAnsi"/>
        </w:rPr>
        <w:t xml:space="preserve">Les informations relatives aux points de contact pour l'AREP et à la réception des rapports sont publiées dans la zone protégée par mot de passe du </w:t>
      </w:r>
      <w:hyperlink r:id="rId33" w:history="1">
        <w:r w:rsidRPr="00582ECD">
          <w:rPr>
            <w:rStyle w:val="Hyperlink"/>
            <w:rFonts w:asciiTheme="majorHAnsi" w:hAnsiTheme="majorHAnsi"/>
            <w:u w:val="none"/>
          </w:rPr>
          <w:t>site web de l’ICCAT</w:t>
        </w:r>
      </w:hyperlink>
      <w:r w:rsidRPr="00582ECD">
        <w:rPr>
          <w:rFonts w:asciiTheme="majorHAnsi" w:hAnsiTheme="majorHAnsi"/>
        </w:rPr>
        <w:t>, tout comme les infractions signalées et les mesures prises. Dans certains cas, il n’est pas clair d’après les rapports si les infractions ont eu lieu et si/dans quelle mesure ces infractions sont en lien avec les exigences de l’ICCAT :</w:t>
      </w:r>
    </w:p>
    <w:p w14:paraId="6AFA3638" w14:textId="77777777" w:rsidR="00274AD4" w:rsidRPr="00582ECD" w:rsidRDefault="00274AD4" w:rsidP="00EC5C41">
      <w:pPr>
        <w:tabs>
          <w:tab w:val="left" w:pos="1276"/>
          <w:tab w:val="left" w:pos="1418"/>
          <w:tab w:val="left" w:leader="dot" w:pos="8222"/>
          <w:tab w:val="right" w:pos="8647"/>
        </w:tabs>
        <w:jc w:val="both"/>
        <w:rPr>
          <w:rFonts w:asciiTheme="majorHAnsi" w:hAnsiTheme="majorHAnsi"/>
        </w:rPr>
      </w:pPr>
      <w:bookmarkStart w:id="21" w:name="_Hlk149727171"/>
    </w:p>
    <w:p w14:paraId="5AAE2B25" w14:textId="112B0E0C" w:rsidR="00D8795E" w:rsidRPr="00582ECD" w:rsidRDefault="00123A81" w:rsidP="00EC5C41">
      <w:pPr>
        <w:tabs>
          <w:tab w:val="left" w:pos="1276"/>
          <w:tab w:val="left" w:pos="1418"/>
          <w:tab w:val="left" w:leader="dot" w:pos="8222"/>
          <w:tab w:val="right" w:pos="8647"/>
        </w:tabs>
        <w:jc w:val="both"/>
        <w:rPr>
          <w:rFonts w:asciiTheme="majorHAnsi" w:hAnsiTheme="majorHAnsi"/>
        </w:rPr>
      </w:pPr>
      <w:r w:rsidRPr="00582ECD">
        <w:rPr>
          <w:rFonts w:asciiTheme="majorHAnsi" w:hAnsiTheme="majorHAnsi"/>
        </w:rPr>
        <w:t>Deux rapports d'inspection portuaire contenant des infractions ont été soumis au Secrétariat de l’ICCAT depuis novembre 2025.</w:t>
      </w:r>
    </w:p>
    <w:bookmarkEnd w:id="21"/>
    <w:p w14:paraId="0E4D12C3" w14:textId="77777777" w:rsidR="00EC5C41" w:rsidRPr="00582ECD" w:rsidRDefault="00EC5C41" w:rsidP="00EC5C41">
      <w:pPr>
        <w:tabs>
          <w:tab w:val="left" w:pos="1276"/>
          <w:tab w:val="left" w:pos="1418"/>
          <w:tab w:val="left" w:leader="dot" w:pos="8222"/>
          <w:tab w:val="right" w:pos="8647"/>
        </w:tabs>
        <w:jc w:val="both"/>
        <w:rPr>
          <w:rFonts w:asciiTheme="majorHAnsi" w:hAnsiTheme="majorHAnsi"/>
        </w:rPr>
      </w:pPr>
    </w:p>
    <w:p w14:paraId="04A45F8E" w14:textId="1160D2BB" w:rsidR="00235B3C" w:rsidRPr="00582ECD" w:rsidRDefault="00235B3C" w:rsidP="00820485">
      <w:pPr>
        <w:tabs>
          <w:tab w:val="left" w:pos="1276"/>
          <w:tab w:val="left" w:pos="1418"/>
          <w:tab w:val="left" w:leader="dot" w:pos="8222"/>
          <w:tab w:val="right" w:pos="8647"/>
        </w:tabs>
        <w:jc w:val="both"/>
        <w:rPr>
          <w:rFonts w:asciiTheme="majorHAnsi" w:hAnsiTheme="majorHAnsi"/>
        </w:rPr>
      </w:pPr>
      <w:r w:rsidRPr="00582ECD">
        <w:rPr>
          <w:rFonts w:asciiTheme="majorHAnsi" w:hAnsiTheme="majorHAnsi"/>
        </w:rPr>
        <w:t xml:space="preserve">La Rec. 23-17 prévoit que la soumission de rapports d'inspection dans lesquels aucune infraction n'a été constatée est volontaire. Le </w:t>
      </w:r>
      <w:r w:rsidRPr="00582ECD">
        <w:rPr>
          <w:rFonts w:asciiTheme="majorHAnsi" w:hAnsiTheme="majorHAnsi"/>
          <w:b/>
          <w:bCs/>
        </w:rPr>
        <w:t>tableau 3</w:t>
      </w:r>
      <w:r w:rsidRPr="00582ECD">
        <w:rPr>
          <w:rFonts w:asciiTheme="majorHAnsi" w:hAnsiTheme="majorHAnsi"/>
        </w:rPr>
        <w:t xml:space="preserve"> comporte un résumé des rapports reçus</w:t>
      </w:r>
      <w:r w:rsidRPr="00582ECD">
        <w:rPr>
          <w:rFonts w:asciiTheme="majorHAnsi" w:hAnsiTheme="majorHAnsi"/>
          <w:b/>
        </w:rPr>
        <w:t xml:space="preserve">.  </w:t>
      </w:r>
      <w:r w:rsidRPr="00582ECD">
        <w:rPr>
          <w:rFonts w:asciiTheme="majorHAnsi" w:hAnsiTheme="majorHAnsi"/>
        </w:rPr>
        <w:t xml:space="preserve">Dans de nombreux cas, les rapports sont reçus en retard et le Secrétariat de l’ICCAT a noté que les exemplaires des rapports n’ont pas été mis à la disposition des États du pavillon dans tous les cas. </w:t>
      </w:r>
    </w:p>
    <w:p w14:paraId="4884E720" w14:textId="77777777" w:rsidR="00DC049A" w:rsidRPr="00582ECD" w:rsidRDefault="00DC049A" w:rsidP="00820485">
      <w:pPr>
        <w:tabs>
          <w:tab w:val="left" w:pos="1276"/>
          <w:tab w:val="left" w:pos="1418"/>
          <w:tab w:val="left" w:leader="dot" w:pos="8222"/>
          <w:tab w:val="right" w:pos="8647"/>
        </w:tabs>
        <w:jc w:val="both"/>
        <w:rPr>
          <w:rFonts w:asciiTheme="majorHAnsi" w:hAnsiTheme="majorHAnsi"/>
        </w:rPr>
      </w:pPr>
    </w:p>
    <w:p w14:paraId="4E8136B2" w14:textId="74DFFFBB" w:rsidR="00DC049A" w:rsidRPr="00582ECD" w:rsidRDefault="00DC049A" w:rsidP="00DC049A">
      <w:pPr>
        <w:jc w:val="both"/>
        <w:rPr>
          <w:rFonts w:asciiTheme="majorHAnsi" w:hAnsiTheme="majorHAnsi"/>
        </w:rPr>
      </w:pPr>
      <w:r w:rsidRPr="00582ECD">
        <w:rPr>
          <w:rFonts w:asciiTheme="majorHAnsi" w:hAnsiTheme="majorHAnsi"/>
        </w:rPr>
        <w:t xml:space="preserve">En ce qui concerne le rapport annuel sur les activités d'inspection au port de l'année précédente, sept CPC ont rempli le formulaire électronique CP58-AnnRepPIs en 2026 : </w:t>
      </w:r>
      <w:r w:rsidR="007F55C5">
        <w:rPr>
          <w:rFonts w:asciiTheme="majorHAnsi" w:hAnsiTheme="majorHAnsi"/>
        </w:rPr>
        <w:t>l</w:t>
      </w:r>
      <w:r w:rsidRPr="00582ECD">
        <w:rPr>
          <w:rFonts w:asciiTheme="majorHAnsi" w:hAnsiTheme="majorHAnsi"/>
        </w:rPr>
        <w:t>'Albanie, le Costa Rica, l'Islande, le Japon, la Corée (</w:t>
      </w:r>
      <w:proofErr w:type="spellStart"/>
      <w:r w:rsidRPr="00582ECD">
        <w:rPr>
          <w:rFonts w:asciiTheme="majorHAnsi" w:hAnsiTheme="majorHAnsi"/>
        </w:rPr>
        <w:t>Rép</w:t>
      </w:r>
      <w:proofErr w:type="spellEnd"/>
      <w:r w:rsidRPr="00582ECD">
        <w:rPr>
          <w:rFonts w:asciiTheme="majorHAnsi" w:hAnsiTheme="majorHAnsi"/>
        </w:rPr>
        <w:t>.), le Maroc et la Tunisie. Parmi ceux-ci, seul</w:t>
      </w:r>
      <w:r w:rsidR="00F95BAD">
        <w:rPr>
          <w:rFonts w:asciiTheme="majorHAnsi" w:hAnsiTheme="majorHAnsi"/>
        </w:rPr>
        <w:t>e</w:t>
      </w:r>
      <w:r w:rsidRPr="00582ECD">
        <w:rPr>
          <w:rFonts w:asciiTheme="majorHAnsi" w:hAnsiTheme="majorHAnsi"/>
        </w:rPr>
        <w:t xml:space="preserve">s trois </w:t>
      </w:r>
      <w:r w:rsidR="00F95BAD">
        <w:rPr>
          <w:rFonts w:asciiTheme="majorHAnsi" w:hAnsiTheme="majorHAnsi"/>
        </w:rPr>
        <w:t xml:space="preserve">CPC </w:t>
      </w:r>
      <w:r w:rsidRPr="00582ECD">
        <w:rPr>
          <w:rFonts w:asciiTheme="majorHAnsi" w:hAnsiTheme="majorHAnsi"/>
        </w:rPr>
        <w:t xml:space="preserve">ont déclaré avoir procédé à des inspections portuaires. </w:t>
      </w:r>
    </w:p>
    <w:p w14:paraId="2AF1D774" w14:textId="77777777" w:rsidR="00DC049A" w:rsidRPr="00582ECD" w:rsidRDefault="00DC049A" w:rsidP="00DC049A">
      <w:pPr>
        <w:jc w:val="both"/>
        <w:rPr>
          <w:rFonts w:asciiTheme="majorHAnsi" w:hAnsiTheme="majorHAnsi"/>
        </w:rPr>
      </w:pPr>
    </w:p>
    <w:p w14:paraId="65230934" w14:textId="5DD842F5" w:rsidR="00DC049A" w:rsidRPr="00582ECD" w:rsidRDefault="00DC049A" w:rsidP="006D1FBF">
      <w:pPr>
        <w:jc w:val="both"/>
        <w:rPr>
          <w:rFonts w:asciiTheme="majorHAnsi" w:hAnsiTheme="majorHAnsi"/>
        </w:rPr>
      </w:pPr>
      <w:r w:rsidRPr="00582ECD">
        <w:rPr>
          <w:rFonts w:asciiTheme="majorHAnsi" w:hAnsiTheme="majorHAnsi"/>
        </w:rPr>
        <w:t xml:space="preserve">En 2025, le Secrétariat a reçu des rapports d'inspection portuaire émanant de trois CPC : </w:t>
      </w:r>
      <w:r w:rsidR="00F95BAD">
        <w:rPr>
          <w:rFonts w:asciiTheme="majorHAnsi" w:hAnsiTheme="majorHAnsi"/>
        </w:rPr>
        <w:t>l</w:t>
      </w:r>
      <w:r w:rsidRPr="00582ECD">
        <w:rPr>
          <w:rFonts w:asciiTheme="majorHAnsi" w:hAnsiTheme="majorHAnsi"/>
        </w:rPr>
        <w:t>a Corée (</w:t>
      </w:r>
      <w:proofErr w:type="spellStart"/>
      <w:r w:rsidRPr="00582ECD">
        <w:rPr>
          <w:rFonts w:asciiTheme="majorHAnsi" w:hAnsiTheme="majorHAnsi"/>
        </w:rPr>
        <w:t>Rép</w:t>
      </w:r>
      <w:proofErr w:type="spellEnd"/>
      <w:r w:rsidRPr="00582ECD">
        <w:rPr>
          <w:rFonts w:asciiTheme="majorHAnsi" w:hAnsiTheme="majorHAnsi"/>
        </w:rPr>
        <w:t xml:space="preserve">.), le Sénégal et l'Afrique du Sud, dont aucun </w:t>
      </w:r>
      <w:r w:rsidR="00F95BAD">
        <w:rPr>
          <w:rFonts w:asciiTheme="majorHAnsi" w:hAnsiTheme="majorHAnsi"/>
        </w:rPr>
        <w:t xml:space="preserve">rapport </w:t>
      </w:r>
      <w:r w:rsidRPr="00582ECD">
        <w:rPr>
          <w:rFonts w:asciiTheme="majorHAnsi" w:hAnsiTheme="majorHAnsi"/>
        </w:rPr>
        <w:t>n'a signalé d'infractions apparentes. Toutefois, à la date du présent rapport, le Sénégal et l'Afrique du Sud n'ont pas encore transmis leurs formulaires CP58 pour 2026.</w:t>
      </w:r>
    </w:p>
    <w:p w14:paraId="48A30479" w14:textId="77777777" w:rsidR="00DC049A" w:rsidRPr="00582ECD" w:rsidRDefault="00DC049A" w:rsidP="00DC049A">
      <w:pPr>
        <w:rPr>
          <w:rFonts w:asciiTheme="majorHAnsi" w:hAnsiTheme="majorHAnsi"/>
        </w:rPr>
      </w:pPr>
    </w:p>
    <w:p w14:paraId="5E30F7AE" w14:textId="77777777" w:rsidR="00D06415" w:rsidRPr="00582ECD" w:rsidRDefault="00D06415">
      <w:pPr>
        <w:widowControl/>
        <w:autoSpaceDE/>
        <w:autoSpaceDN/>
        <w:adjustRightInd/>
        <w:rPr>
          <w:rFonts w:asciiTheme="majorHAnsi" w:hAnsiTheme="majorHAnsi"/>
          <w:b/>
          <w:bCs/>
        </w:rPr>
      </w:pPr>
      <w:r w:rsidRPr="00582ECD">
        <w:rPr>
          <w:rFonts w:asciiTheme="majorHAnsi" w:hAnsiTheme="majorHAnsi"/>
          <w:b/>
          <w:bCs/>
        </w:rPr>
        <w:br w:type="page"/>
      </w:r>
    </w:p>
    <w:p w14:paraId="2E43A413" w14:textId="608B61BA" w:rsidR="00E100F6" w:rsidRPr="00582ECD" w:rsidRDefault="00E100F6" w:rsidP="00E100F6">
      <w:pPr>
        <w:pBdr>
          <w:top w:val="single" w:sz="4" w:space="1" w:color="auto"/>
          <w:left w:val="single" w:sz="4" w:space="0" w:color="auto"/>
          <w:bottom w:val="single" w:sz="4" w:space="1" w:color="auto"/>
          <w:right w:val="single" w:sz="4" w:space="4" w:color="auto"/>
        </w:pBdr>
        <w:jc w:val="both"/>
        <w:rPr>
          <w:rFonts w:asciiTheme="majorHAnsi" w:hAnsiTheme="majorHAnsi"/>
        </w:rPr>
      </w:pPr>
      <w:r w:rsidRPr="00582ECD">
        <w:rPr>
          <w:rFonts w:asciiTheme="majorHAnsi" w:hAnsiTheme="majorHAnsi"/>
          <w:b/>
          <w:bCs/>
        </w:rPr>
        <w:lastRenderedPageBreak/>
        <w:t>Demande du Secrétariat de l’ICCAT :</w:t>
      </w:r>
      <w:r w:rsidRPr="00582ECD">
        <w:rPr>
          <w:rFonts w:asciiTheme="majorHAnsi" w:hAnsiTheme="majorHAnsi"/>
        </w:rPr>
        <w:t xml:space="preserve"> En 2026, le Secrétariat de l’ICCAT a reçu environ 127 rapports d'inspection portuaire par l'intermédiaire du Système mondial d'échange d'informations PSMA (PSMA-GIES). Seuls 18 de ces ports sont situés dans la zone couverte par la Convention de l’ICCAT, et aucun d'entre eux n'a signalé d'éventuelles infractions. Par souci d'exhaustivité et de traçabilité, ces 18 inspections ont été intégrées à nos registres.</w:t>
      </w:r>
    </w:p>
    <w:p w14:paraId="73FA476A" w14:textId="77777777" w:rsidR="00E100F6" w:rsidRPr="00582ECD" w:rsidRDefault="00E100F6" w:rsidP="00E100F6">
      <w:pPr>
        <w:pBdr>
          <w:top w:val="single" w:sz="4" w:space="1" w:color="auto"/>
          <w:left w:val="single" w:sz="4" w:space="0" w:color="auto"/>
          <w:bottom w:val="single" w:sz="4" w:space="1" w:color="auto"/>
          <w:right w:val="single" w:sz="4" w:space="4" w:color="auto"/>
        </w:pBdr>
        <w:jc w:val="both"/>
        <w:rPr>
          <w:rFonts w:asciiTheme="majorHAnsi" w:hAnsiTheme="majorHAnsi"/>
        </w:rPr>
      </w:pPr>
    </w:p>
    <w:p w14:paraId="7FBFD5BF" w14:textId="68DFFA1F" w:rsidR="00DC049A" w:rsidRPr="00582ECD" w:rsidRDefault="00E100F6" w:rsidP="00E100F6">
      <w:pPr>
        <w:pBdr>
          <w:top w:val="single" w:sz="4" w:space="1" w:color="auto"/>
          <w:left w:val="single" w:sz="4" w:space="0" w:color="auto"/>
          <w:bottom w:val="single" w:sz="4" w:space="1" w:color="auto"/>
          <w:right w:val="single" w:sz="4" w:space="4" w:color="auto"/>
        </w:pBdr>
        <w:jc w:val="both"/>
        <w:rPr>
          <w:rFonts w:asciiTheme="majorHAnsi" w:hAnsiTheme="majorHAnsi"/>
        </w:rPr>
      </w:pPr>
      <w:r w:rsidRPr="00582ECD">
        <w:rPr>
          <w:rFonts w:asciiTheme="majorHAnsi" w:hAnsiTheme="majorHAnsi"/>
        </w:rPr>
        <w:t>Les autres rapports, qui ne relèvent pas de la zone couverte par la Convention de l'ICCAT, sont examinés mais ne sont pas consignés dans les registres. Le Secrétariat souhaiterait savoir si cette procédure est appropriée.</w:t>
      </w:r>
    </w:p>
    <w:p w14:paraId="6B8DA9CD" w14:textId="77777777" w:rsidR="00E100F6" w:rsidRPr="00582ECD" w:rsidRDefault="00E100F6" w:rsidP="00820485">
      <w:pPr>
        <w:tabs>
          <w:tab w:val="left" w:pos="1276"/>
          <w:tab w:val="left" w:pos="1418"/>
          <w:tab w:val="left" w:leader="dot" w:pos="8222"/>
          <w:tab w:val="right" w:pos="8647"/>
        </w:tabs>
        <w:jc w:val="both"/>
        <w:rPr>
          <w:rFonts w:asciiTheme="majorHAnsi" w:hAnsiTheme="majorHAnsi"/>
        </w:rPr>
      </w:pPr>
    </w:p>
    <w:p w14:paraId="507B9A07" w14:textId="53B735F1" w:rsidR="00882FCC" w:rsidRDefault="00235B3C" w:rsidP="00820485">
      <w:pPr>
        <w:jc w:val="both"/>
        <w:rPr>
          <w:rFonts w:asciiTheme="majorHAnsi" w:hAnsiTheme="majorHAnsi"/>
        </w:rPr>
      </w:pPr>
      <w:r w:rsidRPr="00582ECD">
        <w:rPr>
          <w:rFonts w:asciiTheme="majorHAnsi" w:hAnsiTheme="majorHAnsi"/>
          <w:b/>
          <w:i/>
        </w:rPr>
        <w:t>Déclaration des ports désignés en vertu de la Rec. 23-17 :</w:t>
      </w:r>
      <w:r w:rsidRPr="00582ECD">
        <w:rPr>
          <w:rFonts w:asciiTheme="majorHAnsi" w:hAnsiTheme="majorHAnsi"/>
          <w:b/>
        </w:rPr>
        <w:t xml:space="preserve"> </w:t>
      </w:r>
      <w:r w:rsidRPr="00582ECD">
        <w:rPr>
          <w:rFonts w:asciiTheme="majorHAnsi" w:hAnsiTheme="majorHAnsi"/>
        </w:rPr>
        <w:t xml:space="preserve">Le Registre ICCAT des ports dans lesquels les navires étrangers peuvent entrer est publié sur le </w:t>
      </w:r>
      <w:hyperlink r:id="rId34" w:history="1">
        <w:r w:rsidRPr="00582ECD">
          <w:rPr>
            <w:rStyle w:val="Hyperlink"/>
            <w:rFonts w:asciiTheme="majorHAnsi" w:hAnsiTheme="majorHAnsi"/>
            <w:u w:val="none"/>
          </w:rPr>
          <w:t>site web de l’ICCAT</w:t>
        </w:r>
      </w:hyperlink>
      <w:r w:rsidRPr="00582ECD">
        <w:rPr>
          <w:rFonts w:asciiTheme="majorHAnsi" w:hAnsiTheme="majorHAnsi"/>
        </w:rPr>
        <w:t xml:space="preserve"> </w:t>
      </w:r>
      <w:r w:rsidR="009E23A8" w:rsidRPr="00582ECD">
        <w:fldChar w:fldCharType="begin"/>
      </w:r>
      <w:r w:rsidR="009E23A8" w:rsidRPr="00582ECD">
        <w:rPr>
          <w:rFonts w:asciiTheme="majorHAnsi" w:hAnsiTheme="majorHAnsi"/>
        </w:rPr>
        <w:instrText xml:space="preserve"> "http://www.iccat.int/en/Ports.asp" </w:instrText>
      </w:r>
      <w:r w:rsidR="009E23A8" w:rsidRPr="00582ECD">
        <w:fldChar w:fldCharType="separate"/>
      </w:r>
      <w:r w:rsidR="009E6DCD" w:rsidRPr="00582ECD">
        <w:rPr>
          <w:rStyle w:val="Hyperlink"/>
          <w:rFonts w:asciiTheme="majorHAnsi" w:hAnsiTheme="majorHAnsi"/>
          <w:u w:val="none"/>
        </w:rPr>
        <w:t>www.iccat.int/en/Ports.asp</w:t>
      </w:r>
      <w:r w:rsidR="009E23A8" w:rsidRPr="00582ECD">
        <w:rPr>
          <w:rStyle w:val="Hyperlink"/>
          <w:rFonts w:asciiTheme="majorHAnsi" w:hAnsiTheme="majorHAnsi"/>
          <w:u w:val="none"/>
        </w:rPr>
        <w:fldChar w:fldCharType="end"/>
      </w:r>
      <w:r w:rsidRPr="00582ECD">
        <w:rPr>
          <w:rFonts w:asciiTheme="majorHAnsi" w:hAnsiTheme="majorHAnsi"/>
        </w:rPr>
        <w:t xml:space="preserve">. </w:t>
      </w:r>
    </w:p>
    <w:p w14:paraId="186B846A" w14:textId="77777777" w:rsidR="00F67503" w:rsidRPr="00582ECD" w:rsidRDefault="00F67503" w:rsidP="00820485">
      <w:pPr>
        <w:jc w:val="both"/>
        <w:rPr>
          <w:rFonts w:asciiTheme="majorHAnsi" w:hAnsiTheme="majorHAnsi"/>
        </w:rPr>
      </w:pPr>
    </w:p>
    <w:p w14:paraId="62240F27" w14:textId="5C76F69C" w:rsidR="00962791" w:rsidRPr="00582ECD" w:rsidRDefault="00040DC9" w:rsidP="00820485">
      <w:pPr>
        <w:tabs>
          <w:tab w:val="left" w:pos="1276"/>
          <w:tab w:val="left" w:pos="1418"/>
          <w:tab w:val="left" w:leader="dot" w:pos="8222"/>
          <w:tab w:val="right" w:pos="8647"/>
        </w:tabs>
        <w:jc w:val="both"/>
        <w:rPr>
          <w:rFonts w:asciiTheme="majorHAnsi" w:hAnsiTheme="majorHAnsi"/>
          <w:i/>
        </w:rPr>
      </w:pPr>
      <w:r w:rsidRPr="00582ECD">
        <w:rPr>
          <w:rFonts w:asciiTheme="majorHAnsi" w:hAnsiTheme="majorHAnsi"/>
          <w:i/>
        </w:rPr>
        <w:t>Rec. 21-14 : Recommandation de l’ICCAT amendant la Recommandation 13-13 concernant l’établissement d’un registre ICCAT de navires de 20 mètres ou plus de longueur hors-tout autorisés à opérer dans la zone de la Convention</w:t>
      </w:r>
    </w:p>
    <w:p w14:paraId="082989AC" w14:textId="77777777" w:rsidR="001A2CE3" w:rsidRPr="00582ECD" w:rsidRDefault="001A2CE3" w:rsidP="00820485">
      <w:pPr>
        <w:tabs>
          <w:tab w:val="left" w:pos="1276"/>
          <w:tab w:val="left" w:pos="1418"/>
          <w:tab w:val="left" w:leader="dot" w:pos="8222"/>
          <w:tab w:val="right" w:pos="8647"/>
        </w:tabs>
        <w:jc w:val="both"/>
        <w:rPr>
          <w:rFonts w:asciiTheme="majorHAnsi" w:hAnsiTheme="majorHAnsi"/>
          <w:i/>
        </w:rPr>
      </w:pPr>
    </w:p>
    <w:p w14:paraId="64FF1CB0" w14:textId="4843C571" w:rsidR="001A2CE3" w:rsidRPr="00582ECD" w:rsidRDefault="001A2CE3" w:rsidP="001A2CE3">
      <w:pPr>
        <w:tabs>
          <w:tab w:val="left" w:pos="1276"/>
          <w:tab w:val="left" w:pos="1418"/>
          <w:tab w:val="left" w:leader="dot" w:pos="8222"/>
          <w:tab w:val="right" w:pos="8647"/>
        </w:tabs>
        <w:jc w:val="both"/>
        <w:rPr>
          <w:rFonts w:asciiTheme="majorHAnsi" w:hAnsiTheme="majorHAnsi"/>
          <w:iCs/>
        </w:rPr>
      </w:pPr>
      <w:r w:rsidRPr="00582ECD">
        <w:rPr>
          <w:rFonts w:asciiTheme="majorHAnsi" w:hAnsiTheme="majorHAnsi"/>
        </w:rPr>
        <w:t>(Remplacée par la</w:t>
      </w:r>
      <w:r w:rsidRPr="00582ECD">
        <w:rPr>
          <w:rFonts w:asciiTheme="majorHAnsi" w:hAnsiTheme="majorHAnsi"/>
          <w:i/>
          <w:iCs/>
        </w:rPr>
        <w:t xml:space="preserve"> Rec. 25-12 : Recommandation de l’ICCAT amendant la Recommandation 13-13 concernant l’établissement d’un registre ICCAT de navires de 20 mètres ou plus de longueur hors-tout autorisés à opérer dans la zone de la Convention)</w:t>
      </w:r>
    </w:p>
    <w:p w14:paraId="1A9476A1" w14:textId="77777777" w:rsidR="00690EE8" w:rsidRPr="00582ECD" w:rsidRDefault="00690EE8" w:rsidP="00820485">
      <w:pPr>
        <w:tabs>
          <w:tab w:val="left" w:pos="1276"/>
          <w:tab w:val="left" w:pos="1418"/>
          <w:tab w:val="left" w:leader="dot" w:pos="8222"/>
          <w:tab w:val="right" w:pos="8647"/>
        </w:tabs>
        <w:jc w:val="both"/>
        <w:rPr>
          <w:rFonts w:asciiTheme="majorHAnsi" w:hAnsiTheme="majorHAnsi"/>
        </w:rPr>
      </w:pPr>
    </w:p>
    <w:p w14:paraId="0B9AD741" w14:textId="31B56A5E" w:rsidR="008935B2" w:rsidRPr="00582ECD" w:rsidRDefault="008935B2" w:rsidP="008935B2">
      <w:pPr>
        <w:tabs>
          <w:tab w:val="left" w:pos="1276"/>
          <w:tab w:val="left" w:pos="1418"/>
          <w:tab w:val="left" w:leader="dot" w:pos="8222"/>
          <w:tab w:val="right" w:pos="8647"/>
        </w:tabs>
        <w:jc w:val="both"/>
        <w:rPr>
          <w:rStyle w:val="Strong"/>
          <w:rFonts w:asciiTheme="majorHAnsi" w:hAnsiTheme="majorHAnsi"/>
          <w:b w:val="0"/>
          <w:bCs w:val="0"/>
        </w:rPr>
      </w:pPr>
      <w:r w:rsidRPr="00582ECD">
        <w:rPr>
          <w:rFonts w:asciiTheme="majorHAnsi" w:hAnsiTheme="majorHAnsi"/>
        </w:rPr>
        <w:t>À la date de rédaction du présent document, aucune mise à jour des rapports d'action internes, transmis via le formulaire CP10 ou sous un autre format, n'avait été reçue en 2026.</w:t>
      </w:r>
    </w:p>
    <w:p w14:paraId="26B744B5" w14:textId="77777777" w:rsidR="002F78AD" w:rsidRPr="00582ECD" w:rsidRDefault="002F78AD" w:rsidP="00820485">
      <w:pPr>
        <w:tabs>
          <w:tab w:val="left" w:pos="1276"/>
          <w:tab w:val="left" w:pos="1418"/>
          <w:tab w:val="left" w:leader="dot" w:pos="8222"/>
          <w:tab w:val="right" w:pos="8647"/>
        </w:tabs>
        <w:jc w:val="both"/>
        <w:rPr>
          <w:rFonts w:asciiTheme="majorHAnsi" w:hAnsiTheme="majorHAnsi"/>
        </w:rPr>
      </w:pPr>
    </w:p>
    <w:p w14:paraId="17ADA653" w14:textId="07252717" w:rsidR="00CE1AD3" w:rsidRPr="00582ECD" w:rsidRDefault="004D2328" w:rsidP="00820485">
      <w:pPr>
        <w:tabs>
          <w:tab w:val="left" w:pos="1276"/>
          <w:tab w:val="left" w:pos="1418"/>
          <w:tab w:val="left" w:leader="dot" w:pos="8222"/>
          <w:tab w:val="right" w:pos="8647"/>
        </w:tabs>
        <w:rPr>
          <w:rFonts w:asciiTheme="majorHAnsi" w:hAnsiTheme="majorHAnsi"/>
          <w:i/>
          <w:color w:val="000000"/>
        </w:rPr>
      </w:pPr>
      <w:bookmarkStart w:id="22" w:name="_Hlk147930313"/>
      <w:r w:rsidRPr="00582ECD">
        <w:rPr>
          <w:rFonts w:asciiTheme="majorHAnsi" w:hAnsiTheme="majorHAnsi"/>
          <w:i/>
        </w:rPr>
        <w:t>Rec. 13-14 : Recommandation de l’ICCAT concernant l’affrètement de navires de pêche</w:t>
      </w:r>
    </w:p>
    <w:p w14:paraId="7BD26BEE" w14:textId="77777777" w:rsidR="00073703" w:rsidRPr="00582ECD" w:rsidRDefault="00073703" w:rsidP="00820485">
      <w:pPr>
        <w:tabs>
          <w:tab w:val="left" w:pos="1276"/>
          <w:tab w:val="left" w:pos="1418"/>
          <w:tab w:val="left" w:leader="dot" w:pos="8222"/>
          <w:tab w:val="right" w:pos="8647"/>
        </w:tabs>
        <w:ind w:firstLine="425"/>
        <w:rPr>
          <w:rFonts w:asciiTheme="majorHAnsi" w:hAnsiTheme="majorHAnsi"/>
          <w:i/>
          <w:color w:val="000000"/>
        </w:rPr>
      </w:pPr>
    </w:p>
    <w:p w14:paraId="59C03776" w14:textId="452B0206" w:rsidR="009C2133" w:rsidRPr="00582ECD" w:rsidRDefault="009C2133" w:rsidP="009C2133">
      <w:pPr>
        <w:tabs>
          <w:tab w:val="left" w:pos="1276"/>
          <w:tab w:val="left" w:pos="1418"/>
          <w:tab w:val="left" w:leader="dot" w:pos="8222"/>
          <w:tab w:val="right" w:pos="8647"/>
        </w:tabs>
        <w:jc w:val="both"/>
        <w:rPr>
          <w:rFonts w:asciiTheme="majorHAnsi" w:hAnsiTheme="majorHAnsi"/>
          <w:color w:val="000000"/>
        </w:rPr>
      </w:pPr>
      <w:r w:rsidRPr="00582ECD">
        <w:rPr>
          <w:rFonts w:asciiTheme="majorHAnsi" w:hAnsiTheme="majorHAnsi"/>
          <w:color w:val="000000"/>
        </w:rPr>
        <w:t>Les rapports de synthèse sur l</w:t>
      </w:r>
      <w:r w:rsidR="0056637A">
        <w:rPr>
          <w:rFonts w:asciiTheme="majorHAnsi" w:hAnsiTheme="majorHAnsi"/>
          <w:color w:val="000000"/>
        </w:rPr>
        <w:t xml:space="preserve">es accords </w:t>
      </w:r>
      <w:r w:rsidRPr="00582ECD">
        <w:rPr>
          <w:rFonts w:asciiTheme="majorHAnsi" w:hAnsiTheme="majorHAnsi"/>
          <w:color w:val="000000"/>
        </w:rPr>
        <w:t>d'affrètement figurent à l'</w:t>
      </w:r>
      <w:r w:rsidRPr="00582ECD">
        <w:rPr>
          <w:rFonts w:asciiTheme="majorHAnsi" w:hAnsiTheme="majorHAnsi"/>
          <w:b/>
          <w:bCs/>
          <w:color w:val="000000"/>
        </w:rPr>
        <w:t>appendice 2</w:t>
      </w:r>
      <w:r w:rsidRPr="00582ECD">
        <w:rPr>
          <w:rFonts w:asciiTheme="majorHAnsi" w:hAnsiTheme="majorHAnsi"/>
          <w:color w:val="000000"/>
        </w:rPr>
        <w:t xml:space="preserve"> (couvrant les </w:t>
      </w:r>
      <w:r w:rsidR="00C00072">
        <w:rPr>
          <w:rFonts w:asciiTheme="majorHAnsi" w:hAnsiTheme="majorHAnsi"/>
          <w:color w:val="000000"/>
        </w:rPr>
        <w:t xml:space="preserve">accords </w:t>
      </w:r>
      <w:r w:rsidRPr="00582ECD">
        <w:rPr>
          <w:rFonts w:asciiTheme="majorHAnsi" w:hAnsiTheme="majorHAnsi"/>
          <w:color w:val="000000"/>
        </w:rPr>
        <w:t xml:space="preserve">conclus par la Namibie, le Nigeria et l'Afrique du Sud pour l'année 2025 ; il convient de noter que le Nigeria n'a pas transmis son rapport de synthèse) ainsi que dans le tableau récapitulatif des accords d'affrètement présentés au </w:t>
      </w:r>
      <w:r w:rsidRPr="00582ECD">
        <w:rPr>
          <w:rFonts w:asciiTheme="majorHAnsi" w:hAnsiTheme="majorHAnsi"/>
          <w:b/>
          <w:bCs/>
          <w:color w:val="000000"/>
        </w:rPr>
        <w:t>tableau 10</w:t>
      </w:r>
      <w:r w:rsidRPr="00582ECD">
        <w:rPr>
          <w:rFonts w:asciiTheme="majorHAnsi" w:hAnsiTheme="majorHAnsi"/>
          <w:color w:val="000000"/>
        </w:rPr>
        <w:t>. Bien que le formulaire CP53 (introduit en 2021) ait permis d'améliorer le traitement des données, le passage à la soumission via l'IOMS depuis le 1er août 2025 a facilité davantage la gestion des accords et renforcé la coordination entre les CPC concernées.</w:t>
      </w:r>
    </w:p>
    <w:p w14:paraId="2A101C36" w14:textId="77777777" w:rsidR="000E3106" w:rsidRPr="00582ECD" w:rsidRDefault="000E3106" w:rsidP="00820485">
      <w:pPr>
        <w:tabs>
          <w:tab w:val="left" w:pos="1276"/>
          <w:tab w:val="left" w:pos="1418"/>
          <w:tab w:val="left" w:leader="dot" w:pos="8222"/>
          <w:tab w:val="right" w:pos="8647"/>
        </w:tabs>
        <w:jc w:val="both"/>
        <w:rPr>
          <w:rFonts w:asciiTheme="majorHAnsi" w:hAnsiTheme="majorHAnsi"/>
          <w:color w:val="000000"/>
        </w:rPr>
      </w:pPr>
      <w:bookmarkStart w:id="23" w:name="_Hlk118104939"/>
    </w:p>
    <w:p w14:paraId="54DDB450" w14:textId="348482A9" w:rsidR="007A07B7" w:rsidRPr="00582ECD" w:rsidRDefault="007A07B7" w:rsidP="007A07B7">
      <w:pPr>
        <w:rPr>
          <w:rFonts w:asciiTheme="majorHAnsi" w:hAnsiTheme="majorHAnsi"/>
        </w:rPr>
      </w:pPr>
      <w:r w:rsidRPr="00582ECD">
        <w:rPr>
          <w:rFonts w:asciiTheme="majorHAnsi" w:hAnsiTheme="majorHAnsi"/>
        </w:rPr>
        <w:t xml:space="preserve">Les extraits des rapports annuels d’autres CPC (IOMS) concernant des accords </w:t>
      </w:r>
      <w:r w:rsidR="004C6421" w:rsidRPr="00582ECD">
        <w:rPr>
          <w:rFonts w:asciiTheme="majorHAnsi" w:hAnsiTheme="majorHAnsi"/>
          <w:color w:val="000000"/>
        </w:rPr>
        <w:t xml:space="preserve">d'affrètement </w:t>
      </w:r>
      <w:r w:rsidRPr="00582ECD">
        <w:rPr>
          <w:rFonts w:asciiTheme="majorHAnsi" w:hAnsiTheme="majorHAnsi"/>
        </w:rPr>
        <w:t>sont indiqués ci-après.</w:t>
      </w:r>
    </w:p>
    <w:p w14:paraId="326CFD09" w14:textId="77777777" w:rsidR="007A07B7" w:rsidRPr="00582ECD" w:rsidRDefault="007A07B7" w:rsidP="00820485">
      <w:pPr>
        <w:tabs>
          <w:tab w:val="left" w:pos="1276"/>
          <w:tab w:val="left" w:pos="1418"/>
          <w:tab w:val="left" w:leader="dot" w:pos="8222"/>
          <w:tab w:val="right" w:pos="8647"/>
        </w:tabs>
        <w:jc w:val="both"/>
        <w:rPr>
          <w:rFonts w:asciiTheme="majorHAnsi" w:hAnsiTheme="majorHAnsi"/>
          <w:color w:val="000000"/>
          <w:lang w:eastAsia="es-ES"/>
        </w:rPr>
      </w:pPr>
    </w:p>
    <w:tbl>
      <w:tblPr>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89"/>
        <w:gridCol w:w="6537"/>
      </w:tblGrid>
      <w:tr w:rsidR="007A07B7" w:rsidRPr="00582ECD" w14:paraId="3B548C04" w14:textId="77777777" w:rsidTr="00630B24">
        <w:trPr>
          <w:trHeight w:val="295"/>
        </w:trPr>
        <w:tc>
          <w:tcPr>
            <w:tcW w:w="2389" w:type="dxa"/>
            <w:noWrap/>
            <w:hideMark/>
          </w:tcPr>
          <w:p w14:paraId="35235A13" w14:textId="77777777" w:rsidR="007A07B7" w:rsidRPr="00582ECD" w:rsidRDefault="007A07B7" w:rsidP="00DC7886">
            <w:pPr>
              <w:rPr>
                <w:rFonts w:asciiTheme="majorHAnsi" w:hAnsiTheme="majorHAnsi" w:cs="Calibri"/>
                <w:i/>
                <w:iCs/>
                <w:color w:val="000000"/>
              </w:rPr>
            </w:pPr>
            <w:r w:rsidRPr="00582ECD">
              <w:rPr>
                <w:rFonts w:asciiTheme="majorHAnsi" w:hAnsiTheme="majorHAnsi"/>
                <w:i/>
                <w:color w:val="000000"/>
              </w:rPr>
              <w:t>CPC</w:t>
            </w:r>
          </w:p>
        </w:tc>
        <w:tc>
          <w:tcPr>
            <w:tcW w:w="6537" w:type="dxa"/>
            <w:hideMark/>
          </w:tcPr>
          <w:p w14:paraId="28435D07" w14:textId="77777777" w:rsidR="007A07B7" w:rsidRPr="00582ECD" w:rsidRDefault="007A07B7" w:rsidP="00DC7886">
            <w:pPr>
              <w:rPr>
                <w:rFonts w:asciiTheme="majorHAnsi" w:hAnsiTheme="majorHAnsi" w:cs="Calibri"/>
                <w:i/>
                <w:iCs/>
                <w:color w:val="000000"/>
              </w:rPr>
            </w:pPr>
            <w:r w:rsidRPr="00582ECD">
              <w:rPr>
                <w:rFonts w:asciiTheme="majorHAnsi" w:hAnsiTheme="majorHAnsi"/>
                <w:i/>
                <w:color w:val="000000"/>
              </w:rPr>
              <w:t>Réponse</w:t>
            </w:r>
          </w:p>
        </w:tc>
      </w:tr>
      <w:tr w:rsidR="009C2133" w:rsidRPr="00582ECD" w14:paraId="37BAD58A" w14:textId="77777777" w:rsidTr="00630B24">
        <w:trPr>
          <w:trHeight w:val="311"/>
        </w:trPr>
        <w:tc>
          <w:tcPr>
            <w:tcW w:w="2389" w:type="dxa"/>
            <w:noWrap/>
            <w:hideMark/>
          </w:tcPr>
          <w:p w14:paraId="358C5151" w14:textId="27E06FA3" w:rsidR="009C2133" w:rsidRPr="00582ECD" w:rsidRDefault="009C2133" w:rsidP="009C2133">
            <w:pPr>
              <w:rPr>
                <w:rFonts w:asciiTheme="majorHAnsi" w:hAnsiTheme="majorHAnsi" w:cs="Calibri"/>
                <w:color w:val="000000"/>
              </w:rPr>
            </w:pPr>
            <w:r w:rsidRPr="00582ECD">
              <w:rPr>
                <w:rFonts w:asciiTheme="majorHAnsi" w:hAnsiTheme="majorHAnsi"/>
              </w:rPr>
              <w:t>Namibie</w:t>
            </w:r>
          </w:p>
        </w:tc>
        <w:tc>
          <w:tcPr>
            <w:tcW w:w="6537" w:type="dxa"/>
            <w:hideMark/>
          </w:tcPr>
          <w:p w14:paraId="38EB58CF" w14:textId="5C66AEE0" w:rsidR="009C2133" w:rsidRPr="00582ECD" w:rsidRDefault="009C2133" w:rsidP="009C2133">
            <w:pPr>
              <w:jc w:val="both"/>
              <w:rPr>
                <w:rFonts w:asciiTheme="majorHAnsi" w:hAnsiTheme="majorHAnsi" w:cs="Calibri"/>
                <w:color w:val="000000"/>
              </w:rPr>
            </w:pPr>
            <w:r w:rsidRPr="00582ECD">
              <w:rPr>
                <w:rFonts w:asciiTheme="majorHAnsi" w:hAnsiTheme="majorHAnsi"/>
              </w:rPr>
              <w:t>Diverses dates de déclaration.</w:t>
            </w:r>
          </w:p>
        </w:tc>
      </w:tr>
      <w:tr w:rsidR="009C2133" w:rsidRPr="00582ECD" w14:paraId="3798B7F4" w14:textId="77777777" w:rsidTr="00630B24">
        <w:trPr>
          <w:trHeight w:val="311"/>
        </w:trPr>
        <w:tc>
          <w:tcPr>
            <w:tcW w:w="2389" w:type="dxa"/>
            <w:noWrap/>
          </w:tcPr>
          <w:p w14:paraId="31A0F9A9" w14:textId="732ACF7C" w:rsidR="009C2133" w:rsidRPr="00582ECD" w:rsidRDefault="009C2133" w:rsidP="009C2133">
            <w:pPr>
              <w:rPr>
                <w:rFonts w:asciiTheme="majorHAnsi" w:hAnsiTheme="majorHAnsi" w:cs="Calibri"/>
                <w:color w:val="000000"/>
              </w:rPr>
            </w:pPr>
            <w:r w:rsidRPr="00582ECD">
              <w:rPr>
                <w:rFonts w:asciiTheme="majorHAnsi" w:hAnsiTheme="majorHAnsi"/>
                <w:color w:val="000000"/>
              </w:rPr>
              <w:t>Nigeria</w:t>
            </w:r>
          </w:p>
        </w:tc>
        <w:tc>
          <w:tcPr>
            <w:tcW w:w="6537" w:type="dxa"/>
          </w:tcPr>
          <w:p w14:paraId="079699D8" w14:textId="6A4FB119" w:rsidR="009C2133" w:rsidRPr="00582ECD" w:rsidRDefault="009C2133" w:rsidP="009C2133">
            <w:pPr>
              <w:widowControl/>
              <w:autoSpaceDE/>
              <w:autoSpaceDN/>
              <w:adjustRightInd/>
              <w:jc w:val="both"/>
              <w:rPr>
                <w:rFonts w:asciiTheme="majorHAnsi" w:hAnsiTheme="majorHAnsi" w:cs="Calibri"/>
              </w:rPr>
            </w:pPr>
            <w:r w:rsidRPr="00582ECD">
              <w:rPr>
                <w:rFonts w:asciiTheme="majorHAnsi" w:hAnsiTheme="majorHAnsi"/>
              </w:rPr>
              <w:t>Diverses dates de déclaration.</w:t>
            </w:r>
          </w:p>
        </w:tc>
      </w:tr>
      <w:tr w:rsidR="009C2133" w:rsidRPr="00582ECD" w14:paraId="17C8A9CD" w14:textId="77777777" w:rsidTr="00630B24">
        <w:trPr>
          <w:trHeight w:val="311"/>
        </w:trPr>
        <w:tc>
          <w:tcPr>
            <w:tcW w:w="2389" w:type="dxa"/>
            <w:noWrap/>
          </w:tcPr>
          <w:p w14:paraId="6502E96D" w14:textId="793D7549" w:rsidR="009C2133" w:rsidRPr="00582ECD" w:rsidRDefault="009C2133" w:rsidP="009C2133">
            <w:pPr>
              <w:rPr>
                <w:rFonts w:asciiTheme="majorHAnsi" w:hAnsiTheme="majorHAnsi" w:cs="Calibri"/>
                <w:color w:val="000000"/>
              </w:rPr>
            </w:pPr>
            <w:r w:rsidRPr="00582ECD">
              <w:rPr>
                <w:rFonts w:asciiTheme="majorHAnsi" w:hAnsiTheme="majorHAnsi"/>
                <w:color w:val="000000"/>
              </w:rPr>
              <w:t>Afrique du Sud</w:t>
            </w:r>
          </w:p>
        </w:tc>
        <w:tc>
          <w:tcPr>
            <w:tcW w:w="6537" w:type="dxa"/>
          </w:tcPr>
          <w:p w14:paraId="3BC1E05A" w14:textId="290E14EF" w:rsidR="009C2133" w:rsidRPr="00582ECD" w:rsidRDefault="009C2133" w:rsidP="009C2133">
            <w:pPr>
              <w:widowControl/>
              <w:autoSpaceDE/>
              <w:autoSpaceDN/>
              <w:adjustRightInd/>
              <w:jc w:val="both"/>
              <w:rPr>
                <w:rFonts w:asciiTheme="majorHAnsi" w:hAnsiTheme="majorHAnsi" w:cs="Calibri"/>
              </w:rPr>
            </w:pPr>
            <w:r w:rsidRPr="00582ECD">
              <w:rPr>
                <w:rFonts w:asciiTheme="majorHAnsi" w:hAnsiTheme="majorHAnsi"/>
              </w:rPr>
              <w:t>L</w:t>
            </w:r>
            <w:r w:rsidR="00C00E6F">
              <w:rPr>
                <w:rFonts w:asciiTheme="majorHAnsi" w:hAnsiTheme="majorHAnsi"/>
              </w:rPr>
              <w:t xml:space="preserve">’accord </w:t>
            </w:r>
            <w:r w:rsidRPr="00582ECD">
              <w:rPr>
                <w:rFonts w:asciiTheme="majorHAnsi" w:hAnsiTheme="majorHAnsi"/>
              </w:rPr>
              <w:t>d'affrètement du navire ne portait que sur la campagne de pêche 2025 et a pris fin en février 2026, avant le début de la campagne de pêche 2026.</w:t>
            </w:r>
          </w:p>
        </w:tc>
      </w:tr>
    </w:tbl>
    <w:p w14:paraId="46D981EF" w14:textId="77777777" w:rsidR="00F03878" w:rsidRPr="00582ECD" w:rsidRDefault="00F03878" w:rsidP="00820485">
      <w:pPr>
        <w:tabs>
          <w:tab w:val="left" w:pos="1276"/>
          <w:tab w:val="left" w:pos="1418"/>
          <w:tab w:val="left" w:leader="dot" w:pos="8222"/>
          <w:tab w:val="right" w:pos="8647"/>
        </w:tabs>
        <w:jc w:val="both"/>
        <w:rPr>
          <w:rFonts w:asciiTheme="majorHAnsi" w:hAnsiTheme="majorHAnsi"/>
          <w:color w:val="000000"/>
          <w:lang w:eastAsia="es-ES"/>
        </w:rPr>
      </w:pPr>
    </w:p>
    <w:p w14:paraId="5AE20BA2" w14:textId="46AA657A" w:rsidR="007F1A8E" w:rsidRPr="00582ECD" w:rsidRDefault="0067630B" w:rsidP="00820485">
      <w:pPr>
        <w:tabs>
          <w:tab w:val="left" w:pos="1276"/>
          <w:tab w:val="left" w:pos="1418"/>
          <w:tab w:val="left" w:leader="dot" w:pos="8222"/>
          <w:tab w:val="right" w:pos="8647"/>
        </w:tabs>
        <w:rPr>
          <w:rFonts w:asciiTheme="majorHAnsi" w:hAnsiTheme="majorHAnsi"/>
          <w:i/>
          <w:iCs/>
        </w:rPr>
      </w:pPr>
      <w:bookmarkStart w:id="24" w:name="_Hlk180407505"/>
      <w:bookmarkStart w:id="25" w:name="_Hlk23162797"/>
      <w:bookmarkStart w:id="26" w:name="_Hlk147932149"/>
      <w:bookmarkEnd w:id="22"/>
      <w:bookmarkEnd w:id="23"/>
      <w:r w:rsidRPr="00582ECD">
        <w:rPr>
          <w:rFonts w:asciiTheme="majorHAnsi" w:hAnsiTheme="majorHAnsi"/>
          <w:i/>
        </w:rPr>
        <w:t xml:space="preserve">Rec. 14-07 : Recommandation de l'ICCAT sur des accords d'accès </w:t>
      </w:r>
    </w:p>
    <w:bookmarkEnd w:id="24"/>
    <w:p w14:paraId="70113789" w14:textId="77777777" w:rsidR="007F1A8E" w:rsidRPr="00582ECD" w:rsidRDefault="007F1A8E" w:rsidP="00820485">
      <w:pPr>
        <w:tabs>
          <w:tab w:val="left" w:pos="1276"/>
          <w:tab w:val="left" w:pos="1418"/>
          <w:tab w:val="left" w:leader="dot" w:pos="8222"/>
          <w:tab w:val="right" w:pos="8647"/>
        </w:tabs>
        <w:rPr>
          <w:rFonts w:asciiTheme="majorHAnsi" w:hAnsiTheme="majorHAnsi"/>
          <w:i/>
          <w:iCs/>
        </w:rPr>
      </w:pPr>
    </w:p>
    <w:p w14:paraId="512974DF" w14:textId="778FAF85" w:rsidR="009C2133" w:rsidRPr="00582ECD" w:rsidRDefault="009C2133" w:rsidP="009C2133">
      <w:pPr>
        <w:tabs>
          <w:tab w:val="left" w:pos="1276"/>
          <w:tab w:val="left" w:pos="1418"/>
          <w:tab w:val="left" w:leader="dot" w:pos="8222"/>
          <w:tab w:val="right" w:pos="8647"/>
        </w:tabs>
        <w:jc w:val="both"/>
        <w:rPr>
          <w:rFonts w:asciiTheme="majorHAnsi" w:hAnsiTheme="majorHAnsi"/>
          <w:iCs/>
        </w:rPr>
      </w:pPr>
      <w:r w:rsidRPr="00582ECD">
        <w:rPr>
          <w:rFonts w:asciiTheme="majorHAnsi" w:hAnsiTheme="majorHAnsi"/>
        </w:rPr>
        <w:t>Afin d'éviter toute confusion avec les déclarations relatives à la tâche 1, le formulaire CP39 (onglets A et B) permet aux CPC de déclarer à la fois les captures effectuées dans le cadre de l'accord d'accès lui-même et celles réalisées par la CPC. Depuis la dernière réunion de la Commission, l'Angola, l'Union européenne, la Gambie, le Maroc et le Royaume-Uni ont fourni des informations actualisées sur les accords d'accès en cours. Certains accords déclarés au cours des années précédentes étaient pluriannuels et sont toujours en cours. La liste complète des accords d’accès se trouve à l’</w:t>
      </w:r>
      <w:r w:rsidRPr="00582ECD">
        <w:rPr>
          <w:rFonts w:asciiTheme="majorHAnsi" w:hAnsiTheme="majorHAnsi"/>
          <w:b/>
          <w:bCs/>
        </w:rPr>
        <w:t>annexe 5</w:t>
      </w:r>
      <w:r w:rsidRPr="00582ECD">
        <w:rPr>
          <w:rFonts w:asciiTheme="majorHAnsi" w:hAnsiTheme="majorHAnsi"/>
        </w:rPr>
        <w:t>.</w:t>
      </w:r>
    </w:p>
    <w:bookmarkEnd w:id="25"/>
    <w:bookmarkEnd w:id="26"/>
    <w:p w14:paraId="6925C536" w14:textId="77777777" w:rsidR="004D4B55" w:rsidRPr="00582ECD" w:rsidRDefault="004D4B55" w:rsidP="00820485">
      <w:pPr>
        <w:rPr>
          <w:rFonts w:asciiTheme="majorHAnsi" w:hAnsiTheme="majorHAnsi"/>
        </w:rPr>
      </w:pPr>
    </w:p>
    <w:p w14:paraId="35EA470F" w14:textId="5DB2084D" w:rsidR="001D5647" w:rsidRPr="00582ECD" w:rsidRDefault="009C2133" w:rsidP="00820485">
      <w:pPr>
        <w:rPr>
          <w:rFonts w:asciiTheme="majorHAnsi" w:hAnsiTheme="majorHAnsi"/>
        </w:rPr>
      </w:pPr>
      <w:r w:rsidRPr="00582ECD">
        <w:rPr>
          <w:rFonts w:asciiTheme="majorHAnsi" w:hAnsiTheme="majorHAnsi"/>
        </w:rPr>
        <w:t>Les extraits des rapports annuels d’autres CPC (IOMS) concernant des accords d’accès (M:GEN19) sont indiqués ci-après.</w:t>
      </w:r>
    </w:p>
    <w:p w14:paraId="78F05DD8" w14:textId="77777777" w:rsidR="009C2133" w:rsidRPr="00582ECD" w:rsidRDefault="009C2133" w:rsidP="00820485">
      <w:pPr>
        <w:rPr>
          <w:rFonts w:asciiTheme="majorHAnsi" w:hAnsiTheme="majorHAnsi"/>
        </w:rPr>
      </w:pPr>
    </w:p>
    <w:tbl>
      <w:tblPr>
        <w:tblW w:w="91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3"/>
        <w:gridCol w:w="7747"/>
      </w:tblGrid>
      <w:tr w:rsidR="009C2133" w:rsidRPr="00582ECD" w14:paraId="21D20EEF" w14:textId="77777777" w:rsidTr="00000861">
        <w:trPr>
          <w:trHeight w:val="295"/>
        </w:trPr>
        <w:tc>
          <w:tcPr>
            <w:tcW w:w="1413" w:type="dxa"/>
            <w:noWrap/>
            <w:hideMark/>
          </w:tcPr>
          <w:p w14:paraId="3FB04DFD" w14:textId="77777777" w:rsidR="009C2133" w:rsidRPr="00582ECD" w:rsidRDefault="009C2133" w:rsidP="00000861">
            <w:pPr>
              <w:rPr>
                <w:rFonts w:asciiTheme="majorHAnsi" w:hAnsiTheme="majorHAnsi" w:cs="Calibri"/>
                <w:i/>
                <w:iCs/>
                <w:color w:val="000000"/>
              </w:rPr>
            </w:pPr>
            <w:r w:rsidRPr="00582ECD">
              <w:rPr>
                <w:rFonts w:asciiTheme="majorHAnsi" w:hAnsiTheme="majorHAnsi"/>
                <w:i/>
                <w:color w:val="000000"/>
              </w:rPr>
              <w:t>CPC</w:t>
            </w:r>
          </w:p>
        </w:tc>
        <w:tc>
          <w:tcPr>
            <w:tcW w:w="7747" w:type="dxa"/>
            <w:hideMark/>
          </w:tcPr>
          <w:p w14:paraId="69ACB614" w14:textId="77777777" w:rsidR="009C2133" w:rsidRPr="00582ECD" w:rsidRDefault="009C2133" w:rsidP="00000861">
            <w:pPr>
              <w:rPr>
                <w:rFonts w:asciiTheme="majorHAnsi" w:hAnsiTheme="majorHAnsi" w:cs="Calibri"/>
                <w:i/>
                <w:iCs/>
                <w:color w:val="000000"/>
              </w:rPr>
            </w:pPr>
            <w:r w:rsidRPr="00582ECD">
              <w:rPr>
                <w:rFonts w:asciiTheme="majorHAnsi" w:hAnsiTheme="majorHAnsi"/>
                <w:i/>
                <w:color w:val="000000"/>
              </w:rPr>
              <w:t>Réponse</w:t>
            </w:r>
          </w:p>
        </w:tc>
      </w:tr>
      <w:tr w:rsidR="009C2133" w:rsidRPr="00582ECD" w14:paraId="1060C79C" w14:textId="77777777" w:rsidTr="00000861">
        <w:trPr>
          <w:trHeight w:val="311"/>
        </w:trPr>
        <w:tc>
          <w:tcPr>
            <w:tcW w:w="1413" w:type="dxa"/>
            <w:noWrap/>
          </w:tcPr>
          <w:p w14:paraId="1293AF5C" w14:textId="77777777" w:rsidR="009C2133" w:rsidRPr="00582ECD" w:rsidRDefault="009C2133" w:rsidP="00000861">
            <w:pPr>
              <w:rPr>
                <w:rFonts w:asciiTheme="majorHAnsi" w:hAnsiTheme="majorHAnsi"/>
                <w:color w:val="000000"/>
              </w:rPr>
            </w:pPr>
            <w:r w:rsidRPr="00582ECD">
              <w:rPr>
                <w:rFonts w:asciiTheme="majorHAnsi" w:hAnsiTheme="majorHAnsi"/>
                <w:color w:val="000000"/>
              </w:rPr>
              <w:t>Angola</w:t>
            </w:r>
          </w:p>
        </w:tc>
        <w:tc>
          <w:tcPr>
            <w:tcW w:w="7747" w:type="dxa"/>
          </w:tcPr>
          <w:p w14:paraId="46BB094E" w14:textId="77777777" w:rsidR="009C2133" w:rsidRPr="00582ECD" w:rsidRDefault="009C2133" w:rsidP="00000861">
            <w:pPr>
              <w:widowControl/>
              <w:autoSpaceDE/>
              <w:autoSpaceDN/>
              <w:adjustRightInd/>
              <w:jc w:val="both"/>
              <w:rPr>
                <w:rFonts w:asciiTheme="majorHAnsi" w:hAnsiTheme="majorHAnsi" w:cs="Calibri"/>
              </w:rPr>
            </w:pPr>
            <w:r w:rsidRPr="00582ECD">
              <w:rPr>
                <w:rFonts w:asciiTheme="majorHAnsi" w:hAnsiTheme="majorHAnsi"/>
              </w:rPr>
              <w:t>Les informations doivent être transmises au Secrétariat en temps utile.</w:t>
            </w:r>
          </w:p>
        </w:tc>
      </w:tr>
      <w:tr w:rsidR="009C2133" w:rsidRPr="00582ECD" w14:paraId="5AE7CB00" w14:textId="77777777" w:rsidTr="00000861">
        <w:trPr>
          <w:trHeight w:val="311"/>
        </w:trPr>
        <w:tc>
          <w:tcPr>
            <w:tcW w:w="1413" w:type="dxa"/>
            <w:noWrap/>
            <w:hideMark/>
          </w:tcPr>
          <w:p w14:paraId="6BD67014" w14:textId="77777777" w:rsidR="009C2133" w:rsidRPr="00582ECD" w:rsidRDefault="009C2133" w:rsidP="00000861">
            <w:pPr>
              <w:rPr>
                <w:rFonts w:asciiTheme="majorHAnsi" w:hAnsiTheme="majorHAnsi" w:cs="Calibri"/>
                <w:color w:val="000000"/>
              </w:rPr>
            </w:pPr>
            <w:r w:rsidRPr="00582ECD">
              <w:rPr>
                <w:rFonts w:asciiTheme="majorHAnsi" w:hAnsiTheme="majorHAnsi"/>
                <w:color w:val="000000"/>
              </w:rPr>
              <w:lastRenderedPageBreak/>
              <w:t>Cabo Verde</w:t>
            </w:r>
          </w:p>
        </w:tc>
        <w:tc>
          <w:tcPr>
            <w:tcW w:w="7747" w:type="dxa"/>
            <w:hideMark/>
          </w:tcPr>
          <w:p w14:paraId="1C96A940" w14:textId="18E40E02" w:rsidR="009C2133" w:rsidRPr="00582ECD" w:rsidRDefault="009C2133" w:rsidP="00000861">
            <w:pPr>
              <w:jc w:val="both"/>
              <w:rPr>
                <w:rFonts w:asciiTheme="majorHAnsi" w:hAnsiTheme="majorHAnsi" w:cs="Calibri"/>
                <w:color w:val="000000"/>
              </w:rPr>
            </w:pPr>
            <w:r w:rsidRPr="00582ECD">
              <w:rPr>
                <w:rFonts w:asciiTheme="majorHAnsi" w:hAnsiTheme="majorHAnsi"/>
              </w:rPr>
              <w:t>Dans le cadre des accords d'accès à la pêche entre le Cabo Verde et les pays tiers, les entités suivantes sont autorisées à opérer dans la Zone Économique Exclusive (ZEE) du Cabo Verde :</w:t>
            </w:r>
            <w:r w:rsidRPr="00582ECD">
              <w:rPr>
                <w:rFonts w:asciiTheme="majorHAnsi" w:hAnsiTheme="majorHAnsi"/>
              </w:rPr>
              <w:br/>
              <w:t>a) Union européenne - 56 licences de pêche : 24 pour les thoniers senneurs, 10 pour les thoniers canneurs et 22 pour les palangriers. Cet accord est valable de 2024 à 2029. b) Sénégal - 8 licences de pêche : 1 pour un thonier à canne et hameçon et 7 pour les thoniers senneurs.</w:t>
            </w:r>
          </w:p>
        </w:tc>
      </w:tr>
      <w:tr w:rsidR="009C2133" w:rsidRPr="00582ECD" w14:paraId="609A4F8B" w14:textId="77777777" w:rsidTr="00000861">
        <w:trPr>
          <w:trHeight w:val="257"/>
        </w:trPr>
        <w:tc>
          <w:tcPr>
            <w:tcW w:w="1413" w:type="dxa"/>
            <w:noWrap/>
          </w:tcPr>
          <w:p w14:paraId="2F75DDAD" w14:textId="77777777" w:rsidR="009C2133" w:rsidRPr="00582ECD" w:rsidRDefault="009C2133" w:rsidP="00000861">
            <w:pPr>
              <w:rPr>
                <w:rFonts w:asciiTheme="majorHAnsi" w:hAnsiTheme="majorHAnsi" w:cs="Calibri"/>
                <w:color w:val="000000"/>
              </w:rPr>
            </w:pPr>
            <w:r w:rsidRPr="00582ECD">
              <w:rPr>
                <w:rFonts w:asciiTheme="majorHAnsi" w:hAnsiTheme="majorHAnsi"/>
                <w:color w:val="000000"/>
              </w:rPr>
              <w:t>Gambie</w:t>
            </w:r>
          </w:p>
        </w:tc>
        <w:tc>
          <w:tcPr>
            <w:tcW w:w="7747" w:type="dxa"/>
          </w:tcPr>
          <w:p w14:paraId="57C5F6CF" w14:textId="5E41639B" w:rsidR="009C2133" w:rsidRPr="00582ECD" w:rsidRDefault="009C2133" w:rsidP="00000861">
            <w:pPr>
              <w:jc w:val="both"/>
              <w:rPr>
                <w:rFonts w:asciiTheme="majorHAnsi" w:hAnsiTheme="majorHAnsi" w:cs="Calibri"/>
                <w:color w:val="000000"/>
              </w:rPr>
            </w:pPr>
            <w:r w:rsidRPr="00582ECD">
              <w:rPr>
                <w:rFonts w:asciiTheme="majorHAnsi" w:hAnsiTheme="majorHAnsi"/>
                <w:color w:val="000000"/>
              </w:rPr>
              <w:t>Résumé envoyé le 15 septembre 2026</w:t>
            </w:r>
          </w:p>
        </w:tc>
      </w:tr>
      <w:tr w:rsidR="009C2133" w:rsidRPr="00582ECD" w14:paraId="5BB2845F" w14:textId="77777777" w:rsidTr="00000861">
        <w:trPr>
          <w:trHeight w:val="255"/>
        </w:trPr>
        <w:tc>
          <w:tcPr>
            <w:tcW w:w="1413" w:type="dxa"/>
            <w:noWrap/>
          </w:tcPr>
          <w:p w14:paraId="083EF602" w14:textId="77777777" w:rsidR="009C2133" w:rsidRPr="00582ECD" w:rsidRDefault="009C2133" w:rsidP="00000861">
            <w:pPr>
              <w:rPr>
                <w:rFonts w:asciiTheme="majorHAnsi" w:hAnsiTheme="majorHAnsi" w:cs="Calibri"/>
                <w:color w:val="000000"/>
              </w:rPr>
            </w:pPr>
            <w:r w:rsidRPr="00582ECD">
              <w:rPr>
                <w:rFonts w:asciiTheme="majorHAnsi" w:hAnsiTheme="majorHAnsi"/>
                <w:color w:val="000000"/>
              </w:rPr>
              <w:t>Maroc</w:t>
            </w:r>
          </w:p>
        </w:tc>
        <w:tc>
          <w:tcPr>
            <w:tcW w:w="7747" w:type="dxa"/>
          </w:tcPr>
          <w:p w14:paraId="72705D27" w14:textId="76572530" w:rsidR="009C2133" w:rsidRPr="00582ECD" w:rsidRDefault="009C2133" w:rsidP="00000861">
            <w:pPr>
              <w:jc w:val="both"/>
              <w:rPr>
                <w:rFonts w:asciiTheme="majorHAnsi" w:hAnsiTheme="majorHAnsi"/>
                <w:color w:val="000000"/>
              </w:rPr>
            </w:pPr>
            <w:r w:rsidRPr="00582ECD">
              <w:rPr>
                <w:rFonts w:asciiTheme="majorHAnsi" w:hAnsiTheme="majorHAnsi"/>
                <w:color w:val="000000"/>
              </w:rPr>
              <w:t>Résumé envoyé le 28 juillet 2026</w:t>
            </w:r>
          </w:p>
        </w:tc>
      </w:tr>
      <w:tr w:rsidR="009C2133" w:rsidRPr="00582ECD" w14:paraId="27AC5BFD" w14:textId="77777777" w:rsidTr="00000861">
        <w:trPr>
          <w:trHeight w:val="684"/>
        </w:trPr>
        <w:tc>
          <w:tcPr>
            <w:tcW w:w="1413" w:type="dxa"/>
            <w:noWrap/>
            <w:hideMark/>
          </w:tcPr>
          <w:p w14:paraId="6A8D1D3B" w14:textId="77777777" w:rsidR="009C2133" w:rsidRPr="00582ECD" w:rsidRDefault="009C2133" w:rsidP="00000861">
            <w:pPr>
              <w:rPr>
                <w:rFonts w:asciiTheme="majorHAnsi" w:hAnsiTheme="majorHAnsi" w:cs="Calibri"/>
                <w:color w:val="000000"/>
              </w:rPr>
            </w:pPr>
            <w:r w:rsidRPr="00582ECD">
              <w:rPr>
                <w:rFonts w:asciiTheme="majorHAnsi" w:hAnsiTheme="majorHAnsi"/>
                <w:color w:val="000000"/>
              </w:rPr>
              <w:t>Royaume-Uni</w:t>
            </w:r>
          </w:p>
        </w:tc>
        <w:tc>
          <w:tcPr>
            <w:tcW w:w="7747" w:type="dxa"/>
            <w:hideMark/>
          </w:tcPr>
          <w:p w14:paraId="42A74FC7" w14:textId="77777777" w:rsidR="009C2133" w:rsidRPr="00582ECD" w:rsidRDefault="009C2133" w:rsidP="00000861">
            <w:pPr>
              <w:jc w:val="both"/>
              <w:rPr>
                <w:rFonts w:asciiTheme="majorHAnsi" w:hAnsiTheme="majorHAnsi" w:cs="Calibri"/>
                <w:color w:val="000000"/>
              </w:rPr>
            </w:pPr>
            <w:r w:rsidRPr="00582ECD">
              <w:rPr>
                <w:rFonts w:asciiTheme="majorHAnsi" w:hAnsiTheme="majorHAnsi"/>
              </w:rPr>
              <w:t>Le 13 juillet 2026, RU Met a soumis le CP39-AccAgr (formulaire B) contenant le résumé des activités et des captures pour l'accord d'accès réciproque de 2025 pour le germon de l'Atlantique Nord avec l'Union européenne (UE).</w:t>
            </w:r>
          </w:p>
        </w:tc>
      </w:tr>
    </w:tbl>
    <w:p w14:paraId="673C52B2" w14:textId="77777777" w:rsidR="00210D3D" w:rsidRPr="00582ECD" w:rsidRDefault="00210D3D" w:rsidP="00820485">
      <w:pPr>
        <w:tabs>
          <w:tab w:val="left" w:pos="1276"/>
          <w:tab w:val="left" w:pos="1418"/>
          <w:tab w:val="left" w:leader="dot" w:pos="8222"/>
          <w:tab w:val="right" w:pos="8647"/>
        </w:tabs>
        <w:jc w:val="both"/>
        <w:rPr>
          <w:rFonts w:asciiTheme="majorHAnsi" w:hAnsiTheme="majorHAnsi"/>
          <w:i/>
        </w:rPr>
      </w:pPr>
    </w:p>
    <w:p w14:paraId="750F9310" w14:textId="103D5C7F" w:rsidR="002C5323" w:rsidRPr="00582ECD" w:rsidRDefault="00305BFC" w:rsidP="00820485">
      <w:pPr>
        <w:tabs>
          <w:tab w:val="left" w:pos="1276"/>
          <w:tab w:val="left" w:pos="1418"/>
          <w:tab w:val="left" w:leader="dot" w:pos="8222"/>
          <w:tab w:val="right" w:pos="8647"/>
        </w:tabs>
        <w:jc w:val="both"/>
        <w:rPr>
          <w:rFonts w:asciiTheme="majorHAnsi" w:hAnsiTheme="majorHAnsi"/>
          <w:i/>
        </w:rPr>
      </w:pPr>
      <w:r w:rsidRPr="00582ECD">
        <w:rPr>
          <w:rFonts w:asciiTheme="majorHAnsi" w:hAnsiTheme="majorHAnsi"/>
          <w:i/>
        </w:rPr>
        <w:t>Rec. 16-14 : Recommandation de l’ICCAT visant à établir des normes minimales pour les programmes d’observateurs scientifiques à bord de navires de pêche</w:t>
      </w:r>
    </w:p>
    <w:p w14:paraId="7189B423" w14:textId="77777777" w:rsidR="00956609" w:rsidRPr="00582ECD" w:rsidRDefault="00956609" w:rsidP="00820485">
      <w:pPr>
        <w:tabs>
          <w:tab w:val="left" w:pos="1276"/>
          <w:tab w:val="left" w:pos="1418"/>
          <w:tab w:val="left" w:leader="dot" w:pos="8222"/>
          <w:tab w:val="right" w:pos="8647"/>
        </w:tabs>
        <w:ind w:firstLine="426"/>
        <w:rPr>
          <w:rFonts w:asciiTheme="majorHAnsi" w:hAnsiTheme="majorHAnsi"/>
        </w:rPr>
      </w:pPr>
    </w:p>
    <w:p w14:paraId="07A6A320" w14:textId="47B16DDC" w:rsidR="0001572E" w:rsidRPr="00582ECD" w:rsidRDefault="00956609" w:rsidP="00820485">
      <w:pPr>
        <w:jc w:val="both"/>
        <w:rPr>
          <w:rFonts w:asciiTheme="majorHAnsi" w:hAnsiTheme="majorHAnsi"/>
          <w:bCs/>
          <w:iCs/>
        </w:rPr>
      </w:pPr>
      <w:r w:rsidRPr="00582ECD">
        <w:rPr>
          <w:rFonts w:asciiTheme="majorHAnsi" w:hAnsiTheme="majorHAnsi"/>
        </w:rPr>
        <w:t>Plusieurs CPC ont indiqué avoir rencontré des difficultés dans la mise en œuvre des programmes d’observateurs scientifiques. Un résumé des programmes d'observateurs des CPC figure dans le "Rapport de 2026 du Secrétariat de l'ICCAT sur la recherche et les statistiques</w:t>
      </w:r>
      <w:bookmarkStart w:id="27" w:name="_Hlk46402389"/>
      <w:r w:rsidRPr="00582ECD">
        <w:rPr>
          <w:rFonts w:asciiTheme="majorHAnsi" w:hAnsiTheme="majorHAnsi"/>
        </w:rPr>
        <w:t>"</w:t>
      </w:r>
      <w:bookmarkEnd w:id="27"/>
      <w:r w:rsidRPr="00582ECD">
        <w:rPr>
          <w:rFonts w:asciiTheme="majorHAnsi" w:hAnsiTheme="majorHAnsi"/>
        </w:rPr>
        <w:t xml:space="preserve"> [PLE_105/2026] et dans les "Informations sur la mise en œuvre des programmes d'observateurs scientifiques communiquées par les CPC" [COC_318/2026].</w:t>
      </w:r>
    </w:p>
    <w:p w14:paraId="6699FE62" w14:textId="77777777" w:rsidR="00750FDA" w:rsidRPr="00582ECD" w:rsidRDefault="00750FDA" w:rsidP="00820485">
      <w:pPr>
        <w:jc w:val="both"/>
        <w:rPr>
          <w:rFonts w:asciiTheme="majorHAnsi" w:hAnsiTheme="majorHAnsi"/>
          <w:bCs/>
          <w:iCs/>
        </w:rPr>
      </w:pPr>
    </w:p>
    <w:p w14:paraId="459FA4EF" w14:textId="5D095D35" w:rsidR="006937ED" w:rsidRPr="00582ECD" w:rsidRDefault="006937ED" w:rsidP="005B120F">
      <w:pPr>
        <w:tabs>
          <w:tab w:val="left" w:pos="1276"/>
          <w:tab w:val="left" w:pos="1418"/>
          <w:tab w:val="left" w:leader="dot" w:pos="8222"/>
          <w:tab w:val="right" w:pos="8647"/>
        </w:tabs>
        <w:rPr>
          <w:rFonts w:asciiTheme="majorHAnsi" w:hAnsiTheme="majorHAnsi"/>
          <w:bCs/>
        </w:rPr>
      </w:pPr>
      <w:r w:rsidRPr="00582ECD">
        <w:rPr>
          <w:rFonts w:asciiTheme="majorHAnsi" w:hAnsiTheme="majorHAnsi"/>
          <w:i/>
        </w:rPr>
        <w:t>Rec. 24-15 :  Recommandation de l’ICCAT amendant la Recommandation 21-15 sur le transbordement</w:t>
      </w:r>
    </w:p>
    <w:p w14:paraId="0179C9E5" w14:textId="77777777" w:rsidR="00ED04E9" w:rsidRPr="00582ECD" w:rsidRDefault="00ED04E9" w:rsidP="00820485">
      <w:pPr>
        <w:tabs>
          <w:tab w:val="left" w:pos="1276"/>
          <w:tab w:val="left" w:pos="1418"/>
          <w:tab w:val="left" w:leader="dot" w:pos="8222"/>
          <w:tab w:val="right" w:pos="8647"/>
        </w:tabs>
        <w:jc w:val="both"/>
        <w:rPr>
          <w:rFonts w:asciiTheme="majorHAnsi" w:hAnsiTheme="majorHAnsi"/>
        </w:rPr>
      </w:pPr>
    </w:p>
    <w:p w14:paraId="1C0D34A2" w14:textId="58065192" w:rsidR="006F533F" w:rsidRPr="00582ECD" w:rsidRDefault="006F533F" w:rsidP="0042078C">
      <w:pPr>
        <w:tabs>
          <w:tab w:val="left" w:pos="1276"/>
          <w:tab w:val="left" w:pos="1418"/>
          <w:tab w:val="left" w:leader="dot" w:pos="8222"/>
          <w:tab w:val="right" w:pos="8647"/>
        </w:tabs>
        <w:jc w:val="both"/>
        <w:rPr>
          <w:rFonts w:asciiTheme="majorHAnsi" w:hAnsiTheme="majorHAnsi"/>
        </w:rPr>
      </w:pPr>
      <w:r w:rsidRPr="00582ECD">
        <w:rPr>
          <w:rFonts w:asciiTheme="majorHAnsi" w:hAnsiTheme="majorHAnsi"/>
        </w:rPr>
        <w:t xml:space="preserve">Les navires de charge et les LPLV associés sont publiés sur la page web de l’ICCAT dans le </w:t>
      </w:r>
      <w:hyperlink r:id="rId35" w:history="1">
        <w:r w:rsidRPr="00582ECD">
          <w:rPr>
            <w:rStyle w:val="Hyperlink"/>
            <w:rFonts w:asciiTheme="majorHAnsi" w:hAnsiTheme="majorHAnsi"/>
            <w:u w:val="none"/>
          </w:rPr>
          <w:t>registre ICCAT de navires</w:t>
        </w:r>
      </w:hyperlink>
      <w:r w:rsidRPr="00582ECD">
        <w:rPr>
          <w:rFonts w:asciiTheme="majorHAnsi" w:hAnsiTheme="majorHAnsi"/>
        </w:rPr>
        <w:t xml:space="preserve">. </w:t>
      </w:r>
    </w:p>
    <w:p w14:paraId="42C6ED1D" w14:textId="77777777" w:rsidR="00693B86" w:rsidRPr="00582ECD" w:rsidRDefault="00693B86" w:rsidP="0042078C">
      <w:pPr>
        <w:tabs>
          <w:tab w:val="left" w:pos="1276"/>
          <w:tab w:val="left" w:pos="1418"/>
          <w:tab w:val="left" w:leader="dot" w:pos="8222"/>
          <w:tab w:val="right" w:pos="8647"/>
        </w:tabs>
        <w:jc w:val="both"/>
        <w:rPr>
          <w:rFonts w:asciiTheme="majorHAnsi" w:hAnsiTheme="majorHAnsi"/>
        </w:rPr>
      </w:pPr>
    </w:p>
    <w:p w14:paraId="073A63E3" w14:textId="32293384" w:rsidR="0036435B" w:rsidRPr="00582ECD" w:rsidRDefault="0064289F" w:rsidP="0042078C">
      <w:pPr>
        <w:tabs>
          <w:tab w:val="left" w:pos="1276"/>
          <w:tab w:val="left" w:pos="1418"/>
          <w:tab w:val="left" w:leader="dot" w:pos="8222"/>
          <w:tab w:val="right" w:pos="8647"/>
        </w:tabs>
        <w:jc w:val="both"/>
        <w:rPr>
          <w:rFonts w:asciiTheme="majorHAnsi" w:hAnsiTheme="majorHAnsi"/>
        </w:rPr>
      </w:pPr>
      <w:r w:rsidRPr="00582ECD">
        <w:rPr>
          <w:rFonts w:asciiTheme="majorHAnsi" w:hAnsiTheme="majorHAnsi"/>
        </w:rPr>
        <w:t>Le « Rapport sur la mise en œuvre du Programme régional d’observateurs de l’ICCAT (ROP) pour les transbordements 2025/2026 » [PWG_402/2026] contient de plus amples informations. Les cas de non-application potentielle (PNC) signalés par les observateurs et les réponses des CPC figurent dans le document « Questions de non-application potentielle découlant des Programmes d'observateurs régionaux de l'ICCAT et réponses apportées » [COC_305/2026].</w:t>
      </w:r>
      <w:r w:rsidRPr="00582ECD">
        <w:rPr>
          <w:rFonts w:asciiTheme="majorHAnsi" w:hAnsiTheme="majorHAnsi"/>
          <w:b/>
        </w:rPr>
        <w:t xml:space="preserve"> </w:t>
      </w:r>
      <w:r w:rsidRPr="00582ECD">
        <w:rPr>
          <w:rFonts w:asciiTheme="majorHAnsi" w:hAnsiTheme="majorHAnsi"/>
        </w:rPr>
        <w:t xml:space="preserve">Les rapports des observateurs ont été publiés sur le </w:t>
      </w:r>
      <w:hyperlink r:id="rId36" w:history="1">
        <w:r w:rsidRPr="00582ECD">
          <w:rPr>
            <w:rStyle w:val="Hyperlink"/>
            <w:rFonts w:asciiTheme="majorHAnsi" w:hAnsiTheme="majorHAnsi"/>
            <w:u w:val="none"/>
          </w:rPr>
          <w:t>site web de l’ICCAT</w:t>
        </w:r>
      </w:hyperlink>
      <w:r w:rsidRPr="00582ECD">
        <w:rPr>
          <w:rFonts w:asciiTheme="majorHAnsi" w:hAnsiTheme="majorHAnsi"/>
        </w:rPr>
        <w:t xml:space="preserve">, comme le prévoit la Recommandation.  </w:t>
      </w:r>
    </w:p>
    <w:p w14:paraId="43F4B663" w14:textId="77777777" w:rsidR="004C26B5" w:rsidRPr="00582ECD" w:rsidRDefault="004C26B5" w:rsidP="0042078C">
      <w:pPr>
        <w:tabs>
          <w:tab w:val="left" w:pos="1276"/>
          <w:tab w:val="left" w:pos="1418"/>
          <w:tab w:val="left" w:leader="dot" w:pos="8222"/>
          <w:tab w:val="right" w:pos="8647"/>
        </w:tabs>
        <w:jc w:val="both"/>
        <w:rPr>
          <w:rFonts w:asciiTheme="majorHAnsi" w:hAnsiTheme="majorHAnsi"/>
        </w:rPr>
      </w:pPr>
    </w:p>
    <w:p w14:paraId="11A58007" w14:textId="341C2588" w:rsidR="000330F3" w:rsidRPr="00582ECD" w:rsidRDefault="000330F3" w:rsidP="0042078C">
      <w:pPr>
        <w:jc w:val="both"/>
        <w:rPr>
          <w:rFonts w:asciiTheme="majorHAnsi" w:hAnsiTheme="majorHAnsi"/>
        </w:rPr>
      </w:pPr>
      <w:r w:rsidRPr="00582ECD">
        <w:rPr>
          <w:rFonts w:asciiTheme="majorHAnsi" w:hAnsiTheme="majorHAnsi"/>
        </w:rPr>
        <w:t>Ces dernières années, plusieurs déclarations de transbordement ont été soumises sans être conformes à une exigence spécifique. Il est donc très difficile pour le Secrétariat de l’ICCAT de déterminer quels documents sont conformes aux Recommandations de l’ICCAT. Le problème est aggravé par le fait que quelques CPC continuent à soumettre des informations non requises, ce qui crée une charge supplémentaire importante pour le Secrétariat de l'ICCAT en termes d'enregistrement et d'examen des soumissions non pertinentes. Cela empêche également de traiter correctement les informations pertinentes. Souvent, cela est dû au fait que le Secrétariat de l’ICCAT est inutilement mis en copie de ce type de communication, ce qui pourrait clairement être évité.</w:t>
      </w:r>
    </w:p>
    <w:p w14:paraId="3599B71F" w14:textId="77777777" w:rsidR="0088151D" w:rsidRPr="00582ECD" w:rsidRDefault="0088151D" w:rsidP="00820485">
      <w:pPr>
        <w:rPr>
          <w:rFonts w:asciiTheme="majorHAnsi" w:hAnsiTheme="majorHAnsi"/>
        </w:rPr>
      </w:pPr>
    </w:p>
    <w:p w14:paraId="58DCD17D" w14:textId="71AA2B90" w:rsidR="009B1C06" w:rsidRPr="00582ECD" w:rsidRDefault="009B1C06" w:rsidP="000371A1">
      <w:pPr>
        <w:pBdr>
          <w:top w:val="single" w:sz="4" w:space="1" w:color="auto"/>
          <w:left w:val="single" w:sz="4" w:space="0" w:color="auto"/>
          <w:bottom w:val="single" w:sz="4" w:space="1" w:color="auto"/>
          <w:right w:val="single" w:sz="4" w:space="4" w:color="auto"/>
        </w:pBdr>
        <w:jc w:val="both"/>
        <w:rPr>
          <w:rFonts w:asciiTheme="majorHAnsi" w:hAnsiTheme="majorHAnsi"/>
        </w:rPr>
      </w:pPr>
      <w:bookmarkStart w:id="28" w:name="_Hlk173150431"/>
      <w:r w:rsidRPr="00582ECD">
        <w:rPr>
          <w:rFonts w:asciiTheme="majorHAnsi" w:hAnsiTheme="majorHAnsi"/>
          <w:b/>
          <w:bCs/>
        </w:rPr>
        <w:t>Demande du Secrétariat de l’ICCAT :</w:t>
      </w:r>
      <w:r w:rsidRPr="00582ECD">
        <w:rPr>
          <w:rFonts w:asciiTheme="majorHAnsi" w:hAnsiTheme="majorHAnsi"/>
        </w:rPr>
        <w:t xml:space="preserve"> Les CPC se limitent à soumettre au Secrétariat de l'ICCAT uniquement la documentation requise par la Recommandation et utilisent les formats approuvés par l'ICCAT, le cas échéant. </w:t>
      </w:r>
    </w:p>
    <w:bookmarkEnd w:id="28"/>
    <w:p w14:paraId="27604E8B" w14:textId="77777777" w:rsidR="009B1C06" w:rsidRPr="00582ECD" w:rsidRDefault="009B1C06" w:rsidP="00820485">
      <w:pPr>
        <w:tabs>
          <w:tab w:val="left" w:pos="1276"/>
          <w:tab w:val="left" w:pos="1418"/>
          <w:tab w:val="left" w:leader="dot" w:pos="8222"/>
          <w:tab w:val="right" w:pos="8647"/>
        </w:tabs>
        <w:jc w:val="both"/>
        <w:rPr>
          <w:rFonts w:asciiTheme="majorHAnsi" w:hAnsiTheme="majorHAnsi"/>
        </w:rPr>
      </w:pPr>
    </w:p>
    <w:p w14:paraId="4A063896" w14:textId="57C2B8C0" w:rsidR="002942B7" w:rsidRPr="00582ECD" w:rsidRDefault="002942B7" w:rsidP="00B66704">
      <w:pPr>
        <w:tabs>
          <w:tab w:val="left" w:pos="1276"/>
          <w:tab w:val="left" w:pos="1418"/>
          <w:tab w:val="left" w:leader="dot" w:pos="8222"/>
          <w:tab w:val="right" w:pos="8647"/>
        </w:tabs>
        <w:jc w:val="both"/>
        <w:rPr>
          <w:rFonts w:asciiTheme="majorHAnsi" w:hAnsiTheme="majorHAnsi"/>
          <w:iCs/>
        </w:rPr>
      </w:pPr>
      <w:r w:rsidRPr="00582ECD">
        <w:rPr>
          <w:rFonts w:asciiTheme="majorHAnsi" w:hAnsiTheme="majorHAnsi"/>
          <w:i/>
        </w:rPr>
        <w:t>Rec. 19-09 : Recommandation de l’ICCAT sur l'observation des navires</w:t>
      </w:r>
    </w:p>
    <w:p w14:paraId="6BB5C01C" w14:textId="77777777" w:rsidR="002942B7" w:rsidRPr="00582ECD" w:rsidRDefault="002942B7" w:rsidP="00B66704">
      <w:pPr>
        <w:tabs>
          <w:tab w:val="left" w:pos="1276"/>
          <w:tab w:val="left" w:pos="1418"/>
          <w:tab w:val="left" w:leader="dot" w:pos="8222"/>
          <w:tab w:val="right" w:pos="8647"/>
        </w:tabs>
        <w:jc w:val="both"/>
        <w:rPr>
          <w:rFonts w:asciiTheme="majorHAnsi" w:hAnsiTheme="majorHAnsi"/>
          <w:i/>
        </w:rPr>
      </w:pPr>
    </w:p>
    <w:p w14:paraId="7270D9BC" w14:textId="17FBB0E1" w:rsidR="00BC4148" w:rsidRPr="00582ECD" w:rsidRDefault="00BC4148" w:rsidP="00B66704">
      <w:pPr>
        <w:jc w:val="both"/>
        <w:rPr>
          <w:rStyle w:val="ui-provider"/>
          <w:rFonts w:asciiTheme="majorHAnsi" w:hAnsiTheme="majorHAnsi"/>
        </w:rPr>
      </w:pPr>
      <w:r w:rsidRPr="00582ECD">
        <w:rPr>
          <w:rStyle w:val="ui-provider"/>
          <w:rFonts w:asciiTheme="majorHAnsi" w:hAnsiTheme="majorHAnsi"/>
        </w:rPr>
        <w:t>À la date de rédaction du présent document, aucune observation de navire n'avait été signalée en 2026.</w:t>
      </w:r>
    </w:p>
    <w:p w14:paraId="1C82F605" w14:textId="77777777" w:rsidR="0050673F" w:rsidRPr="00582ECD" w:rsidRDefault="0050673F" w:rsidP="00B66704">
      <w:pPr>
        <w:jc w:val="both"/>
        <w:rPr>
          <w:rFonts w:asciiTheme="majorHAnsi" w:hAnsiTheme="majorHAnsi"/>
        </w:rPr>
      </w:pPr>
    </w:p>
    <w:p w14:paraId="4E77701D" w14:textId="3E58172F" w:rsidR="000C3FE0" w:rsidRPr="00582ECD" w:rsidRDefault="000C3FE0" w:rsidP="00B66704">
      <w:pPr>
        <w:jc w:val="both"/>
        <w:rPr>
          <w:rFonts w:asciiTheme="majorHAnsi" w:hAnsiTheme="majorHAnsi"/>
          <w:iCs/>
        </w:rPr>
      </w:pPr>
      <w:r w:rsidRPr="00582ECD">
        <w:rPr>
          <w:rFonts w:asciiTheme="majorHAnsi" w:hAnsiTheme="majorHAnsi"/>
          <w:i/>
        </w:rPr>
        <w:t>Rec. 19-10 :</w:t>
      </w:r>
      <w:r w:rsidRPr="00582ECD">
        <w:rPr>
          <w:rFonts w:asciiTheme="majorHAnsi" w:hAnsiTheme="majorHAnsi"/>
        </w:rPr>
        <w:t xml:space="preserve"> </w:t>
      </w:r>
      <w:hyperlink r:id="rId37" w:tgtFrame="_blank" w:history="1">
        <w:r w:rsidRPr="00582ECD">
          <w:rPr>
            <w:rFonts w:asciiTheme="majorHAnsi" w:hAnsiTheme="majorHAnsi"/>
            <w:i/>
          </w:rPr>
          <w:t>Recommandation de l’ICCAT visant à protéger la santé et à garantir la sécurité des observateurs dans le cadre des programmes régionaux d’observateurs de l'ICCAT</w:t>
        </w:r>
      </w:hyperlink>
      <w:r w:rsidRPr="00582ECD">
        <w:rPr>
          <w:rFonts w:asciiTheme="majorHAnsi" w:hAnsiTheme="majorHAnsi"/>
          <w:i/>
        </w:rPr>
        <w:t xml:space="preserve"> </w:t>
      </w:r>
    </w:p>
    <w:p w14:paraId="5714DF27" w14:textId="77777777" w:rsidR="000C3FE0" w:rsidRPr="00582ECD" w:rsidRDefault="000C3FE0" w:rsidP="00B66704">
      <w:pPr>
        <w:jc w:val="both"/>
        <w:rPr>
          <w:rFonts w:asciiTheme="majorHAnsi" w:hAnsiTheme="majorHAnsi"/>
          <w:iCs/>
        </w:rPr>
      </w:pPr>
    </w:p>
    <w:p w14:paraId="602760F3" w14:textId="2DBD5692" w:rsidR="000C3FE0" w:rsidRPr="00582ECD" w:rsidRDefault="004B0190" w:rsidP="00B66704">
      <w:pPr>
        <w:jc w:val="both"/>
        <w:rPr>
          <w:rFonts w:asciiTheme="majorHAnsi" w:hAnsiTheme="majorHAnsi"/>
        </w:rPr>
      </w:pPr>
      <w:r w:rsidRPr="00582ECD">
        <w:rPr>
          <w:rFonts w:asciiTheme="majorHAnsi" w:hAnsiTheme="majorHAnsi"/>
        </w:rPr>
        <w:t xml:space="preserve">Jusqu’à présent, </w:t>
      </w:r>
      <w:hyperlink r:id="rId38" w:history="1">
        <w:r w:rsidRPr="007F70D0">
          <w:rPr>
            <w:rStyle w:val="Hyperlink"/>
            <w:rFonts w:asciiTheme="majorHAnsi" w:hAnsiTheme="majorHAnsi"/>
            <w:color w:val="auto"/>
            <w:u w:val="none"/>
          </w:rPr>
          <w:t xml:space="preserve">19 </w:t>
        </w:r>
        <w:r w:rsidRPr="00582ECD">
          <w:rPr>
            <w:rStyle w:val="Hyperlink"/>
            <w:rFonts w:asciiTheme="majorHAnsi" w:hAnsiTheme="majorHAnsi"/>
            <w:u w:val="none"/>
          </w:rPr>
          <w:t xml:space="preserve">plans d'action d'urgence </w:t>
        </w:r>
      </w:hyperlink>
      <w:r w:rsidRPr="00582ECD">
        <w:rPr>
          <w:rFonts w:asciiTheme="majorHAnsi" w:hAnsiTheme="majorHAnsi"/>
        </w:rPr>
        <w:t xml:space="preserve"> ont été reçus et publiés.</w:t>
      </w:r>
    </w:p>
    <w:p w14:paraId="42241013" w14:textId="77777777" w:rsidR="004B0190" w:rsidRPr="00582ECD" w:rsidRDefault="004B0190" w:rsidP="00820485">
      <w:pPr>
        <w:jc w:val="both"/>
        <w:rPr>
          <w:rFonts w:asciiTheme="majorHAnsi" w:hAnsiTheme="majorHAnsi"/>
          <w:iCs/>
        </w:rPr>
      </w:pPr>
    </w:p>
    <w:p w14:paraId="4625079C" w14:textId="77777777" w:rsidR="003A2E70" w:rsidRPr="00582ECD" w:rsidRDefault="003A2E70" w:rsidP="00820485">
      <w:pPr>
        <w:jc w:val="both"/>
        <w:rPr>
          <w:rFonts w:asciiTheme="majorHAnsi" w:hAnsiTheme="majorHAnsi"/>
          <w:iCs/>
        </w:rPr>
      </w:pPr>
    </w:p>
    <w:p w14:paraId="42A88212" w14:textId="77777777" w:rsidR="00D06415" w:rsidRPr="00582ECD" w:rsidRDefault="00D06415">
      <w:pPr>
        <w:widowControl/>
        <w:autoSpaceDE/>
        <w:autoSpaceDN/>
        <w:adjustRightInd/>
        <w:rPr>
          <w:rFonts w:asciiTheme="majorHAnsi" w:hAnsiTheme="majorHAnsi"/>
          <w:b/>
          <w:bCs/>
        </w:rPr>
      </w:pPr>
      <w:r w:rsidRPr="00582ECD">
        <w:rPr>
          <w:rFonts w:asciiTheme="majorHAnsi" w:hAnsiTheme="majorHAnsi"/>
        </w:rPr>
        <w:br w:type="page"/>
      </w:r>
    </w:p>
    <w:p w14:paraId="0DA69D91" w14:textId="126EE088" w:rsidR="00F225F3" w:rsidRPr="00582ECD" w:rsidRDefault="00F225F3" w:rsidP="00820485">
      <w:pPr>
        <w:pStyle w:val="Heading7"/>
        <w:ind w:firstLine="0"/>
        <w:rPr>
          <w:rFonts w:asciiTheme="majorHAnsi" w:hAnsiTheme="majorHAnsi"/>
        </w:rPr>
      </w:pPr>
      <w:r w:rsidRPr="00582ECD">
        <w:rPr>
          <w:rFonts w:asciiTheme="majorHAnsi" w:hAnsiTheme="majorHAnsi"/>
        </w:rPr>
        <w:lastRenderedPageBreak/>
        <w:t>SANC - SANCTIONS, MESURES LIÉES AU COMMERCE</w:t>
      </w:r>
    </w:p>
    <w:p w14:paraId="4BF77A39" w14:textId="77777777" w:rsidR="00F225F3" w:rsidRPr="00582ECD" w:rsidRDefault="00F225F3" w:rsidP="00820485">
      <w:pPr>
        <w:tabs>
          <w:tab w:val="left" w:pos="1276"/>
          <w:tab w:val="left" w:pos="1418"/>
          <w:tab w:val="left" w:leader="dot" w:pos="8222"/>
          <w:tab w:val="right" w:pos="8647"/>
        </w:tabs>
        <w:ind w:firstLine="425"/>
        <w:rPr>
          <w:rFonts w:asciiTheme="majorHAnsi" w:hAnsiTheme="majorHAnsi"/>
          <w:strike/>
        </w:rPr>
      </w:pPr>
    </w:p>
    <w:p w14:paraId="7018BF89" w14:textId="75233B92" w:rsidR="00F225F3" w:rsidRPr="00582ECD" w:rsidRDefault="006F1327" w:rsidP="00820485">
      <w:pPr>
        <w:tabs>
          <w:tab w:val="left" w:pos="1276"/>
          <w:tab w:val="left" w:pos="1418"/>
          <w:tab w:val="left" w:leader="dot" w:pos="8222"/>
          <w:tab w:val="right" w:pos="8647"/>
        </w:tabs>
        <w:rPr>
          <w:rFonts w:asciiTheme="majorHAnsi" w:hAnsiTheme="majorHAnsi"/>
        </w:rPr>
      </w:pPr>
      <w:r w:rsidRPr="00582ECD">
        <w:rPr>
          <w:rFonts w:asciiTheme="majorHAnsi" w:hAnsiTheme="majorHAnsi"/>
        </w:rPr>
        <w:t>Aucune mesure actuellement active.</w:t>
      </w:r>
    </w:p>
    <w:p w14:paraId="0078DB04" w14:textId="77777777" w:rsidR="00CE1AD3" w:rsidRPr="00582ECD" w:rsidRDefault="00CE1AD3" w:rsidP="00820485">
      <w:pPr>
        <w:tabs>
          <w:tab w:val="left" w:pos="1276"/>
          <w:tab w:val="left" w:pos="1418"/>
          <w:tab w:val="left" w:leader="dot" w:pos="8222"/>
          <w:tab w:val="right" w:pos="8647"/>
        </w:tabs>
        <w:ind w:firstLine="425"/>
        <w:rPr>
          <w:rFonts w:asciiTheme="majorHAnsi" w:hAnsiTheme="majorHAnsi"/>
        </w:rPr>
      </w:pPr>
    </w:p>
    <w:p w14:paraId="08DA932A" w14:textId="77777777" w:rsidR="000371A1" w:rsidRPr="00582ECD" w:rsidRDefault="000371A1" w:rsidP="00820485">
      <w:pPr>
        <w:tabs>
          <w:tab w:val="left" w:pos="1276"/>
          <w:tab w:val="left" w:pos="1418"/>
          <w:tab w:val="left" w:leader="dot" w:pos="8222"/>
          <w:tab w:val="right" w:pos="8647"/>
        </w:tabs>
        <w:ind w:firstLine="425"/>
        <w:rPr>
          <w:rFonts w:asciiTheme="majorHAnsi" w:hAnsiTheme="majorHAnsi"/>
        </w:rPr>
      </w:pPr>
    </w:p>
    <w:p w14:paraId="3776DFD3" w14:textId="77777777" w:rsidR="00F225F3" w:rsidRPr="00582ECD" w:rsidRDefault="00F225F3" w:rsidP="00820485">
      <w:pPr>
        <w:pStyle w:val="Heading7"/>
        <w:ind w:firstLine="0"/>
        <w:rPr>
          <w:rFonts w:asciiTheme="majorHAnsi" w:hAnsiTheme="majorHAnsi"/>
        </w:rPr>
      </w:pPr>
      <w:r w:rsidRPr="00582ECD">
        <w:rPr>
          <w:rFonts w:asciiTheme="majorHAnsi" w:hAnsiTheme="majorHAnsi"/>
        </w:rPr>
        <w:t xml:space="preserve">SDP - PROGRAMMES DE DOCUMENTS STATISTIQUES </w:t>
      </w:r>
    </w:p>
    <w:p w14:paraId="66758468" w14:textId="77777777" w:rsidR="00F225F3" w:rsidRPr="00582ECD" w:rsidRDefault="00F225F3" w:rsidP="00820485">
      <w:pPr>
        <w:tabs>
          <w:tab w:val="left" w:pos="1276"/>
          <w:tab w:val="left" w:pos="1418"/>
          <w:tab w:val="left" w:leader="dot" w:pos="8222"/>
          <w:tab w:val="right" w:pos="8647"/>
        </w:tabs>
        <w:ind w:firstLine="425"/>
        <w:rPr>
          <w:rFonts w:asciiTheme="majorHAnsi" w:hAnsiTheme="majorHAnsi"/>
        </w:rPr>
      </w:pPr>
    </w:p>
    <w:p w14:paraId="45657E85" w14:textId="6ADF1040" w:rsidR="00F225F3" w:rsidRPr="00582ECD" w:rsidRDefault="00F225F3" w:rsidP="00820485">
      <w:pPr>
        <w:tabs>
          <w:tab w:val="left" w:pos="1276"/>
          <w:tab w:val="left" w:pos="1418"/>
          <w:tab w:val="left" w:leader="dot" w:pos="8222"/>
          <w:tab w:val="right" w:pos="8647"/>
        </w:tabs>
        <w:rPr>
          <w:rFonts w:asciiTheme="majorHAnsi" w:hAnsiTheme="majorHAnsi"/>
          <w:i/>
        </w:rPr>
      </w:pPr>
      <w:r w:rsidRPr="00582ECD">
        <w:rPr>
          <w:rFonts w:asciiTheme="majorHAnsi" w:hAnsiTheme="majorHAnsi"/>
          <w:i/>
        </w:rPr>
        <w:t xml:space="preserve">Rec. 01-21 : Recommandation de l’ICCAT concernant le Programme ICCAT de Document statistique thon obèse </w:t>
      </w:r>
    </w:p>
    <w:p w14:paraId="7CFC3D0E" w14:textId="77777777" w:rsidR="003A2E70" w:rsidRPr="00582ECD" w:rsidRDefault="003A2E70" w:rsidP="003A2E70">
      <w:pPr>
        <w:tabs>
          <w:tab w:val="left" w:pos="1276"/>
          <w:tab w:val="left" w:pos="1418"/>
          <w:tab w:val="left" w:leader="dot" w:pos="8222"/>
          <w:tab w:val="right" w:pos="8647"/>
        </w:tabs>
        <w:rPr>
          <w:rFonts w:asciiTheme="majorHAnsi" w:hAnsiTheme="majorHAnsi"/>
          <w:i/>
        </w:rPr>
      </w:pPr>
    </w:p>
    <w:p w14:paraId="6968BE4F" w14:textId="0690D306" w:rsidR="0086709D" w:rsidRPr="00582ECD" w:rsidRDefault="00882FCC" w:rsidP="003A2E70">
      <w:pPr>
        <w:tabs>
          <w:tab w:val="left" w:pos="1276"/>
          <w:tab w:val="left" w:pos="1418"/>
          <w:tab w:val="left" w:leader="dot" w:pos="8222"/>
          <w:tab w:val="right" w:pos="8647"/>
        </w:tabs>
        <w:jc w:val="both"/>
        <w:rPr>
          <w:rFonts w:asciiTheme="majorHAnsi" w:hAnsiTheme="majorHAnsi"/>
        </w:rPr>
      </w:pPr>
      <w:r w:rsidRPr="00582ECD">
        <w:rPr>
          <w:rFonts w:asciiTheme="majorHAnsi" w:hAnsiTheme="majorHAnsi"/>
        </w:rPr>
        <w:t xml:space="preserve">Des informations peuvent être trouvées dans le "Rapport du Secrétariat de l'ICCAT au Groupe de travail permanent pour l'amélioration des statistiques et des mesures de conservation de l'ICCAT (PWG)" [PWG_401/2026] et le " Rapport de 2026 du Secrétariat de l'ICCAT sur la recherche et les statistiques " [PLE_105/2026]. </w:t>
      </w:r>
    </w:p>
    <w:p w14:paraId="7A03F80A" w14:textId="77777777" w:rsidR="0086709D" w:rsidRPr="00582ECD" w:rsidRDefault="0086709D" w:rsidP="00820485">
      <w:pPr>
        <w:tabs>
          <w:tab w:val="left" w:pos="1276"/>
          <w:tab w:val="left" w:pos="1418"/>
          <w:tab w:val="left" w:leader="dot" w:pos="8222"/>
          <w:tab w:val="right" w:pos="8647"/>
        </w:tabs>
        <w:ind w:firstLine="426"/>
        <w:rPr>
          <w:rFonts w:asciiTheme="majorHAnsi" w:hAnsiTheme="majorHAnsi"/>
        </w:rPr>
      </w:pPr>
    </w:p>
    <w:p w14:paraId="0A1DA1FB" w14:textId="0A7F5001" w:rsidR="00F225F3" w:rsidRPr="00582ECD" w:rsidRDefault="00F225F3" w:rsidP="00820485">
      <w:pPr>
        <w:tabs>
          <w:tab w:val="left" w:pos="1276"/>
          <w:tab w:val="left" w:pos="1418"/>
          <w:tab w:val="left" w:leader="dot" w:pos="8222"/>
          <w:tab w:val="right" w:pos="8647"/>
        </w:tabs>
        <w:rPr>
          <w:rFonts w:asciiTheme="majorHAnsi" w:hAnsiTheme="majorHAnsi"/>
          <w:i/>
        </w:rPr>
      </w:pPr>
      <w:r w:rsidRPr="00582ECD">
        <w:rPr>
          <w:rFonts w:asciiTheme="majorHAnsi" w:hAnsiTheme="majorHAnsi"/>
          <w:i/>
        </w:rPr>
        <w:t>Rec. 01-22 : Recommandation de l’ICCAT portant création d’un Programme de Document Statistique Espadon</w:t>
      </w:r>
    </w:p>
    <w:p w14:paraId="2DDBC69E" w14:textId="77777777" w:rsidR="009E23A8" w:rsidRPr="00582ECD" w:rsidRDefault="009E23A8" w:rsidP="00820485">
      <w:pPr>
        <w:tabs>
          <w:tab w:val="left" w:pos="1276"/>
          <w:tab w:val="left" w:pos="1418"/>
          <w:tab w:val="left" w:leader="dot" w:pos="8222"/>
          <w:tab w:val="right" w:pos="8647"/>
        </w:tabs>
        <w:ind w:firstLine="426"/>
        <w:rPr>
          <w:rFonts w:asciiTheme="majorHAnsi" w:hAnsiTheme="majorHAnsi"/>
          <w:i/>
        </w:rPr>
      </w:pPr>
    </w:p>
    <w:p w14:paraId="635F6A39" w14:textId="099CB0F2" w:rsidR="00BB0F5B" w:rsidRPr="00582ECD" w:rsidRDefault="004B0CAA" w:rsidP="00820485">
      <w:pPr>
        <w:tabs>
          <w:tab w:val="left" w:pos="300"/>
          <w:tab w:val="left" w:pos="700"/>
        </w:tabs>
        <w:jc w:val="both"/>
        <w:rPr>
          <w:rFonts w:asciiTheme="majorHAnsi" w:hAnsiTheme="majorHAnsi"/>
          <w:i/>
        </w:rPr>
      </w:pPr>
      <w:r w:rsidRPr="00582ECD">
        <w:rPr>
          <w:rFonts w:asciiTheme="majorHAnsi" w:hAnsiTheme="majorHAnsi"/>
        </w:rPr>
        <w:t xml:space="preserve">Les importations et réexportations de thon obèse et d’espadon de pavillon inconnu et/ou de zone inconnue continuent à être déclarées par une CPC. </w:t>
      </w:r>
    </w:p>
    <w:p w14:paraId="75E69702" w14:textId="77777777" w:rsidR="00E87DB7" w:rsidRPr="00582ECD" w:rsidRDefault="00E87DB7" w:rsidP="00820485">
      <w:pPr>
        <w:tabs>
          <w:tab w:val="left" w:pos="1276"/>
          <w:tab w:val="left" w:pos="1418"/>
          <w:tab w:val="left" w:leader="dot" w:pos="8222"/>
          <w:tab w:val="right" w:pos="8647"/>
        </w:tabs>
        <w:ind w:firstLine="426"/>
        <w:rPr>
          <w:rFonts w:asciiTheme="majorHAnsi" w:hAnsiTheme="majorHAnsi"/>
        </w:rPr>
      </w:pPr>
    </w:p>
    <w:p w14:paraId="2E0CE474" w14:textId="3151C01A" w:rsidR="00921BFC" w:rsidRPr="00582ECD" w:rsidRDefault="009E23A8" w:rsidP="00820485">
      <w:pPr>
        <w:tabs>
          <w:tab w:val="left" w:pos="1276"/>
          <w:tab w:val="left" w:pos="1418"/>
          <w:tab w:val="left" w:leader="dot" w:pos="8222"/>
          <w:tab w:val="right" w:pos="8647"/>
        </w:tabs>
        <w:jc w:val="both"/>
        <w:rPr>
          <w:rFonts w:asciiTheme="majorHAnsi" w:hAnsiTheme="majorHAnsi"/>
        </w:rPr>
      </w:pPr>
      <w:r w:rsidRPr="00582ECD">
        <w:rPr>
          <w:rFonts w:asciiTheme="majorHAnsi" w:hAnsiTheme="majorHAnsi"/>
        </w:rPr>
        <w:t xml:space="preserve">Des informations peuvent être trouvées dans le "Rapport du Secrétariat de l'ICCAT au Groupe de travail permanent pour l'amélioration des statistiques et des mesures de conservation de l'ICCAT (PWG)" [PWG_401/2026] et le " Rapport de 2026 du Secrétariat de l'ICCAT sur la recherche et les statistiques " [PLE_105/2026]. </w:t>
      </w:r>
    </w:p>
    <w:p w14:paraId="40E70026" w14:textId="77777777" w:rsidR="00D06415" w:rsidRPr="00582ECD" w:rsidRDefault="00D06415" w:rsidP="00820485">
      <w:pPr>
        <w:tabs>
          <w:tab w:val="left" w:pos="1276"/>
          <w:tab w:val="left" w:pos="1418"/>
          <w:tab w:val="left" w:leader="dot" w:pos="8222"/>
          <w:tab w:val="right" w:pos="8647"/>
        </w:tabs>
        <w:jc w:val="both"/>
        <w:rPr>
          <w:rFonts w:asciiTheme="majorHAnsi" w:hAnsiTheme="majorHAnsi"/>
        </w:rPr>
      </w:pPr>
    </w:p>
    <w:p w14:paraId="56631E50" w14:textId="78FD83EC" w:rsidR="000A08DF" w:rsidRPr="00582ECD" w:rsidRDefault="000A08DF" w:rsidP="000A08DF">
      <w:pPr>
        <w:tabs>
          <w:tab w:val="left" w:pos="1276"/>
          <w:tab w:val="left" w:pos="1418"/>
          <w:tab w:val="left" w:leader="dot" w:pos="8222"/>
          <w:tab w:val="right" w:pos="8647"/>
        </w:tabs>
        <w:jc w:val="both"/>
        <w:rPr>
          <w:rFonts w:asciiTheme="majorHAnsi" w:hAnsiTheme="majorHAnsi"/>
          <w:i/>
        </w:rPr>
      </w:pPr>
      <w:r w:rsidRPr="00582ECD">
        <w:rPr>
          <w:rFonts w:asciiTheme="majorHAnsi" w:hAnsiTheme="majorHAnsi"/>
          <w:i/>
        </w:rPr>
        <w:t>Rec. 23-21 : Recommandation de l’ICCAT amendant et remplaçant la Recommandation 18-13 sur un programme ICCAT de documentation des captures de thon rouge</w:t>
      </w:r>
    </w:p>
    <w:p w14:paraId="7E9D6D63" w14:textId="77777777" w:rsidR="000A08DF" w:rsidRPr="00582ECD" w:rsidRDefault="000A08DF" w:rsidP="00820485">
      <w:pPr>
        <w:tabs>
          <w:tab w:val="left" w:pos="1276"/>
          <w:tab w:val="left" w:pos="1418"/>
          <w:tab w:val="left" w:leader="dot" w:pos="8222"/>
          <w:tab w:val="right" w:pos="8647"/>
        </w:tabs>
        <w:jc w:val="both"/>
        <w:rPr>
          <w:rFonts w:asciiTheme="majorHAnsi" w:hAnsiTheme="majorHAnsi"/>
          <w:i/>
        </w:rPr>
      </w:pPr>
    </w:p>
    <w:p w14:paraId="3F7252B7" w14:textId="63E44E53" w:rsidR="00CB3F15" w:rsidRPr="00582ECD" w:rsidRDefault="00823FCE" w:rsidP="00820485">
      <w:pPr>
        <w:jc w:val="both"/>
        <w:rPr>
          <w:rFonts w:asciiTheme="majorHAnsi" w:hAnsiTheme="majorHAnsi"/>
        </w:rPr>
      </w:pPr>
      <w:r w:rsidRPr="00582ECD">
        <w:rPr>
          <w:rFonts w:asciiTheme="majorHAnsi" w:hAnsiTheme="majorHAnsi"/>
        </w:rPr>
        <w:t>Veuillez consulter le "Rapport du Secrétariat au Groupe de travail permanent pour l'amélioration des statistiques et des mesures de conservation de l'ICCAT (PWG)" [PWG_401/2026] pour obtenir  des informations sur la mise en œuvre de la Rec. 23-21 dans le cadre du système eBCD. Il convient aussi de se reporter à la Rec. 22-16 ci-dessous.</w:t>
      </w:r>
    </w:p>
    <w:p w14:paraId="2B944DB7" w14:textId="650737A6" w:rsidR="00695C7E" w:rsidRPr="00582ECD" w:rsidRDefault="00695C7E" w:rsidP="00820485">
      <w:pPr>
        <w:jc w:val="both"/>
        <w:rPr>
          <w:rFonts w:asciiTheme="majorHAnsi" w:hAnsiTheme="majorHAnsi"/>
        </w:rPr>
      </w:pPr>
    </w:p>
    <w:p w14:paraId="0E627315" w14:textId="481BDEA3" w:rsidR="00A8171F" w:rsidRPr="00582ECD" w:rsidRDefault="0030656A" w:rsidP="005B120F">
      <w:pPr>
        <w:tabs>
          <w:tab w:val="left" w:pos="1276"/>
          <w:tab w:val="left" w:pos="1418"/>
          <w:tab w:val="left" w:leader="dot" w:pos="8222"/>
          <w:tab w:val="right" w:pos="8647"/>
        </w:tabs>
        <w:jc w:val="both"/>
        <w:rPr>
          <w:rFonts w:asciiTheme="majorHAnsi" w:hAnsiTheme="majorHAnsi"/>
          <w:bCs/>
          <w:i/>
          <w:iCs/>
        </w:rPr>
      </w:pPr>
      <w:r w:rsidRPr="00582ECD">
        <w:rPr>
          <w:rFonts w:asciiTheme="majorHAnsi" w:hAnsiTheme="majorHAnsi"/>
          <w:i/>
        </w:rPr>
        <w:t>Rec. 24-16 : Recommandation de l’ICCAT amendant la Recommandation 22-16 amendant la Recommandation 21-18 concernant l’application du système eBCD</w:t>
      </w:r>
    </w:p>
    <w:p w14:paraId="2477CFE0" w14:textId="77777777" w:rsidR="00E0556E" w:rsidRPr="00582ECD" w:rsidRDefault="00E0556E" w:rsidP="005B120F">
      <w:pPr>
        <w:tabs>
          <w:tab w:val="left" w:pos="1276"/>
          <w:tab w:val="left" w:pos="1418"/>
          <w:tab w:val="left" w:leader="dot" w:pos="8222"/>
          <w:tab w:val="right" w:pos="8647"/>
        </w:tabs>
        <w:jc w:val="both"/>
        <w:rPr>
          <w:rFonts w:asciiTheme="majorHAnsi" w:hAnsiTheme="majorHAnsi"/>
          <w:i/>
        </w:rPr>
      </w:pPr>
    </w:p>
    <w:p w14:paraId="2F5F2911" w14:textId="75DA2BB3" w:rsidR="000A49E1" w:rsidRPr="00582ECD" w:rsidRDefault="00EB5A53" w:rsidP="005E2BDD">
      <w:pPr>
        <w:widowControl/>
        <w:autoSpaceDE/>
        <w:autoSpaceDN/>
        <w:adjustRightInd/>
        <w:jc w:val="both"/>
        <w:rPr>
          <w:rFonts w:asciiTheme="majorHAnsi" w:hAnsiTheme="majorHAnsi"/>
          <w:bCs/>
        </w:rPr>
      </w:pPr>
      <w:r w:rsidRPr="00582ECD">
        <w:rPr>
          <w:rFonts w:asciiTheme="majorHAnsi" w:hAnsiTheme="majorHAnsi"/>
        </w:rPr>
        <w:t xml:space="preserve">Conformément aux dispositions de l’annexe 3 de la Rec. 24-16, en dehors des heures de bureau du Secrétariat et des heures d'assistance technique comprises dans le contrat avec le consortium, toute CPC peut auto-enregistrer un incident sur la </w:t>
      </w:r>
      <w:hyperlink r:id="rId39" w:history="1">
        <w:r w:rsidRPr="00582ECD">
          <w:rPr>
            <w:rStyle w:val="Hyperlink"/>
            <w:rFonts w:asciiTheme="majorHAnsi" w:hAnsiTheme="majorHAnsi"/>
            <w:u w:val="none"/>
          </w:rPr>
          <w:t>page web de l’ICCAT</w:t>
        </w:r>
      </w:hyperlink>
      <w:r w:rsidRPr="00582ECD">
        <w:rPr>
          <w:rFonts w:asciiTheme="majorHAnsi" w:hAnsiTheme="majorHAnsi"/>
        </w:rPr>
        <w:t xml:space="preserve"> </w:t>
      </w:r>
      <w:proofErr w:type="spellStart"/>
      <w:r w:rsidRPr="00582ECD">
        <w:rPr>
          <w:rFonts w:asciiTheme="majorHAnsi" w:hAnsiTheme="majorHAnsi"/>
        </w:rPr>
        <w:t>tafin</w:t>
      </w:r>
      <w:proofErr w:type="spellEnd"/>
      <w:r w:rsidRPr="00582ECD">
        <w:rPr>
          <w:rFonts w:asciiTheme="majorHAnsi" w:hAnsiTheme="majorHAnsi"/>
        </w:rPr>
        <w:t xml:space="preserve"> d’informer toutes les CPC de l’emploi temporaire du BCD sur </w:t>
      </w:r>
      <w:proofErr w:type="gramStart"/>
      <w:r w:rsidRPr="00582ECD">
        <w:rPr>
          <w:rFonts w:asciiTheme="majorHAnsi" w:hAnsiTheme="majorHAnsi"/>
        </w:rPr>
        <w:t>support papier</w:t>
      </w:r>
      <w:proofErr w:type="gramEnd"/>
      <w:r w:rsidRPr="00582ECD">
        <w:rPr>
          <w:rFonts w:asciiTheme="majorHAnsi" w:hAnsiTheme="majorHAnsi"/>
        </w:rPr>
        <w:t>. De plus amples informations sur les systèmes eBCD figurent dans le "Rapport du Secrétariat au Groupe de travail permanent pour l'amélioration des statistiques et des mesures de conservation de l'ICCAT (PWG)" [PWG_401/2026] et le "Rapport de la première réunion du Groupe de travail CDS"</w:t>
      </w:r>
      <w:r w:rsidRPr="00582ECD">
        <w:rPr>
          <w:rFonts w:asciiTheme="majorHAnsi" w:hAnsiTheme="majorHAnsi"/>
          <w:color w:val="000000"/>
          <w:sz w:val="22"/>
        </w:rPr>
        <w:t xml:space="preserve"> [</w:t>
      </w:r>
      <w:r w:rsidRPr="00582ECD">
        <w:rPr>
          <w:rFonts w:asciiTheme="majorHAnsi" w:hAnsiTheme="majorHAnsi"/>
        </w:rPr>
        <w:t>PWG_403/2026].</w:t>
      </w:r>
    </w:p>
    <w:p w14:paraId="475C69EB" w14:textId="3F58396F" w:rsidR="000F6192" w:rsidRPr="00582ECD" w:rsidRDefault="000F6192" w:rsidP="00820485">
      <w:pPr>
        <w:tabs>
          <w:tab w:val="left" w:pos="1276"/>
          <w:tab w:val="left" w:pos="1418"/>
          <w:tab w:val="left" w:leader="dot" w:pos="8222"/>
          <w:tab w:val="right" w:pos="8647"/>
        </w:tabs>
        <w:jc w:val="both"/>
        <w:rPr>
          <w:rFonts w:asciiTheme="majorHAnsi" w:hAnsiTheme="majorHAnsi"/>
          <w:bCs/>
        </w:rPr>
      </w:pPr>
    </w:p>
    <w:p w14:paraId="36A021BB" w14:textId="291C2A55" w:rsidR="000F6192" w:rsidRPr="00582ECD" w:rsidRDefault="000F6192" w:rsidP="00FC15C7">
      <w:pPr>
        <w:jc w:val="both"/>
        <w:rPr>
          <w:rFonts w:asciiTheme="majorHAnsi" w:hAnsiTheme="majorHAnsi"/>
        </w:rPr>
      </w:pPr>
      <w:bookmarkStart w:id="29" w:name="_Hlk181179624"/>
      <w:r w:rsidRPr="00582ECD">
        <w:rPr>
          <w:rFonts w:asciiTheme="majorHAnsi" w:hAnsiTheme="majorHAnsi"/>
        </w:rPr>
        <w:t>Le rapport sur la dérogation autorisée en vertu du paragraphe 5 b) est disponible sous le titre «  Rapport sur la mise en œuvre de la dérogation de validation des BCD pour les opérations commerciales de thon rouge entre les États membres de l'UE en 2025 (paragraphe 5b de la Recommandation 24-16 de l’ICCAT)  » [PWG_410/2026].</w:t>
      </w:r>
    </w:p>
    <w:bookmarkEnd w:id="29"/>
    <w:p w14:paraId="73A00A01" w14:textId="77777777" w:rsidR="00182215" w:rsidRPr="00582ECD" w:rsidRDefault="00182215" w:rsidP="00820485">
      <w:pPr>
        <w:tabs>
          <w:tab w:val="left" w:pos="1276"/>
          <w:tab w:val="left" w:pos="1418"/>
          <w:tab w:val="left" w:leader="dot" w:pos="8222"/>
          <w:tab w:val="right" w:pos="8647"/>
        </w:tabs>
        <w:jc w:val="both"/>
        <w:rPr>
          <w:rFonts w:asciiTheme="majorHAnsi" w:hAnsiTheme="majorHAnsi"/>
          <w:b/>
          <w:bCs/>
        </w:rPr>
      </w:pPr>
    </w:p>
    <w:p w14:paraId="1E6E58D3" w14:textId="77777777" w:rsidR="005E2BDD" w:rsidRPr="00582ECD" w:rsidRDefault="005E2BDD" w:rsidP="00820485">
      <w:pPr>
        <w:tabs>
          <w:tab w:val="left" w:pos="1276"/>
          <w:tab w:val="left" w:pos="1418"/>
          <w:tab w:val="left" w:leader="dot" w:pos="8222"/>
          <w:tab w:val="right" w:pos="8647"/>
        </w:tabs>
        <w:jc w:val="both"/>
        <w:rPr>
          <w:rFonts w:asciiTheme="majorHAnsi" w:hAnsiTheme="majorHAnsi"/>
          <w:b/>
          <w:bCs/>
        </w:rPr>
      </w:pPr>
    </w:p>
    <w:p w14:paraId="0397E024" w14:textId="5407CDFB" w:rsidR="00F225F3" w:rsidRPr="00582ECD" w:rsidRDefault="00F225F3" w:rsidP="00820485">
      <w:pPr>
        <w:tabs>
          <w:tab w:val="left" w:pos="1276"/>
          <w:tab w:val="left" w:pos="1418"/>
          <w:tab w:val="left" w:leader="dot" w:pos="8222"/>
          <w:tab w:val="right" w:pos="8647"/>
        </w:tabs>
        <w:jc w:val="both"/>
        <w:rPr>
          <w:rFonts w:asciiTheme="majorHAnsi" w:hAnsiTheme="majorHAnsi"/>
          <w:b/>
          <w:bCs/>
        </w:rPr>
      </w:pPr>
      <w:r w:rsidRPr="00582ECD">
        <w:rPr>
          <w:rFonts w:asciiTheme="majorHAnsi" w:hAnsiTheme="majorHAnsi"/>
          <w:b/>
        </w:rPr>
        <w:t>TOR - TERMES DE RÉFÉRENCE</w:t>
      </w:r>
    </w:p>
    <w:p w14:paraId="747E81D8" w14:textId="77777777" w:rsidR="00C04611" w:rsidRPr="00582ECD" w:rsidRDefault="00C04611" w:rsidP="00820485">
      <w:pPr>
        <w:tabs>
          <w:tab w:val="left" w:pos="1276"/>
          <w:tab w:val="left" w:pos="1418"/>
          <w:tab w:val="left" w:leader="dot" w:pos="8222"/>
          <w:tab w:val="right" w:pos="8647"/>
        </w:tabs>
        <w:ind w:firstLine="425"/>
        <w:rPr>
          <w:rFonts w:asciiTheme="majorHAnsi" w:hAnsiTheme="majorHAnsi"/>
        </w:rPr>
      </w:pPr>
    </w:p>
    <w:p w14:paraId="34482139" w14:textId="0D041944" w:rsidR="00B15954" w:rsidRPr="00582ECD" w:rsidRDefault="00305BFC" w:rsidP="00820485">
      <w:pPr>
        <w:tabs>
          <w:tab w:val="left" w:pos="1276"/>
          <w:tab w:val="left" w:pos="1418"/>
          <w:tab w:val="left" w:leader="dot" w:pos="8222"/>
          <w:tab w:val="right" w:pos="8647"/>
        </w:tabs>
        <w:rPr>
          <w:rFonts w:asciiTheme="majorHAnsi" w:hAnsiTheme="majorHAnsi"/>
          <w:i/>
          <w:iCs/>
        </w:rPr>
      </w:pPr>
      <w:r w:rsidRPr="00582ECD">
        <w:rPr>
          <w:rFonts w:asciiTheme="majorHAnsi" w:hAnsiTheme="majorHAnsi"/>
          <w:i/>
        </w:rPr>
        <w:t>Rec. 16-19 : Recommandation de l’ICCAT concernant l'élaboration d'un système de déclaration en ligne</w:t>
      </w:r>
    </w:p>
    <w:p w14:paraId="4E2F54F5" w14:textId="77777777" w:rsidR="002933EB" w:rsidRPr="00582ECD" w:rsidRDefault="002933EB" w:rsidP="00820485">
      <w:pPr>
        <w:tabs>
          <w:tab w:val="left" w:pos="1276"/>
          <w:tab w:val="left" w:pos="1418"/>
          <w:tab w:val="left" w:leader="dot" w:pos="8222"/>
          <w:tab w:val="right" w:pos="8647"/>
        </w:tabs>
        <w:ind w:firstLine="425"/>
        <w:rPr>
          <w:rFonts w:asciiTheme="majorHAnsi" w:hAnsiTheme="majorHAnsi"/>
        </w:rPr>
      </w:pPr>
    </w:p>
    <w:p w14:paraId="08DB1F43" w14:textId="0E63505B" w:rsidR="002933EB" w:rsidRPr="00582ECD" w:rsidRDefault="002933EB" w:rsidP="006D3B4D">
      <w:pPr>
        <w:widowControl/>
        <w:autoSpaceDE/>
        <w:autoSpaceDN/>
        <w:adjustRightInd/>
        <w:jc w:val="both"/>
        <w:rPr>
          <w:rFonts w:asciiTheme="majorHAnsi" w:hAnsiTheme="majorHAnsi"/>
          <w:bCs/>
        </w:rPr>
      </w:pPr>
      <w:r w:rsidRPr="00582ECD">
        <w:rPr>
          <w:rFonts w:asciiTheme="majorHAnsi" w:hAnsiTheme="majorHAnsi"/>
        </w:rPr>
        <w:t>Des informations sur l'état d'avancement à ce jour figurent dans le «</w:t>
      </w:r>
      <w:r w:rsidRPr="00582ECD">
        <w:rPr>
          <w:rFonts w:asciiTheme="majorHAnsi" w:hAnsiTheme="majorHAnsi"/>
          <w:color w:val="000000"/>
        </w:rPr>
        <w:t>Rapport de la réunion du Groupe de travail sur les technologies de déclaration en ligne » [</w:t>
      </w:r>
      <w:r w:rsidRPr="00582ECD">
        <w:rPr>
          <w:rFonts w:asciiTheme="majorHAnsi" w:hAnsiTheme="majorHAnsi"/>
        </w:rPr>
        <w:t xml:space="preserve">COC_302/2026], ainsi que la Réf. 23-24 ci-dessous. </w:t>
      </w:r>
    </w:p>
    <w:p w14:paraId="0C3B2F1E" w14:textId="77777777" w:rsidR="007E6579" w:rsidRPr="00582ECD" w:rsidRDefault="007E6579" w:rsidP="00820485">
      <w:pPr>
        <w:rPr>
          <w:rFonts w:asciiTheme="majorHAnsi" w:hAnsiTheme="majorHAnsi"/>
        </w:rPr>
      </w:pPr>
    </w:p>
    <w:p w14:paraId="1EB6BA27" w14:textId="77777777" w:rsidR="00D06415" w:rsidRPr="00582ECD" w:rsidRDefault="00D06415">
      <w:pPr>
        <w:widowControl/>
        <w:autoSpaceDE/>
        <w:autoSpaceDN/>
        <w:adjustRightInd/>
        <w:rPr>
          <w:rFonts w:asciiTheme="majorHAnsi" w:hAnsiTheme="majorHAnsi"/>
          <w:b/>
          <w:bCs/>
        </w:rPr>
      </w:pPr>
      <w:r w:rsidRPr="00582ECD">
        <w:rPr>
          <w:rFonts w:asciiTheme="majorHAnsi" w:hAnsiTheme="majorHAnsi"/>
        </w:rPr>
        <w:br w:type="page"/>
      </w:r>
    </w:p>
    <w:p w14:paraId="2D9EE145" w14:textId="718537B3" w:rsidR="00F225F3" w:rsidRPr="00582ECD" w:rsidRDefault="00F225F3" w:rsidP="00820485">
      <w:pPr>
        <w:pStyle w:val="Heading7"/>
        <w:ind w:firstLine="0"/>
        <w:rPr>
          <w:rFonts w:asciiTheme="majorHAnsi" w:hAnsiTheme="majorHAnsi"/>
        </w:rPr>
      </w:pPr>
      <w:r w:rsidRPr="00582ECD">
        <w:rPr>
          <w:rFonts w:asciiTheme="majorHAnsi" w:hAnsiTheme="majorHAnsi"/>
        </w:rPr>
        <w:lastRenderedPageBreak/>
        <w:t>MISC - DIVERS</w:t>
      </w:r>
    </w:p>
    <w:p w14:paraId="4334F001" w14:textId="77777777" w:rsidR="0077358A" w:rsidRPr="00582ECD" w:rsidRDefault="0077358A" w:rsidP="00820485">
      <w:pPr>
        <w:rPr>
          <w:rFonts w:asciiTheme="majorHAnsi" w:hAnsiTheme="majorHAnsi"/>
        </w:rPr>
      </w:pPr>
    </w:p>
    <w:p w14:paraId="60E82B55" w14:textId="00D41A92" w:rsidR="00F225F3" w:rsidRPr="00582ECD" w:rsidRDefault="00F225F3" w:rsidP="00820485">
      <w:pPr>
        <w:tabs>
          <w:tab w:val="left" w:pos="1276"/>
          <w:tab w:val="left" w:pos="1418"/>
          <w:tab w:val="left" w:leader="dot" w:pos="8222"/>
          <w:tab w:val="right" w:pos="8647"/>
        </w:tabs>
        <w:rPr>
          <w:rFonts w:asciiTheme="majorHAnsi" w:hAnsiTheme="majorHAnsi"/>
          <w:i/>
        </w:rPr>
      </w:pPr>
      <w:r w:rsidRPr="00582ECD">
        <w:rPr>
          <w:rFonts w:asciiTheme="majorHAnsi" w:hAnsiTheme="majorHAnsi"/>
          <w:i/>
        </w:rPr>
        <w:t>Rés. 99-07 : Résolution de l’ICCAT concernant l'amélioration des statistiques sur la pêche sportive</w:t>
      </w:r>
    </w:p>
    <w:p w14:paraId="0985BFF6" w14:textId="77777777" w:rsidR="0066284E" w:rsidRPr="00582ECD" w:rsidRDefault="0066284E" w:rsidP="00820485">
      <w:pPr>
        <w:tabs>
          <w:tab w:val="left" w:pos="1276"/>
          <w:tab w:val="left" w:pos="1418"/>
          <w:tab w:val="left" w:leader="dot" w:pos="8222"/>
          <w:tab w:val="right" w:pos="8647"/>
        </w:tabs>
        <w:rPr>
          <w:rFonts w:asciiTheme="majorHAnsi" w:hAnsiTheme="majorHAnsi"/>
          <w:i/>
        </w:rPr>
      </w:pPr>
    </w:p>
    <w:p w14:paraId="74DA6F6F" w14:textId="130E7A8B" w:rsidR="00255483" w:rsidRPr="00582ECD" w:rsidRDefault="002C6937" w:rsidP="00820485">
      <w:pPr>
        <w:tabs>
          <w:tab w:val="left" w:pos="1276"/>
          <w:tab w:val="left" w:pos="1418"/>
          <w:tab w:val="left" w:leader="dot" w:pos="8222"/>
          <w:tab w:val="right" w:pos="8647"/>
        </w:tabs>
        <w:jc w:val="both"/>
        <w:rPr>
          <w:rFonts w:asciiTheme="majorHAnsi" w:hAnsiTheme="majorHAnsi"/>
        </w:rPr>
      </w:pPr>
      <w:r w:rsidRPr="00582ECD">
        <w:rPr>
          <w:rFonts w:asciiTheme="majorHAnsi" w:hAnsiTheme="majorHAnsi"/>
        </w:rPr>
        <w:t xml:space="preserve">Les informations sont incluses dans les « Rapports annuels des CPC » (COC_301/2026) et dans les statistiques de tâche 1. Le libellé de la Résolution étant vague (« </w:t>
      </w:r>
      <w:r w:rsidRPr="00582ECD">
        <w:rPr>
          <w:rFonts w:asciiTheme="majorHAnsi" w:hAnsiTheme="majorHAnsi"/>
          <w:i/>
          <w:iCs/>
        </w:rPr>
        <w:t>chaque CPC fournira au SCRS des données spécifiques sur les espèces qui permettront à la Commission de déterminer indépendamment la magnitude de la pêche sportive de chaque espèce de thonidés et espèce voisine de l’Atlantique</w:t>
      </w:r>
      <w:r w:rsidRPr="00582ECD">
        <w:rPr>
          <w:rFonts w:asciiTheme="majorHAnsi" w:hAnsiTheme="majorHAnsi"/>
        </w:rPr>
        <w:t> »), la Commission pourrait souhaiter mieux définir les informations requises.</w:t>
      </w:r>
    </w:p>
    <w:p w14:paraId="7AF1E62A" w14:textId="2880381E" w:rsidR="007A2433" w:rsidRPr="00582ECD" w:rsidRDefault="007A2433" w:rsidP="00820485">
      <w:pPr>
        <w:tabs>
          <w:tab w:val="left" w:pos="1276"/>
          <w:tab w:val="left" w:pos="1418"/>
          <w:tab w:val="left" w:leader="dot" w:pos="8222"/>
          <w:tab w:val="right" w:pos="8647"/>
        </w:tabs>
        <w:ind w:firstLine="425"/>
        <w:jc w:val="both"/>
        <w:rPr>
          <w:rFonts w:asciiTheme="majorHAnsi" w:hAnsiTheme="majorHAnsi"/>
        </w:rPr>
      </w:pPr>
    </w:p>
    <w:p w14:paraId="78C29418" w14:textId="640C0B4F" w:rsidR="002F6ED0" w:rsidRPr="00582ECD" w:rsidRDefault="002F6ED0" w:rsidP="00820485">
      <w:pPr>
        <w:jc w:val="both"/>
        <w:rPr>
          <w:rFonts w:asciiTheme="majorHAnsi" w:hAnsiTheme="majorHAnsi"/>
          <w:iCs/>
        </w:rPr>
      </w:pPr>
      <w:r w:rsidRPr="00582ECD">
        <w:rPr>
          <w:rFonts w:asciiTheme="majorHAnsi" w:hAnsiTheme="majorHAnsi"/>
          <w:i/>
        </w:rPr>
        <w:t>Rec. 21-24 : Recommandation de l’ICCAT remplaçant la Recommandation 03-20 sur les critères visant à l’octroi du statut de Partie, Entité ou Entité de pêche non contractante coopérante à l’ICCAT</w:t>
      </w:r>
    </w:p>
    <w:p w14:paraId="1C19A691" w14:textId="77777777" w:rsidR="00F225F3" w:rsidRPr="00582ECD" w:rsidRDefault="00F225F3" w:rsidP="00820485">
      <w:pPr>
        <w:tabs>
          <w:tab w:val="left" w:pos="1276"/>
          <w:tab w:val="left" w:pos="1418"/>
          <w:tab w:val="left" w:leader="dot" w:pos="8222"/>
          <w:tab w:val="right" w:pos="8647"/>
        </w:tabs>
        <w:ind w:firstLine="425"/>
        <w:jc w:val="both"/>
        <w:rPr>
          <w:rFonts w:asciiTheme="majorHAnsi" w:hAnsiTheme="majorHAnsi"/>
        </w:rPr>
      </w:pPr>
    </w:p>
    <w:p w14:paraId="6EC18C54" w14:textId="1BA14D29" w:rsidR="00F978E7" w:rsidRPr="00582ECD" w:rsidRDefault="005C5AFA" w:rsidP="00820485">
      <w:pPr>
        <w:tabs>
          <w:tab w:val="left" w:pos="1276"/>
          <w:tab w:val="left" w:pos="1418"/>
          <w:tab w:val="left" w:leader="dot" w:pos="8222"/>
          <w:tab w:val="right" w:pos="8647"/>
        </w:tabs>
        <w:jc w:val="both"/>
        <w:rPr>
          <w:rFonts w:asciiTheme="majorHAnsi" w:hAnsiTheme="majorHAnsi"/>
        </w:rPr>
      </w:pPr>
      <w:r w:rsidRPr="00582ECD">
        <w:rPr>
          <w:rFonts w:asciiTheme="majorHAnsi" w:hAnsiTheme="majorHAnsi"/>
        </w:rPr>
        <w:t>La Bolivie, l</w:t>
      </w:r>
      <w:r w:rsidR="00C145BB">
        <w:rPr>
          <w:rFonts w:asciiTheme="majorHAnsi" w:hAnsiTheme="majorHAnsi"/>
        </w:rPr>
        <w:t>e</w:t>
      </w:r>
      <w:r w:rsidRPr="00582ECD">
        <w:rPr>
          <w:rFonts w:asciiTheme="majorHAnsi" w:hAnsiTheme="majorHAnsi"/>
        </w:rPr>
        <w:t xml:space="preserve"> Guyana, le Suriname et le Taipei chinois jouissent actuellement du statut de coopérant. L’examen de l’application par les Parties, Entités ou Entités de pêche non contractantes coopérantes est inclus dans le «  Projet de tableaux récapitulatifs de l'application » [COC_308/2026]. </w:t>
      </w:r>
    </w:p>
    <w:p w14:paraId="14621F4F" w14:textId="77777777" w:rsidR="00E87DB7" w:rsidRPr="00582ECD" w:rsidRDefault="00E87DB7" w:rsidP="00820485">
      <w:pPr>
        <w:tabs>
          <w:tab w:val="left" w:pos="1276"/>
          <w:tab w:val="left" w:pos="1418"/>
          <w:tab w:val="left" w:leader="dot" w:pos="8222"/>
          <w:tab w:val="right" w:pos="8647"/>
        </w:tabs>
        <w:jc w:val="both"/>
        <w:rPr>
          <w:rFonts w:asciiTheme="majorHAnsi" w:hAnsiTheme="majorHAnsi"/>
          <w:i/>
        </w:rPr>
      </w:pPr>
    </w:p>
    <w:p w14:paraId="20104476" w14:textId="72F3F746" w:rsidR="00035FB8" w:rsidRPr="00582ECD" w:rsidRDefault="007F3459" w:rsidP="00820485">
      <w:pPr>
        <w:tabs>
          <w:tab w:val="left" w:pos="1276"/>
          <w:tab w:val="left" w:pos="1418"/>
          <w:tab w:val="left" w:leader="dot" w:pos="8222"/>
          <w:tab w:val="right" w:pos="8647"/>
        </w:tabs>
        <w:jc w:val="both"/>
        <w:rPr>
          <w:rFonts w:asciiTheme="majorHAnsi" w:hAnsiTheme="majorHAnsi"/>
          <w:bCs/>
        </w:rPr>
      </w:pPr>
      <w:r w:rsidRPr="00582ECD">
        <w:rPr>
          <w:rFonts w:asciiTheme="majorHAnsi" w:hAnsiTheme="majorHAnsi"/>
          <w:i/>
        </w:rPr>
        <w:t xml:space="preserve">Rec. 05-09 : Recommandation de l’ICCAT sur le respect des obligations en matière de déclaration des statistiques </w:t>
      </w:r>
    </w:p>
    <w:p w14:paraId="52E6C8E7" w14:textId="77777777" w:rsidR="00F978E7" w:rsidRPr="00582ECD" w:rsidRDefault="00F978E7" w:rsidP="00820485">
      <w:pPr>
        <w:tabs>
          <w:tab w:val="left" w:pos="1276"/>
          <w:tab w:val="left" w:pos="1418"/>
          <w:tab w:val="left" w:leader="dot" w:pos="8222"/>
          <w:tab w:val="right" w:pos="8647"/>
        </w:tabs>
        <w:jc w:val="both"/>
        <w:rPr>
          <w:rFonts w:asciiTheme="majorHAnsi" w:hAnsiTheme="majorHAnsi"/>
        </w:rPr>
      </w:pPr>
    </w:p>
    <w:p w14:paraId="16ADE3B3" w14:textId="37D7AF58" w:rsidR="00B05931" w:rsidRPr="00CF3B78" w:rsidRDefault="00237D4D" w:rsidP="00585AF6">
      <w:pPr>
        <w:widowControl/>
        <w:autoSpaceDE/>
        <w:autoSpaceDN/>
        <w:adjustRightInd/>
        <w:jc w:val="both"/>
        <w:rPr>
          <w:rFonts w:asciiTheme="majorHAnsi" w:hAnsiTheme="majorHAnsi"/>
        </w:rPr>
      </w:pPr>
      <w:r w:rsidRPr="00582ECD">
        <w:rPr>
          <w:rFonts w:asciiTheme="majorHAnsi" w:hAnsiTheme="majorHAnsi"/>
        </w:rPr>
        <w:t>Pour plus de détails sur la déclaration statistique, veuillez consulter le « Rapport du Secrétariat de 2025 sur la recherche et les statistiqu</w:t>
      </w:r>
      <w:r w:rsidRPr="00CF3B78">
        <w:rPr>
          <w:rFonts w:asciiTheme="majorHAnsi" w:hAnsiTheme="majorHAnsi"/>
        </w:rPr>
        <w:t>es » [PLE_105/2026], ainsi que la Rec. 11-15 mentionnée ci-dessus. Les Parties non contractantes suivantes ont fourni des données cette année : Dominique, Gibraltar et Sainte-Lucie.</w:t>
      </w:r>
    </w:p>
    <w:p w14:paraId="21C4B6C5" w14:textId="514899AE" w:rsidR="00F978E7" w:rsidRPr="00CF3B78" w:rsidRDefault="00F978E7" w:rsidP="00820485">
      <w:pPr>
        <w:tabs>
          <w:tab w:val="left" w:pos="1276"/>
          <w:tab w:val="left" w:pos="1418"/>
          <w:tab w:val="left" w:leader="dot" w:pos="8222"/>
          <w:tab w:val="right" w:pos="8647"/>
        </w:tabs>
        <w:jc w:val="both"/>
        <w:rPr>
          <w:rFonts w:asciiTheme="majorHAnsi" w:hAnsiTheme="majorHAnsi"/>
          <w:i/>
        </w:rPr>
      </w:pPr>
    </w:p>
    <w:p w14:paraId="2524B178" w14:textId="33F8AA00" w:rsidR="00E936FF" w:rsidRPr="00CF3B78" w:rsidRDefault="00A32D9A" w:rsidP="00820485">
      <w:pPr>
        <w:tabs>
          <w:tab w:val="left" w:pos="1276"/>
          <w:tab w:val="left" w:pos="1418"/>
          <w:tab w:val="left" w:leader="dot" w:pos="8222"/>
          <w:tab w:val="right" w:pos="8647"/>
        </w:tabs>
        <w:jc w:val="both"/>
        <w:rPr>
          <w:rFonts w:asciiTheme="majorHAnsi" w:hAnsiTheme="majorHAnsi"/>
          <w:i/>
        </w:rPr>
      </w:pPr>
      <w:bookmarkStart w:id="30" w:name="_Hlk180407383"/>
      <w:r w:rsidRPr="00CF3B78">
        <w:rPr>
          <w:rFonts w:asciiTheme="majorHAnsi" w:hAnsiTheme="majorHAnsi"/>
          <w:i/>
        </w:rPr>
        <w:t>Rec. 23-24 : Directives révisées concernant la préparation des rapports annuels</w:t>
      </w:r>
    </w:p>
    <w:bookmarkEnd w:id="30"/>
    <w:p w14:paraId="4B000A40" w14:textId="77777777" w:rsidR="00F978E7" w:rsidRPr="00CF3B78" w:rsidRDefault="00F978E7" w:rsidP="00820485">
      <w:pPr>
        <w:jc w:val="both"/>
        <w:rPr>
          <w:rFonts w:asciiTheme="majorHAnsi" w:hAnsiTheme="majorHAnsi"/>
        </w:rPr>
      </w:pPr>
    </w:p>
    <w:p w14:paraId="612E294B" w14:textId="5CAB635F" w:rsidR="00966057" w:rsidRPr="00CF3B78" w:rsidRDefault="00F634F3" w:rsidP="00966057">
      <w:pPr>
        <w:tabs>
          <w:tab w:val="left" w:pos="1276"/>
          <w:tab w:val="left" w:pos="1418"/>
          <w:tab w:val="left" w:leader="dot" w:pos="8222"/>
          <w:tab w:val="right" w:pos="8647"/>
        </w:tabs>
        <w:jc w:val="both"/>
        <w:rPr>
          <w:rFonts w:asciiTheme="majorHAnsi" w:hAnsiTheme="majorHAnsi"/>
          <w:bCs/>
        </w:rPr>
      </w:pPr>
      <w:r w:rsidRPr="00CF3B78">
        <w:rPr>
          <w:rFonts w:asciiTheme="majorHAnsi" w:hAnsiTheme="majorHAnsi"/>
        </w:rPr>
        <w:t xml:space="preserve">Un problème récurrent depuis plusieurs années est que de nombreuses CPC soumettent les segments Microsoft Word et les informations à l'IOMS sans lire attentivement les questions et les exigences. En outre, de nombreuses CPC soumettent des réponses qui ne répondent pas aux exigences demandées dans les recommandations originales. Les CPC devraient toujours se référer à la page </w:t>
      </w:r>
      <w:hyperlink r:id="rId40" w:history="1">
        <w:r w:rsidRPr="00CF3B78">
          <w:rPr>
            <w:rStyle w:val="Hyperlink"/>
            <w:rFonts w:asciiTheme="majorHAnsi" w:hAnsiTheme="majorHAnsi"/>
            <w:u w:val="none"/>
          </w:rPr>
          <w:t>« Soumettre des informations »</w:t>
        </w:r>
      </w:hyperlink>
      <w:r w:rsidRPr="00CF3B78">
        <w:rPr>
          <w:rFonts w:asciiTheme="majorHAnsi" w:hAnsiTheme="majorHAnsi"/>
        </w:rPr>
        <w:t xml:space="preserve"> relative à l’application sur le site web de l'ICCAT. Ici, les CPC peuvent faire référence aux exigences applicables, aux numéros de Recommandation et de paragraphe correspondants, ainsi qu'aux délais de soumission. Cette page permet également de télécharger les versions les plus récentes de tous les formulaires de déclaration de l’application.</w:t>
      </w:r>
    </w:p>
    <w:p w14:paraId="05C13C2C" w14:textId="77777777" w:rsidR="00966057" w:rsidRPr="00CF3B78" w:rsidRDefault="00966057" w:rsidP="00820485">
      <w:pPr>
        <w:jc w:val="both"/>
        <w:rPr>
          <w:rFonts w:asciiTheme="majorHAnsi" w:hAnsiTheme="majorHAnsi"/>
        </w:rPr>
      </w:pPr>
    </w:p>
    <w:p w14:paraId="7CFC12CE" w14:textId="612DB262" w:rsidR="00917B29" w:rsidRPr="00CF3B78" w:rsidRDefault="00917B29" w:rsidP="00917B29">
      <w:pPr>
        <w:tabs>
          <w:tab w:val="left" w:pos="1276"/>
          <w:tab w:val="left" w:pos="1418"/>
          <w:tab w:val="left" w:leader="dot" w:pos="8222"/>
          <w:tab w:val="right" w:pos="8647"/>
        </w:tabs>
        <w:jc w:val="both"/>
        <w:rPr>
          <w:rFonts w:asciiTheme="majorHAnsi" w:hAnsiTheme="majorHAnsi"/>
          <w:bCs/>
        </w:rPr>
      </w:pPr>
      <w:r w:rsidRPr="00CF3B78">
        <w:rPr>
          <w:rFonts w:asciiTheme="majorHAnsi" w:hAnsiTheme="majorHAnsi"/>
        </w:rPr>
        <w:t xml:space="preserve">Depuis 2023, les CPC doivent saisir directement dans l’IOMS les informations contenues dans les tableaux des exigences scientifiques et des exigences de gestion. A la suite de plusieurs directives et informations administratives (Réf. 23-24, circulaires de l'ICCAT #00625/26, #05536/26, les </w:t>
      </w:r>
      <w:hyperlink r:id="rId41" w:history="1">
        <w:r w:rsidRPr="00CF3B78">
          <w:rPr>
            <w:rStyle w:val="Hyperlink"/>
            <w:rFonts w:asciiTheme="majorHAnsi" w:hAnsiTheme="majorHAnsi"/>
            <w:u w:val="none"/>
          </w:rPr>
          <w:t>Directives</w:t>
        </w:r>
      </w:hyperlink>
      <w:r w:rsidRPr="00CF3B78">
        <w:rPr>
          <w:rFonts w:asciiTheme="majorHAnsi" w:hAnsiTheme="majorHAnsi"/>
        </w:rPr>
        <w:t>, et la page web de l'ICCAT) fournies aux CPC, une amélioration remarquable dans la compréhension et la soumission des rapports annuels par l'intermédiaire de l'IOMS est notée. Malgré cette évolution encourageante, des progrès significatifs restent à accomplir pour parvenir à un taux de transmission des données de 100 % de la part de toutes les CPC.</w:t>
      </w:r>
    </w:p>
    <w:p w14:paraId="3E5FFBE2" w14:textId="77777777" w:rsidR="008D2B0B" w:rsidRPr="00CF3B78" w:rsidRDefault="008D2B0B" w:rsidP="008D2B0B">
      <w:pPr>
        <w:jc w:val="both"/>
        <w:rPr>
          <w:rFonts w:asciiTheme="majorHAnsi" w:hAnsiTheme="majorHAnsi"/>
        </w:rPr>
      </w:pPr>
    </w:p>
    <w:p w14:paraId="1793AF1A" w14:textId="472580E7" w:rsidR="009C2133" w:rsidRPr="00CF3B78" w:rsidRDefault="009C2133" w:rsidP="009C2133">
      <w:pPr>
        <w:tabs>
          <w:tab w:val="left" w:pos="1276"/>
          <w:tab w:val="left" w:pos="1418"/>
          <w:tab w:val="left" w:leader="dot" w:pos="8222"/>
          <w:tab w:val="right" w:pos="8647"/>
        </w:tabs>
        <w:jc w:val="both"/>
        <w:rPr>
          <w:rFonts w:asciiTheme="majorHAnsi" w:hAnsiTheme="majorHAnsi"/>
        </w:rPr>
      </w:pPr>
      <w:r w:rsidRPr="00CF3B78">
        <w:rPr>
          <w:rFonts w:asciiTheme="majorHAnsi" w:hAnsiTheme="majorHAnsi"/>
        </w:rPr>
        <w:t xml:space="preserve">Sur un total de 60 CPC, 43 ont respecté à 100 % les exigences relatives à leur rapport annuel </w:t>
      </w:r>
      <w:r w:rsidR="00883E8B" w:rsidRPr="00CF3B78">
        <w:rPr>
          <w:rFonts w:asciiTheme="majorHAnsi" w:hAnsiTheme="majorHAnsi"/>
        </w:rPr>
        <w:t xml:space="preserve">de </w:t>
      </w:r>
      <w:r w:rsidRPr="00CF3B78">
        <w:rPr>
          <w:rFonts w:asciiTheme="majorHAnsi" w:hAnsiTheme="majorHAnsi"/>
        </w:rPr>
        <w:t xml:space="preserve">2026. Pour les 17 autres CPC, la soumission de l'information fait encore défaut : </w:t>
      </w:r>
    </w:p>
    <w:p w14:paraId="17B126AE" w14:textId="77777777" w:rsidR="009C2133" w:rsidRPr="00CF3B78" w:rsidRDefault="009C2133" w:rsidP="009C2133">
      <w:pPr>
        <w:tabs>
          <w:tab w:val="left" w:pos="1276"/>
          <w:tab w:val="left" w:pos="1418"/>
          <w:tab w:val="left" w:leader="dot" w:pos="8222"/>
          <w:tab w:val="right" w:pos="8647"/>
        </w:tabs>
        <w:jc w:val="both"/>
        <w:rPr>
          <w:rFonts w:asciiTheme="majorHAnsi" w:hAnsiTheme="majorHAnsi"/>
        </w:rPr>
      </w:pPr>
    </w:p>
    <w:p w14:paraId="02259777" w14:textId="784C8F5A" w:rsidR="009C2133" w:rsidRPr="00CF3B78" w:rsidRDefault="003156B8" w:rsidP="00517555">
      <w:pPr>
        <w:pStyle w:val="ListParagraph"/>
        <w:numPr>
          <w:ilvl w:val="0"/>
          <w:numId w:val="10"/>
        </w:numPr>
        <w:tabs>
          <w:tab w:val="left" w:pos="1276"/>
          <w:tab w:val="left" w:pos="1418"/>
          <w:tab w:val="left" w:leader="dot" w:pos="8222"/>
          <w:tab w:val="right" w:pos="8647"/>
        </w:tabs>
        <w:ind w:left="851" w:hanging="425"/>
        <w:jc w:val="both"/>
        <w:rPr>
          <w:rFonts w:asciiTheme="majorHAnsi" w:hAnsiTheme="majorHAnsi"/>
        </w:rPr>
      </w:pPr>
      <w:r w:rsidRPr="00CF3B78">
        <w:rPr>
          <w:rFonts w:asciiTheme="majorHAnsi" w:hAnsiTheme="majorHAnsi"/>
        </w:rPr>
        <w:t xml:space="preserve">Soumission en cours ou partielle : six CPC ont transmis des informations partielles sans avoir finalisé leur soumission, ou n’ont soumis qu’un seul des deux rapports requis via l’IOMS (soit concernant les </w:t>
      </w:r>
      <w:r w:rsidR="008F2E0F" w:rsidRPr="00CF3B78">
        <w:rPr>
          <w:rFonts w:asciiTheme="majorHAnsi" w:hAnsiTheme="majorHAnsi"/>
        </w:rPr>
        <w:t>s</w:t>
      </w:r>
      <w:r w:rsidRPr="00CF3B78">
        <w:rPr>
          <w:rFonts w:asciiTheme="majorHAnsi" w:hAnsiTheme="majorHAnsi"/>
        </w:rPr>
        <w:t>tatistiques, soit concernant l’application), ou seulement la section Microsoft Word</w:t>
      </w:r>
      <w:r w:rsidR="006021A5" w:rsidRPr="00CF3B78">
        <w:rPr>
          <w:rFonts w:asciiTheme="majorHAnsi" w:hAnsiTheme="majorHAnsi"/>
        </w:rPr>
        <w:t xml:space="preserve"> : </w:t>
      </w:r>
      <w:r w:rsidRPr="00CF3B78">
        <w:rPr>
          <w:rFonts w:asciiTheme="majorHAnsi" w:hAnsiTheme="majorHAnsi"/>
        </w:rPr>
        <w:t>Cabo Verde, la Côte d'Ivoire, l'Union européenne, la Grenade, le Nicaragua et la Sierra Leone.</w:t>
      </w:r>
    </w:p>
    <w:p w14:paraId="773050D2" w14:textId="77777777" w:rsidR="009C2133" w:rsidRPr="00CF3B78" w:rsidRDefault="009C2133" w:rsidP="009C2133">
      <w:pPr>
        <w:pStyle w:val="ListParagraph"/>
        <w:tabs>
          <w:tab w:val="left" w:pos="1276"/>
          <w:tab w:val="left" w:pos="1418"/>
          <w:tab w:val="left" w:leader="dot" w:pos="8222"/>
          <w:tab w:val="right" w:pos="8647"/>
        </w:tabs>
        <w:jc w:val="both"/>
        <w:rPr>
          <w:rFonts w:asciiTheme="majorHAnsi" w:hAnsiTheme="majorHAnsi"/>
        </w:rPr>
      </w:pPr>
    </w:p>
    <w:p w14:paraId="13998905" w14:textId="64D82957" w:rsidR="009C2133" w:rsidRPr="00CF3B78" w:rsidRDefault="0078251A" w:rsidP="00517555">
      <w:pPr>
        <w:pStyle w:val="ListParagraph"/>
        <w:numPr>
          <w:ilvl w:val="0"/>
          <w:numId w:val="10"/>
        </w:numPr>
        <w:tabs>
          <w:tab w:val="left" w:pos="1276"/>
          <w:tab w:val="left" w:pos="1418"/>
          <w:tab w:val="left" w:leader="dot" w:pos="8222"/>
          <w:tab w:val="right" w:pos="8647"/>
        </w:tabs>
        <w:ind w:left="851" w:hanging="425"/>
        <w:jc w:val="both"/>
        <w:rPr>
          <w:rFonts w:asciiTheme="majorHAnsi" w:hAnsiTheme="majorHAnsi"/>
        </w:rPr>
      </w:pPr>
      <w:r w:rsidRPr="00CF3B78">
        <w:rPr>
          <w:rFonts w:asciiTheme="majorHAnsi" w:hAnsiTheme="majorHAnsi"/>
        </w:rPr>
        <w:t xml:space="preserve">Absence de soumission : onze CPC n'ont pas transmis leur rapport annuel 2026, ni au format Word ni via le système IOMS : </w:t>
      </w:r>
      <w:r w:rsidR="006021A5" w:rsidRPr="00CF3B78">
        <w:rPr>
          <w:rFonts w:asciiTheme="majorHAnsi" w:hAnsiTheme="majorHAnsi"/>
        </w:rPr>
        <w:t>l</w:t>
      </w:r>
      <w:r w:rsidRPr="00CF3B78">
        <w:rPr>
          <w:rFonts w:asciiTheme="majorHAnsi" w:hAnsiTheme="majorHAnsi"/>
        </w:rPr>
        <w:t>a Barbade, Cuba, la Guinée équatoriale, le Honduras, la Libye, le Monténégro, São Tomé-et-Príncipe, la Syrie, le Togo, Trinité-et-Tobago et le Guyana</w:t>
      </w:r>
      <w:r w:rsidR="006021A5" w:rsidRPr="00CF3B78">
        <w:rPr>
          <w:rFonts w:asciiTheme="majorHAnsi" w:hAnsiTheme="majorHAnsi"/>
        </w:rPr>
        <w:t>.</w:t>
      </w:r>
    </w:p>
    <w:p w14:paraId="4F654B13" w14:textId="77777777" w:rsidR="00EA70C3" w:rsidRPr="00582ECD" w:rsidRDefault="00EA70C3" w:rsidP="00FE7A9A">
      <w:pPr>
        <w:jc w:val="both"/>
        <w:rPr>
          <w:rFonts w:asciiTheme="majorHAnsi" w:hAnsiTheme="majorHAnsi"/>
          <w:bCs/>
        </w:rPr>
      </w:pPr>
    </w:p>
    <w:p w14:paraId="6FFA0738" w14:textId="77777777" w:rsidR="00D06415" w:rsidRPr="00582ECD" w:rsidRDefault="00D06415">
      <w:pPr>
        <w:widowControl/>
        <w:autoSpaceDE/>
        <w:autoSpaceDN/>
        <w:adjustRightInd/>
        <w:rPr>
          <w:rFonts w:asciiTheme="majorHAnsi" w:hAnsiTheme="majorHAnsi"/>
        </w:rPr>
      </w:pPr>
      <w:r w:rsidRPr="00582ECD">
        <w:rPr>
          <w:rFonts w:asciiTheme="majorHAnsi" w:hAnsiTheme="majorHAnsi"/>
        </w:rPr>
        <w:br w:type="page"/>
      </w:r>
    </w:p>
    <w:p w14:paraId="5326AA7D" w14:textId="60066268" w:rsidR="00FE7A9A" w:rsidRPr="00582ECD" w:rsidRDefault="00FE7A9A" w:rsidP="00FE7A9A">
      <w:pPr>
        <w:jc w:val="both"/>
        <w:rPr>
          <w:rFonts w:asciiTheme="majorHAnsi" w:hAnsiTheme="majorHAnsi"/>
          <w:bCs/>
        </w:rPr>
      </w:pPr>
      <w:r w:rsidRPr="00582ECD">
        <w:rPr>
          <w:rFonts w:asciiTheme="majorHAnsi" w:hAnsiTheme="majorHAnsi"/>
        </w:rPr>
        <w:lastRenderedPageBreak/>
        <w:t>Bien que le taux de transmission des rapports annuels se maintienne autour de 75 %, plusieurs problèmes récurrents méritent qu'on s'y attarde. Les exemples suivants mettent en évidence les réponses insuffisantes couramment observées dans l'IOMS :</w:t>
      </w:r>
    </w:p>
    <w:p w14:paraId="4814328E" w14:textId="77777777" w:rsidR="00EA70C3" w:rsidRPr="00582ECD" w:rsidRDefault="00EA70C3" w:rsidP="00FE7A9A">
      <w:pPr>
        <w:jc w:val="both"/>
        <w:rPr>
          <w:rFonts w:asciiTheme="majorHAnsi" w:hAnsiTheme="majorHAnsi"/>
          <w:bCs/>
        </w:rPr>
      </w:pPr>
    </w:p>
    <w:p w14:paraId="1DF7BFD2" w14:textId="6B04130C" w:rsidR="00FE7A9A" w:rsidRPr="00582ECD" w:rsidRDefault="0078251A" w:rsidP="00517555">
      <w:pPr>
        <w:pStyle w:val="ListParagraph"/>
        <w:numPr>
          <w:ilvl w:val="0"/>
          <w:numId w:val="10"/>
        </w:numPr>
        <w:tabs>
          <w:tab w:val="left" w:pos="1276"/>
          <w:tab w:val="left" w:pos="1418"/>
          <w:tab w:val="left" w:leader="dot" w:pos="8222"/>
          <w:tab w:val="right" w:pos="8647"/>
        </w:tabs>
        <w:ind w:left="851" w:hanging="425"/>
        <w:jc w:val="both"/>
        <w:rPr>
          <w:rFonts w:asciiTheme="majorHAnsi" w:hAnsiTheme="majorHAnsi"/>
        </w:rPr>
      </w:pPr>
      <w:r w:rsidRPr="00582ECD">
        <w:rPr>
          <w:rFonts w:asciiTheme="majorHAnsi" w:hAnsiTheme="majorHAnsi"/>
        </w:rPr>
        <w:t>Réponses peu claires ou motif de « N/A » : Les CPC doivent s'abstenir de répondre dans l'IOMS par des réponses simples dépourvues d'explications, telles que « Voir ci-dessus », « Voir le rapport annuel », « Identique à l'année dernière », ou « Pas de changement », etc. ;</w:t>
      </w:r>
    </w:p>
    <w:p w14:paraId="59E67BE6" w14:textId="3BEB3FBF" w:rsidR="00FE7A9A" w:rsidRPr="00582ECD" w:rsidRDefault="0078251A" w:rsidP="005C787F">
      <w:pPr>
        <w:pStyle w:val="ListParagraph"/>
        <w:numPr>
          <w:ilvl w:val="0"/>
          <w:numId w:val="10"/>
        </w:numPr>
        <w:tabs>
          <w:tab w:val="left" w:pos="1276"/>
          <w:tab w:val="left" w:pos="1418"/>
          <w:tab w:val="left" w:leader="dot" w:pos="8222"/>
          <w:tab w:val="right" w:pos="8647"/>
        </w:tabs>
        <w:ind w:left="851" w:hanging="425"/>
        <w:jc w:val="both"/>
        <w:rPr>
          <w:rFonts w:asciiTheme="majorHAnsi" w:hAnsiTheme="majorHAnsi"/>
          <w:bCs/>
        </w:rPr>
      </w:pPr>
      <w:r w:rsidRPr="00582ECD">
        <w:rPr>
          <w:rFonts w:asciiTheme="majorHAnsi" w:hAnsiTheme="majorHAnsi"/>
        </w:rPr>
        <w:t>Informations obligatoires (en gras ou marquées d'un *) ou obligations de déclaration obligatoires</w:t>
      </w:r>
      <w:r w:rsidR="0000051E">
        <w:rPr>
          <w:rFonts w:asciiTheme="majorHAnsi" w:hAnsiTheme="majorHAnsi"/>
        </w:rPr>
        <w:t xml:space="preserve"> : </w:t>
      </w:r>
      <w:r w:rsidRPr="00582ECD">
        <w:rPr>
          <w:rFonts w:asciiTheme="majorHAnsi" w:hAnsiTheme="majorHAnsi"/>
        </w:rPr>
        <w:t>il n'est pas acceptable de répondre « Sans objet » ; une date de soumission valide doit être indiquée ;</w:t>
      </w:r>
    </w:p>
    <w:p w14:paraId="4585C529" w14:textId="57800792" w:rsidR="00FE7A9A" w:rsidRPr="00582ECD" w:rsidRDefault="0078251A" w:rsidP="005C787F">
      <w:pPr>
        <w:pStyle w:val="ListParagraph"/>
        <w:numPr>
          <w:ilvl w:val="0"/>
          <w:numId w:val="10"/>
        </w:numPr>
        <w:tabs>
          <w:tab w:val="left" w:pos="1276"/>
          <w:tab w:val="left" w:pos="1418"/>
          <w:tab w:val="left" w:leader="dot" w:pos="8222"/>
          <w:tab w:val="right" w:pos="8647"/>
        </w:tabs>
        <w:ind w:left="851" w:hanging="425"/>
        <w:jc w:val="both"/>
        <w:rPr>
          <w:rFonts w:asciiTheme="majorHAnsi" w:hAnsiTheme="majorHAnsi"/>
          <w:bCs/>
        </w:rPr>
      </w:pPr>
      <w:r w:rsidRPr="00582ECD">
        <w:rPr>
          <w:rFonts w:asciiTheme="majorHAnsi" w:hAnsiTheme="majorHAnsi"/>
        </w:rPr>
        <w:t>Exigences spécifiques à un stock : lorsque l'exigence se rapporte à un stock spécifique, la CPC ne doit pas répondre ni faire référence à un autre stock ;</w:t>
      </w:r>
    </w:p>
    <w:p w14:paraId="2079F60D" w14:textId="684F25A3" w:rsidR="00FE7A9A" w:rsidRPr="00582ECD" w:rsidRDefault="0078251A" w:rsidP="005C787F">
      <w:pPr>
        <w:pStyle w:val="ListParagraph"/>
        <w:numPr>
          <w:ilvl w:val="0"/>
          <w:numId w:val="10"/>
        </w:numPr>
        <w:tabs>
          <w:tab w:val="left" w:pos="1276"/>
          <w:tab w:val="left" w:pos="1418"/>
          <w:tab w:val="left" w:leader="dot" w:pos="8222"/>
          <w:tab w:val="right" w:pos="8647"/>
        </w:tabs>
        <w:ind w:left="851" w:hanging="425"/>
        <w:jc w:val="both"/>
        <w:rPr>
          <w:rFonts w:asciiTheme="majorHAnsi" w:hAnsiTheme="majorHAnsi"/>
          <w:bCs/>
        </w:rPr>
      </w:pPr>
      <w:r w:rsidRPr="00582ECD">
        <w:rPr>
          <w:rFonts w:asciiTheme="majorHAnsi" w:hAnsiTheme="majorHAnsi"/>
        </w:rPr>
        <w:t>Soumission en attente : certaines CPC ont complété les informations dans l'IOMS, mais ont enregistré la version sans procéder à la soumission finale, ce qui a donné lieu à une version en attente ;</w:t>
      </w:r>
    </w:p>
    <w:p w14:paraId="2EF6E008" w14:textId="0EF25B3F" w:rsidR="00FE7A9A" w:rsidRPr="00582ECD" w:rsidRDefault="00FE7A9A" w:rsidP="005C787F">
      <w:pPr>
        <w:pStyle w:val="ListParagraph"/>
        <w:numPr>
          <w:ilvl w:val="0"/>
          <w:numId w:val="10"/>
        </w:numPr>
        <w:tabs>
          <w:tab w:val="left" w:pos="1276"/>
          <w:tab w:val="left" w:pos="1418"/>
          <w:tab w:val="left" w:leader="dot" w:pos="8222"/>
          <w:tab w:val="right" w:pos="8647"/>
        </w:tabs>
        <w:ind w:left="851" w:hanging="425"/>
        <w:jc w:val="both"/>
        <w:rPr>
          <w:rFonts w:asciiTheme="majorHAnsi" w:hAnsiTheme="majorHAnsi"/>
          <w:bCs/>
        </w:rPr>
      </w:pPr>
      <w:r w:rsidRPr="00582ECD">
        <w:rPr>
          <w:rFonts w:asciiTheme="majorHAnsi" w:hAnsiTheme="majorHAnsi"/>
        </w:rPr>
        <w:t>La case « Applicable » reste cochée mais la colonne/le champ des réponses/la raison de N/A est « non applicable à notre CPC » : il s'agit d'une incohérence entre le champ applicable et la réponse fournie. La case doit être décochée si elle n'est pas applicable à la CPC.</w:t>
      </w:r>
    </w:p>
    <w:p w14:paraId="0D67608B" w14:textId="77777777" w:rsidR="00FE7A9A" w:rsidRPr="00582ECD" w:rsidRDefault="00FE7A9A" w:rsidP="00EA70C3">
      <w:pPr>
        <w:pStyle w:val="ListParagraph"/>
        <w:jc w:val="both"/>
        <w:rPr>
          <w:rFonts w:asciiTheme="majorHAnsi" w:hAnsiTheme="majorHAnsi"/>
        </w:rPr>
      </w:pPr>
    </w:p>
    <w:p w14:paraId="435BA0F1" w14:textId="77777777" w:rsidR="00FE7A9A" w:rsidRPr="00582ECD" w:rsidRDefault="00FE7A9A" w:rsidP="00FE7A9A">
      <w:pPr>
        <w:jc w:val="both"/>
        <w:rPr>
          <w:rFonts w:asciiTheme="majorHAnsi" w:hAnsiTheme="majorHAnsi"/>
        </w:rPr>
      </w:pPr>
      <w:r w:rsidRPr="00582ECD">
        <w:rPr>
          <w:rFonts w:asciiTheme="majorHAnsi" w:hAnsiTheme="majorHAnsi"/>
        </w:rPr>
        <w:t>Afin de fournir au Comité d’application des informations précises et spécifiques à chaque exigence, l'IOMS est conçu pour extraire toutes les réponses données en réponse à une exigence spécifique. Pour cette raison, une réponse exhaustive à chaque question est requise en vue d’exporter des informations claires et cohérentes.</w:t>
      </w:r>
    </w:p>
    <w:p w14:paraId="709F4023" w14:textId="77777777" w:rsidR="00FE7A9A" w:rsidRPr="00582ECD" w:rsidRDefault="00FE7A9A" w:rsidP="008D2B0B">
      <w:pPr>
        <w:jc w:val="both"/>
        <w:rPr>
          <w:rFonts w:asciiTheme="majorHAnsi" w:hAnsiTheme="majorHAnsi"/>
          <w:sz w:val="12"/>
          <w:szCs w:val="12"/>
        </w:rPr>
      </w:pPr>
    </w:p>
    <w:p w14:paraId="65AE2A01" w14:textId="29F4E06A" w:rsidR="00966057" w:rsidRPr="00582ECD" w:rsidRDefault="005E2BDD" w:rsidP="00966057">
      <w:pPr>
        <w:jc w:val="both"/>
        <w:rPr>
          <w:rFonts w:asciiTheme="majorHAnsi" w:hAnsiTheme="majorHAnsi"/>
        </w:rPr>
      </w:pPr>
      <w:r w:rsidRPr="00582ECD">
        <w:rPr>
          <w:rFonts w:asciiTheme="majorHAnsi" w:hAnsiTheme="majorHAnsi"/>
        </w:rPr>
        <w:t>Le document "Information soumise par quelques CPC dans la section 2 - Partie 2.2 de leur rapport annuel" [COC_311/2026] contient un résumé de la section 2.2 des rapports annuels ("Difficultés rencontrées dans la mise en œuvre et le respect des mesures de conservation et de gestion de l'ICCAT") qui présente les principales difficultés auxquelles certaines CPC ont été confrontées. Cette section permet également d'évoquer l'éventuel besoin d'assistance technique.</w:t>
      </w:r>
    </w:p>
    <w:p w14:paraId="12C806CE" w14:textId="77777777" w:rsidR="009C2133" w:rsidRPr="00582ECD" w:rsidRDefault="009C2133" w:rsidP="00966057">
      <w:pPr>
        <w:jc w:val="both"/>
        <w:rPr>
          <w:rFonts w:asciiTheme="majorHAnsi" w:hAnsiTheme="majorHAnsi"/>
        </w:rPr>
      </w:pPr>
    </w:p>
    <w:p w14:paraId="14302E33" w14:textId="131EC612" w:rsidR="00E21AA6" w:rsidRPr="00582ECD" w:rsidRDefault="006836FF" w:rsidP="005E2BDD">
      <w:pPr>
        <w:pBdr>
          <w:top w:val="single" w:sz="4" w:space="1" w:color="auto"/>
          <w:left w:val="single" w:sz="4" w:space="4" w:color="auto"/>
          <w:bottom w:val="single" w:sz="4" w:space="1" w:color="auto"/>
          <w:right w:val="single" w:sz="4" w:space="4" w:color="auto"/>
        </w:pBdr>
        <w:jc w:val="both"/>
        <w:rPr>
          <w:rFonts w:asciiTheme="majorHAnsi" w:hAnsiTheme="majorHAnsi"/>
        </w:rPr>
      </w:pPr>
      <w:r w:rsidRPr="00582ECD">
        <w:rPr>
          <w:rFonts w:asciiTheme="majorHAnsi" w:hAnsiTheme="majorHAnsi"/>
          <w:b/>
        </w:rPr>
        <w:t>Demande du Secrétariat de l’ICCAT : </w:t>
      </w:r>
      <w:bookmarkStart w:id="31" w:name="_Hlk180594768"/>
      <w:r w:rsidRPr="00582ECD">
        <w:rPr>
          <w:rFonts w:asciiTheme="majorHAnsi" w:hAnsiTheme="majorHAnsi"/>
        </w:rPr>
        <w:t>Afin de souligner l'importance de répondre de manière exhaustive aux exigences et aux questions contenues dans les rapports annuels qu’elles soumettent, les CPC sont encouragées à participer aux prochaines réunions du Groupe de travail sur les technologies de déclaration en ligne (WG ORT). Il est rappelé aux CPC que le WG ORT est l'instance désignée pour formuler des commentaires, faire part de leurs préoccupations et proposer des améliorations concernant l'IOMS. En outre, les CPC sont invitées à fournir un retour d'information et à suggérer des améliorations aux réponses standard. Ces informations seront utilisées pour améliorer et développer un ensemble de réponses standard qui répondent suffisamment aux besoins des CPC et du Comité d’application.</w:t>
      </w:r>
    </w:p>
    <w:p w14:paraId="25996797" w14:textId="77777777" w:rsidR="005E2BDD" w:rsidRPr="00582ECD" w:rsidRDefault="005E2BDD" w:rsidP="005E2BDD">
      <w:pPr>
        <w:pBdr>
          <w:top w:val="single" w:sz="4" w:space="1" w:color="auto"/>
          <w:left w:val="single" w:sz="4" w:space="4" w:color="auto"/>
          <w:bottom w:val="single" w:sz="4" w:space="1" w:color="auto"/>
          <w:right w:val="single" w:sz="4" w:space="4" w:color="auto"/>
        </w:pBdr>
        <w:jc w:val="both"/>
        <w:rPr>
          <w:rFonts w:asciiTheme="majorHAnsi" w:hAnsiTheme="majorHAnsi"/>
        </w:rPr>
      </w:pPr>
    </w:p>
    <w:bookmarkEnd w:id="31"/>
    <w:p w14:paraId="46A721C4" w14:textId="1E47F4EF" w:rsidR="00E21AA6" w:rsidRPr="00582ECD" w:rsidRDefault="00D75260" w:rsidP="005E2BDD">
      <w:pPr>
        <w:pBdr>
          <w:top w:val="single" w:sz="4" w:space="1" w:color="auto"/>
          <w:left w:val="single" w:sz="4" w:space="4" w:color="auto"/>
          <w:bottom w:val="single" w:sz="4" w:space="1" w:color="auto"/>
          <w:right w:val="single" w:sz="4" w:space="4" w:color="auto"/>
        </w:pBdr>
        <w:jc w:val="both"/>
        <w:rPr>
          <w:rFonts w:asciiTheme="majorHAnsi" w:hAnsiTheme="majorHAnsi"/>
        </w:rPr>
      </w:pPr>
      <w:r w:rsidRPr="00582ECD">
        <w:rPr>
          <w:rFonts w:asciiTheme="majorHAnsi" w:hAnsiTheme="majorHAnsi"/>
        </w:rPr>
        <w:t>Le Secrétariat de l'ICCAT encourage toutes les CPC à profiter pleinement de l'utilisation de la section 2.2 du rapport annuel afin d'exprimer leurs préoccupations, ce qui servira à alerter la Commission sur les difficultés qu’elles rencontrent tout au long de l'année. En outre, nous demandons instamment à toutes les CPC de nous faire part des difficultés rencontrées sur une base continue au lieu de manifester leurs préoccupations une seule fois, chaque année, à l’époque où les rapports annuels doivent être remis. Une communication régulière des difficultés rencontrées nous permettra de disposer d'un délai suffisant pour traiter et résoudre les problèmes de la CPC en temps utile. Enfin, la section 2.2 devrait être considérée comme une occasion d'améliorer la communication et comme un outil de dépannage, qui sert à informer le Secrétariat de l'ICCAT et lui permet de travailler de manière plus proactive et réactive. Il est également rappelé aux CPC que le Secrétariat de l’ICCAT se tient à leur disposition pour les orienter et leur fournir une assistance technique.</w:t>
      </w:r>
    </w:p>
    <w:p w14:paraId="0F7640F8" w14:textId="77777777" w:rsidR="00E21AA6" w:rsidRPr="00582ECD" w:rsidRDefault="00E21AA6" w:rsidP="00E21AA6">
      <w:pPr>
        <w:spacing w:after="160" w:line="259" w:lineRule="auto"/>
        <w:rPr>
          <w:rFonts w:asciiTheme="majorHAnsi" w:hAnsiTheme="majorHAnsi"/>
        </w:rPr>
      </w:pPr>
    </w:p>
    <w:p w14:paraId="5A14415C" w14:textId="77777777" w:rsidR="00D06415" w:rsidRPr="00582ECD" w:rsidRDefault="00D06415">
      <w:pPr>
        <w:widowControl/>
        <w:autoSpaceDE/>
        <w:autoSpaceDN/>
        <w:adjustRightInd/>
        <w:rPr>
          <w:rFonts w:asciiTheme="majorHAnsi" w:hAnsiTheme="majorHAnsi"/>
          <w:b/>
          <w:color w:val="000000" w:themeColor="text1"/>
        </w:rPr>
      </w:pPr>
      <w:r w:rsidRPr="00582ECD">
        <w:rPr>
          <w:rFonts w:asciiTheme="majorHAnsi" w:hAnsiTheme="majorHAnsi"/>
          <w:b/>
          <w:color w:val="000000" w:themeColor="text1"/>
        </w:rPr>
        <w:br w:type="page"/>
      </w:r>
    </w:p>
    <w:p w14:paraId="170F8300" w14:textId="65F3EE92" w:rsidR="005F3B85" w:rsidRPr="00582ECD" w:rsidRDefault="005F3B85" w:rsidP="00820485">
      <w:pPr>
        <w:widowControl/>
        <w:autoSpaceDE/>
        <w:autoSpaceDN/>
        <w:adjustRightInd/>
        <w:jc w:val="center"/>
        <w:rPr>
          <w:rFonts w:asciiTheme="majorHAnsi" w:hAnsiTheme="majorHAnsi"/>
          <w:b/>
          <w:color w:val="000000" w:themeColor="text1"/>
        </w:rPr>
      </w:pPr>
      <w:r w:rsidRPr="00582ECD">
        <w:rPr>
          <w:rFonts w:asciiTheme="majorHAnsi" w:hAnsiTheme="majorHAnsi"/>
          <w:b/>
          <w:color w:val="000000" w:themeColor="text1"/>
        </w:rPr>
        <w:lastRenderedPageBreak/>
        <w:t>Liste des tableaux</w:t>
      </w:r>
    </w:p>
    <w:p w14:paraId="078C84E3" w14:textId="77777777" w:rsidR="00345418" w:rsidRPr="00582ECD" w:rsidRDefault="00345418" w:rsidP="00D06415">
      <w:pPr>
        <w:widowControl/>
        <w:autoSpaceDE/>
        <w:autoSpaceDN/>
        <w:adjustRightInd/>
        <w:ind w:left="1418" w:hanging="1418"/>
        <w:jc w:val="center"/>
        <w:rPr>
          <w:rFonts w:asciiTheme="majorHAnsi" w:hAnsiTheme="majorHAnsi"/>
          <w:b/>
          <w:color w:val="000000" w:themeColor="text1"/>
        </w:rPr>
      </w:pPr>
    </w:p>
    <w:p w14:paraId="49214CF3" w14:textId="3251FE3A" w:rsidR="002E3B58" w:rsidRPr="00582ECD" w:rsidRDefault="004A30BE" w:rsidP="00D06415">
      <w:pPr>
        <w:ind w:left="1418" w:hanging="1418"/>
        <w:jc w:val="both"/>
        <w:rPr>
          <w:rFonts w:asciiTheme="majorHAnsi" w:hAnsiTheme="majorHAnsi"/>
          <w:bCs/>
          <w:iCs/>
        </w:rPr>
      </w:pPr>
      <w:r w:rsidRPr="00582ECD">
        <w:rPr>
          <w:rFonts w:asciiTheme="majorHAnsi" w:hAnsiTheme="majorHAnsi"/>
          <w:b/>
        </w:rPr>
        <w:t>Tableau 1.</w:t>
      </w:r>
      <w:r w:rsidRPr="00582ECD">
        <w:rPr>
          <w:rFonts w:asciiTheme="majorHAnsi" w:hAnsiTheme="majorHAnsi"/>
          <w:b/>
        </w:rPr>
        <w:tab/>
      </w:r>
      <w:r w:rsidRPr="00582ECD">
        <w:rPr>
          <w:rFonts w:asciiTheme="majorHAnsi" w:hAnsiTheme="majorHAnsi"/>
        </w:rPr>
        <w:t>Prises semestrielles et mensuelles de thonidés tropicaux de 2025.</w:t>
      </w:r>
    </w:p>
    <w:p w14:paraId="5E74866C" w14:textId="3755C190" w:rsidR="00FD06E4" w:rsidRPr="00582ECD" w:rsidRDefault="00FD06E4" w:rsidP="00D06415">
      <w:pPr>
        <w:ind w:left="1418" w:hanging="1418"/>
        <w:jc w:val="both"/>
        <w:rPr>
          <w:rFonts w:asciiTheme="majorHAnsi" w:hAnsiTheme="majorHAnsi"/>
          <w:bCs/>
          <w:iCs/>
        </w:rPr>
      </w:pPr>
    </w:p>
    <w:p w14:paraId="6FEF9377" w14:textId="398FC8B6" w:rsidR="00FD06E4" w:rsidRPr="00582ECD" w:rsidRDefault="00FD06E4" w:rsidP="00D06415">
      <w:pPr>
        <w:ind w:left="1418" w:hanging="1418"/>
        <w:jc w:val="both"/>
        <w:rPr>
          <w:rFonts w:asciiTheme="majorHAnsi" w:hAnsiTheme="majorHAnsi"/>
          <w:bCs/>
          <w:iCs/>
        </w:rPr>
      </w:pPr>
      <w:r w:rsidRPr="00582ECD">
        <w:rPr>
          <w:rFonts w:asciiTheme="majorHAnsi" w:hAnsiTheme="majorHAnsi"/>
          <w:b/>
        </w:rPr>
        <w:t>Tableau 2.</w:t>
      </w:r>
      <w:r w:rsidRPr="00582ECD">
        <w:rPr>
          <w:rFonts w:asciiTheme="majorHAnsi" w:hAnsiTheme="majorHAnsi"/>
        </w:rPr>
        <w:t xml:space="preserve"> </w:t>
      </w:r>
      <w:r w:rsidRPr="00582ECD">
        <w:rPr>
          <w:rFonts w:asciiTheme="majorHAnsi" w:hAnsiTheme="majorHAnsi"/>
        </w:rPr>
        <w:tab/>
        <w:t>Résumé des rapports d’inspection reçus du Programme d’inspection conjointe (JIS).</w:t>
      </w:r>
    </w:p>
    <w:p w14:paraId="4D6756AC" w14:textId="77777777" w:rsidR="004A30BE" w:rsidRPr="00582ECD" w:rsidRDefault="004A30BE" w:rsidP="00D06415">
      <w:pPr>
        <w:ind w:left="1418" w:hanging="1418"/>
        <w:jc w:val="both"/>
        <w:rPr>
          <w:rFonts w:asciiTheme="majorHAnsi" w:hAnsiTheme="majorHAnsi"/>
          <w:bCs/>
          <w:iCs/>
        </w:rPr>
      </w:pPr>
    </w:p>
    <w:p w14:paraId="1074F58E" w14:textId="371A6E82" w:rsidR="00147D27" w:rsidRPr="00582ECD" w:rsidRDefault="004A30BE" w:rsidP="00D06415">
      <w:pPr>
        <w:ind w:left="1418" w:hanging="1418"/>
        <w:jc w:val="both"/>
        <w:rPr>
          <w:rFonts w:asciiTheme="majorHAnsi" w:hAnsiTheme="majorHAnsi"/>
          <w:bCs/>
          <w:iCs/>
        </w:rPr>
      </w:pPr>
      <w:r w:rsidRPr="00582ECD">
        <w:rPr>
          <w:rFonts w:asciiTheme="majorHAnsi" w:hAnsiTheme="majorHAnsi"/>
          <w:b/>
        </w:rPr>
        <w:t>Tableau 3.</w:t>
      </w:r>
      <w:r w:rsidRPr="00582ECD">
        <w:rPr>
          <w:rFonts w:asciiTheme="majorHAnsi" w:hAnsiTheme="majorHAnsi"/>
        </w:rPr>
        <w:t xml:space="preserve"> </w:t>
      </w:r>
      <w:r w:rsidRPr="00582ECD">
        <w:rPr>
          <w:rFonts w:asciiTheme="majorHAnsi" w:hAnsiTheme="majorHAnsi"/>
        </w:rPr>
        <w:tab/>
        <w:t>Résumé des inspections au port déclarées au Secrétariat de l’ICCAT.</w:t>
      </w:r>
    </w:p>
    <w:p w14:paraId="108A7504" w14:textId="77777777" w:rsidR="001D229D" w:rsidRPr="00582ECD" w:rsidRDefault="001D229D" w:rsidP="00D06415">
      <w:pPr>
        <w:ind w:left="1418" w:hanging="1418"/>
        <w:jc w:val="both"/>
        <w:rPr>
          <w:rFonts w:asciiTheme="majorHAnsi" w:hAnsiTheme="majorHAnsi"/>
          <w:bCs/>
          <w:iCs/>
        </w:rPr>
      </w:pPr>
      <w:bookmarkStart w:id="32" w:name="_Hlk52895081"/>
      <w:bookmarkStart w:id="33" w:name="_Hlk22892381"/>
    </w:p>
    <w:p w14:paraId="11EB9D27" w14:textId="7ACE977F" w:rsidR="00C86AFF" w:rsidRPr="00582ECD" w:rsidRDefault="004A30BE" w:rsidP="00D06415">
      <w:pPr>
        <w:ind w:left="1418" w:hanging="1418"/>
        <w:jc w:val="both"/>
        <w:rPr>
          <w:rFonts w:asciiTheme="majorHAnsi" w:hAnsiTheme="majorHAnsi"/>
          <w:bCs/>
          <w:iCs/>
        </w:rPr>
      </w:pPr>
      <w:r w:rsidRPr="00582ECD">
        <w:rPr>
          <w:rFonts w:asciiTheme="majorHAnsi" w:hAnsiTheme="majorHAnsi"/>
          <w:b/>
        </w:rPr>
        <w:t>Tableau 4.</w:t>
      </w:r>
      <w:r w:rsidRPr="00582ECD">
        <w:rPr>
          <w:rFonts w:asciiTheme="majorHAnsi" w:hAnsiTheme="majorHAnsi"/>
        </w:rPr>
        <w:t xml:space="preserve"> </w:t>
      </w:r>
      <w:r w:rsidRPr="00582ECD">
        <w:rPr>
          <w:rFonts w:asciiTheme="majorHAnsi" w:hAnsiTheme="majorHAnsi"/>
        </w:rPr>
        <w:tab/>
        <w:t xml:space="preserve">Messages VMS reçus par CPC et nombre de navires. </w:t>
      </w:r>
    </w:p>
    <w:p w14:paraId="16F88A28" w14:textId="77777777" w:rsidR="00C86AFF" w:rsidRPr="00582ECD" w:rsidRDefault="00C86AFF" w:rsidP="00D06415">
      <w:pPr>
        <w:ind w:left="1418" w:hanging="1418"/>
        <w:jc w:val="both"/>
        <w:rPr>
          <w:rFonts w:asciiTheme="majorHAnsi" w:hAnsiTheme="majorHAnsi"/>
          <w:bCs/>
          <w:iCs/>
        </w:rPr>
      </w:pPr>
    </w:p>
    <w:p w14:paraId="57D8E1B8" w14:textId="0E92C7FF" w:rsidR="00C86AFF" w:rsidRPr="00582ECD" w:rsidRDefault="00C86AFF" w:rsidP="00D06415">
      <w:pPr>
        <w:ind w:left="1418" w:hanging="1418"/>
        <w:jc w:val="both"/>
        <w:rPr>
          <w:rFonts w:asciiTheme="majorHAnsi" w:hAnsiTheme="majorHAnsi"/>
          <w:bCs/>
          <w:iCs/>
        </w:rPr>
      </w:pPr>
      <w:r w:rsidRPr="00582ECD">
        <w:rPr>
          <w:rFonts w:asciiTheme="majorHAnsi" w:hAnsiTheme="majorHAnsi"/>
          <w:b/>
          <w:bCs/>
        </w:rPr>
        <w:t>Tableau 5.</w:t>
      </w:r>
      <w:r w:rsidRPr="00582ECD">
        <w:rPr>
          <w:rFonts w:asciiTheme="majorHAnsi" w:hAnsiTheme="majorHAnsi"/>
        </w:rPr>
        <w:t xml:space="preserve"> </w:t>
      </w:r>
      <w:r w:rsidRPr="00582ECD">
        <w:rPr>
          <w:rFonts w:asciiTheme="majorHAnsi" w:hAnsiTheme="majorHAnsi"/>
        </w:rPr>
        <w:tab/>
        <w:t xml:space="preserve">Navires qui, en </w:t>
      </w:r>
      <w:proofErr w:type="spellStart"/>
      <w:r w:rsidRPr="00582ECD">
        <w:rPr>
          <w:rFonts w:asciiTheme="majorHAnsi" w:hAnsiTheme="majorHAnsi"/>
        </w:rPr>
        <w:t>mai-juillet</w:t>
      </w:r>
      <w:proofErr w:type="spellEnd"/>
      <w:r w:rsidRPr="00582ECD">
        <w:rPr>
          <w:rFonts w:asciiTheme="majorHAnsi" w:hAnsiTheme="majorHAnsi"/>
        </w:rPr>
        <w:t xml:space="preserve"> 2026, étaient enregistrés dans le Registre ICCAT des navires et qui n’ont pas émis de messages VMS pendant certaines semaines de cette période. </w:t>
      </w:r>
    </w:p>
    <w:p w14:paraId="36582ABC" w14:textId="77777777" w:rsidR="00147D27" w:rsidRPr="00582ECD" w:rsidRDefault="00147D27" w:rsidP="00D06415">
      <w:pPr>
        <w:ind w:left="1418" w:hanging="1418"/>
        <w:jc w:val="both"/>
        <w:rPr>
          <w:rFonts w:asciiTheme="majorHAnsi" w:hAnsiTheme="majorHAnsi"/>
          <w:bCs/>
          <w:iCs/>
        </w:rPr>
      </w:pPr>
    </w:p>
    <w:p w14:paraId="51F5FABD" w14:textId="300F3BB5" w:rsidR="00F978E7" w:rsidRPr="00582ECD" w:rsidRDefault="004A30BE" w:rsidP="00D06415">
      <w:pPr>
        <w:ind w:left="1418" w:hanging="1418"/>
        <w:jc w:val="both"/>
        <w:rPr>
          <w:rFonts w:asciiTheme="majorHAnsi" w:hAnsiTheme="majorHAnsi"/>
          <w:bCs/>
          <w:iCs/>
        </w:rPr>
      </w:pPr>
      <w:r w:rsidRPr="00582ECD">
        <w:rPr>
          <w:rFonts w:asciiTheme="majorHAnsi" w:hAnsiTheme="majorHAnsi"/>
          <w:b/>
        </w:rPr>
        <w:t>Tableau 6.</w:t>
      </w:r>
      <w:r w:rsidRPr="00582ECD">
        <w:rPr>
          <w:rFonts w:asciiTheme="majorHAnsi" w:hAnsiTheme="majorHAnsi"/>
        </w:rPr>
        <w:t xml:space="preserve"> </w:t>
      </w:r>
      <w:r w:rsidRPr="00582ECD">
        <w:rPr>
          <w:rFonts w:asciiTheme="majorHAnsi" w:hAnsiTheme="majorHAnsi"/>
        </w:rPr>
        <w:tab/>
        <w:t xml:space="preserve">Navires qui, en </w:t>
      </w:r>
      <w:proofErr w:type="spellStart"/>
      <w:r w:rsidRPr="00582ECD">
        <w:rPr>
          <w:rFonts w:asciiTheme="majorHAnsi" w:hAnsiTheme="majorHAnsi"/>
        </w:rPr>
        <w:t>mai-juillet</w:t>
      </w:r>
      <w:proofErr w:type="spellEnd"/>
      <w:r w:rsidRPr="00582ECD">
        <w:rPr>
          <w:rFonts w:asciiTheme="majorHAnsi" w:hAnsiTheme="majorHAnsi"/>
        </w:rPr>
        <w:t xml:space="preserve"> 2026, n’étaient pas enregistrés dans le Registre ICCAT des navires ou dont l’autorisation avait expiré mais qui ont émis des messages VMS pendant certaines semaines de cette période. </w:t>
      </w:r>
    </w:p>
    <w:bookmarkEnd w:id="32"/>
    <w:bookmarkEnd w:id="33"/>
    <w:p w14:paraId="01D8D4C5" w14:textId="77777777" w:rsidR="002E61FA" w:rsidRPr="00582ECD" w:rsidRDefault="002E61FA" w:rsidP="00D06415">
      <w:pPr>
        <w:ind w:left="1418" w:hanging="1418"/>
        <w:jc w:val="both"/>
        <w:rPr>
          <w:rFonts w:asciiTheme="majorHAnsi" w:hAnsiTheme="majorHAnsi"/>
          <w:b/>
          <w:iCs/>
        </w:rPr>
      </w:pPr>
    </w:p>
    <w:p w14:paraId="1EAC9394" w14:textId="6E1A39A7" w:rsidR="002E61FA" w:rsidRPr="00582ECD" w:rsidRDefault="002E61FA" w:rsidP="00D06415">
      <w:pPr>
        <w:ind w:left="1418" w:hanging="1418"/>
        <w:jc w:val="both"/>
        <w:rPr>
          <w:rFonts w:asciiTheme="majorHAnsi" w:hAnsiTheme="majorHAnsi"/>
          <w:bCs/>
          <w:iCs/>
        </w:rPr>
      </w:pPr>
      <w:r w:rsidRPr="00582ECD">
        <w:rPr>
          <w:rFonts w:asciiTheme="majorHAnsi" w:hAnsiTheme="majorHAnsi"/>
          <w:b/>
        </w:rPr>
        <w:t>Tableau 7.</w:t>
      </w:r>
      <w:r w:rsidRPr="00582ECD">
        <w:rPr>
          <w:rFonts w:asciiTheme="majorHAnsi" w:hAnsiTheme="majorHAnsi"/>
        </w:rPr>
        <w:t xml:space="preserve"> </w:t>
      </w:r>
      <w:r w:rsidRPr="00582ECD">
        <w:rPr>
          <w:rFonts w:asciiTheme="majorHAnsi" w:hAnsiTheme="majorHAnsi"/>
        </w:rPr>
        <w:tab/>
        <w:t>Résumé des rapports de capture mensuels (BFT-W).</w:t>
      </w:r>
    </w:p>
    <w:p w14:paraId="5DA644CB" w14:textId="77777777" w:rsidR="002E61FA" w:rsidRPr="00582ECD" w:rsidRDefault="002E61FA" w:rsidP="00D06415">
      <w:pPr>
        <w:ind w:left="1418" w:hanging="1418"/>
        <w:jc w:val="both"/>
        <w:rPr>
          <w:rFonts w:asciiTheme="majorHAnsi" w:hAnsiTheme="majorHAnsi"/>
          <w:bCs/>
          <w:iCs/>
        </w:rPr>
      </w:pPr>
    </w:p>
    <w:p w14:paraId="4EAA0A25" w14:textId="3C358BF3" w:rsidR="002E61FA" w:rsidRPr="00582ECD" w:rsidRDefault="002E61FA" w:rsidP="00D06415">
      <w:pPr>
        <w:ind w:left="1418" w:hanging="1418"/>
        <w:jc w:val="both"/>
        <w:rPr>
          <w:rFonts w:asciiTheme="majorHAnsi" w:hAnsiTheme="majorHAnsi"/>
          <w:bCs/>
          <w:iCs/>
        </w:rPr>
      </w:pPr>
      <w:r w:rsidRPr="00CF3B78">
        <w:rPr>
          <w:rFonts w:asciiTheme="majorHAnsi" w:hAnsiTheme="majorHAnsi"/>
          <w:b/>
        </w:rPr>
        <w:t>Tableau 8.</w:t>
      </w:r>
      <w:r w:rsidRPr="00CF3B78">
        <w:rPr>
          <w:rFonts w:asciiTheme="majorHAnsi" w:hAnsiTheme="majorHAnsi"/>
        </w:rPr>
        <w:t xml:space="preserve"> </w:t>
      </w:r>
      <w:r w:rsidRPr="00CF3B78">
        <w:rPr>
          <w:rFonts w:asciiTheme="majorHAnsi" w:hAnsiTheme="majorHAnsi"/>
        </w:rPr>
        <w:tab/>
        <w:t xml:space="preserve">Résumé des rapports de capture </w:t>
      </w:r>
      <w:r w:rsidR="007A78D6" w:rsidRPr="00CF3B78">
        <w:rPr>
          <w:rFonts w:asciiTheme="majorHAnsi" w:hAnsiTheme="majorHAnsi"/>
        </w:rPr>
        <w:t>bimensuels</w:t>
      </w:r>
      <w:r w:rsidRPr="00CF3B78">
        <w:rPr>
          <w:rFonts w:asciiTheme="majorHAnsi" w:hAnsiTheme="majorHAnsi"/>
        </w:rPr>
        <w:t xml:space="preserve"> (BFT-E).</w:t>
      </w:r>
    </w:p>
    <w:p w14:paraId="6C540495" w14:textId="77777777" w:rsidR="002E61FA" w:rsidRPr="00582ECD" w:rsidRDefault="002E61FA" w:rsidP="00D06415">
      <w:pPr>
        <w:ind w:left="1418" w:hanging="1418"/>
        <w:jc w:val="both"/>
        <w:rPr>
          <w:rFonts w:asciiTheme="majorHAnsi" w:hAnsiTheme="majorHAnsi"/>
          <w:bCs/>
          <w:iCs/>
        </w:rPr>
      </w:pPr>
    </w:p>
    <w:p w14:paraId="6E40AB7B" w14:textId="723DAF60" w:rsidR="002E61FA" w:rsidRPr="00582ECD" w:rsidRDefault="002E61FA" w:rsidP="00D06415">
      <w:pPr>
        <w:ind w:left="1418" w:hanging="1418"/>
        <w:jc w:val="both"/>
        <w:rPr>
          <w:rFonts w:asciiTheme="majorHAnsi" w:hAnsiTheme="majorHAnsi"/>
          <w:bCs/>
          <w:iCs/>
        </w:rPr>
      </w:pPr>
      <w:r w:rsidRPr="00582ECD">
        <w:rPr>
          <w:rFonts w:asciiTheme="majorHAnsi" w:hAnsiTheme="majorHAnsi"/>
          <w:b/>
        </w:rPr>
        <w:t>Tableau 9.</w:t>
      </w:r>
      <w:r w:rsidRPr="00582ECD">
        <w:rPr>
          <w:rFonts w:asciiTheme="majorHAnsi" w:hAnsiTheme="majorHAnsi"/>
        </w:rPr>
        <w:t xml:space="preserve"> </w:t>
      </w:r>
      <w:r w:rsidRPr="00582ECD">
        <w:rPr>
          <w:rFonts w:asciiTheme="majorHAnsi" w:hAnsiTheme="majorHAnsi"/>
        </w:rPr>
        <w:tab/>
        <w:t>Résumé des rapports de mise en cages de BFT-E.</w:t>
      </w:r>
    </w:p>
    <w:p w14:paraId="41FF887E" w14:textId="77777777" w:rsidR="002E61FA" w:rsidRPr="00582ECD" w:rsidRDefault="002E61FA" w:rsidP="00D06415">
      <w:pPr>
        <w:ind w:left="1418" w:hanging="1418"/>
        <w:jc w:val="both"/>
        <w:rPr>
          <w:rFonts w:asciiTheme="majorHAnsi" w:hAnsiTheme="majorHAnsi"/>
          <w:bCs/>
          <w:iCs/>
        </w:rPr>
      </w:pPr>
    </w:p>
    <w:p w14:paraId="34C257BC" w14:textId="437DFCF9" w:rsidR="002E61FA" w:rsidRPr="00582ECD" w:rsidRDefault="002E61FA" w:rsidP="00D06415">
      <w:pPr>
        <w:ind w:left="1418" w:hanging="1418"/>
        <w:jc w:val="both"/>
        <w:rPr>
          <w:rFonts w:asciiTheme="majorHAnsi" w:hAnsiTheme="majorHAnsi"/>
          <w:bCs/>
          <w:iCs/>
        </w:rPr>
      </w:pPr>
      <w:r w:rsidRPr="00582ECD">
        <w:rPr>
          <w:rFonts w:asciiTheme="majorHAnsi" w:hAnsiTheme="majorHAnsi"/>
          <w:b/>
        </w:rPr>
        <w:t>Tableau 10.</w:t>
      </w:r>
      <w:r w:rsidRPr="00582ECD">
        <w:rPr>
          <w:rFonts w:asciiTheme="majorHAnsi" w:hAnsiTheme="majorHAnsi"/>
        </w:rPr>
        <w:t xml:space="preserve"> </w:t>
      </w:r>
      <w:r w:rsidRPr="00582ECD">
        <w:rPr>
          <w:rFonts w:asciiTheme="majorHAnsi" w:hAnsiTheme="majorHAnsi"/>
        </w:rPr>
        <w:tab/>
        <w:t>Résumé des accords d'affrètement déclarés.</w:t>
      </w:r>
    </w:p>
    <w:p w14:paraId="7227D808" w14:textId="7D978EEF" w:rsidR="00C21FE0" w:rsidRPr="00582ECD" w:rsidRDefault="00C21FE0" w:rsidP="00D06415">
      <w:pPr>
        <w:ind w:left="1418" w:hanging="1418"/>
        <w:jc w:val="both"/>
        <w:rPr>
          <w:rFonts w:asciiTheme="majorHAnsi" w:hAnsiTheme="majorHAnsi"/>
          <w:bCs/>
          <w:iCs/>
        </w:rPr>
      </w:pPr>
    </w:p>
    <w:p w14:paraId="3A53538C" w14:textId="2C875ED9" w:rsidR="00C21FE0" w:rsidRPr="00D06415" w:rsidRDefault="00C21FE0" w:rsidP="00D06415">
      <w:pPr>
        <w:ind w:left="1418" w:hanging="1418"/>
        <w:jc w:val="both"/>
        <w:rPr>
          <w:rFonts w:asciiTheme="majorHAnsi" w:hAnsiTheme="majorHAnsi"/>
          <w:iCs/>
          <w:color w:val="000000"/>
        </w:rPr>
      </w:pPr>
      <w:r w:rsidRPr="00582ECD">
        <w:rPr>
          <w:rFonts w:asciiTheme="majorHAnsi" w:hAnsiTheme="majorHAnsi"/>
          <w:b/>
        </w:rPr>
        <w:t>Tableau 11.</w:t>
      </w:r>
      <w:r w:rsidRPr="00582ECD">
        <w:rPr>
          <w:rFonts w:asciiTheme="majorHAnsi" w:hAnsiTheme="majorHAnsi"/>
        </w:rPr>
        <w:t xml:space="preserve"> </w:t>
      </w:r>
      <w:r w:rsidRPr="00582ECD">
        <w:rPr>
          <w:rFonts w:asciiTheme="majorHAnsi" w:hAnsiTheme="majorHAnsi"/>
        </w:rPr>
        <w:tab/>
        <w:t>Résultats des contrôles aléatoires communiqués au Secrétariat de l’ICCAT conformément au paragraphe 218 de la Rec. 25-04.</w:t>
      </w:r>
    </w:p>
    <w:sectPr w:rsidR="00C21FE0" w:rsidRPr="00D06415" w:rsidSect="005C1EE7">
      <w:headerReference w:type="default" r:id="rId42"/>
      <w:footerReference w:type="default" r:id="rId43"/>
      <w:endnotePr>
        <w:numFmt w:val="decimal"/>
      </w:endnotePr>
      <w:pgSz w:w="11911" w:h="16832" w:code="9"/>
      <w:pgMar w:top="1418" w:right="1418" w:bottom="1418" w:left="1418" w:header="851" w:footer="1134"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179F7B" w14:textId="77777777" w:rsidR="00DA1D06" w:rsidRDefault="00DA1D06">
      <w:r>
        <w:separator/>
      </w:r>
    </w:p>
  </w:endnote>
  <w:endnote w:type="continuationSeparator" w:id="0">
    <w:p w14:paraId="41E05CA2" w14:textId="77777777" w:rsidR="00DA1D06" w:rsidRDefault="00DA1D06">
      <w:r>
        <w:continuationSeparator/>
      </w:r>
    </w:p>
  </w:endnote>
  <w:endnote w:type="continuationNotice" w:id="1">
    <w:p w14:paraId="7AB1DCE5" w14:textId="77777777" w:rsidR="00DA1D06" w:rsidRDefault="00DA1D0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Yu Mincho">
    <w:charset w:val="80"/>
    <w:family w:val="roman"/>
    <w:pitch w:val="variable"/>
    <w:sig w:usb0="800002E7" w:usb1="2AC7FCFF" w:usb2="00000012" w:usb3="00000000" w:csb0="0002009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3E54C7" w14:textId="696195B6" w:rsidR="003F3EC0" w:rsidRPr="00C6213D" w:rsidRDefault="00C6213D" w:rsidP="00C6213D">
    <w:pPr>
      <w:tabs>
        <w:tab w:val="center" w:pos="4535"/>
        <w:tab w:val="center" w:pos="4680"/>
        <w:tab w:val="left" w:pos="6150"/>
        <w:tab w:val="right" w:pos="9360"/>
      </w:tabs>
      <w:jc w:val="center"/>
      <w:rPr>
        <w:rFonts w:ascii="Cambria" w:eastAsia="Calibri" w:hAnsi="Cambria" w:cs="Calibri"/>
        <w:szCs w:val="22"/>
      </w:rPr>
    </w:pPr>
    <w:r w:rsidRPr="00D92816">
      <w:rPr>
        <w:rFonts w:ascii="Cambria" w:eastAsia="Calibri" w:hAnsi="Cambria" w:cs="Calibri"/>
      </w:rPr>
      <w:fldChar w:fldCharType="begin"/>
    </w:r>
    <w:r w:rsidRPr="00D92816">
      <w:rPr>
        <w:rFonts w:ascii="Cambria" w:eastAsia="Calibri" w:hAnsi="Cambria" w:cs="Calibri"/>
      </w:rPr>
      <w:instrText xml:space="preserve"> PAGE </w:instrText>
    </w:r>
    <w:r w:rsidRPr="00D92816">
      <w:rPr>
        <w:rFonts w:ascii="Cambria" w:eastAsia="Calibri" w:hAnsi="Cambria" w:cs="Calibri"/>
      </w:rPr>
      <w:fldChar w:fldCharType="separate"/>
    </w:r>
    <w:r>
      <w:rPr>
        <w:rFonts w:ascii="Cambria" w:eastAsia="Calibri" w:hAnsi="Cambria" w:cs="Calibri"/>
      </w:rPr>
      <w:t>1</w:t>
    </w:r>
    <w:r w:rsidRPr="00D92816">
      <w:rPr>
        <w:rFonts w:ascii="Cambria" w:eastAsia="Calibri" w:hAnsi="Cambria" w:cs="Calibri"/>
      </w:rPr>
      <w:fldChar w:fldCharType="end"/>
    </w:r>
    <w:r>
      <w:rPr>
        <w:rFonts w:ascii="Cambria" w:hAnsi="Cambria"/>
      </w:rPr>
      <w:t xml:space="preserve"> / </w:t>
    </w:r>
    <w:r w:rsidRPr="00D92816">
      <w:rPr>
        <w:rFonts w:ascii="Cambria" w:eastAsia="Calibri" w:hAnsi="Cambria" w:cs="Calibri"/>
      </w:rPr>
      <w:fldChar w:fldCharType="begin"/>
    </w:r>
    <w:r w:rsidRPr="00D92816">
      <w:rPr>
        <w:rFonts w:ascii="Cambria" w:eastAsia="Calibri" w:hAnsi="Cambria" w:cs="Calibri"/>
      </w:rPr>
      <w:instrText xml:space="preserve"> NUMPAGES  </w:instrText>
    </w:r>
    <w:r w:rsidRPr="00D92816">
      <w:rPr>
        <w:rFonts w:ascii="Cambria" w:eastAsia="Calibri" w:hAnsi="Cambria" w:cs="Calibri"/>
      </w:rPr>
      <w:fldChar w:fldCharType="separate"/>
    </w:r>
    <w:r>
      <w:rPr>
        <w:rFonts w:ascii="Cambria" w:eastAsia="Calibri" w:hAnsi="Cambria" w:cs="Calibri"/>
      </w:rPr>
      <w:t>8</w:t>
    </w:r>
    <w:r w:rsidRPr="00D92816">
      <w:rPr>
        <w:rFonts w:ascii="Cambria" w:eastAsia="Calibri" w:hAnsi="Cambria" w:cs="Calibri"/>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B0BEF7" w14:textId="77777777" w:rsidR="003F3EC0" w:rsidRPr="00C6213D" w:rsidRDefault="00C6213D" w:rsidP="00C6213D">
    <w:pPr>
      <w:tabs>
        <w:tab w:val="center" w:pos="4535"/>
        <w:tab w:val="center" w:pos="4680"/>
        <w:tab w:val="left" w:pos="6150"/>
        <w:tab w:val="right" w:pos="9360"/>
      </w:tabs>
      <w:jc w:val="center"/>
      <w:rPr>
        <w:rFonts w:ascii="Cambria" w:eastAsia="Calibri" w:hAnsi="Cambria" w:cs="Calibri"/>
        <w:szCs w:val="22"/>
      </w:rPr>
    </w:pPr>
    <w:r w:rsidRPr="00D92816">
      <w:rPr>
        <w:rFonts w:ascii="Cambria" w:eastAsia="Calibri" w:hAnsi="Cambria" w:cs="Calibri"/>
      </w:rPr>
      <w:fldChar w:fldCharType="begin"/>
    </w:r>
    <w:r w:rsidRPr="00D92816">
      <w:rPr>
        <w:rFonts w:ascii="Cambria" w:eastAsia="Calibri" w:hAnsi="Cambria" w:cs="Calibri"/>
      </w:rPr>
      <w:instrText xml:space="preserve"> PAGE </w:instrText>
    </w:r>
    <w:r w:rsidRPr="00D92816">
      <w:rPr>
        <w:rFonts w:ascii="Cambria" w:eastAsia="Calibri" w:hAnsi="Cambria" w:cs="Calibri"/>
      </w:rPr>
      <w:fldChar w:fldCharType="separate"/>
    </w:r>
    <w:r>
      <w:rPr>
        <w:rFonts w:ascii="Cambria" w:eastAsia="Calibri" w:hAnsi="Cambria" w:cs="Calibri"/>
      </w:rPr>
      <w:t>1</w:t>
    </w:r>
    <w:r w:rsidRPr="00D92816">
      <w:rPr>
        <w:rFonts w:ascii="Cambria" w:eastAsia="Calibri" w:hAnsi="Cambria" w:cs="Calibri"/>
      </w:rPr>
      <w:fldChar w:fldCharType="end"/>
    </w:r>
    <w:r>
      <w:rPr>
        <w:rFonts w:ascii="Cambria" w:hAnsi="Cambria"/>
      </w:rPr>
      <w:t xml:space="preserve"> / </w:t>
    </w:r>
    <w:r w:rsidRPr="00D92816">
      <w:rPr>
        <w:rFonts w:ascii="Cambria" w:eastAsia="Calibri" w:hAnsi="Cambria" w:cs="Calibri"/>
      </w:rPr>
      <w:fldChar w:fldCharType="begin"/>
    </w:r>
    <w:r w:rsidRPr="00D92816">
      <w:rPr>
        <w:rFonts w:ascii="Cambria" w:eastAsia="Calibri" w:hAnsi="Cambria" w:cs="Calibri"/>
      </w:rPr>
      <w:instrText xml:space="preserve"> NUMPAGES  </w:instrText>
    </w:r>
    <w:r w:rsidRPr="00D92816">
      <w:rPr>
        <w:rFonts w:ascii="Cambria" w:eastAsia="Calibri" w:hAnsi="Cambria" w:cs="Calibri"/>
      </w:rPr>
      <w:fldChar w:fldCharType="separate"/>
    </w:r>
    <w:r>
      <w:rPr>
        <w:rFonts w:ascii="Cambria" w:eastAsia="Calibri" w:hAnsi="Cambria" w:cs="Calibri"/>
      </w:rPr>
      <w:t>8</w:t>
    </w:r>
    <w:r w:rsidRPr="00D92816">
      <w:rPr>
        <w:rFonts w:ascii="Cambria" w:eastAsia="Calibri" w:hAnsi="Cambria" w:cs="Calibri"/>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572263" w14:textId="77777777" w:rsidR="00DA1D06" w:rsidRDefault="00DA1D06">
      <w:r>
        <w:separator/>
      </w:r>
    </w:p>
  </w:footnote>
  <w:footnote w:type="continuationSeparator" w:id="0">
    <w:p w14:paraId="24C9603E" w14:textId="77777777" w:rsidR="00DA1D06" w:rsidRDefault="00DA1D06">
      <w:r>
        <w:continuationSeparator/>
      </w:r>
    </w:p>
  </w:footnote>
  <w:footnote w:type="continuationNotice" w:id="1">
    <w:p w14:paraId="68ED5BCB" w14:textId="77777777" w:rsidR="00DA1D06" w:rsidRDefault="00DA1D06"/>
  </w:footnote>
  <w:footnote w:id="2">
    <w:p w14:paraId="0C3E2FF5" w14:textId="3AEC4FF1" w:rsidR="00E136DE" w:rsidRPr="007F6290" w:rsidRDefault="00E136DE">
      <w:pPr>
        <w:pStyle w:val="FootnoteText"/>
        <w:rPr>
          <w:rFonts w:asciiTheme="majorHAnsi" w:hAnsiTheme="majorHAnsi"/>
          <w:sz w:val="16"/>
          <w:szCs w:val="16"/>
        </w:rPr>
      </w:pPr>
      <w:r w:rsidRPr="007F6290">
        <w:rPr>
          <w:rStyle w:val="FootnoteReference"/>
          <w:rFonts w:asciiTheme="majorHAnsi" w:hAnsiTheme="majorHAnsi"/>
          <w:sz w:val="16"/>
          <w:szCs w:val="16"/>
        </w:rPr>
        <w:footnoteRef/>
      </w:r>
      <w:r w:rsidRPr="007F6290">
        <w:rPr>
          <w:rFonts w:asciiTheme="majorHAnsi" w:hAnsiTheme="majorHAnsi"/>
          <w:sz w:val="16"/>
          <w:szCs w:val="16"/>
        </w:rPr>
        <w:t xml:space="preserve"> Les éléments relatifs aux navires autorisés à utiliser des lignes de piégeage (à savoir les formulaires de déclaration et le format de présentation de la liste sur le site web de l’ICCAT) sont en cours d'élaboration. Ils sont donc susceptibles d'être modifiées en fonction des commentaires que le Secrétariat recevra du SCRS ou de la Commission.</w:t>
      </w:r>
    </w:p>
  </w:footnote>
  <w:footnote w:id="3">
    <w:p w14:paraId="7E386763" w14:textId="631FA998" w:rsidR="005F7EB3" w:rsidRPr="00800B01" w:rsidRDefault="005F7EB3" w:rsidP="00800B01">
      <w:pPr>
        <w:pStyle w:val="FootnoteText"/>
        <w:jc w:val="both"/>
        <w:rPr>
          <w:rFonts w:asciiTheme="majorHAnsi" w:hAnsiTheme="majorHAnsi"/>
          <w:sz w:val="16"/>
          <w:szCs w:val="16"/>
        </w:rPr>
      </w:pPr>
      <w:r w:rsidRPr="00800B01">
        <w:rPr>
          <w:rStyle w:val="FootnoteReference"/>
          <w:rFonts w:asciiTheme="majorHAnsi" w:hAnsiTheme="majorHAnsi"/>
          <w:sz w:val="16"/>
          <w:szCs w:val="16"/>
        </w:rPr>
        <w:footnoteRef/>
      </w:r>
      <w:r w:rsidRPr="00800B01">
        <w:rPr>
          <w:rFonts w:asciiTheme="majorHAnsi" w:hAnsiTheme="majorHAnsi"/>
          <w:sz w:val="16"/>
          <w:szCs w:val="16"/>
        </w:rPr>
        <w:t xml:space="preserve"> </w:t>
      </w:r>
      <w:r w:rsidR="00707C84" w:rsidRPr="00800B01">
        <w:rPr>
          <w:rFonts w:asciiTheme="majorHAnsi" w:hAnsiTheme="majorHAnsi"/>
          <w:sz w:val="16"/>
          <w:szCs w:val="16"/>
        </w:rPr>
        <w:t>À l'issue d'une consultation avec le Président de la Sous-commission 2 et comme indiqué dans la circulaire n° 12095/25 de l’ICCAT, la Rec.25-04 a été retenue comme seule référence pour la campagne de pêche 2026 au thon rouge de l'Atlantique Est et de la Méditerranée.</w:t>
      </w:r>
      <w:r w:rsidR="00800B01" w:rsidRPr="00800B01">
        <w:rPr>
          <w:rFonts w:asciiTheme="majorHAnsi" w:hAnsiTheme="majorHAnsi"/>
          <w:sz w:val="16"/>
          <w:szCs w:val="16"/>
        </w:rPr>
        <w:t xml:space="preserve"> </w:t>
      </w:r>
      <w:r w:rsidR="00800B01" w:rsidRPr="00800B01">
        <w:rPr>
          <w:rFonts w:asciiTheme="majorHAnsi" w:hAnsiTheme="majorHAnsi"/>
          <w:sz w:val="16"/>
          <w:szCs w:val="16"/>
        </w:rPr>
        <w:t>Ce cadre comprend les quotas, les procédures de report, la date d'ouverture de la campagne de pêche à la senne, ainsi que le format actualisé des plans de pêche, d'élevage, d'inspection et de gestion de la capacité (formulaire CP47-EBFTPlans).</w:t>
      </w:r>
    </w:p>
  </w:footnote>
  <w:footnote w:id="4">
    <w:p w14:paraId="7692FC73" w14:textId="77777777" w:rsidR="002E0265" w:rsidRPr="00B97891" w:rsidRDefault="002E0265" w:rsidP="002E0265">
      <w:pPr>
        <w:pStyle w:val="FootnoteText"/>
        <w:jc w:val="both"/>
        <w:rPr>
          <w:rFonts w:asciiTheme="majorHAnsi" w:hAnsiTheme="majorHAnsi"/>
          <w:sz w:val="16"/>
          <w:szCs w:val="16"/>
        </w:rPr>
      </w:pPr>
      <w:r w:rsidRPr="00CF3B78">
        <w:rPr>
          <w:rStyle w:val="FootnoteReference"/>
          <w:rFonts w:asciiTheme="majorHAnsi" w:hAnsiTheme="majorHAnsi"/>
          <w:sz w:val="16"/>
          <w:szCs w:val="16"/>
        </w:rPr>
        <w:footnoteRef/>
      </w:r>
      <w:r w:rsidRPr="00CF3B78">
        <w:rPr>
          <w:rFonts w:asciiTheme="majorHAnsi" w:hAnsiTheme="majorHAnsi"/>
          <w:sz w:val="16"/>
        </w:rPr>
        <w:t xml:space="preserve"> La forte augmentation du nombre de navires émetteurs nouvellement détectés est due à un problème technique affectant un CPC, qui a généré des transmissions apparentes (« fantômes ») provenant de navires non enregistrés. Le nombre total de navires enregistrés dans le VMS est resté pratiquement inchangé, chaque navire nouvellement détecté n'ayant transmis qu'un ou deux messages.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5C9F85" w14:textId="230CFD70" w:rsidR="00B51754" w:rsidRPr="00B51754" w:rsidRDefault="00B51754" w:rsidP="00B51754">
    <w:pPr>
      <w:tabs>
        <w:tab w:val="center" w:pos="4680"/>
        <w:tab w:val="left" w:pos="6520"/>
        <w:tab w:val="right" w:pos="9360"/>
        <w:tab w:val="right" w:pos="14240"/>
      </w:tabs>
      <w:spacing w:line="240" w:lineRule="atLeast"/>
      <w:jc w:val="right"/>
      <w:rPr>
        <w:rFonts w:ascii="Cambria" w:eastAsia="Calibri" w:hAnsi="Cambria"/>
        <w:b/>
        <w:bCs/>
        <w:kern w:val="2"/>
        <w14:ligatures w14:val="standardContextual"/>
      </w:rPr>
    </w:pPr>
    <w:bookmarkStart w:id="11" w:name="_Hlk51237468"/>
    <w:bookmarkStart w:id="12" w:name="_Hlk107908354"/>
    <w:bookmarkStart w:id="13" w:name="_Hlk107908355"/>
    <w:bookmarkStart w:id="14" w:name="_Hlk107908359"/>
    <w:bookmarkStart w:id="15" w:name="_Hlk107908360"/>
    <w:bookmarkStart w:id="16" w:name="_Hlk107908361"/>
    <w:bookmarkStart w:id="17" w:name="_Hlk107908362"/>
    <w:r>
      <w:rPr>
        <w:rFonts w:ascii="Cambria" w:hAnsi="Cambria"/>
        <w:b/>
      </w:rPr>
      <w:t>COC_303/2026</w:t>
    </w:r>
  </w:p>
  <w:p w14:paraId="27606F82" w14:textId="32D8A366" w:rsidR="00B51754" w:rsidRPr="00B51754" w:rsidRDefault="00B51754" w:rsidP="00B51754">
    <w:pPr>
      <w:widowControl/>
      <w:tabs>
        <w:tab w:val="left" w:pos="7320"/>
      </w:tabs>
      <w:autoSpaceDE/>
      <w:autoSpaceDN/>
      <w:adjustRightInd/>
      <w:spacing w:line="240" w:lineRule="atLeast"/>
      <w:jc w:val="right"/>
      <w:rPr>
        <w:rFonts w:ascii="Cambria" w:eastAsia="Yu Mincho" w:hAnsi="Cambria"/>
        <w:b/>
        <w:bCs/>
        <w:kern w:val="2"/>
        <w:sz w:val="16"/>
        <w:szCs w:val="16"/>
        <w14:ligatures w14:val="standardContextual"/>
      </w:rPr>
    </w:pPr>
    <w:r w:rsidRPr="00B51754">
      <w:rPr>
        <w:rFonts w:ascii="Cambria" w:eastAsia="Yu Mincho" w:hAnsi="Cambria"/>
        <w:b/>
        <w:sz w:val="16"/>
      </w:rPr>
      <w:fldChar w:fldCharType="begin"/>
    </w:r>
    <w:r w:rsidRPr="00B51754">
      <w:rPr>
        <w:rFonts w:ascii="Cambria" w:eastAsia="Yu Mincho" w:hAnsi="Cambria"/>
        <w:b/>
        <w:sz w:val="16"/>
      </w:rPr>
      <w:instrText xml:space="preserve"> TIME \@ "dd/MM/yyyy H:mm" </w:instrText>
    </w:r>
    <w:r w:rsidRPr="00B51754">
      <w:rPr>
        <w:rFonts w:ascii="Cambria" w:eastAsia="Yu Mincho" w:hAnsi="Cambria"/>
        <w:b/>
        <w:sz w:val="16"/>
      </w:rPr>
      <w:fldChar w:fldCharType="separate"/>
    </w:r>
    <w:r w:rsidR="0093557F">
      <w:rPr>
        <w:rFonts w:ascii="Cambria" w:eastAsia="Yu Mincho" w:hAnsi="Cambria"/>
        <w:b/>
        <w:noProof/>
        <w:sz w:val="16"/>
      </w:rPr>
      <w:t>27/10/2026 10:16</w:t>
    </w:r>
    <w:r w:rsidRPr="00B51754">
      <w:rPr>
        <w:rFonts w:ascii="Cambria" w:eastAsia="Yu Mincho" w:hAnsi="Cambria"/>
        <w:b/>
        <w:bCs/>
        <w:kern w:val="2"/>
        <w:sz w:val="16"/>
        <w:szCs w:val="16"/>
        <w:lang w:eastAsia="ja-JP"/>
        <w14:ligatures w14:val="standardContextual"/>
      </w:rPr>
      <w:fldChar w:fldCharType="end"/>
    </w:r>
    <w:bookmarkEnd w:id="11"/>
    <w:bookmarkEnd w:id="12"/>
    <w:bookmarkEnd w:id="13"/>
    <w:bookmarkEnd w:id="14"/>
    <w:bookmarkEnd w:id="15"/>
    <w:bookmarkEnd w:id="16"/>
    <w:bookmarkEnd w:id="17"/>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F5510A" w14:textId="74C269CE" w:rsidR="00B51754" w:rsidRPr="00B51754" w:rsidRDefault="00B51754" w:rsidP="00B51754">
    <w:pPr>
      <w:tabs>
        <w:tab w:val="center" w:pos="4680"/>
        <w:tab w:val="left" w:pos="6520"/>
        <w:tab w:val="right" w:pos="9360"/>
        <w:tab w:val="right" w:pos="14240"/>
      </w:tabs>
      <w:spacing w:line="240" w:lineRule="atLeast"/>
      <w:jc w:val="right"/>
      <w:rPr>
        <w:rFonts w:ascii="Cambria" w:eastAsia="Calibri" w:hAnsi="Cambria"/>
        <w:b/>
        <w:bCs/>
        <w:kern w:val="2"/>
        <w14:ligatures w14:val="standardContextual"/>
      </w:rPr>
    </w:pPr>
    <w:r>
      <w:rPr>
        <w:rFonts w:ascii="Cambria" w:hAnsi="Cambria"/>
        <w:b/>
      </w:rPr>
      <w:t>COC_303/2026</w:t>
    </w:r>
  </w:p>
  <w:p w14:paraId="4B32D83B" w14:textId="1015A5B2" w:rsidR="00B51754" w:rsidRPr="00B51754" w:rsidRDefault="00B51754" w:rsidP="00B51754">
    <w:pPr>
      <w:widowControl/>
      <w:tabs>
        <w:tab w:val="left" w:pos="7320"/>
      </w:tabs>
      <w:autoSpaceDE/>
      <w:autoSpaceDN/>
      <w:adjustRightInd/>
      <w:spacing w:line="240" w:lineRule="atLeast"/>
      <w:jc w:val="right"/>
      <w:rPr>
        <w:rFonts w:ascii="Cambria" w:eastAsia="Yu Mincho" w:hAnsi="Cambria"/>
        <w:b/>
        <w:bCs/>
        <w:kern w:val="2"/>
        <w:sz w:val="16"/>
        <w:szCs w:val="16"/>
        <w14:ligatures w14:val="standardContextual"/>
      </w:rPr>
    </w:pPr>
    <w:r w:rsidRPr="00B51754">
      <w:rPr>
        <w:rFonts w:ascii="Cambria" w:eastAsia="Yu Mincho" w:hAnsi="Cambria"/>
        <w:b/>
        <w:sz w:val="16"/>
      </w:rPr>
      <w:fldChar w:fldCharType="begin"/>
    </w:r>
    <w:r w:rsidRPr="00B51754">
      <w:rPr>
        <w:rFonts w:ascii="Cambria" w:eastAsia="Yu Mincho" w:hAnsi="Cambria"/>
        <w:b/>
        <w:sz w:val="16"/>
      </w:rPr>
      <w:instrText xml:space="preserve"> TIME \@ "dd/MM/yyyy H:mm" </w:instrText>
    </w:r>
    <w:r w:rsidRPr="00B51754">
      <w:rPr>
        <w:rFonts w:ascii="Cambria" w:eastAsia="Yu Mincho" w:hAnsi="Cambria"/>
        <w:b/>
        <w:sz w:val="16"/>
      </w:rPr>
      <w:fldChar w:fldCharType="separate"/>
    </w:r>
    <w:r w:rsidR="0093557F">
      <w:rPr>
        <w:rFonts w:ascii="Cambria" w:eastAsia="Yu Mincho" w:hAnsi="Cambria"/>
        <w:b/>
        <w:noProof/>
        <w:sz w:val="16"/>
      </w:rPr>
      <w:t>27/10/2026 10:16</w:t>
    </w:r>
    <w:r w:rsidRPr="00B51754">
      <w:rPr>
        <w:rFonts w:ascii="Cambria" w:eastAsia="Yu Mincho" w:hAnsi="Cambria"/>
        <w:b/>
        <w:bCs/>
        <w:kern w:val="2"/>
        <w:sz w:val="16"/>
        <w:szCs w:val="16"/>
        <w:lang w:eastAsia="ja-JP"/>
        <w14:ligatures w14:val="standardContextual"/>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41752"/>
    <w:multiLevelType w:val="hybridMultilevel"/>
    <w:tmpl w:val="2714A858"/>
    <w:lvl w:ilvl="0" w:tplc="659212A0">
      <w:start w:val="1"/>
      <w:numFmt w:val="decimal"/>
      <w:lvlText w:val="%1."/>
      <w:lvlJc w:val="left"/>
      <w:pPr>
        <w:ind w:left="720" w:hanging="360"/>
      </w:pPr>
      <w:rPr>
        <w:sz w:val="20"/>
        <w:szCs w:val="20"/>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 w15:restartNumberingAfterBreak="0">
    <w:nsid w:val="097B57C7"/>
    <w:multiLevelType w:val="hybridMultilevel"/>
    <w:tmpl w:val="4FFCE6EE"/>
    <w:lvl w:ilvl="0" w:tplc="81923C5E">
      <w:start w:val="30"/>
      <w:numFmt w:val="bullet"/>
      <w:lvlText w:val="-"/>
      <w:lvlJc w:val="left"/>
      <w:pPr>
        <w:ind w:left="360" w:hanging="360"/>
      </w:pPr>
      <w:rPr>
        <w:rFonts w:ascii="Calibri" w:eastAsiaTheme="minorHAnsi" w:hAnsi="Calibri" w:cs="Calibr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172B100D"/>
    <w:multiLevelType w:val="hybridMultilevel"/>
    <w:tmpl w:val="DD8E388C"/>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1BB34E78"/>
    <w:multiLevelType w:val="hybridMultilevel"/>
    <w:tmpl w:val="46FCABD0"/>
    <w:lvl w:ilvl="0" w:tplc="81923C5E">
      <w:start w:val="30"/>
      <w:numFmt w:val="bullet"/>
      <w:lvlText w:val="-"/>
      <w:lvlJc w:val="left"/>
      <w:pPr>
        <w:ind w:left="360" w:hanging="360"/>
      </w:pPr>
      <w:rPr>
        <w:rFonts w:ascii="Calibri" w:eastAsiaTheme="minorHAnsi" w:hAnsi="Calibri" w:cs="Calibr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1C8833F6"/>
    <w:multiLevelType w:val="hybridMultilevel"/>
    <w:tmpl w:val="E1889D58"/>
    <w:lvl w:ilvl="0" w:tplc="52C23342">
      <w:start w:val="12"/>
      <w:numFmt w:val="bullet"/>
      <w:lvlText w:val="–"/>
      <w:lvlJc w:val="left"/>
      <w:pPr>
        <w:tabs>
          <w:tab w:val="num" w:pos="720"/>
        </w:tabs>
        <w:ind w:left="720" w:hanging="360"/>
      </w:pPr>
      <w:rPr>
        <w:rFonts w:ascii="Times New Roman" w:eastAsia="Times New Roman" w:hAnsi="Times New Roman" w:cs="Times New Roman"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5" w15:restartNumberingAfterBreak="0">
    <w:nsid w:val="1FB923B0"/>
    <w:multiLevelType w:val="hybridMultilevel"/>
    <w:tmpl w:val="95F6ADBA"/>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20370FD6"/>
    <w:multiLevelType w:val="hybridMultilevel"/>
    <w:tmpl w:val="DD7C851E"/>
    <w:lvl w:ilvl="0" w:tplc="E968C7DC">
      <w:numFmt w:val="bullet"/>
      <w:lvlText w:val=""/>
      <w:lvlJc w:val="left"/>
      <w:pPr>
        <w:tabs>
          <w:tab w:val="num" w:pos="720"/>
        </w:tabs>
        <w:ind w:left="720" w:hanging="360"/>
      </w:pPr>
      <w:rPr>
        <w:rFonts w:ascii="Wingdings" w:eastAsia="Times New Roman" w:hAnsi="Wingdings" w:cs="Aria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53A6037"/>
    <w:multiLevelType w:val="multilevel"/>
    <w:tmpl w:val="309AE222"/>
    <w:lvl w:ilvl="0">
      <w:start w:val="1"/>
      <w:numFmt w:val="bullet"/>
      <w:lvlText w:val="‑"/>
      <w:lvlJc w:val="left"/>
      <w:pPr>
        <w:tabs>
          <w:tab w:val="num" w:pos="720"/>
        </w:tabs>
        <w:ind w:left="720" w:hanging="360"/>
      </w:pPr>
      <w:rPr>
        <w:rFonts w:ascii="Cambria" w:hAnsi="Cambria"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945023F"/>
    <w:multiLevelType w:val="hybridMultilevel"/>
    <w:tmpl w:val="C0421D8C"/>
    <w:lvl w:ilvl="0" w:tplc="3BF6B372">
      <w:numFmt w:val="bullet"/>
      <w:lvlText w:val=""/>
      <w:lvlJc w:val="left"/>
      <w:pPr>
        <w:tabs>
          <w:tab w:val="num" w:pos="720"/>
        </w:tabs>
        <w:ind w:left="720" w:hanging="360"/>
      </w:pPr>
      <w:rPr>
        <w:rFonts w:ascii="Wingdings" w:eastAsia="Times New Roman" w:hAnsi="Wingdings" w:cs="Aria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36C7334C"/>
    <w:multiLevelType w:val="hybridMultilevel"/>
    <w:tmpl w:val="407AFCB4"/>
    <w:lvl w:ilvl="0" w:tplc="08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C9F3C1F"/>
    <w:multiLevelType w:val="hybridMultilevel"/>
    <w:tmpl w:val="441AF51A"/>
    <w:lvl w:ilvl="0" w:tplc="81923C5E">
      <w:start w:val="30"/>
      <w:numFmt w:val="bullet"/>
      <w:lvlText w:val="-"/>
      <w:lvlJc w:val="left"/>
      <w:pPr>
        <w:ind w:left="360" w:hanging="360"/>
      </w:pPr>
      <w:rPr>
        <w:rFonts w:ascii="Calibri" w:eastAsiaTheme="minorHAnsi" w:hAnsi="Calibri" w:cs="Calibri"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1" w15:restartNumberingAfterBreak="0">
    <w:nsid w:val="4FB52291"/>
    <w:multiLevelType w:val="hybridMultilevel"/>
    <w:tmpl w:val="2714A858"/>
    <w:lvl w:ilvl="0" w:tplc="659212A0">
      <w:start w:val="1"/>
      <w:numFmt w:val="decimal"/>
      <w:lvlText w:val="%1."/>
      <w:lvlJc w:val="left"/>
      <w:pPr>
        <w:ind w:left="720" w:hanging="360"/>
      </w:pPr>
      <w:rPr>
        <w:sz w:val="20"/>
        <w:szCs w:val="20"/>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2" w15:restartNumberingAfterBreak="0">
    <w:nsid w:val="51F86972"/>
    <w:multiLevelType w:val="hybridMultilevel"/>
    <w:tmpl w:val="702EEE92"/>
    <w:lvl w:ilvl="0" w:tplc="E5BCE22C">
      <w:start w:val="8002"/>
      <w:numFmt w:val="bullet"/>
      <w:lvlText w:val="-"/>
      <w:lvlJc w:val="left"/>
      <w:pPr>
        <w:ind w:left="360" w:hanging="360"/>
      </w:pPr>
      <w:rPr>
        <w:rFonts w:ascii="Times New Roman" w:eastAsia="Times New Roman" w:hAnsi="Times New Roman" w:cs="Times New Roman" w:hint="default"/>
      </w:rPr>
    </w:lvl>
    <w:lvl w:ilvl="1" w:tplc="041F0003">
      <w:start w:val="1"/>
      <w:numFmt w:val="bullet"/>
      <w:lvlText w:val="o"/>
      <w:lvlJc w:val="left"/>
      <w:pPr>
        <w:ind w:left="1080" w:hanging="360"/>
      </w:pPr>
      <w:rPr>
        <w:rFonts w:ascii="Courier New" w:hAnsi="Courier New" w:cs="Courier New" w:hint="default"/>
      </w:rPr>
    </w:lvl>
    <w:lvl w:ilvl="2" w:tplc="041F0005">
      <w:start w:val="1"/>
      <w:numFmt w:val="bullet"/>
      <w:lvlText w:val=""/>
      <w:lvlJc w:val="left"/>
      <w:pPr>
        <w:ind w:left="1800" w:hanging="360"/>
      </w:pPr>
      <w:rPr>
        <w:rFonts w:ascii="Wingdings" w:hAnsi="Wingdings" w:hint="default"/>
      </w:rPr>
    </w:lvl>
    <w:lvl w:ilvl="3" w:tplc="041F0001">
      <w:start w:val="1"/>
      <w:numFmt w:val="bullet"/>
      <w:lvlText w:val=""/>
      <w:lvlJc w:val="left"/>
      <w:pPr>
        <w:ind w:left="2520" w:hanging="360"/>
      </w:pPr>
      <w:rPr>
        <w:rFonts w:ascii="Symbol" w:hAnsi="Symbol" w:hint="default"/>
      </w:rPr>
    </w:lvl>
    <w:lvl w:ilvl="4" w:tplc="041F0003">
      <w:start w:val="1"/>
      <w:numFmt w:val="bullet"/>
      <w:lvlText w:val="o"/>
      <w:lvlJc w:val="left"/>
      <w:pPr>
        <w:ind w:left="3240" w:hanging="360"/>
      </w:pPr>
      <w:rPr>
        <w:rFonts w:ascii="Courier New" w:hAnsi="Courier New" w:cs="Courier New" w:hint="default"/>
      </w:rPr>
    </w:lvl>
    <w:lvl w:ilvl="5" w:tplc="041F0005">
      <w:start w:val="1"/>
      <w:numFmt w:val="bullet"/>
      <w:lvlText w:val=""/>
      <w:lvlJc w:val="left"/>
      <w:pPr>
        <w:ind w:left="3960" w:hanging="360"/>
      </w:pPr>
      <w:rPr>
        <w:rFonts w:ascii="Wingdings" w:hAnsi="Wingdings" w:hint="default"/>
      </w:rPr>
    </w:lvl>
    <w:lvl w:ilvl="6" w:tplc="041F0001">
      <w:start w:val="1"/>
      <w:numFmt w:val="bullet"/>
      <w:lvlText w:val=""/>
      <w:lvlJc w:val="left"/>
      <w:pPr>
        <w:ind w:left="4680" w:hanging="360"/>
      </w:pPr>
      <w:rPr>
        <w:rFonts w:ascii="Symbol" w:hAnsi="Symbol" w:hint="default"/>
      </w:rPr>
    </w:lvl>
    <w:lvl w:ilvl="7" w:tplc="041F0003">
      <w:start w:val="1"/>
      <w:numFmt w:val="bullet"/>
      <w:lvlText w:val="o"/>
      <w:lvlJc w:val="left"/>
      <w:pPr>
        <w:ind w:left="5400" w:hanging="360"/>
      </w:pPr>
      <w:rPr>
        <w:rFonts w:ascii="Courier New" w:hAnsi="Courier New" w:cs="Courier New" w:hint="default"/>
      </w:rPr>
    </w:lvl>
    <w:lvl w:ilvl="8" w:tplc="041F0005">
      <w:start w:val="1"/>
      <w:numFmt w:val="bullet"/>
      <w:lvlText w:val=""/>
      <w:lvlJc w:val="left"/>
      <w:pPr>
        <w:ind w:left="6120" w:hanging="360"/>
      </w:pPr>
      <w:rPr>
        <w:rFonts w:ascii="Wingdings" w:hAnsi="Wingdings" w:hint="default"/>
      </w:rPr>
    </w:lvl>
  </w:abstractNum>
  <w:abstractNum w:abstractNumId="13" w15:restartNumberingAfterBreak="0">
    <w:nsid w:val="65F47BDB"/>
    <w:multiLevelType w:val="hybridMultilevel"/>
    <w:tmpl w:val="3B6C0D7C"/>
    <w:lvl w:ilvl="0" w:tplc="81923C5E">
      <w:start w:val="30"/>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D290FD1"/>
    <w:multiLevelType w:val="multilevel"/>
    <w:tmpl w:val="CDD616B6"/>
    <w:lvl w:ilvl="0">
      <w:start w:val="6"/>
      <w:numFmt w:val="decimalZero"/>
      <w:lvlText w:val="%1"/>
      <w:lvlJc w:val="left"/>
      <w:pPr>
        <w:tabs>
          <w:tab w:val="num" w:pos="840"/>
        </w:tabs>
        <w:ind w:left="840" w:hanging="840"/>
      </w:pPr>
      <w:rPr>
        <w:rFonts w:hint="default"/>
      </w:rPr>
    </w:lvl>
    <w:lvl w:ilvl="1">
      <w:start w:val="10"/>
      <w:numFmt w:val="decimal"/>
      <w:lvlText w:val="%1-%2"/>
      <w:lvlJc w:val="left"/>
      <w:pPr>
        <w:tabs>
          <w:tab w:val="num" w:pos="1272"/>
        </w:tabs>
        <w:ind w:left="1272" w:hanging="840"/>
      </w:pPr>
      <w:rPr>
        <w:rFonts w:hint="default"/>
      </w:rPr>
    </w:lvl>
    <w:lvl w:ilvl="2">
      <w:start w:val="1"/>
      <w:numFmt w:val="decimal"/>
      <w:lvlText w:val="%1-%2.%3"/>
      <w:lvlJc w:val="left"/>
      <w:pPr>
        <w:tabs>
          <w:tab w:val="num" w:pos="1704"/>
        </w:tabs>
        <w:ind w:left="1704" w:hanging="840"/>
      </w:pPr>
      <w:rPr>
        <w:rFonts w:hint="default"/>
      </w:rPr>
    </w:lvl>
    <w:lvl w:ilvl="3">
      <w:start w:val="1"/>
      <w:numFmt w:val="decimal"/>
      <w:lvlText w:val="%1-%2.%3.%4"/>
      <w:lvlJc w:val="left"/>
      <w:pPr>
        <w:tabs>
          <w:tab w:val="num" w:pos="2136"/>
        </w:tabs>
        <w:ind w:left="2136" w:hanging="840"/>
      </w:pPr>
      <w:rPr>
        <w:rFonts w:hint="default"/>
      </w:rPr>
    </w:lvl>
    <w:lvl w:ilvl="4">
      <w:start w:val="1"/>
      <w:numFmt w:val="decimal"/>
      <w:lvlText w:val="%1-%2.%3.%4.%5"/>
      <w:lvlJc w:val="left"/>
      <w:pPr>
        <w:tabs>
          <w:tab w:val="num" w:pos="2568"/>
        </w:tabs>
        <w:ind w:left="2568" w:hanging="840"/>
      </w:pPr>
      <w:rPr>
        <w:rFonts w:hint="default"/>
      </w:rPr>
    </w:lvl>
    <w:lvl w:ilvl="5">
      <w:start w:val="1"/>
      <w:numFmt w:val="decimal"/>
      <w:lvlText w:val="%1-%2.%3.%4.%5.%6"/>
      <w:lvlJc w:val="left"/>
      <w:pPr>
        <w:tabs>
          <w:tab w:val="num" w:pos="3240"/>
        </w:tabs>
        <w:ind w:left="3240" w:hanging="1080"/>
      </w:pPr>
      <w:rPr>
        <w:rFonts w:hint="default"/>
      </w:rPr>
    </w:lvl>
    <w:lvl w:ilvl="6">
      <w:start w:val="1"/>
      <w:numFmt w:val="decimal"/>
      <w:lvlText w:val="%1-%2.%3.%4.%5.%6.%7"/>
      <w:lvlJc w:val="left"/>
      <w:pPr>
        <w:tabs>
          <w:tab w:val="num" w:pos="3672"/>
        </w:tabs>
        <w:ind w:left="3672" w:hanging="1080"/>
      </w:pPr>
      <w:rPr>
        <w:rFonts w:hint="default"/>
      </w:rPr>
    </w:lvl>
    <w:lvl w:ilvl="7">
      <w:start w:val="1"/>
      <w:numFmt w:val="decimal"/>
      <w:lvlText w:val="%1-%2.%3.%4.%5.%6.%7.%8"/>
      <w:lvlJc w:val="left"/>
      <w:pPr>
        <w:tabs>
          <w:tab w:val="num" w:pos="4464"/>
        </w:tabs>
        <w:ind w:left="4464" w:hanging="1440"/>
      </w:pPr>
      <w:rPr>
        <w:rFonts w:hint="default"/>
      </w:rPr>
    </w:lvl>
    <w:lvl w:ilvl="8">
      <w:start w:val="1"/>
      <w:numFmt w:val="decimal"/>
      <w:lvlText w:val="%1-%2.%3.%4.%5.%6.%7.%8.%9"/>
      <w:lvlJc w:val="left"/>
      <w:pPr>
        <w:tabs>
          <w:tab w:val="num" w:pos="4896"/>
        </w:tabs>
        <w:ind w:left="4896" w:hanging="1440"/>
      </w:pPr>
      <w:rPr>
        <w:rFonts w:hint="default"/>
      </w:rPr>
    </w:lvl>
  </w:abstractNum>
  <w:num w:numId="1" w16cid:durableId="915017251">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04623495">
    <w:abstractNumId w:val="6"/>
  </w:num>
  <w:num w:numId="3" w16cid:durableId="706874014">
    <w:abstractNumId w:val="8"/>
  </w:num>
  <w:num w:numId="4" w16cid:durableId="438182842">
    <w:abstractNumId w:val="14"/>
  </w:num>
  <w:num w:numId="5" w16cid:durableId="1969772511">
    <w:abstractNumId w:val="9"/>
  </w:num>
  <w:num w:numId="6" w16cid:durableId="371922932">
    <w:abstractNumId w:val="11"/>
  </w:num>
  <w:num w:numId="7" w16cid:durableId="1820265095">
    <w:abstractNumId w:val="0"/>
  </w:num>
  <w:num w:numId="8" w16cid:durableId="27923505">
    <w:abstractNumId w:val="5"/>
  </w:num>
  <w:num w:numId="9" w16cid:durableId="1699427370">
    <w:abstractNumId w:val="2"/>
  </w:num>
  <w:num w:numId="10" w16cid:durableId="244195111">
    <w:abstractNumId w:val="13"/>
  </w:num>
  <w:num w:numId="11" w16cid:durableId="1505630998">
    <w:abstractNumId w:val="12"/>
  </w:num>
  <w:num w:numId="12" w16cid:durableId="735905790">
    <w:abstractNumId w:val="7"/>
  </w:num>
  <w:num w:numId="13" w16cid:durableId="911352777">
    <w:abstractNumId w:val="10"/>
  </w:num>
  <w:num w:numId="14" w16cid:durableId="623928830">
    <w:abstractNumId w:val="1"/>
  </w:num>
  <w:num w:numId="15" w16cid:durableId="1119951453">
    <w:abstractNumId w:val="3"/>
  </w:num>
  <w:num w:numId="16" w16cid:durableId="34671058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340"/>
  <w:hyphenationZone w:val="936"/>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hdrShapeDefaults>
    <o:shapedefaults v:ext="edit" spidmax="2050"/>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C1114"/>
    <w:rsid w:val="000004D8"/>
    <w:rsid w:val="0000051E"/>
    <w:rsid w:val="0000149F"/>
    <w:rsid w:val="000014C2"/>
    <w:rsid w:val="00001901"/>
    <w:rsid w:val="000021FF"/>
    <w:rsid w:val="00003302"/>
    <w:rsid w:val="00005789"/>
    <w:rsid w:val="00005EA9"/>
    <w:rsid w:val="00006710"/>
    <w:rsid w:val="0000673A"/>
    <w:rsid w:val="00007651"/>
    <w:rsid w:val="00007B8D"/>
    <w:rsid w:val="00010382"/>
    <w:rsid w:val="00010D82"/>
    <w:rsid w:val="0001132E"/>
    <w:rsid w:val="00011618"/>
    <w:rsid w:val="00011D93"/>
    <w:rsid w:val="00011F6B"/>
    <w:rsid w:val="00013CB5"/>
    <w:rsid w:val="00013DEE"/>
    <w:rsid w:val="00015231"/>
    <w:rsid w:val="0001525A"/>
    <w:rsid w:val="0001572E"/>
    <w:rsid w:val="00015B4B"/>
    <w:rsid w:val="000167A9"/>
    <w:rsid w:val="0001794A"/>
    <w:rsid w:val="00017A8E"/>
    <w:rsid w:val="00017ABD"/>
    <w:rsid w:val="000203BD"/>
    <w:rsid w:val="0002043E"/>
    <w:rsid w:val="00020D0B"/>
    <w:rsid w:val="00021086"/>
    <w:rsid w:val="00021885"/>
    <w:rsid w:val="00021E3E"/>
    <w:rsid w:val="000220BD"/>
    <w:rsid w:val="00022CD5"/>
    <w:rsid w:val="0002303A"/>
    <w:rsid w:val="00023D68"/>
    <w:rsid w:val="00024820"/>
    <w:rsid w:val="00024885"/>
    <w:rsid w:val="00024942"/>
    <w:rsid w:val="00026D4B"/>
    <w:rsid w:val="00027616"/>
    <w:rsid w:val="00030A44"/>
    <w:rsid w:val="00030A61"/>
    <w:rsid w:val="00030F7A"/>
    <w:rsid w:val="00031AA7"/>
    <w:rsid w:val="00032092"/>
    <w:rsid w:val="00032FD3"/>
    <w:rsid w:val="000330F3"/>
    <w:rsid w:val="00035FB8"/>
    <w:rsid w:val="00036299"/>
    <w:rsid w:val="000371A1"/>
    <w:rsid w:val="00037AA5"/>
    <w:rsid w:val="0004010D"/>
    <w:rsid w:val="000404AE"/>
    <w:rsid w:val="00040713"/>
    <w:rsid w:val="00040DC9"/>
    <w:rsid w:val="0004197B"/>
    <w:rsid w:val="000419E6"/>
    <w:rsid w:val="00041ACD"/>
    <w:rsid w:val="00041C34"/>
    <w:rsid w:val="00042CA2"/>
    <w:rsid w:val="000432AD"/>
    <w:rsid w:val="00043444"/>
    <w:rsid w:val="0004393D"/>
    <w:rsid w:val="000455BD"/>
    <w:rsid w:val="00046C97"/>
    <w:rsid w:val="0005019E"/>
    <w:rsid w:val="00051D83"/>
    <w:rsid w:val="000523FA"/>
    <w:rsid w:val="000527BD"/>
    <w:rsid w:val="00053757"/>
    <w:rsid w:val="00053BE3"/>
    <w:rsid w:val="00054064"/>
    <w:rsid w:val="000548A3"/>
    <w:rsid w:val="00054FB8"/>
    <w:rsid w:val="0005510F"/>
    <w:rsid w:val="00055A3D"/>
    <w:rsid w:val="00055CB1"/>
    <w:rsid w:val="000561A4"/>
    <w:rsid w:val="000561C7"/>
    <w:rsid w:val="00056D0B"/>
    <w:rsid w:val="000578B4"/>
    <w:rsid w:val="0006048A"/>
    <w:rsid w:val="000607DA"/>
    <w:rsid w:val="00061067"/>
    <w:rsid w:val="000611EC"/>
    <w:rsid w:val="0006155C"/>
    <w:rsid w:val="00061CDB"/>
    <w:rsid w:val="000624CA"/>
    <w:rsid w:val="00062D3A"/>
    <w:rsid w:val="00063218"/>
    <w:rsid w:val="000637D0"/>
    <w:rsid w:val="00063AB3"/>
    <w:rsid w:val="00063B23"/>
    <w:rsid w:val="00063BFA"/>
    <w:rsid w:val="0006539A"/>
    <w:rsid w:val="0006562A"/>
    <w:rsid w:val="000656A0"/>
    <w:rsid w:val="00065ABA"/>
    <w:rsid w:val="00066188"/>
    <w:rsid w:val="00066382"/>
    <w:rsid w:val="00066D9E"/>
    <w:rsid w:val="0006772E"/>
    <w:rsid w:val="0006786D"/>
    <w:rsid w:val="00070CCC"/>
    <w:rsid w:val="00072590"/>
    <w:rsid w:val="00073703"/>
    <w:rsid w:val="00073AE6"/>
    <w:rsid w:val="00073F57"/>
    <w:rsid w:val="00074223"/>
    <w:rsid w:val="00074508"/>
    <w:rsid w:val="0007491A"/>
    <w:rsid w:val="00075248"/>
    <w:rsid w:val="00075930"/>
    <w:rsid w:val="0007659B"/>
    <w:rsid w:val="0008297B"/>
    <w:rsid w:val="0008315C"/>
    <w:rsid w:val="000843E5"/>
    <w:rsid w:val="00085199"/>
    <w:rsid w:val="00085A83"/>
    <w:rsid w:val="000863A1"/>
    <w:rsid w:val="000869E7"/>
    <w:rsid w:val="00086AE7"/>
    <w:rsid w:val="00087B69"/>
    <w:rsid w:val="00087C42"/>
    <w:rsid w:val="0009035D"/>
    <w:rsid w:val="00090625"/>
    <w:rsid w:val="0009108E"/>
    <w:rsid w:val="0009152A"/>
    <w:rsid w:val="00092C7E"/>
    <w:rsid w:val="000938E8"/>
    <w:rsid w:val="00094A57"/>
    <w:rsid w:val="00094BE1"/>
    <w:rsid w:val="00095B16"/>
    <w:rsid w:val="0009660C"/>
    <w:rsid w:val="00096831"/>
    <w:rsid w:val="00096C33"/>
    <w:rsid w:val="000975AB"/>
    <w:rsid w:val="000A077E"/>
    <w:rsid w:val="000A08DF"/>
    <w:rsid w:val="000A1CBC"/>
    <w:rsid w:val="000A49E1"/>
    <w:rsid w:val="000A744A"/>
    <w:rsid w:val="000A7633"/>
    <w:rsid w:val="000A7E05"/>
    <w:rsid w:val="000B01E7"/>
    <w:rsid w:val="000B2881"/>
    <w:rsid w:val="000B3235"/>
    <w:rsid w:val="000B3A67"/>
    <w:rsid w:val="000B40DF"/>
    <w:rsid w:val="000B4D7E"/>
    <w:rsid w:val="000B5C3D"/>
    <w:rsid w:val="000B5CCD"/>
    <w:rsid w:val="000B6199"/>
    <w:rsid w:val="000B62A2"/>
    <w:rsid w:val="000B794A"/>
    <w:rsid w:val="000C079B"/>
    <w:rsid w:val="000C0C51"/>
    <w:rsid w:val="000C1217"/>
    <w:rsid w:val="000C1370"/>
    <w:rsid w:val="000C1EEB"/>
    <w:rsid w:val="000C1F3B"/>
    <w:rsid w:val="000C2DE2"/>
    <w:rsid w:val="000C3911"/>
    <w:rsid w:val="000C3FE0"/>
    <w:rsid w:val="000C45BC"/>
    <w:rsid w:val="000C4786"/>
    <w:rsid w:val="000C4F82"/>
    <w:rsid w:val="000C51B1"/>
    <w:rsid w:val="000C5EE3"/>
    <w:rsid w:val="000C622D"/>
    <w:rsid w:val="000C6C48"/>
    <w:rsid w:val="000C6D55"/>
    <w:rsid w:val="000C6E23"/>
    <w:rsid w:val="000C7268"/>
    <w:rsid w:val="000C7D4E"/>
    <w:rsid w:val="000D0D96"/>
    <w:rsid w:val="000D1D76"/>
    <w:rsid w:val="000D28B9"/>
    <w:rsid w:val="000D2A9B"/>
    <w:rsid w:val="000D2CD3"/>
    <w:rsid w:val="000D3A23"/>
    <w:rsid w:val="000D3A2C"/>
    <w:rsid w:val="000D3C8F"/>
    <w:rsid w:val="000D4CAE"/>
    <w:rsid w:val="000D4E1A"/>
    <w:rsid w:val="000D5243"/>
    <w:rsid w:val="000D701C"/>
    <w:rsid w:val="000D7C30"/>
    <w:rsid w:val="000D7FA3"/>
    <w:rsid w:val="000E0363"/>
    <w:rsid w:val="000E15A2"/>
    <w:rsid w:val="000E186E"/>
    <w:rsid w:val="000E29EC"/>
    <w:rsid w:val="000E3106"/>
    <w:rsid w:val="000E3494"/>
    <w:rsid w:val="000E4910"/>
    <w:rsid w:val="000E59AD"/>
    <w:rsid w:val="000E64CB"/>
    <w:rsid w:val="000E6620"/>
    <w:rsid w:val="000E6C6B"/>
    <w:rsid w:val="000E7AEC"/>
    <w:rsid w:val="000E7D72"/>
    <w:rsid w:val="000F0D6D"/>
    <w:rsid w:val="000F0E99"/>
    <w:rsid w:val="000F21E1"/>
    <w:rsid w:val="000F38DE"/>
    <w:rsid w:val="000F3D8E"/>
    <w:rsid w:val="000F3D92"/>
    <w:rsid w:val="000F44F5"/>
    <w:rsid w:val="000F5191"/>
    <w:rsid w:val="000F5462"/>
    <w:rsid w:val="000F5F7F"/>
    <w:rsid w:val="000F6192"/>
    <w:rsid w:val="000F640A"/>
    <w:rsid w:val="000F6B45"/>
    <w:rsid w:val="000F7BE0"/>
    <w:rsid w:val="00100E6F"/>
    <w:rsid w:val="0010170D"/>
    <w:rsid w:val="001019FD"/>
    <w:rsid w:val="00106DFB"/>
    <w:rsid w:val="00106E8B"/>
    <w:rsid w:val="0010730D"/>
    <w:rsid w:val="00110319"/>
    <w:rsid w:val="001106A4"/>
    <w:rsid w:val="001114B6"/>
    <w:rsid w:val="00112595"/>
    <w:rsid w:val="001129F1"/>
    <w:rsid w:val="00113B46"/>
    <w:rsid w:val="00113D67"/>
    <w:rsid w:val="00114872"/>
    <w:rsid w:val="001159FB"/>
    <w:rsid w:val="00115D32"/>
    <w:rsid w:val="00115EEB"/>
    <w:rsid w:val="001161F5"/>
    <w:rsid w:val="0011649F"/>
    <w:rsid w:val="00116C73"/>
    <w:rsid w:val="00116FF5"/>
    <w:rsid w:val="001170D6"/>
    <w:rsid w:val="001175C9"/>
    <w:rsid w:val="001179E0"/>
    <w:rsid w:val="00117E9E"/>
    <w:rsid w:val="00120031"/>
    <w:rsid w:val="001206D4"/>
    <w:rsid w:val="0012084F"/>
    <w:rsid w:val="0012096B"/>
    <w:rsid w:val="00121030"/>
    <w:rsid w:val="0012118B"/>
    <w:rsid w:val="00122A9E"/>
    <w:rsid w:val="001237D4"/>
    <w:rsid w:val="00123A81"/>
    <w:rsid w:val="00124729"/>
    <w:rsid w:val="00125426"/>
    <w:rsid w:val="001267E8"/>
    <w:rsid w:val="00126A6A"/>
    <w:rsid w:val="00126BBD"/>
    <w:rsid w:val="00126F78"/>
    <w:rsid w:val="0013020D"/>
    <w:rsid w:val="001307D8"/>
    <w:rsid w:val="00130A92"/>
    <w:rsid w:val="00131F1D"/>
    <w:rsid w:val="0013249A"/>
    <w:rsid w:val="001326E7"/>
    <w:rsid w:val="0013317E"/>
    <w:rsid w:val="00133471"/>
    <w:rsid w:val="00133882"/>
    <w:rsid w:val="00133BBC"/>
    <w:rsid w:val="001344EB"/>
    <w:rsid w:val="00134524"/>
    <w:rsid w:val="0013460D"/>
    <w:rsid w:val="001346F1"/>
    <w:rsid w:val="0013594B"/>
    <w:rsid w:val="00135AFA"/>
    <w:rsid w:val="001361EE"/>
    <w:rsid w:val="001372D9"/>
    <w:rsid w:val="00137F59"/>
    <w:rsid w:val="0014006A"/>
    <w:rsid w:val="00140212"/>
    <w:rsid w:val="00140F05"/>
    <w:rsid w:val="00142247"/>
    <w:rsid w:val="001432BD"/>
    <w:rsid w:val="00143A6A"/>
    <w:rsid w:val="001443C5"/>
    <w:rsid w:val="00144A7B"/>
    <w:rsid w:val="00145308"/>
    <w:rsid w:val="00146105"/>
    <w:rsid w:val="00146141"/>
    <w:rsid w:val="001469CF"/>
    <w:rsid w:val="00147688"/>
    <w:rsid w:val="00147D27"/>
    <w:rsid w:val="00147E1B"/>
    <w:rsid w:val="00150266"/>
    <w:rsid w:val="00150B68"/>
    <w:rsid w:val="00150DB1"/>
    <w:rsid w:val="00151AEB"/>
    <w:rsid w:val="00152720"/>
    <w:rsid w:val="00153579"/>
    <w:rsid w:val="00153A5E"/>
    <w:rsid w:val="00154C1C"/>
    <w:rsid w:val="00154EAF"/>
    <w:rsid w:val="00155067"/>
    <w:rsid w:val="00156F1A"/>
    <w:rsid w:val="00160760"/>
    <w:rsid w:val="001607FC"/>
    <w:rsid w:val="00161173"/>
    <w:rsid w:val="001624E5"/>
    <w:rsid w:val="00162503"/>
    <w:rsid w:val="001631CA"/>
    <w:rsid w:val="0016407C"/>
    <w:rsid w:val="00164219"/>
    <w:rsid w:val="00164477"/>
    <w:rsid w:val="0016490A"/>
    <w:rsid w:val="00164B2C"/>
    <w:rsid w:val="001653E2"/>
    <w:rsid w:val="00167B29"/>
    <w:rsid w:val="00167CE2"/>
    <w:rsid w:val="00170197"/>
    <w:rsid w:val="001702CB"/>
    <w:rsid w:val="00170932"/>
    <w:rsid w:val="00171778"/>
    <w:rsid w:val="0017200C"/>
    <w:rsid w:val="0017294F"/>
    <w:rsid w:val="00172DF7"/>
    <w:rsid w:val="001736BD"/>
    <w:rsid w:val="00173EEF"/>
    <w:rsid w:val="001753C3"/>
    <w:rsid w:val="00175A80"/>
    <w:rsid w:val="00176991"/>
    <w:rsid w:val="001771E5"/>
    <w:rsid w:val="001778DC"/>
    <w:rsid w:val="00177F04"/>
    <w:rsid w:val="0018013D"/>
    <w:rsid w:val="00181D35"/>
    <w:rsid w:val="00181DB7"/>
    <w:rsid w:val="00182215"/>
    <w:rsid w:val="00182CA8"/>
    <w:rsid w:val="00182D29"/>
    <w:rsid w:val="0018461D"/>
    <w:rsid w:val="00184726"/>
    <w:rsid w:val="00184AAA"/>
    <w:rsid w:val="00184DB2"/>
    <w:rsid w:val="00184E60"/>
    <w:rsid w:val="00185AAC"/>
    <w:rsid w:val="00185B0B"/>
    <w:rsid w:val="00185E5A"/>
    <w:rsid w:val="00187AD8"/>
    <w:rsid w:val="001907AC"/>
    <w:rsid w:val="00190875"/>
    <w:rsid w:val="00190B05"/>
    <w:rsid w:val="001910AB"/>
    <w:rsid w:val="001921A5"/>
    <w:rsid w:val="00192929"/>
    <w:rsid w:val="00194556"/>
    <w:rsid w:val="0019560F"/>
    <w:rsid w:val="00195855"/>
    <w:rsid w:val="0019666E"/>
    <w:rsid w:val="00196ADB"/>
    <w:rsid w:val="0019763C"/>
    <w:rsid w:val="00197FE3"/>
    <w:rsid w:val="001A116B"/>
    <w:rsid w:val="001A16EA"/>
    <w:rsid w:val="001A1732"/>
    <w:rsid w:val="001A18FE"/>
    <w:rsid w:val="001A2CE3"/>
    <w:rsid w:val="001A3174"/>
    <w:rsid w:val="001A3242"/>
    <w:rsid w:val="001A335A"/>
    <w:rsid w:val="001A33C6"/>
    <w:rsid w:val="001A46EF"/>
    <w:rsid w:val="001A718A"/>
    <w:rsid w:val="001B025B"/>
    <w:rsid w:val="001B15C7"/>
    <w:rsid w:val="001B1E60"/>
    <w:rsid w:val="001B2822"/>
    <w:rsid w:val="001B36C0"/>
    <w:rsid w:val="001B434D"/>
    <w:rsid w:val="001B4687"/>
    <w:rsid w:val="001B4781"/>
    <w:rsid w:val="001B5114"/>
    <w:rsid w:val="001B53D7"/>
    <w:rsid w:val="001B53F6"/>
    <w:rsid w:val="001B5AC5"/>
    <w:rsid w:val="001B63BE"/>
    <w:rsid w:val="001B6990"/>
    <w:rsid w:val="001B6FE8"/>
    <w:rsid w:val="001B7552"/>
    <w:rsid w:val="001C1114"/>
    <w:rsid w:val="001C1C5E"/>
    <w:rsid w:val="001C2499"/>
    <w:rsid w:val="001C2CAE"/>
    <w:rsid w:val="001C2CFE"/>
    <w:rsid w:val="001C39ED"/>
    <w:rsid w:val="001C3F8A"/>
    <w:rsid w:val="001C49F6"/>
    <w:rsid w:val="001C579E"/>
    <w:rsid w:val="001C5AA1"/>
    <w:rsid w:val="001C5C70"/>
    <w:rsid w:val="001C7442"/>
    <w:rsid w:val="001C7B64"/>
    <w:rsid w:val="001D013D"/>
    <w:rsid w:val="001D1235"/>
    <w:rsid w:val="001D1C3A"/>
    <w:rsid w:val="001D1FF6"/>
    <w:rsid w:val="001D229D"/>
    <w:rsid w:val="001D2C4A"/>
    <w:rsid w:val="001D3898"/>
    <w:rsid w:val="001D3F51"/>
    <w:rsid w:val="001D55F6"/>
    <w:rsid w:val="001D5647"/>
    <w:rsid w:val="001D5D7F"/>
    <w:rsid w:val="001D654B"/>
    <w:rsid w:val="001D7205"/>
    <w:rsid w:val="001D750B"/>
    <w:rsid w:val="001D7CD7"/>
    <w:rsid w:val="001E0AFF"/>
    <w:rsid w:val="001E16E6"/>
    <w:rsid w:val="001E1925"/>
    <w:rsid w:val="001E2C45"/>
    <w:rsid w:val="001E3095"/>
    <w:rsid w:val="001E4674"/>
    <w:rsid w:val="001E480D"/>
    <w:rsid w:val="001E4B90"/>
    <w:rsid w:val="001E4D25"/>
    <w:rsid w:val="001E51D4"/>
    <w:rsid w:val="001E5CEC"/>
    <w:rsid w:val="001E645F"/>
    <w:rsid w:val="001E66E0"/>
    <w:rsid w:val="001E6C0E"/>
    <w:rsid w:val="001E6FB0"/>
    <w:rsid w:val="001F05E4"/>
    <w:rsid w:val="001F0754"/>
    <w:rsid w:val="001F1099"/>
    <w:rsid w:val="001F171B"/>
    <w:rsid w:val="001F1BA3"/>
    <w:rsid w:val="001F1E60"/>
    <w:rsid w:val="001F2DA6"/>
    <w:rsid w:val="001F37F8"/>
    <w:rsid w:val="001F3A0A"/>
    <w:rsid w:val="001F420E"/>
    <w:rsid w:val="001F5F45"/>
    <w:rsid w:val="001F6290"/>
    <w:rsid w:val="001F773B"/>
    <w:rsid w:val="00200C49"/>
    <w:rsid w:val="00200E00"/>
    <w:rsid w:val="00200F90"/>
    <w:rsid w:val="00202E5E"/>
    <w:rsid w:val="00203C32"/>
    <w:rsid w:val="00204407"/>
    <w:rsid w:val="00204B3B"/>
    <w:rsid w:val="00205270"/>
    <w:rsid w:val="002063B8"/>
    <w:rsid w:val="00206538"/>
    <w:rsid w:val="00206E17"/>
    <w:rsid w:val="00207538"/>
    <w:rsid w:val="00207F36"/>
    <w:rsid w:val="0021040C"/>
    <w:rsid w:val="00210D3D"/>
    <w:rsid w:val="00210F2C"/>
    <w:rsid w:val="00211346"/>
    <w:rsid w:val="00211B07"/>
    <w:rsid w:val="00211B0F"/>
    <w:rsid w:val="00211D67"/>
    <w:rsid w:val="002123AC"/>
    <w:rsid w:val="00212B65"/>
    <w:rsid w:val="00213426"/>
    <w:rsid w:val="0021362D"/>
    <w:rsid w:val="00213F19"/>
    <w:rsid w:val="00213F21"/>
    <w:rsid w:val="00215761"/>
    <w:rsid w:val="002158BD"/>
    <w:rsid w:val="00217CBF"/>
    <w:rsid w:val="00217CD0"/>
    <w:rsid w:val="00217E88"/>
    <w:rsid w:val="00217EDF"/>
    <w:rsid w:val="00220704"/>
    <w:rsid w:val="00220707"/>
    <w:rsid w:val="00220800"/>
    <w:rsid w:val="0022088A"/>
    <w:rsid w:val="002208C9"/>
    <w:rsid w:val="00221477"/>
    <w:rsid w:val="00225F13"/>
    <w:rsid w:val="0022696E"/>
    <w:rsid w:val="002270DC"/>
    <w:rsid w:val="00227370"/>
    <w:rsid w:val="00227D7B"/>
    <w:rsid w:val="00227F1D"/>
    <w:rsid w:val="00227F51"/>
    <w:rsid w:val="002303C0"/>
    <w:rsid w:val="00230E99"/>
    <w:rsid w:val="00231808"/>
    <w:rsid w:val="00231DE0"/>
    <w:rsid w:val="0023206B"/>
    <w:rsid w:val="0023276F"/>
    <w:rsid w:val="00232801"/>
    <w:rsid w:val="00232D7A"/>
    <w:rsid w:val="00232EEA"/>
    <w:rsid w:val="00233926"/>
    <w:rsid w:val="00233EAC"/>
    <w:rsid w:val="00234845"/>
    <w:rsid w:val="0023584B"/>
    <w:rsid w:val="00235B3C"/>
    <w:rsid w:val="00236F2C"/>
    <w:rsid w:val="00237235"/>
    <w:rsid w:val="00237D4D"/>
    <w:rsid w:val="00240A88"/>
    <w:rsid w:val="002412C5"/>
    <w:rsid w:val="0024242A"/>
    <w:rsid w:val="002429C9"/>
    <w:rsid w:val="002454E6"/>
    <w:rsid w:val="00245A33"/>
    <w:rsid w:val="0024704A"/>
    <w:rsid w:val="0025086D"/>
    <w:rsid w:val="0025115C"/>
    <w:rsid w:val="00252D01"/>
    <w:rsid w:val="00252D1F"/>
    <w:rsid w:val="00252D7C"/>
    <w:rsid w:val="0025383A"/>
    <w:rsid w:val="00253B07"/>
    <w:rsid w:val="00254CF8"/>
    <w:rsid w:val="00254F2F"/>
    <w:rsid w:val="002551C4"/>
    <w:rsid w:val="00255483"/>
    <w:rsid w:val="0025559A"/>
    <w:rsid w:val="00255895"/>
    <w:rsid w:val="00256A79"/>
    <w:rsid w:val="00256AA3"/>
    <w:rsid w:val="00257714"/>
    <w:rsid w:val="00257963"/>
    <w:rsid w:val="00257C30"/>
    <w:rsid w:val="00257EBE"/>
    <w:rsid w:val="00260C34"/>
    <w:rsid w:val="002616C9"/>
    <w:rsid w:val="00261931"/>
    <w:rsid w:val="00261BED"/>
    <w:rsid w:val="00262CA4"/>
    <w:rsid w:val="00262DF0"/>
    <w:rsid w:val="00263593"/>
    <w:rsid w:val="00263632"/>
    <w:rsid w:val="00265E27"/>
    <w:rsid w:val="00266DBD"/>
    <w:rsid w:val="0026746F"/>
    <w:rsid w:val="002676A7"/>
    <w:rsid w:val="00270FFA"/>
    <w:rsid w:val="002728CE"/>
    <w:rsid w:val="0027310F"/>
    <w:rsid w:val="0027398A"/>
    <w:rsid w:val="002739C1"/>
    <w:rsid w:val="00274AD4"/>
    <w:rsid w:val="00274C47"/>
    <w:rsid w:val="00274C6B"/>
    <w:rsid w:val="00276BEA"/>
    <w:rsid w:val="0028088D"/>
    <w:rsid w:val="00281FD1"/>
    <w:rsid w:val="002824C9"/>
    <w:rsid w:val="00282BC7"/>
    <w:rsid w:val="00283105"/>
    <w:rsid w:val="00283414"/>
    <w:rsid w:val="0028349C"/>
    <w:rsid w:val="0028398A"/>
    <w:rsid w:val="00283B50"/>
    <w:rsid w:val="0028459A"/>
    <w:rsid w:val="00286D18"/>
    <w:rsid w:val="00287293"/>
    <w:rsid w:val="0029174A"/>
    <w:rsid w:val="0029185E"/>
    <w:rsid w:val="0029255B"/>
    <w:rsid w:val="0029289D"/>
    <w:rsid w:val="002929E3"/>
    <w:rsid w:val="00292D05"/>
    <w:rsid w:val="002930B6"/>
    <w:rsid w:val="002933EB"/>
    <w:rsid w:val="002942B7"/>
    <w:rsid w:val="00294B39"/>
    <w:rsid w:val="00294C58"/>
    <w:rsid w:val="00296AF2"/>
    <w:rsid w:val="00297109"/>
    <w:rsid w:val="002973B4"/>
    <w:rsid w:val="002A0352"/>
    <w:rsid w:val="002A095C"/>
    <w:rsid w:val="002A0DF9"/>
    <w:rsid w:val="002A17A1"/>
    <w:rsid w:val="002A2489"/>
    <w:rsid w:val="002A2D6F"/>
    <w:rsid w:val="002A3B3C"/>
    <w:rsid w:val="002A3EFD"/>
    <w:rsid w:val="002A4302"/>
    <w:rsid w:val="002A5042"/>
    <w:rsid w:val="002A69DE"/>
    <w:rsid w:val="002A6CD2"/>
    <w:rsid w:val="002A6F09"/>
    <w:rsid w:val="002A7966"/>
    <w:rsid w:val="002B036C"/>
    <w:rsid w:val="002B0712"/>
    <w:rsid w:val="002B228D"/>
    <w:rsid w:val="002B2EE4"/>
    <w:rsid w:val="002B2F79"/>
    <w:rsid w:val="002B3117"/>
    <w:rsid w:val="002B4057"/>
    <w:rsid w:val="002B4E16"/>
    <w:rsid w:val="002B6070"/>
    <w:rsid w:val="002B6827"/>
    <w:rsid w:val="002B6931"/>
    <w:rsid w:val="002B6F88"/>
    <w:rsid w:val="002B752F"/>
    <w:rsid w:val="002C30F3"/>
    <w:rsid w:val="002C36F9"/>
    <w:rsid w:val="002C3D04"/>
    <w:rsid w:val="002C5323"/>
    <w:rsid w:val="002C5720"/>
    <w:rsid w:val="002C684D"/>
    <w:rsid w:val="002C6937"/>
    <w:rsid w:val="002C6E32"/>
    <w:rsid w:val="002C7C46"/>
    <w:rsid w:val="002C7E75"/>
    <w:rsid w:val="002C7FA1"/>
    <w:rsid w:val="002D1076"/>
    <w:rsid w:val="002D1B49"/>
    <w:rsid w:val="002D2DEA"/>
    <w:rsid w:val="002D49C4"/>
    <w:rsid w:val="002D4D1F"/>
    <w:rsid w:val="002D5434"/>
    <w:rsid w:val="002D5A0B"/>
    <w:rsid w:val="002D5EAD"/>
    <w:rsid w:val="002D61E1"/>
    <w:rsid w:val="002D640F"/>
    <w:rsid w:val="002D7E0C"/>
    <w:rsid w:val="002E0265"/>
    <w:rsid w:val="002E06EC"/>
    <w:rsid w:val="002E087F"/>
    <w:rsid w:val="002E0A4C"/>
    <w:rsid w:val="002E2AC9"/>
    <w:rsid w:val="002E2CA4"/>
    <w:rsid w:val="002E2DF7"/>
    <w:rsid w:val="002E3B58"/>
    <w:rsid w:val="002E4356"/>
    <w:rsid w:val="002E454F"/>
    <w:rsid w:val="002E4668"/>
    <w:rsid w:val="002E49CA"/>
    <w:rsid w:val="002E4B15"/>
    <w:rsid w:val="002E52C0"/>
    <w:rsid w:val="002E61FA"/>
    <w:rsid w:val="002F0305"/>
    <w:rsid w:val="002F160F"/>
    <w:rsid w:val="002F179A"/>
    <w:rsid w:val="002F1893"/>
    <w:rsid w:val="002F23EA"/>
    <w:rsid w:val="002F2E96"/>
    <w:rsid w:val="002F311E"/>
    <w:rsid w:val="002F3909"/>
    <w:rsid w:val="002F41DA"/>
    <w:rsid w:val="002F440C"/>
    <w:rsid w:val="002F5000"/>
    <w:rsid w:val="002F6000"/>
    <w:rsid w:val="002F6952"/>
    <w:rsid w:val="002F6ED0"/>
    <w:rsid w:val="002F7250"/>
    <w:rsid w:val="002F7361"/>
    <w:rsid w:val="002F78AD"/>
    <w:rsid w:val="003001DA"/>
    <w:rsid w:val="00301C17"/>
    <w:rsid w:val="00302639"/>
    <w:rsid w:val="00302E8E"/>
    <w:rsid w:val="0030437E"/>
    <w:rsid w:val="0030499F"/>
    <w:rsid w:val="00304B87"/>
    <w:rsid w:val="00305BFC"/>
    <w:rsid w:val="0030656A"/>
    <w:rsid w:val="00307419"/>
    <w:rsid w:val="00307B96"/>
    <w:rsid w:val="00310B4C"/>
    <w:rsid w:val="00310D3C"/>
    <w:rsid w:val="00311527"/>
    <w:rsid w:val="00311AF6"/>
    <w:rsid w:val="00311B9B"/>
    <w:rsid w:val="003124ED"/>
    <w:rsid w:val="003125C5"/>
    <w:rsid w:val="0031319C"/>
    <w:rsid w:val="003135C2"/>
    <w:rsid w:val="00314CF6"/>
    <w:rsid w:val="003156B8"/>
    <w:rsid w:val="003157F1"/>
    <w:rsid w:val="00315F92"/>
    <w:rsid w:val="00316163"/>
    <w:rsid w:val="0031657C"/>
    <w:rsid w:val="003168F4"/>
    <w:rsid w:val="00316F71"/>
    <w:rsid w:val="003177F0"/>
    <w:rsid w:val="003178C9"/>
    <w:rsid w:val="00317F82"/>
    <w:rsid w:val="0032105C"/>
    <w:rsid w:val="00321818"/>
    <w:rsid w:val="00321982"/>
    <w:rsid w:val="00321FC4"/>
    <w:rsid w:val="00323F38"/>
    <w:rsid w:val="00323FB8"/>
    <w:rsid w:val="0032483F"/>
    <w:rsid w:val="00324882"/>
    <w:rsid w:val="00326C92"/>
    <w:rsid w:val="00326EE7"/>
    <w:rsid w:val="00330BBC"/>
    <w:rsid w:val="00331261"/>
    <w:rsid w:val="003328DA"/>
    <w:rsid w:val="00333083"/>
    <w:rsid w:val="003335AF"/>
    <w:rsid w:val="0033379F"/>
    <w:rsid w:val="003346E3"/>
    <w:rsid w:val="00334D3B"/>
    <w:rsid w:val="0033531D"/>
    <w:rsid w:val="00335AF6"/>
    <w:rsid w:val="00336BA9"/>
    <w:rsid w:val="00337DA0"/>
    <w:rsid w:val="00340C58"/>
    <w:rsid w:val="00341146"/>
    <w:rsid w:val="0034152C"/>
    <w:rsid w:val="003420D3"/>
    <w:rsid w:val="00342456"/>
    <w:rsid w:val="00342782"/>
    <w:rsid w:val="00342F1C"/>
    <w:rsid w:val="00343532"/>
    <w:rsid w:val="00343BF5"/>
    <w:rsid w:val="00343C05"/>
    <w:rsid w:val="00343CEC"/>
    <w:rsid w:val="00343F16"/>
    <w:rsid w:val="0034447D"/>
    <w:rsid w:val="003445DE"/>
    <w:rsid w:val="0034537E"/>
    <w:rsid w:val="00345418"/>
    <w:rsid w:val="00345B5C"/>
    <w:rsid w:val="00345C49"/>
    <w:rsid w:val="00345EDC"/>
    <w:rsid w:val="00347845"/>
    <w:rsid w:val="00347E6C"/>
    <w:rsid w:val="00351CD2"/>
    <w:rsid w:val="00351F1F"/>
    <w:rsid w:val="00352825"/>
    <w:rsid w:val="003534D0"/>
    <w:rsid w:val="003537B2"/>
    <w:rsid w:val="00353A47"/>
    <w:rsid w:val="00353EA1"/>
    <w:rsid w:val="003540C0"/>
    <w:rsid w:val="00354551"/>
    <w:rsid w:val="00354C9D"/>
    <w:rsid w:val="003553CB"/>
    <w:rsid w:val="00355E55"/>
    <w:rsid w:val="0035663C"/>
    <w:rsid w:val="00356DA1"/>
    <w:rsid w:val="0035777A"/>
    <w:rsid w:val="00357D9F"/>
    <w:rsid w:val="00360370"/>
    <w:rsid w:val="00360754"/>
    <w:rsid w:val="00360B1C"/>
    <w:rsid w:val="00362405"/>
    <w:rsid w:val="00363963"/>
    <w:rsid w:val="0036435B"/>
    <w:rsid w:val="003653EB"/>
    <w:rsid w:val="00366A78"/>
    <w:rsid w:val="00366AA6"/>
    <w:rsid w:val="00366E9B"/>
    <w:rsid w:val="00367901"/>
    <w:rsid w:val="00367D40"/>
    <w:rsid w:val="00370C89"/>
    <w:rsid w:val="003716E6"/>
    <w:rsid w:val="00372270"/>
    <w:rsid w:val="003727EB"/>
    <w:rsid w:val="003732AE"/>
    <w:rsid w:val="00373613"/>
    <w:rsid w:val="0037378E"/>
    <w:rsid w:val="00373869"/>
    <w:rsid w:val="00373EC0"/>
    <w:rsid w:val="00374668"/>
    <w:rsid w:val="003767F2"/>
    <w:rsid w:val="00377D3A"/>
    <w:rsid w:val="00377F8F"/>
    <w:rsid w:val="003821CF"/>
    <w:rsid w:val="003825F4"/>
    <w:rsid w:val="00382E19"/>
    <w:rsid w:val="00383638"/>
    <w:rsid w:val="003847AD"/>
    <w:rsid w:val="00385328"/>
    <w:rsid w:val="0038693A"/>
    <w:rsid w:val="003913D1"/>
    <w:rsid w:val="003924B1"/>
    <w:rsid w:val="00393E95"/>
    <w:rsid w:val="0039469E"/>
    <w:rsid w:val="003956B6"/>
    <w:rsid w:val="0039678E"/>
    <w:rsid w:val="003A0D63"/>
    <w:rsid w:val="003A228F"/>
    <w:rsid w:val="003A2E70"/>
    <w:rsid w:val="003A35FA"/>
    <w:rsid w:val="003A405C"/>
    <w:rsid w:val="003A4CE2"/>
    <w:rsid w:val="003A6D8D"/>
    <w:rsid w:val="003A72CD"/>
    <w:rsid w:val="003A767C"/>
    <w:rsid w:val="003A79C8"/>
    <w:rsid w:val="003A7B61"/>
    <w:rsid w:val="003A7F18"/>
    <w:rsid w:val="003B1817"/>
    <w:rsid w:val="003B1F0B"/>
    <w:rsid w:val="003B2A3F"/>
    <w:rsid w:val="003B3D72"/>
    <w:rsid w:val="003B410D"/>
    <w:rsid w:val="003B43F9"/>
    <w:rsid w:val="003B4A5E"/>
    <w:rsid w:val="003B54B9"/>
    <w:rsid w:val="003B5A55"/>
    <w:rsid w:val="003B5AEB"/>
    <w:rsid w:val="003B64FE"/>
    <w:rsid w:val="003B6B2D"/>
    <w:rsid w:val="003B77AA"/>
    <w:rsid w:val="003C16A6"/>
    <w:rsid w:val="003C1EEE"/>
    <w:rsid w:val="003C3375"/>
    <w:rsid w:val="003C3F96"/>
    <w:rsid w:val="003C480F"/>
    <w:rsid w:val="003C49E3"/>
    <w:rsid w:val="003C6104"/>
    <w:rsid w:val="003C63B7"/>
    <w:rsid w:val="003C6A53"/>
    <w:rsid w:val="003C6B78"/>
    <w:rsid w:val="003C7604"/>
    <w:rsid w:val="003C7BBF"/>
    <w:rsid w:val="003D0407"/>
    <w:rsid w:val="003D088C"/>
    <w:rsid w:val="003D0E42"/>
    <w:rsid w:val="003D0F36"/>
    <w:rsid w:val="003D0FD0"/>
    <w:rsid w:val="003D15A5"/>
    <w:rsid w:val="003D22C8"/>
    <w:rsid w:val="003D4816"/>
    <w:rsid w:val="003D4F8E"/>
    <w:rsid w:val="003D5C9C"/>
    <w:rsid w:val="003D674B"/>
    <w:rsid w:val="003D6F40"/>
    <w:rsid w:val="003D7552"/>
    <w:rsid w:val="003D7A69"/>
    <w:rsid w:val="003D7CEC"/>
    <w:rsid w:val="003E01A5"/>
    <w:rsid w:val="003E0403"/>
    <w:rsid w:val="003E0D5F"/>
    <w:rsid w:val="003E1344"/>
    <w:rsid w:val="003E1B46"/>
    <w:rsid w:val="003E27B9"/>
    <w:rsid w:val="003E27FD"/>
    <w:rsid w:val="003E2D63"/>
    <w:rsid w:val="003E321F"/>
    <w:rsid w:val="003E34CE"/>
    <w:rsid w:val="003E36C8"/>
    <w:rsid w:val="003E6840"/>
    <w:rsid w:val="003E7632"/>
    <w:rsid w:val="003F019F"/>
    <w:rsid w:val="003F0357"/>
    <w:rsid w:val="003F03A5"/>
    <w:rsid w:val="003F06FA"/>
    <w:rsid w:val="003F0F8B"/>
    <w:rsid w:val="003F19C4"/>
    <w:rsid w:val="003F206F"/>
    <w:rsid w:val="003F2191"/>
    <w:rsid w:val="003F3EC0"/>
    <w:rsid w:val="003F475D"/>
    <w:rsid w:val="003F635F"/>
    <w:rsid w:val="003F689B"/>
    <w:rsid w:val="003F6A8E"/>
    <w:rsid w:val="003F74E6"/>
    <w:rsid w:val="003F7BE7"/>
    <w:rsid w:val="0040017C"/>
    <w:rsid w:val="0040027D"/>
    <w:rsid w:val="00400461"/>
    <w:rsid w:val="00401142"/>
    <w:rsid w:val="0040185A"/>
    <w:rsid w:val="00402C21"/>
    <w:rsid w:val="00403430"/>
    <w:rsid w:val="0040370B"/>
    <w:rsid w:val="00403885"/>
    <w:rsid w:val="004039A3"/>
    <w:rsid w:val="00403A5A"/>
    <w:rsid w:val="00404769"/>
    <w:rsid w:val="0040580E"/>
    <w:rsid w:val="0040584F"/>
    <w:rsid w:val="00405C04"/>
    <w:rsid w:val="00406F26"/>
    <w:rsid w:val="0040752F"/>
    <w:rsid w:val="004078B1"/>
    <w:rsid w:val="00410253"/>
    <w:rsid w:val="004109D0"/>
    <w:rsid w:val="00410DFB"/>
    <w:rsid w:val="0041196C"/>
    <w:rsid w:val="00413B48"/>
    <w:rsid w:val="00415369"/>
    <w:rsid w:val="004165CC"/>
    <w:rsid w:val="0041676A"/>
    <w:rsid w:val="004167CF"/>
    <w:rsid w:val="00416AFF"/>
    <w:rsid w:val="004177E8"/>
    <w:rsid w:val="00417EDA"/>
    <w:rsid w:val="00420034"/>
    <w:rsid w:val="00420139"/>
    <w:rsid w:val="0042078C"/>
    <w:rsid w:val="00421695"/>
    <w:rsid w:val="0042179D"/>
    <w:rsid w:val="00422699"/>
    <w:rsid w:val="00422D1D"/>
    <w:rsid w:val="00422DAC"/>
    <w:rsid w:val="00422E6E"/>
    <w:rsid w:val="00424548"/>
    <w:rsid w:val="00425EDB"/>
    <w:rsid w:val="004261A6"/>
    <w:rsid w:val="00426519"/>
    <w:rsid w:val="00426A19"/>
    <w:rsid w:val="00426C05"/>
    <w:rsid w:val="00426D51"/>
    <w:rsid w:val="004279F9"/>
    <w:rsid w:val="00427C07"/>
    <w:rsid w:val="004306B0"/>
    <w:rsid w:val="004309D3"/>
    <w:rsid w:val="004309F4"/>
    <w:rsid w:val="00430F4F"/>
    <w:rsid w:val="00431BF7"/>
    <w:rsid w:val="00431CF2"/>
    <w:rsid w:val="00431D1D"/>
    <w:rsid w:val="00431E90"/>
    <w:rsid w:val="004320DA"/>
    <w:rsid w:val="00433D4B"/>
    <w:rsid w:val="00433D94"/>
    <w:rsid w:val="004344CC"/>
    <w:rsid w:val="00434701"/>
    <w:rsid w:val="00434F12"/>
    <w:rsid w:val="0043516D"/>
    <w:rsid w:val="00435573"/>
    <w:rsid w:val="00435B70"/>
    <w:rsid w:val="00436D28"/>
    <w:rsid w:val="00437289"/>
    <w:rsid w:val="0043779A"/>
    <w:rsid w:val="0043795D"/>
    <w:rsid w:val="004408C6"/>
    <w:rsid w:val="00441C9F"/>
    <w:rsid w:val="00442362"/>
    <w:rsid w:val="00443F64"/>
    <w:rsid w:val="0044467B"/>
    <w:rsid w:val="004448CA"/>
    <w:rsid w:val="004451B9"/>
    <w:rsid w:val="00445463"/>
    <w:rsid w:val="0044546A"/>
    <w:rsid w:val="0044561C"/>
    <w:rsid w:val="004460EF"/>
    <w:rsid w:val="00446BBB"/>
    <w:rsid w:val="00446EFA"/>
    <w:rsid w:val="004470EF"/>
    <w:rsid w:val="0044782A"/>
    <w:rsid w:val="00447CE3"/>
    <w:rsid w:val="00447F3C"/>
    <w:rsid w:val="004505C0"/>
    <w:rsid w:val="00450CEF"/>
    <w:rsid w:val="00450DAA"/>
    <w:rsid w:val="0045100B"/>
    <w:rsid w:val="00451E89"/>
    <w:rsid w:val="0045258A"/>
    <w:rsid w:val="004525C1"/>
    <w:rsid w:val="004530CC"/>
    <w:rsid w:val="0045688E"/>
    <w:rsid w:val="004571A6"/>
    <w:rsid w:val="004575C9"/>
    <w:rsid w:val="00457BCF"/>
    <w:rsid w:val="004600A1"/>
    <w:rsid w:val="00460C35"/>
    <w:rsid w:val="0046218A"/>
    <w:rsid w:val="00462E58"/>
    <w:rsid w:val="004630BC"/>
    <w:rsid w:val="004636B6"/>
    <w:rsid w:val="00463DE6"/>
    <w:rsid w:val="00463F11"/>
    <w:rsid w:val="00464367"/>
    <w:rsid w:val="00465004"/>
    <w:rsid w:val="00465364"/>
    <w:rsid w:val="00465A24"/>
    <w:rsid w:val="00466A33"/>
    <w:rsid w:val="00466E17"/>
    <w:rsid w:val="00467A08"/>
    <w:rsid w:val="00470F44"/>
    <w:rsid w:val="00471108"/>
    <w:rsid w:val="00471EDB"/>
    <w:rsid w:val="0047233C"/>
    <w:rsid w:val="0047252F"/>
    <w:rsid w:val="00472609"/>
    <w:rsid w:val="00472FC9"/>
    <w:rsid w:val="004736E8"/>
    <w:rsid w:val="004736F4"/>
    <w:rsid w:val="00474C9F"/>
    <w:rsid w:val="0047534E"/>
    <w:rsid w:val="00475E57"/>
    <w:rsid w:val="00475EDA"/>
    <w:rsid w:val="004764BC"/>
    <w:rsid w:val="004779DD"/>
    <w:rsid w:val="00477C0D"/>
    <w:rsid w:val="00480503"/>
    <w:rsid w:val="00483CF9"/>
    <w:rsid w:val="004841D2"/>
    <w:rsid w:val="00484382"/>
    <w:rsid w:val="00485325"/>
    <w:rsid w:val="0048587F"/>
    <w:rsid w:val="004865AA"/>
    <w:rsid w:val="0048690A"/>
    <w:rsid w:val="00487FEC"/>
    <w:rsid w:val="0049097F"/>
    <w:rsid w:val="004916DC"/>
    <w:rsid w:val="00491EEF"/>
    <w:rsid w:val="00494166"/>
    <w:rsid w:val="004955CB"/>
    <w:rsid w:val="00495CDE"/>
    <w:rsid w:val="004965CA"/>
    <w:rsid w:val="0049660E"/>
    <w:rsid w:val="00496850"/>
    <w:rsid w:val="0049728F"/>
    <w:rsid w:val="00497674"/>
    <w:rsid w:val="0049796C"/>
    <w:rsid w:val="004A03A2"/>
    <w:rsid w:val="004A0A6F"/>
    <w:rsid w:val="004A1424"/>
    <w:rsid w:val="004A2726"/>
    <w:rsid w:val="004A2744"/>
    <w:rsid w:val="004A30BE"/>
    <w:rsid w:val="004A30DA"/>
    <w:rsid w:val="004A3D45"/>
    <w:rsid w:val="004A4E59"/>
    <w:rsid w:val="004A59C5"/>
    <w:rsid w:val="004A6022"/>
    <w:rsid w:val="004A643C"/>
    <w:rsid w:val="004A64B4"/>
    <w:rsid w:val="004B0190"/>
    <w:rsid w:val="004B03B6"/>
    <w:rsid w:val="004B0CAA"/>
    <w:rsid w:val="004B189D"/>
    <w:rsid w:val="004B1F3D"/>
    <w:rsid w:val="004B2E75"/>
    <w:rsid w:val="004B3739"/>
    <w:rsid w:val="004B3807"/>
    <w:rsid w:val="004B3CEF"/>
    <w:rsid w:val="004B473F"/>
    <w:rsid w:val="004B4C69"/>
    <w:rsid w:val="004B4CF5"/>
    <w:rsid w:val="004B503C"/>
    <w:rsid w:val="004B565E"/>
    <w:rsid w:val="004B5894"/>
    <w:rsid w:val="004B699F"/>
    <w:rsid w:val="004C02E8"/>
    <w:rsid w:val="004C120C"/>
    <w:rsid w:val="004C26B5"/>
    <w:rsid w:val="004C280C"/>
    <w:rsid w:val="004C41F7"/>
    <w:rsid w:val="004C55EE"/>
    <w:rsid w:val="004C57E3"/>
    <w:rsid w:val="004C5C93"/>
    <w:rsid w:val="004C6421"/>
    <w:rsid w:val="004D0A03"/>
    <w:rsid w:val="004D1CA8"/>
    <w:rsid w:val="004D2328"/>
    <w:rsid w:val="004D28CC"/>
    <w:rsid w:val="004D3915"/>
    <w:rsid w:val="004D4B55"/>
    <w:rsid w:val="004D525C"/>
    <w:rsid w:val="004D5DD5"/>
    <w:rsid w:val="004D70DE"/>
    <w:rsid w:val="004E2097"/>
    <w:rsid w:val="004E2703"/>
    <w:rsid w:val="004E2B26"/>
    <w:rsid w:val="004E2D96"/>
    <w:rsid w:val="004E33B6"/>
    <w:rsid w:val="004E362F"/>
    <w:rsid w:val="004E395A"/>
    <w:rsid w:val="004E41C9"/>
    <w:rsid w:val="004E48A9"/>
    <w:rsid w:val="004E4C95"/>
    <w:rsid w:val="004E4D99"/>
    <w:rsid w:val="004E596A"/>
    <w:rsid w:val="004E66AA"/>
    <w:rsid w:val="004E693F"/>
    <w:rsid w:val="004E7C65"/>
    <w:rsid w:val="004F1256"/>
    <w:rsid w:val="004F1642"/>
    <w:rsid w:val="004F1779"/>
    <w:rsid w:val="004F1D37"/>
    <w:rsid w:val="004F31F9"/>
    <w:rsid w:val="004F3891"/>
    <w:rsid w:val="004F4476"/>
    <w:rsid w:val="004F4D8A"/>
    <w:rsid w:val="004F5612"/>
    <w:rsid w:val="004F5F54"/>
    <w:rsid w:val="004F6619"/>
    <w:rsid w:val="004F7DD9"/>
    <w:rsid w:val="005002FF"/>
    <w:rsid w:val="00500CE8"/>
    <w:rsid w:val="00500DD6"/>
    <w:rsid w:val="00501032"/>
    <w:rsid w:val="0050151A"/>
    <w:rsid w:val="00501981"/>
    <w:rsid w:val="00501E48"/>
    <w:rsid w:val="00501F35"/>
    <w:rsid w:val="0050274D"/>
    <w:rsid w:val="00502A64"/>
    <w:rsid w:val="0050339C"/>
    <w:rsid w:val="005037E0"/>
    <w:rsid w:val="00503A1D"/>
    <w:rsid w:val="00503BD6"/>
    <w:rsid w:val="00504C2A"/>
    <w:rsid w:val="0050673F"/>
    <w:rsid w:val="005100E5"/>
    <w:rsid w:val="00510B2A"/>
    <w:rsid w:val="005112CC"/>
    <w:rsid w:val="00511B40"/>
    <w:rsid w:val="00512086"/>
    <w:rsid w:val="005127E0"/>
    <w:rsid w:val="005132F1"/>
    <w:rsid w:val="0051375D"/>
    <w:rsid w:val="005138BD"/>
    <w:rsid w:val="00514833"/>
    <w:rsid w:val="005157B7"/>
    <w:rsid w:val="00516063"/>
    <w:rsid w:val="00516FA3"/>
    <w:rsid w:val="00517555"/>
    <w:rsid w:val="00517EB6"/>
    <w:rsid w:val="0052049E"/>
    <w:rsid w:val="00520709"/>
    <w:rsid w:val="00520FB1"/>
    <w:rsid w:val="00521F3C"/>
    <w:rsid w:val="005223B3"/>
    <w:rsid w:val="00522BA5"/>
    <w:rsid w:val="00522DEC"/>
    <w:rsid w:val="00523E7B"/>
    <w:rsid w:val="00523F5D"/>
    <w:rsid w:val="005243CB"/>
    <w:rsid w:val="00524A7B"/>
    <w:rsid w:val="00525ECE"/>
    <w:rsid w:val="005269F8"/>
    <w:rsid w:val="00530276"/>
    <w:rsid w:val="0053074B"/>
    <w:rsid w:val="005332C7"/>
    <w:rsid w:val="00533793"/>
    <w:rsid w:val="005350C4"/>
    <w:rsid w:val="00535819"/>
    <w:rsid w:val="005362BC"/>
    <w:rsid w:val="005364E6"/>
    <w:rsid w:val="005368D3"/>
    <w:rsid w:val="00536AB6"/>
    <w:rsid w:val="005416BE"/>
    <w:rsid w:val="005428B7"/>
    <w:rsid w:val="00542974"/>
    <w:rsid w:val="005431D6"/>
    <w:rsid w:val="005433AB"/>
    <w:rsid w:val="00543686"/>
    <w:rsid w:val="0054370E"/>
    <w:rsid w:val="005437C4"/>
    <w:rsid w:val="00543C75"/>
    <w:rsid w:val="00544AB3"/>
    <w:rsid w:val="00544E03"/>
    <w:rsid w:val="00545F5C"/>
    <w:rsid w:val="00547E3D"/>
    <w:rsid w:val="00550E79"/>
    <w:rsid w:val="00551C8E"/>
    <w:rsid w:val="005520EE"/>
    <w:rsid w:val="00552FE9"/>
    <w:rsid w:val="0055331D"/>
    <w:rsid w:val="00554FEF"/>
    <w:rsid w:val="005550C2"/>
    <w:rsid w:val="00556266"/>
    <w:rsid w:val="00557158"/>
    <w:rsid w:val="0055790C"/>
    <w:rsid w:val="00557A7C"/>
    <w:rsid w:val="005615FA"/>
    <w:rsid w:val="00562319"/>
    <w:rsid w:val="00562CC4"/>
    <w:rsid w:val="00562EB1"/>
    <w:rsid w:val="00563B51"/>
    <w:rsid w:val="005658B7"/>
    <w:rsid w:val="00565EC7"/>
    <w:rsid w:val="0056637A"/>
    <w:rsid w:val="00566498"/>
    <w:rsid w:val="00566A00"/>
    <w:rsid w:val="0056743D"/>
    <w:rsid w:val="0056785D"/>
    <w:rsid w:val="005713E4"/>
    <w:rsid w:val="00571474"/>
    <w:rsid w:val="005718EF"/>
    <w:rsid w:val="00571E62"/>
    <w:rsid w:val="00571FEE"/>
    <w:rsid w:val="0057259D"/>
    <w:rsid w:val="00572EF9"/>
    <w:rsid w:val="00573A1F"/>
    <w:rsid w:val="00573B33"/>
    <w:rsid w:val="00573FB8"/>
    <w:rsid w:val="0057473F"/>
    <w:rsid w:val="00576440"/>
    <w:rsid w:val="00577283"/>
    <w:rsid w:val="0058059C"/>
    <w:rsid w:val="00580E2D"/>
    <w:rsid w:val="00581A78"/>
    <w:rsid w:val="005824E1"/>
    <w:rsid w:val="00582ECD"/>
    <w:rsid w:val="0058307A"/>
    <w:rsid w:val="00583956"/>
    <w:rsid w:val="005841F8"/>
    <w:rsid w:val="005848FC"/>
    <w:rsid w:val="00584D60"/>
    <w:rsid w:val="00585AF6"/>
    <w:rsid w:val="00585FBF"/>
    <w:rsid w:val="00586250"/>
    <w:rsid w:val="00586398"/>
    <w:rsid w:val="0058754B"/>
    <w:rsid w:val="0058787D"/>
    <w:rsid w:val="00587BEE"/>
    <w:rsid w:val="00587EEE"/>
    <w:rsid w:val="00590954"/>
    <w:rsid w:val="00590B72"/>
    <w:rsid w:val="00590FC0"/>
    <w:rsid w:val="005911E6"/>
    <w:rsid w:val="005914EF"/>
    <w:rsid w:val="005926EC"/>
    <w:rsid w:val="005942A0"/>
    <w:rsid w:val="005949C4"/>
    <w:rsid w:val="005964AB"/>
    <w:rsid w:val="00596D11"/>
    <w:rsid w:val="005A0449"/>
    <w:rsid w:val="005A0C40"/>
    <w:rsid w:val="005A2A16"/>
    <w:rsid w:val="005A37B8"/>
    <w:rsid w:val="005A38AF"/>
    <w:rsid w:val="005A4419"/>
    <w:rsid w:val="005A585B"/>
    <w:rsid w:val="005A58BF"/>
    <w:rsid w:val="005A662F"/>
    <w:rsid w:val="005A6C3F"/>
    <w:rsid w:val="005A73E4"/>
    <w:rsid w:val="005A7933"/>
    <w:rsid w:val="005B079E"/>
    <w:rsid w:val="005B0875"/>
    <w:rsid w:val="005B0D2A"/>
    <w:rsid w:val="005B120F"/>
    <w:rsid w:val="005B1993"/>
    <w:rsid w:val="005B19EB"/>
    <w:rsid w:val="005B1AEA"/>
    <w:rsid w:val="005B2F6E"/>
    <w:rsid w:val="005B324F"/>
    <w:rsid w:val="005B335D"/>
    <w:rsid w:val="005B37B1"/>
    <w:rsid w:val="005B41FD"/>
    <w:rsid w:val="005B5645"/>
    <w:rsid w:val="005B57F4"/>
    <w:rsid w:val="005B61BE"/>
    <w:rsid w:val="005B67CA"/>
    <w:rsid w:val="005B78C1"/>
    <w:rsid w:val="005B7D63"/>
    <w:rsid w:val="005B7FF9"/>
    <w:rsid w:val="005C0E8D"/>
    <w:rsid w:val="005C195F"/>
    <w:rsid w:val="005C1BF0"/>
    <w:rsid w:val="005C1EE7"/>
    <w:rsid w:val="005C21FD"/>
    <w:rsid w:val="005C222D"/>
    <w:rsid w:val="005C5AFA"/>
    <w:rsid w:val="005C5D22"/>
    <w:rsid w:val="005C755B"/>
    <w:rsid w:val="005C75C7"/>
    <w:rsid w:val="005C787F"/>
    <w:rsid w:val="005D1C2D"/>
    <w:rsid w:val="005D2EC4"/>
    <w:rsid w:val="005D3001"/>
    <w:rsid w:val="005D3F76"/>
    <w:rsid w:val="005D411E"/>
    <w:rsid w:val="005D4578"/>
    <w:rsid w:val="005D50D9"/>
    <w:rsid w:val="005D5823"/>
    <w:rsid w:val="005D5863"/>
    <w:rsid w:val="005D6292"/>
    <w:rsid w:val="005D65AE"/>
    <w:rsid w:val="005D689E"/>
    <w:rsid w:val="005D69CF"/>
    <w:rsid w:val="005D7330"/>
    <w:rsid w:val="005D74E8"/>
    <w:rsid w:val="005E0131"/>
    <w:rsid w:val="005E05A3"/>
    <w:rsid w:val="005E0BFB"/>
    <w:rsid w:val="005E0FDE"/>
    <w:rsid w:val="005E1CFC"/>
    <w:rsid w:val="005E1DD8"/>
    <w:rsid w:val="005E2BDD"/>
    <w:rsid w:val="005E3DCF"/>
    <w:rsid w:val="005E4DC3"/>
    <w:rsid w:val="005E4F84"/>
    <w:rsid w:val="005E55EC"/>
    <w:rsid w:val="005E5C8A"/>
    <w:rsid w:val="005E7B6B"/>
    <w:rsid w:val="005F18DA"/>
    <w:rsid w:val="005F18DD"/>
    <w:rsid w:val="005F23E2"/>
    <w:rsid w:val="005F2D25"/>
    <w:rsid w:val="005F3B85"/>
    <w:rsid w:val="005F4C25"/>
    <w:rsid w:val="005F5441"/>
    <w:rsid w:val="005F5570"/>
    <w:rsid w:val="005F7481"/>
    <w:rsid w:val="005F7832"/>
    <w:rsid w:val="005F7BBE"/>
    <w:rsid w:val="005F7EB3"/>
    <w:rsid w:val="006014EC"/>
    <w:rsid w:val="00601528"/>
    <w:rsid w:val="006018A6"/>
    <w:rsid w:val="00601BE7"/>
    <w:rsid w:val="006021A5"/>
    <w:rsid w:val="00602286"/>
    <w:rsid w:val="006038F7"/>
    <w:rsid w:val="00604310"/>
    <w:rsid w:val="00604F50"/>
    <w:rsid w:val="0060505D"/>
    <w:rsid w:val="00605431"/>
    <w:rsid w:val="0060555D"/>
    <w:rsid w:val="00605B9D"/>
    <w:rsid w:val="00606464"/>
    <w:rsid w:val="00606492"/>
    <w:rsid w:val="00606ABD"/>
    <w:rsid w:val="00606D32"/>
    <w:rsid w:val="00606DC2"/>
    <w:rsid w:val="00607492"/>
    <w:rsid w:val="00607A6D"/>
    <w:rsid w:val="00610950"/>
    <w:rsid w:val="00610E13"/>
    <w:rsid w:val="00610F58"/>
    <w:rsid w:val="0061118E"/>
    <w:rsid w:val="00611745"/>
    <w:rsid w:val="00611B97"/>
    <w:rsid w:val="006122EE"/>
    <w:rsid w:val="006137F9"/>
    <w:rsid w:val="00613AE5"/>
    <w:rsid w:val="006146FF"/>
    <w:rsid w:val="00614B50"/>
    <w:rsid w:val="00614D90"/>
    <w:rsid w:val="006150C6"/>
    <w:rsid w:val="00616061"/>
    <w:rsid w:val="006161CA"/>
    <w:rsid w:val="00616676"/>
    <w:rsid w:val="00616E7A"/>
    <w:rsid w:val="0062071E"/>
    <w:rsid w:val="00620BD8"/>
    <w:rsid w:val="00620C84"/>
    <w:rsid w:val="00621568"/>
    <w:rsid w:val="00621DD9"/>
    <w:rsid w:val="00623041"/>
    <w:rsid w:val="0062339D"/>
    <w:rsid w:val="00625456"/>
    <w:rsid w:val="006267E0"/>
    <w:rsid w:val="00626FA5"/>
    <w:rsid w:val="006278F6"/>
    <w:rsid w:val="00627BD7"/>
    <w:rsid w:val="00627EA7"/>
    <w:rsid w:val="00630A1A"/>
    <w:rsid w:val="00630B24"/>
    <w:rsid w:val="00630F65"/>
    <w:rsid w:val="00631A8A"/>
    <w:rsid w:val="00631CE1"/>
    <w:rsid w:val="00631D81"/>
    <w:rsid w:val="006321A7"/>
    <w:rsid w:val="006333AB"/>
    <w:rsid w:val="00635940"/>
    <w:rsid w:val="00635C2E"/>
    <w:rsid w:val="0063637A"/>
    <w:rsid w:val="00636702"/>
    <w:rsid w:val="006402EA"/>
    <w:rsid w:val="0064057E"/>
    <w:rsid w:val="00641101"/>
    <w:rsid w:val="00642308"/>
    <w:rsid w:val="0064289F"/>
    <w:rsid w:val="00642A64"/>
    <w:rsid w:val="006455FB"/>
    <w:rsid w:val="00646A5F"/>
    <w:rsid w:val="00651B2D"/>
    <w:rsid w:val="00652C5E"/>
    <w:rsid w:val="0065376B"/>
    <w:rsid w:val="00653DCA"/>
    <w:rsid w:val="00655198"/>
    <w:rsid w:val="00655B33"/>
    <w:rsid w:val="006572F8"/>
    <w:rsid w:val="00657DD9"/>
    <w:rsid w:val="006611CE"/>
    <w:rsid w:val="00661649"/>
    <w:rsid w:val="0066197C"/>
    <w:rsid w:val="0066284E"/>
    <w:rsid w:val="00662D1E"/>
    <w:rsid w:val="00662F9E"/>
    <w:rsid w:val="00663E3A"/>
    <w:rsid w:val="00664161"/>
    <w:rsid w:val="00664438"/>
    <w:rsid w:val="00665315"/>
    <w:rsid w:val="00666308"/>
    <w:rsid w:val="00666B79"/>
    <w:rsid w:val="00667D53"/>
    <w:rsid w:val="00667FFC"/>
    <w:rsid w:val="00670219"/>
    <w:rsid w:val="006706EE"/>
    <w:rsid w:val="00670FC2"/>
    <w:rsid w:val="00671A26"/>
    <w:rsid w:val="006720E6"/>
    <w:rsid w:val="006730CE"/>
    <w:rsid w:val="006730F3"/>
    <w:rsid w:val="00673D20"/>
    <w:rsid w:val="00674344"/>
    <w:rsid w:val="00675215"/>
    <w:rsid w:val="006752BF"/>
    <w:rsid w:val="00675A06"/>
    <w:rsid w:val="0067630B"/>
    <w:rsid w:val="00676402"/>
    <w:rsid w:val="00676793"/>
    <w:rsid w:val="006769C9"/>
    <w:rsid w:val="00677E2B"/>
    <w:rsid w:val="0068017B"/>
    <w:rsid w:val="006810DE"/>
    <w:rsid w:val="00682703"/>
    <w:rsid w:val="006836FF"/>
    <w:rsid w:val="00683867"/>
    <w:rsid w:val="00684247"/>
    <w:rsid w:val="006842D9"/>
    <w:rsid w:val="006847B0"/>
    <w:rsid w:val="00684CB8"/>
    <w:rsid w:val="0068557A"/>
    <w:rsid w:val="00686952"/>
    <w:rsid w:val="00686DD8"/>
    <w:rsid w:val="006873D2"/>
    <w:rsid w:val="0068753A"/>
    <w:rsid w:val="006877A0"/>
    <w:rsid w:val="00687E73"/>
    <w:rsid w:val="00690433"/>
    <w:rsid w:val="00690EE8"/>
    <w:rsid w:val="00691097"/>
    <w:rsid w:val="00692C28"/>
    <w:rsid w:val="00692EC5"/>
    <w:rsid w:val="006932B8"/>
    <w:rsid w:val="006937ED"/>
    <w:rsid w:val="00693B86"/>
    <w:rsid w:val="0069418C"/>
    <w:rsid w:val="00695900"/>
    <w:rsid w:val="00695C7E"/>
    <w:rsid w:val="00696DFE"/>
    <w:rsid w:val="00696ED2"/>
    <w:rsid w:val="00697767"/>
    <w:rsid w:val="00697D0C"/>
    <w:rsid w:val="006A10A1"/>
    <w:rsid w:val="006A179F"/>
    <w:rsid w:val="006A1E3B"/>
    <w:rsid w:val="006A211F"/>
    <w:rsid w:val="006A2402"/>
    <w:rsid w:val="006A2CCA"/>
    <w:rsid w:val="006A3072"/>
    <w:rsid w:val="006A3887"/>
    <w:rsid w:val="006A4DFB"/>
    <w:rsid w:val="006A5B4E"/>
    <w:rsid w:val="006B0F3B"/>
    <w:rsid w:val="006B1944"/>
    <w:rsid w:val="006B2519"/>
    <w:rsid w:val="006B47EA"/>
    <w:rsid w:val="006B5B0F"/>
    <w:rsid w:val="006C013F"/>
    <w:rsid w:val="006C044A"/>
    <w:rsid w:val="006C1CB6"/>
    <w:rsid w:val="006C28D4"/>
    <w:rsid w:val="006C3311"/>
    <w:rsid w:val="006C449A"/>
    <w:rsid w:val="006C4F85"/>
    <w:rsid w:val="006C5E7A"/>
    <w:rsid w:val="006C5F28"/>
    <w:rsid w:val="006C66B0"/>
    <w:rsid w:val="006C6711"/>
    <w:rsid w:val="006C6D8D"/>
    <w:rsid w:val="006C72A0"/>
    <w:rsid w:val="006C75CA"/>
    <w:rsid w:val="006D0582"/>
    <w:rsid w:val="006D09AF"/>
    <w:rsid w:val="006D1BF6"/>
    <w:rsid w:val="006D1DE6"/>
    <w:rsid w:val="006D1FBF"/>
    <w:rsid w:val="006D26D6"/>
    <w:rsid w:val="006D3B4D"/>
    <w:rsid w:val="006D4562"/>
    <w:rsid w:val="006D4EEE"/>
    <w:rsid w:val="006D5992"/>
    <w:rsid w:val="006D5ED1"/>
    <w:rsid w:val="006D6E35"/>
    <w:rsid w:val="006D7417"/>
    <w:rsid w:val="006D766E"/>
    <w:rsid w:val="006D7D09"/>
    <w:rsid w:val="006D7DD3"/>
    <w:rsid w:val="006E037C"/>
    <w:rsid w:val="006E04B1"/>
    <w:rsid w:val="006E14BF"/>
    <w:rsid w:val="006E1A05"/>
    <w:rsid w:val="006E30A4"/>
    <w:rsid w:val="006E3400"/>
    <w:rsid w:val="006E3CF2"/>
    <w:rsid w:val="006E3EC0"/>
    <w:rsid w:val="006E429E"/>
    <w:rsid w:val="006E545D"/>
    <w:rsid w:val="006E5B91"/>
    <w:rsid w:val="006E6A02"/>
    <w:rsid w:val="006E6BC4"/>
    <w:rsid w:val="006E732C"/>
    <w:rsid w:val="006F040D"/>
    <w:rsid w:val="006F1327"/>
    <w:rsid w:val="006F3E94"/>
    <w:rsid w:val="006F533F"/>
    <w:rsid w:val="006F6700"/>
    <w:rsid w:val="006F6BF1"/>
    <w:rsid w:val="006F7244"/>
    <w:rsid w:val="006F7BF5"/>
    <w:rsid w:val="006F7CC2"/>
    <w:rsid w:val="00701334"/>
    <w:rsid w:val="007022DD"/>
    <w:rsid w:val="0070249C"/>
    <w:rsid w:val="00702C1E"/>
    <w:rsid w:val="00704D84"/>
    <w:rsid w:val="00704DB9"/>
    <w:rsid w:val="00706FBD"/>
    <w:rsid w:val="00707172"/>
    <w:rsid w:val="007072A8"/>
    <w:rsid w:val="00707BC8"/>
    <w:rsid w:val="00707C84"/>
    <w:rsid w:val="0071048D"/>
    <w:rsid w:val="00710DD4"/>
    <w:rsid w:val="0071242F"/>
    <w:rsid w:val="0071271E"/>
    <w:rsid w:val="007134E2"/>
    <w:rsid w:val="0071351E"/>
    <w:rsid w:val="007143C1"/>
    <w:rsid w:val="007159AB"/>
    <w:rsid w:val="007167A9"/>
    <w:rsid w:val="00716B0A"/>
    <w:rsid w:val="0072170F"/>
    <w:rsid w:val="007218D4"/>
    <w:rsid w:val="00722009"/>
    <w:rsid w:val="00722379"/>
    <w:rsid w:val="00722751"/>
    <w:rsid w:val="00722A6E"/>
    <w:rsid w:val="00722C46"/>
    <w:rsid w:val="00722C7E"/>
    <w:rsid w:val="00722D3B"/>
    <w:rsid w:val="00722D43"/>
    <w:rsid w:val="00724240"/>
    <w:rsid w:val="00725450"/>
    <w:rsid w:val="0072569D"/>
    <w:rsid w:val="00726123"/>
    <w:rsid w:val="00726309"/>
    <w:rsid w:val="007268DD"/>
    <w:rsid w:val="00726EFE"/>
    <w:rsid w:val="00726F17"/>
    <w:rsid w:val="0072724B"/>
    <w:rsid w:val="00730878"/>
    <w:rsid w:val="00731141"/>
    <w:rsid w:val="00731ED5"/>
    <w:rsid w:val="007324A2"/>
    <w:rsid w:val="0073319D"/>
    <w:rsid w:val="00733876"/>
    <w:rsid w:val="00733CB5"/>
    <w:rsid w:val="00735910"/>
    <w:rsid w:val="00735B3C"/>
    <w:rsid w:val="00735D8A"/>
    <w:rsid w:val="00737F82"/>
    <w:rsid w:val="007401D0"/>
    <w:rsid w:val="007407F5"/>
    <w:rsid w:val="00743BB6"/>
    <w:rsid w:val="00747C8E"/>
    <w:rsid w:val="00750FDA"/>
    <w:rsid w:val="00751927"/>
    <w:rsid w:val="0075226A"/>
    <w:rsid w:val="0075298A"/>
    <w:rsid w:val="007531D8"/>
    <w:rsid w:val="00753A7B"/>
    <w:rsid w:val="00754C89"/>
    <w:rsid w:val="00755905"/>
    <w:rsid w:val="00755FE1"/>
    <w:rsid w:val="00756040"/>
    <w:rsid w:val="007564F2"/>
    <w:rsid w:val="00757659"/>
    <w:rsid w:val="00757ED2"/>
    <w:rsid w:val="00760974"/>
    <w:rsid w:val="00760DAE"/>
    <w:rsid w:val="00760E91"/>
    <w:rsid w:val="00760E9D"/>
    <w:rsid w:val="007645DD"/>
    <w:rsid w:val="007647A4"/>
    <w:rsid w:val="00765203"/>
    <w:rsid w:val="00765C78"/>
    <w:rsid w:val="00765D2A"/>
    <w:rsid w:val="00766719"/>
    <w:rsid w:val="007668FE"/>
    <w:rsid w:val="007677B9"/>
    <w:rsid w:val="0077358A"/>
    <w:rsid w:val="00773D88"/>
    <w:rsid w:val="00774153"/>
    <w:rsid w:val="00774CDD"/>
    <w:rsid w:val="007750FB"/>
    <w:rsid w:val="007763AF"/>
    <w:rsid w:val="0077665B"/>
    <w:rsid w:val="0077672B"/>
    <w:rsid w:val="0077674E"/>
    <w:rsid w:val="00777000"/>
    <w:rsid w:val="0077708E"/>
    <w:rsid w:val="00777875"/>
    <w:rsid w:val="00777EB0"/>
    <w:rsid w:val="00777FE0"/>
    <w:rsid w:val="00780EEE"/>
    <w:rsid w:val="00781361"/>
    <w:rsid w:val="0078163A"/>
    <w:rsid w:val="007823D7"/>
    <w:rsid w:val="007824AF"/>
    <w:rsid w:val="0078251A"/>
    <w:rsid w:val="00782D9D"/>
    <w:rsid w:val="00783707"/>
    <w:rsid w:val="00783713"/>
    <w:rsid w:val="00783E15"/>
    <w:rsid w:val="00783F75"/>
    <w:rsid w:val="00784B2D"/>
    <w:rsid w:val="007903C3"/>
    <w:rsid w:val="007904FE"/>
    <w:rsid w:val="00791477"/>
    <w:rsid w:val="00792140"/>
    <w:rsid w:val="00792FA7"/>
    <w:rsid w:val="00793ACF"/>
    <w:rsid w:val="00794A1D"/>
    <w:rsid w:val="00795BCA"/>
    <w:rsid w:val="00795BEE"/>
    <w:rsid w:val="00795FC3"/>
    <w:rsid w:val="007A041E"/>
    <w:rsid w:val="007A07B7"/>
    <w:rsid w:val="007A1471"/>
    <w:rsid w:val="007A1966"/>
    <w:rsid w:val="007A1B6C"/>
    <w:rsid w:val="007A2139"/>
    <w:rsid w:val="007A2433"/>
    <w:rsid w:val="007A2651"/>
    <w:rsid w:val="007A2E8C"/>
    <w:rsid w:val="007A3316"/>
    <w:rsid w:val="007A48A2"/>
    <w:rsid w:val="007A494E"/>
    <w:rsid w:val="007A5325"/>
    <w:rsid w:val="007A5839"/>
    <w:rsid w:val="007A78D6"/>
    <w:rsid w:val="007A791D"/>
    <w:rsid w:val="007B092F"/>
    <w:rsid w:val="007B09BA"/>
    <w:rsid w:val="007B0A7F"/>
    <w:rsid w:val="007B0DBF"/>
    <w:rsid w:val="007B2360"/>
    <w:rsid w:val="007B2C9B"/>
    <w:rsid w:val="007B3754"/>
    <w:rsid w:val="007B3CD4"/>
    <w:rsid w:val="007B3F72"/>
    <w:rsid w:val="007B405D"/>
    <w:rsid w:val="007B4814"/>
    <w:rsid w:val="007B52BA"/>
    <w:rsid w:val="007B5A02"/>
    <w:rsid w:val="007B6086"/>
    <w:rsid w:val="007B630E"/>
    <w:rsid w:val="007B68FD"/>
    <w:rsid w:val="007B7085"/>
    <w:rsid w:val="007C00C8"/>
    <w:rsid w:val="007C03A7"/>
    <w:rsid w:val="007C0568"/>
    <w:rsid w:val="007C17D5"/>
    <w:rsid w:val="007C2369"/>
    <w:rsid w:val="007C303D"/>
    <w:rsid w:val="007C30E9"/>
    <w:rsid w:val="007C3DD5"/>
    <w:rsid w:val="007C3E26"/>
    <w:rsid w:val="007C5A82"/>
    <w:rsid w:val="007C5D15"/>
    <w:rsid w:val="007C7401"/>
    <w:rsid w:val="007C75F3"/>
    <w:rsid w:val="007D0114"/>
    <w:rsid w:val="007D0C30"/>
    <w:rsid w:val="007D0DFA"/>
    <w:rsid w:val="007D29E9"/>
    <w:rsid w:val="007D2EB1"/>
    <w:rsid w:val="007D4815"/>
    <w:rsid w:val="007D4BAD"/>
    <w:rsid w:val="007D6D4B"/>
    <w:rsid w:val="007D7A11"/>
    <w:rsid w:val="007E1635"/>
    <w:rsid w:val="007E18CA"/>
    <w:rsid w:val="007E1BC9"/>
    <w:rsid w:val="007E2E86"/>
    <w:rsid w:val="007E2F3A"/>
    <w:rsid w:val="007E3065"/>
    <w:rsid w:val="007E4014"/>
    <w:rsid w:val="007E4B5F"/>
    <w:rsid w:val="007E62B0"/>
    <w:rsid w:val="007E6579"/>
    <w:rsid w:val="007F00C2"/>
    <w:rsid w:val="007F158F"/>
    <w:rsid w:val="007F1A0B"/>
    <w:rsid w:val="007F1A8E"/>
    <w:rsid w:val="007F2F16"/>
    <w:rsid w:val="007F3358"/>
    <w:rsid w:val="007F3459"/>
    <w:rsid w:val="007F4ABF"/>
    <w:rsid w:val="007F4B6B"/>
    <w:rsid w:val="007F55C5"/>
    <w:rsid w:val="007F6290"/>
    <w:rsid w:val="007F6511"/>
    <w:rsid w:val="007F6F58"/>
    <w:rsid w:val="007F70D0"/>
    <w:rsid w:val="007F72E4"/>
    <w:rsid w:val="00800B01"/>
    <w:rsid w:val="008031D4"/>
    <w:rsid w:val="008051C6"/>
    <w:rsid w:val="008053B9"/>
    <w:rsid w:val="00805709"/>
    <w:rsid w:val="00805BA2"/>
    <w:rsid w:val="00806418"/>
    <w:rsid w:val="008066B6"/>
    <w:rsid w:val="00806DEE"/>
    <w:rsid w:val="00806FCE"/>
    <w:rsid w:val="008070D4"/>
    <w:rsid w:val="008078E0"/>
    <w:rsid w:val="0081005A"/>
    <w:rsid w:val="00810241"/>
    <w:rsid w:val="00811CDE"/>
    <w:rsid w:val="00811E87"/>
    <w:rsid w:val="008124D0"/>
    <w:rsid w:val="008138F8"/>
    <w:rsid w:val="00813D69"/>
    <w:rsid w:val="00814A7E"/>
    <w:rsid w:val="0081503A"/>
    <w:rsid w:val="00816368"/>
    <w:rsid w:val="00816450"/>
    <w:rsid w:val="00816785"/>
    <w:rsid w:val="00816DF4"/>
    <w:rsid w:val="00816E81"/>
    <w:rsid w:val="008175EC"/>
    <w:rsid w:val="00820485"/>
    <w:rsid w:val="00821597"/>
    <w:rsid w:val="0082165B"/>
    <w:rsid w:val="0082215A"/>
    <w:rsid w:val="0082375E"/>
    <w:rsid w:val="00823FCE"/>
    <w:rsid w:val="008244BE"/>
    <w:rsid w:val="00824C78"/>
    <w:rsid w:val="0082575E"/>
    <w:rsid w:val="00825AC2"/>
    <w:rsid w:val="00825E35"/>
    <w:rsid w:val="008260B8"/>
    <w:rsid w:val="00827721"/>
    <w:rsid w:val="00827AC2"/>
    <w:rsid w:val="00827ACF"/>
    <w:rsid w:val="00830FA8"/>
    <w:rsid w:val="0083236D"/>
    <w:rsid w:val="0083290A"/>
    <w:rsid w:val="00833357"/>
    <w:rsid w:val="0083344E"/>
    <w:rsid w:val="008337A7"/>
    <w:rsid w:val="00834C87"/>
    <w:rsid w:val="00835379"/>
    <w:rsid w:val="00835391"/>
    <w:rsid w:val="008360EE"/>
    <w:rsid w:val="00837417"/>
    <w:rsid w:val="00837F40"/>
    <w:rsid w:val="0084077A"/>
    <w:rsid w:val="0084120B"/>
    <w:rsid w:val="00841B0C"/>
    <w:rsid w:val="00842AE5"/>
    <w:rsid w:val="00845BA2"/>
    <w:rsid w:val="0084609F"/>
    <w:rsid w:val="00846680"/>
    <w:rsid w:val="0084679B"/>
    <w:rsid w:val="008469B7"/>
    <w:rsid w:val="008529D9"/>
    <w:rsid w:val="00854488"/>
    <w:rsid w:val="008558FD"/>
    <w:rsid w:val="0085595B"/>
    <w:rsid w:val="00855AE1"/>
    <w:rsid w:val="0085609E"/>
    <w:rsid w:val="00856590"/>
    <w:rsid w:val="0085729B"/>
    <w:rsid w:val="008578DF"/>
    <w:rsid w:val="00857AAC"/>
    <w:rsid w:val="0086281B"/>
    <w:rsid w:val="0086332A"/>
    <w:rsid w:val="0086408F"/>
    <w:rsid w:val="008642FB"/>
    <w:rsid w:val="00864A3B"/>
    <w:rsid w:val="0086545E"/>
    <w:rsid w:val="00866934"/>
    <w:rsid w:val="0086709D"/>
    <w:rsid w:val="00867C4B"/>
    <w:rsid w:val="00867E10"/>
    <w:rsid w:val="00872640"/>
    <w:rsid w:val="0087277C"/>
    <w:rsid w:val="00873EC4"/>
    <w:rsid w:val="0087441A"/>
    <w:rsid w:val="0087471B"/>
    <w:rsid w:val="00876084"/>
    <w:rsid w:val="00876772"/>
    <w:rsid w:val="00877F71"/>
    <w:rsid w:val="00880265"/>
    <w:rsid w:val="00880826"/>
    <w:rsid w:val="008812DB"/>
    <w:rsid w:val="0088151D"/>
    <w:rsid w:val="00881FCA"/>
    <w:rsid w:val="008823FD"/>
    <w:rsid w:val="00882FCC"/>
    <w:rsid w:val="00883199"/>
    <w:rsid w:val="00883E8B"/>
    <w:rsid w:val="00883F28"/>
    <w:rsid w:val="00884151"/>
    <w:rsid w:val="008841B6"/>
    <w:rsid w:val="008847E5"/>
    <w:rsid w:val="0088567A"/>
    <w:rsid w:val="00886F1A"/>
    <w:rsid w:val="008874EA"/>
    <w:rsid w:val="00890BEE"/>
    <w:rsid w:val="00890CEA"/>
    <w:rsid w:val="00891633"/>
    <w:rsid w:val="00891A0E"/>
    <w:rsid w:val="0089260C"/>
    <w:rsid w:val="0089291B"/>
    <w:rsid w:val="008935B2"/>
    <w:rsid w:val="00893744"/>
    <w:rsid w:val="00893774"/>
    <w:rsid w:val="00893A26"/>
    <w:rsid w:val="008943D4"/>
    <w:rsid w:val="0089443A"/>
    <w:rsid w:val="00894DA8"/>
    <w:rsid w:val="00896BDF"/>
    <w:rsid w:val="00896FBC"/>
    <w:rsid w:val="00897CD3"/>
    <w:rsid w:val="00897DB1"/>
    <w:rsid w:val="008A0590"/>
    <w:rsid w:val="008A125E"/>
    <w:rsid w:val="008A288C"/>
    <w:rsid w:val="008A3068"/>
    <w:rsid w:val="008A4119"/>
    <w:rsid w:val="008A4638"/>
    <w:rsid w:val="008A51F9"/>
    <w:rsid w:val="008A53D8"/>
    <w:rsid w:val="008A5B5A"/>
    <w:rsid w:val="008A615A"/>
    <w:rsid w:val="008A61DF"/>
    <w:rsid w:val="008A63EE"/>
    <w:rsid w:val="008A6C14"/>
    <w:rsid w:val="008A7405"/>
    <w:rsid w:val="008A7B8A"/>
    <w:rsid w:val="008B06E4"/>
    <w:rsid w:val="008B0799"/>
    <w:rsid w:val="008B0ADB"/>
    <w:rsid w:val="008B3298"/>
    <w:rsid w:val="008B3BF8"/>
    <w:rsid w:val="008B4106"/>
    <w:rsid w:val="008B5468"/>
    <w:rsid w:val="008B559A"/>
    <w:rsid w:val="008B5C83"/>
    <w:rsid w:val="008B65E8"/>
    <w:rsid w:val="008B7394"/>
    <w:rsid w:val="008C0C5C"/>
    <w:rsid w:val="008C0D80"/>
    <w:rsid w:val="008C1533"/>
    <w:rsid w:val="008C1984"/>
    <w:rsid w:val="008C2B7E"/>
    <w:rsid w:val="008C3044"/>
    <w:rsid w:val="008C3961"/>
    <w:rsid w:val="008C5E94"/>
    <w:rsid w:val="008C71F0"/>
    <w:rsid w:val="008C7233"/>
    <w:rsid w:val="008C76A7"/>
    <w:rsid w:val="008C7956"/>
    <w:rsid w:val="008C79AD"/>
    <w:rsid w:val="008C7F3F"/>
    <w:rsid w:val="008D12FB"/>
    <w:rsid w:val="008D1540"/>
    <w:rsid w:val="008D1F7E"/>
    <w:rsid w:val="008D2325"/>
    <w:rsid w:val="008D2973"/>
    <w:rsid w:val="008D2B0B"/>
    <w:rsid w:val="008D2C15"/>
    <w:rsid w:val="008D3D27"/>
    <w:rsid w:val="008D3F48"/>
    <w:rsid w:val="008D3FBC"/>
    <w:rsid w:val="008D4242"/>
    <w:rsid w:val="008D468C"/>
    <w:rsid w:val="008D4A0F"/>
    <w:rsid w:val="008D723B"/>
    <w:rsid w:val="008D7502"/>
    <w:rsid w:val="008D79F4"/>
    <w:rsid w:val="008E01DA"/>
    <w:rsid w:val="008E05B3"/>
    <w:rsid w:val="008E0733"/>
    <w:rsid w:val="008E10E9"/>
    <w:rsid w:val="008E191F"/>
    <w:rsid w:val="008E2D42"/>
    <w:rsid w:val="008E3360"/>
    <w:rsid w:val="008E33BB"/>
    <w:rsid w:val="008E40E4"/>
    <w:rsid w:val="008E47F1"/>
    <w:rsid w:val="008E5C11"/>
    <w:rsid w:val="008E6992"/>
    <w:rsid w:val="008E7067"/>
    <w:rsid w:val="008E7C00"/>
    <w:rsid w:val="008E7D5A"/>
    <w:rsid w:val="008F1DBE"/>
    <w:rsid w:val="008F1FF4"/>
    <w:rsid w:val="008F2215"/>
    <w:rsid w:val="008F231B"/>
    <w:rsid w:val="008F2E0F"/>
    <w:rsid w:val="008F32DF"/>
    <w:rsid w:val="008F39A6"/>
    <w:rsid w:val="008F43AB"/>
    <w:rsid w:val="008F44BD"/>
    <w:rsid w:val="008F4E55"/>
    <w:rsid w:val="008F53FE"/>
    <w:rsid w:val="008F5C43"/>
    <w:rsid w:val="008F600C"/>
    <w:rsid w:val="008F64C9"/>
    <w:rsid w:val="008F6869"/>
    <w:rsid w:val="008F686A"/>
    <w:rsid w:val="008F6872"/>
    <w:rsid w:val="008F6B17"/>
    <w:rsid w:val="008F7FE7"/>
    <w:rsid w:val="008F7FE9"/>
    <w:rsid w:val="00900387"/>
    <w:rsid w:val="00902837"/>
    <w:rsid w:val="00902C39"/>
    <w:rsid w:val="0090443D"/>
    <w:rsid w:val="00905B59"/>
    <w:rsid w:val="00905BD5"/>
    <w:rsid w:val="0090688B"/>
    <w:rsid w:val="0090773E"/>
    <w:rsid w:val="00907EA7"/>
    <w:rsid w:val="00912FAD"/>
    <w:rsid w:val="00914AA5"/>
    <w:rsid w:val="00914DFF"/>
    <w:rsid w:val="00914E3C"/>
    <w:rsid w:val="009156CD"/>
    <w:rsid w:val="00915CFE"/>
    <w:rsid w:val="009160CB"/>
    <w:rsid w:val="009161D2"/>
    <w:rsid w:val="009167F1"/>
    <w:rsid w:val="009170D2"/>
    <w:rsid w:val="00917356"/>
    <w:rsid w:val="00917B29"/>
    <w:rsid w:val="00921BFC"/>
    <w:rsid w:val="00922C17"/>
    <w:rsid w:val="00922E23"/>
    <w:rsid w:val="00924829"/>
    <w:rsid w:val="00924A80"/>
    <w:rsid w:val="00924E39"/>
    <w:rsid w:val="00925479"/>
    <w:rsid w:val="0092721C"/>
    <w:rsid w:val="0092729F"/>
    <w:rsid w:val="00927C38"/>
    <w:rsid w:val="009313F9"/>
    <w:rsid w:val="00931A3D"/>
    <w:rsid w:val="00931B3D"/>
    <w:rsid w:val="00932125"/>
    <w:rsid w:val="00932D7C"/>
    <w:rsid w:val="00932DAE"/>
    <w:rsid w:val="00933444"/>
    <w:rsid w:val="00933529"/>
    <w:rsid w:val="00933A87"/>
    <w:rsid w:val="00934FF4"/>
    <w:rsid w:val="0093557F"/>
    <w:rsid w:val="00941AD0"/>
    <w:rsid w:val="00941B00"/>
    <w:rsid w:val="00941BA3"/>
    <w:rsid w:val="00942B6D"/>
    <w:rsid w:val="00943C2C"/>
    <w:rsid w:val="009445AC"/>
    <w:rsid w:val="0094562A"/>
    <w:rsid w:val="00946BBF"/>
    <w:rsid w:val="009470B5"/>
    <w:rsid w:val="00947209"/>
    <w:rsid w:val="009472B3"/>
    <w:rsid w:val="00947890"/>
    <w:rsid w:val="00950EE9"/>
    <w:rsid w:val="009522B3"/>
    <w:rsid w:val="00954B46"/>
    <w:rsid w:val="00954E97"/>
    <w:rsid w:val="009556D4"/>
    <w:rsid w:val="00956046"/>
    <w:rsid w:val="00956364"/>
    <w:rsid w:val="00956609"/>
    <w:rsid w:val="0095746A"/>
    <w:rsid w:val="0096006C"/>
    <w:rsid w:val="009605F2"/>
    <w:rsid w:val="009618AF"/>
    <w:rsid w:val="009622B5"/>
    <w:rsid w:val="00962791"/>
    <w:rsid w:val="00962DC6"/>
    <w:rsid w:val="00963B8F"/>
    <w:rsid w:val="00964602"/>
    <w:rsid w:val="009648BA"/>
    <w:rsid w:val="00964FB8"/>
    <w:rsid w:val="00966057"/>
    <w:rsid w:val="00966BDA"/>
    <w:rsid w:val="009676FF"/>
    <w:rsid w:val="00967932"/>
    <w:rsid w:val="00967C42"/>
    <w:rsid w:val="00967EF8"/>
    <w:rsid w:val="009705CB"/>
    <w:rsid w:val="00970622"/>
    <w:rsid w:val="009709E0"/>
    <w:rsid w:val="009712F6"/>
    <w:rsid w:val="00971E69"/>
    <w:rsid w:val="00973554"/>
    <w:rsid w:val="009735F7"/>
    <w:rsid w:val="00973609"/>
    <w:rsid w:val="00973E07"/>
    <w:rsid w:val="009754DC"/>
    <w:rsid w:val="00976ADD"/>
    <w:rsid w:val="00976C7C"/>
    <w:rsid w:val="00977056"/>
    <w:rsid w:val="009804DB"/>
    <w:rsid w:val="009811F7"/>
    <w:rsid w:val="0098128E"/>
    <w:rsid w:val="009821AB"/>
    <w:rsid w:val="00983607"/>
    <w:rsid w:val="009837EC"/>
    <w:rsid w:val="00983D1E"/>
    <w:rsid w:val="009849C3"/>
    <w:rsid w:val="00986707"/>
    <w:rsid w:val="00986AB3"/>
    <w:rsid w:val="0098780C"/>
    <w:rsid w:val="0099001C"/>
    <w:rsid w:val="00990C3A"/>
    <w:rsid w:val="009913A3"/>
    <w:rsid w:val="0099195F"/>
    <w:rsid w:val="0099394E"/>
    <w:rsid w:val="009944B3"/>
    <w:rsid w:val="00995314"/>
    <w:rsid w:val="00995F6D"/>
    <w:rsid w:val="009963E4"/>
    <w:rsid w:val="00996877"/>
    <w:rsid w:val="00996AFC"/>
    <w:rsid w:val="00996E93"/>
    <w:rsid w:val="0099763E"/>
    <w:rsid w:val="009976B8"/>
    <w:rsid w:val="00997B64"/>
    <w:rsid w:val="009A0B6F"/>
    <w:rsid w:val="009A0D57"/>
    <w:rsid w:val="009A1709"/>
    <w:rsid w:val="009A19F0"/>
    <w:rsid w:val="009A1D33"/>
    <w:rsid w:val="009A22E5"/>
    <w:rsid w:val="009A2AB3"/>
    <w:rsid w:val="009A3736"/>
    <w:rsid w:val="009A3FB4"/>
    <w:rsid w:val="009A56D8"/>
    <w:rsid w:val="009A5852"/>
    <w:rsid w:val="009A58D8"/>
    <w:rsid w:val="009A59DE"/>
    <w:rsid w:val="009A71C3"/>
    <w:rsid w:val="009A76BD"/>
    <w:rsid w:val="009A7A10"/>
    <w:rsid w:val="009B0463"/>
    <w:rsid w:val="009B146D"/>
    <w:rsid w:val="009B154A"/>
    <w:rsid w:val="009B1C06"/>
    <w:rsid w:val="009B1C22"/>
    <w:rsid w:val="009B29C4"/>
    <w:rsid w:val="009B30B4"/>
    <w:rsid w:val="009B3574"/>
    <w:rsid w:val="009B38A9"/>
    <w:rsid w:val="009B47A0"/>
    <w:rsid w:val="009B47BC"/>
    <w:rsid w:val="009B4D9E"/>
    <w:rsid w:val="009B5750"/>
    <w:rsid w:val="009B7F81"/>
    <w:rsid w:val="009C00CE"/>
    <w:rsid w:val="009C0725"/>
    <w:rsid w:val="009C0742"/>
    <w:rsid w:val="009C0BA7"/>
    <w:rsid w:val="009C1546"/>
    <w:rsid w:val="009C168D"/>
    <w:rsid w:val="009C20F3"/>
    <w:rsid w:val="009C2133"/>
    <w:rsid w:val="009C4906"/>
    <w:rsid w:val="009C6701"/>
    <w:rsid w:val="009C6F4C"/>
    <w:rsid w:val="009C7D69"/>
    <w:rsid w:val="009C7DB7"/>
    <w:rsid w:val="009D0314"/>
    <w:rsid w:val="009D1F4E"/>
    <w:rsid w:val="009D3154"/>
    <w:rsid w:val="009D38DA"/>
    <w:rsid w:val="009D3EE1"/>
    <w:rsid w:val="009D4B08"/>
    <w:rsid w:val="009D4E53"/>
    <w:rsid w:val="009D6D52"/>
    <w:rsid w:val="009D7633"/>
    <w:rsid w:val="009E0112"/>
    <w:rsid w:val="009E0657"/>
    <w:rsid w:val="009E1329"/>
    <w:rsid w:val="009E1F8A"/>
    <w:rsid w:val="009E219C"/>
    <w:rsid w:val="009E23A8"/>
    <w:rsid w:val="009E272A"/>
    <w:rsid w:val="009E2960"/>
    <w:rsid w:val="009E2B68"/>
    <w:rsid w:val="009E3EB2"/>
    <w:rsid w:val="009E55E1"/>
    <w:rsid w:val="009E6DCD"/>
    <w:rsid w:val="009F07F5"/>
    <w:rsid w:val="009F1FD9"/>
    <w:rsid w:val="009F53FD"/>
    <w:rsid w:val="009F68E1"/>
    <w:rsid w:val="009F68F7"/>
    <w:rsid w:val="009F694E"/>
    <w:rsid w:val="009F6CC3"/>
    <w:rsid w:val="00A0019E"/>
    <w:rsid w:val="00A00449"/>
    <w:rsid w:val="00A00B10"/>
    <w:rsid w:val="00A00E47"/>
    <w:rsid w:val="00A017D9"/>
    <w:rsid w:val="00A01F67"/>
    <w:rsid w:val="00A02541"/>
    <w:rsid w:val="00A03BCC"/>
    <w:rsid w:val="00A03C59"/>
    <w:rsid w:val="00A05C97"/>
    <w:rsid w:val="00A05D60"/>
    <w:rsid w:val="00A062DA"/>
    <w:rsid w:val="00A111B6"/>
    <w:rsid w:val="00A12193"/>
    <w:rsid w:val="00A13987"/>
    <w:rsid w:val="00A139B1"/>
    <w:rsid w:val="00A14DBE"/>
    <w:rsid w:val="00A1511B"/>
    <w:rsid w:val="00A157DF"/>
    <w:rsid w:val="00A160E8"/>
    <w:rsid w:val="00A16C34"/>
    <w:rsid w:val="00A17088"/>
    <w:rsid w:val="00A17641"/>
    <w:rsid w:val="00A21896"/>
    <w:rsid w:val="00A22123"/>
    <w:rsid w:val="00A233FC"/>
    <w:rsid w:val="00A236A2"/>
    <w:rsid w:val="00A24288"/>
    <w:rsid w:val="00A24953"/>
    <w:rsid w:val="00A24C0A"/>
    <w:rsid w:val="00A24EDA"/>
    <w:rsid w:val="00A254FA"/>
    <w:rsid w:val="00A25DE7"/>
    <w:rsid w:val="00A270EA"/>
    <w:rsid w:val="00A271E0"/>
    <w:rsid w:val="00A3011B"/>
    <w:rsid w:val="00A3071E"/>
    <w:rsid w:val="00A31EA9"/>
    <w:rsid w:val="00A32D9A"/>
    <w:rsid w:val="00A33055"/>
    <w:rsid w:val="00A342FB"/>
    <w:rsid w:val="00A3439B"/>
    <w:rsid w:val="00A345E2"/>
    <w:rsid w:val="00A34A7D"/>
    <w:rsid w:val="00A36446"/>
    <w:rsid w:val="00A365E6"/>
    <w:rsid w:val="00A36758"/>
    <w:rsid w:val="00A37742"/>
    <w:rsid w:val="00A37E0F"/>
    <w:rsid w:val="00A42D86"/>
    <w:rsid w:val="00A4341F"/>
    <w:rsid w:val="00A44C9C"/>
    <w:rsid w:val="00A4681B"/>
    <w:rsid w:val="00A47EE5"/>
    <w:rsid w:val="00A51A72"/>
    <w:rsid w:val="00A52A55"/>
    <w:rsid w:val="00A53FA2"/>
    <w:rsid w:val="00A542B0"/>
    <w:rsid w:val="00A54399"/>
    <w:rsid w:val="00A5449B"/>
    <w:rsid w:val="00A556DB"/>
    <w:rsid w:val="00A565A7"/>
    <w:rsid w:val="00A565D1"/>
    <w:rsid w:val="00A57088"/>
    <w:rsid w:val="00A575CB"/>
    <w:rsid w:val="00A57A23"/>
    <w:rsid w:val="00A60315"/>
    <w:rsid w:val="00A60D8C"/>
    <w:rsid w:val="00A60F1C"/>
    <w:rsid w:val="00A61A36"/>
    <w:rsid w:val="00A61C2A"/>
    <w:rsid w:val="00A62016"/>
    <w:rsid w:val="00A63310"/>
    <w:rsid w:val="00A63491"/>
    <w:rsid w:val="00A640ED"/>
    <w:rsid w:val="00A644CD"/>
    <w:rsid w:val="00A64671"/>
    <w:rsid w:val="00A65A87"/>
    <w:rsid w:val="00A660C1"/>
    <w:rsid w:val="00A66363"/>
    <w:rsid w:val="00A67658"/>
    <w:rsid w:val="00A70D33"/>
    <w:rsid w:val="00A70F5D"/>
    <w:rsid w:val="00A7101A"/>
    <w:rsid w:val="00A7179D"/>
    <w:rsid w:val="00A72842"/>
    <w:rsid w:val="00A73093"/>
    <w:rsid w:val="00A737A8"/>
    <w:rsid w:val="00A74100"/>
    <w:rsid w:val="00A747F9"/>
    <w:rsid w:val="00A74FF5"/>
    <w:rsid w:val="00A75441"/>
    <w:rsid w:val="00A75FF9"/>
    <w:rsid w:val="00A763B4"/>
    <w:rsid w:val="00A764F8"/>
    <w:rsid w:val="00A76675"/>
    <w:rsid w:val="00A772D4"/>
    <w:rsid w:val="00A77BB4"/>
    <w:rsid w:val="00A77C7B"/>
    <w:rsid w:val="00A80505"/>
    <w:rsid w:val="00A8051E"/>
    <w:rsid w:val="00A8171F"/>
    <w:rsid w:val="00A82A9B"/>
    <w:rsid w:val="00A838B1"/>
    <w:rsid w:val="00A839A5"/>
    <w:rsid w:val="00A83EF2"/>
    <w:rsid w:val="00A84054"/>
    <w:rsid w:val="00A846FD"/>
    <w:rsid w:val="00A84A42"/>
    <w:rsid w:val="00A84D84"/>
    <w:rsid w:val="00A85DDD"/>
    <w:rsid w:val="00A86FC9"/>
    <w:rsid w:val="00A90534"/>
    <w:rsid w:val="00A9091D"/>
    <w:rsid w:val="00A917EA"/>
    <w:rsid w:val="00A9313F"/>
    <w:rsid w:val="00A935C2"/>
    <w:rsid w:val="00A950A1"/>
    <w:rsid w:val="00A9596D"/>
    <w:rsid w:val="00A970F1"/>
    <w:rsid w:val="00A9766D"/>
    <w:rsid w:val="00AA0D0C"/>
    <w:rsid w:val="00AA3750"/>
    <w:rsid w:val="00AA458B"/>
    <w:rsid w:val="00AA4E39"/>
    <w:rsid w:val="00AA5514"/>
    <w:rsid w:val="00AA571A"/>
    <w:rsid w:val="00AA5ADC"/>
    <w:rsid w:val="00AA5C48"/>
    <w:rsid w:val="00AA5E56"/>
    <w:rsid w:val="00AA6213"/>
    <w:rsid w:val="00AA697D"/>
    <w:rsid w:val="00AA6BF1"/>
    <w:rsid w:val="00AA6EDE"/>
    <w:rsid w:val="00AA718C"/>
    <w:rsid w:val="00AA7CA1"/>
    <w:rsid w:val="00AA7E5B"/>
    <w:rsid w:val="00AB01D6"/>
    <w:rsid w:val="00AB048D"/>
    <w:rsid w:val="00AB0A68"/>
    <w:rsid w:val="00AB10BA"/>
    <w:rsid w:val="00AB1674"/>
    <w:rsid w:val="00AB1F18"/>
    <w:rsid w:val="00AB2394"/>
    <w:rsid w:val="00AB289F"/>
    <w:rsid w:val="00AB2A7A"/>
    <w:rsid w:val="00AB55AE"/>
    <w:rsid w:val="00AB6454"/>
    <w:rsid w:val="00AC054A"/>
    <w:rsid w:val="00AC08FA"/>
    <w:rsid w:val="00AC10BA"/>
    <w:rsid w:val="00AC1B96"/>
    <w:rsid w:val="00AC2972"/>
    <w:rsid w:val="00AC369D"/>
    <w:rsid w:val="00AC38F1"/>
    <w:rsid w:val="00AC4713"/>
    <w:rsid w:val="00AC4B91"/>
    <w:rsid w:val="00AC4BA8"/>
    <w:rsid w:val="00AC5F61"/>
    <w:rsid w:val="00AD0674"/>
    <w:rsid w:val="00AD15B4"/>
    <w:rsid w:val="00AD1F00"/>
    <w:rsid w:val="00AD2030"/>
    <w:rsid w:val="00AD282B"/>
    <w:rsid w:val="00AD2E78"/>
    <w:rsid w:val="00AD367E"/>
    <w:rsid w:val="00AD410B"/>
    <w:rsid w:val="00AD5121"/>
    <w:rsid w:val="00AD5417"/>
    <w:rsid w:val="00AD56BD"/>
    <w:rsid w:val="00AD6262"/>
    <w:rsid w:val="00AD74E9"/>
    <w:rsid w:val="00AD7882"/>
    <w:rsid w:val="00AE00DE"/>
    <w:rsid w:val="00AE0476"/>
    <w:rsid w:val="00AE20CF"/>
    <w:rsid w:val="00AE235C"/>
    <w:rsid w:val="00AE2586"/>
    <w:rsid w:val="00AE3344"/>
    <w:rsid w:val="00AE3838"/>
    <w:rsid w:val="00AE3DDE"/>
    <w:rsid w:val="00AE3E05"/>
    <w:rsid w:val="00AE4A3A"/>
    <w:rsid w:val="00AE5371"/>
    <w:rsid w:val="00AE5391"/>
    <w:rsid w:val="00AE629E"/>
    <w:rsid w:val="00AE6B04"/>
    <w:rsid w:val="00AE7288"/>
    <w:rsid w:val="00AE72FE"/>
    <w:rsid w:val="00AE784D"/>
    <w:rsid w:val="00AE7E6A"/>
    <w:rsid w:val="00AF1940"/>
    <w:rsid w:val="00AF1AE8"/>
    <w:rsid w:val="00AF3E22"/>
    <w:rsid w:val="00AF4AD7"/>
    <w:rsid w:val="00AF7160"/>
    <w:rsid w:val="00AF75C7"/>
    <w:rsid w:val="00AF7A9A"/>
    <w:rsid w:val="00B00583"/>
    <w:rsid w:val="00B0095A"/>
    <w:rsid w:val="00B0104C"/>
    <w:rsid w:val="00B0143B"/>
    <w:rsid w:val="00B0179E"/>
    <w:rsid w:val="00B02251"/>
    <w:rsid w:val="00B022EA"/>
    <w:rsid w:val="00B0383A"/>
    <w:rsid w:val="00B0489D"/>
    <w:rsid w:val="00B04CDC"/>
    <w:rsid w:val="00B051BE"/>
    <w:rsid w:val="00B05931"/>
    <w:rsid w:val="00B05F2B"/>
    <w:rsid w:val="00B06090"/>
    <w:rsid w:val="00B06BA1"/>
    <w:rsid w:val="00B1124F"/>
    <w:rsid w:val="00B1155D"/>
    <w:rsid w:val="00B116C2"/>
    <w:rsid w:val="00B11E6D"/>
    <w:rsid w:val="00B1242D"/>
    <w:rsid w:val="00B12592"/>
    <w:rsid w:val="00B1430A"/>
    <w:rsid w:val="00B14F5F"/>
    <w:rsid w:val="00B150F5"/>
    <w:rsid w:val="00B151D4"/>
    <w:rsid w:val="00B1582F"/>
    <w:rsid w:val="00B158F1"/>
    <w:rsid w:val="00B15954"/>
    <w:rsid w:val="00B160AA"/>
    <w:rsid w:val="00B17A6F"/>
    <w:rsid w:val="00B2062B"/>
    <w:rsid w:val="00B210CB"/>
    <w:rsid w:val="00B2112F"/>
    <w:rsid w:val="00B2273A"/>
    <w:rsid w:val="00B23177"/>
    <w:rsid w:val="00B25087"/>
    <w:rsid w:val="00B25B53"/>
    <w:rsid w:val="00B271B4"/>
    <w:rsid w:val="00B27D5C"/>
    <w:rsid w:val="00B31CD4"/>
    <w:rsid w:val="00B32FD0"/>
    <w:rsid w:val="00B338B7"/>
    <w:rsid w:val="00B34F01"/>
    <w:rsid w:val="00B3565E"/>
    <w:rsid w:val="00B35F27"/>
    <w:rsid w:val="00B363B2"/>
    <w:rsid w:val="00B37420"/>
    <w:rsid w:val="00B37F9C"/>
    <w:rsid w:val="00B40025"/>
    <w:rsid w:val="00B4038E"/>
    <w:rsid w:val="00B4060A"/>
    <w:rsid w:val="00B406D7"/>
    <w:rsid w:val="00B40F59"/>
    <w:rsid w:val="00B4105E"/>
    <w:rsid w:val="00B416FA"/>
    <w:rsid w:val="00B421D7"/>
    <w:rsid w:val="00B42A63"/>
    <w:rsid w:val="00B42CD5"/>
    <w:rsid w:val="00B42D49"/>
    <w:rsid w:val="00B42D9B"/>
    <w:rsid w:val="00B4374A"/>
    <w:rsid w:val="00B441BC"/>
    <w:rsid w:val="00B442AA"/>
    <w:rsid w:val="00B44DFB"/>
    <w:rsid w:val="00B45E7A"/>
    <w:rsid w:val="00B46027"/>
    <w:rsid w:val="00B4660A"/>
    <w:rsid w:val="00B46A3E"/>
    <w:rsid w:val="00B504B6"/>
    <w:rsid w:val="00B50741"/>
    <w:rsid w:val="00B50B30"/>
    <w:rsid w:val="00B51754"/>
    <w:rsid w:val="00B51D19"/>
    <w:rsid w:val="00B52EAA"/>
    <w:rsid w:val="00B52F67"/>
    <w:rsid w:val="00B532D5"/>
    <w:rsid w:val="00B53AB7"/>
    <w:rsid w:val="00B5446D"/>
    <w:rsid w:val="00B5546B"/>
    <w:rsid w:val="00B55D7E"/>
    <w:rsid w:val="00B56329"/>
    <w:rsid w:val="00B56468"/>
    <w:rsid w:val="00B56A79"/>
    <w:rsid w:val="00B571DF"/>
    <w:rsid w:val="00B57CDD"/>
    <w:rsid w:val="00B6161D"/>
    <w:rsid w:val="00B616B4"/>
    <w:rsid w:val="00B61C58"/>
    <w:rsid w:val="00B61C77"/>
    <w:rsid w:val="00B636C5"/>
    <w:rsid w:val="00B638F7"/>
    <w:rsid w:val="00B63BC2"/>
    <w:rsid w:val="00B64347"/>
    <w:rsid w:val="00B651BA"/>
    <w:rsid w:val="00B65A54"/>
    <w:rsid w:val="00B66141"/>
    <w:rsid w:val="00B66657"/>
    <w:rsid w:val="00B66704"/>
    <w:rsid w:val="00B66B5B"/>
    <w:rsid w:val="00B70DAD"/>
    <w:rsid w:val="00B711E7"/>
    <w:rsid w:val="00B71376"/>
    <w:rsid w:val="00B714DF"/>
    <w:rsid w:val="00B71DB5"/>
    <w:rsid w:val="00B72C30"/>
    <w:rsid w:val="00B76034"/>
    <w:rsid w:val="00B7728F"/>
    <w:rsid w:val="00B7752A"/>
    <w:rsid w:val="00B7755D"/>
    <w:rsid w:val="00B800BA"/>
    <w:rsid w:val="00B80979"/>
    <w:rsid w:val="00B81990"/>
    <w:rsid w:val="00B81C7C"/>
    <w:rsid w:val="00B823DB"/>
    <w:rsid w:val="00B82B7A"/>
    <w:rsid w:val="00B8446D"/>
    <w:rsid w:val="00B84B7F"/>
    <w:rsid w:val="00B86002"/>
    <w:rsid w:val="00B8691D"/>
    <w:rsid w:val="00B87070"/>
    <w:rsid w:val="00B9179C"/>
    <w:rsid w:val="00B92501"/>
    <w:rsid w:val="00B92645"/>
    <w:rsid w:val="00B926BA"/>
    <w:rsid w:val="00B9333D"/>
    <w:rsid w:val="00B9394E"/>
    <w:rsid w:val="00B939BF"/>
    <w:rsid w:val="00B93B82"/>
    <w:rsid w:val="00B94252"/>
    <w:rsid w:val="00B9498A"/>
    <w:rsid w:val="00B96BCB"/>
    <w:rsid w:val="00B97891"/>
    <w:rsid w:val="00BA02D9"/>
    <w:rsid w:val="00BA0856"/>
    <w:rsid w:val="00BA1267"/>
    <w:rsid w:val="00BA227A"/>
    <w:rsid w:val="00BA246A"/>
    <w:rsid w:val="00BA331F"/>
    <w:rsid w:val="00BA3B76"/>
    <w:rsid w:val="00BA43E3"/>
    <w:rsid w:val="00BA6483"/>
    <w:rsid w:val="00BA7212"/>
    <w:rsid w:val="00BA7874"/>
    <w:rsid w:val="00BA7EFA"/>
    <w:rsid w:val="00BB0F5B"/>
    <w:rsid w:val="00BB1AFD"/>
    <w:rsid w:val="00BB24E8"/>
    <w:rsid w:val="00BB2888"/>
    <w:rsid w:val="00BB32F1"/>
    <w:rsid w:val="00BB3BCC"/>
    <w:rsid w:val="00BB49AE"/>
    <w:rsid w:val="00BB5532"/>
    <w:rsid w:val="00BB7BA2"/>
    <w:rsid w:val="00BB7E18"/>
    <w:rsid w:val="00BC03C4"/>
    <w:rsid w:val="00BC04DC"/>
    <w:rsid w:val="00BC1EBC"/>
    <w:rsid w:val="00BC208A"/>
    <w:rsid w:val="00BC2830"/>
    <w:rsid w:val="00BC2B7C"/>
    <w:rsid w:val="00BC2CCC"/>
    <w:rsid w:val="00BC2FA1"/>
    <w:rsid w:val="00BC3859"/>
    <w:rsid w:val="00BC3ABD"/>
    <w:rsid w:val="00BC4148"/>
    <w:rsid w:val="00BC4A56"/>
    <w:rsid w:val="00BC5FD2"/>
    <w:rsid w:val="00BC6675"/>
    <w:rsid w:val="00BD0F35"/>
    <w:rsid w:val="00BD2ADC"/>
    <w:rsid w:val="00BD44E6"/>
    <w:rsid w:val="00BD6478"/>
    <w:rsid w:val="00BD7007"/>
    <w:rsid w:val="00BD71F6"/>
    <w:rsid w:val="00BD77E4"/>
    <w:rsid w:val="00BD78E6"/>
    <w:rsid w:val="00BE07DE"/>
    <w:rsid w:val="00BE09DF"/>
    <w:rsid w:val="00BE1BED"/>
    <w:rsid w:val="00BE1E41"/>
    <w:rsid w:val="00BE2116"/>
    <w:rsid w:val="00BE2365"/>
    <w:rsid w:val="00BE4173"/>
    <w:rsid w:val="00BE41E3"/>
    <w:rsid w:val="00BE4568"/>
    <w:rsid w:val="00BE4E24"/>
    <w:rsid w:val="00BE5BA1"/>
    <w:rsid w:val="00BE6C0E"/>
    <w:rsid w:val="00BE70F8"/>
    <w:rsid w:val="00BE7685"/>
    <w:rsid w:val="00BE7DF6"/>
    <w:rsid w:val="00BF0129"/>
    <w:rsid w:val="00BF03B9"/>
    <w:rsid w:val="00BF05F4"/>
    <w:rsid w:val="00BF15FF"/>
    <w:rsid w:val="00BF18FA"/>
    <w:rsid w:val="00BF1D42"/>
    <w:rsid w:val="00BF2256"/>
    <w:rsid w:val="00BF22D8"/>
    <w:rsid w:val="00BF29AC"/>
    <w:rsid w:val="00BF2E7C"/>
    <w:rsid w:val="00BF38E6"/>
    <w:rsid w:val="00BF3AB6"/>
    <w:rsid w:val="00BF42DB"/>
    <w:rsid w:val="00BF4361"/>
    <w:rsid w:val="00BF5BAD"/>
    <w:rsid w:val="00BF63DD"/>
    <w:rsid w:val="00BF686A"/>
    <w:rsid w:val="00BF7F80"/>
    <w:rsid w:val="00C00072"/>
    <w:rsid w:val="00C00E6F"/>
    <w:rsid w:val="00C0176A"/>
    <w:rsid w:val="00C01D22"/>
    <w:rsid w:val="00C020C5"/>
    <w:rsid w:val="00C025F2"/>
    <w:rsid w:val="00C02D7F"/>
    <w:rsid w:val="00C03A74"/>
    <w:rsid w:val="00C043C3"/>
    <w:rsid w:val="00C04611"/>
    <w:rsid w:val="00C0558D"/>
    <w:rsid w:val="00C0695D"/>
    <w:rsid w:val="00C07B4D"/>
    <w:rsid w:val="00C10527"/>
    <w:rsid w:val="00C10C8A"/>
    <w:rsid w:val="00C115CD"/>
    <w:rsid w:val="00C11D5E"/>
    <w:rsid w:val="00C121BC"/>
    <w:rsid w:val="00C1226F"/>
    <w:rsid w:val="00C12E9E"/>
    <w:rsid w:val="00C145BB"/>
    <w:rsid w:val="00C1579A"/>
    <w:rsid w:val="00C15C52"/>
    <w:rsid w:val="00C16329"/>
    <w:rsid w:val="00C17732"/>
    <w:rsid w:val="00C21FE0"/>
    <w:rsid w:val="00C22F03"/>
    <w:rsid w:val="00C22F63"/>
    <w:rsid w:val="00C2435D"/>
    <w:rsid w:val="00C24F75"/>
    <w:rsid w:val="00C26823"/>
    <w:rsid w:val="00C27C09"/>
    <w:rsid w:val="00C30FAB"/>
    <w:rsid w:val="00C315D5"/>
    <w:rsid w:val="00C316B5"/>
    <w:rsid w:val="00C31F06"/>
    <w:rsid w:val="00C336A3"/>
    <w:rsid w:val="00C33BC9"/>
    <w:rsid w:val="00C33F8F"/>
    <w:rsid w:val="00C34A0D"/>
    <w:rsid w:val="00C35D06"/>
    <w:rsid w:val="00C35FA1"/>
    <w:rsid w:val="00C36217"/>
    <w:rsid w:val="00C3660A"/>
    <w:rsid w:val="00C37678"/>
    <w:rsid w:val="00C406DC"/>
    <w:rsid w:val="00C41330"/>
    <w:rsid w:val="00C428EA"/>
    <w:rsid w:val="00C4308E"/>
    <w:rsid w:val="00C43792"/>
    <w:rsid w:val="00C43CD5"/>
    <w:rsid w:val="00C441CE"/>
    <w:rsid w:val="00C44AE8"/>
    <w:rsid w:val="00C44FC1"/>
    <w:rsid w:val="00C45A58"/>
    <w:rsid w:val="00C45B50"/>
    <w:rsid w:val="00C476CE"/>
    <w:rsid w:val="00C47B6A"/>
    <w:rsid w:val="00C50C09"/>
    <w:rsid w:val="00C50DA4"/>
    <w:rsid w:val="00C52ACE"/>
    <w:rsid w:val="00C53D98"/>
    <w:rsid w:val="00C55AF6"/>
    <w:rsid w:val="00C57434"/>
    <w:rsid w:val="00C57C1E"/>
    <w:rsid w:val="00C57C52"/>
    <w:rsid w:val="00C6021F"/>
    <w:rsid w:val="00C606B2"/>
    <w:rsid w:val="00C60C90"/>
    <w:rsid w:val="00C619C0"/>
    <w:rsid w:val="00C61BE3"/>
    <w:rsid w:val="00C6213D"/>
    <w:rsid w:val="00C628FB"/>
    <w:rsid w:val="00C62B57"/>
    <w:rsid w:val="00C62D1E"/>
    <w:rsid w:val="00C630E8"/>
    <w:rsid w:val="00C63799"/>
    <w:rsid w:val="00C646B2"/>
    <w:rsid w:val="00C64FFF"/>
    <w:rsid w:val="00C65065"/>
    <w:rsid w:val="00C651B8"/>
    <w:rsid w:val="00C653F6"/>
    <w:rsid w:val="00C663B3"/>
    <w:rsid w:val="00C70AF5"/>
    <w:rsid w:val="00C71859"/>
    <w:rsid w:val="00C72536"/>
    <w:rsid w:val="00C72719"/>
    <w:rsid w:val="00C72BAF"/>
    <w:rsid w:val="00C72BDE"/>
    <w:rsid w:val="00C733E3"/>
    <w:rsid w:val="00C74F33"/>
    <w:rsid w:val="00C75206"/>
    <w:rsid w:val="00C768AE"/>
    <w:rsid w:val="00C76E21"/>
    <w:rsid w:val="00C77253"/>
    <w:rsid w:val="00C774CA"/>
    <w:rsid w:val="00C77659"/>
    <w:rsid w:val="00C77746"/>
    <w:rsid w:val="00C77C42"/>
    <w:rsid w:val="00C77FBA"/>
    <w:rsid w:val="00C80569"/>
    <w:rsid w:val="00C81EC4"/>
    <w:rsid w:val="00C82697"/>
    <w:rsid w:val="00C83471"/>
    <w:rsid w:val="00C86AFF"/>
    <w:rsid w:val="00C876F1"/>
    <w:rsid w:val="00C8781E"/>
    <w:rsid w:val="00C87BB2"/>
    <w:rsid w:val="00C90AE3"/>
    <w:rsid w:val="00C91472"/>
    <w:rsid w:val="00C91FC0"/>
    <w:rsid w:val="00C928F2"/>
    <w:rsid w:val="00C92AA8"/>
    <w:rsid w:val="00C92AB0"/>
    <w:rsid w:val="00C92ED2"/>
    <w:rsid w:val="00C93362"/>
    <w:rsid w:val="00C93375"/>
    <w:rsid w:val="00C934D8"/>
    <w:rsid w:val="00C9386F"/>
    <w:rsid w:val="00C93B08"/>
    <w:rsid w:val="00C93EF5"/>
    <w:rsid w:val="00C940D2"/>
    <w:rsid w:val="00C94C18"/>
    <w:rsid w:val="00C968DF"/>
    <w:rsid w:val="00C96B81"/>
    <w:rsid w:val="00C97469"/>
    <w:rsid w:val="00CA0102"/>
    <w:rsid w:val="00CA2290"/>
    <w:rsid w:val="00CA2684"/>
    <w:rsid w:val="00CA353B"/>
    <w:rsid w:val="00CA394F"/>
    <w:rsid w:val="00CA399F"/>
    <w:rsid w:val="00CA4077"/>
    <w:rsid w:val="00CA431D"/>
    <w:rsid w:val="00CA496E"/>
    <w:rsid w:val="00CA4B28"/>
    <w:rsid w:val="00CA678C"/>
    <w:rsid w:val="00CA6DFE"/>
    <w:rsid w:val="00CA7F6A"/>
    <w:rsid w:val="00CB006D"/>
    <w:rsid w:val="00CB0A5E"/>
    <w:rsid w:val="00CB0C74"/>
    <w:rsid w:val="00CB0ED1"/>
    <w:rsid w:val="00CB0FD4"/>
    <w:rsid w:val="00CB21E4"/>
    <w:rsid w:val="00CB3F15"/>
    <w:rsid w:val="00CB4143"/>
    <w:rsid w:val="00CB4376"/>
    <w:rsid w:val="00CB65FD"/>
    <w:rsid w:val="00CB70C6"/>
    <w:rsid w:val="00CB782D"/>
    <w:rsid w:val="00CB7854"/>
    <w:rsid w:val="00CC1053"/>
    <w:rsid w:val="00CC21EF"/>
    <w:rsid w:val="00CC2541"/>
    <w:rsid w:val="00CC26E9"/>
    <w:rsid w:val="00CC335C"/>
    <w:rsid w:val="00CC33F5"/>
    <w:rsid w:val="00CC35D5"/>
    <w:rsid w:val="00CC484A"/>
    <w:rsid w:val="00CC4933"/>
    <w:rsid w:val="00CC50EF"/>
    <w:rsid w:val="00CC5DAB"/>
    <w:rsid w:val="00CC7D39"/>
    <w:rsid w:val="00CD256B"/>
    <w:rsid w:val="00CD2B31"/>
    <w:rsid w:val="00CD39ED"/>
    <w:rsid w:val="00CD3C44"/>
    <w:rsid w:val="00CD4D77"/>
    <w:rsid w:val="00CD5048"/>
    <w:rsid w:val="00CD55DE"/>
    <w:rsid w:val="00CD5953"/>
    <w:rsid w:val="00CD5D72"/>
    <w:rsid w:val="00CD67E1"/>
    <w:rsid w:val="00CD67E8"/>
    <w:rsid w:val="00CD6EF7"/>
    <w:rsid w:val="00CD777E"/>
    <w:rsid w:val="00CD799F"/>
    <w:rsid w:val="00CE114F"/>
    <w:rsid w:val="00CE13C8"/>
    <w:rsid w:val="00CE14B5"/>
    <w:rsid w:val="00CE1AD3"/>
    <w:rsid w:val="00CE2852"/>
    <w:rsid w:val="00CE298E"/>
    <w:rsid w:val="00CE4DD1"/>
    <w:rsid w:val="00CE5E5E"/>
    <w:rsid w:val="00CE6577"/>
    <w:rsid w:val="00CE6B66"/>
    <w:rsid w:val="00CE6BE0"/>
    <w:rsid w:val="00CF0424"/>
    <w:rsid w:val="00CF0960"/>
    <w:rsid w:val="00CF2734"/>
    <w:rsid w:val="00CF296E"/>
    <w:rsid w:val="00CF3B78"/>
    <w:rsid w:val="00CF46BA"/>
    <w:rsid w:val="00CF5600"/>
    <w:rsid w:val="00CF6361"/>
    <w:rsid w:val="00CF66C5"/>
    <w:rsid w:val="00CF66C6"/>
    <w:rsid w:val="00CF70DA"/>
    <w:rsid w:val="00CF7CE2"/>
    <w:rsid w:val="00D00CA7"/>
    <w:rsid w:val="00D00D09"/>
    <w:rsid w:val="00D013A9"/>
    <w:rsid w:val="00D01BA7"/>
    <w:rsid w:val="00D03729"/>
    <w:rsid w:val="00D03734"/>
    <w:rsid w:val="00D03810"/>
    <w:rsid w:val="00D039B4"/>
    <w:rsid w:val="00D0429F"/>
    <w:rsid w:val="00D050F2"/>
    <w:rsid w:val="00D05514"/>
    <w:rsid w:val="00D05A15"/>
    <w:rsid w:val="00D06415"/>
    <w:rsid w:val="00D079ED"/>
    <w:rsid w:val="00D101FE"/>
    <w:rsid w:val="00D112FA"/>
    <w:rsid w:val="00D121BA"/>
    <w:rsid w:val="00D135AB"/>
    <w:rsid w:val="00D1401B"/>
    <w:rsid w:val="00D1425A"/>
    <w:rsid w:val="00D14349"/>
    <w:rsid w:val="00D1462A"/>
    <w:rsid w:val="00D14F26"/>
    <w:rsid w:val="00D16365"/>
    <w:rsid w:val="00D167F1"/>
    <w:rsid w:val="00D21449"/>
    <w:rsid w:val="00D2222F"/>
    <w:rsid w:val="00D22265"/>
    <w:rsid w:val="00D22379"/>
    <w:rsid w:val="00D22F2C"/>
    <w:rsid w:val="00D2398D"/>
    <w:rsid w:val="00D252BE"/>
    <w:rsid w:val="00D262C7"/>
    <w:rsid w:val="00D26BB3"/>
    <w:rsid w:val="00D26C9B"/>
    <w:rsid w:val="00D2711F"/>
    <w:rsid w:val="00D30794"/>
    <w:rsid w:val="00D309AF"/>
    <w:rsid w:val="00D314BF"/>
    <w:rsid w:val="00D328AD"/>
    <w:rsid w:val="00D33197"/>
    <w:rsid w:val="00D342F9"/>
    <w:rsid w:val="00D34957"/>
    <w:rsid w:val="00D34BB5"/>
    <w:rsid w:val="00D3536B"/>
    <w:rsid w:val="00D36240"/>
    <w:rsid w:val="00D3654C"/>
    <w:rsid w:val="00D36ACC"/>
    <w:rsid w:val="00D36C73"/>
    <w:rsid w:val="00D37184"/>
    <w:rsid w:val="00D371CE"/>
    <w:rsid w:val="00D379B5"/>
    <w:rsid w:val="00D4058F"/>
    <w:rsid w:val="00D40924"/>
    <w:rsid w:val="00D415A6"/>
    <w:rsid w:val="00D41F2F"/>
    <w:rsid w:val="00D424BD"/>
    <w:rsid w:val="00D43737"/>
    <w:rsid w:val="00D440FA"/>
    <w:rsid w:val="00D441B7"/>
    <w:rsid w:val="00D44267"/>
    <w:rsid w:val="00D44451"/>
    <w:rsid w:val="00D44B2C"/>
    <w:rsid w:val="00D45417"/>
    <w:rsid w:val="00D458E1"/>
    <w:rsid w:val="00D46134"/>
    <w:rsid w:val="00D4656A"/>
    <w:rsid w:val="00D46A7C"/>
    <w:rsid w:val="00D46FCA"/>
    <w:rsid w:val="00D473F0"/>
    <w:rsid w:val="00D5078F"/>
    <w:rsid w:val="00D5166B"/>
    <w:rsid w:val="00D519EE"/>
    <w:rsid w:val="00D52335"/>
    <w:rsid w:val="00D5335E"/>
    <w:rsid w:val="00D538E9"/>
    <w:rsid w:val="00D53CF7"/>
    <w:rsid w:val="00D5504C"/>
    <w:rsid w:val="00D56994"/>
    <w:rsid w:val="00D573A1"/>
    <w:rsid w:val="00D575BF"/>
    <w:rsid w:val="00D612C3"/>
    <w:rsid w:val="00D618C1"/>
    <w:rsid w:val="00D62297"/>
    <w:rsid w:val="00D632D3"/>
    <w:rsid w:val="00D635A5"/>
    <w:rsid w:val="00D6371D"/>
    <w:rsid w:val="00D63849"/>
    <w:rsid w:val="00D63E3B"/>
    <w:rsid w:val="00D63F90"/>
    <w:rsid w:val="00D64008"/>
    <w:rsid w:val="00D64450"/>
    <w:rsid w:val="00D64576"/>
    <w:rsid w:val="00D64DD9"/>
    <w:rsid w:val="00D64FBC"/>
    <w:rsid w:val="00D6521F"/>
    <w:rsid w:val="00D65DFD"/>
    <w:rsid w:val="00D66D03"/>
    <w:rsid w:val="00D6730E"/>
    <w:rsid w:val="00D67656"/>
    <w:rsid w:val="00D705D2"/>
    <w:rsid w:val="00D715AC"/>
    <w:rsid w:val="00D71E22"/>
    <w:rsid w:val="00D72552"/>
    <w:rsid w:val="00D72F77"/>
    <w:rsid w:val="00D733C5"/>
    <w:rsid w:val="00D73472"/>
    <w:rsid w:val="00D739E9"/>
    <w:rsid w:val="00D73BBA"/>
    <w:rsid w:val="00D74EF9"/>
    <w:rsid w:val="00D74F1B"/>
    <w:rsid w:val="00D7502F"/>
    <w:rsid w:val="00D75260"/>
    <w:rsid w:val="00D75583"/>
    <w:rsid w:val="00D77109"/>
    <w:rsid w:val="00D805E6"/>
    <w:rsid w:val="00D80A1C"/>
    <w:rsid w:val="00D80D74"/>
    <w:rsid w:val="00D823B1"/>
    <w:rsid w:val="00D84401"/>
    <w:rsid w:val="00D845DF"/>
    <w:rsid w:val="00D8561F"/>
    <w:rsid w:val="00D857ED"/>
    <w:rsid w:val="00D85997"/>
    <w:rsid w:val="00D875CC"/>
    <w:rsid w:val="00D8795E"/>
    <w:rsid w:val="00D90141"/>
    <w:rsid w:val="00D92B45"/>
    <w:rsid w:val="00D93006"/>
    <w:rsid w:val="00D9727B"/>
    <w:rsid w:val="00D975B8"/>
    <w:rsid w:val="00D97A04"/>
    <w:rsid w:val="00DA086F"/>
    <w:rsid w:val="00DA0C5A"/>
    <w:rsid w:val="00DA1D06"/>
    <w:rsid w:val="00DA1E13"/>
    <w:rsid w:val="00DA2627"/>
    <w:rsid w:val="00DA290E"/>
    <w:rsid w:val="00DA39C6"/>
    <w:rsid w:val="00DA3CF8"/>
    <w:rsid w:val="00DA44A6"/>
    <w:rsid w:val="00DA4787"/>
    <w:rsid w:val="00DA59A3"/>
    <w:rsid w:val="00DA69F7"/>
    <w:rsid w:val="00DA6BCC"/>
    <w:rsid w:val="00DA6E42"/>
    <w:rsid w:val="00DA7C18"/>
    <w:rsid w:val="00DB0D59"/>
    <w:rsid w:val="00DB159E"/>
    <w:rsid w:val="00DB17F8"/>
    <w:rsid w:val="00DB18A7"/>
    <w:rsid w:val="00DB31FE"/>
    <w:rsid w:val="00DB44E4"/>
    <w:rsid w:val="00DB471D"/>
    <w:rsid w:val="00DB57AB"/>
    <w:rsid w:val="00DB5A8C"/>
    <w:rsid w:val="00DB5F95"/>
    <w:rsid w:val="00DB630B"/>
    <w:rsid w:val="00DB6865"/>
    <w:rsid w:val="00DB6BE3"/>
    <w:rsid w:val="00DB7DD3"/>
    <w:rsid w:val="00DC0214"/>
    <w:rsid w:val="00DC049A"/>
    <w:rsid w:val="00DC1364"/>
    <w:rsid w:val="00DC256B"/>
    <w:rsid w:val="00DC2BB7"/>
    <w:rsid w:val="00DC30E9"/>
    <w:rsid w:val="00DC3493"/>
    <w:rsid w:val="00DC358D"/>
    <w:rsid w:val="00DC39C1"/>
    <w:rsid w:val="00DC446B"/>
    <w:rsid w:val="00DC4B2D"/>
    <w:rsid w:val="00DC541E"/>
    <w:rsid w:val="00DC5896"/>
    <w:rsid w:val="00DC5C13"/>
    <w:rsid w:val="00DC79DE"/>
    <w:rsid w:val="00DD0BE4"/>
    <w:rsid w:val="00DD0FF3"/>
    <w:rsid w:val="00DD1250"/>
    <w:rsid w:val="00DD22AD"/>
    <w:rsid w:val="00DD2411"/>
    <w:rsid w:val="00DD31BC"/>
    <w:rsid w:val="00DD3AE7"/>
    <w:rsid w:val="00DD4999"/>
    <w:rsid w:val="00DD49A4"/>
    <w:rsid w:val="00DD6EF0"/>
    <w:rsid w:val="00DD7425"/>
    <w:rsid w:val="00DD780D"/>
    <w:rsid w:val="00DD7FDA"/>
    <w:rsid w:val="00DE0294"/>
    <w:rsid w:val="00DE0638"/>
    <w:rsid w:val="00DE0E68"/>
    <w:rsid w:val="00DE1ABD"/>
    <w:rsid w:val="00DE1F21"/>
    <w:rsid w:val="00DE23E2"/>
    <w:rsid w:val="00DE31E9"/>
    <w:rsid w:val="00DE3455"/>
    <w:rsid w:val="00DE3587"/>
    <w:rsid w:val="00DE6138"/>
    <w:rsid w:val="00DE646C"/>
    <w:rsid w:val="00DE6D33"/>
    <w:rsid w:val="00DE704F"/>
    <w:rsid w:val="00DE75BB"/>
    <w:rsid w:val="00DF04E9"/>
    <w:rsid w:val="00DF112A"/>
    <w:rsid w:val="00DF1C3A"/>
    <w:rsid w:val="00DF1E44"/>
    <w:rsid w:val="00DF354B"/>
    <w:rsid w:val="00DF39D1"/>
    <w:rsid w:val="00DF48B1"/>
    <w:rsid w:val="00DF5C32"/>
    <w:rsid w:val="00DF6125"/>
    <w:rsid w:val="00DF691A"/>
    <w:rsid w:val="00DF6BA1"/>
    <w:rsid w:val="00DF7E9C"/>
    <w:rsid w:val="00E00474"/>
    <w:rsid w:val="00E0069A"/>
    <w:rsid w:val="00E0077E"/>
    <w:rsid w:val="00E0125F"/>
    <w:rsid w:val="00E01A0F"/>
    <w:rsid w:val="00E0208B"/>
    <w:rsid w:val="00E02B6F"/>
    <w:rsid w:val="00E039C4"/>
    <w:rsid w:val="00E03DA4"/>
    <w:rsid w:val="00E03E08"/>
    <w:rsid w:val="00E040F5"/>
    <w:rsid w:val="00E0447B"/>
    <w:rsid w:val="00E0556E"/>
    <w:rsid w:val="00E05C6B"/>
    <w:rsid w:val="00E06F2B"/>
    <w:rsid w:val="00E076DA"/>
    <w:rsid w:val="00E100F6"/>
    <w:rsid w:val="00E10260"/>
    <w:rsid w:val="00E11963"/>
    <w:rsid w:val="00E11F10"/>
    <w:rsid w:val="00E123EF"/>
    <w:rsid w:val="00E126FC"/>
    <w:rsid w:val="00E13086"/>
    <w:rsid w:val="00E136DE"/>
    <w:rsid w:val="00E14E69"/>
    <w:rsid w:val="00E159A5"/>
    <w:rsid w:val="00E16594"/>
    <w:rsid w:val="00E2068E"/>
    <w:rsid w:val="00E20A90"/>
    <w:rsid w:val="00E21AA6"/>
    <w:rsid w:val="00E23A5F"/>
    <w:rsid w:val="00E23DC0"/>
    <w:rsid w:val="00E24ACA"/>
    <w:rsid w:val="00E25691"/>
    <w:rsid w:val="00E26199"/>
    <w:rsid w:val="00E26378"/>
    <w:rsid w:val="00E26880"/>
    <w:rsid w:val="00E269CA"/>
    <w:rsid w:val="00E2734B"/>
    <w:rsid w:val="00E27992"/>
    <w:rsid w:val="00E30336"/>
    <w:rsid w:val="00E30670"/>
    <w:rsid w:val="00E32208"/>
    <w:rsid w:val="00E3295C"/>
    <w:rsid w:val="00E3552B"/>
    <w:rsid w:val="00E36106"/>
    <w:rsid w:val="00E36127"/>
    <w:rsid w:val="00E36F65"/>
    <w:rsid w:val="00E37530"/>
    <w:rsid w:val="00E41234"/>
    <w:rsid w:val="00E429F7"/>
    <w:rsid w:val="00E43416"/>
    <w:rsid w:val="00E43E02"/>
    <w:rsid w:val="00E43E10"/>
    <w:rsid w:val="00E46C95"/>
    <w:rsid w:val="00E4797D"/>
    <w:rsid w:val="00E50C7A"/>
    <w:rsid w:val="00E51856"/>
    <w:rsid w:val="00E5383E"/>
    <w:rsid w:val="00E5468E"/>
    <w:rsid w:val="00E55218"/>
    <w:rsid w:val="00E56542"/>
    <w:rsid w:val="00E60BC3"/>
    <w:rsid w:val="00E61F3A"/>
    <w:rsid w:val="00E632BF"/>
    <w:rsid w:val="00E6433A"/>
    <w:rsid w:val="00E65E57"/>
    <w:rsid w:val="00E65F17"/>
    <w:rsid w:val="00E6731A"/>
    <w:rsid w:val="00E6781B"/>
    <w:rsid w:val="00E702A5"/>
    <w:rsid w:val="00E707B1"/>
    <w:rsid w:val="00E70A7D"/>
    <w:rsid w:val="00E710B3"/>
    <w:rsid w:val="00E71503"/>
    <w:rsid w:val="00E716CB"/>
    <w:rsid w:val="00E71723"/>
    <w:rsid w:val="00E71B35"/>
    <w:rsid w:val="00E728D6"/>
    <w:rsid w:val="00E72B1B"/>
    <w:rsid w:val="00E7302B"/>
    <w:rsid w:val="00E73170"/>
    <w:rsid w:val="00E739B4"/>
    <w:rsid w:val="00E748C4"/>
    <w:rsid w:val="00E74AD0"/>
    <w:rsid w:val="00E74E79"/>
    <w:rsid w:val="00E75ED4"/>
    <w:rsid w:val="00E7796B"/>
    <w:rsid w:val="00E82DC7"/>
    <w:rsid w:val="00E839A5"/>
    <w:rsid w:val="00E83EB3"/>
    <w:rsid w:val="00E84B7C"/>
    <w:rsid w:val="00E84F17"/>
    <w:rsid w:val="00E8577B"/>
    <w:rsid w:val="00E85D46"/>
    <w:rsid w:val="00E8669F"/>
    <w:rsid w:val="00E87256"/>
    <w:rsid w:val="00E87DB7"/>
    <w:rsid w:val="00E903E3"/>
    <w:rsid w:val="00E9052C"/>
    <w:rsid w:val="00E91805"/>
    <w:rsid w:val="00E91C35"/>
    <w:rsid w:val="00E936FF"/>
    <w:rsid w:val="00E94660"/>
    <w:rsid w:val="00E956E9"/>
    <w:rsid w:val="00E9595C"/>
    <w:rsid w:val="00E96478"/>
    <w:rsid w:val="00E96692"/>
    <w:rsid w:val="00E9728A"/>
    <w:rsid w:val="00EA0A20"/>
    <w:rsid w:val="00EA0BA9"/>
    <w:rsid w:val="00EA118F"/>
    <w:rsid w:val="00EA13DA"/>
    <w:rsid w:val="00EA21F1"/>
    <w:rsid w:val="00EA4522"/>
    <w:rsid w:val="00EA5499"/>
    <w:rsid w:val="00EA555F"/>
    <w:rsid w:val="00EA70C3"/>
    <w:rsid w:val="00EB1D7C"/>
    <w:rsid w:val="00EB20C5"/>
    <w:rsid w:val="00EB252E"/>
    <w:rsid w:val="00EB28C9"/>
    <w:rsid w:val="00EB2969"/>
    <w:rsid w:val="00EB2F92"/>
    <w:rsid w:val="00EB37E0"/>
    <w:rsid w:val="00EB4ACF"/>
    <w:rsid w:val="00EB5183"/>
    <w:rsid w:val="00EB58E0"/>
    <w:rsid w:val="00EB5A53"/>
    <w:rsid w:val="00EB70F5"/>
    <w:rsid w:val="00EB756D"/>
    <w:rsid w:val="00EC07FC"/>
    <w:rsid w:val="00EC113C"/>
    <w:rsid w:val="00EC183A"/>
    <w:rsid w:val="00EC1DB8"/>
    <w:rsid w:val="00EC1F05"/>
    <w:rsid w:val="00EC2448"/>
    <w:rsid w:val="00EC2B74"/>
    <w:rsid w:val="00EC3A25"/>
    <w:rsid w:val="00EC42C8"/>
    <w:rsid w:val="00EC4866"/>
    <w:rsid w:val="00EC4D10"/>
    <w:rsid w:val="00EC50DE"/>
    <w:rsid w:val="00EC5355"/>
    <w:rsid w:val="00EC5C41"/>
    <w:rsid w:val="00EC5E79"/>
    <w:rsid w:val="00EC6489"/>
    <w:rsid w:val="00EC6D7F"/>
    <w:rsid w:val="00EC6F99"/>
    <w:rsid w:val="00ED04E9"/>
    <w:rsid w:val="00ED050C"/>
    <w:rsid w:val="00ED0982"/>
    <w:rsid w:val="00ED1B18"/>
    <w:rsid w:val="00ED242E"/>
    <w:rsid w:val="00ED2A21"/>
    <w:rsid w:val="00ED3D91"/>
    <w:rsid w:val="00ED3E6A"/>
    <w:rsid w:val="00ED42A1"/>
    <w:rsid w:val="00ED53BB"/>
    <w:rsid w:val="00ED5888"/>
    <w:rsid w:val="00ED721F"/>
    <w:rsid w:val="00ED79E4"/>
    <w:rsid w:val="00ED7B4D"/>
    <w:rsid w:val="00ED7C5B"/>
    <w:rsid w:val="00EE1469"/>
    <w:rsid w:val="00EE2FFC"/>
    <w:rsid w:val="00EE3D73"/>
    <w:rsid w:val="00EE58C5"/>
    <w:rsid w:val="00EE6957"/>
    <w:rsid w:val="00EE6B4B"/>
    <w:rsid w:val="00EE6CC8"/>
    <w:rsid w:val="00EE6D82"/>
    <w:rsid w:val="00EE7226"/>
    <w:rsid w:val="00EE760B"/>
    <w:rsid w:val="00EF04CF"/>
    <w:rsid w:val="00EF05EE"/>
    <w:rsid w:val="00EF0947"/>
    <w:rsid w:val="00EF0AF2"/>
    <w:rsid w:val="00EF0D8A"/>
    <w:rsid w:val="00EF1209"/>
    <w:rsid w:val="00EF1852"/>
    <w:rsid w:val="00EF278A"/>
    <w:rsid w:val="00EF38AA"/>
    <w:rsid w:val="00EF3D11"/>
    <w:rsid w:val="00EF40A7"/>
    <w:rsid w:val="00EF40E2"/>
    <w:rsid w:val="00EF4B3D"/>
    <w:rsid w:val="00EF527C"/>
    <w:rsid w:val="00EF5544"/>
    <w:rsid w:val="00EF66F2"/>
    <w:rsid w:val="00EF6DFE"/>
    <w:rsid w:val="00EF7A9F"/>
    <w:rsid w:val="00F007FC"/>
    <w:rsid w:val="00F00EFD"/>
    <w:rsid w:val="00F02C27"/>
    <w:rsid w:val="00F02F0A"/>
    <w:rsid w:val="00F032DD"/>
    <w:rsid w:val="00F0381D"/>
    <w:rsid w:val="00F03878"/>
    <w:rsid w:val="00F039F2"/>
    <w:rsid w:val="00F03AD6"/>
    <w:rsid w:val="00F03AEE"/>
    <w:rsid w:val="00F0524B"/>
    <w:rsid w:val="00F0550C"/>
    <w:rsid w:val="00F05F59"/>
    <w:rsid w:val="00F0650E"/>
    <w:rsid w:val="00F1060A"/>
    <w:rsid w:val="00F10FC7"/>
    <w:rsid w:val="00F11564"/>
    <w:rsid w:val="00F1210F"/>
    <w:rsid w:val="00F12D41"/>
    <w:rsid w:val="00F12E5A"/>
    <w:rsid w:val="00F13BD1"/>
    <w:rsid w:val="00F13CC2"/>
    <w:rsid w:val="00F14079"/>
    <w:rsid w:val="00F158AC"/>
    <w:rsid w:val="00F15E40"/>
    <w:rsid w:val="00F160D0"/>
    <w:rsid w:val="00F16ACD"/>
    <w:rsid w:val="00F16B9B"/>
    <w:rsid w:val="00F204DD"/>
    <w:rsid w:val="00F2136C"/>
    <w:rsid w:val="00F21F0D"/>
    <w:rsid w:val="00F2222C"/>
    <w:rsid w:val="00F225F3"/>
    <w:rsid w:val="00F22C08"/>
    <w:rsid w:val="00F22D74"/>
    <w:rsid w:val="00F2467B"/>
    <w:rsid w:val="00F24BDF"/>
    <w:rsid w:val="00F24C04"/>
    <w:rsid w:val="00F26739"/>
    <w:rsid w:val="00F27197"/>
    <w:rsid w:val="00F27259"/>
    <w:rsid w:val="00F33558"/>
    <w:rsid w:val="00F33A80"/>
    <w:rsid w:val="00F36BC5"/>
    <w:rsid w:val="00F3712C"/>
    <w:rsid w:val="00F3726B"/>
    <w:rsid w:val="00F37914"/>
    <w:rsid w:val="00F40249"/>
    <w:rsid w:val="00F404EB"/>
    <w:rsid w:val="00F4147F"/>
    <w:rsid w:val="00F4182E"/>
    <w:rsid w:val="00F42202"/>
    <w:rsid w:val="00F42744"/>
    <w:rsid w:val="00F43428"/>
    <w:rsid w:val="00F43459"/>
    <w:rsid w:val="00F44761"/>
    <w:rsid w:val="00F44C4D"/>
    <w:rsid w:val="00F44CA6"/>
    <w:rsid w:val="00F45167"/>
    <w:rsid w:val="00F45E6A"/>
    <w:rsid w:val="00F45F11"/>
    <w:rsid w:val="00F46ADB"/>
    <w:rsid w:val="00F4781C"/>
    <w:rsid w:val="00F502F5"/>
    <w:rsid w:val="00F50342"/>
    <w:rsid w:val="00F50ED3"/>
    <w:rsid w:val="00F53A0A"/>
    <w:rsid w:val="00F53D20"/>
    <w:rsid w:val="00F5490D"/>
    <w:rsid w:val="00F549E4"/>
    <w:rsid w:val="00F5530C"/>
    <w:rsid w:val="00F557D5"/>
    <w:rsid w:val="00F571FA"/>
    <w:rsid w:val="00F57706"/>
    <w:rsid w:val="00F6004C"/>
    <w:rsid w:val="00F60920"/>
    <w:rsid w:val="00F60BFC"/>
    <w:rsid w:val="00F60FAE"/>
    <w:rsid w:val="00F612C1"/>
    <w:rsid w:val="00F61804"/>
    <w:rsid w:val="00F61FC1"/>
    <w:rsid w:val="00F62025"/>
    <w:rsid w:val="00F6208D"/>
    <w:rsid w:val="00F62486"/>
    <w:rsid w:val="00F627F4"/>
    <w:rsid w:val="00F62877"/>
    <w:rsid w:val="00F62886"/>
    <w:rsid w:val="00F6337D"/>
    <w:rsid w:val="00F634F3"/>
    <w:rsid w:val="00F65047"/>
    <w:rsid w:val="00F6554D"/>
    <w:rsid w:val="00F66261"/>
    <w:rsid w:val="00F66AC2"/>
    <w:rsid w:val="00F674F3"/>
    <w:rsid w:val="00F67503"/>
    <w:rsid w:val="00F711BB"/>
    <w:rsid w:val="00F71360"/>
    <w:rsid w:val="00F7142C"/>
    <w:rsid w:val="00F71A08"/>
    <w:rsid w:val="00F74490"/>
    <w:rsid w:val="00F749F3"/>
    <w:rsid w:val="00F76A5D"/>
    <w:rsid w:val="00F76B3B"/>
    <w:rsid w:val="00F76D5E"/>
    <w:rsid w:val="00F7709D"/>
    <w:rsid w:val="00F77251"/>
    <w:rsid w:val="00F77BED"/>
    <w:rsid w:val="00F77C97"/>
    <w:rsid w:val="00F801C1"/>
    <w:rsid w:val="00F805E7"/>
    <w:rsid w:val="00F809B7"/>
    <w:rsid w:val="00F82ADE"/>
    <w:rsid w:val="00F84805"/>
    <w:rsid w:val="00F859E3"/>
    <w:rsid w:val="00F8728F"/>
    <w:rsid w:val="00F876A4"/>
    <w:rsid w:val="00F90144"/>
    <w:rsid w:val="00F90489"/>
    <w:rsid w:val="00F91261"/>
    <w:rsid w:val="00F92CE4"/>
    <w:rsid w:val="00F92DCF"/>
    <w:rsid w:val="00F932CF"/>
    <w:rsid w:val="00F93827"/>
    <w:rsid w:val="00F9387E"/>
    <w:rsid w:val="00F93FE5"/>
    <w:rsid w:val="00F948AF"/>
    <w:rsid w:val="00F9499F"/>
    <w:rsid w:val="00F94A8B"/>
    <w:rsid w:val="00F94B1B"/>
    <w:rsid w:val="00F94E86"/>
    <w:rsid w:val="00F953E1"/>
    <w:rsid w:val="00F95BAD"/>
    <w:rsid w:val="00F95DDC"/>
    <w:rsid w:val="00F95F25"/>
    <w:rsid w:val="00F961C5"/>
    <w:rsid w:val="00F96839"/>
    <w:rsid w:val="00F9707B"/>
    <w:rsid w:val="00F9710C"/>
    <w:rsid w:val="00F978E7"/>
    <w:rsid w:val="00FA2465"/>
    <w:rsid w:val="00FA2D54"/>
    <w:rsid w:val="00FA2E16"/>
    <w:rsid w:val="00FA3B64"/>
    <w:rsid w:val="00FA4805"/>
    <w:rsid w:val="00FA4AAB"/>
    <w:rsid w:val="00FA4B04"/>
    <w:rsid w:val="00FA4B91"/>
    <w:rsid w:val="00FA4F32"/>
    <w:rsid w:val="00FA5585"/>
    <w:rsid w:val="00FA5ABF"/>
    <w:rsid w:val="00FB02A1"/>
    <w:rsid w:val="00FB05AF"/>
    <w:rsid w:val="00FB06B2"/>
    <w:rsid w:val="00FB1A2F"/>
    <w:rsid w:val="00FB27CF"/>
    <w:rsid w:val="00FB2A58"/>
    <w:rsid w:val="00FB2EFC"/>
    <w:rsid w:val="00FB33B3"/>
    <w:rsid w:val="00FB35D9"/>
    <w:rsid w:val="00FB3876"/>
    <w:rsid w:val="00FB472E"/>
    <w:rsid w:val="00FB5C1A"/>
    <w:rsid w:val="00FB5CBC"/>
    <w:rsid w:val="00FB6602"/>
    <w:rsid w:val="00FB6C47"/>
    <w:rsid w:val="00FC0A9F"/>
    <w:rsid w:val="00FC15C7"/>
    <w:rsid w:val="00FC3487"/>
    <w:rsid w:val="00FC355D"/>
    <w:rsid w:val="00FC3F68"/>
    <w:rsid w:val="00FC53FB"/>
    <w:rsid w:val="00FC577E"/>
    <w:rsid w:val="00FC5C4F"/>
    <w:rsid w:val="00FC5CEB"/>
    <w:rsid w:val="00FC5EB6"/>
    <w:rsid w:val="00FC5FEB"/>
    <w:rsid w:val="00FC6976"/>
    <w:rsid w:val="00FC6D25"/>
    <w:rsid w:val="00FC6DE0"/>
    <w:rsid w:val="00FC73CD"/>
    <w:rsid w:val="00FC749F"/>
    <w:rsid w:val="00FC78FF"/>
    <w:rsid w:val="00FC7BFF"/>
    <w:rsid w:val="00FC7C62"/>
    <w:rsid w:val="00FD029E"/>
    <w:rsid w:val="00FD06E4"/>
    <w:rsid w:val="00FD1E36"/>
    <w:rsid w:val="00FD278B"/>
    <w:rsid w:val="00FD2CBF"/>
    <w:rsid w:val="00FD4415"/>
    <w:rsid w:val="00FD450D"/>
    <w:rsid w:val="00FD46A2"/>
    <w:rsid w:val="00FD46B9"/>
    <w:rsid w:val="00FD4C93"/>
    <w:rsid w:val="00FD63E0"/>
    <w:rsid w:val="00FD67F7"/>
    <w:rsid w:val="00FD6823"/>
    <w:rsid w:val="00FD756E"/>
    <w:rsid w:val="00FD781C"/>
    <w:rsid w:val="00FD793C"/>
    <w:rsid w:val="00FD7EC7"/>
    <w:rsid w:val="00FE0451"/>
    <w:rsid w:val="00FE496A"/>
    <w:rsid w:val="00FE4B95"/>
    <w:rsid w:val="00FE4C2B"/>
    <w:rsid w:val="00FE4CDA"/>
    <w:rsid w:val="00FE50F7"/>
    <w:rsid w:val="00FE56B2"/>
    <w:rsid w:val="00FE5B8A"/>
    <w:rsid w:val="00FE63B5"/>
    <w:rsid w:val="00FE66F8"/>
    <w:rsid w:val="00FE7A9A"/>
    <w:rsid w:val="00FF0BB8"/>
    <w:rsid w:val="00FF153C"/>
    <w:rsid w:val="00FF22A6"/>
    <w:rsid w:val="00FF3E66"/>
    <w:rsid w:val="00FF5155"/>
    <w:rsid w:val="00FF550A"/>
    <w:rsid w:val="00FF60E1"/>
    <w:rsid w:val="00FF7989"/>
  </w:rsids>
  <m:mathPr>
    <m:mathFont m:val="Cambria Math"/>
    <m:brkBin m:val="before"/>
    <m:brkBinSub m:val="--"/>
    <m:smallFrac m:val="0"/>
    <m:dispDef/>
    <m:lMargin m:val="0"/>
    <m:rMargin m:val="0"/>
    <m:defJc m:val="centerGroup"/>
    <m:wrapIndent m:val="1440"/>
    <m:intLim m:val="subSup"/>
    <m:naryLim m:val="undOvr"/>
  </m:mathPr>
  <w:themeFontLang w:val="es-E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2EBBA89"/>
  <w15:docId w15:val="{59C23972-C236-404C-9F48-EDD2F5EA42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4289F"/>
    <w:pPr>
      <w:widowControl w:val="0"/>
      <w:autoSpaceDE w:val="0"/>
      <w:autoSpaceDN w:val="0"/>
      <w:adjustRightInd w:val="0"/>
    </w:pPr>
    <w:rPr>
      <w:lang w:eastAsia="en-US"/>
    </w:rPr>
  </w:style>
  <w:style w:type="paragraph" w:styleId="Heading1">
    <w:name w:val="heading 1"/>
    <w:basedOn w:val="Normal"/>
    <w:next w:val="Normal"/>
    <w:qFormat/>
    <w:rsid w:val="003B6B2D"/>
    <w:pPr>
      <w:keepNext/>
      <w:widowControl/>
      <w:autoSpaceDE/>
      <w:autoSpaceDN/>
      <w:adjustRightInd/>
      <w:outlineLvl w:val="0"/>
    </w:pPr>
    <w:rPr>
      <w:rFonts w:eastAsia="Arial Unicode MS"/>
      <w:b/>
      <w:bCs/>
      <w:sz w:val="24"/>
      <w:szCs w:val="24"/>
    </w:rPr>
  </w:style>
  <w:style w:type="paragraph" w:styleId="Heading2">
    <w:name w:val="heading 2"/>
    <w:basedOn w:val="Normal"/>
    <w:next w:val="Normal"/>
    <w:qFormat/>
    <w:rsid w:val="003B6B2D"/>
    <w:pPr>
      <w:keepNext/>
      <w:widowControl/>
      <w:autoSpaceDE/>
      <w:autoSpaceDN/>
      <w:adjustRightInd/>
      <w:jc w:val="right"/>
      <w:outlineLvl w:val="1"/>
    </w:pPr>
    <w:rPr>
      <w:rFonts w:eastAsia="Arial Unicode MS"/>
      <w:b/>
      <w:bCs/>
      <w:sz w:val="24"/>
      <w:szCs w:val="24"/>
    </w:rPr>
  </w:style>
  <w:style w:type="paragraph" w:styleId="Heading3">
    <w:name w:val="heading 3"/>
    <w:basedOn w:val="Normal"/>
    <w:next w:val="Normal"/>
    <w:qFormat/>
    <w:rsid w:val="003B6B2D"/>
    <w:pPr>
      <w:keepNext/>
      <w:adjustRightInd/>
      <w:spacing w:after="108"/>
      <w:jc w:val="right"/>
      <w:outlineLvl w:val="2"/>
    </w:pPr>
    <w:rPr>
      <w:b/>
      <w:bCs/>
      <w:spacing w:val="2"/>
      <w:sz w:val="18"/>
    </w:rPr>
  </w:style>
  <w:style w:type="paragraph" w:styleId="Heading4">
    <w:name w:val="heading 4"/>
    <w:basedOn w:val="Normal"/>
    <w:next w:val="Normal"/>
    <w:qFormat/>
    <w:rsid w:val="003B6B2D"/>
    <w:pPr>
      <w:keepNext/>
      <w:widowControl/>
      <w:autoSpaceDE/>
      <w:autoSpaceDN/>
      <w:adjustRightInd/>
      <w:jc w:val="center"/>
      <w:outlineLvl w:val="3"/>
    </w:pPr>
    <w:rPr>
      <w:b/>
      <w:bCs/>
      <w:sz w:val="18"/>
      <w:szCs w:val="24"/>
    </w:rPr>
  </w:style>
  <w:style w:type="paragraph" w:styleId="Heading5">
    <w:name w:val="heading 5"/>
    <w:basedOn w:val="Normal"/>
    <w:next w:val="Normal"/>
    <w:qFormat/>
    <w:rsid w:val="003B6B2D"/>
    <w:pPr>
      <w:keepNext/>
      <w:widowControl/>
      <w:tabs>
        <w:tab w:val="left" w:pos="-696"/>
        <w:tab w:val="left" w:pos="0"/>
        <w:tab w:val="left" w:pos="720"/>
        <w:tab w:val="left" w:pos="975"/>
        <w:tab w:val="left" w:pos="124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27" w:lineRule="exact"/>
      <w:ind w:left="720" w:hanging="720"/>
      <w:outlineLvl w:val="4"/>
    </w:pPr>
    <w:rPr>
      <w:b/>
      <w:bCs/>
      <w:szCs w:val="22"/>
    </w:rPr>
  </w:style>
  <w:style w:type="paragraph" w:styleId="Heading6">
    <w:name w:val="heading 6"/>
    <w:basedOn w:val="Normal"/>
    <w:next w:val="Normal"/>
    <w:qFormat/>
    <w:rsid w:val="003B6B2D"/>
    <w:pPr>
      <w:keepNext/>
      <w:outlineLvl w:val="5"/>
    </w:pPr>
    <w:rPr>
      <w:b/>
      <w:bCs/>
      <w:sz w:val="22"/>
    </w:rPr>
  </w:style>
  <w:style w:type="paragraph" w:styleId="Heading7">
    <w:name w:val="heading 7"/>
    <w:basedOn w:val="Normal"/>
    <w:next w:val="Normal"/>
    <w:qFormat/>
    <w:rsid w:val="003B6B2D"/>
    <w:pPr>
      <w:keepNext/>
      <w:tabs>
        <w:tab w:val="left" w:pos="1276"/>
        <w:tab w:val="left" w:pos="1418"/>
        <w:tab w:val="left" w:leader="dot" w:pos="8222"/>
        <w:tab w:val="right" w:pos="8647"/>
      </w:tabs>
      <w:ind w:firstLine="426"/>
      <w:outlineLvl w:val="6"/>
    </w:pPr>
    <w:rPr>
      <w:b/>
      <w:bCs/>
    </w:rPr>
  </w:style>
  <w:style w:type="paragraph" w:styleId="Heading8">
    <w:name w:val="heading 8"/>
    <w:basedOn w:val="Normal"/>
    <w:next w:val="Normal"/>
    <w:qFormat/>
    <w:rsid w:val="003B6B2D"/>
    <w:pPr>
      <w:keepNext/>
      <w:jc w:val="center"/>
      <w:outlineLvl w:val="7"/>
    </w:pPr>
    <w:rPr>
      <w:b/>
      <w:bCs/>
      <w:sz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3B6B2D"/>
    <w:pPr>
      <w:tabs>
        <w:tab w:val="center" w:pos="4419"/>
        <w:tab w:val="right" w:pos="8838"/>
      </w:tabs>
    </w:pPr>
  </w:style>
  <w:style w:type="paragraph" w:styleId="Footer">
    <w:name w:val="footer"/>
    <w:basedOn w:val="Normal"/>
    <w:link w:val="FooterChar"/>
    <w:uiPriority w:val="99"/>
    <w:rsid w:val="003B6B2D"/>
    <w:pPr>
      <w:tabs>
        <w:tab w:val="center" w:pos="4419"/>
        <w:tab w:val="right" w:pos="8838"/>
      </w:tabs>
    </w:pPr>
  </w:style>
  <w:style w:type="paragraph" w:styleId="BodyTextIndent">
    <w:name w:val="Body Text Indent"/>
    <w:basedOn w:val="Normal"/>
    <w:rsid w:val="003B6B2D"/>
    <w:pPr>
      <w:widowControl/>
      <w:tabs>
        <w:tab w:val="left" w:pos="-1440"/>
        <w:tab w:val="left" w:pos="-720"/>
        <w:tab w:val="left" w:pos="0"/>
        <w:tab w:val="left" w:pos="720"/>
        <w:tab w:val="left" w:pos="1440"/>
        <w:tab w:val="left" w:pos="1700"/>
        <w:tab w:val="left" w:pos="2880"/>
        <w:tab w:val="left" w:pos="3600"/>
        <w:tab w:val="left" w:pos="4678"/>
        <w:tab w:val="left" w:pos="5040"/>
        <w:tab w:val="left" w:pos="5760"/>
        <w:tab w:val="left" w:pos="6480"/>
        <w:tab w:val="left" w:pos="7200"/>
        <w:tab w:val="left" w:pos="7920"/>
        <w:tab w:val="left" w:pos="8640"/>
        <w:tab w:val="left" w:pos="9360"/>
        <w:tab w:val="left" w:pos="10080"/>
        <w:tab w:val="left" w:pos="10800"/>
        <w:tab w:val="left" w:pos="11520"/>
      </w:tabs>
      <w:spacing w:line="227" w:lineRule="exact"/>
      <w:ind w:left="2040" w:hanging="2040"/>
    </w:pPr>
    <w:rPr>
      <w:rFonts w:ascii="Arial" w:hAnsi="Arial" w:cs="Arial"/>
      <w:sz w:val="18"/>
      <w:szCs w:val="18"/>
    </w:rPr>
  </w:style>
  <w:style w:type="paragraph" w:styleId="BodyText">
    <w:name w:val="Body Text"/>
    <w:basedOn w:val="Normal"/>
    <w:rsid w:val="003B6B2D"/>
    <w:pPr>
      <w:widowControl/>
      <w:autoSpaceDE/>
      <w:autoSpaceDN/>
      <w:adjustRightInd/>
      <w:spacing w:line="360" w:lineRule="auto"/>
    </w:pPr>
    <w:rPr>
      <w:szCs w:val="24"/>
    </w:rPr>
  </w:style>
  <w:style w:type="paragraph" w:customStyle="1" w:styleId="Style2">
    <w:name w:val="Style 2"/>
    <w:basedOn w:val="Normal"/>
    <w:rsid w:val="003B6B2D"/>
    <w:pPr>
      <w:adjustRightInd/>
      <w:jc w:val="center"/>
    </w:pPr>
    <w:rPr>
      <w:sz w:val="24"/>
      <w:szCs w:val="24"/>
      <w:lang w:eastAsia="es-ES"/>
    </w:rPr>
  </w:style>
  <w:style w:type="paragraph" w:styleId="BodyText2">
    <w:name w:val="Body Text 2"/>
    <w:basedOn w:val="Normal"/>
    <w:rsid w:val="003B6B2D"/>
    <w:pPr>
      <w:widowControl/>
      <w:autoSpaceDE/>
      <w:autoSpaceDN/>
      <w:adjustRightInd/>
    </w:pPr>
    <w:rPr>
      <w:b/>
      <w:bCs/>
      <w:szCs w:val="24"/>
    </w:rPr>
  </w:style>
  <w:style w:type="character" w:styleId="PageNumber">
    <w:name w:val="page number"/>
    <w:basedOn w:val="DefaultParagraphFont"/>
    <w:rsid w:val="003B6B2D"/>
  </w:style>
  <w:style w:type="paragraph" w:styleId="BodyTextIndent2">
    <w:name w:val="Body Text Indent 2"/>
    <w:basedOn w:val="Normal"/>
    <w:rsid w:val="003B6B2D"/>
    <w:pPr>
      <w:tabs>
        <w:tab w:val="left" w:pos="1276"/>
        <w:tab w:val="left" w:pos="1418"/>
        <w:tab w:val="left" w:leader="dot" w:pos="8222"/>
        <w:tab w:val="right" w:pos="8647"/>
      </w:tabs>
      <w:ind w:left="1276" w:hanging="851"/>
    </w:pPr>
  </w:style>
  <w:style w:type="paragraph" w:styleId="BodyTextIndent3">
    <w:name w:val="Body Text Indent 3"/>
    <w:basedOn w:val="Normal"/>
    <w:rsid w:val="003B6B2D"/>
    <w:pPr>
      <w:tabs>
        <w:tab w:val="left" w:pos="1276"/>
        <w:tab w:val="left" w:pos="1418"/>
        <w:tab w:val="left" w:leader="dot" w:pos="8222"/>
        <w:tab w:val="right" w:pos="8647"/>
      </w:tabs>
      <w:ind w:left="508"/>
    </w:pPr>
  </w:style>
  <w:style w:type="paragraph" w:styleId="BalloonText">
    <w:name w:val="Balloon Text"/>
    <w:basedOn w:val="Normal"/>
    <w:semiHidden/>
    <w:rsid w:val="00E3552B"/>
    <w:rPr>
      <w:rFonts w:ascii="Tahoma" w:hAnsi="Tahoma" w:cs="Tahoma"/>
      <w:sz w:val="16"/>
      <w:szCs w:val="16"/>
    </w:rPr>
  </w:style>
  <w:style w:type="paragraph" w:customStyle="1" w:styleId="Default">
    <w:name w:val="Default"/>
    <w:rsid w:val="0008315C"/>
    <w:pPr>
      <w:autoSpaceDE w:val="0"/>
      <w:autoSpaceDN w:val="0"/>
      <w:adjustRightInd w:val="0"/>
    </w:pPr>
    <w:rPr>
      <w:color w:val="000000"/>
      <w:sz w:val="24"/>
      <w:szCs w:val="24"/>
      <w:lang w:eastAsia="tr-TR"/>
    </w:rPr>
  </w:style>
  <w:style w:type="paragraph" w:customStyle="1" w:styleId="TITLEREC">
    <w:name w:val="TITLE REC"/>
    <w:basedOn w:val="Normal"/>
    <w:rsid w:val="002B6827"/>
    <w:pPr>
      <w:widowControl/>
      <w:pBdr>
        <w:top w:val="double" w:sz="6" w:space="6" w:color="auto"/>
        <w:left w:val="double" w:sz="6" w:space="0" w:color="auto"/>
        <w:bottom w:val="double" w:sz="6" w:space="6" w:color="auto"/>
        <w:right w:val="double" w:sz="6" w:space="0" w:color="auto"/>
      </w:pBdr>
      <w:tabs>
        <w:tab w:val="right" w:pos="8902"/>
      </w:tabs>
      <w:autoSpaceDE/>
      <w:autoSpaceDN/>
      <w:adjustRightInd/>
      <w:jc w:val="center"/>
    </w:pPr>
    <w:rPr>
      <w:b/>
      <w:bCs/>
      <w:szCs w:val="24"/>
    </w:rPr>
  </w:style>
  <w:style w:type="character" w:customStyle="1" w:styleId="FooterChar">
    <w:name w:val="Footer Char"/>
    <w:basedOn w:val="DefaultParagraphFont"/>
    <w:link w:val="Footer"/>
    <w:uiPriority w:val="99"/>
    <w:rsid w:val="002E2AC9"/>
    <w:rPr>
      <w:lang w:val="fr-FR" w:eastAsia="en-US"/>
    </w:rPr>
  </w:style>
  <w:style w:type="character" w:styleId="CommentReference">
    <w:name w:val="annotation reference"/>
    <w:basedOn w:val="DefaultParagraphFont"/>
    <w:uiPriority w:val="99"/>
    <w:rsid w:val="00464367"/>
    <w:rPr>
      <w:sz w:val="16"/>
      <w:szCs w:val="16"/>
    </w:rPr>
  </w:style>
  <w:style w:type="paragraph" w:styleId="CommentText">
    <w:name w:val="annotation text"/>
    <w:basedOn w:val="Normal"/>
    <w:link w:val="CommentTextChar"/>
    <w:uiPriority w:val="99"/>
    <w:rsid w:val="00464367"/>
  </w:style>
  <w:style w:type="character" w:customStyle="1" w:styleId="CommentTextChar">
    <w:name w:val="Comment Text Char"/>
    <w:basedOn w:val="DefaultParagraphFont"/>
    <w:link w:val="CommentText"/>
    <w:uiPriority w:val="99"/>
    <w:rsid w:val="00464367"/>
    <w:rPr>
      <w:lang w:val="fr-FR" w:eastAsia="en-US"/>
    </w:rPr>
  </w:style>
  <w:style w:type="paragraph" w:styleId="CommentSubject">
    <w:name w:val="annotation subject"/>
    <w:basedOn w:val="CommentText"/>
    <w:next w:val="CommentText"/>
    <w:link w:val="CommentSubjectChar"/>
    <w:rsid w:val="00464367"/>
    <w:rPr>
      <w:b/>
      <w:bCs/>
    </w:rPr>
  </w:style>
  <w:style w:type="character" w:customStyle="1" w:styleId="CommentSubjectChar">
    <w:name w:val="Comment Subject Char"/>
    <w:basedOn w:val="CommentTextChar"/>
    <w:link w:val="CommentSubject"/>
    <w:rsid w:val="00464367"/>
    <w:rPr>
      <w:b/>
      <w:bCs/>
      <w:lang w:val="fr-FR" w:eastAsia="en-US"/>
    </w:rPr>
  </w:style>
  <w:style w:type="character" w:styleId="Hyperlink">
    <w:name w:val="Hyperlink"/>
    <w:basedOn w:val="DefaultParagraphFont"/>
    <w:uiPriority w:val="99"/>
    <w:unhideWhenUsed/>
    <w:rsid w:val="003001DA"/>
    <w:rPr>
      <w:color w:val="0000FF" w:themeColor="hyperlink"/>
      <w:u w:val="single"/>
    </w:rPr>
  </w:style>
  <w:style w:type="paragraph" w:styleId="ListParagraph">
    <w:name w:val="List Paragraph"/>
    <w:basedOn w:val="Normal"/>
    <w:uiPriority w:val="34"/>
    <w:qFormat/>
    <w:rsid w:val="00A33055"/>
    <w:pPr>
      <w:ind w:left="720"/>
      <w:contextualSpacing/>
    </w:pPr>
  </w:style>
  <w:style w:type="table" w:styleId="TableGrid">
    <w:name w:val="Table Grid"/>
    <w:basedOn w:val="TableNormal"/>
    <w:uiPriority w:val="59"/>
    <w:rsid w:val="00A33055"/>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semiHidden/>
    <w:unhideWhenUsed/>
    <w:rsid w:val="002728CE"/>
  </w:style>
  <w:style w:type="character" w:customStyle="1" w:styleId="FootnoteTextChar">
    <w:name w:val="Footnote Text Char"/>
    <w:basedOn w:val="DefaultParagraphFont"/>
    <w:link w:val="FootnoteText"/>
    <w:semiHidden/>
    <w:rsid w:val="002728CE"/>
    <w:rPr>
      <w:lang w:val="fr-FR" w:eastAsia="en-US"/>
    </w:rPr>
  </w:style>
  <w:style w:type="character" w:styleId="FootnoteReference">
    <w:name w:val="footnote reference"/>
    <w:basedOn w:val="DefaultParagraphFont"/>
    <w:semiHidden/>
    <w:unhideWhenUsed/>
    <w:rsid w:val="002728CE"/>
    <w:rPr>
      <w:vertAlign w:val="superscript"/>
    </w:rPr>
  </w:style>
  <w:style w:type="character" w:customStyle="1" w:styleId="UnresolvedMention1">
    <w:name w:val="Unresolved Mention1"/>
    <w:basedOn w:val="DefaultParagraphFont"/>
    <w:uiPriority w:val="99"/>
    <w:semiHidden/>
    <w:unhideWhenUsed/>
    <w:rsid w:val="00A77BB4"/>
    <w:rPr>
      <w:color w:val="605E5C"/>
      <w:shd w:val="clear" w:color="auto" w:fill="E1DFDD"/>
    </w:rPr>
  </w:style>
  <w:style w:type="paragraph" w:customStyle="1" w:styleId="wordsection1">
    <w:name w:val="wordsection1"/>
    <w:basedOn w:val="Normal"/>
    <w:uiPriority w:val="99"/>
    <w:rsid w:val="00501E48"/>
    <w:pPr>
      <w:widowControl/>
      <w:autoSpaceDE/>
      <w:autoSpaceDN/>
      <w:adjustRightInd/>
      <w:spacing w:before="100" w:beforeAutospacing="1" w:after="100" w:afterAutospacing="1"/>
    </w:pPr>
    <w:rPr>
      <w:rFonts w:ascii="Calibri" w:eastAsiaTheme="minorHAnsi" w:hAnsi="Calibri" w:cs="Calibri"/>
      <w:sz w:val="22"/>
      <w:szCs w:val="22"/>
      <w:lang w:eastAsia="es-ES"/>
    </w:rPr>
  </w:style>
  <w:style w:type="character" w:styleId="FollowedHyperlink">
    <w:name w:val="FollowedHyperlink"/>
    <w:basedOn w:val="DefaultParagraphFont"/>
    <w:semiHidden/>
    <w:unhideWhenUsed/>
    <w:rsid w:val="0098128E"/>
    <w:rPr>
      <w:color w:val="800080" w:themeColor="followedHyperlink"/>
      <w:u w:val="single"/>
    </w:rPr>
  </w:style>
  <w:style w:type="character" w:customStyle="1" w:styleId="HeaderChar">
    <w:name w:val="Header Char"/>
    <w:basedOn w:val="DefaultParagraphFont"/>
    <w:link w:val="Header"/>
    <w:uiPriority w:val="99"/>
    <w:rsid w:val="00C043C3"/>
    <w:rPr>
      <w:lang w:val="fr-FR" w:eastAsia="en-US"/>
    </w:rPr>
  </w:style>
  <w:style w:type="paragraph" w:styleId="NormalWeb">
    <w:name w:val="Normal (Web)"/>
    <w:basedOn w:val="Normal"/>
    <w:uiPriority w:val="99"/>
    <w:semiHidden/>
    <w:unhideWhenUsed/>
    <w:rsid w:val="00AB289F"/>
    <w:pPr>
      <w:widowControl/>
      <w:autoSpaceDE/>
      <w:autoSpaceDN/>
      <w:adjustRightInd/>
      <w:spacing w:before="100" w:beforeAutospacing="1" w:after="100" w:afterAutospacing="1"/>
    </w:pPr>
    <w:rPr>
      <w:sz w:val="24"/>
      <w:szCs w:val="24"/>
      <w:lang w:eastAsia="en-GB"/>
    </w:rPr>
  </w:style>
  <w:style w:type="character" w:customStyle="1" w:styleId="UnresolvedMention2">
    <w:name w:val="Unresolved Mention2"/>
    <w:basedOn w:val="DefaultParagraphFont"/>
    <w:uiPriority w:val="99"/>
    <w:semiHidden/>
    <w:unhideWhenUsed/>
    <w:rsid w:val="001D5D7F"/>
    <w:rPr>
      <w:color w:val="605E5C"/>
      <w:shd w:val="clear" w:color="auto" w:fill="E1DFDD"/>
    </w:rPr>
  </w:style>
  <w:style w:type="paragraph" w:styleId="Revision">
    <w:name w:val="Revision"/>
    <w:hidden/>
    <w:uiPriority w:val="99"/>
    <w:semiHidden/>
    <w:rsid w:val="00D26C9B"/>
    <w:rPr>
      <w:lang w:eastAsia="en-US"/>
    </w:rPr>
  </w:style>
  <w:style w:type="character" w:styleId="UnresolvedMention">
    <w:name w:val="Unresolved Mention"/>
    <w:basedOn w:val="DefaultParagraphFont"/>
    <w:uiPriority w:val="99"/>
    <w:semiHidden/>
    <w:unhideWhenUsed/>
    <w:rsid w:val="00A838B1"/>
    <w:rPr>
      <w:color w:val="605E5C"/>
      <w:shd w:val="clear" w:color="auto" w:fill="E1DFDD"/>
    </w:rPr>
  </w:style>
  <w:style w:type="character" w:customStyle="1" w:styleId="p-element">
    <w:name w:val="p-element"/>
    <w:basedOn w:val="DefaultParagraphFont"/>
    <w:rsid w:val="0092721C"/>
  </w:style>
  <w:style w:type="character" w:customStyle="1" w:styleId="ui-provider">
    <w:name w:val="ui-provider"/>
    <w:basedOn w:val="DefaultParagraphFont"/>
    <w:rsid w:val="00A935C2"/>
  </w:style>
  <w:style w:type="character" w:styleId="Strong">
    <w:name w:val="Strong"/>
    <w:basedOn w:val="DefaultParagraphFont"/>
    <w:uiPriority w:val="22"/>
    <w:qFormat/>
    <w:rsid w:val="00A935C2"/>
    <w:rPr>
      <w:b/>
      <w:bCs/>
    </w:rPr>
  </w:style>
  <w:style w:type="paragraph" w:styleId="EndnoteText">
    <w:name w:val="endnote text"/>
    <w:basedOn w:val="Normal"/>
    <w:link w:val="EndnoteTextChar"/>
    <w:semiHidden/>
    <w:unhideWhenUsed/>
    <w:rsid w:val="005F7EB3"/>
  </w:style>
  <w:style w:type="character" w:customStyle="1" w:styleId="EndnoteTextChar">
    <w:name w:val="Endnote Text Char"/>
    <w:basedOn w:val="DefaultParagraphFont"/>
    <w:link w:val="EndnoteText"/>
    <w:semiHidden/>
    <w:rsid w:val="005F7EB3"/>
    <w:rPr>
      <w:lang w:eastAsia="en-US"/>
    </w:rPr>
  </w:style>
  <w:style w:type="character" w:styleId="EndnoteReference">
    <w:name w:val="endnote reference"/>
    <w:basedOn w:val="DefaultParagraphFont"/>
    <w:semiHidden/>
    <w:unhideWhenUsed/>
    <w:rsid w:val="005F7EB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21815">
      <w:bodyDiv w:val="1"/>
      <w:marLeft w:val="0"/>
      <w:marRight w:val="0"/>
      <w:marTop w:val="0"/>
      <w:marBottom w:val="0"/>
      <w:divBdr>
        <w:top w:val="none" w:sz="0" w:space="0" w:color="auto"/>
        <w:left w:val="none" w:sz="0" w:space="0" w:color="auto"/>
        <w:bottom w:val="none" w:sz="0" w:space="0" w:color="auto"/>
        <w:right w:val="none" w:sz="0" w:space="0" w:color="auto"/>
      </w:divBdr>
    </w:div>
    <w:div w:id="16469440">
      <w:bodyDiv w:val="1"/>
      <w:marLeft w:val="0"/>
      <w:marRight w:val="0"/>
      <w:marTop w:val="0"/>
      <w:marBottom w:val="0"/>
      <w:divBdr>
        <w:top w:val="none" w:sz="0" w:space="0" w:color="auto"/>
        <w:left w:val="none" w:sz="0" w:space="0" w:color="auto"/>
        <w:bottom w:val="none" w:sz="0" w:space="0" w:color="auto"/>
        <w:right w:val="none" w:sz="0" w:space="0" w:color="auto"/>
      </w:divBdr>
    </w:div>
    <w:div w:id="26224935">
      <w:bodyDiv w:val="1"/>
      <w:marLeft w:val="0"/>
      <w:marRight w:val="0"/>
      <w:marTop w:val="0"/>
      <w:marBottom w:val="0"/>
      <w:divBdr>
        <w:top w:val="none" w:sz="0" w:space="0" w:color="auto"/>
        <w:left w:val="none" w:sz="0" w:space="0" w:color="auto"/>
        <w:bottom w:val="none" w:sz="0" w:space="0" w:color="auto"/>
        <w:right w:val="none" w:sz="0" w:space="0" w:color="auto"/>
      </w:divBdr>
    </w:div>
    <w:div w:id="47001451">
      <w:bodyDiv w:val="1"/>
      <w:marLeft w:val="0"/>
      <w:marRight w:val="0"/>
      <w:marTop w:val="0"/>
      <w:marBottom w:val="0"/>
      <w:divBdr>
        <w:top w:val="none" w:sz="0" w:space="0" w:color="auto"/>
        <w:left w:val="none" w:sz="0" w:space="0" w:color="auto"/>
        <w:bottom w:val="none" w:sz="0" w:space="0" w:color="auto"/>
        <w:right w:val="none" w:sz="0" w:space="0" w:color="auto"/>
      </w:divBdr>
    </w:div>
    <w:div w:id="48384050">
      <w:bodyDiv w:val="1"/>
      <w:marLeft w:val="0"/>
      <w:marRight w:val="0"/>
      <w:marTop w:val="0"/>
      <w:marBottom w:val="0"/>
      <w:divBdr>
        <w:top w:val="none" w:sz="0" w:space="0" w:color="auto"/>
        <w:left w:val="none" w:sz="0" w:space="0" w:color="auto"/>
        <w:bottom w:val="none" w:sz="0" w:space="0" w:color="auto"/>
        <w:right w:val="none" w:sz="0" w:space="0" w:color="auto"/>
      </w:divBdr>
    </w:div>
    <w:div w:id="55520337">
      <w:bodyDiv w:val="1"/>
      <w:marLeft w:val="0"/>
      <w:marRight w:val="0"/>
      <w:marTop w:val="0"/>
      <w:marBottom w:val="0"/>
      <w:divBdr>
        <w:top w:val="none" w:sz="0" w:space="0" w:color="auto"/>
        <w:left w:val="none" w:sz="0" w:space="0" w:color="auto"/>
        <w:bottom w:val="none" w:sz="0" w:space="0" w:color="auto"/>
        <w:right w:val="none" w:sz="0" w:space="0" w:color="auto"/>
      </w:divBdr>
    </w:div>
    <w:div w:id="58864657">
      <w:bodyDiv w:val="1"/>
      <w:marLeft w:val="0"/>
      <w:marRight w:val="0"/>
      <w:marTop w:val="0"/>
      <w:marBottom w:val="0"/>
      <w:divBdr>
        <w:top w:val="none" w:sz="0" w:space="0" w:color="auto"/>
        <w:left w:val="none" w:sz="0" w:space="0" w:color="auto"/>
        <w:bottom w:val="none" w:sz="0" w:space="0" w:color="auto"/>
        <w:right w:val="none" w:sz="0" w:space="0" w:color="auto"/>
      </w:divBdr>
    </w:div>
    <w:div w:id="64030060">
      <w:bodyDiv w:val="1"/>
      <w:marLeft w:val="0"/>
      <w:marRight w:val="0"/>
      <w:marTop w:val="0"/>
      <w:marBottom w:val="0"/>
      <w:divBdr>
        <w:top w:val="none" w:sz="0" w:space="0" w:color="auto"/>
        <w:left w:val="none" w:sz="0" w:space="0" w:color="auto"/>
        <w:bottom w:val="none" w:sz="0" w:space="0" w:color="auto"/>
        <w:right w:val="none" w:sz="0" w:space="0" w:color="auto"/>
      </w:divBdr>
    </w:div>
    <w:div w:id="70201813">
      <w:bodyDiv w:val="1"/>
      <w:marLeft w:val="0"/>
      <w:marRight w:val="0"/>
      <w:marTop w:val="0"/>
      <w:marBottom w:val="0"/>
      <w:divBdr>
        <w:top w:val="none" w:sz="0" w:space="0" w:color="auto"/>
        <w:left w:val="none" w:sz="0" w:space="0" w:color="auto"/>
        <w:bottom w:val="none" w:sz="0" w:space="0" w:color="auto"/>
        <w:right w:val="none" w:sz="0" w:space="0" w:color="auto"/>
      </w:divBdr>
    </w:div>
    <w:div w:id="78068310">
      <w:bodyDiv w:val="1"/>
      <w:marLeft w:val="0"/>
      <w:marRight w:val="0"/>
      <w:marTop w:val="0"/>
      <w:marBottom w:val="0"/>
      <w:divBdr>
        <w:top w:val="none" w:sz="0" w:space="0" w:color="auto"/>
        <w:left w:val="none" w:sz="0" w:space="0" w:color="auto"/>
        <w:bottom w:val="none" w:sz="0" w:space="0" w:color="auto"/>
        <w:right w:val="none" w:sz="0" w:space="0" w:color="auto"/>
      </w:divBdr>
    </w:div>
    <w:div w:id="92480517">
      <w:bodyDiv w:val="1"/>
      <w:marLeft w:val="0"/>
      <w:marRight w:val="0"/>
      <w:marTop w:val="0"/>
      <w:marBottom w:val="0"/>
      <w:divBdr>
        <w:top w:val="none" w:sz="0" w:space="0" w:color="auto"/>
        <w:left w:val="none" w:sz="0" w:space="0" w:color="auto"/>
        <w:bottom w:val="none" w:sz="0" w:space="0" w:color="auto"/>
        <w:right w:val="none" w:sz="0" w:space="0" w:color="auto"/>
      </w:divBdr>
    </w:div>
    <w:div w:id="121467267">
      <w:bodyDiv w:val="1"/>
      <w:marLeft w:val="0"/>
      <w:marRight w:val="0"/>
      <w:marTop w:val="0"/>
      <w:marBottom w:val="0"/>
      <w:divBdr>
        <w:top w:val="none" w:sz="0" w:space="0" w:color="auto"/>
        <w:left w:val="none" w:sz="0" w:space="0" w:color="auto"/>
        <w:bottom w:val="none" w:sz="0" w:space="0" w:color="auto"/>
        <w:right w:val="none" w:sz="0" w:space="0" w:color="auto"/>
      </w:divBdr>
    </w:div>
    <w:div w:id="129055530">
      <w:bodyDiv w:val="1"/>
      <w:marLeft w:val="0"/>
      <w:marRight w:val="0"/>
      <w:marTop w:val="0"/>
      <w:marBottom w:val="0"/>
      <w:divBdr>
        <w:top w:val="none" w:sz="0" w:space="0" w:color="auto"/>
        <w:left w:val="none" w:sz="0" w:space="0" w:color="auto"/>
        <w:bottom w:val="none" w:sz="0" w:space="0" w:color="auto"/>
        <w:right w:val="none" w:sz="0" w:space="0" w:color="auto"/>
      </w:divBdr>
    </w:div>
    <w:div w:id="141777063">
      <w:bodyDiv w:val="1"/>
      <w:marLeft w:val="0"/>
      <w:marRight w:val="0"/>
      <w:marTop w:val="0"/>
      <w:marBottom w:val="0"/>
      <w:divBdr>
        <w:top w:val="none" w:sz="0" w:space="0" w:color="auto"/>
        <w:left w:val="none" w:sz="0" w:space="0" w:color="auto"/>
        <w:bottom w:val="none" w:sz="0" w:space="0" w:color="auto"/>
        <w:right w:val="none" w:sz="0" w:space="0" w:color="auto"/>
      </w:divBdr>
    </w:div>
    <w:div w:id="150488100">
      <w:bodyDiv w:val="1"/>
      <w:marLeft w:val="0"/>
      <w:marRight w:val="0"/>
      <w:marTop w:val="0"/>
      <w:marBottom w:val="0"/>
      <w:divBdr>
        <w:top w:val="none" w:sz="0" w:space="0" w:color="auto"/>
        <w:left w:val="none" w:sz="0" w:space="0" w:color="auto"/>
        <w:bottom w:val="none" w:sz="0" w:space="0" w:color="auto"/>
        <w:right w:val="none" w:sz="0" w:space="0" w:color="auto"/>
      </w:divBdr>
    </w:div>
    <w:div w:id="150872251">
      <w:bodyDiv w:val="1"/>
      <w:marLeft w:val="0"/>
      <w:marRight w:val="0"/>
      <w:marTop w:val="0"/>
      <w:marBottom w:val="0"/>
      <w:divBdr>
        <w:top w:val="none" w:sz="0" w:space="0" w:color="auto"/>
        <w:left w:val="none" w:sz="0" w:space="0" w:color="auto"/>
        <w:bottom w:val="none" w:sz="0" w:space="0" w:color="auto"/>
        <w:right w:val="none" w:sz="0" w:space="0" w:color="auto"/>
      </w:divBdr>
    </w:div>
    <w:div w:id="151459144">
      <w:bodyDiv w:val="1"/>
      <w:marLeft w:val="0"/>
      <w:marRight w:val="0"/>
      <w:marTop w:val="0"/>
      <w:marBottom w:val="0"/>
      <w:divBdr>
        <w:top w:val="none" w:sz="0" w:space="0" w:color="auto"/>
        <w:left w:val="none" w:sz="0" w:space="0" w:color="auto"/>
        <w:bottom w:val="none" w:sz="0" w:space="0" w:color="auto"/>
        <w:right w:val="none" w:sz="0" w:space="0" w:color="auto"/>
      </w:divBdr>
    </w:div>
    <w:div w:id="158037430">
      <w:bodyDiv w:val="1"/>
      <w:marLeft w:val="0"/>
      <w:marRight w:val="0"/>
      <w:marTop w:val="0"/>
      <w:marBottom w:val="0"/>
      <w:divBdr>
        <w:top w:val="none" w:sz="0" w:space="0" w:color="auto"/>
        <w:left w:val="none" w:sz="0" w:space="0" w:color="auto"/>
        <w:bottom w:val="none" w:sz="0" w:space="0" w:color="auto"/>
        <w:right w:val="none" w:sz="0" w:space="0" w:color="auto"/>
      </w:divBdr>
    </w:div>
    <w:div w:id="195318859">
      <w:bodyDiv w:val="1"/>
      <w:marLeft w:val="0"/>
      <w:marRight w:val="0"/>
      <w:marTop w:val="0"/>
      <w:marBottom w:val="0"/>
      <w:divBdr>
        <w:top w:val="none" w:sz="0" w:space="0" w:color="auto"/>
        <w:left w:val="none" w:sz="0" w:space="0" w:color="auto"/>
        <w:bottom w:val="none" w:sz="0" w:space="0" w:color="auto"/>
        <w:right w:val="none" w:sz="0" w:space="0" w:color="auto"/>
      </w:divBdr>
    </w:div>
    <w:div w:id="221671838">
      <w:bodyDiv w:val="1"/>
      <w:marLeft w:val="0"/>
      <w:marRight w:val="0"/>
      <w:marTop w:val="0"/>
      <w:marBottom w:val="0"/>
      <w:divBdr>
        <w:top w:val="none" w:sz="0" w:space="0" w:color="auto"/>
        <w:left w:val="none" w:sz="0" w:space="0" w:color="auto"/>
        <w:bottom w:val="none" w:sz="0" w:space="0" w:color="auto"/>
        <w:right w:val="none" w:sz="0" w:space="0" w:color="auto"/>
      </w:divBdr>
    </w:div>
    <w:div w:id="225192173">
      <w:bodyDiv w:val="1"/>
      <w:marLeft w:val="0"/>
      <w:marRight w:val="0"/>
      <w:marTop w:val="0"/>
      <w:marBottom w:val="0"/>
      <w:divBdr>
        <w:top w:val="none" w:sz="0" w:space="0" w:color="auto"/>
        <w:left w:val="none" w:sz="0" w:space="0" w:color="auto"/>
        <w:bottom w:val="none" w:sz="0" w:space="0" w:color="auto"/>
        <w:right w:val="none" w:sz="0" w:space="0" w:color="auto"/>
      </w:divBdr>
    </w:div>
    <w:div w:id="229770753">
      <w:bodyDiv w:val="1"/>
      <w:marLeft w:val="0"/>
      <w:marRight w:val="0"/>
      <w:marTop w:val="0"/>
      <w:marBottom w:val="0"/>
      <w:divBdr>
        <w:top w:val="none" w:sz="0" w:space="0" w:color="auto"/>
        <w:left w:val="none" w:sz="0" w:space="0" w:color="auto"/>
        <w:bottom w:val="none" w:sz="0" w:space="0" w:color="auto"/>
        <w:right w:val="none" w:sz="0" w:space="0" w:color="auto"/>
      </w:divBdr>
    </w:div>
    <w:div w:id="251663928">
      <w:bodyDiv w:val="1"/>
      <w:marLeft w:val="0"/>
      <w:marRight w:val="0"/>
      <w:marTop w:val="0"/>
      <w:marBottom w:val="0"/>
      <w:divBdr>
        <w:top w:val="none" w:sz="0" w:space="0" w:color="auto"/>
        <w:left w:val="none" w:sz="0" w:space="0" w:color="auto"/>
        <w:bottom w:val="none" w:sz="0" w:space="0" w:color="auto"/>
        <w:right w:val="none" w:sz="0" w:space="0" w:color="auto"/>
      </w:divBdr>
    </w:div>
    <w:div w:id="264273005">
      <w:bodyDiv w:val="1"/>
      <w:marLeft w:val="0"/>
      <w:marRight w:val="0"/>
      <w:marTop w:val="0"/>
      <w:marBottom w:val="0"/>
      <w:divBdr>
        <w:top w:val="none" w:sz="0" w:space="0" w:color="auto"/>
        <w:left w:val="none" w:sz="0" w:space="0" w:color="auto"/>
        <w:bottom w:val="none" w:sz="0" w:space="0" w:color="auto"/>
        <w:right w:val="none" w:sz="0" w:space="0" w:color="auto"/>
      </w:divBdr>
    </w:div>
    <w:div w:id="266623533">
      <w:bodyDiv w:val="1"/>
      <w:marLeft w:val="0"/>
      <w:marRight w:val="0"/>
      <w:marTop w:val="0"/>
      <w:marBottom w:val="0"/>
      <w:divBdr>
        <w:top w:val="none" w:sz="0" w:space="0" w:color="auto"/>
        <w:left w:val="none" w:sz="0" w:space="0" w:color="auto"/>
        <w:bottom w:val="none" w:sz="0" w:space="0" w:color="auto"/>
        <w:right w:val="none" w:sz="0" w:space="0" w:color="auto"/>
      </w:divBdr>
    </w:div>
    <w:div w:id="270552229">
      <w:bodyDiv w:val="1"/>
      <w:marLeft w:val="0"/>
      <w:marRight w:val="0"/>
      <w:marTop w:val="0"/>
      <w:marBottom w:val="0"/>
      <w:divBdr>
        <w:top w:val="none" w:sz="0" w:space="0" w:color="auto"/>
        <w:left w:val="none" w:sz="0" w:space="0" w:color="auto"/>
        <w:bottom w:val="none" w:sz="0" w:space="0" w:color="auto"/>
        <w:right w:val="none" w:sz="0" w:space="0" w:color="auto"/>
      </w:divBdr>
    </w:div>
    <w:div w:id="272906386">
      <w:bodyDiv w:val="1"/>
      <w:marLeft w:val="0"/>
      <w:marRight w:val="0"/>
      <w:marTop w:val="0"/>
      <w:marBottom w:val="0"/>
      <w:divBdr>
        <w:top w:val="none" w:sz="0" w:space="0" w:color="auto"/>
        <w:left w:val="none" w:sz="0" w:space="0" w:color="auto"/>
        <w:bottom w:val="none" w:sz="0" w:space="0" w:color="auto"/>
        <w:right w:val="none" w:sz="0" w:space="0" w:color="auto"/>
      </w:divBdr>
    </w:div>
    <w:div w:id="274139974">
      <w:bodyDiv w:val="1"/>
      <w:marLeft w:val="0"/>
      <w:marRight w:val="0"/>
      <w:marTop w:val="0"/>
      <w:marBottom w:val="0"/>
      <w:divBdr>
        <w:top w:val="none" w:sz="0" w:space="0" w:color="auto"/>
        <w:left w:val="none" w:sz="0" w:space="0" w:color="auto"/>
        <w:bottom w:val="none" w:sz="0" w:space="0" w:color="auto"/>
        <w:right w:val="none" w:sz="0" w:space="0" w:color="auto"/>
      </w:divBdr>
    </w:div>
    <w:div w:id="291979569">
      <w:bodyDiv w:val="1"/>
      <w:marLeft w:val="0"/>
      <w:marRight w:val="0"/>
      <w:marTop w:val="0"/>
      <w:marBottom w:val="0"/>
      <w:divBdr>
        <w:top w:val="none" w:sz="0" w:space="0" w:color="auto"/>
        <w:left w:val="none" w:sz="0" w:space="0" w:color="auto"/>
        <w:bottom w:val="none" w:sz="0" w:space="0" w:color="auto"/>
        <w:right w:val="none" w:sz="0" w:space="0" w:color="auto"/>
      </w:divBdr>
    </w:div>
    <w:div w:id="327055999">
      <w:bodyDiv w:val="1"/>
      <w:marLeft w:val="0"/>
      <w:marRight w:val="0"/>
      <w:marTop w:val="0"/>
      <w:marBottom w:val="0"/>
      <w:divBdr>
        <w:top w:val="none" w:sz="0" w:space="0" w:color="auto"/>
        <w:left w:val="none" w:sz="0" w:space="0" w:color="auto"/>
        <w:bottom w:val="none" w:sz="0" w:space="0" w:color="auto"/>
        <w:right w:val="none" w:sz="0" w:space="0" w:color="auto"/>
      </w:divBdr>
    </w:div>
    <w:div w:id="331688986">
      <w:bodyDiv w:val="1"/>
      <w:marLeft w:val="0"/>
      <w:marRight w:val="0"/>
      <w:marTop w:val="0"/>
      <w:marBottom w:val="0"/>
      <w:divBdr>
        <w:top w:val="none" w:sz="0" w:space="0" w:color="auto"/>
        <w:left w:val="none" w:sz="0" w:space="0" w:color="auto"/>
        <w:bottom w:val="none" w:sz="0" w:space="0" w:color="auto"/>
        <w:right w:val="none" w:sz="0" w:space="0" w:color="auto"/>
      </w:divBdr>
    </w:div>
    <w:div w:id="336150568">
      <w:bodyDiv w:val="1"/>
      <w:marLeft w:val="0"/>
      <w:marRight w:val="0"/>
      <w:marTop w:val="0"/>
      <w:marBottom w:val="0"/>
      <w:divBdr>
        <w:top w:val="none" w:sz="0" w:space="0" w:color="auto"/>
        <w:left w:val="none" w:sz="0" w:space="0" w:color="auto"/>
        <w:bottom w:val="none" w:sz="0" w:space="0" w:color="auto"/>
        <w:right w:val="none" w:sz="0" w:space="0" w:color="auto"/>
      </w:divBdr>
    </w:div>
    <w:div w:id="348341131">
      <w:bodyDiv w:val="1"/>
      <w:marLeft w:val="0"/>
      <w:marRight w:val="0"/>
      <w:marTop w:val="0"/>
      <w:marBottom w:val="0"/>
      <w:divBdr>
        <w:top w:val="none" w:sz="0" w:space="0" w:color="auto"/>
        <w:left w:val="none" w:sz="0" w:space="0" w:color="auto"/>
        <w:bottom w:val="none" w:sz="0" w:space="0" w:color="auto"/>
        <w:right w:val="none" w:sz="0" w:space="0" w:color="auto"/>
      </w:divBdr>
    </w:div>
    <w:div w:id="348456191">
      <w:bodyDiv w:val="1"/>
      <w:marLeft w:val="0"/>
      <w:marRight w:val="0"/>
      <w:marTop w:val="0"/>
      <w:marBottom w:val="0"/>
      <w:divBdr>
        <w:top w:val="none" w:sz="0" w:space="0" w:color="auto"/>
        <w:left w:val="none" w:sz="0" w:space="0" w:color="auto"/>
        <w:bottom w:val="none" w:sz="0" w:space="0" w:color="auto"/>
        <w:right w:val="none" w:sz="0" w:space="0" w:color="auto"/>
      </w:divBdr>
    </w:div>
    <w:div w:id="368183973">
      <w:bodyDiv w:val="1"/>
      <w:marLeft w:val="0"/>
      <w:marRight w:val="0"/>
      <w:marTop w:val="0"/>
      <w:marBottom w:val="0"/>
      <w:divBdr>
        <w:top w:val="none" w:sz="0" w:space="0" w:color="auto"/>
        <w:left w:val="none" w:sz="0" w:space="0" w:color="auto"/>
        <w:bottom w:val="none" w:sz="0" w:space="0" w:color="auto"/>
        <w:right w:val="none" w:sz="0" w:space="0" w:color="auto"/>
      </w:divBdr>
    </w:div>
    <w:div w:id="369914878">
      <w:bodyDiv w:val="1"/>
      <w:marLeft w:val="0"/>
      <w:marRight w:val="0"/>
      <w:marTop w:val="0"/>
      <w:marBottom w:val="0"/>
      <w:divBdr>
        <w:top w:val="none" w:sz="0" w:space="0" w:color="auto"/>
        <w:left w:val="none" w:sz="0" w:space="0" w:color="auto"/>
        <w:bottom w:val="none" w:sz="0" w:space="0" w:color="auto"/>
        <w:right w:val="none" w:sz="0" w:space="0" w:color="auto"/>
      </w:divBdr>
    </w:div>
    <w:div w:id="396363993">
      <w:bodyDiv w:val="1"/>
      <w:marLeft w:val="0"/>
      <w:marRight w:val="0"/>
      <w:marTop w:val="0"/>
      <w:marBottom w:val="0"/>
      <w:divBdr>
        <w:top w:val="none" w:sz="0" w:space="0" w:color="auto"/>
        <w:left w:val="none" w:sz="0" w:space="0" w:color="auto"/>
        <w:bottom w:val="none" w:sz="0" w:space="0" w:color="auto"/>
        <w:right w:val="none" w:sz="0" w:space="0" w:color="auto"/>
      </w:divBdr>
    </w:div>
    <w:div w:id="397677000">
      <w:bodyDiv w:val="1"/>
      <w:marLeft w:val="0"/>
      <w:marRight w:val="0"/>
      <w:marTop w:val="0"/>
      <w:marBottom w:val="0"/>
      <w:divBdr>
        <w:top w:val="none" w:sz="0" w:space="0" w:color="auto"/>
        <w:left w:val="none" w:sz="0" w:space="0" w:color="auto"/>
        <w:bottom w:val="none" w:sz="0" w:space="0" w:color="auto"/>
        <w:right w:val="none" w:sz="0" w:space="0" w:color="auto"/>
      </w:divBdr>
    </w:div>
    <w:div w:id="398283474">
      <w:bodyDiv w:val="1"/>
      <w:marLeft w:val="0"/>
      <w:marRight w:val="0"/>
      <w:marTop w:val="0"/>
      <w:marBottom w:val="0"/>
      <w:divBdr>
        <w:top w:val="none" w:sz="0" w:space="0" w:color="auto"/>
        <w:left w:val="none" w:sz="0" w:space="0" w:color="auto"/>
        <w:bottom w:val="none" w:sz="0" w:space="0" w:color="auto"/>
        <w:right w:val="none" w:sz="0" w:space="0" w:color="auto"/>
      </w:divBdr>
    </w:div>
    <w:div w:id="413816600">
      <w:bodyDiv w:val="1"/>
      <w:marLeft w:val="0"/>
      <w:marRight w:val="0"/>
      <w:marTop w:val="0"/>
      <w:marBottom w:val="0"/>
      <w:divBdr>
        <w:top w:val="none" w:sz="0" w:space="0" w:color="auto"/>
        <w:left w:val="none" w:sz="0" w:space="0" w:color="auto"/>
        <w:bottom w:val="none" w:sz="0" w:space="0" w:color="auto"/>
        <w:right w:val="none" w:sz="0" w:space="0" w:color="auto"/>
      </w:divBdr>
    </w:div>
    <w:div w:id="415828513">
      <w:bodyDiv w:val="1"/>
      <w:marLeft w:val="0"/>
      <w:marRight w:val="0"/>
      <w:marTop w:val="0"/>
      <w:marBottom w:val="0"/>
      <w:divBdr>
        <w:top w:val="none" w:sz="0" w:space="0" w:color="auto"/>
        <w:left w:val="none" w:sz="0" w:space="0" w:color="auto"/>
        <w:bottom w:val="none" w:sz="0" w:space="0" w:color="auto"/>
        <w:right w:val="none" w:sz="0" w:space="0" w:color="auto"/>
      </w:divBdr>
    </w:div>
    <w:div w:id="444160822">
      <w:bodyDiv w:val="1"/>
      <w:marLeft w:val="0"/>
      <w:marRight w:val="0"/>
      <w:marTop w:val="0"/>
      <w:marBottom w:val="0"/>
      <w:divBdr>
        <w:top w:val="none" w:sz="0" w:space="0" w:color="auto"/>
        <w:left w:val="none" w:sz="0" w:space="0" w:color="auto"/>
        <w:bottom w:val="none" w:sz="0" w:space="0" w:color="auto"/>
        <w:right w:val="none" w:sz="0" w:space="0" w:color="auto"/>
      </w:divBdr>
    </w:div>
    <w:div w:id="452405548">
      <w:bodyDiv w:val="1"/>
      <w:marLeft w:val="0"/>
      <w:marRight w:val="0"/>
      <w:marTop w:val="0"/>
      <w:marBottom w:val="0"/>
      <w:divBdr>
        <w:top w:val="none" w:sz="0" w:space="0" w:color="auto"/>
        <w:left w:val="none" w:sz="0" w:space="0" w:color="auto"/>
        <w:bottom w:val="none" w:sz="0" w:space="0" w:color="auto"/>
        <w:right w:val="none" w:sz="0" w:space="0" w:color="auto"/>
      </w:divBdr>
    </w:div>
    <w:div w:id="455023852">
      <w:bodyDiv w:val="1"/>
      <w:marLeft w:val="0"/>
      <w:marRight w:val="0"/>
      <w:marTop w:val="0"/>
      <w:marBottom w:val="0"/>
      <w:divBdr>
        <w:top w:val="none" w:sz="0" w:space="0" w:color="auto"/>
        <w:left w:val="none" w:sz="0" w:space="0" w:color="auto"/>
        <w:bottom w:val="none" w:sz="0" w:space="0" w:color="auto"/>
        <w:right w:val="none" w:sz="0" w:space="0" w:color="auto"/>
      </w:divBdr>
    </w:div>
    <w:div w:id="458183742">
      <w:bodyDiv w:val="1"/>
      <w:marLeft w:val="0"/>
      <w:marRight w:val="0"/>
      <w:marTop w:val="0"/>
      <w:marBottom w:val="0"/>
      <w:divBdr>
        <w:top w:val="none" w:sz="0" w:space="0" w:color="auto"/>
        <w:left w:val="none" w:sz="0" w:space="0" w:color="auto"/>
        <w:bottom w:val="none" w:sz="0" w:space="0" w:color="auto"/>
        <w:right w:val="none" w:sz="0" w:space="0" w:color="auto"/>
      </w:divBdr>
    </w:div>
    <w:div w:id="459613444">
      <w:bodyDiv w:val="1"/>
      <w:marLeft w:val="0"/>
      <w:marRight w:val="0"/>
      <w:marTop w:val="0"/>
      <w:marBottom w:val="0"/>
      <w:divBdr>
        <w:top w:val="none" w:sz="0" w:space="0" w:color="auto"/>
        <w:left w:val="none" w:sz="0" w:space="0" w:color="auto"/>
        <w:bottom w:val="none" w:sz="0" w:space="0" w:color="auto"/>
        <w:right w:val="none" w:sz="0" w:space="0" w:color="auto"/>
      </w:divBdr>
    </w:div>
    <w:div w:id="460003104">
      <w:bodyDiv w:val="1"/>
      <w:marLeft w:val="0"/>
      <w:marRight w:val="0"/>
      <w:marTop w:val="0"/>
      <w:marBottom w:val="0"/>
      <w:divBdr>
        <w:top w:val="none" w:sz="0" w:space="0" w:color="auto"/>
        <w:left w:val="none" w:sz="0" w:space="0" w:color="auto"/>
        <w:bottom w:val="none" w:sz="0" w:space="0" w:color="auto"/>
        <w:right w:val="none" w:sz="0" w:space="0" w:color="auto"/>
      </w:divBdr>
    </w:div>
    <w:div w:id="465516017">
      <w:bodyDiv w:val="1"/>
      <w:marLeft w:val="0"/>
      <w:marRight w:val="0"/>
      <w:marTop w:val="0"/>
      <w:marBottom w:val="0"/>
      <w:divBdr>
        <w:top w:val="none" w:sz="0" w:space="0" w:color="auto"/>
        <w:left w:val="none" w:sz="0" w:space="0" w:color="auto"/>
        <w:bottom w:val="none" w:sz="0" w:space="0" w:color="auto"/>
        <w:right w:val="none" w:sz="0" w:space="0" w:color="auto"/>
      </w:divBdr>
    </w:div>
    <w:div w:id="466705874">
      <w:bodyDiv w:val="1"/>
      <w:marLeft w:val="0"/>
      <w:marRight w:val="0"/>
      <w:marTop w:val="0"/>
      <w:marBottom w:val="0"/>
      <w:divBdr>
        <w:top w:val="none" w:sz="0" w:space="0" w:color="auto"/>
        <w:left w:val="none" w:sz="0" w:space="0" w:color="auto"/>
        <w:bottom w:val="none" w:sz="0" w:space="0" w:color="auto"/>
        <w:right w:val="none" w:sz="0" w:space="0" w:color="auto"/>
      </w:divBdr>
    </w:div>
    <w:div w:id="481049203">
      <w:bodyDiv w:val="1"/>
      <w:marLeft w:val="0"/>
      <w:marRight w:val="0"/>
      <w:marTop w:val="0"/>
      <w:marBottom w:val="0"/>
      <w:divBdr>
        <w:top w:val="none" w:sz="0" w:space="0" w:color="auto"/>
        <w:left w:val="none" w:sz="0" w:space="0" w:color="auto"/>
        <w:bottom w:val="none" w:sz="0" w:space="0" w:color="auto"/>
        <w:right w:val="none" w:sz="0" w:space="0" w:color="auto"/>
      </w:divBdr>
    </w:div>
    <w:div w:id="481778033">
      <w:bodyDiv w:val="1"/>
      <w:marLeft w:val="0"/>
      <w:marRight w:val="0"/>
      <w:marTop w:val="0"/>
      <w:marBottom w:val="0"/>
      <w:divBdr>
        <w:top w:val="none" w:sz="0" w:space="0" w:color="auto"/>
        <w:left w:val="none" w:sz="0" w:space="0" w:color="auto"/>
        <w:bottom w:val="none" w:sz="0" w:space="0" w:color="auto"/>
        <w:right w:val="none" w:sz="0" w:space="0" w:color="auto"/>
      </w:divBdr>
    </w:div>
    <w:div w:id="483745197">
      <w:bodyDiv w:val="1"/>
      <w:marLeft w:val="0"/>
      <w:marRight w:val="0"/>
      <w:marTop w:val="0"/>
      <w:marBottom w:val="0"/>
      <w:divBdr>
        <w:top w:val="none" w:sz="0" w:space="0" w:color="auto"/>
        <w:left w:val="none" w:sz="0" w:space="0" w:color="auto"/>
        <w:bottom w:val="none" w:sz="0" w:space="0" w:color="auto"/>
        <w:right w:val="none" w:sz="0" w:space="0" w:color="auto"/>
      </w:divBdr>
    </w:div>
    <w:div w:id="495345413">
      <w:bodyDiv w:val="1"/>
      <w:marLeft w:val="0"/>
      <w:marRight w:val="0"/>
      <w:marTop w:val="0"/>
      <w:marBottom w:val="0"/>
      <w:divBdr>
        <w:top w:val="none" w:sz="0" w:space="0" w:color="auto"/>
        <w:left w:val="none" w:sz="0" w:space="0" w:color="auto"/>
        <w:bottom w:val="none" w:sz="0" w:space="0" w:color="auto"/>
        <w:right w:val="none" w:sz="0" w:space="0" w:color="auto"/>
      </w:divBdr>
    </w:div>
    <w:div w:id="511341755">
      <w:bodyDiv w:val="1"/>
      <w:marLeft w:val="0"/>
      <w:marRight w:val="0"/>
      <w:marTop w:val="0"/>
      <w:marBottom w:val="0"/>
      <w:divBdr>
        <w:top w:val="none" w:sz="0" w:space="0" w:color="auto"/>
        <w:left w:val="none" w:sz="0" w:space="0" w:color="auto"/>
        <w:bottom w:val="none" w:sz="0" w:space="0" w:color="auto"/>
        <w:right w:val="none" w:sz="0" w:space="0" w:color="auto"/>
      </w:divBdr>
    </w:div>
    <w:div w:id="518156753">
      <w:bodyDiv w:val="1"/>
      <w:marLeft w:val="0"/>
      <w:marRight w:val="0"/>
      <w:marTop w:val="0"/>
      <w:marBottom w:val="0"/>
      <w:divBdr>
        <w:top w:val="none" w:sz="0" w:space="0" w:color="auto"/>
        <w:left w:val="none" w:sz="0" w:space="0" w:color="auto"/>
        <w:bottom w:val="none" w:sz="0" w:space="0" w:color="auto"/>
        <w:right w:val="none" w:sz="0" w:space="0" w:color="auto"/>
      </w:divBdr>
    </w:div>
    <w:div w:id="520750280">
      <w:bodyDiv w:val="1"/>
      <w:marLeft w:val="0"/>
      <w:marRight w:val="0"/>
      <w:marTop w:val="0"/>
      <w:marBottom w:val="0"/>
      <w:divBdr>
        <w:top w:val="none" w:sz="0" w:space="0" w:color="auto"/>
        <w:left w:val="none" w:sz="0" w:space="0" w:color="auto"/>
        <w:bottom w:val="none" w:sz="0" w:space="0" w:color="auto"/>
        <w:right w:val="none" w:sz="0" w:space="0" w:color="auto"/>
      </w:divBdr>
    </w:div>
    <w:div w:id="536813784">
      <w:bodyDiv w:val="1"/>
      <w:marLeft w:val="0"/>
      <w:marRight w:val="0"/>
      <w:marTop w:val="0"/>
      <w:marBottom w:val="0"/>
      <w:divBdr>
        <w:top w:val="none" w:sz="0" w:space="0" w:color="auto"/>
        <w:left w:val="none" w:sz="0" w:space="0" w:color="auto"/>
        <w:bottom w:val="none" w:sz="0" w:space="0" w:color="auto"/>
        <w:right w:val="none" w:sz="0" w:space="0" w:color="auto"/>
      </w:divBdr>
    </w:div>
    <w:div w:id="563609799">
      <w:bodyDiv w:val="1"/>
      <w:marLeft w:val="0"/>
      <w:marRight w:val="0"/>
      <w:marTop w:val="0"/>
      <w:marBottom w:val="0"/>
      <w:divBdr>
        <w:top w:val="none" w:sz="0" w:space="0" w:color="auto"/>
        <w:left w:val="none" w:sz="0" w:space="0" w:color="auto"/>
        <w:bottom w:val="none" w:sz="0" w:space="0" w:color="auto"/>
        <w:right w:val="none" w:sz="0" w:space="0" w:color="auto"/>
      </w:divBdr>
    </w:div>
    <w:div w:id="585847194">
      <w:bodyDiv w:val="1"/>
      <w:marLeft w:val="0"/>
      <w:marRight w:val="0"/>
      <w:marTop w:val="0"/>
      <w:marBottom w:val="0"/>
      <w:divBdr>
        <w:top w:val="none" w:sz="0" w:space="0" w:color="auto"/>
        <w:left w:val="none" w:sz="0" w:space="0" w:color="auto"/>
        <w:bottom w:val="none" w:sz="0" w:space="0" w:color="auto"/>
        <w:right w:val="none" w:sz="0" w:space="0" w:color="auto"/>
      </w:divBdr>
    </w:div>
    <w:div w:id="608046959">
      <w:bodyDiv w:val="1"/>
      <w:marLeft w:val="0"/>
      <w:marRight w:val="0"/>
      <w:marTop w:val="0"/>
      <w:marBottom w:val="0"/>
      <w:divBdr>
        <w:top w:val="none" w:sz="0" w:space="0" w:color="auto"/>
        <w:left w:val="none" w:sz="0" w:space="0" w:color="auto"/>
        <w:bottom w:val="none" w:sz="0" w:space="0" w:color="auto"/>
        <w:right w:val="none" w:sz="0" w:space="0" w:color="auto"/>
      </w:divBdr>
    </w:div>
    <w:div w:id="626355090">
      <w:bodyDiv w:val="1"/>
      <w:marLeft w:val="0"/>
      <w:marRight w:val="0"/>
      <w:marTop w:val="0"/>
      <w:marBottom w:val="0"/>
      <w:divBdr>
        <w:top w:val="none" w:sz="0" w:space="0" w:color="auto"/>
        <w:left w:val="none" w:sz="0" w:space="0" w:color="auto"/>
        <w:bottom w:val="none" w:sz="0" w:space="0" w:color="auto"/>
        <w:right w:val="none" w:sz="0" w:space="0" w:color="auto"/>
      </w:divBdr>
    </w:div>
    <w:div w:id="636225752">
      <w:bodyDiv w:val="1"/>
      <w:marLeft w:val="0"/>
      <w:marRight w:val="0"/>
      <w:marTop w:val="0"/>
      <w:marBottom w:val="0"/>
      <w:divBdr>
        <w:top w:val="none" w:sz="0" w:space="0" w:color="auto"/>
        <w:left w:val="none" w:sz="0" w:space="0" w:color="auto"/>
        <w:bottom w:val="none" w:sz="0" w:space="0" w:color="auto"/>
        <w:right w:val="none" w:sz="0" w:space="0" w:color="auto"/>
      </w:divBdr>
    </w:div>
    <w:div w:id="652106786">
      <w:bodyDiv w:val="1"/>
      <w:marLeft w:val="0"/>
      <w:marRight w:val="0"/>
      <w:marTop w:val="0"/>
      <w:marBottom w:val="0"/>
      <w:divBdr>
        <w:top w:val="none" w:sz="0" w:space="0" w:color="auto"/>
        <w:left w:val="none" w:sz="0" w:space="0" w:color="auto"/>
        <w:bottom w:val="none" w:sz="0" w:space="0" w:color="auto"/>
        <w:right w:val="none" w:sz="0" w:space="0" w:color="auto"/>
      </w:divBdr>
    </w:div>
    <w:div w:id="666523581">
      <w:bodyDiv w:val="1"/>
      <w:marLeft w:val="0"/>
      <w:marRight w:val="0"/>
      <w:marTop w:val="0"/>
      <w:marBottom w:val="0"/>
      <w:divBdr>
        <w:top w:val="none" w:sz="0" w:space="0" w:color="auto"/>
        <w:left w:val="none" w:sz="0" w:space="0" w:color="auto"/>
        <w:bottom w:val="none" w:sz="0" w:space="0" w:color="auto"/>
        <w:right w:val="none" w:sz="0" w:space="0" w:color="auto"/>
      </w:divBdr>
    </w:div>
    <w:div w:id="682048406">
      <w:bodyDiv w:val="1"/>
      <w:marLeft w:val="0"/>
      <w:marRight w:val="0"/>
      <w:marTop w:val="0"/>
      <w:marBottom w:val="0"/>
      <w:divBdr>
        <w:top w:val="none" w:sz="0" w:space="0" w:color="auto"/>
        <w:left w:val="none" w:sz="0" w:space="0" w:color="auto"/>
        <w:bottom w:val="none" w:sz="0" w:space="0" w:color="auto"/>
        <w:right w:val="none" w:sz="0" w:space="0" w:color="auto"/>
      </w:divBdr>
    </w:div>
    <w:div w:id="682517396">
      <w:bodyDiv w:val="1"/>
      <w:marLeft w:val="0"/>
      <w:marRight w:val="0"/>
      <w:marTop w:val="0"/>
      <w:marBottom w:val="0"/>
      <w:divBdr>
        <w:top w:val="none" w:sz="0" w:space="0" w:color="auto"/>
        <w:left w:val="none" w:sz="0" w:space="0" w:color="auto"/>
        <w:bottom w:val="none" w:sz="0" w:space="0" w:color="auto"/>
        <w:right w:val="none" w:sz="0" w:space="0" w:color="auto"/>
      </w:divBdr>
    </w:div>
    <w:div w:id="714086164">
      <w:bodyDiv w:val="1"/>
      <w:marLeft w:val="0"/>
      <w:marRight w:val="0"/>
      <w:marTop w:val="0"/>
      <w:marBottom w:val="0"/>
      <w:divBdr>
        <w:top w:val="none" w:sz="0" w:space="0" w:color="auto"/>
        <w:left w:val="none" w:sz="0" w:space="0" w:color="auto"/>
        <w:bottom w:val="none" w:sz="0" w:space="0" w:color="auto"/>
        <w:right w:val="none" w:sz="0" w:space="0" w:color="auto"/>
      </w:divBdr>
    </w:div>
    <w:div w:id="746269977">
      <w:bodyDiv w:val="1"/>
      <w:marLeft w:val="0"/>
      <w:marRight w:val="0"/>
      <w:marTop w:val="0"/>
      <w:marBottom w:val="0"/>
      <w:divBdr>
        <w:top w:val="none" w:sz="0" w:space="0" w:color="auto"/>
        <w:left w:val="none" w:sz="0" w:space="0" w:color="auto"/>
        <w:bottom w:val="none" w:sz="0" w:space="0" w:color="auto"/>
        <w:right w:val="none" w:sz="0" w:space="0" w:color="auto"/>
      </w:divBdr>
    </w:div>
    <w:div w:id="793061024">
      <w:bodyDiv w:val="1"/>
      <w:marLeft w:val="0"/>
      <w:marRight w:val="0"/>
      <w:marTop w:val="0"/>
      <w:marBottom w:val="0"/>
      <w:divBdr>
        <w:top w:val="none" w:sz="0" w:space="0" w:color="auto"/>
        <w:left w:val="none" w:sz="0" w:space="0" w:color="auto"/>
        <w:bottom w:val="none" w:sz="0" w:space="0" w:color="auto"/>
        <w:right w:val="none" w:sz="0" w:space="0" w:color="auto"/>
      </w:divBdr>
    </w:div>
    <w:div w:id="798837957">
      <w:bodyDiv w:val="1"/>
      <w:marLeft w:val="0"/>
      <w:marRight w:val="0"/>
      <w:marTop w:val="0"/>
      <w:marBottom w:val="0"/>
      <w:divBdr>
        <w:top w:val="none" w:sz="0" w:space="0" w:color="auto"/>
        <w:left w:val="none" w:sz="0" w:space="0" w:color="auto"/>
        <w:bottom w:val="none" w:sz="0" w:space="0" w:color="auto"/>
        <w:right w:val="none" w:sz="0" w:space="0" w:color="auto"/>
      </w:divBdr>
    </w:div>
    <w:div w:id="809174601">
      <w:bodyDiv w:val="1"/>
      <w:marLeft w:val="0"/>
      <w:marRight w:val="0"/>
      <w:marTop w:val="0"/>
      <w:marBottom w:val="0"/>
      <w:divBdr>
        <w:top w:val="none" w:sz="0" w:space="0" w:color="auto"/>
        <w:left w:val="none" w:sz="0" w:space="0" w:color="auto"/>
        <w:bottom w:val="none" w:sz="0" w:space="0" w:color="auto"/>
        <w:right w:val="none" w:sz="0" w:space="0" w:color="auto"/>
      </w:divBdr>
    </w:div>
    <w:div w:id="813763151">
      <w:bodyDiv w:val="1"/>
      <w:marLeft w:val="0"/>
      <w:marRight w:val="0"/>
      <w:marTop w:val="0"/>
      <w:marBottom w:val="0"/>
      <w:divBdr>
        <w:top w:val="none" w:sz="0" w:space="0" w:color="auto"/>
        <w:left w:val="none" w:sz="0" w:space="0" w:color="auto"/>
        <w:bottom w:val="none" w:sz="0" w:space="0" w:color="auto"/>
        <w:right w:val="none" w:sz="0" w:space="0" w:color="auto"/>
      </w:divBdr>
    </w:div>
    <w:div w:id="845218473">
      <w:bodyDiv w:val="1"/>
      <w:marLeft w:val="0"/>
      <w:marRight w:val="0"/>
      <w:marTop w:val="0"/>
      <w:marBottom w:val="0"/>
      <w:divBdr>
        <w:top w:val="none" w:sz="0" w:space="0" w:color="auto"/>
        <w:left w:val="none" w:sz="0" w:space="0" w:color="auto"/>
        <w:bottom w:val="none" w:sz="0" w:space="0" w:color="auto"/>
        <w:right w:val="none" w:sz="0" w:space="0" w:color="auto"/>
      </w:divBdr>
    </w:div>
    <w:div w:id="865678447">
      <w:bodyDiv w:val="1"/>
      <w:marLeft w:val="0"/>
      <w:marRight w:val="0"/>
      <w:marTop w:val="0"/>
      <w:marBottom w:val="0"/>
      <w:divBdr>
        <w:top w:val="none" w:sz="0" w:space="0" w:color="auto"/>
        <w:left w:val="none" w:sz="0" w:space="0" w:color="auto"/>
        <w:bottom w:val="none" w:sz="0" w:space="0" w:color="auto"/>
        <w:right w:val="none" w:sz="0" w:space="0" w:color="auto"/>
      </w:divBdr>
    </w:div>
    <w:div w:id="876625653">
      <w:bodyDiv w:val="1"/>
      <w:marLeft w:val="0"/>
      <w:marRight w:val="0"/>
      <w:marTop w:val="0"/>
      <w:marBottom w:val="0"/>
      <w:divBdr>
        <w:top w:val="none" w:sz="0" w:space="0" w:color="auto"/>
        <w:left w:val="none" w:sz="0" w:space="0" w:color="auto"/>
        <w:bottom w:val="none" w:sz="0" w:space="0" w:color="auto"/>
        <w:right w:val="none" w:sz="0" w:space="0" w:color="auto"/>
      </w:divBdr>
    </w:div>
    <w:div w:id="889418167">
      <w:bodyDiv w:val="1"/>
      <w:marLeft w:val="0"/>
      <w:marRight w:val="0"/>
      <w:marTop w:val="0"/>
      <w:marBottom w:val="0"/>
      <w:divBdr>
        <w:top w:val="none" w:sz="0" w:space="0" w:color="auto"/>
        <w:left w:val="none" w:sz="0" w:space="0" w:color="auto"/>
        <w:bottom w:val="none" w:sz="0" w:space="0" w:color="auto"/>
        <w:right w:val="none" w:sz="0" w:space="0" w:color="auto"/>
      </w:divBdr>
    </w:div>
    <w:div w:id="902057056">
      <w:bodyDiv w:val="1"/>
      <w:marLeft w:val="0"/>
      <w:marRight w:val="0"/>
      <w:marTop w:val="0"/>
      <w:marBottom w:val="0"/>
      <w:divBdr>
        <w:top w:val="none" w:sz="0" w:space="0" w:color="auto"/>
        <w:left w:val="none" w:sz="0" w:space="0" w:color="auto"/>
        <w:bottom w:val="none" w:sz="0" w:space="0" w:color="auto"/>
        <w:right w:val="none" w:sz="0" w:space="0" w:color="auto"/>
      </w:divBdr>
    </w:div>
    <w:div w:id="905917898">
      <w:bodyDiv w:val="1"/>
      <w:marLeft w:val="0"/>
      <w:marRight w:val="0"/>
      <w:marTop w:val="0"/>
      <w:marBottom w:val="0"/>
      <w:divBdr>
        <w:top w:val="none" w:sz="0" w:space="0" w:color="auto"/>
        <w:left w:val="none" w:sz="0" w:space="0" w:color="auto"/>
        <w:bottom w:val="none" w:sz="0" w:space="0" w:color="auto"/>
        <w:right w:val="none" w:sz="0" w:space="0" w:color="auto"/>
      </w:divBdr>
    </w:div>
    <w:div w:id="922834056">
      <w:bodyDiv w:val="1"/>
      <w:marLeft w:val="0"/>
      <w:marRight w:val="0"/>
      <w:marTop w:val="0"/>
      <w:marBottom w:val="0"/>
      <w:divBdr>
        <w:top w:val="none" w:sz="0" w:space="0" w:color="auto"/>
        <w:left w:val="none" w:sz="0" w:space="0" w:color="auto"/>
        <w:bottom w:val="none" w:sz="0" w:space="0" w:color="auto"/>
        <w:right w:val="none" w:sz="0" w:space="0" w:color="auto"/>
      </w:divBdr>
    </w:div>
    <w:div w:id="938217828">
      <w:bodyDiv w:val="1"/>
      <w:marLeft w:val="0"/>
      <w:marRight w:val="0"/>
      <w:marTop w:val="0"/>
      <w:marBottom w:val="0"/>
      <w:divBdr>
        <w:top w:val="none" w:sz="0" w:space="0" w:color="auto"/>
        <w:left w:val="none" w:sz="0" w:space="0" w:color="auto"/>
        <w:bottom w:val="none" w:sz="0" w:space="0" w:color="auto"/>
        <w:right w:val="none" w:sz="0" w:space="0" w:color="auto"/>
      </w:divBdr>
    </w:div>
    <w:div w:id="989600695">
      <w:bodyDiv w:val="1"/>
      <w:marLeft w:val="0"/>
      <w:marRight w:val="0"/>
      <w:marTop w:val="0"/>
      <w:marBottom w:val="0"/>
      <w:divBdr>
        <w:top w:val="none" w:sz="0" w:space="0" w:color="auto"/>
        <w:left w:val="none" w:sz="0" w:space="0" w:color="auto"/>
        <w:bottom w:val="none" w:sz="0" w:space="0" w:color="auto"/>
        <w:right w:val="none" w:sz="0" w:space="0" w:color="auto"/>
      </w:divBdr>
    </w:div>
    <w:div w:id="996306904">
      <w:bodyDiv w:val="1"/>
      <w:marLeft w:val="0"/>
      <w:marRight w:val="0"/>
      <w:marTop w:val="0"/>
      <w:marBottom w:val="0"/>
      <w:divBdr>
        <w:top w:val="none" w:sz="0" w:space="0" w:color="auto"/>
        <w:left w:val="none" w:sz="0" w:space="0" w:color="auto"/>
        <w:bottom w:val="none" w:sz="0" w:space="0" w:color="auto"/>
        <w:right w:val="none" w:sz="0" w:space="0" w:color="auto"/>
      </w:divBdr>
    </w:div>
    <w:div w:id="1017928279">
      <w:bodyDiv w:val="1"/>
      <w:marLeft w:val="0"/>
      <w:marRight w:val="0"/>
      <w:marTop w:val="0"/>
      <w:marBottom w:val="0"/>
      <w:divBdr>
        <w:top w:val="none" w:sz="0" w:space="0" w:color="auto"/>
        <w:left w:val="none" w:sz="0" w:space="0" w:color="auto"/>
        <w:bottom w:val="none" w:sz="0" w:space="0" w:color="auto"/>
        <w:right w:val="none" w:sz="0" w:space="0" w:color="auto"/>
      </w:divBdr>
    </w:div>
    <w:div w:id="1022590562">
      <w:bodyDiv w:val="1"/>
      <w:marLeft w:val="0"/>
      <w:marRight w:val="0"/>
      <w:marTop w:val="0"/>
      <w:marBottom w:val="0"/>
      <w:divBdr>
        <w:top w:val="none" w:sz="0" w:space="0" w:color="auto"/>
        <w:left w:val="none" w:sz="0" w:space="0" w:color="auto"/>
        <w:bottom w:val="none" w:sz="0" w:space="0" w:color="auto"/>
        <w:right w:val="none" w:sz="0" w:space="0" w:color="auto"/>
      </w:divBdr>
    </w:div>
    <w:div w:id="1022703246">
      <w:bodyDiv w:val="1"/>
      <w:marLeft w:val="0"/>
      <w:marRight w:val="0"/>
      <w:marTop w:val="0"/>
      <w:marBottom w:val="0"/>
      <w:divBdr>
        <w:top w:val="none" w:sz="0" w:space="0" w:color="auto"/>
        <w:left w:val="none" w:sz="0" w:space="0" w:color="auto"/>
        <w:bottom w:val="none" w:sz="0" w:space="0" w:color="auto"/>
        <w:right w:val="none" w:sz="0" w:space="0" w:color="auto"/>
      </w:divBdr>
    </w:div>
    <w:div w:id="1035039740">
      <w:bodyDiv w:val="1"/>
      <w:marLeft w:val="0"/>
      <w:marRight w:val="0"/>
      <w:marTop w:val="0"/>
      <w:marBottom w:val="0"/>
      <w:divBdr>
        <w:top w:val="none" w:sz="0" w:space="0" w:color="auto"/>
        <w:left w:val="none" w:sz="0" w:space="0" w:color="auto"/>
        <w:bottom w:val="none" w:sz="0" w:space="0" w:color="auto"/>
        <w:right w:val="none" w:sz="0" w:space="0" w:color="auto"/>
      </w:divBdr>
    </w:div>
    <w:div w:id="1044862983">
      <w:bodyDiv w:val="1"/>
      <w:marLeft w:val="0"/>
      <w:marRight w:val="0"/>
      <w:marTop w:val="0"/>
      <w:marBottom w:val="0"/>
      <w:divBdr>
        <w:top w:val="none" w:sz="0" w:space="0" w:color="auto"/>
        <w:left w:val="none" w:sz="0" w:space="0" w:color="auto"/>
        <w:bottom w:val="none" w:sz="0" w:space="0" w:color="auto"/>
        <w:right w:val="none" w:sz="0" w:space="0" w:color="auto"/>
      </w:divBdr>
    </w:div>
    <w:div w:id="1053427432">
      <w:bodyDiv w:val="1"/>
      <w:marLeft w:val="0"/>
      <w:marRight w:val="0"/>
      <w:marTop w:val="0"/>
      <w:marBottom w:val="0"/>
      <w:divBdr>
        <w:top w:val="none" w:sz="0" w:space="0" w:color="auto"/>
        <w:left w:val="none" w:sz="0" w:space="0" w:color="auto"/>
        <w:bottom w:val="none" w:sz="0" w:space="0" w:color="auto"/>
        <w:right w:val="none" w:sz="0" w:space="0" w:color="auto"/>
      </w:divBdr>
    </w:div>
    <w:div w:id="1064180545">
      <w:bodyDiv w:val="1"/>
      <w:marLeft w:val="0"/>
      <w:marRight w:val="0"/>
      <w:marTop w:val="0"/>
      <w:marBottom w:val="0"/>
      <w:divBdr>
        <w:top w:val="none" w:sz="0" w:space="0" w:color="auto"/>
        <w:left w:val="none" w:sz="0" w:space="0" w:color="auto"/>
        <w:bottom w:val="none" w:sz="0" w:space="0" w:color="auto"/>
        <w:right w:val="none" w:sz="0" w:space="0" w:color="auto"/>
      </w:divBdr>
      <w:divsChild>
        <w:div w:id="938294467">
          <w:marLeft w:val="0"/>
          <w:marRight w:val="0"/>
          <w:marTop w:val="0"/>
          <w:marBottom w:val="0"/>
          <w:divBdr>
            <w:top w:val="none" w:sz="0" w:space="0" w:color="auto"/>
            <w:left w:val="none" w:sz="0" w:space="0" w:color="auto"/>
            <w:bottom w:val="none" w:sz="0" w:space="0" w:color="auto"/>
            <w:right w:val="none" w:sz="0" w:space="0" w:color="auto"/>
          </w:divBdr>
        </w:div>
        <w:div w:id="406343897">
          <w:marLeft w:val="0"/>
          <w:marRight w:val="0"/>
          <w:marTop w:val="0"/>
          <w:marBottom w:val="0"/>
          <w:divBdr>
            <w:top w:val="none" w:sz="0" w:space="0" w:color="auto"/>
            <w:left w:val="none" w:sz="0" w:space="0" w:color="auto"/>
            <w:bottom w:val="none" w:sz="0" w:space="0" w:color="auto"/>
            <w:right w:val="none" w:sz="0" w:space="0" w:color="auto"/>
          </w:divBdr>
        </w:div>
        <w:div w:id="608664345">
          <w:marLeft w:val="0"/>
          <w:marRight w:val="0"/>
          <w:marTop w:val="0"/>
          <w:marBottom w:val="0"/>
          <w:divBdr>
            <w:top w:val="none" w:sz="0" w:space="0" w:color="auto"/>
            <w:left w:val="none" w:sz="0" w:space="0" w:color="auto"/>
            <w:bottom w:val="none" w:sz="0" w:space="0" w:color="auto"/>
            <w:right w:val="none" w:sz="0" w:space="0" w:color="auto"/>
          </w:divBdr>
        </w:div>
        <w:div w:id="705911878">
          <w:marLeft w:val="0"/>
          <w:marRight w:val="0"/>
          <w:marTop w:val="0"/>
          <w:marBottom w:val="0"/>
          <w:divBdr>
            <w:top w:val="none" w:sz="0" w:space="0" w:color="auto"/>
            <w:left w:val="none" w:sz="0" w:space="0" w:color="auto"/>
            <w:bottom w:val="none" w:sz="0" w:space="0" w:color="auto"/>
            <w:right w:val="none" w:sz="0" w:space="0" w:color="auto"/>
          </w:divBdr>
        </w:div>
        <w:div w:id="361712091">
          <w:marLeft w:val="0"/>
          <w:marRight w:val="0"/>
          <w:marTop w:val="0"/>
          <w:marBottom w:val="0"/>
          <w:divBdr>
            <w:top w:val="none" w:sz="0" w:space="0" w:color="auto"/>
            <w:left w:val="none" w:sz="0" w:space="0" w:color="auto"/>
            <w:bottom w:val="none" w:sz="0" w:space="0" w:color="auto"/>
            <w:right w:val="none" w:sz="0" w:space="0" w:color="auto"/>
          </w:divBdr>
        </w:div>
        <w:div w:id="1747145606">
          <w:marLeft w:val="0"/>
          <w:marRight w:val="0"/>
          <w:marTop w:val="0"/>
          <w:marBottom w:val="0"/>
          <w:divBdr>
            <w:top w:val="none" w:sz="0" w:space="0" w:color="auto"/>
            <w:left w:val="none" w:sz="0" w:space="0" w:color="auto"/>
            <w:bottom w:val="none" w:sz="0" w:space="0" w:color="auto"/>
            <w:right w:val="none" w:sz="0" w:space="0" w:color="auto"/>
          </w:divBdr>
        </w:div>
        <w:div w:id="1640333228">
          <w:marLeft w:val="0"/>
          <w:marRight w:val="0"/>
          <w:marTop w:val="0"/>
          <w:marBottom w:val="0"/>
          <w:divBdr>
            <w:top w:val="none" w:sz="0" w:space="0" w:color="auto"/>
            <w:left w:val="none" w:sz="0" w:space="0" w:color="auto"/>
            <w:bottom w:val="none" w:sz="0" w:space="0" w:color="auto"/>
            <w:right w:val="none" w:sz="0" w:space="0" w:color="auto"/>
          </w:divBdr>
        </w:div>
        <w:div w:id="425464903">
          <w:marLeft w:val="0"/>
          <w:marRight w:val="0"/>
          <w:marTop w:val="0"/>
          <w:marBottom w:val="0"/>
          <w:divBdr>
            <w:top w:val="none" w:sz="0" w:space="0" w:color="auto"/>
            <w:left w:val="none" w:sz="0" w:space="0" w:color="auto"/>
            <w:bottom w:val="none" w:sz="0" w:space="0" w:color="auto"/>
            <w:right w:val="none" w:sz="0" w:space="0" w:color="auto"/>
          </w:divBdr>
        </w:div>
        <w:div w:id="48236115">
          <w:marLeft w:val="0"/>
          <w:marRight w:val="0"/>
          <w:marTop w:val="0"/>
          <w:marBottom w:val="0"/>
          <w:divBdr>
            <w:top w:val="none" w:sz="0" w:space="0" w:color="auto"/>
            <w:left w:val="none" w:sz="0" w:space="0" w:color="auto"/>
            <w:bottom w:val="none" w:sz="0" w:space="0" w:color="auto"/>
            <w:right w:val="none" w:sz="0" w:space="0" w:color="auto"/>
          </w:divBdr>
        </w:div>
        <w:div w:id="956330586">
          <w:marLeft w:val="0"/>
          <w:marRight w:val="0"/>
          <w:marTop w:val="0"/>
          <w:marBottom w:val="0"/>
          <w:divBdr>
            <w:top w:val="none" w:sz="0" w:space="0" w:color="auto"/>
            <w:left w:val="none" w:sz="0" w:space="0" w:color="auto"/>
            <w:bottom w:val="none" w:sz="0" w:space="0" w:color="auto"/>
            <w:right w:val="none" w:sz="0" w:space="0" w:color="auto"/>
          </w:divBdr>
        </w:div>
        <w:div w:id="213472137">
          <w:marLeft w:val="0"/>
          <w:marRight w:val="0"/>
          <w:marTop w:val="0"/>
          <w:marBottom w:val="0"/>
          <w:divBdr>
            <w:top w:val="none" w:sz="0" w:space="0" w:color="auto"/>
            <w:left w:val="none" w:sz="0" w:space="0" w:color="auto"/>
            <w:bottom w:val="none" w:sz="0" w:space="0" w:color="auto"/>
            <w:right w:val="none" w:sz="0" w:space="0" w:color="auto"/>
          </w:divBdr>
        </w:div>
      </w:divsChild>
    </w:div>
    <w:div w:id="1074818696">
      <w:bodyDiv w:val="1"/>
      <w:marLeft w:val="0"/>
      <w:marRight w:val="0"/>
      <w:marTop w:val="0"/>
      <w:marBottom w:val="0"/>
      <w:divBdr>
        <w:top w:val="none" w:sz="0" w:space="0" w:color="auto"/>
        <w:left w:val="none" w:sz="0" w:space="0" w:color="auto"/>
        <w:bottom w:val="none" w:sz="0" w:space="0" w:color="auto"/>
        <w:right w:val="none" w:sz="0" w:space="0" w:color="auto"/>
      </w:divBdr>
    </w:div>
    <w:div w:id="1093670599">
      <w:bodyDiv w:val="1"/>
      <w:marLeft w:val="0"/>
      <w:marRight w:val="0"/>
      <w:marTop w:val="0"/>
      <w:marBottom w:val="0"/>
      <w:divBdr>
        <w:top w:val="none" w:sz="0" w:space="0" w:color="auto"/>
        <w:left w:val="none" w:sz="0" w:space="0" w:color="auto"/>
        <w:bottom w:val="none" w:sz="0" w:space="0" w:color="auto"/>
        <w:right w:val="none" w:sz="0" w:space="0" w:color="auto"/>
      </w:divBdr>
    </w:div>
    <w:div w:id="1121341464">
      <w:bodyDiv w:val="1"/>
      <w:marLeft w:val="0"/>
      <w:marRight w:val="0"/>
      <w:marTop w:val="0"/>
      <w:marBottom w:val="0"/>
      <w:divBdr>
        <w:top w:val="none" w:sz="0" w:space="0" w:color="auto"/>
        <w:left w:val="none" w:sz="0" w:space="0" w:color="auto"/>
        <w:bottom w:val="none" w:sz="0" w:space="0" w:color="auto"/>
        <w:right w:val="none" w:sz="0" w:space="0" w:color="auto"/>
      </w:divBdr>
      <w:divsChild>
        <w:div w:id="1183203094">
          <w:marLeft w:val="0"/>
          <w:marRight w:val="0"/>
          <w:marTop w:val="0"/>
          <w:marBottom w:val="0"/>
          <w:divBdr>
            <w:top w:val="none" w:sz="0" w:space="0" w:color="auto"/>
            <w:left w:val="none" w:sz="0" w:space="0" w:color="auto"/>
            <w:bottom w:val="none" w:sz="0" w:space="0" w:color="auto"/>
            <w:right w:val="none" w:sz="0" w:space="0" w:color="auto"/>
          </w:divBdr>
        </w:div>
        <w:div w:id="1083449691">
          <w:marLeft w:val="0"/>
          <w:marRight w:val="0"/>
          <w:marTop w:val="0"/>
          <w:marBottom w:val="0"/>
          <w:divBdr>
            <w:top w:val="none" w:sz="0" w:space="0" w:color="auto"/>
            <w:left w:val="none" w:sz="0" w:space="0" w:color="auto"/>
            <w:bottom w:val="none" w:sz="0" w:space="0" w:color="auto"/>
            <w:right w:val="none" w:sz="0" w:space="0" w:color="auto"/>
          </w:divBdr>
        </w:div>
        <w:div w:id="731318841">
          <w:marLeft w:val="0"/>
          <w:marRight w:val="0"/>
          <w:marTop w:val="0"/>
          <w:marBottom w:val="0"/>
          <w:divBdr>
            <w:top w:val="none" w:sz="0" w:space="0" w:color="auto"/>
            <w:left w:val="none" w:sz="0" w:space="0" w:color="auto"/>
            <w:bottom w:val="none" w:sz="0" w:space="0" w:color="auto"/>
            <w:right w:val="none" w:sz="0" w:space="0" w:color="auto"/>
          </w:divBdr>
        </w:div>
        <w:div w:id="955135835">
          <w:marLeft w:val="0"/>
          <w:marRight w:val="0"/>
          <w:marTop w:val="0"/>
          <w:marBottom w:val="0"/>
          <w:divBdr>
            <w:top w:val="none" w:sz="0" w:space="0" w:color="auto"/>
            <w:left w:val="none" w:sz="0" w:space="0" w:color="auto"/>
            <w:bottom w:val="none" w:sz="0" w:space="0" w:color="auto"/>
            <w:right w:val="none" w:sz="0" w:space="0" w:color="auto"/>
          </w:divBdr>
        </w:div>
        <w:div w:id="847673933">
          <w:marLeft w:val="0"/>
          <w:marRight w:val="0"/>
          <w:marTop w:val="0"/>
          <w:marBottom w:val="0"/>
          <w:divBdr>
            <w:top w:val="none" w:sz="0" w:space="0" w:color="auto"/>
            <w:left w:val="none" w:sz="0" w:space="0" w:color="auto"/>
            <w:bottom w:val="none" w:sz="0" w:space="0" w:color="auto"/>
            <w:right w:val="none" w:sz="0" w:space="0" w:color="auto"/>
          </w:divBdr>
        </w:div>
        <w:div w:id="123276262">
          <w:marLeft w:val="0"/>
          <w:marRight w:val="0"/>
          <w:marTop w:val="0"/>
          <w:marBottom w:val="0"/>
          <w:divBdr>
            <w:top w:val="none" w:sz="0" w:space="0" w:color="auto"/>
            <w:left w:val="none" w:sz="0" w:space="0" w:color="auto"/>
            <w:bottom w:val="none" w:sz="0" w:space="0" w:color="auto"/>
            <w:right w:val="none" w:sz="0" w:space="0" w:color="auto"/>
          </w:divBdr>
        </w:div>
        <w:div w:id="282926142">
          <w:marLeft w:val="0"/>
          <w:marRight w:val="0"/>
          <w:marTop w:val="0"/>
          <w:marBottom w:val="0"/>
          <w:divBdr>
            <w:top w:val="none" w:sz="0" w:space="0" w:color="auto"/>
            <w:left w:val="none" w:sz="0" w:space="0" w:color="auto"/>
            <w:bottom w:val="none" w:sz="0" w:space="0" w:color="auto"/>
            <w:right w:val="none" w:sz="0" w:space="0" w:color="auto"/>
          </w:divBdr>
        </w:div>
        <w:div w:id="183130957">
          <w:marLeft w:val="0"/>
          <w:marRight w:val="0"/>
          <w:marTop w:val="0"/>
          <w:marBottom w:val="0"/>
          <w:divBdr>
            <w:top w:val="none" w:sz="0" w:space="0" w:color="auto"/>
            <w:left w:val="none" w:sz="0" w:space="0" w:color="auto"/>
            <w:bottom w:val="none" w:sz="0" w:space="0" w:color="auto"/>
            <w:right w:val="none" w:sz="0" w:space="0" w:color="auto"/>
          </w:divBdr>
        </w:div>
        <w:div w:id="688799440">
          <w:marLeft w:val="0"/>
          <w:marRight w:val="0"/>
          <w:marTop w:val="0"/>
          <w:marBottom w:val="0"/>
          <w:divBdr>
            <w:top w:val="none" w:sz="0" w:space="0" w:color="auto"/>
            <w:left w:val="none" w:sz="0" w:space="0" w:color="auto"/>
            <w:bottom w:val="none" w:sz="0" w:space="0" w:color="auto"/>
            <w:right w:val="none" w:sz="0" w:space="0" w:color="auto"/>
          </w:divBdr>
        </w:div>
        <w:div w:id="1373918572">
          <w:marLeft w:val="0"/>
          <w:marRight w:val="0"/>
          <w:marTop w:val="0"/>
          <w:marBottom w:val="0"/>
          <w:divBdr>
            <w:top w:val="none" w:sz="0" w:space="0" w:color="auto"/>
            <w:left w:val="none" w:sz="0" w:space="0" w:color="auto"/>
            <w:bottom w:val="none" w:sz="0" w:space="0" w:color="auto"/>
            <w:right w:val="none" w:sz="0" w:space="0" w:color="auto"/>
          </w:divBdr>
        </w:div>
      </w:divsChild>
    </w:div>
    <w:div w:id="1167984185">
      <w:bodyDiv w:val="1"/>
      <w:marLeft w:val="0"/>
      <w:marRight w:val="0"/>
      <w:marTop w:val="0"/>
      <w:marBottom w:val="0"/>
      <w:divBdr>
        <w:top w:val="none" w:sz="0" w:space="0" w:color="auto"/>
        <w:left w:val="none" w:sz="0" w:space="0" w:color="auto"/>
        <w:bottom w:val="none" w:sz="0" w:space="0" w:color="auto"/>
        <w:right w:val="none" w:sz="0" w:space="0" w:color="auto"/>
      </w:divBdr>
    </w:div>
    <w:div w:id="1207983343">
      <w:bodyDiv w:val="1"/>
      <w:marLeft w:val="0"/>
      <w:marRight w:val="0"/>
      <w:marTop w:val="0"/>
      <w:marBottom w:val="0"/>
      <w:divBdr>
        <w:top w:val="none" w:sz="0" w:space="0" w:color="auto"/>
        <w:left w:val="none" w:sz="0" w:space="0" w:color="auto"/>
        <w:bottom w:val="none" w:sz="0" w:space="0" w:color="auto"/>
        <w:right w:val="none" w:sz="0" w:space="0" w:color="auto"/>
      </w:divBdr>
    </w:div>
    <w:div w:id="1293438995">
      <w:bodyDiv w:val="1"/>
      <w:marLeft w:val="0"/>
      <w:marRight w:val="0"/>
      <w:marTop w:val="0"/>
      <w:marBottom w:val="0"/>
      <w:divBdr>
        <w:top w:val="none" w:sz="0" w:space="0" w:color="auto"/>
        <w:left w:val="none" w:sz="0" w:space="0" w:color="auto"/>
        <w:bottom w:val="none" w:sz="0" w:space="0" w:color="auto"/>
        <w:right w:val="none" w:sz="0" w:space="0" w:color="auto"/>
      </w:divBdr>
    </w:div>
    <w:div w:id="1307011196">
      <w:bodyDiv w:val="1"/>
      <w:marLeft w:val="0"/>
      <w:marRight w:val="0"/>
      <w:marTop w:val="0"/>
      <w:marBottom w:val="0"/>
      <w:divBdr>
        <w:top w:val="none" w:sz="0" w:space="0" w:color="auto"/>
        <w:left w:val="none" w:sz="0" w:space="0" w:color="auto"/>
        <w:bottom w:val="none" w:sz="0" w:space="0" w:color="auto"/>
        <w:right w:val="none" w:sz="0" w:space="0" w:color="auto"/>
      </w:divBdr>
    </w:div>
    <w:div w:id="1312442017">
      <w:bodyDiv w:val="1"/>
      <w:marLeft w:val="0"/>
      <w:marRight w:val="0"/>
      <w:marTop w:val="0"/>
      <w:marBottom w:val="0"/>
      <w:divBdr>
        <w:top w:val="none" w:sz="0" w:space="0" w:color="auto"/>
        <w:left w:val="none" w:sz="0" w:space="0" w:color="auto"/>
        <w:bottom w:val="none" w:sz="0" w:space="0" w:color="auto"/>
        <w:right w:val="none" w:sz="0" w:space="0" w:color="auto"/>
      </w:divBdr>
    </w:div>
    <w:div w:id="1342974943">
      <w:bodyDiv w:val="1"/>
      <w:marLeft w:val="0"/>
      <w:marRight w:val="0"/>
      <w:marTop w:val="0"/>
      <w:marBottom w:val="0"/>
      <w:divBdr>
        <w:top w:val="none" w:sz="0" w:space="0" w:color="auto"/>
        <w:left w:val="none" w:sz="0" w:space="0" w:color="auto"/>
        <w:bottom w:val="none" w:sz="0" w:space="0" w:color="auto"/>
        <w:right w:val="none" w:sz="0" w:space="0" w:color="auto"/>
      </w:divBdr>
    </w:div>
    <w:div w:id="1367411380">
      <w:bodyDiv w:val="1"/>
      <w:marLeft w:val="0"/>
      <w:marRight w:val="0"/>
      <w:marTop w:val="0"/>
      <w:marBottom w:val="0"/>
      <w:divBdr>
        <w:top w:val="none" w:sz="0" w:space="0" w:color="auto"/>
        <w:left w:val="none" w:sz="0" w:space="0" w:color="auto"/>
        <w:bottom w:val="none" w:sz="0" w:space="0" w:color="auto"/>
        <w:right w:val="none" w:sz="0" w:space="0" w:color="auto"/>
      </w:divBdr>
    </w:div>
    <w:div w:id="1379664800">
      <w:bodyDiv w:val="1"/>
      <w:marLeft w:val="0"/>
      <w:marRight w:val="0"/>
      <w:marTop w:val="0"/>
      <w:marBottom w:val="0"/>
      <w:divBdr>
        <w:top w:val="none" w:sz="0" w:space="0" w:color="auto"/>
        <w:left w:val="none" w:sz="0" w:space="0" w:color="auto"/>
        <w:bottom w:val="none" w:sz="0" w:space="0" w:color="auto"/>
        <w:right w:val="none" w:sz="0" w:space="0" w:color="auto"/>
      </w:divBdr>
      <w:divsChild>
        <w:div w:id="664094269">
          <w:marLeft w:val="0"/>
          <w:marRight w:val="0"/>
          <w:marTop w:val="0"/>
          <w:marBottom w:val="0"/>
          <w:divBdr>
            <w:top w:val="none" w:sz="0" w:space="0" w:color="auto"/>
            <w:left w:val="none" w:sz="0" w:space="0" w:color="auto"/>
            <w:bottom w:val="none" w:sz="0" w:space="0" w:color="auto"/>
            <w:right w:val="none" w:sz="0" w:space="0" w:color="auto"/>
          </w:divBdr>
        </w:div>
        <w:div w:id="559632143">
          <w:marLeft w:val="0"/>
          <w:marRight w:val="0"/>
          <w:marTop w:val="0"/>
          <w:marBottom w:val="0"/>
          <w:divBdr>
            <w:top w:val="none" w:sz="0" w:space="0" w:color="auto"/>
            <w:left w:val="none" w:sz="0" w:space="0" w:color="auto"/>
            <w:bottom w:val="none" w:sz="0" w:space="0" w:color="auto"/>
            <w:right w:val="none" w:sz="0" w:space="0" w:color="auto"/>
          </w:divBdr>
        </w:div>
        <w:div w:id="297996231">
          <w:marLeft w:val="0"/>
          <w:marRight w:val="0"/>
          <w:marTop w:val="0"/>
          <w:marBottom w:val="0"/>
          <w:divBdr>
            <w:top w:val="none" w:sz="0" w:space="0" w:color="auto"/>
            <w:left w:val="none" w:sz="0" w:space="0" w:color="auto"/>
            <w:bottom w:val="none" w:sz="0" w:space="0" w:color="auto"/>
            <w:right w:val="none" w:sz="0" w:space="0" w:color="auto"/>
          </w:divBdr>
        </w:div>
      </w:divsChild>
    </w:div>
    <w:div w:id="1422792676">
      <w:bodyDiv w:val="1"/>
      <w:marLeft w:val="0"/>
      <w:marRight w:val="0"/>
      <w:marTop w:val="0"/>
      <w:marBottom w:val="0"/>
      <w:divBdr>
        <w:top w:val="none" w:sz="0" w:space="0" w:color="auto"/>
        <w:left w:val="none" w:sz="0" w:space="0" w:color="auto"/>
        <w:bottom w:val="none" w:sz="0" w:space="0" w:color="auto"/>
        <w:right w:val="none" w:sz="0" w:space="0" w:color="auto"/>
      </w:divBdr>
    </w:div>
    <w:div w:id="1456215980">
      <w:bodyDiv w:val="1"/>
      <w:marLeft w:val="0"/>
      <w:marRight w:val="0"/>
      <w:marTop w:val="0"/>
      <w:marBottom w:val="0"/>
      <w:divBdr>
        <w:top w:val="none" w:sz="0" w:space="0" w:color="auto"/>
        <w:left w:val="none" w:sz="0" w:space="0" w:color="auto"/>
        <w:bottom w:val="none" w:sz="0" w:space="0" w:color="auto"/>
        <w:right w:val="none" w:sz="0" w:space="0" w:color="auto"/>
      </w:divBdr>
    </w:div>
    <w:div w:id="1494028755">
      <w:bodyDiv w:val="1"/>
      <w:marLeft w:val="0"/>
      <w:marRight w:val="0"/>
      <w:marTop w:val="0"/>
      <w:marBottom w:val="0"/>
      <w:divBdr>
        <w:top w:val="none" w:sz="0" w:space="0" w:color="auto"/>
        <w:left w:val="none" w:sz="0" w:space="0" w:color="auto"/>
        <w:bottom w:val="none" w:sz="0" w:space="0" w:color="auto"/>
        <w:right w:val="none" w:sz="0" w:space="0" w:color="auto"/>
      </w:divBdr>
    </w:div>
    <w:div w:id="1528567904">
      <w:bodyDiv w:val="1"/>
      <w:marLeft w:val="0"/>
      <w:marRight w:val="0"/>
      <w:marTop w:val="0"/>
      <w:marBottom w:val="0"/>
      <w:divBdr>
        <w:top w:val="none" w:sz="0" w:space="0" w:color="auto"/>
        <w:left w:val="none" w:sz="0" w:space="0" w:color="auto"/>
        <w:bottom w:val="none" w:sz="0" w:space="0" w:color="auto"/>
        <w:right w:val="none" w:sz="0" w:space="0" w:color="auto"/>
      </w:divBdr>
    </w:div>
    <w:div w:id="1554535415">
      <w:bodyDiv w:val="1"/>
      <w:marLeft w:val="0"/>
      <w:marRight w:val="0"/>
      <w:marTop w:val="0"/>
      <w:marBottom w:val="0"/>
      <w:divBdr>
        <w:top w:val="none" w:sz="0" w:space="0" w:color="auto"/>
        <w:left w:val="none" w:sz="0" w:space="0" w:color="auto"/>
        <w:bottom w:val="none" w:sz="0" w:space="0" w:color="auto"/>
        <w:right w:val="none" w:sz="0" w:space="0" w:color="auto"/>
      </w:divBdr>
    </w:div>
    <w:div w:id="1565723856">
      <w:bodyDiv w:val="1"/>
      <w:marLeft w:val="0"/>
      <w:marRight w:val="0"/>
      <w:marTop w:val="0"/>
      <w:marBottom w:val="0"/>
      <w:divBdr>
        <w:top w:val="none" w:sz="0" w:space="0" w:color="auto"/>
        <w:left w:val="none" w:sz="0" w:space="0" w:color="auto"/>
        <w:bottom w:val="none" w:sz="0" w:space="0" w:color="auto"/>
        <w:right w:val="none" w:sz="0" w:space="0" w:color="auto"/>
      </w:divBdr>
    </w:div>
    <w:div w:id="1567033038">
      <w:bodyDiv w:val="1"/>
      <w:marLeft w:val="0"/>
      <w:marRight w:val="0"/>
      <w:marTop w:val="0"/>
      <w:marBottom w:val="0"/>
      <w:divBdr>
        <w:top w:val="none" w:sz="0" w:space="0" w:color="auto"/>
        <w:left w:val="none" w:sz="0" w:space="0" w:color="auto"/>
        <w:bottom w:val="none" w:sz="0" w:space="0" w:color="auto"/>
        <w:right w:val="none" w:sz="0" w:space="0" w:color="auto"/>
      </w:divBdr>
    </w:div>
    <w:div w:id="1599681708">
      <w:bodyDiv w:val="1"/>
      <w:marLeft w:val="0"/>
      <w:marRight w:val="0"/>
      <w:marTop w:val="0"/>
      <w:marBottom w:val="0"/>
      <w:divBdr>
        <w:top w:val="none" w:sz="0" w:space="0" w:color="auto"/>
        <w:left w:val="none" w:sz="0" w:space="0" w:color="auto"/>
        <w:bottom w:val="none" w:sz="0" w:space="0" w:color="auto"/>
        <w:right w:val="none" w:sz="0" w:space="0" w:color="auto"/>
      </w:divBdr>
    </w:div>
    <w:div w:id="1614550638">
      <w:bodyDiv w:val="1"/>
      <w:marLeft w:val="0"/>
      <w:marRight w:val="0"/>
      <w:marTop w:val="0"/>
      <w:marBottom w:val="0"/>
      <w:divBdr>
        <w:top w:val="none" w:sz="0" w:space="0" w:color="auto"/>
        <w:left w:val="none" w:sz="0" w:space="0" w:color="auto"/>
        <w:bottom w:val="none" w:sz="0" w:space="0" w:color="auto"/>
        <w:right w:val="none" w:sz="0" w:space="0" w:color="auto"/>
      </w:divBdr>
    </w:div>
    <w:div w:id="1632789153">
      <w:bodyDiv w:val="1"/>
      <w:marLeft w:val="0"/>
      <w:marRight w:val="0"/>
      <w:marTop w:val="0"/>
      <w:marBottom w:val="0"/>
      <w:divBdr>
        <w:top w:val="none" w:sz="0" w:space="0" w:color="auto"/>
        <w:left w:val="none" w:sz="0" w:space="0" w:color="auto"/>
        <w:bottom w:val="none" w:sz="0" w:space="0" w:color="auto"/>
        <w:right w:val="none" w:sz="0" w:space="0" w:color="auto"/>
      </w:divBdr>
    </w:div>
    <w:div w:id="1653171011">
      <w:bodyDiv w:val="1"/>
      <w:marLeft w:val="0"/>
      <w:marRight w:val="0"/>
      <w:marTop w:val="0"/>
      <w:marBottom w:val="0"/>
      <w:divBdr>
        <w:top w:val="none" w:sz="0" w:space="0" w:color="auto"/>
        <w:left w:val="none" w:sz="0" w:space="0" w:color="auto"/>
        <w:bottom w:val="none" w:sz="0" w:space="0" w:color="auto"/>
        <w:right w:val="none" w:sz="0" w:space="0" w:color="auto"/>
      </w:divBdr>
    </w:div>
    <w:div w:id="1663699800">
      <w:bodyDiv w:val="1"/>
      <w:marLeft w:val="0"/>
      <w:marRight w:val="0"/>
      <w:marTop w:val="0"/>
      <w:marBottom w:val="0"/>
      <w:divBdr>
        <w:top w:val="none" w:sz="0" w:space="0" w:color="auto"/>
        <w:left w:val="none" w:sz="0" w:space="0" w:color="auto"/>
        <w:bottom w:val="none" w:sz="0" w:space="0" w:color="auto"/>
        <w:right w:val="none" w:sz="0" w:space="0" w:color="auto"/>
      </w:divBdr>
    </w:div>
    <w:div w:id="1669553477">
      <w:bodyDiv w:val="1"/>
      <w:marLeft w:val="0"/>
      <w:marRight w:val="0"/>
      <w:marTop w:val="0"/>
      <w:marBottom w:val="0"/>
      <w:divBdr>
        <w:top w:val="none" w:sz="0" w:space="0" w:color="auto"/>
        <w:left w:val="none" w:sz="0" w:space="0" w:color="auto"/>
        <w:bottom w:val="none" w:sz="0" w:space="0" w:color="auto"/>
        <w:right w:val="none" w:sz="0" w:space="0" w:color="auto"/>
      </w:divBdr>
    </w:div>
    <w:div w:id="1670517923">
      <w:bodyDiv w:val="1"/>
      <w:marLeft w:val="0"/>
      <w:marRight w:val="0"/>
      <w:marTop w:val="0"/>
      <w:marBottom w:val="0"/>
      <w:divBdr>
        <w:top w:val="none" w:sz="0" w:space="0" w:color="auto"/>
        <w:left w:val="none" w:sz="0" w:space="0" w:color="auto"/>
        <w:bottom w:val="none" w:sz="0" w:space="0" w:color="auto"/>
        <w:right w:val="none" w:sz="0" w:space="0" w:color="auto"/>
      </w:divBdr>
    </w:div>
    <w:div w:id="1707489897">
      <w:bodyDiv w:val="1"/>
      <w:marLeft w:val="0"/>
      <w:marRight w:val="0"/>
      <w:marTop w:val="0"/>
      <w:marBottom w:val="0"/>
      <w:divBdr>
        <w:top w:val="none" w:sz="0" w:space="0" w:color="auto"/>
        <w:left w:val="none" w:sz="0" w:space="0" w:color="auto"/>
        <w:bottom w:val="none" w:sz="0" w:space="0" w:color="auto"/>
        <w:right w:val="none" w:sz="0" w:space="0" w:color="auto"/>
      </w:divBdr>
    </w:div>
    <w:div w:id="1726492546">
      <w:bodyDiv w:val="1"/>
      <w:marLeft w:val="0"/>
      <w:marRight w:val="0"/>
      <w:marTop w:val="0"/>
      <w:marBottom w:val="0"/>
      <w:divBdr>
        <w:top w:val="none" w:sz="0" w:space="0" w:color="auto"/>
        <w:left w:val="none" w:sz="0" w:space="0" w:color="auto"/>
        <w:bottom w:val="none" w:sz="0" w:space="0" w:color="auto"/>
        <w:right w:val="none" w:sz="0" w:space="0" w:color="auto"/>
      </w:divBdr>
    </w:div>
    <w:div w:id="1732537524">
      <w:bodyDiv w:val="1"/>
      <w:marLeft w:val="0"/>
      <w:marRight w:val="0"/>
      <w:marTop w:val="0"/>
      <w:marBottom w:val="0"/>
      <w:divBdr>
        <w:top w:val="none" w:sz="0" w:space="0" w:color="auto"/>
        <w:left w:val="none" w:sz="0" w:space="0" w:color="auto"/>
        <w:bottom w:val="none" w:sz="0" w:space="0" w:color="auto"/>
        <w:right w:val="none" w:sz="0" w:space="0" w:color="auto"/>
      </w:divBdr>
    </w:div>
    <w:div w:id="1749158817">
      <w:bodyDiv w:val="1"/>
      <w:marLeft w:val="0"/>
      <w:marRight w:val="0"/>
      <w:marTop w:val="0"/>
      <w:marBottom w:val="0"/>
      <w:divBdr>
        <w:top w:val="none" w:sz="0" w:space="0" w:color="auto"/>
        <w:left w:val="none" w:sz="0" w:space="0" w:color="auto"/>
        <w:bottom w:val="none" w:sz="0" w:space="0" w:color="auto"/>
        <w:right w:val="none" w:sz="0" w:space="0" w:color="auto"/>
      </w:divBdr>
    </w:div>
    <w:div w:id="1815371114">
      <w:bodyDiv w:val="1"/>
      <w:marLeft w:val="0"/>
      <w:marRight w:val="0"/>
      <w:marTop w:val="0"/>
      <w:marBottom w:val="0"/>
      <w:divBdr>
        <w:top w:val="none" w:sz="0" w:space="0" w:color="auto"/>
        <w:left w:val="none" w:sz="0" w:space="0" w:color="auto"/>
        <w:bottom w:val="none" w:sz="0" w:space="0" w:color="auto"/>
        <w:right w:val="none" w:sz="0" w:space="0" w:color="auto"/>
      </w:divBdr>
    </w:div>
    <w:div w:id="1841190864">
      <w:bodyDiv w:val="1"/>
      <w:marLeft w:val="0"/>
      <w:marRight w:val="0"/>
      <w:marTop w:val="0"/>
      <w:marBottom w:val="0"/>
      <w:divBdr>
        <w:top w:val="none" w:sz="0" w:space="0" w:color="auto"/>
        <w:left w:val="none" w:sz="0" w:space="0" w:color="auto"/>
        <w:bottom w:val="none" w:sz="0" w:space="0" w:color="auto"/>
        <w:right w:val="none" w:sz="0" w:space="0" w:color="auto"/>
      </w:divBdr>
    </w:div>
    <w:div w:id="1843429098">
      <w:bodyDiv w:val="1"/>
      <w:marLeft w:val="0"/>
      <w:marRight w:val="0"/>
      <w:marTop w:val="0"/>
      <w:marBottom w:val="0"/>
      <w:divBdr>
        <w:top w:val="none" w:sz="0" w:space="0" w:color="auto"/>
        <w:left w:val="none" w:sz="0" w:space="0" w:color="auto"/>
        <w:bottom w:val="none" w:sz="0" w:space="0" w:color="auto"/>
        <w:right w:val="none" w:sz="0" w:space="0" w:color="auto"/>
      </w:divBdr>
    </w:div>
    <w:div w:id="1875583166">
      <w:bodyDiv w:val="1"/>
      <w:marLeft w:val="0"/>
      <w:marRight w:val="0"/>
      <w:marTop w:val="0"/>
      <w:marBottom w:val="0"/>
      <w:divBdr>
        <w:top w:val="none" w:sz="0" w:space="0" w:color="auto"/>
        <w:left w:val="none" w:sz="0" w:space="0" w:color="auto"/>
        <w:bottom w:val="none" w:sz="0" w:space="0" w:color="auto"/>
        <w:right w:val="none" w:sz="0" w:space="0" w:color="auto"/>
      </w:divBdr>
    </w:div>
    <w:div w:id="1879586780">
      <w:bodyDiv w:val="1"/>
      <w:marLeft w:val="0"/>
      <w:marRight w:val="0"/>
      <w:marTop w:val="0"/>
      <w:marBottom w:val="0"/>
      <w:divBdr>
        <w:top w:val="none" w:sz="0" w:space="0" w:color="auto"/>
        <w:left w:val="none" w:sz="0" w:space="0" w:color="auto"/>
        <w:bottom w:val="none" w:sz="0" w:space="0" w:color="auto"/>
        <w:right w:val="none" w:sz="0" w:space="0" w:color="auto"/>
      </w:divBdr>
    </w:div>
    <w:div w:id="1892644228">
      <w:bodyDiv w:val="1"/>
      <w:marLeft w:val="0"/>
      <w:marRight w:val="0"/>
      <w:marTop w:val="0"/>
      <w:marBottom w:val="0"/>
      <w:divBdr>
        <w:top w:val="none" w:sz="0" w:space="0" w:color="auto"/>
        <w:left w:val="none" w:sz="0" w:space="0" w:color="auto"/>
        <w:bottom w:val="none" w:sz="0" w:space="0" w:color="auto"/>
        <w:right w:val="none" w:sz="0" w:space="0" w:color="auto"/>
      </w:divBdr>
    </w:div>
    <w:div w:id="1894273695">
      <w:bodyDiv w:val="1"/>
      <w:marLeft w:val="0"/>
      <w:marRight w:val="0"/>
      <w:marTop w:val="0"/>
      <w:marBottom w:val="0"/>
      <w:divBdr>
        <w:top w:val="none" w:sz="0" w:space="0" w:color="auto"/>
        <w:left w:val="none" w:sz="0" w:space="0" w:color="auto"/>
        <w:bottom w:val="none" w:sz="0" w:space="0" w:color="auto"/>
        <w:right w:val="none" w:sz="0" w:space="0" w:color="auto"/>
      </w:divBdr>
    </w:div>
    <w:div w:id="1924484222">
      <w:bodyDiv w:val="1"/>
      <w:marLeft w:val="0"/>
      <w:marRight w:val="0"/>
      <w:marTop w:val="0"/>
      <w:marBottom w:val="0"/>
      <w:divBdr>
        <w:top w:val="none" w:sz="0" w:space="0" w:color="auto"/>
        <w:left w:val="none" w:sz="0" w:space="0" w:color="auto"/>
        <w:bottom w:val="none" w:sz="0" w:space="0" w:color="auto"/>
        <w:right w:val="none" w:sz="0" w:space="0" w:color="auto"/>
      </w:divBdr>
    </w:div>
    <w:div w:id="1929271044">
      <w:bodyDiv w:val="1"/>
      <w:marLeft w:val="0"/>
      <w:marRight w:val="0"/>
      <w:marTop w:val="0"/>
      <w:marBottom w:val="0"/>
      <w:divBdr>
        <w:top w:val="none" w:sz="0" w:space="0" w:color="auto"/>
        <w:left w:val="none" w:sz="0" w:space="0" w:color="auto"/>
        <w:bottom w:val="none" w:sz="0" w:space="0" w:color="auto"/>
        <w:right w:val="none" w:sz="0" w:space="0" w:color="auto"/>
      </w:divBdr>
    </w:div>
    <w:div w:id="1931740774">
      <w:bodyDiv w:val="1"/>
      <w:marLeft w:val="0"/>
      <w:marRight w:val="0"/>
      <w:marTop w:val="0"/>
      <w:marBottom w:val="0"/>
      <w:divBdr>
        <w:top w:val="none" w:sz="0" w:space="0" w:color="auto"/>
        <w:left w:val="none" w:sz="0" w:space="0" w:color="auto"/>
        <w:bottom w:val="none" w:sz="0" w:space="0" w:color="auto"/>
        <w:right w:val="none" w:sz="0" w:space="0" w:color="auto"/>
      </w:divBdr>
    </w:div>
    <w:div w:id="1949240322">
      <w:bodyDiv w:val="1"/>
      <w:marLeft w:val="0"/>
      <w:marRight w:val="0"/>
      <w:marTop w:val="0"/>
      <w:marBottom w:val="0"/>
      <w:divBdr>
        <w:top w:val="none" w:sz="0" w:space="0" w:color="auto"/>
        <w:left w:val="none" w:sz="0" w:space="0" w:color="auto"/>
        <w:bottom w:val="none" w:sz="0" w:space="0" w:color="auto"/>
        <w:right w:val="none" w:sz="0" w:space="0" w:color="auto"/>
      </w:divBdr>
    </w:div>
    <w:div w:id="1981959678">
      <w:bodyDiv w:val="1"/>
      <w:marLeft w:val="0"/>
      <w:marRight w:val="0"/>
      <w:marTop w:val="0"/>
      <w:marBottom w:val="0"/>
      <w:divBdr>
        <w:top w:val="none" w:sz="0" w:space="0" w:color="auto"/>
        <w:left w:val="none" w:sz="0" w:space="0" w:color="auto"/>
        <w:bottom w:val="none" w:sz="0" w:space="0" w:color="auto"/>
        <w:right w:val="none" w:sz="0" w:space="0" w:color="auto"/>
      </w:divBdr>
    </w:div>
    <w:div w:id="2001304445">
      <w:bodyDiv w:val="1"/>
      <w:marLeft w:val="0"/>
      <w:marRight w:val="0"/>
      <w:marTop w:val="0"/>
      <w:marBottom w:val="0"/>
      <w:divBdr>
        <w:top w:val="none" w:sz="0" w:space="0" w:color="auto"/>
        <w:left w:val="none" w:sz="0" w:space="0" w:color="auto"/>
        <w:bottom w:val="none" w:sz="0" w:space="0" w:color="auto"/>
        <w:right w:val="none" w:sz="0" w:space="0" w:color="auto"/>
      </w:divBdr>
    </w:div>
    <w:div w:id="2052919352">
      <w:bodyDiv w:val="1"/>
      <w:marLeft w:val="0"/>
      <w:marRight w:val="0"/>
      <w:marTop w:val="0"/>
      <w:marBottom w:val="0"/>
      <w:divBdr>
        <w:top w:val="none" w:sz="0" w:space="0" w:color="auto"/>
        <w:left w:val="none" w:sz="0" w:space="0" w:color="auto"/>
        <w:bottom w:val="none" w:sz="0" w:space="0" w:color="auto"/>
        <w:right w:val="none" w:sz="0" w:space="0" w:color="auto"/>
      </w:divBdr>
    </w:div>
    <w:div w:id="2069107809">
      <w:bodyDiv w:val="1"/>
      <w:marLeft w:val="0"/>
      <w:marRight w:val="0"/>
      <w:marTop w:val="0"/>
      <w:marBottom w:val="0"/>
      <w:divBdr>
        <w:top w:val="none" w:sz="0" w:space="0" w:color="auto"/>
        <w:left w:val="none" w:sz="0" w:space="0" w:color="auto"/>
        <w:bottom w:val="none" w:sz="0" w:space="0" w:color="auto"/>
        <w:right w:val="none" w:sz="0" w:space="0" w:color="auto"/>
      </w:divBdr>
    </w:div>
    <w:div w:id="2072920375">
      <w:bodyDiv w:val="1"/>
      <w:marLeft w:val="0"/>
      <w:marRight w:val="0"/>
      <w:marTop w:val="0"/>
      <w:marBottom w:val="0"/>
      <w:divBdr>
        <w:top w:val="none" w:sz="0" w:space="0" w:color="auto"/>
        <w:left w:val="none" w:sz="0" w:space="0" w:color="auto"/>
        <w:bottom w:val="none" w:sz="0" w:space="0" w:color="auto"/>
        <w:right w:val="none" w:sz="0" w:space="0" w:color="auto"/>
      </w:divBdr>
    </w:div>
    <w:div w:id="2124110259">
      <w:bodyDiv w:val="1"/>
      <w:marLeft w:val="0"/>
      <w:marRight w:val="0"/>
      <w:marTop w:val="0"/>
      <w:marBottom w:val="0"/>
      <w:divBdr>
        <w:top w:val="none" w:sz="0" w:space="0" w:color="auto"/>
        <w:left w:val="none" w:sz="0" w:space="0" w:color="auto"/>
        <w:bottom w:val="none" w:sz="0" w:space="0" w:color="auto"/>
        <w:right w:val="none" w:sz="0" w:space="0" w:color="auto"/>
      </w:divBdr>
    </w:div>
    <w:div w:id="2146392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iccat.int/fr/Inspection.html" TargetMode="External"/><Relationship Id="rId18" Type="http://schemas.openxmlformats.org/officeDocument/2006/relationships/hyperlink" Target="https://www.iccat.int/fr/VesselsRecord.asp" TargetMode="External"/><Relationship Id="rId26" Type="http://schemas.openxmlformats.org/officeDocument/2006/relationships/image" Target="media/image1.png"/><Relationship Id="rId39" Type="http://schemas.openxmlformats.org/officeDocument/2006/relationships/hyperlink" Target="https://www.iccat.int/fr/eBCDprog.asp" TargetMode="External"/><Relationship Id="rId21" Type="http://schemas.openxmlformats.org/officeDocument/2006/relationships/hyperlink" Target="https://www.iccat.int/fr/VesselsRecord.asp" TargetMode="External"/><Relationship Id="rId34" Type="http://schemas.openxmlformats.org/officeDocument/2006/relationships/hyperlink" Target="https://www.iccat.int/fr/Ports.asp" TargetMode="External"/><Relationship Id="rId42" Type="http://schemas.openxmlformats.org/officeDocument/2006/relationships/header" Target="header2.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www.iccat.int/fr/VesselsRecord.asp" TargetMode="External"/><Relationship Id="rId29" Type="http://schemas.openxmlformats.org/officeDocument/2006/relationships/hyperlink" Target="https://www.iccat.int/Documents/Recs/compendiopdf-f/2018-06-f.pdf"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iccat.int/fr/Ports.asp" TargetMode="External"/><Relationship Id="rId24" Type="http://schemas.openxmlformats.org/officeDocument/2006/relationships/hyperlink" Target="https://www.iccat.int/fr/Traps.asp" TargetMode="External"/><Relationship Id="rId32" Type="http://schemas.openxmlformats.org/officeDocument/2006/relationships/hyperlink" Target="https://faolex.fao.org/docs/pdf/kor207693.pdf" TargetMode="External"/><Relationship Id="rId37" Type="http://schemas.openxmlformats.org/officeDocument/2006/relationships/hyperlink" Target="https://www.iccat.int/Documents/Recs/compendiopdf-f/2019-10-f.pdf" TargetMode="External"/><Relationship Id="rId40" Type="http://schemas.openxmlformats.org/officeDocument/2006/relationships/hyperlink" Target="https://www.iccat.int/fr/SubmitCOMP.html" TargetMode="Externa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www.iccat.int/fr/VesselsRecord.asp" TargetMode="External"/><Relationship Id="rId23" Type="http://schemas.openxmlformats.org/officeDocument/2006/relationships/hyperlink" Target="https://www.iccat.int/fr/Ports.asp" TargetMode="External"/><Relationship Id="rId28" Type="http://schemas.openxmlformats.org/officeDocument/2006/relationships/hyperlink" Target="https://www.iccat.int/Documents/Recs/compendiopdf-f/2019-06-f.pdf" TargetMode="External"/><Relationship Id="rId36" Type="http://schemas.openxmlformats.org/officeDocument/2006/relationships/hyperlink" Target="https://www.iccat.int/fr/ROP.html" TargetMode="External"/><Relationship Id="rId10" Type="http://schemas.openxmlformats.org/officeDocument/2006/relationships/hyperlink" Target="https://www.iccat.int/fr/VesselsRecord.asp" TargetMode="External"/><Relationship Id="rId19" Type="http://schemas.openxmlformats.org/officeDocument/2006/relationships/hyperlink" Target="https://www.iccat.int/fr/VesselsRecord.asp" TargetMode="External"/><Relationship Id="rId31" Type="http://schemas.openxmlformats.org/officeDocument/2006/relationships/footer" Target="footer1.xml"/><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iccat.int/fr/VesselsRecord.asp" TargetMode="External"/><Relationship Id="rId14" Type="http://schemas.openxmlformats.org/officeDocument/2006/relationships/hyperlink" Target="https://www.iccat.int/fr/VesselsRecord.asp" TargetMode="External"/><Relationship Id="rId22" Type="http://schemas.openxmlformats.org/officeDocument/2006/relationships/hyperlink" Target="https://www.iccat.int/fr/Ffb.asp" TargetMode="External"/><Relationship Id="rId27" Type="http://schemas.openxmlformats.org/officeDocument/2006/relationships/hyperlink" Target="https://www.iccat.int/Documents/Recs/compendiopdf-f/2019-05-f.pdf" TargetMode="External"/><Relationship Id="rId30" Type="http://schemas.openxmlformats.org/officeDocument/2006/relationships/header" Target="header1.xml"/><Relationship Id="rId35" Type="http://schemas.openxmlformats.org/officeDocument/2006/relationships/hyperlink" Target="https://www.iccat.int/fr/VesselsRecord.asp" TargetMode="External"/><Relationship Id="rId43" Type="http://schemas.openxmlformats.org/officeDocument/2006/relationships/footer" Target="footer2.xml"/><Relationship Id="rId8" Type="http://schemas.openxmlformats.org/officeDocument/2006/relationships/hyperlink" Target="https://www.iccat.int/fr/VesselsRecord.asp" TargetMode="External"/><Relationship Id="rId3" Type="http://schemas.openxmlformats.org/officeDocument/2006/relationships/styles" Target="styles.xml"/><Relationship Id="rId12" Type="http://schemas.openxmlformats.org/officeDocument/2006/relationships/hyperlink" Target="https://www.iccat.int/fr/Ports.asp" TargetMode="External"/><Relationship Id="rId17" Type="http://schemas.openxmlformats.org/officeDocument/2006/relationships/hyperlink" Target="https://www.iccat.int/fr/VesselsRecord.asp" TargetMode="External"/><Relationship Id="rId25" Type="http://schemas.openxmlformats.org/officeDocument/2006/relationships/hyperlink" Target="https://www.iccat.int/FR/JFO.asp" TargetMode="External"/><Relationship Id="rId33" Type="http://schemas.openxmlformats.org/officeDocument/2006/relationships/hyperlink" Target="https://www.iccat.int/fr/portinspection.html" TargetMode="External"/><Relationship Id="rId38" Type="http://schemas.openxmlformats.org/officeDocument/2006/relationships/hyperlink" Target="https://www.iccat.int/fr/EAP.html" TargetMode="External"/><Relationship Id="rId20" Type="http://schemas.openxmlformats.org/officeDocument/2006/relationships/hyperlink" Target="https://www.iccat.int/fr/BFTMonth.html" TargetMode="External"/><Relationship Id="rId41" Type="http://schemas.openxmlformats.org/officeDocument/2006/relationships/hyperlink" Target="https://www.iccat.int/Documents/Comply/Guidelines_FRA.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579F89D-4072-4E42-A382-61FDF8DFF9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502</TotalTime>
  <Pages>34</Pages>
  <Words>15498</Words>
  <Characters>88342</Characters>
  <Application>Microsoft Office Word</Application>
  <DocSecurity>0</DocSecurity>
  <Lines>736</Lines>
  <Paragraphs>207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103633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Alberto Parrilla</dc:creator>
  <cp:lastModifiedBy>Dorothee Pinet</cp:lastModifiedBy>
  <cp:revision>212</cp:revision>
  <dcterms:created xsi:type="dcterms:W3CDTF">2026-10-20T13:24:00Z</dcterms:created>
  <dcterms:modified xsi:type="dcterms:W3CDTF">2026-10-27T11:14:00Z</dcterms:modified>
</cp:coreProperties>
</file>