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31AC1" w14:textId="2D40EEA0" w:rsidR="00901F92" w:rsidRPr="00901F92" w:rsidRDefault="00901F92" w:rsidP="00901F92">
      <w:pPr>
        <w:jc w:val="right"/>
        <w:rPr>
          <w:bCs/>
        </w:rPr>
      </w:pPr>
      <w:r>
        <w:rPr>
          <w:b/>
        </w:rPr>
        <w:t xml:space="preserve">Original: </w:t>
      </w:r>
      <w:r>
        <w:rPr>
          <w:bCs/>
        </w:rPr>
        <w:t>inglés</w:t>
      </w:r>
    </w:p>
    <w:p w14:paraId="2FB3DBA6" w14:textId="77777777" w:rsidR="00901F92" w:rsidRDefault="00901F92" w:rsidP="00B472E8">
      <w:pPr>
        <w:jc w:val="center"/>
        <w:rPr>
          <w:b/>
        </w:rPr>
      </w:pPr>
    </w:p>
    <w:p w14:paraId="3DED87D1" w14:textId="218613D7" w:rsidR="00EA1F72" w:rsidRPr="00CA6CBB" w:rsidRDefault="00CA6CBB" w:rsidP="00B472E8">
      <w:pPr>
        <w:jc w:val="center"/>
        <w:rPr>
          <w:b/>
        </w:rPr>
      </w:pPr>
      <w:r w:rsidRPr="00CA6CBB">
        <w:rPr>
          <w:b/>
        </w:rPr>
        <w:t>I</w:t>
      </w:r>
      <w:r w:rsidR="005A521A" w:rsidRPr="00CA6CBB">
        <w:rPr>
          <w:b/>
        </w:rPr>
        <w:t xml:space="preserve">nforme de la reunión del Grupo de trabajo sobre tecnología </w:t>
      </w:r>
    </w:p>
    <w:p w14:paraId="6C39D696" w14:textId="68847E48" w:rsidR="002C0729" w:rsidRPr="00CA6CBB" w:rsidRDefault="005A521A" w:rsidP="00B472E8">
      <w:pPr>
        <w:jc w:val="center"/>
        <w:rPr>
          <w:b/>
          <w:bCs/>
        </w:rPr>
      </w:pPr>
      <w:r w:rsidRPr="00CA6CBB">
        <w:rPr>
          <w:b/>
        </w:rPr>
        <w:t>de comunicación en línea (WG-ORT)</w:t>
      </w:r>
    </w:p>
    <w:p w14:paraId="01EA3ADF" w14:textId="27F9446E" w:rsidR="002C0729" w:rsidRPr="00CA6CBB" w:rsidRDefault="005F46C3" w:rsidP="00B472E8">
      <w:pPr>
        <w:jc w:val="center"/>
        <w:rPr>
          <w:i/>
          <w:iCs/>
        </w:rPr>
      </w:pPr>
      <w:r w:rsidRPr="00CA6CBB">
        <w:rPr>
          <w:i/>
        </w:rPr>
        <w:t>(En línea, 10-11 de febrero de 2026)</w:t>
      </w:r>
    </w:p>
    <w:p w14:paraId="4A976E7F" w14:textId="77777777" w:rsidR="006556F7" w:rsidRPr="00CA6CBB" w:rsidRDefault="006556F7" w:rsidP="00B472E8"/>
    <w:p w14:paraId="4E6693F6" w14:textId="2C99BE15" w:rsidR="002C0729" w:rsidRPr="00CA6CBB" w:rsidRDefault="005F46C3" w:rsidP="00F64CFC">
      <w:pPr>
        <w:pStyle w:val="Heading1"/>
      </w:pPr>
      <w:r w:rsidRPr="00CA6CBB">
        <w:t>Apertura de la reunión</w:t>
      </w:r>
    </w:p>
    <w:p w14:paraId="3D351AC9" w14:textId="1F38729E" w:rsidR="00775C77" w:rsidRPr="00CA6CBB" w:rsidRDefault="00065AF8" w:rsidP="00F203E3">
      <w:r w:rsidRPr="00CA6CBB">
        <w:t xml:space="preserve">El secretario ejecutivo de ICCAT, Sr. Camille Jean Pierre Manel, inauguró la reunión y dio la bienvenida a todos los participantes a la reunión del Grupo de trabajo sobre tecnología de comunicación en línea (WG-ORT), recordando que la Secretaría de ICCAT </w:t>
      </w:r>
      <w:r w:rsidR="00EA1F72" w:rsidRPr="00CA6CBB">
        <w:t>quedaba a</w:t>
      </w:r>
      <w:r w:rsidRPr="00CA6CBB">
        <w:t xml:space="preserve"> su disposición para contribuir al éxito de la reunión. El </w:t>
      </w:r>
      <w:r w:rsidR="00DC0C58" w:rsidRPr="00CA6CBB">
        <w:t>secretario ejecutivo</w:t>
      </w:r>
      <w:r w:rsidRPr="00CA6CBB">
        <w:t xml:space="preserve"> expresó su agradecimiento al equipo de intérpretes por su trabajo durante esta reunión compleja y altamente técnica, y dio las gracias al presidente del WG-ORT, Dr. Bryan Keller, por su compromiso y liderazgo. El Dr. Keller dio las gracias al </w:t>
      </w:r>
      <w:r w:rsidR="00DC0C58" w:rsidRPr="00CA6CBB">
        <w:t>secretario ejecutivo</w:t>
      </w:r>
      <w:r w:rsidRPr="00CA6CBB">
        <w:t>, a todos los participantes y al personal de la Secretaría de ICCAT por su apoyo. El presidente también expresó su agradecimiento al equipo del</w:t>
      </w:r>
      <w:r w:rsidR="00DC0C58" w:rsidRPr="00CA6CBB">
        <w:t xml:space="preserve"> sistema integrado de gestión en línea (</w:t>
      </w:r>
      <w:r w:rsidRPr="00CA6CBB">
        <w:t>IOMS</w:t>
      </w:r>
      <w:r w:rsidR="00DC0C58" w:rsidRPr="00CA6CBB">
        <w:t xml:space="preserve">) </w:t>
      </w:r>
      <w:r w:rsidRPr="00CA6CBB">
        <w:t>por haber preparado los debates de la reunión y por su incansable esfuerzo para impulsar de forma constante el desarrollo del IOMS. Tanto el secretario ejecutivo como el presidente del WG-ORT destacaron el papel fundamental que desempeña este grupo en la gestión del desarrollo del IOMS.</w:t>
      </w:r>
    </w:p>
    <w:p w14:paraId="7ED1CAB2" w14:textId="77777777" w:rsidR="008A4D98" w:rsidRPr="00CA6CBB" w:rsidRDefault="008A4D98" w:rsidP="00B472E8"/>
    <w:p w14:paraId="525B3FFC" w14:textId="7324419F" w:rsidR="00041EFE" w:rsidRPr="00CA6CBB" w:rsidRDefault="00041EFE" w:rsidP="00F64CFC">
      <w:pPr>
        <w:pStyle w:val="Heading1"/>
      </w:pPr>
      <w:r w:rsidRPr="00CA6CBB">
        <w:t>Nombramiento del relator</w:t>
      </w:r>
    </w:p>
    <w:p w14:paraId="78C9857B" w14:textId="71376552" w:rsidR="008A4D98" w:rsidRPr="00CA6CBB" w:rsidRDefault="00F64CFC" w:rsidP="00B472E8">
      <w:r w:rsidRPr="00CA6CBB">
        <w:t>El Sr. Carlos Palma fue designado relator de la reunión. El presidente le dio las gracias por aceptar de nuevo esta función</w:t>
      </w:r>
      <w:r w:rsidR="00BA4570" w:rsidRPr="00CA6CBB">
        <w:t>.</w:t>
      </w:r>
    </w:p>
    <w:p w14:paraId="574821F8" w14:textId="77777777" w:rsidR="00BA4570" w:rsidRPr="00CA6CBB" w:rsidRDefault="00BA4570" w:rsidP="00B472E8"/>
    <w:p w14:paraId="1B38E0C9" w14:textId="44D95F33" w:rsidR="002C0729" w:rsidRPr="00CA6CBB" w:rsidRDefault="005F46C3" w:rsidP="00F64CFC">
      <w:pPr>
        <w:pStyle w:val="Heading1"/>
      </w:pPr>
      <w:r w:rsidRPr="00CA6CBB">
        <w:t>Adopción del orden del día y disposiciones para la reunión</w:t>
      </w:r>
    </w:p>
    <w:p w14:paraId="3359828B" w14:textId="6FB01005" w:rsidR="006F307A" w:rsidRPr="00CA6CBB" w:rsidRDefault="00996732" w:rsidP="00B472E8">
      <w:r w:rsidRPr="00CA6CBB">
        <w:t xml:space="preserve">Tras un breve debate, se aprobó el orden del día de la reunión con ligeras modificaciones, el cual se adjunta como </w:t>
      </w:r>
      <w:r w:rsidRPr="00CA6CBB">
        <w:rPr>
          <w:b/>
          <w:bCs/>
        </w:rPr>
        <w:t xml:space="preserve">apéndice </w:t>
      </w:r>
      <w:r w:rsidR="00CA6CBB">
        <w:rPr>
          <w:b/>
          <w:bCs/>
        </w:rPr>
        <w:t xml:space="preserve">. </w:t>
      </w:r>
      <w:r w:rsidRPr="00CA6CBB">
        <w:t xml:space="preserve">La lista de participantes se adjunta como </w:t>
      </w:r>
      <w:r w:rsidRPr="00CA6CBB">
        <w:rPr>
          <w:b/>
        </w:rPr>
        <w:t>apéndice 2</w:t>
      </w:r>
      <w:r w:rsidRPr="00CA6CBB">
        <w:t>.</w:t>
      </w:r>
    </w:p>
    <w:p w14:paraId="4DABF3E1" w14:textId="77777777" w:rsidR="006F307A" w:rsidRPr="00CA6CBB" w:rsidRDefault="006F307A" w:rsidP="00B472E8"/>
    <w:p w14:paraId="67C8BBE0" w14:textId="29F0A407" w:rsidR="00D37EE8" w:rsidRPr="00CA6CBB" w:rsidRDefault="009E305D" w:rsidP="00D37EE8">
      <w:r w:rsidRPr="00CA6CBB">
        <w:t xml:space="preserve">La Secretaría recordó que en la Circular de ICCAT </w:t>
      </w:r>
      <w:hyperlink r:id="rId8" w:history="1">
        <w:r w:rsidRPr="00CA6CBB">
          <w:rPr>
            <w:rStyle w:val="Hyperlink"/>
            <w:u w:val="none"/>
          </w:rPr>
          <w:t># 0309/2026</w:t>
        </w:r>
      </w:hyperlink>
      <w:r w:rsidRPr="00CA6CBB">
        <w:t xml:space="preserve">  se anunció la reunión en línea de dos días de 2026 del WG-ORT. El presidente, con el apoyo de la Secretaría, informó asimismo a los participantes sobre los preparativos y la logística de la reunión, incluida la información disponible en la carpeta compartida de Next</w:t>
      </w:r>
      <w:r w:rsidR="004F2532" w:rsidRPr="00CA6CBB">
        <w:t>c</w:t>
      </w:r>
      <w:r w:rsidRPr="00CA6CBB">
        <w:t>loud (</w:t>
      </w:r>
      <w:hyperlink r:id="rId9" w:history="1">
        <w:r w:rsidRPr="00CA6CBB">
          <w:rPr>
            <w:rStyle w:val="Hyperlink"/>
            <w:u w:val="none"/>
          </w:rPr>
          <w:t>aquí</w:t>
        </w:r>
      </w:hyperlink>
      <w:r w:rsidRPr="00CA6CBB">
        <w:t>) que contiene todos los documentos del WG-ORT para la reunión actual (carpeta 2026) y todos los recursos utilizados en reuniones anteriores del WG-ORT, desde 2021. El presidente recordó asimismo que la reunión se grababa y que se ofrecía interpretación en las tres lenguas oficiales de ICCAT.</w:t>
      </w:r>
    </w:p>
    <w:p w14:paraId="2C26A79C" w14:textId="77777777" w:rsidR="00903FD4" w:rsidRPr="00CA6CBB" w:rsidRDefault="00903FD4" w:rsidP="00B472E8"/>
    <w:p w14:paraId="3FB05AAF" w14:textId="46EFA911" w:rsidR="009E305D" w:rsidRPr="00CA6CBB" w:rsidRDefault="00E15671" w:rsidP="009E305D">
      <w:r w:rsidRPr="00CA6CBB">
        <w:t xml:space="preserve">El presidente agradeció a Japón la presentación del documento </w:t>
      </w:r>
      <w:r w:rsidR="005A6599" w:rsidRPr="00CA6CBB">
        <w:t>“</w:t>
      </w:r>
      <w:r w:rsidRPr="00CA6CBB">
        <w:t>Algunas observaciones sobre la mejora de las especificaciones del IOMS</w:t>
      </w:r>
      <w:r w:rsidR="00CA6CBB">
        <w:t>,</w:t>
      </w:r>
      <w:r w:rsidRPr="00CA6CBB">
        <w:t xml:space="preserve"> que contiene sugerencias bien fundamentadas encaminadas a mejorar el IOMS a largo plazo, y señaló que se debatirá en detalle en el punto 5.2 del orden del día.</w:t>
      </w:r>
    </w:p>
    <w:p w14:paraId="4F14AAC6" w14:textId="77777777" w:rsidR="00BA4570" w:rsidRPr="00CA6CBB" w:rsidRDefault="00BA4570" w:rsidP="009E305D"/>
    <w:p w14:paraId="2D186C7B" w14:textId="4C6E66FE" w:rsidR="002C0729" w:rsidRPr="00CA6CBB" w:rsidRDefault="005F46C3" w:rsidP="00996732">
      <w:pPr>
        <w:pStyle w:val="Heading1"/>
      </w:pPr>
      <w:r w:rsidRPr="00CA6CBB">
        <w:t>Examen de la normativa de ICCAT y sus implicaciones para el mandato del Grupo de trabajo</w:t>
      </w:r>
    </w:p>
    <w:p w14:paraId="57B644FE" w14:textId="4B8CAF73" w:rsidR="003713FB" w:rsidRPr="00CA6CBB" w:rsidRDefault="003713FB" w:rsidP="00B472E8">
      <w:r w:rsidRPr="00CA6CBB">
        <w:t>El presidente pasó revista brevemente a las medidas de ICCAT que afectan al mandato del WG-ORT e informó de que no se habían introducido cambios significativos durante la 29.ª Reunión ordinaria de la Comisión (17-24 de noviembre de 2025, Sevilla, España). Las normas actuales de ICCAT que afectan al WG-ORT son las siguientes:</w:t>
      </w:r>
    </w:p>
    <w:p w14:paraId="5192BB1C" w14:textId="77777777" w:rsidR="00810D54" w:rsidRPr="00CA6CBB" w:rsidRDefault="00810D54" w:rsidP="00B472E8"/>
    <w:p w14:paraId="3C577903" w14:textId="66770E0E" w:rsidR="00C14E6B" w:rsidRPr="00CA6CBB" w:rsidRDefault="00C14E6B" w:rsidP="008A4D98">
      <w:pPr>
        <w:pStyle w:val="ListParagraph"/>
        <w:numPr>
          <w:ilvl w:val="0"/>
          <w:numId w:val="1"/>
        </w:numPr>
        <w:ind w:left="851" w:hanging="425"/>
      </w:pPr>
      <w:hyperlink r:id="rId10" w:history="1">
        <w:r w:rsidRPr="00CA6CBB">
          <w:rPr>
            <w:rStyle w:val="Hyperlink"/>
            <w:i/>
            <w:u w:val="none"/>
          </w:rPr>
          <w:t>Recomendación de ICCAT para el desarrollo de un sistema de comunicación en línea</w:t>
        </w:r>
        <w:r w:rsidRPr="00CA6CBB">
          <w:rPr>
            <w:rStyle w:val="Hyperlink"/>
            <w:u w:val="none"/>
          </w:rPr>
          <w:t xml:space="preserve"> (Rec. 16-19).</w:t>
        </w:r>
      </w:hyperlink>
      <w:r w:rsidRPr="00CA6CBB">
        <w:t xml:space="preserve"> Esta medida establece la creación y el mandato del WG-ORT para el desarrollo del IOMS.</w:t>
      </w:r>
    </w:p>
    <w:p w14:paraId="6C20C02C" w14:textId="77777777" w:rsidR="00C14E6B" w:rsidRPr="00CA6CBB" w:rsidRDefault="00C14E6B" w:rsidP="00B472E8"/>
    <w:p w14:paraId="6D8FD36B" w14:textId="7459F236" w:rsidR="00C14E6B" w:rsidRPr="00CA6CBB" w:rsidRDefault="00C14E6B" w:rsidP="008A4D98">
      <w:pPr>
        <w:pStyle w:val="ListParagraph"/>
        <w:numPr>
          <w:ilvl w:val="0"/>
          <w:numId w:val="1"/>
        </w:numPr>
        <w:ind w:left="851" w:hanging="425"/>
      </w:pPr>
      <w:hyperlink r:id="rId11" w:history="1">
        <w:r w:rsidRPr="00CA6CBB">
          <w:rPr>
            <w:rStyle w:val="Hyperlink"/>
            <w:i/>
            <w:iCs/>
            <w:u w:val="none"/>
          </w:rPr>
          <w:t>Recomendación de ICCAT para continuar con el desarrollo de un sistema integrado de comunicación en línea</w:t>
        </w:r>
        <w:r w:rsidRPr="00CA6CBB">
          <w:rPr>
            <w:rStyle w:val="Hyperlink"/>
            <w:i/>
            <w:u w:val="none"/>
          </w:rPr>
          <w:t xml:space="preserve"> </w:t>
        </w:r>
        <w:r w:rsidRPr="00CA6CBB">
          <w:rPr>
            <w:rStyle w:val="Hyperlink"/>
            <w:u w:val="none"/>
          </w:rPr>
          <w:t>(Rec. 21-20)</w:t>
        </w:r>
      </w:hyperlink>
      <w:r w:rsidRPr="00CA6CBB">
        <w:t>. Esta medida refuerza el mandato del WG-ORT al consolidar el trabajo entre sesiones y permitir un proceso de toma de decisiones más flexible y autónomo para la puesta en marcha de nuevas funcionalidades.</w:t>
      </w:r>
    </w:p>
    <w:p w14:paraId="4DFC01EB" w14:textId="77777777" w:rsidR="00C14E6B" w:rsidRPr="00CA6CBB" w:rsidRDefault="00C14E6B" w:rsidP="00B472E8">
      <w:pPr>
        <w:pStyle w:val="ListParagraph"/>
      </w:pPr>
    </w:p>
    <w:p w14:paraId="61AEE860" w14:textId="6191ABFA" w:rsidR="00C14E6B" w:rsidRPr="00CA6CBB" w:rsidRDefault="00630D87" w:rsidP="007249C5">
      <w:r w:rsidRPr="00CA6CBB">
        <w:lastRenderedPageBreak/>
        <w:t xml:space="preserve">El presidente mencionó las ventajas que estas medidas han aportado en los últimos años a la hora de agilizar el desarrollo de nuevos módulos del IOMS. El presidente también recordó que, con el objetivo de sustituir la </w:t>
      </w:r>
      <w:hyperlink r:id="rId12" w:history="1">
        <w:r w:rsidRPr="00CA6CBB">
          <w:rPr>
            <w:rStyle w:val="Hyperlink"/>
            <w:i/>
            <w:u w:val="none"/>
          </w:rPr>
          <w:t>Recomendación de ICCAT sobre la aplicación del sistema integrado de gestión en línea</w:t>
        </w:r>
        <w:r w:rsidRPr="00CA6CBB">
          <w:rPr>
            <w:rStyle w:val="Hyperlink"/>
            <w:u w:val="none"/>
          </w:rPr>
          <w:t xml:space="preserve"> (Rec. 22-17)</w:t>
        </w:r>
      </w:hyperlink>
      <w:r w:rsidRPr="00CA6CBB">
        <w:t>, en su reunión anual de 2024, la Comisión aprobó una nueva Recomendación destinada a abordar la flexibilidad que necesita el WG-ORT para poner en funcionamiento los módulos del IOMS recientemente finalizados, con el fin de gestionar tanto los datos de cumplimiento como los estadísticos:</w:t>
      </w:r>
    </w:p>
    <w:p w14:paraId="08519445" w14:textId="77777777" w:rsidR="008A4D98" w:rsidRPr="00CA6CBB" w:rsidRDefault="008A4D98" w:rsidP="00B472E8">
      <w:pPr>
        <w:pStyle w:val="ListParagraph"/>
      </w:pPr>
    </w:p>
    <w:p w14:paraId="561D1116" w14:textId="33B9EC3A" w:rsidR="00E44B17" w:rsidRPr="00CA6CBB" w:rsidRDefault="00C14E6B" w:rsidP="008A4D98">
      <w:pPr>
        <w:pStyle w:val="ListParagraph"/>
        <w:numPr>
          <w:ilvl w:val="0"/>
          <w:numId w:val="1"/>
        </w:numPr>
        <w:ind w:left="851" w:hanging="425"/>
      </w:pPr>
      <w:hyperlink r:id="rId13" w:history="1">
        <w:r w:rsidRPr="00CA6CBB">
          <w:rPr>
            <w:rStyle w:val="Hyperlink"/>
            <w:i/>
            <w:u w:val="none"/>
          </w:rPr>
          <w:t xml:space="preserve">Recomendación de ICCAT sobre la aplicación del sistema integrado de gestión en línea </w:t>
        </w:r>
        <w:r w:rsidRPr="00CA6CBB">
          <w:rPr>
            <w:rStyle w:val="Hyperlink"/>
            <w:u w:val="none"/>
          </w:rPr>
          <w:t>(Rec. 24-17)</w:t>
        </w:r>
      </w:hyperlink>
      <w:r w:rsidRPr="00CA6CBB">
        <w:t>. Esta medida exige que las CPC registren al menos un usuario en el IOMS. Además, a medida que se desarrollen nuevos módulos en el IOMS, los CPC deberán presentar la información pertinente utilizando los módulos específicos del IOMS a medida que estén disponibles.</w:t>
      </w:r>
    </w:p>
    <w:p w14:paraId="3A093E1D" w14:textId="77777777" w:rsidR="00E44B17" w:rsidRPr="00CA6CBB" w:rsidRDefault="00E44B17" w:rsidP="00B472E8">
      <w:pPr>
        <w:pStyle w:val="ListParagraph"/>
      </w:pPr>
    </w:p>
    <w:p w14:paraId="0D224D7E" w14:textId="350FDC3D" w:rsidR="003A1993" w:rsidRPr="00CA6CBB" w:rsidRDefault="008C7DF3" w:rsidP="009C6F71">
      <w:r w:rsidRPr="00CA6CBB">
        <w:t>Esta recomendación ofrece al IOMS la flexibilidad necesaria para poner en marcha nuevos módulos a medida que estén disponibles. Además, no es necesario adoptar una nueva recomendación cada año cuando se publica un nuevo módulo del IOMS. El presidente recordó la secuencia de actividades (desarrollo, pruebas, formación, puesta en producción, periodo de pruebas de presentación y presentación obligatoria) que preceden a la puesta en marcha de un nuevo módulo del IOMS, cada una de ellas con fechas (o plazos) específicos descritos en el plan de trabajo del WG-ORT.</w:t>
      </w:r>
    </w:p>
    <w:p w14:paraId="5F8829AA" w14:textId="77777777" w:rsidR="00CF430C" w:rsidRPr="00CA6CBB" w:rsidRDefault="00CF430C" w:rsidP="00B472E8"/>
    <w:p w14:paraId="31A29A9C" w14:textId="44763019" w:rsidR="002C0729" w:rsidRPr="00CA6CBB" w:rsidRDefault="005F46C3" w:rsidP="007249C5">
      <w:pPr>
        <w:pStyle w:val="Heading1"/>
      </w:pPr>
      <w:r w:rsidRPr="00CA6CBB">
        <w:t xml:space="preserve">Actualización del estado del Sistema integrado de gestión en línea (IOMS) </w:t>
      </w:r>
    </w:p>
    <w:p w14:paraId="053B9C35" w14:textId="05EB4925" w:rsidR="00B65B03" w:rsidRPr="00CA6CBB" w:rsidRDefault="00FC0EFC" w:rsidP="00B51CC7">
      <w:r w:rsidRPr="00CA6CBB">
        <w:t xml:space="preserve">El presidente introdujo este apartado recordando al Grupo que el </w:t>
      </w:r>
      <w:r w:rsidR="008D4572" w:rsidRPr="00CA6CBB">
        <w:t xml:space="preserve">“Informe </w:t>
      </w:r>
      <w:r w:rsidRPr="00CA6CBB">
        <w:t xml:space="preserve">de situación del </w:t>
      </w:r>
      <w:r w:rsidR="00BB0139" w:rsidRPr="00CA6CBB">
        <w:t>Grupo de trabajo sobre tecnología de comunicación en línea (</w:t>
      </w:r>
      <w:r w:rsidRPr="00CA6CBB">
        <w:t>WG-ORT</w:t>
      </w:r>
      <w:r w:rsidR="00BB0139" w:rsidRPr="00CA6CBB">
        <w:t xml:space="preserve">) de </w:t>
      </w:r>
      <w:r w:rsidRPr="00CA6CBB">
        <w:t xml:space="preserve">2025 de (que figura en el apéndice 2 del anexo 9 del </w:t>
      </w:r>
      <w:hyperlink r:id="rId14" w:history="1">
        <w:r w:rsidRPr="00CA6CBB">
          <w:rPr>
            <w:rStyle w:val="Hyperlink"/>
            <w:i/>
            <w:u w:val="none"/>
          </w:rPr>
          <w:t>Informe del periodo bienal 2024-2025, Parte II (2025), Vol. 1</w:t>
        </w:r>
      </w:hyperlink>
      <w:r w:rsidRPr="00CA6CBB">
        <w:t>) fue presentado al Comité de Cumplimiento (COC) por el presidente del WG-ORT en la 29.ª reunión ordinaria de la Comisión. Este informe resumido recoge las actividades del WG-ORT llevadas a cabo durante el año 2025.</w:t>
      </w:r>
    </w:p>
    <w:p w14:paraId="3B99E1C1" w14:textId="77777777" w:rsidR="00B65B03" w:rsidRPr="00CA6CBB" w:rsidRDefault="00B65B03" w:rsidP="00B472E8"/>
    <w:p w14:paraId="0279CC21" w14:textId="4F974BC3" w:rsidR="006D0CAD" w:rsidRPr="00CA6CBB" w:rsidRDefault="00D772E0" w:rsidP="00F3098A">
      <w:pPr>
        <w:ind w:right="113"/>
      </w:pPr>
      <w:r w:rsidRPr="00CA6CBB">
        <w:t>el presidente felicitó a la Secretaría por la elaboración de un</w:t>
      </w:r>
      <w:r w:rsidR="00095A9A" w:rsidRPr="00CA6CBB">
        <w:t xml:space="preserve"> proyecto de documento</w:t>
      </w:r>
      <w:r w:rsidR="00095A9A" w:rsidRPr="00CA6CBB">
        <w:rPr>
          <w:rFonts w:eastAsia="Calibri" w:cs="Times New Roman"/>
          <w:color w:val="auto"/>
        </w:rPr>
        <w:t xml:space="preserve"> “Sistema integrado de gestión en línea (IOMS) de ICCAT: Descripción, desarrollo y situación actual</w:t>
      </w:r>
      <w:r w:rsidR="00CA6CBB">
        <w:rPr>
          <w:rFonts w:eastAsia="Calibri" w:cs="Times New Roman"/>
          <w:color w:val="auto"/>
        </w:rPr>
        <w:t>”</w:t>
      </w:r>
      <w:r w:rsidRPr="00CA6CBB">
        <w:t xml:space="preserve"> destinado a convertirse en un nuevo documento «dinámico» que recoja todos los principales logros del </w:t>
      </w:r>
      <w:r w:rsidR="00F3098A" w:rsidRPr="00CA6CBB">
        <w:t xml:space="preserve">IOMS </w:t>
      </w:r>
      <w:r w:rsidRPr="00CA6CBB">
        <w:t xml:space="preserve">a lo largo del tiempo. su objetivo es simplificar y optimizar la actualización del estado del </w:t>
      </w:r>
      <w:r w:rsidR="00F3098A" w:rsidRPr="00CA6CBB">
        <w:t xml:space="preserve">IOMS </w:t>
      </w:r>
      <w:r w:rsidRPr="00CA6CBB">
        <w:t>descrita en esta sección, de modo que todos los logros alcanzados se vayan añadiendo progresivamente a este documento, evitando así tener que describirlos cada año.</w:t>
      </w:r>
    </w:p>
    <w:p w14:paraId="6C77A76D" w14:textId="3B47C7B2" w:rsidR="002C0729" w:rsidRPr="00CA6CBB" w:rsidRDefault="002200EC" w:rsidP="007249C5">
      <w:pPr>
        <w:pStyle w:val="Heading2"/>
      </w:pPr>
      <w:r w:rsidRPr="00CA6CBB">
        <w:t>Examen de la situación actual y de los avances logrados durante 2025</w:t>
      </w:r>
    </w:p>
    <w:p w14:paraId="00CDDFA2" w14:textId="1C810106" w:rsidR="007F56C3" w:rsidRPr="00CA6CBB" w:rsidRDefault="00795F5D" w:rsidP="007F56C3">
      <w:r w:rsidRPr="00CA6CBB">
        <w:t xml:space="preserve">La Secretaría resumió en una presentación el objetivo principal de los IOMS, junto con sus especificaciones y el modelo de desarrollo. El objetivo del IOMS es centralizar y gestionar prácticamente todos los requisitos de presentación de datos de ICCAT. Se adoptó una arquitectura modular basada en tecnologías modernas que se ejecutan en una infraestructura escalable en la nube (recientemente actualizada para aumentar la flexibilidad y la escalabilidad). Para alcanzar los objetivos del IOMS, se crearon tres entornos de trabajo del IOMS, que hoy en día están plenamente operativos. El entorno de desarrollo solo lo utiliza el equipo de IOMS y tiene como objetivo desarrollar nuevos módulos y mejorar las funciones actuales de IOMS. El entorno </w:t>
      </w:r>
      <w:hyperlink r:id="rId15" w:history="1">
        <w:proofErr w:type="spellStart"/>
        <w:r w:rsidRPr="00CA6CBB">
          <w:rPr>
            <w:rStyle w:val="Hyperlink"/>
            <w:u w:val="none"/>
          </w:rPr>
          <w:t>sandbox</w:t>
        </w:r>
        <w:proofErr w:type="spellEnd"/>
        <w:r w:rsidRPr="00CA6CBB">
          <w:rPr>
            <w:rStyle w:val="Hyperlink"/>
            <w:u w:val="none"/>
          </w:rPr>
          <w:t xml:space="preserve"> </w:t>
        </w:r>
      </w:hyperlink>
      <w:r w:rsidRPr="00CA6CBB">
        <w:t>destinado a fines de formación y a probar nuevas funciones con antelación, puede ser utilizado por todos los usuarios de IOMS.  Por último, el</w:t>
      </w:r>
      <w:hyperlink r:id="rId16" w:history="1">
        <w:r w:rsidRPr="00CA6CBB">
          <w:rPr>
            <w:rStyle w:val="Hyperlink"/>
            <w:u w:val="none"/>
          </w:rPr>
          <w:t xml:space="preserve"> entorno de producció</w:t>
        </w:r>
      </w:hyperlink>
      <w:r w:rsidRPr="00CA6CBB">
        <w:t>n es donde se gestionan todos los datos oficiales que la CPC facilita a ICCAT. La Secretaría recordó que el WG-ORT recomienda sistemáticamente a los usuarios del IOMS que se familiaricen con el entorno de pruebas y realicen ejercicios en él tanto como sea posible, antes de pasar al entorno de producción del IOMS.</w:t>
      </w:r>
    </w:p>
    <w:p w14:paraId="5A25D60F" w14:textId="77777777" w:rsidR="007F56C3" w:rsidRPr="00CA6CBB" w:rsidRDefault="007F56C3" w:rsidP="007F56C3"/>
    <w:p w14:paraId="096628E3" w14:textId="60F8E734" w:rsidR="00795F5D" w:rsidRPr="00CA6CBB" w:rsidRDefault="007F56C3" w:rsidP="00795F5D">
      <w:r w:rsidRPr="00CA6CBB">
        <w:t xml:space="preserve">La Secretaría presentó un breve resumen histórico de los avances del IOMS desde la creación del WG-ORT en 2016 (véase </w:t>
      </w:r>
      <w:hyperlink r:id="rId17" w:history="1">
        <w:r w:rsidRPr="00CA6CBB">
          <w:rPr>
            <w:rStyle w:val="Hyperlink"/>
            <w:u w:val="none"/>
          </w:rPr>
          <w:t>Rec. 16-19</w:t>
        </w:r>
      </w:hyperlink>
      <w:r w:rsidRPr="00CA6CBB">
        <w:t>) hasta la cuarta fase de desarrollo, actualmente en curso y casi finalizada (para más detalles, véase el plan de trabajo del WG-ORT en la sección 11).</w:t>
      </w:r>
      <w:r w:rsidR="00CD2BB3" w:rsidRPr="00CA6CBB">
        <w:t xml:space="preserve"> esta sinopsis, que </w:t>
      </w:r>
      <w:r w:rsidR="00CD2BB3" w:rsidRPr="00CA6CBB">
        <w:rPr>
          <w:color w:val="auto"/>
        </w:rPr>
        <w:t xml:space="preserve">ofrece una visión general histórica de los principales logros de la </w:t>
      </w:r>
      <w:r w:rsidR="008C43AB" w:rsidRPr="00CA6CBB">
        <w:rPr>
          <w:color w:val="auto"/>
        </w:rPr>
        <w:t>IOMS</w:t>
      </w:r>
      <w:r w:rsidR="00CD2BB3" w:rsidRPr="00CA6CBB">
        <w:rPr>
          <w:color w:val="auto"/>
        </w:rPr>
        <w:t xml:space="preserve">, será actualizada de forma continua por la </w:t>
      </w:r>
      <w:r w:rsidR="008C43AB" w:rsidRPr="00CA6CBB">
        <w:rPr>
          <w:color w:val="auto"/>
        </w:rPr>
        <w:t xml:space="preserve">Secretaría </w:t>
      </w:r>
      <w:r w:rsidR="00CD2BB3" w:rsidRPr="00CA6CBB">
        <w:rPr>
          <w:color w:val="auto"/>
        </w:rPr>
        <w:t xml:space="preserve">de </w:t>
      </w:r>
      <w:r w:rsidR="008C43AB" w:rsidRPr="00CA6CBB">
        <w:rPr>
          <w:color w:val="auto"/>
        </w:rPr>
        <w:t xml:space="preserve">ICCAT </w:t>
      </w:r>
      <w:r w:rsidR="00CD2BB3" w:rsidRPr="00CA6CBB">
        <w:rPr>
          <w:color w:val="auto"/>
        </w:rPr>
        <w:t xml:space="preserve">en un documento «dinámico» </w:t>
      </w:r>
      <w:r w:rsidR="008C43AB" w:rsidRPr="00CA6CBB">
        <w:rPr>
          <w:rFonts w:eastAsia="Calibri" w:cs="Times New Roman"/>
          <w:color w:val="auto"/>
        </w:rPr>
        <w:t xml:space="preserve">Sistema integrado de gestión en línea (IOMS) de </w:t>
      </w:r>
      <w:r w:rsidR="00D60DB8" w:rsidRPr="00CA6CBB">
        <w:rPr>
          <w:rFonts w:eastAsia="Calibri" w:cs="Times New Roman"/>
          <w:color w:val="auto"/>
        </w:rPr>
        <w:t>ICCAT:</w:t>
      </w:r>
      <w:r w:rsidR="008C43AB" w:rsidRPr="00CA6CBB">
        <w:rPr>
          <w:rFonts w:eastAsia="Calibri" w:cs="Times New Roman"/>
          <w:color w:val="auto"/>
        </w:rPr>
        <w:t xml:space="preserve"> Descripción, desarrollo y situación actual</w:t>
      </w:r>
      <w:r w:rsidR="00CD2BB3" w:rsidRPr="00CA6CBB">
        <w:rPr>
          <w:color w:val="auto"/>
        </w:rPr>
        <w:t xml:space="preserve"> a medida que se vayan produciendo nuevos avances</w:t>
      </w:r>
      <w:r w:rsidRPr="00CA6CBB">
        <w:rPr>
          <w:color w:val="auto"/>
        </w:rPr>
        <w:t xml:space="preserve">. Este enfoque permite simplificar y acortar la actualización anual del estado del IOMS </w:t>
      </w:r>
      <w:r w:rsidRPr="00CA6CBB">
        <w:t xml:space="preserve">que se realiza en esta sección, al trasladar a este documento las partes repetitivas del texto descriptivo. Por lo tanto, a partir de ahora, todos los logros históricos del IOMS (desde la fase de creación de prototipos del IOMS hasta los avances conseguidos en cada fase) podrán consultarse en este documento dinámico, que posteriormente se publicará y se actualizará de </w:t>
      </w:r>
      <w:r w:rsidRPr="00CA6CBB">
        <w:lastRenderedPageBreak/>
        <w:t>forma continua en el sitio web de ICCAT. (</w:t>
      </w:r>
      <w:hyperlink r:id="rId18" w:history="1">
        <w:r w:rsidRPr="00CA6CBB">
          <w:rPr>
            <w:rStyle w:val="Hyperlink"/>
            <w:u w:val="none"/>
          </w:rPr>
          <w:t>página web dedicada al IOMS</w:t>
        </w:r>
      </w:hyperlink>
      <w:r w:rsidRPr="00CA6CBB">
        <w:t>). El presidente y el Grupo elogiaron esta iniciativa.</w:t>
      </w:r>
    </w:p>
    <w:p w14:paraId="4B589FAA" w14:textId="77777777" w:rsidR="002F161C" w:rsidRPr="00CA6CBB" w:rsidRDefault="002F161C" w:rsidP="00795F5D"/>
    <w:p w14:paraId="0B32432F" w14:textId="3E9DDFD6" w:rsidR="002F161C" w:rsidRPr="00CA6CBB" w:rsidRDefault="008F6C6D" w:rsidP="00795F5D">
      <w:r w:rsidRPr="00CA6CBB">
        <w:t xml:space="preserve">Los avances logrados en las fases 1, 2 y 3, así como en el primer año de la fase 4 (bienal: del 1 de junio de 2024 al 31 de mayo de 2026) se puede consultar en el documento </w:t>
      </w:r>
      <w:r w:rsidR="00CA6CBB">
        <w:t>“</w:t>
      </w:r>
      <w:r w:rsidR="00411925" w:rsidRPr="00CA6CBB">
        <w:rPr>
          <w:rFonts w:eastAsia="Calibri" w:cs="Times New Roman"/>
          <w:color w:val="auto"/>
        </w:rPr>
        <w:t xml:space="preserve">Sistema integrado de gestión en línea (IOMS) de </w:t>
      </w:r>
      <w:r w:rsidR="00465484" w:rsidRPr="00CA6CBB">
        <w:rPr>
          <w:rFonts w:eastAsia="Calibri" w:cs="Times New Roman"/>
          <w:color w:val="auto"/>
        </w:rPr>
        <w:t>ICCAT:</w:t>
      </w:r>
      <w:r w:rsidR="00411925" w:rsidRPr="00CA6CBB">
        <w:rPr>
          <w:rFonts w:eastAsia="Calibri" w:cs="Times New Roman"/>
          <w:color w:val="auto"/>
        </w:rPr>
        <w:t xml:space="preserve"> Descripción, desarrollo y situación actua</w:t>
      </w:r>
      <w:r w:rsidR="00CA6CBB">
        <w:rPr>
          <w:rFonts w:eastAsia="Calibri" w:cs="Times New Roman"/>
          <w:color w:val="auto"/>
        </w:rPr>
        <w:t>l”.</w:t>
      </w:r>
      <w:r w:rsidRPr="00CA6CBB">
        <w:t xml:space="preserve"> Durante el año 2025, el trabajo de desarrollo se centró en completar los módulos «gestor de buques» (sin la integración con UN/FLUX) y «gestor de formularios», y ambos módulos se pusieron en producción (1 de agosto de 2025). Además, también se estaba trabajando intensamente en el desarrollo de cuatro nuevos módulos: gestor de puertos, gestor de hojas de control para tiburones e istiofóridos, </w:t>
      </w:r>
      <w:r w:rsidR="00411925" w:rsidRPr="00CA6CBB">
        <w:t>gestor de</w:t>
      </w:r>
      <w:r w:rsidRPr="00CA6CBB">
        <w:t xml:space="preserve"> T1NC (captura nominal de la tarea 1), gestor de COCT (tablas de cumplimiento). El gestor de puertos está casi terminado. Los otros tres módulos restantes requerirán más trabajo. La integración de UN/FLUX en el módulo gestor de buques se ha retrasado, ya que requiere exhaustivas pruebas antes de su puesta en producción. </w:t>
      </w:r>
    </w:p>
    <w:p w14:paraId="62235870" w14:textId="77777777" w:rsidR="00F27FFC" w:rsidRPr="00CA6CBB" w:rsidRDefault="00F27FFC" w:rsidP="00795F5D"/>
    <w:p w14:paraId="5BA159A6" w14:textId="57D644BA" w:rsidR="00F27FFC" w:rsidRPr="00CA6CBB" w:rsidRDefault="00F27FFC" w:rsidP="00F27FFC">
      <w:pPr>
        <w:ind w:right="113"/>
      </w:pPr>
      <w:r w:rsidRPr="00CA6CBB">
        <w:t>A lo largo de todo el año 2025, se ha trabajado de forma continua para garantizar la estabilidad y el uso eficaz del IOMS. Esto incluye tareas de mantenimiento del IOMS (corrección de errores, optimización y pequeñas mejoras funcionales), así como asistencia continua a los usuarios (Secretaría y CPC) a través de los talleres del WG-ORT y sesiones de formación individuales para las CPC.</w:t>
      </w:r>
    </w:p>
    <w:p w14:paraId="10E0A06F" w14:textId="77777777" w:rsidR="002F161C" w:rsidRPr="00CA6CBB" w:rsidRDefault="002F161C" w:rsidP="00795F5D"/>
    <w:p w14:paraId="22E997F4" w14:textId="50F55716" w:rsidR="002467A8" w:rsidRPr="00CA6CBB" w:rsidRDefault="008609F8" w:rsidP="00B472E8">
      <w:r w:rsidRPr="00CA6CBB">
        <w:t>Por último, la Secretaría facilitó algunas estadísticas sobre la utilización del IOMS, en particular sobre las actividades relacionadas con la presentación de los Informes anuales correspondientes a los cinco años de producción (2021 a 2025). En general, muestran una mejora a lo largo del tiempo. En resumen, esas estadísticas indican que:</w:t>
      </w:r>
    </w:p>
    <w:p w14:paraId="5D1C196B" w14:textId="77777777" w:rsidR="00CE2B59" w:rsidRPr="00CA6CBB" w:rsidRDefault="00CE2B59" w:rsidP="00B472E8"/>
    <w:p w14:paraId="18D1DF50" w14:textId="54810DCF" w:rsidR="00BD7191" w:rsidRPr="00CA6CBB" w:rsidRDefault="00303D53" w:rsidP="00BD7191">
      <w:pPr>
        <w:pStyle w:val="ListParagraph"/>
        <w:numPr>
          <w:ilvl w:val="0"/>
          <w:numId w:val="1"/>
        </w:numPr>
        <w:ind w:left="567" w:hanging="283"/>
      </w:pPr>
      <w:r w:rsidRPr="00CA6CBB">
        <w:t xml:space="preserve">Desde 2023, todas las CPC de ICCAT cuentan con usuarios registrados en el IOMS (en cumplimiento del párrafo 1 de la </w:t>
      </w:r>
      <w:hyperlink r:id="rId19" w:history="1">
        <w:r w:rsidRPr="00CA6CBB">
          <w:rPr>
            <w:rStyle w:val="Hyperlink"/>
            <w:u w:val="none"/>
          </w:rPr>
          <w:t>Rec. 22-17</w:t>
        </w:r>
      </w:hyperlink>
      <w:r w:rsidRPr="00CA6CBB">
        <w:t>).</w:t>
      </w:r>
    </w:p>
    <w:p w14:paraId="37A87450" w14:textId="223159C6" w:rsidR="00F35387" w:rsidRPr="00CA6CBB" w:rsidRDefault="00F35387" w:rsidP="00F35387">
      <w:pPr>
        <w:pStyle w:val="ListParagraph"/>
        <w:numPr>
          <w:ilvl w:val="0"/>
          <w:numId w:val="1"/>
        </w:numPr>
        <w:ind w:left="567" w:hanging="283"/>
      </w:pPr>
      <w:r w:rsidRPr="00CA6CBB">
        <w:t>Tendencia al alza hacia la plena finalización de las dos secciones del Informe anual (S3P1: Sección 3/Parte 1 sobre estadística; S3P2: Sección 3/Parte 2 (relativa al cumplimiento), presentada a través del IOMS entre 2021 y 2025 por las Partes contratantes de ICCAT (57 y 58 en total). De manera específica:</w:t>
      </w:r>
    </w:p>
    <w:p w14:paraId="1B150AD4" w14:textId="0EB9520A" w:rsidR="00F35387" w:rsidRPr="00CA6CBB" w:rsidRDefault="00E50B8D" w:rsidP="00411925">
      <w:pPr>
        <w:pStyle w:val="ListParagraph"/>
        <w:numPr>
          <w:ilvl w:val="2"/>
          <w:numId w:val="38"/>
        </w:numPr>
      </w:pPr>
      <w:r w:rsidRPr="00CA6CBB">
        <w:t>S3P1 (estadística): del 72 % en 2021 al 77 % en 2025</w:t>
      </w:r>
    </w:p>
    <w:p w14:paraId="39D6B8F7" w14:textId="277E1066" w:rsidR="002467A8" w:rsidRPr="00CA6CBB" w:rsidRDefault="00D838E1" w:rsidP="00411925">
      <w:pPr>
        <w:pStyle w:val="ListParagraph"/>
        <w:numPr>
          <w:ilvl w:val="2"/>
          <w:numId w:val="38"/>
        </w:numPr>
        <w:rPr>
          <w:b/>
        </w:rPr>
      </w:pPr>
      <w:r w:rsidRPr="00CA6CBB">
        <w:t>S3P2 (cumplimiento): del 70 % en 2021 al 85 % en 2025</w:t>
      </w:r>
    </w:p>
    <w:p w14:paraId="7D829F2A" w14:textId="77777777" w:rsidR="002467A8" w:rsidRPr="00CA6CBB" w:rsidRDefault="002467A8" w:rsidP="00411925">
      <w:pPr>
        <w:pStyle w:val="ListParagraph"/>
      </w:pPr>
    </w:p>
    <w:p w14:paraId="1720FA62" w14:textId="624B8A57" w:rsidR="002467A8" w:rsidRPr="00CA6CBB" w:rsidRDefault="00396859" w:rsidP="00956D01">
      <w:pPr>
        <w:pStyle w:val="ListParagraph"/>
        <w:numPr>
          <w:ilvl w:val="0"/>
          <w:numId w:val="1"/>
        </w:numPr>
        <w:ind w:left="567" w:hanging="283"/>
        <w:rPr>
          <w:b/>
        </w:rPr>
      </w:pPr>
      <w:r w:rsidRPr="00CA6CBB">
        <w:t>Además del aumento constante mencionado anteriormente, el apoyo directo prestado por la Secretaría para cargar y corregir ambas secciones del informe anual (S3P1 y S3P2) disminuyó progresivamente desde 2021 (40 % de las CPC) hasta 2025 (&lt;5 % de las CPC).</w:t>
      </w:r>
    </w:p>
    <w:p w14:paraId="67323945" w14:textId="77777777" w:rsidR="002467A8" w:rsidRPr="00CA6CBB" w:rsidRDefault="002467A8" w:rsidP="00956D01">
      <w:pPr>
        <w:pStyle w:val="ListParagraph"/>
        <w:ind w:left="567" w:hanging="283"/>
      </w:pPr>
    </w:p>
    <w:p w14:paraId="0CCC0AB3" w14:textId="75847215" w:rsidR="002467A8" w:rsidRPr="00CA6CBB" w:rsidRDefault="00956D01" w:rsidP="00956D01">
      <w:pPr>
        <w:pStyle w:val="ListParagraph"/>
        <w:numPr>
          <w:ilvl w:val="0"/>
          <w:numId w:val="1"/>
        </w:numPr>
        <w:ind w:left="567" w:hanging="283"/>
        <w:rPr>
          <w:b/>
        </w:rPr>
      </w:pPr>
      <w:r w:rsidRPr="00CA6CBB">
        <w:t>Unas diez CPC siguen teniendo dificultades para elaborar y presentar ambas secciones del informe anual (período 2021-2025).</w:t>
      </w:r>
    </w:p>
    <w:p w14:paraId="0AC32775" w14:textId="77777777" w:rsidR="002467A8" w:rsidRPr="00CA6CBB" w:rsidRDefault="002467A8" w:rsidP="00B472E8">
      <w:pPr>
        <w:pStyle w:val="ListParagraph"/>
      </w:pPr>
    </w:p>
    <w:p w14:paraId="7BCD7058" w14:textId="23C80627" w:rsidR="002467A8" w:rsidRPr="00CA6CBB" w:rsidRDefault="002467A8" w:rsidP="00B472E8">
      <w:r w:rsidRPr="00CA6CBB">
        <w:t>Los indicadores estadísticos mencionados anteriormente (más detalles en l</w:t>
      </w:r>
      <w:r w:rsidR="007B6F47" w:rsidRPr="00CA6CBB">
        <w:t xml:space="preserve">a </w:t>
      </w:r>
      <w:r w:rsidR="007B6F47" w:rsidRPr="00CA6CBB">
        <w:rPr>
          <w:b/>
          <w:bCs/>
        </w:rPr>
        <w:t>Tabla 1</w:t>
      </w:r>
      <w:r w:rsidRPr="00CA6CBB">
        <w:t>) reflejan un buen avance en los últimos cinco años. Sin embargo, siguen existiendo algunas dificultades para algunas CPC (presentaciones pendientes con secciones tanto incompletas como completas). La Secretaría se compromete a analizar cada caso y a ponerse en contacto con las CPC para resolver los problemas que surjan.</w:t>
      </w:r>
    </w:p>
    <w:p w14:paraId="6F0F4D43" w14:textId="77777777" w:rsidR="00721D66" w:rsidRPr="00CA6CBB" w:rsidRDefault="00721D66" w:rsidP="00B472E8"/>
    <w:p w14:paraId="321A75CC" w14:textId="7DF3CA2B" w:rsidR="00B12CA8" w:rsidRPr="00CA6CBB" w:rsidRDefault="00303D53" w:rsidP="00B472E8">
      <w:r w:rsidRPr="00CA6CBB">
        <w:t>La Secretaría informó de que también está trabajando en la elaboración de indicadores estadísticos similares para todos los módulos del IOMS que se encuentran en fase de producción, con el objetivo de identificar las deficiencias fundamentales y poner al corriente al WG-ORT (como se detalla a continuación en las subsecciones correspondientes).</w:t>
      </w:r>
    </w:p>
    <w:p w14:paraId="6BCA2BAB" w14:textId="77777777" w:rsidR="00E46B29" w:rsidRPr="00CA6CBB" w:rsidRDefault="00E46B29" w:rsidP="00B472E8"/>
    <w:p w14:paraId="7A93328E" w14:textId="70D90742" w:rsidR="00E46B29" w:rsidRPr="00CA6CBB" w:rsidRDefault="00E46B29" w:rsidP="00E46B29">
      <w:r w:rsidRPr="00CA6CBB">
        <w:t xml:space="preserve">Además del desarrollo habitual del IOMS, que incluye la adaptación y el diseño de las bases de datos que se ejecutan en cada módulo, la Secretaría también está trabajando en la estandarización de los formularios restantes de ICCAT (solo 16 de más de 60 están estandarizados) para su incorporación al IOMS.  </w:t>
      </w:r>
    </w:p>
    <w:p w14:paraId="58DCA726" w14:textId="77777777" w:rsidR="004B52E6" w:rsidRPr="00CA6CBB" w:rsidRDefault="004B52E6" w:rsidP="00E46B29"/>
    <w:p w14:paraId="64934CA9" w14:textId="448BEF1B" w:rsidR="00B15B5F" w:rsidRPr="00CA6CBB" w:rsidRDefault="00050527" w:rsidP="004B52E6">
      <w:r w:rsidRPr="00CA6CBB">
        <w:t xml:space="preserve">La Secretaría informó de que el tiempo dedicado a las tres actividades principales del IOMS se ajusta a lo previsto o está cerca de cumplir los objetivos. El apoyo prestado a los usuarios del IOMS (CPC y Secretaría) se acerca al objetivo del 30 %. El mantenimiento de IOMS (corrección de errores y pequeñas mejoras en el código existente) representa alrededor del 40 %, lo que supera ligeramente el objetivo del 30 %. El </w:t>
      </w:r>
      <w:r w:rsidRPr="00CA6CBB">
        <w:lastRenderedPageBreak/>
        <w:t>desarrollo del nuevo IOMS (nuevos módulos y mejoras importantes en la funcionalidad) se encuentra en torno al 30 %, lo que está por debajo del objetivo del 40 %. La Secretaría considera que, desde una perspectiva a largo plazo, el nuevo desarrollo del IOMS debería llegar a dedicar aproximadamente el 50 % de su tiempo compartido dedicado al IOMS.</w:t>
      </w:r>
    </w:p>
    <w:p w14:paraId="18003683" w14:textId="77777777" w:rsidR="00B15B5F" w:rsidRPr="00CA6CBB" w:rsidRDefault="00B15B5F" w:rsidP="00E46B29"/>
    <w:p w14:paraId="41B62ED8" w14:textId="2BA4AB88" w:rsidR="004B52E6" w:rsidRPr="00CA6CBB" w:rsidRDefault="00B15B5F" w:rsidP="004B52E6">
      <w:r w:rsidRPr="00CA6CBB">
        <w:t xml:space="preserve">El presidente felicitó al equipo del IOMS por la impresionante labor realizada durante 2025, y señaló que el apoyo prestado por la Secretaría a los usuarios del IOMS se suma a las nuevas tareas de desarrollo y mantenimiento, y que estas tres actividades son igualmente importantes y se complementan entre sí. </w:t>
      </w:r>
    </w:p>
    <w:p w14:paraId="4D0BA783" w14:textId="4D42DA2A" w:rsidR="00B12CA8" w:rsidRPr="00CA6CBB" w:rsidRDefault="00B12CA8" w:rsidP="00B472E8"/>
    <w:p w14:paraId="6550333B" w14:textId="2E61C9FD" w:rsidR="00BE4C67" w:rsidRPr="00CA6CBB" w:rsidRDefault="00970698" w:rsidP="00BE4C67">
      <w:r w:rsidRPr="00CA6CBB">
        <w:t xml:space="preserve">Una CPC solicitó una explicación detallada sobre la tarea de mantenimiento del IOMS, a la que se dedica aproximadamente el 40 % del tiempo asignado. La Secretaría informó de que abarca todas las actividades relacionadas con el código actual del IOMS en producción (corrección de errores, optimización del código, refactorización del código debido a nuevas versiones del software y las tecnologías utilizadas por el IOMS, y mejoras menores destinadas a mejorar la experiencia del usuario) e incluye el mantenimiento y la mejora de la infraestructura del IOMS implementada (escalabilidad de los servidores en la nube, orquestación de servicios, etc.), como fue el caso de la reciente migración de la infraestructura del IOMS de RACKSPACE a AZURE (utilizando ahora </w:t>
      </w:r>
      <w:hyperlink r:id="rId20" w:history="1">
        <w:proofErr w:type="spellStart"/>
        <w:r w:rsidRPr="00CA6CBB">
          <w:rPr>
            <w:rStyle w:val="Hyperlink"/>
            <w:u w:val="none"/>
          </w:rPr>
          <w:t>Kubernetes</w:t>
        </w:r>
        <w:proofErr w:type="spellEnd"/>
      </w:hyperlink>
      <w:r w:rsidRPr="00CA6CBB">
        <w:t xml:space="preserve"> para coordinar y automatizar las implementaciones). En general, el equipo de desarrollo de IOMS lleva a cabo pruebas periódicas y refactorizaciones del código, como ocurrió con una reciente actualización del código (refactorizado para funcionar con nuevas versiones de software), con el fin de mejorar los tiempos de respuesta y el desempeño general de IOMS.</w:t>
      </w:r>
    </w:p>
    <w:p w14:paraId="3C766F60" w14:textId="77777777" w:rsidR="00BE4C67" w:rsidRPr="00CA6CBB" w:rsidRDefault="00BE4C67" w:rsidP="00B472E8"/>
    <w:p w14:paraId="57417D17" w14:textId="55E5727C" w:rsidR="000159CB" w:rsidRPr="00CA6CBB" w:rsidRDefault="005D385E" w:rsidP="000159CB">
      <w:r w:rsidRPr="00CA6CBB">
        <w:t xml:space="preserve">También se solicitó una explicación más detallada sobre la asistencia a los usuarios de IOMS (30 % del tiempo de trabajo). La Secretaría explicó que abarca todas las iniciativas de desarrollo de capacidades dirigidas a todos los usuarios registrados en el IOMS (las CPC y el personal de la Secretaría). Existen varias modalidades de formación. En forma de talleres intersesiones organizados cada año por el WG-ORT (para participantes inscritos), como solicitudes de formación específicas de las CPC (a través de TEAMS o </w:t>
      </w:r>
      <w:proofErr w:type="gramStart"/>
      <w:r w:rsidRPr="00CA6CBB">
        <w:t>ZOOM</w:t>
      </w:r>
      <w:proofErr w:type="gramEnd"/>
      <w:r w:rsidRPr="00CA6CBB">
        <w:t>) y, más recientemente (desde la 28ª reunión ordinaria de la Comisión, celebraba en el Nuevo Cairo, Egipto, en 2023), sesiones de formación específicas para las CPC (de 1 a 2 horas) que se organizan previa solicitud en la reunión anual de la Comisión. La asistencia necesaria también se presta por correo electrónico (</w:t>
      </w:r>
      <w:hyperlink r:id="rId21" w:history="1">
        <w:r w:rsidRPr="00CA6CBB">
          <w:rPr>
            <w:rStyle w:val="Hyperlink"/>
            <w:u w:val="none"/>
          </w:rPr>
          <w:t>general@ioms.iccat.int</w:t>
        </w:r>
      </w:hyperlink>
      <w:r w:rsidRPr="00CA6CBB">
        <w:t>) a las CPC con respuestas a sus preguntas o inquietudes. Además, el IOMS cuenta con herramientas internas (el sistema de notificaciones y el sistema de ayuda dinámica) para orientar a los usuarios del IOMS.</w:t>
      </w:r>
    </w:p>
    <w:p w14:paraId="060D1952" w14:textId="77777777" w:rsidR="0024258D" w:rsidRPr="00CA6CBB" w:rsidRDefault="0024258D" w:rsidP="000159CB"/>
    <w:p w14:paraId="43AB98A1" w14:textId="3F910680" w:rsidR="00FC2A21" w:rsidRPr="00CA6CBB" w:rsidRDefault="00DC65AB" w:rsidP="00B472E8">
      <w:r w:rsidRPr="00CA6CBB">
        <w:t xml:space="preserve">El WG-ORT tomó nota de la información facilitada y de los esfuerzos que está realizando la Secretaría para mantener y mejorar el IOMS. El presidente informó de que las aclaraciones solicitadas sobre módulos concretos se detallarán en las secciones correspondientes. </w:t>
      </w:r>
    </w:p>
    <w:p w14:paraId="39FD1A34" w14:textId="77777777" w:rsidR="004A2593" w:rsidRPr="00CA6CBB" w:rsidRDefault="004A2593" w:rsidP="00B472E8"/>
    <w:p w14:paraId="36A10B71" w14:textId="7DEC65B3" w:rsidR="00BE7FE3" w:rsidRPr="00CA6CBB" w:rsidRDefault="00BE7FE3" w:rsidP="0024258D">
      <w:pPr>
        <w:pStyle w:val="Heading3"/>
        <w:tabs>
          <w:tab w:val="left" w:pos="426"/>
        </w:tabs>
        <w:ind w:left="567" w:hanging="567"/>
        <w:rPr>
          <w:b w:val="0"/>
          <w:bCs w:val="0"/>
          <w:spacing w:val="-2"/>
        </w:rPr>
      </w:pPr>
      <w:r w:rsidRPr="00CA6CBB">
        <w:rPr>
          <w:b w:val="0"/>
        </w:rPr>
        <w:t>Módulo gestor de formularios</w:t>
      </w:r>
    </w:p>
    <w:p w14:paraId="65CDB8DB" w14:textId="77777777" w:rsidR="00A01421" w:rsidRPr="00CA6CBB" w:rsidRDefault="00A01421" w:rsidP="00B472E8"/>
    <w:p w14:paraId="1DECE8D1" w14:textId="56E2A7EF" w:rsidR="004A37EF" w:rsidRPr="00CA6CBB" w:rsidRDefault="004A37EF" w:rsidP="004A37EF">
      <w:r w:rsidRPr="00CA6CBB">
        <w:t>El objetivo principal del módulo «gestor de formularios» es centralizar y gestionar todos los formularios electrónicos estándar de ICCAT de diversos tipos (CP: cumplimiento; ST: estadísticas; TG: marcado) que las CPC de ICCAT envían a ICCAT para cumplir con sus obligaciones de notificación. Se pueden cargar uno o varios formularios a la vez. Las CPC de ICCAT pueden consultar en línea el inventario de todos los formularios presentados a lo largo del tiempo, verificar su estado y realizar un seguimiento de los eventos asociados a cada uno de ellos, así como llevar a cabo las acciones necesarias. Cada formulario cargado cuenta con un identificador de historial único (fechas, acciones, observaciones, etc.) que permite realizar un seguimiento de los eventos intermedios y del estado asociado (rechazado, registrado, en validación, corregido, procesado, etc.) hasta que la información se almacena efectivamente en las bases de datos de ICCAT (IOMS o el actual sistema ICCAT-DB) y el hilo se cierra definitivamente. El gestor de formularios cuenta con una base de datos específica para gestionar toda la información que maneja.</w:t>
      </w:r>
    </w:p>
    <w:p w14:paraId="4436CC77" w14:textId="77777777" w:rsidR="004A37EF" w:rsidRPr="00CA6CBB" w:rsidRDefault="004A37EF" w:rsidP="004A37EF"/>
    <w:p w14:paraId="54D69B67" w14:textId="595A1089" w:rsidR="00FC60A7" w:rsidRPr="00CA6CBB" w:rsidRDefault="005C2E99" w:rsidP="000372F4">
      <w:r w:rsidRPr="00CA6CBB">
        <w:t>La Secretaría realizó una presentación en la que se ofrecía una visión general del estado actual del módulo «gestor de formularios», tras su puesta en producción el 1 de agosto de 2025. En la presentación se describieron las principales funcionalidades del módulo, incluyendo el proceso de carga de formularios estándar, el funcionamiento de las notificaciones, los mecanismos de validación y cómo realizar un seguimiento y consultar el estado de presentación de uno o varios formularios. También se destacaron las mejoras introducidas en los últimos seis meses, entre las que se incluyen perfeccionamientos en la interfaz de usuario, mejoras en la herramienta de notificaciones, ajustes en las reglas de validación y mejoras destinadas a facilitar el envío y la revisión de datos.</w:t>
      </w:r>
    </w:p>
    <w:p w14:paraId="65066D74" w14:textId="77777777" w:rsidR="00FC60A7" w:rsidRPr="00CA6CBB" w:rsidRDefault="00FC60A7" w:rsidP="000372F4"/>
    <w:p w14:paraId="78BDB203" w14:textId="7D655E89" w:rsidR="00D879ED" w:rsidRPr="00CA6CBB" w:rsidRDefault="00F03780" w:rsidP="000372F4">
      <w:r w:rsidRPr="00CA6CBB">
        <w:t xml:space="preserve">La Secretaría recordó que, a día de hoy, el gestor de formularios solo admite 16 formularios estándar (10 del tipo ST, 3 del tipo CP y 3 del tipo TG) de un total de unos 65 formularios de notificación de datos de ICCAT. La estandarización de los formularios es compleja (multilingüe, con códigos ICCAT integrados, instrucciones integradas, etc.) y la llevará a cabo la Secretaría de forma gradual, para posteriormente registrarlos en el GESTOR de formularios y permitir su correspondiente carga. </w:t>
      </w:r>
    </w:p>
    <w:p w14:paraId="1BA6C47A" w14:textId="77777777" w:rsidR="00D879ED" w:rsidRPr="00CA6CBB" w:rsidRDefault="00D879ED" w:rsidP="000372F4"/>
    <w:p w14:paraId="3790C18C" w14:textId="4551E9F1" w:rsidR="00D879ED" w:rsidRPr="00CA6CBB" w:rsidRDefault="00E87E1A" w:rsidP="000372F4">
      <w:r w:rsidRPr="00CA6CBB">
        <w:t>La Secretaría presentó asimismo algunos indicadores estadísticos preliminares correspondientes a los primeros seis meses de actividad del gestor de formularios (del 1 de agosto de 2025 al 3 de febrero de 2026):</w:t>
      </w:r>
    </w:p>
    <w:p w14:paraId="3D8AF554" w14:textId="77777777" w:rsidR="00465484" w:rsidRPr="00CA6CBB" w:rsidRDefault="00465484" w:rsidP="000372F4"/>
    <w:p w14:paraId="2A7C774D" w14:textId="3B70C6F4" w:rsidR="001A36EE" w:rsidRPr="00CA6CBB" w:rsidRDefault="00D879ED" w:rsidP="00465484">
      <w:pPr>
        <w:pStyle w:val="ListParagraph"/>
        <w:numPr>
          <w:ilvl w:val="1"/>
          <w:numId w:val="1"/>
        </w:numPr>
        <w:ind w:left="851" w:hanging="425"/>
      </w:pPr>
      <w:r w:rsidRPr="00CA6CBB">
        <w:t>Se han subido y registrado un total de 653 formularios (el 62 % aceptados, el 37 % rechazados y el 1 % pendientes)</w:t>
      </w:r>
    </w:p>
    <w:p w14:paraId="03F990A7" w14:textId="025F68CB" w:rsidR="001A36EE" w:rsidRPr="00CA6CBB" w:rsidRDefault="00A539B3" w:rsidP="00465484">
      <w:pPr>
        <w:pStyle w:val="ListParagraph"/>
        <w:numPr>
          <w:ilvl w:val="1"/>
          <w:numId w:val="1"/>
        </w:numPr>
        <w:ind w:left="851" w:hanging="425"/>
      </w:pPr>
      <w:r w:rsidRPr="00CA6CBB">
        <w:t>16 tipos de formularios diferentes (64 % de tipo CP, 35 % de tipo ST, 1 % de tipo TG)</w:t>
      </w:r>
    </w:p>
    <w:p w14:paraId="182F1BAE" w14:textId="77777777" w:rsidR="001A36EE" w:rsidRPr="00CA6CBB" w:rsidRDefault="001A36EE" w:rsidP="00465484">
      <w:pPr>
        <w:pStyle w:val="ListParagraph"/>
        <w:numPr>
          <w:ilvl w:val="1"/>
          <w:numId w:val="1"/>
        </w:numPr>
        <w:ind w:left="851" w:hanging="425"/>
      </w:pPr>
      <w:r w:rsidRPr="00CA6CBB">
        <w:t>El 59 % (387) de los formularios CP01 (el 52 % aceptados, el 46 % rechazados y el 1 % pendientes)</w:t>
      </w:r>
    </w:p>
    <w:p w14:paraId="75C17D72" w14:textId="77777777" w:rsidR="001A36EE" w:rsidRPr="00CA6CBB" w:rsidRDefault="001A36EE" w:rsidP="001A36EE"/>
    <w:p w14:paraId="71FC164B" w14:textId="0D9F5F78" w:rsidR="00A539B3" w:rsidRPr="00CA6CBB" w:rsidRDefault="007521E5" w:rsidP="00D879ED">
      <w:r w:rsidRPr="00CA6CBB">
        <w:t>Como era de esperar, el formulario CP01 (registros y autorizaciones de buques), gestionado y validado automáticamente por el nuevo módulo gestor de buques del IOMS, fue el más importante de los cargados a través de gestor de formularios, con un 59 % (387) del total. Casi la mitad de los formularios CP01 fueron rechazados (46 %) por incumplir las normas de validación (formularios antiguos, secciones de cabecera incompletas, códigos y formatos no válidos, entre otros) y tuvieron que ser revisados con la ayuda de la Secretaría y las CPC los tuvieron que volver a cargar. Alrededor del 35 % (230) de los formularios cargados a través del gestor de formularios eran formularios estadísticos (tipo ST), cuya validación (aproximadamente el 16 % fueron rechazados y revisados) la lleva a cabo el Departamento de estadística fuera del IOMS, ya que aún no existe ningún módulo para ello. Se trata de indicadores estadísticos muy preliminares, por lo que deben interpretarse con cautela. Teniendo en cuenta que ICCAT recibe cada año más de 5000 formularios de todo tipo, en el futuro se elaborarán estadísticas más completas a medida que avance el IOMS, con el objetivo de identificar y resolver posibles deficiencias. Por el momento, estos indicadores muestran que es necesario seguir trabajando en la formación de los usuarios de CPC para que rellenen mejor los formularios de ICCAT y así reducir al mínimo el número de rechazos.</w:t>
      </w:r>
    </w:p>
    <w:p w14:paraId="43D9866E" w14:textId="77777777" w:rsidR="007521E5" w:rsidRPr="00CA6CBB" w:rsidRDefault="007521E5" w:rsidP="00D879ED"/>
    <w:p w14:paraId="5795DA05" w14:textId="667BD27B" w:rsidR="00670D75" w:rsidRPr="00CA6CBB" w:rsidRDefault="00670D75" w:rsidP="00D879ED">
      <w:r w:rsidRPr="00CA6CBB">
        <w:t>La Secretaría también informó sobre algunas situaciones concretas que pueden resultar problemáticas, como por ejemplo el caso en el que un usuario de la CPC del Estado de pabellón carga un formulario CP01 correcto en el gestor de formularios (debidamente validado tanto por el gestor de formularios como por el gestor de buques) antes de la fecha límite, aunque la aprobación definitiva por parte del administrador de la CPC no se produce hasta después de dicha fecha. Este retraso provoca el rechazo del formulario y obliga a repetir todos los pasos del proceso de carga. Por el momento, estos casos, aunque poco frecuentes, se resuelven directamente con los CPC implicadas.</w:t>
      </w:r>
    </w:p>
    <w:p w14:paraId="029B5807" w14:textId="77777777" w:rsidR="00985B15" w:rsidRPr="00CA6CBB" w:rsidRDefault="00985B15" w:rsidP="00D879ED"/>
    <w:p w14:paraId="54F15A5E" w14:textId="04E3766F" w:rsidR="00094595" w:rsidRPr="00CA6CBB" w:rsidRDefault="00985B15" w:rsidP="006711C6">
      <w:r w:rsidRPr="00CA6CBB">
        <w:t>La Secretaría también informó sobre el trabajo que se está llevando a cabo con el fin de mejorar el proceso de comunicación y almacenamiento de mensajes del gestor de formularios a lo largo de todo el ciclo de vida de cada formulario. Para ello, se ha implementado un sistema de notificaciones en IOMS que detecta los eventos relacionados con los cambios en un formulario y genera notificaciones a las que los usuarios de IOMS pueden acceder y consultar en cualquier momento mientras navegan entre los eventos del formulario. Al mismo tiempo, cada usuario recibirá notificaciones en tiempo real por correo electrónico (con enlaces a la ubicación exacta del evento del formulario en el IOMS) cada vez que se realicen actualizaciones en los formularios a los que esté suscrito. Esta funcionalidad, que se está implantando de forma gradual, tiene por objeto automatizar y simplificar el seguimiento de todos los formularios remitidos a ICCAT, así como la interacción entre los usuarios de las CPC y la Secretaría. Se realizó una sencilla demostración de las notificaciones en tiempo real sobre las actualizaciones del estado de un formulario.</w:t>
      </w:r>
    </w:p>
    <w:p w14:paraId="1C4E6677" w14:textId="77777777" w:rsidR="00670D75" w:rsidRPr="00CA6CBB" w:rsidRDefault="00670D75" w:rsidP="00D879ED"/>
    <w:p w14:paraId="24D649ED" w14:textId="375E594C" w:rsidR="006574D3" w:rsidRPr="00CA6CBB" w:rsidRDefault="00785A32" w:rsidP="00785A32">
      <w:pPr>
        <w:pBdr>
          <w:top w:val="none" w:sz="0" w:space="0" w:color="auto"/>
          <w:left w:val="none" w:sz="0" w:space="0" w:color="auto"/>
          <w:bottom w:val="none" w:sz="0" w:space="0" w:color="auto"/>
          <w:right w:val="none" w:sz="0" w:space="0" w:color="auto"/>
          <w:between w:val="none" w:sz="0" w:space="0" w:color="auto"/>
        </w:pBdr>
      </w:pPr>
      <w:r w:rsidRPr="00CA6CBB">
        <w:t xml:space="preserve">El presidente felicitó al equipo de IOMS por los logros alcanzados en relación con el módulo gestor de formularios. El Grupo solicitó varias aclaraciones. En primer lugar, se solicitó a la Secretaría que confirmara si el gestor de formularios tenía previsto gestionar todos los formularios de ICCAT relacionados con más de 180 requisitos, y de qué manera. La Secretaría respondió afirmativamente, aunque señaló que este proceso se llevará a cabo de forma gradual a lo largo del tiempo. Más de 60 formularios, de los cuales solo 16 están estandarizados y registrados en el gestor de formularios, cubren la mayor parte de los 180 requisitos de datos. No existe una relación unívoca (uno a uno) entre los formularios y los requisitos, y en muchos casos </w:t>
      </w:r>
      <w:r w:rsidRPr="00CA6CBB">
        <w:lastRenderedPageBreak/>
        <w:t xml:space="preserve">un mismo formulario (p. ej.: el CP01 puede cumplir varios requisitos. No está previsto incluir en el IOMS una pequeña parte de los requisitos </w:t>
      </w:r>
      <w:r w:rsidR="0024258D" w:rsidRPr="00CA6CBB">
        <w:t>para los</w:t>
      </w:r>
      <w:r w:rsidRPr="00CA6CBB">
        <w:t xml:space="preserve"> que la presentación se realiza en formato libre (por ejemplo, los documentos científicos del SCRS).</w:t>
      </w:r>
    </w:p>
    <w:p w14:paraId="7FC05C00" w14:textId="77777777" w:rsidR="006574D3" w:rsidRPr="00CA6CBB" w:rsidRDefault="006574D3" w:rsidP="00785A32">
      <w:pPr>
        <w:pBdr>
          <w:top w:val="none" w:sz="0" w:space="0" w:color="auto"/>
          <w:left w:val="none" w:sz="0" w:space="0" w:color="auto"/>
          <w:bottom w:val="none" w:sz="0" w:space="0" w:color="auto"/>
          <w:right w:val="none" w:sz="0" w:space="0" w:color="auto"/>
          <w:between w:val="none" w:sz="0" w:space="0" w:color="auto"/>
        </w:pBdr>
      </w:pPr>
    </w:p>
    <w:p w14:paraId="7341C1A6" w14:textId="54AC2A3A" w:rsidR="00785A32" w:rsidRPr="00CA6CBB" w:rsidRDefault="002B2613" w:rsidP="00785A32">
      <w:pPr>
        <w:pBdr>
          <w:top w:val="none" w:sz="0" w:space="0" w:color="auto"/>
          <w:left w:val="none" w:sz="0" w:space="0" w:color="auto"/>
          <w:bottom w:val="none" w:sz="0" w:space="0" w:color="auto"/>
          <w:right w:val="none" w:sz="0" w:space="0" w:color="auto"/>
          <w:between w:val="none" w:sz="0" w:space="0" w:color="auto"/>
        </w:pBdr>
      </w:pPr>
      <w:r w:rsidRPr="00CA6CBB">
        <w:t xml:space="preserve">También se solicitó una explicación detallada del proceso de validación del gestor de formularios, concretamente en lo que respecta a la aplicación de procesos automáticos y manuales. La Secretaría informó de que tanto el IOMS como el actual sistema de base de datos (ICCAT-DB), gestionado en la intranet de ICCAT, cuentan ya con un amplio conjunto de herramientas de validación de datos, aunque no todas están totalmente automatizadas y optimizadas. El objetivo de IOMS es automatizar y optimizar la mayor parte de los procesos de validación de datos que intervienen en el envío de datos mediante el desarrollo de herramientas más sofisticadas y avanzadas. Esto se entiende mejor si se tiene en cuenta la lista esquemática de eventos y los procesos de validación descritos el año pasado. La validación de cada formulario enviado a través del gestor de formularios y gestionado por el módulo de destino (el módulo que se encarga de la información que llega en ese tipo de formulario específico), si existe, implica los siguientes eventos: </w:t>
      </w:r>
    </w:p>
    <w:p w14:paraId="3CAEDF76" w14:textId="77777777" w:rsidR="00785A32" w:rsidRPr="00CA6CBB" w:rsidRDefault="00785A32" w:rsidP="00785A32">
      <w:pPr>
        <w:pBdr>
          <w:top w:val="none" w:sz="0" w:space="0" w:color="auto"/>
          <w:left w:val="none" w:sz="0" w:space="0" w:color="auto"/>
          <w:bottom w:val="none" w:sz="0" w:space="0" w:color="auto"/>
          <w:right w:val="none" w:sz="0" w:space="0" w:color="auto"/>
          <w:between w:val="none" w:sz="0" w:space="0" w:color="auto"/>
        </w:pBdr>
      </w:pPr>
    </w:p>
    <w:p w14:paraId="1BBF89E9" w14:textId="77777777" w:rsidR="00785A32" w:rsidRPr="00CA6CBB" w:rsidRDefault="00785A32" w:rsidP="00785A32">
      <w:pPr>
        <w:pStyle w:val="ListParagraph"/>
        <w:numPr>
          <w:ilvl w:val="0"/>
          <w:numId w:val="7"/>
        </w:numPr>
        <w:ind w:left="851" w:hanging="425"/>
      </w:pPr>
      <w:r w:rsidRPr="00CA6CBB">
        <w:t>El gestor de formularios realiza una validación básica (automática):</w:t>
      </w:r>
    </w:p>
    <w:p w14:paraId="7138766F" w14:textId="77777777" w:rsidR="00465484" w:rsidRPr="00CA6CBB" w:rsidRDefault="00465484" w:rsidP="00465484">
      <w:pPr>
        <w:pStyle w:val="ListParagraph"/>
        <w:ind w:left="851"/>
      </w:pPr>
    </w:p>
    <w:p w14:paraId="77CEF19C" w14:textId="4118529F" w:rsidR="00785A32" w:rsidRPr="00CA6CBB" w:rsidRDefault="00785A32" w:rsidP="00785A32">
      <w:pPr>
        <w:pStyle w:val="ListParagraph"/>
        <w:numPr>
          <w:ilvl w:val="0"/>
          <w:numId w:val="8"/>
        </w:numPr>
        <w:ind w:left="1276" w:hanging="425"/>
      </w:pPr>
      <w:r w:rsidRPr="00CA6CBB">
        <w:t xml:space="preserve">identificando si el formulario está registrado y si </w:t>
      </w:r>
      <w:r w:rsidR="00082D6E" w:rsidRPr="00CA6CBB">
        <w:t>se u</w:t>
      </w:r>
      <w:r w:rsidRPr="00CA6CBB">
        <w:t>tiliza la última versión</w:t>
      </w:r>
    </w:p>
    <w:p w14:paraId="5917D945" w14:textId="120FEBC3" w:rsidR="00785A32" w:rsidRPr="00CA6CBB" w:rsidRDefault="00785A32" w:rsidP="00785A32">
      <w:pPr>
        <w:pStyle w:val="ListParagraph"/>
        <w:numPr>
          <w:ilvl w:val="0"/>
          <w:numId w:val="8"/>
        </w:numPr>
        <w:ind w:left="1276" w:hanging="425"/>
      </w:pPr>
      <w:r w:rsidRPr="00CA6CBB">
        <w:t>comprobando si todos los campos de la sección de encabezado del formulario están rellenados.</w:t>
      </w:r>
    </w:p>
    <w:p w14:paraId="02F6FF9E" w14:textId="6D96D3E9" w:rsidR="00785A32" w:rsidRPr="00CA6CBB" w:rsidRDefault="00785A32" w:rsidP="00785A32">
      <w:pPr>
        <w:pStyle w:val="ListParagraph"/>
        <w:numPr>
          <w:ilvl w:val="0"/>
          <w:numId w:val="8"/>
        </w:numPr>
        <w:ind w:left="1276" w:hanging="425"/>
      </w:pPr>
      <w:r w:rsidRPr="00CA6CBB">
        <w:t>comprobando si todos los campos rellenados son coherentes (cada formulario cuenta con comprobaciones de validez integrados)</w:t>
      </w:r>
    </w:p>
    <w:p w14:paraId="58B8F1D1" w14:textId="5F8EFA66" w:rsidR="00785A32" w:rsidRPr="00CA6CBB" w:rsidRDefault="00785A32" w:rsidP="00785A32">
      <w:pPr>
        <w:pStyle w:val="ListParagraph"/>
        <w:numPr>
          <w:ilvl w:val="0"/>
          <w:numId w:val="8"/>
        </w:numPr>
        <w:ind w:left="1276" w:hanging="425"/>
      </w:pPr>
      <w:r w:rsidRPr="00CA6CBB">
        <w:t xml:space="preserve">identificando el módulo de destino que gestiona los datos del formulario (sección de detalles) </w:t>
      </w:r>
    </w:p>
    <w:p w14:paraId="4A21B937" w14:textId="77777777" w:rsidR="00785A32" w:rsidRPr="00CA6CBB" w:rsidRDefault="00785A32" w:rsidP="00785A32">
      <w:pPr>
        <w:pStyle w:val="ListParagraph"/>
        <w:ind w:left="1276"/>
      </w:pPr>
    </w:p>
    <w:p w14:paraId="0ACB5F1B" w14:textId="77777777" w:rsidR="00785A32" w:rsidRPr="00CA6CBB" w:rsidRDefault="00785A32" w:rsidP="00785A32">
      <w:pPr>
        <w:pStyle w:val="ListParagraph"/>
        <w:numPr>
          <w:ilvl w:val="0"/>
          <w:numId w:val="7"/>
        </w:numPr>
        <w:ind w:left="851" w:hanging="425"/>
      </w:pPr>
      <w:r w:rsidRPr="00CA6CBB">
        <w:t>Si existe un módulo de destino (comunicación bidireccional):</w:t>
      </w:r>
    </w:p>
    <w:p w14:paraId="71886F06" w14:textId="77777777" w:rsidR="00856C76" w:rsidRPr="00CA6CBB" w:rsidRDefault="00856C76" w:rsidP="00E704A3">
      <w:pPr>
        <w:pStyle w:val="ListParagraph"/>
        <w:ind w:left="851"/>
      </w:pPr>
    </w:p>
    <w:p w14:paraId="6CF5D513" w14:textId="4E5314E6" w:rsidR="00785A32" w:rsidRPr="00CA6CBB" w:rsidRDefault="00785A32" w:rsidP="00785A32">
      <w:pPr>
        <w:pStyle w:val="ListParagraph"/>
        <w:numPr>
          <w:ilvl w:val="0"/>
          <w:numId w:val="8"/>
        </w:numPr>
        <w:ind w:left="1276" w:hanging="425"/>
      </w:pPr>
      <w:r w:rsidRPr="00CA6CBB">
        <w:t>se transfiere al módulo de destino el proceso de validación de nivel superior (automático), es decir</w:t>
      </w:r>
      <w:r w:rsidR="00E704A3" w:rsidRPr="00CA6CBB">
        <w:t>:</w:t>
      </w:r>
    </w:p>
    <w:p w14:paraId="2DFC3D2E" w14:textId="2BF0DCAF" w:rsidR="00785A32" w:rsidRPr="00CA6CBB" w:rsidRDefault="00A66DB8" w:rsidP="00E704A3">
      <w:pPr>
        <w:pStyle w:val="ListParagraph"/>
        <w:numPr>
          <w:ilvl w:val="3"/>
          <w:numId w:val="41"/>
        </w:numPr>
        <w:ind w:left="1985"/>
      </w:pPr>
      <w:r w:rsidRPr="00CA6CBB">
        <w:t>criterios de validación basados en el registro (sintaxis, semántica, y lógica de negocio)</w:t>
      </w:r>
    </w:p>
    <w:p w14:paraId="40C3CA2E" w14:textId="77777777" w:rsidR="00785A32" w:rsidRPr="00CA6CBB" w:rsidRDefault="00785A32" w:rsidP="00E704A3">
      <w:pPr>
        <w:pStyle w:val="ListParagraph"/>
        <w:numPr>
          <w:ilvl w:val="3"/>
          <w:numId w:val="41"/>
        </w:numPr>
        <w:ind w:left="1985"/>
      </w:pPr>
      <w:r w:rsidRPr="00CA6CBB">
        <w:t>comprobaciones de coherencia entre campos basadas en el registro (por ejemplo, correlación entre características)</w:t>
      </w:r>
    </w:p>
    <w:p w14:paraId="4E3F21F9" w14:textId="77777777" w:rsidR="00E704A3" w:rsidRPr="00CA6CBB" w:rsidRDefault="00E704A3" w:rsidP="00E704A3">
      <w:pPr>
        <w:pStyle w:val="ListParagraph"/>
        <w:ind w:left="1985"/>
      </w:pPr>
    </w:p>
    <w:p w14:paraId="52C8170C" w14:textId="67073382" w:rsidR="00A66DB8" w:rsidRPr="00CA6CBB" w:rsidRDefault="00A66DB8" w:rsidP="00785A32">
      <w:pPr>
        <w:pStyle w:val="ListParagraph"/>
        <w:numPr>
          <w:ilvl w:val="0"/>
          <w:numId w:val="8"/>
        </w:numPr>
        <w:ind w:left="1276" w:hanging="425"/>
      </w:pPr>
      <w:r w:rsidRPr="00CA6CBB">
        <w:t>El módulo de destino procesa y almacena la información, de modo que</w:t>
      </w:r>
      <w:r w:rsidR="00E704A3" w:rsidRPr="00CA6CBB">
        <w:t>:</w:t>
      </w:r>
    </w:p>
    <w:p w14:paraId="06FEEFBA" w14:textId="77777777" w:rsidR="00E704A3" w:rsidRPr="00CA6CBB" w:rsidRDefault="00E704A3" w:rsidP="00E704A3"/>
    <w:p w14:paraId="32301097" w14:textId="0CB045EC" w:rsidR="00785A32" w:rsidRPr="00CA6CBB" w:rsidRDefault="00785A32" w:rsidP="00C6388A">
      <w:pPr>
        <w:pStyle w:val="ListParagraph"/>
        <w:numPr>
          <w:ilvl w:val="3"/>
          <w:numId w:val="41"/>
        </w:numPr>
        <w:ind w:left="1985"/>
      </w:pPr>
      <w:r w:rsidRPr="00CA6CBB">
        <w:t>esté lista para realizar análisis estadísticos avanzados, ya sea internamente o mediante herramientas externas (análisis exploratorios y minería de datos), y, por último,</w:t>
      </w:r>
    </w:p>
    <w:p w14:paraId="55AA169C" w14:textId="77777777" w:rsidR="00C97A70" w:rsidRPr="00CA6CBB" w:rsidRDefault="00C97A70" w:rsidP="00C97A70">
      <w:pPr>
        <w:pStyle w:val="ListParagraph"/>
        <w:ind w:left="1985"/>
      </w:pPr>
    </w:p>
    <w:p w14:paraId="78F94E70" w14:textId="07D44001" w:rsidR="00785A32" w:rsidRPr="00CA6CBB" w:rsidRDefault="00A66DB8" w:rsidP="004D09DF">
      <w:pPr>
        <w:pStyle w:val="ListParagraph"/>
        <w:numPr>
          <w:ilvl w:val="0"/>
          <w:numId w:val="8"/>
        </w:numPr>
        <w:ind w:left="1276" w:hanging="425"/>
      </w:pPr>
      <w:r w:rsidRPr="00CA6CBB">
        <w:t>El módulo de destino comunica al gestor de formularios los resultados para que modifique el estado del formulario.</w:t>
      </w:r>
    </w:p>
    <w:p w14:paraId="0F4319DF" w14:textId="77777777" w:rsidR="00785A32" w:rsidRPr="00CA6CBB" w:rsidRDefault="00785A32" w:rsidP="00785A32">
      <w:pPr>
        <w:pStyle w:val="ListParagraph"/>
        <w:ind w:left="1276"/>
      </w:pPr>
    </w:p>
    <w:p w14:paraId="1C444B2B" w14:textId="43AC5B88" w:rsidR="00785A32" w:rsidRPr="00CA6CBB" w:rsidRDefault="00785A32" w:rsidP="00785A32">
      <w:pPr>
        <w:pStyle w:val="ListParagraph"/>
        <w:numPr>
          <w:ilvl w:val="0"/>
          <w:numId w:val="7"/>
        </w:numPr>
        <w:ind w:left="851" w:hanging="425"/>
      </w:pPr>
      <w:r w:rsidRPr="00CA6CBB">
        <w:t>De lo contrario (el módulo IOMS aún no se ha desarrollado):</w:t>
      </w:r>
    </w:p>
    <w:p w14:paraId="605C17E9" w14:textId="77777777" w:rsidR="004D09DF" w:rsidRPr="00CA6CBB" w:rsidRDefault="004D09DF" w:rsidP="004D09DF">
      <w:pPr>
        <w:pStyle w:val="ListParagraph"/>
        <w:ind w:left="851"/>
      </w:pPr>
    </w:p>
    <w:p w14:paraId="5B91F877" w14:textId="77777777" w:rsidR="00785A32" w:rsidRPr="00CA6CBB" w:rsidRDefault="00785A32" w:rsidP="00785A32">
      <w:pPr>
        <w:pStyle w:val="ListParagraph"/>
        <w:numPr>
          <w:ilvl w:val="0"/>
          <w:numId w:val="8"/>
        </w:numPr>
        <w:ind w:left="1276" w:hanging="425"/>
      </w:pPr>
      <w:r w:rsidRPr="00CA6CBB">
        <w:t>El trabajo de validación lo lleva a cabo la Secretaría utilizando la ICCAT-DB (fuera del IOMS)</w:t>
      </w:r>
    </w:p>
    <w:p w14:paraId="2CF7AF64" w14:textId="4CD83A4A" w:rsidR="00A327A9" w:rsidRPr="00CA6CBB" w:rsidRDefault="00A327A9" w:rsidP="00A327A9">
      <w:pPr>
        <w:pStyle w:val="ListParagraph"/>
        <w:numPr>
          <w:ilvl w:val="0"/>
          <w:numId w:val="8"/>
        </w:numPr>
        <w:ind w:left="1276" w:hanging="425"/>
      </w:pPr>
      <w:r w:rsidRPr="00CA6CBB">
        <w:t>Si existe una herramienta específica, los formularios se validan automáticamente (como ocurre con todos los formularios de tipo ST) y la información se almacena en la base de datos de ICCAT</w:t>
      </w:r>
    </w:p>
    <w:p w14:paraId="1B352464" w14:textId="45E9ADB7" w:rsidR="00A327A9" w:rsidRPr="00CA6CBB" w:rsidRDefault="00310DA5" w:rsidP="00A327A9">
      <w:pPr>
        <w:pStyle w:val="ListParagraph"/>
        <w:numPr>
          <w:ilvl w:val="0"/>
          <w:numId w:val="8"/>
        </w:numPr>
        <w:ind w:left="1276" w:hanging="425"/>
      </w:pPr>
      <w:r w:rsidRPr="00CA6CBB">
        <w:t>De lo contrario, los formularios se validan manualmente y la información se almacena en la base de datos de ICCAT</w:t>
      </w:r>
    </w:p>
    <w:p w14:paraId="3BF27A76" w14:textId="77777777" w:rsidR="00785A32" w:rsidRPr="00CA6CBB" w:rsidRDefault="00785A32" w:rsidP="004D6D1C">
      <w:pPr>
        <w:pStyle w:val="ListParagraph"/>
        <w:ind w:left="1276"/>
      </w:pPr>
    </w:p>
    <w:p w14:paraId="4477596C" w14:textId="490F6D31" w:rsidR="00E33634" w:rsidRPr="00CA6CBB" w:rsidRDefault="00E33634" w:rsidP="00E33634">
      <w:r w:rsidRPr="00CA6CBB">
        <w:t xml:space="preserve">El WG -ORT tomó nota de los avances logrados en el desarrollo y perfeccionamiento del módulo «gestor de formularios» y animó a que se siguieran introduciendo mejoras basadas en los comentarios de los usuarios y en la evolución de los requisitos de comunicación de información. Se hicieron algunas sugerencias para mejorar aún más la facilidad de uso, la eficiencia y la claridad de las instrucciones. La mayoría se centró en garantizar la transparencia y la facilidad de uso para los usuarios del IOMS. La Secretaría agradeció las orientaciones y se comprometió a estudiar formas de mejorar el IOMS siguiendo dichas directrices. </w:t>
      </w:r>
    </w:p>
    <w:p w14:paraId="0BA85BB4" w14:textId="77777777" w:rsidR="00C4288A" w:rsidRPr="00CA6CBB" w:rsidRDefault="00C4288A" w:rsidP="00B472E8"/>
    <w:p w14:paraId="17398FAD" w14:textId="0FFAB0A1" w:rsidR="006556F7" w:rsidRPr="00CA6CBB" w:rsidRDefault="006556F7" w:rsidP="00494FF5">
      <w:pPr>
        <w:pStyle w:val="Heading3"/>
        <w:tabs>
          <w:tab w:val="left" w:pos="426"/>
        </w:tabs>
        <w:ind w:left="426" w:hanging="426"/>
        <w:rPr>
          <w:b w:val="0"/>
          <w:bCs w:val="0"/>
        </w:rPr>
      </w:pPr>
      <w:r w:rsidRPr="00CA6CBB">
        <w:rPr>
          <w:b w:val="0"/>
        </w:rPr>
        <w:lastRenderedPageBreak/>
        <w:t>Módulo de gestor de buques (incluido FLUX)</w:t>
      </w:r>
    </w:p>
    <w:p w14:paraId="11B7B657" w14:textId="77777777" w:rsidR="00494FF5" w:rsidRPr="00CA6CBB" w:rsidRDefault="00494FF5" w:rsidP="00E41573"/>
    <w:p w14:paraId="0869DDCE" w14:textId="3CBF4B47" w:rsidR="00E41573" w:rsidRPr="00CA6CBB" w:rsidRDefault="00E41573" w:rsidP="00E41573">
      <w:r w:rsidRPr="00CA6CBB">
        <w:t>El módulo «gestor de buques del IOMS» es un módulo complejo que incorpora numerosas funcionalidades destinadas a gestionar toda la información sobre buques remitida a ICCAT con arreglo a las distintas Recomendaciones (más detalles en “</w:t>
      </w:r>
      <w:hyperlink r:id="rId22" w:history="1">
        <w:r w:rsidRPr="00CA6CBB">
          <w:rPr>
            <w:rStyle w:val="Hyperlink"/>
            <w:u w:val="none"/>
          </w:rPr>
          <w:t>Directrices para presentar los datos y la información requeridos por ICCAT</w:t>
        </w:r>
      </w:hyperlink>
      <w:r w:rsidRPr="00CA6CBB">
        <w:rPr>
          <w:rStyle w:val="Hyperlink"/>
          <w:color w:val="auto"/>
          <w:u w:val="none"/>
        </w:rPr>
        <w:t>”</w:t>
      </w:r>
      <w:r w:rsidRPr="00CA6CBB">
        <w:t xml:space="preserve">). Contiene tres conjuntos principales de funciones integradas en los respectivos submódulos: </w:t>
      </w:r>
    </w:p>
    <w:p w14:paraId="3D0681AF" w14:textId="77777777" w:rsidR="00494FF5" w:rsidRPr="00CA6CBB" w:rsidRDefault="00494FF5" w:rsidP="00E41573"/>
    <w:p w14:paraId="752FC121" w14:textId="46B1DD50" w:rsidR="00E41573" w:rsidRPr="00CA6CBB" w:rsidRDefault="00E41573" w:rsidP="00E41573">
      <w:pPr>
        <w:ind w:firstLine="720"/>
      </w:pPr>
      <w:r w:rsidRPr="00CA6CBB">
        <w:t xml:space="preserve">a) gestor de registro y autorización de buques (formulario </w:t>
      </w:r>
      <w:hyperlink r:id="rId23" w:history="1">
        <w:r w:rsidRPr="00CA6CBB">
          <w:rPr>
            <w:rStyle w:val="Hyperlink"/>
            <w:u w:val="none"/>
          </w:rPr>
          <w:t>CP01-VessLsts</w:t>
        </w:r>
      </w:hyperlink>
      <w:r w:rsidRPr="00CA6CBB">
        <w:t xml:space="preserve">) </w:t>
      </w:r>
    </w:p>
    <w:p w14:paraId="3BC07B7D" w14:textId="580ACF9D" w:rsidR="00E41573" w:rsidRPr="00CA6CBB" w:rsidRDefault="00E41573" w:rsidP="00E41573">
      <w:pPr>
        <w:ind w:firstLine="720"/>
      </w:pPr>
      <w:r w:rsidRPr="00CA6CBB">
        <w:t xml:space="preserve">b) gestor de autorización de transbordo (formulario </w:t>
      </w:r>
      <w:hyperlink r:id="rId24" w:history="1">
        <w:r w:rsidRPr="00CA6CBB">
          <w:rPr>
            <w:rStyle w:val="Hyperlink"/>
            <w:u w:val="none"/>
          </w:rPr>
          <w:t>CP46</w:t>
        </w:r>
        <w:r w:rsidRPr="00CA6CBB">
          <w:rPr>
            <w:rStyle w:val="Hyperlink"/>
            <w:u w:val="none"/>
          </w:rPr>
          <w:noBreakHyphen/>
          <w:t>VessTran</w:t>
        </w:r>
      </w:hyperlink>
      <w:r w:rsidRPr="00CA6CBB">
        <w:t xml:space="preserve">) </w:t>
      </w:r>
    </w:p>
    <w:p w14:paraId="2C3B74FC" w14:textId="70D4F8BA" w:rsidR="00E41573" w:rsidRPr="00CA6CBB" w:rsidRDefault="00465484" w:rsidP="00E41573">
      <w:pPr>
        <w:ind w:firstLine="720"/>
      </w:pPr>
      <w:r w:rsidRPr="00CA6CBB">
        <w:t>c) g</w:t>
      </w:r>
      <w:r w:rsidR="00E41573" w:rsidRPr="00CA6CBB">
        <w:t xml:space="preserve">estor de acuerdos de fletamento (formulario  </w:t>
      </w:r>
      <w:hyperlink r:id="rId25" w:history="1">
        <w:r w:rsidR="00E41573" w:rsidRPr="00CA6CBB">
          <w:rPr>
            <w:rStyle w:val="Hyperlink"/>
            <w:u w:val="none"/>
          </w:rPr>
          <w:t>CP53-ChartrCP_FS</w:t>
        </w:r>
      </w:hyperlink>
      <w:r w:rsidR="00E41573" w:rsidRPr="00CA6CBB">
        <w:t xml:space="preserve">) </w:t>
      </w:r>
    </w:p>
    <w:p w14:paraId="76642E05" w14:textId="77777777" w:rsidR="001C2F69" w:rsidRPr="00CA6CBB" w:rsidRDefault="001C2F69" w:rsidP="00E41573"/>
    <w:p w14:paraId="52F50378" w14:textId="3DBCC926" w:rsidR="00E41573" w:rsidRPr="00CA6CBB" w:rsidRDefault="00E41573" w:rsidP="00E41573">
      <w:r w:rsidRPr="00CA6CBB">
        <w:t>Los tres submódulos del gestor de buques permiten su cumplimentación en línea (modificación directa: añadir, editar, eliminar) y fuera de línea (rellenar los formularios fuera del IOMS y, finalmente, subirlos al IOMS). El submódulo de registro y autorización de buques (a) contará con un intercambio automático de datos (utilizando el lenguaje UN/FLUX) en tiempo real y con una intervención humana mínima (intercambio de datos de máquina a máquina).</w:t>
      </w:r>
    </w:p>
    <w:p w14:paraId="09B55894" w14:textId="0E7D802A" w:rsidR="00E41573" w:rsidRPr="00CA6CBB" w:rsidRDefault="00E41573" w:rsidP="00E41573"/>
    <w:p w14:paraId="2205C3FB" w14:textId="361E3F7C" w:rsidR="001631AF" w:rsidRPr="00CA6CBB" w:rsidRDefault="00E33634" w:rsidP="0027581B">
      <w:r w:rsidRPr="00CA6CBB">
        <w:t>La Secretaría realizó una presentación en la que describió el estado actual del módulo «gestor de buques». Tal y como estaba previsto, el gestor de buques entró en producción el 1 de agosto de 2025 (junto con el gestor de formularios) y ha estado funcionando sin interrupciones. Tal y como estaba previsto, toda la información relativa a los registros de buques (registros, autorizaciones, contratos de fletamento y autorizaciones de transbordo) que se conservaba y gestionaba en el antiguo sistema ICCAT-DB se ha migrado íntegramente al IOMS, que contiene todo el historial de registros de buques desde 2014. Antes de iniciar el proceso de migración completo, se corrigieron numerosos errores (en su mayoría buques duplicados) e incoherencias. Para recuperar los datos de años anteriores, desde 2008, cuando ICCAT puso en marcha oficialmente la lista positiva, será necesario llevar a cabo una compleja reconstrucción de los datos y un trabajo de estandarización adecuado (cientos de archivos que deben procesarse y armonizarse) antes de que estos datos históricos sobre buques puedan integrarse en el IOMS. La Secretaría también describió las principales funcionalidades del módulo, entre ellas el proceso de carga de los formularios estándar con los datos de los buques (CP01, CP46 y CP53), el funcionamiento de las notificaciones, los mecanismos de validación y cómo realizar un seguimiento y consultar el estado de presentación de uno o varios formularios.</w:t>
      </w:r>
    </w:p>
    <w:p w14:paraId="74479C98" w14:textId="77777777" w:rsidR="001631AF" w:rsidRPr="00CA6CBB" w:rsidRDefault="001631AF" w:rsidP="0027581B"/>
    <w:p w14:paraId="683A58C6" w14:textId="41763710" w:rsidR="00A5743F" w:rsidRPr="00CA6CBB" w:rsidRDefault="001631AF" w:rsidP="0027581B">
      <w:r w:rsidRPr="00CA6CBB">
        <w:t>La Secretaría informó de que el módulo de gestión de buques, actualmente en funcionamiento, opera sin el sistema UN/FLUX. El equipo de IOMS ha desarrollado el código fuente de IOMS para gestionar los mensajes XML recibidos de acuerdo con las reglas de negocio definidas para los dos dominios (véanse los detalles en los dos documentos de implementación), incluidas algunas nuevas añadidas recientemente. Para seguir avanzando en este tema, es necesario llevar a cabo la prueba exhaustiva final de UN/FLUX (que puede incluir actualizaciones de las reglas de negocio y posibles ajustes en el código) antes de que esta funcionalidad se ponga en producción. Esta tarea debe llevarse a cabo conjuntamente con la Unión Europea (UE) utilizando la información sobre buques de los Estados miembros de la UE.</w:t>
      </w:r>
    </w:p>
    <w:p w14:paraId="39136629" w14:textId="77777777" w:rsidR="0027581B" w:rsidRPr="00CA6CBB" w:rsidRDefault="0027581B" w:rsidP="0027581B"/>
    <w:p w14:paraId="0EAE705A" w14:textId="264D24DC" w:rsidR="00E41573" w:rsidRPr="00CA6CBB" w:rsidRDefault="00E03EAC" w:rsidP="00E41573">
      <w:r w:rsidRPr="00CA6CBB">
        <w:t>La Secretaría informó de que, tal y como se esperaba, los tres primeros meses de funcionamiento del gestor de buques (fase de prueba prevista, durante la cual se prestó toda la asistencia necesaria a los usuarios de las CPC antes de que el suministro de datos de los buques a través del IOMS se convirtiera en obligatorio y en la única forma de presentar dichos datos, a partir del 1 de noviembre de 2025) resultaron complejos y exigentes en términos de tiempo para el equipo del IOMS y la Secretaría, con un gran volumen de solicitudes de asistencia por parte de los usuarios de las CPC para la carga de los formularios de los buques.  Al mismo tiempo, también se corrigieron muchos pequeños errores que se detectaron. Las mejoras introducidas en los últimos seis meses se basaron en las lecciones aprendidas durante ese periodo. Entre ellas se incluyen mejoras en la interfaz de usuario, mejoras en la herramienta de notificaciones, correcciones y coherencia de los datos, así como un mayor desempeño. Desde la puesta en marcha del gestor de buques, los datos de los registros de buques disponibles en el IOMS se publican dinámicamente en tiempo real a través de los servicios web del IOMS (API REST) en el sitio web de ICCAT (</w:t>
      </w:r>
      <w:hyperlink r:id="rId26" w:history="1">
        <w:r w:rsidRPr="00CA6CBB">
          <w:rPr>
            <w:rStyle w:val="Hyperlink"/>
            <w:u w:val="none"/>
          </w:rPr>
          <w:t>Registro de buques</w:t>
        </w:r>
      </w:hyperlink>
      <w:r w:rsidRPr="00CA6CBB">
        <w:t>). Otros socios de ICCAT, como la FAO, también están solicitando autorización para consultar y utilizar los datos públicos sobre buques a través de las API públicas del IOMS.</w:t>
      </w:r>
    </w:p>
    <w:p w14:paraId="6BF2E362" w14:textId="77777777" w:rsidR="00DF7095" w:rsidRPr="00CA6CBB" w:rsidRDefault="00DF7095" w:rsidP="00E41573"/>
    <w:p w14:paraId="27799845" w14:textId="73CF9E9B" w:rsidR="00DF7095" w:rsidRPr="00CA6CBB" w:rsidRDefault="0027581B" w:rsidP="00DF7095">
      <w:r w:rsidRPr="00CA6CBB">
        <w:t>Por último, la Secretaría facilitó algunos indicadores preliminares del gestor de buques desde su puesta en marcha (del 1 de agosto de 2025 al 3 de febrero de 2026):</w:t>
      </w:r>
    </w:p>
    <w:p w14:paraId="5A84261F" w14:textId="71CF4724" w:rsidR="0027581B" w:rsidRPr="00CA6CBB" w:rsidRDefault="00EC7BA4" w:rsidP="0027581B">
      <w:pPr>
        <w:pStyle w:val="ListParagraph"/>
        <w:numPr>
          <w:ilvl w:val="0"/>
          <w:numId w:val="1"/>
        </w:numPr>
        <w:ind w:left="567" w:hanging="283"/>
      </w:pPr>
      <w:r w:rsidRPr="00CA6CBB">
        <w:lastRenderedPageBreak/>
        <w:t>Formulario CP01 (buques &amp; autorizaciones):</w:t>
      </w:r>
    </w:p>
    <w:p w14:paraId="025F70CF" w14:textId="77777777" w:rsidR="005734D3" w:rsidRPr="00CA6CBB" w:rsidRDefault="005734D3" w:rsidP="005734D3">
      <w:pPr>
        <w:pStyle w:val="ListParagraph"/>
        <w:ind w:left="567"/>
      </w:pPr>
    </w:p>
    <w:p w14:paraId="675279AF" w14:textId="30BA19ED" w:rsidR="00CD3D7C" w:rsidRPr="00CA6CBB" w:rsidRDefault="00CD3D7C" w:rsidP="00CD3D7C">
      <w:pPr>
        <w:pStyle w:val="ListParagraph"/>
        <w:numPr>
          <w:ilvl w:val="1"/>
          <w:numId w:val="1"/>
        </w:numPr>
        <w:ind w:left="709" w:hanging="228"/>
      </w:pPr>
      <w:r w:rsidRPr="00CA6CBB">
        <w:t>Un total de 322 procesos (procesos de integración/actualización gestionados por el módulo): el 17 % de ellos fueron rechazados.</w:t>
      </w:r>
    </w:p>
    <w:p w14:paraId="1DA36A98" w14:textId="77777777" w:rsidR="005734D3" w:rsidRPr="00CA6CBB" w:rsidRDefault="005734D3" w:rsidP="005734D3">
      <w:pPr>
        <w:pStyle w:val="ListParagraph"/>
        <w:ind w:left="709"/>
      </w:pPr>
    </w:p>
    <w:p w14:paraId="62131DC4" w14:textId="77777777" w:rsidR="00CD3D7C" w:rsidRPr="00CA6CBB" w:rsidRDefault="00CD3D7C" w:rsidP="004D6D1C">
      <w:pPr>
        <w:pStyle w:val="ListParagraph"/>
        <w:numPr>
          <w:ilvl w:val="2"/>
          <w:numId w:val="34"/>
        </w:numPr>
        <w:ind w:left="1134" w:hanging="141"/>
      </w:pPr>
      <w:r w:rsidRPr="00CA6CBB">
        <w:t>Utilización de la edición en línea: 149 (46 %)</w:t>
      </w:r>
    </w:p>
    <w:p w14:paraId="1269D753" w14:textId="77777777" w:rsidR="00CD3D7C" w:rsidRPr="00CA6CBB" w:rsidRDefault="00CD3D7C" w:rsidP="004D6D1C">
      <w:pPr>
        <w:pStyle w:val="ListParagraph"/>
        <w:numPr>
          <w:ilvl w:val="2"/>
          <w:numId w:val="34"/>
        </w:numPr>
        <w:ind w:left="1134" w:hanging="141"/>
      </w:pPr>
      <w:r w:rsidRPr="00CA6CBB">
        <w:t>Utilización del gestor de formularios: 173 (54 %)</w:t>
      </w:r>
    </w:p>
    <w:p w14:paraId="106F0E1E" w14:textId="77777777" w:rsidR="000E66B0" w:rsidRPr="00CA6CBB" w:rsidRDefault="000E66B0" w:rsidP="000E66B0">
      <w:pPr>
        <w:pStyle w:val="ListParagraph"/>
        <w:ind w:left="1134"/>
      </w:pPr>
    </w:p>
    <w:p w14:paraId="01764CF2" w14:textId="77777777" w:rsidR="00CD3D7C" w:rsidRPr="00CA6CBB" w:rsidRDefault="00CD3D7C" w:rsidP="00CD3D7C">
      <w:pPr>
        <w:pStyle w:val="ListParagraph"/>
        <w:numPr>
          <w:ilvl w:val="1"/>
          <w:numId w:val="1"/>
        </w:numPr>
        <w:ind w:left="709" w:hanging="228"/>
      </w:pPr>
      <w:r w:rsidRPr="00CA6CBB">
        <w:t xml:space="preserve">Modificación efectiva de 5.620 buques y sus autorizaciones </w:t>
      </w:r>
    </w:p>
    <w:p w14:paraId="0BD4CD1A" w14:textId="77777777" w:rsidR="000E66B0" w:rsidRPr="00CA6CBB" w:rsidRDefault="000E66B0" w:rsidP="000E66B0">
      <w:pPr>
        <w:pStyle w:val="ListParagraph"/>
        <w:ind w:left="709"/>
      </w:pPr>
    </w:p>
    <w:p w14:paraId="32727F76" w14:textId="3A44D85E" w:rsidR="00CD3D7C" w:rsidRPr="00CA6CBB" w:rsidRDefault="00CD3D7C" w:rsidP="000E66B0">
      <w:pPr>
        <w:pStyle w:val="ListParagraph"/>
        <w:numPr>
          <w:ilvl w:val="2"/>
          <w:numId w:val="34"/>
        </w:numPr>
        <w:ind w:left="1134" w:hanging="141"/>
      </w:pPr>
      <w:r w:rsidRPr="00CA6CBB">
        <w:t>Utilización de la edición en línea: 3.477 (62 %, incluye auto</w:t>
      </w:r>
      <w:r w:rsidR="000E66B0" w:rsidRPr="00CA6CBB">
        <w:t xml:space="preserve"> </w:t>
      </w:r>
      <w:r w:rsidRPr="00CA6CBB">
        <w:t>renovaciones)</w:t>
      </w:r>
    </w:p>
    <w:p w14:paraId="6D909766" w14:textId="77777777" w:rsidR="00CD3D7C" w:rsidRPr="00CA6CBB" w:rsidRDefault="00CD3D7C" w:rsidP="000E66B0">
      <w:pPr>
        <w:pStyle w:val="ListParagraph"/>
        <w:numPr>
          <w:ilvl w:val="2"/>
          <w:numId w:val="34"/>
        </w:numPr>
        <w:ind w:left="1134" w:hanging="141"/>
      </w:pPr>
      <w:r w:rsidRPr="00CA6CBB">
        <w:t>Utilización del gestor de formularios: 2143 (38 %)</w:t>
      </w:r>
    </w:p>
    <w:p w14:paraId="2C9CA1DF" w14:textId="77777777" w:rsidR="000E66B0" w:rsidRPr="00CA6CBB" w:rsidRDefault="000E66B0" w:rsidP="000E66B0">
      <w:pPr>
        <w:pStyle w:val="ListParagraph"/>
        <w:ind w:left="1134"/>
      </w:pPr>
    </w:p>
    <w:p w14:paraId="0941FD71" w14:textId="03EDB89A" w:rsidR="00CD3D7C" w:rsidRPr="00CA6CBB" w:rsidRDefault="00CD3D7C" w:rsidP="0027581B">
      <w:pPr>
        <w:pStyle w:val="ListParagraph"/>
        <w:numPr>
          <w:ilvl w:val="0"/>
          <w:numId w:val="1"/>
        </w:numPr>
        <w:ind w:left="567" w:hanging="283"/>
      </w:pPr>
      <w:r w:rsidRPr="00CA6CBB">
        <w:t>Formulario CP46 (transbordos):</w:t>
      </w:r>
    </w:p>
    <w:p w14:paraId="1FF1B0A1" w14:textId="77777777" w:rsidR="000E66B0" w:rsidRPr="00CA6CBB" w:rsidRDefault="000E66B0" w:rsidP="000E66B0">
      <w:pPr>
        <w:pStyle w:val="ListParagraph"/>
        <w:ind w:left="567"/>
      </w:pPr>
    </w:p>
    <w:p w14:paraId="11154BCE" w14:textId="6E8167C5" w:rsidR="00CD3D7C" w:rsidRPr="00CA6CBB" w:rsidRDefault="00CD3D7C" w:rsidP="00CD3D7C">
      <w:pPr>
        <w:pStyle w:val="ListParagraph"/>
        <w:numPr>
          <w:ilvl w:val="1"/>
          <w:numId w:val="1"/>
        </w:numPr>
        <w:ind w:left="709" w:hanging="228"/>
      </w:pPr>
      <w:r w:rsidRPr="00CA6CBB">
        <w:t>Un total de seis procesos (procesos de integración/actualización gestionados por el módulo): el 43 % de ellos fueron rechazados.</w:t>
      </w:r>
    </w:p>
    <w:p w14:paraId="47BC312C" w14:textId="77777777" w:rsidR="000E66B0" w:rsidRPr="00CA6CBB" w:rsidRDefault="000E66B0" w:rsidP="000E66B0">
      <w:pPr>
        <w:pStyle w:val="ListParagraph"/>
        <w:ind w:left="709"/>
      </w:pPr>
    </w:p>
    <w:p w14:paraId="7909DC79" w14:textId="581ECBAC" w:rsidR="00CD3D7C" w:rsidRPr="00CA6CBB" w:rsidRDefault="00CD3D7C" w:rsidP="00CD3D7C">
      <w:pPr>
        <w:pStyle w:val="ListParagraph"/>
        <w:numPr>
          <w:ilvl w:val="2"/>
          <w:numId w:val="34"/>
        </w:numPr>
        <w:ind w:left="1134" w:hanging="141"/>
      </w:pPr>
      <w:r w:rsidRPr="00CA6CBB">
        <w:t>Utilización de la edición en línea: 1 (14 %)</w:t>
      </w:r>
    </w:p>
    <w:p w14:paraId="0A5C0878" w14:textId="4EAB4EBD" w:rsidR="00CD3D7C" w:rsidRPr="00CA6CBB" w:rsidRDefault="00CD3D7C" w:rsidP="00CD3D7C">
      <w:pPr>
        <w:pStyle w:val="ListParagraph"/>
        <w:numPr>
          <w:ilvl w:val="2"/>
          <w:numId w:val="34"/>
        </w:numPr>
        <w:ind w:left="1134" w:hanging="141"/>
      </w:pPr>
      <w:r w:rsidRPr="00CA6CBB">
        <w:t>Utilización del gestor de formularios: 6 (86 %)</w:t>
      </w:r>
    </w:p>
    <w:p w14:paraId="048F752B" w14:textId="77777777" w:rsidR="001E341B" w:rsidRPr="00CA6CBB" w:rsidRDefault="001E341B" w:rsidP="001E341B">
      <w:pPr>
        <w:pStyle w:val="ListParagraph"/>
        <w:ind w:left="1134"/>
      </w:pPr>
    </w:p>
    <w:p w14:paraId="50D8F9B7" w14:textId="2CE5168A" w:rsidR="00CD3D7C" w:rsidRPr="00CA6CBB" w:rsidRDefault="00CD3D7C" w:rsidP="001E341B">
      <w:pPr>
        <w:pStyle w:val="ListParagraph"/>
        <w:numPr>
          <w:ilvl w:val="1"/>
          <w:numId w:val="1"/>
        </w:numPr>
        <w:ind w:left="709" w:hanging="228"/>
      </w:pPr>
      <w:r w:rsidRPr="00CA6CBB">
        <w:t>Modificación efectiva de 414 buques (12 en línea, 402 mediante el gestor de formularios)</w:t>
      </w:r>
    </w:p>
    <w:p w14:paraId="4FD0116D" w14:textId="77777777" w:rsidR="009A6C48" w:rsidRPr="00CA6CBB" w:rsidRDefault="009A6C48" w:rsidP="009A6C48">
      <w:pPr>
        <w:pStyle w:val="ListParagraph"/>
        <w:ind w:left="709"/>
      </w:pPr>
    </w:p>
    <w:p w14:paraId="14950721" w14:textId="56837D6F" w:rsidR="00CD3D7C" w:rsidRPr="00CA6CBB" w:rsidRDefault="00CD3D7C" w:rsidP="0027581B">
      <w:pPr>
        <w:pStyle w:val="ListParagraph"/>
        <w:numPr>
          <w:ilvl w:val="0"/>
          <w:numId w:val="1"/>
        </w:numPr>
        <w:ind w:left="567" w:hanging="283"/>
      </w:pPr>
      <w:r w:rsidRPr="00CA6CBB">
        <w:t>Formulario CP53 (fletamento):</w:t>
      </w:r>
    </w:p>
    <w:p w14:paraId="41E38C1B" w14:textId="77777777" w:rsidR="009A6C48" w:rsidRPr="00CA6CBB" w:rsidRDefault="009A6C48" w:rsidP="009A6C48">
      <w:pPr>
        <w:pStyle w:val="ListParagraph"/>
        <w:ind w:left="567"/>
      </w:pPr>
    </w:p>
    <w:p w14:paraId="4B06119E" w14:textId="7576E620" w:rsidR="00CD3D7C" w:rsidRPr="00CA6CBB" w:rsidRDefault="00CD3D7C" w:rsidP="00CD3D7C">
      <w:pPr>
        <w:pStyle w:val="ListParagraph"/>
        <w:numPr>
          <w:ilvl w:val="1"/>
          <w:numId w:val="1"/>
        </w:numPr>
        <w:ind w:left="709" w:hanging="228"/>
      </w:pPr>
      <w:r w:rsidRPr="00CA6CBB">
        <w:t>Un total de 20 procesos (subprocesos de integración/actualización gestionados por el módulo): el 45 % de ellos fueron rechazados.</w:t>
      </w:r>
    </w:p>
    <w:p w14:paraId="215A02D2" w14:textId="77777777" w:rsidR="009A6C48" w:rsidRPr="00CA6CBB" w:rsidRDefault="009A6C48" w:rsidP="009A6C48">
      <w:pPr>
        <w:pStyle w:val="ListParagraph"/>
        <w:ind w:left="709"/>
      </w:pPr>
    </w:p>
    <w:p w14:paraId="42DEA4E1" w14:textId="51F4533A" w:rsidR="00CD3D7C" w:rsidRPr="00CA6CBB" w:rsidRDefault="00CD3D7C" w:rsidP="00CD3D7C">
      <w:pPr>
        <w:pStyle w:val="ListParagraph"/>
        <w:numPr>
          <w:ilvl w:val="2"/>
          <w:numId w:val="34"/>
        </w:numPr>
        <w:ind w:left="1134" w:hanging="141"/>
      </w:pPr>
      <w:r w:rsidRPr="00CA6CBB">
        <w:t>Utilización de la edición en línea: 18 (90 %)</w:t>
      </w:r>
    </w:p>
    <w:p w14:paraId="72681457" w14:textId="68FE0570" w:rsidR="00CD3D7C" w:rsidRPr="00CA6CBB" w:rsidRDefault="00CD3D7C" w:rsidP="00CD3D7C">
      <w:pPr>
        <w:pStyle w:val="ListParagraph"/>
        <w:numPr>
          <w:ilvl w:val="2"/>
          <w:numId w:val="34"/>
        </w:numPr>
        <w:ind w:left="1134" w:hanging="141"/>
      </w:pPr>
      <w:r w:rsidRPr="00CA6CBB">
        <w:t>Utilización del gestor de formularios: 2 (10 %)</w:t>
      </w:r>
    </w:p>
    <w:p w14:paraId="07F7832F" w14:textId="77777777" w:rsidR="009A6C48" w:rsidRPr="00CA6CBB" w:rsidRDefault="009A6C48" w:rsidP="009A6C48">
      <w:pPr>
        <w:pStyle w:val="ListParagraph"/>
        <w:ind w:left="1134"/>
      </w:pPr>
    </w:p>
    <w:p w14:paraId="3E36851F" w14:textId="170F29F1" w:rsidR="00CD3D7C" w:rsidRPr="00CA6CBB" w:rsidRDefault="00CD3D7C" w:rsidP="009A6C48">
      <w:pPr>
        <w:pStyle w:val="ListParagraph"/>
        <w:numPr>
          <w:ilvl w:val="1"/>
          <w:numId w:val="1"/>
        </w:numPr>
        <w:ind w:left="709" w:hanging="228"/>
      </w:pPr>
      <w:r w:rsidRPr="00CA6CBB">
        <w:t>Modificación efectiva de 20 buques fletados (18 en línea, 2 mediante el gestor de formularios)</w:t>
      </w:r>
    </w:p>
    <w:p w14:paraId="0FE7729F" w14:textId="77777777" w:rsidR="00CD3D7C" w:rsidRPr="00CA6CBB" w:rsidRDefault="00CD3D7C" w:rsidP="00473C2B"/>
    <w:p w14:paraId="09B45684" w14:textId="3CD2ACEF" w:rsidR="00473C2B" w:rsidRPr="00CA6CBB" w:rsidRDefault="002042E4" w:rsidP="00473C2B">
      <w:r w:rsidRPr="00CA6CBB">
        <w:t>La mayor parte de la actividad asociada con el</w:t>
      </w:r>
      <w:r w:rsidR="00473C2B" w:rsidRPr="00CA6CBB">
        <w:t xml:space="preserve"> formulario CP01 (el 92 % o 322 procesos de un total de 349) </w:t>
      </w:r>
      <w:r w:rsidRPr="00CA6CBB">
        <w:t xml:space="preserve">se realiza a través del </w:t>
      </w:r>
      <w:r w:rsidR="00473C2B" w:rsidRPr="00CA6CBB">
        <w:t xml:space="preserve">módulo «gestor de buques». El porcentaje de formularios CP01 rechazados puede considerarse bajo (17 %) en ambos modos de trabajo (edición en línea y mediante el gestor de formularios), lo que indica un buen conocimiento del formulario CP01. Los transbordos (formulario CP46) y las autorizaciones de fletamento (formulario CP53) plantearon más problemas, ya que los formularios rechazados representaron más del 42 % del total. Esto indica que es necesario impartir formación adicional a los usuarios de las CPC. Mientras que los formularios CP01 y CP46 han utilizado los módulos del gestor de formularios para cargar datos en más de la mitad de los casos, el formulario CP53, por el contrario, ha utilizado principalmente la edición en línea. Se trata de indicadores estadísticos básicos y preliminares, y se prevé introducir mejoras en el futuro. </w:t>
      </w:r>
    </w:p>
    <w:p w14:paraId="38B0E5C5" w14:textId="77777777" w:rsidR="001631AF" w:rsidRPr="00CA6CBB" w:rsidRDefault="001631AF" w:rsidP="00DF7095"/>
    <w:p w14:paraId="1AC90697" w14:textId="67145A3F" w:rsidR="00D64A58" w:rsidRPr="00CA6CBB" w:rsidRDefault="00372442" w:rsidP="00E41573">
      <w:r w:rsidRPr="00CA6CBB">
        <w:t>Durante el debate, una CPC sugirió optimizar la formación de los usuarios del IOMS sobre un módulo concreto, haciendo que estos participaran en las primeras fases de la implementación del módulo (diseño, especificaciones, desarrollo y pruebas), por ejemplo, mediante reuniones previas destinadas específicamente a tal fin. Esta participación desde el principio beneficiará a todos los usuarios de IOMS y podría reducir la carga que supone tener que modificar partes del código para cambiar la funcionalidad del módulo. Aparte de algunas dudas planteadas (por ejemplo: cómo planificar estas reuniones con antelación sin que exista ningún desarrollo o, al menos, un prototipo del módulo; cómo mejorar la participación en estas reuniones hasta alcanzar los niveles observados en los talleres del IOMS, etc.), se acordó estudiar esta posibilidad, siempre que haya tiempo disponible y estas actividades no supongan una duplicación del trabajo del WG-ORT.</w:t>
      </w:r>
    </w:p>
    <w:p w14:paraId="2CF03ED5" w14:textId="77777777" w:rsidR="00F91AA2" w:rsidRPr="00CA6CBB" w:rsidRDefault="00F91AA2" w:rsidP="00E41573"/>
    <w:p w14:paraId="014658AC" w14:textId="3260C073" w:rsidR="00BD1B05" w:rsidRPr="00CA6CBB" w:rsidRDefault="00F91AA2" w:rsidP="00F91AA2">
      <w:r w:rsidRPr="00CA6CBB">
        <w:t xml:space="preserve">En relación con los trabajos relacionados con la integración de UN/FLUX en el IOMS (módulo «gestor de buques»), la UE expuso su situación actual. La UE e ICCAT han estado probando el sistema UN/FLUX en el ámbito de los buques (a la espera de que se realicen las pruebas en el ámbito de las autorizaciones), pero de forma lenta e ineficaz debido a diversas razones. La UE está renovando actualmente su sistema interno </w:t>
      </w:r>
      <w:r w:rsidRPr="00CA6CBB">
        <w:lastRenderedPageBreak/>
        <w:t>UN/FLUX (una refactorización y un rediseño completos) que gestiona los buques y las autorizaciones (los dos ámbitos que utiliza el IOMS). Cuando este trabajo esté listo (previsto para mediados de 2026), la UE podrá avanzar conjuntamente con UN/FLUX en la tarea pendiente de las pruebas exhaustivas, que abarcará los dos ámbitos (registro y autorizaciones de buques). El presidente agradeció a la UE esta información.</w:t>
      </w:r>
    </w:p>
    <w:p w14:paraId="399AE135" w14:textId="77777777" w:rsidR="00D64A58" w:rsidRPr="00CA6CBB" w:rsidRDefault="00D64A58" w:rsidP="00E41573"/>
    <w:p w14:paraId="3D857D33" w14:textId="46F76912" w:rsidR="00B91FD4" w:rsidRPr="00CA6CBB" w:rsidRDefault="001A4886" w:rsidP="00B91FD4">
      <w:r w:rsidRPr="00CA6CBB">
        <w:t>Algunos participantes preguntaron si el nuevo sistema de notificación del IOMS sustituirá a los correos electrónicos o si se utilizarán ambos sistemas para intercambiar información. La Secretaría informó de que se utilizarán ambos, ya que se complementan entre sí.</w:t>
      </w:r>
    </w:p>
    <w:p w14:paraId="1560B4DA" w14:textId="77777777" w:rsidR="00B91FD4" w:rsidRPr="00CA6CBB" w:rsidRDefault="00B91FD4" w:rsidP="00E41573"/>
    <w:p w14:paraId="2C6DBD5B" w14:textId="75BCA514" w:rsidR="00E41573" w:rsidRPr="00CA6CBB" w:rsidRDefault="001A4886" w:rsidP="00264FB3">
      <w:r w:rsidRPr="00CA6CBB">
        <w:t xml:space="preserve">El Grupo solicitó a la Secretaría que proporcionara más aclaraciones sobre cómo se tratarán en el IOMS los buques de transporte de las no CPC de ICCAT (a ser posible, indicando el volumen de datos), dado que dichos países no puedan acceder al IOMS. La Secretaría informó de que los buques de transporte pertenecientes a las no CPC de ICCAT suelen estar registrados ante la Secretaría, y sugirió que se mantuviera ese mismo enfoque. El número de formularios CP01 cumplimentados por las no CPC de ICCAT es muy reducido.  Panamá recordó que ICCAT </w:t>
      </w:r>
      <w:r w:rsidR="00510ADC" w:rsidRPr="00CA6CBB">
        <w:t>contaba</w:t>
      </w:r>
      <w:r w:rsidRPr="00CA6CBB">
        <w:t xml:space="preserve"> con un instrumento (</w:t>
      </w:r>
      <w:hyperlink r:id="rId27" w:history="1">
        <w:r w:rsidR="00510ADC" w:rsidRPr="00CA6CBB">
          <w:rPr>
            <w:rStyle w:val="Hyperlink"/>
            <w:i/>
            <w:iCs/>
            <w:u w:val="none"/>
          </w:rPr>
          <w:t>R</w:t>
        </w:r>
      </w:hyperlink>
      <w:hyperlink r:id="rId28" w:history="1">
        <w:r w:rsidR="00510ADC" w:rsidRPr="00CA6CBB">
          <w:rPr>
            <w:rStyle w:val="Hyperlink"/>
            <w:i/>
            <w:iCs/>
            <w:u w:val="none"/>
          </w:rPr>
          <w:t>ecomendación de ICCAT sobre criterios para acceder al  estatus de parte,  entidad o  entidad pesquera  no contratante colaboradora en ICCAT</w:t>
        </w:r>
        <w:r w:rsidR="00510ADC" w:rsidRPr="00CA6CBB">
          <w:rPr>
            <w:rStyle w:val="Hyperlink"/>
            <w:u w:val="none"/>
          </w:rPr>
          <w:t xml:space="preserve"> </w:t>
        </w:r>
      </w:hyperlink>
      <w:r w:rsidR="00510ADC" w:rsidRPr="00CA6CBB">
        <w:t>(</w:t>
      </w:r>
      <w:hyperlink r:id="rId29" w:history="1">
        <w:r w:rsidRPr="00CA6CBB">
          <w:rPr>
            <w:rStyle w:val="Hyperlink"/>
            <w:u w:val="none"/>
          </w:rPr>
          <w:t>Rec. 03-20</w:t>
        </w:r>
      </w:hyperlink>
      <w:r w:rsidRPr="00CA6CBB">
        <w:t xml:space="preserve">) destinado específicamente a aquellos países con intereses en las especies gestionadas por ICCAT para que obtengan el estatus de colaborador de ICCAT.  Además, la </w:t>
      </w:r>
      <w:hyperlink r:id="rId30" w:history="1">
        <w:r w:rsidRPr="00CA6CBB">
          <w:rPr>
            <w:rStyle w:val="Hyperlink"/>
            <w:i/>
            <w:iCs/>
            <w:u w:val="none"/>
          </w:rPr>
          <w:t>Recomendación</w:t>
        </w:r>
        <w:r w:rsidR="0052282B" w:rsidRPr="00CA6CBB">
          <w:rPr>
            <w:rStyle w:val="Hyperlink"/>
            <w:i/>
            <w:iCs/>
            <w:u w:val="none"/>
          </w:rPr>
          <w:t xml:space="preserve"> de ICCAT que enmienda la Recomendación 21-15 sobre transbordo</w:t>
        </w:r>
        <w:r w:rsidR="0052282B" w:rsidRPr="00CA6CBB">
          <w:rPr>
            <w:rStyle w:val="Hyperlink"/>
            <w:u w:val="none"/>
          </w:rPr>
          <w:t xml:space="preserve"> (Rec. </w:t>
        </w:r>
        <w:r w:rsidR="00DE5021" w:rsidRPr="00CA6CBB">
          <w:rPr>
            <w:rStyle w:val="Hyperlink"/>
            <w:u w:val="none"/>
          </w:rPr>
          <w:t>24-15)</w:t>
        </w:r>
      </w:hyperlink>
      <w:r w:rsidRPr="00CA6CBB">
        <w:t xml:space="preserve"> (párrafo10) establece que el número de buques de transporte registrados pertenecientes a no CPC de ICCAT no debe superar el número de buques ya registrados hasta el 18 de noviembre de 2024 (requisito que solo cumplen Singapur y las Bahamas). </w:t>
      </w:r>
    </w:p>
    <w:p w14:paraId="6FF89F4A" w14:textId="77777777" w:rsidR="00E41573" w:rsidRPr="00CA6CBB" w:rsidRDefault="00E41573" w:rsidP="00976CBF">
      <w:pPr>
        <w:tabs>
          <w:tab w:val="left" w:pos="142"/>
        </w:tabs>
      </w:pPr>
    </w:p>
    <w:p w14:paraId="16E649FB" w14:textId="08E2406D" w:rsidR="00CF0787" w:rsidRPr="00CA6CBB" w:rsidRDefault="00CF0787" w:rsidP="00976CBF">
      <w:pPr>
        <w:pStyle w:val="Heading3"/>
        <w:tabs>
          <w:tab w:val="left" w:pos="426"/>
        </w:tabs>
        <w:ind w:hanging="851"/>
        <w:rPr>
          <w:b w:val="0"/>
          <w:bCs w:val="0"/>
        </w:rPr>
      </w:pPr>
      <w:r w:rsidRPr="00CA6CBB">
        <w:rPr>
          <w:b w:val="0"/>
        </w:rPr>
        <w:t xml:space="preserve">Módulo gestor de puertos </w:t>
      </w:r>
    </w:p>
    <w:p w14:paraId="6FB59DCB" w14:textId="77777777" w:rsidR="00CF0544" w:rsidRPr="00CA6CBB" w:rsidRDefault="00CF0544" w:rsidP="00CF0787"/>
    <w:p w14:paraId="0F8775F0" w14:textId="7832CFFE" w:rsidR="001224CA" w:rsidRPr="00CA6CBB" w:rsidRDefault="00EE711D" w:rsidP="001224CA">
      <w:r w:rsidRPr="00CA6CBB">
        <w:t xml:space="preserve">El módulo gestor de puertos del IOMS tiene como objetivo gestionar la lista de puertos autorizados de ICCAT, así como diversos tipos de autorizaciones. El formulario </w:t>
      </w:r>
      <w:hyperlink r:id="rId31" w:history="1">
        <w:r w:rsidRPr="00CA6CBB">
          <w:rPr>
            <w:rStyle w:val="Hyperlink"/>
            <w:u w:val="none"/>
          </w:rPr>
          <w:t>CP24-AuthPort</w:t>
        </w:r>
      </w:hyperlink>
      <w:r w:rsidRPr="00CA6CBB">
        <w:t xml:space="preserve"> ha sido diseñado por la Secretaría para recopilar la información relacionada con los puertos. Ahora está estandarizado y listo para ser utilizado por el IOMS. Este módulo incorpora numerosas funciones destinadas a gestionar toda la información portuaria exigida por ICCAT, de conformidad con diversas recomendaciones (véanse los detalles en la página 31 de</w:t>
      </w:r>
      <w:r w:rsidR="00DB3AD0" w:rsidRPr="00CA6CBB">
        <w:t xml:space="preserve"> </w:t>
      </w:r>
      <w:r w:rsidRPr="00CA6CBB">
        <w:t>“</w:t>
      </w:r>
      <w:hyperlink r:id="rId32" w:history="1">
        <w:r w:rsidRPr="00CA6CBB">
          <w:rPr>
            <w:rStyle w:val="Hyperlink"/>
            <w:u w:val="none"/>
          </w:rPr>
          <w:t>Directrices para la presentación de los datos y la información requeridos por ICCAT</w:t>
        </w:r>
      </w:hyperlink>
      <w:r w:rsidRPr="00CA6CBB">
        <w:rPr>
          <w:rStyle w:val="Hyperlink"/>
          <w:color w:val="auto"/>
          <w:u w:val="none"/>
        </w:rPr>
        <w:t>”</w:t>
      </w:r>
      <w:r w:rsidRPr="00CA6CBB">
        <w:t xml:space="preserve">). Contiene tres conjuntos principales de funciones integradas en los respectivos submódulos. </w:t>
      </w:r>
    </w:p>
    <w:p w14:paraId="75CCC467" w14:textId="77777777" w:rsidR="001224CA" w:rsidRPr="00CA6CBB" w:rsidRDefault="001224CA" w:rsidP="001224CA"/>
    <w:p w14:paraId="3EDE56E1" w14:textId="08EB225C" w:rsidR="001E163B" w:rsidRPr="00CA6CBB" w:rsidRDefault="00EE711D" w:rsidP="00CF0787">
      <w:r w:rsidRPr="00CA6CBB">
        <w:t xml:space="preserve">La Secretaría presentó el estado actual del nuevo módulo gestor de puertos del IOMS, junto con una breve demostración de su funcionamiento. El desarrollo del gestor de puertos está casi terminado y ya ha entrado en la fase de pruebas. Aparte de algunas particularidades, cuenta con funcionalidades y características similares a las de los demás módulos de IOMS. Por regla general, un puerto determinado debe estar registrado previamente para poder recibir autorizaciones. Un puerto se considera activo cuando cuenta con una o más autorizaciones válidas (incluido el modo de renovación automática disponible para las autorizaciones de buques extranjeros). También se mostraron las funciones de filtrado y búsqueda utilizadas para buscar puertos (incluidos los históricos) y exportar los puertos seleccionados para crear el CP24. Entre otras cosas, el gestor de puertos también cuenta con una herramienta de cartografía que permite localizar geográficamente el puerto, siempre que se introduzcan las coordenadas exactas en el formulario CP24. </w:t>
      </w:r>
    </w:p>
    <w:p w14:paraId="561AEBBE" w14:textId="77777777" w:rsidR="00612A84" w:rsidRPr="00CA6CBB" w:rsidRDefault="00612A84" w:rsidP="00CF0787"/>
    <w:p w14:paraId="43AE5A4A" w14:textId="3F47AA19" w:rsidR="00827757" w:rsidRPr="00CA6CBB" w:rsidRDefault="00612A84" w:rsidP="00CF0787">
      <w:r w:rsidRPr="00CA6CBB">
        <w:t>La Secretaría concluyó la presentación del gestor de puertos solicitando a los participantes sus opiniones generales y comentarios sobre dos propuestas concretas, a saber: la adopción (y su inclusión en el formulario CP24) de un número de registro de ICCAT para los puertos (</w:t>
      </w:r>
      <w:proofErr w:type="spellStart"/>
      <w:r w:rsidRPr="00CA6CBB">
        <w:t>PortID</w:t>
      </w:r>
      <w:proofErr w:type="spellEnd"/>
      <w:r w:rsidRPr="00CA6CBB">
        <w:t xml:space="preserve">, que serviría como identificador único en caso de que no existiera un UN/LOCODE) y el uso exclusivo del gestor de formularios para cargar la información portuaria. El presidente felicitó al equipo del IOMS por los recientes avances realizados en el gestor de puertos y solicitó comentarios al respecto. Tras un debate y una explicación detallada de la Secretaría sobre la integración de los dos posibles modos de funcionamiento del gestor de puertos (en línea: edición directa en el módulo gestor de puertos; sin conexión: rellenar el formulario CP24 sin conexión y cargarlo posteriormente a través del gestor de puertos o del gestor de formularios), la Secretaría sugirió que se descartara la edición en línea. El Grupo acordó aceptar las dos propuestas de la Secretaría (adoptar un identificador de puerto y utilizar únicamente el gestor de formularios para cargar los datos del CP24). Además, el Grupo propuso algunas mejoras en la interfaz del gestor de puertos, siendo las más significativas el uso, siempre que sea posible, de descriptores de nombres fáciles de entender en lugar de números (tipos de autorización portuaria y, posiblemente, otros campos), así como la reducción, siempre que sea posible, de los elementos de navegación por pestañas de la interfaz que resultan menos </w:t>
      </w:r>
      <w:r w:rsidRPr="00CA6CBB">
        <w:lastRenderedPageBreak/>
        <w:t xml:space="preserve">intuitivos. El presidente propuso informar al </w:t>
      </w:r>
      <w:r w:rsidR="009D6162" w:rsidRPr="00CA6CBB">
        <w:t>Grupo de trabajo sobre medidas de seguimiento integradas (</w:t>
      </w:r>
      <w:r w:rsidRPr="00CA6CBB">
        <w:t>IMM</w:t>
      </w:r>
      <w:r w:rsidR="009D6162" w:rsidRPr="00CA6CBB">
        <w:t xml:space="preserve">) </w:t>
      </w:r>
      <w:r w:rsidRPr="00CA6CBB">
        <w:t xml:space="preserve">y al </w:t>
      </w:r>
      <w:r w:rsidR="00625757" w:rsidRPr="00CA6CBB">
        <w:t>Grupo de Trabajo Permanente para la mejora de las estadísticas y de las medidas de conservación de ICCAT (</w:t>
      </w:r>
      <w:r w:rsidRPr="00CA6CBB">
        <w:t>GTP</w:t>
      </w:r>
      <w:r w:rsidR="00625757" w:rsidRPr="00CA6CBB">
        <w:t>)</w:t>
      </w:r>
      <w:r w:rsidRPr="00CA6CBB">
        <w:t xml:space="preserve"> sobre la propuesta de adoptar un número de registro portuario obligatorio de ICCAT (</w:t>
      </w:r>
      <w:proofErr w:type="spellStart"/>
      <w:r w:rsidRPr="00CA6CBB">
        <w:t>PortID</w:t>
      </w:r>
      <w:proofErr w:type="spellEnd"/>
      <w:r w:rsidRPr="00CA6CBB">
        <w:t xml:space="preserve">) como identificador único de puerto (indicando las necesidades del IOMS y las ventajas asociadas), examinar las medidas actuales y aclarar qué campos son obligatorios, así como formular las recomendaciones oportunas. Al mismo tiempo, el Grupo también propuso plantear la cuestión de la sustitución y publicación de los futuros datos del registro portuario de la IOMS (sitio web actual: </w:t>
      </w:r>
      <w:hyperlink r:id="rId33" w:history="1">
        <w:r w:rsidRPr="00CA6CBB">
          <w:rPr>
            <w:rStyle w:val="Hyperlink"/>
            <w:u w:val="none"/>
          </w:rPr>
          <w:t>Registro ICCAT de puertos autorizados</w:t>
        </w:r>
      </w:hyperlink>
      <w:r w:rsidRPr="00CA6CBB">
        <w:t xml:space="preserve">), que estará disponible en tiempo real, al IMM y </w:t>
      </w:r>
      <w:r w:rsidR="00212505" w:rsidRPr="00CA6CBB">
        <w:t>al</w:t>
      </w:r>
      <w:r w:rsidRPr="00CA6CBB">
        <w:t xml:space="preserve"> GTP, a fin de que puedan ofrecer más orientación.</w:t>
      </w:r>
    </w:p>
    <w:p w14:paraId="28D3D82C" w14:textId="77777777" w:rsidR="00216BB3" w:rsidRPr="00CA6CBB" w:rsidRDefault="00216BB3" w:rsidP="00CF0787"/>
    <w:p w14:paraId="31C3C049" w14:textId="30E82C06" w:rsidR="0018539A" w:rsidRPr="00CA6CBB" w:rsidRDefault="00032B23" w:rsidP="00CF0787">
      <w:r w:rsidRPr="00CA6CBB">
        <w:t>El Grupo preguntó cuándo estará listo el gestor de puertos para su puesta en producción. La Secretaría considera que el código fuente del módulo está prácticamente completo y que estará listo una vez finalizada la fase de pruebas y tras realizar algunos ajustes acordados durante la reunión (cambios en la interfaz, actualización del formulario CP24 para incluir nuevos campos, etc.). El presidente añadió que también es necesario impartir una sesión de formación específica para el gestor de puertos antes de su puesta en marcha y dejó en manos de las secciones pertinentes la toma de las decisiones finales (debate sobre el plan de trabajo y planificación de los talleres).</w:t>
      </w:r>
    </w:p>
    <w:p w14:paraId="717CAC80" w14:textId="77777777" w:rsidR="00CF0787" w:rsidRPr="00CA6CBB" w:rsidRDefault="00CF0787" w:rsidP="00CF0787"/>
    <w:p w14:paraId="1BB0CCF8" w14:textId="4BC4CE48" w:rsidR="00CF0787" w:rsidRPr="00CA6CBB" w:rsidRDefault="00CF0787" w:rsidP="00976CBF">
      <w:pPr>
        <w:pStyle w:val="Heading3"/>
        <w:tabs>
          <w:tab w:val="left" w:pos="567"/>
        </w:tabs>
        <w:ind w:left="284" w:hanging="284"/>
        <w:rPr>
          <w:b w:val="0"/>
          <w:bCs w:val="0"/>
        </w:rPr>
      </w:pPr>
      <w:r w:rsidRPr="00CA6CBB">
        <w:rPr>
          <w:b w:val="0"/>
        </w:rPr>
        <w:t>Módulos de capturas nominales de tarea 1 y de tablas de cumplimiento</w:t>
      </w:r>
    </w:p>
    <w:p w14:paraId="3AE50265" w14:textId="77777777" w:rsidR="00DA72CE" w:rsidRPr="00CA6CBB" w:rsidRDefault="00DA72CE" w:rsidP="00CF0787"/>
    <w:p w14:paraId="1D47DDBD" w14:textId="17EA133A" w:rsidR="00B30C34" w:rsidRPr="00CA6CBB" w:rsidRDefault="00B30C34" w:rsidP="00B30C34">
      <w:r w:rsidRPr="00CA6CBB">
        <w:t>La Secretaría preparó una presentación en la que se describían los módulos «gestor de T1NC (capturas nominales de Tarea 1)» y «COCT (Tablas de cumplimiento), dos nuevos componentes del IOMS destinados a gestionar dos disposiciones diferentes de ICCAT en materia de datos que se complementan entre sí (por ejemplo: la información gestionada por T1NC puede utilizarse como datos preliminares de COCT, si los datos de COCT no están disponibles cuando sea necesario), lo que obliga a que estos dos módulos tengan un alto grado de interoperabilidad. Los datos del T1NC se utilizan principalmente con fines científicos (Comité científico de ICCAT, SCRS), mientras que los datos de COCT se utilizan principalmente con fines de cumplimiento (Comité de cumplimiento de ICCAT, COC). Ambos conjuntos de datos proporcionados contienen información sobre las capturas anuales por especie basada en la CPC, con distintos niveles de detalle, pero con estructuras fácilmente comparables. A pesar de que sus objetivos son diferentes, estas capturas deberían reflejar volúmenes similares. El módulo COCT gestionará las capturas y desembarques declarados que se comuniquen en el formulario CP13, además de la información adicional relacionada con las medidas de ICCAT, como los totales admisibles de captura (TAC) y los límites de captura basados en stocks, así como las cuotas asignadas a las CPC.</w:t>
      </w:r>
    </w:p>
    <w:p w14:paraId="5FA12886" w14:textId="77777777" w:rsidR="00BE772B" w:rsidRPr="00CA6CBB" w:rsidRDefault="00BE772B" w:rsidP="00B30C34"/>
    <w:p w14:paraId="0B4CADB1" w14:textId="442C18FB" w:rsidR="00376C5E" w:rsidRPr="00CA6CBB" w:rsidRDefault="00F33223" w:rsidP="00B30C34">
      <w:r w:rsidRPr="00CA6CBB">
        <w:t>Tal y como estaba previsto, las actividades de estos dos módulos ya comenzaron a mediados de 2025 y varias tareas siguen en curso. Una de las principales se centra en el trabajo con bases de datos, con una reestructuración completa de la actual base de datos T1NC en ICCAT-DB y el desarrollo de una nueva base de datos para COCT. Otra tarea importante consiste en adaptar la información existente a las necesidades del IOMS. En el caso de los datos T1NC (que se actualizan continuamente en la base de datos ICCAT-DB), la reestructuración necesaria será sencilla. En el caso de los datos de COCT (datos no estructurados que se encuentran en múltiples archivos y formatos), será necesario llevar a cabo un complejo proceso de tratamiento de datos para estandarizar los datos existentes. Los formularios estándar que utilizan los dos módulos (ST02 para T1NC y CP13 para COCT) para cargar la información en el IOMS (modo de trabajo sin conexión) también se están revisando. El formulario ST02 ya está estandarizado y requiere modificaciones mínimas. Sin embargo, el formulario CP13 no está estandarizado y será necesario someterlo a una revisión en profundidad. Está previsto que estas actividades concluyan a finales de junio de 2026, momento en el que comenzará la implementación del código fuente para ambos módulos.</w:t>
      </w:r>
    </w:p>
    <w:p w14:paraId="72C38B86" w14:textId="77777777" w:rsidR="00376C5E" w:rsidRPr="00CA6CBB" w:rsidRDefault="00376C5E" w:rsidP="00B30C34"/>
    <w:p w14:paraId="1AA468C9" w14:textId="08D6972A" w:rsidR="00111C57" w:rsidRPr="00CA6CBB" w:rsidRDefault="00376C5E" w:rsidP="00B30C34">
      <w:r w:rsidRPr="00CA6CBB">
        <w:t xml:space="preserve">A lo largo del año se preparan numerosos informes estándar, elaborados a partir de los datos de T1NC y COCT, para las distintas reuniones de ICCAT. Estos resultados fundamentales deben reproducirse en los dos módulos del IOMS (servicios web y otras herramientas), lo que supondrá una tarea que requerirá mucho tiempo. Por lo tanto, una de las prioridades será reproducir en el IOMS las funciones de salida de T1NC y de COCT. A este respecto, la Secretaría señaló un aspecto fundamental del módulo COCT, relacionado con los complejos criterios (cientos de normas y condiciones) que se aplican para obtener las cuotas ajustadas según la CPC. El complejo conjunto de reglas y su aplicación condicional hacen que resulte extremadamente difícil reproducir esta funcionalidad en el IOMS en una fase inicial. Hasta que no se estudien más a fondo esos criterios, este resultado no se desarrollará ni se integrará en el IOMS.   </w:t>
      </w:r>
    </w:p>
    <w:p w14:paraId="6D97E5F3" w14:textId="77777777" w:rsidR="00111C57" w:rsidRPr="00CA6CBB" w:rsidRDefault="00111C57" w:rsidP="00B30C34"/>
    <w:p w14:paraId="13C38EF2" w14:textId="2B71EC48" w:rsidR="00E769D2" w:rsidRPr="00CA6CBB" w:rsidRDefault="00111C57" w:rsidP="00B30C34">
      <w:r w:rsidRPr="00CA6CBB">
        <w:lastRenderedPageBreak/>
        <w:t>Una de las últimas tareas previstas antes de poner en producción estos dos módulos es la migración final «unidireccional» de la base de datos (de ICCAT-DB a IOMS) de los datos existentes de T1NC y COCT. Esta tarea específica y crucial requerirá un código especialmente diseñado para reducir al mínimo el tiempo dedicado a la migración. La migración a T1NC abarcará todos los datos existentes desde 1950 (hay algunas series de capturas incompletas anteriores a 1950 para el atún rojo y el atún blanco que, para poder incluirlas, requerirán la colaboración del SCRS). La migración de COCT abarcará los años para los que la Secretaría ha podido recuperar los datos relativos al trabajo de tratamiento y armonización (sin duda desde 2016, pero es posible que incluso antes de 2016, teniendo en cuenta que las primeras tablas de cumplimiento se adoptaron o publicaron alrededor de 2006-2007).</w:t>
      </w:r>
    </w:p>
    <w:p w14:paraId="409893AA" w14:textId="77777777" w:rsidR="00E769D2" w:rsidRPr="00CA6CBB" w:rsidRDefault="00E769D2" w:rsidP="00B30C34"/>
    <w:p w14:paraId="2EE9AF4A" w14:textId="3C4FAD6C" w:rsidR="00D179E7" w:rsidRPr="00CA6CBB" w:rsidRDefault="00652260" w:rsidP="002B2D9B">
      <w:r w:rsidRPr="00CA6CBB">
        <w:t xml:space="preserve">El presidente felicitó a la Secretaría por los logros alcanzados en los dos módulos y preguntó si los datos sobre el cumplimiento (gestionados por el módulo COCT) y los datos científicos (gestionados por el módulo T1NC) son estimaciones basadas en fuentes de datos iguales o diferentes. La Secretaría parte de la base de que ambos se basan en las mismas fuentes de datos, pero utilizan métodos de estimación ligeramente diferentes. Si bien los datos de T1NC están estandarizados para reflejar siempre la mejor estimación científica de las capturas totales de biomasa (desembarques más descartes de peces muertos más la tasa de mortalidad de los peces liberados vivos expresada en biomasa) en peso vivo y para todas las pesquerías (incluida la de recreo), las estimaciones de los datos de cumplimiento no están estandarizadas para expresarse siempre en peso vivo ni abarcan todas las parcelas de biomasa de la captura total (en algunos casos solo se tienen en cuenta los desembarques) de todas las pesquerías. Por lo tanto, cabe esperar algunas ligeras variaciones (de aproximadamente ±5 % en peso) por año y por CPC en cada stock de ICCAT. Lo ideal sería que los datos de cumplimiento se estandarizaran de forma similar a los datos T1NC, pero esta estandarización no siempre es posible. La Secretaría señaló asimismo que el SCRS lleva a cabo una revisión continua de T1NC y que, si faltan algunos lotes de capturas de una determinada pesquería (por ejemplo: (componente de la flota de una CPC), dichos datos se añaden a la serie de capturas como estimaciones preliminares del SCRS (utilizando las técnicas adecuadas u otras fuentes de información, si existen). </w:t>
      </w:r>
    </w:p>
    <w:p w14:paraId="1AC6568C" w14:textId="77777777" w:rsidR="00A07FF2" w:rsidRPr="00CA6CBB" w:rsidRDefault="00A07FF2" w:rsidP="002B2D9B"/>
    <w:p w14:paraId="2E9D8C09" w14:textId="566FFD78" w:rsidR="00A07FF2" w:rsidRPr="00CA6CBB" w:rsidRDefault="00A07FF2" w:rsidP="002B2D9B">
      <w:r w:rsidRPr="00CA6CBB">
        <w:t>Se planteó una pregunta sobre la política de difusión de datos a través de las API públicas del IOMS. ¿La información gestionada por los gestores de T1NC y COCT estará disponible para todos los usuarios o habrá restricciones? La Secretaría informó de que, de acuerdo con la política de difusión de datos de ICCAT (</w:t>
      </w:r>
      <w:hyperlink r:id="rId34" w:tgtFrame="_blank" w:history="1">
        <w:r w:rsidRPr="00CA6CBB">
          <w:rPr>
            <w:rStyle w:val="Hyperlink"/>
            <w:u w:val="none"/>
          </w:rPr>
          <w:t>Normas y procedimientos para la protección, acceso y difusión de los datos compilados por ICCAT</w:t>
        </w:r>
      </w:hyperlink>
      <w:r w:rsidRPr="00CA6CBB">
        <w:t xml:space="preserve">, (actualmente en proceso de revisión por parte del SCRS), los datos de T1NC son de dominio público y pueden ser utilizados por cualquier persona, mientras que los datos de COCT suelen estar disponibles en la reunión anual de la Comisión y se publican en la web para que el público en general pueda acceder a ellos. El presidente confirmó que las API públicas del IOMS destinadas a difundir estos datos se ajustarán estrictamente a la política actual de ICCAT. </w:t>
      </w:r>
    </w:p>
    <w:p w14:paraId="259CE30B" w14:textId="77777777" w:rsidR="00B7160F" w:rsidRPr="00CA6CBB" w:rsidRDefault="00B7160F" w:rsidP="002B2D9B"/>
    <w:p w14:paraId="1F5556E5" w14:textId="5B7027FB" w:rsidR="00B7160F" w:rsidRPr="00CA6CBB" w:rsidRDefault="00B7160F" w:rsidP="002B2D9B">
      <w:r w:rsidRPr="00CA6CBB">
        <w:t xml:space="preserve">Japón recordó sus particularidades en lo que respecta al suministro de datos gestionado por estos dos módulos. Mientras que los datos de T1NC se comunican por año natural, los datos de COCT se refieren al año pesquero. Este hecho debe tenerse en cuenta durante el desarrollo. </w:t>
      </w:r>
    </w:p>
    <w:p w14:paraId="37BC8197" w14:textId="77777777" w:rsidR="00446897" w:rsidRPr="00CA6CBB" w:rsidRDefault="00446897" w:rsidP="002B2D9B"/>
    <w:p w14:paraId="2C1D4162" w14:textId="377C3951" w:rsidR="00B91489" w:rsidRPr="00CA6CBB" w:rsidRDefault="00446897" w:rsidP="002B2D9B">
      <w:r w:rsidRPr="00CA6CBB">
        <w:t xml:space="preserve">Teniendo en cuenta la gran cantidad de compromisos del equipo del IOMS, así como las actividades en curso y previstas relacionadas con estos dos nuevos módulos (gestor de T1NC y gestor de COCT), y la formación necesaria que se avecina (quizás dos sesiones para cada uno), el presidente propuso fijar como fecha objetivo alrededor de agosto de 2027 para la puesta en marcha de ambos módulos. </w:t>
      </w:r>
    </w:p>
    <w:p w14:paraId="33AFA89A" w14:textId="77777777" w:rsidR="00B91489" w:rsidRPr="00CA6CBB" w:rsidRDefault="00B91489">
      <w:pPr>
        <w:pBdr>
          <w:top w:val="none" w:sz="0" w:space="0" w:color="auto"/>
          <w:left w:val="none" w:sz="0" w:space="0" w:color="auto"/>
          <w:bottom w:val="none" w:sz="0" w:space="0" w:color="auto"/>
          <w:right w:val="none" w:sz="0" w:space="0" w:color="auto"/>
          <w:between w:val="none" w:sz="0" w:space="0" w:color="auto"/>
        </w:pBdr>
        <w:spacing w:after="160" w:line="257" w:lineRule="auto"/>
        <w:jc w:val="left"/>
      </w:pPr>
      <w:r w:rsidRPr="00CA6CBB">
        <w:br w:type="page"/>
      </w:r>
    </w:p>
    <w:p w14:paraId="58710646" w14:textId="77777777" w:rsidR="000F2ED2" w:rsidRPr="00CA6CBB" w:rsidRDefault="000F2ED2" w:rsidP="007C3AA8">
      <w:pPr>
        <w:pStyle w:val="Heading3"/>
        <w:ind w:left="567" w:hanging="567"/>
        <w:rPr>
          <w:rFonts w:eastAsiaTheme="majorEastAsia"/>
          <w:b w:val="0"/>
          <w:bCs w:val="0"/>
        </w:rPr>
      </w:pPr>
      <w:r w:rsidRPr="00CA6CBB">
        <w:rPr>
          <w:rFonts w:eastAsiaTheme="majorEastAsia"/>
          <w:b w:val="0"/>
        </w:rPr>
        <w:lastRenderedPageBreak/>
        <w:t>Módulo de hojas de comprobación de tiburones y de istiofóridos</w:t>
      </w:r>
    </w:p>
    <w:p w14:paraId="030A9F6C" w14:textId="77777777" w:rsidR="000F2ED2" w:rsidRPr="00CA6CBB" w:rsidRDefault="000F2ED2" w:rsidP="000F2ED2">
      <w:pPr>
        <w:rPr>
          <w:rFonts w:asciiTheme="minorHAnsi" w:eastAsiaTheme="majorEastAsia" w:hAnsiTheme="minorHAnsi"/>
        </w:rPr>
      </w:pPr>
    </w:p>
    <w:p w14:paraId="4992AC9A" w14:textId="77777777" w:rsidR="000F2ED2" w:rsidRPr="00CA6CBB" w:rsidRDefault="000F2ED2" w:rsidP="000F2ED2">
      <w:pPr>
        <w:rPr>
          <w:rFonts w:asciiTheme="minorHAnsi" w:eastAsiaTheme="majorEastAsia" w:hAnsiTheme="minorHAnsi"/>
        </w:rPr>
      </w:pPr>
      <w:r w:rsidRPr="00CA6CBB">
        <w:rPr>
          <w:rFonts w:asciiTheme="minorHAnsi" w:eastAsiaTheme="majorEastAsia" w:hAnsiTheme="minorHAnsi"/>
        </w:rPr>
        <w:t>El presidente recordó que el trabajo de armonización de las hojas de comprobación de tiburones/istiofóridos (SBCS) era una tarea intersesiones de este Grupo, consistente en colaborar con los presidentes de la Subcomisión 4 y del Comité de Cumplimiento para estandarizar y mejorar las plantillas SBCS existentes, de modo que puedan integrarse de forma más eficaz en el IOMS. Incluía actividades encaminadas a la eliminación de la redundancia de las SBCS. En la reunión anual de la Comisión de 2025 el presidente del WG-ORT y la Secretaría presentaron el documento “Directrices destinadas a simplificar las hojas de comprobación de istiofóridos y tiburones, basadas en las presentadas en 2025” (</w:t>
      </w:r>
      <w:hyperlink r:id="rId35" w:history="1">
        <w:r w:rsidRPr="00CA6CBB">
          <w:rPr>
            <w:rStyle w:val="Hyperlink"/>
            <w:rFonts w:asciiTheme="minorHAnsi" w:eastAsiaTheme="majorEastAsia" w:hAnsiTheme="minorHAnsi"/>
            <w:u w:val="none"/>
          </w:rPr>
          <w:t>COC_321/2025</w:t>
        </w:r>
      </w:hyperlink>
      <w:r w:rsidRPr="00CA6CBB">
        <w:rPr>
          <w:rFonts w:asciiTheme="minorHAnsi" w:eastAsiaTheme="majorEastAsia" w:hAnsiTheme="minorHAnsi"/>
        </w:rPr>
        <w:t xml:space="preserve">), en el que se resumía este trabajo conjunto y se recogían las directrices para simplificar el trabajo de armonización de las SBCS. La información de contexto en la que se basa el documento se describe en la sección 8 del </w:t>
      </w:r>
      <w:hyperlink r:id="rId36" w:history="1">
        <w:r w:rsidRPr="00CA6CBB">
          <w:rPr>
            <w:rStyle w:val="Hyperlink"/>
            <w:rFonts w:asciiTheme="minorHAnsi" w:eastAsiaTheme="majorEastAsia" w:hAnsiTheme="minorHAnsi"/>
            <w:u w:val="none"/>
          </w:rPr>
          <w:t>informe de la reunión del Grupo de trabajo sobre tecnología de comunicación en línea (WG-ORT)</w:t>
        </w:r>
      </w:hyperlink>
      <w:r w:rsidRPr="00CA6CBB">
        <w:rPr>
          <w:rFonts w:asciiTheme="minorHAnsi" w:eastAsiaTheme="majorEastAsia" w:hAnsiTheme="minorHAnsi"/>
        </w:rPr>
        <w:t xml:space="preserve"> celebrada en 2025 y en informes anteriores del WG-ORT.</w:t>
      </w:r>
    </w:p>
    <w:p w14:paraId="1AF47CE5" w14:textId="77777777" w:rsidR="000F2ED2" w:rsidRPr="00CA6CBB" w:rsidRDefault="000F2ED2" w:rsidP="000F2ED2">
      <w:pPr>
        <w:rPr>
          <w:rFonts w:asciiTheme="minorHAnsi" w:eastAsiaTheme="majorEastAsia" w:hAnsiTheme="minorHAnsi"/>
        </w:rPr>
      </w:pPr>
    </w:p>
    <w:p w14:paraId="30682BB8" w14:textId="77777777" w:rsidR="000F2ED2" w:rsidRPr="00CA6CBB" w:rsidRDefault="000F2ED2" w:rsidP="000F2ED2">
      <w:pPr>
        <w:rPr>
          <w:rFonts w:asciiTheme="minorHAnsi" w:eastAsiaTheme="majorEastAsia" w:hAnsiTheme="minorHAnsi"/>
        </w:rPr>
      </w:pPr>
      <w:r w:rsidRPr="00CA6CBB">
        <w:rPr>
          <w:rFonts w:asciiTheme="minorHAnsi" w:eastAsiaTheme="majorEastAsia" w:hAnsiTheme="minorHAnsi"/>
        </w:rPr>
        <w:t>La Secretaría, tras presentar brevemente los objetivos del futuro módulo Gestor de las SBCS, expuso los avances realizados en la estandarización de los modelos actuales de las SBCS en formato de hoja de cálculo (EXCEL), con el fin de alcanzar los objetivos a corto plazo descritos en la sección de directrices del documento “Directrices destinadas a simplificar las hojas de comprobación de istiofóridos y tiburones, basadas en las presentadas en 2025” (</w:t>
      </w:r>
      <w:hyperlink r:id="rId37" w:history="1">
        <w:r w:rsidRPr="00CA6CBB">
          <w:rPr>
            <w:rStyle w:val="Hyperlink"/>
            <w:rFonts w:asciiTheme="minorHAnsi" w:eastAsiaTheme="majorEastAsia" w:hAnsiTheme="minorHAnsi"/>
            <w:u w:val="none"/>
          </w:rPr>
          <w:t>COC_321/2025</w:t>
        </w:r>
      </w:hyperlink>
      <w:r w:rsidRPr="00CA6CBB">
        <w:rPr>
          <w:rFonts w:asciiTheme="minorHAnsi" w:eastAsiaTheme="majorEastAsia" w:hAnsiTheme="minorHAnsi"/>
        </w:rPr>
        <w:t>). Constituyen el trabajo preliminar para la elaboración de los formularios estándar de las SBCS en Excel (tipos de formulario CP). La Secretaría describió la estructura tabular recomendada (campos) y puso de manifiesto la utilidad de algunas características de los formularios estandarizados de ICCAT. Características como el multilingüismo, la inclusión de códigos de ICCAT, la incorporación de instrucciones en los tres idiomas oficiales de ICCAT, las respuestas limitadas, la edición limitada en algunos rangos de celdas, la capacidad de filtrado y otras, hacen que la cumplimentación de esos formularios estándar sea más objetiva y menos propensa a errores y, al mismo tiempo, simplifican el tratamiento y el almacenamiento de la información que se introduce en dichos modelos. El ejemplo de las SBCS presentado para los istiofóridos (unas 22 preguntas) también se utilizará para elaborar el formulario de las SBCS para los tiburones (unas 84 preguntas). Cada pregunta llevará un número único para simplificar futuras modificaciones en las hojas de comprobación y conservar el historial. Se utilizarán las respuestas de las hojas de comprobación de tiburones e istiofóridos facilitadas por las CPC en los modelos actuales correspondientes a los tres años anteriores (2023 a 2025) —tras su procesamiento y estandarización— para perfeccionar los nuevos formularios de las SBSC tanto de tiburones como de istiofóridos. La Secretaría seguirá perfeccionando los nuevos modelos hasta que esté lista una versión más detallada para su examen en la reunión anual de la Comisión de 2026.</w:t>
      </w:r>
    </w:p>
    <w:p w14:paraId="2761F31C" w14:textId="77777777" w:rsidR="000F2ED2" w:rsidRPr="00CA6CBB" w:rsidRDefault="000F2ED2" w:rsidP="000F2ED2">
      <w:pPr>
        <w:rPr>
          <w:rFonts w:asciiTheme="minorHAnsi" w:eastAsiaTheme="majorEastAsia" w:hAnsiTheme="minorHAnsi"/>
        </w:rPr>
      </w:pPr>
    </w:p>
    <w:p w14:paraId="73B834AA" w14:textId="77777777" w:rsidR="000F2ED2" w:rsidRPr="00CA6CBB" w:rsidRDefault="000F2ED2" w:rsidP="000F2ED2">
      <w:pPr>
        <w:rPr>
          <w:rFonts w:asciiTheme="minorHAnsi" w:eastAsiaTheme="majorEastAsia" w:hAnsiTheme="minorHAnsi"/>
        </w:rPr>
      </w:pPr>
      <w:r w:rsidRPr="00CA6CBB">
        <w:rPr>
          <w:rFonts w:asciiTheme="minorHAnsi" w:eastAsiaTheme="majorEastAsia" w:hAnsiTheme="minorHAnsi"/>
        </w:rPr>
        <w:t xml:space="preserve">El presidente felicitó a la Secretaría por los avances logrados en este asunto y solicitó a los participantes que dieran su opinión sobre la propuesta de la Secretaría. Teniendo en cuenta que el Grupo podría necesitar realizar un trabajo adicional para estudiar en detalle la estructura y los formatos propuestos de los modelos, el presidente propuso abordar estas cuestiones en profundidad en el punto 12 “Trabajo intersesiones requerido en 2026”. El Grupo se mostró de acuerdo con la propuesta del presidente. </w:t>
      </w:r>
    </w:p>
    <w:p w14:paraId="7CC94023" w14:textId="77777777" w:rsidR="000F2ED2" w:rsidRPr="00CA6CBB" w:rsidRDefault="000F2ED2" w:rsidP="000F2ED2">
      <w:pPr>
        <w:rPr>
          <w:rFonts w:asciiTheme="minorHAnsi" w:eastAsiaTheme="majorEastAsia" w:hAnsiTheme="minorHAnsi"/>
        </w:rPr>
      </w:pPr>
    </w:p>
    <w:p w14:paraId="4FAE6B96" w14:textId="77777777" w:rsidR="000F2ED2" w:rsidRPr="00CA6CBB" w:rsidRDefault="000F2ED2" w:rsidP="007C3AA8">
      <w:pPr>
        <w:pStyle w:val="Heading3"/>
        <w:ind w:left="426" w:hanging="437"/>
        <w:rPr>
          <w:rFonts w:eastAsiaTheme="majorEastAsia"/>
          <w:b w:val="0"/>
          <w:bCs w:val="0"/>
        </w:rPr>
      </w:pPr>
      <w:r w:rsidRPr="00CA6CBB">
        <w:rPr>
          <w:rFonts w:eastAsiaTheme="majorEastAsia"/>
          <w:b w:val="0"/>
        </w:rPr>
        <w:t>Mejoras en la arquitectura del IOMS</w:t>
      </w:r>
    </w:p>
    <w:p w14:paraId="7162307B" w14:textId="77777777" w:rsidR="000F2ED2" w:rsidRPr="00CA6CBB" w:rsidRDefault="000F2ED2" w:rsidP="000F2ED2">
      <w:pPr>
        <w:rPr>
          <w:rFonts w:asciiTheme="minorHAnsi" w:eastAsiaTheme="majorEastAsia" w:hAnsiTheme="minorHAnsi"/>
        </w:rPr>
      </w:pPr>
    </w:p>
    <w:p w14:paraId="5EEADA77" w14:textId="77777777" w:rsidR="000F2ED2" w:rsidRPr="00CA6CBB" w:rsidRDefault="000F2ED2" w:rsidP="000F2ED2">
      <w:pPr>
        <w:rPr>
          <w:rFonts w:asciiTheme="minorHAnsi" w:eastAsiaTheme="majorEastAsia" w:hAnsiTheme="minorHAnsi"/>
        </w:rPr>
      </w:pPr>
      <w:r w:rsidRPr="00CA6CBB">
        <w:rPr>
          <w:rFonts w:asciiTheme="minorHAnsi" w:eastAsiaTheme="majorEastAsia" w:hAnsiTheme="minorHAnsi"/>
        </w:rPr>
        <w:t xml:space="preserve">La Secretaría realizó una presentación en la que expuso los motivos que justifican la necesidad de actualizar la arquitectura del IOMS e informó sobre los logros alcanzados durante el último año. La actualización se completó en los últimos meses para los dos entornos del IOMS necesarios (producción y </w:t>
      </w:r>
      <w:proofErr w:type="spellStart"/>
      <w:r w:rsidRPr="00CA6CBB">
        <w:rPr>
          <w:rFonts w:asciiTheme="minorHAnsi" w:eastAsiaTheme="majorEastAsia" w:hAnsiTheme="minorHAnsi"/>
        </w:rPr>
        <w:t>sandbox</w:t>
      </w:r>
      <w:proofErr w:type="spellEnd"/>
      <w:r w:rsidRPr="00CA6CBB">
        <w:rPr>
          <w:rFonts w:asciiTheme="minorHAnsi" w:eastAsiaTheme="majorEastAsia" w:hAnsiTheme="minorHAnsi"/>
        </w:rPr>
        <w:t xml:space="preserve">). La nueva arquitectura se implementó en un centro de datos de Microsoft Azure (utilizando </w:t>
      </w:r>
      <w:proofErr w:type="spellStart"/>
      <w:r w:rsidRPr="00CA6CBB">
        <w:rPr>
          <w:rFonts w:asciiTheme="minorHAnsi" w:eastAsiaTheme="majorEastAsia" w:hAnsiTheme="minorHAnsi"/>
        </w:rPr>
        <w:t>Kubernetes</w:t>
      </w:r>
      <w:proofErr w:type="spellEnd"/>
      <w:r w:rsidRPr="00CA6CBB">
        <w:rPr>
          <w:rFonts w:asciiTheme="minorHAnsi" w:eastAsiaTheme="majorEastAsia" w:hAnsiTheme="minorHAnsi"/>
        </w:rPr>
        <w:t xml:space="preserve"> para orquestar, implementar y gestionar automáticamente los nodos de servidores en la nube), sustituyendo a los antiguos servidores en la nube del IOMS alojados en el centro de datos de </w:t>
      </w:r>
      <w:proofErr w:type="spellStart"/>
      <w:r w:rsidRPr="00CA6CBB">
        <w:rPr>
          <w:rFonts w:asciiTheme="minorHAnsi" w:eastAsiaTheme="majorEastAsia" w:hAnsiTheme="minorHAnsi"/>
        </w:rPr>
        <w:t>Rackspace</w:t>
      </w:r>
      <w:proofErr w:type="spellEnd"/>
      <w:r w:rsidRPr="00CA6CBB">
        <w:rPr>
          <w:rFonts w:asciiTheme="minorHAnsi" w:eastAsiaTheme="majorEastAsia" w:hAnsiTheme="minorHAnsi"/>
        </w:rPr>
        <w:t>, que se cerrará tras replicar el servidor FLUX-TL en Azure. Gracias a este logro, la infraestructura del IOMS está hoy preparada para el futuro, especialmente en aspectos relevantes para el IOMS, como una mayor flexibilidad, resiliencia, escalabilidad y mantenimiento.</w:t>
      </w:r>
    </w:p>
    <w:p w14:paraId="72CBE3C4" w14:textId="77777777" w:rsidR="000F2ED2" w:rsidRPr="00CA6CBB" w:rsidRDefault="000F2ED2" w:rsidP="000F2ED2">
      <w:pPr>
        <w:rPr>
          <w:rFonts w:asciiTheme="minorHAnsi" w:eastAsiaTheme="majorEastAsia" w:hAnsiTheme="minorHAnsi"/>
        </w:rPr>
      </w:pPr>
    </w:p>
    <w:p w14:paraId="12EDBC8F" w14:textId="77777777" w:rsidR="000F2ED2" w:rsidRPr="00CA6CBB" w:rsidRDefault="000F2ED2" w:rsidP="000F2ED2">
      <w:pPr>
        <w:rPr>
          <w:rFonts w:asciiTheme="minorHAnsi" w:eastAsiaTheme="majorEastAsia" w:hAnsiTheme="minorHAnsi"/>
        </w:rPr>
      </w:pPr>
      <w:r w:rsidRPr="00CA6CBB">
        <w:rPr>
          <w:rFonts w:asciiTheme="minorHAnsi" w:eastAsiaTheme="majorEastAsia" w:hAnsiTheme="minorHAnsi"/>
        </w:rPr>
        <w:t xml:space="preserve">El equipo del IOMS también proporcionó un breve resumen de los costes detallados de Azure para ambos entornos, incluyendo el posible aumento previsto de los costes derivados de ampliar la capacidad de los nodos del servidor del IOMS debido al aumento de la demanda de trabajo de IOMS. Se trata de valores muy preliminares y no abarcan un año completo (solo seis meses con el Gestor de buques y el Gestor de formularios en producción). Por lo tanto, el coste total observado de 9.000 euros/año habría sido de unos 14.000 euros/año, si se hubieran tenido en cuenta las especificaciones actuales de recursos de los dos </w:t>
      </w:r>
      <w:r w:rsidRPr="00CA6CBB">
        <w:rPr>
          <w:rFonts w:asciiTheme="minorHAnsi" w:eastAsiaTheme="majorEastAsia" w:hAnsiTheme="minorHAnsi"/>
        </w:rPr>
        <w:lastRenderedPageBreak/>
        <w:t>entornos del IOMS. En el futuro se presentarán estadísticas más completas. La Secretaría también informó de que actualmente está trabajando en ambos entornos del IOMS en tareas de ajuste (por ejemplo, la incorporación de una caché local para acelerar operaciones cruciales), lo que optimizará aún más la velocidad y la eficiencia del IOMS.</w:t>
      </w:r>
    </w:p>
    <w:p w14:paraId="45677238" w14:textId="77777777" w:rsidR="000F2ED2" w:rsidRPr="00CA6CBB" w:rsidRDefault="000F2ED2" w:rsidP="000F2ED2">
      <w:pPr>
        <w:rPr>
          <w:rFonts w:asciiTheme="minorHAnsi" w:eastAsiaTheme="majorEastAsia" w:hAnsiTheme="minorHAnsi"/>
        </w:rPr>
      </w:pPr>
    </w:p>
    <w:p w14:paraId="2C95B7FF" w14:textId="77777777" w:rsidR="000F2ED2" w:rsidRPr="00CA6CBB" w:rsidRDefault="000F2ED2" w:rsidP="000F2ED2">
      <w:pPr>
        <w:rPr>
          <w:rFonts w:asciiTheme="minorHAnsi" w:eastAsiaTheme="majorEastAsia" w:hAnsiTheme="minorHAnsi"/>
        </w:rPr>
      </w:pPr>
      <w:r w:rsidRPr="00CA6CBB">
        <w:rPr>
          <w:rFonts w:asciiTheme="minorHAnsi" w:eastAsiaTheme="majorEastAsia" w:hAnsiTheme="minorHAnsi"/>
        </w:rPr>
        <w:t xml:space="preserve">Durante el debate, el Grupo acogió con satisfacción la presentación sobre la nueva arquitectura del IOMS y reconoció los esfuerzos realizados para mejorar la robustez, la estabilidad y la seguridad del sistema. Se hizo hincapié en la importancia de garantizar la sostenibilidad a largo plazo y la escalabilidad bajo demanda del sistema. El Grupo también acogió con satisfacción el aumento observado en el uso del IOMS por parte de las CPC de ICCAT durante 2025. </w:t>
      </w:r>
    </w:p>
    <w:p w14:paraId="06C06976" w14:textId="77777777" w:rsidR="000F2ED2" w:rsidRPr="00CA6CBB" w:rsidRDefault="000F2ED2" w:rsidP="000F2ED2">
      <w:pPr>
        <w:rPr>
          <w:rFonts w:asciiTheme="minorHAnsi" w:eastAsiaTheme="majorEastAsia" w:hAnsiTheme="minorHAnsi"/>
        </w:rPr>
      </w:pPr>
    </w:p>
    <w:p w14:paraId="1E9A93B5" w14:textId="77777777" w:rsidR="000F2ED2" w:rsidRPr="00CA6CBB" w:rsidRDefault="000F2ED2" w:rsidP="000F2ED2">
      <w:pPr>
        <w:rPr>
          <w:rFonts w:asciiTheme="minorHAnsi" w:eastAsiaTheme="majorEastAsia" w:hAnsiTheme="minorHAnsi"/>
        </w:rPr>
      </w:pPr>
      <w:r w:rsidRPr="00CA6CBB">
        <w:rPr>
          <w:rFonts w:asciiTheme="minorHAnsi" w:eastAsiaTheme="majorEastAsia" w:hAnsiTheme="minorHAnsi"/>
        </w:rPr>
        <w:t xml:space="preserve">Los miembros del WG-ORT solicitaron aclaraciones sobre las implicaciones de la transición arquitectónica, incluidos los costes operativos, los requisitos de infraestructura y el impacto previsto en el desempeño del sistema. La Secretaría explicó que la migración a una nueva arquitectura tenía por objeto mejorar los niveles de resiliencia y seguridad, al tiempo que permitía un desarrollo futuro más flexible. Se señaló que las necesidades de infraestructura pueden aumentar en cuanto a potencia y recursos (p. ej., más CPU, memoria y almacenamiento) a medida que se incorporan módulos adicionales y aumenta el uso del sistema. La nueva arquitectura sustituirá por completo a la antigua, una vez que el servidor FLUX-TL (alojado en </w:t>
      </w:r>
      <w:proofErr w:type="spellStart"/>
      <w:r w:rsidRPr="00CA6CBB">
        <w:rPr>
          <w:rFonts w:asciiTheme="minorHAnsi" w:eastAsiaTheme="majorEastAsia" w:hAnsiTheme="minorHAnsi"/>
        </w:rPr>
        <w:t>Rackspace</w:t>
      </w:r>
      <w:proofErr w:type="spellEnd"/>
      <w:r w:rsidRPr="00CA6CBB">
        <w:rPr>
          <w:rFonts w:asciiTheme="minorHAnsi" w:eastAsiaTheme="majorEastAsia" w:hAnsiTheme="minorHAnsi"/>
        </w:rPr>
        <w:t xml:space="preserve">) se haya implementado en Azure. </w:t>
      </w:r>
    </w:p>
    <w:p w14:paraId="2B21574E" w14:textId="77777777" w:rsidR="000F2ED2" w:rsidRPr="00CA6CBB" w:rsidRDefault="000F2ED2" w:rsidP="000F2ED2">
      <w:pPr>
        <w:rPr>
          <w:rFonts w:asciiTheme="minorHAnsi" w:eastAsiaTheme="majorEastAsia" w:hAnsiTheme="minorHAnsi"/>
        </w:rPr>
      </w:pPr>
    </w:p>
    <w:p w14:paraId="391F08EE" w14:textId="77777777" w:rsidR="000F2ED2" w:rsidRPr="00CA6CBB" w:rsidRDefault="000F2ED2" w:rsidP="000F2ED2">
      <w:pPr>
        <w:rPr>
          <w:rFonts w:asciiTheme="minorHAnsi" w:eastAsiaTheme="majorEastAsia" w:hAnsiTheme="minorHAnsi"/>
        </w:rPr>
      </w:pPr>
      <w:r w:rsidRPr="00CA6CBB">
        <w:rPr>
          <w:rFonts w:asciiTheme="minorHAnsi" w:eastAsiaTheme="majorEastAsia" w:hAnsiTheme="minorHAnsi"/>
        </w:rPr>
        <w:t>El WG-ORT tomó nota de la información facilitada y animó a la Secretaría a seguir prestando atención a la escalabilidad, la rentabilidad y la asistencia al usuario a medida que se vayan consolidando las mejoras arquitectónicas. Tras un debate sobre las necesidades presupuestarias actuales y futuras del IOMS para su infraestructura, en particular teniendo en cuenta la creciente demanda de capacidad de servidores derivada de la incorporación de nuevos módulos a largo plazo, el presidente propuso presentar al Comité Permanente de Finanzas y Administración (STACFAD), en la reunión anual de 2026, un presupuesto revisado del IOMS que incorpore este nuevo elemento (con un objetivo de unos 14.000 euros/año). La propuesta fue respaldada por varios participantes. El pico en el uso de los recursos de hardware del IOMS observado en septiembre de 2025, debido a la puesta en producción de dos nuevos módulos (Gestor de buques y Gestor de formularios), confirma lo crucial que es la capacidad de ampliación del hardware para el buen funcionamiento del IOMS.</w:t>
      </w:r>
    </w:p>
    <w:p w14:paraId="76A651C6" w14:textId="77777777" w:rsidR="000F2ED2" w:rsidRPr="00CA6CBB" w:rsidRDefault="000F2ED2" w:rsidP="000F2ED2">
      <w:pPr>
        <w:pStyle w:val="Heading2"/>
        <w:rPr>
          <w:rFonts w:asciiTheme="minorHAnsi" w:eastAsiaTheme="majorEastAsia" w:hAnsiTheme="minorHAnsi"/>
        </w:rPr>
      </w:pPr>
      <w:r w:rsidRPr="00CA6CBB">
        <w:rPr>
          <w:rFonts w:asciiTheme="minorHAnsi" w:eastAsiaTheme="majorEastAsia" w:hAnsiTheme="minorHAnsi"/>
        </w:rPr>
        <w:t xml:space="preserve">Posibles mejoras </w:t>
      </w:r>
    </w:p>
    <w:p w14:paraId="659C056D" w14:textId="77777777" w:rsidR="000F2ED2" w:rsidRPr="00CA6CBB" w:rsidRDefault="000F2ED2" w:rsidP="000F2ED2">
      <w:pPr>
        <w:rPr>
          <w:rFonts w:asciiTheme="minorHAnsi" w:eastAsiaTheme="majorEastAsia" w:hAnsiTheme="minorHAnsi"/>
        </w:rPr>
      </w:pPr>
      <w:r w:rsidRPr="00CA6CBB">
        <w:rPr>
          <w:rFonts w:asciiTheme="minorHAnsi" w:eastAsiaTheme="majorEastAsia" w:hAnsiTheme="minorHAnsi"/>
        </w:rPr>
        <w:t>Para esta sección se elaboraron dos documentos: “Algunos comentarios sobre la mejora de las especificaciones del IOMS” (WG-ORT_03/i2026) presentado por Japón y una presentación preparada por el equipo del IOMS.</w:t>
      </w:r>
    </w:p>
    <w:p w14:paraId="2D89010A" w14:textId="77777777" w:rsidR="000F2ED2" w:rsidRPr="00CA6CBB" w:rsidRDefault="000F2ED2" w:rsidP="000F2ED2">
      <w:pPr>
        <w:rPr>
          <w:rFonts w:asciiTheme="minorHAnsi" w:eastAsiaTheme="majorEastAsia" w:hAnsiTheme="minorHAnsi"/>
        </w:rPr>
      </w:pPr>
    </w:p>
    <w:p w14:paraId="7BF99952" w14:textId="77777777" w:rsidR="000F2ED2" w:rsidRPr="00CA6CBB" w:rsidRDefault="000F2ED2" w:rsidP="000F2ED2">
      <w:pPr>
        <w:rPr>
          <w:rFonts w:asciiTheme="minorHAnsi" w:eastAsiaTheme="majorEastAsia" w:hAnsiTheme="minorHAnsi"/>
        </w:rPr>
      </w:pPr>
      <w:r w:rsidRPr="00CA6CBB">
        <w:rPr>
          <w:rFonts w:asciiTheme="minorHAnsi" w:eastAsiaTheme="majorEastAsia" w:hAnsiTheme="minorHAnsi"/>
        </w:rPr>
        <w:t xml:space="preserve">La presentación de Japón ofreció una serie de sugerencias destinadas a mejorar el IOMS en su conjunto. La primera parte incluía comentarios generales sobre cómo debería avanzar el desarrollo. La segunda parte incluía una serie de comentarios técnicos destinados a resolver funcionalidades concretas. En general, las sugerencias se centraron en ajustes prácticos destinados a mejorar la claridad, la eficiencia y la experiencia de usuario para las CPC. En la presentación se destacaron las áreas en las que se podrían perfeccionar las especificaciones del sistema para facilitar la presentación de datos, mejorar la transparencia de los procesos de validación y agilizar las interacciones entre las CPC y la Secretaría. Entre las sugerencias figuraban aclarar ciertos requisitos técnicos, reforzar los mecanismos de notificación cuando se detectan errores y mejorar la visibilidad del estado de comunicación y los plazos. Japón destacó que las mejoras propuestas tienen por objeto apoyar la comunicación de información de manera más eficiente, reducir parte de la carga administrativa y reforzar la fiabilidad y la facilidad de uso del IOMS. Por último, Japón expresó su agradecimiento por la ardua labor de la Secretaría y por los esfuerzos del presidente en la mejora continua del IOMS. </w:t>
      </w:r>
    </w:p>
    <w:p w14:paraId="317BE3F0" w14:textId="77777777" w:rsidR="000F2ED2" w:rsidRPr="00CA6CBB" w:rsidRDefault="000F2ED2" w:rsidP="000F2ED2">
      <w:pPr>
        <w:rPr>
          <w:rFonts w:asciiTheme="minorHAnsi" w:eastAsiaTheme="majorEastAsia" w:hAnsiTheme="minorHAnsi"/>
        </w:rPr>
      </w:pPr>
    </w:p>
    <w:p w14:paraId="78E43F7B" w14:textId="77777777" w:rsidR="000F2ED2" w:rsidRPr="00CA6CBB" w:rsidRDefault="000F2ED2" w:rsidP="000F2ED2">
      <w:pPr>
        <w:rPr>
          <w:rFonts w:asciiTheme="minorHAnsi" w:eastAsiaTheme="majorEastAsia" w:hAnsiTheme="minorHAnsi"/>
        </w:rPr>
      </w:pPr>
      <w:r w:rsidRPr="00CA6CBB">
        <w:rPr>
          <w:rFonts w:asciiTheme="minorHAnsi" w:eastAsiaTheme="majorEastAsia" w:hAnsiTheme="minorHAnsi"/>
        </w:rPr>
        <w:t xml:space="preserve">El presidente agradeció a la delegación japonesa la presentación de este documento, que contiene una serie de sugerencias muy útiles destinadas a simplificar y mejorar el IOMS, y reiteró que este tipo de aportaciones son las que realmente fortalecen el IOMS a largo plazo. La Secretaría se sumó al agradecimiento del presidente a Japón e informó al Grupo de que ya se están incorporando algunas de estas mejoras en el IOMS. </w:t>
      </w:r>
    </w:p>
    <w:p w14:paraId="676454F5" w14:textId="77777777" w:rsidR="000F2ED2" w:rsidRPr="00CA6CBB" w:rsidRDefault="000F2ED2" w:rsidP="000F2ED2">
      <w:pPr>
        <w:rPr>
          <w:rFonts w:asciiTheme="minorHAnsi" w:eastAsiaTheme="majorEastAsia" w:hAnsiTheme="minorHAnsi"/>
        </w:rPr>
      </w:pPr>
    </w:p>
    <w:p w14:paraId="0F1C1DD6" w14:textId="77777777" w:rsidR="000F2ED2" w:rsidRPr="00CA6CBB" w:rsidRDefault="000F2ED2" w:rsidP="000F2ED2">
      <w:pPr>
        <w:rPr>
          <w:rFonts w:asciiTheme="minorHAnsi" w:eastAsiaTheme="majorEastAsia" w:hAnsiTheme="minorHAnsi"/>
        </w:rPr>
      </w:pPr>
      <w:r w:rsidRPr="00CA6CBB">
        <w:rPr>
          <w:rFonts w:asciiTheme="minorHAnsi" w:eastAsiaTheme="majorEastAsia" w:hAnsiTheme="minorHAnsi"/>
        </w:rPr>
        <w:t xml:space="preserve">Durante el debate, los miembros expresaron su reconocimiento por el carácter detallado y práctico de los comentarios presentados por Japón. Varias delegaciones respaldaron la opinión de que el perfeccionamiento continuo de las especificaciones del IOMS es esencial para garantizar la eficiencia, la </w:t>
      </w:r>
      <w:r w:rsidRPr="00CA6CBB">
        <w:rPr>
          <w:rFonts w:asciiTheme="minorHAnsi" w:eastAsiaTheme="majorEastAsia" w:hAnsiTheme="minorHAnsi"/>
        </w:rPr>
        <w:lastRenderedPageBreak/>
        <w:t>transparencia y la facilidad de uso. Los participantes intercambiaron opiniones sobre aspectos técnicos concretos planteados en la presentación, entre ellos la claridad de las validaciones del sistema, la gestión de los mensajes de error y la visibilidad del estado de comunicación dentro de la plataforma. Se señaló que unos mecanismos de comentarios más claros y detallados podrían ayudar a las CPC a identificar y corregir las incoherencias de manera más eficaz, reduciendo así la comunicación en ambos sentidos con la Secretaría.</w:t>
      </w:r>
    </w:p>
    <w:p w14:paraId="44B1649F" w14:textId="77777777" w:rsidR="000F2ED2" w:rsidRPr="00CA6CBB" w:rsidRDefault="000F2ED2" w:rsidP="000F2ED2">
      <w:pPr>
        <w:rPr>
          <w:rFonts w:asciiTheme="minorHAnsi" w:eastAsiaTheme="majorEastAsia" w:hAnsiTheme="minorHAnsi"/>
        </w:rPr>
      </w:pPr>
    </w:p>
    <w:p w14:paraId="646E0558" w14:textId="77777777" w:rsidR="000F2ED2" w:rsidRPr="00CA6CBB" w:rsidRDefault="000F2ED2" w:rsidP="000F2ED2">
      <w:pPr>
        <w:rPr>
          <w:rFonts w:asciiTheme="minorHAnsi" w:eastAsiaTheme="majorEastAsia" w:hAnsiTheme="minorHAnsi"/>
        </w:rPr>
      </w:pPr>
      <w:r w:rsidRPr="00CA6CBB">
        <w:rPr>
          <w:rFonts w:asciiTheme="minorHAnsi" w:eastAsiaTheme="majorEastAsia" w:hAnsiTheme="minorHAnsi"/>
        </w:rPr>
        <w:t>La Secretaría respondió a los distintos puntos planteados, aclarando las limitaciones técnicas cuando procedía e indicando que algunas sugerencias deben estudiarse en profundidad y podrían tenerse en cuenta en futuras mejoras del IOMS. Asimismo, se señaló que cualquier mejora adicional debería tener en cuenta las prioridades del plan de trabajo actual, que ya supone una gran carga de trabajo para el limitado equipo del IOMS y los recursos humanos de la Secretaría.</w:t>
      </w:r>
    </w:p>
    <w:p w14:paraId="6BCFFC26" w14:textId="77777777" w:rsidR="000F2ED2" w:rsidRPr="00CA6CBB" w:rsidRDefault="000F2ED2" w:rsidP="000F2ED2">
      <w:pPr>
        <w:rPr>
          <w:rFonts w:asciiTheme="minorHAnsi" w:eastAsiaTheme="majorEastAsia" w:hAnsiTheme="minorHAnsi"/>
        </w:rPr>
      </w:pPr>
    </w:p>
    <w:p w14:paraId="25092F53" w14:textId="77777777" w:rsidR="000F2ED2" w:rsidRPr="00CA6CBB" w:rsidRDefault="000F2ED2" w:rsidP="000F2ED2">
      <w:pPr>
        <w:rPr>
          <w:rFonts w:asciiTheme="minorHAnsi" w:eastAsiaTheme="majorEastAsia" w:hAnsiTheme="minorHAnsi"/>
        </w:rPr>
      </w:pPr>
      <w:r w:rsidRPr="00CA6CBB">
        <w:rPr>
          <w:rFonts w:asciiTheme="minorHAnsi" w:eastAsiaTheme="majorEastAsia" w:hAnsiTheme="minorHAnsi"/>
        </w:rPr>
        <w:t>El Grupo de trabajo animó a las CPC a que siguieran presentando propuestas concretas y respaldó la colaboración en curso entre la Secretaría y los usuarios para perfeccionar progresivamente las especificaciones del IOMS de forma estructurada y coordinada.</w:t>
      </w:r>
    </w:p>
    <w:p w14:paraId="6C693DD2" w14:textId="77777777" w:rsidR="000F2ED2" w:rsidRPr="00CA6CBB" w:rsidRDefault="000F2ED2" w:rsidP="000F2ED2">
      <w:pPr>
        <w:rPr>
          <w:rFonts w:asciiTheme="minorHAnsi" w:eastAsiaTheme="majorEastAsia" w:hAnsiTheme="minorHAnsi"/>
        </w:rPr>
      </w:pPr>
    </w:p>
    <w:p w14:paraId="1C7583BF" w14:textId="77777777" w:rsidR="000F2ED2" w:rsidRPr="00CA6CBB" w:rsidRDefault="000F2ED2" w:rsidP="000F2ED2">
      <w:pPr>
        <w:rPr>
          <w:rFonts w:asciiTheme="minorHAnsi" w:eastAsiaTheme="majorEastAsia" w:hAnsiTheme="minorHAnsi"/>
        </w:rPr>
      </w:pPr>
      <w:r w:rsidRPr="00CA6CBB">
        <w:rPr>
          <w:rFonts w:asciiTheme="minorHAnsi" w:eastAsiaTheme="majorEastAsia" w:hAnsiTheme="minorHAnsi"/>
        </w:rPr>
        <w:t>La Secretaría presentó una lista de posibles mejoras del IOMS (que se revisarán a partir de 2025 y otras nuevas para 2026), basada en la experiencia operativa y en los comentarios recibidos de las CPC a lo largo de 2025. La lista actualizada contiene un total de 19 propuestas (9 nuevas incorporaciones). Al igual que en años anteriores, cada mejora potencial fue evaluada por el WG-ORT en términos de utilidad, coste de desarrollo (tiempo) y viabilidad de su implementación. El WG-ORT estableció sus prioridades (alta, media y baja), recordando que el trabajo de mejora no debía interferir con la ejecución normal del plan de trabajo del IOMS.</w:t>
      </w:r>
    </w:p>
    <w:p w14:paraId="634C03F0" w14:textId="77777777" w:rsidR="000F2ED2" w:rsidRPr="00CA6CBB" w:rsidRDefault="000F2ED2" w:rsidP="000F2ED2">
      <w:pPr>
        <w:rPr>
          <w:rFonts w:asciiTheme="minorHAnsi" w:eastAsiaTheme="majorEastAsia" w:hAnsiTheme="minorHAnsi"/>
        </w:rPr>
      </w:pPr>
    </w:p>
    <w:p w14:paraId="0CB24659" w14:textId="77777777" w:rsidR="000F2ED2" w:rsidRPr="00CA6CBB" w:rsidRDefault="000F2ED2" w:rsidP="000F2ED2">
      <w:pPr>
        <w:rPr>
          <w:rFonts w:asciiTheme="minorHAnsi" w:eastAsiaTheme="majorEastAsia" w:hAnsiTheme="minorHAnsi"/>
        </w:rPr>
      </w:pPr>
      <w:r w:rsidRPr="00CA6CBB">
        <w:rPr>
          <w:rFonts w:asciiTheme="minorHAnsi" w:eastAsiaTheme="majorEastAsia" w:hAnsiTheme="minorHAnsi"/>
        </w:rPr>
        <w:t xml:space="preserve">Durante el debate, los participantes expresaron su apoyo a que se siguiera perfeccionando el sistema y aportaron sugerencias adicionales para mejorar la experiencia del usuario. Se prestó especial atención a la mejora de los mecanismos de notificación relacionados con las solicitudes pendientes y la aproximación de los plazos. El presidente tomó nota de que el Grupo de trabajo había aprobado la lista definitiva de mejoras propuestas para 2026 (detalladas en la </w:t>
      </w:r>
      <w:r w:rsidRPr="00CA6CBB">
        <w:rPr>
          <w:rFonts w:asciiTheme="minorHAnsi" w:eastAsiaTheme="majorEastAsia" w:hAnsiTheme="minorHAnsi"/>
          <w:b/>
        </w:rPr>
        <w:fldChar w:fldCharType="begin"/>
      </w:r>
      <w:r w:rsidRPr="00CA6CBB">
        <w:rPr>
          <w:rFonts w:asciiTheme="minorHAnsi" w:eastAsiaTheme="majorEastAsia" w:hAnsiTheme="minorHAnsi"/>
        </w:rPr>
        <w:instrText xml:space="preserve"> REF _Ref193563249 \h </w:instrText>
      </w:r>
      <w:r w:rsidRPr="00CA6CBB">
        <w:rPr>
          <w:rFonts w:asciiTheme="minorHAnsi" w:eastAsiaTheme="majorEastAsia" w:hAnsiTheme="minorHAnsi"/>
          <w:b/>
        </w:rPr>
        <w:instrText xml:space="preserve"> \* MERGEFORMAT </w:instrText>
      </w:r>
      <w:r w:rsidRPr="00CA6CBB">
        <w:rPr>
          <w:rFonts w:asciiTheme="minorHAnsi" w:eastAsiaTheme="majorEastAsia" w:hAnsiTheme="minorHAnsi"/>
          <w:b/>
        </w:rPr>
      </w:r>
      <w:r w:rsidRPr="00CA6CBB">
        <w:rPr>
          <w:rFonts w:asciiTheme="minorHAnsi" w:eastAsiaTheme="majorEastAsia" w:hAnsiTheme="minorHAnsi"/>
          <w:b/>
        </w:rPr>
        <w:fldChar w:fldCharType="separate"/>
      </w:r>
      <w:r w:rsidRPr="00CA6CBB">
        <w:rPr>
          <w:rFonts w:asciiTheme="minorHAnsi" w:eastAsiaTheme="majorEastAsia" w:hAnsiTheme="minorHAnsi"/>
          <w:b/>
          <w:color w:val="auto"/>
        </w:rPr>
        <w:t>Tabla 2</w:t>
      </w:r>
      <w:r w:rsidRPr="00CA6CBB">
        <w:rPr>
          <w:rFonts w:asciiTheme="minorHAnsi" w:eastAsiaTheme="majorEastAsia" w:hAnsiTheme="minorHAnsi"/>
          <w:b/>
        </w:rPr>
        <w:fldChar w:fldCharType="end"/>
      </w:r>
      <w:r w:rsidRPr="00CA6CBB">
        <w:rPr>
          <w:rFonts w:asciiTheme="minorHAnsi" w:eastAsiaTheme="majorEastAsia" w:hAnsiTheme="minorHAnsi"/>
          <w:b/>
        </w:rPr>
        <w:t>)</w:t>
      </w:r>
      <w:r w:rsidRPr="00CA6CBB">
        <w:rPr>
          <w:rFonts w:asciiTheme="minorHAnsi" w:eastAsiaTheme="majorEastAsia" w:hAnsiTheme="minorHAnsi"/>
        </w:rPr>
        <w:t>. El Grupo animó a la Secretaría a que siguiera recabando opiniones de los usuarios del IOMS con respecto a este objetivo concreto.</w:t>
      </w:r>
    </w:p>
    <w:p w14:paraId="2E417B8E" w14:textId="77777777" w:rsidR="000F2ED2" w:rsidRPr="00CA6CBB" w:rsidRDefault="000F2ED2" w:rsidP="000F2ED2">
      <w:pPr>
        <w:pStyle w:val="Heading2"/>
        <w:rPr>
          <w:rFonts w:asciiTheme="minorHAnsi" w:eastAsiaTheme="majorEastAsia" w:hAnsiTheme="minorHAnsi"/>
        </w:rPr>
      </w:pPr>
      <w:r w:rsidRPr="00CA6CBB">
        <w:rPr>
          <w:rFonts w:asciiTheme="minorHAnsi" w:eastAsiaTheme="majorEastAsia" w:hAnsiTheme="minorHAnsi"/>
        </w:rPr>
        <w:t>Examen de los nuevos requisitos en cuanto a datos adoptados por la Comisión en 2025</w:t>
      </w:r>
    </w:p>
    <w:p w14:paraId="212DCB68" w14:textId="77777777" w:rsidR="000F2ED2" w:rsidRPr="00CA6CBB" w:rsidRDefault="000F2ED2" w:rsidP="000F2ED2">
      <w:pPr>
        <w:rPr>
          <w:rFonts w:asciiTheme="minorHAnsi" w:eastAsiaTheme="majorEastAsia" w:hAnsiTheme="minorHAnsi"/>
        </w:rPr>
      </w:pPr>
      <w:r w:rsidRPr="00CA6CBB">
        <w:rPr>
          <w:rFonts w:asciiTheme="minorHAnsi" w:eastAsiaTheme="majorEastAsia" w:hAnsiTheme="minorHAnsi"/>
        </w:rPr>
        <w:t xml:space="preserve">El presidente del WG-ORT informó al Grupo sobre los actuales 184 requisitos de comunicación de ICCAT para 2026, que incluyen cuatro nuevos requisitos relacionados con las nuevas medidas de ordenación adoptadas por la Comisión en 2025.  Todos los requisitos ya se habían incorporado a los modelos del IOMS de la sección 3 (Parte 1: Estadísticas; Parte 2: Ordenación) del informe anual. La lista de requisitos de 2026 incluye 135 relacionados con cumplimiento (cuatro más que en 2025) y 49 relacionados con estadísticas (uno más que en 2025). Todos los requisitos se pueden filtrar y exportar desde el IOMS.  Desde 2021, la lista actualizada de requisitos para 2026 almacenada en el IOMS se publica automáticamente (mediante las API públicas del IOMS) en los tres idiomas oficiales en el sitio web de ICCAT (Cumplimiento: </w:t>
      </w:r>
      <w:hyperlink r:id="rId38" w:history="1">
        <w:r w:rsidRPr="00CA6CBB">
          <w:rPr>
            <w:rStyle w:val="Hyperlink"/>
            <w:rFonts w:asciiTheme="minorHAnsi" w:eastAsiaTheme="majorEastAsia" w:hAnsiTheme="minorHAnsi"/>
            <w:u w:val="none"/>
          </w:rPr>
          <w:t>Lista de requisitos de 2026 para la Comisión</w:t>
        </w:r>
      </w:hyperlink>
      <w:r w:rsidRPr="00CA6CBB">
        <w:rPr>
          <w:rFonts w:asciiTheme="minorHAnsi" w:eastAsiaTheme="majorEastAsia" w:hAnsiTheme="minorHAnsi"/>
        </w:rPr>
        <w:t xml:space="preserve">; Estadísticas: </w:t>
      </w:r>
      <w:hyperlink r:id="rId39" w:history="1">
        <w:r w:rsidRPr="00CA6CBB">
          <w:rPr>
            <w:rStyle w:val="Hyperlink"/>
            <w:rFonts w:asciiTheme="minorHAnsi" w:eastAsiaTheme="majorEastAsia" w:hAnsiTheme="minorHAnsi"/>
            <w:u w:val="none"/>
          </w:rPr>
          <w:t>Lista de requisitos de 2026 para el SCRS</w:t>
        </w:r>
      </w:hyperlink>
      <w:r w:rsidRPr="00CA6CBB">
        <w:rPr>
          <w:rFonts w:asciiTheme="minorHAnsi" w:eastAsiaTheme="majorEastAsia" w:hAnsiTheme="minorHAnsi"/>
        </w:rPr>
        <w:t>).</w:t>
      </w:r>
    </w:p>
    <w:p w14:paraId="74E11FEE" w14:textId="77777777" w:rsidR="000F2ED2" w:rsidRPr="00CA6CBB" w:rsidRDefault="000F2ED2" w:rsidP="000F2ED2">
      <w:pPr>
        <w:rPr>
          <w:rFonts w:asciiTheme="minorHAnsi" w:eastAsiaTheme="majorEastAsia" w:hAnsiTheme="minorHAnsi"/>
        </w:rPr>
      </w:pPr>
    </w:p>
    <w:p w14:paraId="7B92F4C7" w14:textId="77777777" w:rsidR="000F2ED2" w:rsidRPr="00CA6CBB" w:rsidRDefault="000F2ED2" w:rsidP="002F48A4">
      <w:pPr>
        <w:spacing w:line="240" w:lineRule="exact"/>
        <w:rPr>
          <w:rFonts w:asciiTheme="minorHAnsi" w:eastAsiaTheme="majorEastAsia" w:hAnsiTheme="minorHAnsi"/>
        </w:rPr>
      </w:pPr>
      <w:r w:rsidRPr="00CA6CBB">
        <w:rPr>
          <w:rFonts w:asciiTheme="minorHAnsi" w:eastAsiaTheme="majorEastAsia" w:hAnsiTheme="minorHAnsi"/>
        </w:rPr>
        <w:t>La Secretaría recordó que, desde hoy, las CPC pueden empezar a completar las versiones preliminares de los informes anuales de 2026 en el IOMS.</w:t>
      </w:r>
    </w:p>
    <w:p w14:paraId="4FC5784B" w14:textId="0EF354AA" w:rsidR="000F2ED2" w:rsidRPr="00CA6CBB" w:rsidRDefault="000F2ED2" w:rsidP="002F48A4">
      <w:pPr>
        <w:spacing w:line="240" w:lineRule="exact"/>
        <w:rPr>
          <w:rFonts w:asciiTheme="minorHAnsi" w:eastAsiaTheme="majorEastAsia" w:hAnsiTheme="minorHAnsi"/>
        </w:rPr>
      </w:pPr>
    </w:p>
    <w:p w14:paraId="08EBBD81" w14:textId="77777777" w:rsidR="002F48A4" w:rsidRPr="00CA6CBB" w:rsidRDefault="002F48A4" w:rsidP="002F48A4">
      <w:pPr>
        <w:spacing w:line="240" w:lineRule="exact"/>
        <w:rPr>
          <w:rFonts w:asciiTheme="minorHAnsi" w:eastAsiaTheme="majorEastAsia" w:hAnsiTheme="minorHAnsi"/>
        </w:rPr>
      </w:pPr>
    </w:p>
    <w:p w14:paraId="65A4B4C7" w14:textId="77777777" w:rsidR="000F2ED2" w:rsidRPr="00CA6CBB" w:rsidRDefault="000F2ED2" w:rsidP="002F48A4">
      <w:pPr>
        <w:pStyle w:val="Heading1"/>
        <w:spacing w:before="0" w:after="0" w:line="240" w:lineRule="exact"/>
        <w:rPr>
          <w:rFonts w:asciiTheme="minorHAnsi" w:eastAsiaTheme="majorEastAsia" w:hAnsiTheme="minorHAnsi"/>
        </w:rPr>
      </w:pPr>
      <w:r w:rsidRPr="00CA6CBB">
        <w:rPr>
          <w:rFonts w:asciiTheme="minorHAnsi" w:eastAsiaTheme="majorEastAsia" w:hAnsiTheme="minorHAnsi"/>
        </w:rPr>
        <w:t xml:space="preserve">Trabajo intersesiones realizado en 2025 </w:t>
      </w:r>
    </w:p>
    <w:p w14:paraId="3CE6D53D" w14:textId="77777777" w:rsidR="002F48A4" w:rsidRPr="00CA6CBB" w:rsidRDefault="002F48A4" w:rsidP="002F48A4"/>
    <w:p w14:paraId="7AB826D5" w14:textId="77777777" w:rsidR="000F2ED2" w:rsidRPr="00CA6CBB" w:rsidRDefault="000F2ED2" w:rsidP="002F48A4">
      <w:pPr>
        <w:spacing w:line="240" w:lineRule="exact"/>
        <w:rPr>
          <w:rFonts w:asciiTheme="minorHAnsi" w:eastAsiaTheme="majorEastAsia" w:hAnsiTheme="minorHAnsi"/>
        </w:rPr>
      </w:pPr>
      <w:r w:rsidRPr="00CA6CBB">
        <w:rPr>
          <w:rFonts w:asciiTheme="minorHAnsi" w:eastAsiaTheme="majorEastAsia" w:hAnsiTheme="minorHAnsi"/>
        </w:rPr>
        <w:t xml:space="preserve">El presidente informó al Grupo de que la mayoría de las tareas previstas para 2025 se habían completado. Sin embargo, algunas aún necesitaban más trabajo. En esos casos, el presidente propuso adelantarlos al trabajo en el periodo intersesiones de 2026 para su finalización. Para más información, véase el “Informe de situación de 2025 del Grupo de trabajo sobre tecnología de comunicación en línea (WG-ORT)” (Apéndice 2 al Anexo 9 del </w:t>
      </w:r>
      <w:hyperlink r:id="rId40" w:history="1">
        <w:r w:rsidRPr="00CA6CBB">
          <w:rPr>
            <w:rStyle w:val="Hyperlink"/>
            <w:rFonts w:asciiTheme="minorHAnsi" w:eastAsiaTheme="majorEastAsia" w:hAnsiTheme="minorHAnsi"/>
            <w:i/>
            <w:iCs/>
            <w:u w:val="none"/>
          </w:rPr>
          <w:t>Informe del periodo bienal 2024-2025, Parte I (2024), Vol. 1</w:t>
        </w:r>
      </w:hyperlink>
      <w:r w:rsidRPr="00CA6CBB">
        <w:rPr>
          <w:rFonts w:asciiTheme="minorHAnsi" w:eastAsiaTheme="majorEastAsia" w:hAnsiTheme="minorHAnsi"/>
        </w:rPr>
        <w:t xml:space="preserve">), presentado en la reunión anual de la Comisión de 2025. La Secretaría complementó el análisis del presidente con una presentación en la que se detallaba el estado de cada una de las siete tareas intersesiones de 2025. En resumen, todas las tareas han avanzado según lo previsto, y la mayoría ya se han completado o están a punto de completarse. Tres tareas (los números 3, 5 y 7) requerirán un trabajo adicional, ya que también necesitan </w:t>
      </w:r>
      <w:r w:rsidRPr="00CA6CBB">
        <w:rPr>
          <w:rFonts w:asciiTheme="minorHAnsi" w:eastAsiaTheme="majorEastAsia" w:hAnsiTheme="minorHAnsi"/>
        </w:rPr>
        <w:lastRenderedPageBreak/>
        <w:t xml:space="preserve">información complementaria (p. ej., los resultados del Grupo de trabajo </w:t>
      </w:r>
      <w:r w:rsidRPr="00CA6CBB">
        <w:rPr>
          <w:rFonts w:asciiTheme="minorHAnsi" w:eastAsiaTheme="majorEastAsia" w:hAnsiTheme="minorHAnsi"/>
          <w:i/>
          <w:iCs/>
        </w:rPr>
        <w:t>ad hoc</w:t>
      </w:r>
      <w:r w:rsidRPr="00CA6CBB">
        <w:rPr>
          <w:rFonts w:asciiTheme="minorHAnsi" w:eastAsiaTheme="majorEastAsia" w:hAnsiTheme="minorHAnsi"/>
        </w:rPr>
        <w:t xml:space="preserve"> sobre la eliminación de redundancias, en relación con el punto 7). </w:t>
      </w:r>
    </w:p>
    <w:p w14:paraId="05B6B2D7" w14:textId="77777777" w:rsidR="000F2ED2" w:rsidRPr="00CA6CBB" w:rsidRDefault="000F2ED2" w:rsidP="000F2ED2">
      <w:pPr>
        <w:rPr>
          <w:rFonts w:asciiTheme="minorHAnsi" w:eastAsiaTheme="majorEastAsia" w:hAnsiTheme="minorHAnsi"/>
        </w:rPr>
      </w:pPr>
    </w:p>
    <w:p w14:paraId="4CF7A684" w14:textId="77777777" w:rsidR="000F2ED2" w:rsidRPr="00CA6CBB" w:rsidRDefault="000F2ED2" w:rsidP="000F2ED2">
      <w:pPr>
        <w:rPr>
          <w:rFonts w:asciiTheme="minorHAnsi" w:eastAsiaTheme="majorEastAsia" w:hAnsiTheme="minorHAnsi"/>
        </w:rPr>
      </w:pPr>
      <w:r w:rsidRPr="00CA6CBB">
        <w:rPr>
          <w:rFonts w:asciiTheme="minorHAnsi" w:eastAsiaTheme="majorEastAsia" w:hAnsiTheme="minorHAnsi"/>
        </w:rPr>
        <w:t>Durante el debate, el presidente planteó una pregunta relacionada con los criterios de búsqueda de documentos en el IOMS y el acceso público a algunos documentos del IOMS (puntos 3 y 5). El presidente recordó al WG-ORT que este no tiene competencia para adoptar ni implementar ninguna decisión que contravenga las normas de confidencialidad de ICCAT (</w:t>
      </w:r>
      <w:hyperlink r:id="rId41" w:tgtFrame="_blank" w:history="1">
        <w:r w:rsidRPr="00CA6CBB">
          <w:rPr>
            <w:rStyle w:val="Hyperlink"/>
            <w:rFonts w:asciiTheme="minorHAnsi" w:eastAsiaTheme="majorEastAsia" w:hAnsiTheme="minorHAnsi"/>
            <w:u w:val="none"/>
          </w:rPr>
          <w:t>Normas y procedimientos para la protección, el acceso y la difusión de los datos compilados por ICCAT</w:t>
        </w:r>
      </w:hyperlink>
      <w:r w:rsidRPr="00CA6CBB">
        <w:rPr>
          <w:rFonts w:asciiTheme="minorHAnsi" w:eastAsiaTheme="majorEastAsia" w:hAnsiTheme="minorHAnsi"/>
        </w:rPr>
        <w:t>) ni la disponibilidad de los documentos para el público. En cuanto al proceso, una solución sería que el IOMS identificara las versiones definitivas de los documentos disponibles públicamente y, solo entonces, se pusieran a disposición de otras CPC mediante consultas de búsqueda o herramientas similares. El presidente recordó que este debate ya tuvo lugar el año pasado, y el Grupo acordó que solo se pueden difundir las presentaciones completas (versiones finales, nunca proyectos) y recomendó que, en el futuro, esta norma se aplique al resto de datos gestionados por el IOMS. El Grupo respaldó al presidente en esta propuesta y recomendó que estos dos puntos se abordaran y perfeccionaran en el marco de las tareas en el periodo intersesiones de 2026 (este punto del orden del día).</w:t>
      </w:r>
    </w:p>
    <w:p w14:paraId="53BBE992" w14:textId="77777777" w:rsidR="000F2ED2" w:rsidRPr="00CA6CBB" w:rsidRDefault="000F2ED2" w:rsidP="000F2ED2">
      <w:pPr>
        <w:rPr>
          <w:rFonts w:asciiTheme="minorHAnsi" w:eastAsiaTheme="majorEastAsia" w:hAnsiTheme="minorHAnsi"/>
        </w:rPr>
      </w:pPr>
    </w:p>
    <w:p w14:paraId="6AFC7B26" w14:textId="77777777" w:rsidR="000F2ED2" w:rsidRPr="00CA6CBB" w:rsidRDefault="000F2ED2" w:rsidP="002F48A4">
      <w:pPr>
        <w:spacing w:line="240" w:lineRule="exact"/>
        <w:rPr>
          <w:rFonts w:asciiTheme="minorHAnsi" w:eastAsiaTheme="majorEastAsia" w:hAnsiTheme="minorHAnsi"/>
        </w:rPr>
      </w:pPr>
      <w:r w:rsidRPr="00CA6CBB">
        <w:rPr>
          <w:rFonts w:asciiTheme="minorHAnsi" w:eastAsiaTheme="majorEastAsia" w:hAnsiTheme="minorHAnsi"/>
        </w:rPr>
        <w:t xml:space="preserve">En relación con la última tarea pendiente para 2025 sobre la eliminación de la redundancia (punto 7), el presidente propuso prorrogarla hasta 2026, ya que requiere las aportaciones del Grupo de trabajo </w:t>
      </w:r>
      <w:r w:rsidRPr="00CA6CBB">
        <w:rPr>
          <w:rFonts w:asciiTheme="minorHAnsi" w:eastAsiaTheme="majorEastAsia" w:hAnsiTheme="minorHAnsi"/>
          <w:i/>
          <w:iCs/>
        </w:rPr>
        <w:t>ad hoc</w:t>
      </w:r>
      <w:r w:rsidRPr="00CA6CBB">
        <w:rPr>
          <w:rFonts w:asciiTheme="minorHAnsi" w:eastAsiaTheme="majorEastAsia" w:hAnsiTheme="minorHAnsi"/>
        </w:rPr>
        <w:t xml:space="preserve"> sobre la eliminación de redundancias (y quizá del Grupo de trabajo </w:t>
      </w:r>
      <w:r w:rsidRPr="00CA6CBB">
        <w:rPr>
          <w:rFonts w:asciiTheme="minorHAnsi" w:eastAsiaTheme="majorEastAsia" w:hAnsiTheme="minorHAnsi"/>
          <w:i/>
          <w:iCs/>
        </w:rPr>
        <w:t>ad hoc</w:t>
      </w:r>
      <w:r w:rsidRPr="00CA6CBB">
        <w:rPr>
          <w:rFonts w:asciiTheme="minorHAnsi" w:eastAsiaTheme="majorEastAsia" w:hAnsiTheme="minorHAnsi"/>
        </w:rPr>
        <w:t xml:space="preserve"> sobre la simplificación de las hojas de comprobación de tiburones/istiofóridos). </w:t>
      </w:r>
    </w:p>
    <w:p w14:paraId="730D5D55" w14:textId="77777777" w:rsidR="000F2ED2" w:rsidRPr="00CA6CBB" w:rsidRDefault="000F2ED2" w:rsidP="002F48A4">
      <w:pPr>
        <w:spacing w:line="240" w:lineRule="exact"/>
        <w:rPr>
          <w:rFonts w:asciiTheme="minorHAnsi" w:eastAsiaTheme="majorEastAsia" w:hAnsiTheme="minorHAnsi"/>
        </w:rPr>
      </w:pPr>
    </w:p>
    <w:p w14:paraId="62B1E9A0" w14:textId="77777777" w:rsidR="002F48A4" w:rsidRPr="00CA6CBB" w:rsidRDefault="002F48A4" w:rsidP="002F48A4">
      <w:pPr>
        <w:spacing w:line="240" w:lineRule="exact"/>
        <w:rPr>
          <w:rFonts w:asciiTheme="minorHAnsi" w:eastAsiaTheme="majorEastAsia" w:hAnsiTheme="minorHAnsi"/>
        </w:rPr>
      </w:pPr>
    </w:p>
    <w:p w14:paraId="62C281E2" w14:textId="77777777" w:rsidR="000F2ED2" w:rsidRPr="00CA6CBB" w:rsidRDefault="000F2ED2" w:rsidP="002F48A4">
      <w:pPr>
        <w:pStyle w:val="Heading1"/>
        <w:numPr>
          <w:ilvl w:val="0"/>
          <w:numId w:val="31"/>
        </w:numPr>
        <w:spacing w:before="0" w:after="0" w:line="240" w:lineRule="exact"/>
        <w:rPr>
          <w:rFonts w:asciiTheme="minorHAnsi" w:eastAsiaTheme="majorEastAsia" w:hAnsiTheme="minorHAnsi"/>
        </w:rPr>
      </w:pPr>
      <w:r w:rsidRPr="00CA6CBB">
        <w:rPr>
          <w:rFonts w:asciiTheme="minorHAnsi" w:eastAsiaTheme="majorEastAsia" w:hAnsiTheme="minorHAnsi"/>
        </w:rPr>
        <w:t>Actualización de la situación de los proyectos complementarios del IOMS</w:t>
      </w:r>
    </w:p>
    <w:p w14:paraId="214257BC" w14:textId="77777777" w:rsidR="002F48A4" w:rsidRPr="00CA6CBB" w:rsidRDefault="002F48A4" w:rsidP="002F48A4"/>
    <w:p w14:paraId="5AFDAC9E" w14:textId="77777777" w:rsidR="000F2ED2" w:rsidRPr="00CA6CBB" w:rsidRDefault="000F2ED2" w:rsidP="002F48A4">
      <w:pPr>
        <w:spacing w:line="240" w:lineRule="exact"/>
        <w:rPr>
          <w:rFonts w:asciiTheme="minorHAnsi" w:eastAsiaTheme="majorEastAsia" w:hAnsiTheme="minorHAnsi"/>
        </w:rPr>
      </w:pPr>
      <w:r w:rsidRPr="00CA6CBB">
        <w:rPr>
          <w:rFonts w:asciiTheme="minorHAnsi" w:eastAsiaTheme="majorEastAsia" w:hAnsiTheme="minorHAnsi"/>
        </w:rPr>
        <w:t>La Secretaría presentó una actualización de la situación de los dos proyectos complementarios del IOMS, que se desarrollan paralelamente al proyecto principal de desarrollo del IOMS.</w:t>
      </w:r>
    </w:p>
    <w:p w14:paraId="50D40A5B" w14:textId="77777777" w:rsidR="000F2ED2" w:rsidRPr="00CA6CBB" w:rsidRDefault="000F2ED2" w:rsidP="002F48A4">
      <w:pPr>
        <w:spacing w:line="240" w:lineRule="exact"/>
        <w:rPr>
          <w:rFonts w:asciiTheme="minorHAnsi" w:eastAsiaTheme="majorEastAsia" w:hAnsiTheme="minorHAnsi"/>
        </w:rPr>
      </w:pPr>
    </w:p>
    <w:p w14:paraId="719E208B" w14:textId="77777777" w:rsidR="000F2ED2" w:rsidRPr="00CA6CBB" w:rsidRDefault="000F2ED2" w:rsidP="002F48A4">
      <w:pPr>
        <w:pStyle w:val="Heading2"/>
        <w:spacing w:before="0" w:after="0" w:line="240" w:lineRule="exact"/>
        <w:ind w:left="426" w:hanging="426"/>
        <w:rPr>
          <w:rFonts w:asciiTheme="minorHAnsi" w:eastAsiaTheme="majorEastAsia" w:hAnsiTheme="minorHAnsi"/>
          <w:spacing w:val="-2"/>
        </w:rPr>
      </w:pPr>
      <w:r w:rsidRPr="00CA6CBB">
        <w:rPr>
          <w:rFonts w:asciiTheme="minorHAnsi" w:eastAsiaTheme="majorEastAsia" w:hAnsiTheme="minorHAnsi"/>
        </w:rPr>
        <w:t>Subvenciones de la Unión Europea relacionadas con el IOMS (2025-2026)</w:t>
      </w:r>
    </w:p>
    <w:p w14:paraId="5A536C61" w14:textId="77777777" w:rsidR="000F2ED2" w:rsidRPr="00CA6CBB" w:rsidRDefault="000F2ED2" w:rsidP="002F48A4">
      <w:pPr>
        <w:spacing w:line="240" w:lineRule="exact"/>
        <w:rPr>
          <w:rFonts w:asciiTheme="minorHAnsi" w:eastAsiaTheme="majorEastAsia" w:hAnsiTheme="minorHAnsi"/>
        </w:rPr>
      </w:pPr>
    </w:p>
    <w:p w14:paraId="4D71B70E" w14:textId="77777777" w:rsidR="000F2ED2" w:rsidRPr="00CA6CBB" w:rsidRDefault="000F2ED2" w:rsidP="002F48A4">
      <w:pPr>
        <w:spacing w:line="240" w:lineRule="exact"/>
        <w:rPr>
          <w:rFonts w:asciiTheme="minorHAnsi" w:eastAsiaTheme="majorEastAsia" w:hAnsiTheme="minorHAnsi"/>
        </w:rPr>
      </w:pPr>
      <w:r w:rsidRPr="00CA6CBB">
        <w:rPr>
          <w:rFonts w:asciiTheme="minorHAnsi" w:eastAsiaTheme="majorEastAsia" w:hAnsiTheme="minorHAnsi"/>
        </w:rPr>
        <w:t>El acuerdo de subvención de la UE EMFAF-2024-VC-ICCAT3, "Desarrollo y creación de capacidad en ICCAT - Sistema de gestión en línea", es un proyecto complementario del IOMS con un presupuesto total de 250.000 euros previsto para un periodo de 24 meses (2025 y 2026). Consta de dos temas o subproyectos:</w:t>
      </w:r>
    </w:p>
    <w:p w14:paraId="1E886A8E" w14:textId="77777777" w:rsidR="000F2ED2" w:rsidRPr="00CA6CBB" w:rsidRDefault="000F2ED2" w:rsidP="000F2ED2">
      <w:pPr>
        <w:rPr>
          <w:rFonts w:asciiTheme="minorHAnsi" w:eastAsiaTheme="majorEastAsia" w:hAnsiTheme="minorHAnsi"/>
        </w:rPr>
      </w:pPr>
    </w:p>
    <w:p w14:paraId="726C9496" w14:textId="77777777" w:rsidR="000F2ED2" w:rsidRPr="00CA6CBB" w:rsidRDefault="000F2ED2" w:rsidP="000F2ED2">
      <w:pPr>
        <w:pStyle w:val="ListParagraph"/>
        <w:numPr>
          <w:ilvl w:val="0"/>
          <w:numId w:val="12"/>
        </w:numPr>
        <w:ind w:left="567" w:hanging="283"/>
        <w:rPr>
          <w:rFonts w:asciiTheme="minorHAnsi" w:eastAsiaTheme="majorEastAsia" w:hAnsiTheme="minorHAnsi"/>
        </w:rPr>
      </w:pPr>
      <w:r w:rsidRPr="00CA6CBB">
        <w:rPr>
          <w:rFonts w:asciiTheme="minorHAnsi" w:eastAsiaTheme="majorEastAsia" w:hAnsiTheme="minorHAnsi"/>
        </w:rPr>
        <w:t>Tema 1 (EMFAF-2024-VC-ICCAT3-IBA-01 (proyecto n.º 101197348) - Sistema integrado de gestión en línea (acrónimo: EU-IOMS2024-TT12 (abreviado TT12: Tema Módulos de Tarea 1 y 2)) con un presupuesto de 150.000 euros</w:t>
      </w:r>
    </w:p>
    <w:p w14:paraId="4A8D37E0" w14:textId="77777777" w:rsidR="000F2ED2" w:rsidRPr="00CA6CBB" w:rsidRDefault="000F2ED2" w:rsidP="000F2ED2">
      <w:pPr>
        <w:pStyle w:val="ListParagraph"/>
        <w:ind w:left="567" w:hanging="283"/>
        <w:rPr>
          <w:rFonts w:asciiTheme="minorHAnsi" w:eastAsiaTheme="majorEastAsia" w:hAnsiTheme="minorHAnsi"/>
        </w:rPr>
      </w:pPr>
    </w:p>
    <w:p w14:paraId="26A5701B" w14:textId="77777777" w:rsidR="000F2ED2" w:rsidRPr="00CA6CBB" w:rsidRDefault="000F2ED2" w:rsidP="000F2ED2">
      <w:pPr>
        <w:pStyle w:val="ListParagraph"/>
        <w:numPr>
          <w:ilvl w:val="0"/>
          <w:numId w:val="12"/>
        </w:numPr>
        <w:ind w:left="567" w:hanging="283"/>
        <w:rPr>
          <w:rFonts w:asciiTheme="minorHAnsi" w:eastAsiaTheme="majorEastAsia" w:hAnsiTheme="minorHAnsi"/>
        </w:rPr>
      </w:pPr>
      <w:r w:rsidRPr="00CA6CBB">
        <w:rPr>
          <w:rFonts w:asciiTheme="minorHAnsi" w:eastAsiaTheme="majorEastAsia" w:hAnsiTheme="minorHAnsi"/>
        </w:rPr>
        <w:t>Tema 2 (EMFAF-2024-VC-ICCAT3-IBA-02 (proyecto n.º 101197349) - Integración de la norma UN/FLUX en el IOMS (acrónimo: EU-IOMS2024-TF2 (abreviado TF2: Tema FLUX parte 2)) con un presupuesto de 100.000 euros</w:t>
      </w:r>
    </w:p>
    <w:p w14:paraId="33CA8C95" w14:textId="77777777" w:rsidR="000F2ED2" w:rsidRPr="00CA6CBB" w:rsidRDefault="000F2ED2" w:rsidP="000F2ED2">
      <w:pPr>
        <w:rPr>
          <w:rFonts w:asciiTheme="minorHAnsi" w:eastAsiaTheme="majorEastAsia" w:hAnsiTheme="minorHAnsi"/>
        </w:rPr>
      </w:pPr>
    </w:p>
    <w:p w14:paraId="7C80029F" w14:textId="77777777" w:rsidR="000F2ED2" w:rsidRPr="00CA6CBB" w:rsidRDefault="000F2ED2" w:rsidP="000F2ED2">
      <w:pPr>
        <w:rPr>
          <w:rFonts w:asciiTheme="minorHAnsi" w:eastAsiaTheme="majorEastAsia" w:hAnsiTheme="minorHAnsi"/>
        </w:rPr>
      </w:pPr>
      <w:r w:rsidRPr="00CA6CBB">
        <w:rPr>
          <w:rFonts w:asciiTheme="minorHAnsi" w:eastAsiaTheme="majorEastAsia" w:hAnsiTheme="minorHAnsi"/>
        </w:rPr>
        <w:t xml:space="preserve">El proyecto Tema 1 (WU-IOMS2024-TT12) tiene como objetivo apoyar la finalización de los módulos en curso (Gestor de buques y Gestor de formularios) y comenzar a trabajar en dos módulos del IOMS (capturas nominales de Tarea 1 y captura y esfuerzo de Tarea 2). Ya se han alcanzado dos objetivos concretos relacionados con el apoyo a la finalización y la puesta en producción (1 de agosto de 2025) del Gestor de buques y el Gestor de formularios. Los dos objetivos específicos que aún están en curso son el apoyo a los dos nuevos módulos que se están desarrollando: </w:t>
      </w:r>
    </w:p>
    <w:p w14:paraId="55F18D70" w14:textId="77777777" w:rsidR="000F2ED2" w:rsidRPr="00CA6CBB" w:rsidRDefault="000F2ED2" w:rsidP="000F2ED2">
      <w:pPr>
        <w:rPr>
          <w:rFonts w:asciiTheme="minorHAnsi" w:eastAsiaTheme="majorEastAsia" w:hAnsiTheme="minorHAnsi"/>
        </w:rPr>
      </w:pPr>
    </w:p>
    <w:p w14:paraId="2ECBEF4F" w14:textId="77777777" w:rsidR="000F2ED2" w:rsidRPr="00CA6CBB" w:rsidRDefault="000F2ED2" w:rsidP="000F2ED2">
      <w:pPr>
        <w:pStyle w:val="ListParagraph"/>
        <w:numPr>
          <w:ilvl w:val="0"/>
          <w:numId w:val="12"/>
        </w:numPr>
        <w:ind w:left="567" w:hanging="283"/>
        <w:rPr>
          <w:rFonts w:asciiTheme="minorHAnsi" w:eastAsiaTheme="majorEastAsia" w:hAnsiTheme="minorHAnsi"/>
        </w:rPr>
      </w:pPr>
      <w:r w:rsidRPr="00CA6CBB">
        <w:rPr>
          <w:rFonts w:asciiTheme="minorHAnsi" w:eastAsiaTheme="majorEastAsia" w:hAnsiTheme="minorHAnsi"/>
        </w:rPr>
        <w:t>Gestor de T1NC (capturas nominales de Tarea 1): apoya el desarrollo de este nuevo módulo que gestionará la obligación de comunicación de los datos de capturas nominales de Tarea 1.</w:t>
      </w:r>
    </w:p>
    <w:p w14:paraId="60A87992" w14:textId="77777777" w:rsidR="000F2ED2" w:rsidRPr="00CA6CBB" w:rsidRDefault="000F2ED2" w:rsidP="000F2ED2">
      <w:pPr>
        <w:pStyle w:val="ListParagraph"/>
        <w:ind w:left="567" w:hanging="283"/>
        <w:rPr>
          <w:rFonts w:asciiTheme="minorHAnsi" w:eastAsiaTheme="majorEastAsia" w:hAnsiTheme="minorHAnsi"/>
        </w:rPr>
      </w:pPr>
    </w:p>
    <w:p w14:paraId="3A4CC801" w14:textId="77777777" w:rsidR="000F2ED2" w:rsidRPr="00CA6CBB" w:rsidRDefault="000F2ED2" w:rsidP="000F2ED2">
      <w:pPr>
        <w:pStyle w:val="ListParagraph"/>
        <w:numPr>
          <w:ilvl w:val="0"/>
          <w:numId w:val="12"/>
        </w:numPr>
        <w:ind w:left="567" w:hanging="283"/>
        <w:rPr>
          <w:rFonts w:asciiTheme="minorHAnsi" w:eastAsiaTheme="majorEastAsia" w:hAnsiTheme="minorHAnsi"/>
        </w:rPr>
      </w:pPr>
      <w:r w:rsidRPr="00CA6CBB">
        <w:rPr>
          <w:rFonts w:asciiTheme="minorHAnsi" w:eastAsiaTheme="majorEastAsia" w:hAnsiTheme="minorHAnsi"/>
        </w:rPr>
        <w:t>Gestor de T2CE (captura y esfuerzo de Tarea 2): apoya el desarrollo de este nuevo módulo que gestionará la obligación de comunicación de los datos de captura y esfuerzo de Tarea 2.</w:t>
      </w:r>
    </w:p>
    <w:p w14:paraId="2EA1B2C5" w14:textId="77777777" w:rsidR="000F2ED2" w:rsidRPr="00CA6CBB" w:rsidRDefault="000F2ED2" w:rsidP="000F2ED2">
      <w:pPr>
        <w:rPr>
          <w:rFonts w:asciiTheme="minorHAnsi" w:eastAsiaTheme="majorEastAsia" w:hAnsiTheme="minorHAnsi"/>
        </w:rPr>
      </w:pPr>
    </w:p>
    <w:p w14:paraId="0C53F255" w14:textId="77777777" w:rsidR="000F2ED2" w:rsidRPr="00CA6CBB" w:rsidRDefault="000F2ED2" w:rsidP="000F2ED2">
      <w:pPr>
        <w:rPr>
          <w:rFonts w:asciiTheme="minorHAnsi" w:eastAsiaTheme="majorEastAsia" w:hAnsiTheme="minorHAnsi"/>
        </w:rPr>
      </w:pPr>
      <w:r w:rsidRPr="00CA6CBB">
        <w:rPr>
          <w:rFonts w:asciiTheme="minorHAnsi" w:eastAsiaTheme="majorEastAsia" w:hAnsiTheme="minorHAnsi"/>
        </w:rPr>
        <w:t>Ya han comenzado los trabajos en el Gestor de T1NC y en el Gestor de T2CE, y continuarán hasta el final del proyecto. Estos módulos gestionan dos conjuntos de datos estadísticos pesqueros fundamentales que utilizan ampliamente el SCRS y la comunidad científica de ICCAT, pero que también suelen emplear la mayoría de los órganos subsidiarios de ICCAT (COC, GTP y Subcomisiones 1 a 4, etc.).</w:t>
      </w:r>
    </w:p>
    <w:p w14:paraId="0B84544A" w14:textId="77777777" w:rsidR="000F2ED2" w:rsidRPr="00CA6CBB" w:rsidRDefault="000F2ED2" w:rsidP="000F2ED2">
      <w:pPr>
        <w:rPr>
          <w:rFonts w:asciiTheme="minorHAnsi" w:eastAsiaTheme="majorEastAsia" w:hAnsiTheme="minorHAnsi"/>
        </w:rPr>
      </w:pPr>
    </w:p>
    <w:p w14:paraId="6EA25134" w14:textId="77777777" w:rsidR="000F2ED2" w:rsidRPr="00CA6CBB" w:rsidRDefault="000F2ED2" w:rsidP="000F2ED2">
      <w:pPr>
        <w:rPr>
          <w:rFonts w:asciiTheme="minorHAnsi" w:eastAsiaTheme="majorEastAsia" w:hAnsiTheme="minorHAnsi"/>
        </w:rPr>
      </w:pPr>
      <w:r w:rsidRPr="00CA6CBB">
        <w:rPr>
          <w:rFonts w:asciiTheme="minorHAnsi" w:eastAsiaTheme="majorEastAsia" w:hAnsiTheme="minorHAnsi"/>
        </w:rPr>
        <w:lastRenderedPageBreak/>
        <w:t>El subproyecto Tema 2 (EU-IOMS2024-TF2) tiene como objetivo completar las actividades en curso sobre la integración de la norma UN/FLUX en el módulo Gestor de buques (una prioridad para la UE e ICCAT), que cubre dos flujos de datos: a) Datos de registro de buques (añadir/editar/desactivar y otras acciones); b) Datos de autorización de pesca (acciones de añadir/editar/eliminar en 11 listas de buques autorizados de ICCAT). Las actividades principales abarcan cuatro aspectos fundamentales:</w:t>
      </w:r>
    </w:p>
    <w:p w14:paraId="64122C2D" w14:textId="77777777" w:rsidR="000F2ED2" w:rsidRPr="00CA6CBB" w:rsidRDefault="000F2ED2" w:rsidP="000F2ED2">
      <w:pPr>
        <w:rPr>
          <w:rFonts w:asciiTheme="minorHAnsi" w:eastAsiaTheme="majorEastAsia" w:hAnsiTheme="minorHAnsi"/>
        </w:rPr>
      </w:pPr>
    </w:p>
    <w:p w14:paraId="2835B6F5" w14:textId="77777777" w:rsidR="000F2ED2" w:rsidRPr="00CA6CBB" w:rsidRDefault="000F2ED2" w:rsidP="000F2ED2">
      <w:pPr>
        <w:pStyle w:val="ListParagraph"/>
        <w:numPr>
          <w:ilvl w:val="0"/>
          <w:numId w:val="5"/>
        </w:numPr>
        <w:ind w:left="851" w:hanging="425"/>
        <w:rPr>
          <w:rFonts w:asciiTheme="minorHAnsi" w:eastAsiaTheme="majorEastAsia" w:hAnsiTheme="minorHAnsi"/>
        </w:rPr>
      </w:pPr>
      <w:r w:rsidRPr="00CA6CBB">
        <w:rPr>
          <w:rFonts w:asciiTheme="minorHAnsi" w:eastAsiaTheme="majorEastAsia" w:hAnsiTheme="minorHAnsi"/>
        </w:rPr>
        <w:t>Establecer un nodo final FLUX-TL plenamente operativo (TL: Capa de transporte en la infraestructura en nube de ICCAT).</w:t>
      </w:r>
    </w:p>
    <w:p w14:paraId="2FB88B1A" w14:textId="77777777" w:rsidR="000F2ED2" w:rsidRPr="00CA6CBB" w:rsidRDefault="000F2ED2" w:rsidP="000F2ED2">
      <w:pPr>
        <w:pStyle w:val="ListParagraph"/>
        <w:numPr>
          <w:ilvl w:val="0"/>
          <w:numId w:val="5"/>
        </w:numPr>
        <w:ind w:left="851" w:hanging="425"/>
        <w:rPr>
          <w:rFonts w:asciiTheme="minorHAnsi" w:eastAsiaTheme="majorEastAsia" w:hAnsiTheme="minorHAnsi"/>
        </w:rPr>
      </w:pPr>
      <w:r w:rsidRPr="00CA6CBB">
        <w:rPr>
          <w:rFonts w:asciiTheme="minorHAnsi" w:eastAsiaTheme="majorEastAsia" w:hAnsiTheme="minorHAnsi"/>
        </w:rPr>
        <w:t>Establecer flujos de datos plenamente operativos para dos dominios UN/FLUX (buques, autorizaciones), incluida la lógica de negocios (reglas de negocio pertinentes).</w:t>
      </w:r>
    </w:p>
    <w:p w14:paraId="55BD43D4" w14:textId="77777777" w:rsidR="000F2ED2" w:rsidRPr="00CA6CBB" w:rsidRDefault="000F2ED2" w:rsidP="000F2ED2">
      <w:pPr>
        <w:pStyle w:val="ListParagraph"/>
        <w:numPr>
          <w:ilvl w:val="0"/>
          <w:numId w:val="5"/>
        </w:numPr>
        <w:ind w:left="851" w:hanging="425"/>
        <w:rPr>
          <w:rFonts w:asciiTheme="minorHAnsi" w:eastAsiaTheme="majorEastAsia" w:hAnsiTheme="minorHAnsi"/>
        </w:rPr>
      </w:pPr>
      <w:r w:rsidRPr="00CA6CBB">
        <w:rPr>
          <w:rFonts w:asciiTheme="minorHAnsi" w:eastAsiaTheme="majorEastAsia" w:hAnsiTheme="minorHAnsi"/>
        </w:rPr>
        <w:t>Integrar plenamente (a) y (b) en el módulo Gestor de buques del IOMS.</w:t>
      </w:r>
    </w:p>
    <w:p w14:paraId="58DFFE9F" w14:textId="77777777" w:rsidR="000F2ED2" w:rsidRPr="00CA6CBB" w:rsidRDefault="000F2ED2" w:rsidP="000F2ED2">
      <w:pPr>
        <w:pStyle w:val="ListParagraph"/>
        <w:numPr>
          <w:ilvl w:val="0"/>
          <w:numId w:val="5"/>
        </w:numPr>
        <w:ind w:left="851" w:hanging="425"/>
        <w:rPr>
          <w:rFonts w:asciiTheme="minorHAnsi" w:eastAsiaTheme="majorEastAsia" w:hAnsiTheme="minorHAnsi"/>
        </w:rPr>
      </w:pPr>
      <w:r w:rsidRPr="00CA6CBB">
        <w:rPr>
          <w:rFonts w:asciiTheme="minorHAnsi" w:eastAsiaTheme="majorEastAsia" w:hAnsiTheme="minorHAnsi"/>
        </w:rPr>
        <w:t xml:space="preserve">Conseguir flujos de datos plenamente operativos de buques y autorizaciones y principalmente los del formulario </w:t>
      </w:r>
      <w:hyperlink r:id="rId42" w:history="1">
        <w:r w:rsidRPr="00CA6CBB">
          <w:rPr>
            <w:rStyle w:val="Hyperlink"/>
            <w:rFonts w:asciiTheme="minorHAnsi" w:eastAsiaTheme="majorEastAsia" w:hAnsiTheme="minorHAnsi"/>
            <w:u w:val="none"/>
          </w:rPr>
          <w:t>CP01-VessLst</w:t>
        </w:r>
      </w:hyperlink>
      <w:r w:rsidRPr="00CA6CBB">
        <w:rPr>
          <w:rFonts w:asciiTheme="minorHAnsi" w:eastAsiaTheme="majorEastAsia" w:hAnsiTheme="minorHAnsi"/>
        </w:rPr>
        <w:t>, a través de UN/FLUX.</w:t>
      </w:r>
    </w:p>
    <w:p w14:paraId="2437F51A" w14:textId="77777777" w:rsidR="000F2ED2" w:rsidRPr="00CA6CBB" w:rsidRDefault="000F2ED2" w:rsidP="000F2ED2">
      <w:pPr>
        <w:rPr>
          <w:rFonts w:asciiTheme="minorHAnsi" w:eastAsiaTheme="majorEastAsia" w:hAnsiTheme="minorHAnsi"/>
        </w:rPr>
      </w:pPr>
    </w:p>
    <w:p w14:paraId="11C2AA09" w14:textId="77777777" w:rsidR="000F2ED2" w:rsidRPr="00CA6CBB" w:rsidRDefault="000F2ED2" w:rsidP="000F2ED2">
      <w:pPr>
        <w:rPr>
          <w:rFonts w:asciiTheme="minorHAnsi" w:eastAsiaTheme="majorEastAsia" w:hAnsiTheme="minorHAnsi"/>
        </w:rPr>
      </w:pPr>
      <w:r w:rsidRPr="00CA6CBB">
        <w:rPr>
          <w:rFonts w:asciiTheme="minorHAnsi" w:eastAsiaTheme="majorEastAsia" w:hAnsiTheme="minorHAnsi"/>
        </w:rPr>
        <w:t>Los puntos (a) y (b) se han llevado a cabo en estrecha colaboración con la UE. La mayor parte del trabajo de desarrollo ya se había realizado para los dos dominios. La única tarea pendiente es la prueba "intensiva" prevista (con posibles ajustes en las reglas de negocio), un texto crucial para todo el sistema FLUX en el que deben participar tanto la UE como ICCAT. El equipo del IOMS y la UE mantienen reuniones específicas en línea para avanzar en esta compleja tarea.</w:t>
      </w:r>
    </w:p>
    <w:p w14:paraId="7401C899" w14:textId="77777777" w:rsidR="000F2ED2" w:rsidRPr="00CA6CBB" w:rsidRDefault="000F2ED2" w:rsidP="000F2ED2">
      <w:pPr>
        <w:rPr>
          <w:rFonts w:asciiTheme="minorHAnsi" w:eastAsiaTheme="majorEastAsia" w:hAnsiTheme="minorHAnsi"/>
        </w:rPr>
      </w:pPr>
    </w:p>
    <w:p w14:paraId="037991AB" w14:textId="77777777" w:rsidR="000F2ED2" w:rsidRPr="00CA6CBB" w:rsidRDefault="000F2ED2" w:rsidP="000F2ED2">
      <w:pPr>
        <w:rPr>
          <w:rFonts w:asciiTheme="minorHAnsi" w:eastAsiaTheme="majorEastAsia" w:hAnsiTheme="minorHAnsi"/>
        </w:rPr>
      </w:pPr>
      <w:r w:rsidRPr="00CA6CBB">
        <w:rPr>
          <w:rFonts w:asciiTheme="minorHAnsi" w:eastAsiaTheme="majorEastAsia" w:hAnsiTheme="minorHAnsi"/>
        </w:rPr>
        <w:t>En cuanto a todos los proyectos complementarios del IOMS, el trabajo asociado que se acaba de describir se ha integrado en el proyecto global del IOMS y lo coordinará el equipo del IOMS y el WG-ORT. El presupuesto global permitió la contratación de un desarrollador de software senior adicional durante dos años con actividades compartidas en ambos subproyectos. Una pequeña parte del presupuesto global se reservó para contribuir a los costes generales de desarrollo y de apoyo (servicios de traducción, infraestructura, costes de software, hardware) del IOMS.</w:t>
      </w:r>
    </w:p>
    <w:p w14:paraId="69D5F8CD" w14:textId="77777777" w:rsidR="000F2ED2" w:rsidRPr="00CA6CBB" w:rsidRDefault="000F2ED2" w:rsidP="000F2ED2">
      <w:pPr>
        <w:rPr>
          <w:rFonts w:asciiTheme="minorHAnsi" w:eastAsiaTheme="majorEastAsia" w:hAnsiTheme="minorHAnsi"/>
        </w:rPr>
      </w:pPr>
    </w:p>
    <w:p w14:paraId="50B6CCB4" w14:textId="77777777" w:rsidR="000F2ED2" w:rsidRPr="00CA6CBB" w:rsidRDefault="000F2ED2" w:rsidP="000F2ED2">
      <w:pPr>
        <w:pStyle w:val="Heading2"/>
        <w:spacing w:before="0" w:after="0"/>
        <w:ind w:left="426" w:hanging="426"/>
        <w:rPr>
          <w:rFonts w:asciiTheme="minorHAnsi" w:eastAsiaTheme="majorEastAsia" w:hAnsiTheme="minorHAnsi"/>
          <w:spacing w:val="-2"/>
        </w:rPr>
      </w:pPr>
      <w:r w:rsidRPr="00CA6CBB">
        <w:rPr>
          <w:rFonts w:asciiTheme="minorHAnsi" w:eastAsiaTheme="majorEastAsia" w:hAnsiTheme="minorHAnsi"/>
        </w:rPr>
        <w:t>Proyecto GEF-ABNJ II sobre el IOMS (2024-2027)</w:t>
      </w:r>
    </w:p>
    <w:p w14:paraId="0FD7F561" w14:textId="77777777" w:rsidR="000F2ED2" w:rsidRPr="00CA6CBB" w:rsidRDefault="000F2ED2" w:rsidP="000F2ED2">
      <w:pPr>
        <w:rPr>
          <w:rFonts w:asciiTheme="minorHAnsi" w:eastAsiaTheme="majorEastAsia" w:hAnsiTheme="minorHAnsi"/>
        </w:rPr>
      </w:pPr>
    </w:p>
    <w:p w14:paraId="6AED3180" w14:textId="77777777" w:rsidR="000F2ED2" w:rsidRPr="00CA6CBB" w:rsidRDefault="000F2ED2" w:rsidP="000F2ED2">
      <w:pPr>
        <w:rPr>
          <w:rFonts w:asciiTheme="minorHAnsi" w:eastAsiaTheme="majorEastAsia" w:hAnsiTheme="minorHAnsi"/>
        </w:rPr>
      </w:pPr>
      <w:r w:rsidRPr="00CA6CBB">
        <w:rPr>
          <w:rFonts w:asciiTheme="minorHAnsi" w:eastAsiaTheme="majorEastAsia" w:hAnsiTheme="minorHAnsi"/>
        </w:rPr>
        <w:t xml:space="preserve">Una de las cinco cápsulas financiadas por la Fase II del Programa de Zonas situadas fuera de la jurisdicción nacional (ABNJ) - Océanos comunes y el Proyecto Túnidos (GEF-ABNJ Tuna II) es la "Mejora de los sistemas de comunicación en línea (OR)". Este proyecto complementario pretende mejorar el IOMS mediante el desarrollo de extensiones (API públicas REST estándar) para la interoperabilidad automática de datos, centrándose en la difusión de datos públicos (estructuras de datos estándar para ser utilizados/publicados por cualquier "usuario final"). Por "usuario final" se entiende un amplio espectro de usuarios potenciales y puede referirse tanto a un usuario individual que desee un conjunto de datos concreto del IOMS para estudios específicos, como a un socio de ICCAT —por ejemplo, la FAO— que desee explorar los datos públicos de ICCAT, o a un sitio web que ofrezca herramientas para procesar y publicar los datos públicos de ICCAT. En todos los casos de uso, se garantiza la propiedad de ICCAT y cualquier restricción sobre la privacidad de los datos. Los dos principales usuarios finales de los datos de ICCAT almacenada en el IOMS serán el </w:t>
      </w:r>
      <w:hyperlink r:id="rId43" w:history="1">
        <w:r w:rsidRPr="00CA6CBB">
          <w:rPr>
            <w:rStyle w:val="Hyperlink"/>
            <w:rFonts w:asciiTheme="minorHAnsi" w:eastAsiaTheme="majorEastAsia" w:hAnsiTheme="minorHAnsi"/>
            <w:u w:val="none"/>
          </w:rPr>
          <w:t xml:space="preserve">sitio web de ICCAT </w:t>
        </w:r>
      </w:hyperlink>
      <w:r w:rsidRPr="00CA6CBB">
        <w:rPr>
          <w:rFonts w:asciiTheme="minorHAnsi" w:eastAsiaTheme="majorEastAsia" w:hAnsiTheme="minorHAnsi"/>
        </w:rPr>
        <w:t xml:space="preserve">y el </w:t>
      </w:r>
      <w:hyperlink r:id="rId44" w:history="1">
        <w:r w:rsidRPr="00CA6CBB">
          <w:rPr>
            <w:rStyle w:val="Hyperlink"/>
            <w:rFonts w:asciiTheme="minorHAnsi" w:eastAsiaTheme="majorEastAsia" w:hAnsiTheme="minorHAnsi"/>
            <w:u w:val="none"/>
          </w:rPr>
          <w:t>sitio web de TUNA-ORG</w:t>
        </w:r>
      </w:hyperlink>
      <w:r w:rsidRPr="00CA6CBB">
        <w:rPr>
          <w:rFonts w:asciiTheme="minorHAnsi" w:eastAsiaTheme="majorEastAsia" w:hAnsiTheme="minorHAnsi"/>
        </w:rPr>
        <w:t>.  El presupuesto total del GEF-ABNJ Tuna II dedicado al desarrollo de extensiones del IOMS es de unos 490.000 euros y está previsto para una duración total efectiva de cuatro años. El proyecto lo firmaron ICCAT y la FAO en agosto de 2023 y el trabajo comenzó en septiembre de 2023, con previsión de finalizar alrededor de mayo de 2027.</w:t>
      </w:r>
    </w:p>
    <w:p w14:paraId="2890DC3C" w14:textId="77777777" w:rsidR="000F2ED2" w:rsidRPr="00CA6CBB" w:rsidRDefault="000F2ED2" w:rsidP="000F2ED2">
      <w:pPr>
        <w:rPr>
          <w:rFonts w:asciiTheme="minorHAnsi" w:eastAsiaTheme="majorEastAsia" w:hAnsiTheme="minorHAnsi"/>
        </w:rPr>
      </w:pPr>
    </w:p>
    <w:p w14:paraId="585DB074" w14:textId="77777777" w:rsidR="000F2ED2" w:rsidRPr="00CA6CBB" w:rsidRDefault="000F2ED2" w:rsidP="000F2ED2">
      <w:pPr>
        <w:rPr>
          <w:rFonts w:asciiTheme="minorHAnsi" w:eastAsiaTheme="majorEastAsia" w:hAnsiTheme="minorHAnsi"/>
        </w:rPr>
      </w:pPr>
      <w:r w:rsidRPr="00CA6CBB">
        <w:rPr>
          <w:rFonts w:asciiTheme="minorHAnsi" w:eastAsiaTheme="majorEastAsia" w:hAnsiTheme="minorHAnsi"/>
        </w:rPr>
        <w:t xml:space="preserve">ICCAT remite a la FAO un informe provisional semestral (el último, con fecha del 15 de enero de 2026) en el que se describen los avances logrados durante los seis meses anteriores (julio-diciembre de 2025). Se describieron ejemplos de API públicas del IOMS que ya se utilizan en el sitio web de ICCAT (requisitos de datos de ICCAT y datos de buques). Los indicadores del informe de progreso acordados se actualizaron en consecuencia. </w:t>
      </w:r>
    </w:p>
    <w:p w14:paraId="1D4736FF" w14:textId="77777777" w:rsidR="000F2ED2" w:rsidRPr="00CA6CBB" w:rsidRDefault="000F2ED2" w:rsidP="000F2ED2">
      <w:pPr>
        <w:rPr>
          <w:rFonts w:asciiTheme="minorHAnsi" w:eastAsiaTheme="majorEastAsia" w:hAnsiTheme="minorHAnsi"/>
        </w:rPr>
      </w:pPr>
    </w:p>
    <w:p w14:paraId="50159AD8" w14:textId="77777777" w:rsidR="000F2ED2" w:rsidRPr="00CA6CBB" w:rsidRDefault="000F2ED2" w:rsidP="000F2ED2">
      <w:pPr>
        <w:rPr>
          <w:rFonts w:asciiTheme="minorHAnsi" w:eastAsiaTheme="majorEastAsia" w:hAnsiTheme="minorHAnsi"/>
        </w:rPr>
      </w:pPr>
      <w:r w:rsidRPr="00CA6CBB">
        <w:rPr>
          <w:rFonts w:asciiTheme="minorHAnsi" w:eastAsiaTheme="majorEastAsia" w:hAnsiTheme="minorHAnsi"/>
        </w:rPr>
        <w:t>El presidente del WG-ORT agradeció a la Secretaría la información actualizada sobre los proyectos complementarios del IOMS en curso y los avances asociados realizados por el equipo del IOMS. También agradeció a la UE el apoyo continuado al proyecto IOMS con un proyecto complementario adicional de dos años, y al proyecto GEF que permite al Grupo beneficiarse de la experiencia del Sr. Carlos Palma durante otro año.</w:t>
      </w:r>
    </w:p>
    <w:p w14:paraId="67E231E0" w14:textId="77777777" w:rsidR="000F2ED2" w:rsidRPr="00CA6CBB" w:rsidRDefault="000F2ED2" w:rsidP="000F2ED2">
      <w:pPr>
        <w:rPr>
          <w:rFonts w:asciiTheme="minorHAnsi" w:eastAsiaTheme="majorEastAsia" w:hAnsiTheme="minorHAnsi"/>
          <w:b/>
          <w:bCs/>
        </w:rPr>
      </w:pPr>
    </w:p>
    <w:p w14:paraId="6BA03D4F" w14:textId="77777777" w:rsidR="000F2ED2" w:rsidRPr="00CA6CBB" w:rsidRDefault="000F2ED2" w:rsidP="000F2ED2">
      <w:pPr>
        <w:pStyle w:val="Heading1"/>
        <w:rPr>
          <w:rFonts w:asciiTheme="minorHAnsi" w:eastAsiaTheme="majorEastAsia" w:hAnsiTheme="minorHAnsi"/>
        </w:rPr>
      </w:pPr>
      <w:r w:rsidRPr="00CA6CBB">
        <w:rPr>
          <w:rFonts w:asciiTheme="minorHAnsi" w:eastAsiaTheme="majorEastAsia" w:hAnsiTheme="minorHAnsi"/>
        </w:rPr>
        <w:lastRenderedPageBreak/>
        <w:t>Actividades encaminadas a un proyecto piloto para la traducción parcial de los informes anuales</w:t>
      </w:r>
    </w:p>
    <w:p w14:paraId="7D5CDEDB" w14:textId="77777777" w:rsidR="000F2ED2" w:rsidRPr="00CA6CBB" w:rsidRDefault="000F2ED2" w:rsidP="000F2ED2">
      <w:pPr>
        <w:rPr>
          <w:rFonts w:asciiTheme="minorHAnsi" w:eastAsiaTheme="majorEastAsia" w:hAnsiTheme="minorHAnsi"/>
        </w:rPr>
      </w:pPr>
      <w:r w:rsidRPr="00CA6CBB">
        <w:rPr>
          <w:rFonts w:asciiTheme="minorHAnsi" w:eastAsiaTheme="majorEastAsia" w:hAnsiTheme="minorHAnsi"/>
        </w:rPr>
        <w:t>La Secretaría presentó las actividades llevadas a cabo con vistas al desarrollo de un proyecto piloto para la traducción parcial de los informes anuales a los tres idiomas oficiales de ICCAT.</w:t>
      </w:r>
    </w:p>
    <w:p w14:paraId="6EDE6BC5" w14:textId="77777777" w:rsidR="000F2ED2" w:rsidRPr="00CA6CBB" w:rsidRDefault="000F2ED2" w:rsidP="000F2ED2">
      <w:pPr>
        <w:rPr>
          <w:rFonts w:asciiTheme="minorHAnsi" w:eastAsiaTheme="majorEastAsia" w:hAnsiTheme="minorHAnsi"/>
        </w:rPr>
      </w:pPr>
    </w:p>
    <w:p w14:paraId="65D95A47" w14:textId="6AE88746" w:rsidR="000F2ED2" w:rsidRPr="00CA6CBB" w:rsidRDefault="000F2ED2" w:rsidP="000F2ED2">
      <w:pPr>
        <w:rPr>
          <w:rFonts w:asciiTheme="minorHAnsi" w:eastAsiaTheme="majorEastAsia" w:hAnsiTheme="minorHAnsi"/>
        </w:rPr>
      </w:pPr>
      <w:r w:rsidRPr="00CA6CBB">
        <w:rPr>
          <w:rFonts w:asciiTheme="minorHAnsi" w:eastAsiaTheme="majorEastAsia" w:hAnsiTheme="minorHAnsi"/>
        </w:rPr>
        <w:t>El proyecto piloto se inició con un documento "Evaluación de costes para la traducción de los datos y documentos del IOMS" (</w:t>
      </w:r>
      <w:hyperlink r:id="rId45" w:history="1">
        <w:r w:rsidRPr="00CA6CBB">
          <w:rPr>
            <w:rStyle w:val="Hyperlink"/>
            <w:rFonts w:asciiTheme="minorHAnsi" w:eastAsiaTheme="majorEastAsia" w:hAnsiTheme="minorHAnsi"/>
            <w:u w:val="none"/>
          </w:rPr>
          <w:t>COC_319/2025</w:t>
        </w:r>
      </w:hyperlink>
      <w:r w:rsidRPr="00CA6CBB">
        <w:rPr>
          <w:rFonts w:asciiTheme="minorHAnsi" w:eastAsiaTheme="majorEastAsia" w:hAnsiTheme="minorHAnsi"/>
        </w:rPr>
        <w:t>) presentado en la reunión anual de la Comisión de 2025. En consecuencia, el Comité de Cumplimiento recomendó al WG-ORT que implementara este proyecto piloto centrado en la traducción de algunas partes del informe anual (concretamente la sección 3) directamente en el IOMS. El proyecto piloto tiene por objeto evaluar la viabilidad, la calidad y las implicaciones en materia de costes que supondría traducir íntegramente la sección 3 del informe anual de todas las CPC. En la presentación se expuso el enfoque metodológico y los pasos concretos necesarios para implementar el proyecto piloto y alcanzar sus objetivos. De entre los distintos modelos de traducción analizados, se optó por un proyecto piloto basado en un modelo híbrido (traducción automática + revisión humana), en el que la revisión humana se encargaría a recursos externos (el departamento de traducción de la Secretaría está completamente desbordado).</w:t>
      </w:r>
    </w:p>
    <w:p w14:paraId="5E693D6B" w14:textId="77777777" w:rsidR="000F2ED2" w:rsidRPr="00CA6CBB" w:rsidRDefault="000F2ED2" w:rsidP="000F2ED2">
      <w:pPr>
        <w:rPr>
          <w:rFonts w:asciiTheme="minorHAnsi" w:eastAsiaTheme="majorEastAsia" w:hAnsiTheme="minorHAnsi"/>
        </w:rPr>
      </w:pPr>
    </w:p>
    <w:p w14:paraId="066613BB" w14:textId="77777777" w:rsidR="000F2ED2" w:rsidRPr="00CA6CBB" w:rsidRDefault="000F2ED2" w:rsidP="000F2ED2">
      <w:pPr>
        <w:rPr>
          <w:rFonts w:asciiTheme="minorHAnsi" w:eastAsiaTheme="majorEastAsia" w:hAnsiTheme="minorHAnsi"/>
        </w:rPr>
      </w:pPr>
      <w:r w:rsidRPr="00CA6CBB">
        <w:rPr>
          <w:rFonts w:asciiTheme="minorHAnsi" w:eastAsiaTheme="majorEastAsia" w:hAnsiTheme="minorHAnsi"/>
        </w:rPr>
        <w:t>La Secretaría indicó que el proyecto piloto evaluaría las repercusiones financieras de la traducción parcial, incluidos los posibles costes asociados a las herramientas de traducción, el control de calidad y la revisión externa por parte de personal humano. Se señaló que el proyecto tiene por objeto estudiar soluciones rentables y determinar si las ventajas en materia de accesibilidad y eficiencia justificarían cualquier gasto adicional.</w:t>
      </w:r>
    </w:p>
    <w:p w14:paraId="150FA8F4" w14:textId="77777777" w:rsidR="000F2ED2" w:rsidRPr="00CA6CBB" w:rsidRDefault="000F2ED2" w:rsidP="000F2ED2">
      <w:pPr>
        <w:rPr>
          <w:rFonts w:asciiTheme="minorHAnsi" w:eastAsiaTheme="majorEastAsia" w:hAnsiTheme="minorHAnsi"/>
        </w:rPr>
      </w:pPr>
    </w:p>
    <w:p w14:paraId="14D15F14" w14:textId="77777777" w:rsidR="000F2ED2" w:rsidRDefault="000F2ED2" w:rsidP="00FB2FC3">
      <w:pPr>
        <w:rPr>
          <w:rFonts w:asciiTheme="minorHAnsi" w:eastAsiaTheme="majorEastAsia" w:hAnsiTheme="minorHAnsi"/>
        </w:rPr>
      </w:pPr>
      <w:r w:rsidRPr="00CA6CBB">
        <w:rPr>
          <w:rFonts w:asciiTheme="minorHAnsi" w:eastAsiaTheme="majorEastAsia" w:hAnsiTheme="minorHAnsi"/>
        </w:rPr>
        <w:t>Durante el debate, los miembros mostraron interés por la iniciativa e intercambiaron opiniones sobre sus posibles ventajas y dificultades. Una CPC expresó su preocupación por el escaso plazo de tiempo disponible para implementar el proyecto piloto y sugirió que, en caso de no haber tiempo suficiente para la revisión humana, se utilizara únicamente la traducción automática (herramientas de inteligencia artificial (IA)) y se informara de los resultados al COC y al STACFAD en 2026.</w:t>
      </w:r>
    </w:p>
    <w:p w14:paraId="213801A9" w14:textId="77777777" w:rsidR="00FB2FC3" w:rsidRPr="00CA6CBB" w:rsidRDefault="00FB2FC3" w:rsidP="00FB2FC3">
      <w:pPr>
        <w:rPr>
          <w:rFonts w:asciiTheme="minorHAnsi" w:eastAsiaTheme="majorEastAsia" w:hAnsiTheme="minorHAnsi"/>
        </w:rPr>
      </w:pPr>
    </w:p>
    <w:p w14:paraId="3F392BDA" w14:textId="77777777" w:rsidR="000F2ED2" w:rsidRPr="00CA6CBB" w:rsidRDefault="000F2ED2" w:rsidP="000F2ED2">
      <w:pPr>
        <w:pBdr>
          <w:top w:val="none" w:sz="0" w:space="0" w:color="auto"/>
          <w:left w:val="none" w:sz="0" w:space="0" w:color="auto"/>
          <w:bottom w:val="none" w:sz="0" w:space="0" w:color="auto"/>
          <w:right w:val="none" w:sz="0" w:space="0" w:color="auto"/>
          <w:between w:val="none" w:sz="0" w:space="0" w:color="auto"/>
        </w:pBdr>
        <w:spacing w:after="160" w:line="257" w:lineRule="auto"/>
        <w:rPr>
          <w:rFonts w:asciiTheme="minorHAnsi" w:eastAsiaTheme="majorEastAsia" w:hAnsiTheme="minorHAnsi"/>
        </w:rPr>
      </w:pPr>
      <w:r w:rsidRPr="00CA6CBB">
        <w:rPr>
          <w:rFonts w:asciiTheme="minorHAnsi" w:eastAsiaTheme="majorEastAsia" w:hAnsiTheme="minorHAnsi"/>
        </w:rPr>
        <w:t>Tras un debate fructífero, el Grupo acordó apoyar la implementación del proyecto piloto mediante el uso de la traducción automática con herramientas de IA para la traducción de la sección 3 de los informes anuales. Con el fin de indicar claramente la naturaleza de estas traducciones, las CPC apoyaron la inclusión de una advertencia o marca de agua en la que se especificara que las traducciones generadas por IA no habían sido sometidas a una revisión lingüística oficial y se habían elaborado exclusivamente en el marco del proyecto piloto.</w:t>
      </w:r>
    </w:p>
    <w:p w14:paraId="0F541CC5" w14:textId="77777777" w:rsidR="000F2ED2" w:rsidRPr="00CA6CBB" w:rsidRDefault="000F2ED2" w:rsidP="002F48A4">
      <w:pPr>
        <w:pBdr>
          <w:top w:val="none" w:sz="0" w:space="0" w:color="auto"/>
          <w:left w:val="none" w:sz="0" w:space="0" w:color="auto"/>
          <w:bottom w:val="none" w:sz="0" w:space="0" w:color="auto"/>
          <w:right w:val="none" w:sz="0" w:space="0" w:color="auto"/>
          <w:between w:val="none" w:sz="0" w:space="0" w:color="auto"/>
        </w:pBdr>
        <w:spacing w:line="240" w:lineRule="exact"/>
        <w:rPr>
          <w:rFonts w:asciiTheme="minorHAnsi" w:eastAsiaTheme="majorEastAsia" w:hAnsiTheme="minorHAnsi"/>
        </w:rPr>
      </w:pPr>
      <w:r w:rsidRPr="00CA6CBB">
        <w:rPr>
          <w:rFonts w:asciiTheme="minorHAnsi" w:eastAsiaTheme="majorEastAsia" w:hAnsiTheme="minorHAnsi"/>
        </w:rPr>
        <w:t xml:space="preserve"> El Grupo señaló además que, tras la reunión de la Comisión de 2026, se revisarían y evaluarían el proyecto piloto y sus resultados, incluida una valoración de la calidad, la coherencia y la facilidad de uso de las traducciones generadas por IA. A este respecto, se reconoció que la revisión lingüística profesional sigue siendo esencial, sobre todo en lo que se refiere a la revisión editorial, la coherencia institucional, la armonización terminológica y el control de la calidad en general. El WG-ORT reiteró que el proyecto piloto tiene por objeto explorar herramientas para mejorar la accesibilidad y la eficiencia, teniendo en cuenta la carga de trabajo actual relacionada con los informes anuales, y que no pretende sustituir el trabajo que realizan las traductoras de ICCAT. </w:t>
      </w:r>
    </w:p>
    <w:p w14:paraId="3D75F803" w14:textId="77777777" w:rsidR="002F48A4" w:rsidRPr="00CA6CBB" w:rsidRDefault="002F48A4" w:rsidP="002F48A4">
      <w:pPr>
        <w:pBdr>
          <w:top w:val="none" w:sz="0" w:space="0" w:color="auto"/>
          <w:left w:val="none" w:sz="0" w:space="0" w:color="auto"/>
          <w:bottom w:val="none" w:sz="0" w:space="0" w:color="auto"/>
          <w:right w:val="none" w:sz="0" w:space="0" w:color="auto"/>
          <w:between w:val="none" w:sz="0" w:space="0" w:color="auto"/>
        </w:pBdr>
        <w:spacing w:line="240" w:lineRule="exact"/>
        <w:rPr>
          <w:rFonts w:asciiTheme="minorHAnsi" w:eastAsiaTheme="majorEastAsia" w:hAnsiTheme="minorHAnsi"/>
        </w:rPr>
      </w:pPr>
    </w:p>
    <w:p w14:paraId="490D9B41" w14:textId="77777777" w:rsidR="002F48A4" w:rsidRPr="00CA6CBB" w:rsidRDefault="002F48A4" w:rsidP="002F48A4">
      <w:pPr>
        <w:pBdr>
          <w:top w:val="none" w:sz="0" w:space="0" w:color="auto"/>
          <w:left w:val="none" w:sz="0" w:space="0" w:color="auto"/>
          <w:bottom w:val="none" w:sz="0" w:space="0" w:color="auto"/>
          <w:right w:val="none" w:sz="0" w:space="0" w:color="auto"/>
          <w:between w:val="none" w:sz="0" w:space="0" w:color="auto"/>
        </w:pBdr>
        <w:spacing w:line="240" w:lineRule="exact"/>
        <w:rPr>
          <w:rFonts w:asciiTheme="minorHAnsi" w:eastAsiaTheme="majorEastAsia" w:hAnsiTheme="minorHAnsi"/>
        </w:rPr>
      </w:pPr>
    </w:p>
    <w:p w14:paraId="28E06B7D" w14:textId="77777777" w:rsidR="000F2ED2" w:rsidRPr="00CA6CBB" w:rsidRDefault="000F2ED2" w:rsidP="002F48A4">
      <w:pPr>
        <w:pStyle w:val="Heading1"/>
        <w:spacing w:before="0" w:after="0" w:line="240" w:lineRule="exact"/>
        <w:rPr>
          <w:rFonts w:asciiTheme="minorHAnsi" w:eastAsiaTheme="majorEastAsia" w:hAnsiTheme="minorHAnsi"/>
        </w:rPr>
      </w:pPr>
      <w:r w:rsidRPr="00CA6CBB">
        <w:rPr>
          <w:rFonts w:asciiTheme="minorHAnsi" w:eastAsiaTheme="majorEastAsia" w:hAnsiTheme="minorHAnsi"/>
        </w:rPr>
        <w:t>Planificación de las sesiones de formación de usuarios de IOMS de 2026</w:t>
      </w:r>
    </w:p>
    <w:p w14:paraId="5A2832CF" w14:textId="77777777" w:rsidR="002F48A4" w:rsidRPr="00CA6CBB" w:rsidRDefault="002F48A4" w:rsidP="002F48A4"/>
    <w:p w14:paraId="44885D8C" w14:textId="77777777" w:rsidR="000F2ED2" w:rsidRPr="00CA6CBB" w:rsidRDefault="000F2ED2" w:rsidP="002F48A4">
      <w:pPr>
        <w:spacing w:line="240" w:lineRule="exact"/>
        <w:rPr>
          <w:rFonts w:asciiTheme="minorHAnsi" w:eastAsiaTheme="majorEastAsia" w:hAnsiTheme="minorHAnsi"/>
        </w:rPr>
      </w:pPr>
      <w:r w:rsidRPr="00CA6CBB">
        <w:rPr>
          <w:rFonts w:asciiTheme="minorHAnsi" w:eastAsiaTheme="majorEastAsia" w:hAnsiTheme="minorHAnsi"/>
        </w:rPr>
        <w:t>El presidente recordó que las dos sesiones de formación del IOMS previstas para 2026 ya se habían debatido y acordado en la reunión anual de la Comisión de 2025, y que los temas de cada una de esas sesiones ya estaban acordados.</w:t>
      </w:r>
    </w:p>
    <w:p w14:paraId="3E79941C" w14:textId="77777777" w:rsidR="000F2ED2" w:rsidRPr="00CA6CBB" w:rsidRDefault="000F2ED2" w:rsidP="000F2ED2">
      <w:pPr>
        <w:rPr>
          <w:rFonts w:asciiTheme="minorHAnsi" w:eastAsiaTheme="majorEastAsia" w:hAnsiTheme="minorHAnsi"/>
        </w:rPr>
      </w:pPr>
    </w:p>
    <w:p w14:paraId="5933BE40" w14:textId="77777777" w:rsidR="000F2ED2" w:rsidRPr="00CA6CBB" w:rsidRDefault="000F2ED2" w:rsidP="000F2ED2">
      <w:pPr>
        <w:rPr>
          <w:rFonts w:asciiTheme="minorHAnsi" w:eastAsiaTheme="majorEastAsia" w:hAnsiTheme="minorHAnsi"/>
        </w:rPr>
      </w:pPr>
      <w:r w:rsidRPr="00CA6CBB">
        <w:rPr>
          <w:rFonts w:asciiTheme="minorHAnsi" w:eastAsiaTheme="majorEastAsia" w:hAnsiTheme="minorHAnsi"/>
        </w:rPr>
        <w:t xml:space="preserve">La Secretaría informó que la primera sesión se dedicará exclusivamente al módulo Gestor de puertos, dado que este se pondrá en producción a lo largo de 2026. La segunda sesión tendrá un carácter más general y abarcará todos los módulos del IOMS, pero se centrará en resolver las principales dificultades con las que se encuentran los usuarios en todas las funcionalidades del IOMS. </w:t>
      </w:r>
    </w:p>
    <w:p w14:paraId="3116936A" w14:textId="77777777" w:rsidR="000F2ED2" w:rsidRPr="00CA6CBB" w:rsidRDefault="000F2ED2" w:rsidP="000F2ED2">
      <w:pPr>
        <w:rPr>
          <w:rFonts w:asciiTheme="minorHAnsi" w:eastAsiaTheme="majorEastAsia" w:hAnsiTheme="minorHAnsi"/>
        </w:rPr>
      </w:pPr>
    </w:p>
    <w:p w14:paraId="4A220E24" w14:textId="77777777" w:rsidR="000F2ED2" w:rsidRPr="00CA6CBB" w:rsidRDefault="000F2ED2" w:rsidP="000F2ED2">
      <w:pPr>
        <w:rPr>
          <w:rFonts w:asciiTheme="minorHAnsi" w:eastAsiaTheme="majorEastAsia" w:hAnsiTheme="minorHAnsi"/>
        </w:rPr>
      </w:pPr>
      <w:r w:rsidRPr="00CA6CBB">
        <w:rPr>
          <w:rFonts w:asciiTheme="minorHAnsi" w:eastAsiaTheme="majorEastAsia" w:hAnsiTheme="minorHAnsi"/>
        </w:rPr>
        <w:t>Al igual que en sesiones anteriores, todas las sesiones de formación utilizarán el entorno de pruebas (</w:t>
      </w:r>
      <w:proofErr w:type="spellStart"/>
      <w:r w:rsidRPr="00CA6CBB">
        <w:rPr>
          <w:rFonts w:asciiTheme="minorHAnsi" w:eastAsiaTheme="majorEastAsia" w:hAnsiTheme="minorHAnsi"/>
        </w:rPr>
        <w:t>sandbox</w:t>
      </w:r>
      <w:proofErr w:type="spellEnd"/>
      <w:r w:rsidRPr="00CA6CBB">
        <w:rPr>
          <w:rFonts w:asciiTheme="minorHAnsi" w:eastAsiaTheme="majorEastAsia" w:hAnsiTheme="minorHAnsi"/>
        </w:rPr>
        <w:t xml:space="preserve">) del IOMS. Los vídeos grabados de las sesiones de formación del IOMS previas están disponibles </w:t>
      </w:r>
      <w:r w:rsidRPr="00CA6CBB">
        <w:rPr>
          <w:rFonts w:asciiTheme="minorHAnsi" w:eastAsiaTheme="majorEastAsia" w:hAnsiTheme="minorHAnsi"/>
        </w:rPr>
        <w:lastRenderedPageBreak/>
        <w:t>en la carpeta compartida de Nextcloud dedicada al WG-ORT e invitó a todos los participantes a consultar dichos vídeos.</w:t>
      </w:r>
    </w:p>
    <w:p w14:paraId="1785639B" w14:textId="77777777" w:rsidR="000F2ED2" w:rsidRPr="00CA6CBB" w:rsidRDefault="000F2ED2" w:rsidP="000F2ED2">
      <w:pPr>
        <w:rPr>
          <w:rFonts w:asciiTheme="minorHAnsi" w:eastAsiaTheme="majorEastAsia" w:hAnsiTheme="minorHAnsi"/>
        </w:rPr>
      </w:pPr>
    </w:p>
    <w:p w14:paraId="734AF3B1" w14:textId="77777777" w:rsidR="000F2ED2" w:rsidRPr="00CA6CBB" w:rsidRDefault="000F2ED2" w:rsidP="00202B09">
      <w:pPr>
        <w:spacing w:line="240" w:lineRule="exact"/>
        <w:rPr>
          <w:rFonts w:asciiTheme="minorHAnsi" w:eastAsiaTheme="majorEastAsia" w:hAnsiTheme="minorHAnsi"/>
        </w:rPr>
      </w:pPr>
      <w:r w:rsidRPr="00CA6CBB">
        <w:rPr>
          <w:rFonts w:asciiTheme="minorHAnsi" w:eastAsiaTheme="majorEastAsia" w:hAnsiTheme="minorHAnsi"/>
        </w:rPr>
        <w:t>Se acordó de manera general celebrar la primera sesión de formación a finales de abril de 2026 y la segunda sesión de formación durante la segunda quincena de junio de 2026. Las fechas finales acordadas con el presidente se darán a conocer mediante una circular de ICCAT.</w:t>
      </w:r>
    </w:p>
    <w:p w14:paraId="1D73CAF5" w14:textId="77777777" w:rsidR="000F2ED2" w:rsidRPr="00CA6CBB" w:rsidRDefault="000F2ED2" w:rsidP="00202B09">
      <w:pPr>
        <w:pBdr>
          <w:top w:val="none" w:sz="0" w:space="0" w:color="auto"/>
          <w:left w:val="none" w:sz="0" w:space="0" w:color="auto"/>
          <w:bottom w:val="none" w:sz="0" w:space="0" w:color="auto"/>
          <w:right w:val="none" w:sz="0" w:space="0" w:color="auto"/>
          <w:between w:val="none" w:sz="0" w:space="0" w:color="auto"/>
        </w:pBdr>
        <w:spacing w:line="240" w:lineRule="exact"/>
        <w:jc w:val="left"/>
        <w:rPr>
          <w:rFonts w:asciiTheme="minorHAnsi" w:eastAsiaTheme="majorEastAsia" w:hAnsiTheme="minorHAnsi"/>
        </w:rPr>
      </w:pPr>
    </w:p>
    <w:p w14:paraId="74AC015E" w14:textId="77777777" w:rsidR="00202B09" w:rsidRPr="00CA6CBB" w:rsidRDefault="00202B09" w:rsidP="00202B09">
      <w:pPr>
        <w:pBdr>
          <w:top w:val="none" w:sz="0" w:space="0" w:color="auto"/>
          <w:left w:val="none" w:sz="0" w:space="0" w:color="auto"/>
          <w:bottom w:val="none" w:sz="0" w:space="0" w:color="auto"/>
          <w:right w:val="none" w:sz="0" w:space="0" w:color="auto"/>
          <w:between w:val="none" w:sz="0" w:space="0" w:color="auto"/>
        </w:pBdr>
        <w:spacing w:line="240" w:lineRule="exact"/>
        <w:jc w:val="left"/>
        <w:rPr>
          <w:rFonts w:asciiTheme="minorHAnsi" w:eastAsiaTheme="majorEastAsia" w:hAnsiTheme="minorHAnsi"/>
        </w:rPr>
      </w:pPr>
    </w:p>
    <w:p w14:paraId="7E3DE401" w14:textId="77777777" w:rsidR="000F2ED2" w:rsidRPr="00CA6CBB" w:rsidRDefault="000F2ED2" w:rsidP="00202B09">
      <w:pPr>
        <w:pStyle w:val="Heading1"/>
        <w:spacing w:before="0" w:after="0" w:line="240" w:lineRule="exact"/>
        <w:rPr>
          <w:rFonts w:asciiTheme="minorHAnsi" w:eastAsiaTheme="majorEastAsia" w:hAnsiTheme="minorHAnsi"/>
        </w:rPr>
      </w:pPr>
      <w:r w:rsidRPr="00CA6CBB">
        <w:rPr>
          <w:rFonts w:asciiTheme="minorHAnsi" w:eastAsiaTheme="majorEastAsia" w:hAnsiTheme="minorHAnsi"/>
        </w:rPr>
        <w:t xml:space="preserve">Examen de las actividades de los grupos de trabajo </w:t>
      </w:r>
      <w:r w:rsidRPr="00CA6CBB">
        <w:rPr>
          <w:rFonts w:asciiTheme="minorHAnsi" w:eastAsiaTheme="majorEastAsia" w:hAnsiTheme="minorHAnsi"/>
          <w:i/>
          <w:iCs/>
        </w:rPr>
        <w:t xml:space="preserve">ad hoc </w:t>
      </w:r>
      <w:r w:rsidRPr="00CA6CBB">
        <w:rPr>
          <w:rFonts w:asciiTheme="minorHAnsi" w:eastAsiaTheme="majorEastAsia" w:hAnsiTheme="minorHAnsi"/>
        </w:rPr>
        <w:t>del WG-ORT</w:t>
      </w:r>
    </w:p>
    <w:p w14:paraId="4F893AD2" w14:textId="77777777" w:rsidR="00202B09" w:rsidRPr="00CA6CBB" w:rsidRDefault="00202B09" w:rsidP="00202B09"/>
    <w:p w14:paraId="2760F3C0" w14:textId="77777777" w:rsidR="000F2ED2" w:rsidRPr="00CA6CBB" w:rsidRDefault="000F2ED2" w:rsidP="00202B09">
      <w:pPr>
        <w:spacing w:line="240" w:lineRule="exact"/>
        <w:rPr>
          <w:rFonts w:asciiTheme="minorHAnsi" w:eastAsiaTheme="majorEastAsia" w:hAnsiTheme="minorHAnsi"/>
        </w:rPr>
      </w:pPr>
      <w:r w:rsidRPr="00CA6CBB">
        <w:rPr>
          <w:rFonts w:asciiTheme="minorHAnsi" w:eastAsiaTheme="majorEastAsia" w:hAnsiTheme="minorHAnsi"/>
        </w:rPr>
        <w:t xml:space="preserve">En esta sección se tratan dos temas: el primero resume las actividades relacionadas con la eliminación de la redundancia (en las que participa el Grupo de trabajo </w:t>
      </w:r>
      <w:r w:rsidRPr="00CA6CBB">
        <w:rPr>
          <w:rFonts w:asciiTheme="minorHAnsi" w:eastAsiaTheme="majorEastAsia" w:hAnsiTheme="minorHAnsi"/>
          <w:i/>
          <w:iCs/>
        </w:rPr>
        <w:t>ad hoc</w:t>
      </w:r>
      <w:r w:rsidRPr="00CA6CBB">
        <w:rPr>
          <w:rFonts w:asciiTheme="minorHAnsi" w:eastAsiaTheme="majorEastAsia" w:hAnsiTheme="minorHAnsi"/>
        </w:rPr>
        <w:t xml:space="preserve"> sobre eliminación de redundancias), y el segundo repasa el glosario de términos del IOMS.</w:t>
      </w:r>
    </w:p>
    <w:p w14:paraId="4D73CA1E" w14:textId="77777777" w:rsidR="000F2ED2" w:rsidRPr="00CA6CBB" w:rsidRDefault="000F2ED2" w:rsidP="00202B09">
      <w:pPr>
        <w:spacing w:line="240" w:lineRule="exact"/>
        <w:rPr>
          <w:rFonts w:asciiTheme="minorHAnsi" w:eastAsiaTheme="majorEastAsia" w:hAnsiTheme="minorHAnsi"/>
        </w:rPr>
      </w:pPr>
    </w:p>
    <w:p w14:paraId="6E1DB1AB" w14:textId="77777777" w:rsidR="000F2ED2" w:rsidRPr="00CA6CBB" w:rsidRDefault="000F2ED2" w:rsidP="00202B09">
      <w:pPr>
        <w:pStyle w:val="Heading2"/>
        <w:spacing w:before="0" w:after="0" w:line="240" w:lineRule="exact"/>
        <w:ind w:left="426" w:hanging="426"/>
        <w:rPr>
          <w:rFonts w:asciiTheme="minorHAnsi" w:eastAsiaTheme="majorEastAsia" w:hAnsiTheme="minorHAnsi"/>
          <w:spacing w:val="-2"/>
        </w:rPr>
      </w:pPr>
      <w:r w:rsidRPr="00CA6CBB">
        <w:rPr>
          <w:rFonts w:asciiTheme="minorHAnsi" w:eastAsiaTheme="majorEastAsia" w:hAnsiTheme="minorHAnsi"/>
        </w:rPr>
        <w:t>Eliminación de redundancias</w:t>
      </w:r>
    </w:p>
    <w:p w14:paraId="0435E5FC" w14:textId="77777777" w:rsidR="000F2ED2" w:rsidRPr="00CA6CBB" w:rsidRDefault="000F2ED2" w:rsidP="00202B09">
      <w:pPr>
        <w:spacing w:line="240" w:lineRule="exact"/>
        <w:rPr>
          <w:rFonts w:asciiTheme="minorHAnsi" w:eastAsiaTheme="majorEastAsia" w:hAnsiTheme="minorHAnsi"/>
        </w:rPr>
      </w:pPr>
    </w:p>
    <w:p w14:paraId="22C4A793" w14:textId="77777777" w:rsidR="000F2ED2" w:rsidRPr="00CA6CBB" w:rsidRDefault="000F2ED2" w:rsidP="00202B09">
      <w:pPr>
        <w:spacing w:line="240" w:lineRule="exact"/>
        <w:rPr>
          <w:rFonts w:asciiTheme="minorHAnsi" w:eastAsiaTheme="majorEastAsia" w:hAnsiTheme="minorHAnsi"/>
        </w:rPr>
      </w:pPr>
      <w:r w:rsidRPr="00CA6CBB">
        <w:rPr>
          <w:rFonts w:asciiTheme="minorHAnsi" w:eastAsiaTheme="majorEastAsia" w:hAnsiTheme="minorHAnsi"/>
        </w:rPr>
        <w:t>El presidente recordó que el año pasado la UE estaba preparando una contribución voluntaria para apoyar la simplificación y la eliminación de la redundancia en las medidas de ICCAT, mediante la contratación de un experto en la normativa de ICCAT. El presidente solicitó a la Secretaría y a la UE información adicional sobre el estado de avance de este trabajo.</w:t>
      </w:r>
    </w:p>
    <w:p w14:paraId="6D5D80A0" w14:textId="77777777" w:rsidR="000F2ED2" w:rsidRPr="00CA6CBB" w:rsidRDefault="000F2ED2" w:rsidP="00202B09">
      <w:pPr>
        <w:spacing w:line="240" w:lineRule="exact"/>
        <w:rPr>
          <w:rFonts w:asciiTheme="minorHAnsi" w:eastAsiaTheme="majorEastAsia" w:hAnsiTheme="minorHAnsi"/>
        </w:rPr>
      </w:pPr>
    </w:p>
    <w:p w14:paraId="371C6C3E" w14:textId="77777777" w:rsidR="000F2ED2" w:rsidRPr="00CA6CBB" w:rsidRDefault="000F2ED2" w:rsidP="00202B09">
      <w:pPr>
        <w:spacing w:line="240" w:lineRule="exact"/>
        <w:rPr>
          <w:rFonts w:asciiTheme="minorHAnsi" w:eastAsiaTheme="majorEastAsia" w:hAnsiTheme="minorHAnsi"/>
        </w:rPr>
      </w:pPr>
      <w:r w:rsidRPr="00CA6CBB">
        <w:rPr>
          <w:rFonts w:asciiTheme="minorHAnsi" w:eastAsiaTheme="majorEastAsia" w:hAnsiTheme="minorHAnsi"/>
        </w:rPr>
        <w:t xml:space="preserve">La Secretaría proporcionó una actualización del estado de la subvención de la UE para simplificar y eliminar la redundancia en la normativa de ICCAT. ICCAT ya ha recibido la invitación junto con los términos de referencia para el trabajo en cuestión. ICCAT ya ha solicitado la subvención y está a la espera de la aprobación de la UE para proceder a las firmas finales, que deberían completarse en los próximos meses. Posteriormente, la Secretaría publicará una convocatoria para contratar a consultores que realicen el trabajo. La Secretaría espera que este proyecto esté operativo antes del verano de 2026, pero solicitó más comentarios a la UE. La UE confirmó el examen de la Secretaría y expresó expectativas similares en cuanto al inicio del proyecto. Además, la UE señaló que este Grupo es el más indicado para ofrecer orientación y asesoramiento en relación con el trabajo del futuro consultor. </w:t>
      </w:r>
    </w:p>
    <w:p w14:paraId="58715293" w14:textId="77777777" w:rsidR="000F2ED2" w:rsidRPr="00CA6CBB" w:rsidRDefault="000F2ED2" w:rsidP="00202B09">
      <w:pPr>
        <w:spacing w:line="240" w:lineRule="exact"/>
        <w:rPr>
          <w:rFonts w:asciiTheme="minorHAnsi" w:eastAsiaTheme="majorEastAsia" w:hAnsiTheme="minorHAnsi"/>
        </w:rPr>
      </w:pPr>
    </w:p>
    <w:p w14:paraId="0E79B942" w14:textId="77777777" w:rsidR="000F2ED2" w:rsidRPr="00CA6CBB" w:rsidRDefault="000F2ED2" w:rsidP="00202B09">
      <w:pPr>
        <w:spacing w:line="240" w:lineRule="exact"/>
        <w:rPr>
          <w:rFonts w:asciiTheme="minorHAnsi" w:eastAsiaTheme="majorEastAsia" w:hAnsiTheme="minorHAnsi"/>
        </w:rPr>
      </w:pPr>
      <w:r w:rsidRPr="00CA6CBB">
        <w:rPr>
          <w:rFonts w:asciiTheme="minorHAnsi" w:eastAsiaTheme="majorEastAsia" w:hAnsiTheme="minorHAnsi"/>
        </w:rPr>
        <w:t xml:space="preserve">El presidente expresó, en nombre del WG-ORT, su agradecimiento por la contribución voluntaria de la UE para apoyar esta compleja cuestión. El Grupo se mostró de acuerdo con la UE al señalar que existe margen para la colaboración entre este Grupo de trabajo y el consultor; se sugirió incluir este trabajo de interacción como una tarea intersesiones. </w:t>
      </w:r>
    </w:p>
    <w:p w14:paraId="6EC4C302" w14:textId="77777777" w:rsidR="000F2ED2" w:rsidRPr="00CA6CBB" w:rsidRDefault="000F2ED2" w:rsidP="00202B09">
      <w:pPr>
        <w:spacing w:line="240" w:lineRule="exact"/>
        <w:rPr>
          <w:rFonts w:asciiTheme="minorHAnsi" w:eastAsiaTheme="majorEastAsia" w:hAnsiTheme="minorHAnsi"/>
        </w:rPr>
      </w:pPr>
    </w:p>
    <w:p w14:paraId="0D7A201C" w14:textId="77777777" w:rsidR="000F2ED2" w:rsidRPr="00CA6CBB" w:rsidRDefault="000F2ED2" w:rsidP="00202B09">
      <w:pPr>
        <w:pStyle w:val="Heading2"/>
        <w:spacing w:before="0" w:after="0" w:line="240" w:lineRule="exact"/>
        <w:ind w:left="426" w:hanging="426"/>
        <w:rPr>
          <w:rFonts w:asciiTheme="minorHAnsi" w:eastAsiaTheme="majorEastAsia" w:hAnsiTheme="minorHAnsi"/>
          <w:spacing w:val="-2"/>
        </w:rPr>
      </w:pPr>
      <w:r w:rsidRPr="00CA6CBB">
        <w:rPr>
          <w:rFonts w:asciiTheme="minorHAnsi" w:eastAsiaTheme="majorEastAsia" w:hAnsiTheme="minorHAnsi"/>
        </w:rPr>
        <w:t>Glosario de términos y definiciones del IOMS</w:t>
      </w:r>
    </w:p>
    <w:p w14:paraId="212E99BB" w14:textId="77777777" w:rsidR="000F2ED2" w:rsidRPr="00CA6CBB" w:rsidRDefault="000F2ED2" w:rsidP="00202B09">
      <w:pPr>
        <w:spacing w:line="240" w:lineRule="exact"/>
        <w:rPr>
          <w:rFonts w:asciiTheme="minorHAnsi" w:eastAsiaTheme="majorEastAsia" w:hAnsiTheme="minorHAnsi"/>
        </w:rPr>
      </w:pPr>
    </w:p>
    <w:p w14:paraId="13CC6052" w14:textId="77777777" w:rsidR="000F2ED2" w:rsidRPr="00CA6CBB" w:rsidRDefault="000F2ED2" w:rsidP="00202B09">
      <w:pPr>
        <w:spacing w:line="240" w:lineRule="exact"/>
        <w:rPr>
          <w:rFonts w:asciiTheme="minorHAnsi" w:eastAsiaTheme="majorEastAsia" w:hAnsiTheme="minorHAnsi"/>
        </w:rPr>
      </w:pPr>
      <w:r w:rsidRPr="00CA6CBB">
        <w:rPr>
          <w:rFonts w:asciiTheme="minorHAnsi" w:eastAsiaTheme="majorEastAsia" w:hAnsiTheme="minorHAnsi"/>
        </w:rPr>
        <w:t xml:space="preserve">El presidente recordó a los nuevos participantes que este Grupo había elaborado un glosario de términos del IOMS, especialmente en lo que se refiere a buques y autorizaciones. Y ese glosario fue respaldado por el Grupo de trabajo sobre medidas de seguimiento integradas (IMM) en 2024 y posteriormente aprobado por la Comisión. La versión aprobada del glosario del IOMS se adjunta como apéndice 9 al </w:t>
      </w:r>
      <w:hyperlink r:id="rId46" w:history="1">
        <w:r w:rsidRPr="00CA6CBB">
          <w:rPr>
            <w:rStyle w:val="Hyperlink"/>
            <w:rFonts w:asciiTheme="minorHAnsi" w:eastAsiaTheme="majorEastAsia" w:hAnsiTheme="minorHAnsi"/>
            <w:u w:val="none"/>
          </w:rPr>
          <w:t>Informe de la 17ª Reunión del Grupo de trabajo sobre medidas de seguimiento integradas (IMM)</w:t>
        </w:r>
      </w:hyperlink>
      <w:r w:rsidRPr="00CA6CBB">
        <w:rPr>
          <w:rFonts w:asciiTheme="minorHAnsi" w:eastAsiaTheme="majorEastAsia" w:hAnsiTheme="minorHAnsi"/>
        </w:rPr>
        <w:t xml:space="preserve">. El WG-ORT se encarga de mantener actualizado el glosario de términos y definiciones del IOMS cada vez que se adoptan nuevos términos y conceptos para el IOMS. </w:t>
      </w:r>
    </w:p>
    <w:p w14:paraId="2297E4E9" w14:textId="77777777" w:rsidR="000F2ED2" w:rsidRPr="00CA6CBB" w:rsidRDefault="000F2ED2" w:rsidP="00202B09">
      <w:pPr>
        <w:spacing w:line="240" w:lineRule="exact"/>
        <w:rPr>
          <w:rFonts w:asciiTheme="minorHAnsi" w:eastAsiaTheme="majorEastAsia" w:hAnsiTheme="minorHAnsi"/>
        </w:rPr>
      </w:pPr>
    </w:p>
    <w:p w14:paraId="38357E2F" w14:textId="77777777" w:rsidR="000F2ED2" w:rsidRPr="00CA6CBB" w:rsidRDefault="000F2ED2" w:rsidP="00202B09">
      <w:pPr>
        <w:spacing w:line="240" w:lineRule="exact"/>
        <w:rPr>
          <w:rFonts w:asciiTheme="minorHAnsi" w:eastAsiaTheme="majorEastAsia" w:hAnsiTheme="minorHAnsi"/>
        </w:rPr>
      </w:pPr>
      <w:r w:rsidRPr="00CA6CBB">
        <w:rPr>
          <w:rFonts w:asciiTheme="minorHAnsi" w:eastAsiaTheme="majorEastAsia" w:hAnsiTheme="minorHAnsi"/>
        </w:rPr>
        <w:t>El presidente informó de que el glosario de términos y definiciones del IOMS no ha sufrido modificaciones desde el año pasado. Este Grupo también acordó publicar el glosario del IOMS dentro del sistema de ayuda del IOMS, siempre que sea posible y sin interferir en el desarrollo normal de los trabajos del IOMS.</w:t>
      </w:r>
    </w:p>
    <w:p w14:paraId="7736AC1C" w14:textId="77777777" w:rsidR="000F2ED2" w:rsidRPr="00CA6CBB" w:rsidRDefault="000F2ED2" w:rsidP="00202B09">
      <w:pPr>
        <w:spacing w:line="240" w:lineRule="exact"/>
        <w:rPr>
          <w:rFonts w:asciiTheme="minorHAnsi" w:eastAsiaTheme="majorEastAsia" w:hAnsiTheme="minorHAnsi"/>
        </w:rPr>
      </w:pPr>
    </w:p>
    <w:p w14:paraId="1580C7D4" w14:textId="77777777" w:rsidR="00202B09" w:rsidRPr="00CA6CBB" w:rsidRDefault="00202B09" w:rsidP="00202B09">
      <w:pPr>
        <w:spacing w:line="240" w:lineRule="exact"/>
        <w:rPr>
          <w:rFonts w:asciiTheme="minorHAnsi" w:eastAsiaTheme="majorEastAsia" w:hAnsiTheme="minorHAnsi"/>
        </w:rPr>
      </w:pPr>
    </w:p>
    <w:p w14:paraId="0775A29D" w14:textId="77777777" w:rsidR="000F2ED2" w:rsidRPr="00CA6CBB" w:rsidRDefault="000F2ED2" w:rsidP="00202B09">
      <w:pPr>
        <w:pStyle w:val="Heading1"/>
        <w:spacing w:before="0" w:after="0" w:line="240" w:lineRule="exact"/>
        <w:rPr>
          <w:rFonts w:asciiTheme="minorHAnsi" w:eastAsiaTheme="majorEastAsia" w:hAnsiTheme="minorHAnsi"/>
        </w:rPr>
      </w:pPr>
      <w:r w:rsidRPr="00CA6CBB">
        <w:rPr>
          <w:rFonts w:asciiTheme="minorHAnsi" w:eastAsiaTheme="majorEastAsia" w:hAnsiTheme="minorHAnsi"/>
        </w:rPr>
        <w:t>Actualización y aprobación del plan de trabajo del IOMS</w:t>
      </w:r>
    </w:p>
    <w:p w14:paraId="0482CEE7" w14:textId="77777777" w:rsidR="00202B09" w:rsidRPr="00CA6CBB" w:rsidRDefault="00202B09" w:rsidP="00202B09"/>
    <w:p w14:paraId="46EC1F00" w14:textId="77777777" w:rsidR="000F2ED2" w:rsidRPr="00CA6CBB" w:rsidRDefault="000F2ED2" w:rsidP="00202B09">
      <w:pPr>
        <w:pBdr>
          <w:top w:val="none" w:sz="0" w:space="0" w:color="auto"/>
          <w:left w:val="none" w:sz="0" w:space="0" w:color="auto"/>
          <w:bottom w:val="none" w:sz="0" w:space="0" w:color="auto"/>
          <w:right w:val="none" w:sz="0" w:space="0" w:color="auto"/>
          <w:between w:val="none" w:sz="0" w:space="0" w:color="auto"/>
        </w:pBdr>
        <w:spacing w:line="240" w:lineRule="exact"/>
        <w:rPr>
          <w:rFonts w:asciiTheme="minorHAnsi" w:eastAsiaTheme="majorEastAsia" w:hAnsiTheme="minorHAnsi"/>
        </w:rPr>
      </w:pPr>
      <w:r w:rsidRPr="00CA6CBB">
        <w:rPr>
          <w:rFonts w:asciiTheme="minorHAnsi" w:eastAsiaTheme="majorEastAsia" w:hAnsiTheme="minorHAnsi"/>
        </w:rPr>
        <w:t>El presidente pidió a la Secretaría que procediera a la presentación del plan de trabajo actual del IOMS, que se basa en la versión adoptada en 2025. El presidente solicitó a los miembros del WG-ORT que aportaran sus comentarios sobre posibles modificaciones.</w:t>
      </w:r>
    </w:p>
    <w:p w14:paraId="6B6E2527" w14:textId="77777777" w:rsidR="000F2ED2" w:rsidRPr="00CA6CBB" w:rsidRDefault="000F2ED2" w:rsidP="00202B09">
      <w:pPr>
        <w:pBdr>
          <w:top w:val="none" w:sz="0" w:space="0" w:color="auto"/>
          <w:left w:val="none" w:sz="0" w:space="0" w:color="auto"/>
          <w:bottom w:val="none" w:sz="0" w:space="0" w:color="auto"/>
          <w:right w:val="none" w:sz="0" w:space="0" w:color="auto"/>
          <w:between w:val="none" w:sz="0" w:space="0" w:color="auto"/>
        </w:pBdr>
        <w:spacing w:line="240" w:lineRule="exact"/>
        <w:rPr>
          <w:rFonts w:asciiTheme="minorHAnsi" w:eastAsiaTheme="majorEastAsia" w:hAnsiTheme="minorHAnsi"/>
        </w:rPr>
      </w:pPr>
    </w:p>
    <w:p w14:paraId="7B94476B" w14:textId="77777777" w:rsidR="000F2ED2" w:rsidRPr="00CA6CBB" w:rsidRDefault="000F2ED2" w:rsidP="00202B09">
      <w:pPr>
        <w:pBdr>
          <w:top w:val="none" w:sz="0" w:space="0" w:color="auto"/>
          <w:left w:val="none" w:sz="0" w:space="0" w:color="auto"/>
          <w:bottom w:val="none" w:sz="0" w:space="0" w:color="auto"/>
          <w:right w:val="none" w:sz="0" w:space="0" w:color="auto"/>
          <w:between w:val="none" w:sz="0" w:space="0" w:color="auto"/>
        </w:pBdr>
        <w:spacing w:line="240" w:lineRule="exact"/>
        <w:rPr>
          <w:rFonts w:asciiTheme="minorHAnsi" w:eastAsiaTheme="majorEastAsia" w:hAnsiTheme="minorHAnsi"/>
        </w:rPr>
      </w:pPr>
      <w:r w:rsidRPr="00CA6CBB">
        <w:rPr>
          <w:rFonts w:asciiTheme="minorHAnsi" w:eastAsiaTheme="majorEastAsia" w:hAnsiTheme="minorHAnsi"/>
        </w:rPr>
        <w:lastRenderedPageBreak/>
        <w:t xml:space="preserve">La Secretaría de ICCAT ofreció una explicación detallada del plan de trabajo provisional del IOMS para 2026, que se basa en la versión adoptada para 2025, tal y como recordó el presidente. Ya incluye la fase 5 (24 meses que finalizan en mayo de 2028) y no se han añadido más fases. La fase 3 ha concluido con la puesta en producción del Gestor de buques y del Gestor de formularios. </w:t>
      </w:r>
    </w:p>
    <w:p w14:paraId="0284D6A0" w14:textId="77777777" w:rsidR="000F2ED2" w:rsidRPr="00CA6CBB" w:rsidRDefault="000F2ED2" w:rsidP="00202B09">
      <w:pPr>
        <w:pBdr>
          <w:top w:val="none" w:sz="0" w:space="0" w:color="auto"/>
          <w:left w:val="none" w:sz="0" w:space="0" w:color="auto"/>
          <w:bottom w:val="none" w:sz="0" w:space="0" w:color="auto"/>
          <w:right w:val="none" w:sz="0" w:space="0" w:color="auto"/>
          <w:between w:val="none" w:sz="0" w:space="0" w:color="auto"/>
        </w:pBdr>
        <w:spacing w:line="240" w:lineRule="exact"/>
        <w:rPr>
          <w:rFonts w:asciiTheme="minorHAnsi" w:eastAsiaTheme="majorEastAsia" w:hAnsiTheme="minorHAnsi"/>
        </w:rPr>
      </w:pPr>
    </w:p>
    <w:p w14:paraId="3D2A6A41" w14:textId="77777777" w:rsidR="000F2ED2" w:rsidRPr="00CA6CBB" w:rsidRDefault="000F2ED2" w:rsidP="00202B09">
      <w:pPr>
        <w:pBdr>
          <w:top w:val="none" w:sz="0" w:space="0" w:color="auto"/>
          <w:left w:val="none" w:sz="0" w:space="0" w:color="auto"/>
          <w:bottom w:val="none" w:sz="0" w:space="0" w:color="auto"/>
          <w:right w:val="none" w:sz="0" w:space="0" w:color="auto"/>
          <w:between w:val="none" w:sz="0" w:space="0" w:color="auto"/>
        </w:pBdr>
        <w:spacing w:line="240" w:lineRule="exact"/>
        <w:rPr>
          <w:rFonts w:asciiTheme="minorHAnsi" w:eastAsiaTheme="majorEastAsia" w:hAnsiTheme="minorHAnsi"/>
        </w:rPr>
      </w:pPr>
      <w:r w:rsidRPr="00CA6CBB">
        <w:rPr>
          <w:rFonts w:asciiTheme="minorHAnsi" w:eastAsiaTheme="majorEastAsia" w:hAnsiTheme="minorHAnsi"/>
        </w:rPr>
        <w:t>No se han introducido cambios en las prioridades de las actividades de los módulos de las fases 4 y 5. Sin embargo, algunas actividades se han reprogramado:</w:t>
      </w:r>
    </w:p>
    <w:p w14:paraId="1F3B06F3" w14:textId="77777777" w:rsidR="000F2ED2" w:rsidRPr="00CA6CBB" w:rsidRDefault="000F2ED2" w:rsidP="00202B09">
      <w:pPr>
        <w:pBdr>
          <w:top w:val="none" w:sz="0" w:space="0" w:color="auto"/>
          <w:left w:val="none" w:sz="0" w:space="0" w:color="auto"/>
          <w:bottom w:val="none" w:sz="0" w:space="0" w:color="auto"/>
          <w:right w:val="none" w:sz="0" w:space="0" w:color="auto"/>
          <w:between w:val="none" w:sz="0" w:space="0" w:color="auto"/>
        </w:pBdr>
        <w:spacing w:line="240" w:lineRule="exact"/>
        <w:rPr>
          <w:rFonts w:asciiTheme="minorHAnsi" w:eastAsiaTheme="majorEastAsia" w:hAnsiTheme="minorHAnsi"/>
        </w:rPr>
      </w:pPr>
    </w:p>
    <w:p w14:paraId="36865FC3" w14:textId="77777777" w:rsidR="000F2ED2" w:rsidRPr="00CA6CBB" w:rsidRDefault="000F2ED2" w:rsidP="00BA272D">
      <w:pPr>
        <w:pStyle w:val="ListParagraph"/>
        <w:numPr>
          <w:ilvl w:val="1"/>
          <w:numId w:val="42"/>
        </w:numPr>
        <w:pBdr>
          <w:top w:val="none" w:sz="0" w:space="0" w:color="auto"/>
          <w:left w:val="none" w:sz="0" w:space="0" w:color="auto"/>
          <w:bottom w:val="none" w:sz="0" w:space="0" w:color="auto"/>
          <w:right w:val="none" w:sz="0" w:space="0" w:color="auto"/>
          <w:between w:val="none" w:sz="0" w:space="0" w:color="auto"/>
        </w:pBdr>
        <w:tabs>
          <w:tab w:val="left" w:pos="851"/>
        </w:tabs>
        <w:spacing w:line="240" w:lineRule="exact"/>
        <w:ind w:left="851" w:hanging="513"/>
        <w:rPr>
          <w:rFonts w:asciiTheme="minorHAnsi" w:eastAsiaTheme="majorEastAsia" w:hAnsiTheme="minorHAnsi"/>
        </w:rPr>
      </w:pPr>
      <w:r w:rsidRPr="00CA6CBB">
        <w:rPr>
          <w:rFonts w:asciiTheme="minorHAnsi" w:eastAsiaTheme="majorEastAsia" w:hAnsiTheme="minorHAnsi"/>
        </w:rPr>
        <w:t>Sesión de formación del Gestor de puertos (prevista para abril de 2026)</w:t>
      </w:r>
    </w:p>
    <w:p w14:paraId="5C147A41" w14:textId="77777777" w:rsidR="000F2ED2" w:rsidRPr="00CA6CBB" w:rsidRDefault="000F2ED2" w:rsidP="00BA272D">
      <w:pPr>
        <w:pStyle w:val="ListParagraph"/>
        <w:numPr>
          <w:ilvl w:val="1"/>
          <w:numId w:val="42"/>
        </w:numPr>
        <w:pBdr>
          <w:top w:val="none" w:sz="0" w:space="0" w:color="auto"/>
          <w:left w:val="none" w:sz="0" w:space="0" w:color="auto"/>
          <w:bottom w:val="none" w:sz="0" w:space="0" w:color="auto"/>
          <w:right w:val="none" w:sz="0" w:space="0" w:color="auto"/>
          <w:between w:val="none" w:sz="0" w:space="0" w:color="auto"/>
        </w:pBdr>
        <w:tabs>
          <w:tab w:val="left" w:pos="851"/>
        </w:tabs>
        <w:spacing w:line="240" w:lineRule="exact"/>
        <w:ind w:left="851" w:hanging="513"/>
        <w:rPr>
          <w:rFonts w:asciiTheme="minorHAnsi" w:eastAsiaTheme="majorEastAsia" w:hAnsiTheme="minorHAnsi"/>
        </w:rPr>
      </w:pPr>
      <w:r w:rsidRPr="00CA6CBB">
        <w:rPr>
          <w:rFonts w:asciiTheme="minorHAnsi" w:eastAsiaTheme="majorEastAsia" w:hAnsiTheme="minorHAnsi"/>
        </w:rPr>
        <w:t>Se ha añadido una sesión de formación general sobre las dificultades encontradas (prevista para junio de 2026)</w:t>
      </w:r>
    </w:p>
    <w:p w14:paraId="18A2F538" w14:textId="77777777" w:rsidR="000F2ED2" w:rsidRPr="00CA6CBB" w:rsidRDefault="000F2ED2" w:rsidP="00BA272D">
      <w:pPr>
        <w:pStyle w:val="ListParagraph"/>
        <w:numPr>
          <w:ilvl w:val="1"/>
          <w:numId w:val="42"/>
        </w:numPr>
        <w:pBdr>
          <w:top w:val="none" w:sz="0" w:space="0" w:color="auto"/>
          <w:left w:val="none" w:sz="0" w:space="0" w:color="auto"/>
          <w:bottom w:val="none" w:sz="0" w:space="0" w:color="auto"/>
          <w:right w:val="none" w:sz="0" w:space="0" w:color="auto"/>
          <w:between w:val="none" w:sz="0" w:space="0" w:color="auto"/>
        </w:pBdr>
        <w:tabs>
          <w:tab w:val="left" w:pos="851"/>
        </w:tabs>
        <w:spacing w:line="240" w:lineRule="exact"/>
        <w:ind w:left="851" w:hanging="513"/>
        <w:rPr>
          <w:rFonts w:asciiTheme="minorHAnsi" w:eastAsiaTheme="majorEastAsia" w:hAnsiTheme="minorHAnsi"/>
        </w:rPr>
      </w:pPr>
      <w:r w:rsidRPr="00CA6CBB">
        <w:rPr>
          <w:rFonts w:asciiTheme="minorHAnsi" w:eastAsiaTheme="majorEastAsia" w:hAnsiTheme="minorHAnsi"/>
        </w:rPr>
        <w:t>Finalización del Gestor de puertos (puesta en producción el 1 de agosto de 2026)</w:t>
      </w:r>
    </w:p>
    <w:p w14:paraId="3EA62482" w14:textId="77777777" w:rsidR="000F2ED2" w:rsidRPr="00CA6CBB" w:rsidRDefault="000F2ED2" w:rsidP="00BA272D">
      <w:pPr>
        <w:pStyle w:val="ListParagraph"/>
        <w:numPr>
          <w:ilvl w:val="1"/>
          <w:numId w:val="42"/>
        </w:numPr>
        <w:pBdr>
          <w:top w:val="none" w:sz="0" w:space="0" w:color="auto"/>
          <w:left w:val="none" w:sz="0" w:space="0" w:color="auto"/>
          <w:bottom w:val="none" w:sz="0" w:space="0" w:color="auto"/>
          <w:right w:val="none" w:sz="0" w:space="0" w:color="auto"/>
          <w:between w:val="none" w:sz="0" w:space="0" w:color="auto"/>
        </w:pBdr>
        <w:tabs>
          <w:tab w:val="left" w:pos="851"/>
        </w:tabs>
        <w:spacing w:line="240" w:lineRule="exact"/>
        <w:ind w:left="851" w:hanging="513"/>
        <w:rPr>
          <w:rFonts w:asciiTheme="minorHAnsi" w:eastAsiaTheme="majorEastAsia" w:hAnsiTheme="minorHAnsi"/>
        </w:rPr>
      </w:pPr>
      <w:r w:rsidRPr="00CA6CBB">
        <w:rPr>
          <w:rFonts w:asciiTheme="minorHAnsi" w:eastAsiaTheme="majorEastAsia" w:hAnsiTheme="minorHAnsi"/>
        </w:rPr>
        <w:t>Finalización de Gestor de T1NC (captura nominal de Tarea 1) (aplazado hasta el 1 de mayo de 2027)</w:t>
      </w:r>
    </w:p>
    <w:p w14:paraId="06D36DCA" w14:textId="77777777" w:rsidR="000F2ED2" w:rsidRPr="00CA6CBB" w:rsidRDefault="000F2ED2" w:rsidP="00BA272D">
      <w:pPr>
        <w:pStyle w:val="ListParagraph"/>
        <w:numPr>
          <w:ilvl w:val="1"/>
          <w:numId w:val="42"/>
        </w:numPr>
        <w:pBdr>
          <w:top w:val="none" w:sz="0" w:space="0" w:color="auto"/>
          <w:left w:val="none" w:sz="0" w:space="0" w:color="auto"/>
          <w:bottom w:val="none" w:sz="0" w:space="0" w:color="auto"/>
          <w:right w:val="none" w:sz="0" w:space="0" w:color="auto"/>
          <w:between w:val="none" w:sz="0" w:space="0" w:color="auto"/>
        </w:pBdr>
        <w:tabs>
          <w:tab w:val="left" w:pos="851"/>
        </w:tabs>
        <w:spacing w:line="240" w:lineRule="exact"/>
        <w:ind w:left="851" w:hanging="513"/>
        <w:rPr>
          <w:rFonts w:asciiTheme="minorHAnsi" w:eastAsiaTheme="majorEastAsia" w:hAnsiTheme="minorHAnsi"/>
        </w:rPr>
      </w:pPr>
      <w:r w:rsidRPr="00CA6CBB">
        <w:rPr>
          <w:rFonts w:asciiTheme="minorHAnsi" w:eastAsiaTheme="majorEastAsia" w:hAnsiTheme="minorHAnsi"/>
        </w:rPr>
        <w:t>Finalización del Gestor de COCT (tablas de cumplimiento) (aplazado hasta el 1 de mayo de 2027)</w:t>
      </w:r>
    </w:p>
    <w:p w14:paraId="78279AB2" w14:textId="77777777" w:rsidR="000F2ED2" w:rsidRPr="00CA6CBB" w:rsidRDefault="000F2ED2" w:rsidP="00BA272D">
      <w:pPr>
        <w:pStyle w:val="ListParagraph"/>
        <w:numPr>
          <w:ilvl w:val="1"/>
          <w:numId w:val="42"/>
        </w:numPr>
        <w:pBdr>
          <w:top w:val="none" w:sz="0" w:space="0" w:color="auto"/>
          <w:left w:val="none" w:sz="0" w:space="0" w:color="auto"/>
          <w:bottom w:val="none" w:sz="0" w:space="0" w:color="auto"/>
          <w:right w:val="none" w:sz="0" w:space="0" w:color="auto"/>
          <w:between w:val="none" w:sz="0" w:space="0" w:color="auto"/>
        </w:pBdr>
        <w:tabs>
          <w:tab w:val="left" w:pos="851"/>
        </w:tabs>
        <w:spacing w:line="240" w:lineRule="exact"/>
        <w:ind w:left="851" w:hanging="513"/>
        <w:rPr>
          <w:rFonts w:asciiTheme="minorHAnsi" w:eastAsiaTheme="majorEastAsia" w:hAnsiTheme="minorHAnsi"/>
        </w:rPr>
      </w:pPr>
      <w:r w:rsidRPr="00CA6CBB">
        <w:rPr>
          <w:rFonts w:asciiTheme="minorHAnsi" w:eastAsiaTheme="majorEastAsia" w:hAnsiTheme="minorHAnsi"/>
        </w:rPr>
        <w:t>Finalización del Gestor de las hojas de comprobación de tiburones e istiofóridos (aplazado hasta el 1 de agosto de 2027)</w:t>
      </w:r>
    </w:p>
    <w:p w14:paraId="2266A756" w14:textId="77777777" w:rsidR="000F2ED2" w:rsidRPr="00CA6CBB" w:rsidRDefault="000F2ED2" w:rsidP="00BA272D">
      <w:pPr>
        <w:pStyle w:val="ListParagraph"/>
        <w:numPr>
          <w:ilvl w:val="1"/>
          <w:numId w:val="42"/>
        </w:numPr>
        <w:pBdr>
          <w:top w:val="none" w:sz="0" w:space="0" w:color="auto"/>
          <w:left w:val="none" w:sz="0" w:space="0" w:color="auto"/>
          <w:bottom w:val="none" w:sz="0" w:space="0" w:color="auto"/>
          <w:right w:val="none" w:sz="0" w:space="0" w:color="auto"/>
          <w:between w:val="none" w:sz="0" w:space="0" w:color="auto"/>
        </w:pBdr>
        <w:tabs>
          <w:tab w:val="left" w:pos="851"/>
        </w:tabs>
        <w:spacing w:line="240" w:lineRule="exact"/>
        <w:ind w:left="851" w:hanging="513"/>
        <w:rPr>
          <w:rFonts w:asciiTheme="minorHAnsi" w:eastAsiaTheme="majorEastAsia" w:hAnsiTheme="minorHAnsi"/>
        </w:rPr>
      </w:pPr>
      <w:r w:rsidRPr="00CA6CBB">
        <w:rPr>
          <w:rFonts w:asciiTheme="minorHAnsi" w:eastAsiaTheme="majorEastAsia" w:hAnsiTheme="minorHAnsi"/>
        </w:rPr>
        <w:t>Módulo Gestor de T2CE (ligero retraso de la fecha de inicio hasta el 2 de agosto de 2026)</w:t>
      </w:r>
    </w:p>
    <w:p w14:paraId="572E4DB5" w14:textId="77777777" w:rsidR="000F2ED2" w:rsidRPr="00CA6CBB" w:rsidRDefault="000F2ED2" w:rsidP="00BA272D">
      <w:pPr>
        <w:pStyle w:val="ListParagraph"/>
        <w:numPr>
          <w:ilvl w:val="1"/>
          <w:numId w:val="42"/>
        </w:numPr>
        <w:pBdr>
          <w:top w:val="none" w:sz="0" w:space="0" w:color="auto"/>
          <w:left w:val="none" w:sz="0" w:space="0" w:color="auto"/>
          <w:bottom w:val="none" w:sz="0" w:space="0" w:color="auto"/>
          <w:right w:val="none" w:sz="0" w:space="0" w:color="auto"/>
          <w:between w:val="none" w:sz="0" w:space="0" w:color="auto"/>
        </w:pBdr>
        <w:tabs>
          <w:tab w:val="left" w:pos="851"/>
        </w:tabs>
        <w:spacing w:line="240" w:lineRule="exact"/>
        <w:ind w:left="851" w:hanging="513"/>
        <w:rPr>
          <w:rFonts w:asciiTheme="minorHAnsi" w:eastAsiaTheme="majorEastAsia" w:hAnsiTheme="minorHAnsi"/>
        </w:rPr>
      </w:pPr>
      <w:r w:rsidRPr="00CA6CBB">
        <w:rPr>
          <w:rFonts w:asciiTheme="minorHAnsi" w:eastAsiaTheme="majorEastAsia" w:hAnsiTheme="minorHAnsi"/>
        </w:rPr>
        <w:t>Finalización de las pruebas de UN/FLUX del Gestor de buques (provisionalmente el 1 de noviembre de 2026)</w:t>
      </w:r>
    </w:p>
    <w:p w14:paraId="2667ECD3" w14:textId="77777777" w:rsidR="000F2ED2" w:rsidRPr="00CA6CBB" w:rsidRDefault="000F2ED2" w:rsidP="00202B09">
      <w:pPr>
        <w:spacing w:line="240" w:lineRule="exact"/>
        <w:rPr>
          <w:rFonts w:asciiTheme="minorHAnsi" w:eastAsiaTheme="majorEastAsia" w:hAnsiTheme="minorHAnsi"/>
        </w:rPr>
      </w:pPr>
    </w:p>
    <w:p w14:paraId="7BF52CD8" w14:textId="77777777" w:rsidR="000F2ED2" w:rsidRPr="00CA6CBB" w:rsidRDefault="000F2ED2" w:rsidP="00202B09">
      <w:pPr>
        <w:spacing w:line="240" w:lineRule="exact"/>
        <w:rPr>
          <w:rFonts w:asciiTheme="minorHAnsi" w:eastAsiaTheme="majorEastAsia" w:hAnsiTheme="minorHAnsi"/>
        </w:rPr>
      </w:pPr>
      <w:r w:rsidRPr="00CA6CBB">
        <w:rPr>
          <w:rFonts w:asciiTheme="minorHAnsi" w:eastAsiaTheme="majorEastAsia" w:hAnsiTheme="minorHAnsi"/>
        </w:rPr>
        <w:t>La finalización y puesta en producción de dos módulos (Gestores de T1NC y COCT) se retrasaron para dar cabida a un desarrollo adicional y a la formación de los usuarios, ya que cada uno de ellos requería al menos dos sesiones de formación. Las hojas de comprobación de tiburones/istiofóridos se retrasaron porque era necesario realizar trabajos intermedios adicionales (redundancia y otros) antes de avanzar en el desarrollo (se redujo la prioridad en 2025).</w:t>
      </w:r>
    </w:p>
    <w:p w14:paraId="07C664A4" w14:textId="77777777" w:rsidR="000F2ED2" w:rsidRPr="00CA6CBB" w:rsidRDefault="000F2ED2" w:rsidP="00202B09">
      <w:pPr>
        <w:pBdr>
          <w:top w:val="none" w:sz="0" w:space="0" w:color="auto"/>
          <w:left w:val="none" w:sz="0" w:space="0" w:color="auto"/>
          <w:bottom w:val="none" w:sz="0" w:space="0" w:color="auto"/>
          <w:right w:val="none" w:sz="0" w:space="0" w:color="auto"/>
          <w:between w:val="none" w:sz="0" w:space="0" w:color="auto"/>
        </w:pBdr>
        <w:tabs>
          <w:tab w:val="left" w:pos="1134"/>
          <w:tab w:val="left" w:pos="1276"/>
        </w:tabs>
        <w:spacing w:line="240" w:lineRule="exact"/>
        <w:rPr>
          <w:rFonts w:asciiTheme="minorHAnsi" w:eastAsiaTheme="majorEastAsia" w:hAnsiTheme="minorHAnsi"/>
        </w:rPr>
      </w:pPr>
    </w:p>
    <w:p w14:paraId="610F98F4" w14:textId="77777777" w:rsidR="000F2ED2" w:rsidRPr="00CA6CBB" w:rsidRDefault="000F2ED2" w:rsidP="00202B09">
      <w:pPr>
        <w:spacing w:line="240" w:lineRule="exact"/>
        <w:rPr>
          <w:rFonts w:asciiTheme="minorHAnsi" w:eastAsiaTheme="majorEastAsia" w:hAnsiTheme="minorHAnsi"/>
        </w:rPr>
      </w:pPr>
      <w:r w:rsidRPr="00CA6CBB">
        <w:rPr>
          <w:rFonts w:asciiTheme="minorHAnsi" w:eastAsiaTheme="majorEastAsia" w:hAnsiTheme="minorHAnsi"/>
        </w:rPr>
        <w:t>La Secretaría también recordó la lista de módulos prioritarios del IOMS que se desarrollarán en fases futuras. La lista, actualizada por este grupo en 2025 y sin propuestas de nuevas incorporaciones, es la siguiente:</w:t>
      </w:r>
    </w:p>
    <w:p w14:paraId="2C84421A" w14:textId="77777777" w:rsidR="00BA272D" w:rsidRPr="00CA6CBB" w:rsidRDefault="00BA272D" w:rsidP="00202B09">
      <w:pPr>
        <w:spacing w:line="240" w:lineRule="exact"/>
        <w:rPr>
          <w:rFonts w:asciiTheme="minorHAnsi" w:eastAsiaTheme="majorEastAsia" w:hAnsiTheme="minorHAnsi"/>
        </w:rPr>
      </w:pPr>
    </w:p>
    <w:p w14:paraId="2E6BBD61" w14:textId="77777777" w:rsidR="000F2ED2" w:rsidRPr="00CA6CBB" w:rsidRDefault="000F2ED2" w:rsidP="00BA272D">
      <w:pPr>
        <w:pStyle w:val="ListParagraph"/>
        <w:numPr>
          <w:ilvl w:val="1"/>
          <w:numId w:val="42"/>
        </w:numPr>
        <w:pBdr>
          <w:top w:val="none" w:sz="0" w:space="0" w:color="auto"/>
          <w:left w:val="none" w:sz="0" w:space="0" w:color="auto"/>
          <w:bottom w:val="none" w:sz="0" w:space="0" w:color="auto"/>
          <w:right w:val="none" w:sz="0" w:space="0" w:color="auto"/>
          <w:between w:val="none" w:sz="0" w:space="0" w:color="auto"/>
        </w:pBdr>
        <w:tabs>
          <w:tab w:val="left" w:pos="851"/>
        </w:tabs>
        <w:spacing w:line="240" w:lineRule="exact"/>
        <w:ind w:left="851" w:hanging="513"/>
        <w:rPr>
          <w:rFonts w:asciiTheme="minorHAnsi" w:eastAsiaTheme="majorEastAsia" w:hAnsiTheme="minorHAnsi"/>
        </w:rPr>
      </w:pPr>
      <w:r w:rsidRPr="00CA6CBB">
        <w:rPr>
          <w:rFonts w:asciiTheme="minorHAnsi" w:eastAsiaTheme="majorEastAsia" w:hAnsiTheme="minorHAnsi"/>
        </w:rPr>
        <w:t>Implementación de FLUX en ICCAT para informes de inspección</w:t>
      </w:r>
    </w:p>
    <w:p w14:paraId="764D0BED" w14:textId="77777777" w:rsidR="000F2ED2" w:rsidRPr="00CA6CBB" w:rsidRDefault="000F2ED2" w:rsidP="00BA272D">
      <w:pPr>
        <w:pStyle w:val="ListParagraph"/>
        <w:numPr>
          <w:ilvl w:val="1"/>
          <w:numId w:val="42"/>
        </w:numPr>
        <w:pBdr>
          <w:top w:val="none" w:sz="0" w:space="0" w:color="auto"/>
          <w:left w:val="none" w:sz="0" w:space="0" w:color="auto"/>
          <w:bottom w:val="none" w:sz="0" w:space="0" w:color="auto"/>
          <w:right w:val="none" w:sz="0" w:space="0" w:color="auto"/>
          <w:between w:val="none" w:sz="0" w:space="0" w:color="auto"/>
        </w:pBdr>
        <w:tabs>
          <w:tab w:val="left" w:pos="851"/>
        </w:tabs>
        <w:spacing w:line="240" w:lineRule="exact"/>
        <w:ind w:left="851" w:hanging="513"/>
        <w:rPr>
          <w:rFonts w:asciiTheme="minorHAnsi" w:eastAsiaTheme="majorEastAsia" w:hAnsiTheme="minorHAnsi"/>
        </w:rPr>
      </w:pPr>
      <w:r w:rsidRPr="00CA6CBB">
        <w:rPr>
          <w:rFonts w:asciiTheme="minorHAnsi" w:eastAsiaTheme="majorEastAsia" w:hAnsiTheme="minorHAnsi"/>
        </w:rPr>
        <w:t>Muestras de talla de Tarea 2</w:t>
      </w:r>
    </w:p>
    <w:p w14:paraId="04CF6D33" w14:textId="77777777" w:rsidR="000F2ED2" w:rsidRPr="00CA6CBB" w:rsidRDefault="000F2ED2" w:rsidP="00BA272D">
      <w:pPr>
        <w:pStyle w:val="ListParagraph"/>
        <w:numPr>
          <w:ilvl w:val="1"/>
          <w:numId w:val="42"/>
        </w:numPr>
        <w:pBdr>
          <w:top w:val="none" w:sz="0" w:space="0" w:color="auto"/>
          <w:left w:val="none" w:sz="0" w:space="0" w:color="auto"/>
          <w:bottom w:val="none" w:sz="0" w:space="0" w:color="auto"/>
          <w:right w:val="none" w:sz="0" w:space="0" w:color="auto"/>
          <w:between w:val="none" w:sz="0" w:space="0" w:color="auto"/>
        </w:pBdr>
        <w:tabs>
          <w:tab w:val="left" w:pos="851"/>
        </w:tabs>
        <w:spacing w:line="240" w:lineRule="exact"/>
        <w:ind w:left="851" w:hanging="513"/>
        <w:rPr>
          <w:rFonts w:asciiTheme="minorHAnsi" w:eastAsiaTheme="majorEastAsia" w:hAnsiTheme="minorHAnsi"/>
        </w:rPr>
      </w:pPr>
      <w:r w:rsidRPr="00CA6CBB">
        <w:rPr>
          <w:rFonts w:asciiTheme="minorHAnsi" w:eastAsiaTheme="majorEastAsia" w:hAnsiTheme="minorHAnsi"/>
        </w:rPr>
        <w:t>Características de la flota de Tarea 1 (buques activos en año anterior) - ST01</w:t>
      </w:r>
    </w:p>
    <w:p w14:paraId="249CF8CC" w14:textId="77777777" w:rsidR="000F2ED2" w:rsidRPr="00CA6CBB" w:rsidRDefault="000F2ED2" w:rsidP="00BA272D">
      <w:pPr>
        <w:pStyle w:val="ListParagraph"/>
        <w:numPr>
          <w:ilvl w:val="1"/>
          <w:numId w:val="42"/>
        </w:numPr>
        <w:pBdr>
          <w:top w:val="none" w:sz="0" w:space="0" w:color="auto"/>
          <w:left w:val="none" w:sz="0" w:space="0" w:color="auto"/>
          <w:bottom w:val="none" w:sz="0" w:space="0" w:color="auto"/>
          <w:right w:val="none" w:sz="0" w:space="0" w:color="auto"/>
          <w:between w:val="none" w:sz="0" w:space="0" w:color="auto"/>
        </w:pBdr>
        <w:tabs>
          <w:tab w:val="left" w:pos="851"/>
        </w:tabs>
        <w:spacing w:line="240" w:lineRule="exact"/>
        <w:ind w:left="851" w:hanging="513"/>
        <w:rPr>
          <w:rFonts w:asciiTheme="minorHAnsi" w:eastAsiaTheme="majorEastAsia" w:hAnsiTheme="minorHAnsi"/>
        </w:rPr>
      </w:pPr>
      <w:r w:rsidRPr="00CA6CBB">
        <w:rPr>
          <w:rFonts w:asciiTheme="minorHAnsi" w:eastAsiaTheme="majorEastAsia" w:hAnsiTheme="minorHAnsi"/>
        </w:rPr>
        <w:t>Declaraciones de transbordo/declaraciones de suministro/informes de transbordo</w:t>
      </w:r>
    </w:p>
    <w:p w14:paraId="35017796" w14:textId="77777777" w:rsidR="000F2ED2" w:rsidRPr="00CA6CBB" w:rsidRDefault="000F2ED2" w:rsidP="00BA272D">
      <w:pPr>
        <w:pStyle w:val="ListParagraph"/>
        <w:numPr>
          <w:ilvl w:val="1"/>
          <w:numId w:val="42"/>
        </w:numPr>
        <w:pBdr>
          <w:top w:val="none" w:sz="0" w:space="0" w:color="auto"/>
          <w:left w:val="none" w:sz="0" w:space="0" w:color="auto"/>
          <w:bottom w:val="none" w:sz="0" w:space="0" w:color="auto"/>
          <w:right w:val="none" w:sz="0" w:space="0" w:color="auto"/>
          <w:between w:val="none" w:sz="0" w:space="0" w:color="auto"/>
        </w:pBdr>
        <w:tabs>
          <w:tab w:val="left" w:pos="851"/>
        </w:tabs>
        <w:spacing w:line="240" w:lineRule="exact"/>
        <w:ind w:left="851" w:hanging="513"/>
        <w:rPr>
          <w:rFonts w:asciiTheme="minorHAnsi" w:eastAsiaTheme="majorEastAsia" w:hAnsiTheme="minorHAnsi"/>
        </w:rPr>
      </w:pPr>
      <w:r w:rsidRPr="00CA6CBB">
        <w:rPr>
          <w:rFonts w:asciiTheme="minorHAnsi" w:eastAsiaTheme="majorEastAsia" w:hAnsiTheme="minorHAnsi"/>
        </w:rPr>
        <w:t>Informes de inspección en puerto/Programa conjunto de inspección internacional (JIS)</w:t>
      </w:r>
    </w:p>
    <w:p w14:paraId="1455884A" w14:textId="77777777" w:rsidR="000F2ED2" w:rsidRPr="00CA6CBB" w:rsidRDefault="000F2ED2" w:rsidP="00BA272D">
      <w:pPr>
        <w:pStyle w:val="ListParagraph"/>
        <w:numPr>
          <w:ilvl w:val="1"/>
          <w:numId w:val="42"/>
        </w:numPr>
        <w:pBdr>
          <w:top w:val="none" w:sz="0" w:space="0" w:color="auto"/>
          <w:left w:val="none" w:sz="0" w:space="0" w:color="auto"/>
          <w:bottom w:val="none" w:sz="0" w:space="0" w:color="auto"/>
          <w:right w:val="none" w:sz="0" w:space="0" w:color="auto"/>
          <w:between w:val="none" w:sz="0" w:space="0" w:color="auto"/>
        </w:pBdr>
        <w:tabs>
          <w:tab w:val="left" w:pos="851"/>
        </w:tabs>
        <w:spacing w:line="240" w:lineRule="exact"/>
        <w:ind w:left="851" w:hanging="513"/>
        <w:rPr>
          <w:rFonts w:asciiTheme="minorHAnsi" w:eastAsiaTheme="majorEastAsia" w:hAnsiTheme="minorHAnsi"/>
        </w:rPr>
      </w:pPr>
      <w:r w:rsidRPr="00CA6CBB">
        <w:rPr>
          <w:rFonts w:asciiTheme="minorHAnsi" w:eastAsiaTheme="majorEastAsia" w:hAnsiTheme="minorHAnsi"/>
        </w:rPr>
        <w:t>Plan de pesca</w:t>
      </w:r>
    </w:p>
    <w:p w14:paraId="305A4DB5" w14:textId="77777777" w:rsidR="000F2ED2" w:rsidRPr="00CA6CBB" w:rsidRDefault="000F2ED2" w:rsidP="00BA272D">
      <w:pPr>
        <w:pStyle w:val="ListParagraph"/>
        <w:numPr>
          <w:ilvl w:val="1"/>
          <w:numId w:val="42"/>
        </w:numPr>
        <w:pBdr>
          <w:top w:val="none" w:sz="0" w:space="0" w:color="auto"/>
          <w:left w:val="none" w:sz="0" w:space="0" w:color="auto"/>
          <w:bottom w:val="none" w:sz="0" w:space="0" w:color="auto"/>
          <w:right w:val="none" w:sz="0" w:space="0" w:color="auto"/>
          <w:between w:val="none" w:sz="0" w:space="0" w:color="auto"/>
        </w:pBdr>
        <w:tabs>
          <w:tab w:val="left" w:pos="851"/>
        </w:tabs>
        <w:spacing w:line="240" w:lineRule="exact"/>
        <w:ind w:left="851" w:hanging="513"/>
        <w:rPr>
          <w:rFonts w:asciiTheme="minorHAnsi" w:eastAsiaTheme="majorEastAsia" w:hAnsiTheme="minorHAnsi"/>
        </w:rPr>
      </w:pPr>
      <w:r w:rsidRPr="00CA6CBB">
        <w:rPr>
          <w:rFonts w:asciiTheme="minorHAnsi" w:eastAsiaTheme="majorEastAsia" w:hAnsiTheme="minorHAnsi"/>
        </w:rPr>
        <w:t>Acuerdos de acceso</w:t>
      </w:r>
    </w:p>
    <w:p w14:paraId="1363F5E5" w14:textId="77777777" w:rsidR="000F2ED2" w:rsidRPr="00CA6CBB" w:rsidRDefault="000F2ED2" w:rsidP="00BA272D">
      <w:pPr>
        <w:pStyle w:val="ListParagraph"/>
        <w:numPr>
          <w:ilvl w:val="1"/>
          <w:numId w:val="42"/>
        </w:numPr>
        <w:pBdr>
          <w:top w:val="none" w:sz="0" w:space="0" w:color="auto"/>
          <w:left w:val="none" w:sz="0" w:space="0" w:color="auto"/>
          <w:bottom w:val="none" w:sz="0" w:space="0" w:color="auto"/>
          <w:right w:val="none" w:sz="0" w:space="0" w:color="auto"/>
          <w:between w:val="none" w:sz="0" w:space="0" w:color="auto"/>
        </w:pBdr>
        <w:tabs>
          <w:tab w:val="left" w:pos="851"/>
        </w:tabs>
        <w:spacing w:line="240" w:lineRule="exact"/>
        <w:ind w:left="851" w:hanging="513"/>
        <w:rPr>
          <w:rFonts w:asciiTheme="minorHAnsi" w:eastAsiaTheme="majorEastAsia" w:hAnsiTheme="minorHAnsi"/>
        </w:rPr>
      </w:pPr>
      <w:r w:rsidRPr="00CA6CBB">
        <w:rPr>
          <w:rFonts w:asciiTheme="minorHAnsi" w:eastAsiaTheme="majorEastAsia" w:hAnsiTheme="minorHAnsi"/>
        </w:rPr>
        <w:t>Medidas de mitigación relacionadas con las aves marinas</w:t>
      </w:r>
    </w:p>
    <w:p w14:paraId="7CDCFD32" w14:textId="77777777" w:rsidR="000F2ED2" w:rsidRPr="00CA6CBB" w:rsidRDefault="000F2ED2" w:rsidP="00BA272D">
      <w:pPr>
        <w:pStyle w:val="ListParagraph"/>
        <w:numPr>
          <w:ilvl w:val="1"/>
          <w:numId w:val="42"/>
        </w:numPr>
        <w:pBdr>
          <w:top w:val="none" w:sz="0" w:space="0" w:color="auto"/>
          <w:left w:val="none" w:sz="0" w:space="0" w:color="auto"/>
          <w:bottom w:val="none" w:sz="0" w:space="0" w:color="auto"/>
          <w:right w:val="none" w:sz="0" w:space="0" w:color="auto"/>
          <w:between w:val="none" w:sz="0" w:space="0" w:color="auto"/>
        </w:pBdr>
        <w:tabs>
          <w:tab w:val="left" w:pos="851"/>
        </w:tabs>
        <w:spacing w:line="240" w:lineRule="exact"/>
        <w:ind w:left="851" w:hanging="513"/>
        <w:rPr>
          <w:rFonts w:asciiTheme="minorHAnsi" w:eastAsiaTheme="majorEastAsia" w:hAnsiTheme="minorHAnsi"/>
        </w:rPr>
      </w:pPr>
      <w:r w:rsidRPr="00CA6CBB">
        <w:rPr>
          <w:rFonts w:asciiTheme="minorHAnsi" w:eastAsiaTheme="majorEastAsia" w:hAnsiTheme="minorHAnsi"/>
        </w:rPr>
        <w:t>Artes perdidos/encontrados y otros</w:t>
      </w:r>
    </w:p>
    <w:p w14:paraId="44EA7168" w14:textId="77777777" w:rsidR="000F2ED2" w:rsidRPr="00CA6CBB" w:rsidRDefault="000F2ED2" w:rsidP="00202B09">
      <w:pPr>
        <w:spacing w:line="240" w:lineRule="exact"/>
        <w:rPr>
          <w:rFonts w:asciiTheme="minorHAnsi" w:eastAsiaTheme="majorEastAsia" w:hAnsiTheme="minorHAnsi"/>
        </w:rPr>
      </w:pPr>
    </w:p>
    <w:p w14:paraId="710D8190" w14:textId="77777777" w:rsidR="000F2ED2" w:rsidRPr="00CA6CBB" w:rsidRDefault="000F2ED2" w:rsidP="00202B09">
      <w:pPr>
        <w:spacing w:line="240" w:lineRule="exact"/>
        <w:rPr>
          <w:rFonts w:asciiTheme="minorHAnsi" w:eastAsiaTheme="majorEastAsia" w:hAnsiTheme="minorHAnsi"/>
        </w:rPr>
      </w:pPr>
      <w:r w:rsidRPr="00CA6CBB">
        <w:rPr>
          <w:rFonts w:asciiTheme="minorHAnsi" w:eastAsiaTheme="majorEastAsia" w:hAnsiTheme="minorHAnsi"/>
        </w:rPr>
        <w:t xml:space="preserve">El presidente del WG-ORT agradeció a la Secretaría la elaboración del plan de trabajo provisional para 2026 y dio inicio al debate sobre el tema. </w:t>
      </w:r>
    </w:p>
    <w:p w14:paraId="2E3068E6" w14:textId="77777777" w:rsidR="000F2ED2" w:rsidRPr="00CA6CBB" w:rsidRDefault="000F2ED2" w:rsidP="00202B09">
      <w:pPr>
        <w:spacing w:line="240" w:lineRule="exact"/>
        <w:rPr>
          <w:rFonts w:asciiTheme="minorHAnsi" w:eastAsiaTheme="majorEastAsia" w:hAnsiTheme="minorHAnsi"/>
        </w:rPr>
      </w:pPr>
    </w:p>
    <w:p w14:paraId="12351580" w14:textId="77777777" w:rsidR="000F2ED2" w:rsidRPr="00CA6CBB" w:rsidRDefault="000F2ED2" w:rsidP="00202B09">
      <w:pPr>
        <w:spacing w:line="240" w:lineRule="exact"/>
        <w:rPr>
          <w:rFonts w:asciiTheme="minorHAnsi" w:eastAsiaTheme="majorEastAsia" w:hAnsiTheme="minorHAnsi"/>
        </w:rPr>
      </w:pPr>
      <w:r w:rsidRPr="00CA6CBB">
        <w:rPr>
          <w:rFonts w:asciiTheme="minorHAnsi" w:eastAsiaTheme="majorEastAsia" w:hAnsiTheme="minorHAnsi"/>
        </w:rPr>
        <w:t xml:space="preserve">La UE señaló que estaba de acuerdo con la reprogramación y la priorización actual de los módulos, y destacó que considera que la mayor prioridad añadida al Gestor de T2CE (captura y esfuerzo de Tarea 2), un módulo de alta prioridad que ya cuenta con su apoyo en el actual proyecto complementario de la UE (véase la sección 7). La UE también acordó retrasar ligeramente la puesta en producción de UN/FLUX para poder llevar a cabo adecuadamente la crucial tarea de realizar pruebas "intensivas". </w:t>
      </w:r>
    </w:p>
    <w:p w14:paraId="19869017" w14:textId="77777777" w:rsidR="000F2ED2" w:rsidRPr="00CA6CBB" w:rsidRDefault="000F2ED2" w:rsidP="00202B09">
      <w:pPr>
        <w:spacing w:line="240" w:lineRule="exact"/>
        <w:rPr>
          <w:rFonts w:asciiTheme="minorHAnsi" w:eastAsiaTheme="majorEastAsia" w:hAnsiTheme="minorHAnsi"/>
        </w:rPr>
      </w:pPr>
    </w:p>
    <w:p w14:paraId="5A528BDC" w14:textId="77777777" w:rsidR="000F2ED2" w:rsidRPr="00CA6CBB" w:rsidRDefault="000F2ED2" w:rsidP="00202B09">
      <w:pPr>
        <w:spacing w:line="240" w:lineRule="exact"/>
        <w:rPr>
          <w:rFonts w:asciiTheme="minorHAnsi" w:eastAsiaTheme="majorEastAsia" w:hAnsiTheme="minorHAnsi"/>
        </w:rPr>
      </w:pPr>
      <w:r w:rsidRPr="00CA6CBB">
        <w:rPr>
          <w:rFonts w:asciiTheme="minorHAnsi" w:eastAsiaTheme="majorEastAsia" w:hAnsiTheme="minorHAnsi"/>
        </w:rPr>
        <w:t xml:space="preserve">La Secretaría recordó que el IMM recomendó dar prioridad a una solución para gestionar la información relativa a las inspecciones en puerto. Lo que no tiene claro la Secretaría es cómo abordar este trabajo. Ya sea dentro del IOMS (módulo específico) o externamente (utilizando el software Sistema mundial de intercambio de información (GIES) de la FAO o adaptando un software existente a las necesidades de ICCAT). El WG-ORT incluyó en 2025 este módulo en la lista de módulos prioritarios para las fases siguientes (se prevé que la fase 6 comience a mediados de 2028) y, por lo tanto, el plan de trabajo del IOMS no contempla el desarrollo de este módulo a largo plazo. La Secretaría solicitó orientación sobre qué tipo de enfoque se debería adoptar. El presidente solicitó al Grupo que expresara su opinión al respecto. Tras un </w:t>
      </w:r>
      <w:r w:rsidRPr="00CA6CBB">
        <w:rPr>
          <w:rFonts w:asciiTheme="minorHAnsi" w:eastAsiaTheme="majorEastAsia" w:hAnsiTheme="minorHAnsi"/>
        </w:rPr>
        <w:lastRenderedPageBreak/>
        <w:t>debate constructivo, y teniendo en cuenta la sobrecarga de trabajo del IOMS hasta 2028, se llegó a un consenso general para estudiar en primer lugar la opción de gestionar externamente la información relativa a las inspecciones en puerto. El Grupo sugirió a la Secretaría que se pusiera en contacto con la FAO para estudiar la posibilidad de obtener el código fuente del sistema de información geográfica (GIS), con el fin de analizar la posibilidad de adaptarlo a las necesidades de ICCAT. También deberían estudiarse otras alternativas de software (como la que utiliza la Comisión del Atún para el Océano Índico (IOTC)).</w:t>
      </w:r>
    </w:p>
    <w:p w14:paraId="2BCC5808" w14:textId="77777777" w:rsidR="000F2ED2" w:rsidRPr="00CA6CBB" w:rsidRDefault="000F2ED2" w:rsidP="00202B09">
      <w:pPr>
        <w:spacing w:line="240" w:lineRule="exact"/>
        <w:rPr>
          <w:rFonts w:asciiTheme="minorHAnsi" w:eastAsiaTheme="majorEastAsia" w:hAnsiTheme="minorHAnsi"/>
        </w:rPr>
      </w:pPr>
    </w:p>
    <w:p w14:paraId="5959EDF7" w14:textId="77777777" w:rsidR="000F2ED2" w:rsidRPr="00CA6CBB" w:rsidRDefault="000F2ED2" w:rsidP="00202B09">
      <w:pPr>
        <w:spacing w:line="240" w:lineRule="exact"/>
        <w:rPr>
          <w:rFonts w:asciiTheme="minorHAnsi" w:eastAsiaTheme="majorEastAsia" w:hAnsiTheme="minorHAnsi"/>
        </w:rPr>
      </w:pPr>
      <w:r w:rsidRPr="00CA6CBB">
        <w:rPr>
          <w:rFonts w:asciiTheme="minorHAnsi" w:eastAsiaTheme="majorEastAsia" w:hAnsiTheme="minorHAnsi"/>
        </w:rPr>
        <w:t>Al no haber más intervenciones, el presidente consideró que el Grupo estaba de acuerdo, en términos generales, con el plan de trabajo del IOMS para 2026 (</w:t>
      </w:r>
      <w:r w:rsidRPr="00CA6CBB">
        <w:rPr>
          <w:rFonts w:asciiTheme="minorHAnsi" w:eastAsiaTheme="majorEastAsia" w:hAnsiTheme="minorHAnsi"/>
          <w:b/>
        </w:rPr>
        <w:t>Tabla 3</w:t>
      </w:r>
      <w:r w:rsidRPr="00CA6CBB">
        <w:rPr>
          <w:rFonts w:asciiTheme="minorHAnsi" w:eastAsiaTheme="majorEastAsia" w:hAnsiTheme="minorHAnsi"/>
        </w:rPr>
        <w:t>), que será adoptado por el WG-ORT junto con la adopción del informe de esta reunión.</w:t>
      </w:r>
    </w:p>
    <w:p w14:paraId="6A0B0C5F" w14:textId="77777777" w:rsidR="000F2ED2" w:rsidRPr="00CA6CBB" w:rsidRDefault="000F2ED2" w:rsidP="00202B09">
      <w:pPr>
        <w:spacing w:line="240" w:lineRule="exact"/>
        <w:rPr>
          <w:rFonts w:asciiTheme="minorHAnsi" w:eastAsiaTheme="majorEastAsia" w:hAnsiTheme="minorHAnsi"/>
        </w:rPr>
      </w:pPr>
    </w:p>
    <w:p w14:paraId="44E68B14" w14:textId="77777777" w:rsidR="000F2ED2" w:rsidRPr="00CA6CBB" w:rsidRDefault="000F2ED2" w:rsidP="00202B09">
      <w:pPr>
        <w:spacing w:line="240" w:lineRule="exact"/>
        <w:rPr>
          <w:rFonts w:asciiTheme="minorHAnsi" w:eastAsiaTheme="majorEastAsia" w:hAnsiTheme="minorHAnsi"/>
        </w:rPr>
      </w:pPr>
      <w:r w:rsidRPr="00CA6CBB">
        <w:rPr>
          <w:rFonts w:asciiTheme="minorHAnsi" w:eastAsiaTheme="majorEastAsia" w:hAnsiTheme="minorHAnsi"/>
        </w:rPr>
        <w:t>Para alcanzar los objetivos del plan de trabajo de 2026, como es habitual, la Secretaría ha elaborado una hoja de ruta (tareas/eventos clasificados por módulo, con las fechas previstas de finalización, y otros elementos). El presidente invitó a la Secretaría a presentar la hoja de ruta que incluye las tareas relacionadas con los distintos módulos: Gestor de puertos, Gestor de T1NC, Gestor de COCT, Gestor de la hojas de comprobación de tiburones/istiofóridos y Gestor de T2CE. En la siguiente tabla se detalla la hoja de ruta:</w:t>
      </w:r>
    </w:p>
    <w:p w14:paraId="5B724DB0" w14:textId="77777777" w:rsidR="000F2ED2" w:rsidRPr="00CA6CBB" w:rsidRDefault="000F2ED2" w:rsidP="000F2ED2"/>
    <w:tbl>
      <w:tblPr>
        <w:tblStyle w:val="PlainTable2"/>
        <w:tblW w:w="0" w:type="auto"/>
        <w:tblLook w:val="0600" w:firstRow="0" w:lastRow="0" w:firstColumn="0" w:lastColumn="0" w:noHBand="1" w:noVBand="1"/>
      </w:tblPr>
      <w:tblGrid>
        <w:gridCol w:w="896"/>
        <w:gridCol w:w="1918"/>
        <w:gridCol w:w="5288"/>
        <w:gridCol w:w="969"/>
      </w:tblGrid>
      <w:tr w:rsidR="000F2ED2" w:rsidRPr="00CA6CBB" w14:paraId="6CC1E5E0" w14:textId="77777777" w:rsidTr="00814F99">
        <w:trPr>
          <w:trHeight w:val="227"/>
        </w:trPr>
        <w:tc>
          <w:tcPr>
            <w:tcW w:w="0" w:type="auto"/>
            <w:noWrap/>
            <w:hideMark/>
          </w:tcPr>
          <w:p w14:paraId="4B1B4775"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b/>
                <w:bCs/>
                <w:color w:val="auto"/>
                <w:sz w:val="14"/>
                <w:szCs w:val="14"/>
              </w:rPr>
            </w:pPr>
            <w:r w:rsidRPr="00CA6CBB">
              <w:rPr>
                <w:rFonts w:asciiTheme="majorHAnsi" w:hAnsiTheme="majorHAnsi"/>
                <w:b/>
                <w:color w:val="auto"/>
                <w:sz w:val="14"/>
              </w:rPr>
              <w:t>Fecha</w:t>
            </w:r>
          </w:p>
        </w:tc>
        <w:tc>
          <w:tcPr>
            <w:tcW w:w="0" w:type="auto"/>
            <w:noWrap/>
            <w:hideMark/>
          </w:tcPr>
          <w:p w14:paraId="70912A45"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b/>
                <w:bCs/>
                <w:color w:val="auto"/>
                <w:sz w:val="14"/>
                <w:szCs w:val="14"/>
              </w:rPr>
            </w:pPr>
            <w:r w:rsidRPr="00CA6CBB">
              <w:rPr>
                <w:rFonts w:asciiTheme="majorHAnsi" w:hAnsiTheme="majorHAnsi"/>
                <w:b/>
                <w:color w:val="auto"/>
                <w:sz w:val="14"/>
              </w:rPr>
              <w:t>Módulo</w:t>
            </w:r>
          </w:p>
        </w:tc>
        <w:tc>
          <w:tcPr>
            <w:tcW w:w="5288" w:type="dxa"/>
            <w:noWrap/>
            <w:hideMark/>
          </w:tcPr>
          <w:p w14:paraId="0C0F7FF2"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b/>
                <w:bCs/>
                <w:color w:val="auto"/>
                <w:sz w:val="14"/>
                <w:szCs w:val="14"/>
              </w:rPr>
            </w:pPr>
            <w:r w:rsidRPr="00CA6CBB">
              <w:rPr>
                <w:rFonts w:asciiTheme="majorHAnsi" w:hAnsiTheme="majorHAnsi"/>
                <w:b/>
                <w:color w:val="auto"/>
                <w:sz w:val="14"/>
              </w:rPr>
              <w:t>Tarea/Evento</w:t>
            </w:r>
          </w:p>
        </w:tc>
        <w:tc>
          <w:tcPr>
            <w:tcW w:w="969" w:type="dxa"/>
            <w:noWrap/>
            <w:hideMark/>
          </w:tcPr>
          <w:p w14:paraId="49AC2986"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b/>
                <w:bCs/>
                <w:color w:val="auto"/>
                <w:sz w:val="14"/>
                <w:szCs w:val="14"/>
              </w:rPr>
            </w:pPr>
            <w:r w:rsidRPr="00CA6CBB">
              <w:rPr>
                <w:rFonts w:asciiTheme="majorHAnsi" w:hAnsiTheme="majorHAnsi"/>
                <w:b/>
                <w:color w:val="auto"/>
                <w:sz w:val="14"/>
              </w:rPr>
              <w:t>Entorno</w:t>
            </w:r>
          </w:p>
        </w:tc>
      </w:tr>
      <w:tr w:rsidR="000F2ED2" w:rsidRPr="00CA6CBB" w14:paraId="3AB2CB6A" w14:textId="77777777" w:rsidTr="00814F99">
        <w:trPr>
          <w:trHeight w:val="227"/>
        </w:trPr>
        <w:tc>
          <w:tcPr>
            <w:tcW w:w="0" w:type="auto"/>
            <w:hideMark/>
          </w:tcPr>
          <w:p w14:paraId="659CA74D"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15/03/2026</w:t>
            </w:r>
          </w:p>
        </w:tc>
        <w:tc>
          <w:tcPr>
            <w:tcW w:w="0" w:type="auto"/>
            <w:hideMark/>
          </w:tcPr>
          <w:p w14:paraId="45CB2896"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T1NC/COCT</w:t>
            </w:r>
          </w:p>
        </w:tc>
        <w:tc>
          <w:tcPr>
            <w:tcW w:w="5288" w:type="dxa"/>
            <w:hideMark/>
          </w:tcPr>
          <w:p w14:paraId="1DE0E6C0"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Theme="majorHAnsi" w:eastAsia="Times New Roman" w:hAnsiTheme="majorHAnsi" w:cstheme="majorHAnsi"/>
                <w:color w:val="auto"/>
                <w:sz w:val="14"/>
                <w:szCs w:val="14"/>
              </w:rPr>
            </w:pPr>
            <w:r w:rsidRPr="00CA6CBB">
              <w:rPr>
                <w:rFonts w:asciiTheme="majorHAnsi" w:hAnsiTheme="majorHAnsi"/>
                <w:color w:val="auto"/>
                <w:sz w:val="14"/>
              </w:rPr>
              <w:t>Nuevas bases de datos T1NC y COCT completadas</w:t>
            </w:r>
          </w:p>
        </w:tc>
        <w:tc>
          <w:tcPr>
            <w:tcW w:w="969" w:type="dxa"/>
            <w:noWrap/>
            <w:hideMark/>
          </w:tcPr>
          <w:p w14:paraId="58010893"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Prueba</w:t>
            </w:r>
          </w:p>
        </w:tc>
      </w:tr>
      <w:tr w:rsidR="000F2ED2" w:rsidRPr="00CA6CBB" w14:paraId="16F03379" w14:textId="77777777" w:rsidTr="00814F99">
        <w:trPr>
          <w:trHeight w:val="227"/>
        </w:trPr>
        <w:tc>
          <w:tcPr>
            <w:tcW w:w="0" w:type="auto"/>
            <w:hideMark/>
          </w:tcPr>
          <w:p w14:paraId="78327D71"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01/04/2026</w:t>
            </w:r>
          </w:p>
        </w:tc>
        <w:tc>
          <w:tcPr>
            <w:tcW w:w="0" w:type="auto"/>
            <w:hideMark/>
          </w:tcPr>
          <w:p w14:paraId="44035362"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Gestor de puertos</w:t>
            </w:r>
          </w:p>
        </w:tc>
        <w:tc>
          <w:tcPr>
            <w:tcW w:w="5288" w:type="dxa"/>
            <w:noWrap/>
            <w:hideMark/>
          </w:tcPr>
          <w:p w14:paraId="4EA2AFD7"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Theme="majorHAnsi" w:eastAsia="Times New Roman" w:hAnsiTheme="majorHAnsi" w:cstheme="majorHAnsi"/>
                <w:color w:val="auto"/>
                <w:sz w:val="14"/>
                <w:szCs w:val="14"/>
              </w:rPr>
            </w:pPr>
            <w:r w:rsidRPr="00CA6CBB">
              <w:rPr>
                <w:rFonts w:asciiTheme="majorHAnsi" w:hAnsiTheme="majorHAnsi"/>
                <w:color w:val="auto"/>
                <w:sz w:val="14"/>
              </w:rPr>
              <w:t>Gestor de puertos disponible en Sandbox (https://sandbox-ioms.iccat.int)</w:t>
            </w:r>
          </w:p>
        </w:tc>
        <w:tc>
          <w:tcPr>
            <w:tcW w:w="969" w:type="dxa"/>
            <w:noWrap/>
            <w:hideMark/>
          </w:tcPr>
          <w:p w14:paraId="5240B1C2"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Prueba</w:t>
            </w:r>
          </w:p>
        </w:tc>
      </w:tr>
      <w:tr w:rsidR="000F2ED2" w:rsidRPr="00CA6CBB" w14:paraId="7AC3DE1B" w14:textId="77777777" w:rsidTr="00814F99">
        <w:trPr>
          <w:trHeight w:val="227"/>
        </w:trPr>
        <w:tc>
          <w:tcPr>
            <w:tcW w:w="0" w:type="auto"/>
            <w:hideMark/>
          </w:tcPr>
          <w:p w14:paraId="17F37430"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01/04/2026</w:t>
            </w:r>
          </w:p>
        </w:tc>
        <w:tc>
          <w:tcPr>
            <w:tcW w:w="0" w:type="auto"/>
            <w:hideMark/>
          </w:tcPr>
          <w:p w14:paraId="71BD16FF"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FLUX</w:t>
            </w:r>
          </w:p>
        </w:tc>
        <w:tc>
          <w:tcPr>
            <w:tcW w:w="5288" w:type="dxa"/>
            <w:hideMark/>
          </w:tcPr>
          <w:p w14:paraId="7E28325D"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Theme="majorHAnsi" w:eastAsia="Times New Roman" w:hAnsiTheme="majorHAnsi" w:cstheme="majorHAnsi"/>
                <w:color w:val="auto"/>
                <w:sz w:val="14"/>
                <w:szCs w:val="14"/>
              </w:rPr>
            </w:pPr>
            <w:r w:rsidRPr="00CA6CBB">
              <w:rPr>
                <w:rFonts w:asciiTheme="majorHAnsi" w:hAnsiTheme="majorHAnsi"/>
                <w:color w:val="auto"/>
                <w:sz w:val="14"/>
              </w:rPr>
              <w:t>Inicio de las pruebas intensivas del módulo FLUX (características del buque y FLAP)</w:t>
            </w:r>
          </w:p>
        </w:tc>
        <w:tc>
          <w:tcPr>
            <w:tcW w:w="969" w:type="dxa"/>
            <w:noWrap/>
            <w:hideMark/>
          </w:tcPr>
          <w:p w14:paraId="67211231"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Prueba</w:t>
            </w:r>
          </w:p>
        </w:tc>
      </w:tr>
      <w:tr w:rsidR="000F2ED2" w:rsidRPr="00CA6CBB" w14:paraId="0E2DF548" w14:textId="77777777" w:rsidTr="00814F99">
        <w:trPr>
          <w:trHeight w:val="227"/>
        </w:trPr>
        <w:tc>
          <w:tcPr>
            <w:tcW w:w="0" w:type="auto"/>
            <w:hideMark/>
          </w:tcPr>
          <w:p w14:paraId="472C98C3"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01/05/2026</w:t>
            </w:r>
          </w:p>
        </w:tc>
        <w:tc>
          <w:tcPr>
            <w:tcW w:w="0" w:type="auto"/>
            <w:hideMark/>
          </w:tcPr>
          <w:p w14:paraId="14ED3A7F"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Hojas de comprobación de tiburones e istiofóridos</w:t>
            </w:r>
          </w:p>
        </w:tc>
        <w:tc>
          <w:tcPr>
            <w:tcW w:w="5288" w:type="dxa"/>
            <w:hideMark/>
          </w:tcPr>
          <w:p w14:paraId="6BE9E2D1"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Theme="majorHAnsi" w:eastAsia="Times New Roman" w:hAnsiTheme="majorHAnsi" w:cstheme="majorHAnsi"/>
                <w:color w:val="auto"/>
                <w:sz w:val="14"/>
                <w:szCs w:val="14"/>
              </w:rPr>
            </w:pPr>
            <w:r w:rsidRPr="00CA6CBB">
              <w:rPr>
                <w:rFonts w:asciiTheme="majorHAnsi" w:hAnsiTheme="majorHAnsi"/>
                <w:color w:val="auto"/>
                <w:sz w:val="14"/>
              </w:rPr>
              <w:t>Diseño del flujo de datos de tiburones e istiofóridos</w:t>
            </w:r>
          </w:p>
        </w:tc>
        <w:tc>
          <w:tcPr>
            <w:tcW w:w="969" w:type="dxa"/>
            <w:noWrap/>
            <w:hideMark/>
          </w:tcPr>
          <w:p w14:paraId="06AF4D1D"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Prueba</w:t>
            </w:r>
          </w:p>
        </w:tc>
      </w:tr>
      <w:tr w:rsidR="000F2ED2" w:rsidRPr="00CA6CBB" w14:paraId="10CBEA6F" w14:textId="77777777" w:rsidTr="00814F99">
        <w:trPr>
          <w:trHeight w:val="227"/>
        </w:trPr>
        <w:tc>
          <w:tcPr>
            <w:tcW w:w="0" w:type="auto"/>
            <w:hideMark/>
          </w:tcPr>
          <w:p w14:paraId="142770EC"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01/06/2026</w:t>
            </w:r>
          </w:p>
        </w:tc>
        <w:tc>
          <w:tcPr>
            <w:tcW w:w="0" w:type="auto"/>
            <w:hideMark/>
          </w:tcPr>
          <w:p w14:paraId="4823D631"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T1NC/COCT</w:t>
            </w:r>
          </w:p>
        </w:tc>
        <w:tc>
          <w:tcPr>
            <w:tcW w:w="5288" w:type="dxa"/>
            <w:hideMark/>
          </w:tcPr>
          <w:p w14:paraId="21DCE214"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Theme="majorHAnsi" w:eastAsia="Times New Roman" w:hAnsiTheme="majorHAnsi" w:cstheme="majorHAnsi"/>
                <w:color w:val="auto"/>
                <w:sz w:val="14"/>
                <w:szCs w:val="14"/>
              </w:rPr>
            </w:pPr>
            <w:r w:rsidRPr="00CA6CBB">
              <w:rPr>
                <w:rFonts w:asciiTheme="majorHAnsi" w:hAnsiTheme="majorHAnsi"/>
                <w:color w:val="auto"/>
                <w:sz w:val="14"/>
              </w:rPr>
              <w:t>Servicios web de adquisición de datos de T1NC completados</w:t>
            </w:r>
          </w:p>
        </w:tc>
        <w:tc>
          <w:tcPr>
            <w:tcW w:w="969" w:type="dxa"/>
            <w:noWrap/>
            <w:hideMark/>
          </w:tcPr>
          <w:p w14:paraId="31D9EFA9"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Prueba</w:t>
            </w:r>
          </w:p>
        </w:tc>
      </w:tr>
      <w:tr w:rsidR="000F2ED2" w:rsidRPr="00CA6CBB" w14:paraId="2F7B028F" w14:textId="77777777" w:rsidTr="00814F99">
        <w:trPr>
          <w:trHeight w:val="227"/>
        </w:trPr>
        <w:tc>
          <w:tcPr>
            <w:tcW w:w="0" w:type="auto"/>
            <w:hideMark/>
          </w:tcPr>
          <w:p w14:paraId="79ED5519"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01/06/2026</w:t>
            </w:r>
          </w:p>
        </w:tc>
        <w:tc>
          <w:tcPr>
            <w:tcW w:w="0" w:type="auto"/>
            <w:hideMark/>
          </w:tcPr>
          <w:p w14:paraId="20E6A9CD"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T1NC/COCT</w:t>
            </w:r>
          </w:p>
        </w:tc>
        <w:tc>
          <w:tcPr>
            <w:tcW w:w="5288" w:type="dxa"/>
            <w:hideMark/>
          </w:tcPr>
          <w:p w14:paraId="4C0CF1EB"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Theme="majorHAnsi" w:eastAsia="Times New Roman" w:hAnsiTheme="majorHAnsi" w:cstheme="majorHAnsi"/>
                <w:color w:val="auto"/>
                <w:sz w:val="14"/>
                <w:szCs w:val="14"/>
              </w:rPr>
            </w:pPr>
            <w:r w:rsidRPr="00CA6CBB">
              <w:rPr>
                <w:rFonts w:asciiTheme="majorHAnsi" w:hAnsiTheme="majorHAnsi"/>
                <w:color w:val="auto"/>
                <w:sz w:val="14"/>
              </w:rPr>
              <w:t>Paneles de control de T1NC diseñados</w:t>
            </w:r>
          </w:p>
        </w:tc>
        <w:tc>
          <w:tcPr>
            <w:tcW w:w="969" w:type="dxa"/>
            <w:noWrap/>
            <w:hideMark/>
          </w:tcPr>
          <w:p w14:paraId="27A9930C"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Prueba</w:t>
            </w:r>
          </w:p>
        </w:tc>
      </w:tr>
      <w:tr w:rsidR="000F2ED2" w:rsidRPr="00CA6CBB" w14:paraId="72E98481" w14:textId="77777777" w:rsidTr="00814F99">
        <w:trPr>
          <w:trHeight w:val="227"/>
        </w:trPr>
        <w:tc>
          <w:tcPr>
            <w:tcW w:w="0" w:type="auto"/>
            <w:hideMark/>
          </w:tcPr>
          <w:p w14:paraId="1D1E0191"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01/08/2026</w:t>
            </w:r>
          </w:p>
        </w:tc>
        <w:tc>
          <w:tcPr>
            <w:tcW w:w="0" w:type="auto"/>
            <w:hideMark/>
          </w:tcPr>
          <w:p w14:paraId="232ED472"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Gestor de puertos</w:t>
            </w:r>
          </w:p>
        </w:tc>
        <w:tc>
          <w:tcPr>
            <w:tcW w:w="5288" w:type="dxa"/>
            <w:hideMark/>
          </w:tcPr>
          <w:p w14:paraId="5698D8CD"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Theme="majorHAnsi" w:eastAsia="Times New Roman" w:hAnsiTheme="majorHAnsi" w:cstheme="majorHAnsi"/>
                <w:color w:val="auto"/>
                <w:sz w:val="14"/>
                <w:szCs w:val="14"/>
              </w:rPr>
            </w:pPr>
            <w:r w:rsidRPr="00CA6CBB">
              <w:rPr>
                <w:rFonts w:asciiTheme="majorHAnsi" w:hAnsiTheme="majorHAnsi"/>
                <w:color w:val="auto"/>
                <w:sz w:val="14"/>
              </w:rPr>
              <w:t>Gestor de puertos puesto en producción</w:t>
            </w:r>
          </w:p>
        </w:tc>
        <w:tc>
          <w:tcPr>
            <w:tcW w:w="969" w:type="dxa"/>
            <w:noWrap/>
            <w:hideMark/>
          </w:tcPr>
          <w:p w14:paraId="40C223F0"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Producción</w:t>
            </w:r>
          </w:p>
        </w:tc>
      </w:tr>
      <w:tr w:rsidR="000F2ED2" w:rsidRPr="00CA6CBB" w14:paraId="33BC0F16" w14:textId="77777777" w:rsidTr="00814F99">
        <w:trPr>
          <w:trHeight w:val="227"/>
        </w:trPr>
        <w:tc>
          <w:tcPr>
            <w:tcW w:w="0" w:type="auto"/>
            <w:hideMark/>
          </w:tcPr>
          <w:p w14:paraId="038D2C4C"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01/09/2026</w:t>
            </w:r>
          </w:p>
        </w:tc>
        <w:tc>
          <w:tcPr>
            <w:tcW w:w="0" w:type="auto"/>
            <w:hideMark/>
          </w:tcPr>
          <w:p w14:paraId="59E91495"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T1NC/COCT</w:t>
            </w:r>
          </w:p>
        </w:tc>
        <w:tc>
          <w:tcPr>
            <w:tcW w:w="5288" w:type="dxa"/>
            <w:hideMark/>
          </w:tcPr>
          <w:p w14:paraId="5DC78213"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Theme="majorHAnsi" w:eastAsia="Times New Roman" w:hAnsiTheme="majorHAnsi" w:cstheme="majorHAnsi"/>
                <w:color w:val="auto"/>
                <w:sz w:val="14"/>
                <w:szCs w:val="14"/>
              </w:rPr>
            </w:pPr>
            <w:r w:rsidRPr="00CA6CBB">
              <w:rPr>
                <w:rFonts w:asciiTheme="majorHAnsi" w:hAnsiTheme="majorHAnsi"/>
                <w:color w:val="auto"/>
                <w:sz w:val="14"/>
              </w:rPr>
              <w:t>Servicios web de adquisición de datos de COCT completados</w:t>
            </w:r>
          </w:p>
        </w:tc>
        <w:tc>
          <w:tcPr>
            <w:tcW w:w="969" w:type="dxa"/>
            <w:noWrap/>
            <w:hideMark/>
          </w:tcPr>
          <w:p w14:paraId="49D60CF6"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Prueba</w:t>
            </w:r>
          </w:p>
        </w:tc>
      </w:tr>
      <w:tr w:rsidR="000F2ED2" w:rsidRPr="00CA6CBB" w14:paraId="55A52916" w14:textId="77777777" w:rsidTr="00814F99">
        <w:trPr>
          <w:trHeight w:val="227"/>
        </w:trPr>
        <w:tc>
          <w:tcPr>
            <w:tcW w:w="0" w:type="auto"/>
            <w:hideMark/>
          </w:tcPr>
          <w:p w14:paraId="509B910A"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01/09/2026</w:t>
            </w:r>
          </w:p>
        </w:tc>
        <w:tc>
          <w:tcPr>
            <w:tcW w:w="0" w:type="auto"/>
            <w:hideMark/>
          </w:tcPr>
          <w:p w14:paraId="7B18027F"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T1NC/COCT</w:t>
            </w:r>
          </w:p>
        </w:tc>
        <w:tc>
          <w:tcPr>
            <w:tcW w:w="5288" w:type="dxa"/>
            <w:hideMark/>
          </w:tcPr>
          <w:p w14:paraId="6324C87B"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Theme="majorHAnsi" w:eastAsia="Times New Roman" w:hAnsiTheme="majorHAnsi" w:cstheme="majorHAnsi"/>
                <w:color w:val="auto"/>
                <w:sz w:val="14"/>
                <w:szCs w:val="14"/>
                <w:lang w:val="pt-PT"/>
              </w:rPr>
            </w:pPr>
            <w:r w:rsidRPr="00CA6CBB">
              <w:rPr>
                <w:rFonts w:asciiTheme="majorHAnsi" w:hAnsiTheme="majorHAnsi"/>
                <w:color w:val="auto"/>
                <w:sz w:val="14"/>
                <w:lang w:val="pt-PT"/>
              </w:rPr>
              <w:t>Paneles de control de COCT completados</w:t>
            </w:r>
          </w:p>
        </w:tc>
        <w:tc>
          <w:tcPr>
            <w:tcW w:w="969" w:type="dxa"/>
            <w:noWrap/>
            <w:hideMark/>
          </w:tcPr>
          <w:p w14:paraId="152C0AC0"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Prueba</w:t>
            </w:r>
          </w:p>
        </w:tc>
      </w:tr>
      <w:tr w:rsidR="000F2ED2" w:rsidRPr="00CA6CBB" w14:paraId="74871B63" w14:textId="77777777" w:rsidTr="00814F99">
        <w:trPr>
          <w:trHeight w:val="227"/>
        </w:trPr>
        <w:tc>
          <w:tcPr>
            <w:tcW w:w="0" w:type="auto"/>
            <w:hideMark/>
          </w:tcPr>
          <w:p w14:paraId="3C2619D1"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01/09/2026</w:t>
            </w:r>
          </w:p>
        </w:tc>
        <w:tc>
          <w:tcPr>
            <w:tcW w:w="0" w:type="auto"/>
            <w:hideMark/>
          </w:tcPr>
          <w:p w14:paraId="1CB94530"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Hojas de comprobación de tiburones e istiofóridos</w:t>
            </w:r>
          </w:p>
        </w:tc>
        <w:tc>
          <w:tcPr>
            <w:tcW w:w="5288" w:type="dxa"/>
            <w:hideMark/>
          </w:tcPr>
          <w:p w14:paraId="0AA00940"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Theme="majorHAnsi" w:eastAsia="Times New Roman" w:hAnsiTheme="majorHAnsi" w:cstheme="majorHAnsi"/>
                <w:color w:val="auto"/>
                <w:sz w:val="14"/>
                <w:szCs w:val="14"/>
              </w:rPr>
            </w:pPr>
            <w:r w:rsidRPr="00CA6CBB">
              <w:rPr>
                <w:rFonts w:asciiTheme="majorHAnsi" w:hAnsiTheme="majorHAnsi"/>
                <w:color w:val="auto"/>
                <w:sz w:val="14"/>
              </w:rPr>
              <w:t>Desarrollo de tiburones e istiofóridos completado</w:t>
            </w:r>
          </w:p>
        </w:tc>
        <w:tc>
          <w:tcPr>
            <w:tcW w:w="969" w:type="dxa"/>
            <w:noWrap/>
            <w:hideMark/>
          </w:tcPr>
          <w:p w14:paraId="388F8250"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Prueba</w:t>
            </w:r>
          </w:p>
        </w:tc>
      </w:tr>
      <w:tr w:rsidR="000F2ED2" w:rsidRPr="00CA6CBB" w14:paraId="1FA0BFEE" w14:textId="77777777" w:rsidTr="00814F99">
        <w:trPr>
          <w:trHeight w:val="227"/>
        </w:trPr>
        <w:tc>
          <w:tcPr>
            <w:tcW w:w="0" w:type="auto"/>
            <w:hideMark/>
          </w:tcPr>
          <w:p w14:paraId="7E32AD7B"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01/09/2026</w:t>
            </w:r>
          </w:p>
        </w:tc>
        <w:tc>
          <w:tcPr>
            <w:tcW w:w="0" w:type="auto"/>
            <w:hideMark/>
          </w:tcPr>
          <w:p w14:paraId="79364616"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FLUX</w:t>
            </w:r>
          </w:p>
        </w:tc>
        <w:tc>
          <w:tcPr>
            <w:tcW w:w="5288" w:type="dxa"/>
            <w:hideMark/>
          </w:tcPr>
          <w:p w14:paraId="322BA451"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Theme="majorHAnsi" w:eastAsia="Times New Roman" w:hAnsiTheme="majorHAnsi" w:cstheme="majorHAnsi"/>
                <w:color w:val="auto"/>
                <w:sz w:val="14"/>
                <w:szCs w:val="14"/>
              </w:rPr>
            </w:pPr>
            <w:r w:rsidRPr="00CA6CBB">
              <w:rPr>
                <w:rFonts w:asciiTheme="majorHAnsi" w:hAnsiTheme="majorHAnsi"/>
                <w:color w:val="auto"/>
                <w:sz w:val="14"/>
              </w:rPr>
              <w:t>Evaluación de las pruebas intensivas del módulo FLUX (características de buques y FLAP)</w:t>
            </w:r>
          </w:p>
        </w:tc>
        <w:tc>
          <w:tcPr>
            <w:tcW w:w="969" w:type="dxa"/>
            <w:noWrap/>
            <w:hideMark/>
          </w:tcPr>
          <w:p w14:paraId="4F4B87AC"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Prueba</w:t>
            </w:r>
          </w:p>
        </w:tc>
      </w:tr>
      <w:tr w:rsidR="000F2ED2" w:rsidRPr="00CA6CBB" w14:paraId="6E2F641D" w14:textId="77777777" w:rsidTr="00814F99">
        <w:trPr>
          <w:trHeight w:val="227"/>
        </w:trPr>
        <w:tc>
          <w:tcPr>
            <w:tcW w:w="0" w:type="auto"/>
            <w:hideMark/>
          </w:tcPr>
          <w:p w14:paraId="74EFDD42"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15/10/2026</w:t>
            </w:r>
          </w:p>
        </w:tc>
        <w:tc>
          <w:tcPr>
            <w:tcW w:w="0" w:type="auto"/>
            <w:hideMark/>
          </w:tcPr>
          <w:p w14:paraId="310817FA"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T2CE</w:t>
            </w:r>
          </w:p>
        </w:tc>
        <w:tc>
          <w:tcPr>
            <w:tcW w:w="5288" w:type="dxa"/>
            <w:hideMark/>
          </w:tcPr>
          <w:p w14:paraId="1E8C93FC"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Theme="majorHAnsi" w:eastAsia="Times New Roman" w:hAnsiTheme="majorHAnsi" w:cstheme="majorHAnsi"/>
                <w:color w:val="auto"/>
                <w:sz w:val="14"/>
                <w:szCs w:val="14"/>
              </w:rPr>
            </w:pPr>
            <w:r w:rsidRPr="00CA6CBB">
              <w:rPr>
                <w:rFonts w:asciiTheme="majorHAnsi" w:hAnsiTheme="majorHAnsi"/>
                <w:color w:val="auto"/>
                <w:sz w:val="14"/>
              </w:rPr>
              <w:t>Rediseño de la base de datos de T2CE completado</w:t>
            </w:r>
          </w:p>
        </w:tc>
        <w:tc>
          <w:tcPr>
            <w:tcW w:w="969" w:type="dxa"/>
            <w:noWrap/>
            <w:hideMark/>
          </w:tcPr>
          <w:p w14:paraId="1215ECF0"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Prueba</w:t>
            </w:r>
          </w:p>
        </w:tc>
      </w:tr>
      <w:tr w:rsidR="000F2ED2" w:rsidRPr="00CA6CBB" w14:paraId="0299F593" w14:textId="77777777" w:rsidTr="00814F99">
        <w:trPr>
          <w:trHeight w:val="227"/>
        </w:trPr>
        <w:tc>
          <w:tcPr>
            <w:tcW w:w="0" w:type="auto"/>
            <w:hideMark/>
          </w:tcPr>
          <w:p w14:paraId="2B209DD4"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01/11/2026</w:t>
            </w:r>
          </w:p>
        </w:tc>
        <w:tc>
          <w:tcPr>
            <w:tcW w:w="0" w:type="auto"/>
            <w:hideMark/>
          </w:tcPr>
          <w:p w14:paraId="1D539A12"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Gestor de puertos</w:t>
            </w:r>
          </w:p>
        </w:tc>
        <w:tc>
          <w:tcPr>
            <w:tcW w:w="5288" w:type="dxa"/>
            <w:hideMark/>
          </w:tcPr>
          <w:p w14:paraId="2B4A6607"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Theme="majorHAnsi" w:eastAsia="Times New Roman" w:hAnsiTheme="majorHAnsi" w:cstheme="majorHAnsi"/>
                <w:color w:val="auto"/>
                <w:sz w:val="14"/>
                <w:szCs w:val="14"/>
              </w:rPr>
            </w:pPr>
            <w:r w:rsidRPr="00CA6CBB">
              <w:rPr>
                <w:rFonts w:asciiTheme="majorHAnsi" w:hAnsiTheme="majorHAnsi"/>
                <w:color w:val="auto"/>
                <w:sz w:val="14"/>
              </w:rPr>
              <w:t>Gestor de puertos como único canal para enviar la información de autorización de puerto</w:t>
            </w:r>
          </w:p>
        </w:tc>
        <w:tc>
          <w:tcPr>
            <w:tcW w:w="969" w:type="dxa"/>
            <w:noWrap/>
            <w:hideMark/>
          </w:tcPr>
          <w:p w14:paraId="6038EAF0"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Producción</w:t>
            </w:r>
          </w:p>
        </w:tc>
      </w:tr>
      <w:tr w:rsidR="000F2ED2" w:rsidRPr="00CA6CBB" w14:paraId="1116EECB" w14:textId="77777777" w:rsidTr="00814F99">
        <w:trPr>
          <w:trHeight w:val="227"/>
        </w:trPr>
        <w:tc>
          <w:tcPr>
            <w:tcW w:w="0" w:type="auto"/>
            <w:hideMark/>
          </w:tcPr>
          <w:p w14:paraId="676EA998"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01/11/2026</w:t>
            </w:r>
          </w:p>
        </w:tc>
        <w:tc>
          <w:tcPr>
            <w:tcW w:w="0" w:type="auto"/>
            <w:hideMark/>
          </w:tcPr>
          <w:p w14:paraId="1B6D17F8"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T1NC/COCT</w:t>
            </w:r>
          </w:p>
        </w:tc>
        <w:tc>
          <w:tcPr>
            <w:tcW w:w="5288" w:type="dxa"/>
            <w:hideMark/>
          </w:tcPr>
          <w:p w14:paraId="433D5737"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Theme="majorHAnsi" w:eastAsia="Times New Roman" w:hAnsiTheme="majorHAnsi" w:cstheme="majorHAnsi"/>
                <w:color w:val="auto"/>
                <w:sz w:val="14"/>
                <w:szCs w:val="14"/>
              </w:rPr>
            </w:pPr>
            <w:r w:rsidRPr="00CA6CBB">
              <w:rPr>
                <w:rFonts w:asciiTheme="majorHAnsi" w:hAnsiTheme="majorHAnsi"/>
                <w:color w:val="auto"/>
                <w:sz w:val="14"/>
              </w:rPr>
              <w:t>Pruebas de integración de T1NC/COCT completadas</w:t>
            </w:r>
          </w:p>
        </w:tc>
        <w:tc>
          <w:tcPr>
            <w:tcW w:w="969" w:type="dxa"/>
            <w:noWrap/>
            <w:hideMark/>
          </w:tcPr>
          <w:p w14:paraId="2347B5D2"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Prueba</w:t>
            </w:r>
          </w:p>
        </w:tc>
      </w:tr>
      <w:tr w:rsidR="000F2ED2" w:rsidRPr="00CA6CBB" w14:paraId="597624EE" w14:textId="77777777" w:rsidTr="00814F99">
        <w:trPr>
          <w:trHeight w:val="227"/>
        </w:trPr>
        <w:tc>
          <w:tcPr>
            <w:tcW w:w="0" w:type="auto"/>
            <w:hideMark/>
          </w:tcPr>
          <w:p w14:paraId="37D38962"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01/11/2026</w:t>
            </w:r>
          </w:p>
        </w:tc>
        <w:tc>
          <w:tcPr>
            <w:tcW w:w="0" w:type="auto"/>
            <w:hideMark/>
          </w:tcPr>
          <w:p w14:paraId="494A51D0"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Hojas de comprobación de tiburones/istiofóridos</w:t>
            </w:r>
          </w:p>
        </w:tc>
        <w:tc>
          <w:tcPr>
            <w:tcW w:w="5288" w:type="dxa"/>
            <w:hideMark/>
          </w:tcPr>
          <w:p w14:paraId="433170E7"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Theme="majorHAnsi" w:eastAsia="Times New Roman" w:hAnsiTheme="majorHAnsi" w:cstheme="majorHAnsi"/>
                <w:color w:val="auto"/>
                <w:sz w:val="14"/>
                <w:szCs w:val="14"/>
              </w:rPr>
            </w:pPr>
            <w:r w:rsidRPr="00CA6CBB">
              <w:rPr>
                <w:rFonts w:asciiTheme="majorHAnsi" w:hAnsiTheme="majorHAnsi"/>
                <w:color w:val="auto"/>
                <w:sz w:val="14"/>
              </w:rPr>
              <w:t>Pruebas de integración de tiburones e istiofóridos completadas</w:t>
            </w:r>
          </w:p>
        </w:tc>
        <w:tc>
          <w:tcPr>
            <w:tcW w:w="969" w:type="dxa"/>
            <w:noWrap/>
            <w:hideMark/>
          </w:tcPr>
          <w:p w14:paraId="5AC52DAD"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Prueba</w:t>
            </w:r>
          </w:p>
        </w:tc>
      </w:tr>
      <w:tr w:rsidR="000F2ED2" w:rsidRPr="00CA6CBB" w14:paraId="7492D664" w14:textId="77777777" w:rsidTr="00814F99">
        <w:trPr>
          <w:trHeight w:val="227"/>
        </w:trPr>
        <w:tc>
          <w:tcPr>
            <w:tcW w:w="0" w:type="auto"/>
            <w:hideMark/>
          </w:tcPr>
          <w:p w14:paraId="2473AB8F"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01/11/2026</w:t>
            </w:r>
          </w:p>
        </w:tc>
        <w:tc>
          <w:tcPr>
            <w:tcW w:w="0" w:type="auto"/>
            <w:hideMark/>
          </w:tcPr>
          <w:p w14:paraId="04895269"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FLUX</w:t>
            </w:r>
          </w:p>
        </w:tc>
        <w:tc>
          <w:tcPr>
            <w:tcW w:w="5288" w:type="dxa"/>
            <w:hideMark/>
          </w:tcPr>
          <w:p w14:paraId="232B483C"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Theme="majorHAnsi" w:eastAsia="Times New Roman" w:hAnsiTheme="majorHAnsi" w:cstheme="majorHAnsi"/>
                <w:color w:val="auto"/>
                <w:sz w:val="14"/>
                <w:szCs w:val="14"/>
              </w:rPr>
            </w:pPr>
            <w:r w:rsidRPr="00CA6CBB">
              <w:rPr>
                <w:rFonts w:asciiTheme="majorHAnsi" w:hAnsiTheme="majorHAnsi"/>
                <w:color w:val="auto"/>
                <w:sz w:val="14"/>
              </w:rPr>
              <w:t>Módulo FLUX puesto en producción</w:t>
            </w:r>
          </w:p>
        </w:tc>
        <w:tc>
          <w:tcPr>
            <w:tcW w:w="969" w:type="dxa"/>
            <w:noWrap/>
            <w:hideMark/>
          </w:tcPr>
          <w:p w14:paraId="4E7EE137"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Producción</w:t>
            </w:r>
          </w:p>
        </w:tc>
      </w:tr>
      <w:tr w:rsidR="000F2ED2" w:rsidRPr="00CA6CBB" w14:paraId="0A0100A9" w14:textId="77777777" w:rsidTr="00814F99">
        <w:trPr>
          <w:trHeight w:val="227"/>
        </w:trPr>
        <w:tc>
          <w:tcPr>
            <w:tcW w:w="0" w:type="auto"/>
            <w:hideMark/>
          </w:tcPr>
          <w:p w14:paraId="4037AB3F"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31/12/2026</w:t>
            </w:r>
          </w:p>
        </w:tc>
        <w:tc>
          <w:tcPr>
            <w:tcW w:w="0" w:type="auto"/>
            <w:hideMark/>
          </w:tcPr>
          <w:p w14:paraId="32B15F89"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T2CE</w:t>
            </w:r>
          </w:p>
        </w:tc>
        <w:tc>
          <w:tcPr>
            <w:tcW w:w="5288" w:type="dxa"/>
            <w:hideMark/>
          </w:tcPr>
          <w:p w14:paraId="59AAE7D4"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Theme="majorHAnsi" w:eastAsia="Times New Roman" w:hAnsiTheme="majorHAnsi" w:cstheme="majorHAnsi"/>
                <w:color w:val="auto"/>
                <w:sz w:val="14"/>
                <w:szCs w:val="14"/>
              </w:rPr>
            </w:pPr>
            <w:r w:rsidRPr="00CA6CBB">
              <w:rPr>
                <w:rFonts w:asciiTheme="majorHAnsi" w:hAnsiTheme="majorHAnsi"/>
                <w:color w:val="auto"/>
                <w:sz w:val="14"/>
              </w:rPr>
              <w:t>Diseño del flujo de datos de T2CE completado</w:t>
            </w:r>
          </w:p>
        </w:tc>
        <w:tc>
          <w:tcPr>
            <w:tcW w:w="969" w:type="dxa"/>
            <w:noWrap/>
            <w:hideMark/>
          </w:tcPr>
          <w:p w14:paraId="0C8CA0C9"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Prueba</w:t>
            </w:r>
          </w:p>
        </w:tc>
      </w:tr>
      <w:tr w:rsidR="000F2ED2" w:rsidRPr="00CA6CBB" w14:paraId="57231DE5" w14:textId="77777777" w:rsidTr="00814F99">
        <w:trPr>
          <w:trHeight w:val="227"/>
        </w:trPr>
        <w:tc>
          <w:tcPr>
            <w:tcW w:w="0" w:type="auto"/>
            <w:hideMark/>
          </w:tcPr>
          <w:p w14:paraId="63830B5D"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15/02/2027</w:t>
            </w:r>
          </w:p>
        </w:tc>
        <w:tc>
          <w:tcPr>
            <w:tcW w:w="0" w:type="auto"/>
            <w:hideMark/>
          </w:tcPr>
          <w:p w14:paraId="3557E2ED"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T1NC/COCT</w:t>
            </w:r>
          </w:p>
        </w:tc>
        <w:tc>
          <w:tcPr>
            <w:tcW w:w="5288" w:type="dxa"/>
            <w:hideMark/>
          </w:tcPr>
          <w:p w14:paraId="07A96668"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Theme="majorHAnsi" w:eastAsia="Times New Roman" w:hAnsiTheme="majorHAnsi" w:cstheme="majorHAnsi"/>
                <w:color w:val="auto"/>
                <w:sz w:val="14"/>
                <w:szCs w:val="14"/>
              </w:rPr>
            </w:pPr>
            <w:r w:rsidRPr="00CA6CBB">
              <w:rPr>
                <w:rFonts w:asciiTheme="majorHAnsi" w:hAnsiTheme="majorHAnsi"/>
                <w:color w:val="auto"/>
                <w:sz w:val="14"/>
              </w:rPr>
              <w:t>Inicio de la fase de pruebas de T1NC/COCT</w:t>
            </w:r>
          </w:p>
        </w:tc>
        <w:tc>
          <w:tcPr>
            <w:tcW w:w="969" w:type="dxa"/>
            <w:noWrap/>
            <w:hideMark/>
          </w:tcPr>
          <w:p w14:paraId="08CA6220"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Prueba</w:t>
            </w:r>
          </w:p>
        </w:tc>
      </w:tr>
      <w:tr w:rsidR="000F2ED2" w:rsidRPr="00CA6CBB" w14:paraId="00CF4DDA" w14:textId="77777777" w:rsidTr="00814F99">
        <w:trPr>
          <w:trHeight w:val="227"/>
        </w:trPr>
        <w:tc>
          <w:tcPr>
            <w:tcW w:w="0" w:type="auto"/>
            <w:hideMark/>
          </w:tcPr>
          <w:p w14:paraId="793EC3D6"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15/02/2027</w:t>
            </w:r>
          </w:p>
        </w:tc>
        <w:tc>
          <w:tcPr>
            <w:tcW w:w="0" w:type="auto"/>
            <w:hideMark/>
          </w:tcPr>
          <w:p w14:paraId="77EBED4A"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Hojas de comprobación de tiburones e istiofóridos</w:t>
            </w:r>
          </w:p>
        </w:tc>
        <w:tc>
          <w:tcPr>
            <w:tcW w:w="5288" w:type="dxa"/>
            <w:hideMark/>
          </w:tcPr>
          <w:p w14:paraId="30FB1629"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Theme="majorHAnsi" w:eastAsia="Times New Roman" w:hAnsiTheme="majorHAnsi" w:cstheme="majorHAnsi"/>
                <w:color w:val="auto"/>
                <w:sz w:val="14"/>
                <w:szCs w:val="14"/>
              </w:rPr>
            </w:pPr>
            <w:r w:rsidRPr="00CA6CBB">
              <w:rPr>
                <w:rFonts w:asciiTheme="majorHAnsi" w:hAnsiTheme="majorHAnsi"/>
                <w:color w:val="auto"/>
                <w:sz w:val="14"/>
              </w:rPr>
              <w:t>Inicio de la fase de pruebas de las hojas de comprobación de tiburones e istiofóridos</w:t>
            </w:r>
          </w:p>
        </w:tc>
        <w:tc>
          <w:tcPr>
            <w:tcW w:w="969" w:type="dxa"/>
            <w:noWrap/>
            <w:hideMark/>
          </w:tcPr>
          <w:p w14:paraId="2B8DFA7D"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Prueba</w:t>
            </w:r>
          </w:p>
        </w:tc>
      </w:tr>
      <w:tr w:rsidR="000F2ED2" w:rsidRPr="00CA6CBB" w14:paraId="1A80E020" w14:textId="77777777" w:rsidTr="00814F99">
        <w:trPr>
          <w:trHeight w:val="227"/>
        </w:trPr>
        <w:tc>
          <w:tcPr>
            <w:tcW w:w="0" w:type="auto"/>
            <w:hideMark/>
          </w:tcPr>
          <w:p w14:paraId="2BEA5FC4"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01/05/2027</w:t>
            </w:r>
          </w:p>
        </w:tc>
        <w:tc>
          <w:tcPr>
            <w:tcW w:w="0" w:type="auto"/>
            <w:hideMark/>
          </w:tcPr>
          <w:p w14:paraId="5968A530"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T1NC/COCT</w:t>
            </w:r>
          </w:p>
        </w:tc>
        <w:tc>
          <w:tcPr>
            <w:tcW w:w="5288" w:type="dxa"/>
            <w:hideMark/>
          </w:tcPr>
          <w:p w14:paraId="1E96169E"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Theme="majorHAnsi" w:eastAsia="Times New Roman" w:hAnsiTheme="majorHAnsi" w:cstheme="majorHAnsi"/>
                <w:color w:val="auto"/>
                <w:sz w:val="14"/>
                <w:szCs w:val="14"/>
              </w:rPr>
            </w:pPr>
            <w:r w:rsidRPr="00CA6CBB">
              <w:rPr>
                <w:rFonts w:asciiTheme="majorHAnsi" w:hAnsiTheme="majorHAnsi"/>
                <w:color w:val="auto"/>
                <w:sz w:val="14"/>
              </w:rPr>
              <w:t>T1NC/COCT puesto en producción</w:t>
            </w:r>
          </w:p>
        </w:tc>
        <w:tc>
          <w:tcPr>
            <w:tcW w:w="969" w:type="dxa"/>
            <w:noWrap/>
            <w:hideMark/>
          </w:tcPr>
          <w:p w14:paraId="7EEE640A"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Producción</w:t>
            </w:r>
          </w:p>
        </w:tc>
      </w:tr>
      <w:tr w:rsidR="000F2ED2" w:rsidRPr="00CA6CBB" w14:paraId="3BC8EE26" w14:textId="77777777" w:rsidTr="00814F99">
        <w:trPr>
          <w:trHeight w:val="227"/>
        </w:trPr>
        <w:tc>
          <w:tcPr>
            <w:tcW w:w="0" w:type="auto"/>
            <w:hideMark/>
          </w:tcPr>
          <w:p w14:paraId="5D22F547"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01/07/2027</w:t>
            </w:r>
          </w:p>
        </w:tc>
        <w:tc>
          <w:tcPr>
            <w:tcW w:w="0" w:type="auto"/>
            <w:hideMark/>
          </w:tcPr>
          <w:p w14:paraId="212893D7"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Hojas de comprobación de tiburones e istiofóridos</w:t>
            </w:r>
          </w:p>
        </w:tc>
        <w:tc>
          <w:tcPr>
            <w:tcW w:w="5288" w:type="dxa"/>
            <w:hideMark/>
          </w:tcPr>
          <w:p w14:paraId="2CBC59ED"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Theme="majorHAnsi" w:eastAsia="Times New Roman" w:hAnsiTheme="majorHAnsi" w:cstheme="majorHAnsi"/>
                <w:color w:val="auto"/>
                <w:sz w:val="14"/>
                <w:szCs w:val="14"/>
              </w:rPr>
            </w:pPr>
            <w:r w:rsidRPr="00CA6CBB">
              <w:rPr>
                <w:rFonts w:asciiTheme="majorHAnsi" w:hAnsiTheme="majorHAnsi"/>
                <w:color w:val="auto"/>
                <w:sz w:val="14"/>
              </w:rPr>
              <w:t>Hojas de comprobación de tiburones e istiofóridos puestas en producción</w:t>
            </w:r>
          </w:p>
        </w:tc>
        <w:tc>
          <w:tcPr>
            <w:tcW w:w="969" w:type="dxa"/>
            <w:noWrap/>
            <w:hideMark/>
          </w:tcPr>
          <w:p w14:paraId="50D2A320"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Producción</w:t>
            </w:r>
          </w:p>
        </w:tc>
      </w:tr>
      <w:tr w:rsidR="000F2ED2" w:rsidRPr="00CA6CBB" w14:paraId="065F2119" w14:textId="77777777" w:rsidTr="00814F99">
        <w:trPr>
          <w:trHeight w:val="227"/>
        </w:trPr>
        <w:tc>
          <w:tcPr>
            <w:tcW w:w="0" w:type="auto"/>
            <w:hideMark/>
          </w:tcPr>
          <w:p w14:paraId="2664F462"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XX/05/2026</w:t>
            </w:r>
          </w:p>
        </w:tc>
        <w:tc>
          <w:tcPr>
            <w:tcW w:w="0" w:type="auto"/>
            <w:hideMark/>
          </w:tcPr>
          <w:p w14:paraId="0A001F82"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Gestor de puertos</w:t>
            </w:r>
          </w:p>
        </w:tc>
        <w:tc>
          <w:tcPr>
            <w:tcW w:w="5288" w:type="dxa"/>
            <w:hideMark/>
          </w:tcPr>
          <w:p w14:paraId="41C571C7"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Theme="majorHAnsi" w:eastAsia="Times New Roman" w:hAnsiTheme="majorHAnsi" w:cstheme="majorHAnsi"/>
                <w:color w:val="auto"/>
                <w:sz w:val="14"/>
                <w:szCs w:val="14"/>
              </w:rPr>
            </w:pPr>
            <w:r w:rsidRPr="00CA6CBB">
              <w:rPr>
                <w:rFonts w:asciiTheme="majorHAnsi" w:hAnsiTheme="majorHAnsi"/>
                <w:color w:val="auto"/>
                <w:sz w:val="14"/>
              </w:rPr>
              <w:t>Sesión de formación/taller del Gestor de puertos (primera sesión)</w:t>
            </w:r>
          </w:p>
        </w:tc>
        <w:tc>
          <w:tcPr>
            <w:tcW w:w="969" w:type="dxa"/>
            <w:noWrap/>
            <w:hideMark/>
          </w:tcPr>
          <w:p w14:paraId="4EAAB7EF"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rPr>
            </w:pPr>
            <w:r w:rsidRPr="00CA6CBB">
              <w:rPr>
                <w:rFonts w:asciiTheme="majorHAnsi" w:hAnsiTheme="majorHAnsi"/>
                <w:color w:val="auto"/>
                <w:sz w:val="14"/>
              </w:rPr>
              <w:t>Prueba</w:t>
            </w:r>
          </w:p>
        </w:tc>
      </w:tr>
    </w:tbl>
    <w:p w14:paraId="0A856452" w14:textId="77777777" w:rsidR="000F2ED2" w:rsidRPr="00CA6CBB" w:rsidRDefault="000F2ED2" w:rsidP="000F2ED2"/>
    <w:p w14:paraId="3A666605" w14:textId="1A665401" w:rsidR="000F2ED2" w:rsidRPr="00CA6CBB" w:rsidRDefault="000F2ED2" w:rsidP="00BA272D">
      <w:pPr>
        <w:spacing w:line="240" w:lineRule="exact"/>
      </w:pPr>
      <w:r w:rsidRPr="00CA6CBB">
        <w:t xml:space="preserve">Junto con la hoja de ruta, la Secretaría también ha presentado un diagrama preliminar de la hoja de ruta para 2026 utilizando el software de gestión de </w:t>
      </w:r>
      <w:r w:rsidR="00BA272D" w:rsidRPr="00CA6CBB">
        <w:t>proyectos</w:t>
      </w:r>
      <w:r w:rsidRPr="00CA6CBB">
        <w:t xml:space="preserve"> Jira. </w:t>
      </w:r>
    </w:p>
    <w:p w14:paraId="0564AB8E" w14:textId="77777777" w:rsidR="000F2ED2" w:rsidRPr="00CA6CBB" w:rsidRDefault="000F2ED2" w:rsidP="00BA272D">
      <w:pPr>
        <w:spacing w:line="240" w:lineRule="exact"/>
      </w:pPr>
    </w:p>
    <w:p w14:paraId="021622FB" w14:textId="77777777" w:rsidR="000F2ED2" w:rsidRPr="00CA6CBB" w:rsidRDefault="000F2ED2" w:rsidP="00BA272D">
      <w:pPr>
        <w:spacing w:line="240" w:lineRule="exact"/>
      </w:pPr>
      <w:r w:rsidRPr="00CA6CBB">
        <w:t>El presidente agradeció a la Secretaría y a los participantes sus aportaciones, que permitieron ultimar el plan de trabajo del IOMS para 2026.</w:t>
      </w:r>
    </w:p>
    <w:p w14:paraId="2648BA19" w14:textId="77777777" w:rsidR="000F2ED2" w:rsidRPr="00CA6CBB" w:rsidRDefault="000F2ED2" w:rsidP="00BA272D">
      <w:pPr>
        <w:spacing w:line="240" w:lineRule="exact"/>
      </w:pPr>
    </w:p>
    <w:p w14:paraId="529386C8" w14:textId="77777777" w:rsidR="00BA272D" w:rsidRPr="00CA6CBB" w:rsidRDefault="00BA272D" w:rsidP="00BA272D">
      <w:pPr>
        <w:spacing w:line="240" w:lineRule="exact"/>
      </w:pPr>
    </w:p>
    <w:p w14:paraId="38C000C1" w14:textId="77777777" w:rsidR="00BA272D" w:rsidRPr="00CA6CBB" w:rsidRDefault="00BA272D">
      <w:pPr>
        <w:pBdr>
          <w:top w:val="none" w:sz="0" w:space="0" w:color="auto"/>
          <w:left w:val="none" w:sz="0" w:space="0" w:color="auto"/>
          <w:bottom w:val="none" w:sz="0" w:space="0" w:color="auto"/>
          <w:right w:val="none" w:sz="0" w:space="0" w:color="auto"/>
          <w:between w:val="none" w:sz="0" w:space="0" w:color="auto"/>
        </w:pBdr>
        <w:spacing w:after="160" w:line="257" w:lineRule="auto"/>
        <w:jc w:val="left"/>
        <w:rPr>
          <w:b/>
          <w:bCs/>
        </w:rPr>
      </w:pPr>
      <w:r w:rsidRPr="00CA6CBB">
        <w:br w:type="page"/>
      </w:r>
    </w:p>
    <w:p w14:paraId="4F180C6D" w14:textId="5E59DEAA" w:rsidR="000F2ED2" w:rsidRPr="00CA6CBB" w:rsidRDefault="000F2ED2" w:rsidP="00BA272D">
      <w:pPr>
        <w:pStyle w:val="Heading1"/>
        <w:spacing w:before="0" w:after="0" w:line="240" w:lineRule="exact"/>
      </w:pPr>
      <w:r w:rsidRPr="00CA6CBB">
        <w:lastRenderedPageBreak/>
        <w:t>Trabajo intersesiones requerido en 2026</w:t>
      </w:r>
    </w:p>
    <w:p w14:paraId="0DADC48C" w14:textId="77777777" w:rsidR="00BA272D" w:rsidRPr="00CA6CBB" w:rsidRDefault="00BA272D" w:rsidP="00BA272D"/>
    <w:p w14:paraId="68A19D0B" w14:textId="77777777" w:rsidR="000F2ED2" w:rsidRPr="00CA6CBB" w:rsidRDefault="000F2ED2" w:rsidP="00BA272D">
      <w:pPr>
        <w:spacing w:line="240" w:lineRule="exact"/>
      </w:pPr>
      <w:r w:rsidRPr="00CA6CBB">
        <w:t xml:space="preserve">Además de las diversas mejoras del IOMS debatidas/adoptadas (resumidas en la </w:t>
      </w:r>
      <w:r w:rsidRPr="00CA6CBB">
        <w:rPr>
          <w:b/>
          <w:bCs/>
        </w:rPr>
        <w:t>Tabla 2</w:t>
      </w:r>
      <w:r w:rsidRPr="00CA6CBB">
        <w:t xml:space="preserve">), el WG-ORT, junto con la Secretaría de ICCAT, ha acordado el siguiente trabajo en el periodo intersesiones para 2026: </w:t>
      </w:r>
    </w:p>
    <w:p w14:paraId="1B129AF8" w14:textId="77777777" w:rsidR="000F2ED2" w:rsidRPr="00CA6CBB" w:rsidRDefault="000F2ED2" w:rsidP="00BA272D">
      <w:pPr>
        <w:spacing w:line="240" w:lineRule="exact"/>
      </w:pPr>
    </w:p>
    <w:p w14:paraId="33CFEC1E" w14:textId="77777777" w:rsidR="000F2ED2" w:rsidRPr="00CA6CBB" w:rsidRDefault="000F2ED2" w:rsidP="007047DA">
      <w:pPr>
        <w:pStyle w:val="ListParagraph"/>
        <w:numPr>
          <w:ilvl w:val="0"/>
          <w:numId w:val="37"/>
        </w:numPr>
        <w:pBdr>
          <w:top w:val="none" w:sz="0" w:space="0" w:color="auto"/>
          <w:left w:val="none" w:sz="0" w:space="0" w:color="auto"/>
          <w:bottom w:val="none" w:sz="0" w:space="0" w:color="auto"/>
          <w:right w:val="none" w:sz="0" w:space="0" w:color="auto"/>
          <w:between w:val="none" w:sz="0" w:space="0" w:color="auto"/>
        </w:pBdr>
        <w:spacing w:line="240" w:lineRule="exact"/>
        <w:ind w:left="851" w:hanging="425"/>
        <w:rPr>
          <w:rFonts w:eastAsia="Times New Roman" w:cs="Times New Roman"/>
        </w:rPr>
      </w:pPr>
      <w:r w:rsidRPr="00CA6CBB">
        <w:t>De conformidad con la recomendación del COC de proseguir con la traducción de los informes anuales (véanse los detalles en el documento "Evaluación de costes para la traducción de los datos y documentos del IOMS" (</w:t>
      </w:r>
      <w:hyperlink r:id="rId47" w:history="1">
        <w:r w:rsidRPr="00CA6CBB">
          <w:rPr>
            <w:rStyle w:val="Hyperlink"/>
            <w:u w:val="none"/>
          </w:rPr>
          <w:t>COC_319/2025</w:t>
        </w:r>
      </w:hyperlink>
      <w:r w:rsidRPr="00CA6CBB">
        <w:t>)), la Secretaría debería continuar con el proyecto piloto y presentar los resultados preliminares al COC y al STACFAD en su reunión anual de 2026, así como al WG-ORT en su reunión de 2027.</w:t>
      </w:r>
    </w:p>
    <w:p w14:paraId="4AA21470" w14:textId="77777777" w:rsidR="000F2ED2" w:rsidRPr="00CA6CBB" w:rsidRDefault="000F2ED2" w:rsidP="007047DA">
      <w:pPr>
        <w:pStyle w:val="ListParagraph"/>
        <w:spacing w:line="240" w:lineRule="exact"/>
        <w:ind w:left="851" w:hanging="425"/>
        <w:rPr>
          <w:rFonts w:eastAsia="Times New Roman" w:cs="Times New Roman"/>
        </w:rPr>
      </w:pPr>
    </w:p>
    <w:p w14:paraId="46F6E8D9" w14:textId="77777777" w:rsidR="000F2ED2" w:rsidRPr="00CA6CBB" w:rsidRDefault="000F2ED2" w:rsidP="007047DA">
      <w:pPr>
        <w:pStyle w:val="ListParagraph"/>
        <w:numPr>
          <w:ilvl w:val="0"/>
          <w:numId w:val="37"/>
        </w:numPr>
        <w:pBdr>
          <w:top w:val="none" w:sz="0" w:space="0" w:color="auto"/>
          <w:left w:val="none" w:sz="0" w:space="0" w:color="auto"/>
          <w:bottom w:val="none" w:sz="0" w:space="0" w:color="auto"/>
          <w:right w:val="none" w:sz="0" w:space="0" w:color="auto"/>
          <w:between w:val="none" w:sz="0" w:space="0" w:color="auto"/>
        </w:pBdr>
        <w:spacing w:line="240" w:lineRule="exact"/>
        <w:ind w:left="851" w:hanging="425"/>
        <w:rPr>
          <w:rFonts w:eastAsia="Times New Roman" w:cs="Times New Roman"/>
        </w:rPr>
      </w:pPr>
      <w:r w:rsidRPr="00CA6CBB">
        <w:rPr>
          <w:color w:val="131619"/>
        </w:rPr>
        <w:t>Evaluar el volumen de buques de transporte de no CPC que comunican datos CP01 y estudiar las implicaciones de permitir que las no CPC entren al IOMS para ese trabajo.</w:t>
      </w:r>
    </w:p>
    <w:p w14:paraId="094FB6B6" w14:textId="77777777" w:rsidR="000F2ED2" w:rsidRPr="00CA6CBB" w:rsidRDefault="000F2ED2" w:rsidP="007047DA">
      <w:pPr>
        <w:pStyle w:val="ListParagraph"/>
        <w:spacing w:line="240" w:lineRule="exact"/>
        <w:ind w:left="851" w:hanging="425"/>
        <w:rPr>
          <w:rFonts w:eastAsia="Times New Roman" w:cs="Times New Roman"/>
        </w:rPr>
      </w:pPr>
    </w:p>
    <w:p w14:paraId="52210A7B" w14:textId="77777777" w:rsidR="000F2ED2" w:rsidRPr="00CA6CBB" w:rsidRDefault="000F2ED2" w:rsidP="007047DA">
      <w:pPr>
        <w:pStyle w:val="ListParagraph"/>
        <w:numPr>
          <w:ilvl w:val="0"/>
          <w:numId w:val="37"/>
        </w:numPr>
        <w:pBdr>
          <w:top w:val="none" w:sz="0" w:space="0" w:color="auto"/>
          <w:left w:val="none" w:sz="0" w:space="0" w:color="auto"/>
          <w:bottom w:val="none" w:sz="0" w:space="0" w:color="auto"/>
          <w:right w:val="none" w:sz="0" w:space="0" w:color="auto"/>
          <w:between w:val="none" w:sz="0" w:space="0" w:color="auto"/>
        </w:pBdr>
        <w:spacing w:line="240" w:lineRule="exact"/>
        <w:ind w:left="851" w:hanging="425"/>
        <w:rPr>
          <w:rFonts w:eastAsia="Times New Roman" w:cs="Times New Roman"/>
        </w:rPr>
      </w:pPr>
      <w:r w:rsidRPr="00CA6CBB">
        <w:rPr>
          <w:color w:val="131619"/>
        </w:rPr>
        <w:t>Establecer un equipo técnico para examinar las posibles mejoras del IOMS y ofrecer opiniones sobre su viabilidad, establecer prioridades y proporcionar orientación sobre su implementación. </w:t>
      </w:r>
    </w:p>
    <w:p w14:paraId="589BEA85" w14:textId="77777777" w:rsidR="000F2ED2" w:rsidRPr="00CA6CBB" w:rsidRDefault="000F2ED2" w:rsidP="007047DA">
      <w:pPr>
        <w:pStyle w:val="ListParagraph"/>
        <w:spacing w:line="240" w:lineRule="exact"/>
        <w:ind w:left="851" w:hanging="425"/>
        <w:rPr>
          <w:rFonts w:eastAsia="Times New Roman" w:cs="Times New Roman"/>
        </w:rPr>
      </w:pPr>
    </w:p>
    <w:p w14:paraId="7080E859" w14:textId="77777777" w:rsidR="000F2ED2" w:rsidRPr="00CA6CBB" w:rsidRDefault="000F2ED2" w:rsidP="007047DA">
      <w:pPr>
        <w:pStyle w:val="ListParagraph"/>
        <w:numPr>
          <w:ilvl w:val="0"/>
          <w:numId w:val="37"/>
        </w:numPr>
        <w:pBdr>
          <w:top w:val="none" w:sz="0" w:space="0" w:color="auto"/>
          <w:left w:val="none" w:sz="0" w:space="0" w:color="auto"/>
          <w:bottom w:val="none" w:sz="0" w:space="0" w:color="auto"/>
          <w:right w:val="none" w:sz="0" w:space="0" w:color="auto"/>
          <w:between w:val="none" w:sz="0" w:space="0" w:color="auto"/>
        </w:pBdr>
        <w:spacing w:line="240" w:lineRule="exact"/>
        <w:ind w:left="851" w:hanging="425"/>
        <w:rPr>
          <w:rFonts w:eastAsia="Times New Roman" w:cs="Times New Roman"/>
        </w:rPr>
      </w:pPr>
      <w:r w:rsidRPr="00CA6CBB">
        <w:rPr>
          <w:color w:val="131619"/>
        </w:rPr>
        <w:t>El presidente del WG-ORT y la Secretaría deberían elaborar un documento para que el STACFAD aborde un posible aumento del presupuesto para dar cabida a la creciente arquitectura del IOMS.</w:t>
      </w:r>
    </w:p>
    <w:p w14:paraId="1C5E9E16" w14:textId="77777777" w:rsidR="000F2ED2" w:rsidRPr="00CA6CBB" w:rsidRDefault="000F2ED2" w:rsidP="007047DA">
      <w:pPr>
        <w:pStyle w:val="ListParagraph"/>
        <w:spacing w:line="240" w:lineRule="exact"/>
        <w:ind w:left="851" w:hanging="425"/>
        <w:rPr>
          <w:rFonts w:eastAsia="Times New Roman" w:cs="Times New Roman"/>
        </w:rPr>
      </w:pPr>
    </w:p>
    <w:p w14:paraId="74E3804A" w14:textId="77777777" w:rsidR="000F2ED2" w:rsidRPr="00CA6CBB" w:rsidRDefault="000F2ED2" w:rsidP="007047DA">
      <w:pPr>
        <w:pStyle w:val="ListParagraph"/>
        <w:numPr>
          <w:ilvl w:val="0"/>
          <w:numId w:val="37"/>
        </w:numPr>
        <w:pBdr>
          <w:top w:val="none" w:sz="0" w:space="0" w:color="auto"/>
          <w:left w:val="none" w:sz="0" w:space="0" w:color="auto"/>
          <w:bottom w:val="none" w:sz="0" w:space="0" w:color="auto"/>
          <w:right w:val="none" w:sz="0" w:space="0" w:color="auto"/>
          <w:between w:val="none" w:sz="0" w:space="0" w:color="auto"/>
        </w:pBdr>
        <w:spacing w:line="240" w:lineRule="exact"/>
        <w:ind w:left="851" w:hanging="425"/>
        <w:rPr>
          <w:rFonts w:eastAsia="Times New Roman" w:cs="Times New Roman"/>
        </w:rPr>
      </w:pPr>
      <w:r w:rsidRPr="00CA6CBB">
        <w:t xml:space="preserve">Accesibilidad y funcionalidades de búsqueda en el IOMS: el equipo de desarrollo del IOMS estudiará los pasos necesarios para que las CPC puedan visualizar, ordenar, filtrar y buscar documentos de información completados de otras CPC dentro del entorno del IOMS. Este acceso solo debería concederse a las versiones finales de los productos que, en última instancia, estén disponibles públicamente.  </w:t>
      </w:r>
    </w:p>
    <w:p w14:paraId="56BD8FF7" w14:textId="77777777" w:rsidR="000F2ED2" w:rsidRPr="00CA6CBB" w:rsidRDefault="000F2ED2" w:rsidP="007047DA">
      <w:pPr>
        <w:pStyle w:val="ListParagraph"/>
        <w:spacing w:line="240" w:lineRule="exact"/>
        <w:ind w:left="851" w:hanging="425"/>
        <w:rPr>
          <w:rFonts w:eastAsia="Times New Roman" w:cs="Times New Roman"/>
        </w:rPr>
      </w:pPr>
    </w:p>
    <w:p w14:paraId="4148E4F3" w14:textId="77777777" w:rsidR="000F2ED2" w:rsidRPr="00CA6CBB" w:rsidRDefault="000F2ED2" w:rsidP="007047DA">
      <w:pPr>
        <w:pStyle w:val="ListParagraph"/>
        <w:numPr>
          <w:ilvl w:val="0"/>
          <w:numId w:val="37"/>
        </w:numPr>
        <w:pBdr>
          <w:top w:val="none" w:sz="0" w:space="0" w:color="auto"/>
          <w:left w:val="none" w:sz="0" w:space="0" w:color="auto"/>
          <w:bottom w:val="none" w:sz="0" w:space="0" w:color="auto"/>
          <w:right w:val="none" w:sz="0" w:space="0" w:color="auto"/>
          <w:between w:val="none" w:sz="0" w:space="0" w:color="auto"/>
        </w:pBdr>
        <w:spacing w:line="240" w:lineRule="exact"/>
        <w:ind w:left="851" w:hanging="425"/>
        <w:rPr>
          <w:rFonts w:eastAsia="Times New Roman" w:cs="Times New Roman"/>
        </w:rPr>
      </w:pPr>
      <w:r w:rsidRPr="00CA6CBB">
        <w:t>Formatos de envío de datos: el equipo de desarrollo del IOMS evaluará la viabilidad de utilizar formatos abiertos y genéricos para el envío de los formularios estandarizados de ICCAT gestionados a través del Gestor de formularios.</w:t>
      </w:r>
    </w:p>
    <w:p w14:paraId="24841F89" w14:textId="77777777" w:rsidR="000F2ED2" w:rsidRPr="00CA6CBB" w:rsidRDefault="000F2ED2" w:rsidP="007047DA">
      <w:pPr>
        <w:pStyle w:val="ListParagraph"/>
        <w:spacing w:line="240" w:lineRule="exact"/>
        <w:ind w:left="851" w:hanging="425"/>
        <w:rPr>
          <w:rFonts w:eastAsia="Times New Roman" w:cs="Times New Roman"/>
        </w:rPr>
      </w:pPr>
    </w:p>
    <w:p w14:paraId="7BBA9BC4" w14:textId="77777777" w:rsidR="000F2ED2" w:rsidRPr="00CA6CBB" w:rsidRDefault="000F2ED2" w:rsidP="007047DA">
      <w:pPr>
        <w:pStyle w:val="ListParagraph"/>
        <w:numPr>
          <w:ilvl w:val="0"/>
          <w:numId w:val="37"/>
        </w:numPr>
        <w:pBdr>
          <w:top w:val="none" w:sz="0" w:space="0" w:color="auto"/>
          <w:left w:val="none" w:sz="0" w:space="0" w:color="auto"/>
          <w:bottom w:val="none" w:sz="0" w:space="0" w:color="auto"/>
          <w:right w:val="none" w:sz="0" w:space="0" w:color="auto"/>
          <w:between w:val="none" w:sz="0" w:space="0" w:color="auto"/>
        </w:pBdr>
        <w:spacing w:line="240" w:lineRule="exact"/>
        <w:ind w:left="851" w:hanging="425"/>
        <w:rPr>
          <w:rFonts w:eastAsia="Times New Roman" w:cs="Times New Roman"/>
        </w:rPr>
      </w:pPr>
      <w:r w:rsidRPr="00CA6CBB">
        <w:t>Acceso público a determinados datos del IOMS: la Secretaría preparará una propuesta para la próxima reunión del WG-ORT sobre cómo publicar los datos apropiados del IOMS conforme a la política de confidencialidad de los datos de ICCAT. En la elaboración de esta propuesta, el acceso solo debería concederse a las versiones finales de productos que, en última instancia, estén disponibles públicamente </w:t>
      </w:r>
    </w:p>
    <w:p w14:paraId="40F6959B" w14:textId="77777777" w:rsidR="000F2ED2" w:rsidRPr="00CA6CBB" w:rsidRDefault="000F2ED2" w:rsidP="007047DA">
      <w:pPr>
        <w:spacing w:line="240" w:lineRule="exact"/>
        <w:ind w:left="851" w:hanging="425"/>
        <w:rPr>
          <w:rFonts w:eastAsia="Times New Roman" w:cs="Times New Roman"/>
        </w:rPr>
      </w:pPr>
    </w:p>
    <w:p w14:paraId="4ED62842" w14:textId="77777777" w:rsidR="000F2ED2" w:rsidRPr="00CA6CBB" w:rsidRDefault="000F2ED2" w:rsidP="007047DA">
      <w:pPr>
        <w:pStyle w:val="ListParagraph"/>
        <w:numPr>
          <w:ilvl w:val="0"/>
          <w:numId w:val="37"/>
        </w:numPr>
        <w:pBdr>
          <w:top w:val="none" w:sz="0" w:space="0" w:color="auto"/>
          <w:left w:val="none" w:sz="0" w:space="0" w:color="auto"/>
          <w:bottom w:val="none" w:sz="0" w:space="0" w:color="auto"/>
          <w:right w:val="none" w:sz="0" w:space="0" w:color="auto"/>
          <w:between w:val="none" w:sz="0" w:space="0" w:color="auto"/>
        </w:pBdr>
        <w:spacing w:line="240" w:lineRule="exact"/>
        <w:ind w:left="851" w:hanging="425"/>
        <w:rPr>
          <w:rFonts w:eastAsia="Times New Roman" w:cs="Times New Roman"/>
        </w:rPr>
      </w:pPr>
      <w:r w:rsidRPr="00CA6CBB">
        <w:t xml:space="preserve">El Grupo de trabajo </w:t>
      </w:r>
      <w:r w:rsidRPr="00CA6CBB">
        <w:rPr>
          <w:i/>
          <w:iCs/>
        </w:rPr>
        <w:t>ad hoc</w:t>
      </w:r>
      <w:r w:rsidRPr="00CA6CBB">
        <w:t xml:space="preserve"> sobre la simplificación de las hojas de comprobación de tiburones/istiofóridos prestará apoyo al trabajo del presidente y de la Secretaría para proseguir con los esfuerzos destinados a simplificar la estructura de los modelos de las hojas de comprobación de tiburones e istiofóridos, con vistas a su incorporación al IOMS.</w:t>
      </w:r>
    </w:p>
    <w:p w14:paraId="08D35AB9" w14:textId="77777777" w:rsidR="000F2ED2" w:rsidRPr="00CA6CBB" w:rsidRDefault="000F2ED2" w:rsidP="007047DA">
      <w:pPr>
        <w:pStyle w:val="ListParagraph"/>
        <w:spacing w:line="240" w:lineRule="exact"/>
        <w:ind w:left="851" w:hanging="425"/>
        <w:jc w:val="left"/>
        <w:rPr>
          <w:rFonts w:eastAsia="Times New Roman" w:cs="Times New Roman"/>
        </w:rPr>
      </w:pPr>
    </w:p>
    <w:p w14:paraId="2F4C3084" w14:textId="77777777" w:rsidR="000F2ED2" w:rsidRPr="00CA6CBB" w:rsidRDefault="000F2ED2" w:rsidP="007047DA">
      <w:pPr>
        <w:pStyle w:val="ListParagraph"/>
        <w:numPr>
          <w:ilvl w:val="0"/>
          <w:numId w:val="37"/>
        </w:numPr>
        <w:pBdr>
          <w:top w:val="none" w:sz="0" w:space="0" w:color="auto"/>
          <w:left w:val="none" w:sz="0" w:space="0" w:color="auto"/>
          <w:bottom w:val="none" w:sz="0" w:space="0" w:color="auto"/>
          <w:right w:val="none" w:sz="0" w:space="0" w:color="auto"/>
          <w:between w:val="none" w:sz="0" w:space="0" w:color="auto"/>
        </w:pBdr>
        <w:spacing w:line="240" w:lineRule="exact"/>
        <w:ind w:left="851" w:hanging="425"/>
        <w:rPr>
          <w:rFonts w:eastAsia="Times New Roman" w:cs="Times New Roman"/>
        </w:rPr>
      </w:pPr>
      <w:r w:rsidRPr="00CA6CBB">
        <w:t>La Secretaría estudiará la solución GIES de la FAO y ofrecerá orientación el próximo año sobre el camino a seguir (uso directo de la plataforma GIES, reutilización del código GIES, creación de un nuevo módulo en el IOMS, solución externa, etc.)</w:t>
      </w:r>
    </w:p>
    <w:p w14:paraId="18EE1278" w14:textId="77777777" w:rsidR="000F2ED2" w:rsidRPr="00CA6CBB" w:rsidRDefault="000F2ED2" w:rsidP="007047DA">
      <w:pPr>
        <w:pStyle w:val="ListParagraph"/>
        <w:spacing w:line="240" w:lineRule="exact"/>
        <w:ind w:left="851" w:hanging="425"/>
        <w:jc w:val="left"/>
        <w:rPr>
          <w:rFonts w:eastAsia="Times New Roman" w:cs="Times New Roman"/>
        </w:rPr>
      </w:pPr>
    </w:p>
    <w:p w14:paraId="00474942" w14:textId="77777777" w:rsidR="000F2ED2" w:rsidRPr="00CA6CBB" w:rsidRDefault="000F2ED2" w:rsidP="007047DA">
      <w:pPr>
        <w:pStyle w:val="ListParagraph"/>
        <w:numPr>
          <w:ilvl w:val="0"/>
          <w:numId w:val="37"/>
        </w:numPr>
        <w:pBdr>
          <w:top w:val="none" w:sz="0" w:space="0" w:color="auto"/>
          <w:left w:val="none" w:sz="0" w:space="0" w:color="auto"/>
          <w:bottom w:val="none" w:sz="0" w:space="0" w:color="auto"/>
          <w:right w:val="none" w:sz="0" w:space="0" w:color="auto"/>
          <w:between w:val="none" w:sz="0" w:space="0" w:color="auto"/>
        </w:pBdr>
        <w:spacing w:line="240" w:lineRule="exact"/>
        <w:ind w:left="851" w:hanging="425"/>
        <w:rPr>
          <w:rFonts w:eastAsia="Times New Roman" w:cs="Times New Roman"/>
        </w:rPr>
      </w:pPr>
      <w:r w:rsidRPr="00CA6CBB">
        <w:t>Hacer un seguimiento de los avances y participar, según sea necesario, en el análisis de la revisión de la comunicación de información, en el próximo examen del desempeño de ICCAT y en el proceso de examen y racionalización del COC.</w:t>
      </w:r>
    </w:p>
    <w:p w14:paraId="49D21D47" w14:textId="77777777" w:rsidR="000F2ED2" w:rsidRPr="00CA6CBB" w:rsidRDefault="000F2ED2" w:rsidP="00BA272D">
      <w:pPr>
        <w:spacing w:line="240" w:lineRule="exact"/>
      </w:pPr>
    </w:p>
    <w:p w14:paraId="7747FD3A" w14:textId="77777777" w:rsidR="007047DA" w:rsidRPr="00CA6CBB" w:rsidRDefault="007047DA" w:rsidP="00BA272D">
      <w:pPr>
        <w:spacing w:line="240" w:lineRule="exact"/>
      </w:pPr>
    </w:p>
    <w:p w14:paraId="1CB9FE65" w14:textId="77777777" w:rsidR="000F2ED2" w:rsidRPr="00CA6CBB" w:rsidRDefault="000F2ED2" w:rsidP="00BA272D">
      <w:pPr>
        <w:pStyle w:val="Heading1"/>
        <w:spacing w:before="0" w:after="0" w:line="240" w:lineRule="exact"/>
      </w:pPr>
      <w:r w:rsidRPr="00CA6CBB">
        <w:t xml:space="preserve">Otros asuntos </w:t>
      </w:r>
    </w:p>
    <w:p w14:paraId="3706A9C9" w14:textId="77777777" w:rsidR="007047DA" w:rsidRPr="00CA6CBB" w:rsidRDefault="007047DA" w:rsidP="007047DA"/>
    <w:p w14:paraId="26612323" w14:textId="77777777" w:rsidR="000F2ED2" w:rsidRPr="00CA6CBB" w:rsidRDefault="000F2ED2" w:rsidP="00BA272D">
      <w:pPr>
        <w:spacing w:line="240" w:lineRule="exact"/>
      </w:pPr>
      <w:r w:rsidRPr="00CA6CBB">
        <w:t>No se debatieron otros asuntos.</w:t>
      </w:r>
    </w:p>
    <w:p w14:paraId="778DC343" w14:textId="77777777" w:rsidR="000F2ED2" w:rsidRPr="00CA6CBB" w:rsidRDefault="000F2ED2" w:rsidP="00BA272D">
      <w:pPr>
        <w:spacing w:line="240" w:lineRule="exact"/>
      </w:pPr>
    </w:p>
    <w:p w14:paraId="1006F931" w14:textId="77777777" w:rsidR="007047DA" w:rsidRPr="00CA6CBB" w:rsidRDefault="007047DA" w:rsidP="00BA272D">
      <w:pPr>
        <w:spacing w:line="240" w:lineRule="exact"/>
      </w:pPr>
    </w:p>
    <w:p w14:paraId="1488E178" w14:textId="77777777" w:rsidR="000F2ED2" w:rsidRPr="00CA6CBB" w:rsidRDefault="000F2ED2" w:rsidP="00BA272D">
      <w:pPr>
        <w:pStyle w:val="Heading1"/>
        <w:spacing w:before="0" w:after="0" w:line="240" w:lineRule="exact"/>
      </w:pPr>
      <w:r w:rsidRPr="00CA6CBB">
        <w:t>Adopción del informe y clausura</w:t>
      </w:r>
    </w:p>
    <w:p w14:paraId="6FFEF68E" w14:textId="77777777" w:rsidR="007047DA" w:rsidRPr="00CA6CBB" w:rsidRDefault="007047DA" w:rsidP="007047DA"/>
    <w:p w14:paraId="134597DD" w14:textId="525DF49D" w:rsidR="000F2ED2" w:rsidRPr="00CA6CBB" w:rsidRDefault="000F2ED2" w:rsidP="007047DA">
      <w:pPr>
        <w:spacing w:line="240" w:lineRule="exact"/>
      </w:pPr>
      <w:r w:rsidRPr="00CA6CBB">
        <w:t>Se acordó que el informe se adoptaría por correspondencia.</w:t>
      </w:r>
      <w:r w:rsidRPr="00CA6CBB">
        <w:br w:type="page"/>
      </w:r>
    </w:p>
    <w:p w14:paraId="6FDFBEE4" w14:textId="77777777" w:rsidR="000F2ED2" w:rsidRPr="00CA6CBB" w:rsidRDefault="000F2ED2" w:rsidP="000F2ED2"/>
    <w:p w14:paraId="75AB2736" w14:textId="77777777" w:rsidR="000F2ED2" w:rsidRPr="00CA6CBB" w:rsidRDefault="000F2ED2" w:rsidP="000F2ED2">
      <w:pPr>
        <w:pStyle w:val="Caption"/>
        <w:keepNext/>
        <w:spacing w:after="0"/>
        <w:rPr>
          <w:i w:val="0"/>
          <w:iCs w:val="0"/>
          <w:color w:val="auto"/>
          <w:sz w:val="20"/>
          <w:szCs w:val="20"/>
        </w:rPr>
      </w:pPr>
      <w:bookmarkStart w:id="0" w:name="_Ref193563119"/>
      <w:r w:rsidRPr="00CA6CBB">
        <w:rPr>
          <w:b/>
          <w:i w:val="0"/>
          <w:color w:val="auto"/>
          <w:sz w:val="20"/>
        </w:rPr>
        <w:t>Tabla </w:t>
      </w:r>
      <w:r w:rsidRPr="00CA6CBB">
        <w:rPr>
          <w:b/>
          <w:i w:val="0"/>
          <w:color w:val="auto"/>
          <w:sz w:val="20"/>
        </w:rPr>
        <w:fldChar w:fldCharType="begin"/>
      </w:r>
      <w:r w:rsidRPr="00CA6CBB">
        <w:rPr>
          <w:b/>
          <w:i w:val="0"/>
          <w:color w:val="auto"/>
          <w:sz w:val="20"/>
        </w:rPr>
        <w:instrText xml:space="preserve"> SEQ Table \* ARABIC </w:instrText>
      </w:r>
      <w:r w:rsidRPr="00CA6CBB">
        <w:rPr>
          <w:b/>
          <w:i w:val="0"/>
          <w:color w:val="auto"/>
          <w:sz w:val="20"/>
        </w:rPr>
        <w:fldChar w:fldCharType="separate"/>
      </w:r>
      <w:r w:rsidRPr="00CA6CBB">
        <w:rPr>
          <w:b/>
          <w:i w:val="0"/>
          <w:noProof/>
          <w:color w:val="auto"/>
          <w:sz w:val="20"/>
        </w:rPr>
        <w:t>1</w:t>
      </w:r>
      <w:r w:rsidRPr="00CA6CBB">
        <w:rPr>
          <w:b/>
          <w:i w:val="0"/>
          <w:color w:val="auto"/>
          <w:sz w:val="20"/>
        </w:rPr>
        <w:fldChar w:fldCharType="end"/>
      </w:r>
      <w:r w:rsidRPr="00CA6CBB">
        <w:rPr>
          <w:b/>
          <w:i w:val="0"/>
          <w:color w:val="auto"/>
          <w:sz w:val="20"/>
        </w:rPr>
        <w:t xml:space="preserve">. </w:t>
      </w:r>
      <w:r w:rsidRPr="00CA6CBB">
        <w:rPr>
          <w:i w:val="0"/>
          <w:color w:val="auto"/>
          <w:sz w:val="20"/>
        </w:rPr>
        <w:t>Número de Informes anuales de 2021, 2022, 2023, 2024 y 2025 almacenados en el IOMS por categoría (S3P1: Estadísticas, S3P2: Cumplimiento), índice de finalización (del 0 % al 100 %), apoyo de la Secretaría (Sí/No) y estado pendiente. El número total de informes anuales previstos aumentó de 57 (53 CP, Partes contratantes, + 4 NCC, Partes no contratantes colaboradoras) entre 2021 y 2024 a 58 (1 CP más). El campo "</w:t>
      </w:r>
      <w:proofErr w:type="spellStart"/>
      <w:r w:rsidRPr="00CA6CBB">
        <w:rPr>
          <w:i w:val="0"/>
          <w:color w:val="auto"/>
          <w:sz w:val="20"/>
        </w:rPr>
        <w:t>Remarks</w:t>
      </w:r>
      <w:proofErr w:type="spellEnd"/>
      <w:r w:rsidRPr="00CA6CBB">
        <w:rPr>
          <w:i w:val="0"/>
          <w:color w:val="auto"/>
          <w:sz w:val="20"/>
        </w:rPr>
        <w:t>" (Observaciones) indica qué secciones del informe anual se completaron totalmente y se presentaron ("versión final" OK), o no (completo pero en modo proyecto, incompleto pero presentado, e incompleto y en modo proyecto). Los tres últimos casos requerirán el trabajo conjunto de las CPC y la Secretaría.</w:t>
      </w:r>
      <w:bookmarkEnd w:id="0"/>
      <w:r w:rsidRPr="00CA6CBB">
        <w:rPr>
          <w:i w:val="0"/>
          <w:color w:val="auto"/>
          <w:sz w:val="20"/>
        </w:rPr>
        <w:t xml:space="preserve"> </w:t>
      </w:r>
    </w:p>
    <w:p w14:paraId="420C4285" w14:textId="77777777" w:rsidR="000F2ED2" w:rsidRPr="00CA6CBB" w:rsidRDefault="000F2ED2" w:rsidP="000F2ED2"/>
    <w:p w14:paraId="6B60C48D" w14:textId="77777777" w:rsidR="000F2ED2" w:rsidRPr="00CA6CBB" w:rsidRDefault="000F2ED2" w:rsidP="000F2ED2">
      <w:r w:rsidRPr="00CA6CBB">
        <w:rPr>
          <w:noProof/>
        </w:rPr>
        <w:drawing>
          <wp:inline distT="0" distB="0" distL="0" distR="0" wp14:anchorId="6C5718C1" wp14:editId="645D8884">
            <wp:extent cx="5760085" cy="2369820"/>
            <wp:effectExtent l="0" t="0" r="0" b="0"/>
            <wp:docPr id="2023718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60085" cy="2369820"/>
                    </a:xfrm>
                    <a:prstGeom prst="rect">
                      <a:avLst/>
                    </a:prstGeom>
                    <a:noFill/>
                    <a:ln>
                      <a:noFill/>
                    </a:ln>
                  </pic:spPr>
                </pic:pic>
              </a:graphicData>
            </a:graphic>
          </wp:inline>
        </w:drawing>
      </w:r>
    </w:p>
    <w:p w14:paraId="7A614610" w14:textId="77777777" w:rsidR="000F2ED2" w:rsidRPr="00CA6CBB" w:rsidRDefault="000F2ED2" w:rsidP="000F2ED2"/>
    <w:p w14:paraId="00C9C2EF" w14:textId="77777777" w:rsidR="000F2ED2" w:rsidRPr="00CA6CBB" w:rsidRDefault="000F2ED2" w:rsidP="000F2ED2"/>
    <w:p w14:paraId="57480CAF" w14:textId="77777777" w:rsidR="000F2ED2" w:rsidRPr="00CA6CBB" w:rsidRDefault="000F2ED2" w:rsidP="000F2ED2"/>
    <w:p w14:paraId="021B88D2" w14:textId="77777777" w:rsidR="000F2ED2" w:rsidRPr="00CA6CBB" w:rsidRDefault="000F2ED2" w:rsidP="000F2ED2"/>
    <w:p w14:paraId="755C86CD" w14:textId="77777777" w:rsidR="000F2ED2" w:rsidRPr="00CA6CBB" w:rsidRDefault="000F2ED2" w:rsidP="000F2ED2"/>
    <w:p w14:paraId="79AC4E3F" w14:textId="77777777" w:rsidR="000F2ED2" w:rsidRPr="00CA6CBB" w:rsidRDefault="000F2ED2" w:rsidP="000F2ED2"/>
    <w:p w14:paraId="6242CDAE" w14:textId="77777777" w:rsidR="000F2ED2" w:rsidRPr="00CA6CBB" w:rsidRDefault="000F2ED2" w:rsidP="000F2ED2"/>
    <w:p w14:paraId="37D983B9" w14:textId="77777777" w:rsidR="000F2ED2" w:rsidRPr="00CA6CBB" w:rsidRDefault="000F2ED2" w:rsidP="000F2ED2">
      <w:pPr>
        <w:sectPr w:rsidR="000F2ED2" w:rsidRPr="00CA6CBB" w:rsidSect="000F2ED2">
          <w:headerReference w:type="default" r:id="rId49"/>
          <w:footerReference w:type="default" r:id="rId50"/>
          <w:pgSz w:w="11907" w:h="16840" w:code="9"/>
          <w:pgMar w:top="1418" w:right="1418" w:bottom="1418" w:left="1418" w:header="851" w:footer="1134" w:gutter="0"/>
          <w:pgNumType w:start="1"/>
          <w:cols w:space="720"/>
          <w:docGrid w:linePitch="299"/>
        </w:sectPr>
      </w:pPr>
    </w:p>
    <w:p w14:paraId="2E9F1F2F" w14:textId="77777777" w:rsidR="000F2ED2" w:rsidRPr="00CA6CBB" w:rsidRDefault="000F2ED2" w:rsidP="000F2ED2">
      <w:bookmarkStart w:id="7" w:name="_Ref193563249"/>
      <w:r w:rsidRPr="00CA6CBB">
        <w:rPr>
          <w:b/>
          <w:color w:val="auto"/>
        </w:rPr>
        <w:lastRenderedPageBreak/>
        <w:t xml:space="preserve">Tabla </w:t>
      </w:r>
      <w:r w:rsidRPr="00CA6CBB">
        <w:rPr>
          <w:b/>
          <w:color w:val="auto"/>
        </w:rPr>
        <w:fldChar w:fldCharType="begin"/>
      </w:r>
      <w:r w:rsidRPr="00CA6CBB">
        <w:rPr>
          <w:b/>
          <w:color w:val="auto"/>
        </w:rPr>
        <w:instrText xml:space="preserve"> SEQ Table \* ARABIC </w:instrText>
      </w:r>
      <w:r w:rsidRPr="00CA6CBB">
        <w:rPr>
          <w:b/>
          <w:color w:val="auto"/>
        </w:rPr>
        <w:fldChar w:fldCharType="separate"/>
      </w:r>
      <w:r w:rsidRPr="00CA6CBB">
        <w:rPr>
          <w:b/>
          <w:noProof/>
          <w:color w:val="auto"/>
        </w:rPr>
        <w:t>2</w:t>
      </w:r>
      <w:r w:rsidRPr="00CA6CBB">
        <w:rPr>
          <w:b/>
          <w:color w:val="auto"/>
        </w:rPr>
        <w:fldChar w:fldCharType="end"/>
      </w:r>
      <w:bookmarkEnd w:id="7"/>
      <w:r w:rsidRPr="00CA6CBB">
        <w:rPr>
          <w:b/>
          <w:color w:val="auto"/>
        </w:rPr>
        <w:t>.</w:t>
      </w:r>
      <w:r w:rsidRPr="00CA6CBB">
        <w:rPr>
          <w:b/>
          <w:i/>
          <w:color w:val="auto"/>
        </w:rPr>
        <w:t xml:space="preserve"> </w:t>
      </w:r>
      <w:r w:rsidRPr="00CA6CBB">
        <w:t>Lista de las mejoras del IOMS propuestas, debatidas y adoptadas que se desarrollarán en el periodo intersesiones. El tiempo de desarrollo es un indicador cualitativo preliminar (Leyenda: completado - sombreado "verde"; descartado - sombreado "rojo"; en curso/en estudio - sin sombrear).</w:t>
      </w:r>
    </w:p>
    <w:p w14:paraId="297C12C9" w14:textId="77777777" w:rsidR="000F2ED2" w:rsidRPr="00CA6CBB" w:rsidRDefault="000F2ED2" w:rsidP="000F2ED2"/>
    <w:p w14:paraId="1AE6114C" w14:textId="77777777" w:rsidR="007047DA" w:rsidRPr="00CA6CBB" w:rsidRDefault="007047DA" w:rsidP="000F2ED2"/>
    <w:tbl>
      <w:tblPr>
        <w:tblW w:w="5000" w:type="pct"/>
        <w:tblLayout w:type="fixed"/>
        <w:tblLook w:val="04A0" w:firstRow="1" w:lastRow="0" w:firstColumn="1" w:lastColumn="0" w:noHBand="0" w:noVBand="1"/>
      </w:tblPr>
      <w:tblGrid>
        <w:gridCol w:w="541"/>
        <w:gridCol w:w="761"/>
        <w:gridCol w:w="5861"/>
        <w:gridCol w:w="1203"/>
        <w:gridCol w:w="814"/>
        <w:gridCol w:w="792"/>
        <w:gridCol w:w="1139"/>
        <w:gridCol w:w="932"/>
        <w:gridCol w:w="1951"/>
      </w:tblGrid>
      <w:tr w:rsidR="000F2ED2" w:rsidRPr="00CA6CBB" w14:paraId="7AFC3C63" w14:textId="77777777" w:rsidTr="007047DA">
        <w:trPr>
          <w:trHeight w:val="480"/>
          <w:tblHeader/>
        </w:trPr>
        <w:tc>
          <w:tcPr>
            <w:tcW w:w="193" w:type="pct"/>
            <w:tcBorders>
              <w:top w:val="single" w:sz="4" w:space="0" w:color="auto"/>
              <w:left w:val="single" w:sz="4" w:space="0" w:color="auto"/>
              <w:bottom w:val="nil"/>
              <w:right w:val="nil"/>
            </w:tcBorders>
            <w:shd w:val="clear" w:color="000000" w:fill="F2F2F2"/>
            <w:hideMark/>
          </w:tcPr>
          <w:p w14:paraId="17E97227"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sz w:val="16"/>
                <w:szCs w:val="16"/>
              </w:rPr>
            </w:pPr>
            <w:r w:rsidRPr="00CA6CBB">
              <w:rPr>
                <w:rFonts w:ascii="Calibri" w:hAnsi="Calibri"/>
                <w:b/>
                <w:sz w:val="16"/>
              </w:rPr>
              <w:t>Año</w:t>
            </w:r>
          </w:p>
        </w:tc>
        <w:tc>
          <w:tcPr>
            <w:tcW w:w="272" w:type="pct"/>
            <w:tcBorders>
              <w:top w:val="single" w:sz="4" w:space="0" w:color="auto"/>
              <w:left w:val="nil"/>
              <w:bottom w:val="nil"/>
              <w:right w:val="nil"/>
            </w:tcBorders>
            <w:shd w:val="clear" w:color="000000" w:fill="F2F2F2"/>
            <w:hideMark/>
          </w:tcPr>
          <w:p w14:paraId="71CD006E"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sz w:val="16"/>
                <w:szCs w:val="16"/>
              </w:rPr>
            </w:pPr>
            <w:r w:rsidRPr="00CA6CBB">
              <w:rPr>
                <w:rFonts w:ascii="Calibri" w:hAnsi="Calibri"/>
                <w:b/>
                <w:sz w:val="16"/>
              </w:rPr>
              <w:t>Número</w:t>
            </w:r>
          </w:p>
        </w:tc>
        <w:tc>
          <w:tcPr>
            <w:tcW w:w="2094" w:type="pct"/>
            <w:tcBorders>
              <w:top w:val="single" w:sz="4" w:space="0" w:color="auto"/>
              <w:left w:val="nil"/>
              <w:bottom w:val="nil"/>
              <w:right w:val="nil"/>
            </w:tcBorders>
            <w:shd w:val="clear" w:color="000000" w:fill="F2F2F2"/>
            <w:hideMark/>
          </w:tcPr>
          <w:p w14:paraId="609679FD"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sz w:val="16"/>
                <w:szCs w:val="16"/>
              </w:rPr>
            </w:pPr>
            <w:r w:rsidRPr="00CA6CBB">
              <w:rPr>
                <w:rFonts w:ascii="Calibri" w:hAnsi="Calibri"/>
                <w:b/>
                <w:sz w:val="16"/>
              </w:rPr>
              <w:t>Mejora (breve descripción)</w:t>
            </w:r>
          </w:p>
        </w:tc>
        <w:tc>
          <w:tcPr>
            <w:tcW w:w="430" w:type="pct"/>
            <w:tcBorders>
              <w:top w:val="single" w:sz="4" w:space="0" w:color="auto"/>
              <w:left w:val="nil"/>
              <w:bottom w:val="nil"/>
              <w:right w:val="nil"/>
            </w:tcBorders>
            <w:shd w:val="clear" w:color="000000" w:fill="F2F2F2"/>
            <w:hideMark/>
          </w:tcPr>
          <w:p w14:paraId="07D2CCD5"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sz w:val="16"/>
                <w:szCs w:val="16"/>
              </w:rPr>
            </w:pPr>
            <w:r w:rsidRPr="00CA6CBB">
              <w:rPr>
                <w:rFonts w:ascii="Calibri" w:hAnsi="Calibri"/>
                <w:b/>
                <w:sz w:val="16"/>
              </w:rPr>
              <w:t>Módulo</w:t>
            </w:r>
          </w:p>
        </w:tc>
        <w:tc>
          <w:tcPr>
            <w:tcW w:w="291" w:type="pct"/>
            <w:tcBorders>
              <w:top w:val="single" w:sz="4" w:space="0" w:color="auto"/>
              <w:left w:val="nil"/>
              <w:bottom w:val="nil"/>
              <w:right w:val="nil"/>
            </w:tcBorders>
            <w:shd w:val="clear" w:color="000000" w:fill="F2F2F2"/>
            <w:hideMark/>
          </w:tcPr>
          <w:p w14:paraId="3D08CCC3" w14:textId="6AE10271"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sz w:val="16"/>
                <w:szCs w:val="16"/>
              </w:rPr>
            </w:pPr>
            <w:r w:rsidRPr="00CA6CBB">
              <w:rPr>
                <w:rFonts w:ascii="Calibri" w:hAnsi="Calibri"/>
                <w:b/>
                <w:sz w:val="16"/>
              </w:rPr>
              <w:t xml:space="preserve">Coste (tiempo </w:t>
            </w:r>
            <w:proofErr w:type="spellStart"/>
            <w:r w:rsidRPr="00CA6CBB">
              <w:rPr>
                <w:rFonts w:ascii="Calibri" w:hAnsi="Calibri"/>
                <w:b/>
                <w:sz w:val="16"/>
              </w:rPr>
              <w:t>desarr</w:t>
            </w:r>
            <w:proofErr w:type="spellEnd"/>
            <w:r w:rsidR="007047DA" w:rsidRPr="00CA6CBB">
              <w:rPr>
                <w:rFonts w:ascii="Calibri" w:hAnsi="Calibri"/>
                <w:b/>
                <w:sz w:val="16"/>
              </w:rPr>
              <w:t>.</w:t>
            </w:r>
            <w:r w:rsidRPr="00CA6CBB">
              <w:rPr>
                <w:rFonts w:ascii="Calibri" w:hAnsi="Calibri"/>
                <w:b/>
                <w:sz w:val="16"/>
              </w:rPr>
              <w:t>)</w:t>
            </w:r>
          </w:p>
        </w:tc>
        <w:tc>
          <w:tcPr>
            <w:tcW w:w="283" w:type="pct"/>
            <w:tcBorders>
              <w:top w:val="single" w:sz="4" w:space="0" w:color="auto"/>
              <w:left w:val="nil"/>
              <w:bottom w:val="nil"/>
              <w:right w:val="nil"/>
            </w:tcBorders>
            <w:shd w:val="clear" w:color="000000" w:fill="F2F2F2"/>
            <w:hideMark/>
          </w:tcPr>
          <w:p w14:paraId="15A43653" w14:textId="77777777" w:rsidR="000F2ED2" w:rsidRPr="00CA6CBB" w:rsidRDefault="000F2ED2" w:rsidP="007047DA">
            <w:pPr>
              <w:pBdr>
                <w:top w:val="none" w:sz="0" w:space="0" w:color="auto"/>
                <w:left w:val="none" w:sz="0" w:space="0" w:color="auto"/>
                <w:bottom w:val="none" w:sz="0" w:space="0" w:color="auto"/>
                <w:right w:val="none" w:sz="0" w:space="0" w:color="auto"/>
                <w:between w:val="none" w:sz="0" w:space="0" w:color="auto"/>
              </w:pBdr>
              <w:ind w:left="-81" w:right="-57"/>
              <w:jc w:val="left"/>
              <w:rPr>
                <w:rFonts w:ascii="Calibri" w:eastAsia="Times New Roman" w:hAnsi="Calibri" w:cs="Calibri"/>
                <w:b/>
                <w:bCs/>
                <w:sz w:val="16"/>
                <w:szCs w:val="16"/>
              </w:rPr>
            </w:pPr>
            <w:r w:rsidRPr="00CA6CBB">
              <w:rPr>
                <w:rFonts w:ascii="Calibri" w:hAnsi="Calibri"/>
                <w:b/>
                <w:sz w:val="16"/>
              </w:rPr>
              <w:t>Adoptado</w:t>
            </w:r>
          </w:p>
        </w:tc>
        <w:tc>
          <w:tcPr>
            <w:tcW w:w="407" w:type="pct"/>
            <w:tcBorders>
              <w:top w:val="single" w:sz="4" w:space="0" w:color="auto"/>
              <w:left w:val="nil"/>
              <w:bottom w:val="nil"/>
              <w:right w:val="nil"/>
            </w:tcBorders>
            <w:shd w:val="clear" w:color="000000" w:fill="F2F2F2"/>
            <w:hideMark/>
          </w:tcPr>
          <w:p w14:paraId="57C4CDB1"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sz w:val="16"/>
                <w:szCs w:val="16"/>
              </w:rPr>
            </w:pPr>
            <w:r w:rsidRPr="00CA6CBB">
              <w:rPr>
                <w:rFonts w:ascii="Calibri" w:hAnsi="Calibri"/>
                <w:b/>
                <w:sz w:val="16"/>
              </w:rPr>
              <w:t>Trabajo intersesiones</w:t>
            </w:r>
          </w:p>
        </w:tc>
        <w:tc>
          <w:tcPr>
            <w:tcW w:w="333" w:type="pct"/>
            <w:tcBorders>
              <w:top w:val="single" w:sz="4" w:space="0" w:color="auto"/>
              <w:left w:val="nil"/>
              <w:bottom w:val="nil"/>
              <w:right w:val="nil"/>
            </w:tcBorders>
            <w:shd w:val="clear" w:color="000000" w:fill="F2F2F2"/>
            <w:hideMark/>
          </w:tcPr>
          <w:p w14:paraId="3413DA57" w14:textId="77777777" w:rsidR="000F2ED2" w:rsidRPr="00CA6CBB" w:rsidRDefault="000F2ED2" w:rsidP="007047DA">
            <w:pPr>
              <w:pBdr>
                <w:top w:val="none" w:sz="0" w:space="0" w:color="auto"/>
                <w:left w:val="none" w:sz="0" w:space="0" w:color="auto"/>
                <w:bottom w:val="none" w:sz="0" w:space="0" w:color="auto"/>
                <w:right w:val="none" w:sz="0" w:space="0" w:color="auto"/>
                <w:between w:val="none" w:sz="0" w:space="0" w:color="auto"/>
              </w:pBdr>
              <w:ind w:left="-20" w:right="-109"/>
              <w:jc w:val="left"/>
              <w:rPr>
                <w:rFonts w:ascii="Calibri" w:eastAsia="Times New Roman" w:hAnsi="Calibri" w:cs="Calibri"/>
                <w:b/>
                <w:bCs/>
                <w:sz w:val="16"/>
                <w:szCs w:val="16"/>
              </w:rPr>
            </w:pPr>
            <w:r w:rsidRPr="00CA6CBB">
              <w:rPr>
                <w:rFonts w:ascii="Calibri" w:hAnsi="Calibri"/>
                <w:b/>
                <w:sz w:val="16"/>
              </w:rPr>
              <w:t>Estado (actual)</w:t>
            </w:r>
          </w:p>
        </w:tc>
        <w:tc>
          <w:tcPr>
            <w:tcW w:w="697" w:type="pct"/>
            <w:tcBorders>
              <w:top w:val="single" w:sz="4" w:space="0" w:color="auto"/>
              <w:left w:val="nil"/>
              <w:bottom w:val="nil"/>
              <w:right w:val="single" w:sz="4" w:space="0" w:color="auto"/>
            </w:tcBorders>
            <w:shd w:val="clear" w:color="000000" w:fill="F2F2F2"/>
            <w:hideMark/>
          </w:tcPr>
          <w:p w14:paraId="78AC09AD"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sz w:val="16"/>
                <w:szCs w:val="16"/>
              </w:rPr>
            </w:pPr>
            <w:r w:rsidRPr="00CA6CBB">
              <w:rPr>
                <w:rFonts w:ascii="Calibri" w:hAnsi="Calibri"/>
                <w:b/>
                <w:sz w:val="16"/>
              </w:rPr>
              <w:t>Notas</w:t>
            </w:r>
          </w:p>
        </w:tc>
      </w:tr>
      <w:tr w:rsidR="000F2ED2" w:rsidRPr="00CA6CBB" w14:paraId="1234D671" w14:textId="77777777" w:rsidTr="007047DA">
        <w:trPr>
          <w:trHeight w:val="480"/>
        </w:trPr>
        <w:tc>
          <w:tcPr>
            <w:tcW w:w="193" w:type="pct"/>
            <w:tcBorders>
              <w:top w:val="nil"/>
              <w:left w:val="single" w:sz="4" w:space="0" w:color="auto"/>
              <w:bottom w:val="nil"/>
              <w:right w:val="nil"/>
            </w:tcBorders>
            <w:shd w:val="clear" w:color="000000" w:fill="FFEAAF"/>
            <w:vAlign w:val="center"/>
            <w:hideMark/>
          </w:tcPr>
          <w:p w14:paraId="39A59CA0"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FF0000"/>
                <w:sz w:val="16"/>
                <w:szCs w:val="16"/>
              </w:rPr>
            </w:pPr>
            <w:r w:rsidRPr="00CA6CBB">
              <w:rPr>
                <w:rFonts w:ascii="Calibri" w:hAnsi="Calibri"/>
                <w:color w:val="FF0000"/>
                <w:sz w:val="16"/>
              </w:rPr>
              <w:t>2023</w:t>
            </w:r>
          </w:p>
        </w:tc>
        <w:tc>
          <w:tcPr>
            <w:tcW w:w="272" w:type="pct"/>
            <w:tcBorders>
              <w:top w:val="nil"/>
              <w:left w:val="nil"/>
              <w:bottom w:val="nil"/>
              <w:right w:val="nil"/>
            </w:tcBorders>
            <w:shd w:val="clear" w:color="000000" w:fill="FFEAAF"/>
            <w:vAlign w:val="center"/>
            <w:hideMark/>
          </w:tcPr>
          <w:p w14:paraId="217666F1"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FF0000"/>
                <w:sz w:val="16"/>
                <w:szCs w:val="16"/>
              </w:rPr>
            </w:pPr>
            <w:r w:rsidRPr="00CA6CBB">
              <w:rPr>
                <w:rFonts w:ascii="Calibri" w:hAnsi="Calibri"/>
                <w:color w:val="FF0000"/>
                <w:sz w:val="16"/>
              </w:rPr>
              <w:t>3</w:t>
            </w:r>
          </w:p>
        </w:tc>
        <w:tc>
          <w:tcPr>
            <w:tcW w:w="2094" w:type="pct"/>
            <w:tcBorders>
              <w:top w:val="nil"/>
              <w:left w:val="nil"/>
              <w:bottom w:val="nil"/>
              <w:right w:val="nil"/>
            </w:tcBorders>
            <w:shd w:val="clear" w:color="000000" w:fill="FFEAAF"/>
            <w:vAlign w:val="center"/>
            <w:hideMark/>
          </w:tcPr>
          <w:p w14:paraId="5657E399"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FF0000"/>
                <w:sz w:val="16"/>
                <w:szCs w:val="16"/>
              </w:rPr>
            </w:pPr>
            <w:r w:rsidRPr="00CA6CBB">
              <w:rPr>
                <w:rFonts w:ascii="Calibri" w:hAnsi="Calibri"/>
                <w:color w:val="FF0000"/>
                <w:sz w:val="16"/>
              </w:rPr>
              <w:t>Se enviará un mensaje automático al remitente confirmando que el envío se ha realizado correctamente (CC a: info@iccat.int ?)</w:t>
            </w:r>
          </w:p>
        </w:tc>
        <w:tc>
          <w:tcPr>
            <w:tcW w:w="430" w:type="pct"/>
            <w:tcBorders>
              <w:top w:val="nil"/>
              <w:left w:val="nil"/>
              <w:bottom w:val="nil"/>
              <w:right w:val="nil"/>
            </w:tcBorders>
            <w:shd w:val="clear" w:color="000000" w:fill="FFEAAF"/>
            <w:vAlign w:val="center"/>
            <w:hideMark/>
          </w:tcPr>
          <w:p w14:paraId="04C33954"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FF0000"/>
                <w:sz w:val="16"/>
                <w:szCs w:val="16"/>
              </w:rPr>
            </w:pPr>
            <w:r w:rsidRPr="00CA6CBB">
              <w:rPr>
                <w:rFonts w:ascii="Calibri" w:hAnsi="Calibri"/>
                <w:color w:val="FF0000"/>
                <w:sz w:val="16"/>
              </w:rPr>
              <w:t>Informe anual</w:t>
            </w:r>
          </w:p>
        </w:tc>
        <w:tc>
          <w:tcPr>
            <w:tcW w:w="291" w:type="pct"/>
            <w:tcBorders>
              <w:top w:val="nil"/>
              <w:left w:val="nil"/>
              <w:bottom w:val="nil"/>
              <w:right w:val="nil"/>
            </w:tcBorders>
            <w:shd w:val="clear" w:color="000000" w:fill="FFEAAF"/>
            <w:vAlign w:val="center"/>
            <w:hideMark/>
          </w:tcPr>
          <w:p w14:paraId="507B0FB3"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FF0000"/>
                <w:sz w:val="16"/>
                <w:szCs w:val="16"/>
              </w:rPr>
            </w:pPr>
            <w:r w:rsidRPr="00CA6CBB">
              <w:rPr>
                <w:rFonts w:ascii="Calibri" w:hAnsi="Calibri"/>
                <w:color w:val="FF0000"/>
                <w:sz w:val="16"/>
              </w:rPr>
              <w:t>Medio</w:t>
            </w:r>
          </w:p>
        </w:tc>
        <w:tc>
          <w:tcPr>
            <w:tcW w:w="283" w:type="pct"/>
            <w:tcBorders>
              <w:top w:val="nil"/>
              <w:left w:val="nil"/>
              <w:bottom w:val="nil"/>
              <w:right w:val="nil"/>
            </w:tcBorders>
            <w:shd w:val="clear" w:color="000000" w:fill="FFEAAF"/>
            <w:vAlign w:val="center"/>
            <w:hideMark/>
          </w:tcPr>
          <w:p w14:paraId="1C162B1C"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FF0000"/>
                <w:sz w:val="16"/>
                <w:szCs w:val="16"/>
              </w:rPr>
            </w:pPr>
            <w:r w:rsidRPr="00CA6CBB">
              <w:rPr>
                <w:rFonts w:ascii="Calibri" w:hAnsi="Calibri"/>
                <w:color w:val="FF0000"/>
                <w:sz w:val="16"/>
              </w:rPr>
              <w:t>No</w:t>
            </w:r>
          </w:p>
        </w:tc>
        <w:tc>
          <w:tcPr>
            <w:tcW w:w="407" w:type="pct"/>
            <w:tcBorders>
              <w:top w:val="nil"/>
              <w:left w:val="nil"/>
              <w:bottom w:val="nil"/>
              <w:right w:val="nil"/>
            </w:tcBorders>
            <w:shd w:val="clear" w:color="000000" w:fill="FFEAAF"/>
            <w:vAlign w:val="center"/>
            <w:hideMark/>
          </w:tcPr>
          <w:p w14:paraId="198085ED"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FF0000"/>
                <w:sz w:val="16"/>
                <w:szCs w:val="16"/>
              </w:rPr>
            </w:pPr>
            <w:r w:rsidRPr="00CA6CBB">
              <w:rPr>
                <w:rFonts w:ascii="Calibri" w:hAnsi="Calibri"/>
                <w:color w:val="FF0000"/>
                <w:sz w:val="16"/>
              </w:rPr>
              <w:t>No</w:t>
            </w:r>
          </w:p>
        </w:tc>
        <w:tc>
          <w:tcPr>
            <w:tcW w:w="333" w:type="pct"/>
            <w:tcBorders>
              <w:top w:val="nil"/>
              <w:left w:val="nil"/>
              <w:bottom w:val="nil"/>
              <w:right w:val="nil"/>
            </w:tcBorders>
            <w:shd w:val="clear" w:color="000000" w:fill="FFEAAF"/>
            <w:vAlign w:val="center"/>
            <w:hideMark/>
          </w:tcPr>
          <w:p w14:paraId="729E83C6" w14:textId="77777777" w:rsidR="000F2ED2" w:rsidRPr="00CA6CBB" w:rsidRDefault="000F2ED2" w:rsidP="007047DA">
            <w:pPr>
              <w:pBdr>
                <w:top w:val="none" w:sz="0" w:space="0" w:color="auto"/>
                <w:left w:val="none" w:sz="0" w:space="0" w:color="auto"/>
                <w:bottom w:val="none" w:sz="0" w:space="0" w:color="auto"/>
                <w:right w:val="none" w:sz="0" w:space="0" w:color="auto"/>
                <w:between w:val="none" w:sz="0" w:space="0" w:color="auto"/>
              </w:pBdr>
              <w:ind w:left="-20" w:right="-109"/>
              <w:jc w:val="center"/>
              <w:rPr>
                <w:rFonts w:ascii="Calibri" w:eastAsia="Times New Roman" w:hAnsi="Calibri" w:cs="Calibri"/>
                <w:color w:val="FF0000"/>
                <w:sz w:val="16"/>
                <w:szCs w:val="16"/>
              </w:rPr>
            </w:pPr>
            <w:r w:rsidRPr="00CA6CBB">
              <w:rPr>
                <w:rFonts w:ascii="Calibri" w:hAnsi="Calibri"/>
                <w:color w:val="FF0000"/>
                <w:sz w:val="16"/>
              </w:rPr>
              <w:t>Descartado</w:t>
            </w:r>
          </w:p>
        </w:tc>
        <w:tc>
          <w:tcPr>
            <w:tcW w:w="697" w:type="pct"/>
            <w:tcBorders>
              <w:top w:val="nil"/>
              <w:left w:val="nil"/>
              <w:bottom w:val="nil"/>
              <w:right w:val="single" w:sz="4" w:space="0" w:color="auto"/>
            </w:tcBorders>
            <w:shd w:val="clear" w:color="000000" w:fill="FFEAAF"/>
            <w:vAlign w:val="center"/>
            <w:hideMark/>
          </w:tcPr>
          <w:p w14:paraId="4632495A"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FF0000"/>
                <w:sz w:val="16"/>
                <w:szCs w:val="16"/>
              </w:rPr>
            </w:pPr>
            <w:r w:rsidRPr="00CA6CBB">
              <w:rPr>
                <w:rFonts w:ascii="Calibri" w:hAnsi="Calibri"/>
                <w:color w:val="FF0000"/>
                <w:sz w:val="16"/>
              </w:rPr>
              <w:t>Sustituido por 18 (decisión del Grupo de trabajo de centrarse en los recordatorios de fecha límite)</w:t>
            </w:r>
          </w:p>
        </w:tc>
      </w:tr>
      <w:tr w:rsidR="000F2ED2" w:rsidRPr="00CA6CBB" w14:paraId="16156969" w14:textId="77777777" w:rsidTr="007047DA">
        <w:trPr>
          <w:trHeight w:val="480"/>
        </w:trPr>
        <w:tc>
          <w:tcPr>
            <w:tcW w:w="193" w:type="pct"/>
            <w:tcBorders>
              <w:top w:val="nil"/>
              <w:left w:val="single" w:sz="4" w:space="0" w:color="auto"/>
              <w:bottom w:val="nil"/>
              <w:right w:val="nil"/>
            </w:tcBorders>
            <w:shd w:val="clear" w:color="000000" w:fill="CAE2BC"/>
            <w:vAlign w:val="center"/>
            <w:hideMark/>
          </w:tcPr>
          <w:p w14:paraId="1013713D"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2023</w:t>
            </w:r>
          </w:p>
        </w:tc>
        <w:tc>
          <w:tcPr>
            <w:tcW w:w="272" w:type="pct"/>
            <w:tcBorders>
              <w:top w:val="nil"/>
              <w:left w:val="nil"/>
              <w:bottom w:val="nil"/>
              <w:right w:val="nil"/>
            </w:tcBorders>
            <w:shd w:val="clear" w:color="000000" w:fill="CAE2BC"/>
            <w:vAlign w:val="center"/>
            <w:hideMark/>
          </w:tcPr>
          <w:p w14:paraId="54EBEFE0"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5</w:t>
            </w:r>
          </w:p>
        </w:tc>
        <w:tc>
          <w:tcPr>
            <w:tcW w:w="2094" w:type="pct"/>
            <w:tcBorders>
              <w:top w:val="nil"/>
              <w:left w:val="nil"/>
              <w:bottom w:val="nil"/>
              <w:right w:val="nil"/>
            </w:tcBorders>
            <w:shd w:val="clear" w:color="000000" w:fill="CAE2BC"/>
            <w:vAlign w:val="center"/>
            <w:hideMark/>
          </w:tcPr>
          <w:p w14:paraId="7A5E3F7C"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Mostrar el porcentaje de las CPC que han completado el Informe anual (por ejemplo, 19 CPC de 57 = 33,3 %, sobre todo en el plazo +1)</w:t>
            </w:r>
          </w:p>
        </w:tc>
        <w:tc>
          <w:tcPr>
            <w:tcW w:w="430" w:type="pct"/>
            <w:tcBorders>
              <w:top w:val="nil"/>
              <w:left w:val="nil"/>
              <w:bottom w:val="nil"/>
              <w:right w:val="nil"/>
            </w:tcBorders>
            <w:shd w:val="clear" w:color="000000" w:fill="CAE2BC"/>
            <w:vAlign w:val="center"/>
            <w:hideMark/>
          </w:tcPr>
          <w:p w14:paraId="0CB67375"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Informe anual</w:t>
            </w:r>
          </w:p>
        </w:tc>
        <w:tc>
          <w:tcPr>
            <w:tcW w:w="291" w:type="pct"/>
            <w:tcBorders>
              <w:top w:val="nil"/>
              <w:left w:val="nil"/>
              <w:bottom w:val="nil"/>
              <w:right w:val="nil"/>
            </w:tcBorders>
            <w:shd w:val="clear" w:color="000000" w:fill="CAE2BC"/>
            <w:vAlign w:val="center"/>
            <w:hideMark/>
          </w:tcPr>
          <w:p w14:paraId="4E780946"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Medio</w:t>
            </w:r>
          </w:p>
        </w:tc>
        <w:tc>
          <w:tcPr>
            <w:tcW w:w="283" w:type="pct"/>
            <w:tcBorders>
              <w:top w:val="nil"/>
              <w:left w:val="nil"/>
              <w:bottom w:val="nil"/>
              <w:right w:val="nil"/>
            </w:tcBorders>
            <w:shd w:val="clear" w:color="000000" w:fill="CAE2BC"/>
            <w:vAlign w:val="center"/>
            <w:hideMark/>
          </w:tcPr>
          <w:p w14:paraId="6E089DFD"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No</w:t>
            </w:r>
          </w:p>
        </w:tc>
        <w:tc>
          <w:tcPr>
            <w:tcW w:w="407" w:type="pct"/>
            <w:tcBorders>
              <w:top w:val="nil"/>
              <w:left w:val="nil"/>
              <w:bottom w:val="nil"/>
              <w:right w:val="nil"/>
            </w:tcBorders>
            <w:shd w:val="clear" w:color="000000" w:fill="CAE2BC"/>
            <w:vAlign w:val="center"/>
            <w:hideMark/>
          </w:tcPr>
          <w:p w14:paraId="5BA1F1C3"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No</w:t>
            </w:r>
          </w:p>
        </w:tc>
        <w:tc>
          <w:tcPr>
            <w:tcW w:w="333" w:type="pct"/>
            <w:tcBorders>
              <w:top w:val="nil"/>
              <w:left w:val="nil"/>
              <w:bottom w:val="nil"/>
              <w:right w:val="nil"/>
            </w:tcBorders>
            <w:shd w:val="clear" w:color="000000" w:fill="CAE2BC"/>
            <w:vAlign w:val="center"/>
            <w:hideMark/>
          </w:tcPr>
          <w:p w14:paraId="6EC4B39B" w14:textId="77777777" w:rsidR="000F2ED2" w:rsidRPr="00CA6CBB" w:rsidRDefault="000F2ED2" w:rsidP="007047DA">
            <w:pPr>
              <w:pBdr>
                <w:top w:val="none" w:sz="0" w:space="0" w:color="auto"/>
                <w:left w:val="none" w:sz="0" w:space="0" w:color="auto"/>
                <w:bottom w:val="none" w:sz="0" w:space="0" w:color="auto"/>
                <w:right w:val="none" w:sz="0" w:space="0" w:color="auto"/>
                <w:between w:val="none" w:sz="0" w:space="0" w:color="auto"/>
              </w:pBdr>
              <w:ind w:left="-20" w:right="-109"/>
              <w:jc w:val="center"/>
              <w:rPr>
                <w:rFonts w:ascii="Calibri" w:eastAsia="Times New Roman" w:hAnsi="Calibri" w:cs="Calibri"/>
                <w:color w:val="auto"/>
                <w:sz w:val="16"/>
                <w:szCs w:val="16"/>
              </w:rPr>
            </w:pPr>
            <w:r w:rsidRPr="00CA6CBB">
              <w:rPr>
                <w:rFonts w:ascii="Calibri" w:hAnsi="Calibri"/>
                <w:color w:val="auto"/>
                <w:sz w:val="16"/>
              </w:rPr>
              <w:t>Terminado</w:t>
            </w:r>
          </w:p>
        </w:tc>
        <w:tc>
          <w:tcPr>
            <w:tcW w:w="697" w:type="pct"/>
            <w:tcBorders>
              <w:top w:val="nil"/>
              <w:left w:val="nil"/>
              <w:bottom w:val="nil"/>
              <w:right w:val="single" w:sz="4" w:space="0" w:color="auto"/>
            </w:tcBorders>
            <w:shd w:val="clear" w:color="000000" w:fill="CAE2BC"/>
            <w:vAlign w:val="center"/>
            <w:hideMark/>
          </w:tcPr>
          <w:p w14:paraId="0B2B457C"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No se ha tomado una decisión (quizá se añada al panel de control)</w:t>
            </w:r>
          </w:p>
        </w:tc>
      </w:tr>
      <w:tr w:rsidR="000F2ED2" w:rsidRPr="00CA6CBB" w14:paraId="1774EA1A" w14:textId="77777777" w:rsidTr="007047DA">
        <w:trPr>
          <w:trHeight w:val="480"/>
        </w:trPr>
        <w:tc>
          <w:tcPr>
            <w:tcW w:w="193" w:type="pct"/>
            <w:tcBorders>
              <w:top w:val="nil"/>
              <w:left w:val="single" w:sz="4" w:space="0" w:color="auto"/>
              <w:bottom w:val="nil"/>
              <w:right w:val="nil"/>
            </w:tcBorders>
            <w:shd w:val="clear" w:color="000000" w:fill="CAE2BC"/>
            <w:vAlign w:val="center"/>
            <w:hideMark/>
          </w:tcPr>
          <w:p w14:paraId="4E799FEF"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2023</w:t>
            </w:r>
          </w:p>
        </w:tc>
        <w:tc>
          <w:tcPr>
            <w:tcW w:w="272" w:type="pct"/>
            <w:tcBorders>
              <w:top w:val="nil"/>
              <w:left w:val="nil"/>
              <w:bottom w:val="nil"/>
              <w:right w:val="nil"/>
            </w:tcBorders>
            <w:shd w:val="clear" w:color="000000" w:fill="CAE2BC"/>
            <w:vAlign w:val="center"/>
            <w:hideMark/>
          </w:tcPr>
          <w:p w14:paraId="2AF975E8"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6</w:t>
            </w:r>
          </w:p>
        </w:tc>
        <w:tc>
          <w:tcPr>
            <w:tcW w:w="2094" w:type="pct"/>
            <w:tcBorders>
              <w:top w:val="nil"/>
              <w:left w:val="nil"/>
              <w:bottom w:val="nil"/>
              <w:right w:val="nil"/>
            </w:tcBorders>
            <w:shd w:val="clear" w:color="000000" w:fill="CAE2BC"/>
            <w:vAlign w:val="center"/>
            <w:hideMark/>
          </w:tcPr>
          <w:p w14:paraId="3F2D1634"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 xml:space="preserve">Ordenar alfabéticamente los completados al 100 %, no por orden de finalización, y añadir la columna "fecha de presentación" al gráfico. </w:t>
            </w:r>
          </w:p>
        </w:tc>
        <w:tc>
          <w:tcPr>
            <w:tcW w:w="430" w:type="pct"/>
            <w:tcBorders>
              <w:top w:val="nil"/>
              <w:left w:val="nil"/>
              <w:bottom w:val="nil"/>
              <w:right w:val="nil"/>
            </w:tcBorders>
            <w:shd w:val="clear" w:color="000000" w:fill="CAE2BC"/>
            <w:vAlign w:val="center"/>
            <w:hideMark/>
          </w:tcPr>
          <w:p w14:paraId="3FB9A953"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Informe anual</w:t>
            </w:r>
          </w:p>
        </w:tc>
        <w:tc>
          <w:tcPr>
            <w:tcW w:w="291" w:type="pct"/>
            <w:tcBorders>
              <w:top w:val="nil"/>
              <w:left w:val="nil"/>
              <w:bottom w:val="nil"/>
              <w:right w:val="nil"/>
            </w:tcBorders>
            <w:shd w:val="clear" w:color="000000" w:fill="CAE2BC"/>
            <w:vAlign w:val="center"/>
            <w:hideMark/>
          </w:tcPr>
          <w:p w14:paraId="50A1A639"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Medio</w:t>
            </w:r>
          </w:p>
        </w:tc>
        <w:tc>
          <w:tcPr>
            <w:tcW w:w="283" w:type="pct"/>
            <w:tcBorders>
              <w:top w:val="nil"/>
              <w:left w:val="nil"/>
              <w:bottom w:val="nil"/>
              <w:right w:val="nil"/>
            </w:tcBorders>
            <w:shd w:val="clear" w:color="000000" w:fill="CAE2BC"/>
            <w:vAlign w:val="center"/>
            <w:hideMark/>
          </w:tcPr>
          <w:p w14:paraId="6472C713"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Sí</w:t>
            </w:r>
          </w:p>
        </w:tc>
        <w:tc>
          <w:tcPr>
            <w:tcW w:w="407" w:type="pct"/>
            <w:tcBorders>
              <w:top w:val="nil"/>
              <w:left w:val="nil"/>
              <w:bottom w:val="nil"/>
              <w:right w:val="nil"/>
            </w:tcBorders>
            <w:shd w:val="clear" w:color="000000" w:fill="CAE2BC"/>
            <w:vAlign w:val="center"/>
            <w:hideMark/>
          </w:tcPr>
          <w:p w14:paraId="224C1319"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Sí</w:t>
            </w:r>
          </w:p>
        </w:tc>
        <w:tc>
          <w:tcPr>
            <w:tcW w:w="333" w:type="pct"/>
            <w:tcBorders>
              <w:top w:val="nil"/>
              <w:left w:val="nil"/>
              <w:bottom w:val="nil"/>
              <w:right w:val="nil"/>
            </w:tcBorders>
            <w:shd w:val="clear" w:color="000000" w:fill="CAE2BC"/>
            <w:vAlign w:val="center"/>
            <w:hideMark/>
          </w:tcPr>
          <w:p w14:paraId="5B856ED6" w14:textId="77777777" w:rsidR="000F2ED2" w:rsidRPr="00CA6CBB" w:rsidRDefault="000F2ED2" w:rsidP="007047DA">
            <w:pPr>
              <w:pBdr>
                <w:top w:val="none" w:sz="0" w:space="0" w:color="auto"/>
                <w:left w:val="none" w:sz="0" w:space="0" w:color="auto"/>
                <w:bottom w:val="none" w:sz="0" w:space="0" w:color="auto"/>
                <w:right w:val="none" w:sz="0" w:space="0" w:color="auto"/>
                <w:between w:val="none" w:sz="0" w:space="0" w:color="auto"/>
              </w:pBdr>
              <w:ind w:left="-20" w:right="-109"/>
              <w:jc w:val="center"/>
              <w:rPr>
                <w:rFonts w:ascii="Calibri" w:eastAsia="Times New Roman" w:hAnsi="Calibri" w:cs="Calibri"/>
                <w:color w:val="auto"/>
                <w:sz w:val="16"/>
                <w:szCs w:val="16"/>
              </w:rPr>
            </w:pPr>
            <w:r w:rsidRPr="00CA6CBB">
              <w:rPr>
                <w:rFonts w:ascii="Calibri" w:hAnsi="Calibri"/>
                <w:color w:val="auto"/>
                <w:sz w:val="16"/>
              </w:rPr>
              <w:t>Terminado</w:t>
            </w:r>
          </w:p>
        </w:tc>
        <w:tc>
          <w:tcPr>
            <w:tcW w:w="697" w:type="pct"/>
            <w:tcBorders>
              <w:top w:val="nil"/>
              <w:left w:val="nil"/>
              <w:bottom w:val="nil"/>
              <w:right w:val="single" w:sz="4" w:space="0" w:color="auto"/>
            </w:tcBorders>
            <w:shd w:val="clear" w:color="000000" w:fill="CAE2BC"/>
            <w:vAlign w:val="center"/>
            <w:hideMark/>
          </w:tcPr>
          <w:p w14:paraId="28F9EFE5"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Aún no se ha añadido la fecha</w:t>
            </w:r>
          </w:p>
        </w:tc>
      </w:tr>
      <w:tr w:rsidR="000F2ED2" w:rsidRPr="00CA6CBB" w14:paraId="2BD71CC7" w14:textId="77777777" w:rsidTr="007047DA">
        <w:trPr>
          <w:trHeight w:val="240"/>
        </w:trPr>
        <w:tc>
          <w:tcPr>
            <w:tcW w:w="193" w:type="pct"/>
            <w:tcBorders>
              <w:top w:val="nil"/>
              <w:left w:val="single" w:sz="4" w:space="0" w:color="auto"/>
              <w:bottom w:val="nil"/>
              <w:right w:val="nil"/>
            </w:tcBorders>
            <w:shd w:val="clear" w:color="000000" w:fill="FFEAAF"/>
            <w:vAlign w:val="center"/>
            <w:hideMark/>
          </w:tcPr>
          <w:p w14:paraId="7B45ACFA"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FF0000"/>
                <w:sz w:val="16"/>
                <w:szCs w:val="16"/>
              </w:rPr>
            </w:pPr>
            <w:r w:rsidRPr="00CA6CBB">
              <w:rPr>
                <w:rFonts w:ascii="Calibri" w:hAnsi="Calibri"/>
                <w:color w:val="FF0000"/>
                <w:sz w:val="16"/>
              </w:rPr>
              <w:t>2023</w:t>
            </w:r>
          </w:p>
        </w:tc>
        <w:tc>
          <w:tcPr>
            <w:tcW w:w="272" w:type="pct"/>
            <w:tcBorders>
              <w:top w:val="nil"/>
              <w:left w:val="nil"/>
              <w:bottom w:val="nil"/>
              <w:right w:val="nil"/>
            </w:tcBorders>
            <w:shd w:val="clear" w:color="000000" w:fill="FFEAAF"/>
            <w:vAlign w:val="center"/>
            <w:hideMark/>
          </w:tcPr>
          <w:p w14:paraId="3B09E23D"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FF0000"/>
                <w:sz w:val="16"/>
                <w:szCs w:val="16"/>
              </w:rPr>
            </w:pPr>
            <w:r w:rsidRPr="00CA6CBB">
              <w:rPr>
                <w:rFonts w:ascii="Calibri" w:hAnsi="Calibri"/>
                <w:color w:val="FF0000"/>
                <w:sz w:val="16"/>
              </w:rPr>
              <w:t>7</w:t>
            </w:r>
          </w:p>
        </w:tc>
        <w:tc>
          <w:tcPr>
            <w:tcW w:w="2094" w:type="pct"/>
            <w:tcBorders>
              <w:top w:val="nil"/>
              <w:left w:val="nil"/>
              <w:bottom w:val="nil"/>
              <w:right w:val="nil"/>
            </w:tcBorders>
            <w:shd w:val="clear" w:color="000000" w:fill="FFEAAF"/>
            <w:vAlign w:val="center"/>
            <w:hideMark/>
          </w:tcPr>
          <w:p w14:paraId="05391BE6"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FF0000"/>
                <w:sz w:val="16"/>
                <w:szCs w:val="16"/>
              </w:rPr>
            </w:pPr>
            <w:r w:rsidRPr="00CA6CBB">
              <w:rPr>
                <w:rFonts w:ascii="Calibri" w:hAnsi="Calibri"/>
                <w:color w:val="FF0000"/>
                <w:sz w:val="16"/>
              </w:rPr>
              <w:t xml:space="preserve">Opción de cancelar la importación de un fichero </w:t>
            </w:r>
          </w:p>
        </w:tc>
        <w:tc>
          <w:tcPr>
            <w:tcW w:w="430" w:type="pct"/>
            <w:tcBorders>
              <w:top w:val="nil"/>
              <w:left w:val="nil"/>
              <w:bottom w:val="nil"/>
              <w:right w:val="nil"/>
            </w:tcBorders>
            <w:shd w:val="clear" w:color="000000" w:fill="FFEAAF"/>
            <w:vAlign w:val="center"/>
            <w:hideMark/>
          </w:tcPr>
          <w:p w14:paraId="7AF002F2"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FF0000"/>
                <w:sz w:val="16"/>
                <w:szCs w:val="16"/>
              </w:rPr>
            </w:pPr>
            <w:r w:rsidRPr="00CA6CBB">
              <w:rPr>
                <w:rFonts w:ascii="Calibri" w:hAnsi="Calibri"/>
                <w:color w:val="FF0000"/>
                <w:sz w:val="16"/>
              </w:rPr>
              <w:t>Informe anual</w:t>
            </w:r>
          </w:p>
        </w:tc>
        <w:tc>
          <w:tcPr>
            <w:tcW w:w="291" w:type="pct"/>
            <w:tcBorders>
              <w:top w:val="nil"/>
              <w:left w:val="nil"/>
              <w:bottom w:val="nil"/>
              <w:right w:val="nil"/>
            </w:tcBorders>
            <w:shd w:val="clear" w:color="000000" w:fill="FFEAAF"/>
            <w:vAlign w:val="center"/>
            <w:hideMark/>
          </w:tcPr>
          <w:p w14:paraId="64ADE730"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FF0000"/>
                <w:sz w:val="16"/>
                <w:szCs w:val="16"/>
              </w:rPr>
            </w:pPr>
            <w:r w:rsidRPr="00CA6CBB">
              <w:rPr>
                <w:rFonts w:ascii="Calibri" w:hAnsi="Calibri"/>
                <w:color w:val="FF0000"/>
                <w:sz w:val="16"/>
              </w:rPr>
              <w:t>Elevado</w:t>
            </w:r>
          </w:p>
        </w:tc>
        <w:tc>
          <w:tcPr>
            <w:tcW w:w="283" w:type="pct"/>
            <w:tcBorders>
              <w:top w:val="nil"/>
              <w:left w:val="nil"/>
              <w:bottom w:val="nil"/>
              <w:right w:val="nil"/>
            </w:tcBorders>
            <w:shd w:val="clear" w:color="000000" w:fill="FFEAAF"/>
            <w:vAlign w:val="center"/>
            <w:hideMark/>
          </w:tcPr>
          <w:p w14:paraId="7E8AFE37"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FF0000"/>
                <w:sz w:val="16"/>
                <w:szCs w:val="16"/>
              </w:rPr>
            </w:pPr>
            <w:r w:rsidRPr="00CA6CBB">
              <w:rPr>
                <w:rFonts w:ascii="Calibri" w:hAnsi="Calibri"/>
                <w:color w:val="FF0000"/>
                <w:sz w:val="16"/>
              </w:rPr>
              <w:t>No</w:t>
            </w:r>
          </w:p>
        </w:tc>
        <w:tc>
          <w:tcPr>
            <w:tcW w:w="407" w:type="pct"/>
            <w:tcBorders>
              <w:top w:val="nil"/>
              <w:left w:val="nil"/>
              <w:bottom w:val="nil"/>
              <w:right w:val="nil"/>
            </w:tcBorders>
            <w:shd w:val="clear" w:color="000000" w:fill="FFEAAF"/>
            <w:vAlign w:val="center"/>
            <w:hideMark/>
          </w:tcPr>
          <w:p w14:paraId="354785C2"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FF0000"/>
                <w:sz w:val="16"/>
                <w:szCs w:val="16"/>
              </w:rPr>
            </w:pPr>
            <w:r w:rsidRPr="00CA6CBB">
              <w:rPr>
                <w:rFonts w:ascii="Calibri" w:hAnsi="Calibri"/>
                <w:color w:val="FF0000"/>
                <w:sz w:val="16"/>
              </w:rPr>
              <w:t>No</w:t>
            </w:r>
          </w:p>
        </w:tc>
        <w:tc>
          <w:tcPr>
            <w:tcW w:w="333" w:type="pct"/>
            <w:tcBorders>
              <w:top w:val="nil"/>
              <w:left w:val="nil"/>
              <w:bottom w:val="nil"/>
              <w:right w:val="nil"/>
            </w:tcBorders>
            <w:shd w:val="clear" w:color="000000" w:fill="FFEAAF"/>
            <w:vAlign w:val="center"/>
            <w:hideMark/>
          </w:tcPr>
          <w:p w14:paraId="13E32E09" w14:textId="77777777" w:rsidR="000F2ED2" w:rsidRPr="00CA6CBB" w:rsidRDefault="000F2ED2" w:rsidP="007047DA">
            <w:pPr>
              <w:pBdr>
                <w:top w:val="none" w:sz="0" w:space="0" w:color="auto"/>
                <w:left w:val="none" w:sz="0" w:space="0" w:color="auto"/>
                <w:bottom w:val="none" w:sz="0" w:space="0" w:color="auto"/>
                <w:right w:val="none" w:sz="0" w:space="0" w:color="auto"/>
                <w:between w:val="none" w:sz="0" w:space="0" w:color="auto"/>
              </w:pBdr>
              <w:ind w:left="-20" w:right="-109"/>
              <w:jc w:val="center"/>
              <w:rPr>
                <w:rFonts w:ascii="Calibri" w:eastAsia="Times New Roman" w:hAnsi="Calibri" w:cs="Calibri"/>
                <w:color w:val="FF0000"/>
                <w:sz w:val="16"/>
                <w:szCs w:val="16"/>
              </w:rPr>
            </w:pPr>
            <w:r w:rsidRPr="00CA6CBB">
              <w:rPr>
                <w:rFonts w:ascii="Calibri" w:hAnsi="Calibri"/>
                <w:color w:val="FF0000"/>
                <w:sz w:val="16"/>
              </w:rPr>
              <w:t>Descartado</w:t>
            </w:r>
          </w:p>
        </w:tc>
        <w:tc>
          <w:tcPr>
            <w:tcW w:w="697" w:type="pct"/>
            <w:tcBorders>
              <w:top w:val="nil"/>
              <w:left w:val="nil"/>
              <w:bottom w:val="nil"/>
              <w:right w:val="single" w:sz="4" w:space="0" w:color="auto"/>
            </w:tcBorders>
            <w:shd w:val="clear" w:color="000000" w:fill="FFEAAF"/>
            <w:vAlign w:val="center"/>
            <w:hideMark/>
          </w:tcPr>
          <w:p w14:paraId="0D69B87C"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FF0000"/>
                <w:sz w:val="16"/>
                <w:szCs w:val="16"/>
              </w:rPr>
            </w:pPr>
            <w:r w:rsidRPr="00CA6CBB">
              <w:rPr>
                <w:rFonts w:ascii="Calibri" w:hAnsi="Calibri"/>
                <w:color w:val="FF0000"/>
                <w:sz w:val="16"/>
              </w:rPr>
              <w:t>El versionado ya lo contempla</w:t>
            </w:r>
          </w:p>
        </w:tc>
      </w:tr>
      <w:tr w:rsidR="000F2ED2" w:rsidRPr="00CA6CBB" w14:paraId="436EBE70" w14:textId="77777777" w:rsidTr="007047DA">
        <w:trPr>
          <w:trHeight w:val="480"/>
        </w:trPr>
        <w:tc>
          <w:tcPr>
            <w:tcW w:w="193" w:type="pct"/>
            <w:tcBorders>
              <w:top w:val="nil"/>
              <w:left w:val="single" w:sz="4" w:space="0" w:color="auto"/>
              <w:bottom w:val="nil"/>
              <w:right w:val="nil"/>
            </w:tcBorders>
            <w:shd w:val="clear" w:color="000000" w:fill="FFEAAF"/>
            <w:vAlign w:val="center"/>
            <w:hideMark/>
          </w:tcPr>
          <w:p w14:paraId="7677CCD1"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FF0000"/>
                <w:sz w:val="16"/>
                <w:szCs w:val="16"/>
              </w:rPr>
            </w:pPr>
            <w:r w:rsidRPr="00CA6CBB">
              <w:rPr>
                <w:rFonts w:ascii="Calibri" w:hAnsi="Calibri"/>
                <w:color w:val="FF0000"/>
                <w:sz w:val="16"/>
              </w:rPr>
              <w:t>2023</w:t>
            </w:r>
          </w:p>
        </w:tc>
        <w:tc>
          <w:tcPr>
            <w:tcW w:w="272" w:type="pct"/>
            <w:tcBorders>
              <w:top w:val="nil"/>
              <w:left w:val="nil"/>
              <w:bottom w:val="nil"/>
              <w:right w:val="nil"/>
            </w:tcBorders>
            <w:shd w:val="clear" w:color="000000" w:fill="FFEAAF"/>
            <w:vAlign w:val="center"/>
            <w:hideMark/>
          </w:tcPr>
          <w:p w14:paraId="6CF9558D"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FF0000"/>
                <w:sz w:val="16"/>
                <w:szCs w:val="16"/>
              </w:rPr>
            </w:pPr>
            <w:r w:rsidRPr="00CA6CBB">
              <w:rPr>
                <w:rFonts w:ascii="Calibri" w:hAnsi="Calibri"/>
                <w:color w:val="FF0000"/>
                <w:sz w:val="16"/>
              </w:rPr>
              <w:t>11</w:t>
            </w:r>
          </w:p>
        </w:tc>
        <w:tc>
          <w:tcPr>
            <w:tcW w:w="2094" w:type="pct"/>
            <w:tcBorders>
              <w:top w:val="nil"/>
              <w:left w:val="nil"/>
              <w:bottom w:val="nil"/>
              <w:right w:val="nil"/>
            </w:tcBorders>
            <w:shd w:val="clear" w:color="000000" w:fill="FFEAAF"/>
            <w:vAlign w:val="center"/>
            <w:hideMark/>
          </w:tcPr>
          <w:p w14:paraId="3453E428"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FF0000"/>
                <w:sz w:val="16"/>
                <w:szCs w:val="16"/>
              </w:rPr>
            </w:pPr>
            <w:r w:rsidRPr="00CA6CBB">
              <w:rPr>
                <w:rFonts w:ascii="Calibri" w:hAnsi="Calibri"/>
                <w:color w:val="FF0000"/>
                <w:sz w:val="16"/>
              </w:rPr>
              <w:t xml:space="preserve">Si el personal de la Secretaría edita manualmente los requisitos a petición de la CPC/del remitente original, ¿es necesario guardarlo como una nueva versión y que aparezca nuestro nombre? </w:t>
            </w:r>
          </w:p>
        </w:tc>
        <w:tc>
          <w:tcPr>
            <w:tcW w:w="430" w:type="pct"/>
            <w:tcBorders>
              <w:top w:val="nil"/>
              <w:left w:val="nil"/>
              <w:bottom w:val="nil"/>
              <w:right w:val="nil"/>
            </w:tcBorders>
            <w:shd w:val="clear" w:color="000000" w:fill="FFEAAF"/>
            <w:vAlign w:val="center"/>
            <w:hideMark/>
          </w:tcPr>
          <w:p w14:paraId="11649598"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FF0000"/>
                <w:sz w:val="16"/>
                <w:szCs w:val="16"/>
              </w:rPr>
            </w:pPr>
            <w:r w:rsidRPr="00CA6CBB">
              <w:rPr>
                <w:rFonts w:ascii="Calibri" w:hAnsi="Calibri"/>
                <w:color w:val="FF0000"/>
                <w:sz w:val="16"/>
              </w:rPr>
              <w:t>Informe anual</w:t>
            </w:r>
          </w:p>
        </w:tc>
        <w:tc>
          <w:tcPr>
            <w:tcW w:w="291" w:type="pct"/>
            <w:tcBorders>
              <w:top w:val="nil"/>
              <w:left w:val="nil"/>
              <w:bottom w:val="nil"/>
              <w:right w:val="nil"/>
            </w:tcBorders>
            <w:shd w:val="clear" w:color="000000" w:fill="FFEAAF"/>
            <w:vAlign w:val="center"/>
            <w:hideMark/>
          </w:tcPr>
          <w:p w14:paraId="5ACBB17F"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FF0000"/>
                <w:sz w:val="16"/>
                <w:szCs w:val="16"/>
              </w:rPr>
            </w:pPr>
            <w:r w:rsidRPr="00CA6CBB">
              <w:rPr>
                <w:rFonts w:ascii="Calibri" w:hAnsi="Calibri"/>
                <w:color w:val="FF0000"/>
                <w:sz w:val="16"/>
              </w:rPr>
              <w:t>Medio</w:t>
            </w:r>
          </w:p>
        </w:tc>
        <w:tc>
          <w:tcPr>
            <w:tcW w:w="283" w:type="pct"/>
            <w:tcBorders>
              <w:top w:val="nil"/>
              <w:left w:val="nil"/>
              <w:bottom w:val="nil"/>
              <w:right w:val="nil"/>
            </w:tcBorders>
            <w:shd w:val="clear" w:color="000000" w:fill="FFEAAF"/>
            <w:vAlign w:val="center"/>
            <w:hideMark/>
          </w:tcPr>
          <w:p w14:paraId="536547B4"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FF0000"/>
                <w:sz w:val="16"/>
                <w:szCs w:val="16"/>
              </w:rPr>
            </w:pPr>
            <w:r w:rsidRPr="00CA6CBB">
              <w:rPr>
                <w:rFonts w:ascii="Calibri" w:hAnsi="Calibri"/>
                <w:color w:val="FF0000"/>
                <w:sz w:val="16"/>
              </w:rPr>
              <w:t>No</w:t>
            </w:r>
          </w:p>
        </w:tc>
        <w:tc>
          <w:tcPr>
            <w:tcW w:w="407" w:type="pct"/>
            <w:tcBorders>
              <w:top w:val="nil"/>
              <w:left w:val="nil"/>
              <w:bottom w:val="nil"/>
              <w:right w:val="nil"/>
            </w:tcBorders>
            <w:shd w:val="clear" w:color="000000" w:fill="FFEAAF"/>
            <w:vAlign w:val="center"/>
            <w:hideMark/>
          </w:tcPr>
          <w:p w14:paraId="6F7C93D0"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FF0000"/>
                <w:sz w:val="16"/>
                <w:szCs w:val="16"/>
              </w:rPr>
            </w:pPr>
            <w:r w:rsidRPr="00CA6CBB">
              <w:rPr>
                <w:rFonts w:ascii="Calibri" w:hAnsi="Calibri"/>
                <w:color w:val="FF0000"/>
                <w:sz w:val="16"/>
              </w:rPr>
              <w:t>No</w:t>
            </w:r>
          </w:p>
        </w:tc>
        <w:tc>
          <w:tcPr>
            <w:tcW w:w="333" w:type="pct"/>
            <w:tcBorders>
              <w:top w:val="nil"/>
              <w:left w:val="nil"/>
              <w:bottom w:val="nil"/>
              <w:right w:val="nil"/>
            </w:tcBorders>
            <w:shd w:val="clear" w:color="000000" w:fill="FFEAAF"/>
            <w:vAlign w:val="center"/>
            <w:hideMark/>
          </w:tcPr>
          <w:p w14:paraId="193F8116" w14:textId="77777777" w:rsidR="000F2ED2" w:rsidRPr="00CA6CBB" w:rsidRDefault="000F2ED2" w:rsidP="007047DA">
            <w:pPr>
              <w:pBdr>
                <w:top w:val="none" w:sz="0" w:space="0" w:color="auto"/>
                <w:left w:val="none" w:sz="0" w:space="0" w:color="auto"/>
                <w:bottom w:val="none" w:sz="0" w:space="0" w:color="auto"/>
                <w:right w:val="none" w:sz="0" w:space="0" w:color="auto"/>
                <w:between w:val="none" w:sz="0" w:space="0" w:color="auto"/>
              </w:pBdr>
              <w:ind w:left="-20" w:right="-109"/>
              <w:jc w:val="center"/>
              <w:rPr>
                <w:rFonts w:ascii="Calibri" w:eastAsia="Times New Roman" w:hAnsi="Calibri" w:cs="Calibri"/>
                <w:color w:val="FF0000"/>
                <w:sz w:val="16"/>
                <w:szCs w:val="16"/>
              </w:rPr>
            </w:pPr>
            <w:r w:rsidRPr="00CA6CBB">
              <w:rPr>
                <w:rFonts w:ascii="Calibri" w:hAnsi="Calibri"/>
                <w:color w:val="FF0000"/>
                <w:sz w:val="16"/>
              </w:rPr>
              <w:t>Descartado</w:t>
            </w:r>
          </w:p>
        </w:tc>
        <w:tc>
          <w:tcPr>
            <w:tcW w:w="697" w:type="pct"/>
            <w:tcBorders>
              <w:top w:val="nil"/>
              <w:left w:val="nil"/>
              <w:bottom w:val="nil"/>
              <w:right w:val="single" w:sz="4" w:space="0" w:color="auto"/>
            </w:tcBorders>
            <w:shd w:val="clear" w:color="000000" w:fill="FFEAAF"/>
            <w:vAlign w:val="center"/>
            <w:hideMark/>
          </w:tcPr>
          <w:p w14:paraId="3447D979"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FF0000"/>
                <w:sz w:val="16"/>
                <w:szCs w:val="16"/>
              </w:rPr>
            </w:pPr>
            <w:r w:rsidRPr="00CA6CBB">
              <w:rPr>
                <w:rFonts w:ascii="Calibri" w:hAnsi="Calibri"/>
                <w:color w:val="FF0000"/>
                <w:sz w:val="16"/>
              </w:rPr>
              <w:t>Trazabilidad necesaria en todos los casos</w:t>
            </w:r>
          </w:p>
        </w:tc>
      </w:tr>
      <w:tr w:rsidR="000F2ED2" w:rsidRPr="00CA6CBB" w14:paraId="7E446400" w14:textId="77777777" w:rsidTr="007047DA">
        <w:trPr>
          <w:trHeight w:val="480"/>
        </w:trPr>
        <w:tc>
          <w:tcPr>
            <w:tcW w:w="193" w:type="pct"/>
            <w:tcBorders>
              <w:top w:val="nil"/>
              <w:left w:val="single" w:sz="4" w:space="0" w:color="auto"/>
              <w:bottom w:val="nil"/>
              <w:right w:val="nil"/>
            </w:tcBorders>
            <w:vAlign w:val="center"/>
            <w:hideMark/>
          </w:tcPr>
          <w:p w14:paraId="0A8CB378"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2024</w:t>
            </w:r>
          </w:p>
        </w:tc>
        <w:tc>
          <w:tcPr>
            <w:tcW w:w="272" w:type="pct"/>
            <w:tcBorders>
              <w:top w:val="nil"/>
              <w:left w:val="nil"/>
              <w:bottom w:val="nil"/>
              <w:right w:val="nil"/>
            </w:tcBorders>
            <w:vAlign w:val="center"/>
            <w:hideMark/>
          </w:tcPr>
          <w:p w14:paraId="52CDC1D5"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12</w:t>
            </w:r>
          </w:p>
        </w:tc>
        <w:tc>
          <w:tcPr>
            <w:tcW w:w="2094" w:type="pct"/>
            <w:tcBorders>
              <w:top w:val="nil"/>
              <w:left w:val="nil"/>
              <w:bottom w:val="nil"/>
              <w:right w:val="nil"/>
            </w:tcBorders>
            <w:vAlign w:val="center"/>
            <w:hideMark/>
          </w:tcPr>
          <w:p w14:paraId="3A91EDE8"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Preguntas discriminatorias para cumplir automáticamente los requisitos del Informe anual (incluye la elaboración de perfiles de CPC)</w:t>
            </w:r>
          </w:p>
        </w:tc>
        <w:tc>
          <w:tcPr>
            <w:tcW w:w="430" w:type="pct"/>
            <w:tcBorders>
              <w:top w:val="nil"/>
              <w:left w:val="nil"/>
              <w:bottom w:val="nil"/>
              <w:right w:val="nil"/>
            </w:tcBorders>
            <w:vAlign w:val="center"/>
            <w:hideMark/>
          </w:tcPr>
          <w:p w14:paraId="0B60BBD8"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Informe anual</w:t>
            </w:r>
          </w:p>
        </w:tc>
        <w:tc>
          <w:tcPr>
            <w:tcW w:w="291" w:type="pct"/>
            <w:tcBorders>
              <w:top w:val="nil"/>
              <w:left w:val="nil"/>
              <w:bottom w:val="nil"/>
              <w:right w:val="nil"/>
            </w:tcBorders>
            <w:vAlign w:val="center"/>
            <w:hideMark/>
          </w:tcPr>
          <w:p w14:paraId="191309CA"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Elevado</w:t>
            </w:r>
          </w:p>
        </w:tc>
        <w:tc>
          <w:tcPr>
            <w:tcW w:w="283" w:type="pct"/>
            <w:tcBorders>
              <w:top w:val="nil"/>
              <w:left w:val="nil"/>
              <w:bottom w:val="nil"/>
              <w:right w:val="nil"/>
            </w:tcBorders>
            <w:vAlign w:val="center"/>
            <w:hideMark/>
          </w:tcPr>
          <w:p w14:paraId="0A6B4654"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Sí</w:t>
            </w:r>
          </w:p>
        </w:tc>
        <w:tc>
          <w:tcPr>
            <w:tcW w:w="407" w:type="pct"/>
            <w:tcBorders>
              <w:top w:val="nil"/>
              <w:left w:val="nil"/>
              <w:bottom w:val="nil"/>
              <w:right w:val="nil"/>
            </w:tcBorders>
            <w:vAlign w:val="center"/>
            <w:hideMark/>
          </w:tcPr>
          <w:p w14:paraId="5075C3FB"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Sí</w:t>
            </w:r>
          </w:p>
        </w:tc>
        <w:tc>
          <w:tcPr>
            <w:tcW w:w="333" w:type="pct"/>
            <w:tcBorders>
              <w:top w:val="nil"/>
              <w:left w:val="nil"/>
              <w:bottom w:val="nil"/>
              <w:right w:val="nil"/>
            </w:tcBorders>
            <w:vAlign w:val="center"/>
            <w:hideMark/>
          </w:tcPr>
          <w:p w14:paraId="50EC4841" w14:textId="77777777" w:rsidR="000F2ED2" w:rsidRPr="00CA6CBB" w:rsidRDefault="000F2ED2" w:rsidP="007047DA">
            <w:pPr>
              <w:pBdr>
                <w:top w:val="none" w:sz="0" w:space="0" w:color="auto"/>
                <w:left w:val="none" w:sz="0" w:space="0" w:color="auto"/>
                <w:bottom w:val="none" w:sz="0" w:space="0" w:color="auto"/>
                <w:right w:val="none" w:sz="0" w:space="0" w:color="auto"/>
                <w:between w:val="none" w:sz="0" w:space="0" w:color="auto"/>
              </w:pBdr>
              <w:ind w:left="-20" w:right="-109"/>
              <w:jc w:val="center"/>
              <w:rPr>
                <w:rFonts w:ascii="Calibri" w:eastAsia="Times New Roman" w:hAnsi="Calibri" w:cs="Calibri"/>
                <w:color w:val="auto"/>
                <w:sz w:val="16"/>
                <w:szCs w:val="16"/>
              </w:rPr>
            </w:pPr>
            <w:r w:rsidRPr="00CA6CBB">
              <w:rPr>
                <w:rFonts w:ascii="Calibri" w:hAnsi="Calibri"/>
                <w:color w:val="auto"/>
                <w:sz w:val="16"/>
              </w:rPr>
              <w:t>En estudio</w:t>
            </w:r>
          </w:p>
        </w:tc>
        <w:tc>
          <w:tcPr>
            <w:tcW w:w="697" w:type="pct"/>
            <w:tcBorders>
              <w:top w:val="nil"/>
              <w:left w:val="nil"/>
              <w:bottom w:val="nil"/>
              <w:right w:val="single" w:sz="4" w:space="0" w:color="auto"/>
            </w:tcBorders>
            <w:vAlign w:val="center"/>
            <w:hideMark/>
          </w:tcPr>
          <w:p w14:paraId="139CB7D0"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Estudiar/crear cómo los perfiles de CPC pueden ayudar a autocompletar los Informes anuales</w:t>
            </w:r>
          </w:p>
        </w:tc>
      </w:tr>
      <w:tr w:rsidR="000F2ED2" w:rsidRPr="00CA6CBB" w14:paraId="1A1DDA8E" w14:textId="77777777" w:rsidTr="007047DA">
        <w:trPr>
          <w:trHeight w:val="240"/>
        </w:trPr>
        <w:tc>
          <w:tcPr>
            <w:tcW w:w="193" w:type="pct"/>
            <w:tcBorders>
              <w:top w:val="nil"/>
              <w:left w:val="single" w:sz="4" w:space="0" w:color="auto"/>
              <w:bottom w:val="nil"/>
              <w:right w:val="nil"/>
            </w:tcBorders>
            <w:vAlign w:val="center"/>
            <w:hideMark/>
          </w:tcPr>
          <w:p w14:paraId="20BD521B"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2024</w:t>
            </w:r>
          </w:p>
        </w:tc>
        <w:tc>
          <w:tcPr>
            <w:tcW w:w="272" w:type="pct"/>
            <w:tcBorders>
              <w:top w:val="nil"/>
              <w:left w:val="nil"/>
              <w:bottom w:val="nil"/>
              <w:right w:val="nil"/>
            </w:tcBorders>
            <w:vAlign w:val="center"/>
            <w:hideMark/>
          </w:tcPr>
          <w:p w14:paraId="1A03A443"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13</w:t>
            </w:r>
          </w:p>
        </w:tc>
        <w:tc>
          <w:tcPr>
            <w:tcW w:w="2094" w:type="pct"/>
            <w:tcBorders>
              <w:top w:val="nil"/>
              <w:left w:val="nil"/>
              <w:bottom w:val="nil"/>
              <w:right w:val="nil"/>
            </w:tcBorders>
            <w:vAlign w:val="center"/>
            <w:hideMark/>
          </w:tcPr>
          <w:p w14:paraId="18C158A3"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Revisar respuestas estándar</w:t>
            </w:r>
          </w:p>
        </w:tc>
        <w:tc>
          <w:tcPr>
            <w:tcW w:w="430" w:type="pct"/>
            <w:tcBorders>
              <w:top w:val="nil"/>
              <w:left w:val="nil"/>
              <w:bottom w:val="nil"/>
              <w:right w:val="nil"/>
            </w:tcBorders>
            <w:vAlign w:val="center"/>
            <w:hideMark/>
          </w:tcPr>
          <w:p w14:paraId="4C7224D4"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Informe anual</w:t>
            </w:r>
          </w:p>
        </w:tc>
        <w:tc>
          <w:tcPr>
            <w:tcW w:w="291" w:type="pct"/>
            <w:tcBorders>
              <w:top w:val="nil"/>
              <w:left w:val="nil"/>
              <w:bottom w:val="nil"/>
              <w:right w:val="nil"/>
            </w:tcBorders>
            <w:vAlign w:val="center"/>
            <w:hideMark/>
          </w:tcPr>
          <w:p w14:paraId="51FBBB05"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Elevado</w:t>
            </w:r>
          </w:p>
        </w:tc>
        <w:tc>
          <w:tcPr>
            <w:tcW w:w="283" w:type="pct"/>
            <w:tcBorders>
              <w:top w:val="nil"/>
              <w:left w:val="nil"/>
              <w:bottom w:val="nil"/>
              <w:right w:val="nil"/>
            </w:tcBorders>
            <w:vAlign w:val="center"/>
            <w:hideMark/>
          </w:tcPr>
          <w:p w14:paraId="41429F22"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Sí</w:t>
            </w:r>
          </w:p>
        </w:tc>
        <w:tc>
          <w:tcPr>
            <w:tcW w:w="407" w:type="pct"/>
            <w:tcBorders>
              <w:top w:val="nil"/>
              <w:left w:val="nil"/>
              <w:bottom w:val="nil"/>
              <w:right w:val="nil"/>
            </w:tcBorders>
            <w:vAlign w:val="center"/>
            <w:hideMark/>
          </w:tcPr>
          <w:p w14:paraId="33DFBFE8"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Sí</w:t>
            </w:r>
          </w:p>
        </w:tc>
        <w:tc>
          <w:tcPr>
            <w:tcW w:w="333" w:type="pct"/>
            <w:tcBorders>
              <w:top w:val="nil"/>
              <w:left w:val="nil"/>
              <w:bottom w:val="nil"/>
              <w:right w:val="nil"/>
            </w:tcBorders>
            <w:vAlign w:val="center"/>
            <w:hideMark/>
          </w:tcPr>
          <w:p w14:paraId="29D1F7FB" w14:textId="77777777" w:rsidR="000F2ED2" w:rsidRPr="00CA6CBB" w:rsidRDefault="000F2ED2" w:rsidP="007047DA">
            <w:pPr>
              <w:pBdr>
                <w:top w:val="none" w:sz="0" w:space="0" w:color="auto"/>
                <w:left w:val="none" w:sz="0" w:space="0" w:color="auto"/>
                <w:bottom w:val="none" w:sz="0" w:space="0" w:color="auto"/>
                <w:right w:val="none" w:sz="0" w:space="0" w:color="auto"/>
                <w:between w:val="none" w:sz="0" w:space="0" w:color="auto"/>
              </w:pBdr>
              <w:ind w:left="-20" w:right="-109"/>
              <w:jc w:val="center"/>
              <w:rPr>
                <w:rFonts w:ascii="Calibri" w:eastAsia="Times New Roman" w:hAnsi="Calibri" w:cs="Calibri"/>
                <w:color w:val="auto"/>
                <w:sz w:val="16"/>
                <w:szCs w:val="16"/>
              </w:rPr>
            </w:pPr>
            <w:r w:rsidRPr="00CA6CBB">
              <w:rPr>
                <w:rFonts w:ascii="Calibri" w:hAnsi="Calibri"/>
                <w:color w:val="auto"/>
                <w:sz w:val="16"/>
              </w:rPr>
              <w:t>En curso</w:t>
            </w:r>
          </w:p>
        </w:tc>
        <w:tc>
          <w:tcPr>
            <w:tcW w:w="697" w:type="pct"/>
            <w:tcBorders>
              <w:top w:val="nil"/>
              <w:left w:val="nil"/>
              <w:bottom w:val="nil"/>
              <w:right w:val="single" w:sz="4" w:space="0" w:color="auto"/>
            </w:tcBorders>
            <w:vAlign w:val="center"/>
            <w:hideMark/>
          </w:tcPr>
          <w:p w14:paraId="772323B5"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 </w:t>
            </w:r>
          </w:p>
        </w:tc>
      </w:tr>
      <w:tr w:rsidR="000F2ED2" w:rsidRPr="00CA6CBB" w14:paraId="27DF8119" w14:textId="77777777" w:rsidTr="007047DA">
        <w:trPr>
          <w:trHeight w:val="240"/>
        </w:trPr>
        <w:tc>
          <w:tcPr>
            <w:tcW w:w="193" w:type="pct"/>
            <w:tcBorders>
              <w:top w:val="nil"/>
              <w:left w:val="single" w:sz="4" w:space="0" w:color="auto"/>
              <w:bottom w:val="nil"/>
              <w:right w:val="nil"/>
            </w:tcBorders>
            <w:vAlign w:val="center"/>
            <w:hideMark/>
          </w:tcPr>
          <w:p w14:paraId="0656408C"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2024</w:t>
            </w:r>
          </w:p>
        </w:tc>
        <w:tc>
          <w:tcPr>
            <w:tcW w:w="272" w:type="pct"/>
            <w:tcBorders>
              <w:top w:val="nil"/>
              <w:left w:val="nil"/>
              <w:bottom w:val="nil"/>
              <w:right w:val="nil"/>
            </w:tcBorders>
            <w:vAlign w:val="center"/>
            <w:hideMark/>
          </w:tcPr>
          <w:p w14:paraId="35F6EEDC"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15</w:t>
            </w:r>
          </w:p>
        </w:tc>
        <w:tc>
          <w:tcPr>
            <w:tcW w:w="2094" w:type="pct"/>
            <w:tcBorders>
              <w:top w:val="nil"/>
              <w:left w:val="nil"/>
              <w:bottom w:val="nil"/>
              <w:right w:val="nil"/>
            </w:tcBorders>
            <w:vAlign w:val="center"/>
            <w:hideMark/>
          </w:tcPr>
          <w:p w14:paraId="5D364A02"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Editar/Agregar el informe anual completo (no sólo la sección 3)</w:t>
            </w:r>
          </w:p>
        </w:tc>
        <w:tc>
          <w:tcPr>
            <w:tcW w:w="430" w:type="pct"/>
            <w:tcBorders>
              <w:top w:val="nil"/>
              <w:left w:val="nil"/>
              <w:bottom w:val="nil"/>
              <w:right w:val="nil"/>
            </w:tcBorders>
            <w:vAlign w:val="center"/>
            <w:hideMark/>
          </w:tcPr>
          <w:p w14:paraId="06C211A3"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Informe anual</w:t>
            </w:r>
          </w:p>
        </w:tc>
        <w:tc>
          <w:tcPr>
            <w:tcW w:w="291" w:type="pct"/>
            <w:tcBorders>
              <w:top w:val="nil"/>
              <w:left w:val="nil"/>
              <w:bottom w:val="nil"/>
              <w:right w:val="nil"/>
            </w:tcBorders>
            <w:vAlign w:val="center"/>
            <w:hideMark/>
          </w:tcPr>
          <w:p w14:paraId="5E2B44B3"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Medio</w:t>
            </w:r>
          </w:p>
        </w:tc>
        <w:tc>
          <w:tcPr>
            <w:tcW w:w="283" w:type="pct"/>
            <w:tcBorders>
              <w:top w:val="nil"/>
              <w:left w:val="nil"/>
              <w:bottom w:val="nil"/>
              <w:right w:val="nil"/>
            </w:tcBorders>
            <w:vAlign w:val="center"/>
            <w:hideMark/>
          </w:tcPr>
          <w:p w14:paraId="3CF7607E"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Sí</w:t>
            </w:r>
          </w:p>
        </w:tc>
        <w:tc>
          <w:tcPr>
            <w:tcW w:w="407" w:type="pct"/>
            <w:tcBorders>
              <w:top w:val="nil"/>
              <w:left w:val="nil"/>
              <w:bottom w:val="nil"/>
              <w:right w:val="nil"/>
            </w:tcBorders>
            <w:vAlign w:val="center"/>
            <w:hideMark/>
          </w:tcPr>
          <w:p w14:paraId="793D96F7"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Sí</w:t>
            </w:r>
          </w:p>
        </w:tc>
        <w:tc>
          <w:tcPr>
            <w:tcW w:w="333" w:type="pct"/>
            <w:tcBorders>
              <w:top w:val="nil"/>
              <w:left w:val="nil"/>
              <w:bottom w:val="nil"/>
              <w:right w:val="nil"/>
            </w:tcBorders>
            <w:vAlign w:val="center"/>
            <w:hideMark/>
          </w:tcPr>
          <w:p w14:paraId="4AD56FBA" w14:textId="77777777" w:rsidR="000F2ED2" w:rsidRPr="00CA6CBB" w:rsidRDefault="000F2ED2" w:rsidP="007047DA">
            <w:pPr>
              <w:pBdr>
                <w:top w:val="none" w:sz="0" w:space="0" w:color="auto"/>
                <w:left w:val="none" w:sz="0" w:space="0" w:color="auto"/>
                <w:bottom w:val="none" w:sz="0" w:space="0" w:color="auto"/>
                <w:right w:val="none" w:sz="0" w:space="0" w:color="auto"/>
                <w:between w:val="none" w:sz="0" w:space="0" w:color="auto"/>
              </w:pBdr>
              <w:ind w:left="-20" w:right="-109"/>
              <w:jc w:val="center"/>
              <w:rPr>
                <w:rFonts w:ascii="Calibri" w:eastAsia="Times New Roman" w:hAnsi="Calibri" w:cs="Calibri"/>
                <w:color w:val="auto"/>
                <w:sz w:val="16"/>
                <w:szCs w:val="16"/>
              </w:rPr>
            </w:pPr>
            <w:r w:rsidRPr="00CA6CBB">
              <w:rPr>
                <w:rFonts w:ascii="Calibri" w:hAnsi="Calibri"/>
                <w:color w:val="auto"/>
                <w:sz w:val="16"/>
              </w:rPr>
              <w:t>En estudio</w:t>
            </w:r>
          </w:p>
        </w:tc>
        <w:tc>
          <w:tcPr>
            <w:tcW w:w="697" w:type="pct"/>
            <w:tcBorders>
              <w:top w:val="nil"/>
              <w:left w:val="nil"/>
              <w:bottom w:val="nil"/>
              <w:right w:val="single" w:sz="4" w:space="0" w:color="auto"/>
            </w:tcBorders>
            <w:vAlign w:val="center"/>
            <w:hideMark/>
          </w:tcPr>
          <w:p w14:paraId="792BFEEB"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 </w:t>
            </w:r>
          </w:p>
        </w:tc>
      </w:tr>
      <w:tr w:rsidR="000F2ED2" w:rsidRPr="00CA6CBB" w14:paraId="784E55B9" w14:textId="77777777" w:rsidTr="007047DA">
        <w:trPr>
          <w:trHeight w:val="240"/>
        </w:trPr>
        <w:tc>
          <w:tcPr>
            <w:tcW w:w="193" w:type="pct"/>
            <w:tcBorders>
              <w:top w:val="nil"/>
              <w:left w:val="single" w:sz="4" w:space="0" w:color="auto"/>
              <w:bottom w:val="nil"/>
              <w:right w:val="nil"/>
            </w:tcBorders>
            <w:vAlign w:val="center"/>
            <w:hideMark/>
          </w:tcPr>
          <w:p w14:paraId="44685C25"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2024</w:t>
            </w:r>
          </w:p>
        </w:tc>
        <w:tc>
          <w:tcPr>
            <w:tcW w:w="272" w:type="pct"/>
            <w:tcBorders>
              <w:top w:val="nil"/>
              <w:left w:val="nil"/>
              <w:bottom w:val="nil"/>
              <w:right w:val="nil"/>
            </w:tcBorders>
            <w:vAlign w:val="center"/>
            <w:hideMark/>
          </w:tcPr>
          <w:p w14:paraId="72A3DCE4"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17</w:t>
            </w:r>
          </w:p>
        </w:tc>
        <w:tc>
          <w:tcPr>
            <w:tcW w:w="2094" w:type="pct"/>
            <w:tcBorders>
              <w:top w:val="nil"/>
              <w:left w:val="nil"/>
              <w:bottom w:val="nil"/>
              <w:right w:val="nil"/>
            </w:tcBorders>
            <w:vAlign w:val="center"/>
            <w:hideMark/>
          </w:tcPr>
          <w:p w14:paraId="135E14C9"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Cumplimentación automática del Informe anual basada en la presentación de formularios (sólo requisitos específicos)</w:t>
            </w:r>
          </w:p>
        </w:tc>
        <w:tc>
          <w:tcPr>
            <w:tcW w:w="430" w:type="pct"/>
            <w:tcBorders>
              <w:top w:val="nil"/>
              <w:left w:val="nil"/>
              <w:bottom w:val="nil"/>
              <w:right w:val="nil"/>
            </w:tcBorders>
            <w:vAlign w:val="center"/>
            <w:hideMark/>
          </w:tcPr>
          <w:p w14:paraId="1B502389"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Gestor de formularios</w:t>
            </w:r>
          </w:p>
        </w:tc>
        <w:tc>
          <w:tcPr>
            <w:tcW w:w="291" w:type="pct"/>
            <w:tcBorders>
              <w:top w:val="nil"/>
              <w:left w:val="nil"/>
              <w:bottom w:val="nil"/>
              <w:right w:val="nil"/>
            </w:tcBorders>
            <w:vAlign w:val="center"/>
            <w:hideMark/>
          </w:tcPr>
          <w:p w14:paraId="6C70014E"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Elevado</w:t>
            </w:r>
          </w:p>
        </w:tc>
        <w:tc>
          <w:tcPr>
            <w:tcW w:w="283" w:type="pct"/>
            <w:tcBorders>
              <w:top w:val="nil"/>
              <w:left w:val="nil"/>
              <w:bottom w:val="nil"/>
              <w:right w:val="nil"/>
            </w:tcBorders>
            <w:vAlign w:val="center"/>
            <w:hideMark/>
          </w:tcPr>
          <w:p w14:paraId="1FEEF291"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Sí</w:t>
            </w:r>
          </w:p>
        </w:tc>
        <w:tc>
          <w:tcPr>
            <w:tcW w:w="407" w:type="pct"/>
            <w:tcBorders>
              <w:top w:val="nil"/>
              <w:left w:val="nil"/>
              <w:bottom w:val="nil"/>
              <w:right w:val="nil"/>
            </w:tcBorders>
            <w:vAlign w:val="center"/>
            <w:hideMark/>
          </w:tcPr>
          <w:p w14:paraId="2CDC6770"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Sí</w:t>
            </w:r>
          </w:p>
        </w:tc>
        <w:tc>
          <w:tcPr>
            <w:tcW w:w="333" w:type="pct"/>
            <w:tcBorders>
              <w:top w:val="nil"/>
              <w:left w:val="nil"/>
              <w:bottom w:val="nil"/>
              <w:right w:val="nil"/>
            </w:tcBorders>
            <w:vAlign w:val="center"/>
            <w:hideMark/>
          </w:tcPr>
          <w:p w14:paraId="1E790776" w14:textId="77777777" w:rsidR="000F2ED2" w:rsidRPr="00CA6CBB" w:rsidRDefault="000F2ED2" w:rsidP="007047DA">
            <w:pPr>
              <w:pBdr>
                <w:top w:val="none" w:sz="0" w:space="0" w:color="auto"/>
                <w:left w:val="none" w:sz="0" w:space="0" w:color="auto"/>
                <w:bottom w:val="none" w:sz="0" w:space="0" w:color="auto"/>
                <w:right w:val="none" w:sz="0" w:space="0" w:color="auto"/>
                <w:between w:val="none" w:sz="0" w:space="0" w:color="auto"/>
              </w:pBdr>
              <w:ind w:left="-20" w:right="-109"/>
              <w:jc w:val="center"/>
              <w:rPr>
                <w:rFonts w:ascii="Calibri" w:eastAsia="Times New Roman" w:hAnsi="Calibri" w:cs="Calibri"/>
                <w:color w:val="auto"/>
                <w:sz w:val="16"/>
                <w:szCs w:val="16"/>
              </w:rPr>
            </w:pPr>
            <w:r w:rsidRPr="00CA6CBB">
              <w:rPr>
                <w:rFonts w:ascii="Calibri" w:hAnsi="Calibri"/>
                <w:color w:val="auto"/>
                <w:sz w:val="16"/>
              </w:rPr>
              <w:t>En curso</w:t>
            </w:r>
          </w:p>
        </w:tc>
        <w:tc>
          <w:tcPr>
            <w:tcW w:w="697" w:type="pct"/>
            <w:tcBorders>
              <w:top w:val="nil"/>
              <w:left w:val="nil"/>
              <w:bottom w:val="nil"/>
              <w:right w:val="single" w:sz="4" w:space="0" w:color="auto"/>
            </w:tcBorders>
            <w:vAlign w:val="center"/>
            <w:hideMark/>
          </w:tcPr>
          <w:p w14:paraId="241FF031"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 </w:t>
            </w:r>
          </w:p>
        </w:tc>
      </w:tr>
      <w:tr w:rsidR="000F2ED2" w:rsidRPr="00CA6CBB" w14:paraId="5B604DD8" w14:textId="77777777" w:rsidTr="007047DA">
        <w:trPr>
          <w:trHeight w:val="240"/>
        </w:trPr>
        <w:tc>
          <w:tcPr>
            <w:tcW w:w="193" w:type="pct"/>
            <w:tcBorders>
              <w:top w:val="nil"/>
              <w:left w:val="single" w:sz="4" w:space="0" w:color="auto"/>
              <w:bottom w:val="nil"/>
              <w:right w:val="nil"/>
            </w:tcBorders>
            <w:vAlign w:val="center"/>
            <w:hideMark/>
          </w:tcPr>
          <w:p w14:paraId="703B96CF"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2024</w:t>
            </w:r>
          </w:p>
        </w:tc>
        <w:tc>
          <w:tcPr>
            <w:tcW w:w="272" w:type="pct"/>
            <w:tcBorders>
              <w:top w:val="nil"/>
              <w:left w:val="nil"/>
              <w:bottom w:val="nil"/>
              <w:right w:val="nil"/>
            </w:tcBorders>
            <w:vAlign w:val="center"/>
            <w:hideMark/>
          </w:tcPr>
          <w:p w14:paraId="3915861A"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18</w:t>
            </w:r>
          </w:p>
        </w:tc>
        <w:tc>
          <w:tcPr>
            <w:tcW w:w="2094" w:type="pct"/>
            <w:tcBorders>
              <w:top w:val="nil"/>
              <w:left w:val="nil"/>
              <w:bottom w:val="nil"/>
              <w:right w:val="nil"/>
            </w:tcBorders>
            <w:vAlign w:val="center"/>
            <w:hideMark/>
          </w:tcPr>
          <w:p w14:paraId="09C65383"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Recordatorios automatizados a las CPC informando de las proximidades de los plazos (sustituye a 3)</w:t>
            </w:r>
          </w:p>
        </w:tc>
        <w:tc>
          <w:tcPr>
            <w:tcW w:w="430" w:type="pct"/>
            <w:tcBorders>
              <w:top w:val="nil"/>
              <w:left w:val="nil"/>
              <w:bottom w:val="nil"/>
              <w:right w:val="nil"/>
            </w:tcBorders>
            <w:vAlign w:val="center"/>
            <w:hideMark/>
          </w:tcPr>
          <w:p w14:paraId="187E87AF"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Informe anual</w:t>
            </w:r>
          </w:p>
        </w:tc>
        <w:tc>
          <w:tcPr>
            <w:tcW w:w="291" w:type="pct"/>
            <w:tcBorders>
              <w:top w:val="nil"/>
              <w:left w:val="nil"/>
              <w:bottom w:val="nil"/>
              <w:right w:val="nil"/>
            </w:tcBorders>
            <w:vAlign w:val="center"/>
            <w:hideMark/>
          </w:tcPr>
          <w:p w14:paraId="4927F5CD"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Medio</w:t>
            </w:r>
          </w:p>
        </w:tc>
        <w:tc>
          <w:tcPr>
            <w:tcW w:w="283" w:type="pct"/>
            <w:tcBorders>
              <w:top w:val="nil"/>
              <w:left w:val="nil"/>
              <w:bottom w:val="nil"/>
              <w:right w:val="nil"/>
            </w:tcBorders>
            <w:vAlign w:val="center"/>
            <w:hideMark/>
          </w:tcPr>
          <w:p w14:paraId="1D0DA047"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Sí</w:t>
            </w:r>
          </w:p>
        </w:tc>
        <w:tc>
          <w:tcPr>
            <w:tcW w:w="407" w:type="pct"/>
            <w:tcBorders>
              <w:top w:val="nil"/>
              <w:left w:val="nil"/>
              <w:bottom w:val="nil"/>
              <w:right w:val="nil"/>
            </w:tcBorders>
            <w:vAlign w:val="center"/>
            <w:hideMark/>
          </w:tcPr>
          <w:p w14:paraId="2ECA7F5D"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Sí</w:t>
            </w:r>
          </w:p>
        </w:tc>
        <w:tc>
          <w:tcPr>
            <w:tcW w:w="333" w:type="pct"/>
            <w:tcBorders>
              <w:top w:val="nil"/>
              <w:left w:val="nil"/>
              <w:bottom w:val="nil"/>
              <w:right w:val="nil"/>
            </w:tcBorders>
            <w:vAlign w:val="center"/>
            <w:hideMark/>
          </w:tcPr>
          <w:p w14:paraId="2984D5C6" w14:textId="77777777" w:rsidR="000F2ED2" w:rsidRPr="00CA6CBB" w:rsidRDefault="000F2ED2" w:rsidP="007047DA">
            <w:pPr>
              <w:pBdr>
                <w:top w:val="none" w:sz="0" w:space="0" w:color="auto"/>
                <w:left w:val="none" w:sz="0" w:space="0" w:color="auto"/>
                <w:bottom w:val="none" w:sz="0" w:space="0" w:color="auto"/>
                <w:right w:val="none" w:sz="0" w:space="0" w:color="auto"/>
                <w:between w:val="none" w:sz="0" w:space="0" w:color="auto"/>
              </w:pBdr>
              <w:ind w:left="-20" w:right="-109"/>
              <w:jc w:val="center"/>
              <w:rPr>
                <w:rFonts w:ascii="Calibri" w:eastAsia="Times New Roman" w:hAnsi="Calibri" w:cs="Calibri"/>
                <w:color w:val="auto"/>
                <w:sz w:val="16"/>
                <w:szCs w:val="16"/>
              </w:rPr>
            </w:pPr>
            <w:r w:rsidRPr="00CA6CBB">
              <w:rPr>
                <w:rFonts w:ascii="Calibri" w:hAnsi="Calibri"/>
                <w:color w:val="auto"/>
                <w:sz w:val="16"/>
              </w:rPr>
              <w:t>En curso</w:t>
            </w:r>
          </w:p>
        </w:tc>
        <w:tc>
          <w:tcPr>
            <w:tcW w:w="697" w:type="pct"/>
            <w:tcBorders>
              <w:top w:val="nil"/>
              <w:left w:val="nil"/>
              <w:bottom w:val="nil"/>
              <w:right w:val="single" w:sz="4" w:space="0" w:color="auto"/>
            </w:tcBorders>
            <w:vAlign w:val="center"/>
            <w:hideMark/>
          </w:tcPr>
          <w:p w14:paraId="6809CF3D"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 </w:t>
            </w:r>
          </w:p>
        </w:tc>
      </w:tr>
      <w:tr w:rsidR="000F2ED2" w:rsidRPr="00CA6CBB" w14:paraId="2CEADF3A" w14:textId="77777777" w:rsidTr="007047DA">
        <w:trPr>
          <w:trHeight w:val="590"/>
        </w:trPr>
        <w:tc>
          <w:tcPr>
            <w:tcW w:w="193" w:type="pct"/>
            <w:tcBorders>
              <w:top w:val="nil"/>
              <w:left w:val="single" w:sz="4" w:space="0" w:color="auto"/>
              <w:bottom w:val="nil"/>
              <w:right w:val="nil"/>
            </w:tcBorders>
            <w:vAlign w:val="center"/>
            <w:hideMark/>
          </w:tcPr>
          <w:p w14:paraId="18974CE2"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r w:rsidRPr="00CA6CBB">
              <w:rPr>
                <w:rFonts w:ascii="Calibri" w:hAnsi="Calibri"/>
                <w:sz w:val="16"/>
              </w:rPr>
              <w:t>2025</w:t>
            </w:r>
          </w:p>
        </w:tc>
        <w:tc>
          <w:tcPr>
            <w:tcW w:w="272" w:type="pct"/>
            <w:tcBorders>
              <w:top w:val="nil"/>
              <w:left w:val="nil"/>
              <w:bottom w:val="nil"/>
              <w:right w:val="nil"/>
            </w:tcBorders>
            <w:vAlign w:val="center"/>
            <w:hideMark/>
          </w:tcPr>
          <w:p w14:paraId="7F6D45C7"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r w:rsidRPr="00CA6CBB">
              <w:rPr>
                <w:rFonts w:ascii="Calibri" w:hAnsi="Calibri"/>
                <w:sz w:val="16"/>
              </w:rPr>
              <w:t>19</w:t>
            </w:r>
          </w:p>
        </w:tc>
        <w:tc>
          <w:tcPr>
            <w:tcW w:w="2094" w:type="pct"/>
            <w:tcBorders>
              <w:top w:val="nil"/>
              <w:left w:val="nil"/>
              <w:bottom w:val="nil"/>
              <w:right w:val="nil"/>
            </w:tcBorders>
            <w:vAlign w:val="center"/>
            <w:hideMark/>
          </w:tcPr>
          <w:p w14:paraId="1E1ACEAB"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sz w:val="16"/>
                <w:szCs w:val="16"/>
              </w:rPr>
            </w:pPr>
            <w:r w:rsidRPr="00CA6CBB">
              <w:rPr>
                <w:rFonts w:ascii="Calibri" w:hAnsi="Calibri"/>
                <w:sz w:val="16"/>
              </w:rPr>
              <w:t>IOMS almacenará internamente los textos de las Recomendaciones, incluidos los párrafos y subpárrafos. De esta forma, habrá enlaces a textos específicos dentro de los diferentes módulos que lo componen</w:t>
            </w:r>
          </w:p>
        </w:tc>
        <w:tc>
          <w:tcPr>
            <w:tcW w:w="430" w:type="pct"/>
            <w:tcBorders>
              <w:top w:val="nil"/>
              <w:left w:val="nil"/>
              <w:bottom w:val="nil"/>
              <w:right w:val="nil"/>
            </w:tcBorders>
            <w:vAlign w:val="center"/>
            <w:hideMark/>
          </w:tcPr>
          <w:p w14:paraId="057734D7"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r w:rsidRPr="00CA6CBB">
              <w:rPr>
                <w:rFonts w:ascii="Calibri" w:hAnsi="Calibri"/>
                <w:sz w:val="16"/>
              </w:rPr>
              <w:t>Núcleo</w:t>
            </w:r>
          </w:p>
        </w:tc>
        <w:tc>
          <w:tcPr>
            <w:tcW w:w="291" w:type="pct"/>
            <w:tcBorders>
              <w:top w:val="nil"/>
              <w:left w:val="nil"/>
              <w:bottom w:val="nil"/>
              <w:right w:val="nil"/>
            </w:tcBorders>
            <w:vAlign w:val="center"/>
            <w:hideMark/>
          </w:tcPr>
          <w:p w14:paraId="4932D0DB"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r w:rsidRPr="00CA6CBB">
              <w:rPr>
                <w:rFonts w:ascii="Calibri" w:hAnsi="Calibri"/>
                <w:sz w:val="16"/>
              </w:rPr>
              <w:t>Medio</w:t>
            </w:r>
          </w:p>
        </w:tc>
        <w:tc>
          <w:tcPr>
            <w:tcW w:w="283" w:type="pct"/>
            <w:tcBorders>
              <w:top w:val="nil"/>
              <w:left w:val="nil"/>
              <w:bottom w:val="nil"/>
              <w:right w:val="nil"/>
            </w:tcBorders>
            <w:vAlign w:val="center"/>
            <w:hideMark/>
          </w:tcPr>
          <w:p w14:paraId="3D83369A"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p>
        </w:tc>
        <w:tc>
          <w:tcPr>
            <w:tcW w:w="407" w:type="pct"/>
            <w:tcBorders>
              <w:top w:val="nil"/>
              <w:left w:val="nil"/>
              <w:bottom w:val="nil"/>
              <w:right w:val="nil"/>
            </w:tcBorders>
            <w:vAlign w:val="center"/>
            <w:hideMark/>
          </w:tcPr>
          <w:p w14:paraId="6DD29200"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imes New Roman" w:eastAsia="Times New Roman" w:hAnsi="Times New Roman" w:cs="Times New Roman"/>
                <w:color w:val="auto"/>
                <w:sz w:val="16"/>
                <w:szCs w:val="16"/>
                <w:lang w:eastAsia="en-GB"/>
              </w:rPr>
            </w:pPr>
          </w:p>
        </w:tc>
        <w:tc>
          <w:tcPr>
            <w:tcW w:w="333" w:type="pct"/>
            <w:tcBorders>
              <w:top w:val="nil"/>
              <w:left w:val="nil"/>
              <w:bottom w:val="nil"/>
              <w:right w:val="nil"/>
            </w:tcBorders>
            <w:vAlign w:val="center"/>
            <w:hideMark/>
          </w:tcPr>
          <w:p w14:paraId="423804F5" w14:textId="77777777" w:rsidR="000F2ED2" w:rsidRPr="00CA6CBB" w:rsidRDefault="000F2ED2" w:rsidP="007047DA">
            <w:pPr>
              <w:pBdr>
                <w:top w:val="none" w:sz="0" w:space="0" w:color="auto"/>
                <w:left w:val="none" w:sz="0" w:space="0" w:color="auto"/>
                <w:bottom w:val="none" w:sz="0" w:space="0" w:color="auto"/>
                <w:right w:val="none" w:sz="0" w:space="0" w:color="auto"/>
                <w:between w:val="none" w:sz="0" w:space="0" w:color="auto"/>
              </w:pBdr>
              <w:ind w:left="-20" w:right="-109"/>
              <w:jc w:val="center"/>
              <w:rPr>
                <w:rFonts w:ascii="Calibri" w:eastAsia="Times New Roman" w:hAnsi="Calibri" w:cs="Calibri"/>
                <w:sz w:val="16"/>
                <w:szCs w:val="16"/>
              </w:rPr>
            </w:pPr>
            <w:r w:rsidRPr="00CA6CBB">
              <w:rPr>
                <w:rFonts w:ascii="Calibri" w:hAnsi="Calibri"/>
                <w:sz w:val="16"/>
              </w:rPr>
              <w:t>En estudio</w:t>
            </w:r>
          </w:p>
        </w:tc>
        <w:tc>
          <w:tcPr>
            <w:tcW w:w="697" w:type="pct"/>
            <w:tcBorders>
              <w:top w:val="nil"/>
              <w:left w:val="nil"/>
              <w:bottom w:val="nil"/>
              <w:right w:val="single" w:sz="4" w:space="0" w:color="auto"/>
            </w:tcBorders>
            <w:vAlign w:val="center"/>
            <w:hideMark/>
          </w:tcPr>
          <w:p w14:paraId="7A2307B0"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sz w:val="16"/>
                <w:szCs w:val="16"/>
              </w:rPr>
            </w:pPr>
            <w:r w:rsidRPr="00CA6CBB">
              <w:rPr>
                <w:rFonts w:ascii="Calibri" w:hAnsi="Calibri"/>
                <w:sz w:val="16"/>
              </w:rPr>
              <w:t>Vinculado a las hojas de comprobación</w:t>
            </w:r>
          </w:p>
        </w:tc>
      </w:tr>
      <w:tr w:rsidR="000F2ED2" w:rsidRPr="00CA6CBB" w14:paraId="4D454108" w14:textId="77777777" w:rsidTr="007047DA">
        <w:trPr>
          <w:trHeight w:val="240"/>
        </w:trPr>
        <w:tc>
          <w:tcPr>
            <w:tcW w:w="193" w:type="pct"/>
            <w:tcBorders>
              <w:top w:val="nil"/>
              <w:left w:val="single" w:sz="4" w:space="0" w:color="auto"/>
              <w:bottom w:val="nil"/>
              <w:right w:val="nil"/>
            </w:tcBorders>
            <w:vAlign w:val="center"/>
            <w:hideMark/>
          </w:tcPr>
          <w:p w14:paraId="49828A50"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r w:rsidRPr="00CA6CBB">
              <w:rPr>
                <w:rFonts w:ascii="Calibri" w:hAnsi="Calibri"/>
                <w:sz w:val="16"/>
              </w:rPr>
              <w:t>2025</w:t>
            </w:r>
          </w:p>
        </w:tc>
        <w:tc>
          <w:tcPr>
            <w:tcW w:w="272" w:type="pct"/>
            <w:tcBorders>
              <w:top w:val="nil"/>
              <w:left w:val="nil"/>
              <w:bottom w:val="nil"/>
              <w:right w:val="nil"/>
            </w:tcBorders>
            <w:vAlign w:val="center"/>
            <w:hideMark/>
          </w:tcPr>
          <w:p w14:paraId="3000FB86"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r w:rsidRPr="00CA6CBB">
              <w:rPr>
                <w:rFonts w:ascii="Calibri" w:hAnsi="Calibri"/>
                <w:sz w:val="16"/>
              </w:rPr>
              <w:t>20</w:t>
            </w:r>
          </w:p>
        </w:tc>
        <w:tc>
          <w:tcPr>
            <w:tcW w:w="2094" w:type="pct"/>
            <w:tcBorders>
              <w:top w:val="nil"/>
              <w:left w:val="nil"/>
              <w:bottom w:val="nil"/>
              <w:right w:val="nil"/>
            </w:tcBorders>
            <w:vAlign w:val="center"/>
            <w:hideMark/>
          </w:tcPr>
          <w:p w14:paraId="30BE2311"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sz w:val="16"/>
                <w:szCs w:val="16"/>
              </w:rPr>
            </w:pPr>
            <w:r w:rsidRPr="00CA6CBB">
              <w:rPr>
                <w:rFonts w:ascii="Calibri" w:hAnsi="Calibri"/>
                <w:sz w:val="16"/>
              </w:rPr>
              <w:t>Permitir documentación adjunta en el informe anual</w:t>
            </w:r>
          </w:p>
        </w:tc>
        <w:tc>
          <w:tcPr>
            <w:tcW w:w="430" w:type="pct"/>
            <w:tcBorders>
              <w:top w:val="nil"/>
              <w:left w:val="nil"/>
              <w:bottom w:val="nil"/>
              <w:right w:val="nil"/>
            </w:tcBorders>
            <w:vAlign w:val="center"/>
            <w:hideMark/>
          </w:tcPr>
          <w:p w14:paraId="0953FF6C"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r w:rsidRPr="00CA6CBB">
              <w:rPr>
                <w:rFonts w:ascii="Calibri" w:hAnsi="Calibri"/>
                <w:sz w:val="16"/>
              </w:rPr>
              <w:t>Informe anual</w:t>
            </w:r>
          </w:p>
        </w:tc>
        <w:tc>
          <w:tcPr>
            <w:tcW w:w="291" w:type="pct"/>
            <w:tcBorders>
              <w:top w:val="nil"/>
              <w:left w:val="nil"/>
              <w:bottom w:val="nil"/>
              <w:right w:val="nil"/>
            </w:tcBorders>
            <w:vAlign w:val="center"/>
            <w:hideMark/>
          </w:tcPr>
          <w:p w14:paraId="767A8735"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r w:rsidRPr="00CA6CBB">
              <w:rPr>
                <w:rFonts w:ascii="Calibri" w:hAnsi="Calibri"/>
                <w:sz w:val="16"/>
              </w:rPr>
              <w:t>Medio</w:t>
            </w:r>
          </w:p>
        </w:tc>
        <w:tc>
          <w:tcPr>
            <w:tcW w:w="283" w:type="pct"/>
            <w:tcBorders>
              <w:top w:val="nil"/>
              <w:left w:val="nil"/>
              <w:bottom w:val="nil"/>
              <w:right w:val="nil"/>
            </w:tcBorders>
            <w:vAlign w:val="center"/>
            <w:hideMark/>
          </w:tcPr>
          <w:p w14:paraId="55A1E634"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p>
        </w:tc>
        <w:tc>
          <w:tcPr>
            <w:tcW w:w="407" w:type="pct"/>
            <w:tcBorders>
              <w:top w:val="nil"/>
              <w:left w:val="nil"/>
              <w:bottom w:val="nil"/>
              <w:right w:val="nil"/>
            </w:tcBorders>
            <w:vAlign w:val="center"/>
            <w:hideMark/>
          </w:tcPr>
          <w:p w14:paraId="3F092CBC"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imes New Roman" w:eastAsia="Times New Roman" w:hAnsi="Times New Roman" w:cs="Times New Roman"/>
                <w:color w:val="auto"/>
                <w:sz w:val="16"/>
                <w:szCs w:val="16"/>
                <w:lang w:eastAsia="en-GB"/>
              </w:rPr>
            </w:pPr>
          </w:p>
        </w:tc>
        <w:tc>
          <w:tcPr>
            <w:tcW w:w="333" w:type="pct"/>
            <w:tcBorders>
              <w:top w:val="nil"/>
              <w:left w:val="nil"/>
              <w:bottom w:val="nil"/>
              <w:right w:val="nil"/>
            </w:tcBorders>
            <w:vAlign w:val="center"/>
            <w:hideMark/>
          </w:tcPr>
          <w:p w14:paraId="5E060BF3" w14:textId="77777777" w:rsidR="000F2ED2" w:rsidRPr="00CA6CBB" w:rsidRDefault="000F2ED2" w:rsidP="007047DA">
            <w:pPr>
              <w:pBdr>
                <w:top w:val="none" w:sz="0" w:space="0" w:color="auto"/>
                <w:left w:val="none" w:sz="0" w:space="0" w:color="auto"/>
                <w:bottom w:val="none" w:sz="0" w:space="0" w:color="auto"/>
                <w:right w:val="none" w:sz="0" w:space="0" w:color="auto"/>
                <w:between w:val="none" w:sz="0" w:space="0" w:color="auto"/>
              </w:pBdr>
              <w:ind w:left="-20" w:right="-109"/>
              <w:jc w:val="center"/>
              <w:rPr>
                <w:rFonts w:ascii="Calibri" w:eastAsia="Times New Roman" w:hAnsi="Calibri" w:cs="Calibri"/>
                <w:sz w:val="16"/>
                <w:szCs w:val="16"/>
              </w:rPr>
            </w:pPr>
            <w:r w:rsidRPr="00CA6CBB">
              <w:rPr>
                <w:rFonts w:ascii="Calibri" w:hAnsi="Calibri"/>
                <w:sz w:val="16"/>
              </w:rPr>
              <w:t>En estudio</w:t>
            </w:r>
          </w:p>
        </w:tc>
        <w:tc>
          <w:tcPr>
            <w:tcW w:w="697" w:type="pct"/>
            <w:tcBorders>
              <w:top w:val="nil"/>
              <w:left w:val="nil"/>
              <w:bottom w:val="nil"/>
              <w:right w:val="single" w:sz="4" w:space="0" w:color="auto"/>
            </w:tcBorders>
            <w:vAlign w:val="center"/>
            <w:hideMark/>
          </w:tcPr>
          <w:p w14:paraId="29055972"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sz w:val="16"/>
                <w:szCs w:val="16"/>
              </w:rPr>
            </w:pPr>
            <w:r w:rsidRPr="00CA6CBB">
              <w:rPr>
                <w:rFonts w:ascii="Calibri" w:hAnsi="Calibri"/>
                <w:sz w:val="16"/>
              </w:rPr>
              <w:t> </w:t>
            </w:r>
          </w:p>
        </w:tc>
      </w:tr>
      <w:tr w:rsidR="000F2ED2" w:rsidRPr="00CA6CBB" w14:paraId="4BED6314" w14:textId="77777777" w:rsidTr="007047DA">
        <w:trPr>
          <w:trHeight w:val="240"/>
        </w:trPr>
        <w:tc>
          <w:tcPr>
            <w:tcW w:w="193" w:type="pct"/>
            <w:tcBorders>
              <w:top w:val="nil"/>
              <w:left w:val="single" w:sz="4" w:space="0" w:color="auto"/>
              <w:bottom w:val="nil"/>
              <w:right w:val="nil"/>
            </w:tcBorders>
            <w:shd w:val="clear" w:color="000000" w:fill="FFEAAF"/>
            <w:vAlign w:val="center"/>
            <w:hideMark/>
          </w:tcPr>
          <w:p w14:paraId="74DCA8D8"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FF0000"/>
                <w:sz w:val="16"/>
                <w:szCs w:val="16"/>
              </w:rPr>
            </w:pPr>
            <w:r w:rsidRPr="00CA6CBB">
              <w:rPr>
                <w:rFonts w:ascii="Calibri" w:hAnsi="Calibri"/>
                <w:color w:val="FF0000"/>
                <w:sz w:val="16"/>
              </w:rPr>
              <w:t>2025</w:t>
            </w:r>
          </w:p>
        </w:tc>
        <w:tc>
          <w:tcPr>
            <w:tcW w:w="272" w:type="pct"/>
            <w:tcBorders>
              <w:top w:val="nil"/>
              <w:left w:val="nil"/>
              <w:bottom w:val="nil"/>
              <w:right w:val="nil"/>
            </w:tcBorders>
            <w:shd w:val="clear" w:color="000000" w:fill="FFEAAF"/>
            <w:vAlign w:val="center"/>
            <w:hideMark/>
          </w:tcPr>
          <w:p w14:paraId="5046579C"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FF0000"/>
                <w:sz w:val="16"/>
                <w:szCs w:val="16"/>
              </w:rPr>
            </w:pPr>
            <w:r w:rsidRPr="00CA6CBB">
              <w:rPr>
                <w:rFonts w:ascii="Calibri" w:hAnsi="Calibri"/>
                <w:color w:val="FF0000"/>
                <w:sz w:val="16"/>
              </w:rPr>
              <w:t>21</w:t>
            </w:r>
          </w:p>
        </w:tc>
        <w:tc>
          <w:tcPr>
            <w:tcW w:w="2094" w:type="pct"/>
            <w:tcBorders>
              <w:top w:val="nil"/>
              <w:left w:val="nil"/>
              <w:bottom w:val="nil"/>
              <w:right w:val="nil"/>
            </w:tcBorders>
            <w:shd w:val="clear" w:color="000000" w:fill="FFEAAF"/>
            <w:vAlign w:val="center"/>
            <w:hideMark/>
          </w:tcPr>
          <w:p w14:paraId="359BE04D"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FF0000"/>
                <w:sz w:val="16"/>
                <w:szCs w:val="16"/>
              </w:rPr>
            </w:pPr>
            <w:r w:rsidRPr="00CA6CBB">
              <w:rPr>
                <w:rFonts w:ascii="Calibri" w:hAnsi="Calibri"/>
                <w:color w:val="FF0000"/>
                <w:sz w:val="16"/>
              </w:rPr>
              <w:t>Ampliar los informes anuales para almacenar las respuestas en los tres idiomas</w:t>
            </w:r>
          </w:p>
        </w:tc>
        <w:tc>
          <w:tcPr>
            <w:tcW w:w="430" w:type="pct"/>
            <w:tcBorders>
              <w:top w:val="nil"/>
              <w:left w:val="nil"/>
              <w:bottom w:val="nil"/>
              <w:right w:val="nil"/>
            </w:tcBorders>
            <w:shd w:val="clear" w:color="000000" w:fill="FFEAAF"/>
            <w:vAlign w:val="center"/>
            <w:hideMark/>
          </w:tcPr>
          <w:p w14:paraId="37F8C1A4"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FF0000"/>
                <w:sz w:val="16"/>
                <w:szCs w:val="16"/>
              </w:rPr>
            </w:pPr>
            <w:r w:rsidRPr="00CA6CBB">
              <w:rPr>
                <w:rFonts w:ascii="Calibri" w:hAnsi="Calibri"/>
                <w:color w:val="FF0000"/>
                <w:sz w:val="16"/>
              </w:rPr>
              <w:t>Informe anual</w:t>
            </w:r>
          </w:p>
        </w:tc>
        <w:tc>
          <w:tcPr>
            <w:tcW w:w="291" w:type="pct"/>
            <w:tcBorders>
              <w:top w:val="nil"/>
              <w:left w:val="nil"/>
              <w:bottom w:val="nil"/>
              <w:right w:val="nil"/>
            </w:tcBorders>
            <w:shd w:val="clear" w:color="000000" w:fill="FFEAAF"/>
            <w:vAlign w:val="center"/>
            <w:hideMark/>
          </w:tcPr>
          <w:p w14:paraId="5D2977FC"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FF0000"/>
                <w:sz w:val="16"/>
                <w:szCs w:val="16"/>
              </w:rPr>
            </w:pPr>
            <w:r w:rsidRPr="00CA6CBB">
              <w:rPr>
                <w:rFonts w:ascii="Calibri" w:hAnsi="Calibri"/>
                <w:color w:val="FF0000"/>
                <w:sz w:val="16"/>
              </w:rPr>
              <w:t>Elevado</w:t>
            </w:r>
          </w:p>
        </w:tc>
        <w:tc>
          <w:tcPr>
            <w:tcW w:w="283" w:type="pct"/>
            <w:tcBorders>
              <w:top w:val="nil"/>
              <w:left w:val="nil"/>
              <w:bottom w:val="nil"/>
              <w:right w:val="nil"/>
            </w:tcBorders>
            <w:shd w:val="clear" w:color="000000" w:fill="FFEAAF"/>
            <w:vAlign w:val="center"/>
            <w:hideMark/>
          </w:tcPr>
          <w:p w14:paraId="1AECDC5C"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FF0000"/>
                <w:sz w:val="16"/>
                <w:szCs w:val="16"/>
              </w:rPr>
            </w:pPr>
            <w:r w:rsidRPr="00CA6CBB">
              <w:rPr>
                <w:rFonts w:ascii="Calibri" w:hAnsi="Calibri"/>
                <w:color w:val="FF0000"/>
                <w:sz w:val="16"/>
              </w:rPr>
              <w:t>No</w:t>
            </w:r>
          </w:p>
        </w:tc>
        <w:tc>
          <w:tcPr>
            <w:tcW w:w="407" w:type="pct"/>
            <w:tcBorders>
              <w:top w:val="nil"/>
              <w:left w:val="nil"/>
              <w:bottom w:val="nil"/>
              <w:right w:val="nil"/>
            </w:tcBorders>
            <w:shd w:val="clear" w:color="000000" w:fill="FFEAAF"/>
            <w:vAlign w:val="center"/>
            <w:hideMark/>
          </w:tcPr>
          <w:p w14:paraId="0BCE78C9"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FF0000"/>
                <w:sz w:val="16"/>
                <w:szCs w:val="16"/>
              </w:rPr>
            </w:pPr>
            <w:r w:rsidRPr="00CA6CBB">
              <w:rPr>
                <w:rFonts w:ascii="Calibri" w:hAnsi="Calibri"/>
                <w:color w:val="FF0000"/>
                <w:sz w:val="16"/>
              </w:rPr>
              <w:t>No</w:t>
            </w:r>
          </w:p>
        </w:tc>
        <w:tc>
          <w:tcPr>
            <w:tcW w:w="333" w:type="pct"/>
            <w:tcBorders>
              <w:top w:val="nil"/>
              <w:left w:val="nil"/>
              <w:bottom w:val="nil"/>
              <w:right w:val="nil"/>
            </w:tcBorders>
            <w:shd w:val="clear" w:color="000000" w:fill="FFEAAF"/>
            <w:vAlign w:val="center"/>
            <w:hideMark/>
          </w:tcPr>
          <w:p w14:paraId="0AFC75D0" w14:textId="77777777" w:rsidR="000F2ED2" w:rsidRPr="00CA6CBB" w:rsidRDefault="000F2ED2" w:rsidP="007047DA">
            <w:pPr>
              <w:pBdr>
                <w:top w:val="none" w:sz="0" w:space="0" w:color="auto"/>
                <w:left w:val="none" w:sz="0" w:space="0" w:color="auto"/>
                <w:bottom w:val="none" w:sz="0" w:space="0" w:color="auto"/>
                <w:right w:val="none" w:sz="0" w:space="0" w:color="auto"/>
                <w:between w:val="none" w:sz="0" w:space="0" w:color="auto"/>
              </w:pBdr>
              <w:ind w:left="-20" w:right="-109"/>
              <w:jc w:val="center"/>
              <w:rPr>
                <w:rFonts w:ascii="Calibri" w:eastAsia="Times New Roman" w:hAnsi="Calibri" w:cs="Calibri"/>
                <w:color w:val="FF0000"/>
                <w:sz w:val="16"/>
                <w:szCs w:val="16"/>
              </w:rPr>
            </w:pPr>
            <w:r w:rsidRPr="00CA6CBB">
              <w:rPr>
                <w:rFonts w:ascii="Calibri" w:hAnsi="Calibri"/>
                <w:color w:val="FF0000"/>
                <w:sz w:val="16"/>
              </w:rPr>
              <w:t>Descartado</w:t>
            </w:r>
          </w:p>
        </w:tc>
        <w:tc>
          <w:tcPr>
            <w:tcW w:w="697" w:type="pct"/>
            <w:tcBorders>
              <w:top w:val="nil"/>
              <w:left w:val="nil"/>
              <w:bottom w:val="nil"/>
              <w:right w:val="single" w:sz="4" w:space="0" w:color="auto"/>
            </w:tcBorders>
            <w:shd w:val="clear" w:color="000000" w:fill="FFEAAF"/>
            <w:vAlign w:val="center"/>
            <w:hideMark/>
          </w:tcPr>
          <w:p w14:paraId="12406849"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FF0000"/>
                <w:sz w:val="16"/>
                <w:szCs w:val="16"/>
              </w:rPr>
            </w:pPr>
            <w:r w:rsidRPr="00CA6CBB">
              <w:rPr>
                <w:rFonts w:ascii="Calibri" w:hAnsi="Calibri"/>
                <w:color w:val="FF0000"/>
                <w:sz w:val="16"/>
              </w:rPr>
              <w:t>Sustituido por 24 (Traducción híbrida automática)</w:t>
            </w:r>
          </w:p>
        </w:tc>
      </w:tr>
      <w:tr w:rsidR="000F2ED2" w:rsidRPr="00CA6CBB" w14:paraId="2AD174EA" w14:textId="77777777" w:rsidTr="007047DA">
        <w:trPr>
          <w:trHeight w:val="240"/>
        </w:trPr>
        <w:tc>
          <w:tcPr>
            <w:tcW w:w="193" w:type="pct"/>
            <w:tcBorders>
              <w:top w:val="nil"/>
              <w:left w:val="single" w:sz="4" w:space="0" w:color="auto"/>
              <w:bottom w:val="nil"/>
              <w:right w:val="nil"/>
            </w:tcBorders>
            <w:vAlign w:val="center"/>
            <w:hideMark/>
          </w:tcPr>
          <w:p w14:paraId="6CFED6B2"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r w:rsidRPr="00CA6CBB">
              <w:rPr>
                <w:rFonts w:ascii="Calibri" w:hAnsi="Calibri"/>
                <w:sz w:val="16"/>
              </w:rPr>
              <w:t>2025</w:t>
            </w:r>
          </w:p>
        </w:tc>
        <w:tc>
          <w:tcPr>
            <w:tcW w:w="272" w:type="pct"/>
            <w:tcBorders>
              <w:top w:val="nil"/>
              <w:left w:val="nil"/>
              <w:bottom w:val="nil"/>
              <w:right w:val="nil"/>
            </w:tcBorders>
            <w:vAlign w:val="center"/>
            <w:hideMark/>
          </w:tcPr>
          <w:p w14:paraId="077F621B"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r w:rsidRPr="00CA6CBB">
              <w:rPr>
                <w:rFonts w:ascii="Calibri" w:hAnsi="Calibri"/>
                <w:sz w:val="16"/>
              </w:rPr>
              <w:t>22</w:t>
            </w:r>
          </w:p>
        </w:tc>
        <w:tc>
          <w:tcPr>
            <w:tcW w:w="2094" w:type="pct"/>
            <w:tcBorders>
              <w:top w:val="nil"/>
              <w:left w:val="nil"/>
              <w:bottom w:val="nil"/>
              <w:right w:val="nil"/>
            </w:tcBorders>
            <w:vAlign w:val="center"/>
            <w:hideMark/>
          </w:tcPr>
          <w:p w14:paraId="3CE3479A"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sz w:val="16"/>
                <w:szCs w:val="16"/>
              </w:rPr>
            </w:pPr>
            <w:r w:rsidRPr="00CA6CBB">
              <w:rPr>
                <w:rFonts w:ascii="Calibri" w:hAnsi="Calibri"/>
                <w:sz w:val="16"/>
              </w:rPr>
              <w:t>Permitir la presentación de informes anuales a través del gestor de formularios</w:t>
            </w:r>
          </w:p>
        </w:tc>
        <w:tc>
          <w:tcPr>
            <w:tcW w:w="430" w:type="pct"/>
            <w:tcBorders>
              <w:top w:val="nil"/>
              <w:left w:val="nil"/>
              <w:bottom w:val="nil"/>
              <w:right w:val="nil"/>
            </w:tcBorders>
            <w:vAlign w:val="center"/>
            <w:hideMark/>
          </w:tcPr>
          <w:p w14:paraId="763EB5B6"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r w:rsidRPr="00CA6CBB">
              <w:rPr>
                <w:rFonts w:ascii="Calibri" w:hAnsi="Calibri"/>
                <w:sz w:val="16"/>
              </w:rPr>
              <w:t>Informe anual</w:t>
            </w:r>
          </w:p>
        </w:tc>
        <w:tc>
          <w:tcPr>
            <w:tcW w:w="291" w:type="pct"/>
            <w:tcBorders>
              <w:top w:val="nil"/>
              <w:left w:val="nil"/>
              <w:bottom w:val="nil"/>
              <w:right w:val="nil"/>
            </w:tcBorders>
            <w:vAlign w:val="center"/>
            <w:hideMark/>
          </w:tcPr>
          <w:p w14:paraId="5ECDEDFE"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r w:rsidRPr="00CA6CBB">
              <w:rPr>
                <w:rFonts w:ascii="Calibri" w:hAnsi="Calibri"/>
                <w:sz w:val="16"/>
              </w:rPr>
              <w:t>Medio</w:t>
            </w:r>
          </w:p>
        </w:tc>
        <w:tc>
          <w:tcPr>
            <w:tcW w:w="283" w:type="pct"/>
            <w:tcBorders>
              <w:top w:val="nil"/>
              <w:left w:val="nil"/>
              <w:bottom w:val="nil"/>
              <w:right w:val="nil"/>
            </w:tcBorders>
            <w:vAlign w:val="center"/>
            <w:hideMark/>
          </w:tcPr>
          <w:p w14:paraId="1D301240"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p>
        </w:tc>
        <w:tc>
          <w:tcPr>
            <w:tcW w:w="407" w:type="pct"/>
            <w:tcBorders>
              <w:top w:val="nil"/>
              <w:left w:val="nil"/>
              <w:bottom w:val="nil"/>
              <w:right w:val="nil"/>
            </w:tcBorders>
            <w:vAlign w:val="center"/>
            <w:hideMark/>
          </w:tcPr>
          <w:p w14:paraId="5838E715"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imes New Roman" w:eastAsia="Times New Roman" w:hAnsi="Times New Roman" w:cs="Times New Roman"/>
                <w:color w:val="auto"/>
                <w:sz w:val="16"/>
                <w:szCs w:val="16"/>
                <w:lang w:eastAsia="en-GB"/>
              </w:rPr>
            </w:pPr>
          </w:p>
        </w:tc>
        <w:tc>
          <w:tcPr>
            <w:tcW w:w="333" w:type="pct"/>
            <w:tcBorders>
              <w:top w:val="nil"/>
              <w:left w:val="nil"/>
              <w:bottom w:val="nil"/>
              <w:right w:val="nil"/>
            </w:tcBorders>
            <w:vAlign w:val="center"/>
            <w:hideMark/>
          </w:tcPr>
          <w:p w14:paraId="1A05F58F" w14:textId="77777777" w:rsidR="000F2ED2" w:rsidRPr="00CA6CBB" w:rsidRDefault="000F2ED2" w:rsidP="007047DA">
            <w:pPr>
              <w:pBdr>
                <w:top w:val="none" w:sz="0" w:space="0" w:color="auto"/>
                <w:left w:val="none" w:sz="0" w:space="0" w:color="auto"/>
                <w:bottom w:val="none" w:sz="0" w:space="0" w:color="auto"/>
                <w:right w:val="none" w:sz="0" w:space="0" w:color="auto"/>
                <w:between w:val="none" w:sz="0" w:space="0" w:color="auto"/>
              </w:pBdr>
              <w:ind w:left="-20" w:right="-109"/>
              <w:jc w:val="center"/>
              <w:rPr>
                <w:rFonts w:ascii="Times New Roman" w:eastAsia="Times New Roman" w:hAnsi="Times New Roman" w:cs="Times New Roman"/>
                <w:color w:val="auto"/>
                <w:sz w:val="16"/>
                <w:szCs w:val="16"/>
                <w:lang w:eastAsia="en-GB"/>
              </w:rPr>
            </w:pPr>
          </w:p>
        </w:tc>
        <w:tc>
          <w:tcPr>
            <w:tcW w:w="697" w:type="pct"/>
            <w:tcBorders>
              <w:top w:val="nil"/>
              <w:left w:val="nil"/>
              <w:bottom w:val="nil"/>
              <w:right w:val="single" w:sz="4" w:space="0" w:color="auto"/>
            </w:tcBorders>
            <w:vAlign w:val="center"/>
            <w:hideMark/>
          </w:tcPr>
          <w:p w14:paraId="71AA3C1F"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sz w:val="16"/>
                <w:szCs w:val="16"/>
              </w:rPr>
            </w:pPr>
            <w:r w:rsidRPr="00CA6CBB">
              <w:rPr>
                <w:rFonts w:ascii="Calibri" w:hAnsi="Calibri"/>
                <w:sz w:val="16"/>
              </w:rPr>
              <w:t> </w:t>
            </w:r>
          </w:p>
        </w:tc>
      </w:tr>
      <w:tr w:rsidR="000F2ED2" w:rsidRPr="00CA6CBB" w14:paraId="6AC91A37" w14:textId="77777777" w:rsidTr="007047DA">
        <w:trPr>
          <w:trHeight w:val="230"/>
        </w:trPr>
        <w:tc>
          <w:tcPr>
            <w:tcW w:w="193" w:type="pct"/>
            <w:tcBorders>
              <w:top w:val="nil"/>
              <w:left w:val="single" w:sz="4" w:space="0" w:color="auto"/>
              <w:bottom w:val="single" w:sz="4" w:space="0" w:color="auto"/>
              <w:right w:val="nil"/>
            </w:tcBorders>
            <w:vAlign w:val="center"/>
            <w:hideMark/>
          </w:tcPr>
          <w:p w14:paraId="407EEE07"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r w:rsidRPr="00CA6CBB">
              <w:rPr>
                <w:rFonts w:ascii="Calibri" w:hAnsi="Calibri"/>
                <w:sz w:val="16"/>
              </w:rPr>
              <w:t>2025</w:t>
            </w:r>
          </w:p>
        </w:tc>
        <w:tc>
          <w:tcPr>
            <w:tcW w:w="272" w:type="pct"/>
            <w:tcBorders>
              <w:top w:val="nil"/>
              <w:left w:val="nil"/>
              <w:bottom w:val="single" w:sz="4" w:space="0" w:color="auto"/>
              <w:right w:val="nil"/>
            </w:tcBorders>
            <w:vAlign w:val="center"/>
            <w:hideMark/>
          </w:tcPr>
          <w:p w14:paraId="607E6526"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r w:rsidRPr="00CA6CBB">
              <w:rPr>
                <w:rFonts w:ascii="Calibri" w:hAnsi="Calibri"/>
                <w:sz w:val="16"/>
              </w:rPr>
              <w:t>23</w:t>
            </w:r>
          </w:p>
        </w:tc>
        <w:tc>
          <w:tcPr>
            <w:tcW w:w="2094" w:type="pct"/>
            <w:tcBorders>
              <w:top w:val="nil"/>
              <w:left w:val="nil"/>
              <w:bottom w:val="single" w:sz="4" w:space="0" w:color="auto"/>
              <w:right w:val="nil"/>
            </w:tcBorders>
            <w:vAlign w:val="center"/>
            <w:hideMark/>
          </w:tcPr>
          <w:p w14:paraId="6BFB3E24"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sz w:val="16"/>
                <w:szCs w:val="16"/>
              </w:rPr>
            </w:pPr>
            <w:r w:rsidRPr="00CA6CBB">
              <w:rPr>
                <w:rFonts w:ascii="Calibri" w:hAnsi="Calibri"/>
                <w:sz w:val="16"/>
              </w:rPr>
              <w:t>Establecer los plazos de algunos requisitos como fechas concretas (12 de julio de 2025) en lugar de 15 de julio (sin año)</w:t>
            </w:r>
          </w:p>
        </w:tc>
        <w:tc>
          <w:tcPr>
            <w:tcW w:w="430" w:type="pct"/>
            <w:tcBorders>
              <w:top w:val="nil"/>
              <w:left w:val="nil"/>
              <w:bottom w:val="single" w:sz="4" w:space="0" w:color="auto"/>
              <w:right w:val="nil"/>
            </w:tcBorders>
            <w:vAlign w:val="center"/>
            <w:hideMark/>
          </w:tcPr>
          <w:p w14:paraId="208BD507"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r w:rsidRPr="00CA6CBB">
              <w:rPr>
                <w:rFonts w:ascii="Calibri" w:hAnsi="Calibri"/>
                <w:sz w:val="16"/>
              </w:rPr>
              <w:t>Núcleo</w:t>
            </w:r>
          </w:p>
        </w:tc>
        <w:tc>
          <w:tcPr>
            <w:tcW w:w="291" w:type="pct"/>
            <w:tcBorders>
              <w:top w:val="nil"/>
              <w:left w:val="nil"/>
              <w:bottom w:val="single" w:sz="4" w:space="0" w:color="auto"/>
              <w:right w:val="nil"/>
            </w:tcBorders>
            <w:vAlign w:val="center"/>
            <w:hideMark/>
          </w:tcPr>
          <w:p w14:paraId="2F784164"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r w:rsidRPr="00CA6CBB">
              <w:rPr>
                <w:rFonts w:ascii="Calibri" w:hAnsi="Calibri"/>
                <w:sz w:val="16"/>
              </w:rPr>
              <w:t>Medio</w:t>
            </w:r>
          </w:p>
        </w:tc>
        <w:tc>
          <w:tcPr>
            <w:tcW w:w="283" w:type="pct"/>
            <w:tcBorders>
              <w:top w:val="nil"/>
              <w:left w:val="nil"/>
              <w:bottom w:val="single" w:sz="4" w:space="0" w:color="auto"/>
              <w:right w:val="nil"/>
            </w:tcBorders>
            <w:vAlign w:val="center"/>
            <w:hideMark/>
          </w:tcPr>
          <w:p w14:paraId="3371569F"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r w:rsidRPr="00CA6CBB">
              <w:rPr>
                <w:rFonts w:ascii="Calibri" w:hAnsi="Calibri"/>
                <w:sz w:val="16"/>
              </w:rPr>
              <w:t> </w:t>
            </w:r>
          </w:p>
        </w:tc>
        <w:tc>
          <w:tcPr>
            <w:tcW w:w="407" w:type="pct"/>
            <w:tcBorders>
              <w:top w:val="nil"/>
              <w:left w:val="nil"/>
              <w:bottom w:val="single" w:sz="4" w:space="0" w:color="auto"/>
              <w:right w:val="nil"/>
            </w:tcBorders>
            <w:vAlign w:val="center"/>
            <w:hideMark/>
          </w:tcPr>
          <w:p w14:paraId="1E14DB92"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r w:rsidRPr="00CA6CBB">
              <w:rPr>
                <w:rFonts w:ascii="Calibri" w:hAnsi="Calibri"/>
                <w:sz w:val="16"/>
              </w:rPr>
              <w:t> </w:t>
            </w:r>
          </w:p>
        </w:tc>
        <w:tc>
          <w:tcPr>
            <w:tcW w:w="333" w:type="pct"/>
            <w:tcBorders>
              <w:top w:val="nil"/>
              <w:left w:val="nil"/>
              <w:bottom w:val="single" w:sz="4" w:space="0" w:color="auto"/>
              <w:right w:val="nil"/>
            </w:tcBorders>
            <w:vAlign w:val="center"/>
            <w:hideMark/>
          </w:tcPr>
          <w:p w14:paraId="2138204C" w14:textId="77777777" w:rsidR="000F2ED2" w:rsidRPr="00CA6CBB" w:rsidRDefault="000F2ED2" w:rsidP="007047DA">
            <w:pPr>
              <w:pBdr>
                <w:top w:val="none" w:sz="0" w:space="0" w:color="auto"/>
                <w:left w:val="none" w:sz="0" w:space="0" w:color="auto"/>
                <w:bottom w:val="none" w:sz="0" w:space="0" w:color="auto"/>
                <w:right w:val="none" w:sz="0" w:space="0" w:color="auto"/>
                <w:between w:val="none" w:sz="0" w:space="0" w:color="auto"/>
              </w:pBdr>
              <w:ind w:left="-20" w:right="-109"/>
              <w:jc w:val="center"/>
              <w:rPr>
                <w:rFonts w:ascii="Calibri" w:eastAsia="Times New Roman" w:hAnsi="Calibri" w:cs="Calibri"/>
                <w:sz w:val="16"/>
                <w:szCs w:val="16"/>
              </w:rPr>
            </w:pPr>
            <w:r w:rsidRPr="00CA6CBB">
              <w:rPr>
                <w:rFonts w:ascii="Calibri" w:hAnsi="Calibri"/>
                <w:sz w:val="16"/>
              </w:rPr>
              <w:t> </w:t>
            </w:r>
          </w:p>
        </w:tc>
        <w:tc>
          <w:tcPr>
            <w:tcW w:w="697" w:type="pct"/>
            <w:tcBorders>
              <w:top w:val="nil"/>
              <w:left w:val="nil"/>
              <w:bottom w:val="single" w:sz="4" w:space="0" w:color="auto"/>
              <w:right w:val="single" w:sz="4" w:space="0" w:color="auto"/>
            </w:tcBorders>
            <w:vAlign w:val="center"/>
            <w:hideMark/>
          </w:tcPr>
          <w:p w14:paraId="013BB631"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sz w:val="16"/>
                <w:szCs w:val="16"/>
              </w:rPr>
            </w:pPr>
            <w:r w:rsidRPr="00CA6CBB">
              <w:rPr>
                <w:rFonts w:ascii="Calibri" w:hAnsi="Calibri"/>
                <w:sz w:val="16"/>
              </w:rPr>
              <w:t>Simplificar la verificación de los plazos</w:t>
            </w:r>
          </w:p>
        </w:tc>
      </w:tr>
      <w:tr w:rsidR="000F2ED2" w:rsidRPr="00CA6CBB" w14:paraId="33F6B22B" w14:textId="77777777" w:rsidTr="007047DA">
        <w:trPr>
          <w:trHeight w:val="443"/>
        </w:trPr>
        <w:tc>
          <w:tcPr>
            <w:tcW w:w="193" w:type="pct"/>
            <w:tcBorders>
              <w:top w:val="nil"/>
              <w:left w:val="single" w:sz="4" w:space="0" w:color="auto"/>
              <w:bottom w:val="nil"/>
              <w:right w:val="nil"/>
            </w:tcBorders>
            <w:vAlign w:val="center"/>
            <w:hideMark/>
          </w:tcPr>
          <w:p w14:paraId="3FFF9476"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r w:rsidRPr="00CA6CBB">
              <w:rPr>
                <w:rFonts w:ascii="Calibri" w:hAnsi="Calibri"/>
                <w:sz w:val="16"/>
              </w:rPr>
              <w:lastRenderedPageBreak/>
              <w:t>2026</w:t>
            </w:r>
          </w:p>
        </w:tc>
        <w:tc>
          <w:tcPr>
            <w:tcW w:w="272" w:type="pct"/>
            <w:tcBorders>
              <w:top w:val="nil"/>
              <w:left w:val="nil"/>
              <w:bottom w:val="nil"/>
              <w:right w:val="nil"/>
            </w:tcBorders>
            <w:vAlign w:val="center"/>
            <w:hideMark/>
          </w:tcPr>
          <w:p w14:paraId="4AEF4836"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r w:rsidRPr="00CA6CBB">
              <w:rPr>
                <w:rFonts w:ascii="Calibri" w:hAnsi="Calibri"/>
                <w:sz w:val="16"/>
              </w:rPr>
              <w:t>24</w:t>
            </w:r>
          </w:p>
        </w:tc>
        <w:tc>
          <w:tcPr>
            <w:tcW w:w="2094" w:type="pct"/>
            <w:tcBorders>
              <w:top w:val="nil"/>
              <w:left w:val="nil"/>
              <w:bottom w:val="nil"/>
              <w:right w:val="nil"/>
            </w:tcBorders>
            <w:vAlign w:val="center"/>
            <w:hideMark/>
          </w:tcPr>
          <w:p w14:paraId="58B2152F"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sz w:val="16"/>
                <w:szCs w:val="16"/>
              </w:rPr>
            </w:pPr>
            <w:r w:rsidRPr="00CA6CBB">
              <w:rPr>
                <w:rFonts w:ascii="Calibri" w:hAnsi="Calibri"/>
                <w:sz w:val="16"/>
              </w:rPr>
              <w:t>Sistema de traducción automática híbrida</w:t>
            </w:r>
          </w:p>
        </w:tc>
        <w:tc>
          <w:tcPr>
            <w:tcW w:w="430" w:type="pct"/>
            <w:tcBorders>
              <w:top w:val="nil"/>
              <w:left w:val="nil"/>
              <w:bottom w:val="nil"/>
              <w:right w:val="nil"/>
            </w:tcBorders>
            <w:vAlign w:val="center"/>
            <w:hideMark/>
          </w:tcPr>
          <w:p w14:paraId="42E3968C"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r w:rsidRPr="00CA6CBB">
              <w:rPr>
                <w:rFonts w:ascii="Calibri" w:hAnsi="Calibri"/>
                <w:sz w:val="16"/>
              </w:rPr>
              <w:t>Núcleo</w:t>
            </w:r>
          </w:p>
        </w:tc>
        <w:tc>
          <w:tcPr>
            <w:tcW w:w="291" w:type="pct"/>
            <w:tcBorders>
              <w:top w:val="nil"/>
              <w:left w:val="nil"/>
              <w:bottom w:val="nil"/>
              <w:right w:val="nil"/>
            </w:tcBorders>
            <w:vAlign w:val="center"/>
            <w:hideMark/>
          </w:tcPr>
          <w:p w14:paraId="301356F8"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r w:rsidRPr="00CA6CBB">
              <w:rPr>
                <w:rFonts w:ascii="Calibri" w:hAnsi="Calibri"/>
                <w:sz w:val="16"/>
              </w:rPr>
              <w:t>Medio</w:t>
            </w:r>
          </w:p>
        </w:tc>
        <w:tc>
          <w:tcPr>
            <w:tcW w:w="283" w:type="pct"/>
            <w:tcBorders>
              <w:top w:val="nil"/>
              <w:left w:val="nil"/>
              <w:bottom w:val="nil"/>
              <w:right w:val="nil"/>
            </w:tcBorders>
            <w:vAlign w:val="center"/>
            <w:hideMark/>
          </w:tcPr>
          <w:p w14:paraId="70FC4753"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r w:rsidRPr="00CA6CBB">
              <w:rPr>
                <w:rFonts w:ascii="Calibri" w:hAnsi="Calibri"/>
                <w:sz w:val="16"/>
              </w:rPr>
              <w:t>Sí</w:t>
            </w:r>
          </w:p>
        </w:tc>
        <w:tc>
          <w:tcPr>
            <w:tcW w:w="407" w:type="pct"/>
            <w:tcBorders>
              <w:top w:val="nil"/>
              <w:left w:val="nil"/>
              <w:bottom w:val="nil"/>
              <w:right w:val="nil"/>
            </w:tcBorders>
            <w:vAlign w:val="center"/>
            <w:hideMark/>
          </w:tcPr>
          <w:p w14:paraId="19493630"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r w:rsidRPr="00CA6CBB">
              <w:rPr>
                <w:rFonts w:ascii="Calibri" w:hAnsi="Calibri"/>
                <w:sz w:val="16"/>
              </w:rPr>
              <w:t>Sí</w:t>
            </w:r>
          </w:p>
        </w:tc>
        <w:tc>
          <w:tcPr>
            <w:tcW w:w="333" w:type="pct"/>
            <w:tcBorders>
              <w:top w:val="nil"/>
              <w:left w:val="nil"/>
              <w:bottom w:val="nil"/>
              <w:right w:val="nil"/>
            </w:tcBorders>
            <w:vAlign w:val="center"/>
            <w:hideMark/>
          </w:tcPr>
          <w:p w14:paraId="28B08CCE" w14:textId="77777777" w:rsidR="000F2ED2" w:rsidRPr="00CA6CBB" w:rsidRDefault="000F2ED2" w:rsidP="007047DA">
            <w:pPr>
              <w:pBdr>
                <w:top w:val="none" w:sz="0" w:space="0" w:color="auto"/>
                <w:left w:val="none" w:sz="0" w:space="0" w:color="auto"/>
                <w:bottom w:val="none" w:sz="0" w:space="0" w:color="auto"/>
                <w:right w:val="none" w:sz="0" w:space="0" w:color="auto"/>
                <w:between w:val="none" w:sz="0" w:space="0" w:color="auto"/>
              </w:pBdr>
              <w:ind w:left="-20" w:right="-109"/>
              <w:jc w:val="center"/>
              <w:rPr>
                <w:rFonts w:ascii="Calibri" w:eastAsia="Times New Roman" w:hAnsi="Calibri" w:cs="Calibri"/>
                <w:sz w:val="16"/>
                <w:szCs w:val="16"/>
              </w:rPr>
            </w:pPr>
            <w:r w:rsidRPr="00CA6CBB">
              <w:rPr>
                <w:rFonts w:ascii="Calibri" w:hAnsi="Calibri"/>
                <w:sz w:val="16"/>
              </w:rPr>
              <w:t>En estudio</w:t>
            </w:r>
          </w:p>
        </w:tc>
        <w:tc>
          <w:tcPr>
            <w:tcW w:w="697" w:type="pct"/>
            <w:tcBorders>
              <w:top w:val="nil"/>
              <w:left w:val="nil"/>
              <w:bottom w:val="nil"/>
              <w:right w:val="single" w:sz="4" w:space="0" w:color="auto"/>
            </w:tcBorders>
            <w:vAlign w:val="center"/>
            <w:hideMark/>
          </w:tcPr>
          <w:p w14:paraId="18168B9D"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sz w:val="16"/>
                <w:szCs w:val="16"/>
              </w:rPr>
            </w:pPr>
            <w:r w:rsidRPr="00CA6CBB">
              <w:rPr>
                <w:rFonts w:ascii="Calibri" w:hAnsi="Calibri"/>
                <w:sz w:val="16"/>
              </w:rPr>
              <w:t>Sugerencia de no entrenar la IA con nuestros datos privados añadida por Japón</w:t>
            </w:r>
          </w:p>
        </w:tc>
      </w:tr>
      <w:tr w:rsidR="000F2ED2" w:rsidRPr="00CA6CBB" w14:paraId="1C90D638" w14:textId="77777777" w:rsidTr="007047DA">
        <w:trPr>
          <w:trHeight w:val="480"/>
        </w:trPr>
        <w:tc>
          <w:tcPr>
            <w:tcW w:w="193" w:type="pct"/>
            <w:tcBorders>
              <w:top w:val="nil"/>
              <w:left w:val="single" w:sz="4" w:space="0" w:color="auto"/>
              <w:bottom w:val="nil"/>
              <w:right w:val="nil"/>
            </w:tcBorders>
            <w:vAlign w:val="center"/>
            <w:hideMark/>
          </w:tcPr>
          <w:p w14:paraId="1A1DF4F0"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r w:rsidRPr="00CA6CBB">
              <w:rPr>
                <w:rFonts w:ascii="Calibri" w:hAnsi="Calibri"/>
                <w:sz w:val="16"/>
              </w:rPr>
              <w:t>2026</w:t>
            </w:r>
          </w:p>
        </w:tc>
        <w:tc>
          <w:tcPr>
            <w:tcW w:w="272" w:type="pct"/>
            <w:tcBorders>
              <w:top w:val="nil"/>
              <w:left w:val="nil"/>
              <w:bottom w:val="nil"/>
              <w:right w:val="nil"/>
            </w:tcBorders>
            <w:vAlign w:val="center"/>
            <w:hideMark/>
          </w:tcPr>
          <w:p w14:paraId="0A4A6273"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r w:rsidRPr="00CA6CBB">
              <w:rPr>
                <w:rFonts w:ascii="Calibri" w:hAnsi="Calibri"/>
                <w:sz w:val="16"/>
              </w:rPr>
              <w:t>25</w:t>
            </w:r>
          </w:p>
        </w:tc>
        <w:tc>
          <w:tcPr>
            <w:tcW w:w="2094" w:type="pct"/>
            <w:tcBorders>
              <w:top w:val="nil"/>
              <w:left w:val="nil"/>
              <w:bottom w:val="nil"/>
              <w:right w:val="nil"/>
            </w:tcBorders>
            <w:vAlign w:val="center"/>
            <w:hideMark/>
          </w:tcPr>
          <w:p w14:paraId="62AF7F49"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sz w:val="16"/>
                <w:szCs w:val="16"/>
              </w:rPr>
            </w:pPr>
            <w:r w:rsidRPr="00CA6CBB">
              <w:rPr>
                <w:rFonts w:ascii="Calibri" w:hAnsi="Calibri"/>
                <w:sz w:val="16"/>
              </w:rPr>
              <w:t>Rediseño del sistema de notificaciones</w:t>
            </w:r>
          </w:p>
        </w:tc>
        <w:tc>
          <w:tcPr>
            <w:tcW w:w="430" w:type="pct"/>
            <w:tcBorders>
              <w:top w:val="nil"/>
              <w:left w:val="nil"/>
              <w:bottom w:val="nil"/>
              <w:right w:val="nil"/>
            </w:tcBorders>
            <w:vAlign w:val="center"/>
            <w:hideMark/>
          </w:tcPr>
          <w:p w14:paraId="01B3057D"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r w:rsidRPr="00CA6CBB">
              <w:rPr>
                <w:rFonts w:ascii="Calibri" w:hAnsi="Calibri"/>
                <w:sz w:val="16"/>
              </w:rPr>
              <w:t>Notificaciones y todo</w:t>
            </w:r>
          </w:p>
        </w:tc>
        <w:tc>
          <w:tcPr>
            <w:tcW w:w="291" w:type="pct"/>
            <w:tcBorders>
              <w:top w:val="nil"/>
              <w:left w:val="nil"/>
              <w:bottom w:val="nil"/>
              <w:right w:val="nil"/>
            </w:tcBorders>
            <w:vAlign w:val="center"/>
            <w:hideMark/>
          </w:tcPr>
          <w:p w14:paraId="4BE64A73"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r w:rsidRPr="00CA6CBB">
              <w:rPr>
                <w:rFonts w:ascii="Calibri" w:hAnsi="Calibri"/>
                <w:sz w:val="16"/>
              </w:rPr>
              <w:t>Medio</w:t>
            </w:r>
          </w:p>
        </w:tc>
        <w:tc>
          <w:tcPr>
            <w:tcW w:w="283" w:type="pct"/>
            <w:tcBorders>
              <w:top w:val="nil"/>
              <w:left w:val="nil"/>
              <w:bottom w:val="nil"/>
              <w:right w:val="nil"/>
            </w:tcBorders>
            <w:vAlign w:val="center"/>
            <w:hideMark/>
          </w:tcPr>
          <w:p w14:paraId="5CC306E7"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p>
        </w:tc>
        <w:tc>
          <w:tcPr>
            <w:tcW w:w="407" w:type="pct"/>
            <w:tcBorders>
              <w:top w:val="nil"/>
              <w:left w:val="nil"/>
              <w:bottom w:val="nil"/>
              <w:right w:val="nil"/>
            </w:tcBorders>
            <w:vAlign w:val="center"/>
            <w:hideMark/>
          </w:tcPr>
          <w:p w14:paraId="40ECB6B1"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imes New Roman" w:eastAsia="Times New Roman" w:hAnsi="Times New Roman" w:cs="Times New Roman"/>
                <w:color w:val="auto"/>
                <w:sz w:val="16"/>
                <w:szCs w:val="16"/>
                <w:lang w:eastAsia="en-GB"/>
              </w:rPr>
            </w:pPr>
          </w:p>
        </w:tc>
        <w:tc>
          <w:tcPr>
            <w:tcW w:w="333" w:type="pct"/>
            <w:tcBorders>
              <w:top w:val="nil"/>
              <w:left w:val="nil"/>
              <w:bottom w:val="nil"/>
              <w:right w:val="nil"/>
            </w:tcBorders>
            <w:vAlign w:val="center"/>
            <w:hideMark/>
          </w:tcPr>
          <w:p w14:paraId="542977EB" w14:textId="77777777" w:rsidR="000F2ED2" w:rsidRPr="00CA6CBB" w:rsidRDefault="000F2ED2" w:rsidP="007047DA">
            <w:pPr>
              <w:pBdr>
                <w:top w:val="none" w:sz="0" w:space="0" w:color="auto"/>
                <w:left w:val="none" w:sz="0" w:space="0" w:color="auto"/>
                <w:bottom w:val="none" w:sz="0" w:space="0" w:color="auto"/>
                <w:right w:val="none" w:sz="0" w:space="0" w:color="auto"/>
                <w:between w:val="none" w:sz="0" w:space="0" w:color="auto"/>
              </w:pBdr>
              <w:ind w:left="-20" w:right="-109"/>
              <w:jc w:val="center"/>
              <w:rPr>
                <w:rFonts w:ascii="Calibri" w:eastAsia="Times New Roman" w:hAnsi="Calibri" w:cs="Calibri"/>
                <w:sz w:val="16"/>
                <w:szCs w:val="16"/>
              </w:rPr>
            </w:pPr>
            <w:r w:rsidRPr="00CA6CBB">
              <w:rPr>
                <w:rFonts w:ascii="Calibri" w:hAnsi="Calibri"/>
                <w:sz w:val="16"/>
              </w:rPr>
              <w:t>En curso</w:t>
            </w:r>
          </w:p>
        </w:tc>
        <w:tc>
          <w:tcPr>
            <w:tcW w:w="697" w:type="pct"/>
            <w:tcBorders>
              <w:top w:val="nil"/>
              <w:left w:val="nil"/>
              <w:bottom w:val="nil"/>
              <w:right w:val="single" w:sz="4" w:space="0" w:color="auto"/>
            </w:tcBorders>
            <w:vAlign w:val="center"/>
            <w:hideMark/>
          </w:tcPr>
          <w:p w14:paraId="55EA677C"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sz w:val="16"/>
                <w:szCs w:val="16"/>
              </w:rPr>
            </w:pPr>
            <w:r w:rsidRPr="00CA6CBB">
              <w:rPr>
                <w:rFonts w:ascii="Calibri" w:hAnsi="Calibri"/>
                <w:sz w:val="16"/>
              </w:rPr>
              <w:t>La sugerencia formulada por Japón se ha incorporado al nuevo sistema de notificación</w:t>
            </w:r>
          </w:p>
        </w:tc>
      </w:tr>
      <w:tr w:rsidR="000F2ED2" w:rsidRPr="00CA6CBB" w14:paraId="3C73F003" w14:textId="77777777" w:rsidTr="007047DA">
        <w:trPr>
          <w:trHeight w:val="240"/>
        </w:trPr>
        <w:tc>
          <w:tcPr>
            <w:tcW w:w="193" w:type="pct"/>
            <w:tcBorders>
              <w:top w:val="nil"/>
              <w:left w:val="single" w:sz="4" w:space="0" w:color="auto"/>
              <w:bottom w:val="nil"/>
              <w:right w:val="nil"/>
            </w:tcBorders>
            <w:vAlign w:val="center"/>
            <w:hideMark/>
          </w:tcPr>
          <w:p w14:paraId="7B76D178"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r w:rsidRPr="00CA6CBB">
              <w:rPr>
                <w:rFonts w:ascii="Calibri" w:hAnsi="Calibri"/>
                <w:sz w:val="16"/>
              </w:rPr>
              <w:t>2026</w:t>
            </w:r>
          </w:p>
        </w:tc>
        <w:tc>
          <w:tcPr>
            <w:tcW w:w="272" w:type="pct"/>
            <w:tcBorders>
              <w:top w:val="nil"/>
              <w:left w:val="nil"/>
              <w:bottom w:val="nil"/>
              <w:right w:val="nil"/>
            </w:tcBorders>
            <w:vAlign w:val="center"/>
            <w:hideMark/>
          </w:tcPr>
          <w:p w14:paraId="184EF277"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r w:rsidRPr="00CA6CBB">
              <w:rPr>
                <w:rFonts w:ascii="Calibri" w:hAnsi="Calibri"/>
                <w:sz w:val="16"/>
              </w:rPr>
              <w:t>26</w:t>
            </w:r>
          </w:p>
        </w:tc>
        <w:tc>
          <w:tcPr>
            <w:tcW w:w="2094" w:type="pct"/>
            <w:tcBorders>
              <w:top w:val="nil"/>
              <w:left w:val="nil"/>
              <w:bottom w:val="nil"/>
              <w:right w:val="nil"/>
            </w:tcBorders>
            <w:vAlign w:val="center"/>
            <w:hideMark/>
          </w:tcPr>
          <w:p w14:paraId="27B87B1A"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sz w:val="16"/>
                <w:szCs w:val="16"/>
              </w:rPr>
            </w:pPr>
            <w:r w:rsidRPr="00CA6CBB">
              <w:rPr>
                <w:rFonts w:ascii="Calibri" w:hAnsi="Calibri"/>
                <w:sz w:val="16"/>
              </w:rPr>
              <w:t>Hacer que el panel de control sea dinámico (preferencias de usuario almacenadas en la base de datos)</w:t>
            </w:r>
          </w:p>
        </w:tc>
        <w:tc>
          <w:tcPr>
            <w:tcW w:w="430" w:type="pct"/>
            <w:tcBorders>
              <w:top w:val="nil"/>
              <w:left w:val="nil"/>
              <w:bottom w:val="nil"/>
              <w:right w:val="nil"/>
            </w:tcBorders>
            <w:vAlign w:val="center"/>
            <w:hideMark/>
          </w:tcPr>
          <w:p w14:paraId="6B574CF0"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r w:rsidRPr="00CA6CBB">
              <w:rPr>
                <w:rFonts w:ascii="Calibri" w:hAnsi="Calibri"/>
                <w:sz w:val="16"/>
              </w:rPr>
              <w:t>Núcleo</w:t>
            </w:r>
          </w:p>
        </w:tc>
        <w:tc>
          <w:tcPr>
            <w:tcW w:w="291" w:type="pct"/>
            <w:tcBorders>
              <w:top w:val="nil"/>
              <w:left w:val="nil"/>
              <w:bottom w:val="nil"/>
              <w:right w:val="nil"/>
            </w:tcBorders>
            <w:vAlign w:val="center"/>
            <w:hideMark/>
          </w:tcPr>
          <w:p w14:paraId="0F2F91BF"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r w:rsidRPr="00CA6CBB">
              <w:rPr>
                <w:rFonts w:ascii="Calibri" w:hAnsi="Calibri"/>
                <w:sz w:val="16"/>
              </w:rPr>
              <w:t>Bajo</w:t>
            </w:r>
          </w:p>
        </w:tc>
        <w:tc>
          <w:tcPr>
            <w:tcW w:w="283" w:type="pct"/>
            <w:tcBorders>
              <w:top w:val="nil"/>
              <w:left w:val="nil"/>
              <w:bottom w:val="nil"/>
              <w:right w:val="nil"/>
            </w:tcBorders>
            <w:vAlign w:val="center"/>
            <w:hideMark/>
          </w:tcPr>
          <w:p w14:paraId="2EF6F7EC"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p>
        </w:tc>
        <w:tc>
          <w:tcPr>
            <w:tcW w:w="407" w:type="pct"/>
            <w:tcBorders>
              <w:top w:val="nil"/>
              <w:left w:val="nil"/>
              <w:bottom w:val="nil"/>
              <w:right w:val="nil"/>
            </w:tcBorders>
            <w:vAlign w:val="center"/>
            <w:hideMark/>
          </w:tcPr>
          <w:p w14:paraId="5391E0AA"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imes New Roman" w:eastAsia="Times New Roman" w:hAnsi="Times New Roman" w:cs="Times New Roman"/>
                <w:color w:val="auto"/>
                <w:sz w:val="16"/>
                <w:szCs w:val="16"/>
                <w:lang w:eastAsia="en-GB"/>
              </w:rPr>
            </w:pPr>
          </w:p>
        </w:tc>
        <w:tc>
          <w:tcPr>
            <w:tcW w:w="333" w:type="pct"/>
            <w:tcBorders>
              <w:top w:val="nil"/>
              <w:left w:val="nil"/>
              <w:bottom w:val="nil"/>
              <w:right w:val="nil"/>
            </w:tcBorders>
            <w:vAlign w:val="center"/>
            <w:hideMark/>
          </w:tcPr>
          <w:p w14:paraId="1E64C1FC" w14:textId="77777777" w:rsidR="000F2ED2" w:rsidRPr="00CA6CBB" w:rsidRDefault="000F2ED2" w:rsidP="007047DA">
            <w:pPr>
              <w:pBdr>
                <w:top w:val="none" w:sz="0" w:space="0" w:color="auto"/>
                <w:left w:val="none" w:sz="0" w:space="0" w:color="auto"/>
                <w:bottom w:val="none" w:sz="0" w:space="0" w:color="auto"/>
                <w:right w:val="none" w:sz="0" w:space="0" w:color="auto"/>
                <w:between w:val="none" w:sz="0" w:space="0" w:color="auto"/>
              </w:pBdr>
              <w:ind w:left="-20" w:right="-109"/>
              <w:jc w:val="center"/>
              <w:rPr>
                <w:rFonts w:ascii="Times New Roman" w:eastAsia="Times New Roman" w:hAnsi="Times New Roman" w:cs="Times New Roman"/>
                <w:color w:val="auto"/>
                <w:sz w:val="16"/>
                <w:szCs w:val="16"/>
                <w:lang w:eastAsia="en-GB"/>
              </w:rPr>
            </w:pPr>
          </w:p>
        </w:tc>
        <w:tc>
          <w:tcPr>
            <w:tcW w:w="697" w:type="pct"/>
            <w:tcBorders>
              <w:top w:val="nil"/>
              <w:left w:val="nil"/>
              <w:bottom w:val="nil"/>
              <w:right w:val="single" w:sz="4" w:space="0" w:color="auto"/>
            </w:tcBorders>
            <w:vAlign w:val="center"/>
            <w:hideMark/>
          </w:tcPr>
          <w:p w14:paraId="1A72AD6D"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sz w:val="16"/>
                <w:szCs w:val="16"/>
              </w:rPr>
            </w:pPr>
            <w:r w:rsidRPr="00CA6CBB">
              <w:rPr>
                <w:rFonts w:ascii="Calibri" w:hAnsi="Calibri"/>
                <w:sz w:val="16"/>
              </w:rPr>
              <w:t> </w:t>
            </w:r>
          </w:p>
        </w:tc>
      </w:tr>
      <w:tr w:rsidR="000F2ED2" w:rsidRPr="00CA6CBB" w14:paraId="7359B8C5" w14:textId="77777777" w:rsidTr="007047DA">
        <w:trPr>
          <w:trHeight w:val="480"/>
        </w:trPr>
        <w:tc>
          <w:tcPr>
            <w:tcW w:w="193" w:type="pct"/>
            <w:tcBorders>
              <w:top w:val="nil"/>
              <w:left w:val="single" w:sz="4" w:space="0" w:color="auto"/>
              <w:bottom w:val="nil"/>
              <w:right w:val="nil"/>
            </w:tcBorders>
            <w:vAlign w:val="center"/>
            <w:hideMark/>
          </w:tcPr>
          <w:p w14:paraId="46CB6C85"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r w:rsidRPr="00CA6CBB">
              <w:rPr>
                <w:rFonts w:ascii="Calibri" w:hAnsi="Calibri"/>
                <w:sz w:val="16"/>
              </w:rPr>
              <w:t>2026</w:t>
            </w:r>
          </w:p>
        </w:tc>
        <w:tc>
          <w:tcPr>
            <w:tcW w:w="272" w:type="pct"/>
            <w:tcBorders>
              <w:top w:val="nil"/>
              <w:left w:val="nil"/>
              <w:bottom w:val="nil"/>
              <w:right w:val="nil"/>
            </w:tcBorders>
            <w:vAlign w:val="center"/>
            <w:hideMark/>
          </w:tcPr>
          <w:p w14:paraId="050F0476"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r w:rsidRPr="00CA6CBB">
              <w:rPr>
                <w:rFonts w:ascii="Calibri" w:hAnsi="Calibri"/>
                <w:sz w:val="16"/>
              </w:rPr>
              <w:t>27</w:t>
            </w:r>
          </w:p>
        </w:tc>
        <w:tc>
          <w:tcPr>
            <w:tcW w:w="2094" w:type="pct"/>
            <w:tcBorders>
              <w:top w:val="nil"/>
              <w:left w:val="nil"/>
              <w:bottom w:val="nil"/>
              <w:right w:val="nil"/>
            </w:tcBorders>
            <w:vAlign w:val="center"/>
            <w:hideMark/>
          </w:tcPr>
          <w:p w14:paraId="2C2AC3B0"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sz w:val="16"/>
                <w:szCs w:val="16"/>
              </w:rPr>
            </w:pPr>
            <w:r w:rsidRPr="00CA6CBB">
              <w:rPr>
                <w:rFonts w:ascii="Calibri" w:hAnsi="Calibri"/>
                <w:sz w:val="16"/>
              </w:rPr>
              <w:t xml:space="preserve">Finalizar la migración de los módulos de </w:t>
            </w:r>
            <w:proofErr w:type="spellStart"/>
            <w:r w:rsidRPr="00CA6CBB">
              <w:rPr>
                <w:rFonts w:ascii="Calibri" w:hAnsi="Calibri"/>
                <w:sz w:val="16"/>
              </w:rPr>
              <w:t>backend</w:t>
            </w:r>
            <w:proofErr w:type="spellEnd"/>
            <w:r w:rsidRPr="00CA6CBB">
              <w:rPr>
                <w:rFonts w:ascii="Calibri" w:hAnsi="Calibri"/>
                <w:sz w:val="16"/>
              </w:rPr>
              <w:t xml:space="preserve"> a Spring Boot 3.5.6 (última versión estable)</w:t>
            </w:r>
          </w:p>
        </w:tc>
        <w:tc>
          <w:tcPr>
            <w:tcW w:w="430" w:type="pct"/>
            <w:tcBorders>
              <w:top w:val="nil"/>
              <w:left w:val="nil"/>
              <w:bottom w:val="nil"/>
              <w:right w:val="nil"/>
            </w:tcBorders>
            <w:vAlign w:val="center"/>
            <w:hideMark/>
          </w:tcPr>
          <w:p w14:paraId="7FA1FFD7"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r w:rsidRPr="00CA6CBB">
              <w:rPr>
                <w:rFonts w:ascii="Calibri" w:hAnsi="Calibri"/>
                <w:sz w:val="16"/>
              </w:rPr>
              <w:t>Núcleo, buques</w:t>
            </w:r>
          </w:p>
        </w:tc>
        <w:tc>
          <w:tcPr>
            <w:tcW w:w="291" w:type="pct"/>
            <w:tcBorders>
              <w:top w:val="nil"/>
              <w:left w:val="nil"/>
              <w:bottom w:val="nil"/>
              <w:right w:val="nil"/>
            </w:tcBorders>
            <w:vAlign w:val="center"/>
            <w:hideMark/>
          </w:tcPr>
          <w:p w14:paraId="04E0D132"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r w:rsidRPr="00CA6CBB">
              <w:rPr>
                <w:rFonts w:ascii="Calibri" w:hAnsi="Calibri"/>
                <w:sz w:val="16"/>
              </w:rPr>
              <w:t>Medio</w:t>
            </w:r>
          </w:p>
        </w:tc>
        <w:tc>
          <w:tcPr>
            <w:tcW w:w="283" w:type="pct"/>
            <w:tcBorders>
              <w:top w:val="nil"/>
              <w:left w:val="nil"/>
              <w:bottom w:val="nil"/>
              <w:right w:val="nil"/>
            </w:tcBorders>
            <w:vAlign w:val="center"/>
            <w:hideMark/>
          </w:tcPr>
          <w:p w14:paraId="3FC628D5"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p>
        </w:tc>
        <w:tc>
          <w:tcPr>
            <w:tcW w:w="407" w:type="pct"/>
            <w:tcBorders>
              <w:top w:val="nil"/>
              <w:left w:val="nil"/>
              <w:bottom w:val="nil"/>
              <w:right w:val="nil"/>
            </w:tcBorders>
            <w:vAlign w:val="center"/>
            <w:hideMark/>
          </w:tcPr>
          <w:p w14:paraId="301939AA"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imes New Roman" w:eastAsia="Times New Roman" w:hAnsi="Times New Roman" w:cs="Times New Roman"/>
                <w:color w:val="auto"/>
                <w:sz w:val="16"/>
                <w:szCs w:val="16"/>
                <w:lang w:eastAsia="en-GB"/>
              </w:rPr>
            </w:pPr>
          </w:p>
        </w:tc>
        <w:tc>
          <w:tcPr>
            <w:tcW w:w="333" w:type="pct"/>
            <w:tcBorders>
              <w:top w:val="nil"/>
              <w:left w:val="nil"/>
              <w:bottom w:val="nil"/>
              <w:right w:val="nil"/>
            </w:tcBorders>
            <w:vAlign w:val="center"/>
            <w:hideMark/>
          </w:tcPr>
          <w:p w14:paraId="52C5F0C5" w14:textId="77777777" w:rsidR="000F2ED2" w:rsidRPr="00CA6CBB" w:rsidRDefault="000F2ED2" w:rsidP="007047DA">
            <w:pPr>
              <w:pBdr>
                <w:top w:val="none" w:sz="0" w:space="0" w:color="auto"/>
                <w:left w:val="none" w:sz="0" w:space="0" w:color="auto"/>
                <w:bottom w:val="none" w:sz="0" w:space="0" w:color="auto"/>
                <w:right w:val="none" w:sz="0" w:space="0" w:color="auto"/>
                <w:between w:val="none" w:sz="0" w:space="0" w:color="auto"/>
              </w:pBdr>
              <w:ind w:left="-20" w:right="-109"/>
              <w:jc w:val="center"/>
              <w:rPr>
                <w:rFonts w:ascii="Calibri" w:eastAsia="Times New Roman" w:hAnsi="Calibri" w:cs="Calibri"/>
                <w:sz w:val="16"/>
                <w:szCs w:val="16"/>
              </w:rPr>
            </w:pPr>
            <w:r w:rsidRPr="00CA6CBB">
              <w:rPr>
                <w:rFonts w:ascii="Calibri" w:hAnsi="Calibri"/>
                <w:sz w:val="16"/>
              </w:rPr>
              <w:t>En curso</w:t>
            </w:r>
          </w:p>
        </w:tc>
        <w:tc>
          <w:tcPr>
            <w:tcW w:w="697" w:type="pct"/>
            <w:tcBorders>
              <w:top w:val="nil"/>
              <w:left w:val="nil"/>
              <w:bottom w:val="nil"/>
              <w:right w:val="single" w:sz="4" w:space="0" w:color="auto"/>
            </w:tcBorders>
            <w:vAlign w:val="center"/>
            <w:hideMark/>
          </w:tcPr>
          <w:p w14:paraId="0EB29062"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sz w:val="16"/>
                <w:szCs w:val="16"/>
              </w:rPr>
            </w:pPr>
            <w:r w:rsidRPr="00CA6CBB">
              <w:rPr>
                <w:rFonts w:ascii="Calibri" w:hAnsi="Calibri"/>
                <w:sz w:val="16"/>
              </w:rPr>
              <w:t>Esta versión incluirá varias mejoras en los tiempos de carga. Tal y como ha sugerido Japón.</w:t>
            </w:r>
          </w:p>
        </w:tc>
      </w:tr>
      <w:tr w:rsidR="000F2ED2" w:rsidRPr="00CA6CBB" w14:paraId="4541F21A" w14:textId="77777777" w:rsidTr="007047DA">
        <w:trPr>
          <w:trHeight w:val="240"/>
        </w:trPr>
        <w:tc>
          <w:tcPr>
            <w:tcW w:w="193" w:type="pct"/>
            <w:tcBorders>
              <w:top w:val="nil"/>
              <w:left w:val="single" w:sz="4" w:space="0" w:color="auto"/>
              <w:bottom w:val="nil"/>
              <w:right w:val="nil"/>
            </w:tcBorders>
            <w:vAlign w:val="center"/>
            <w:hideMark/>
          </w:tcPr>
          <w:p w14:paraId="54124E1C"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r w:rsidRPr="00CA6CBB">
              <w:rPr>
                <w:rFonts w:ascii="Calibri" w:hAnsi="Calibri"/>
                <w:sz w:val="16"/>
              </w:rPr>
              <w:t>2026</w:t>
            </w:r>
          </w:p>
        </w:tc>
        <w:tc>
          <w:tcPr>
            <w:tcW w:w="272" w:type="pct"/>
            <w:tcBorders>
              <w:top w:val="nil"/>
              <w:left w:val="nil"/>
              <w:bottom w:val="nil"/>
              <w:right w:val="nil"/>
            </w:tcBorders>
            <w:vAlign w:val="center"/>
            <w:hideMark/>
          </w:tcPr>
          <w:p w14:paraId="5D4B5B6A"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r w:rsidRPr="00CA6CBB">
              <w:rPr>
                <w:rFonts w:ascii="Calibri" w:hAnsi="Calibri"/>
                <w:sz w:val="16"/>
              </w:rPr>
              <w:t>28</w:t>
            </w:r>
          </w:p>
        </w:tc>
        <w:tc>
          <w:tcPr>
            <w:tcW w:w="2094" w:type="pct"/>
            <w:tcBorders>
              <w:top w:val="nil"/>
              <w:left w:val="nil"/>
              <w:bottom w:val="nil"/>
              <w:right w:val="nil"/>
            </w:tcBorders>
            <w:vAlign w:val="center"/>
            <w:hideMark/>
          </w:tcPr>
          <w:p w14:paraId="2EFEEA25"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sz w:val="16"/>
                <w:szCs w:val="16"/>
              </w:rPr>
            </w:pPr>
            <w:r w:rsidRPr="00CA6CBB">
              <w:rPr>
                <w:rFonts w:ascii="Calibri" w:hAnsi="Calibri"/>
                <w:sz w:val="16"/>
              </w:rPr>
              <w:t xml:space="preserve">Finalizar la migración del módulo </w:t>
            </w:r>
            <w:proofErr w:type="spellStart"/>
            <w:r w:rsidRPr="00CA6CBB">
              <w:rPr>
                <w:rFonts w:ascii="Calibri" w:hAnsi="Calibri"/>
                <w:sz w:val="16"/>
              </w:rPr>
              <w:t>frontend</w:t>
            </w:r>
            <w:proofErr w:type="spellEnd"/>
            <w:r w:rsidRPr="00CA6CBB">
              <w:rPr>
                <w:rFonts w:ascii="Calibri" w:hAnsi="Calibri"/>
                <w:sz w:val="16"/>
              </w:rPr>
              <w:t xml:space="preserve"> a Angular 20</w:t>
            </w:r>
          </w:p>
        </w:tc>
        <w:tc>
          <w:tcPr>
            <w:tcW w:w="430" w:type="pct"/>
            <w:tcBorders>
              <w:top w:val="nil"/>
              <w:left w:val="nil"/>
              <w:bottom w:val="nil"/>
              <w:right w:val="nil"/>
            </w:tcBorders>
            <w:vAlign w:val="center"/>
            <w:hideMark/>
          </w:tcPr>
          <w:p w14:paraId="046951DB"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proofErr w:type="spellStart"/>
            <w:r w:rsidRPr="00CA6CBB">
              <w:rPr>
                <w:rFonts w:ascii="Calibri" w:hAnsi="Calibri"/>
                <w:sz w:val="16"/>
              </w:rPr>
              <w:t>Frontend</w:t>
            </w:r>
            <w:proofErr w:type="spellEnd"/>
          </w:p>
        </w:tc>
        <w:tc>
          <w:tcPr>
            <w:tcW w:w="291" w:type="pct"/>
            <w:tcBorders>
              <w:top w:val="nil"/>
              <w:left w:val="nil"/>
              <w:bottom w:val="nil"/>
              <w:right w:val="nil"/>
            </w:tcBorders>
            <w:vAlign w:val="center"/>
            <w:hideMark/>
          </w:tcPr>
          <w:p w14:paraId="5775EBD0"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r w:rsidRPr="00CA6CBB">
              <w:rPr>
                <w:rFonts w:ascii="Calibri" w:hAnsi="Calibri"/>
                <w:sz w:val="16"/>
              </w:rPr>
              <w:t>Medio</w:t>
            </w:r>
          </w:p>
        </w:tc>
        <w:tc>
          <w:tcPr>
            <w:tcW w:w="283" w:type="pct"/>
            <w:tcBorders>
              <w:top w:val="nil"/>
              <w:left w:val="nil"/>
              <w:bottom w:val="nil"/>
              <w:right w:val="nil"/>
            </w:tcBorders>
            <w:vAlign w:val="center"/>
            <w:hideMark/>
          </w:tcPr>
          <w:p w14:paraId="61E47FAC"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p>
        </w:tc>
        <w:tc>
          <w:tcPr>
            <w:tcW w:w="407" w:type="pct"/>
            <w:tcBorders>
              <w:top w:val="nil"/>
              <w:left w:val="nil"/>
              <w:bottom w:val="nil"/>
              <w:right w:val="nil"/>
            </w:tcBorders>
            <w:vAlign w:val="center"/>
            <w:hideMark/>
          </w:tcPr>
          <w:p w14:paraId="1602E605"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imes New Roman" w:eastAsia="Times New Roman" w:hAnsi="Times New Roman" w:cs="Times New Roman"/>
                <w:color w:val="auto"/>
                <w:sz w:val="16"/>
                <w:szCs w:val="16"/>
                <w:lang w:eastAsia="en-GB"/>
              </w:rPr>
            </w:pPr>
          </w:p>
        </w:tc>
        <w:tc>
          <w:tcPr>
            <w:tcW w:w="333" w:type="pct"/>
            <w:tcBorders>
              <w:top w:val="nil"/>
              <w:left w:val="nil"/>
              <w:bottom w:val="nil"/>
              <w:right w:val="nil"/>
            </w:tcBorders>
            <w:vAlign w:val="center"/>
            <w:hideMark/>
          </w:tcPr>
          <w:p w14:paraId="083EFCF3" w14:textId="77777777" w:rsidR="000F2ED2" w:rsidRPr="00CA6CBB" w:rsidRDefault="000F2ED2" w:rsidP="007047DA">
            <w:pPr>
              <w:pBdr>
                <w:top w:val="none" w:sz="0" w:space="0" w:color="auto"/>
                <w:left w:val="none" w:sz="0" w:space="0" w:color="auto"/>
                <w:bottom w:val="none" w:sz="0" w:space="0" w:color="auto"/>
                <w:right w:val="none" w:sz="0" w:space="0" w:color="auto"/>
                <w:between w:val="none" w:sz="0" w:space="0" w:color="auto"/>
              </w:pBdr>
              <w:ind w:left="-20" w:right="-109"/>
              <w:jc w:val="center"/>
              <w:rPr>
                <w:rFonts w:ascii="Calibri" w:eastAsia="Times New Roman" w:hAnsi="Calibri" w:cs="Calibri"/>
                <w:sz w:val="16"/>
                <w:szCs w:val="16"/>
              </w:rPr>
            </w:pPr>
            <w:r w:rsidRPr="00CA6CBB">
              <w:rPr>
                <w:rFonts w:ascii="Calibri" w:hAnsi="Calibri"/>
                <w:sz w:val="16"/>
              </w:rPr>
              <w:t>En curso</w:t>
            </w:r>
          </w:p>
        </w:tc>
        <w:tc>
          <w:tcPr>
            <w:tcW w:w="697" w:type="pct"/>
            <w:tcBorders>
              <w:top w:val="nil"/>
              <w:left w:val="nil"/>
              <w:bottom w:val="nil"/>
              <w:right w:val="single" w:sz="4" w:space="0" w:color="auto"/>
            </w:tcBorders>
            <w:vAlign w:val="center"/>
            <w:hideMark/>
          </w:tcPr>
          <w:p w14:paraId="737AB36B"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sz w:val="16"/>
                <w:szCs w:val="16"/>
              </w:rPr>
            </w:pPr>
            <w:r w:rsidRPr="00CA6CBB">
              <w:rPr>
                <w:rFonts w:ascii="Calibri" w:hAnsi="Calibri"/>
                <w:sz w:val="16"/>
              </w:rPr>
              <w:t> </w:t>
            </w:r>
          </w:p>
        </w:tc>
      </w:tr>
      <w:tr w:rsidR="000F2ED2" w:rsidRPr="00CA6CBB" w14:paraId="7DE6A5A5" w14:textId="77777777" w:rsidTr="007047DA">
        <w:trPr>
          <w:trHeight w:val="240"/>
        </w:trPr>
        <w:tc>
          <w:tcPr>
            <w:tcW w:w="193" w:type="pct"/>
            <w:tcBorders>
              <w:top w:val="nil"/>
              <w:left w:val="single" w:sz="4" w:space="0" w:color="auto"/>
              <w:bottom w:val="nil"/>
              <w:right w:val="nil"/>
            </w:tcBorders>
            <w:vAlign w:val="center"/>
            <w:hideMark/>
          </w:tcPr>
          <w:p w14:paraId="0DF1AE62"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r w:rsidRPr="00CA6CBB">
              <w:rPr>
                <w:rFonts w:ascii="Calibri" w:hAnsi="Calibri"/>
                <w:sz w:val="16"/>
              </w:rPr>
              <w:t>2026</w:t>
            </w:r>
          </w:p>
        </w:tc>
        <w:tc>
          <w:tcPr>
            <w:tcW w:w="272" w:type="pct"/>
            <w:tcBorders>
              <w:top w:val="nil"/>
              <w:left w:val="nil"/>
              <w:bottom w:val="nil"/>
              <w:right w:val="nil"/>
            </w:tcBorders>
            <w:vAlign w:val="center"/>
            <w:hideMark/>
          </w:tcPr>
          <w:p w14:paraId="0BBB9E67"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r w:rsidRPr="00CA6CBB">
              <w:rPr>
                <w:rFonts w:ascii="Calibri" w:hAnsi="Calibri"/>
                <w:sz w:val="16"/>
              </w:rPr>
              <w:t>29</w:t>
            </w:r>
          </w:p>
        </w:tc>
        <w:tc>
          <w:tcPr>
            <w:tcW w:w="2094" w:type="pct"/>
            <w:tcBorders>
              <w:top w:val="nil"/>
              <w:left w:val="nil"/>
              <w:bottom w:val="nil"/>
              <w:right w:val="nil"/>
            </w:tcBorders>
            <w:vAlign w:val="center"/>
            <w:hideMark/>
          </w:tcPr>
          <w:p w14:paraId="37B87CC2"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sz w:val="16"/>
                <w:szCs w:val="16"/>
              </w:rPr>
            </w:pPr>
            <w:r w:rsidRPr="00CA6CBB">
              <w:rPr>
                <w:rFonts w:ascii="Calibri" w:hAnsi="Calibri"/>
                <w:sz w:val="16"/>
              </w:rPr>
              <w:t>Añadir filtros de rango a los campos numéricos en la Administración de registros de buques</w:t>
            </w:r>
          </w:p>
        </w:tc>
        <w:tc>
          <w:tcPr>
            <w:tcW w:w="430" w:type="pct"/>
            <w:tcBorders>
              <w:top w:val="nil"/>
              <w:left w:val="nil"/>
              <w:bottom w:val="nil"/>
              <w:right w:val="nil"/>
            </w:tcBorders>
            <w:vAlign w:val="center"/>
            <w:hideMark/>
          </w:tcPr>
          <w:p w14:paraId="3B96DFD1"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proofErr w:type="spellStart"/>
            <w:r w:rsidRPr="00CA6CBB">
              <w:rPr>
                <w:rFonts w:ascii="Calibri" w:hAnsi="Calibri"/>
                <w:sz w:val="16"/>
              </w:rPr>
              <w:t>Frontend</w:t>
            </w:r>
            <w:proofErr w:type="spellEnd"/>
            <w:r w:rsidRPr="00CA6CBB">
              <w:rPr>
                <w:rFonts w:ascii="Calibri" w:hAnsi="Calibri"/>
                <w:sz w:val="16"/>
              </w:rPr>
              <w:t>, buques</w:t>
            </w:r>
          </w:p>
        </w:tc>
        <w:tc>
          <w:tcPr>
            <w:tcW w:w="291" w:type="pct"/>
            <w:tcBorders>
              <w:top w:val="nil"/>
              <w:left w:val="nil"/>
              <w:bottom w:val="nil"/>
              <w:right w:val="nil"/>
            </w:tcBorders>
            <w:vAlign w:val="center"/>
            <w:hideMark/>
          </w:tcPr>
          <w:p w14:paraId="26151764"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r w:rsidRPr="00CA6CBB">
              <w:rPr>
                <w:rFonts w:ascii="Calibri" w:hAnsi="Calibri"/>
                <w:sz w:val="16"/>
              </w:rPr>
              <w:t>Medio</w:t>
            </w:r>
          </w:p>
        </w:tc>
        <w:tc>
          <w:tcPr>
            <w:tcW w:w="283" w:type="pct"/>
            <w:tcBorders>
              <w:top w:val="nil"/>
              <w:left w:val="nil"/>
              <w:bottom w:val="nil"/>
              <w:right w:val="nil"/>
            </w:tcBorders>
            <w:vAlign w:val="center"/>
            <w:hideMark/>
          </w:tcPr>
          <w:p w14:paraId="122F0F3A"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p>
        </w:tc>
        <w:tc>
          <w:tcPr>
            <w:tcW w:w="407" w:type="pct"/>
            <w:tcBorders>
              <w:top w:val="nil"/>
              <w:left w:val="nil"/>
              <w:bottom w:val="nil"/>
              <w:right w:val="nil"/>
            </w:tcBorders>
            <w:vAlign w:val="center"/>
            <w:hideMark/>
          </w:tcPr>
          <w:p w14:paraId="3267EAE1"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imes New Roman" w:eastAsia="Times New Roman" w:hAnsi="Times New Roman" w:cs="Times New Roman"/>
                <w:color w:val="auto"/>
                <w:sz w:val="16"/>
                <w:szCs w:val="16"/>
                <w:lang w:eastAsia="en-GB"/>
              </w:rPr>
            </w:pPr>
          </w:p>
        </w:tc>
        <w:tc>
          <w:tcPr>
            <w:tcW w:w="333" w:type="pct"/>
            <w:tcBorders>
              <w:top w:val="nil"/>
              <w:left w:val="nil"/>
              <w:bottom w:val="nil"/>
              <w:right w:val="nil"/>
            </w:tcBorders>
            <w:vAlign w:val="center"/>
            <w:hideMark/>
          </w:tcPr>
          <w:p w14:paraId="57AA862A" w14:textId="77777777" w:rsidR="000F2ED2" w:rsidRPr="00CA6CBB" w:rsidRDefault="000F2ED2" w:rsidP="007047DA">
            <w:pPr>
              <w:pBdr>
                <w:top w:val="none" w:sz="0" w:space="0" w:color="auto"/>
                <w:left w:val="none" w:sz="0" w:space="0" w:color="auto"/>
                <w:bottom w:val="none" w:sz="0" w:space="0" w:color="auto"/>
                <w:right w:val="none" w:sz="0" w:space="0" w:color="auto"/>
                <w:between w:val="none" w:sz="0" w:space="0" w:color="auto"/>
              </w:pBdr>
              <w:ind w:left="-20" w:right="-109"/>
              <w:jc w:val="center"/>
              <w:rPr>
                <w:rFonts w:ascii="Times New Roman" w:eastAsia="Times New Roman" w:hAnsi="Times New Roman" w:cs="Times New Roman"/>
                <w:color w:val="auto"/>
                <w:sz w:val="16"/>
                <w:szCs w:val="16"/>
                <w:lang w:eastAsia="en-GB"/>
              </w:rPr>
            </w:pPr>
          </w:p>
        </w:tc>
        <w:tc>
          <w:tcPr>
            <w:tcW w:w="697" w:type="pct"/>
            <w:tcBorders>
              <w:top w:val="nil"/>
              <w:left w:val="nil"/>
              <w:bottom w:val="nil"/>
              <w:right w:val="single" w:sz="4" w:space="0" w:color="auto"/>
            </w:tcBorders>
            <w:vAlign w:val="center"/>
            <w:hideMark/>
          </w:tcPr>
          <w:p w14:paraId="43E9DD96"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sz w:val="16"/>
                <w:szCs w:val="16"/>
              </w:rPr>
            </w:pPr>
            <w:r w:rsidRPr="00CA6CBB">
              <w:rPr>
                <w:rFonts w:ascii="Calibri" w:hAnsi="Calibri"/>
                <w:sz w:val="16"/>
              </w:rPr>
              <w:t> </w:t>
            </w:r>
          </w:p>
        </w:tc>
      </w:tr>
      <w:tr w:rsidR="000F2ED2" w:rsidRPr="00CA6CBB" w14:paraId="2CACDF0D" w14:textId="77777777" w:rsidTr="007047DA">
        <w:trPr>
          <w:trHeight w:val="240"/>
        </w:trPr>
        <w:tc>
          <w:tcPr>
            <w:tcW w:w="193" w:type="pct"/>
            <w:tcBorders>
              <w:top w:val="nil"/>
              <w:left w:val="single" w:sz="4" w:space="0" w:color="auto"/>
              <w:bottom w:val="nil"/>
              <w:right w:val="nil"/>
            </w:tcBorders>
            <w:vAlign w:val="center"/>
            <w:hideMark/>
          </w:tcPr>
          <w:p w14:paraId="146DA933"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r w:rsidRPr="00CA6CBB">
              <w:rPr>
                <w:rFonts w:ascii="Calibri" w:hAnsi="Calibri"/>
                <w:sz w:val="16"/>
              </w:rPr>
              <w:t>2026</w:t>
            </w:r>
          </w:p>
        </w:tc>
        <w:tc>
          <w:tcPr>
            <w:tcW w:w="272" w:type="pct"/>
            <w:tcBorders>
              <w:top w:val="nil"/>
              <w:left w:val="nil"/>
              <w:bottom w:val="nil"/>
              <w:right w:val="nil"/>
            </w:tcBorders>
            <w:vAlign w:val="center"/>
            <w:hideMark/>
          </w:tcPr>
          <w:p w14:paraId="4E00BF8D"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r w:rsidRPr="00CA6CBB">
              <w:rPr>
                <w:rFonts w:ascii="Calibri" w:hAnsi="Calibri"/>
                <w:sz w:val="16"/>
              </w:rPr>
              <w:t>30</w:t>
            </w:r>
          </w:p>
        </w:tc>
        <w:tc>
          <w:tcPr>
            <w:tcW w:w="2094" w:type="pct"/>
            <w:tcBorders>
              <w:top w:val="nil"/>
              <w:left w:val="nil"/>
              <w:bottom w:val="nil"/>
              <w:right w:val="nil"/>
            </w:tcBorders>
            <w:vAlign w:val="center"/>
            <w:hideMark/>
          </w:tcPr>
          <w:p w14:paraId="0DC15CA4"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sz w:val="16"/>
                <w:szCs w:val="16"/>
              </w:rPr>
            </w:pPr>
            <w:r w:rsidRPr="00CA6CBB">
              <w:rPr>
                <w:rFonts w:ascii="Calibri" w:hAnsi="Calibri"/>
                <w:sz w:val="16"/>
              </w:rPr>
              <w:t>Mejor compatibilidad con otros navegadores (Edge, Safari) y otros sistemas operativos (macOS, Linux)</w:t>
            </w:r>
          </w:p>
        </w:tc>
        <w:tc>
          <w:tcPr>
            <w:tcW w:w="430" w:type="pct"/>
            <w:tcBorders>
              <w:top w:val="nil"/>
              <w:left w:val="nil"/>
              <w:bottom w:val="nil"/>
              <w:right w:val="nil"/>
            </w:tcBorders>
            <w:vAlign w:val="center"/>
            <w:hideMark/>
          </w:tcPr>
          <w:p w14:paraId="4E0BBFF1"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proofErr w:type="spellStart"/>
            <w:r w:rsidRPr="00CA6CBB">
              <w:rPr>
                <w:rFonts w:ascii="Calibri" w:hAnsi="Calibri"/>
                <w:sz w:val="16"/>
              </w:rPr>
              <w:t>Frontend</w:t>
            </w:r>
            <w:proofErr w:type="spellEnd"/>
          </w:p>
        </w:tc>
        <w:tc>
          <w:tcPr>
            <w:tcW w:w="291" w:type="pct"/>
            <w:tcBorders>
              <w:top w:val="nil"/>
              <w:left w:val="nil"/>
              <w:bottom w:val="nil"/>
              <w:right w:val="nil"/>
            </w:tcBorders>
            <w:vAlign w:val="center"/>
            <w:hideMark/>
          </w:tcPr>
          <w:p w14:paraId="33CF5B84"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r w:rsidRPr="00CA6CBB">
              <w:rPr>
                <w:rFonts w:ascii="Calibri" w:hAnsi="Calibri"/>
                <w:sz w:val="16"/>
              </w:rPr>
              <w:t>Medio</w:t>
            </w:r>
          </w:p>
        </w:tc>
        <w:tc>
          <w:tcPr>
            <w:tcW w:w="283" w:type="pct"/>
            <w:tcBorders>
              <w:top w:val="nil"/>
              <w:left w:val="nil"/>
              <w:bottom w:val="nil"/>
              <w:right w:val="nil"/>
            </w:tcBorders>
            <w:vAlign w:val="center"/>
            <w:hideMark/>
          </w:tcPr>
          <w:p w14:paraId="34F69E10"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p>
        </w:tc>
        <w:tc>
          <w:tcPr>
            <w:tcW w:w="407" w:type="pct"/>
            <w:tcBorders>
              <w:top w:val="nil"/>
              <w:left w:val="nil"/>
              <w:bottom w:val="nil"/>
              <w:right w:val="nil"/>
            </w:tcBorders>
            <w:vAlign w:val="center"/>
            <w:hideMark/>
          </w:tcPr>
          <w:p w14:paraId="741A8DBF"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imes New Roman" w:eastAsia="Times New Roman" w:hAnsi="Times New Roman" w:cs="Times New Roman"/>
                <w:color w:val="auto"/>
                <w:sz w:val="16"/>
                <w:szCs w:val="16"/>
                <w:lang w:eastAsia="en-GB"/>
              </w:rPr>
            </w:pPr>
          </w:p>
        </w:tc>
        <w:tc>
          <w:tcPr>
            <w:tcW w:w="333" w:type="pct"/>
            <w:tcBorders>
              <w:top w:val="nil"/>
              <w:left w:val="nil"/>
              <w:bottom w:val="nil"/>
              <w:right w:val="nil"/>
            </w:tcBorders>
            <w:vAlign w:val="center"/>
            <w:hideMark/>
          </w:tcPr>
          <w:p w14:paraId="39BCD298" w14:textId="77777777" w:rsidR="000F2ED2" w:rsidRPr="00CA6CBB" w:rsidRDefault="000F2ED2" w:rsidP="007047DA">
            <w:pPr>
              <w:pBdr>
                <w:top w:val="none" w:sz="0" w:space="0" w:color="auto"/>
                <w:left w:val="none" w:sz="0" w:space="0" w:color="auto"/>
                <w:bottom w:val="none" w:sz="0" w:space="0" w:color="auto"/>
                <w:right w:val="none" w:sz="0" w:space="0" w:color="auto"/>
                <w:between w:val="none" w:sz="0" w:space="0" w:color="auto"/>
              </w:pBdr>
              <w:ind w:left="-20" w:right="-109"/>
              <w:jc w:val="center"/>
              <w:rPr>
                <w:rFonts w:ascii="Times New Roman" w:eastAsia="Times New Roman" w:hAnsi="Times New Roman" w:cs="Times New Roman"/>
                <w:color w:val="auto"/>
                <w:sz w:val="16"/>
                <w:szCs w:val="16"/>
                <w:lang w:eastAsia="en-GB"/>
              </w:rPr>
            </w:pPr>
          </w:p>
        </w:tc>
        <w:tc>
          <w:tcPr>
            <w:tcW w:w="697" w:type="pct"/>
            <w:tcBorders>
              <w:top w:val="nil"/>
              <w:left w:val="nil"/>
              <w:bottom w:val="nil"/>
              <w:right w:val="single" w:sz="4" w:space="0" w:color="auto"/>
            </w:tcBorders>
            <w:vAlign w:val="center"/>
            <w:hideMark/>
          </w:tcPr>
          <w:p w14:paraId="1BE7F4F3"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sz w:val="16"/>
                <w:szCs w:val="16"/>
              </w:rPr>
            </w:pPr>
            <w:r w:rsidRPr="00CA6CBB">
              <w:rPr>
                <w:rFonts w:ascii="Calibri" w:hAnsi="Calibri"/>
                <w:sz w:val="16"/>
              </w:rPr>
              <w:t>Sugerencia añadida por Japón</w:t>
            </w:r>
          </w:p>
        </w:tc>
      </w:tr>
      <w:tr w:rsidR="000F2ED2" w:rsidRPr="00CA6CBB" w14:paraId="23DB4495" w14:textId="77777777" w:rsidTr="007047DA">
        <w:trPr>
          <w:trHeight w:val="240"/>
        </w:trPr>
        <w:tc>
          <w:tcPr>
            <w:tcW w:w="193" w:type="pct"/>
            <w:tcBorders>
              <w:top w:val="nil"/>
              <w:left w:val="single" w:sz="4" w:space="0" w:color="auto"/>
              <w:bottom w:val="nil"/>
              <w:right w:val="nil"/>
            </w:tcBorders>
            <w:noWrap/>
            <w:vAlign w:val="center"/>
            <w:hideMark/>
          </w:tcPr>
          <w:p w14:paraId="7EF5C837"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r w:rsidRPr="00CA6CBB">
              <w:rPr>
                <w:rFonts w:ascii="Calibri" w:hAnsi="Calibri"/>
                <w:sz w:val="16"/>
              </w:rPr>
              <w:t>2026</w:t>
            </w:r>
          </w:p>
        </w:tc>
        <w:tc>
          <w:tcPr>
            <w:tcW w:w="272" w:type="pct"/>
            <w:tcBorders>
              <w:top w:val="nil"/>
              <w:left w:val="nil"/>
              <w:bottom w:val="nil"/>
              <w:right w:val="nil"/>
            </w:tcBorders>
            <w:noWrap/>
            <w:vAlign w:val="center"/>
            <w:hideMark/>
          </w:tcPr>
          <w:p w14:paraId="360EE5A9"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r w:rsidRPr="00CA6CBB">
              <w:rPr>
                <w:rFonts w:ascii="Calibri" w:hAnsi="Calibri"/>
                <w:sz w:val="16"/>
              </w:rPr>
              <w:t>31</w:t>
            </w:r>
          </w:p>
        </w:tc>
        <w:tc>
          <w:tcPr>
            <w:tcW w:w="2094" w:type="pct"/>
            <w:tcBorders>
              <w:top w:val="nil"/>
              <w:left w:val="nil"/>
              <w:bottom w:val="nil"/>
              <w:right w:val="nil"/>
            </w:tcBorders>
            <w:noWrap/>
            <w:vAlign w:val="bottom"/>
            <w:hideMark/>
          </w:tcPr>
          <w:p w14:paraId="748D4BA6"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sz w:val="16"/>
                <w:szCs w:val="16"/>
              </w:rPr>
            </w:pPr>
            <w:r w:rsidRPr="00CA6CBB">
              <w:rPr>
                <w:rFonts w:ascii="Calibri" w:hAnsi="Calibri"/>
                <w:sz w:val="16"/>
              </w:rPr>
              <w:t>Enlace de envíos de formularios para volver a cargar los formularios rechazados de los módulos</w:t>
            </w:r>
          </w:p>
        </w:tc>
        <w:tc>
          <w:tcPr>
            <w:tcW w:w="430" w:type="pct"/>
            <w:tcBorders>
              <w:top w:val="nil"/>
              <w:left w:val="nil"/>
              <w:bottom w:val="nil"/>
              <w:right w:val="nil"/>
            </w:tcBorders>
            <w:noWrap/>
            <w:vAlign w:val="center"/>
            <w:hideMark/>
          </w:tcPr>
          <w:p w14:paraId="6B9C158A"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r w:rsidRPr="00CA6CBB">
              <w:rPr>
                <w:rFonts w:ascii="Calibri" w:hAnsi="Calibri"/>
                <w:sz w:val="16"/>
              </w:rPr>
              <w:t>Gestor de formularios</w:t>
            </w:r>
          </w:p>
        </w:tc>
        <w:tc>
          <w:tcPr>
            <w:tcW w:w="291" w:type="pct"/>
            <w:tcBorders>
              <w:top w:val="nil"/>
              <w:left w:val="nil"/>
              <w:bottom w:val="nil"/>
              <w:right w:val="nil"/>
            </w:tcBorders>
            <w:noWrap/>
            <w:vAlign w:val="center"/>
            <w:hideMark/>
          </w:tcPr>
          <w:p w14:paraId="5DF3413F"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p>
        </w:tc>
        <w:tc>
          <w:tcPr>
            <w:tcW w:w="283" w:type="pct"/>
            <w:tcBorders>
              <w:top w:val="nil"/>
              <w:left w:val="nil"/>
              <w:bottom w:val="nil"/>
              <w:right w:val="nil"/>
            </w:tcBorders>
            <w:noWrap/>
            <w:vAlign w:val="center"/>
            <w:hideMark/>
          </w:tcPr>
          <w:p w14:paraId="581B004D"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imes New Roman" w:eastAsia="Times New Roman" w:hAnsi="Times New Roman" w:cs="Times New Roman"/>
                <w:color w:val="auto"/>
                <w:sz w:val="16"/>
                <w:szCs w:val="16"/>
                <w:lang w:eastAsia="en-GB"/>
              </w:rPr>
            </w:pPr>
          </w:p>
        </w:tc>
        <w:tc>
          <w:tcPr>
            <w:tcW w:w="407" w:type="pct"/>
            <w:tcBorders>
              <w:top w:val="nil"/>
              <w:left w:val="nil"/>
              <w:bottom w:val="nil"/>
              <w:right w:val="nil"/>
            </w:tcBorders>
            <w:noWrap/>
            <w:vAlign w:val="center"/>
            <w:hideMark/>
          </w:tcPr>
          <w:p w14:paraId="1EE771D3"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imes New Roman" w:eastAsia="Times New Roman" w:hAnsi="Times New Roman" w:cs="Times New Roman"/>
                <w:color w:val="auto"/>
                <w:sz w:val="16"/>
                <w:szCs w:val="16"/>
                <w:lang w:eastAsia="en-GB"/>
              </w:rPr>
            </w:pPr>
          </w:p>
        </w:tc>
        <w:tc>
          <w:tcPr>
            <w:tcW w:w="333" w:type="pct"/>
            <w:tcBorders>
              <w:top w:val="nil"/>
              <w:left w:val="nil"/>
              <w:bottom w:val="nil"/>
              <w:right w:val="nil"/>
            </w:tcBorders>
            <w:noWrap/>
            <w:vAlign w:val="center"/>
            <w:hideMark/>
          </w:tcPr>
          <w:p w14:paraId="30067C0D" w14:textId="77777777" w:rsidR="000F2ED2" w:rsidRPr="00CA6CBB" w:rsidRDefault="000F2ED2" w:rsidP="007047DA">
            <w:pPr>
              <w:pBdr>
                <w:top w:val="none" w:sz="0" w:space="0" w:color="auto"/>
                <w:left w:val="none" w:sz="0" w:space="0" w:color="auto"/>
                <w:bottom w:val="none" w:sz="0" w:space="0" w:color="auto"/>
                <w:right w:val="none" w:sz="0" w:space="0" w:color="auto"/>
                <w:between w:val="none" w:sz="0" w:space="0" w:color="auto"/>
              </w:pBdr>
              <w:ind w:left="-20" w:right="-109"/>
              <w:jc w:val="center"/>
              <w:rPr>
                <w:rFonts w:ascii="Times New Roman" w:eastAsia="Times New Roman" w:hAnsi="Times New Roman" w:cs="Times New Roman"/>
                <w:color w:val="auto"/>
                <w:sz w:val="16"/>
                <w:szCs w:val="16"/>
                <w:lang w:eastAsia="en-GB"/>
              </w:rPr>
            </w:pPr>
          </w:p>
        </w:tc>
        <w:tc>
          <w:tcPr>
            <w:tcW w:w="697" w:type="pct"/>
            <w:tcBorders>
              <w:top w:val="nil"/>
              <w:left w:val="nil"/>
              <w:bottom w:val="nil"/>
              <w:right w:val="single" w:sz="4" w:space="0" w:color="auto"/>
            </w:tcBorders>
            <w:vAlign w:val="center"/>
            <w:hideMark/>
          </w:tcPr>
          <w:p w14:paraId="03D1D4BF"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sz w:val="16"/>
                <w:szCs w:val="16"/>
              </w:rPr>
            </w:pPr>
            <w:r w:rsidRPr="00CA6CBB">
              <w:rPr>
                <w:rFonts w:ascii="Calibri" w:hAnsi="Calibri"/>
                <w:sz w:val="16"/>
              </w:rPr>
              <w:t>Sugerencia añadida por Japón</w:t>
            </w:r>
          </w:p>
        </w:tc>
      </w:tr>
      <w:tr w:rsidR="000F2ED2" w:rsidRPr="00CA6CBB" w14:paraId="7654DCFB" w14:textId="77777777" w:rsidTr="007047DA">
        <w:trPr>
          <w:trHeight w:val="240"/>
        </w:trPr>
        <w:tc>
          <w:tcPr>
            <w:tcW w:w="193" w:type="pct"/>
            <w:tcBorders>
              <w:top w:val="nil"/>
              <w:left w:val="single" w:sz="4" w:space="0" w:color="auto"/>
              <w:bottom w:val="single" w:sz="4" w:space="0" w:color="auto"/>
              <w:right w:val="nil"/>
            </w:tcBorders>
            <w:noWrap/>
            <w:vAlign w:val="center"/>
            <w:hideMark/>
          </w:tcPr>
          <w:p w14:paraId="2DE2CD84"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r w:rsidRPr="00CA6CBB">
              <w:rPr>
                <w:rFonts w:ascii="Calibri" w:hAnsi="Calibri"/>
                <w:sz w:val="16"/>
              </w:rPr>
              <w:t>2026</w:t>
            </w:r>
          </w:p>
        </w:tc>
        <w:tc>
          <w:tcPr>
            <w:tcW w:w="272" w:type="pct"/>
            <w:tcBorders>
              <w:top w:val="nil"/>
              <w:left w:val="nil"/>
              <w:bottom w:val="single" w:sz="4" w:space="0" w:color="auto"/>
              <w:right w:val="nil"/>
            </w:tcBorders>
            <w:noWrap/>
            <w:vAlign w:val="center"/>
            <w:hideMark/>
          </w:tcPr>
          <w:p w14:paraId="70F2FC12"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r w:rsidRPr="00CA6CBB">
              <w:rPr>
                <w:rFonts w:ascii="Calibri" w:hAnsi="Calibri"/>
                <w:sz w:val="16"/>
              </w:rPr>
              <w:t>32</w:t>
            </w:r>
          </w:p>
        </w:tc>
        <w:tc>
          <w:tcPr>
            <w:tcW w:w="2094" w:type="pct"/>
            <w:tcBorders>
              <w:top w:val="nil"/>
              <w:left w:val="nil"/>
              <w:bottom w:val="single" w:sz="4" w:space="0" w:color="auto"/>
              <w:right w:val="nil"/>
            </w:tcBorders>
            <w:noWrap/>
            <w:vAlign w:val="bottom"/>
            <w:hideMark/>
          </w:tcPr>
          <w:p w14:paraId="34BD2471"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sz w:val="16"/>
                <w:szCs w:val="16"/>
              </w:rPr>
            </w:pPr>
            <w:r w:rsidRPr="00CA6CBB">
              <w:rPr>
                <w:rFonts w:ascii="Calibri" w:hAnsi="Calibri"/>
                <w:sz w:val="16"/>
              </w:rPr>
              <w:t>Mejoras en la interfaz de usuario del informe anual para advertir a los usuarios de los envíos parciales.</w:t>
            </w:r>
          </w:p>
        </w:tc>
        <w:tc>
          <w:tcPr>
            <w:tcW w:w="430" w:type="pct"/>
            <w:tcBorders>
              <w:top w:val="nil"/>
              <w:left w:val="nil"/>
              <w:bottom w:val="single" w:sz="4" w:space="0" w:color="auto"/>
              <w:right w:val="nil"/>
            </w:tcBorders>
            <w:noWrap/>
            <w:vAlign w:val="center"/>
            <w:hideMark/>
          </w:tcPr>
          <w:p w14:paraId="572BDE16"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proofErr w:type="spellStart"/>
            <w:r w:rsidRPr="00CA6CBB">
              <w:rPr>
                <w:rFonts w:ascii="Calibri" w:hAnsi="Calibri"/>
                <w:sz w:val="16"/>
              </w:rPr>
              <w:t>Frontend</w:t>
            </w:r>
            <w:proofErr w:type="spellEnd"/>
            <w:r w:rsidRPr="00CA6CBB">
              <w:rPr>
                <w:rFonts w:ascii="Calibri" w:hAnsi="Calibri"/>
                <w:sz w:val="16"/>
              </w:rPr>
              <w:t>, núcleo</w:t>
            </w:r>
          </w:p>
        </w:tc>
        <w:tc>
          <w:tcPr>
            <w:tcW w:w="291" w:type="pct"/>
            <w:tcBorders>
              <w:top w:val="nil"/>
              <w:left w:val="nil"/>
              <w:bottom w:val="single" w:sz="4" w:space="0" w:color="auto"/>
              <w:right w:val="nil"/>
            </w:tcBorders>
            <w:noWrap/>
            <w:vAlign w:val="center"/>
            <w:hideMark/>
          </w:tcPr>
          <w:p w14:paraId="48F3E66E"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r w:rsidRPr="00CA6CBB">
              <w:rPr>
                <w:rFonts w:ascii="Calibri" w:hAnsi="Calibri"/>
                <w:sz w:val="16"/>
              </w:rPr>
              <w:t> </w:t>
            </w:r>
          </w:p>
        </w:tc>
        <w:tc>
          <w:tcPr>
            <w:tcW w:w="283" w:type="pct"/>
            <w:tcBorders>
              <w:top w:val="nil"/>
              <w:left w:val="nil"/>
              <w:bottom w:val="single" w:sz="4" w:space="0" w:color="auto"/>
              <w:right w:val="nil"/>
            </w:tcBorders>
            <w:noWrap/>
            <w:vAlign w:val="center"/>
            <w:hideMark/>
          </w:tcPr>
          <w:p w14:paraId="4FDBEE24"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r w:rsidRPr="00CA6CBB">
              <w:rPr>
                <w:rFonts w:ascii="Calibri" w:hAnsi="Calibri"/>
                <w:sz w:val="16"/>
              </w:rPr>
              <w:t> </w:t>
            </w:r>
          </w:p>
        </w:tc>
        <w:tc>
          <w:tcPr>
            <w:tcW w:w="407" w:type="pct"/>
            <w:tcBorders>
              <w:top w:val="nil"/>
              <w:left w:val="nil"/>
              <w:bottom w:val="single" w:sz="4" w:space="0" w:color="auto"/>
              <w:right w:val="nil"/>
            </w:tcBorders>
            <w:noWrap/>
            <w:vAlign w:val="center"/>
            <w:hideMark/>
          </w:tcPr>
          <w:p w14:paraId="434BAF4C"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rPr>
            </w:pPr>
            <w:r w:rsidRPr="00CA6CBB">
              <w:rPr>
                <w:rFonts w:ascii="Calibri" w:hAnsi="Calibri"/>
                <w:sz w:val="16"/>
              </w:rPr>
              <w:t> </w:t>
            </w:r>
          </w:p>
        </w:tc>
        <w:tc>
          <w:tcPr>
            <w:tcW w:w="333" w:type="pct"/>
            <w:tcBorders>
              <w:top w:val="nil"/>
              <w:left w:val="nil"/>
              <w:bottom w:val="single" w:sz="4" w:space="0" w:color="auto"/>
              <w:right w:val="nil"/>
            </w:tcBorders>
            <w:noWrap/>
            <w:vAlign w:val="center"/>
            <w:hideMark/>
          </w:tcPr>
          <w:p w14:paraId="4990D6BE" w14:textId="77777777" w:rsidR="000F2ED2" w:rsidRPr="00CA6CBB" w:rsidRDefault="000F2ED2" w:rsidP="007047DA">
            <w:pPr>
              <w:pBdr>
                <w:top w:val="none" w:sz="0" w:space="0" w:color="auto"/>
                <w:left w:val="none" w:sz="0" w:space="0" w:color="auto"/>
                <w:bottom w:val="none" w:sz="0" w:space="0" w:color="auto"/>
                <w:right w:val="none" w:sz="0" w:space="0" w:color="auto"/>
                <w:between w:val="none" w:sz="0" w:space="0" w:color="auto"/>
              </w:pBdr>
              <w:ind w:left="-20" w:right="-109"/>
              <w:jc w:val="center"/>
              <w:rPr>
                <w:rFonts w:ascii="Calibri" w:eastAsia="Times New Roman" w:hAnsi="Calibri" w:cs="Calibri"/>
                <w:sz w:val="16"/>
                <w:szCs w:val="16"/>
              </w:rPr>
            </w:pPr>
            <w:r w:rsidRPr="00CA6CBB">
              <w:rPr>
                <w:rFonts w:ascii="Calibri" w:hAnsi="Calibri"/>
                <w:sz w:val="16"/>
              </w:rPr>
              <w:t> </w:t>
            </w:r>
          </w:p>
        </w:tc>
        <w:tc>
          <w:tcPr>
            <w:tcW w:w="697" w:type="pct"/>
            <w:tcBorders>
              <w:top w:val="nil"/>
              <w:left w:val="nil"/>
              <w:bottom w:val="single" w:sz="4" w:space="0" w:color="auto"/>
              <w:right w:val="single" w:sz="4" w:space="0" w:color="auto"/>
            </w:tcBorders>
            <w:vAlign w:val="center"/>
            <w:hideMark/>
          </w:tcPr>
          <w:p w14:paraId="548B1296"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sz w:val="16"/>
                <w:szCs w:val="16"/>
              </w:rPr>
            </w:pPr>
            <w:r w:rsidRPr="00CA6CBB">
              <w:rPr>
                <w:rFonts w:ascii="Calibri" w:hAnsi="Calibri"/>
                <w:sz w:val="16"/>
              </w:rPr>
              <w:t>Sugerencia añadida por Japón</w:t>
            </w:r>
          </w:p>
        </w:tc>
      </w:tr>
    </w:tbl>
    <w:p w14:paraId="30AE76E1" w14:textId="77777777" w:rsidR="000F2ED2" w:rsidRPr="00CA6CBB" w:rsidRDefault="000F2ED2" w:rsidP="000F2ED2"/>
    <w:p w14:paraId="30136C95" w14:textId="77777777" w:rsidR="000F2ED2" w:rsidRPr="00CA6CBB" w:rsidRDefault="000F2ED2" w:rsidP="000F2ED2"/>
    <w:p w14:paraId="7439579C" w14:textId="77777777" w:rsidR="000F2ED2" w:rsidRPr="00CA6CBB" w:rsidRDefault="000F2ED2" w:rsidP="000F2ED2"/>
    <w:p w14:paraId="56E2E073" w14:textId="77777777" w:rsidR="000F2ED2" w:rsidRPr="00CA6CBB" w:rsidRDefault="000F2ED2" w:rsidP="000F2ED2"/>
    <w:p w14:paraId="58C98174" w14:textId="77777777" w:rsidR="000F2ED2" w:rsidRPr="00CA6CBB" w:rsidRDefault="000F2ED2" w:rsidP="000F2ED2"/>
    <w:p w14:paraId="45782BA3" w14:textId="77777777" w:rsidR="000F2ED2" w:rsidRPr="00CA6CBB" w:rsidRDefault="000F2ED2" w:rsidP="000F2ED2"/>
    <w:p w14:paraId="2E2EE6A8" w14:textId="77777777" w:rsidR="000F2ED2" w:rsidRPr="00CA6CBB" w:rsidRDefault="000F2ED2" w:rsidP="000F2ED2">
      <w:pPr>
        <w:pBdr>
          <w:top w:val="none" w:sz="0" w:space="0" w:color="auto"/>
          <w:left w:val="none" w:sz="0" w:space="0" w:color="auto"/>
          <w:bottom w:val="none" w:sz="0" w:space="0" w:color="auto"/>
          <w:right w:val="none" w:sz="0" w:space="0" w:color="auto"/>
          <w:between w:val="none" w:sz="0" w:space="0" w:color="auto"/>
        </w:pBdr>
        <w:jc w:val="left"/>
        <w:rPr>
          <w:b/>
        </w:rPr>
      </w:pPr>
      <w:r w:rsidRPr="00CA6CBB">
        <w:br w:type="page"/>
      </w:r>
    </w:p>
    <w:p w14:paraId="585377B9" w14:textId="77777777" w:rsidR="000F2ED2" w:rsidRPr="00CA6CBB" w:rsidRDefault="000F2ED2" w:rsidP="000F2ED2">
      <w:r w:rsidRPr="00CA6CBB">
        <w:rPr>
          <w:b/>
        </w:rPr>
        <w:lastRenderedPageBreak/>
        <w:t xml:space="preserve">Tabla 3. </w:t>
      </w:r>
      <w:r w:rsidRPr="00CA6CBB">
        <w:t>Plan de trabajo revisado del IOMS adoptado por el WG-ORT que cubre fases de desarrollo en curso y futuras. Los detalles de cada fase se muestran en la parte inferior. Las fases 4 y 5 son referencias de módulos preliminares.</w:t>
      </w:r>
    </w:p>
    <w:p w14:paraId="1524D2FF" w14:textId="77777777" w:rsidR="000F2ED2" w:rsidRPr="00CA6CBB" w:rsidRDefault="000F2ED2" w:rsidP="000F2ED2">
      <w:r w:rsidRPr="00CA6CBB">
        <w:t xml:space="preserve"> </w:t>
      </w:r>
    </w:p>
    <w:tbl>
      <w:tblPr>
        <w:tblW w:w="5000" w:type="pct"/>
        <w:tblLook w:val="04A0" w:firstRow="1" w:lastRow="0" w:firstColumn="1" w:lastColumn="0" w:noHBand="0" w:noVBand="1"/>
      </w:tblPr>
      <w:tblGrid>
        <w:gridCol w:w="513"/>
        <w:gridCol w:w="831"/>
        <w:gridCol w:w="1183"/>
        <w:gridCol w:w="1917"/>
        <w:gridCol w:w="1515"/>
        <w:gridCol w:w="1374"/>
        <w:gridCol w:w="1003"/>
        <w:gridCol w:w="1003"/>
        <w:gridCol w:w="1046"/>
        <w:gridCol w:w="1046"/>
        <w:gridCol w:w="2563"/>
      </w:tblGrid>
      <w:tr w:rsidR="000F2ED2" w:rsidRPr="00CA6CBB" w14:paraId="0E5A9BAA" w14:textId="77777777" w:rsidTr="007047DA">
        <w:trPr>
          <w:trHeight w:val="580"/>
          <w:tblHeader/>
        </w:trPr>
        <w:tc>
          <w:tcPr>
            <w:tcW w:w="104" w:type="pct"/>
            <w:tcBorders>
              <w:top w:val="single" w:sz="4" w:space="0" w:color="auto"/>
              <w:left w:val="single" w:sz="4" w:space="0" w:color="auto"/>
              <w:bottom w:val="single" w:sz="4" w:space="0" w:color="auto"/>
              <w:right w:val="nil"/>
            </w:tcBorders>
            <w:shd w:val="clear" w:color="000000" w:fill="D9D9D9"/>
            <w:noWrap/>
            <w:vAlign w:val="bottom"/>
            <w:hideMark/>
          </w:tcPr>
          <w:p w14:paraId="40BF2B7F"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sz w:val="16"/>
                <w:szCs w:val="16"/>
              </w:rPr>
            </w:pPr>
            <w:r w:rsidRPr="00CA6CBB">
              <w:rPr>
                <w:rFonts w:ascii="Calibri" w:hAnsi="Calibri"/>
                <w:b/>
                <w:sz w:val="16"/>
              </w:rPr>
              <w:t>Fase</w:t>
            </w:r>
          </w:p>
        </w:tc>
        <w:tc>
          <w:tcPr>
            <w:tcW w:w="121" w:type="pct"/>
            <w:tcBorders>
              <w:top w:val="single" w:sz="4" w:space="0" w:color="auto"/>
              <w:left w:val="nil"/>
              <w:bottom w:val="single" w:sz="4" w:space="0" w:color="auto"/>
              <w:right w:val="nil"/>
            </w:tcBorders>
            <w:shd w:val="clear" w:color="000000" w:fill="D9D9D9"/>
            <w:noWrap/>
            <w:vAlign w:val="bottom"/>
            <w:hideMark/>
          </w:tcPr>
          <w:p w14:paraId="00F47D15"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sz w:val="16"/>
                <w:szCs w:val="16"/>
              </w:rPr>
            </w:pPr>
            <w:r w:rsidRPr="00CA6CBB">
              <w:rPr>
                <w:rFonts w:ascii="Calibri" w:hAnsi="Calibri"/>
                <w:b/>
                <w:sz w:val="16"/>
              </w:rPr>
              <w:t>Prioridad</w:t>
            </w:r>
          </w:p>
        </w:tc>
        <w:tc>
          <w:tcPr>
            <w:tcW w:w="299" w:type="pct"/>
            <w:tcBorders>
              <w:top w:val="single" w:sz="4" w:space="0" w:color="auto"/>
              <w:left w:val="nil"/>
              <w:bottom w:val="single" w:sz="4" w:space="0" w:color="auto"/>
              <w:right w:val="nil"/>
            </w:tcBorders>
            <w:shd w:val="clear" w:color="000000" w:fill="D9D9D9"/>
            <w:noWrap/>
            <w:vAlign w:val="bottom"/>
            <w:hideMark/>
          </w:tcPr>
          <w:p w14:paraId="3E6F4F38"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sz w:val="16"/>
                <w:szCs w:val="16"/>
              </w:rPr>
            </w:pPr>
            <w:r w:rsidRPr="00CA6CBB">
              <w:rPr>
                <w:rFonts w:ascii="Calibri" w:hAnsi="Calibri"/>
                <w:b/>
                <w:sz w:val="16"/>
              </w:rPr>
              <w:t>Módulo/Tarea</w:t>
            </w:r>
          </w:p>
        </w:tc>
        <w:tc>
          <w:tcPr>
            <w:tcW w:w="1030" w:type="pct"/>
            <w:tcBorders>
              <w:top w:val="single" w:sz="4" w:space="0" w:color="auto"/>
              <w:left w:val="nil"/>
              <w:bottom w:val="single" w:sz="4" w:space="0" w:color="auto"/>
              <w:right w:val="nil"/>
            </w:tcBorders>
            <w:shd w:val="clear" w:color="000000" w:fill="D9D9D9"/>
            <w:noWrap/>
            <w:vAlign w:val="bottom"/>
            <w:hideMark/>
          </w:tcPr>
          <w:p w14:paraId="4F3EE0D9"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sz w:val="16"/>
                <w:szCs w:val="16"/>
              </w:rPr>
            </w:pPr>
            <w:r w:rsidRPr="00CA6CBB">
              <w:rPr>
                <w:rFonts w:ascii="Calibri" w:hAnsi="Calibri"/>
                <w:b/>
                <w:sz w:val="16"/>
              </w:rPr>
              <w:t>Descripción</w:t>
            </w:r>
          </w:p>
        </w:tc>
        <w:tc>
          <w:tcPr>
            <w:tcW w:w="683" w:type="pct"/>
            <w:tcBorders>
              <w:top w:val="single" w:sz="4" w:space="0" w:color="auto"/>
              <w:left w:val="nil"/>
              <w:bottom w:val="single" w:sz="4" w:space="0" w:color="auto"/>
              <w:right w:val="nil"/>
            </w:tcBorders>
            <w:shd w:val="clear" w:color="000000" w:fill="D9D9D9"/>
            <w:noWrap/>
            <w:vAlign w:val="bottom"/>
            <w:hideMark/>
          </w:tcPr>
          <w:p w14:paraId="3A44D167"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sz w:val="16"/>
                <w:szCs w:val="16"/>
              </w:rPr>
            </w:pPr>
            <w:r w:rsidRPr="00CA6CBB">
              <w:rPr>
                <w:rFonts w:ascii="Calibri" w:hAnsi="Calibri"/>
                <w:b/>
                <w:sz w:val="16"/>
              </w:rPr>
              <w:t>Requisitos de datos</w:t>
            </w:r>
          </w:p>
        </w:tc>
        <w:tc>
          <w:tcPr>
            <w:tcW w:w="252" w:type="pct"/>
            <w:tcBorders>
              <w:top w:val="single" w:sz="4" w:space="0" w:color="auto"/>
              <w:left w:val="nil"/>
              <w:bottom w:val="single" w:sz="4" w:space="0" w:color="auto"/>
              <w:right w:val="nil"/>
            </w:tcBorders>
            <w:shd w:val="clear" w:color="000000" w:fill="D9D9D9"/>
            <w:noWrap/>
            <w:vAlign w:val="bottom"/>
            <w:hideMark/>
          </w:tcPr>
          <w:p w14:paraId="7D223DD2"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sz w:val="16"/>
                <w:szCs w:val="16"/>
              </w:rPr>
            </w:pPr>
            <w:r w:rsidRPr="00CA6CBB">
              <w:rPr>
                <w:rFonts w:ascii="Calibri" w:hAnsi="Calibri"/>
                <w:b/>
                <w:sz w:val="16"/>
              </w:rPr>
              <w:t>Estado desarrollo</w:t>
            </w:r>
          </w:p>
        </w:tc>
        <w:tc>
          <w:tcPr>
            <w:tcW w:w="296" w:type="pct"/>
            <w:tcBorders>
              <w:top w:val="single" w:sz="4" w:space="0" w:color="auto"/>
              <w:left w:val="nil"/>
              <w:bottom w:val="single" w:sz="4" w:space="0" w:color="auto"/>
              <w:right w:val="nil"/>
            </w:tcBorders>
            <w:shd w:val="clear" w:color="000000" w:fill="D9D9D9"/>
            <w:noWrap/>
            <w:vAlign w:val="bottom"/>
            <w:hideMark/>
          </w:tcPr>
          <w:p w14:paraId="25AAA697"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sz w:val="16"/>
                <w:szCs w:val="16"/>
              </w:rPr>
            </w:pPr>
            <w:r w:rsidRPr="00CA6CBB">
              <w:rPr>
                <w:rFonts w:ascii="Calibri" w:hAnsi="Calibri"/>
                <w:b/>
                <w:sz w:val="16"/>
              </w:rPr>
              <w:t>Fecha inicio</w:t>
            </w:r>
          </w:p>
        </w:tc>
        <w:tc>
          <w:tcPr>
            <w:tcW w:w="286" w:type="pct"/>
            <w:tcBorders>
              <w:top w:val="single" w:sz="4" w:space="0" w:color="auto"/>
              <w:left w:val="nil"/>
              <w:bottom w:val="single" w:sz="4" w:space="0" w:color="auto"/>
              <w:right w:val="nil"/>
            </w:tcBorders>
            <w:shd w:val="clear" w:color="000000" w:fill="D9D9D9"/>
            <w:noWrap/>
            <w:vAlign w:val="bottom"/>
            <w:hideMark/>
          </w:tcPr>
          <w:p w14:paraId="1EC5A7BA"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sz w:val="16"/>
                <w:szCs w:val="16"/>
              </w:rPr>
            </w:pPr>
            <w:r w:rsidRPr="00CA6CBB">
              <w:rPr>
                <w:rFonts w:ascii="Calibri" w:hAnsi="Calibri"/>
                <w:b/>
                <w:sz w:val="16"/>
              </w:rPr>
              <w:t>Fecha final</w:t>
            </w:r>
          </w:p>
        </w:tc>
        <w:tc>
          <w:tcPr>
            <w:tcW w:w="258" w:type="pct"/>
            <w:tcBorders>
              <w:top w:val="single" w:sz="4" w:space="0" w:color="auto"/>
              <w:left w:val="nil"/>
              <w:bottom w:val="single" w:sz="4" w:space="0" w:color="auto"/>
              <w:right w:val="nil"/>
            </w:tcBorders>
            <w:shd w:val="clear" w:color="000000" w:fill="D9D9D9"/>
            <w:noWrap/>
            <w:vAlign w:val="bottom"/>
            <w:hideMark/>
          </w:tcPr>
          <w:p w14:paraId="1FC05F3E"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sz w:val="16"/>
                <w:szCs w:val="16"/>
              </w:rPr>
            </w:pPr>
            <w:r w:rsidRPr="00CA6CBB">
              <w:rPr>
                <w:rFonts w:ascii="Calibri" w:hAnsi="Calibri"/>
                <w:b/>
                <w:sz w:val="16"/>
              </w:rPr>
              <w:t>Final de fase</w:t>
            </w:r>
          </w:p>
        </w:tc>
        <w:tc>
          <w:tcPr>
            <w:tcW w:w="207" w:type="pct"/>
            <w:tcBorders>
              <w:top w:val="single" w:sz="4" w:space="0" w:color="auto"/>
              <w:left w:val="nil"/>
              <w:bottom w:val="single" w:sz="4" w:space="0" w:color="auto"/>
              <w:right w:val="nil"/>
            </w:tcBorders>
            <w:shd w:val="clear" w:color="000000" w:fill="D9D9D9"/>
            <w:noWrap/>
            <w:vAlign w:val="bottom"/>
            <w:hideMark/>
          </w:tcPr>
          <w:p w14:paraId="32128ABE"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sz w:val="16"/>
                <w:szCs w:val="16"/>
              </w:rPr>
            </w:pPr>
            <w:r w:rsidRPr="00CA6CBB">
              <w:rPr>
                <w:rFonts w:ascii="Calibri" w:hAnsi="Calibri"/>
                <w:b/>
                <w:sz w:val="16"/>
              </w:rPr>
              <w:t>Presupuesto</w:t>
            </w:r>
          </w:p>
        </w:tc>
        <w:tc>
          <w:tcPr>
            <w:tcW w:w="1465" w:type="pct"/>
            <w:tcBorders>
              <w:top w:val="single" w:sz="4" w:space="0" w:color="auto"/>
              <w:left w:val="nil"/>
              <w:bottom w:val="single" w:sz="4" w:space="0" w:color="auto"/>
              <w:right w:val="single" w:sz="4" w:space="0" w:color="auto"/>
            </w:tcBorders>
            <w:shd w:val="clear" w:color="000000" w:fill="D9D9D9"/>
            <w:noWrap/>
            <w:vAlign w:val="bottom"/>
            <w:hideMark/>
          </w:tcPr>
          <w:p w14:paraId="0C615DDD"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sz w:val="16"/>
                <w:szCs w:val="16"/>
              </w:rPr>
            </w:pPr>
            <w:r w:rsidRPr="00CA6CBB">
              <w:rPr>
                <w:rFonts w:ascii="Calibri" w:hAnsi="Calibri"/>
                <w:b/>
                <w:sz w:val="16"/>
              </w:rPr>
              <w:t>Comentarios</w:t>
            </w:r>
          </w:p>
        </w:tc>
      </w:tr>
      <w:tr w:rsidR="000F2ED2" w:rsidRPr="00CA6CBB" w14:paraId="2E29A969" w14:textId="77777777" w:rsidTr="00814F99">
        <w:trPr>
          <w:trHeight w:val="290"/>
        </w:trPr>
        <w:tc>
          <w:tcPr>
            <w:tcW w:w="104" w:type="pct"/>
            <w:tcBorders>
              <w:top w:val="nil"/>
              <w:left w:val="single" w:sz="8" w:space="0" w:color="auto"/>
              <w:bottom w:val="nil"/>
              <w:right w:val="nil"/>
            </w:tcBorders>
            <w:vAlign w:val="center"/>
            <w:hideMark/>
          </w:tcPr>
          <w:p w14:paraId="45127AF6"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1</w:t>
            </w:r>
          </w:p>
        </w:tc>
        <w:tc>
          <w:tcPr>
            <w:tcW w:w="121" w:type="pct"/>
            <w:tcBorders>
              <w:top w:val="nil"/>
              <w:left w:val="nil"/>
              <w:bottom w:val="nil"/>
              <w:right w:val="nil"/>
            </w:tcBorders>
            <w:vAlign w:val="center"/>
            <w:hideMark/>
          </w:tcPr>
          <w:p w14:paraId="7103FDAA"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1</w:t>
            </w:r>
          </w:p>
        </w:tc>
        <w:tc>
          <w:tcPr>
            <w:tcW w:w="299" w:type="pct"/>
            <w:tcBorders>
              <w:top w:val="nil"/>
              <w:left w:val="nil"/>
              <w:bottom w:val="nil"/>
              <w:right w:val="nil"/>
            </w:tcBorders>
            <w:vAlign w:val="center"/>
            <w:hideMark/>
          </w:tcPr>
          <w:p w14:paraId="41275BD8"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Módulo</w:t>
            </w:r>
          </w:p>
        </w:tc>
        <w:tc>
          <w:tcPr>
            <w:tcW w:w="1030" w:type="pct"/>
            <w:tcBorders>
              <w:top w:val="nil"/>
              <w:left w:val="nil"/>
              <w:bottom w:val="nil"/>
              <w:right w:val="nil"/>
            </w:tcBorders>
            <w:vAlign w:val="center"/>
            <w:hideMark/>
          </w:tcPr>
          <w:p w14:paraId="1DFB3554"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Núcleo/base de datos IOMS</w:t>
            </w:r>
          </w:p>
        </w:tc>
        <w:tc>
          <w:tcPr>
            <w:tcW w:w="683" w:type="pct"/>
            <w:tcBorders>
              <w:top w:val="nil"/>
              <w:left w:val="nil"/>
              <w:bottom w:val="nil"/>
              <w:right w:val="nil"/>
            </w:tcBorders>
            <w:vAlign w:val="center"/>
            <w:hideMark/>
          </w:tcPr>
          <w:p w14:paraId="49399269"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No aplicable</w:t>
            </w:r>
          </w:p>
        </w:tc>
        <w:tc>
          <w:tcPr>
            <w:tcW w:w="252" w:type="pct"/>
            <w:tcBorders>
              <w:top w:val="nil"/>
              <w:left w:val="nil"/>
              <w:bottom w:val="nil"/>
              <w:right w:val="nil"/>
            </w:tcBorders>
            <w:vAlign w:val="center"/>
            <w:hideMark/>
          </w:tcPr>
          <w:p w14:paraId="40B29724"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COMPLETA</w:t>
            </w:r>
          </w:p>
        </w:tc>
        <w:tc>
          <w:tcPr>
            <w:tcW w:w="296" w:type="pct"/>
            <w:tcBorders>
              <w:top w:val="nil"/>
              <w:left w:val="nil"/>
              <w:bottom w:val="nil"/>
              <w:right w:val="nil"/>
            </w:tcBorders>
            <w:vAlign w:val="center"/>
            <w:hideMark/>
          </w:tcPr>
          <w:p w14:paraId="1E5D277B"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01/06/2019</w:t>
            </w:r>
          </w:p>
        </w:tc>
        <w:tc>
          <w:tcPr>
            <w:tcW w:w="286" w:type="pct"/>
            <w:tcBorders>
              <w:top w:val="nil"/>
              <w:left w:val="nil"/>
              <w:bottom w:val="nil"/>
              <w:right w:val="nil"/>
            </w:tcBorders>
            <w:vAlign w:val="center"/>
            <w:hideMark/>
          </w:tcPr>
          <w:p w14:paraId="76C066A2"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01/08/2021</w:t>
            </w:r>
          </w:p>
        </w:tc>
        <w:tc>
          <w:tcPr>
            <w:tcW w:w="258" w:type="pct"/>
            <w:tcBorders>
              <w:top w:val="nil"/>
              <w:left w:val="nil"/>
              <w:bottom w:val="nil"/>
              <w:right w:val="nil"/>
            </w:tcBorders>
            <w:vAlign w:val="center"/>
            <w:hideMark/>
          </w:tcPr>
          <w:p w14:paraId="4E2E4398"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2</w:t>
            </w:r>
          </w:p>
        </w:tc>
        <w:tc>
          <w:tcPr>
            <w:tcW w:w="207" w:type="pct"/>
            <w:tcBorders>
              <w:top w:val="nil"/>
              <w:left w:val="nil"/>
              <w:bottom w:val="nil"/>
              <w:right w:val="nil"/>
            </w:tcBorders>
            <w:vAlign w:val="center"/>
            <w:hideMark/>
          </w:tcPr>
          <w:p w14:paraId="5FE40A0A"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COM-18</w:t>
            </w:r>
          </w:p>
        </w:tc>
        <w:tc>
          <w:tcPr>
            <w:tcW w:w="1465" w:type="pct"/>
            <w:tcBorders>
              <w:top w:val="nil"/>
              <w:left w:val="nil"/>
              <w:bottom w:val="nil"/>
              <w:right w:val="single" w:sz="8" w:space="0" w:color="auto"/>
            </w:tcBorders>
            <w:vAlign w:val="center"/>
            <w:hideMark/>
          </w:tcPr>
          <w:p w14:paraId="4A620A15"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 </w:t>
            </w:r>
          </w:p>
        </w:tc>
      </w:tr>
      <w:tr w:rsidR="000F2ED2" w:rsidRPr="00CA6CBB" w14:paraId="4C5AA82C" w14:textId="77777777" w:rsidTr="00814F99">
        <w:trPr>
          <w:trHeight w:val="290"/>
        </w:trPr>
        <w:tc>
          <w:tcPr>
            <w:tcW w:w="104" w:type="pct"/>
            <w:tcBorders>
              <w:top w:val="nil"/>
              <w:left w:val="single" w:sz="8" w:space="0" w:color="auto"/>
              <w:bottom w:val="nil"/>
              <w:right w:val="nil"/>
            </w:tcBorders>
            <w:vAlign w:val="center"/>
            <w:hideMark/>
          </w:tcPr>
          <w:p w14:paraId="0F54FC8F"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1</w:t>
            </w:r>
          </w:p>
        </w:tc>
        <w:tc>
          <w:tcPr>
            <w:tcW w:w="121" w:type="pct"/>
            <w:tcBorders>
              <w:top w:val="nil"/>
              <w:left w:val="nil"/>
              <w:bottom w:val="nil"/>
              <w:right w:val="nil"/>
            </w:tcBorders>
            <w:vAlign w:val="center"/>
            <w:hideMark/>
          </w:tcPr>
          <w:p w14:paraId="4A69C481"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2</w:t>
            </w:r>
          </w:p>
        </w:tc>
        <w:tc>
          <w:tcPr>
            <w:tcW w:w="299" w:type="pct"/>
            <w:tcBorders>
              <w:top w:val="nil"/>
              <w:left w:val="nil"/>
              <w:bottom w:val="nil"/>
              <w:right w:val="nil"/>
            </w:tcBorders>
            <w:vAlign w:val="center"/>
            <w:hideMark/>
          </w:tcPr>
          <w:p w14:paraId="56A45870"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Módulo</w:t>
            </w:r>
          </w:p>
        </w:tc>
        <w:tc>
          <w:tcPr>
            <w:tcW w:w="1030" w:type="pct"/>
            <w:tcBorders>
              <w:top w:val="nil"/>
              <w:left w:val="nil"/>
              <w:bottom w:val="nil"/>
              <w:right w:val="nil"/>
            </w:tcBorders>
            <w:vAlign w:val="center"/>
            <w:hideMark/>
          </w:tcPr>
          <w:p w14:paraId="79E196C7"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val="pt-PT"/>
              </w:rPr>
            </w:pPr>
            <w:r w:rsidRPr="00CA6CBB">
              <w:rPr>
                <w:rFonts w:ascii="Calibri" w:hAnsi="Calibri"/>
                <w:color w:val="auto"/>
                <w:sz w:val="16"/>
                <w:lang w:val="pt-PT"/>
              </w:rPr>
              <w:t>Informe anual de IOMS (Parte II/Sección 3, Parte I/Anexo 1)</w:t>
            </w:r>
          </w:p>
        </w:tc>
        <w:tc>
          <w:tcPr>
            <w:tcW w:w="683" w:type="pct"/>
            <w:tcBorders>
              <w:top w:val="nil"/>
              <w:left w:val="nil"/>
              <w:bottom w:val="nil"/>
              <w:right w:val="nil"/>
            </w:tcBorders>
            <w:vAlign w:val="center"/>
            <w:hideMark/>
          </w:tcPr>
          <w:p w14:paraId="5E62452E"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S:GEN01, M:GEN01</w:t>
            </w:r>
          </w:p>
        </w:tc>
        <w:tc>
          <w:tcPr>
            <w:tcW w:w="252" w:type="pct"/>
            <w:tcBorders>
              <w:top w:val="nil"/>
              <w:left w:val="nil"/>
              <w:bottom w:val="nil"/>
              <w:right w:val="nil"/>
            </w:tcBorders>
            <w:vAlign w:val="center"/>
            <w:hideMark/>
          </w:tcPr>
          <w:p w14:paraId="7B04DD55"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COMPLETA</w:t>
            </w:r>
          </w:p>
        </w:tc>
        <w:tc>
          <w:tcPr>
            <w:tcW w:w="296" w:type="pct"/>
            <w:tcBorders>
              <w:top w:val="nil"/>
              <w:left w:val="nil"/>
              <w:bottom w:val="nil"/>
              <w:right w:val="nil"/>
            </w:tcBorders>
            <w:vAlign w:val="center"/>
            <w:hideMark/>
          </w:tcPr>
          <w:p w14:paraId="04AC0E1A"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01/06/2019</w:t>
            </w:r>
          </w:p>
        </w:tc>
        <w:tc>
          <w:tcPr>
            <w:tcW w:w="286" w:type="pct"/>
            <w:tcBorders>
              <w:top w:val="nil"/>
              <w:left w:val="nil"/>
              <w:bottom w:val="nil"/>
              <w:right w:val="nil"/>
            </w:tcBorders>
            <w:vAlign w:val="center"/>
            <w:hideMark/>
          </w:tcPr>
          <w:p w14:paraId="57A5B79D"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01/08/2021</w:t>
            </w:r>
          </w:p>
        </w:tc>
        <w:tc>
          <w:tcPr>
            <w:tcW w:w="258" w:type="pct"/>
            <w:tcBorders>
              <w:top w:val="nil"/>
              <w:left w:val="nil"/>
              <w:bottom w:val="nil"/>
              <w:right w:val="nil"/>
            </w:tcBorders>
            <w:vAlign w:val="center"/>
            <w:hideMark/>
          </w:tcPr>
          <w:p w14:paraId="0B81D668"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2</w:t>
            </w:r>
          </w:p>
        </w:tc>
        <w:tc>
          <w:tcPr>
            <w:tcW w:w="207" w:type="pct"/>
            <w:tcBorders>
              <w:top w:val="nil"/>
              <w:left w:val="nil"/>
              <w:bottom w:val="nil"/>
              <w:right w:val="nil"/>
            </w:tcBorders>
            <w:vAlign w:val="center"/>
            <w:hideMark/>
          </w:tcPr>
          <w:p w14:paraId="0F0B1B7E"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COM-18</w:t>
            </w:r>
          </w:p>
        </w:tc>
        <w:tc>
          <w:tcPr>
            <w:tcW w:w="1465" w:type="pct"/>
            <w:tcBorders>
              <w:top w:val="nil"/>
              <w:left w:val="nil"/>
              <w:bottom w:val="nil"/>
              <w:right w:val="single" w:sz="8" w:space="0" w:color="auto"/>
            </w:tcBorders>
            <w:vAlign w:val="center"/>
            <w:hideMark/>
          </w:tcPr>
          <w:p w14:paraId="382A5DBB"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 </w:t>
            </w:r>
          </w:p>
        </w:tc>
      </w:tr>
      <w:tr w:rsidR="000F2ED2" w:rsidRPr="00CA6CBB" w14:paraId="0FB9A607" w14:textId="77777777" w:rsidTr="00814F99">
        <w:trPr>
          <w:trHeight w:val="290"/>
        </w:trPr>
        <w:tc>
          <w:tcPr>
            <w:tcW w:w="104" w:type="pct"/>
            <w:tcBorders>
              <w:top w:val="nil"/>
              <w:left w:val="single" w:sz="8" w:space="0" w:color="auto"/>
              <w:bottom w:val="nil"/>
              <w:right w:val="nil"/>
            </w:tcBorders>
            <w:vAlign w:val="center"/>
            <w:hideMark/>
          </w:tcPr>
          <w:p w14:paraId="4CF286A3"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1</w:t>
            </w:r>
          </w:p>
        </w:tc>
        <w:tc>
          <w:tcPr>
            <w:tcW w:w="121" w:type="pct"/>
            <w:tcBorders>
              <w:top w:val="nil"/>
              <w:left w:val="nil"/>
              <w:bottom w:val="nil"/>
              <w:right w:val="nil"/>
            </w:tcBorders>
            <w:vAlign w:val="center"/>
            <w:hideMark/>
          </w:tcPr>
          <w:p w14:paraId="0F23EF36"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3</w:t>
            </w:r>
          </w:p>
        </w:tc>
        <w:tc>
          <w:tcPr>
            <w:tcW w:w="299" w:type="pct"/>
            <w:tcBorders>
              <w:top w:val="nil"/>
              <w:left w:val="nil"/>
              <w:bottom w:val="nil"/>
              <w:right w:val="nil"/>
            </w:tcBorders>
            <w:vAlign w:val="center"/>
            <w:hideMark/>
          </w:tcPr>
          <w:p w14:paraId="709CB5D8"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Tarea</w:t>
            </w:r>
          </w:p>
        </w:tc>
        <w:tc>
          <w:tcPr>
            <w:tcW w:w="1030" w:type="pct"/>
            <w:tcBorders>
              <w:top w:val="nil"/>
              <w:left w:val="nil"/>
              <w:bottom w:val="nil"/>
              <w:right w:val="nil"/>
            </w:tcBorders>
            <w:vAlign w:val="center"/>
            <w:hideMark/>
          </w:tcPr>
          <w:p w14:paraId="46F90765"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IOMS en producción</w:t>
            </w:r>
          </w:p>
        </w:tc>
        <w:tc>
          <w:tcPr>
            <w:tcW w:w="683" w:type="pct"/>
            <w:tcBorders>
              <w:top w:val="nil"/>
              <w:left w:val="nil"/>
              <w:bottom w:val="nil"/>
              <w:right w:val="nil"/>
            </w:tcBorders>
            <w:hideMark/>
          </w:tcPr>
          <w:p w14:paraId="5A9D8522"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p>
        </w:tc>
        <w:tc>
          <w:tcPr>
            <w:tcW w:w="252" w:type="pct"/>
            <w:tcBorders>
              <w:top w:val="nil"/>
              <w:left w:val="nil"/>
              <w:bottom w:val="nil"/>
              <w:right w:val="nil"/>
            </w:tcBorders>
            <w:vAlign w:val="center"/>
            <w:hideMark/>
          </w:tcPr>
          <w:p w14:paraId="68094237"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COMPLETA</w:t>
            </w:r>
          </w:p>
        </w:tc>
        <w:tc>
          <w:tcPr>
            <w:tcW w:w="296" w:type="pct"/>
            <w:tcBorders>
              <w:top w:val="nil"/>
              <w:left w:val="nil"/>
              <w:bottom w:val="nil"/>
              <w:right w:val="nil"/>
            </w:tcBorders>
            <w:vAlign w:val="center"/>
            <w:hideMark/>
          </w:tcPr>
          <w:p w14:paraId="463E2227"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01/06/2019</w:t>
            </w:r>
          </w:p>
        </w:tc>
        <w:tc>
          <w:tcPr>
            <w:tcW w:w="286" w:type="pct"/>
            <w:tcBorders>
              <w:top w:val="nil"/>
              <w:left w:val="nil"/>
              <w:bottom w:val="nil"/>
              <w:right w:val="nil"/>
            </w:tcBorders>
            <w:vAlign w:val="center"/>
            <w:hideMark/>
          </w:tcPr>
          <w:p w14:paraId="58B11AC4"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01/08/2021</w:t>
            </w:r>
          </w:p>
        </w:tc>
        <w:tc>
          <w:tcPr>
            <w:tcW w:w="258" w:type="pct"/>
            <w:tcBorders>
              <w:top w:val="nil"/>
              <w:left w:val="nil"/>
              <w:bottom w:val="nil"/>
              <w:right w:val="nil"/>
            </w:tcBorders>
            <w:vAlign w:val="center"/>
            <w:hideMark/>
          </w:tcPr>
          <w:p w14:paraId="1D5CC0EC"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2</w:t>
            </w:r>
          </w:p>
        </w:tc>
        <w:tc>
          <w:tcPr>
            <w:tcW w:w="207" w:type="pct"/>
            <w:tcBorders>
              <w:top w:val="nil"/>
              <w:left w:val="nil"/>
              <w:bottom w:val="nil"/>
              <w:right w:val="nil"/>
            </w:tcBorders>
            <w:vAlign w:val="center"/>
            <w:hideMark/>
          </w:tcPr>
          <w:p w14:paraId="0A61F0E9"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COM-18</w:t>
            </w:r>
          </w:p>
        </w:tc>
        <w:tc>
          <w:tcPr>
            <w:tcW w:w="1465" w:type="pct"/>
            <w:tcBorders>
              <w:top w:val="nil"/>
              <w:left w:val="nil"/>
              <w:bottom w:val="nil"/>
              <w:right w:val="single" w:sz="8" w:space="0" w:color="auto"/>
            </w:tcBorders>
            <w:vAlign w:val="center"/>
            <w:hideMark/>
          </w:tcPr>
          <w:p w14:paraId="6A63BF95"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 </w:t>
            </w:r>
          </w:p>
        </w:tc>
      </w:tr>
      <w:tr w:rsidR="000F2ED2" w:rsidRPr="00CA6CBB" w14:paraId="3843C5B5" w14:textId="77777777" w:rsidTr="00814F99">
        <w:trPr>
          <w:trHeight w:val="290"/>
        </w:trPr>
        <w:tc>
          <w:tcPr>
            <w:tcW w:w="104" w:type="pct"/>
            <w:tcBorders>
              <w:top w:val="nil"/>
              <w:left w:val="single" w:sz="8" w:space="0" w:color="auto"/>
              <w:bottom w:val="nil"/>
              <w:right w:val="nil"/>
            </w:tcBorders>
            <w:vAlign w:val="center"/>
            <w:hideMark/>
          </w:tcPr>
          <w:p w14:paraId="6023076C"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1</w:t>
            </w:r>
          </w:p>
        </w:tc>
        <w:tc>
          <w:tcPr>
            <w:tcW w:w="121" w:type="pct"/>
            <w:tcBorders>
              <w:top w:val="nil"/>
              <w:left w:val="nil"/>
              <w:bottom w:val="nil"/>
              <w:right w:val="nil"/>
            </w:tcBorders>
            <w:vAlign w:val="center"/>
            <w:hideMark/>
          </w:tcPr>
          <w:p w14:paraId="3AE0B2DF"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1</w:t>
            </w:r>
          </w:p>
        </w:tc>
        <w:tc>
          <w:tcPr>
            <w:tcW w:w="299" w:type="pct"/>
            <w:tcBorders>
              <w:top w:val="nil"/>
              <w:left w:val="nil"/>
              <w:bottom w:val="nil"/>
              <w:right w:val="nil"/>
            </w:tcBorders>
            <w:vAlign w:val="center"/>
            <w:hideMark/>
          </w:tcPr>
          <w:p w14:paraId="593AD96C"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Tarea</w:t>
            </w:r>
          </w:p>
        </w:tc>
        <w:tc>
          <w:tcPr>
            <w:tcW w:w="1030" w:type="pct"/>
            <w:tcBorders>
              <w:top w:val="nil"/>
              <w:left w:val="nil"/>
              <w:bottom w:val="nil"/>
              <w:right w:val="nil"/>
            </w:tcBorders>
            <w:vAlign w:val="center"/>
            <w:hideMark/>
          </w:tcPr>
          <w:p w14:paraId="41B3D7DB"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Sesión 1 del taller de formación (fase 1)</w:t>
            </w:r>
          </w:p>
        </w:tc>
        <w:tc>
          <w:tcPr>
            <w:tcW w:w="683" w:type="pct"/>
            <w:tcBorders>
              <w:top w:val="nil"/>
              <w:left w:val="nil"/>
              <w:bottom w:val="nil"/>
              <w:right w:val="nil"/>
            </w:tcBorders>
            <w:hideMark/>
          </w:tcPr>
          <w:p w14:paraId="2B6CBB4F"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p>
        </w:tc>
        <w:tc>
          <w:tcPr>
            <w:tcW w:w="252" w:type="pct"/>
            <w:tcBorders>
              <w:top w:val="nil"/>
              <w:left w:val="nil"/>
              <w:bottom w:val="nil"/>
              <w:right w:val="nil"/>
            </w:tcBorders>
            <w:vAlign w:val="center"/>
            <w:hideMark/>
          </w:tcPr>
          <w:p w14:paraId="055A9BDF"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COMPLETA</w:t>
            </w:r>
          </w:p>
        </w:tc>
        <w:tc>
          <w:tcPr>
            <w:tcW w:w="296" w:type="pct"/>
            <w:tcBorders>
              <w:top w:val="nil"/>
              <w:left w:val="nil"/>
              <w:bottom w:val="nil"/>
              <w:right w:val="nil"/>
            </w:tcBorders>
            <w:vAlign w:val="center"/>
            <w:hideMark/>
          </w:tcPr>
          <w:p w14:paraId="001A6925"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28/04/2022</w:t>
            </w:r>
          </w:p>
        </w:tc>
        <w:tc>
          <w:tcPr>
            <w:tcW w:w="286" w:type="pct"/>
            <w:tcBorders>
              <w:top w:val="nil"/>
              <w:left w:val="nil"/>
              <w:bottom w:val="nil"/>
              <w:right w:val="nil"/>
            </w:tcBorders>
            <w:vAlign w:val="center"/>
            <w:hideMark/>
          </w:tcPr>
          <w:p w14:paraId="10406D96"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No aplicable</w:t>
            </w:r>
          </w:p>
        </w:tc>
        <w:tc>
          <w:tcPr>
            <w:tcW w:w="258" w:type="pct"/>
            <w:tcBorders>
              <w:top w:val="nil"/>
              <w:left w:val="nil"/>
              <w:bottom w:val="nil"/>
              <w:right w:val="nil"/>
            </w:tcBorders>
            <w:vAlign w:val="center"/>
            <w:hideMark/>
          </w:tcPr>
          <w:p w14:paraId="12B8CF5D"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2</w:t>
            </w:r>
          </w:p>
        </w:tc>
        <w:tc>
          <w:tcPr>
            <w:tcW w:w="207" w:type="pct"/>
            <w:tcBorders>
              <w:top w:val="nil"/>
              <w:left w:val="nil"/>
              <w:bottom w:val="nil"/>
              <w:right w:val="nil"/>
            </w:tcBorders>
            <w:vAlign w:val="center"/>
            <w:hideMark/>
          </w:tcPr>
          <w:p w14:paraId="56F7E9A6"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COM-18</w:t>
            </w:r>
          </w:p>
        </w:tc>
        <w:tc>
          <w:tcPr>
            <w:tcW w:w="1465" w:type="pct"/>
            <w:tcBorders>
              <w:top w:val="nil"/>
              <w:left w:val="nil"/>
              <w:bottom w:val="nil"/>
              <w:right w:val="single" w:sz="8" w:space="0" w:color="auto"/>
            </w:tcBorders>
            <w:vAlign w:val="center"/>
            <w:hideMark/>
          </w:tcPr>
          <w:p w14:paraId="7FCB608C"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Primera sesión (4 horas)</w:t>
            </w:r>
          </w:p>
        </w:tc>
      </w:tr>
      <w:tr w:rsidR="000F2ED2" w:rsidRPr="00CA6CBB" w14:paraId="37ED1327" w14:textId="77777777" w:rsidTr="00814F99">
        <w:trPr>
          <w:trHeight w:val="290"/>
        </w:trPr>
        <w:tc>
          <w:tcPr>
            <w:tcW w:w="104" w:type="pct"/>
            <w:tcBorders>
              <w:top w:val="nil"/>
              <w:left w:val="single" w:sz="8" w:space="0" w:color="auto"/>
              <w:bottom w:val="nil"/>
              <w:right w:val="nil"/>
            </w:tcBorders>
            <w:vAlign w:val="center"/>
            <w:hideMark/>
          </w:tcPr>
          <w:p w14:paraId="1B048B7F"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1</w:t>
            </w:r>
          </w:p>
        </w:tc>
        <w:tc>
          <w:tcPr>
            <w:tcW w:w="121" w:type="pct"/>
            <w:tcBorders>
              <w:top w:val="nil"/>
              <w:left w:val="nil"/>
              <w:bottom w:val="nil"/>
              <w:right w:val="nil"/>
            </w:tcBorders>
            <w:vAlign w:val="center"/>
            <w:hideMark/>
          </w:tcPr>
          <w:p w14:paraId="18683957"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1</w:t>
            </w:r>
          </w:p>
        </w:tc>
        <w:tc>
          <w:tcPr>
            <w:tcW w:w="299" w:type="pct"/>
            <w:tcBorders>
              <w:top w:val="nil"/>
              <w:left w:val="nil"/>
              <w:bottom w:val="nil"/>
              <w:right w:val="nil"/>
            </w:tcBorders>
            <w:vAlign w:val="center"/>
            <w:hideMark/>
          </w:tcPr>
          <w:p w14:paraId="716C8CE7"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Tarea</w:t>
            </w:r>
          </w:p>
        </w:tc>
        <w:tc>
          <w:tcPr>
            <w:tcW w:w="1030" w:type="pct"/>
            <w:tcBorders>
              <w:top w:val="nil"/>
              <w:left w:val="nil"/>
              <w:bottom w:val="nil"/>
              <w:right w:val="nil"/>
            </w:tcBorders>
            <w:vAlign w:val="center"/>
            <w:hideMark/>
          </w:tcPr>
          <w:p w14:paraId="6C667300"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Sesión 2 del taller de formación (fase 1)</w:t>
            </w:r>
          </w:p>
        </w:tc>
        <w:tc>
          <w:tcPr>
            <w:tcW w:w="683" w:type="pct"/>
            <w:tcBorders>
              <w:top w:val="nil"/>
              <w:left w:val="nil"/>
              <w:bottom w:val="nil"/>
              <w:right w:val="nil"/>
            </w:tcBorders>
            <w:hideMark/>
          </w:tcPr>
          <w:p w14:paraId="3156B539"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p>
        </w:tc>
        <w:tc>
          <w:tcPr>
            <w:tcW w:w="252" w:type="pct"/>
            <w:tcBorders>
              <w:top w:val="nil"/>
              <w:left w:val="nil"/>
              <w:bottom w:val="nil"/>
              <w:right w:val="nil"/>
            </w:tcBorders>
            <w:vAlign w:val="center"/>
            <w:hideMark/>
          </w:tcPr>
          <w:p w14:paraId="667306AC"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COMPLETA</w:t>
            </w:r>
          </w:p>
        </w:tc>
        <w:tc>
          <w:tcPr>
            <w:tcW w:w="296" w:type="pct"/>
            <w:tcBorders>
              <w:top w:val="nil"/>
              <w:left w:val="nil"/>
              <w:bottom w:val="nil"/>
              <w:right w:val="nil"/>
            </w:tcBorders>
            <w:vAlign w:val="center"/>
            <w:hideMark/>
          </w:tcPr>
          <w:p w14:paraId="65D3F2D0"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01/09/2022</w:t>
            </w:r>
          </w:p>
        </w:tc>
        <w:tc>
          <w:tcPr>
            <w:tcW w:w="286" w:type="pct"/>
            <w:tcBorders>
              <w:top w:val="nil"/>
              <w:left w:val="nil"/>
              <w:bottom w:val="nil"/>
              <w:right w:val="nil"/>
            </w:tcBorders>
            <w:vAlign w:val="center"/>
            <w:hideMark/>
          </w:tcPr>
          <w:p w14:paraId="0F16F8D9"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No aplicable</w:t>
            </w:r>
          </w:p>
        </w:tc>
        <w:tc>
          <w:tcPr>
            <w:tcW w:w="258" w:type="pct"/>
            <w:tcBorders>
              <w:top w:val="nil"/>
              <w:left w:val="nil"/>
              <w:bottom w:val="nil"/>
              <w:right w:val="nil"/>
            </w:tcBorders>
            <w:vAlign w:val="center"/>
            <w:hideMark/>
          </w:tcPr>
          <w:p w14:paraId="7F5543CB"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2</w:t>
            </w:r>
          </w:p>
        </w:tc>
        <w:tc>
          <w:tcPr>
            <w:tcW w:w="207" w:type="pct"/>
            <w:tcBorders>
              <w:top w:val="nil"/>
              <w:left w:val="nil"/>
              <w:bottom w:val="nil"/>
              <w:right w:val="nil"/>
            </w:tcBorders>
            <w:vAlign w:val="center"/>
            <w:hideMark/>
          </w:tcPr>
          <w:p w14:paraId="0516ADF9"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COM-18</w:t>
            </w:r>
          </w:p>
        </w:tc>
        <w:tc>
          <w:tcPr>
            <w:tcW w:w="1465" w:type="pct"/>
            <w:tcBorders>
              <w:top w:val="nil"/>
              <w:left w:val="nil"/>
              <w:bottom w:val="nil"/>
              <w:right w:val="single" w:sz="8" w:space="0" w:color="auto"/>
            </w:tcBorders>
            <w:vAlign w:val="center"/>
            <w:hideMark/>
          </w:tcPr>
          <w:p w14:paraId="521CDA3C"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Segunda sesión (4 horas)</w:t>
            </w:r>
          </w:p>
        </w:tc>
      </w:tr>
      <w:tr w:rsidR="000F2ED2" w:rsidRPr="00CA6CBB" w14:paraId="1647F53D" w14:textId="77777777" w:rsidTr="00814F99">
        <w:trPr>
          <w:trHeight w:val="300"/>
        </w:trPr>
        <w:tc>
          <w:tcPr>
            <w:tcW w:w="104" w:type="pct"/>
            <w:tcBorders>
              <w:top w:val="nil"/>
              <w:left w:val="nil"/>
              <w:bottom w:val="single" w:sz="8" w:space="0" w:color="auto"/>
              <w:right w:val="nil"/>
            </w:tcBorders>
            <w:shd w:val="clear" w:color="000000" w:fill="DDEBF7"/>
            <w:vAlign w:val="center"/>
            <w:hideMark/>
          </w:tcPr>
          <w:p w14:paraId="1D049377"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1</w:t>
            </w:r>
          </w:p>
        </w:tc>
        <w:tc>
          <w:tcPr>
            <w:tcW w:w="121" w:type="pct"/>
            <w:tcBorders>
              <w:top w:val="nil"/>
              <w:left w:val="nil"/>
              <w:bottom w:val="single" w:sz="8" w:space="0" w:color="auto"/>
              <w:right w:val="nil"/>
            </w:tcBorders>
            <w:shd w:val="clear" w:color="000000" w:fill="DDEBF7"/>
            <w:vAlign w:val="center"/>
            <w:hideMark/>
          </w:tcPr>
          <w:p w14:paraId="5399FCF8"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1</w:t>
            </w:r>
          </w:p>
        </w:tc>
        <w:tc>
          <w:tcPr>
            <w:tcW w:w="299" w:type="pct"/>
            <w:tcBorders>
              <w:top w:val="nil"/>
              <w:left w:val="nil"/>
              <w:bottom w:val="single" w:sz="8" w:space="0" w:color="auto"/>
              <w:right w:val="nil"/>
            </w:tcBorders>
            <w:shd w:val="clear" w:color="000000" w:fill="DDEBF7"/>
            <w:vAlign w:val="center"/>
            <w:hideMark/>
          </w:tcPr>
          <w:p w14:paraId="558A8D89"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Tarea</w:t>
            </w:r>
          </w:p>
        </w:tc>
        <w:tc>
          <w:tcPr>
            <w:tcW w:w="1030" w:type="pct"/>
            <w:tcBorders>
              <w:top w:val="nil"/>
              <w:left w:val="nil"/>
              <w:bottom w:val="single" w:sz="8" w:space="0" w:color="auto"/>
              <w:right w:val="nil"/>
            </w:tcBorders>
            <w:shd w:val="clear" w:color="000000" w:fill="DDEBF7"/>
            <w:vAlign w:val="center"/>
            <w:hideMark/>
          </w:tcPr>
          <w:p w14:paraId="3F6499A3"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Mantenimiento (incluye mejora y corrección de errores)</w:t>
            </w:r>
          </w:p>
        </w:tc>
        <w:tc>
          <w:tcPr>
            <w:tcW w:w="683" w:type="pct"/>
            <w:tcBorders>
              <w:top w:val="nil"/>
              <w:left w:val="nil"/>
              <w:bottom w:val="single" w:sz="8" w:space="0" w:color="auto"/>
              <w:right w:val="nil"/>
            </w:tcBorders>
            <w:shd w:val="clear" w:color="000000" w:fill="DDEBF7"/>
            <w:vAlign w:val="center"/>
            <w:hideMark/>
          </w:tcPr>
          <w:p w14:paraId="1166C607"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 </w:t>
            </w:r>
          </w:p>
        </w:tc>
        <w:tc>
          <w:tcPr>
            <w:tcW w:w="252" w:type="pct"/>
            <w:tcBorders>
              <w:top w:val="nil"/>
              <w:left w:val="nil"/>
              <w:bottom w:val="single" w:sz="8" w:space="0" w:color="auto"/>
              <w:right w:val="nil"/>
            </w:tcBorders>
            <w:shd w:val="clear" w:color="000000" w:fill="DDEBF7"/>
            <w:vAlign w:val="center"/>
            <w:hideMark/>
          </w:tcPr>
          <w:p w14:paraId="2EC7BCC8"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Continuación</w:t>
            </w:r>
          </w:p>
        </w:tc>
        <w:tc>
          <w:tcPr>
            <w:tcW w:w="296" w:type="pct"/>
            <w:tcBorders>
              <w:top w:val="nil"/>
              <w:left w:val="nil"/>
              <w:bottom w:val="single" w:sz="8" w:space="0" w:color="auto"/>
              <w:right w:val="nil"/>
            </w:tcBorders>
            <w:shd w:val="clear" w:color="000000" w:fill="DDEBF7"/>
            <w:vAlign w:val="center"/>
            <w:hideMark/>
          </w:tcPr>
          <w:p w14:paraId="3FA20E03"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01/06/2019</w:t>
            </w:r>
          </w:p>
        </w:tc>
        <w:tc>
          <w:tcPr>
            <w:tcW w:w="286" w:type="pct"/>
            <w:tcBorders>
              <w:top w:val="nil"/>
              <w:left w:val="nil"/>
              <w:bottom w:val="single" w:sz="8" w:space="0" w:color="auto"/>
              <w:right w:val="nil"/>
            </w:tcBorders>
            <w:shd w:val="clear" w:color="000000" w:fill="DDEBF7"/>
            <w:vAlign w:val="center"/>
            <w:hideMark/>
          </w:tcPr>
          <w:p w14:paraId="47005C43"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No aplicable</w:t>
            </w:r>
          </w:p>
        </w:tc>
        <w:tc>
          <w:tcPr>
            <w:tcW w:w="258" w:type="pct"/>
            <w:tcBorders>
              <w:top w:val="nil"/>
              <w:left w:val="nil"/>
              <w:bottom w:val="single" w:sz="8" w:space="0" w:color="auto"/>
              <w:right w:val="nil"/>
            </w:tcBorders>
            <w:shd w:val="clear" w:color="000000" w:fill="DDEBF7"/>
            <w:vAlign w:val="center"/>
            <w:hideMark/>
          </w:tcPr>
          <w:p w14:paraId="73E041A4"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No aplicable</w:t>
            </w:r>
          </w:p>
        </w:tc>
        <w:tc>
          <w:tcPr>
            <w:tcW w:w="207" w:type="pct"/>
            <w:tcBorders>
              <w:top w:val="nil"/>
              <w:left w:val="nil"/>
              <w:bottom w:val="single" w:sz="8" w:space="0" w:color="auto"/>
              <w:right w:val="nil"/>
            </w:tcBorders>
            <w:shd w:val="clear" w:color="000000" w:fill="DDEBF7"/>
            <w:vAlign w:val="center"/>
            <w:hideMark/>
          </w:tcPr>
          <w:p w14:paraId="7D431F78"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COM-18</w:t>
            </w:r>
          </w:p>
        </w:tc>
        <w:tc>
          <w:tcPr>
            <w:tcW w:w="1465" w:type="pct"/>
            <w:tcBorders>
              <w:top w:val="nil"/>
              <w:left w:val="nil"/>
              <w:bottom w:val="single" w:sz="8" w:space="0" w:color="auto"/>
              <w:right w:val="single" w:sz="8" w:space="0" w:color="auto"/>
            </w:tcBorders>
            <w:shd w:val="clear" w:color="000000" w:fill="DDEBF7"/>
            <w:vAlign w:val="center"/>
            <w:hideMark/>
          </w:tcPr>
          <w:p w14:paraId="131B3835"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Tarea de mantenimiento</w:t>
            </w:r>
          </w:p>
        </w:tc>
      </w:tr>
      <w:tr w:rsidR="000F2ED2" w:rsidRPr="00CA6CBB" w14:paraId="2D65201F" w14:textId="77777777" w:rsidTr="00814F99">
        <w:trPr>
          <w:trHeight w:val="290"/>
        </w:trPr>
        <w:tc>
          <w:tcPr>
            <w:tcW w:w="104" w:type="pct"/>
            <w:tcBorders>
              <w:top w:val="nil"/>
              <w:left w:val="single" w:sz="8" w:space="0" w:color="auto"/>
              <w:bottom w:val="nil"/>
              <w:right w:val="nil"/>
            </w:tcBorders>
            <w:vAlign w:val="center"/>
            <w:hideMark/>
          </w:tcPr>
          <w:p w14:paraId="6197F089"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2</w:t>
            </w:r>
          </w:p>
        </w:tc>
        <w:tc>
          <w:tcPr>
            <w:tcW w:w="121" w:type="pct"/>
            <w:tcBorders>
              <w:top w:val="nil"/>
              <w:left w:val="nil"/>
              <w:bottom w:val="nil"/>
              <w:right w:val="nil"/>
            </w:tcBorders>
            <w:vAlign w:val="center"/>
            <w:hideMark/>
          </w:tcPr>
          <w:p w14:paraId="1CF3ADA2"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1</w:t>
            </w:r>
          </w:p>
        </w:tc>
        <w:tc>
          <w:tcPr>
            <w:tcW w:w="299" w:type="pct"/>
            <w:tcBorders>
              <w:top w:val="nil"/>
              <w:left w:val="nil"/>
              <w:bottom w:val="nil"/>
              <w:right w:val="nil"/>
            </w:tcBorders>
            <w:vAlign w:val="center"/>
            <w:hideMark/>
          </w:tcPr>
          <w:p w14:paraId="4B58EEFA"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Módulo</w:t>
            </w:r>
          </w:p>
        </w:tc>
        <w:tc>
          <w:tcPr>
            <w:tcW w:w="1030" w:type="pct"/>
            <w:tcBorders>
              <w:top w:val="nil"/>
              <w:left w:val="nil"/>
              <w:bottom w:val="nil"/>
              <w:right w:val="nil"/>
            </w:tcBorders>
            <w:vAlign w:val="center"/>
            <w:hideMark/>
          </w:tcPr>
          <w:p w14:paraId="2DD4BF78"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Sistema dinámico de ayuda (módulo)</w:t>
            </w:r>
          </w:p>
        </w:tc>
        <w:tc>
          <w:tcPr>
            <w:tcW w:w="683" w:type="pct"/>
            <w:tcBorders>
              <w:top w:val="nil"/>
              <w:left w:val="nil"/>
              <w:bottom w:val="nil"/>
              <w:right w:val="nil"/>
            </w:tcBorders>
            <w:vAlign w:val="center"/>
            <w:hideMark/>
          </w:tcPr>
          <w:p w14:paraId="55C21F7B"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No aplicable</w:t>
            </w:r>
          </w:p>
        </w:tc>
        <w:tc>
          <w:tcPr>
            <w:tcW w:w="252" w:type="pct"/>
            <w:tcBorders>
              <w:top w:val="nil"/>
              <w:left w:val="nil"/>
              <w:bottom w:val="nil"/>
              <w:right w:val="nil"/>
            </w:tcBorders>
            <w:vAlign w:val="center"/>
            <w:hideMark/>
          </w:tcPr>
          <w:p w14:paraId="133E9711"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COMPLETA</w:t>
            </w:r>
          </w:p>
        </w:tc>
        <w:tc>
          <w:tcPr>
            <w:tcW w:w="296" w:type="pct"/>
            <w:tcBorders>
              <w:top w:val="nil"/>
              <w:left w:val="nil"/>
              <w:bottom w:val="nil"/>
              <w:right w:val="nil"/>
            </w:tcBorders>
            <w:vAlign w:val="center"/>
            <w:hideMark/>
          </w:tcPr>
          <w:p w14:paraId="6336116F"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31/03/2021</w:t>
            </w:r>
          </w:p>
        </w:tc>
        <w:tc>
          <w:tcPr>
            <w:tcW w:w="286" w:type="pct"/>
            <w:tcBorders>
              <w:top w:val="nil"/>
              <w:left w:val="nil"/>
              <w:bottom w:val="nil"/>
              <w:right w:val="nil"/>
            </w:tcBorders>
            <w:vAlign w:val="center"/>
            <w:hideMark/>
          </w:tcPr>
          <w:p w14:paraId="2C47BA40"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31/03/2022</w:t>
            </w:r>
          </w:p>
        </w:tc>
        <w:tc>
          <w:tcPr>
            <w:tcW w:w="258" w:type="pct"/>
            <w:tcBorders>
              <w:top w:val="nil"/>
              <w:left w:val="nil"/>
              <w:bottom w:val="nil"/>
              <w:right w:val="nil"/>
            </w:tcBorders>
            <w:vAlign w:val="center"/>
            <w:hideMark/>
          </w:tcPr>
          <w:p w14:paraId="56C0E471"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2</w:t>
            </w:r>
          </w:p>
        </w:tc>
        <w:tc>
          <w:tcPr>
            <w:tcW w:w="207" w:type="pct"/>
            <w:tcBorders>
              <w:top w:val="nil"/>
              <w:left w:val="nil"/>
              <w:bottom w:val="nil"/>
              <w:right w:val="nil"/>
            </w:tcBorders>
            <w:vAlign w:val="center"/>
            <w:hideMark/>
          </w:tcPr>
          <w:p w14:paraId="4108AFEC"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CPC (UE)</w:t>
            </w:r>
          </w:p>
        </w:tc>
        <w:tc>
          <w:tcPr>
            <w:tcW w:w="1465" w:type="pct"/>
            <w:tcBorders>
              <w:top w:val="nil"/>
              <w:left w:val="nil"/>
              <w:bottom w:val="nil"/>
              <w:right w:val="single" w:sz="8" w:space="0" w:color="auto"/>
            </w:tcBorders>
            <w:vAlign w:val="center"/>
            <w:hideMark/>
          </w:tcPr>
          <w:p w14:paraId="0551C7A8"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 </w:t>
            </w:r>
          </w:p>
        </w:tc>
      </w:tr>
      <w:tr w:rsidR="000F2ED2" w:rsidRPr="00CA6CBB" w14:paraId="6916A58A" w14:textId="77777777" w:rsidTr="00814F99">
        <w:trPr>
          <w:trHeight w:val="290"/>
        </w:trPr>
        <w:tc>
          <w:tcPr>
            <w:tcW w:w="104" w:type="pct"/>
            <w:tcBorders>
              <w:top w:val="nil"/>
              <w:left w:val="single" w:sz="8" w:space="0" w:color="auto"/>
              <w:bottom w:val="nil"/>
              <w:right w:val="nil"/>
            </w:tcBorders>
            <w:vAlign w:val="center"/>
            <w:hideMark/>
          </w:tcPr>
          <w:p w14:paraId="1B8DFF8F"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2</w:t>
            </w:r>
          </w:p>
        </w:tc>
        <w:tc>
          <w:tcPr>
            <w:tcW w:w="121" w:type="pct"/>
            <w:tcBorders>
              <w:top w:val="nil"/>
              <w:left w:val="nil"/>
              <w:bottom w:val="nil"/>
              <w:right w:val="nil"/>
            </w:tcBorders>
            <w:vAlign w:val="center"/>
            <w:hideMark/>
          </w:tcPr>
          <w:p w14:paraId="3191D091"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1</w:t>
            </w:r>
          </w:p>
        </w:tc>
        <w:tc>
          <w:tcPr>
            <w:tcW w:w="299" w:type="pct"/>
            <w:tcBorders>
              <w:top w:val="nil"/>
              <w:left w:val="nil"/>
              <w:bottom w:val="nil"/>
              <w:right w:val="nil"/>
            </w:tcBorders>
            <w:vAlign w:val="center"/>
            <w:hideMark/>
          </w:tcPr>
          <w:p w14:paraId="41FB0652"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Tarea</w:t>
            </w:r>
          </w:p>
        </w:tc>
        <w:tc>
          <w:tcPr>
            <w:tcW w:w="1030" w:type="pct"/>
            <w:tcBorders>
              <w:top w:val="nil"/>
              <w:left w:val="nil"/>
              <w:bottom w:val="nil"/>
              <w:right w:val="nil"/>
            </w:tcBorders>
            <w:vAlign w:val="center"/>
            <w:hideMark/>
          </w:tcPr>
          <w:p w14:paraId="562E41BE"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Ajustes a la nueva definición de roles</w:t>
            </w:r>
          </w:p>
        </w:tc>
        <w:tc>
          <w:tcPr>
            <w:tcW w:w="683" w:type="pct"/>
            <w:tcBorders>
              <w:top w:val="nil"/>
              <w:left w:val="nil"/>
              <w:bottom w:val="nil"/>
              <w:right w:val="nil"/>
            </w:tcBorders>
            <w:vAlign w:val="center"/>
            <w:hideMark/>
          </w:tcPr>
          <w:p w14:paraId="479CFA94"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No aplicable</w:t>
            </w:r>
          </w:p>
        </w:tc>
        <w:tc>
          <w:tcPr>
            <w:tcW w:w="252" w:type="pct"/>
            <w:tcBorders>
              <w:top w:val="nil"/>
              <w:left w:val="nil"/>
              <w:bottom w:val="nil"/>
              <w:right w:val="nil"/>
            </w:tcBorders>
            <w:vAlign w:val="center"/>
            <w:hideMark/>
          </w:tcPr>
          <w:p w14:paraId="6C45D076"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COMPLETA</w:t>
            </w:r>
          </w:p>
        </w:tc>
        <w:tc>
          <w:tcPr>
            <w:tcW w:w="296" w:type="pct"/>
            <w:tcBorders>
              <w:top w:val="nil"/>
              <w:left w:val="nil"/>
              <w:bottom w:val="nil"/>
              <w:right w:val="nil"/>
            </w:tcBorders>
            <w:vAlign w:val="center"/>
            <w:hideMark/>
          </w:tcPr>
          <w:p w14:paraId="4D5B30C2"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15/02/2022</w:t>
            </w:r>
          </w:p>
        </w:tc>
        <w:tc>
          <w:tcPr>
            <w:tcW w:w="286" w:type="pct"/>
            <w:tcBorders>
              <w:top w:val="nil"/>
              <w:left w:val="nil"/>
              <w:bottom w:val="nil"/>
              <w:right w:val="nil"/>
            </w:tcBorders>
            <w:vAlign w:val="center"/>
            <w:hideMark/>
          </w:tcPr>
          <w:p w14:paraId="3E6A5FEA"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15/03/2022</w:t>
            </w:r>
          </w:p>
        </w:tc>
        <w:tc>
          <w:tcPr>
            <w:tcW w:w="258" w:type="pct"/>
            <w:tcBorders>
              <w:top w:val="nil"/>
              <w:left w:val="nil"/>
              <w:bottom w:val="nil"/>
              <w:right w:val="nil"/>
            </w:tcBorders>
            <w:vAlign w:val="center"/>
            <w:hideMark/>
          </w:tcPr>
          <w:p w14:paraId="11EE5AE5"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2</w:t>
            </w:r>
          </w:p>
        </w:tc>
        <w:tc>
          <w:tcPr>
            <w:tcW w:w="207" w:type="pct"/>
            <w:tcBorders>
              <w:top w:val="nil"/>
              <w:left w:val="nil"/>
              <w:bottom w:val="nil"/>
              <w:right w:val="nil"/>
            </w:tcBorders>
            <w:vAlign w:val="center"/>
            <w:hideMark/>
          </w:tcPr>
          <w:p w14:paraId="0021B03A"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COM-19</w:t>
            </w:r>
          </w:p>
        </w:tc>
        <w:tc>
          <w:tcPr>
            <w:tcW w:w="1465" w:type="pct"/>
            <w:tcBorders>
              <w:top w:val="nil"/>
              <w:left w:val="nil"/>
              <w:bottom w:val="nil"/>
              <w:right w:val="single" w:sz="8" w:space="0" w:color="auto"/>
            </w:tcBorders>
            <w:vAlign w:val="center"/>
            <w:hideMark/>
          </w:tcPr>
          <w:p w14:paraId="27725AEB"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Adoptada por el WG-ORT 2022</w:t>
            </w:r>
          </w:p>
        </w:tc>
      </w:tr>
      <w:tr w:rsidR="000F2ED2" w:rsidRPr="00CA6CBB" w14:paraId="60C1174C" w14:textId="77777777" w:rsidTr="00814F99">
        <w:trPr>
          <w:trHeight w:val="870"/>
        </w:trPr>
        <w:tc>
          <w:tcPr>
            <w:tcW w:w="104" w:type="pct"/>
            <w:tcBorders>
              <w:top w:val="nil"/>
              <w:left w:val="single" w:sz="8" w:space="0" w:color="auto"/>
              <w:bottom w:val="nil"/>
              <w:right w:val="nil"/>
            </w:tcBorders>
            <w:vAlign w:val="center"/>
            <w:hideMark/>
          </w:tcPr>
          <w:p w14:paraId="24D981E4"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2</w:t>
            </w:r>
          </w:p>
        </w:tc>
        <w:tc>
          <w:tcPr>
            <w:tcW w:w="121" w:type="pct"/>
            <w:tcBorders>
              <w:top w:val="nil"/>
              <w:left w:val="nil"/>
              <w:bottom w:val="nil"/>
              <w:right w:val="nil"/>
            </w:tcBorders>
            <w:vAlign w:val="center"/>
            <w:hideMark/>
          </w:tcPr>
          <w:p w14:paraId="4758CABD"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1</w:t>
            </w:r>
          </w:p>
        </w:tc>
        <w:tc>
          <w:tcPr>
            <w:tcW w:w="299" w:type="pct"/>
            <w:tcBorders>
              <w:top w:val="nil"/>
              <w:left w:val="nil"/>
              <w:bottom w:val="nil"/>
              <w:right w:val="nil"/>
            </w:tcBorders>
            <w:vAlign w:val="center"/>
            <w:hideMark/>
          </w:tcPr>
          <w:p w14:paraId="3466965E"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Módulo</w:t>
            </w:r>
          </w:p>
        </w:tc>
        <w:tc>
          <w:tcPr>
            <w:tcW w:w="1030" w:type="pct"/>
            <w:tcBorders>
              <w:top w:val="nil"/>
              <w:left w:val="nil"/>
              <w:bottom w:val="nil"/>
              <w:right w:val="nil"/>
            </w:tcBorders>
            <w:vAlign w:val="center"/>
            <w:hideMark/>
          </w:tcPr>
          <w:p w14:paraId="5EA36897"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Gestor de buques de ICCAT</w:t>
            </w:r>
          </w:p>
        </w:tc>
        <w:tc>
          <w:tcPr>
            <w:tcW w:w="683" w:type="pct"/>
            <w:tcBorders>
              <w:top w:val="nil"/>
              <w:left w:val="nil"/>
              <w:bottom w:val="nil"/>
              <w:right w:val="nil"/>
            </w:tcBorders>
            <w:vAlign w:val="center"/>
            <w:hideMark/>
          </w:tcPr>
          <w:p w14:paraId="3DF05DE5"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Hasta 21 requisitos en cuanto a datos (registro de buques, 11 listas de autorización, buques de transporte, acuerdos de fletamento, autorizaciones de transbordo, actividad del año previo)</w:t>
            </w:r>
          </w:p>
        </w:tc>
        <w:tc>
          <w:tcPr>
            <w:tcW w:w="252" w:type="pct"/>
            <w:tcBorders>
              <w:top w:val="nil"/>
              <w:left w:val="nil"/>
              <w:bottom w:val="nil"/>
              <w:right w:val="nil"/>
            </w:tcBorders>
            <w:vAlign w:val="center"/>
            <w:hideMark/>
          </w:tcPr>
          <w:p w14:paraId="494EE964"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COMPLETA</w:t>
            </w:r>
          </w:p>
        </w:tc>
        <w:tc>
          <w:tcPr>
            <w:tcW w:w="296" w:type="pct"/>
            <w:tcBorders>
              <w:top w:val="nil"/>
              <w:left w:val="nil"/>
              <w:bottom w:val="nil"/>
              <w:right w:val="nil"/>
            </w:tcBorders>
            <w:vAlign w:val="center"/>
            <w:hideMark/>
          </w:tcPr>
          <w:p w14:paraId="735C7AF1"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01/03/2021</w:t>
            </w:r>
          </w:p>
        </w:tc>
        <w:tc>
          <w:tcPr>
            <w:tcW w:w="286" w:type="pct"/>
            <w:tcBorders>
              <w:top w:val="nil"/>
              <w:left w:val="nil"/>
              <w:bottom w:val="nil"/>
              <w:right w:val="nil"/>
            </w:tcBorders>
            <w:vAlign w:val="center"/>
            <w:hideMark/>
          </w:tcPr>
          <w:p w14:paraId="3DE552AE"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01/08/2025</w:t>
            </w:r>
          </w:p>
        </w:tc>
        <w:tc>
          <w:tcPr>
            <w:tcW w:w="258" w:type="pct"/>
            <w:tcBorders>
              <w:top w:val="nil"/>
              <w:left w:val="nil"/>
              <w:bottom w:val="nil"/>
              <w:right w:val="nil"/>
            </w:tcBorders>
            <w:vAlign w:val="center"/>
            <w:hideMark/>
          </w:tcPr>
          <w:p w14:paraId="21A1C30A"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4</w:t>
            </w:r>
          </w:p>
        </w:tc>
        <w:tc>
          <w:tcPr>
            <w:tcW w:w="207" w:type="pct"/>
            <w:tcBorders>
              <w:top w:val="nil"/>
              <w:left w:val="nil"/>
              <w:bottom w:val="nil"/>
              <w:right w:val="nil"/>
            </w:tcBorders>
            <w:vAlign w:val="center"/>
            <w:hideMark/>
          </w:tcPr>
          <w:p w14:paraId="55C42AB4"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COM-19 y CPC (UE)</w:t>
            </w:r>
          </w:p>
        </w:tc>
        <w:tc>
          <w:tcPr>
            <w:tcW w:w="1465" w:type="pct"/>
            <w:tcBorders>
              <w:top w:val="nil"/>
              <w:left w:val="nil"/>
              <w:bottom w:val="nil"/>
              <w:right w:val="single" w:sz="8" w:space="0" w:color="auto"/>
            </w:tcBorders>
            <w:vAlign w:val="center"/>
            <w:hideMark/>
          </w:tcPr>
          <w:p w14:paraId="61A70D96"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Desarrollo ampliado a la fase 3 (10 meses adicionales) conjuntamente con la integración de UN/FLUX. Parcialmente cubierto por las contribuciones voluntarias de la UE (2021, 2022, 2023)</w:t>
            </w:r>
          </w:p>
        </w:tc>
      </w:tr>
      <w:tr w:rsidR="000F2ED2" w:rsidRPr="00CA6CBB" w14:paraId="1B03D5E7" w14:textId="77777777" w:rsidTr="00814F99">
        <w:trPr>
          <w:trHeight w:val="290"/>
        </w:trPr>
        <w:tc>
          <w:tcPr>
            <w:tcW w:w="104" w:type="pct"/>
            <w:tcBorders>
              <w:top w:val="nil"/>
              <w:left w:val="single" w:sz="8" w:space="0" w:color="auto"/>
              <w:bottom w:val="nil"/>
              <w:right w:val="nil"/>
            </w:tcBorders>
            <w:shd w:val="clear" w:color="000000" w:fill="DDEBF7"/>
            <w:vAlign w:val="center"/>
            <w:hideMark/>
          </w:tcPr>
          <w:p w14:paraId="6AA79659"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2</w:t>
            </w:r>
          </w:p>
        </w:tc>
        <w:tc>
          <w:tcPr>
            <w:tcW w:w="121" w:type="pct"/>
            <w:tcBorders>
              <w:top w:val="nil"/>
              <w:left w:val="nil"/>
              <w:bottom w:val="nil"/>
              <w:right w:val="nil"/>
            </w:tcBorders>
            <w:shd w:val="clear" w:color="000000" w:fill="DDEBF7"/>
            <w:vAlign w:val="center"/>
            <w:hideMark/>
          </w:tcPr>
          <w:p w14:paraId="3A3FC912"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1</w:t>
            </w:r>
          </w:p>
        </w:tc>
        <w:tc>
          <w:tcPr>
            <w:tcW w:w="299" w:type="pct"/>
            <w:tcBorders>
              <w:top w:val="nil"/>
              <w:left w:val="nil"/>
              <w:bottom w:val="nil"/>
              <w:right w:val="nil"/>
            </w:tcBorders>
            <w:shd w:val="clear" w:color="000000" w:fill="DDEBF7"/>
            <w:vAlign w:val="center"/>
            <w:hideMark/>
          </w:tcPr>
          <w:p w14:paraId="3C11913B"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Tarea</w:t>
            </w:r>
          </w:p>
        </w:tc>
        <w:tc>
          <w:tcPr>
            <w:tcW w:w="1030" w:type="pct"/>
            <w:tcBorders>
              <w:top w:val="nil"/>
              <w:left w:val="nil"/>
              <w:bottom w:val="nil"/>
              <w:right w:val="nil"/>
            </w:tcBorders>
            <w:shd w:val="clear" w:color="000000" w:fill="DDEBF7"/>
            <w:vAlign w:val="center"/>
            <w:hideMark/>
          </w:tcPr>
          <w:p w14:paraId="08FD482C"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Integración de UN/FLUX en el Gestor de buques</w:t>
            </w:r>
          </w:p>
        </w:tc>
        <w:tc>
          <w:tcPr>
            <w:tcW w:w="683" w:type="pct"/>
            <w:tcBorders>
              <w:top w:val="nil"/>
              <w:left w:val="nil"/>
              <w:bottom w:val="nil"/>
              <w:right w:val="nil"/>
            </w:tcBorders>
            <w:shd w:val="clear" w:color="000000" w:fill="DDEBF7"/>
            <w:vAlign w:val="center"/>
            <w:hideMark/>
          </w:tcPr>
          <w:p w14:paraId="77C67B40"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Todos los requisitos de registro y autorizaciones de buques (11 listas)</w:t>
            </w:r>
          </w:p>
        </w:tc>
        <w:tc>
          <w:tcPr>
            <w:tcW w:w="252" w:type="pct"/>
            <w:tcBorders>
              <w:top w:val="nil"/>
              <w:left w:val="nil"/>
              <w:bottom w:val="nil"/>
              <w:right w:val="nil"/>
            </w:tcBorders>
            <w:shd w:val="clear" w:color="000000" w:fill="DDEBF7"/>
            <w:vAlign w:val="center"/>
            <w:hideMark/>
          </w:tcPr>
          <w:p w14:paraId="14733A18"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En curso</w:t>
            </w:r>
          </w:p>
        </w:tc>
        <w:tc>
          <w:tcPr>
            <w:tcW w:w="296" w:type="pct"/>
            <w:tcBorders>
              <w:top w:val="nil"/>
              <w:left w:val="nil"/>
              <w:bottom w:val="nil"/>
              <w:right w:val="nil"/>
            </w:tcBorders>
            <w:shd w:val="clear" w:color="000000" w:fill="DDEBF7"/>
            <w:vAlign w:val="center"/>
            <w:hideMark/>
          </w:tcPr>
          <w:p w14:paraId="2388574E"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01/04/2022</w:t>
            </w:r>
          </w:p>
        </w:tc>
        <w:tc>
          <w:tcPr>
            <w:tcW w:w="286" w:type="pct"/>
            <w:tcBorders>
              <w:top w:val="nil"/>
              <w:left w:val="nil"/>
              <w:bottom w:val="nil"/>
              <w:right w:val="nil"/>
            </w:tcBorders>
            <w:shd w:val="clear" w:color="000000" w:fill="DDEBF7"/>
            <w:vAlign w:val="center"/>
            <w:hideMark/>
          </w:tcPr>
          <w:p w14:paraId="408A01BC"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b/>
                <w:bCs/>
                <w:color w:val="FF0000"/>
                <w:sz w:val="16"/>
                <w:szCs w:val="16"/>
              </w:rPr>
            </w:pPr>
            <w:r w:rsidRPr="00CA6CBB">
              <w:rPr>
                <w:rFonts w:ascii="Calibri" w:hAnsi="Calibri"/>
                <w:b/>
                <w:color w:val="FF0000"/>
                <w:sz w:val="16"/>
              </w:rPr>
              <w:t>01/11/2026</w:t>
            </w:r>
          </w:p>
        </w:tc>
        <w:tc>
          <w:tcPr>
            <w:tcW w:w="258" w:type="pct"/>
            <w:tcBorders>
              <w:top w:val="nil"/>
              <w:left w:val="nil"/>
              <w:bottom w:val="nil"/>
              <w:right w:val="nil"/>
            </w:tcBorders>
            <w:shd w:val="clear" w:color="000000" w:fill="DDEBF7"/>
            <w:vAlign w:val="center"/>
            <w:hideMark/>
          </w:tcPr>
          <w:p w14:paraId="09715E32"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4</w:t>
            </w:r>
          </w:p>
        </w:tc>
        <w:tc>
          <w:tcPr>
            <w:tcW w:w="207" w:type="pct"/>
            <w:tcBorders>
              <w:top w:val="nil"/>
              <w:left w:val="nil"/>
              <w:bottom w:val="nil"/>
              <w:right w:val="nil"/>
            </w:tcBorders>
            <w:shd w:val="clear" w:color="000000" w:fill="DDEBF7"/>
            <w:vAlign w:val="center"/>
            <w:hideMark/>
          </w:tcPr>
          <w:p w14:paraId="5D374FEC"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CPC (UE)</w:t>
            </w:r>
          </w:p>
        </w:tc>
        <w:tc>
          <w:tcPr>
            <w:tcW w:w="1465" w:type="pct"/>
            <w:tcBorders>
              <w:top w:val="nil"/>
              <w:left w:val="nil"/>
              <w:bottom w:val="nil"/>
              <w:right w:val="single" w:sz="8" w:space="0" w:color="auto"/>
            </w:tcBorders>
            <w:shd w:val="clear" w:color="000000" w:fill="DDEBF7"/>
            <w:vAlign w:val="center"/>
            <w:hideMark/>
          </w:tcPr>
          <w:p w14:paraId="2E01ED92"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Contribución de la UE (2021, 2022, 2023) + Contribución de la UE (2025-2026)</w:t>
            </w:r>
          </w:p>
        </w:tc>
      </w:tr>
      <w:tr w:rsidR="000F2ED2" w:rsidRPr="00CA6CBB" w14:paraId="364A6647" w14:textId="77777777" w:rsidTr="00814F99">
        <w:trPr>
          <w:trHeight w:val="290"/>
        </w:trPr>
        <w:tc>
          <w:tcPr>
            <w:tcW w:w="104" w:type="pct"/>
            <w:tcBorders>
              <w:top w:val="nil"/>
              <w:left w:val="single" w:sz="8" w:space="0" w:color="auto"/>
              <w:bottom w:val="nil"/>
              <w:right w:val="nil"/>
            </w:tcBorders>
            <w:vAlign w:val="center"/>
            <w:hideMark/>
          </w:tcPr>
          <w:p w14:paraId="7D31CCEA"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2</w:t>
            </w:r>
          </w:p>
        </w:tc>
        <w:tc>
          <w:tcPr>
            <w:tcW w:w="121" w:type="pct"/>
            <w:tcBorders>
              <w:top w:val="nil"/>
              <w:left w:val="nil"/>
              <w:bottom w:val="nil"/>
              <w:right w:val="nil"/>
            </w:tcBorders>
            <w:vAlign w:val="center"/>
            <w:hideMark/>
          </w:tcPr>
          <w:p w14:paraId="7A8F3094"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2</w:t>
            </w:r>
          </w:p>
        </w:tc>
        <w:tc>
          <w:tcPr>
            <w:tcW w:w="299" w:type="pct"/>
            <w:tcBorders>
              <w:top w:val="nil"/>
              <w:left w:val="nil"/>
              <w:bottom w:val="nil"/>
              <w:right w:val="nil"/>
            </w:tcBorders>
            <w:vAlign w:val="center"/>
            <w:hideMark/>
          </w:tcPr>
          <w:p w14:paraId="62479C78"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Módulo</w:t>
            </w:r>
          </w:p>
        </w:tc>
        <w:tc>
          <w:tcPr>
            <w:tcW w:w="1030" w:type="pct"/>
            <w:tcBorders>
              <w:top w:val="nil"/>
              <w:left w:val="nil"/>
              <w:bottom w:val="nil"/>
              <w:right w:val="nil"/>
            </w:tcBorders>
            <w:vAlign w:val="center"/>
            <w:hideMark/>
          </w:tcPr>
          <w:p w14:paraId="704A876D"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Mejoras del sistema dinámico de ayuda (generalización)</w:t>
            </w:r>
          </w:p>
        </w:tc>
        <w:tc>
          <w:tcPr>
            <w:tcW w:w="683" w:type="pct"/>
            <w:tcBorders>
              <w:top w:val="nil"/>
              <w:left w:val="nil"/>
              <w:bottom w:val="nil"/>
              <w:right w:val="nil"/>
            </w:tcBorders>
            <w:vAlign w:val="center"/>
            <w:hideMark/>
          </w:tcPr>
          <w:p w14:paraId="763A46A6"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No aplicable</w:t>
            </w:r>
          </w:p>
        </w:tc>
        <w:tc>
          <w:tcPr>
            <w:tcW w:w="252" w:type="pct"/>
            <w:tcBorders>
              <w:top w:val="nil"/>
              <w:left w:val="nil"/>
              <w:bottom w:val="nil"/>
              <w:right w:val="nil"/>
            </w:tcBorders>
            <w:vAlign w:val="center"/>
            <w:hideMark/>
          </w:tcPr>
          <w:p w14:paraId="34B5376E"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COMPLETA</w:t>
            </w:r>
          </w:p>
        </w:tc>
        <w:tc>
          <w:tcPr>
            <w:tcW w:w="296" w:type="pct"/>
            <w:tcBorders>
              <w:top w:val="nil"/>
              <w:left w:val="nil"/>
              <w:bottom w:val="nil"/>
              <w:right w:val="nil"/>
            </w:tcBorders>
            <w:vAlign w:val="center"/>
            <w:hideMark/>
          </w:tcPr>
          <w:p w14:paraId="271C4ACF"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01/04/2022</w:t>
            </w:r>
          </w:p>
        </w:tc>
        <w:tc>
          <w:tcPr>
            <w:tcW w:w="286" w:type="pct"/>
            <w:tcBorders>
              <w:top w:val="nil"/>
              <w:left w:val="nil"/>
              <w:bottom w:val="nil"/>
              <w:right w:val="nil"/>
            </w:tcBorders>
            <w:vAlign w:val="center"/>
            <w:hideMark/>
          </w:tcPr>
          <w:p w14:paraId="036EA47F"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31/03/2023</w:t>
            </w:r>
          </w:p>
        </w:tc>
        <w:tc>
          <w:tcPr>
            <w:tcW w:w="258" w:type="pct"/>
            <w:tcBorders>
              <w:top w:val="nil"/>
              <w:left w:val="nil"/>
              <w:bottom w:val="nil"/>
              <w:right w:val="nil"/>
            </w:tcBorders>
            <w:vAlign w:val="center"/>
            <w:hideMark/>
          </w:tcPr>
          <w:p w14:paraId="46A93F94"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3</w:t>
            </w:r>
          </w:p>
        </w:tc>
        <w:tc>
          <w:tcPr>
            <w:tcW w:w="207" w:type="pct"/>
            <w:tcBorders>
              <w:top w:val="nil"/>
              <w:left w:val="nil"/>
              <w:bottom w:val="nil"/>
              <w:right w:val="nil"/>
            </w:tcBorders>
            <w:vAlign w:val="center"/>
            <w:hideMark/>
          </w:tcPr>
          <w:p w14:paraId="65F8E761"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CPC (UE)</w:t>
            </w:r>
          </w:p>
        </w:tc>
        <w:tc>
          <w:tcPr>
            <w:tcW w:w="1465" w:type="pct"/>
            <w:tcBorders>
              <w:top w:val="nil"/>
              <w:left w:val="nil"/>
              <w:bottom w:val="nil"/>
              <w:right w:val="single" w:sz="8" w:space="0" w:color="auto"/>
            </w:tcBorders>
            <w:vAlign w:val="center"/>
            <w:hideMark/>
          </w:tcPr>
          <w:p w14:paraId="18D1738B"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 </w:t>
            </w:r>
          </w:p>
        </w:tc>
      </w:tr>
      <w:tr w:rsidR="000F2ED2" w:rsidRPr="00CA6CBB" w14:paraId="646D2A23" w14:textId="77777777" w:rsidTr="00814F99">
        <w:trPr>
          <w:trHeight w:val="290"/>
        </w:trPr>
        <w:tc>
          <w:tcPr>
            <w:tcW w:w="104" w:type="pct"/>
            <w:tcBorders>
              <w:top w:val="nil"/>
              <w:left w:val="single" w:sz="8" w:space="0" w:color="auto"/>
              <w:bottom w:val="nil"/>
              <w:right w:val="nil"/>
            </w:tcBorders>
            <w:vAlign w:val="center"/>
            <w:hideMark/>
          </w:tcPr>
          <w:p w14:paraId="5F426FE8"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lastRenderedPageBreak/>
              <w:t>2</w:t>
            </w:r>
          </w:p>
        </w:tc>
        <w:tc>
          <w:tcPr>
            <w:tcW w:w="121" w:type="pct"/>
            <w:tcBorders>
              <w:top w:val="nil"/>
              <w:left w:val="nil"/>
              <w:bottom w:val="nil"/>
              <w:right w:val="nil"/>
            </w:tcBorders>
            <w:vAlign w:val="center"/>
            <w:hideMark/>
          </w:tcPr>
          <w:p w14:paraId="12CC0761"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1</w:t>
            </w:r>
          </w:p>
        </w:tc>
        <w:tc>
          <w:tcPr>
            <w:tcW w:w="299" w:type="pct"/>
            <w:tcBorders>
              <w:top w:val="nil"/>
              <w:left w:val="nil"/>
              <w:bottom w:val="nil"/>
              <w:right w:val="nil"/>
            </w:tcBorders>
            <w:vAlign w:val="center"/>
            <w:hideMark/>
          </w:tcPr>
          <w:p w14:paraId="3843BD86"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Tarea</w:t>
            </w:r>
          </w:p>
        </w:tc>
        <w:tc>
          <w:tcPr>
            <w:tcW w:w="1030" w:type="pct"/>
            <w:tcBorders>
              <w:top w:val="nil"/>
              <w:left w:val="nil"/>
              <w:bottom w:val="nil"/>
              <w:right w:val="nil"/>
            </w:tcBorders>
            <w:vAlign w:val="center"/>
            <w:hideMark/>
          </w:tcPr>
          <w:p w14:paraId="19CA9ABE"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Sesión de formación/taller de buques (primera sesión)</w:t>
            </w:r>
          </w:p>
        </w:tc>
        <w:tc>
          <w:tcPr>
            <w:tcW w:w="683" w:type="pct"/>
            <w:tcBorders>
              <w:top w:val="nil"/>
              <w:left w:val="nil"/>
              <w:bottom w:val="nil"/>
              <w:right w:val="nil"/>
            </w:tcBorders>
            <w:vAlign w:val="center"/>
            <w:hideMark/>
          </w:tcPr>
          <w:p w14:paraId="0C9F356E"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No aplicable</w:t>
            </w:r>
          </w:p>
        </w:tc>
        <w:tc>
          <w:tcPr>
            <w:tcW w:w="252" w:type="pct"/>
            <w:tcBorders>
              <w:top w:val="nil"/>
              <w:left w:val="nil"/>
              <w:bottom w:val="nil"/>
              <w:right w:val="nil"/>
            </w:tcBorders>
            <w:vAlign w:val="center"/>
            <w:hideMark/>
          </w:tcPr>
          <w:p w14:paraId="52D17E99"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COMPLETA</w:t>
            </w:r>
          </w:p>
        </w:tc>
        <w:tc>
          <w:tcPr>
            <w:tcW w:w="296" w:type="pct"/>
            <w:tcBorders>
              <w:top w:val="nil"/>
              <w:left w:val="nil"/>
              <w:bottom w:val="nil"/>
              <w:right w:val="nil"/>
            </w:tcBorders>
            <w:vAlign w:val="center"/>
            <w:hideMark/>
          </w:tcPr>
          <w:p w14:paraId="49F291EB"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29/04/2024</w:t>
            </w:r>
          </w:p>
        </w:tc>
        <w:tc>
          <w:tcPr>
            <w:tcW w:w="286" w:type="pct"/>
            <w:tcBorders>
              <w:top w:val="nil"/>
              <w:left w:val="nil"/>
              <w:bottom w:val="nil"/>
              <w:right w:val="nil"/>
            </w:tcBorders>
            <w:vAlign w:val="center"/>
            <w:hideMark/>
          </w:tcPr>
          <w:p w14:paraId="79D4B225"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p>
        </w:tc>
        <w:tc>
          <w:tcPr>
            <w:tcW w:w="258" w:type="pct"/>
            <w:tcBorders>
              <w:top w:val="nil"/>
              <w:left w:val="nil"/>
              <w:bottom w:val="nil"/>
              <w:right w:val="nil"/>
            </w:tcBorders>
            <w:vAlign w:val="center"/>
            <w:hideMark/>
          </w:tcPr>
          <w:p w14:paraId="6FC3241C"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4</w:t>
            </w:r>
          </w:p>
        </w:tc>
        <w:tc>
          <w:tcPr>
            <w:tcW w:w="207" w:type="pct"/>
            <w:tcBorders>
              <w:top w:val="nil"/>
              <w:left w:val="nil"/>
              <w:bottom w:val="nil"/>
              <w:right w:val="nil"/>
            </w:tcBorders>
            <w:vAlign w:val="center"/>
            <w:hideMark/>
          </w:tcPr>
          <w:p w14:paraId="2C4D2AF4"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COM-19</w:t>
            </w:r>
          </w:p>
        </w:tc>
        <w:tc>
          <w:tcPr>
            <w:tcW w:w="1465" w:type="pct"/>
            <w:tcBorders>
              <w:top w:val="nil"/>
              <w:left w:val="nil"/>
              <w:bottom w:val="nil"/>
              <w:right w:val="single" w:sz="8" w:space="0" w:color="auto"/>
            </w:tcBorders>
            <w:vAlign w:val="center"/>
            <w:hideMark/>
          </w:tcPr>
          <w:p w14:paraId="277591F5"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Pruebas preliminares de los usuarios de IOMS en el módulo de buques</w:t>
            </w:r>
          </w:p>
        </w:tc>
      </w:tr>
      <w:tr w:rsidR="000F2ED2" w:rsidRPr="00CA6CBB" w14:paraId="29CE1E6A" w14:textId="77777777" w:rsidTr="00814F99">
        <w:trPr>
          <w:trHeight w:val="290"/>
        </w:trPr>
        <w:tc>
          <w:tcPr>
            <w:tcW w:w="104" w:type="pct"/>
            <w:tcBorders>
              <w:top w:val="nil"/>
              <w:left w:val="single" w:sz="8" w:space="0" w:color="auto"/>
              <w:bottom w:val="nil"/>
              <w:right w:val="nil"/>
            </w:tcBorders>
            <w:vAlign w:val="center"/>
            <w:hideMark/>
          </w:tcPr>
          <w:p w14:paraId="4AF65B27"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2</w:t>
            </w:r>
          </w:p>
        </w:tc>
        <w:tc>
          <w:tcPr>
            <w:tcW w:w="121" w:type="pct"/>
            <w:tcBorders>
              <w:top w:val="nil"/>
              <w:left w:val="nil"/>
              <w:bottom w:val="nil"/>
              <w:right w:val="nil"/>
            </w:tcBorders>
            <w:vAlign w:val="center"/>
            <w:hideMark/>
          </w:tcPr>
          <w:p w14:paraId="6813CA39"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1</w:t>
            </w:r>
          </w:p>
        </w:tc>
        <w:tc>
          <w:tcPr>
            <w:tcW w:w="299" w:type="pct"/>
            <w:tcBorders>
              <w:top w:val="nil"/>
              <w:left w:val="nil"/>
              <w:bottom w:val="nil"/>
              <w:right w:val="nil"/>
            </w:tcBorders>
            <w:vAlign w:val="center"/>
            <w:hideMark/>
          </w:tcPr>
          <w:p w14:paraId="5A41CB7D"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Tarea</w:t>
            </w:r>
          </w:p>
        </w:tc>
        <w:tc>
          <w:tcPr>
            <w:tcW w:w="1030" w:type="pct"/>
            <w:tcBorders>
              <w:top w:val="nil"/>
              <w:left w:val="nil"/>
              <w:bottom w:val="nil"/>
              <w:right w:val="nil"/>
            </w:tcBorders>
            <w:vAlign w:val="center"/>
            <w:hideMark/>
          </w:tcPr>
          <w:p w14:paraId="292871FF"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Sesión de formación/taller de buques (segunda sesión)</w:t>
            </w:r>
          </w:p>
        </w:tc>
        <w:tc>
          <w:tcPr>
            <w:tcW w:w="683" w:type="pct"/>
            <w:tcBorders>
              <w:top w:val="nil"/>
              <w:left w:val="nil"/>
              <w:bottom w:val="nil"/>
              <w:right w:val="nil"/>
            </w:tcBorders>
            <w:vAlign w:val="center"/>
            <w:hideMark/>
          </w:tcPr>
          <w:p w14:paraId="0FAA1995"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No aplicable</w:t>
            </w:r>
          </w:p>
        </w:tc>
        <w:tc>
          <w:tcPr>
            <w:tcW w:w="252" w:type="pct"/>
            <w:tcBorders>
              <w:top w:val="nil"/>
              <w:left w:val="nil"/>
              <w:bottom w:val="nil"/>
              <w:right w:val="nil"/>
            </w:tcBorders>
            <w:vAlign w:val="center"/>
            <w:hideMark/>
          </w:tcPr>
          <w:p w14:paraId="0BA429B8"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COMPLETA</w:t>
            </w:r>
          </w:p>
        </w:tc>
        <w:tc>
          <w:tcPr>
            <w:tcW w:w="296" w:type="pct"/>
            <w:tcBorders>
              <w:top w:val="nil"/>
              <w:left w:val="nil"/>
              <w:bottom w:val="nil"/>
              <w:right w:val="nil"/>
            </w:tcBorders>
            <w:vAlign w:val="center"/>
            <w:hideMark/>
          </w:tcPr>
          <w:p w14:paraId="33E14159"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09/10/2024</w:t>
            </w:r>
          </w:p>
        </w:tc>
        <w:tc>
          <w:tcPr>
            <w:tcW w:w="286" w:type="pct"/>
            <w:tcBorders>
              <w:top w:val="nil"/>
              <w:left w:val="nil"/>
              <w:bottom w:val="nil"/>
              <w:right w:val="nil"/>
            </w:tcBorders>
            <w:vAlign w:val="center"/>
            <w:hideMark/>
          </w:tcPr>
          <w:p w14:paraId="6394D470"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p>
        </w:tc>
        <w:tc>
          <w:tcPr>
            <w:tcW w:w="258" w:type="pct"/>
            <w:tcBorders>
              <w:top w:val="nil"/>
              <w:left w:val="nil"/>
              <w:bottom w:val="nil"/>
              <w:right w:val="nil"/>
            </w:tcBorders>
            <w:vAlign w:val="center"/>
            <w:hideMark/>
          </w:tcPr>
          <w:p w14:paraId="5FA6B61C"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4</w:t>
            </w:r>
          </w:p>
        </w:tc>
        <w:tc>
          <w:tcPr>
            <w:tcW w:w="207" w:type="pct"/>
            <w:tcBorders>
              <w:top w:val="nil"/>
              <w:left w:val="nil"/>
              <w:bottom w:val="nil"/>
              <w:right w:val="nil"/>
            </w:tcBorders>
            <w:vAlign w:val="center"/>
            <w:hideMark/>
          </w:tcPr>
          <w:p w14:paraId="19A53FD1"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COM-19</w:t>
            </w:r>
          </w:p>
        </w:tc>
        <w:tc>
          <w:tcPr>
            <w:tcW w:w="1465" w:type="pct"/>
            <w:tcBorders>
              <w:top w:val="nil"/>
              <w:left w:val="nil"/>
              <w:bottom w:val="nil"/>
              <w:right w:val="single" w:sz="8" w:space="0" w:color="auto"/>
            </w:tcBorders>
            <w:vAlign w:val="center"/>
            <w:hideMark/>
          </w:tcPr>
          <w:p w14:paraId="738E0120"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Pruebas de continuación de los usuarios de IOMS en el módulo de buques</w:t>
            </w:r>
          </w:p>
        </w:tc>
      </w:tr>
      <w:tr w:rsidR="000F2ED2" w:rsidRPr="00CA6CBB" w14:paraId="28F41AEE" w14:textId="77777777" w:rsidTr="00814F99">
        <w:trPr>
          <w:trHeight w:val="300"/>
        </w:trPr>
        <w:tc>
          <w:tcPr>
            <w:tcW w:w="104" w:type="pct"/>
            <w:tcBorders>
              <w:top w:val="nil"/>
              <w:left w:val="single" w:sz="8" w:space="0" w:color="auto"/>
              <w:bottom w:val="single" w:sz="8" w:space="0" w:color="auto"/>
              <w:right w:val="nil"/>
            </w:tcBorders>
            <w:shd w:val="clear" w:color="000000" w:fill="DDEBF7"/>
            <w:vAlign w:val="center"/>
            <w:hideMark/>
          </w:tcPr>
          <w:p w14:paraId="637190A9"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2</w:t>
            </w:r>
          </w:p>
        </w:tc>
        <w:tc>
          <w:tcPr>
            <w:tcW w:w="121" w:type="pct"/>
            <w:tcBorders>
              <w:top w:val="nil"/>
              <w:left w:val="nil"/>
              <w:bottom w:val="single" w:sz="8" w:space="0" w:color="auto"/>
              <w:right w:val="nil"/>
            </w:tcBorders>
            <w:shd w:val="clear" w:color="000000" w:fill="DDEBF7"/>
            <w:vAlign w:val="center"/>
            <w:hideMark/>
          </w:tcPr>
          <w:p w14:paraId="16C7A087"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1</w:t>
            </w:r>
          </w:p>
        </w:tc>
        <w:tc>
          <w:tcPr>
            <w:tcW w:w="299" w:type="pct"/>
            <w:tcBorders>
              <w:top w:val="nil"/>
              <w:left w:val="nil"/>
              <w:bottom w:val="single" w:sz="8" w:space="0" w:color="auto"/>
              <w:right w:val="nil"/>
            </w:tcBorders>
            <w:shd w:val="clear" w:color="000000" w:fill="DDEBF7"/>
            <w:vAlign w:val="center"/>
            <w:hideMark/>
          </w:tcPr>
          <w:p w14:paraId="03661B8F"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Tarea</w:t>
            </w:r>
          </w:p>
        </w:tc>
        <w:tc>
          <w:tcPr>
            <w:tcW w:w="1030" w:type="pct"/>
            <w:tcBorders>
              <w:top w:val="nil"/>
              <w:left w:val="nil"/>
              <w:bottom w:val="single" w:sz="8" w:space="0" w:color="auto"/>
              <w:right w:val="nil"/>
            </w:tcBorders>
            <w:shd w:val="clear" w:color="000000" w:fill="DDEBF7"/>
            <w:vAlign w:val="center"/>
            <w:hideMark/>
          </w:tcPr>
          <w:p w14:paraId="7F3BFF7B"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Mantenimiento (incluye mejora y corrección de errores)</w:t>
            </w:r>
          </w:p>
        </w:tc>
        <w:tc>
          <w:tcPr>
            <w:tcW w:w="683" w:type="pct"/>
            <w:tcBorders>
              <w:top w:val="nil"/>
              <w:left w:val="nil"/>
              <w:bottom w:val="single" w:sz="8" w:space="0" w:color="auto"/>
              <w:right w:val="nil"/>
            </w:tcBorders>
            <w:shd w:val="clear" w:color="000000" w:fill="DDEBF7"/>
            <w:vAlign w:val="center"/>
            <w:hideMark/>
          </w:tcPr>
          <w:p w14:paraId="3BC51D47"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No aplicable</w:t>
            </w:r>
          </w:p>
        </w:tc>
        <w:tc>
          <w:tcPr>
            <w:tcW w:w="252" w:type="pct"/>
            <w:tcBorders>
              <w:top w:val="nil"/>
              <w:left w:val="nil"/>
              <w:bottom w:val="single" w:sz="8" w:space="0" w:color="auto"/>
              <w:right w:val="nil"/>
            </w:tcBorders>
            <w:shd w:val="clear" w:color="000000" w:fill="DDEBF7"/>
            <w:vAlign w:val="center"/>
            <w:hideMark/>
          </w:tcPr>
          <w:p w14:paraId="1400EF8F"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Continuación</w:t>
            </w:r>
          </w:p>
        </w:tc>
        <w:tc>
          <w:tcPr>
            <w:tcW w:w="296" w:type="pct"/>
            <w:tcBorders>
              <w:top w:val="nil"/>
              <w:left w:val="nil"/>
              <w:bottom w:val="single" w:sz="8" w:space="0" w:color="auto"/>
              <w:right w:val="nil"/>
            </w:tcBorders>
            <w:shd w:val="clear" w:color="000000" w:fill="DDEBF7"/>
            <w:vAlign w:val="center"/>
            <w:hideMark/>
          </w:tcPr>
          <w:p w14:paraId="02F2EE5C"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01/06/2020</w:t>
            </w:r>
          </w:p>
        </w:tc>
        <w:tc>
          <w:tcPr>
            <w:tcW w:w="286" w:type="pct"/>
            <w:tcBorders>
              <w:top w:val="nil"/>
              <w:left w:val="nil"/>
              <w:bottom w:val="single" w:sz="8" w:space="0" w:color="auto"/>
              <w:right w:val="nil"/>
            </w:tcBorders>
            <w:shd w:val="clear" w:color="000000" w:fill="DDEBF7"/>
            <w:vAlign w:val="center"/>
            <w:hideMark/>
          </w:tcPr>
          <w:p w14:paraId="3CAEF5BF"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No aplicable</w:t>
            </w:r>
          </w:p>
        </w:tc>
        <w:tc>
          <w:tcPr>
            <w:tcW w:w="258" w:type="pct"/>
            <w:tcBorders>
              <w:top w:val="nil"/>
              <w:left w:val="nil"/>
              <w:bottom w:val="single" w:sz="8" w:space="0" w:color="auto"/>
              <w:right w:val="nil"/>
            </w:tcBorders>
            <w:shd w:val="clear" w:color="000000" w:fill="DDEBF7"/>
            <w:vAlign w:val="center"/>
            <w:hideMark/>
          </w:tcPr>
          <w:p w14:paraId="1F166E51"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No aplicable</w:t>
            </w:r>
          </w:p>
        </w:tc>
        <w:tc>
          <w:tcPr>
            <w:tcW w:w="207" w:type="pct"/>
            <w:tcBorders>
              <w:top w:val="nil"/>
              <w:left w:val="nil"/>
              <w:bottom w:val="single" w:sz="8" w:space="0" w:color="auto"/>
              <w:right w:val="nil"/>
            </w:tcBorders>
            <w:shd w:val="clear" w:color="000000" w:fill="DDEBF7"/>
            <w:vAlign w:val="center"/>
            <w:hideMark/>
          </w:tcPr>
          <w:p w14:paraId="3A92E04F"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COM-19</w:t>
            </w:r>
          </w:p>
        </w:tc>
        <w:tc>
          <w:tcPr>
            <w:tcW w:w="1465" w:type="pct"/>
            <w:tcBorders>
              <w:top w:val="nil"/>
              <w:left w:val="nil"/>
              <w:bottom w:val="single" w:sz="8" w:space="0" w:color="auto"/>
              <w:right w:val="single" w:sz="8" w:space="0" w:color="auto"/>
            </w:tcBorders>
            <w:shd w:val="clear" w:color="000000" w:fill="DDEBF7"/>
            <w:vAlign w:val="center"/>
            <w:hideMark/>
          </w:tcPr>
          <w:p w14:paraId="2FB40A19"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Tarea de mantenimiento</w:t>
            </w:r>
          </w:p>
        </w:tc>
      </w:tr>
      <w:tr w:rsidR="000F2ED2" w:rsidRPr="00CA6CBB" w14:paraId="29ACFE40" w14:textId="77777777" w:rsidTr="00814F99">
        <w:trPr>
          <w:trHeight w:val="290"/>
        </w:trPr>
        <w:tc>
          <w:tcPr>
            <w:tcW w:w="104" w:type="pct"/>
            <w:tcBorders>
              <w:top w:val="nil"/>
              <w:left w:val="single" w:sz="8" w:space="0" w:color="auto"/>
              <w:bottom w:val="nil"/>
              <w:right w:val="nil"/>
            </w:tcBorders>
            <w:vAlign w:val="center"/>
            <w:hideMark/>
          </w:tcPr>
          <w:p w14:paraId="37B9D8A1"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3</w:t>
            </w:r>
          </w:p>
        </w:tc>
        <w:tc>
          <w:tcPr>
            <w:tcW w:w="121" w:type="pct"/>
            <w:tcBorders>
              <w:top w:val="nil"/>
              <w:left w:val="nil"/>
              <w:bottom w:val="nil"/>
              <w:right w:val="nil"/>
            </w:tcBorders>
            <w:vAlign w:val="center"/>
            <w:hideMark/>
          </w:tcPr>
          <w:p w14:paraId="6FB86CDB"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1</w:t>
            </w:r>
          </w:p>
        </w:tc>
        <w:tc>
          <w:tcPr>
            <w:tcW w:w="299" w:type="pct"/>
            <w:tcBorders>
              <w:top w:val="nil"/>
              <w:left w:val="nil"/>
              <w:bottom w:val="nil"/>
              <w:right w:val="nil"/>
            </w:tcBorders>
            <w:vAlign w:val="center"/>
            <w:hideMark/>
          </w:tcPr>
          <w:p w14:paraId="1134FBA2"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Módulo</w:t>
            </w:r>
          </w:p>
        </w:tc>
        <w:tc>
          <w:tcPr>
            <w:tcW w:w="1030" w:type="pct"/>
            <w:tcBorders>
              <w:top w:val="nil"/>
              <w:left w:val="nil"/>
              <w:bottom w:val="nil"/>
              <w:right w:val="nil"/>
            </w:tcBorders>
            <w:vAlign w:val="center"/>
            <w:hideMark/>
          </w:tcPr>
          <w:p w14:paraId="38A622E2"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Gestor de formularios</w:t>
            </w:r>
          </w:p>
        </w:tc>
        <w:tc>
          <w:tcPr>
            <w:tcW w:w="683" w:type="pct"/>
            <w:tcBorders>
              <w:top w:val="nil"/>
              <w:left w:val="nil"/>
              <w:bottom w:val="nil"/>
              <w:right w:val="nil"/>
            </w:tcBorders>
            <w:vAlign w:val="center"/>
            <w:hideMark/>
          </w:tcPr>
          <w:p w14:paraId="5895184F"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Módulo para cargar y gestionar todos los formularios ICCAT (ST, CP, TG)</w:t>
            </w:r>
          </w:p>
        </w:tc>
        <w:tc>
          <w:tcPr>
            <w:tcW w:w="252" w:type="pct"/>
            <w:tcBorders>
              <w:top w:val="nil"/>
              <w:left w:val="nil"/>
              <w:bottom w:val="nil"/>
              <w:right w:val="nil"/>
            </w:tcBorders>
            <w:vAlign w:val="center"/>
            <w:hideMark/>
          </w:tcPr>
          <w:p w14:paraId="6AD2713A"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COMPLETA</w:t>
            </w:r>
          </w:p>
        </w:tc>
        <w:tc>
          <w:tcPr>
            <w:tcW w:w="296" w:type="pct"/>
            <w:tcBorders>
              <w:top w:val="nil"/>
              <w:left w:val="nil"/>
              <w:bottom w:val="nil"/>
              <w:right w:val="nil"/>
            </w:tcBorders>
            <w:vAlign w:val="center"/>
            <w:hideMark/>
          </w:tcPr>
          <w:p w14:paraId="264EB8CE"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01/07/2023</w:t>
            </w:r>
          </w:p>
        </w:tc>
        <w:tc>
          <w:tcPr>
            <w:tcW w:w="286" w:type="pct"/>
            <w:tcBorders>
              <w:top w:val="nil"/>
              <w:left w:val="nil"/>
              <w:bottom w:val="nil"/>
              <w:right w:val="nil"/>
            </w:tcBorders>
            <w:vAlign w:val="center"/>
            <w:hideMark/>
          </w:tcPr>
          <w:p w14:paraId="35147EB1"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01/08/2025</w:t>
            </w:r>
          </w:p>
        </w:tc>
        <w:tc>
          <w:tcPr>
            <w:tcW w:w="258" w:type="pct"/>
            <w:tcBorders>
              <w:top w:val="nil"/>
              <w:left w:val="nil"/>
              <w:bottom w:val="nil"/>
              <w:right w:val="nil"/>
            </w:tcBorders>
            <w:vAlign w:val="center"/>
            <w:hideMark/>
          </w:tcPr>
          <w:p w14:paraId="6E4D2D8E"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4</w:t>
            </w:r>
          </w:p>
        </w:tc>
        <w:tc>
          <w:tcPr>
            <w:tcW w:w="207" w:type="pct"/>
            <w:tcBorders>
              <w:top w:val="nil"/>
              <w:left w:val="nil"/>
              <w:bottom w:val="nil"/>
              <w:right w:val="nil"/>
            </w:tcBorders>
            <w:vAlign w:val="center"/>
            <w:hideMark/>
          </w:tcPr>
          <w:p w14:paraId="21D997F3"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COM-21</w:t>
            </w:r>
          </w:p>
        </w:tc>
        <w:tc>
          <w:tcPr>
            <w:tcW w:w="1465" w:type="pct"/>
            <w:tcBorders>
              <w:top w:val="nil"/>
              <w:left w:val="nil"/>
              <w:bottom w:val="nil"/>
              <w:right w:val="single" w:sz="8" w:space="0" w:color="auto"/>
            </w:tcBorders>
            <w:vAlign w:val="center"/>
            <w:hideMark/>
          </w:tcPr>
          <w:p w14:paraId="33A70664"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Incluye las mejoras propuestas durante los talleres</w:t>
            </w:r>
          </w:p>
        </w:tc>
      </w:tr>
      <w:tr w:rsidR="000F2ED2" w:rsidRPr="00CA6CBB" w14:paraId="6196AC40" w14:textId="77777777" w:rsidTr="00814F99">
        <w:trPr>
          <w:trHeight w:val="290"/>
        </w:trPr>
        <w:tc>
          <w:tcPr>
            <w:tcW w:w="104" w:type="pct"/>
            <w:tcBorders>
              <w:top w:val="nil"/>
              <w:left w:val="single" w:sz="8" w:space="0" w:color="auto"/>
              <w:bottom w:val="nil"/>
              <w:right w:val="nil"/>
            </w:tcBorders>
            <w:vAlign w:val="center"/>
            <w:hideMark/>
          </w:tcPr>
          <w:p w14:paraId="6CA2A182"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3</w:t>
            </w:r>
          </w:p>
        </w:tc>
        <w:tc>
          <w:tcPr>
            <w:tcW w:w="121" w:type="pct"/>
            <w:tcBorders>
              <w:top w:val="nil"/>
              <w:left w:val="nil"/>
              <w:bottom w:val="nil"/>
              <w:right w:val="nil"/>
            </w:tcBorders>
            <w:vAlign w:val="center"/>
            <w:hideMark/>
          </w:tcPr>
          <w:p w14:paraId="361AE446"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1</w:t>
            </w:r>
          </w:p>
        </w:tc>
        <w:tc>
          <w:tcPr>
            <w:tcW w:w="299" w:type="pct"/>
            <w:tcBorders>
              <w:top w:val="nil"/>
              <w:left w:val="nil"/>
              <w:bottom w:val="nil"/>
              <w:right w:val="nil"/>
            </w:tcBorders>
            <w:vAlign w:val="center"/>
            <w:hideMark/>
          </w:tcPr>
          <w:p w14:paraId="40B42892"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Tarea</w:t>
            </w:r>
          </w:p>
        </w:tc>
        <w:tc>
          <w:tcPr>
            <w:tcW w:w="1030" w:type="pct"/>
            <w:tcBorders>
              <w:top w:val="nil"/>
              <w:left w:val="nil"/>
              <w:bottom w:val="nil"/>
              <w:right w:val="nil"/>
            </w:tcBorders>
            <w:vAlign w:val="center"/>
            <w:hideMark/>
          </w:tcPr>
          <w:p w14:paraId="5A854C65"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Sesiones del taller del Gestor de formularios (primera sesión)</w:t>
            </w:r>
          </w:p>
        </w:tc>
        <w:tc>
          <w:tcPr>
            <w:tcW w:w="683" w:type="pct"/>
            <w:tcBorders>
              <w:top w:val="nil"/>
              <w:left w:val="nil"/>
              <w:bottom w:val="nil"/>
              <w:right w:val="nil"/>
            </w:tcBorders>
            <w:vAlign w:val="center"/>
            <w:hideMark/>
          </w:tcPr>
          <w:p w14:paraId="46D092FC"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No aplicable</w:t>
            </w:r>
          </w:p>
        </w:tc>
        <w:tc>
          <w:tcPr>
            <w:tcW w:w="252" w:type="pct"/>
            <w:tcBorders>
              <w:top w:val="nil"/>
              <w:left w:val="nil"/>
              <w:bottom w:val="nil"/>
              <w:right w:val="nil"/>
            </w:tcBorders>
            <w:vAlign w:val="center"/>
            <w:hideMark/>
          </w:tcPr>
          <w:p w14:paraId="4AA3B4A6"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COMPLETA</w:t>
            </w:r>
          </w:p>
        </w:tc>
        <w:tc>
          <w:tcPr>
            <w:tcW w:w="296" w:type="pct"/>
            <w:tcBorders>
              <w:top w:val="nil"/>
              <w:left w:val="nil"/>
              <w:bottom w:val="nil"/>
              <w:right w:val="nil"/>
            </w:tcBorders>
            <w:vAlign w:val="center"/>
            <w:hideMark/>
          </w:tcPr>
          <w:p w14:paraId="05561BC0"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04/07/2024</w:t>
            </w:r>
          </w:p>
        </w:tc>
        <w:tc>
          <w:tcPr>
            <w:tcW w:w="286" w:type="pct"/>
            <w:tcBorders>
              <w:top w:val="nil"/>
              <w:left w:val="nil"/>
              <w:bottom w:val="nil"/>
              <w:right w:val="nil"/>
            </w:tcBorders>
            <w:vAlign w:val="center"/>
            <w:hideMark/>
          </w:tcPr>
          <w:p w14:paraId="53734740"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Por determinar</w:t>
            </w:r>
          </w:p>
        </w:tc>
        <w:tc>
          <w:tcPr>
            <w:tcW w:w="258" w:type="pct"/>
            <w:tcBorders>
              <w:top w:val="nil"/>
              <w:left w:val="nil"/>
              <w:bottom w:val="nil"/>
              <w:right w:val="nil"/>
            </w:tcBorders>
            <w:vAlign w:val="center"/>
            <w:hideMark/>
          </w:tcPr>
          <w:p w14:paraId="08814C6D"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4</w:t>
            </w:r>
          </w:p>
        </w:tc>
        <w:tc>
          <w:tcPr>
            <w:tcW w:w="207" w:type="pct"/>
            <w:tcBorders>
              <w:top w:val="nil"/>
              <w:left w:val="nil"/>
              <w:bottom w:val="nil"/>
              <w:right w:val="nil"/>
            </w:tcBorders>
            <w:vAlign w:val="center"/>
            <w:hideMark/>
          </w:tcPr>
          <w:p w14:paraId="635DB3D5"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COM-21</w:t>
            </w:r>
          </w:p>
        </w:tc>
        <w:tc>
          <w:tcPr>
            <w:tcW w:w="1465" w:type="pct"/>
            <w:tcBorders>
              <w:top w:val="nil"/>
              <w:left w:val="nil"/>
              <w:bottom w:val="nil"/>
              <w:right w:val="single" w:sz="8" w:space="0" w:color="auto"/>
            </w:tcBorders>
            <w:vAlign w:val="center"/>
            <w:hideMark/>
          </w:tcPr>
          <w:p w14:paraId="1CC8E219"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 </w:t>
            </w:r>
          </w:p>
        </w:tc>
      </w:tr>
      <w:tr w:rsidR="000F2ED2" w:rsidRPr="00CA6CBB" w14:paraId="30FBC55E" w14:textId="77777777" w:rsidTr="00814F99">
        <w:trPr>
          <w:trHeight w:val="290"/>
        </w:trPr>
        <w:tc>
          <w:tcPr>
            <w:tcW w:w="104" w:type="pct"/>
            <w:tcBorders>
              <w:top w:val="nil"/>
              <w:left w:val="single" w:sz="8" w:space="0" w:color="auto"/>
              <w:bottom w:val="nil"/>
              <w:right w:val="nil"/>
            </w:tcBorders>
            <w:vAlign w:val="center"/>
            <w:hideMark/>
          </w:tcPr>
          <w:p w14:paraId="6C5B04EA"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b/>
                <w:bCs/>
                <w:color w:val="FF0000"/>
                <w:sz w:val="16"/>
                <w:szCs w:val="16"/>
              </w:rPr>
            </w:pPr>
            <w:r w:rsidRPr="00CA6CBB">
              <w:rPr>
                <w:rFonts w:ascii="Calibri" w:hAnsi="Calibri"/>
                <w:b/>
                <w:color w:val="FF0000"/>
                <w:sz w:val="16"/>
              </w:rPr>
              <w:t>3</w:t>
            </w:r>
          </w:p>
        </w:tc>
        <w:tc>
          <w:tcPr>
            <w:tcW w:w="121" w:type="pct"/>
            <w:tcBorders>
              <w:top w:val="nil"/>
              <w:left w:val="nil"/>
              <w:bottom w:val="nil"/>
              <w:right w:val="nil"/>
            </w:tcBorders>
            <w:vAlign w:val="center"/>
            <w:hideMark/>
          </w:tcPr>
          <w:p w14:paraId="7AD873E6"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1</w:t>
            </w:r>
          </w:p>
        </w:tc>
        <w:tc>
          <w:tcPr>
            <w:tcW w:w="299" w:type="pct"/>
            <w:tcBorders>
              <w:top w:val="nil"/>
              <w:left w:val="nil"/>
              <w:bottom w:val="nil"/>
              <w:right w:val="nil"/>
            </w:tcBorders>
            <w:vAlign w:val="center"/>
            <w:hideMark/>
          </w:tcPr>
          <w:p w14:paraId="5CE33829"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Tarea</w:t>
            </w:r>
          </w:p>
        </w:tc>
        <w:tc>
          <w:tcPr>
            <w:tcW w:w="1030" w:type="pct"/>
            <w:tcBorders>
              <w:top w:val="nil"/>
              <w:left w:val="nil"/>
              <w:bottom w:val="nil"/>
              <w:right w:val="nil"/>
            </w:tcBorders>
            <w:vAlign w:val="center"/>
            <w:hideMark/>
          </w:tcPr>
          <w:p w14:paraId="13EE759B"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Sesión del taller del Gestor de formularios (segunda sesión)</w:t>
            </w:r>
          </w:p>
        </w:tc>
        <w:tc>
          <w:tcPr>
            <w:tcW w:w="683" w:type="pct"/>
            <w:tcBorders>
              <w:top w:val="nil"/>
              <w:left w:val="nil"/>
              <w:bottom w:val="nil"/>
              <w:right w:val="nil"/>
            </w:tcBorders>
            <w:vAlign w:val="center"/>
            <w:hideMark/>
          </w:tcPr>
          <w:p w14:paraId="3E2286B0"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No aplicable</w:t>
            </w:r>
          </w:p>
        </w:tc>
        <w:tc>
          <w:tcPr>
            <w:tcW w:w="252" w:type="pct"/>
            <w:tcBorders>
              <w:top w:val="nil"/>
              <w:left w:val="nil"/>
              <w:bottom w:val="nil"/>
              <w:right w:val="nil"/>
            </w:tcBorders>
            <w:vAlign w:val="center"/>
            <w:hideMark/>
          </w:tcPr>
          <w:p w14:paraId="4D95DD70"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COMPLETA</w:t>
            </w:r>
          </w:p>
        </w:tc>
        <w:tc>
          <w:tcPr>
            <w:tcW w:w="296" w:type="pct"/>
            <w:tcBorders>
              <w:top w:val="nil"/>
              <w:left w:val="nil"/>
              <w:bottom w:val="nil"/>
              <w:right w:val="nil"/>
            </w:tcBorders>
            <w:vAlign w:val="center"/>
            <w:hideMark/>
          </w:tcPr>
          <w:p w14:paraId="095CE0D1"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06/05/2025</w:t>
            </w:r>
          </w:p>
        </w:tc>
        <w:tc>
          <w:tcPr>
            <w:tcW w:w="286" w:type="pct"/>
            <w:tcBorders>
              <w:top w:val="nil"/>
              <w:left w:val="nil"/>
              <w:bottom w:val="nil"/>
              <w:right w:val="nil"/>
            </w:tcBorders>
            <w:vAlign w:val="center"/>
            <w:hideMark/>
          </w:tcPr>
          <w:p w14:paraId="4B295E35"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p>
        </w:tc>
        <w:tc>
          <w:tcPr>
            <w:tcW w:w="258" w:type="pct"/>
            <w:tcBorders>
              <w:top w:val="nil"/>
              <w:left w:val="nil"/>
              <w:bottom w:val="nil"/>
              <w:right w:val="nil"/>
            </w:tcBorders>
            <w:vAlign w:val="center"/>
            <w:hideMark/>
          </w:tcPr>
          <w:p w14:paraId="0D0FFE82"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4</w:t>
            </w:r>
          </w:p>
        </w:tc>
        <w:tc>
          <w:tcPr>
            <w:tcW w:w="207" w:type="pct"/>
            <w:tcBorders>
              <w:top w:val="nil"/>
              <w:left w:val="nil"/>
              <w:bottom w:val="nil"/>
              <w:right w:val="nil"/>
            </w:tcBorders>
            <w:vAlign w:val="center"/>
            <w:hideMark/>
          </w:tcPr>
          <w:p w14:paraId="39A3803E"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COM-23</w:t>
            </w:r>
          </w:p>
        </w:tc>
        <w:tc>
          <w:tcPr>
            <w:tcW w:w="1465" w:type="pct"/>
            <w:tcBorders>
              <w:top w:val="nil"/>
              <w:left w:val="nil"/>
              <w:bottom w:val="nil"/>
              <w:right w:val="single" w:sz="8" w:space="0" w:color="auto"/>
            </w:tcBorders>
            <w:vAlign w:val="center"/>
            <w:hideMark/>
          </w:tcPr>
          <w:p w14:paraId="507B9B25"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color w:val="FF0000"/>
                <w:sz w:val="16"/>
                <w:szCs w:val="16"/>
              </w:rPr>
            </w:pPr>
            <w:r w:rsidRPr="00CA6CBB">
              <w:rPr>
                <w:rFonts w:ascii="Calibri" w:hAnsi="Calibri"/>
                <w:b/>
                <w:color w:val="FF0000"/>
                <w:sz w:val="16"/>
              </w:rPr>
              <w:t> </w:t>
            </w:r>
          </w:p>
        </w:tc>
      </w:tr>
      <w:tr w:rsidR="000F2ED2" w:rsidRPr="00CA6CBB" w14:paraId="24EB2407" w14:textId="77777777" w:rsidTr="00814F99">
        <w:trPr>
          <w:trHeight w:val="290"/>
        </w:trPr>
        <w:tc>
          <w:tcPr>
            <w:tcW w:w="104" w:type="pct"/>
            <w:tcBorders>
              <w:top w:val="nil"/>
              <w:left w:val="single" w:sz="8" w:space="0" w:color="auto"/>
              <w:bottom w:val="nil"/>
              <w:right w:val="nil"/>
            </w:tcBorders>
            <w:vAlign w:val="center"/>
            <w:hideMark/>
          </w:tcPr>
          <w:p w14:paraId="45CF6257"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b/>
                <w:bCs/>
                <w:color w:val="FF0000"/>
                <w:sz w:val="16"/>
                <w:szCs w:val="16"/>
              </w:rPr>
            </w:pPr>
            <w:r w:rsidRPr="00CA6CBB">
              <w:rPr>
                <w:rFonts w:ascii="Calibri" w:hAnsi="Calibri"/>
                <w:b/>
                <w:color w:val="FF0000"/>
                <w:sz w:val="16"/>
              </w:rPr>
              <w:t>3</w:t>
            </w:r>
          </w:p>
        </w:tc>
        <w:tc>
          <w:tcPr>
            <w:tcW w:w="121" w:type="pct"/>
            <w:tcBorders>
              <w:top w:val="nil"/>
              <w:left w:val="nil"/>
              <w:bottom w:val="nil"/>
              <w:right w:val="nil"/>
            </w:tcBorders>
            <w:vAlign w:val="center"/>
            <w:hideMark/>
          </w:tcPr>
          <w:p w14:paraId="3FFC907A"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1</w:t>
            </w:r>
          </w:p>
        </w:tc>
        <w:tc>
          <w:tcPr>
            <w:tcW w:w="299" w:type="pct"/>
            <w:tcBorders>
              <w:top w:val="nil"/>
              <w:left w:val="nil"/>
              <w:bottom w:val="nil"/>
              <w:right w:val="nil"/>
            </w:tcBorders>
            <w:vAlign w:val="center"/>
            <w:hideMark/>
          </w:tcPr>
          <w:p w14:paraId="573F6F3C"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Tarea</w:t>
            </w:r>
          </w:p>
        </w:tc>
        <w:tc>
          <w:tcPr>
            <w:tcW w:w="1030" w:type="pct"/>
            <w:tcBorders>
              <w:top w:val="nil"/>
              <w:left w:val="nil"/>
              <w:bottom w:val="nil"/>
              <w:right w:val="nil"/>
            </w:tcBorders>
            <w:vAlign w:val="center"/>
            <w:hideMark/>
          </w:tcPr>
          <w:p w14:paraId="379B459C"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Sesión de formación/taller de buques (tercera sesión)</w:t>
            </w:r>
          </w:p>
        </w:tc>
        <w:tc>
          <w:tcPr>
            <w:tcW w:w="683" w:type="pct"/>
            <w:tcBorders>
              <w:top w:val="nil"/>
              <w:left w:val="nil"/>
              <w:bottom w:val="nil"/>
              <w:right w:val="nil"/>
            </w:tcBorders>
            <w:vAlign w:val="center"/>
            <w:hideMark/>
          </w:tcPr>
          <w:p w14:paraId="5ACA5254"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No aplicable</w:t>
            </w:r>
          </w:p>
        </w:tc>
        <w:tc>
          <w:tcPr>
            <w:tcW w:w="252" w:type="pct"/>
            <w:tcBorders>
              <w:top w:val="nil"/>
              <w:left w:val="nil"/>
              <w:bottom w:val="nil"/>
              <w:right w:val="nil"/>
            </w:tcBorders>
            <w:vAlign w:val="center"/>
            <w:hideMark/>
          </w:tcPr>
          <w:p w14:paraId="1EC5467F"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COMPLETA</w:t>
            </w:r>
          </w:p>
        </w:tc>
        <w:tc>
          <w:tcPr>
            <w:tcW w:w="296" w:type="pct"/>
            <w:tcBorders>
              <w:top w:val="nil"/>
              <w:left w:val="nil"/>
              <w:bottom w:val="nil"/>
              <w:right w:val="nil"/>
            </w:tcBorders>
            <w:vAlign w:val="center"/>
            <w:hideMark/>
          </w:tcPr>
          <w:p w14:paraId="112E31C8"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30/06/2025</w:t>
            </w:r>
          </w:p>
        </w:tc>
        <w:tc>
          <w:tcPr>
            <w:tcW w:w="286" w:type="pct"/>
            <w:tcBorders>
              <w:top w:val="nil"/>
              <w:left w:val="nil"/>
              <w:bottom w:val="nil"/>
              <w:right w:val="nil"/>
            </w:tcBorders>
            <w:vAlign w:val="center"/>
            <w:hideMark/>
          </w:tcPr>
          <w:p w14:paraId="34388F9D"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p>
        </w:tc>
        <w:tc>
          <w:tcPr>
            <w:tcW w:w="258" w:type="pct"/>
            <w:tcBorders>
              <w:top w:val="nil"/>
              <w:left w:val="nil"/>
              <w:bottom w:val="nil"/>
              <w:right w:val="nil"/>
            </w:tcBorders>
            <w:vAlign w:val="center"/>
            <w:hideMark/>
          </w:tcPr>
          <w:p w14:paraId="78EA3839"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4</w:t>
            </w:r>
          </w:p>
        </w:tc>
        <w:tc>
          <w:tcPr>
            <w:tcW w:w="207" w:type="pct"/>
            <w:tcBorders>
              <w:top w:val="nil"/>
              <w:left w:val="nil"/>
              <w:bottom w:val="nil"/>
              <w:right w:val="nil"/>
            </w:tcBorders>
            <w:vAlign w:val="center"/>
            <w:hideMark/>
          </w:tcPr>
          <w:p w14:paraId="4C7BD9C5"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COM-23</w:t>
            </w:r>
          </w:p>
        </w:tc>
        <w:tc>
          <w:tcPr>
            <w:tcW w:w="1465" w:type="pct"/>
            <w:tcBorders>
              <w:top w:val="nil"/>
              <w:left w:val="nil"/>
              <w:bottom w:val="nil"/>
              <w:right w:val="single" w:sz="8" w:space="0" w:color="auto"/>
            </w:tcBorders>
            <w:vAlign w:val="center"/>
            <w:hideMark/>
          </w:tcPr>
          <w:p w14:paraId="465E262B"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 </w:t>
            </w:r>
          </w:p>
        </w:tc>
      </w:tr>
      <w:tr w:rsidR="000F2ED2" w:rsidRPr="00CA6CBB" w14:paraId="4DDEA30E" w14:textId="77777777" w:rsidTr="00814F99">
        <w:trPr>
          <w:trHeight w:val="300"/>
        </w:trPr>
        <w:tc>
          <w:tcPr>
            <w:tcW w:w="104" w:type="pct"/>
            <w:tcBorders>
              <w:top w:val="nil"/>
              <w:left w:val="single" w:sz="8" w:space="0" w:color="auto"/>
              <w:bottom w:val="nil"/>
              <w:right w:val="nil"/>
            </w:tcBorders>
            <w:shd w:val="clear" w:color="000000" w:fill="DDEBF7"/>
            <w:vAlign w:val="center"/>
            <w:hideMark/>
          </w:tcPr>
          <w:p w14:paraId="6BD1E34D"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3</w:t>
            </w:r>
          </w:p>
        </w:tc>
        <w:tc>
          <w:tcPr>
            <w:tcW w:w="121" w:type="pct"/>
            <w:tcBorders>
              <w:top w:val="nil"/>
              <w:left w:val="nil"/>
              <w:bottom w:val="nil"/>
              <w:right w:val="nil"/>
            </w:tcBorders>
            <w:shd w:val="clear" w:color="000000" w:fill="DDEBF7"/>
            <w:vAlign w:val="center"/>
            <w:hideMark/>
          </w:tcPr>
          <w:p w14:paraId="6E09FB1A"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1</w:t>
            </w:r>
          </w:p>
        </w:tc>
        <w:tc>
          <w:tcPr>
            <w:tcW w:w="299" w:type="pct"/>
            <w:tcBorders>
              <w:top w:val="nil"/>
              <w:left w:val="nil"/>
              <w:bottom w:val="nil"/>
              <w:right w:val="nil"/>
            </w:tcBorders>
            <w:shd w:val="clear" w:color="000000" w:fill="DDEBF7"/>
            <w:vAlign w:val="center"/>
            <w:hideMark/>
          </w:tcPr>
          <w:p w14:paraId="0FF317A6"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Tarea</w:t>
            </w:r>
          </w:p>
        </w:tc>
        <w:tc>
          <w:tcPr>
            <w:tcW w:w="1030" w:type="pct"/>
            <w:tcBorders>
              <w:top w:val="nil"/>
              <w:left w:val="nil"/>
              <w:bottom w:val="nil"/>
              <w:right w:val="nil"/>
            </w:tcBorders>
            <w:shd w:val="clear" w:color="000000" w:fill="DDEBF7"/>
            <w:vAlign w:val="center"/>
            <w:hideMark/>
          </w:tcPr>
          <w:p w14:paraId="7BDEF0E0"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Mantenimiento (incluye mejora y corrección de errores)</w:t>
            </w:r>
          </w:p>
        </w:tc>
        <w:tc>
          <w:tcPr>
            <w:tcW w:w="683" w:type="pct"/>
            <w:tcBorders>
              <w:top w:val="nil"/>
              <w:left w:val="nil"/>
              <w:bottom w:val="nil"/>
              <w:right w:val="nil"/>
            </w:tcBorders>
            <w:vAlign w:val="center"/>
            <w:hideMark/>
          </w:tcPr>
          <w:p w14:paraId="32CBBCB5"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No aplicable</w:t>
            </w:r>
          </w:p>
        </w:tc>
        <w:tc>
          <w:tcPr>
            <w:tcW w:w="252" w:type="pct"/>
            <w:tcBorders>
              <w:top w:val="nil"/>
              <w:left w:val="nil"/>
              <w:bottom w:val="nil"/>
              <w:right w:val="nil"/>
            </w:tcBorders>
            <w:shd w:val="clear" w:color="000000" w:fill="DDEBF7"/>
            <w:vAlign w:val="center"/>
            <w:hideMark/>
          </w:tcPr>
          <w:p w14:paraId="4D1344FE"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Continuación</w:t>
            </w:r>
          </w:p>
        </w:tc>
        <w:tc>
          <w:tcPr>
            <w:tcW w:w="296" w:type="pct"/>
            <w:tcBorders>
              <w:top w:val="nil"/>
              <w:left w:val="nil"/>
              <w:bottom w:val="nil"/>
              <w:right w:val="nil"/>
            </w:tcBorders>
            <w:shd w:val="clear" w:color="000000" w:fill="DDEBF7"/>
            <w:vAlign w:val="center"/>
            <w:hideMark/>
          </w:tcPr>
          <w:p w14:paraId="774AAAEC"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01/06/2022</w:t>
            </w:r>
          </w:p>
        </w:tc>
        <w:tc>
          <w:tcPr>
            <w:tcW w:w="286" w:type="pct"/>
            <w:tcBorders>
              <w:top w:val="nil"/>
              <w:left w:val="nil"/>
              <w:bottom w:val="nil"/>
              <w:right w:val="nil"/>
            </w:tcBorders>
            <w:shd w:val="clear" w:color="000000" w:fill="DDEBF7"/>
            <w:vAlign w:val="center"/>
            <w:hideMark/>
          </w:tcPr>
          <w:p w14:paraId="068C1A19"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No aplicable</w:t>
            </w:r>
          </w:p>
        </w:tc>
        <w:tc>
          <w:tcPr>
            <w:tcW w:w="258" w:type="pct"/>
            <w:tcBorders>
              <w:top w:val="nil"/>
              <w:left w:val="nil"/>
              <w:bottom w:val="nil"/>
              <w:right w:val="nil"/>
            </w:tcBorders>
            <w:shd w:val="clear" w:color="000000" w:fill="DDEBF7"/>
            <w:vAlign w:val="center"/>
            <w:hideMark/>
          </w:tcPr>
          <w:p w14:paraId="47D1D606"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No aplicable</w:t>
            </w:r>
          </w:p>
        </w:tc>
        <w:tc>
          <w:tcPr>
            <w:tcW w:w="207" w:type="pct"/>
            <w:tcBorders>
              <w:top w:val="nil"/>
              <w:left w:val="nil"/>
              <w:bottom w:val="nil"/>
              <w:right w:val="nil"/>
            </w:tcBorders>
            <w:shd w:val="clear" w:color="000000" w:fill="DDEBF7"/>
            <w:vAlign w:val="center"/>
            <w:hideMark/>
          </w:tcPr>
          <w:p w14:paraId="580C6CB6"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COM-21</w:t>
            </w:r>
          </w:p>
        </w:tc>
        <w:tc>
          <w:tcPr>
            <w:tcW w:w="1465" w:type="pct"/>
            <w:tcBorders>
              <w:top w:val="nil"/>
              <w:left w:val="nil"/>
              <w:bottom w:val="nil"/>
              <w:right w:val="single" w:sz="8" w:space="0" w:color="auto"/>
            </w:tcBorders>
            <w:shd w:val="clear" w:color="000000" w:fill="DDEBF7"/>
            <w:vAlign w:val="center"/>
            <w:hideMark/>
          </w:tcPr>
          <w:p w14:paraId="6FB3555C"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Tarea de mantenimiento</w:t>
            </w:r>
          </w:p>
        </w:tc>
      </w:tr>
      <w:tr w:rsidR="000F2ED2" w:rsidRPr="00CA6CBB" w14:paraId="34086138" w14:textId="77777777" w:rsidTr="00814F99">
        <w:trPr>
          <w:trHeight w:val="290"/>
        </w:trPr>
        <w:tc>
          <w:tcPr>
            <w:tcW w:w="104" w:type="pct"/>
            <w:tcBorders>
              <w:top w:val="single" w:sz="8" w:space="0" w:color="auto"/>
              <w:left w:val="single" w:sz="8" w:space="0" w:color="auto"/>
              <w:bottom w:val="nil"/>
              <w:right w:val="nil"/>
            </w:tcBorders>
            <w:shd w:val="clear" w:color="000000" w:fill="DDEBF7"/>
            <w:vAlign w:val="center"/>
            <w:hideMark/>
          </w:tcPr>
          <w:p w14:paraId="71223B02"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4</w:t>
            </w:r>
          </w:p>
        </w:tc>
        <w:tc>
          <w:tcPr>
            <w:tcW w:w="121" w:type="pct"/>
            <w:tcBorders>
              <w:top w:val="single" w:sz="8" w:space="0" w:color="auto"/>
              <w:left w:val="nil"/>
              <w:bottom w:val="nil"/>
              <w:right w:val="nil"/>
            </w:tcBorders>
            <w:shd w:val="clear" w:color="000000" w:fill="DDEBF7"/>
            <w:vAlign w:val="center"/>
            <w:hideMark/>
          </w:tcPr>
          <w:p w14:paraId="493E9D48"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1</w:t>
            </w:r>
          </w:p>
        </w:tc>
        <w:tc>
          <w:tcPr>
            <w:tcW w:w="299" w:type="pct"/>
            <w:tcBorders>
              <w:top w:val="single" w:sz="8" w:space="0" w:color="auto"/>
              <w:left w:val="nil"/>
              <w:bottom w:val="nil"/>
              <w:right w:val="nil"/>
            </w:tcBorders>
            <w:shd w:val="clear" w:color="000000" w:fill="DDEBF7"/>
            <w:vAlign w:val="center"/>
            <w:hideMark/>
          </w:tcPr>
          <w:p w14:paraId="0224C02E"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Módulo</w:t>
            </w:r>
          </w:p>
        </w:tc>
        <w:tc>
          <w:tcPr>
            <w:tcW w:w="1030" w:type="pct"/>
            <w:tcBorders>
              <w:top w:val="single" w:sz="8" w:space="0" w:color="auto"/>
              <w:left w:val="nil"/>
              <w:bottom w:val="nil"/>
              <w:right w:val="nil"/>
            </w:tcBorders>
            <w:shd w:val="clear" w:color="000000" w:fill="DDEBF7"/>
            <w:vAlign w:val="center"/>
            <w:hideMark/>
          </w:tcPr>
          <w:p w14:paraId="56ED6333"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Gestor de puertos</w:t>
            </w:r>
          </w:p>
        </w:tc>
        <w:tc>
          <w:tcPr>
            <w:tcW w:w="683" w:type="pct"/>
            <w:tcBorders>
              <w:top w:val="single" w:sz="8" w:space="0" w:color="auto"/>
              <w:left w:val="nil"/>
              <w:bottom w:val="nil"/>
              <w:right w:val="nil"/>
            </w:tcBorders>
            <w:shd w:val="clear" w:color="000000" w:fill="DDEBF7"/>
            <w:vAlign w:val="center"/>
            <w:hideMark/>
          </w:tcPr>
          <w:p w14:paraId="6C038819"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val="en-US"/>
              </w:rPr>
            </w:pPr>
            <w:proofErr w:type="gramStart"/>
            <w:r w:rsidRPr="00CA6CBB">
              <w:rPr>
                <w:rFonts w:ascii="Calibri" w:hAnsi="Calibri"/>
                <w:color w:val="auto"/>
                <w:sz w:val="16"/>
                <w:lang w:val="en-US"/>
              </w:rPr>
              <w:t>M:GEN</w:t>
            </w:r>
            <w:proofErr w:type="gramEnd"/>
            <w:r w:rsidRPr="00CA6CBB">
              <w:rPr>
                <w:rFonts w:ascii="Calibri" w:hAnsi="Calibri"/>
                <w:color w:val="auto"/>
                <w:sz w:val="16"/>
                <w:lang w:val="en-US"/>
              </w:rPr>
              <w:t xml:space="preserve">11, </w:t>
            </w:r>
            <w:proofErr w:type="gramStart"/>
            <w:r w:rsidRPr="00CA6CBB">
              <w:rPr>
                <w:rFonts w:ascii="Calibri" w:hAnsi="Calibri"/>
                <w:color w:val="auto"/>
                <w:sz w:val="16"/>
                <w:lang w:val="en-US"/>
              </w:rPr>
              <w:t>M:GEN</w:t>
            </w:r>
            <w:proofErr w:type="gramEnd"/>
            <w:r w:rsidRPr="00CA6CBB">
              <w:rPr>
                <w:rFonts w:ascii="Calibri" w:hAnsi="Calibri"/>
                <w:color w:val="auto"/>
                <w:sz w:val="16"/>
                <w:lang w:val="en-US"/>
              </w:rPr>
              <w:t xml:space="preserve">12, </w:t>
            </w:r>
            <w:proofErr w:type="gramStart"/>
            <w:r w:rsidRPr="00CA6CBB">
              <w:rPr>
                <w:rFonts w:ascii="Calibri" w:hAnsi="Calibri"/>
                <w:color w:val="auto"/>
                <w:sz w:val="16"/>
                <w:lang w:val="en-US"/>
              </w:rPr>
              <w:t>M:BFT</w:t>
            </w:r>
            <w:proofErr w:type="gramEnd"/>
            <w:r w:rsidRPr="00CA6CBB">
              <w:rPr>
                <w:rFonts w:ascii="Calibri" w:hAnsi="Calibri"/>
                <w:color w:val="auto"/>
                <w:sz w:val="16"/>
                <w:lang w:val="en-US"/>
              </w:rPr>
              <w:t xml:space="preserve">20, </w:t>
            </w:r>
            <w:proofErr w:type="gramStart"/>
            <w:r w:rsidRPr="00CA6CBB">
              <w:rPr>
                <w:rFonts w:ascii="Calibri" w:hAnsi="Calibri"/>
                <w:color w:val="auto"/>
                <w:sz w:val="16"/>
                <w:lang w:val="en-US"/>
              </w:rPr>
              <w:t>M:BFT</w:t>
            </w:r>
            <w:proofErr w:type="gramEnd"/>
            <w:r w:rsidRPr="00CA6CBB">
              <w:rPr>
                <w:rFonts w:ascii="Calibri" w:hAnsi="Calibri"/>
                <w:color w:val="auto"/>
                <w:sz w:val="16"/>
                <w:lang w:val="en-US"/>
              </w:rPr>
              <w:t xml:space="preserve">21, </w:t>
            </w:r>
            <w:proofErr w:type="gramStart"/>
            <w:r w:rsidRPr="00CA6CBB">
              <w:rPr>
                <w:rFonts w:ascii="Calibri" w:hAnsi="Calibri"/>
                <w:color w:val="auto"/>
                <w:sz w:val="16"/>
                <w:lang w:val="en-US"/>
              </w:rPr>
              <w:t>M:SWO</w:t>
            </w:r>
            <w:proofErr w:type="gramEnd"/>
            <w:r w:rsidRPr="00CA6CBB">
              <w:rPr>
                <w:rFonts w:ascii="Calibri" w:hAnsi="Calibri"/>
                <w:color w:val="auto"/>
                <w:sz w:val="16"/>
                <w:lang w:val="en-US"/>
              </w:rPr>
              <w:t>10</w:t>
            </w:r>
          </w:p>
        </w:tc>
        <w:tc>
          <w:tcPr>
            <w:tcW w:w="252" w:type="pct"/>
            <w:tcBorders>
              <w:top w:val="single" w:sz="8" w:space="0" w:color="auto"/>
              <w:left w:val="nil"/>
              <w:bottom w:val="nil"/>
              <w:right w:val="nil"/>
            </w:tcBorders>
            <w:shd w:val="clear" w:color="000000" w:fill="DDEBF7"/>
            <w:vAlign w:val="center"/>
            <w:hideMark/>
          </w:tcPr>
          <w:p w14:paraId="5E891F7E"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En curso</w:t>
            </w:r>
          </w:p>
        </w:tc>
        <w:tc>
          <w:tcPr>
            <w:tcW w:w="296" w:type="pct"/>
            <w:tcBorders>
              <w:top w:val="single" w:sz="8" w:space="0" w:color="auto"/>
              <w:left w:val="nil"/>
              <w:bottom w:val="nil"/>
              <w:right w:val="nil"/>
            </w:tcBorders>
            <w:shd w:val="clear" w:color="000000" w:fill="DDEBF7"/>
            <w:vAlign w:val="center"/>
            <w:hideMark/>
          </w:tcPr>
          <w:p w14:paraId="4D89FAB7"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01/11/2024</w:t>
            </w:r>
          </w:p>
        </w:tc>
        <w:tc>
          <w:tcPr>
            <w:tcW w:w="286" w:type="pct"/>
            <w:tcBorders>
              <w:top w:val="single" w:sz="8" w:space="0" w:color="auto"/>
              <w:left w:val="nil"/>
              <w:bottom w:val="nil"/>
              <w:right w:val="nil"/>
            </w:tcBorders>
            <w:shd w:val="clear" w:color="000000" w:fill="DDEBF7"/>
            <w:vAlign w:val="center"/>
            <w:hideMark/>
          </w:tcPr>
          <w:p w14:paraId="4164256F"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b/>
                <w:bCs/>
                <w:color w:val="FF0000"/>
                <w:sz w:val="16"/>
                <w:szCs w:val="16"/>
              </w:rPr>
            </w:pPr>
            <w:r w:rsidRPr="00CA6CBB">
              <w:rPr>
                <w:rFonts w:ascii="Calibri" w:hAnsi="Calibri"/>
                <w:b/>
                <w:color w:val="FF0000"/>
                <w:sz w:val="16"/>
              </w:rPr>
              <w:t>01/08/2026</w:t>
            </w:r>
          </w:p>
        </w:tc>
        <w:tc>
          <w:tcPr>
            <w:tcW w:w="258" w:type="pct"/>
            <w:tcBorders>
              <w:top w:val="single" w:sz="8" w:space="0" w:color="auto"/>
              <w:left w:val="nil"/>
              <w:bottom w:val="nil"/>
              <w:right w:val="nil"/>
            </w:tcBorders>
            <w:shd w:val="clear" w:color="000000" w:fill="DDEBF7"/>
            <w:vAlign w:val="center"/>
            <w:hideMark/>
          </w:tcPr>
          <w:p w14:paraId="39FCDCD4"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5</w:t>
            </w:r>
          </w:p>
        </w:tc>
        <w:tc>
          <w:tcPr>
            <w:tcW w:w="207" w:type="pct"/>
            <w:tcBorders>
              <w:top w:val="single" w:sz="8" w:space="0" w:color="auto"/>
              <w:left w:val="nil"/>
              <w:bottom w:val="nil"/>
              <w:right w:val="nil"/>
            </w:tcBorders>
            <w:shd w:val="clear" w:color="000000" w:fill="DDEBF7"/>
            <w:vAlign w:val="center"/>
            <w:hideMark/>
          </w:tcPr>
          <w:p w14:paraId="34B09220"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COM-21</w:t>
            </w:r>
          </w:p>
        </w:tc>
        <w:tc>
          <w:tcPr>
            <w:tcW w:w="1465" w:type="pct"/>
            <w:tcBorders>
              <w:top w:val="single" w:sz="8" w:space="0" w:color="auto"/>
              <w:left w:val="nil"/>
              <w:bottom w:val="nil"/>
              <w:right w:val="single" w:sz="8" w:space="0" w:color="auto"/>
            </w:tcBorders>
            <w:shd w:val="clear" w:color="000000" w:fill="DDEBF7"/>
            <w:vAlign w:val="center"/>
            <w:hideMark/>
          </w:tcPr>
          <w:p w14:paraId="74E298AF"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color w:val="FF0000"/>
                <w:sz w:val="16"/>
                <w:szCs w:val="16"/>
              </w:rPr>
            </w:pPr>
            <w:r w:rsidRPr="00CA6CBB">
              <w:rPr>
                <w:rFonts w:ascii="Calibri" w:hAnsi="Calibri"/>
                <w:b/>
                <w:color w:val="FF0000"/>
                <w:sz w:val="16"/>
              </w:rPr>
              <w:t>El desarrollo estará listo en breve. Es necesario realizar pruebas.</w:t>
            </w:r>
          </w:p>
        </w:tc>
      </w:tr>
      <w:tr w:rsidR="000F2ED2" w:rsidRPr="00CA6CBB" w14:paraId="265757C5" w14:textId="77777777" w:rsidTr="00814F99">
        <w:trPr>
          <w:trHeight w:val="290"/>
        </w:trPr>
        <w:tc>
          <w:tcPr>
            <w:tcW w:w="104" w:type="pct"/>
            <w:tcBorders>
              <w:top w:val="nil"/>
              <w:left w:val="single" w:sz="8" w:space="0" w:color="auto"/>
              <w:bottom w:val="nil"/>
              <w:right w:val="nil"/>
            </w:tcBorders>
            <w:shd w:val="clear" w:color="000000" w:fill="DDEBF7"/>
            <w:vAlign w:val="center"/>
            <w:hideMark/>
          </w:tcPr>
          <w:p w14:paraId="40866DB2"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4</w:t>
            </w:r>
          </w:p>
        </w:tc>
        <w:tc>
          <w:tcPr>
            <w:tcW w:w="121" w:type="pct"/>
            <w:tcBorders>
              <w:top w:val="nil"/>
              <w:left w:val="nil"/>
              <w:bottom w:val="nil"/>
              <w:right w:val="nil"/>
            </w:tcBorders>
            <w:shd w:val="clear" w:color="000000" w:fill="DDEBF7"/>
            <w:vAlign w:val="center"/>
            <w:hideMark/>
          </w:tcPr>
          <w:p w14:paraId="002B2307"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1</w:t>
            </w:r>
          </w:p>
        </w:tc>
        <w:tc>
          <w:tcPr>
            <w:tcW w:w="299" w:type="pct"/>
            <w:tcBorders>
              <w:top w:val="nil"/>
              <w:left w:val="nil"/>
              <w:bottom w:val="nil"/>
              <w:right w:val="nil"/>
            </w:tcBorders>
            <w:shd w:val="clear" w:color="000000" w:fill="DDEBF7"/>
            <w:vAlign w:val="center"/>
            <w:hideMark/>
          </w:tcPr>
          <w:p w14:paraId="11EB8376"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Módulo</w:t>
            </w:r>
          </w:p>
        </w:tc>
        <w:tc>
          <w:tcPr>
            <w:tcW w:w="1030" w:type="pct"/>
            <w:tcBorders>
              <w:top w:val="nil"/>
              <w:left w:val="nil"/>
              <w:bottom w:val="nil"/>
              <w:right w:val="nil"/>
            </w:tcBorders>
            <w:shd w:val="clear" w:color="000000" w:fill="DDEBF7"/>
            <w:vAlign w:val="center"/>
            <w:hideMark/>
          </w:tcPr>
          <w:p w14:paraId="131EF706"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Gestor de T1NC (capturas nominales de Tarea 1)</w:t>
            </w:r>
          </w:p>
        </w:tc>
        <w:tc>
          <w:tcPr>
            <w:tcW w:w="683" w:type="pct"/>
            <w:tcBorders>
              <w:top w:val="nil"/>
              <w:left w:val="nil"/>
              <w:bottom w:val="nil"/>
              <w:right w:val="nil"/>
            </w:tcBorders>
            <w:shd w:val="clear" w:color="000000" w:fill="DDEBF7"/>
            <w:vAlign w:val="center"/>
            <w:hideMark/>
          </w:tcPr>
          <w:p w14:paraId="25F76905"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S:GEN03</w:t>
            </w:r>
          </w:p>
        </w:tc>
        <w:tc>
          <w:tcPr>
            <w:tcW w:w="252" w:type="pct"/>
            <w:tcBorders>
              <w:top w:val="nil"/>
              <w:left w:val="nil"/>
              <w:bottom w:val="nil"/>
              <w:right w:val="nil"/>
            </w:tcBorders>
            <w:shd w:val="clear" w:color="000000" w:fill="DDEBF7"/>
            <w:vAlign w:val="center"/>
            <w:hideMark/>
          </w:tcPr>
          <w:p w14:paraId="1F84A790"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En curso</w:t>
            </w:r>
          </w:p>
        </w:tc>
        <w:tc>
          <w:tcPr>
            <w:tcW w:w="296" w:type="pct"/>
            <w:tcBorders>
              <w:top w:val="nil"/>
              <w:left w:val="nil"/>
              <w:bottom w:val="nil"/>
              <w:right w:val="nil"/>
            </w:tcBorders>
            <w:shd w:val="clear" w:color="000000" w:fill="DDEBF7"/>
            <w:vAlign w:val="center"/>
            <w:hideMark/>
          </w:tcPr>
          <w:p w14:paraId="3F1CF496"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15/01/2025</w:t>
            </w:r>
          </w:p>
        </w:tc>
        <w:tc>
          <w:tcPr>
            <w:tcW w:w="286" w:type="pct"/>
            <w:tcBorders>
              <w:top w:val="nil"/>
              <w:left w:val="nil"/>
              <w:bottom w:val="nil"/>
              <w:right w:val="nil"/>
            </w:tcBorders>
            <w:shd w:val="clear" w:color="000000" w:fill="DDEBF7"/>
            <w:vAlign w:val="center"/>
            <w:hideMark/>
          </w:tcPr>
          <w:p w14:paraId="54DFFDF3"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b/>
                <w:bCs/>
                <w:color w:val="FF0000"/>
                <w:sz w:val="16"/>
                <w:szCs w:val="16"/>
              </w:rPr>
            </w:pPr>
            <w:r w:rsidRPr="00CA6CBB">
              <w:rPr>
                <w:rFonts w:ascii="Calibri" w:hAnsi="Calibri"/>
                <w:b/>
                <w:color w:val="FF0000"/>
                <w:sz w:val="16"/>
              </w:rPr>
              <w:t>01/05/2027</w:t>
            </w:r>
          </w:p>
        </w:tc>
        <w:tc>
          <w:tcPr>
            <w:tcW w:w="258" w:type="pct"/>
            <w:tcBorders>
              <w:top w:val="nil"/>
              <w:left w:val="nil"/>
              <w:bottom w:val="nil"/>
              <w:right w:val="nil"/>
            </w:tcBorders>
            <w:shd w:val="clear" w:color="000000" w:fill="DDEBF7"/>
            <w:hideMark/>
          </w:tcPr>
          <w:p w14:paraId="301E3CDA"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5</w:t>
            </w:r>
          </w:p>
        </w:tc>
        <w:tc>
          <w:tcPr>
            <w:tcW w:w="207" w:type="pct"/>
            <w:tcBorders>
              <w:top w:val="nil"/>
              <w:left w:val="nil"/>
              <w:bottom w:val="nil"/>
              <w:right w:val="nil"/>
            </w:tcBorders>
            <w:shd w:val="clear" w:color="000000" w:fill="DDEBF7"/>
            <w:vAlign w:val="center"/>
            <w:hideMark/>
          </w:tcPr>
          <w:p w14:paraId="13114E6A"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COM-23</w:t>
            </w:r>
          </w:p>
        </w:tc>
        <w:tc>
          <w:tcPr>
            <w:tcW w:w="1465" w:type="pct"/>
            <w:tcBorders>
              <w:top w:val="nil"/>
              <w:left w:val="nil"/>
              <w:bottom w:val="nil"/>
              <w:right w:val="single" w:sz="8" w:space="0" w:color="auto"/>
            </w:tcBorders>
            <w:shd w:val="clear" w:color="000000" w:fill="DDEBF7"/>
            <w:vAlign w:val="center"/>
            <w:hideMark/>
          </w:tcPr>
          <w:p w14:paraId="19F9FC78"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color w:val="FF0000"/>
                <w:sz w:val="16"/>
                <w:szCs w:val="16"/>
              </w:rPr>
            </w:pPr>
            <w:r w:rsidRPr="00CA6CBB">
              <w:rPr>
                <w:rFonts w:ascii="Calibri" w:hAnsi="Calibri"/>
                <w:b/>
                <w:color w:val="FF0000"/>
                <w:sz w:val="16"/>
              </w:rPr>
              <w:t>Rediseño de la base de datos. Diseño de flujos de datos y paneles de control.</w:t>
            </w:r>
          </w:p>
        </w:tc>
      </w:tr>
      <w:tr w:rsidR="000F2ED2" w:rsidRPr="00CA6CBB" w14:paraId="42A7C10D" w14:textId="77777777" w:rsidTr="00814F99">
        <w:trPr>
          <w:trHeight w:val="290"/>
        </w:trPr>
        <w:tc>
          <w:tcPr>
            <w:tcW w:w="104" w:type="pct"/>
            <w:tcBorders>
              <w:top w:val="nil"/>
              <w:left w:val="single" w:sz="8" w:space="0" w:color="auto"/>
              <w:bottom w:val="nil"/>
              <w:right w:val="nil"/>
            </w:tcBorders>
            <w:shd w:val="clear" w:color="000000" w:fill="DDEBF7"/>
            <w:vAlign w:val="center"/>
            <w:hideMark/>
          </w:tcPr>
          <w:p w14:paraId="7FCEE1AD"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4</w:t>
            </w:r>
          </w:p>
        </w:tc>
        <w:tc>
          <w:tcPr>
            <w:tcW w:w="121" w:type="pct"/>
            <w:tcBorders>
              <w:top w:val="nil"/>
              <w:left w:val="nil"/>
              <w:bottom w:val="nil"/>
              <w:right w:val="nil"/>
            </w:tcBorders>
            <w:shd w:val="clear" w:color="000000" w:fill="DDEBF7"/>
            <w:vAlign w:val="center"/>
            <w:hideMark/>
          </w:tcPr>
          <w:p w14:paraId="3EB4A422"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1</w:t>
            </w:r>
          </w:p>
        </w:tc>
        <w:tc>
          <w:tcPr>
            <w:tcW w:w="299" w:type="pct"/>
            <w:tcBorders>
              <w:top w:val="nil"/>
              <w:left w:val="nil"/>
              <w:bottom w:val="nil"/>
              <w:right w:val="nil"/>
            </w:tcBorders>
            <w:shd w:val="clear" w:color="000000" w:fill="DDEBF7"/>
            <w:vAlign w:val="center"/>
            <w:hideMark/>
          </w:tcPr>
          <w:p w14:paraId="3309709D"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Módulo</w:t>
            </w:r>
          </w:p>
        </w:tc>
        <w:tc>
          <w:tcPr>
            <w:tcW w:w="1030" w:type="pct"/>
            <w:tcBorders>
              <w:top w:val="nil"/>
              <w:left w:val="nil"/>
              <w:bottom w:val="nil"/>
              <w:right w:val="nil"/>
            </w:tcBorders>
            <w:shd w:val="clear" w:color="000000" w:fill="DDEBF7"/>
            <w:vAlign w:val="center"/>
            <w:hideMark/>
          </w:tcPr>
          <w:p w14:paraId="0C31FCB9"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Gestor de tablas de cumplimiento (COCT)</w:t>
            </w:r>
          </w:p>
        </w:tc>
        <w:tc>
          <w:tcPr>
            <w:tcW w:w="683" w:type="pct"/>
            <w:tcBorders>
              <w:top w:val="nil"/>
              <w:left w:val="nil"/>
              <w:bottom w:val="nil"/>
              <w:right w:val="nil"/>
            </w:tcBorders>
            <w:shd w:val="clear" w:color="000000" w:fill="DDEBF7"/>
            <w:vAlign w:val="center"/>
            <w:hideMark/>
          </w:tcPr>
          <w:p w14:paraId="74B8F5D5"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M:GEN03</w:t>
            </w:r>
          </w:p>
        </w:tc>
        <w:tc>
          <w:tcPr>
            <w:tcW w:w="252" w:type="pct"/>
            <w:tcBorders>
              <w:top w:val="nil"/>
              <w:left w:val="nil"/>
              <w:bottom w:val="nil"/>
              <w:right w:val="nil"/>
            </w:tcBorders>
            <w:shd w:val="clear" w:color="000000" w:fill="DDEBF7"/>
            <w:vAlign w:val="center"/>
            <w:hideMark/>
          </w:tcPr>
          <w:p w14:paraId="76BBE828"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En curso</w:t>
            </w:r>
          </w:p>
        </w:tc>
        <w:tc>
          <w:tcPr>
            <w:tcW w:w="296" w:type="pct"/>
            <w:tcBorders>
              <w:top w:val="nil"/>
              <w:left w:val="nil"/>
              <w:bottom w:val="nil"/>
              <w:right w:val="nil"/>
            </w:tcBorders>
            <w:shd w:val="clear" w:color="000000" w:fill="DDEBF7"/>
            <w:vAlign w:val="center"/>
            <w:hideMark/>
          </w:tcPr>
          <w:p w14:paraId="21C6496F"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15/01/2025</w:t>
            </w:r>
          </w:p>
        </w:tc>
        <w:tc>
          <w:tcPr>
            <w:tcW w:w="286" w:type="pct"/>
            <w:tcBorders>
              <w:top w:val="nil"/>
              <w:left w:val="nil"/>
              <w:bottom w:val="nil"/>
              <w:right w:val="nil"/>
            </w:tcBorders>
            <w:shd w:val="clear" w:color="000000" w:fill="DDEBF7"/>
            <w:vAlign w:val="center"/>
            <w:hideMark/>
          </w:tcPr>
          <w:p w14:paraId="4EFBE763"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b/>
                <w:bCs/>
                <w:color w:val="FF0000"/>
                <w:sz w:val="16"/>
                <w:szCs w:val="16"/>
              </w:rPr>
            </w:pPr>
            <w:r w:rsidRPr="00CA6CBB">
              <w:rPr>
                <w:rFonts w:ascii="Calibri" w:hAnsi="Calibri"/>
                <w:b/>
                <w:color w:val="FF0000"/>
                <w:sz w:val="16"/>
              </w:rPr>
              <w:t>01/05/2027</w:t>
            </w:r>
          </w:p>
        </w:tc>
        <w:tc>
          <w:tcPr>
            <w:tcW w:w="258" w:type="pct"/>
            <w:tcBorders>
              <w:top w:val="nil"/>
              <w:left w:val="nil"/>
              <w:bottom w:val="nil"/>
              <w:right w:val="nil"/>
            </w:tcBorders>
            <w:shd w:val="clear" w:color="000000" w:fill="DDEBF7"/>
            <w:hideMark/>
          </w:tcPr>
          <w:p w14:paraId="30E8A66B"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5</w:t>
            </w:r>
          </w:p>
        </w:tc>
        <w:tc>
          <w:tcPr>
            <w:tcW w:w="207" w:type="pct"/>
            <w:tcBorders>
              <w:top w:val="nil"/>
              <w:left w:val="nil"/>
              <w:bottom w:val="nil"/>
              <w:right w:val="nil"/>
            </w:tcBorders>
            <w:shd w:val="clear" w:color="000000" w:fill="DDEBF7"/>
            <w:vAlign w:val="center"/>
            <w:hideMark/>
          </w:tcPr>
          <w:p w14:paraId="68452E76"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COM-23</w:t>
            </w:r>
          </w:p>
        </w:tc>
        <w:tc>
          <w:tcPr>
            <w:tcW w:w="1465" w:type="pct"/>
            <w:tcBorders>
              <w:top w:val="nil"/>
              <w:left w:val="nil"/>
              <w:bottom w:val="nil"/>
              <w:right w:val="single" w:sz="8" w:space="0" w:color="auto"/>
            </w:tcBorders>
            <w:shd w:val="clear" w:color="000000" w:fill="DDEBF7"/>
            <w:vAlign w:val="center"/>
            <w:hideMark/>
          </w:tcPr>
          <w:p w14:paraId="41144BAB"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color w:val="FF0000"/>
                <w:sz w:val="16"/>
                <w:szCs w:val="16"/>
              </w:rPr>
            </w:pPr>
            <w:r w:rsidRPr="00CA6CBB">
              <w:rPr>
                <w:rFonts w:ascii="Calibri" w:hAnsi="Calibri"/>
                <w:b/>
                <w:color w:val="FF0000"/>
                <w:sz w:val="16"/>
              </w:rPr>
              <w:t>Rediseño de la base de datos. Diseño de flujos de datos y paneles de control.</w:t>
            </w:r>
          </w:p>
        </w:tc>
      </w:tr>
      <w:tr w:rsidR="000F2ED2" w:rsidRPr="00CA6CBB" w14:paraId="774B303D" w14:textId="77777777" w:rsidTr="00814F99">
        <w:trPr>
          <w:trHeight w:val="290"/>
        </w:trPr>
        <w:tc>
          <w:tcPr>
            <w:tcW w:w="104" w:type="pct"/>
            <w:tcBorders>
              <w:top w:val="nil"/>
              <w:left w:val="single" w:sz="8" w:space="0" w:color="auto"/>
              <w:bottom w:val="nil"/>
              <w:right w:val="nil"/>
            </w:tcBorders>
            <w:shd w:val="clear" w:color="000000" w:fill="DDEBF7"/>
            <w:vAlign w:val="center"/>
            <w:hideMark/>
          </w:tcPr>
          <w:p w14:paraId="38A5F913"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4</w:t>
            </w:r>
          </w:p>
        </w:tc>
        <w:tc>
          <w:tcPr>
            <w:tcW w:w="121" w:type="pct"/>
            <w:tcBorders>
              <w:top w:val="nil"/>
              <w:left w:val="nil"/>
              <w:bottom w:val="nil"/>
              <w:right w:val="nil"/>
            </w:tcBorders>
            <w:shd w:val="clear" w:color="000000" w:fill="DDEBF7"/>
            <w:vAlign w:val="center"/>
            <w:hideMark/>
          </w:tcPr>
          <w:p w14:paraId="52511037"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2</w:t>
            </w:r>
          </w:p>
        </w:tc>
        <w:tc>
          <w:tcPr>
            <w:tcW w:w="299" w:type="pct"/>
            <w:tcBorders>
              <w:top w:val="nil"/>
              <w:left w:val="nil"/>
              <w:bottom w:val="nil"/>
              <w:right w:val="nil"/>
            </w:tcBorders>
            <w:shd w:val="clear" w:color="000000" w:fill="DDEBF7"/>
            <w:vAlign w:val="center"/>
            <w:hideMark/>
          </w:tcPr>
          <w:p w14:paraId="0AE7DE4F"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Módulo</w:t>
            </w:r>
          </w:p>
        </w:tc>
        <w:tc>
          <w:tcPr>
            <w:tcW w:w="1030" w:type="pct"/>
            <w:tcBorders>
              <w:top w:val="nil"/>
              <w:left w:val="nil"/>
              <w:bottom w:val="nil"/>
              <w:right w:val="nil"/>
            </w:tcBorders>
            <w:shd w:val="clear" w:color="000000" w:fill="DDEBF7"/>
            <w:vAlign w:val="center"/>
            <w:hideMark/>
          </w:tcPr>
          <w:p w14:paraId="7C482562"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Gestor de hojas de comprobación de tiburones/istiofóridos</w:t>
            </w:r>
          </w:p>
        </w:tc>
        <w:tc>
          <w:tcPr>
            <w:tcW w:w="683" w:type="pct"/>
            <w:tcBorders>
              <w:top w:val="nil"/>
              <w:left w:val="nil"/>
              <w:bottom w:val="nil"/>
              <w:right w:val="nil"/>
            </w:tcBorders>
            <w:shd w:val="clear" w:color="000000" w:fill="DDEBF7"/>
            <w:vAlign w:val="center"/>
            <w:hideMark/>
          </w:tcPr>
          <w:p w14:paraId="76CF12A4"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M:SHK05, M:BIL01</w:t>
            </w:r>
          </w:p>
        </w:tc>
        <w:tc>
          <w:tcPr>
            <w:tcW w:w="252" w:type="pct"/>
            <w:tcBorders>
              <w:top w:val="nil"/>
              <w:left w:val="nil"/>
              <w:bottom w:val="nil"/>
              <w:right w:val="nil"/>
            </w:tcBorders>
            <w:shd w:val="clear" w:color="000000" w:fill="DDEBF7"/>
            <w:vAlign w:val="center"/>
            <w:hideMark/>
          </w:tcPr>
          <w:p w14:paraId="010B091B"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En curso</w:t>
            </w:r>
          </w:p>
        </w:tc>
        <w:tc>
          <w:tcPr>
            <w:tcW w:w="296" w:type="pct"/>
            <w:tcBorders>
              <w:top w:val="nil"/>
              <w:left w:val="nil"/>
              <w:bottom w:val="nil"/>
              <w:right w:val="nil"/>
            </w:tcBorders>
            <w:shd w:val="clear" w:color="000000" w:fill="DDEBF7"/>
            <w:vAlign w:val="center"/>
            <w:hideMark/>
          </w:tcPr>
          <w:p w14:paraId="1F68F719"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01/12/2024</w:t>
            </w:r>
          </w:p>
        </w:tc>
        <w:tc>
          <w:tcPr>
            <w:tcW w:w="286" w:type="pct"/>
            <w:tcBorders>
              <w:top w:val="nil"/>
              <w:left w:val="nil"/>
              <w:bottom w:val="nil"/>
              <w:right w:val="nil"/>
            </w:tcBorders>
            <w:shd w:val="clear" w:color="000000" w:fill="DDEBF7"/>
            <w:vAlign w:val="center"/>
            <w:hideMark/>
          </w:tcPr>
          <w:p w14:paraId="18DC4CF5"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b/>
                <w:bCs/>
                <w:color w:val="FF0000"/>
                <w:sz w:val="16"/>
                <w:szCs w:val="16"/>
              </w:rPr>
            </w:pPr>
            <w:r w:rsidRPr="00CA6CBB">
              <w:rPr>
                <w:rFonts w:ascii="Calibri" w:hAnsi="Calibri"/>
                <w:b/>
                <w:color w:val="FF0000"/>
                <w:sz w:val="16"/>
              </w:rPr>
              <w:t>01/08/2027</w:t>
            </w:r>
          </w:p>
        </w:tc>
        <w:tc>
          <w:tcPr>
            <w:tcW w:w="258" w:type="pct"/>
            <w:tcBorders>
              <w:top w:val="nil"/>
              <w:left w:val="nil"/>
              <w:bottom w:val="nil"/>
              <w:right w:val="nil"/>
            </w:tcBorders>
            <w:shd w:val="clear" w:color="000000" w:fill="DDEBF7"/>
            <w:vAlign w:val="center"/>
            <w:hideMark/>
          </w:tcPr>
          <w:p w14:paraId="56810DEF"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5</w:t>
            </w:r>
          </w:p>
        </w:tc>
        <w:tc>
          <w:tcPr>
            <w:tcW w:w="207" w:type="pct"/>
            <w:tcBorders>
              <w:top w:val="nil"/>
              <w:left w:val="nil"/>
              <w:bottom w:val="nil"/>
              <w:right w:val="nil"/>
            </w:tcBorders>
            <w:shd w:val="clear" w:color="000000" w:fill="DDEBF7"/>
            <w:vAlign w:val="center"/>
            <w:hideMark/>
          </w:tcPr>
          <w:p w14:paraId="3000717D"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COM-21</w:t>
            </w:r>
          </w:p>
        </w:tc>
        <w:tc>
          <w:tcPr>
            <w:tcW w:w="1465" w:type="pct"/>
            <w:tcBorders>
              <w:top w:val="nil"/>
              <w:left w:val="nil"/>
              <w:bottom w:val="nil"/>
              <w:right w:val="single" w:sz="8" w:space="0" w:color="auto"/>
            </w:tcBorders>
            <w:shd w:val="clear" w:color="000000" w:fill="DDEBF7"/>
            <w:vAlign w:val="center"/>
            <w:hideMark/>
          </w:tcPr>
          <w:p w14:paraId="1C0E9A89"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color w:val="FF0000"/>
                <w:sz w:val="16"/>
                <w:szCs w:val="16"/>
              </w:rPr>
            </w:pPr>
            <w:r w:rsidRPr="00CA6CBB">
              <w:rPr>
                <w:rFonts w:ascii="Calibri" w:hAnsi="Calibri"/>
                <w:b/>
                <w:color w:val="FF0000"/>
                <w:sz w:val="16"/>
              </w:rPr>
              <w:t>Crear un nuevo modelo de Excel, una nueva base de datos e integrar los datos (¿informes de los dos últimos años?)</w:t>
            </w:r>
          </w:p>
        </w:tc>
      </w:tr>
      <w:tr w:rsidR="000F2ED2" w:rsidRPr="00CA6CBB" w14:paraId="3C8CD9AB" w14:textId="77777777" w:rsidTr="00814F99">
        <w:trPr>
          <w:trHeight w:val="290"/>
        </w:trPr>
        <w:tc>
          <w:tcPr>
            <w:tcW w:w="104" w:type="pct"/>
            <w:tcBorders>
              <w:top w:val="nil"/>
              <w:left w:val="single" w:sz="8" w:space="0" w:color="auto"/>
              <w:bottom w:val="nil"/>
              <w:right w:val="nil"/>
            </w:tcBorders>
            <w:shd w:val="clear" w:color="000000" w:fill="DDEBF7"/>
            <w:vAlign w:val="center"/>
            <w:hideMark/>
          </w:tcPr>
          <w:p w14:paraId="1A869663"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b/>
                <w:bCs/>
                <w:color w:val="FF0000"/>
                <w:sz w:val="16"/>
                <w:szCs w:val="16"/>
              </w:rPr>
            </w:pPr>
            <w:r w:rsidRPr="00CA6CBB">
              <w:rPr>
                <w:rFonts w:ascii="Calibri" w:hAnsi="Calibri"/>
                <w:b/>
                <w:color w:val="FF0000"/>
                <w:sz w:val="16"/>
              </w:rPr>
              <w:t>4</w:t>
            </w:r>
          </w:p>
        </w:tc>
        <w:tc>
          <w:tcPr>
            <w:tcW w:w="121" w:type="pct"/>
            <w:tcBorders>
              <w:top w:val="nil"/>
              <w:left w:val="nil"/>
              <w:bottom w:val="nil"/>
              <w:right w:val="nil"/>
            </w:tcBorders>
            <w:shd w:val="clear" w:color="000000" w:fill="DDEBF7"/>
            <w:vAlign w:val="center"/>
            <w:hideMark/>
          </w:tcPr>
          <w:p w14:paraId="3844221E"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b/>
                <w:bCs/>
                <w:color w:val="FF0000"/>
                <w:sz w:val="16"/>
                <w:szCs w:val="16"/>
              </w:rPr>
            </w:pPr>
            <w:r w:rsidRPr="00CA6CBB">
              <w:rPr>
                <w:rFonts w:ascii="Calibri" w:hAnsi="Calibri"/>
                <w:b/>
                <w:color w:val="FF0000"/>
                <w:sz w:val="16"/>
              </w:rPr>
              <w:t>1</w:t>
            </w:r>
          </w:p>
        </w:tc>
        <w:tc>
          <w:tcPr>
            <w:tcW w:w="299" w:type="pct"/>
            <w:tcBorders>
              <w:top w:val="nil"/>
              <w:left w:val="nil"/>
              <w:bottom w:val="nil"/>
              <w:right w:val="nil"/>
            </w:tcBorders>
            <w:shd w:val="clear" w:color="000000" w:fill="DDEBF7"/>
            <w:vAlign w:val="center"/>
            <w:hideMark/>
          </w:tcPr>
          <w:p w14:paraId="28DD9DAF"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color w:val="FF0000"/>
                <w:sz w:val="16"/>
                <w:szCs w:val="16"/>
              </w:rPr>
            </w:pPr>
            <w:r w:rsidRPr="00CA6CBB">
              <w:rPr>
                <w:rFonts w:ascii="Calibri" w:hAnsi="Calibri"/>
                <w:b/>
                <w:color w:val="FF0000"/>
                <w:sz w:val="16"/>
              </w:rPr>
              <w:t>Tarea</w:t>
            </w:r>
          </w:p>
        </w:tc>
        <w:tc>
          <w:tcPr>
            <w:tcW w:w="1030" w:type="pct"/>
            <w:tcBorders>
              <w:top w:val="nil"/>
              <w:left w:val="nil"/>
              <w:bottom w:val="nil"/>
              <w:right w:val="nil"/>
            </w:tcBorders>
            <w:shd w:val="clear" w:color="000000" w:fill="DDEBF7"/>
            <w:vAlign w:val="center"/>
            <w:hideMark/>
          </w:tcPr>
          <w:p w14:paraId="58F712AC"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color w:val="FF0000"/>
                <w:sz w:val="16"/>
                <w:szCs w:val="16"/>
              </w:rPr>
            </w:pPr>
            <w:r w:rsidRPr="00CA6CBB">
              <w:rPr>
                <w:rFonts w:ascii="Calibri" w:hAnsi="Calibri"/>
                <w:b/>
                <w:color w:val="FF0000"/>
                <w:sz w:val="16"/>
              </w:rPr>
              <w:t>Sesión de formación/taller del Gestor de puertos</w:t>
            </w:r>
          </w:p>
        </w:tc>
        <w:tc>
          <w:tcPr>
            <w:tcW w:w="683" w:type="pct"/>
            <w:tcBorders>
              <w:top w:val="nil"/>
              <w:left w:val="nil"/>
              <w:bottom w:val="nil"/>
              <w:right w:val="nil"/>
            </w:tcBorders>
            <w:vAlign w:val="center"/>
            <w:hideMark/>
          </w:tcPr>
          <w:p w14:paraId="199430FF"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color w:val="FF0000"/>
                <w:sz w:val="16"/>
                <w:szCs w:val="16"/>
              </w:rPr>
            </w:pPr>
            <w:r w:rsidRPr="00CA6CBB">
              <w:rPr>
                <w:rFonts w:ascii="Calibri" w:hAnsi="Calibri"/>
                <w:b/>
                <w:color w:val="FF0000"/>
                <w:sz w:val="16"/>
              </w:rPr>
              <w:t>No aplicable</w:t>
            </w:r>
          </w:p>
        </w:tc>
        <w:tc>
          <w:tcPr>
            <w:tcW w:w="252" w:type="pct"/>
            <w:tcBorders>
              <w:top w:val="nil"/>
              <w:left w:val="nil"/>
              <w:bottom w:val="nil"/>
              <w:right w:val="nil"/>
            </w:tcBorders>
            <w:shd w:val="clear" w:color="000000" w:fill="FFFF00"/>
            <w:vAlign w:val="center"/>
            <w:hideMark/>
          </w:tcPr>
          <w:p w14:paraId="65285850"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color w:val="FF0000"/>
                <w:sz w:val="16"/>
                <w:szCs w:val="16"/>
              </w:rPr>
            </w:pPr>
            <w:r w:rsidRPr="00CA6CBB">
              <w:rPr>
                <w:rFonts w:ascii="Calibri" w:hAnsi="Calibri"/>
                <w:b/>
                <w:color w:val="FF0000"/>
                <w:sz w:val="16"/>
              </w:rPr>
              <w:t>Previsto</w:t>
            </w:r>
          </w:p>
        </w:tc>
        <w:tc>
          <w:tcPr>
            <w:tcW w:w="296" w:type="pct"/>
            <w:tcBorders>
              <w:top w:val="nil"/>
              <w:left w:val="nil"/>
              <w:bottom w:val="nil"/>
              <w:right w:val="nil"/>
            </w:tcBorders>
            <w:shd w:val="clear" w:color="000000" w:fill="FFFF00"/>
            <w:vAlign w:val="center"/>
            <w:hideMark/>
          </w:tcPr>
          <w:p w14:paraId="57D0DF4F"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b/>
                <w:bCs/>
                <w:color w:val="FF0000"/>
                <w:sz w:val="16"/>
                <w:szCs w:val="16"/>
              </w:rPr>
            </w:pPr>
            <w:r w:rsidRPr="00CA6CBB">
              <w:rPr>
                <w:rFonts w:ascii="Calibri" w:hAnsi="Calibri"/>
                <w:b/>
                <w:color w:val="FF0000"/>
                <w:sz w:val="16"/>
              </w:rPr>
              <w:t>Por determinar</w:t>
            </w:r>
          </w:p>
        </w:tc>
        <w:tc>
          <w:tcPr>
            <w:tcW w:w="286" w:type="pct"/>
            <w:tcBorders>
              <w:top w:val="nil"/>
              <w:left w:val="nil"/>
              <w:bottom w:val="nil"/>
              <w:right w:val="nil"/>
            </w:tcBorders>
            <w:shd w:val="clear" w:color="000000" w:fill="FFFF00"/>
            <w:vAlign w:val="center"/>
            <w:hideMark/>
          </w:tcPr>
          <w:p w14:paraId="0313C946"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b/>
                <w:bCs/>
                <w:color w:val="FF0000"/>
                <w:sz w:val="16"/>
                <w:szCs w:val="16"/>
              </w:rPr>
            </w:pPr>
            <w:r w:rsidRPr="00CA6CBB">
              <w:rPr>
                <w:rFonts w:ascii="Calibri" w:hAnsi="Calibri"/>
                <w:b/>
                <w:color w:val="FF0000"/>
                <w:sz w:val="16"/>
              </w:rPr>
              <w:t> </w:t>
            </w:r>
          </w:p>
        </w:tc>
        <w:tc>
          <w:tcPr>
            <w:tcW w:w="258" w:type="pct"/>
            <w:tcBorders>
              <w:top w:val="nil"/>
              <w:left w:val="nil"/>
              <w:bottom w:val="nil"/>
              <w:right w:val="nil"/>
            </w:tcBorders>
            <w:shd w:val="clear" w:color="000000" w:fill="DDEBF7"/>
            <w:vAlign w:val="center"/>
            <w:hideMark/>
          </w:tcPr>
          <w:p w14:paraId="291D214D"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b/>
                <w:bCs/>
                <w:color w:val="FF0000"/>
                <w:sz w:val="16"/>
                <w:szCs w:val="16"/>
              </w:rPr>
            </w:pPr>
            <w:r w:rsidRPr="00CA6CBB">
              <w:rPr>
                <w:rFonts w:ascii="Calibri" w:hAnsi="Calibri"/>
                <w:b/>
                <w:color w:val="FF0000"/>
                <w:sz w:val="16"/>
              </w:rPr>
              <w:t>5</w:t>
            </w:r>
          </w:p>
        </w:tc>
        <w:tc>
          <w:tcPr>
            <w:tcW w:w="207" w:type="pct"/>
            <w:tcBorders>
              <w:top w:val="nil"/>
              <w:left w:val="nil"/>
              <w:bottom w:val="nil"/>
              <w:right w:val="nil"/>
            </w:tcBorders>
            <w:shd w:val="clear" w:color="000000" w:fill="DDEBF7"/>
            <w:vAlign w:val="center"/>
            <w:hideMark/>
          </w:tcPr>
          <w:p w14:paraId="5D935A85"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color w:val="FF0000"/>
                <w:sz w:val="16"/>
                <w:szCs w:val="16"/>
              </w:rPr>
            </w:pPr>
            <w:r w:rsidRPr="00CA6CBB">
              <w:rPr>
                <w:rFonts w:ascii="Calibri" w:hAnsi="Calibri"/>
                <w:b/>
                <w:color w:val="FF0000"/>
                <w:sz w:val="16"/>
              </w:rPr>
              <w:t>COM-25</w:t>
            </w:r>
          </w:p>
        </w:tc>
        <w:tc>
          <w:tcPr>
            <w:tcW w:w="1465" w:type="pct"/>
            <w:tcBorders>
              <w:top w:val="nil"/>
              <w:left w:val="nil"/>
              <w:bottom w:val="nil"/>
              <w:right w:val="single" w:sz="8" w:space="0" w:color="auto"/>
            </w:tcBorders>
            <w:shd w:val="clear" w:color="000000" w:fill="DDEBF7"/>
            <w:vAlign w:val="center"/>
            <w:hideMark/>
          </w:tcPr>
          <w:p w14:paraId="79047F19"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 </w:t>
            </w:r>
          </w:p>
        </w:tc>
      </w:tr>
      <w:tr w:rsidR="000F2ED2" w:rsidRPr="00CA6CBB" w14:paraId="38682E57" w14:textId="77777777" w:rsidTr="00814F99">
        <w:trPr>
          <w:trHeight w:val="290"/>
        </w:trPr>
        <w:tc>
          <w:tcPr>
            <w:tcW w:w="104" w:type="pct"/>
            <w:tcBorders>
              <w:top w:val="nil"/>
              <w:left w:val="single" w:sz="8" w:space="0" w:color="auto"/>
              <w:bottom w:val="nil"/>
              <w:right w:val="nil"/>
            </w:tcBorders>
            <w:shd w:val="clear" w:color="000000" w:fill="DDEBF7"/>
            <w:vAlign w:val="center"/>
            <w:hideMark/>
          </w:tcPr>
          <w:p w14:paraId="02874B11"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b/>
                <w:bCs/>
                <w:color w:val="FF0000"/>
                <w:sz w:val="16"/>
                <w:szCs w:val="16"/>
              </w:rPr>
            </w:pPr>
            <w:r w:rsidRPr="00CA6CBB">
              <w:rPr>
                <w:rFonts w:ascii="Calibri" w:hAnsi="Calibri"/>
                <w:b/>
                <w:color w:val="FF0000"/>
                <w:sz w:val="16"/>
              </w:rPr>
              <w:lastRenderedPageBreak/>
              <w:t>4</w:t>
            </w:r>
          </w:p>
        </w:tc>
        <w:tc>
          <w:tcPr>
            <w:tcW w:w="121" w:type="pct"/>
            <w:tcBorders>
              <w:top w:val="nil"/>
              <w:left w:val="nil"/>
              <w:bottom w:val="nil"/>
              <w:right w:val="nil"/>
            </w:tcBorders>
            <w:shd w:val="clear" w:color="000000" w:fill="DDEBF7"/>
            <w:vAlign w:val="center"/>
            <w:hideMark/>
          </w:tcPr>
          <w:p w14:paraId="1B578BC4"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b/>
                <w:bCs/>
                <w:color w:val="FF0000"/>
                <w:sz w:val="16"/>
                <w:szCs w:val="16"/>
              </w:rPr>
            </w:pPr>
            <w:r w:rsidRPr="00CA6CBB">
              <w:rPr>
                <w:rFonts w:ascii="Calibri" w:hAnsi="Calibri"/>
                <w:b/>
                <w:color w:val="FF0000"/>
                <w:sz w:val="16"/>
              </w:rPr>
              <w:t>1</w:t>
            </w:r>
          </w:p>
        </w:tc>
        <w:tc>
          <w:tcPr>
            <w:tcW w:w="299" w:type="pct"/>
            <w:tcBorders>
              <w:top w:val="nil"/>
              <w:left w:val="nil"/>
              <w:bottom w:val="nil"/>
              <w:right w:val="nil"/>
            </w:tcBorders>
            <w:shd w:val="clear" w:color="000000" w:fill="DDEBF7"/>
            <w:vAlign w:val="center"/>
            <w:hideMark/>
          </w:tcPr>
          <w:p w14:paraId="0899A7B7"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color w:val="FF0000"/>
                <w:sz w:val="16"/>
                <w:szCs w:val="16"/>
              </w:rPr>
            </w:pPr>
            <w:r w:rsidRPr="00CA6CBB">
              <w:rPr>
                <w:rFonts w:ascii="Calibri" w:hAnsi="Calibri"/>
                <w:b/>
                <w:color w:val="FF0000"/>
                <w:sz w:val="16"/>
              </w:rPr>
              <w:t>Tarea</w:t>
            </w:r>
          </w:p>
        </w:tc>
        <w:tc>
          <w:tcPr>
            <w:tcW w:w="1030" w:type="pct"/>
            <w:tcBorders>
              <w:top w:val="nil"/>
              <w:left w:val="nil"/>
              <w:bottom w:val="nil"/>
              <w:right w:val="nil"/>
            </w:tcBorders>
            <w:shd w:val="clear" w:color="000000" w:fill="DDEBF7"/>
            <w:vAlign w:val="center"/>
            <w:hideMark/>
          </w:tcPr>
          <w:p w14:paraId="09C3C2DE"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color w:val="FF0000"/>
                <w:sz w:val="16"/>
                <w:szCs w:val="16"/>
              </w:rPr>
            </w:pPr>
            <w:r w:rsidRPr="00CA6CBB">
              <w:rPr>
                <w:rFonts w:ascii="Calibri" w:hAnsi="Calibri"/>
                <w:b/>
                <w:color w:val="FF0000"/>
                <w:sz w:val="16"/>
              </w:rPr>
              <w:t>Sesión de formación sobre dificultades encontradas en el IOMS</w:t>
            </w:r>
          </w:p>
        </w:tc>
        <w:tc>
          <w:tcPr>
            <w:tcW w:w="683" w:type="pct"/>
            <w:tcBorders>
              <w:top w:val="nil"/>
              <w:left w:val="nil"/>
              <w:bottom w:val="nil"/>
              <w:right w:val="nil"/>
            </w:tcBorders>
            <w:vAlign w:val="center"/>
            <w:hideMark/>
          </w:tcPr>
          <w:p w14:paraId="361778A5"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color w:val="FF0000"/>
                <w:sz w:val="16"/>
                <w:szCs w:val="16"/>
              </w:rPr>
            </w:pPr>
            <w:r w:rsidRPr="00CA6CBB">
              <w:rPr>
                <w:rFonts w:ascii="Calibri" w:hAnsi="Calibri"/>
                <w:b/>
                <w:color w:val="FF0000"/>
                <w:sz w:val="16"/>
              </w:rPr>
              <w:t>No aplicable</w:t>
            </w:r>
          </w:p>
        </w:tc>
        <w:tc>
          <w:tcPr>
            <w:tcW w:w="252" w:type="pct"/>
            <w:tcBorders>
              <w:top w:val="nil"/>
              <w:left w:val="nil"/>
              <w:bottom w:val="nil"/>
              <w:right w:val="nil"/>
            </w:tcBorders>
            <w:shd w:val="clear" w:color="000000" w:fill="FFFF00"/>
            <w:vAlign w:val="center"/>
            <w:hideMark/>
          </w:tcPr>
          <w:p w14:paraId="3D7C1C0C"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color w:val="FF0000"/>
                <w:sz w:val="16"/>
                <w:szCs w:val="16"/>
              </w:rPr>
            </w:pPr>
            <w:r w:rsidRPr="00CA6CBB">
              <w:rPr>
                <w:rFonts w:ascii="Calibri" w:hAnsi="Calibri"/>
                <w:b/>
                <w:color w:val="FF0000"/>
                <w:sz w:val="16"/>
              </w:rPr>
              <w:t>Previsto</w:t>
            </w:r>
          </w:p>
        </w:tc>
        <w:tc>
          <w:tcPr>
            <w:tcW w:w="296" w:type="pct"/>
            <w:tcBorders>
              <w:top w:val="nil"/>
              <w:left w:val="nil"/>
              <w:bottom w:val="nil"/>
              <w:right w:val="nil"/>
            </w:tcBorders>
            <w:shd w:val="clear" w:color="000000" w:fill="FFFF00"/>
            <w:vAlign w:val="center"/>
            <w:hideMark/>
          </w:tcPr>
          <w:p w14:paraId="5D4CC47C"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b/>
                <w:bCs/>
                <w:color w:val="FF0000"/>
                <w:sz w:val="16"/>
                <w:szCs w:val="16"/>
              </w:rPr>
            </w:pPr>
            <w:r w:rsidRPr="00CA6CBB">
              <w:rPr>
                <w:rFonts w:ascii="Calibri" w:hAnsi="Calibri"/>
                <w:b/>
                <w:color w:val="FF0000"/>
                <w:sz w:val="16"/>
              </w:rPr>
              <w:t>Por determinar</w:t>
            </w:r>
          </w:p>
        </w:tc>
        <w:tc>
          <w:tcPr>
            <w:tcW w:w="286" w:type="pct"/>
            <w:tcBorders>
              <w:top w:val="nil"/>
              <w:left w:val="nil"/>
              <w:bottom w:val="nil"/>
              <w:right w:val="nil"/>
            </w:tcBorders>
            <w:shd w:val="clear" w:color="000000" w:fill="FFFF00"/>
            <w:vAlign w:val="center"/>
            <w:hideMark/>
          </w:tcPr>
          <w:p w14:paraId="651AB7DD"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b/>
                <w:bCs/>
                <w:color w:val="FF0000"/>
                <w:sz w:val="16"/>
                <w:szCs w:val="16"/>
              </w:rPr>
            </w:pPr>
            <w:r w:rsidRPr="00CA6CBB">
              <w:rPr>
                <w:rFonts w:ascii="Calibri" w:hAnsi="Calibri"/>
                <w:b/>
                <w:color w:val="FF0000"/>
                <w:sz w:val="16"/>
              </w:rPr>
              <w:t> </w:t>
            </w:r>
          </w:p>
        </w:tc>
        <w:tc>
          <w:tcPr>
            <w:tcW w:w="258" w:type="pct"/>
            <w:tcBorders>
              <w:top w:val="nil"/>
              <w:left w:val="nil"/>
              <w:bottom w:val="nil"/>
              <w:right w:val="nil"/>
            </w:tcBorders>
            <w:shd w:val="clear" w:color="000000" w:fill="DDEBF7"/>
            <w:vAlign w:val="center"/>
            <w:hideMark/>
          </w:tcPr>
          <w:p w14:paraId="4D0C8BED"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b/>
                <w:bCs/>
                <w:color w:val="FF0000"/>
                <w:sz w:val="16"/>
                <w:szCs w:val="16"/>
              </w:rPr>
            </w:pPr>
            <w:r w:rsidRPr="00CA6CBB">
              <w:rPr>
                <w:rFonts w:ascii="Calibri" w:hAnsi="Calibri"/>
                <w:b/>
                <w:color w:val="FF0000"/>
                <w:sz w:val="16"/>
              </w:rPr>
              <w:t>5</w:t>
            </w:r>
          </w:p>
        </w:tc>
        <w:tc>
          <w:tcPr>
            <w:tcW w:w="207" w:type="pct"/>
            <w:tcBorders>
              <w:top w:val="nil"/>
              <w:left w:val="nil"/>
              <w:bottom w:val="nil"/>
              <w:right w:val="nil"/>
            </w:tcBorders>
            <w:shd w:val="clear" w:color="000000" w:fill="DDEBF7"/>
            <w:vAlign w:val="center"/>
            <w:hideMark/>
          </w:tcPr>
          <w:p w14:paraId="7560D97D"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color w:val="FF0000"/>
                <w:sz w:val="16"/>
                <w:szCs w:val="16"/>
              </w:rPr>
            </w:pPr>
            <w:r w:rsidRPr="00CA6CBB">
              <w:rPr>
                <w:rFonts w:ascii="Calibri" w:hAnsi="Calibri"/>
                <w:b/>
                <w:color w:val="FF0000"/>
                <w:sz w:val="16"/>
              </w:rPr>
              <w:t>COM-25</w:t>
            </w:r>
          </w:p>
        </w:tc>
        <w:tc>
          <w:tcPr>
            <w:tcW w:w="1465" w:type="pct"/>
            <w:tcBorders>
              <w:top w:val="nil"/>
              <w:left w:val="nil"/>
              <w:bottom w:val="nil"/>
              <w:right w:val="single" w:sz="8" w:space="0" w:color="auto"/>
            </w:tcBorders>
            <w:shd w:val="clear" w:color="000000" w:fill="DDEBF7"/>
            <w:vAlign w:val="center"/>
            <w:hideMark/>
          </w:tcPr>
          <w:p w14:paraId="1F847AD0"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 </w:t>
            </w:r>
          </w:p>
        </w:tc>
      </w:tr>
      <w:tr w:rsidR="000F2ED2" w:rsidRPr="00CA6CBB" w14:paraId="4A2A6E1F" w14:textId="77777777" w:rsidTr="00814F99">
        <w:trPr>
          <w:trHeight w:val="290"/>
        </w:trPr>
        <w:tc>
          <w:tcPr>
            <w:tcW w:w="104" w:type="pct"/>
            <w:tcBorders>
              <w:top w:val="nil"/>
              <w:left w:val="single" w:sz="8" w:space="0" w:color="auto"/>
              <w:bottom w:val="nil"/>
              <w:right w:val="nil"/>
            </w:tcBorders>
            <w:vAlign w:val="center"/>
            <w:hideMark/>
          </w:tcPr>
          <w:p w14:paraId="0FC6A2F7"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4</w:t>
            </w:r>
          </w:p>
        </w:tc>
        <w:tc>
          <w:tcPr>
            <w:tcW w:w="121" w:type="pct"/>
            <w:tcBorders>
              <w:top w:val="nil"/>
              <w:left w:val="nil"/>
              <w:bottom w:val="nil"/>
              <w:right w:val="nil"/>
            </w:tcBorders>
            <w:vAlign w:val="center"/>
            <w:hideMark/>
          </w:tcPr>
          <w:p w14:paraId="52668BA9"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2</w:t>
            </w:r>
          </w:p>
        </w:tc>
        <w:tc>
          <w:tcPr>
            <w:tcW w:w="299" w:type="pct"/>
            <w:tcBorders>
              <w:top w:val="nil"/>
              <w:left w:val="nil"/>
              <w:bottom w:val="nil"/>
              <w:right w:val="nil"/>
            </w:tcBorders>
            <w:shd w:val="clear" w:color="000000" w:fill="FFFFFF"/>
            <w:vAlign w:val="center"/>
            <w:hideMark/>
          </w:tcPr>
          <w:p w14:paraId="4308B97F"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Tarea</w:t>
            </w:r>
          </w:p>
        </w:tc>
        <w:tc>
          <w:tcPr>
            <w:tcW w:w="1030" w:type="pct"/>
            <w:tcBorders>
              <w:top w:val="nil"/>
              <w:left w:val="nil"/>
              <w:bottom w:val="nil"/>
              <w:right w:val="nil"/>
            </w:tcBorders>
            <w:shd w:val="clear" w:color="000000" w:fill="FFFFFF"/>
            <w:vAlign w:val="center"/>
            <w:hideMark/>
          </w:tcPr>
          <w:p w14:paraId="40C11494"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Sesiones de formación/taller de hojas de comprobación de tiburones/istiofóridos</w:t>
            </w:r>
          </w:p>
        </w:tc>
        <w:tc>
          <w:tcPr>
            <w:tcW w:w="683" w:type="pct"/>
            <w:tcBorders>
              <w:top w:val="nil"/>
              <w:left w:val="nil"/>
              <w:bottom w:val="nil"/>
              <w:right w:val="nil"/>
            </w:tcBorders>
            <w:shd w:val="clear" w:color="000000" w:fill="FFFFFF"/>
            <w:vAlign w:val="center"/>
            <w:hideMark/>
          </w:tcPr>
          <w:p w14:paraId="4A3F4AA1"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No aplicable</w:t>
            </w:r>
          </w:p>
        </w:tc>
        <w:tc>
          <w:tcPr>
            <w:tcW w:w="252" w:type="pct"/>
            <w:tcBorders>
              <w:top w:val="nil"/>
              <w:left w:val="nil"/>
              <w:bottom w:val="nil"/>
              <w:right w:val="nil"/>
            </w:tcBorders>
            <w:shd w:val="clear" w:color="000000" w:fill="FFFF00"/>
            <w:vAlign w:val="center"/>
            <w:hideMark/>
          </w:tcPr>
          <w:p w14:paraId="791EECA9"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Previsto</w:t>
            </w:r>
          </w:p>
        </w:tc>
        <w:tc>
          <w:tcPr>
            <w:tcW w:w="296" w:type="pct"/>
            <w:tcBorders>
              <w:top w:val="nil"/>
              <w:left w:val="nil"/>
              <w:bottom w:val="nil"/>
              <w:right w:val="nil"/>
            </w:tcBorders>
            <w:shd w:val="clear" w:color="000000" w:fill="FFFF00"/>
            <w:vAlign w:val="center"/>
            <w:hideMark/>
          </w:tcPr>
          <w:p w14:paraId="3269F7FF"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Por determinar</w:t>
            </w:r>
          </w:p>
        </w:tc>
        <w:tc>
          <w:tcPr>
            <w:tcW w:w="286" w:type="pct"/>
            <w:tcBorders>
              <w:top w:val="nil"/>
              <w:left w:val="nil"/>
              <w:bottom w:val="nil"/>
              <w:right w:val="nil"/>
            </w:tcBorders>
            <w:shd w:val="clear" w:color="000000" w:fill="FFFF00"/>
            <w:vAlign w:val="center"/>
            <w:hideMark/>
          </w:tcPr>
          <w:p w14:paraId="265BBAFE"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Por determinar</w:t>
            </w:r>
          </w:p>
        </w:tc>
        <w:tc>
          <w:tcPr>
            <w:tcW w:w="258" w:type="pct"/>
            <w:tcBorders>
              <w:top w:val="nil"/>
              <w:left w:val="nil"/>
              <w:bottom w:val="nil"/>
              <w:right w:val="nil"/>
            </w:tcBorders>
            <w:shd w:val="clear" w:color="000000" w:fill="FFFF00"/>
            <w:vAlign w:val="center"/>
            <w:hideMark/>
          </w:tcPr>
          <w:p w14:paraId="28217572"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b/>
                <w:bCs/>
                <w:color w:val="FF0000"/>
                <w:sz w:val="16"/>
                <w:szCs w:val="16"/>
              </w:rPr>
            </w:pPr>
            <w:r w:rsidRPr="00CA6CBB">
              <w:rPr>
                <w:rFonts w:ascii="Calibri" w:hAnsi="Calibri"/>
                <w:b/>
                <w:color w:val="FF0000"/>
                <w:sz w:val="16"/>
              </w:rPr>
              <w:t>5</w:t>
            </w:r>
          </w:p>
        </w:tc>
        <w:tc>
          <w:tcPr>
            <w:tcW w:w="207" w:type="pct"/>
            <w:tcBorders>
              <w:top w:val="nil"/>
              <w:left w:val="nil"/>
              <w:bottom w:val="nil"/>
              <w:right w:val="nil"/>
            </w:tcBorders>
            <w:shd w:val="clear" w:color="000000" w:fill="FFFF00"/>
            <w:vAlign w:val="center"/>
            <w:hideMark/>
          </w:tcPr>
          <w:p w14:paraId="26A361B8"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COM-21</w:t>
            </w:r>
          </w:p>
        </w:tc>
        <w:tc>
          <w:tcPr>
            <w:tcW w:w="1465" w:type="pct"/>
            <w:tcBorders>
              <w:top w:val="nil"/>
              <w:left w:val="nil"/>
              <w:bottom w:val="nil"/>
              <w:right w:val="single" w:sz="8" w:space="0" w:color="auto"/>
            </w:tcBorders>
            <w:shd w:val="clear" w:color="000000" w:fill="FFFFFF"/>
            <w:vAlign w:val="center"/>
            <w:hideMark/>
          </w:tcPr>
          <w:p w14:paraId="64E8985F"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FF0000"/>
                <w:sz w:val="16"/>
                <w:szCs w:val="16"/>
              </w:rPr>
            </w:pPr>
            <w:r w:rsidRPr="00CA6CBB">
              <w:rPr>
                <w:rFonts w:ascii="Calibri" w:hAnsi="Calibri"/>
                <w:color w:val="FF0000"/>
                <w:sz w:val="16"/>
              </w:rPr>
              <w:t>Puede ser necesario más de un taller</w:t>
            </w:r>
          </w:p>
        </w:tc>
      </w:tr>
      <w:tr w:rsidR="000F2ED2" w:rsidRPr="00CA6CBB" w14:paraId="687FB910" w14:textId="77777777" w:rsidTr="00814F99">
        <w:trPr>
          <w:trHeight w:val="290"/>
        </w:trPr>
        <w:tc>
          <w:tcPr>
            <w:tcW w:w="104" w:type="pct"/>
            <w:tcBorders>
              <w:top w:val="nil"/>
              <w:left w:val="single" w:sz="8" w:space="0" w:color="auto"/>
              <w:bottom w:val="nil"/>
              <w:right w:val="nil"/>
            </w:tcBorders>
            <w:vAlign w:val="center"/>
            <w:hideMark/>
          </w:tcPr>
          <w:p w14:paraId="58CF6D88"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4</w:t>
            </w:r>
          </w:p>
        </w:tc>
        <w:tc>
          <w:tcPr>
            <w:tcW w:w="121" w:type="pct"/>
            <w:tcBorders>
              <w:top w:val="nil"/>
              <w:left w:val="nil"/>
              <w:bottom w:val="nil"/>
              <w:right w:val="nil"/>
            </w:tcBorders>
            <w:vAlign w:val="center"/>
            <w:hideMark/>
          </w:tcPr>
          <w:p w14:paraId="28A9E52E"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1</w:t>
            </w:r>
          </w:p>
        </w:tc>
        <w:tc>
          <w:tcPr>
            <w:tcW w:w="299" w:type="pct"/>
            <w:tcBorders>
              <w:top w:val="nil"/>
              <w:left w:val="nil"/>
              <w:bottom w:val="nil"/>
              <w:right w:val="nil"/>
            </w:tcBorders>
            <w:vAlign w:val="center"/>
            <w:hideMark/>
          </w:tcPr>
          <w:p w14:paraId="18C9E955"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Tarea</w:t>
            </w:r>
          </w:p>
        </w:tc>
        <w:tc>
          <w:tcPr>
            <w:tcW w:w="1030" w:type="pct"/>
            <w:tcBorders>
              <w:top w:val="nil"/>
              <w:left w:val="nil"/>
              <w:bottom w:val="nil"/>
              <w:right w:val="nil"/>
            </w:tcBorders>
            <w:vAlign w:val="center"/>
            <w:hideMark/>
          </w:tcPr>
          <w:p w14:paraId="150930A2"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Sesiones de formación/taller de T1NC/COCT</w:t>
            </w:r>
          </w:p>
        </w:tc>
        <w:tc>
          <w:tcPr>
            <w:tcW w:w="683" w:type="pct"/>
            <w:tcBorders>
              <w:top w:val="nil"/>
              <w:left w:val="nil"/>
              <w:bottom w:val="nil"/>
              <w:right w:val="nil"/>
            </w:tcBorders>
            <w:vAlign w:val="center"/>
            <w:hideMark/>
          </w:tcPr>
          <w:p w14:paraId="1C9B66A9"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No aplicable</w:t>
            </w:r>
          </w:p>
        </w:tc>
        <w:tc>
          <w:tcPr>
            <w:tcW w:w="252" w:type="pct"/>
            <w:tcBorders>
              <w:top w:val="nil"/>
              <w:left w:val="nil"/>
              <w:bottom w:val="nil"/>
              <w:right w:val="nil"/>
            </w:tcBorders>
            <w:shd w:val="clear" w:color="000000" w:fill="FFFF00"/>
            <w:vAlign w:val="center"/>
            <w:hideMark/>
          </w:tcPr>
          <w:p w14:paraId="10BE1087"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Previsto</w:t>
            </w:r>
          </w:p>
        </w:tc>
        <w:tc>
          <w:tcPr>
            <w:tcW w:w="296" w:type="pct"/>
            <w:tcBorders>
              <w:top w:val="nil"/>
              <w:left w:val="nil"/>
              <w:bottom w:val="nil"/>
              <w:right w:val="nil"/>
            </w:tcBorders>
            <w:shd w:val="clear" w:color="000000" w:fill="FFFF00"/>
            <w:vAlign w:val="center"/>
            <w:hideMark/>
          </w:tcPr>
          <w:p w14:paraId="668CC82F"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Por determinar</w:t>
            </w:r>
          </w:p>
        </w:tc>
        <w:tc>
          <w:tcPr>
            <w:tcW w:w="286" w:type="pct"/>
            <w:tcBorders>
              <w:top w:val="nil"/>
              <w:left w:val="nil"/>
              <w:bottom w:val="nil"/>
              <w:right w:val="nil"/>
            </w:tcBorders>
            <w:shd w:val="clear" w:color="000000" w:fill="FFFF00"/>
            <w:vAlign w:val="center"/>
            <w:hideMark/>
          </w:tcPr>
          <w:p w14:paraId="41E8954E"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Por determinar</w:t>
            </w:r>
          </w:p>
        </w:tc>
        <w:tc>
          <w:tcPr>
            <w:tcW w:w="258" w:type="pct"/>
            <w:tcBorders>
              <w:top w:val="nil"/>
              <w:left w:val="nil"/>
              <w:bottom w:val="nil"/>
              <w:right w:val="nil"/>
            </w:tcBorders>
            <w:shd w:val="clear" w:color="000000" w:fill="FFFF00"/>
            <w:hideMark/>
          </w:tcPr>
          <w:p w14:paraId="12B4B033"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b/>
                <w:bCs/>
                <w:color w:val="FF0000"/>
                <w:sz w:val="16"/>
                <w:szCs w:val="16"/>
              </w:rPr>
            </w:pPr>
            <w:r w:rsidRPr="00CA6CBB">
              <w:rPr>
                <w:rFonts w:ascii="Calibri" w:hAnsi="Calibri"/>
                <w:b/>
                <w:color w:val="FF0000"/>
                <w:sz w:val="16"/>
              </w:rPr>
              <w:t>5</w:t>
            </w:r>
          </w:p>
        </w:tc>
        <w:tc>
          <w:tcPr>
            <w:tcW w:w="207" w:type="pct"/>
            <w:tcBorders>
              <w:top w:val="nil"/>
              <w:left w:val="nil"/>
              <w:bottom w:val="nil"/>
              <w:right w:val="nil"/>
            </w:tcBorders>
            <w:shd w:val="clear" w:color="000000" w:fill="FFFF00"/>
            <w:vAlign w:val="center"/>
            <w:hideMark/>
          </w:tcPr>
          <w:p w14:paraId="38D8465B"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COM-23</w:t>
            </w:r>
          </w:p>
        </w:tc>
        <w:tc>
          <w:tcPr>
            <w:tcW w:w="1465" w:type="pct"/>
            <w:tcBorders>
              <w:top w:val="nil"/>
              <w:left w:val="nil"/>
              <w:bottom w:val="nil"/>
              <w:right w:val="single" w:sz="8" w:space="0" w:color="auto"/>
            </w:tcBorders>
            <w:vAlign w:val="center"/>
            <w:hideMark/>
          </w:tcPr>
          <w:p w14:paraId="5C0FE2E1"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 </w:t>
            </w:r>
          </w:p>
        </w:tc>
      </w:tr>
      <w:tr w:rsidR="000F2ED2" w:rsidRPr="00CA6CBB" w14:paraId="4A2C1CC2" w14:textId="77777777" w:rsidTr="00814F99">
        <w:trPr>
          <w:trHeight w:val="300"/>
        </w:trPr>
        <w:tc>
          <w:tcPr>
            <w:tcW w:w="104" w:type="pct"/>
            <w:tcBorders>
              <w:top w:val="nil"/>
              <w:left w:val="single" w:sz="8" w:space="0" w:color="auto"/>
              <w:bottom w:val="single" w:sz="8" w:space="0" w:color="auto"/>
              <w:right w:val="nil"/>
            </w:tcBorders>
            <w:shd w:val="clear" w:color="000000" w:fill="DDEBF7"/>
            <w:vAlign w:val="center"/>
            <w:hideMark/>
          </w:tcPr>
          <w:p w14:paraId="06EB872A"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4</w:t>
            </w:r>
          </w:p>
        </w:tc>
        <w:tc>
          <w:tcPr>
            <w:tcW w:w="121" w:type="pct"/>
            <w:tcBorders>
              <w:top w:val="nil"/>
              <w:left w:val="nil"/>
              <w:bottom w:val="single" w:sz="8" w:space="0" w:color="auto"/>
              <w:right w:val="nil"/>
            </w:tcBorders>
            <w:shd w:val="clear" w:color="000000" w:fill="DDEBF7"/>
            <w:vAlign w:val="center"/>
            <w:hideMark/>
          </w:tcPr>
          <w:p w14:paraId="14ACFC66"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1</w:t>
            </w:r>
          </w:p>
        </w:tc>
        <w:tc>
          <w:tcPr>
            <w:tcW w:w="299" w:type="pct"/>
            <w:tcBorders>
              <w:top w:val="nil"/>
              <w:left w:val="nil"/>
              <w:bottom w:val="single" w:sz="8" w:space="0" w:color="auto"/>
              <w:right w:val="nil"/>
            </w:tcBorders>
            <w:shd w:val="clear" w:color="000000" w:fill="DDEBF7"/>
            <w:vAlign w:val="center"/>
            <w:hideMark/>
          </w:tcPr>
          <w:p w14:paraId="4B5B99FD"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Tarea</w:t>
            </w:r>
          </w:p>
        </w:tc>
        <w:tc>
          <w:tcPr>
            <w:tcW w:w="1030" w:type="pct"/>
            <w:tcBorders>
              <w:top w:val="nil"/>
              <w:left w:val="nil"/>
              <w:bottom w:val="single" w:sz="8" w:space="0" w:color="auto"/>
              <w:right w:val="nil"/>
            </w:tcBorders>
            <w:shd w:val="clear" w:color="000000" w:fill="DDEBF7"/>
            <w:vAlign w:val="center"/>
            <w:hideMark/>
          </w:tcPr>
          <w:p w14:paraId="142F5CF3"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Mantenimiento (incluye mejora y corrección de errores)</w:t>
            </w:r>
          </w:p>
        </w:tc>
        <w:tc>
          <w:tcPr>
            <w:tcW w:w="683" w:type="pct"/>
            <w:tcBorders>
              <w:top w:val="nil"/>
              <w:left w:val="nil"/>
              <w:bottom w:val="single" w:sz="8" w:space="0" w:color="auto"/>
              <w:right w:val="nil"/>
            </w:tcBorders>
            <w:shd w:val="clear" w:color="000000" w:fill="DDEBF7"/>
            <w:vAlign w:val="center"/>
            <w:hideMark/>
          </w:tcPr>
          <w:p w14:paraId="780D882D"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No aplicable</w:t>
            </w:r>
          </w:p>
        </w:tc>
        <w:tc>
          <w:tcPr>
            <w:tcW w:w="252" w:type="pct"/>
            <w:tcBorders>
              <w:top w:val="nil"/>
              <w:left w:val="nil"/>
              <w:bottom w:val="single" w:sz="8" w:space="0" w:color="auto"/>
              <w:right w:val="nil"/>
            </w:tcBorders>
            <w:shd w:val="clear" w:color="000000" w:fill="DDEBF7"/>
            <w:vAlign w:val="center"/>
            <w:hideMark/>
          </w:tcPr>
          <w:p w14:paraId="3A2E2580"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Previsto</w:t>
            </w:r>
          </w:p>
        </w:tc>
        <w:tc>
          <w:tcPr>
            <w:tcW w:w="296" w:type="pct"/>
            <w:tcBorders>
              <w:top w:val="nil"/>
              <w:left w:val="nil"/>
              <w:bottom w:val="single" w:sz="8" w:space="0" w:color="auto"/>
              <w:right w:val="nil"/>
            </w:tcBorders>
            <w:shd w:val="clear" w:color="000000" w:fill="DDEBF7"/>
            <w:vAlign w:val="center"/>
            <w:hideMark/>
          </w:tcPr>
          <w:p w14:paraId="176182C8"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Por determinar</w:t>
            </w:r>
          </w:p>
        </w:tc>
        <w:tc>
          <w:tcPr>
            <w:tcW w:w="286" w:type="pct"/>
            <w:tcBorders>
              <w:top w:val="nil"/>
              <w:left w:val="nil"/>
              <w:bottom w:val="single" w:sz="8" w:space="0" w:color="auto"/>
              <w:right w:val="nil"/>
            </w:tcBorders>
            <w:shd w:val="clear" w:color="000000" w:fill="DDEBF7"/>
            <w:vAlign w:val="center"/>
            <w:hideMark/>
          </w:tcPr>
          <w:p w14:paraId="12E2FFFC"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Por determinar</w:t>
            </w:r>
          </w:p>
        </w:tc>
        <w:tc>
          <w:tcPr>
            <w:tcW w:w="258" w:type="pct"/>
            <w:tcBorders>
              <w:top w:val="nil"/>
              <w:left w:val="nil"/>
              <w:bottom w:val="single" w:sz="8" w:space="0" w:color="auto"/>
              <w:right w:val="nil"/>
            </w:tcBorders>
            <w:shd w:val="clear" w:color="000000" w:fill="DDEBF7"/>
            <w:vAlign w:val="center"/>
            <w:hideMark/>
          </w:tcPr>
          <w:p w14:paraId="29832B68"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b/>
                <w:bCs/>
                <w:color w:val="FF0000"/>
                <w:sz w:val="16"/>
                <w:szCs w:val="16"/>
              </w:rPr>
            </w:pPr>
            <w:r w:rsidRPr="00CA6CBB">
              <w:rPr>
                <w:rFonts w:ascii="Calibri" w:hAnsi="Calibri"/>
                <w:b/>
                <w:color w:val="FF0000"/>
                <w:sz w:val="16"/>
              </w:rPr>
              <w:t>5</w:t>
            </w:r>
          </w:p>
        </w:tc>
        <w:tc>
          <w:tcPr>
            <w:tcW w:w="207" w:type="pct"/>
            <w:tcBorders>
              <w:top w:val="nil"/>
              <w:left w:val="nil"/>
              <w:bottom w:val="single" w:sz="8" w:space="0" w:color="auto"/>
              <w:right w:val="nil"/>
            </w:tcBorders>
            <w:shd w:val="clear" w:color="000000" w:fill="DDEBF7"/>
            <w:vAlign w:val="center"/>
            <w:hideMark/>
          </w:tcPr>
          <w:p w14:paraId="28250BDA"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COM-23</w:t>
            </w:r>
          </w:p>
        </w:tc>
        <w:tc>
          <w:tcPr>
            <w:tcW w:w="1465" w:type="pct"/>
            <w:tcBorders>
              <w:top w:val="nil"/>
              <w:left w:val="nil"/>
              <w:bottom w:val="single" w:sz="8" w:space="0" w:color="auto"/>
              <w:right w:val="single" w:sz="8" w:space="0" w:color="auto"/>
            </w:tcBorders>
            <w:shd w:val="clear" w:color="000000" w:fill="DDEBF7"/>
            <w:vAlign w:val="center"/>
            <w:hideMark/>
          </w:tcPr>
          <w:p w14:paraId="30446038"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 </w:t>
            </w:r>
          </w:p>
        </w:tc>
      </w:tr>
      <w:tr w:rsidR="000F2ED2" w:rsidRPr="00CA6CBB" w14:paraId="379132E9" w14:textId="77777777" w:rsidTr="00814F99">
        <w:trPr>
          <w:trHeight w:val="290"/>
        </w:trPr>
        <w:tc>
          <w:tcPr>
            <w:tcW w:w="104" w:type="pct"/>
            <w:tcBorders>
              <w:top w:val="nil"/>
              <w:left w:val="single" w:sz="8" w:space="0" w:color="auto"/>
              <w:bottom w:val="nil"/>
              <w:right w:val="nil"/>
            </w:tcBorders>
            <w:vAlign w:val="center"/>
            <w:hideMark/>
          </w:tcPr>
          <w:p w14:paraId="19582535"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5</w:t>
            </w:r>
          </w:p>
        </w:tc>
        <w:tc>
          <w:tcPr>
            <w:tcW w:w="121" w:type="pct"/>
            <w:tcBorders>
              <w:top w:val="nil"/>
              <w:left w:val="nil"/>
              <w:bottom w:val="nil"/>
              <w:right w:val="nil"/>
            </w:tcBorders>
            <w:vAlign w:val="center"/>
            <w:hideMark/>
          </w:tcPr>
          <w:p w14:paraId="659816DA"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1</w:t>
            </w:r>
          </w:p>
        </w:tc>
        <w:tc>
          <w:tcPr>
            <w:tcW w:w="299" w:type="pct"/>
            <w:tcBorders>
              <w:top w:val="nil"/>
              <w:left w:val="nil"/>
              <w:bottom w:val="nil"/>
              <w:right w:val="nil"/>
            </w:tcBorders>
            <w:vAlign w:val="center"/>
            <w:hideMark/>
          </w:tcPr>
          <w:p w14:paraId="16B196AB"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Módulo</w:t>
            </w:r>
          </w:p>
        </w:tc>
        <w:tc>
          <w:tcPr>
            <w:tcW w:w="1030" w:type="pct"/>
            <w:tcBorders>
              <w:top w:val="nil"/>
              <w:left w:val="nil"/>
              <w:bottom w:val="nil"/>
              <w:right w:val="nil"/>
            </w:tcBorders>
            <w:vAlign w:val="center"/>
            <w:hideMark/>
          </w:tcPr>
          <w:p w14:paraId="35EDE00F"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Tarea 2 - Captura y esfuerzo</w:t>
            </w:r>
          </w:p>
        </w:tc>
        <w:tc>
          <w:tcPr>
            <w:tcW w:w="683" w:type="pct"/>
            <w:tcBorders>
              <w:top w:val="nil"/>
              <w:left w:val="nil"/>
              <w:bottom w:val="nil"/>
              <w:right w:val="nil"/>
            </w:tcBorders>
            <w:vAlign w:val="center"/>
            <w:hideMark/>
          </w:tcPr>
          <w:p w14:paraId="01B9734C"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S:GEN04</w:t>
            </w:r>
          </w:p>
        </w:tc>
        <w:tc>
          <w:tcPr>
            <w:tcW w:w="252" w:type="pct"/>
            <w:tcBorders>
              <w:top w:val="nil"/>
              <w:left w:val="nil"/>
              <w:bottom w:val="nil"/>
              <w:right w:val="nil"/>
            </w:tcBorders>
            <w:vAlign w:val="center"/>
            <w:hideMark/>
          </w:tcPr>
          <w:p w14:paraId="4288E7E7"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Previsto</w:t>
            </w:r>
          </w:p>
        </w:tc>
        <w:tc>
          <w:tcPr>
            <w:tcW w:w="296" w:type="pct"/>
            <w:tcBorders>
              <w:top w:val="nil"/>
              <w:left w:val="nil"/>
              <w:bottom w:val="nil"/>
              <w:right w:val="nil"/>
            </w:tcBorders>
            <w:hideMark/>
          </w:tcPr>
          <w:p w14:paraId="193552BA"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b/>
                <w:bCs/>
                <w:color w:val="FF0000"/>
                <w:sz w:val="16"/>
                <w:szCs w:val="16"/>
              </w:rPr>
            </w:pPr>
            <w:r w:rsidRPr="00CA6CBB">
              <w:rPr>
                <w:rFonts w:ascii="Calibri" w:hAnsi="Calibri"/>
                <w:b/>
                <w:color w:val="FF0000"/>
                <w:sz w:val="16"/>
              </w:rPr>
              <w:t>02/08/2026</w:t>
            </w:r>
          </w:p>
        </w:tc>
        <w:tc>
          <w:tcPr>
            <w:tcW w:w="286" w:type="pct"/>
            <w:tcBorders>
              <w:top w:val="nil"/>
              <w:left w:val="nil"/>
              <w:bottom w:val="nil"/>
              <w:right w:val="nil"/>
            </w:tcBorders>
            <w:hideMark/>
          </w:tcPr>
          <w:p w14:paraId="2DB370D4"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 </w:t>
            </w:r>
          </w:p>
        </w:tc>
        <w:tc>
          <w:tcPr>
            <w:tcW w:w="258" w:type="pct"/>
            <w:tcBorders>
              <w:top w:val="nil"/>
              <w:left w:val="nil"/>
              <w:bottom w:val="nil"/>
              <w:right w:val="nil"/>
            </w:tcBorders>
            <w:hideMark/>
          </w:tcPr>
          <w:p w14:paraId="57FC44E3"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 </w:t>
            </w:r>
          </w:p>
        </w:tc>
        <w:tc>
          <w:tcPr>
            <w:tcW w:w="207" w:type="pct"/>
            <w:tcBorders>
              <w:top w:val="nil"/>
              <w:left w:val="nil"/>
              <w:bottom w:val="nil"/>
              <w:right w:val="nil"/>
            </w:tcBorders>
            <w:vAlign w:val="center"/>
            <w:hideMark/>
          </w:tcPr>
          <w:p w14:paraId="03EBAA6F"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COM-25</w:t>
            </w:r>
          </w:p>
        </w:tc>
        <w:tc>
          <w:tcPr>
            <w:tcW w:w="1465" w:type="pct"/>
            <w:tcBorders>
              <w:top w:val="nil"/>
              <w:left w:val="nil"/>
              <w:bottom w:val="nil"/>
              <w:right w:val="single" w:sz="8" w:space="0" w:color="auto"/>
            </w:tcBorders>
            <w:vAlign w:val="center"/>
            <w:hideMark/>
          </w:tcPr>
          <w:p w14:paraId="02F6225E"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 </w:t>
            </w:r>
          </w:p>
        </w:tc>
      </w:tr>
      <w:tr w:rsidR="000F2ED2" w:rsidRPr="00CA6CBB" w14:paraId="301B8176" w14:textId="77777777" w:rsidTr="00814F99">
        <w:trPr>
          <w:trHeight w:val="290"/>
        </w:trPr>
        <w:tc>
          <w:tcPr>
            <w:tcW w:w="104" w:type="pct"/>
            <w:tcBorders>
              <w:top w:val="nil"/>
              <w:left w:val="single" w:sz="8" w:space="0" w:color="auto"/>
              <w:bottom w:val="nil"/>
              <w:right w:val="nil"/>
            </w:tcBorders>
            <w:vAlign w:val="center"/>
            <w:hideMark/>
          </w:tcPr>
          <w:p w14:paraId="585AE86A"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5</w:t>
            </w:r>
          </w:p>
        </w:tc>
        <w:tc>
          <w:tcPr>
            <w:tcW w:w="121" w:type="pct"/>
            <w:tcBorders>
              <w:top w:val="nil"/>
              <w:left w:val="nil"/>
              <w:bottom w:val="nil"/>
              <w:right w:val="nil"/>
            </w:tcBorders>
            <w:vAlign w:val="center"/>
            <w:hideMark/>
          </w:tcPr>
          <w:p w14:paraId="32931E33"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2</w:t>
            </w:r>
          </w:p>
        </w:tc>
        <w:tc>
          <w:tcPr>
            <w:tcW w:w="299" w:type="pct"/>
            <w:tcBorders>
              <w:top w:val="nil"/>
              <w:left w:val="nil"/>
              <w:bottom w:val="nil"/>
              <w:right w:val="nil"/>
            </w:tcBorders>
            <w:vAlign w:val="center"/>
            <w:hideMark/>
          </w:tcPr>
          <w:p w14:paraId="50FA4F63"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Módulo</w:t>
            </w:r>
          </w:p>
        </w:tc>
        <w:tc>
          <w:tcPr>
            <w:tcW w:w="1030" w:type="pct"/>
            <w:tcBorders>
              <w:top w:val="nil"/>
              <w:left w:val="nil"/>
              <w:bottom w:val="nil"/>
              <w:right w:val="nil"/>
            </w:tcBorders>
            <w:vAlign w:val="center"/>
            <w:hideMark/>
          </w:tcPr>
          <w:p w14:paraId="2DC46008"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Programas SDP (SWO, BET)</w:t>
            </w:r>
          </w:p>
        </w:tc>
        <w:tc>
          <w:tcPr>
            <w:tcW w:w="683" w:type="pct"/>
            <w:tcBorders>
              <w:top w:val="nil"/>
              <w:left w:val="nil"/>
              <w:bottom w:val="nil"/>
              <w:right w:val="nil"/>
            </w:tcBorders>
            <w:vAlign w:val="center"/>
            <w:hideMark/>
          </w:tcPr>
          <w:p w14:paraId="61A4EF4B"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M:TRO06, M:SWO01</w:t>
            </w:r>
          </w:p>
        </w:tc>
        <w:tc>
          <w:tcPr>
            <w:tcW w:w="252" w:type="pct"/>
            <w:tcBorders>
              <w:top w:val="nil"/>
              <w:left w:val="nil"/>
              <w:bottom w:val="nil"/>
              <w:right w:val="nil"/>
            </w:tcBorders>
            <w:vAlign w:val="center"/>
            <w:hideMark/>
          </w:tcPr>
          <w:p w14:paraId="0F7CE8AA"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En planificación</w:t>
            </w:r>
          </w:p>
        </w:tc>
        <w:tc>
          <w:tcPr>
            <w:tcW w:w="296" w:type="pct"/>
            <w:tcBorders>
              <w:top w:val="nil"/>
              <w:left w:val="nil"/>
              <w:bottom w:val="nil"/>
              <w:right w:val="nil"/>
            </w:tcBorders>
            <w:hideMark/>
          </w:tcPr>
          <w:p w14:paraId="45F6821F"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Por determinar</w:t>
            </w:r>
          </w:p>
        </w:tc>
        <w:tc>
          <w:tcPr>
            <w:tcW w:w="286" w:type="pct"/>
            <w:tcBorders>
              <w:top w:val="nil"/>
              <w:left w:val="nil"/>
              <w:bottom w:val="nil"/>
              <w:right w:val="nil"/>
            </w:tcBorders>
            <w:hideMark/>
          </w:tcPr>
          <w:p w14:paraId="1CEABA3A"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p>
        </w:tc>
        <w:tc>
          <w:tcPr>
            <w:tcW w:w="258" w:type="pct"/>
            <w:tcBorders>
              <w:top w:val="nil"/>
              <w:left w:val="nil"/>
              <w:bottom w:val="nil"/>
              <w:right w:val="nil"/>
            </w:tcBorders>
            <w:hideMark/>
          </w:tcPr>
          <w:p w14:paraId="73F70A2D"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imes New Roman" w:eastAsia="Times New Roman" w:hAnsi="Times New Roman" w:cs="Times New Roman"/>
                <w:color w:val="auto"/>
                <w:sz w:val="16"/>
                <w:szCs w:val="16"/>
                <w:lang w:eastAsia="en-GB"/>
              </w:rPr>
            </w:pPr>
          </w:p>
        </w:tc>
        <w:tc>
          <w:tcPr>
            <w:tcW w:w="207" w:type="pct"/>
            <w:tcBorders>
              <w:top w:val="nil"/>
              <w:left w:val="nil"/>
              <w:bottom w:val="nil"/>
              <w:right w:val="nil"/>
            </w:tcBorders>
            <w:vAlign w:val="center"/>
            <w:hideMark/>
          </w:tcPr>
          <w:p w14:paraId="674E48A5"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COM-25</w:t>
            </w:r>
          </w:p>
        </w:tc>
        <w:tc>
          <w:tcPr>
            <w:tcW w:w="1465" w:type="pct"/>
            <w:tcBorders>
              <w:top w:val="nil"/>
              <w:left w:val="nil"/>
              <w:bottom w:val="nil"/>
              <w:right w:val="single" w:sz="8" w:space="0" w:color="auto"/>
            </w:tcBorders>
            <w:vAlign w:val="center"/>
            <w:hideMark/>
          </w:tcPr>
          <w:p w14:paraId="4145DC26"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color w:val="FF0000"/>
                <w:sz w:val="16"/>
                <w:szCs w:val="16"/>
              </w:rPr>
            </w:pPr>
            <w:r w:rsidRPr="00CA6CBB">
              <w:rPr>
                <w:rFonts w:ascii="Calibri" w:hAnsi="Calibri"/>
                <w:b/>
                <w:color w:val="FF0000"/>
                <w:sz w:val="16"/>
              </w:rPr>
              <w:t>Incluidos sellos y firmas de validación para los SDP</w:t>
            </w:r>
          </w:p>
        </w:tc>
      </w:tr>
      <w:tr w:rsidR="000F2ED2" w:rsidRPr="00CA6CBB" w14:paraId="1D858BC4" w14:textId="77777777" w:rsidTr="00814F99">
        <w:trPr>
          <w:trHeight w:val="290"/>
        </w:trPr>
        <w:tc>
          <w:tcPr>
            <w:tcW w:w="104" w:type="pct"/>
            <w:tcBorders>
              <w:top w:val="nil"/>
              <w:left w:val="single" w:sz="8" w:space="0" w:color="auto"/>
              <w:bottom w:val="nil"/>
              <w:right w:val="nil"/>
            </w:tcBorders>
            <w:vAlign w:val="center"/>
            <w:hideMark/>
          </w:tcPr>
          <w:p w14:paraId="2A4255AC"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5</w:t>
            </w:r>
          </w:p>
        </w:tc>
        <w:tc>
          <w:tcPr>
            <w:tcW w:w="121" w:type="pct"/>
            <w:tcBorders>
              <w:top w:val="nil"/>
              <w:left w:val="nil"/>
              <w:bottom w:val="nil"/>
              <w:right w:val="nil"/>
            </w:tcBorders>
            <w:vAlign w:val="center"/>
            <w:hideMark/>
          </w:tcPr>
          <w:p w14:paraId="4DDD7E1A"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3</w:t>
            </w:r>
          </w:p>
        </w:tc>
        <w:tc>
          <w:tcPr>
            <w:tcW w:w="299" w:type="pct"/>
            <w:tcBorders>
              <w:top w:val="nil"/>
              <w:left w:val="nil"/>
              <w:bottom w:val="nil"/>
              <w:right w:val="nil"/>
            </w:tcBorders>
            <w:vAlign w:val="center"/>
            <w:hideMark/>
          </w:tcPr>
          <w:p w14:paraId="453B8463"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Módulo</w:t>
            </w:r>
          </w:p>
        </w:tc>
        <w:tc>
          <w:tcPr>
            <w:tcW w:w="1030" w:type="pct"/>
            <w:tcBorders>
              <w:top w:val="nil"/>
              <w:left w:val="nil"/>
              <w:bottom w:val="nil"/>
              <w:right w:val="nil"/>
            </w:tcBorders>
            <w:vAlign w:val="center"/>
            <w:hideMark/>
          </w:tcPr>
          <w:p w14:paraId="175294BF"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Gestor de informes semanales y mensuales de atún rojo (BFT)</w:t>
            </w:r>
          </w:p>
        </w:tc>
        <w:tc>
          <w:tcPr>
            <w:tcW w:w="683" w:type="pct"/>
            <w:tcBorders>
              <w:top w:val="nil"/>
              <w:left w:val="nil"/>
              <w:bottom w:val="nil"/>
              <w:right w:val="nil"/>
            </w:tcBorders>
            <w:vAlign w:val="center"/>
            <w:hideMark/>
          </w:tcPr>
          <w:p w14:paraId="56212180" w14:textId="77777777" w:rsidR="000F2ED2" w:rsidRPr="00901F92"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val="en-US"/>
              </w:rPr>
            </w:pPr>
            <w:proofErr w:type="gramStart"/>
            <w:r w:rsidRPr="00901F92">
              <w:rPr>
                <w:rFonts w:ascii="Calibri" w:hAnsi="Calibri"/>
                <w:color w:val="auto"/>
                <w:sz w:val="16"/>
                <w:lang w:val="en-US"/>
              </w:rPr>
              <w:t>M:BFT</w:t>
            </w:r>
            <w:proofErr w:type="gramEnd"/>
            <w:r w:rsidRPr="00901F92">
              <w:rPr>
                <w:rFonts w:ascii="Calibri" w:hAnsi="Calibri"/>
                <w:color w:val="auto"/>
                <w:sz w:val="16"/>
                <w:lang w:val="en-US"/>
              </w:rPr>
              <w:t xml:space="preserve">22, </w:t>
            </w:r>
            <w:proofErr w:type="gramStart"/>
            <w:r w:rsidRPr="00901F92">
              <w:rPr>
                <w:rFonts w:ascii="Calibri" w:hAnsi="Calibri"/>
                <w:color w:val="auto"/>
                <w:sz w:val="16"/>
                <w:lang w:val="en-US"/>
              </w:rPr>
              <w:t>M:BFT</w:t>
            </w:r>
            <w:proofErr w:type="gramEnd"/>
            <w:r w:rsidRPr="00901F92">
              <w:rPr>
                <w:rFonts w:ascii="Calibri" w:hAnsi="Calibri"/>
                <w:color w:val="auto"/>
                <w:sz w:val="16"/>
                <w:lang w:val="en-US"/>
              </w:rPr>
              <w:t xml:space="preserve">23, </w:t>
            </w:r>
            <w:proofErr w:type="gramStart"/>
            <w:r w:rsidRPr="00901F92">
              <w:rPr>
                <w:rFonts w:ascii="Calibri" w:hAnsi="Calibri"/>
                <w:color w:val="auto"/>
                <w:sz w:val="16"/>
                <w:lang w:val="en-US"/>
              </w:rPr>
              <w:t>M:TRO</w:t>
            </w:r>
            <w:proofErr w:type="gramEnd"/>
            <w:r w:rsidRPr="00901F92">
              <w:rPr>
                <w:rFonts w:ascii="Calibri" w:hAnsi="Calibri"/>
                <w:color w:val="auto"/>
                <w:sz w:val="16"/>
                <w:lang w:val="en-US"/>
              </w:rPr>
              <w:t xml:space="preserve">14 </w:t>
            </w:r>
            <w:proofErr w:type="spellStart"/>
            <w:r w:rsidRPr="00901F92">
              <w:rPr>
                <w:rFonts w:ascii="Calibri" w:hAnsi="Calibri"/>
                <w:color w:val="auto"/>
                <w:sz w:val="16"/>
                <w:lang w:val="en-US"/>
              </w:rPr>
              <w:t>semanal</w:t>
            </w:r>
            <w:proofErr w:type="spellEnd"/>
            <w:r w:rsidRPr="00901F92">
              <w:rPr>
                <w:rFonts w:ascii="Calibri" w:hAnsi="Calibri"/>
                <w:color w:val="auto"/>
                <w:sz w:val="16"/>
                <w:lang w:val="en-US"/>
              </w:rPr>
              <w:t xml:space="preserve"> BET</w:t>
            </w:r>
          </w:p>
        </w:tc>
        <w:tc>
          <w:tcPr>
            <w:tcW w:w="252" w:type="pct"/>
            <w:tcBorders>
              <w:top w:val="nil"/>
              <w:left w:val="nil"/>
              <w:bottom w:val="nil"/>
              <w:right w:val="nil"/>
            </w:tcBorders>
            <w:vAlign w:val="center"/>
            <w:hideMark/>
          </w:tcPr>
          <w:p w14:paraId="500F1B98"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En planificación</w:t>
            </w:r>
          </w:p>
        </w:tc>
        <w:tc>
          <w:tcPr>
            <w:tcW w:w="296" w:type="pct"/>
            <w:tcBorders>
              <w:top w:val="nil"/>
              <w:left w:val="nil"/>
              <w:bottom w:val="nil"/>
              <w:right w:val="nil"/>
            </w:tcBorders>
            <w:hideMark/>
          </w:tcPr>
          <w:p w14:paraId="6EA265DD"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Por determinar</w:t>
            </w:r>
          </w:p>
        </w:tc>
        <w:tc>
          <w:tcPr>
            <w:tcW w:w="286" w:type="pct"/>
            <w:tcBorders>
              <w:top w:val="nil"/>
              <w:left w:val="nil"/>
              <w:bottom w:val="nil"/>
              <w:right w:val="nil"/>
            </w:tcBorders>
            <w:hideMark/>
          </w:tcPr>
          <w:p w14:paraId="672AD2B5"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p>
        </w:tc>
        <w:tc>
          <w:tcPr>
            <w:tcW w:w="258" w:type="pct"/>
            <w:tcBorders>
              <w:top w:val="nil"/>
              <w:left w:val="nil"/>
              <w:bottom w:val="nil"/>
              <w:right w:val="nil"/>
            </w:tcBorders>
            <w:hideMark/>
          </w:tcPr>
          <w:p w14:paraId="70E25AAB"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Times New Roman" w:eastAsia="Times New Roman" w:hAnsi="Times New Roman" w:cs="Times New Roman"/>
                <w:color w:val="auto"/>
                <w:sz w:val="16"/>
                <w:szCs w:val="16"/>
                <w:lang w:eastAsia="en-GB"/>
              </w:rPr>
            </w:pPr>
          </w:p>
        </w:tc>
        <w:tc>
          <w:tcPr>
            <w:tcW w:w="207" w:type="pct"/>
            <w:tcBorders>
              <w:top w:val="nil"/>
              <w:left w:val="nil"/>
              <w:bottom w:val="nil"/>
              <w:right w:val="nil"/>
            </w:tcBorders>
            <w:vAlign w:val="center"/>
            <w:hideMark/>
          </w:tcPr>
          <w:p w14:paraId="36BD480F"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COM-25</w:t>
            </w:r>
          </w:p>
        </w:tc>
        <w:tc>
          <w:tcPr>
            <w:tcW w:w="1465" w:type="pct"/>
            <w:tcBorders>
              <w:top w:val="nil"/>
              <w:left w:val="nil"/>
              <w:bottom w:val="nil"/>
              <w:right w:val="single" w:sz="8" w:space="0" w:color="auto"/>
            </w:tcBorders>
            <w:vAlign w:val="center"/>
            <w:hideMark/>
          </w:tcPr>
          <w:p w14:paraId="16823DB2"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 </w:t>
            </w:r>
          </w:p>
        </w:tc>
      </w:tr>
      <w:tr w:rsidR="000F2ED2" w:rsidRPr="00CA6CBB" w14:paraId="6FF55D4D" w14:textId="77777777" w:rsidTr="00814F99">
        <w:trPr>
          <w:trHeight w:val="300"/>
        </w:trPr>
        <w:tc>
          <w:tcPr>
            <w:tcW w:w="104" w:type="pct"/>
            <w:tcBorders>
              <w:top w:val="nil"/>
              <w:left w:val="single" w:sz="8" w:space="0" w:color="auto"/>
              <w:bottom w:val="single" w:sz="8" w:space="0" w:color="auto"/>
              <w:right w:val="nil"/>
            </w:tcBorders>
            <w:vAlign w:val="center"/>
            <w:hideMark/>
          </w:tcPr>
          <w:p w14:paraId="274F973A"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5</w:t>
            </w:r>
          </w:p>
        </w:tc>
        <w:tc>
          <w:tcPr>
            <w:tcW w:w="121" w:type="pct"/>
            <w:tcBorders>
              <w:top w:val="nil"/>
              <w:left w:val="nil"/>
              <w:bottom w:val="single" w:sz="8" w:space="0" w:color="auto"/>
              <w:right w:val="nil"/>
            </w:tcBorders>
            <w:vAlign w:val="center"/>
            <w:hideMark/>
          </w:tcPr>
          <w:p w14:paraId="33694850"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rPr>
            </w:pPr>
            <w:r w:rsidRPr="00CA6CBB">
              <w:rPr>
                <w:rFonts w:ascii="Calibri" w:hAnsi="Calibri"/>
                <w:color w:val="auto"/>
                <w:sz w:val="16"/>
              </w:rPr>
              <w:t>1</w:t>
            </w:r>
          </w:p>
        </w:tc>
        <w:tc>
          <w:tcPr>
            <w:tcW w:w="299" w:type="pct"/>
            <w:tcBorders>
              <w:top w:val="nil"/>
              <w:left w:val="nil"/>
              <w:bottom w:val="single" w:sz="8" w:space="0" w:color="auto"/>
              <w:right w:val="nil"/>
            </w:tcBorders>
            <w:vAlign w:val="center"/>
            <w:hideMark/>
          </w:tcPr>
          <w:p w14:paraId="69080066"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Tarea</w:t>
            </w:r>
          </w:p>
        </w:tc>
        <w:tc>
          <w:tcPr>
            <w:tcW w:w="1030" w:type="pct"/>
            <w:tcBorders>
              <w:top w:val="nil"/>
              <w:left w:val="nil"/>
              <w:bottom w:val="single" w:sz="8" w:space="0" w:color="auto"/>
              <w:right w:val="nil"/>
            </w:tcBorders>
            <w:vAlign w:val="center"/>
            <w:hideMark/>
          </w:tcPr>
          <w:p w14:paraId="73043300"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Mantenimiento (incluye mejora y corrección de errores)</w:t>
            </w:r>
          </w:p>
        </w:tc>
        <w:tc>
          <w:tcPr>
            <w:tcW w:w="683" w:type="pct"/>
            <w:tcBorders>
              <w:top w:val="nil"/>
              <w:left w:val="nil"/>
              <w:bottom w:val="single" w:sz="8" w:space="0" w:color="auto"/>
              <w:right w:val="nil"/>
            </w:tcBorders>
            <w:vAlign w:val="center"/>
            <w:hideMark/>
          </w:tcPr>
          <w:p w14:paraId="03258110"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 </w:t>
            </w:r>
          </w:p>
        </w:tc>
        <w:tc>
          <w:tcPr>
            <w:tcW w:w="252" w:type="pct"/>
            <w:tcBorders>
              <w:top w:val="nil"/>
              <w:left w:val="nil"/>
              <w:bottom w:val="single" w:sz="8" w:space="0" w:color="auto"/>
              <w:right w:val="nil"/>
            </w:tcBorders>
            <w:vAlign w:val="center"/>
            <w:hideMark/>
          </w:tcPr>
          <w:p w14:paraId="50D4F23E"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En planificación</w:t>
            </w:r>
          </w:p>
        </w:tc>
        <w:tc>
          <w:tcPr>
            <w:tcW w:w="296" w:type="pct"/>
            <w:tcBorders>
              <w:top w:val="nil"/>
              <w:left w:val="nil"/>
              <w:bottom w:val="single" w:sz="8" w:space="0" w:color="auto"/>
              <w:right w:val="nil"/>
            </w:tcBorders>
            <w:vAlign w:val="center"/>
            <w:hideMark/>
          </w:tcPr>
          <w:p w14:paraId="145E0D8B"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Por determinar</w:t>
            </w:r>
          </w:p>
        </w:tc>
        <w:tc>
          <w:tcPr>
            <w:tcW w:w="286" w:type="pct"/>
            <w:tcBorders>
              <w:top w:val="nil"/>
              <w:left w:val="nil"/>
              <w:bottom w:val="single" w:sz="8" w:space="0" w:color="auto"/>
              <w:right w:val="nil"/>
            </w:tcBorders>
            <w:vAlign w:val="center"/>
            <w:hideMark/>
          </w:tcPr>
          <w:p w14:paraId="773A4FE1"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 </w:t>
            </w:r>
          </w:p>
        </w:tc>
        <w:tc>
          <w:tcPr>
            <w:tcW w:w="258" w:type="pct"/>
            <w:tcBorders>
              <w:top w:val="nil"/>
              <w:left w:val="nil"/>
              <w:bottom w:val="single" w:sz="8" w:space="0" w:color="auto"/>
              <w:right w:val="nil"/>
            </w:tcBorders>
            <w:vAlign w:val="center"/>
            <w:hideMark/>
          </w:tcPr>
          <w:p w14:paraId="13176865"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rPr>
            </w:pPr>
            <w:r w:rsidRPr="00CA6CBB">
              <w:rPr>
                <w:rFonts w:ascii="Calibri" w:hAnsi="Calibri"/>
                <w:color w:val="auto"/>
                <w:sz w:val="16"/>
              </w:rPr>
              <w:t> </w:t>
            </w:r>
          </w:p>
        </w:tc>
        <w:tc>
          <w:tcPr>
            <w:tcW w:w="207" w:type="pct"/>
            <w:tcBorders>
              <w:top w:val="nil"/>
              <w:left w:val="nil"/>
              <w:bottom w:val="single" w:sz="8" w:space="0" w:color="auto"/>
              <w:right w:val="nil"/>
            </w:tcBorders>
            <w:vAlign w:val="center"/>
            <w:hideMark/>
          </w:tcPr>
          <w:p w14:paraId="040CB5B3"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COM-25</w:t>
            </w:r>
          </w:p>
        </w:tc>
        <w:tc>
          <w:tcPr>
            <w:tcW w:w="1465" w:type="pct"/>
            <w:tcBorders>
              <w:top w:val="nil"/>
              <w:left w:val="nil"/>
              <w:bottom w:val="single" w:sz="8" w:space="0" w:color="auto"/>
              <w:right w:val="single" w:sz="8" w:space="0" w:color="auto"/>
            </w:tcBorders>
            <w:vAlign w:val="center"/>
            <w:hideMark/>
          </w:tcPr>
          <w:p w14:paraId="76A340AE"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rPr>
            </w:pPr>
            <w:r w:rsidRPr="00CA6CBB">
              <w:rPr>
                <w:rFonts w:ascii="Calibri" w:hAnsi="Calibri"/>
                <w:color w:val="auto"/>
                <w:sz w:val="16"/>
              </w:rPr>
              <w:t> </w:t>
            </w:r>
          </w:p>
        </w:tc>
      </w:tr>
    </w:tbl>
    <w:p w14:paraId="33094A2F" w14:textId="77777777" w:rsidR="000F2ED2" w:rsidRPr="00CA6CBB" w:rsidRDefault="000F2ED2" w:rsidP="000F2ED2"/>
    <w:p w14:paraId="066FC69E" w14:textId="77777777" w:rsidR="000F2ED2" w:rsidRPr="00CA6CBB" w:rsidRDefault="000F2ED2" w:rsidP="000F2ED2"/>
    <w:p w14:paraId="09235133" w14:textId="77777777" w:rsidR="000F2ED2" w:rsidRPr="00CA6CBB" w:rsidRDefault="000F2ED2" w:rsidP="000F2ED2">
      <w:pPr>
        <w:pStyle w:val="NoSpacing"/>
        <w:rPr>
          <w:rFonts w:ascii="Cambria" w:hAnsi="Cambria"/>
          <w:sz w:val="20"/>
          <w:szCs w:val="20"/>
        </w:rPr>
      </w:pPr>
      <w:r w:rsidRPr="00CA6CBB">
        <w:rPr>
          <w:rFonts w:ascii="Cambria" w:hAnsi="Cambria"/>
          <w:sz w:val="20"/>
        </w:rPr>
        <w:t>Información complementaria sobre fases del IOMS:</w:t>
      </w:r>
    </w:p>
    <w:p w14:paraId="2AEED50A" w14:textId="77777777" w:rsidR="000F2ED2" w:rsidRPr="00CA6CBB" w:rsidRDefault="000F2ED2" w:rsidP="000F2ED2">
      <w:pPr>
        <w:pStyle w:val="NoSpacing"/>
        <w:rPr>
          <w:rFonts w:ascii="Cambria" w:hAnsi="Cambria"/>
          <w:sz w:val="20"/>
          <w:szCs w:val="20"/>
        </w:rPr>
      </w:pPr>
    </w:p>
    <w:tbl>
      <w:tblPr>
        <w:tblW w:w="0" w:type="auto"/>
        <w:tblCellMar>
          <w:left w:w="28" w:type="dxa"/>
          <w:right w:w="28" w:type="dxa"/>
        </w:tblCellMar>
        <w:tblLook w:val="04A0" w:firstRow="1" w:lastRow="0" w:firstColumn="1" w:lastColumn="0" w:noHBand="0" w:noVBand="1"/>
      </w:tblPr>
      <w:tblGrid>
        <w:gridCol w:w="600"/>
        <w:gridCol w:w="1139"/>
        <w:gridCol w:w="1139"/>
        <w:gridCol w:w="1994"/>
        <w:gridCol w:w="595"/>
        <w:gridCol w:w="1950"/>
        <w:gridCol w:w="1947"/>
      </w:tblGrid>
      <w:tr w:rsidR="000F2ED2" w:rsidRPr="00CA6CBB" w14:paraId="54AC0539" w14:textId="77777777" w:rsidTr="00814F99">
        <w:trPr>
          <w:trHeight w:val="20"/>
        </w:trPr>
        <w:tc>
          <w:tcPr>
            <w:tcW w:w="0" w:type="auto"/>
            <w:tcBorders>
              <w:top w:val="single" w:sz="4" w:space="0" w:color="auto"/>
              <w:left w:val="single" w:sz="4" w:space="0" w:color="auto"/>
              <w:bottom w:val="single" w:sz="4" w:space="0" w:color="auto"/>
              <w:right w:val="nil"/>
            </w:tcBorders>
            <w:shd w:val="clear" w:color="000000" w:fill="D9D9D9"/>
            <w:noWrap/>
            <w:vAlign w:val="center"/>
            <w:hideMark/>
          </w:tcPr>
          <w:p w14:paraId="276FAD5C"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eastAsia="Times New Roman" w:cs="Calibri"/>
                <w:b/>
                <w:bCs/>
              </w:rPr>
            </w:pPr>
            <w:r w:rsidRPr="00CA6CBB">
              <w:rPr>
                <w:b/>
              </w:rPr>
              <w:t>Fase</w:t>
            </w:r>
          </w:p>
        </w:tc>
        <w:tc>
          <w:tcPr>
            <w:tcW w:w="0" w:type="auto"/>
            <w:tcBorders>
              <w:top w:val="single" w:sz="4" w:space="0" w:color="auto"/>
              <w:left w:val="nil"/>
              <w:bottom w:val="single" w:sz="4" w:space="0" w:color="auto"/>
              <w:right w:val="nil"/>
            </w:tcBorders>
            <w:shd w:val="clear" w:color="000000" w:fill="D9D9D9"/>
            <w:noWrap/>
            <w:vAlign w:val="center"/>
            <w:hideMark/>
          </w:tcPr>
          <w:p w14:paraId="025A7C44"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eastAsia="Times New Roman" w:cs="Calibri"/>
                <w:b/>
                <w:bCs/>
              </w:rPr>
            </w:pPr>
            <w:r w:rsidRPr="00CA6CBB">
              <w:rPr>
                <w:b/>
              </w:rPr>
              <w:t>Inicio</w:t>
            </w:r>
          </w:p>
        </w:tc>
        <w:tc>
          <w:tcPr>
            <w:tcW w:w="0" w:type="auto"/>
            <w:tcBorders>
              <w:top w:val="single" w:sz="4" w:space="0" w:color="auto"/>
              <w:left w:val="nil"/>
              <w:bottom w:val="single" w:sz="4" w:space="0" w:color="auto"/>
              <w:right w:val="nil"/>
            </w:tcBorders>
            <w:shd w:val="clear" w:color="000000" w:fill="D9D9D9"/>
            <w:noWrap/>
            <w:vAlign w:val="center"/>
            <w:hideMark/>
          </w:tcPr>
          <w:p w14:paraId="645DE803"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eastAsia="Times New Roman" w:cs="Calibri"/>
                <w:b/>
                <w:bCs/>
              </w:rPr>
            </w:pPr>
            <w:r w:rsidRPr="00CA6CBB">
              <w:rPr>
                <w:b/>
              </w:rPr>
              <w:t>Final</w:t>
            </w:r>
          </w:p>
        </w:tc>
        <w:tc>
          <w:tcPr>
            <w:tcW w:w="0" w:type="auto"/>
            <w:tcBorders>
              <w:top w:val="single" w:sz="4" w:space="0" w:color="auto"/>
              <w:left w:val="nil"/>
              <w:bottom w:val="single" w:sz="4" w:space="0" w:color="auto"/>
              <w:right w:val="nil"/>
            </w:tcBorders>
            <w:shd w:val="clear" w:color="000000" w:fill="D9D9D9"/>
            <w:vAlign w:val="center"/>
            <w:hideMark/>
          </w:tcPr>
          <w:p w14:paraId="019A947C"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eastAsia="Times New Roman" w:cs="Calibri"/>
                <w:b/>
                <w:bCs/>
              </w:rPr>
            </w:pPr>
            <w:r w:rsidRPr="00CA6CBB">
              <w:rPr>
                <w:b/>
              </w:rPr>
              <w:t>Presupuesto (meses)</w:t>
            </w:r>
          </w:p>
        </w:tc>
        <w:tc>
          <w:tcPr>
            <w:tcW w:w="0" w:type="auto"/>
            <w:tcBorders>
              <w:top w:val="single" w:sz="4" w:space="0" w:color="auto"/>
              <w:left w:val="nil"/>
              <w:bottom w:val="single" w:sz="4" w:space="0" w:color="auto"/>
              <w:right w:val="nil"/>
            </w:tcBorders>
            <w:shd w:val="clear" w:color="000000" w:fill="D9D9D9"/>
            <w:noWrap/>
            <w:vAlign w:val="center"/>
            <w:hideMark/>
          </w:tcPr>
          <w:p w14:paraId="223F17EA"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eastAsia="Times New Roman" w:cs="Calibri"/>
                <w:b/>
                <w:bCs/>
              </w:rPr>
            </w:pPr>
            <w:r w:rsidRPr="00CA6CBB">
              <w:rPr>
                <w:b/>
              </w:rPr>
              <w:t>COM</w:t>
            </w:r>
          </w:p>
        </w:tc>
        <w:tc>
          <w:tcPr>
            <w:tcW w:w="0" w:type="auto"/>
            <w:tcBorders>
              <w:top w:val="single" w:sz="4" w:space="0" w:color="auto"/>
              <w:left w:val="nil"/>
              <w:bottom w:val="single" w:sz="4" w:space="0" w:color="auto"/>
              <w:right w:val="nil"/>
            </w:tcBorders>
            <w:shd w:val="clear" w:color="000000" w:fill="D9D9D9"/>
            <w:vAlign w:val="center"/>
            <w:hideMark/>
          </w:tcPr>
          <w:p w14:paraId="69852EB1"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eastAsia="Times New Roman" w:cs="Calibri"/>
                <w:b/>
                <w:bCs/>
              </w:rPr>
            </w:pPr>
            <w:r w:rsidRPr="00CA6CBB">
              <w:rPr>
                <w:b/>
              </w:rPr>
              <w:t>Año del presupuesto</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355D3AF8"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eastAsia="Times New Roman" w:cs="Calibri"/>
                <w:b/>
                <w:bCs/>
              </w:rPr>
            </w:pPr>
            <w:r w:rsidRPr="00CA6CBB">
              <w:rPr>
                <w:b/>
              </w:rPr>
              <w:t>Tipo de presupuesto</w:t>
            </w:r>
          </w:p>
        </w:tc>
      </w:tr>
      <w:tr w:rsidR="000F2ED2" w:rsidRPr="00CA6CBB" w14:paraId="38F10AD1" w14:textId="77777777" w:rsidTr="00814F99">
        <w:trPr>
          <w:trHeight w:val="20"/>
        </w:trPr>
        <w:tc>
          <w:tcPr>
            <w:tcW w:w="0" w:type="auto"/>
            <w:tcBorders>
              <w:top w:val="nil"/>
              <w:left w:val="single" w:sz="4" w:space="0" w:color="auto"/>
              <w:bottom w:val="nil"/>
              <w:right w:val="nil"/>
            </w:tcBorders>
            <w:noWrap/>
            <w:vAlign w:val="bottom"/>
            <w:hideMark/>
          </w:tcPr>
          <w:p w14:paraId="66514055"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eastAsia="Times New Roman" w:cs="Calibri"/>
              </w:rPr>
            </w:pPr>
            <w:r w:rsidRPr="00CA6CBB">
              <w:t>Fase 1</w:t>
            </w:r>
          </w:p>
        </w:tc>
        <w:tc>
          <w:tcPr>
            <w:tcW w:w="0" w:type="auto"/>
            <w:tcBorders>
              <w:top w:val="nil"/>
              <w:left w:val="nil"/>
              <w:bottom w:val="nil"/>
              <w:right w:val="nil"/>
            </w:tcBorders>
            <w:noWrap/>
            <w:vAlign w:val="bottom"/>
            <w:hideMark/>
          </w:tcPr>
          <w:p w14:paraId="561DFAE8"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eastAsia="Times New Roman" w:cs="Calibri"/>
              </w:rPr>
            </w:pPr>
            <w:r w:rsidRPr="00CA6CBB">
              <w:t>01/06/2019</w:t>
            </w:r>
          </w:p>
        </w:tc>
        <w:tc>
          <w:tcPr>
            <w:tcW w:w="0" w:type="auto"/>
            <w:tcBorders>
              <w:top w:val="nil"/>
              <w:left w:val="nil"/>
              <w:bottom w:val="nil"/>
              <w:right w:val="nil"/>
            </w:tcBorders>
            <w:noWrap/>
            <w:vAlign w:val="bottom"/>
            <w:hideMark/>
          </w:tcPr>
          <w:p w14:paraId="572F840D"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eastAsia="Times New Roman" w:cs="Calibri"/>
              </w:rPr>
            </w:pPr>
            <w:r w:rsidRPr="00CA6CBB">
              <w:t>31/05/2020</w:t>
            </w:r>
          </w:p>
        </w:tc>
        <w:tc>
          <w:tcPr>
            <w:tcW w:w="0" w:type="auto"/>
            <w:tcBorders>
              <w:top w:val="nil"/>
              <w:left w:val="nil"/>
              <w:bottom w:val="nil"/>
              <w:right w:val="nil"/>
            </w:tcBorders>
            <w:noWrap/>
            <w:vAlign w:val="bottom"/>
            <w:hideMark/>
          </w:tcPr>
          <w:p w14:paraId="54E9C488"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eastAsia="Times New Roman" w:cs="Calibri"/>
              </w:rPr>
            </w:pPr>
            <w:r w:rsidRPr="00CA6CBB">
              <w:t>12</w:t>
            </w:r>
          </w:p>
        </w:tc>
        <w:tc>
          <w:tcPr>
            <w:tcW w:w="0" w:type="auto"/>
            <w:tcBorders>
              <w:top w:val="nil"/>
              <w:left w:val="nil"/>
              <w:bottom w:val="nil"/>
              <w:right w:val="nil"/>
            </w:tcBorders>
            <w:noWrap/>
            <w:vAlign w:val="bottom"/>
            <w:hideMark/>
          </w:tcPr>
          <w:p w14:paraId="27257F22"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eastAsia="Times New Roman" w:cs="Calibri"/>
              </w:rPr>
            </w:pPr>
            <w:r w:rsidRPr="00CA6CBB">
              <w:t>Anual</w:t>
            </w:r>
          </w:p>
        </w:tc>
        <w:tc>
          <w:tcPr>
            <w:tcW w:w="0" w:type="auto"/>
            <w:tcBorders>
              <w:top w:val="nil"/>
              <w:left w:val="nil"/>
              <w:bottom w:val="nil"/>
              <w:right w:val="nil"/>
            </w:tcBorders>
            <w:noWrap/>
            <w:vAlign w:val="bottom"/>
            <w:hideMark/>
          </w:tcPr>
          <w:p w14:paraId="648AFA24"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eastAsia="Times New Roman" w:cs="Calibri"/>
              </w:rPr>
            </w:pPr>
            <w:r w:rsidRPr="00CA6CBB">
              <w:t>2018</w:t>
            </w:r>
          </w:p>
        </w:tc>
        <w:tc>
          <w:tcPr>
            <w:tcW w:w="0" w:type="auto"/>
            <w:tcBorders>
              <w:top w:val="nil"/>
              <w:left w:val="nil"/>
              <w:bottom w:val="nil"/>
              <w:right w:val="single" w:sz="4" w:space="0" w:color="auto"/>
            </w:tcBorders>
            <w:noWrap/>
            <w:vAlign w:val="bottom"/>
            <w:hideMark/>
          </w:tcPr>
          <w:p w14:paraId="42AB1929"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eastAsia="Times New Roman" w:cs="Calibri"/>
              </w:rPr>
            </w:pPr>
            <w:r w:rsidRPr="00CA6CBB">
              <w:t>Extraordinario</w:t>
            </w:r>
          </w:p>
        </w:tc>
      </w:tr>
      <w:tr w:rsidR="000F2ED2" w:rsidRPr="00CA6CBB" w14:paraId="61C265C1" w14:textId="77777777" w:rsidTr="00814F99">
        <w:trPr>
          <w:trHeight w:val="20"/>
        </w:trPr>
        <w:tc>
          <w:tcPr>
            <w:tcW w:w="0" w:type="auto"/>
            <w:tcBorders>
              <w:top w:val="nil"/>
              <w:left w:val="single" w:sz="4" w:space="0" w:color="auto"/>
              <w:bottom w:val="nil"/>
              <w:right w:val="nil"/>
            </w:tcBorders>
            <w:noWrap/>
            <w:vAlign w:val="bottom"/>
            <w:hideMark/>
          </w:tcPr>
          <w:p w14:paraId="1238D45D"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eastAsia="Times New Roman" w:cs="Calibri"/>
              </w:rPr>
            </w:pPr>
            <w:r w:rsidRPr="00CA6CBB">
              <w:t>Fase 2</w:t>
            </w:r>
          </w:p>
        </w:tc>
        <w:tc>
          <w:tcPr>
            <w:tcW w:w="0" w:type="auto"/>
            <w:tcBorders>
              <w:top w:val="nil"/>
              <w:left w:val="nil"/>
              <w:bottom w:val="nil"/>
              <w:right w:val="nil"/>
            </w:tcBorders>
            <w:noWrap/>
            <w:vAlign w:val="bottom"/>
            <w:hideMark/>
          </w:tcPr>
          <w:p w14:paraId="29379E7F"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eastAsia="Times New Roman" w:cs="Calibri"/>
              </w:rPr>
            </w:pPr>
            <w:r w:rsidRPr="00CA6CBB">
              <w:t>01/06/2020</w:t>
            </w:r>
          </w:p>
        </w:tc>
        <w:tc>
          <w:tcPr>
            <w:tcW w:w="0" w:type="auto"/>
            <w:tcBorders>
              <w:top w:val="nil"/>
              <w:left w:val="nil"/>
              <w:bottom w:val="nil"/>
              <w:right w:val="nil"/>
            </w:tcBorders>
            <w:noWrap/>
            <w:vAlign w:val="bottom"/>
            <w:hideMark/>
          </w:tcPr>
          <w:p w14:paraId="55C83624"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eastAsia="Times New Roman" w:cs="Calibri"/>
              </w:rPr>
            </w:pPr>
            <w:r w:rsidRPr="00CA6CBB">
              <w:t>31/05/2022</w:t>
            </w:r>
          </w:p>
        </w:tc>
        <w:tc>
          <w:tcPr>
            <w:tcW w:w="0" w:type="auto"/>
            <w:tcBorders>
              <w:top w:val="nil"/>
              <w:left w:val="nil"/>
              <w:bottom w:val="nil"/>
              <w:right w:val="nil"/>
            </w:tcBorders>
            <w:noWrap/>
            <w:vAlign w:val="bottom"/>
            <w:hideMark/>
          </w:tcPr>
          <w:p w14:paraId="7CD1F245"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eastAsia="Times New Roman" w:cs="Calibri"/>
              </w:rPr>
            </w:pPr>
            <w:r w:rsidRPr="00CA6CBB">
              <w:t>24</w:t>
            </w:r>
          </w:p>
        </w:tc>
        <w:tc>
          <w:tcPr>
            <w:tcW w:w="0" w:type="auto"/>
            <w:tcBorders>
              <w:top w:val="nil"/>
              <w:left w:val="nil"/>
              <w:bottom w:val="nil"/>
              <w:right w:val="nil"/>
            </w:tcBorders>
            <w:noWrap/>
            <w:vAlign w:val="bottom"/>
            <w:hideMark/>
          </w:tcPr>
          <w:p w14:paraId="1D483030"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eastAsia="Times New Roman" w:cs="Calibri"/>
              </w:rPr>
            </w:pPr>
            <w:r w:rsidRPr="00CA6CBB">
              <w:t>Bienal</w:t>
            </w:r>
          </w:p>
        </w:tc>
        <w:tc>
          <w:tcPr>
            <w:tcW w:w="0" w:type="auto"/>
            <w:tcBorders>
              <w:top w:val="nil"/>
              <w:left w:val="nil"/>
              <w:bottom w:val="nil"/>
              <w:right w:val="nil"/>
            </w:tcBorders>
            <w:noWrap/>
            <w:vAlign w:val="bottom"/>
            <w:hideMark/>
          </w:tcPr>
          <w:p w14:paraId="756D634C"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eastAsia="Times New Roman" w:cs="Calibri"/>
              </w:rPr>
            </w:pPr>
            <w:r w:rsidRPr="00CA6CBB">
              <w:t>2019</w:t>
            </w:r>
          </w:p>
        </w:tc>
        <w:tc>
          <w:tcPr>
            <w:tcW w:w="0" w:type="auto"/>
            <w:tcBorders>
              <w:top w:val="nil"/>
              <w:left w:val="nil"/>
              <w:bottom w:val="nil"/>
              <w:right w:val="single" w:sz="4" w:space="0" w:color="auto"/>
            </w:tcBorders>
            <w:noWrap/>
            <w:vAlign w:val="bottom"/>
            <w:hideMark/>
          </w:tcPr>
          <w:p w14:paraId="00874DDA"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eastAsia="Times New Roman" w:cs="Calibri"/>
              </w:rPr>
            </w:pPr>
            <w:r w:rsidRPr="00CA6CBB">
              <w:t>Ordinario</w:t>
            </w:r>
          </w:p>
        </w:tc>
      </w:tr>
      <w:tr w:rsidR="000F2ED2" w:rsidRPr="00CA6CBB" w14:paraId="36752709" w14:textId="77777777" w:rsidTr="00814F99">
        <w:trPr>
          <w:trHeight w:val="20"/>
        </w:trPr>
        <w:tc>
          <w:tcPr>
            <w:tcW w:w="0" w:type="auto"/>
            <w:tcBorders>
              <w:top w:val="nil"/>
              <w:left w:val="single" w:sz="4" w:space="0" w:color="auto"/>
              <w:bottom w:val="nil"/>
              <w:right w:val="nil"/>
            </w:tcBorders>
            <w:noWrap/>
            <w:vAlign w:val="bottom"/>
            <w:hideMark/>
          </w:tcPr>
          <w:p w14:paraId="79C69AD7"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eastAsia="Times New Roman" w:cs="Calibri"/>
              </w:rPr>
            </w:pPr>
            <w:r w:rsidRPr="00CA6CBB">
              <w:t>Fase 3</w:t>
            </w:r>
          </w:p>
        </w:tc>
        <w:tc>
          <w:tcPr>
            <w:tcW w:w="0" w:type="auto"/>
            <w:tcBorders>
              <w:top w:val="nil"/>
              <w:left w:val="nil"/>
              <w:bottom w:val="nil"/>
              <w:right w:val="nil"/>
            </w:tcBorders>
            <w:noWrap/>
            <w:vAlign w:val="bottom"/>
            <w:hideMark/>
          </w:tcPr>
          <w:p w14:paraId="532F2DD4"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eastAsia="Times New Roman" w:cs="Calibri"/>
              </w:rPr>
            </w:pPr>
            <w:r w:rsidRPr="00CA6CBB">
              <w:t>01/06/2022</w:t>
            </w:r>
          </w:p>
        </w:tc>
        <w:tc>
          <w:tcPr>
            <w:tcW w:w="0" w:type="auto"/>
            <w:tcBorders>
              <w:top w:val="nil"/>
              <w:left w:val="nil"/>
              <w:bottom w:val="nil"/>
              <w:right w:val="nil"/>
            </w:tcBorders>
            <w:noWrap/>
            <w:vAlign w:val="bottom"/>
            <w:hideMark/>
          </w:tcPr>
          <w:p w14:paraId="53FE0471"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eastAsia="Times New Roman" w:cs="Calibri"/>
              </w:rPr>
            </w:pPr>
            <w:r w:rsidRPr="00CA6CBB">
              <w:t>31/05/2024</w:t>
            </w:r>
          </w:p>
        </w:tc>
        <w:tc>
          <w:tcPr>
            <w:tcW w:w="0" w:type="auto"/>
            <w:tcBorders>
              <w:top w:val="nil"/>
              <w:left w:val="nil"/>
              <w:bottom w:val="nil"/>
              <w:right w:val="nil"/>
            </w:tcBorders>
            <w:noWrap/>
            <w:vAlign w:val="bottom"/>
            <w:hideMark/>
          </w:tcPr>
          <w:p w14:paraId="52FD4881"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eastAsia="Times New Roman" w:cs="Calibri"/>
              </w:rPr>
            </w:pPr>
            <w:r w:rsidRPr="00CA6CBB">
              <w:t>24</w:t>
            </w:r>
          </w:p>
        </w:tc>
        <w:tc>
          <w:tcPr>
            <w:tcW w:w="0" w:type="auto"/>
            <w:tcBorders>
              <w:top w:val="nil"/>
              <w:left w:val="nil"/>
              <w:bottom w:val="nil"/>
              <w:right w:val="nil"/>
            </w:tcBorders>
            <w:noWrap/>
            <w:vAlign w:val="bottom"/>
            <w:hideMark/>
          </w:tcPr>
          <w:p w14:paraId="59D35474"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eastAsia="Times New Roman" w:cs="Calibri"/>
              </w:rPr>
            </w:pPr>
            <w:r w:rsidRPr="00CA6CBB">
              <w:t>Bienal</w:t>
            </w:r>
          </w:p>
        </w:tc>
        <w:tc>
          <w:tcPr>
            <w:tcW w:w="0" w:type="auto"/>
            <w:tcBorders>
              <w:top w:val="nil"/>
              <w:left w:val="nil"/>
              <w:bottom w:val="nil"/>
              <w:right w:val="nil"/>
            </w:tcBorders>
            <w:noWrap/>
            <w:vAlign w:val="bottom"/>
            <w:hideMark/>
          </w:tcPr>
          <w:p w14:paraId="1B5BCCF2"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eastAsia="Times New Roman" w:cs="Calibri"/>
              </w:rPr>
            </w:pPr>
            <w:r w:rsidRPr="00CA6CBB">
              <w:t>2021</w:t>
            </w:r>
          </w:p>
        </w:tc>
        <w:tc>
          <w:tcPr>
            <w:tcW w:w="0" w:type="auto"/>
            <w:tcBorders>
              <w:top w:val="nil"/>
              <w:left w:val="nil"/>
              <w:bottom w:val="nil"/>
              <w:right w:val="single" w:sz="4" w:space="0" w:color="auto"/>
            </w:tcBorders>
            <w:noWrap/>
            <w:vAlign w:val="bottom"/>
            <w:hideMark/>
          </w:tcPr>
          <w:p w14:paraId="2BD21B7C"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eastAsia="Times New Roman" w:cs="Calibri"/>
              </w:rPr>
            </w:pPr>
            <w:r w:rsidRPr="00CA6CBB">
              <w:t>Ordinario</w:t>
            </w:r>
          </w:p>
        </w:tc>
      </w:tr>
      <w:tr w:rsidR="000F2ED2" w:rsidRPr="00CA6CBB" w14:paraId="143B6FDA" w14:textId="77777777" w:rsidTr="00814F99">
        <w:trPr>
          <w:trHeight w:val="20"/>
        </w:trPr>
        <w:tc>
          <w:tcPr>
            <w:tcW w:w="0" w:type="auto"/>
            <w:tcBorders>
              <w:top w:val="nil"/>
              <w:left w:val="single" w:sz="4" w:space="0" w:color="auto"/>
              <w:bottom w:val="nil"/>
              <w:right w:val="nil"/>
            </w:tcBorders>
            <w:noWrap/>
            <w:vAlign w:val="bottom"/>
            <w:hideMark/>
          </w:tcPr>
          <w:p w14:paraId="47674695"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eastAsia="Times New Roman" w:cs="Calibri"/>
              </w:rPr>
            </w:pPr>
            <w:r w:rsidRPr="00CA6CBB">
              <w:t>Fase 4</w:t>
            </w:r>
          </w:p>
        </w:tc>
        <w:tc>
          <w:tcPr>
            <w:tcW w:w="0" w:type="auto"/>
            <w:tcBorders>
              <w:top w:val="nil"/>
              <w:left w:val="nil"/>
              <w:bottom w:val="nil"/>
              <w:right w:val="nil"/>
            </w:tcBorders>
            <w:noWrap/>
            <w:vAlign w:val="bottom"/>
            <w:hideMark/>
          </w:tcPr>
          <w:p w14:paraId="600B9273"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eastAsia="Times New Roman" w:cs="Calibri"/>
              </w:rPr>
            </w:pPr>
            <w:r w:rsidRPr="00CA6CBB">
              <w:t>01/06/2024</w:t>
            </w:r>
          </w:p>
        </w:tc>
        <w:tc>
          <w:tcPr>
            <w:tcW w:w="0" w:type="auto"/>
            <w:tcBorders>
              <w:top w:val="nil"/>
              <w:left w:val="nil"/>
              <w:bottom w:val="nil"/>
              <w:right w:val="nil"/>
            </w:tcBorders>
            <w:noWrap/>
            <w:vAlign w:val="bottom"/>
            <w:hideMark/>
          </w:tcPr>
          <w:p w14:paraId="36FE3B31"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eastAsia="Times New Roman" w:cs="Calibri"/>
              </w:rPr>
            </w:pPr>
            <w:r w:rsidRPr="00CA6CBB">
              <w:t>31/05/2026</w:t>
            </w:r>
          </w:p>
        </w:tc>
        <w:tc>
          <w:tcPr>
            <w:tcW w:w="0" w:type="auto"/>
            <w:tcBorders>
              <w:top w:val="nil"/>
              <w:left w:val="nil"/>
              <w:bottom w:val="nil"/>
              <w:right w:val="nil"/>
            </w:tcBorders>
            <w:noWrap/>
            <w:vAlign w:val="bottom"/>
            <w:hideMark/>
          </w:tcPr>
          <w:p w14:paraId="5231927A"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eastAsia="Times New Roman" w:cs="Calibri"/>
              </w:rPr>
            </w:pPr>
            <w:r w:rsidRPr="00CA6CBB">
              <w:t>24</w:t>
            </w:r>
          </w:p>
        </w:tc>
        <w:tc>
          <w:tcPr>
            <w:tcW w:w="0" w:type="auto"/>
            <w:tcBorders>
              <w:top w:val="nil"/>
              <w:left w:val="nil"/>
              <w:bottom w:val="nil"/>
              <w:right w:val="nil"/>
            </w:tcBorders>
            <w:noWrap/>
            <w:vAlign w:val="bottom"/>
            <w:hideMark/>
          </w:tcPr>
          <w:p w14:paraId="52CD3DB1"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eastAsia="Times New Roman" w:cs="Calibri"/>
              </w:rPr>
            </w:pPr>
            <w:r w:rsidRPr="00CA6CBB">
              <w:t>Bienal</w:t>
            </w:r>
          </w:p>
        </w:tc>
        <w:tc>
          <w:tcPr>
            <w:tcW w:w="0" w:type="auto"/>
            <w:tcBorders>
              <w:top w:val="nil"/>
              <w:left w:val="nil"/>
              <w:bottom w:val="nil"/>
              <w:right w:val="nil"/>
            </w:tcBorders>
            <w:noWrap/>
            <w:vAlign w:val="bottom"/>
            <w:hideMark/>
          </w:tcPr>
          <w:p w14:paraId="26C4944E"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eastAsia="Times New Roman" w:cs="Calibri"/>
              </w:rPr>
            </w:pPr>
            <w:r w:rsidRPr="00CA6CBB">
              <w:t>2023</w:t>
            </w:r>
          </w:p>
        </w:tc>
        <w:tc>
          <w:tcPr>
            <w:tcW w:w="0" w:type="auto"/>
            <w:tcBorders>
              <w:top w:val="nil"/>
              <w:left w:val="nil"/>
              <w:bottom w:val="nil"/>
              <w:right w:val="single" w:sz="4" w:space="0" w:color="auto"/>
            </w:tcBorders>
            <w:noWrap/>
            <w:vAlign w:val="bottom"/>
            <w:hideMark/>
          </w:tcPr>
          <w:p w14:paraId="5E7A487B"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eastAsia="Times New Roman" w:cs="Calibri"/>
              </w:rPr>
            </w:pPr>
            <w:r w:rsidRPr="00CA6CBB">
              <w:t>Ordinario</w:t>
            </w:r>
          </w:p>
        </w:tc>
      </w:tr>
      <w:tr w:rsidR="000F2ED2" w:rsidRPr="00CA6CBB" w14:paraId="4BAF8484" w14:textId="77777777" w:rsidTr="00814F99">
        <w:trPr>
          <w:trHeight w:val="20"/>
        </w:trPr>
        <w:tc>
          <w:tcPr>
            <w:tcW w:w="0" w:type="auto"/>
            <w:tcBorders>
              <w:top w:val="nil"/>
              <w:left w:val="single" w:sz="4" w:space="0" w:color="auto"/>
              <w:bottom w:val="single" w:sz="4" w:space="0" w:color="auto"/>
              <w:right w:val="nil"/>
            </w:tcBorders>
            <w:noWrap/>
            <w:vAlign w:val="bottom"/>
            <w:hideMark/>
          </w:tcPr>
          <w:p w14:paraId="473EB784"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left"/>
              <w:rPr>
                <w:rFonts w:eastAsia="Times New Roman" w:cs="Calibri"/>
              </w:rPr>
            </w:pPr>
            <w:r w:rsidRPr="00CA6CBB">
              <w:t>Fase 5</w:t>
            </w:r>
          </w:p>
        </w:tc>
        <w:tc>
          <w:tcPr>
            <w:tcW w:w="0" w:type="auto"/>
            <w:tcBorders>
              <w:top w:val="nil"/>
              <w:left w:val="nil"/>
              <w:bottom w:val="single" w:sz="4" w:space="0" w:color="auto"/>
              <w:right w:val="nil"/>
            </w:tcBorders>
            <w:noWrap/>
            <w:vAlign w:val="bottom"/>
            <w:hideMark/>
          </w:tcPr>
          <w:p w14:paraId="4C131B12"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eastAsia="Times New Roman" w:cs="Calibri"/>
              </w:rPr>
            </w:pPr>
            <w:r w:rsidRPr="00CA6CBB">
              <w:t>01/06/2026</w:t>
            </w:r>
          </w:p>
        </w:tc>
        <w:tc>
          <w:tcPr>
            <w:tcW w:w="0" w:type="auto"/>
            <w:tcBorders>
              <w:top w:val="nil"/>
              <w:left w:val="nil"/>
              <w:bottom w:val="single" w:sz="4" w:space="0" w:color="auto"/>
              <w:right w:val="nil"/>
            </w:tcBorders>
            <w:noWrap/>
            <w:vAlign w:val="bottom"/>
            <w:hideMark/>
          </w:tcPr>
          <w:p w14:paraId="14024C65"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right"/>
              <w:rPr>
                <w:rFonts w:eastAsia="Times New Roman" w:cs="Calibri"/>
              </w:rPr>
            </w:pPr>
            <w:r w:rsidRPr="00CA6CBB">
              <w:t>31/05/2028</w:t>
            </w:r>
          </w:p>
        </w:tc>
        <w:tc>
          <w:tcPr>
            <w:tcW w:w="0" w:type="auto"/>
            <w:tcBorders>
              <w:top w:val="nil"/>
              <w:left w:val="nil"/>
              <w:bottom w:val="single" w:sz="4" w:space="0" w:color="auto"/>
              <w:right w:val="nil"/>
            </w:tcBorders>
            <w:noWrap/>
            <w:vAlign w:val="bottom"/>
            <w:hideMark/>
          </w:tcPr>
          <w:p w14:paraId="373983C7"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eastAsia="Times New Roman" w:cs="Calibri"/>
              </w:rPr>
            </w:pPr>
            <w:r w:rsidRPr="00CA6CBB">
              <w:t>24</w:t>
            </w:r>
          </w:p>
        </w:tc>
        <w:tc>
          <w:tcPr>
            <w:tcW w:w="0" w:type="auto"/>
            <w:tcBorders>
              <w:top w:val="nil"/>
              <w:left w:val="nil"/>
              <w:bottom w:val="single" w:sz="4" w:space="0" w:color="auto"/>
              <w:right w:val="nil"/>
            </w:tcBorders>
            <w:noWrap/>
            <w:vAlign w:val="bottom"/>
            <w:hideMark/>
          </w:tcPr>
          <w:p w14:paraId="34812EE7"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eastAsia="Times New Roman" w:cs="Calibri"/>
              </w:rPr>
            </w:pPr>
            <w:r w:rsidRPr="00CA6CBB">
              <w:t>Bienal</w:t>
            </w:r>
          </w:p>
        </w:tc>
        <w:tc>
          <w:tcPr>
            <w:tcW w:w="0" w:type="auto"/>
            <w:tcBorders>
              <w:top w:val="nil"/>
              <w:left w:val="nil"/>
              <w:bottom w:val="single" w:sz="4" w:space="0" w:color="auto"/>
              <w:right w:val="nil"/>
            </w:tcBorders>
            <w:noWrap/>
            <w:vAlign w:val="bottom"/>
            <w:hideMark/>
          </w:tcPr>
          <w:p w14:paraId="5AF123F1"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eastAsia="Times New Roman" w:cs="Calibri"/>
              </w:rPr>
            </w:pPr>
            <w:r w:rsidRPr="00CA6CBB">
              <w:t>2025</w:t>
            </w:r>
          </w:p>
        </w:tc>
        <w:tc>
          <w:tcPr>
            <w:tcW w:w="0" w:type="auto"/>
            <w:tcBorders>
              <w:top w:val="nil"/>
              <w:left w:val="nil"/>
              <w:bottom w:val="single" w:sz="4" w:space="0" w:color="auto"/>
              <w:right w:val="single" w:sz="4" w:space="0" w:color="auto"/>
            </w:tcBorders>
            <w:noWrap/>
            <w:vAlign w:val="bottom"/>
            <w:hideMark/>
          </w:tcPr>
          <w:p w14:paraId="6FFCAE16" w14:textId="77777777" w:rsidR="000F2ED2" w:rsidRPr="00CA6CBB" w:rsidRDefault="000F2ED2" w:rsidP="00814F99">
            <w:pPr>
              <w:pBdr>
                <w:top w:val="none" w:sz="0" w:space="0" w:color="auto"/>
                <w:left w:val="none" w:sz="0" w:space="0" w:color="auto"/>
                <w:bottom w:val="none" w:sz="0" w:space="0" w:color="auto"/>
                <w:right w:val="none" w:sz="0" w:space="0" w:color="auto"/>
                <w:between w:val="none" w:sz="0" w:space="0" w:color="auto"/>
              </w:pBdr>
              <w:jc w:val="center"/>
              <w:rPr>
                <w:rFonts w:eastAsia="Times New Roman" w:cs="Calibri"/>
              </w:rPr>
            </w:pPr>
            <w:r w:rsidRPr="00CA6CBB">
              <w:t>Ordinario</w:t>
            </w:r>
          </w:p>
        </w:tc>
      </w:tr>
    </w:tbl>
    <w:p w14:paraId="277BA5FA" w14:textId="77777777" w:rsidR="000F2ED2" w:rsidRPr="00CA6CBB" w:rsidRDefault="000F2ED2" w:rsidP="000F2ED2">
      <w:pPr>
        <w:pStyle w:val="NoSpacing"/>
        <w:rPr>
          <w:rFonts w:ascii="Cambria" w:hAnsi="Cambria"/>
          <w:sz w:val="20"/>
          <w:szCs w:val="20"/>
        </w:rPr>
      </w:pPr>
    </w:p>
    <w:p w14:paraId="4D9B427C" w14:textId="77777777" w:rsidR="000F2ED2" w:rsidRPr="00CA6CBB" w:rsidRDefault="000F2ED2" w:rsidP="000F2ED2"/>
    <w:p w14:paraId="585260A5" w14:textId="77777777" w:rsidR="000F2ED2" w:rsidRPr="00CA6CBB" w:rsidRDefault="000F2ED2" w:rsidP="000F2ED2">
      <w:pPr>
        <w:sectPr w:rsidR="000F2ED2" w:rsidRPr="00CA6CBB" w:rsidSect="000F2ED2">
          <w:pgSz w:w="16840" w:h="11907" w:orient="landscape" w:code="9"/>
          <w:pgMar w:top="1418" w:right="1418" w:bottom="1418" w:left="1418" w:header="851" w:footer="1134" w:gutter="0"/>
          <w:cols w:space="720"/>
        </w:sectPr>
      </w:pPr>
    </w:p>
    <w:p w14:paraId="7418B9DF" w14:textId="2394D583" w:rsidR="00B91489" w:rsidRPr="00CA6CBB" w:rsidRDefault="00B91489" w:rsidP="00B91489">
      <w:pPr>
        <w:keepNext/>
        <w:pBdr>
          <w:top w:val="none" w:sz="0" w:space="0" w:color="auto"/>
          <w:left w:val="none" w:sz="0" w:space="0" w:color="auto"/>
          <w:bottom w:val="none" w:sz="0" w:space="0" w:color="auto"/>
          <w:right w:val="none" w:sz="0" w:space="0" w:color="auto"/>
          <w:between w:val="none" w:sz="0" w:space="0" w:color="auto"/>
        </w:pBdr>
        <w:ind w:right="391"/>
        <w:jc w:val="right"/>
        <w:outlineLvl w:val="0"/>
        <w:rPr>
          <w:rFonts w:eastAsia="Times New Roman" w:cs="Times New Roman"/>
          <w:b/>
          <w:bCs/>
          <w:color w:val="auto"/>
        </w:rPr>
      </w:pPr>
      <w:r w:rsidRPr="00CA6CBB">
        <w:rPr>
          <w:rFonts w:eastAsia="Times New Roman" w:cs="Times New Roman"/>
          <w:b/>
          <w:bCs/>
          <w:color w:val="auto"/>
        </w:rPr>
        <w:lastRenderedPageBreak/>
        <w:t>Apéndice 1</w:t>
      </w:r>
    </w:p>
    <w:p w14:paraId="4D7BF39B" w14:textId="77777777" w:rsidR="00B91489" w:rsidRPr="00CA6CBB" w:rsidRDefault="00B91489" w:rsidP="00B91489">
      <w:pPr>
        <w:keepNext/>
        <w:pBdr>
          <w:top w:val="none" w:sz="0" w:space="0" w:color="auto"/>
          <w:left w:val="none" w:sz="0" w:space="0" w:color="auto"/>
          <w:bottom w:val="none" w:sz="0" w:space="0" w:color="auto"/>
          <w:right w:val="none" w:sz="0" w:space="0" w:color="auto"/>
          <w:between w:val="none" w:sz="0" w:space="0" w:color="auto"/>
        </w:pBdr>
        <w:ind w:right="391"/>
        <w:jc w:val="center"/>
        <w:outlineLvl w:val="0"/>
        <w:rPr>
          <w:rFonts w:eastAsia="Times New Roman" w:cs="Times New Roman"/>
          <w:b/>
          <w:bCs/>
          <w:color w:val="auto"/>
        </w:rPr>
      </w:pPr>
    </w:p>
    <w:p w14:paraId="7A233859" w14:textId="77777777" w:rsidR="00B91489" w:rsidRPr="00CA6CBB" w:rsidRDefault="00B91489" w:rsidP="00B91489">
      <w:pPr>
        <w:keepNext/>
        <w:pBdr>
          <w:top w:val="none" w:sz="0" w:space="0" w:color="auto"/>
          <w:left w:val="none" w:sz="0" w:space="0" w:color="auto"/>
          <w:bottom w:val="none" w:sz="0" w:space="0" w:color="auto"/>
          <w:right w:val="none" w:sz="0" w:space="0" w:color="auto"/>
          <w:between w:val="none" w:sz="0" w:space="0" w:color="auto"/>
        </w:pBdr>
        <w:ind w:right="391"/>
        <w:jc w:val="center"/>
        <w:outlineLvl w:val="0"/>
        <w:rPr>
          <w:rFonts w:eastAsia="Times New Roman" w:cs="Times New Roman"/>
          <w:b/>
          <w:bCs/>
          <w:color w:val="auto"/>
        </w:rPr>
      </w:pPr>
    </w:p>
    <w:p w14:paraId="4F84AFD3" w14:textId="3C300FD9" w:rsidR="00B91489" w:rsidRPr="00CA6CBB" w:rsidRDefault="00B91489" w:rsidP="00B91489">
      <w:pPr>
        <w:keepNext/>
        <w:pBdr>
          <w:top w:val="none" w:sz="0" w:space="0" w:color="auto"/>
          <w:left w:val="none" w:sz="0" w:space="0" w:color="auto"/>
          <w:bottom w:val="none" w:sz="0" w:space="0" w:color="auto"/>
          <w:right w:val="none" w:sz="0" w:space="0" w:color="auto"/>
          <w:between w:val="none" w:sz="0" w:space="0" w:color="auto"/>
        </w:pBdr>
        <w:ind w:right="391"/>
        <w:jc w:val="center"/>
        <w:outlineLvl w:val="0"/>
        <w:rPr>
          <w:rFonts w:eastAsia="Times New Roman" w:cs="Times New Roman"/>
          <w:b/>
          <w:bCs/>
          <w:color w:val="auto"/>
        </w:rPr>
      </w:pPr>
      <w:r w:rsidRPr="00CA6CBB">
        <w:rPr>
          <w:rFonts w:eastAsia="Times New Roman" w:cs="Times New Roman"/>
          <w:b/>
          <w:bCs/>
          <w:color w:val="auto"/>
        </w:rPr>
        <w:t xml:space="preserve">Orden del día </w:t>
      </w:r>
    </w:p>
    <w:p w14:paraId="305A0D4A" w14:textId="77777777" w:rsidR="00B91489" w:rsidRPr="00CA6CBB" w:rsidRDefault="00B91489" w:rsidP="00B91489">
      <w:pPr>
        <w:pBdr>
          <w:top w:val="none" w:sz="0" w:space="0" w:color="auto"/>
          <w:left w:val="none" w:sz="0" w:space="0" w:color="auto"/>
          <w:bottom w:val="none" w:sz="0" w:space="0" w:color="auto"/>
          <w:right w:val="none" w:sz="0" w:space="0" w:color="auto"/>
          <w:between w:val="none" w:sz="0" w:space="0" w:color="auto"/>
        </w:pBdr>
        <w:spacing w:before="64"/>
        <w:rPr>
          <w:rFonts w:eastAsia="Times New Roman" w:cs="Times New Roman"/>
          <w:b/>
          <w:i/>
          <w:iCs/>
          <w:color w:val="auto"/>
        </w:rPr>
      </w:pPr>
    </w:p>
    <w:p w14:paraId="09BCAF58" w14:textId="77777777" w:rsidR="00B91489" w:rsidRPr="00CA6CBB" w:rsidRDefault="00B91489" w:rsidP="00B91489">
      <w:pPr>
        <w:widowControl w:val="0"/>
        <w:numPr>
          <w:ilvl w:val="0"/>
          <w:numId w:val="30"/>
        </w:numPr>
        <w:pBdr>
          <w:top w:val="none" w:sz="0" w:space="0" w:color="auto"/>
          <w:left w:val="none" w:sz="0" w:space="0" w:color="auto"/>
          <w:bottom w:val="none" w:sz="0" w:space="0" w:color="auto"/>
          <w:right w:val="none" w:sz="0" w:space="0" w:color="auto"/>
          <w:between w:val="none" w:sz="0" w:space="0" w:color="auto"/>
        </w:pBdr>
        <w:tabs>
          <w:tab w:val="left" w:pos="426"/>
        </w:tabs>
        <w:autoSpaceDE w:val="0"/>
        <w:autoSpaceDN w:val="0"/>
        <w:spacing w:after="120"/>
        <w:ind w:left="476" w:hanging="476"/>
        <w:jc w:val="left"/>
        <w:rPr>
          <w:rFonts w:eastAsia="Calibri" w:cs="Times New Roman"/>
          <w:color w:val="auto"/>
          <w:lang w:eastAsia="es-ES" w:bidi="es-ES"/>
        </w:rPr>
      </w:pPr>
      <w:r w:rsidRPr="00CA6CBB">
        <w:rPr>
          <w:rFonts w:eastAsia="Calibri" w:cs="Times New Roman"/>
          <w:color w:val="auto"/>
          <w:szCs w:val="22"/>
          <w:lang w:eastAsia="es-ES" w:bidi="es-ES"/>
        </w:rPr>
        <w:t>Apertura de la reunión</w:t>
      </w:r>
    </w:p>
    <w:p w14:paraId="269F862E" w14:textId="77777777" w:rsidR="00B91489" w:rsidRPr="00CA6CBB" w:rsidRDefault="00B91489" w:rsidP="00B91489">
      <w:pPr>
        <w:widowControl w:val="0"/>
        <w:numPr>
          <w:ilvl w:val="0"/>
          <w:numId w:val="30"/>
        </w:numPr>
        <w:pBdr>
          <w:top w:val="none" w:sz="0" w:space="0" w:color="auto"/>
          <w:left w:val="none" w:sz="0" w:space="0" w:color="auto"/>
          <w:bottom w:val="none" w:sz="0" w:space="0" w:color="auto"/>
          <w:right w:val="none" w:sz="0" w:space="0" w:color="auto"/>
          <w:between w:val="none" w:sz="0" w:space="0" w:color="auto"/>
        </w:pBdr>
        <w:tabs>
          <w:tab w:val="left" w:pos="426"/>
        </w:tabs>
        <w:autoSpaceDE w:val="0"/>
        <w:autoSpaceDN w:val="0"/>
        <w:spacing w:after="120"/>
        <w:ind w:left="476" w:hanging="476"/>
        <w:jc w:val="left"/>
        <w:rPr>
          <w:rFonts w:eastAsia="Calibri" w:cs="Times New Roman"/>
          <w:color w:val="auto"/>
          <w:lang w:eastAsia="es-ES" w:bidi="es-ES"/>
        </w:rPr>
      </w:pPr>
      <w:r w:rsidRPr="00CA6CBB">
        <w:rPr>
          <w:rFonts w:eastAsia="Calibri" w:cs="Times New Roman"/>
          <w:color w:val="auto"/>
          <w:szCs w:val="22"/>
          <w:lang w:eastAsia="es-ES" w:bidi="es-ES"/>
        </w:rPr>
        <w:t>Nombramiento del relator</w:t>
      </w:r>
    </w:p>
    <w:p w14:paraId="50EB69ED" w14:textId="77777777" w:rsidR="00B91489" w:rsidRPr="00CA6CBB" w:rsidRDefault="00B91489" w:rsidP="00B91489">
      <w:pPr>
        <w:widowControl w:val="0"/>
        <w:numPr>
          <w:ilvl w:val="0"/>
          <w:numId w:val="30"/>
        </w:numPr>
        <w:pBdr>
          <w:top w:val="none" w:sz="0" w:space="0" w:color="auto"/>
          <w:left w:val="none" w:sz="0" w:space="0" w:color="auto"/>
          <w:bottom w:val="none" w:sz="0" w:space="0" w:color="auto"/>
          <w:right w:val="none" w:sz="0" w:space="0" w:color="auto"/>
          <w:between w:val="none" w:sz="0" w:space="0" w:color="auto"/>
        </w:pBdr>
        <w:tabs>
          <w:tab w:val="left" w:pos="426"/>
        </w:tabs>
        <w:autoSpaceDE w:val="0"/>
        <w:autoSpaceDN w:val="0"/>
        <w:spacing w:after="120"/>
        <w:ind w:left="476" w:hanging="476"/>
        <w:jc w:val="left"/>
        <w:rPr>
          <w:rFonts w:eastAsia="Calibri" w:cs="Times New Roman"/>
          <w:color w:val="auto"/>
          <w:lang w:eastAsia="es-ES" w:bidi="es-ES"/>
        </w:rPr>
      </w:pPr>
      <w:r w:rsidRPr="00CA6CBB">
        <w:rPr>
          <w:rFonts w:eastAsia="Calibri" w:cs="Times New Roman"/>
          <w:color w:val="auto"/>
          <w:szCs w:val="22"/>
          <w:lang w:eastAsia="es-ES" w:bidi="es-ES"/>
        </w:rPr>
        <w:t>Adopción del orden del día y disposiciones para la reunión</w:t>
      </w:r>
    </w:p>
    <w:p w14:paraId="724B936B" w14:textId="77777777" w:rsidR="00B91489" w:rsidRPr="00CA6CBB" w:rsidRDefault="00B91489" w:rsidP="00B91489">
      <w:pPr>
        <w:widowControl w:val="0"/>
        <w:numPr>
          <w:ilvl w:val="0"/>
          <w:numId w:val="30"/>
        </w:numPr>
        <w:pBdr>
          <w:top w:val="none" w:sz="0" w:space="0" w:color="auto"/>
          <w:left w:val="none" w:sz="0" w:space="0" w:color="auto"/>
          <w:bottom w:val="none" w:sz="0" w:space="0" w:color="auto"/>
          <w:right w:val="none" w:sz="0" w:space="0" w:color="auto"/>
          <w:between w:val="none" w:sz="0" w:space="0" w:color="auto"/>
        </w:pBdr>
        <w:tabs>
          <w:tab w:val="left" w:pos="426"/>
        </w:tabs>
        <w:autoSpaceDE w:val="0"/>
        <w:autoSpaceDN w:val="0"/>
        <w:spacing w:after="120"/>
        <w:ind w:left="476" w:hanging="476"/>
        <w:jc w:val="left"/>
        <w:rPr>
          <w:rFonts w:eastAsia="Calibri" w:cs="Times New Roman"/>
          <w:color w:val="auto"/>
          <w:lang w:eastAsia="es-ES" w:bidi="es-ES"/>
        </w:rPr>
      </w:pPr>
      <w:r w:rsidRPr="00CA6CBB">
        <w:rPr>
          <w:rFonts w:eastAsia="Calibri" w:cs="Times New Roman"/>
          <w:color w:val="auto"/>
          <w:szCs w:val="22"/>
          <w:lang w:eastAsia="es-ES" w:bidi="es-ES"/>
        </w:rPr>
        <w:t>Examen de los reglamentos de ICCAT con implicaciones en el mandato del Grupo de trabajo</w:t>
      </w:r>
    </w:p>
    <w:p w14:paraId="58636668" w14:textId="77777777" w:rsidR="00B91489" w:rsidRPr="00CA6CBB" w:rsidRDefault="00B91489" w:rsidP="00B91489">
      <w:pPr>
        <w:widowControl w:val="0"/>
        <w:numPr>
          <w:ilvl w:val="0"/>
          <w:numId w:val="30"/>
        </w:numPr>
        <w:pBdr>
          <w:top w:val="none" w:sz="0" w:space="0" w:color="auto"/>
          <w:left w:val="none" w:sz="0" w:space="0" w:color="auto"/>
          <w:bottom w:val="none" w:sz="0" w:space="0" w:color="auto"/>
          <w:right w:val="none" w:sz="0" w:space="0" w:color="auto"/>
          <w:between w:val="none" w:sz="0" w:space="0" w:color="auto"/>
        </w:pBdr>
        <w:tabs>
          <w:tab w:val="left" w:pos="426"/>
        </w:tabs>
        <w:autoSpaceDE w:val="0"/>
        <w:autoSpaceDN w:val="0"/>
        <w:spacing w:after="120"/>
        <w:ind w:left="476" w:hanging="476"/>
        <w:jc w:val="left"/>
        <w:rPr>
          <w:rFonts w:eastAsia="Calibri" w:cs="Times New Roman"/>
          <w:color w:val="auto"/>
          <w:lang w:eastAsia="es-ES" w:bidi="es-ES"/>
        </w:rPr>
      </w:pPr>
      <w:r w:rsidRPr="00CA6CBB">
        <w:rPr>
          <w:rFonts w:eastAsia="Calibri" w:cs="Times New Roman"/>
          <w:color w:val="auto"/>
          <w:szCs w:val="22"/>
          <w:lang w:eastAsia="es-ES" w:bidi="es-ES"/>
        </w:rPr>
        <w:t>Actualización del estado del Sistema integrado de gestión en línea (IOMS)</w:t>
      </w:r>
    </w:p>
    <w:p w14:paraId="785C8B67" w14:textId="77777777" w:rsidR="00B91489" w:rsidRPr="00CA6CBB" w:rsidRDefault="00B91489" w:rsidP="00B91489">
      <w:pPr>
        <w:widowControl w:val="0"/>
        <w:numPr>
          <w:ilvl w:val="1"/>
          <w:numId w:val="30"/>
        </w:numPr>
        <w:pBdr>
          <w:top w:val="none" w:sz="0" w:space="0" w:color="auto"/>
          <w:left w:val="none" w:sz="0" w:space="0" w:color="auto"/>
          <w:bottom w:val="none" w:sz="0" w:space="0" w:color="auto"/>
          <w:right w:val="none" w:sz="0" w:space="0" w:color="auto"/>
          <w:between w:val="none" w:sz="0" w:space="0" w:color="auto"/>
        </w:pBdr>
        <w:tabs>
          <w:tab w:val="left" w:pos="834"/>
        </w:tabs>
        <w:autoSpaceDE w:val="0"/>
        <w:autoSpaceDN w:val="0"/>
        <w:spacing w:after="120"/>
        <w:ind w:left="834" w:hanging="408"/>
        <w:jc w:val="left"/>
        <w:rPr>
          <w:rFonts w:eastAsia="Calibri" w:cs="Times New Roman"/>
          <w:color w:val="auto"/>
          <w:lang w:eastAsia="es-ES" w:bidi="es-ES"/>
        </w:rPr>
      </w:pPr>
      <w:r w:rsidRPr="00CA6CBB">
        <w:rPr>
          <w:rFonts w:eastAsia="Calibri" w:cs="Times New Roman"/>
          <w:color w:val="auto"/>
          <w:szCs w:val="22"/>
          <w:lang w:eastAsia="es-ES" w:bidi="es-ES"/>
        </w:rPr>
        <w:t>Examen de la situación actual y de los progresos realizados durante 2025</w:t>
      </w:r>
    </w:p>
    <w:p w14:paraId="115CF6A4" w14:textId="77777777" w:rsidR="00B91489" w:rsidRPr="00CA6CBB" w:rsidRDefault="00B91489" w:rsidP="00B91489">
      <w:pPr>
        <w:widowControl w:val="0"/>
        <w:numPr>
          <w:ilvl w:val="2"/>
          <w:numId w:val="30"/>
        </w:numPr>
        <w:pBdr>
          <w:top w:val="none" w:sz="0" w:space="0" w:color="auto"/>
          <w:left w:val="none" w:sz="0" w:space="0" w:color="auto"/>
          <w:bottom w:val="none" w:sz="0" w:space="0" w:color="auto"/>
          <w:right w:val="none" w:sz="0" w:space="0" w:color="auto"/>
          <w:between w:val="none" w:sz="0" w:space="0" w:color="auto"/>
        </w:pBdr>
        <w:tabs>
          <w:tab w:val="left" w:pos="834"/>
        </w:tabs>
        <w:autoSpaceDE w:val="0"/>
        <w:autoSpaceDN w:val="0"/>
        <w:spacing w:after="120"/>
        <w:jc w:val="left"/>
        <w:rPr>
          <w:rFonts w:eastAsia="Calibri" w:cs="Times New Roman"/>
          <w:color w:val="auto"/>
          <w:lang w:eastAsia="es-ES" w:bidi="es-ES"/>
        </w:rPr>
      </w:pPr>
      <w:r w:rsidRPr="00CA6CBB">
        <w:rPr>
          <w:rFonts w:eastAsia="Calibri" w:cs="Times New Roman"/>
          <w:color w:val="auto"/>
          <w:szCs w:val="22"/>
          <w:lang w:eastAsia="es-ES" w:bidi="es-ES"/>
        </w:rPr>
        <w:t>Gestor de formularios</w:t>
      </w:r>
    </w:p>
    <w:p w14:paraId="366EADBF" w14:textId="2B8CBE5B" w:rsidR="00B91489" w:rsidRPr="00CA6CBB" w:rsidRDefault="00B91489" w:rsidP="00B91489">
      <w:pPr>
        <w:widowControl w:val="0"/>
        <w:numPr>
          <w:ilvl w:val="2"/>
          <w:numId w:val="30"/>
        </w:numPr>
        <w:pBdr>
          <w:top w:val="none" w:sz="0" w:space="0" w:color="auto"/>
          <w:left w:val="none" w:sz="0" w:space="0" w:color="auto"/>
          <w:bottom w:val="none" w:sz="0" w:space="0" w:color="auto"/>
          <w:right w:val="none" w:sz="0" w:space="0" w:color="auto"/>
          <w:between w:val="none" w:sz="0" w:space="0" w:color="auto"/>
        </w:pBdr>
        <w:tabs>
          <w:tab w:val="left" w:pos="834"/>
        </w:tabs>
        <w:autoSpaceDE w:val="0"/>
        <w:autoSpaceDN w:val="0"/>
        <w:spacing w:after="120"/>
        <w:jc w:val="left"/>
        <w:rPr>
          <w:rFonts w:eastAsia="Calibri" w:cs="Times New Roman"/>
          <w:color w:val="auto"/>
          <w:lang w:eastAsia="es-ES" w:bidi="es-ES"/>
        </w:rPr>
      </w:pPr>
      <w:r w:rsidRPr="00CA6CBB">
        <w:rPr>
          <w:rFonts w:eastAsia="Calibri" w:cs="Times New Roman"/>
          <w:color w:val="auto"/>
          <w:szCs w:val="22"/>
          <w:lang w:eastAsia="es-ES" w:bidi="es-ES"/>
        </w:rPr>
        <w:t xml:space="preserve">Gestor de </w:t>
      </w:r>
      <w:r w:rsidR="007047DA" w:rsidRPr="00CA6CBB">
        <w:rPr>
          <w:rFonts w:eastAsia="Calibri" w:cs="Times New Roman"/>
          <w:color w:val="auto"/>
          <w:szCs w:val="22"/>
          <w:lang w:eastAsia="es-ES" w:bidi="es-ES"/>
        </w:rPr>
        <w:t>buques (</w:t>
      </w:r>
      <w:r w:rsidRPr="00CA6CBB">
        <w:rPr>
          <w:rFonts w:eastAsia="Calibri" w:cs="Times New Roman"/>
          <w:color w:val="auto"/>
          <w:szCs w:val="22"/>
          <w:lang w:eastAsia="es-ES" w:bidi="es-ES"/>
        </w:rPr>
        <w:t>incluye FLUX)</w:t>
      </w:r>
    </w:p>
    <w:p w14:paraId="4F0C4CC1" w14:textId="77777777" w:rsidR="00B91489" w:rsidRPr="00CA6CBB" w:rsidRDefault="00B91489" w:rsidP="00B91489">
      <w:pPr>
        <w:widowControl w:val="0"/>
        <w:numPr>
          <w:ilvl w:val="2"/>
          <w:numId w:val="30"/>
        </w:numPr>
        <w:pBdr>
          <w:top w:val="none" w:sz="0" w:space="0" w:color="auto"/>
          <w:left w:val="none" w:sz="0" w:space="0" w:color="auto"/>
          <w:bottom w:val="none" w:sz="0" w:space="0" w:color="auto"/>
          <w:right w:val="none" w:sz="0" w:space="0" w:color="auto"/>
          <w:between w:val="none" w:sz="0" w:space="0" w:color="auto"/>
        </w:pBdr>
        <w:tabs>
          <w:tab w:val="left" w:pos="834"/>
        </w:tabs>
        <w:autoSpaceDE w:val="0"/>
        <w:autoSpaceDN w:val="0"/>
        <w:spacing w:after="120"/>
        <w:jc w:val="left"/>
        <w:rPr>
          <w:rFonts w:eastAsia="Calibri" w:cs="Times New Roman"/>
          <w:color w:val="auto"/>
          <w:lang w:eastAsia="es-ES" w:bidi="es-ES"/>
        </w:rPr>
      </w:pPr>
      <w:r w:rsidRPr="00CA6CBB">
        <w:rPr>
          <w:rFonts w:eastAsia="Calibri" w:cs="Times New Roman"/>
          <w:color w:val="auto"/>
          <w:szCs w:val="22"/>
          <w:lang w:eastAsia="es-ES" w:bidi="es-ES"/>
        </w:rPr>
        <w:t>Gestor de puertos</w:t>
      </w:r>
    </w:p>
    <w:p w14:paraId="25E9762F" w14:textId="77777777" w:rsidR="00B91489" w:rsidRPr="00CA6CBB" w:rsidRDefault="00B91489" w:rsidP="00B91489">
      <w:pPr>
        <w:widowControl w:val="0"/>
        <w:numPr>
          <w:ilvl w:val="2"/>
          <w:numId w:val="30"/>
        </w:numPr>
        <w:pBdr>
          <w:top w:val="none" w:sz="0" w:space="0" w:color="auto"/>
          <w:left w:val="none" w:sz="0" w:space="0" w:color="auto"/>
          <w:bottom w:val="none" w:sz="0" w:space="0" w:color="auto"/>
          <w:right w:val="none" w:sz="0" w:space="0" w:color="auto"/>
          <w:between w:val="none" w:sz="0" w:space="0" w:color="auto"/>
        </w:pBdr>
        <w:tabs>
          <w:tab w:val="left" w:pos="834"/>
        </w:tabs>
        <w:autoSpaceDE w:val="0"/>
        <w:autoSpaceDN w:val="0"/>
        <w:spacing w:after="120"/>
        <w:jc w:val="left"/>
        <w:rPr>
          <w:rFonts w:eastAsia="Calibri" w:cs="Times New Roman"/>
          <w:color w:val="auto"/>
          <w:lang w:eastAsia="es-ES" w:bidi="es-ES"/>
        </w:rPr>
      </w:pPr>
      <w:r w:rsidRPr="00CA6CBB">
        <w:rPr>
          <w:rFonts w:eastAsia="Calibri" w:cs="Times New Roman"/>
          <w:color w:val="auto"/>
          <w:szCs w:val="22"/>
          <w:lang w:eastAsia="es-ES" w:bidi="es-ES"/>
        </w:rPr>
        <w:t xml:space="preserve">Módulo de Tarea 1- Capturas nominales / Tablas de cumplimiento </w:t>
      </w:r>
    </w:p>
    <w:p w14:paraId="0867BC66" w14:textId="77777777" w:rsidR="00B91489" w:rsidRPr="00CA6CBB" w:rsidRDefault="00B91489" w:rsidP="00B91489">
      <w:pPr>
        <w:widowControl w:val="0"/>
        <w:numPr>
          <w:ilvl w:val="2"/>
          <w:numId w:val="30"/>
        </w:numPr>
        <w:pBdr>
          <w:top w:val="none" w:sz="0" w:space="0" w:color="auto"/>
          <w:left w:val="none" w:sz="0" w:space="0" w:color="auto"/>
          <w:bottom w:val="none" w:sz="0" w:space="0" w:color="auto"/>
          <w:right w:val="none" w:sz="0" w:space="0" w:color="auto"/>
          <w:between w:val="none" w:sz="0" w:space="0" w:color="auto"/>
        </w:pBdr>
        <w:tabs>
          <w:tab w:val="left" w:pos="834"/>
        </w:tabs>
        <w:autoSpaceDE w:val="0"/>
        <w:autoSpaceDN w:val="0"/>
        <w:spacing w:after="120"/>
        <w:jc w:val="left"/>
        <w:rPr>
          <w:rFonts w:eastAsia="Calibri" w:cs="Times New Roman"/>
          <w:color w:val="auto"/>
          <w:lang w:eastAsia="es-ES" w:bidi="es-ES"/>
        </w:rPr>
      </w:pPr>
      <w:r w:rsidRPr="00CA6CBB">
        <w:rPr>
          <w:rFonts w:eastAsia="Calibri" w:cs="Times New Roman"/>
          <w:color w:val="auto"/>
          <w:szCs w:val="22"/>
          <w:lang w:eastAsia="es-ES" w:bidi="es-ES"/>
        </w:rPr>
        <w:t xml:space="preserve">Hojas de comprobación de tiburones y de istiofóridos </w:t>
      </w:r>
    </w:p>
    <w:p w14:paraId="0EB347EF" w14:textId="77777777" w:rsidR="00B91489" w:rsidRPr="00CA6CBB" w:rsidRDefault="00B91489" w:rsidP="00B91489">
      <w:pPr>
        <w:widowControl w:val="0"/>
        <w:numPr>
          <w:ilvl w:val="2"/>
          <w:numId w:val="30"/>
        </w:numPr>
        <w:pBdr>
          <w:top w:val="none" w:sz="0" w:space="0" w:color="auto"/>
          <w:left w:val="none" w:sz="0" w:space="0" w:color="auto"/>
          <w:bottom w:val="none" w:sz="0" w:space="0" w:color="auto"/>
          <w:right w:val="none" w:sz="0" w:space="0" w:color="auto"/>
          <w:between w:val="none" w:sz="0" w:space="0" w:color="auto"/>
        </w:pBdr>
        <w:tabs>
          <w:tab w:val="left" w:pos="834"/>
        </w:tabs>
        <w:autoSpaceDE w:val="0"/>
        <w:autoSpaceDN w:val="0"/>
        <w:spacing w:after="120"/>
        <w:jc w:val="left"/>
        <w:rPr>
          <w:rFonts w:eastAsia="Calibri" w:cs="Times New Roman"/>
          <w:color w:val="auto"/>
          <w:lang w:eastAsia="es-ES" w:bidi="es-ES"/>
        </w:rPr>
      </w:pPr>
      <w:r w:rsidRPr="00CA6CBB">
        <w:rPr>
          <w:rFonts w:eastAsia="Calibri" w:cs="Times New Roman"/>
          <w:color w:val="auto"/>
          <w:szCs w:val="22"/>
          <w:lang w:eastAsia="es-ES" w:bidi="es-ES"/>
        </w:rPr>
        <w:t>Mejoras en la arquitectura del IOMS</w:t>
      </w:r>
    </w:p>
    <w:p w14:paraId="0EDB5C1E" w14:textId="77777777" w:rsidR="00B91489" w:rsidRPr="00CA6CBB" w:rsidRDefault="00B91489" w:rsidP="00B91489">
      <w:pPr>
        <w:widowControl w:val="0"/>
        <w:numPr>
          <w:ilvl w:val="1"/>
          <w:numId w:val="30"/>
        </w:numPr>
        <w:pBdr>
          <w:top w:val="none" w:sz="0" w:space="0" w:color="auto"/>
          <w:left w:val="none" w:sz="0" w:space="0" w:color="auto"/>
          <w:bottom w:val="none" w:sz="0" w:space="0" w:color="auto"/>
          <w:right w:val="none" w:sz="0" w:space="0" w:color="auto"/>
          <w:between w:val="none" w:sz="0" w:space="0" w:color="auto"/>
        </w:pBdr>
        <w:tabs>
          <w:tab w:val="left" w:pos="834"/>
        </w:tabs>
        <w:autoSpaceDE w:val="0"/>
        <w:autoSpaceDN w:val="0"/>
        <w:spacing w:after="120"/>
        <w:ind w:left="834" w:hanging="408"/>
        <w:jc w:val="left"/>
        <w:rPr>
          <w:rFonts w:eastAsia="Calibri" w:cs="Times New Roman"/>
          <w:color w:val="auto"/>
          <w:lang w:eastAsia="es-ES" w:bidi="es-ES"/>
        </w:rPr>
      </w:pPr>
      <w:r w:rsidRPr="00CA6CBB">
        <w:rPr>
          <w:rFonts w:eastAsia="Calibri" w:cs="Times New Roman"/>
          <w:color w:val="auto"/>
          <w:szCs w:val="22"/>
          <w:lang w:eastAsia="es-ES" w:bidi="es-ES"/>
        </w:rPr>
        <w:t xml:space="preserve">Mejoras potenciales </w:t>
      </w:r>
    </w:p>
    <w:p w14:paraId="10699888" w14:textId="77777777" w:rsidR="00B91489" w:rsidRPr="00CA6CBB" w:rsidRDefault="00B91489" w:rsidP="00B91489">
      <w:pPr>
        <w:widowControl w:val="0"/>
        <w:numPr>
          <w:ilvl w:val="1"/>
          <w:numId w:val="30"/>
        </w:numPr>
        <w:pBdr>
          <w:top w:val="none" w:sz="0" w:space="0" w:color="auto"/>
          <w:left w:val="none" w:sz="0" w:space="0" w:color="auto"/>
          <w:bottom w:val="none" w:sz="0" w:space="0" w:color="auto"/>
          <w:right w:val="none" w:sz="0" w:space="0" w:color="auto"/>
          <w:between w:val="none" w:sz="0" w:space="0" w:color="auto"/>
        </w:pBdr>
        <w:tabs>
          <w:tab w:val="left" w:pos="834"/>
        </w:tabs>
        <w:autoSpaceDE w:val="0"/>
        <w:autoSpaceDN w:val="0"/>
        <w:spacing w:after="120"/>
        <w:ind w:left="834" w:hanging="408"/>
        <w:jc w:val="left"/>
        <w:rPr>
          <w:rFonts w:eastAsia="Calibri" w:cs="Times New Roman"/>
          <w:color w:val="auto"/>
          <w:lang w:eastAsia="es-ES" w:bidi="es-ES"/>
        </w:rPr>
      </w:pPr>
      <w:r w:rsidRPr="00CA6CBB">
        <w:rPr>
          <w:rFonts w:eastAsia="Calibri" w:cs="Times New Roman"/>
          <w:color w:val="auto"/>
          <w:szCs w:val="22"/>
          <w:lang w:eastAsia="es-ES" w:bidi="es-ES"/>
        </w:rPr>
        <w:t>Examen de los nuevos requisitos en cuanto a datos de ICCAT de 2025 para su integración en el IOMS</w:t>
      </w:r>
    </w:p>
    <w:p w14:paraId="3E0D64A2" w14:textId="77777777" w:rsidR="00B91489" w:rsidRPr="00CA6CBB" w:rsidRDefault="00B91489" w:rsidP="00B91489">
      <w:pPr>
        <w:widowControl w:val="0"/>
        <w:numPr>
          <w:ilvl w:val="0"/>
          <w:numId w:val="30"/>
        </w:numPr>
        <w:pBdr>
          <w:top w:val="none" w:sz="0" w:space="0" w:color="auto"/>
          <w:left w:val="none" w:sz="0" w:space="0" w:color="auto"/>
          <w:bottom w:val="none" w:sz="0" w:space="0" w:color="auto"/>
          <w:right w:val="none" w:sz="0" w:space="0" w:color="auto"/>
          <w:between w:val="none" w:sz="0" w:space="0" w:color="auto"/>
        </w:pBdr>
        <w:tabs>
          <w:tab w:val="left" w:pos="426"/>
        </w:tabs>
        <w:autoSpaceDE w:val="0"/>
        <w:autoSpaceDN w:val="0"/>
        <w:spacing w:after="120"/>
        <w:ind w:left="476" w:hanging="476"/>
        <w:jc w:val="left"/>
        <w:rPr>
          <w:rFonts w:eastAsia="Calibri" w:cs="Times New Roman"/>
          <w:color w:val="auto"/>
          <w:lang w:eastAsia="es-ES" w:bidi="es-ES"/>
        </w:rPr>
      </w:pPr>
      <w:r w:rsidRPr="00CA6CBB">
        <w:rPr>
          <w:rFonts w:eastAsia="Calibri" w:cs="Times New Roman"/>
          <w:color w:val="auto"/>
          <w:szCs w:val="22"/>
          <w:lang w:eastAsia="es-ES" w:bidi="es-ES"/>
        </w:rPr>
        <w:t>Trabajo intersesiones realizado en 2025</w:t>
      </w:r>
    </w:p>
    <w:p w14:paraId="22DA82C7" w14:textId="77777777" w:rsidR="00B91489" w:rsidRPr="00CA6CBB" w:rsidRDefault="00B91489" w:rsidP="00B91489">
      <w:pPr>
        <w:widowControl w:val="0"/>
        <w:numPr>
          <w:ilvl w:val="0"/>
          <w:numId w:val="30"/>
        </w:numPr>
        <w:pBdr>
          <w:top w:val="none" w:sz="0" w:space="0" w:color="auto"/>
          <w:left w:val="none" w:sz="0" w:space="0" w:color="auto"/>
          <w:bottom w:val="none" w:sz="0" w:space="0" w:color="auto"/>
          <w:right w:val="none" w:sz="0" w:space="0" w:color="auto"/>
          <w:between w:val="none" w:sz="0" w:space="0" w:color="auto"/>
        </w:pBdr>
        <w:tabs>
          <w:tab w:val="left" w:pos="426"/>
        </w:tabs>
        <w:autoSpaceDE w:val="0"/>
        <w:autoSpaceDN w:val="0"/>
        <w:spacing w:after="120"/>
        <w:ind w:left="476" w:hanging="476"/>
        <w:jc w:val="left"/>
        <w:rPr>
          <w:rFonts w:eastAsia="Calibri" w:cs="Times New Roman"/>
          <w:color w:val="auto"/>
          <w:lang w:eastAsia="es-ES" w:bidi="es-ES"/>
        </w:rPr>
      </w:pPr>
      <w:r w:rsidRPr="00CA6CBB">
        <w:rPr>
          <w:rFonts w:eastAsia="Calibri" w:cs="Times New Roman"/>
          <w:color w:val="auto"/>
          <w:szCs w:val="22"/>
          <w:lang w:eastAsia="es-ES" w:bidi="es-ES"/>
        </w:rPr>
        <w:t>Actualización de la situación de los proyectos complementarios del IOMS</w:t>
      </w:r>
    </w:p>
    <w:p w14:paraId="33D7E3A9" w14:textId="77777777" w:rsidR="00B91489" w:rsidRPr="00CA6CBB" w:rsidRDefault="00B91489" w:rsidP="00B91489">
      <w:pPr>
        <w:widowControl w:val="0"/>
        <w:numPr>
          <w:ilvl w:val="1"/>
          <w:numId w:val="30"/>
        </w:numPr>
        <w:pBdr>
          <w:top w:val="none" w:sz="0" w:space="0" w:color="auto"/>
          <w:left w:val="none" w:sz="0" w:space="0" w:color="auto"/>
          <w:bottom w:val="none" w:sz="0" w:space="0" w:color="auto"/>
          <w:right w:val="none" w:sz="0" w:space="0" w:color="auto"/>
          <w:between w:val="none" w:sz="0" w:space="0" w:color="auto"/>
        </w:pBdr>
        <w:tabs>
          <w:tab w:val="left" w:pos="834"/>
        </w:tabs>
        <w:autoSpaceDE w:val="0"/>
        <w:autoSpaceDN w:val="0"/>
        <w:spacing w:after="120"/>
        <w:ind w:left="834" w:hanging="358"/>
        <w:jc w:val="left"/>
        <w:rPr>
          <w:rFonts w:eastAsia="Calibri" w:cs="Times New Roman"/>
          <w:color w:val="auto"/>
          <w:lang w:eastAsia="es-ES" w:bidi="es-ES"/>
        </w:rPr>
      </w:pPr>
      <w:r w:rsidRPr="00CA6CBB">
        <w:rPr>
          <w:rFonts w:eastAsia="Calibri" w:cs="Times New Roman"/>
          <w:color w:val="auto"/>
          <w:szCs w:val="22"/>
          <w:lang w:eastAsia="es-ES" w:bidi="es-ES"/>
        </w:rPr>
        <w:t>Subvenciones de la Unión Europea relacionadas con el IOMS (2025-2026)</w:t>
      </w:r>
    </w:p>
    <w:p w14:paraId="7C459C4A" w14:textId="77777777" w:rsidR="00B91489" w:rsidRPr="00CA6CBB" w:rsidRDefault="00B91489" w:rsidP="00B91489">
      <w:pPr>
        <w:widowControl w:val="0"/>
        <w:numPr>
          <w:ilvl w:val="1"/>
          <w:numId w:val="30"/>
        </w:numPr>
        <w:pBdr>
          <w:top w:val="none" w:sz="0" w:space="0" w:color="auto"/>
          <w:left w:val="none" w:sz="0" w:space="0" w:color="auto"/>
          <w:bottom w:val="none" w:sz="0" w:space="0" w:color="auto"/>
          <w:right w:val="none" w:sz="0" w:space="0" w:color="auto"/>
          <w:between w:val="none" w:sz="0" w:space="0" w:color="auto"/>
        </w:pBdr>
        <w:tabs>
          <w:tab w:val="left" w:pos="834"/>
        </w:tabs>
        <w:autoSpaceDE w:val="0"/>
        <w:autoSpaceDN w:val="0"/>
        <w:spacing w:after="120"/>
        <w:ind w:left="834" w:hanging="358"/>
        <w:jc w:val="left"/>
        <w:rPr>
          <w:rFonts w:eastAsia="Calibri" w:cs="Times New Roman"/>
          <w:color w:val="auto"/>
          <w:lang w:eastAsia="es-ES" w:bidi="es-ES"/>
        </w:rPr>
      </w:pPr>
      <w:r w:rsidRPr="00CA6CBB">
        <w:rPr>
          <w:rFonts w:eastAsia="Calibri" w:cs="Times New Roman"/>
          <w:color w:val="auto"/>
          <w:szCs w:val="22"/>
          <w:lang w:eastAsia="es-ES" w:bidi="es-ES"/>
        </w:rPr>
        <w:t>Proyecto GEF-ABNJ II sobre el IOMS (2024- 2027)</w:t>
      </w:r>
    </w:p>
    <w:p w14:paraId="1589B12E" w14:textId="77777777" w:rsidR="00B91489" w:rsidRPr="00CA6CBB" w:rsidRDefault="00B91489" w:rsidP="00B91489">
      <w:pPr>
        <w:widowControl w:val="0"/>
        <w:numPr>
          <w:ilvl w:val="0"/>
          <w:numId w:val="30"/>
        </w:numPr>
        <w:pBdr>
          <w:top w:val="none" w:sz="0" w:space="0" w:color="auto"/>
          <w:left w:val="none" w:sz="0" w:space="0" w:color="auto"/>
          <w:bottom w:val="none" w:sz="0" w:space="0" w:color="auto"/>
          <w:right w:val="none" w:sz="0" w:space="0" w:color="auto"/>
          <w:between w:val="none" w:sz="0" w:space="0" w:color="auto"/>
        </w:pBdr>
        <w:tabs>
          <w:tab w:val="left" w:pos="426"/>
        </w:tabs>
        <w:autoSpaceDE w:val="0"/>
        <w:autoSpaceDN w:val="0"/>
        <w:spacing w:after="120"/>
        <w:ind w:left="476" w:hanging="476"/>
        <w:jc w:val="left"/>
        <w:rPr>
          <w:rFonts w:eastAsia="Calibri" w:cs="Times New Roman"/>
          <w:color w:val="auto"/>
          <w:lang w:eastAsia="es-ES" w:bidi="es-ES"/>
        </w:rPr>
      </w:pPr>
      <w:r w:rsidRPr="00CA6CBB">
        <w:rPr>
          <w:rFonts w:eastAsia="Calibri" w:cs="Times New Roman"/>
          <w:color w:val="auto"/>
          <w:szCs w:val="22"/>
          <w:lang w:eastAsia="es-ES" w:bidi="es-ES"/>
        </w:rPr>
        <w:t>Actividades encaminadas a un proyecto piloto para la traducción parcial de los informes anuales</w:t>
      </w:r>
    </w:p>
    <w:p w14:paraId="5E5EF392" w14:textId="77777777" w:rsidR="00B91489" w:rsidRPr="00CA6CBB" w:rsidRDefault="00B91489" w:rsidP="00B91489">
      <w:pPr>
        <w:widowControl w:val="0"/>
        <w:numPr>
          <w:ilvl w:val="0"/>
          <w:numId w:val="30"/>
        </w:numPr>
        <w:pBdr>
          <w:top w:val="none" w:sz="0" w:space="0" w:color="auto"/>
          <w:left w:val="none" w:sz="0" w:space="0" w:color="auto"/>
          <w:bottom w:val="none" w:sz="0" w:space="0" w:color="auto"/>
          <w:right w:val="none" w:sz="0" w:space="0" w:color="auto"/>
          <w:between w:val="none" w:sz="0" w:space="0" w:color="auto"/>
        </w:pBdr>
        <w:tabs>
          <w:tab w:val="left" w:pos="426"/>
        </w:tabs>
        <w:autoSpaceDE w:val="0"/>
        <w:autoSpaceDN w:val="0"/>
        <w:spacing w:after="120"/>
        <w:ind w:left="476" w:hanging="476"/>
        <w:jc w:val="left"/>
        <w:rPr>
          <w:rFonts w:eastAsia="Calibri" w:cs="Times New Roman"/>
          <w:color w:val="auto"/>
          <w:lang w:eastAsia="es-ES" w:bidi="es-ES"/>
        </w:rPr>
      </w:pPr>
      <w:r w:rsidRPr="00CA6CBB">
        <w:rPr>
          <w:rFonts w:eastAsia="Calibri" w:cs="Times New Roman"/>
          <w:color w:val="auto"/>
          <w:szCs w:val="22"/>
          <w:lang w:eastAsia="es-ES" w:bidi="es-ES"/>
        </w:rPr>
        <w:t>Planificación de las sesiones de formación de usuarios de IOMS de 2026</w:t>
      </w:r>
    </w:p>
    <w:p w14:paraId="7BB31B47" w14:textId="77777777" w:rsidR="00B91489" w:rsidRPr="00CA6CBB" w:rsidRDefault="00B91489" w:rsidP="00B91489">
      <w:pPr>
        <w:widowControl w:val="0"/>
        <w:numPr>
          <w:ilvl w:val="0"/>
          <w:numId w:val="30"/>
        </w:numPr>
        <w:pBdr>
          <w:top w:val="none" w:sz="0" w:space="0" w:color="auto"/>
          <w:left w:val="none" w:sz="0" w:space="0" w:color="auto"/>
          <w:bottom w:val="none" w:sz="0" w:space="0" w:color="auto"/>
          <w:right w:val="none" w:sz="0" w:space="0" w:color="auto"/>
          <w:between w:val="none" w:sz="0" w:space="0" w:color="auto"/>
        </w:pBdr>
        <w:tabs>
          <w:tab w:val="left" w:pos="426"/>
        </w:tabs>
        <w:autoSpaceDE w:val="0"/>
        <w:autoSpaceDN w:val="0"/>
        <w:spacing w:after="120"/>
        <w:ind w:left="476" w:hanging="476"/>
        <w:jc w:val="left"/>
        <w:rPr>
          <w:rFonts w:eastAsia="Calibri" w:cs="Times New Roman"/>
          <w:color w:val="auto"/>
          <w:lang w:eastAsia="es-ES" w:bidi="es-ES"/>
        </w:rPr>
      </w:pPr>
      <w:r w:rsidRPr="00CA6CBB">
        <w:rPr>
          <w:rFonts w:eastAsia="Calibri" w:cs="Times New Roman"/>
          <w:color w:val="auto"/>
          <w:szCs w:val="22"/>
          <w:lang w:eastAsia="es-ES" w:bidi="es-ES"/>
        </w:rPr>
        <w:t xml:space="preserve">Examen de las actividades de los grupos de trabajo </w:t>
      </w:r>
      <w:r w:rsidRPr="00CA6CBB">
        <w:rPr>
          <w:rFonts w:eastAsia="Calibri" w:cs="Times New Roman"/>
          <w:i/>
          <w:iCs/>
          <w:color w:val="auto"/>
          <w:szCs w:val="22"/>
          <w:lang w:eastAsia="es-ES" w:bidi="es-ES"/>
        </w:rPr>
        <w:t>ad hoc</w:t>
      </w:r>
      <w:r w:rsidRPr="00CA6CBB">
        <w:rPr>
          <w:rFonts w:eastAsia="Calibri" w:cs="Times New Roman"/>
          <w:color w:val="auto"/>
          <w:szCs w:val="22"/>
          <w:lang w:eastAsia="es-ES" w:bidi="es-ES"/>
        </w:rPr>
        <w:t xml:space="preserve"> del WG-ORT</w:t>
      </w:r>
    </w:p>
    <w:p w14:paraId="212A5A92" w14:textId="77777777" w:rsidR="00B91489" w:rsidRPr="00CA6CBB" w:rsidRDefault="00B91489" w:rsidP="00B91489">
      <w:pPr>
        <w:widowControl w:val="0"/>
        <w:numPr>
          <w:ilvl w:val="1"/>
          <w:numId w:val="30"/>
        </w:numPr>
        <w:pBdr>
          <w:top w:val="none" w:sz="0" w:space="0" w:color="auto"/>
          <w:left w:val="none" w:sz="0" w:space="0" w:color="auto"/>
          <w:bottom w:val="none" w:sz="0" w:space="0" w:color="auto"/>
          <w:right w:val="none" w:sz="0" w:space="0" w:color="auto"/>
          <w:between w:val="none" w:sz="0" w:space="0" w:color="auto"/>
        </w:pBdr>
        <w:tabs>
          <w:tab w:val="left" w:pos="972"/>
        </w:tabs>
        <w:autoSpaceDE w:val="0"/>
        <w:autoSpaceDN w:val="0"/>
        <w:spacing w:after="120"/>
        <w:ind w:left="972" w:hanging="571"/>
        <w:jc w:val="left"/>
        <w:rPr>
          <w:rFonts w:eastAsia="Calibri" w:cs="Times New Roman"/>
          <w:color w:val="auto"/>
          <w:lang w:eastAsia="es-ES" w:bidi="es-ES"/>
        </w:rPr>
      </w:pPr>
      <w:r w:rsidRPr="00CA6CBB">
        <w:rPr>
          <w:rFonts w:eastAsia="Calibri" w:cs="Times New Roman"/>
          <w:color w:val="auto"/>
          <w:szCs w:val="22"/>
          <w:lang w:eastAsia="es-ES" w:bidi="es-ES"/>
        </w:rPr>
        <w:t>Eliminación de redundancias</w:t>
      </w:r>
    </w:p>
    <w:p w14:paraId="70E15C8B" w14:textId="77777777" w:rsidR="00B91489" w:rsidRPr="00CA6CBB" w:rsidRDefault="00B91489" w:rsidP="00B91489">
      <w:pPr>
        <w:widowControl w:val="0"/>
        <w:numPr>
          <w:ilvl w:val="1"/>
          <w:numId w:val="30"/>
        </w:numPr>
        <w:pBdr>
          <w:top w:val="none" w:sz="0" w:space="0" w:color="auto"/>
          <w:left w:val="none" w:sz="0" w:space="0" w:color="auto"/>
          <w:bottom w:val="none" w:sz="0" w:space="0" w:color="auto"/>
          <w:right w:val="none" w:sz="0" w:space="0" w:color="auto"/>
          <w:between w:val="none" w:sz="0" w:space="0" w:color="auto"/>
        </w:pBdr>
        <w:tabs>
          <w:tab w:val="left" w:pos="972"/>
        </w:tabs>
        <w:autoSpaceDE w:val="0"/>
        <w:autoSpaceDN w:val="0"/>
        <w:spacing w:after="120"/>
        <w:ind w:left="972" w:hanging="571"/>
        <w:jc w:val="left"/>
        <w:rPr>
          <w:rFonts w:eastAsia="Calibri" w:cs="Times New Roman"/>
          <w:color w:val="auto"/>
          <w:lang w:eastAsia="es-ES" w:bidi="es-ES"/>
        </w:rPr>
      </w:pPr>
      <w:r w:rsidRPr="00CA6CBB">
        <w:rPr>
          <w:rFonts w:eastAsia="Calibri" w:cs="Times New Roman"/>
          <w:color w:val="auto"/>
          <w:szCs w:val="22"/>
          <w:lang w:eastAsia="es-ES" w:bidi="es-ES"/>
        </w:rPr>
        <w:t>Glosario de términos y definiciones del IOMS</w:t>
      </w:r>
    </w:p>
    <w:p w14:paraId="10A8219B" w14:textId="77777777" w:rsidR="00B91489" w:rsidRPr="00CA6CBB" w:rsidRDefault="00B91489" w:rsidP="00B91489">
      <w:pPr>
        <w:widowControl w:val="0"/>
        <w:numPr>
          <w:ilvl w:val="0"/>
          <w:numId w:val="30"/>
        </w:numPr>
        <w:pBdr>
          <w:top w:val="none" w:sz="0" w:space="0" w:color="auto"/>
          <w:left w:val="none" w:sz="0" w:space="0" w:color="auto"/>
          <w:bottom w:val="none" w:sz="0" w:space="0" w:color="auto"/>
          <w:right w:val="none" w:sz="0" w:space="0" w:color="auto"/>
          <w:between w:val="none" w:sz="0" w:space="0" w:color="auto"/>
        </w:pBdr>
        <w:tabs>
          <w:tab w:val="left" w:pos="426"/>
        </w:tabs>
        <w:autoSpaceDE w:val="0"/>
        <w:autoSpaceDN w:val="0"/>
        <w:spacing w:after="120"/>
        <w:ind w:left="476" w:hanging="476"/>
        <w:jc w:val="left"/>
        <w:rPr>
          <w:rFonts w:eastAsia="Calibri" w:cs="Times New Roman"/>
          <w:color w:val="auto"/>
          <w:lang w:eastAsia="es-ES" w:bidi="es-ES"/>
        </w:rPr>
      </w:pPr>
      <w:r w:rsidRPr="00CA6CBB">
        <w:rPr>
          <w:rFonts w:eastAsia="Calibri" w:cs="Times New Roman"/>
          <w:color w:val="auto"/>
          <w:szCs w:val="22"/>
          <w:lang w:eastAsia="es-ES" w:bidi="es-ES"/>
        </w:rPr>
        <w:t>Actualización y aprobación del plan de trabajo del IOMS</w:t>
      </w:r>
    </w:p>
    <w:p w14:paraId="1D1DFA5F" w14:textId="77777777" w:rsidR="00B91489" w:rsidRPr="00CA6CBB" w:rsidRDefault="00B91489" w:rsidP="00B91489">
      <w:pPr>
        <w:widowControl w:val="0"/>
        <w:numPr>
          <w:ilvl w:val="0"/>
          <w:numId w:val="30"/>
        </w:numPr>
        <w:pBdr>
          <w:top w:val="none" w:sz="0" w:space="0" w:color="auto"/>
          <w:left w:val="none" w:sz="0" w:space="0" w:color="auto"/>
          <w:bottom w:val="none" w:sz="0" w:space="0" w:color="auto"/>
          <w:right w:val="none" w:sz="0" w:space="0" w:color="auto"/>
          <w:between w:val="none" w:sz="0" w:space="0" w:color="auto"/>
        </w:pBdr>
        <w:tabs>
          <w:tab w:val="left" w:pos="426"/>
        </w:tabs>
        <w:autoSpaceDE w:val="0"/>
        <w:autoSpaceDN w:val="0"/>
        <w:spacing w:after="120"/>
        <w:ind w:left="476" w:hanging="476"/>
        <w:jc w:val="left"/>
        <w:rPr>
          <w:rFonts w:eastAsia="Calibri" w:cs="Times New Roman"/>
          <w:color w:val="auto"/>
          <w:lang w:eastAsia="es-ES" w:bidi="es-ES"/>
        </w:rPr>
      </w:pPr>
      <w:r w:rsidRPr="00CA6CBB">
        <w:rPr>
          <w:rFonts w:eastAsia="Calibri" w:cs="Times New Roman"/>
          <w:color w:val="auto"/>
          <w:szCs w:val="22"/>
          <w:lang w:eastAsia="es-ES" w:bidi="es-ES"/>
        </w:rPr>
        <w:t>Trabajo intersesiones requerido en 2026</w:t>
      </w:r>
    </w:p>
    <w:p w14:paraId="221AD7CB" w14:textId="77777777" w:rsidR="00B91489" w:rsidRPr="00CA6CBB" w:rsidRDefault="00B91489" w:rsidP="00B91489">
      <w:pPr>
        <w:widowControl w:val="0"/>
        <w:numPr>
          <w:ilvl w:val="0"/>
          <w:numId w:val="30"/>
        </w:numPr>
        <w:pBdr>
          <w:top w:val="none" w:sz="0" w:space="0" w:color="auto"/>
          <w:left w:val="none" w:sz="0" w:space="0" w:color="auto"/>
          <w:bottom w:val="none" w:sz="0" w:space="0" w:color="auto"/>
          <w:right w:val="none" w:sz="0" w:space="0" w:color="auto"/>
          <w:between w:val="none" w:sz="0" w:space="0" w:color="auto"/>
        </w:pBdr>
        <w:tabs>
          <w:tab w:val="left" w:pos="426"/>
        </w:tabs>
        <w:autoSpaceDE w:val="0"/>
        <w:autoSpaceDN w:val="0"/>
        <w:spacing w:after="120"/>
        <w:ind w:left="476" w:hanging="476"/>
        <w:jc w:val="left"/>
        <w:rPr>
          <w:rFonts w:eastAsia="Calibri" w:cs="Times New Roman"/>
          <w:color w:val="auto"/>
          <w:lang w:eastAsia="es-ES" w:bidi="es-ES"/>
        </w:rPr>
      </w:pPr>
      <w:r w:rsidRPr="00CA6CBB">
        <w:rPr>
          <w:rFonts w:eastAsia="Calibri" w:cs="Times New Roman"/>
          <w:color w:val="auto"/>
          <w:szCs w:val="22"/>
          <w:lang w:eastAsia="es-ES" w:bidi="es-ES"/>
        </w:rPr>
        <w:t>Otros asuntos</w:t>
      </w:r>
    </w:p>
    <w:p w14:paraId="7AD552F2" w14:textId="675D723E" w:rsidR="00976CBF" w:rsidRPr="00CA6CBB" w:rsidRDefault="00B91489" w:rsidP="00B91489">
      <w:pPr>
        <w:widowControl w:val="0"/>
        <w:numPr>
          <w:ilvl w:val="0"/>
          <w:numId w:val="30"/>
        </w:numPr>
        <w:pBdr>
          <w:top w:val="none" w:sz="0" w:space="0" w:color="auto"/>
          <w:left w:val="none" w:sz="0" w:space="0" w:color="auto"/>
          <w:bottom w:val="none" w:sz="0" w:space="0" w:color="auto"/>
          <w:right w:val="none" w:sz="0" w:space="0" w:color="auto"/>
          <w:between w:val="none" w:sz="0" w:space="0" w:color="auto"/>
        </w:pBdr>
        <w:tabs>
          <w:tab w:val="left" w:pos="426"/>
        </w:tabs>
        <w:autoSpaceDE w:val="0"/>
        <w:autoSpaceDN w:val="0"/>
        <w:spacing w:after="80"/>
        <w:ind w:left="476" w:hanging="476"/>
        <w:jc w:val="left"/>
        <w:rPr>
          <w:rFonts w:eastAsia="Calibri" w:cs="Times New Roman"/>
          <w:color w:val="auto"/>
          <w:szCs w:val="22"/>
          <w:lang w:eastAsia="es-ES" w:bidi="es-ES"/>
        </w:rPr>
      </w:pPr>
      <w:r w:rsidRPr="00CA6CBB">
        <w:rPr>
          <w:rFonts w:eastAsia="Calibri" w:cs="Times New Roman"/>
          <w:color w:val="auto"/>
          <w:szCs w:val="22"/>
          <w:lang w:eastAsia="es-ES" w:bidi="es-ES"/>
        </w:rPr>
        <w:t>Adopción del informe y clausura</w:t>
      </w:r>
    </w:p>
    <w:p w14:paraId="06F49D47" w14:textId="77777777" w:rsidR="00976CBF" w:rsidRPr="00CA6CBB" w:rsidRDefault="00976CBF">
      <w:pPr>
        <w:pBdr>
          <w:top w:val="none" w:sz="0" w:space="0" w:color="auto"/>
          <w:left w:val="none" w:sz="0" w:space="0" w:color="auto"/>
          <w:bottom w:val="none" w:sz="0" w:space="0" w:color="auto"/>
          <w:right w:val="none" w:sz="0" w:space="0" w:color="auto"/>
          <w:between w:val="none" w:sz="0" w:space="0" w:color="auto"/>
        </w:pBdr>
        <w:spacing w:after="160" w:line="257" w:lineRule="auto"/>
        <w:jc w:val="left"/>
        <w:rPr>
          <w:rFonts w:eastAsia="Calibri" w:cs="Times New Roman"/>
          <w:color w:val="auto"/>
          <w:szCs w:val="22"/>
          <w:lang w:eastAsia="es-ES" w:bidi="es-ES"/>
        </w:rPr>
      </w:pPr>
      <w:r w:rsidRPr="00CA6CBB">
        <w:rPr>
          <w:rFonts w:eastAsia="Calibri" w:cs="Times New Roman"/>
          <w:color w:val="auto"/>
          <w:szCs w:val="22"/>
          <w:lang w:eastAsia="es-ES" w:bidi="es-ES"/>
        </w:rPr>
        <w:br w:type="page"/>
      </w:r>
    </w:p>
    <w:p w14:paraId="34E6AD73" w14:textId="102664EE"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right"/>
        <w:rPr>
          <w:rFonts w:asciiTheme="minorHAnsi" w:hAnsiTheme="minorHAnsi"/>
          <w:b/>
          <w:color w:val="auto"/>
          <w:lang w:val="pt-BR"/>
        </w:rPr>
      </w:pPr>
      <w:r w:rsidRPr="00CA6CBB">
        <w:rPr>
          <w:rFonts w:asciiTheme="minorHAnsi" w:hAnsiTheme="minorHAnsi"/>
          <w:b/>
          <w:color w:val="auto"/>
          <w:lang w:val="pt-BR"/>
        </w:rPr>
        <w:lastRenderedPageBreak/>
        <w:t>Apéndice 2</w:t>
      </w:r>
    </w:p>
    <w:p w14:paraId="1098DBD0"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right"/>
        <w:rPr>
          <w:rFonts w:asciiTheme="minorHAnsi" w:hAnsiTheme="minorHAnsi"/>
          <w:b/>
          <w:color w:val="auto"/>
          <w:lang w:val="pt-BR"/>
        </w:rPr>
      </w:pPr>
    </w:p>
    <w:p w14:paraId="53357588" w14:textId="77D583DD" w:rsidR="00976CBF" w:rsidRPr="00CA6CBB" w:rsidRDefault="00976CBF" w:rsidP="00976CBF">
      <w:pPr>
        <w:jc w:val="center"/>
        <w:rPr>
          <w:color w:val="auto"/>
          <w:lang w:val="pt-BR" w:eastAsia="en-GB"/>
        </w:rPr>
      </w:pPr>
      <w:r w:rsidRPr="00CA6CBB">
        <w:rPr>
          <w:rFonts w:asciiTheme="minorHAnsi" w:hAnsiTheme="minorHAnsi"/>
          <w:b/>
          <w:bCs/>
          <w:color w:val="auto"/>
          <w:lang w:val="pt-BR"/>
        </w:rPr>
        <w:t>Lista de participantes</w:t>
      </w:r>
      <w:r w:rsidRPr="00CA6CBB">
        <w:rPr>
          <w:b/>
          <w:color w:val="auto"/>
          <w:vertAlign w:val="superscript"/>
          <w:lang w:val="pt-BR" w:eastAsia="en-GB"/>
        </w:rPr>
        <w:footnoteReference w:customMarkFollows="1" w:id="2"/>
        <w:t>*</w:t>
      </w:r>
      <w:r w:rsidRPr="00CA6CBB">
        <w:rPr>
          <w:b/>
          <w:color w:val="auto"/>
          <w:lang w:val="pt-BR" w:eastAsia="en-GB"/>
        </w:rPr>
        <w:t xml:space="preserve"> </w:t>
      </w:r>
      <w:r w:rsidRPr="00CA6CBB">
        <w:rPr>
          <w:b/>
          <w:color w:val="auto"/>
          <w:vertAlign w:val="superscript"/>
          <w:lang w:val="pt-BR" w:eastAsia="en-GB"/>
        </w:rPr>
        <w:t>1</w:t>
      </w:r>
    </w:p>
    <w:p w14:paraId="44EABA5F"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b/>
          <w:i/>
          <w:color w:val="auto"/>
          <w:lang w:val="pt-BR" w:eastAsia="en-GB"/>
        </w:rPr>
      </w:pPr>
    </w:p>
    <w:p w14:paraId="7BFCB1CA"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pt-BR" w:eastAsia="en-GB"/>
        </w:rPr>
      </w:pPr>
    </w:p>
    <w:p w14:paraId="283D8613" w14:textId="7231A529"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pt-BR"/>
        </w:rPr>
      </w:pPr>
      <w:r w:rsidRPr="00CA6CBB">
        <w:rPr>
          <w:b/>
          <w:i/>
          <w:color w:val="auto"/>
          <w:lang w:val="pt-BR"/>
        </w:rPr>
        <w:t>PARTES CONTRATANTES</w:t>
      </w:r>
    </w:p>
    <w:p w14:paraId="5B4D4BC3"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pt-BR"/>
        </w:rPr>
      </w:pPr>
    </w:p>
    <w:p w14:paraId="5ACB4E91"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fr-FR"/>
        </w:rPr>
      </w:pPr>
      <w:r w:rsidRPr="00CA6CBB">
        <w:rPr>
          <w:b/>
          <w:color w:val="auto"/>
          <w:lang w:val="fr-FR"/>
        </w:rPr>
        <w:t>ANGOLA</w:t>
      </w:r>
    </w:p>
    <w:p w14:paraId="4491F933"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fr-FR"/>
        </w:rPr>
      </w:pPr>
      <w:r w:rsidRPr="00CA6CBB">
        <w:rPr>
          <w:b/>
          <w:color w:val="auto"/>
          <w:sz w:val="18"/>
          <w:lang w:val="fr-FR"/>
        </w:rPr>
        <w:t>Chilamba</w:t>
      </w:r>
      <w:r w:rsidRPr="00CA6CBB">
        <w:rPr>
          <w:color w:val="auto"/>
          <w:sz w:val="18"/>
          <w:lang w:val="fr-FR"/>
        </w:rPr>
        <w:t>, Victor Capapelo Julio *</w:t>
      </w:r>
    </w:p>
    <w:p w14:paraId="2F120247" w14:textId="77777777" w:rsidR="00976CBF" w:rsidRPr="00901F92"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en-US"/>
        </w:rPr>
      </w:pPr>
      <w:r w:rsidRPr="00901F92">
        <w:rPr>
          <w:color w:val="auto"/>
          <w:sz w:val="18"/>
          <w:lang w:val="en-US"/>
        </w:rPr>
        <w:t xml:space="preserve">Director of the National Directorate of Fisheries, Ministry of Fisheries and Marine Resources of Angola, Complexo </w:t>
      </w:r>
      <w:proofErr w:type="spellStart"/>
      <w:r w:rsidRPr="00901F92">
        <w:rPr>
          <w:color w:val="auto"/>
          <w:sz w:val="18"/>
          <w:lang w:val="en-US"/>
        </w:rPr>
        <w:t>Administrativo</w:t>
      </w:r>
      <w:proofErr w:type="spellEnd"/>
      <w:r w:rsidRPr="00901F92">
        <w:rPr>
          <w:color w:val="auto"/>
          <w:sz w:val="18"/>
          <w:lang w:val="en-US"/>
        </w:rPr>
        <w:t xml:space="preserve">, </w:t>
      </w:r>
      <w:proofErr w:type="spellStart"/>
      <w:r w:rsidRPr="00901F92">
        <w:rPr>
          <w:color w:val="auto"/>
          <w:sz w:val="18"/>
          <w:lang w:val="en-US"/>
        </w:rPr>
        <w:t>Clássicos</w:t>
      </w:r>
      <w:proofErr w:type="spellEnd"/>
      <w:r w:rsidRPr="00901F92">
        <w:rPr>
          <w:color w:val="auto"/>
          <w:sz w:val="18"/>
          <w:lang w:val="en-US"/>
        </w:rPr>
        <w:t xml:space="preserve"> do </w:t>
      </w:r>
      <w:proofErr w:type="spellStart"/>
      <w:r w:rsidRPr="00901F92">
        <w:rPr>
          <w:color w:val="auto"/>
          <w:sz w:val="18"/>
          <w:lang w:val="en-US"/>
        </w:rPr>
        <w:t>Talatona</w:t>
      </w:r>
      <w:proofErr w:type="spellEnd"/>
      <w:r w:rsidRPr="00901F92">
        <w:rPr>
          <w:color w:val="auto"/>
          <w:sz w:val="18"/>
          <w:lang w:val="en-US"/>
        </w:rPr>
        <w:t xml:space="preserve"> Rua da Mat 5º </w:t>
      </w:r>
      <w:proofErr w:type="spellStart"/>
      <w:r w:rsidRPr="00901F92">
        <w:rPr>
          <w:color w:val="auto"/>
          <w:sz w:val="18"/>
          <w:lang w:val="en-US"/>
        </w:rPr>
        <w:t>Edifício</w:t>
      </w:r>
      <w:proofErr w:type="spellEnd"/>
      <w:r w:rsidRPr="00901F92">
        <w:rPr>
          <w:color w:val="auto"/>
          <w:sz w:val="18"/>
          <w:lang w:val="en-US"/>
        </w:rPr>
        <w:t>, Luanda</w:t>
      </w:r>
    </w:p>
    <w:p w14:paraId="60EE3515"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Tel: +244 926 819 251; +244 933 366 328, E-Mail: victorpescas15@gmail.com</w:t>
      </w:r>
    </w:p>
    <w:p w14:paraId="2D7757EC"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5674C4C9"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pt-PT"/>
        </w:rPr>
      </w:pPr>
      <w:r w:rsidRPr="00CA6CBB">
        <w:rPr>
          <w:b/>
          <w:color w:val="auto"/>
          <w:sz w:val="18"/>
          <w:lang w:val="pt-PT"/>
        </w:rPr>
        <w:t>Códia</w:t>
      </w:r>
      <w:r w:rsidRPr="00CA6CBB">
        <w:rPr>
          <w:color w:val="auto"/>
          <w:sz w:val="18"/>
          <w:lang w:val="pt-PT"/>
        </w:rPr>
        <w:t>, Vieira Ferreira Nzambi</w:t>
      </w:r>
    </w:p>
    <w:p w14:paraId="58AE3ADE"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Ministry of Fisheries and Marine Resources, Complexo Administrativo, Clássicos de Talatona, Rua do Mat 5º Edificio, 3 Andar, Luanda</w:t>
      </w:r>
    </w:p>
    <w:p w14:paraId="2F154D69"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Tel: +244 933 673 060, E-Mail: vieiracodia@gmail.com; vivasnkodia@gmail.com</w:t>
      </w:r>
    </w:p>
    <w:p w14:paraId="3F485FA8"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b/>
          <w:color w:val="auto"/>
          <w:lang w:val="pt-BR"/>
        </w:rPr>
      </w:pPr>
    </w:p>
    <w:p w14:paraId="3F604EE8" w14:textId="75F47C10"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fr-FR"/>
        </w:rPr>
      </w:pPr>
      <w:r w:rsidRPr="00CA6CBB">
        <w:rPr>
          <w:b/>
          <w:color w:val="auto"/>
          <w:lang w:val="fr-FR"/>
        </w:rPr>
        <w:t>ARGELIA</w:t>
      </w:r>
    </w:p>
    <w:p w14:paraId="6CBFF6AA"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fr-FR"/>
        </w:rPr>
      </w:pPr>
      <w:r w:rsidRPr="00CA6CBB">
        <w:rPr>
          <w:b/>
          <w:color w:val="auto"/>
          <w:sz w:val="18"/>
          <w:lang w:val="fr-FR"/>
        </w:rPr>
        <w:t>Ouchelli</w:t>
      </w:r>
      <w:r w:rsidRPr="00CA6CBB">
        <w:rPr>
          <w:color w:val="auto"/>
          <w:sz w:val="18"/>
          <w:lang w:val="fr-FR"/>
        </w:rPr>
        <w:t>, Amar *</w:t>
      </w:r>
    </w:p>
    <w:p w14:paraId="1B66D68A"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fr-FR"/>
        </w:rPr>
      </w:pPr>
      <w:r w:rsidRPr="00CA6CBB">
        <w:rPr>
          <w:color w:val="auto"/>
          <w:sz w:val="18"/>
          <w:lang w:val="fr-FR"/>
        </w:rPr>
        <w:t xml:space="preserve">Sous-directeur de la Grande Pêche et de la Pêche Spécialisée, </w:t>
      </w:r>
      <w:proofErr w:type="gramStart"/>
      <w:r w:rsidRPr="00CA6CBB">
        <w:rPr>
          <w:color w:val="auto"/>
          <w:sz w:val="18"/>
          <w:lang w:val="fr-FR"/>
        </w:rPr>
        <w:t>Ministère</w:t>
      </w:r>
      <w:proofErr w:type="gramEnd"/>
      <w:r w:rsidRPr="00CA6CBB">
        <w:rPr>
          <w:color w:val="auto"/>
          <w:sz w:val="18"/>
          <w:lang w:val="fr-FR"/>
        </w:rPr>
        <w:t xml:space="preserve"> de la Pêche et des Productions Halieutiques, route des Quatre Canons, 16000 Alger</w:t>
      </w:r>
    </w:p>
    <w:p w14:paraId="53412C7F"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fr-FR"/>
        </w:rPr>
      </w:pPr>
      <w:proofErr w:type="gramStart"/>
      <w:r w:rsidRPr="00CA6CBB">
        <w:rPr>
          <w:color w:val="auto"/>
          <w:sz w:val="18"/>
          <w:lang w:val="fr-FR"/>
        </w:rPr>
        <w:t>Tel:</w:t>
      </w:r>
      <w:proofErr w:type="gramEnd"/>
      <w:r w:rsidRPr="00CA6CBB">
        <w:rPr>
          <w:color w:val="auto"/>
          <w:sz w:val="18"/>
          <w:lang w:val="fr-FR"/>
        </w:rPr>
        <w:t xml:space="preserve"> +213 550 386 938, </w:t>
      </w:r>
      <w:proofErr w:type="gramStart"/>
      <w:r w:rsidRPr="00CA6CBB">
        <w:rPr>
          <w:color w:val="auto"/>
          <w:sz w:val="18"/>
          <w:lang w:val="fr-FR"/>
        </w:rPr>
        <w:t>Fax:</w:t>
      </w:r>
      <w:proofErr w:type="gramEnd"/>
      <w:r w:rsidRPr="00CA6CBB">
        <w:rPr>
          <w:color w:val="auto"/>
          <w:sz w:val="18"/>
          <w:lang w:val="fr-FR"/>
        </w:rPr>
        <w:t xml:space="preserve"> +213 234 95597, </w:t>
      </w:r>
      <w:proofErr w:type="gramStart"/>
      <w:r w:rsidRPr="00CA6CBB">
        <w:rPr>
          <w:color w:val="auto"/>
          <w:sz w:val="18"/>
          <w:lang w:val="fr-FR"/>
        </w:rPr>
        <w:t>E-Mail:</w:t>
      </w:r>
      <w:proofErr w:type="gramEnd"/>
      <w:r w:rsidRPr="00CA6CBB">
        <w:rPr>
          <w:color w:val="auto"/>
          <w:sz w:val="18"/>
          <w:lang w:val="fr-FR"/>
        </w:rPr>
        <w:t xml:space="preserve"> </w:t>
      </w:r>
      <w:proofErr w:type="gramStart"/>
      <w:r w:rsidRPr="00CA6CBB">
        <w:rPr>
          <w:color w:val="auto"/>
          <w:sz w:val="18"/>
          <w:lang w:val="fr-FR"/>
        </w:rPr>
        <w:t>amarouchelli.dz@gmail.com;</w:t>
      </w:r>
      <w:proofErr w:type="gramEnd"/>
      <w:r w:rsidRPr="00CA6CBB">
        <w:rPr>
          <w:color w:val="auto"/>
          <w:sz w:val="18"/>
          <w:lang w:val="fr-FR"/>
        </w:rPr>
        <w:t xml:space="preserve"> amar.ouchelli@mpeche.gov.dz</w:t>
      </w:r>
    </w:p>
    <w:p w14:paraId="0654DF1A"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fr-FR"/>
        </w:rPr>
      </w:pPr>
    </w:p>
    <w:p w14:paraId="00FFAF8E"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fr-FR"/>
        </w:rPr>
      </w:pPr>
      <w:proofErr w:type="spellStart"/>
      <w:r w:rsidRPr="00CA6CBB">
        <w:rPr>
          <w:b/>
          <w:color w:val="auto"/>
          <w:sz w:val="18"/>
          <w:lang w:val="fr-FR"/>
        </w:rPr>
        <w:t>Tamourt</w:t>
      </w:r>
      <w:proofErr w:type="spellEnd"/>
      <w:r w:rsidRPr="00CA6CBB">
        <w:rPr>
          <w:color w:val="auto"/>
          <w:sz w:val="18"/>
          <w:lang w:val="fr-FR"/>
        </w:rPr>
        <w:t xml:space="preserve">, </w:t>
      </w:r>
      <w:proofErr w:type="spellStart"/>
      <w:r w:rsidRPr="00CA6CBB">
        <w:rPr>
          <w:color w:val="auto"/>
          <w:sz w:val="18"/>
          <w:lang w:val="fr-FR"/>
        </w:rPr>
        <w:t>Amira</w:t>
      </w:r>
      <w:proofErr w:type="spellEnd"/>
      <w:r w:rsidRPr="00CA6CBB">
        <w:rPr>
          <w:color w:val="auto"/>
          <w:sz w:val="18"/>
          <w:lang w:val="fr-FR"/>
        </w:rPr>
        <w:t xml:space="preserve"> </w:t>
      </w:r>
      <w:r w:rsidRPr="00CA6CBB">
        <w:rPr>
          <w:color w:val="auto"/>
          <w:sz w:val="18"/>
          <w:vertAlign w:val="superscript"/>
          <w:lang w:val="fr-FR"/>
        </w:rPr>
        <w:t>1</w:t>
      </w:r>
    </w:p>
    <w:p w14:paraId="6BFE9C85"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fr-FR"/>
        </w:rPr>
      </w:pPr>
      <w:r w:rsidRPr="00CA6CBB">
        <w:rPr>
          <w:color w:val="auto"/>
          <w:sz w:val="18"/>
          <w:lang w:val="fr-FR"/>
        </w:rPr>
        <w:t>Ministère de la Pêche et des Ressources Halieutiques, 16100 Alger</w:t>
      </w:r>
    </w:p>
    <w:p w14:paraId="21C79487"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fr-FR"/>
        </w:rPr>
      </w:pPr>
    </w:p>
    <w:p w14:paraId="1FECFDD8" w14:textId="688E0A9B"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pt-PT"/>
        </w:rPr>
      </w:pPr>
      <w:r w:rsidRPr="00CA6CBB">
        <w:rPr>
          <w:b/>
          <w:color w:val="auto"/>
          <w:lang w:val="pt-PT"/>
        </w:rPr>
        <w:t>BRASIL</w:t>
      </w:r>
    </w:p>
    <w:p w14:paraId="61D301C3"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pt-PT"/>
        </w:rPr>
      </w:pPr>
      <w:r w:rsidRPr="00CA6CBB">
        <w:rPr>
          <w:b/>
          <w:color w:val="auto"/>
          <w:sz w:val="18"/>
          <w:lang w:val="pt-PT"/>
        </w:rPr>
        <w:t>Souza Lira</w:t>
      </w:r>
      <w:r w:rsidRPr="00CA6CBB">
        <w:rPr>
          <w:color w:val="auto"/>
          <w:sz w:val="18"/>
          <w:lang w:val="pt-PT"/>
        </w:rPr>
        <w:t>, Alex</w:t>
      </w:r>
    </w:p>
    <w:p w14:paraId="76F77BD0"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Registering, Monitoring and Research Secretariat, Esplanada dos Ministérios, Setor de Autarquias Sul Q. 2, 70043-900 Brasília, DF</w:t>
      </w:r>
    </w:p>
    <w:p w14:paraId="0F55E2EF"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Tel: +55 819 855 15243, E-Mail: alex.lira@mpa.gov.br</w:t>
      </w:r>
    </w:p>
    <w:p w14:paraId="6CEFB4C7"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42F71AD9" w14:textId="3F6F060F" w:rsidR="00976CBF" w:rsidRPr="00901F92"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fr-FR"/>
        </w:rPr>
      </w:pPr>
      <w:r w:rsidRPr="00901F92">
        <w:rPr>
          <w:b/>
          <w:color w:val="auto"/>
          <w:lang w:val="fr-FR"/>
        </w:rPr>
        <w:t>CANADÁ</w:t>
      </w:r>
    </w:p>
    <w:p w14:paraId="1CCDC7AF" w14:textId="77777777" w:rsidR="00976CBF" w:rsidRPr="00901F92"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fr-FR"/>
        </w:rPr>
      </w:pPr>
      <w:r w:rsidRPr="00901F92">
        <w:rPr>
          <w:b/>
          <w:color w:val="auto"/>
          <w:sz w:val="18"/>
          <w:lang w:val="fr-FR"/>
        </w:rPr>
        <w:t>Cossette</w:t>
      </w:r>
      <w:r w:rsidRPr="00901F92">
        <w:rPr>
          <w:color w:val="auto"/>
          <w:sz w:val="18"/>
          <w:lang w:val="fr-FR"/>
        </w:rPr>
        <w:t>, Frédéric</w:t>
      </w:r>
    </w:p>
    <w:p w14:paraId="1D7237AE"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en-US"/>
        </w:rPr>
      </w:pPr>
      <w:r w:rsidRPr="00CA6CBB">
        <w:rPr>
          <w:color w:val="auto"/>
          <w:sz w:val="18"/>
          <w:lang w:val="en-US"/>
        </w:rPr>
        <w:t>Policy Advisor, Fisheries and Oceans Canada, 200 Kent St., Ottawa, Ontario K1A 0E6</w:t>
      </w:r>
    </w:p>
    <w:p w14:paraId="41CEBD0B"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Tel: +1 343 541 6921, E-Mail: frederic.cossette@dfo-mpo.gc.ca</w:t>
      </w:r>
    </w:p>
    <w:p w14:paraId="333716A1"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636BEAD7" w14:textId="77777777" w:rsidR="00976CBF" w:rsidRPr="00901F92"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it-IT"/>
        </w:rPr>
      </w:pPr>
      <w:r w:rsidRPr="00901F92">
        <w:rPr>
          <w:b/>
          <w:color w:val="auto"/>
          <w:sz w:val="18"/>
          <w:lang w:val="it-IT"/>
        </w:rPr>
        <w:t>Hamoui</w:t>
      </w:r>
      <w:r w:rsidRPr="00901F92">
        <w:rPr>
          <w:color w:val="auto"/>
          <w:sz w:val="18"/>
          <w:lang w:val="it-IT"/>
        </w:rPr>
        <w:t>, Nadia</w:t>
      </w:r>
    </w:p>
    <w:p w14:paraId="3E1D1777"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en-US"/>
        </w:rPr>
      </w:pPr>
      <w:r w:rsidRPr="00CA6CBB">
        <w:rPr>
          <w:color w:val="auto"/>
          <w:sz w:val="18"/>
          <w:lang w:val="en-US"/>
        </w:rPr>
        <w:t>Junior Policy Analyst, International Fisheries Policy, Fisheries &amp; Oceans Canada, 200 Kent Street, Ottawa K1AOE6</w:t>
      </w:r>
    </w:p>
    <w:p w14:paraId="7D1A1681"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Tel: +1 613 302 2835, E-Mail: nadia.hamoui@dfo-mpo.gc.ca</w:t>
      </w:r>
    </w:p>
    <w:p w14:paraId="6CDE50BE"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27CC68DC" w14:textId="77777777" w:rsidR="00976CBF" w:rsidRPr="00901F92"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it-IT"/>
        </w:rPr>
      </w:pPr>
      <w:r w:rsidRPr="00901F92">
        <w:rPr>
          <w:b/>
          <w:color w:val="auto"/>
          <w:sz w:val="18"/>
          <w:lang w:val="it-IT"/>
        </w:rPr>
        <w:t>Kerwin</w:t>
      </w:r>
      <w:r w:rsidRPr="00901F92">
        <w:rPr>
          <w:color w:val="auto"/>
          <w:sz w:val="18"/>
          <w:lang w:val="it-IT"/>
        </w:rPr>
        <w:t>, Jessica</w:t>
      </w:r>
    </w:p>
    <w:p w14:paraId="67DF7FAF"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en-US"/>
        </w:rPr>
      </w:pPr>
      <w:r w:rsidRPr="00CA6CBB">
        <w:rPr>
          <w:color w:val="auto"/>
          <w:sz w:val="18"/>
          <w:lang w:val="en-US"/>
        </w:rPr>
        <w:t>Large Pelagic Resource Manager, Fisheries and Oceans Canada, 200 Kent Street, Ottawa, ON K1A 0E6</w:t>
      </w:r>
    </w:p>
    <w:p w14:paraId="04324C85"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Tel: +1 613 291 7480, E-Mail: jessica.kerwin@dfo-mpo.gc.ca</w:t>
      </w:r>
    </w:p>
    <w:p w14:paraId="18AE4C08"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71A78DD8"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CA6CBB">
        <w:rPr>
          <w:b/>
          <w:color w:val="auto"/>
          <w:sz w:val="18"/>
          <w:lang w:val="en-US"/>
        </w:rPr>
        <w:t>Minch</w:t>
      </w:r>
      <w:r w:rsidRPr="00CA6CBB">
        <w:rPr>
          <w:color w:val="auto"/>
          <w:sz w:val="18"/>
          <w:lang w:val="en-US"/>
        </w:rPr>
        <w:t>, Taryn</w:t>
      </w:r>
    </w:p>
    <w:p w14:paraId="43F9877D"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en-US"/>
        </w:rPr>
      </w:pPr>
      <w:r w:rsidRPr="00CA6CBB">
        <w:rPr>
          <w:color w:val="auto"/>
          <w:sz w:val="18"/>
          <w:lang w:val="en-US"/>
        </w:rPr>
        <w:t>Fisheries and Oceans Canada, St. Andrews Biological Station, 125 Marine Science Drive, St. Andrews, NB New Brunswick E5B 0E4</w:t>
      </w:r>
    </w:p>
    <w:p w14:paraId="56CF8F2A"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Tel: +1 506 608 0171, E-Mail: taryn.minch@dfo-mpo.gc.ca</w:t>
      </w:r>
    </w:p>
    <w:p w14:paraId="73B42668"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6132500D"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fr-FR"/>
        </w:rPr>
      </w:pPr>
      <w:r w:rsidRPr="00CA6CBB">
        <w:rPr>
          <w:b/>
          <w:color w:val="auto"/>
          <w:lang w:val="fr-FR"/>
        </w:rPr>
        <w:t>CÔTE D'IVOIRE</w:t>
      </w:r>
    </w:p>
    <w:p w14:paraId="6235EEB1"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fr-FR"/>
        </w:rPr>
      </w:pPr>
      <w:proofErr w:type="spellStart"/>
      <w:r w:rsidRPr="00CA6CBB">
        <w:rPr>
          <w:b/>
          <w:color w:val="auto"/>
          <w:sz w:val="18"/>
          <w:lang w:val="fr-FR"/>
        </w:rPr>
        <w:t>Djou</w:t>
      </w:r>
      <w:proofErr w:type="spellEnd"/>
      <w:r w:rsidRPr="00CA6CBB">
        <w:rPr>
          <w:color w:val="auto"/>
          <w:sz w:val="18"/>
          <w:lang w:val="fr-FR"/>
        </w:rPr>
        <w:t>, Kouadio Julien</w:t>
      </w:r>
    </w:p>
    <w:p w14:paraId="4A12F2B0"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fr-FR"/>
        </w:rPr>
      </w:pPr>
      <w:r w:rsidRPr="00CA6CBB">
        <w:rPr>
          <w:color w:val="auto"/>
          <w:sz w:val="18"/>
          <w:lang w:val="fr-FR"/>
        </w:rPr>
        <w:t xml:space="preserve">Statisticien de la Direction de Pêches, Chef de Service Etudes, Statistiques et Documentation, Direction des Pêches (DP), </w:t>
      </w:r>
      <w:proofErr w:type="gramStart"/>
      <w:r w:rsidRPr="00CA6CBB">
        <w:rPr>
          <w:color w:val="auto"/>
          <w:sz w:val="18"/>
          <w:lang w:val="fr-FR"/>
        </w:rPr>
        <w:t>Ministère</w:t>
      </w:r>
      <w:proofErr w:type="gramEnd"/>
      <w:r w:rsidRPr="00CA6CBB">
        <w:rPr>
          <w:color w:val="auto"/>
          <w:sz w:val="18"/>
          <w:lang w:val="fr-FR"/>
        </w:rPr>
        <w:t xml:space="preserve"> des Ressources Animales et Halieutiques (MIRAH), 27 rue des Pêcheurs, BP V19, Abidjan 01</w:t>
      </w:r>
    </w:p>
    <w:p w14:paraId="53F5237A"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Tel: +225 79 15 96 22, Fax: +225 21 25 67 27, E-Mail: djoujulien225@gmail.com; ko.djou@ressourcesanimales.gouv.ci</w:t>
      </w:r>
    </w:p>
    <w:p w14:paraId="1816E78F"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39C8B64F" w14:textId="77777777" w:rsidR="003C7DC6" w:rsidRPr="00CA6CBB" w:rsidRDefault="003C7DC6" w:rsidP="00976CBF">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7495D125" w14:textId="77777777" w:rsidR="003C7DC6" w:rsidRPr="00CA6CBB" w:rsidRDefault="003C7DC6" w:rsidP="00976CBF">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46245BAB" w14:textId="77777777" w:rsidR="003C7DC6" w:rsidRPr="00CA6CBB" w:rsidRDefault="003C7DC6" w:rsidP="00976CBF">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1D64A1FC" w14:textId="77777777" w:rsidR="003C7DC6" w:rsidRPr="00CA6CBB" w:rsidRDefault="003C7DC6" w:rsidP="003C7DC6">
      <w:pPr>
        <w:pBdr>
          <w:top w:val="none" w:sz="0" w:space="0" w:color="auto"/>
          <w:left w:val="none" w:sz="0" w:space="0" w:color="auto"/>
          <w:bottom w:val="none" w:sz="0" w:space="0" w:color="auto"/>
          <w:right w:val="none" w:sz="0" w:space="0" w:color="auto"/>
          <w:between w:val="none" w:sz="0" w:space="0" w:color="auto"/>
        </w:pBdr>
        <w:jc w:val="left"/>
        <w:rPr>
          <w:color w:val="auto"/>
          <w:lang w:val="pt-PT"/>
        </w:rPr>
      </w:pPr>
      <w:r w:rsidRPr="00CA6CBB">
        <w:rPr>
          <w:b/>
          <w:color w:val="auto"/>
          <w:lang w:val="pt-PT"/>
        </w:rPr>
        <w:t>ESTADOS UNIDOS</w:t>
      </w:r>
    </w:p>
    <w:p w14:paraId="38A70F5F" w14:textId="77777777" w:rsidR="003C7DC6" w:rsidRPr="00CA6CBB" w:rsidRDefault="003C7DC6" w:rsidP="003C7DC6">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CA6CBB">
        <w:rPr>
          <w:b/>
          <w:color w:val="auto"/>
          <w:sz w:val="18"/>
          <w:lang w:val="en-US"/>
        </w:rPr>
        <w:t>Bors</w:t>
      </w:r>
      <w:r w:rsidRPr="00CA6CBB">
        <w:rPr>
          <w:color w:val="auto"/>
          <w:sz w:val="18"/>
          <w:lang w:val="en-US"/>
        </w:rPr>
        <w:t>, Eleanor</w:t>
      </w:r>
    </w:p>
    <w:p w14:paraId="7C058CA5" w14:textId="77777777" w:rsidR="003C7DC6" w:rsidRPr="00CA6CBB" w:rsidRDefault="003C7DC6" w:rsidP="003C7DC6">
      <w:pPr>
        <w:pBdr>
          <w:top w:val="none" w:sz="0" w:space="0" w:color="auto"/>
          <w:left w:val="none" w:sz="0" w:space="0" w:color="auto"/>
          <w:bottom w:val="none" w:sz="0" w:space="0" w:color="auto"/>
          <w:right w:val="none" w:sz="0" w:space="0" w:color="auto"/>
          <w:between w:val="none" w:sz="0" w:space="0" w:color="auto"/>
        </w:pBdr>
        <w:rPr>
          <w:color w:val="auto"/>
          <w:lang w:val="en-US"/>
        </w:rPr>
      </w:pPr>
      <w:r w:rsidRPr="00CA6CBB">
        <w:rPr>
          <w:color w:val="auto"/>
          <w:sz w:val="18"/>
          <w:lang w:val="en-US"/>
        </w:rPr>
        <w:t>National Marine Fisheries Service Office of International Affairs, Trade, and Commerce, Office 5151, 1315 East-West Highway 5th Floor, Silver Spring, Maryland 20910</w:t>
      </w:r>
    </w:p>
    <w:p w14:paraId="7BF18DAC" w14:textId="77777777" w:rsidR="003C7DC6" w:rsidRPr="00CA6CBB" w:rsidRDefault="003C7DC6" w:rsidP="003C7DC6">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Tel: +1 240 429 4461; +1 617 571 1376, E-Mail: eleanor.bors@noaa.gov</w:t>
      </w:r>
    </w:p>
    <w:p w14:paraId="7CD509E0" w14:textId="77777777" w:rsidR="003C7DC6" w:rsidRPr="00CA6CBB" w:rsidRDefault="003C7DC6" w:rsidP="003C7DC6">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13E8C319" w14:textId="77777777" w:rsidR="003C7DC6" w:rsidRPr="00CA6CBB" w:rsidRDefault="003C7DC6" w:rsidP="003C7DC6">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CA6CBB">
        <w:rPr>
          <w:b/>
          <w:color w:val="auto"/>
          <w:sz w:val="18"/>
          <w:lang w:val="en-US"/>
        </w:rPr>
        <w:t>Harris</w:t>
      </w:r>
      <w:r w:rsidRPr="00CA6CBB">
        <w:rPr>
          <w:color w:val="auto"/>
          <w:sz w:val="18"/>
          <w:lang w:val="en-US"/>
        </w:rPr>
        <w:t>, Madison</w:t>
      </w:r>
    </w:p>
    <w:p w14:paraId="63915F23" w14:textId="77777777" w:rsidR="003C7DC6" w:rsidRPr="00CA6CBB" w:rsidRDefault="003C7DC6" w:rsidP="003C7DC6">
      <w:pPr>
        <w:pBdr>
          <w:top w:val="none" w:sz="0" w:space="0" w:color="auto"/>
          <w:left w:val="none" w:sz="0" w:space="0" w:color="auto"/>
          <w:bottom w:val="none" w:sz="0" w:space="0" w:color="auto"/>
          <w:right w:val="none" w:sz="0" w:space="0" w:color="auto"/>
          <w:between w:val="none" w:sz="0" w:space="0" w:color="auto"/>
        </w:pBdr>
        <w:rPr>
          <w:color w:val="auto"/>
          <w:lang w:val="en-US"/>
        </w:rPr>
      </w:pPr>
      <w:r w:rsidRPr="00CA6CBB">
        <w:rPr>
          <w:color w:val="auto"/>
          <w:sz w:val="18"/>
          <w:lang w:val="en-US"/>
        </w:rPr>
        <w:t>Foreign Affairs Specialist, Office of International Affairs, Trade, and Commerce (F/IATC), NOAA, National Marine Fisheries Service, National Oceanic and Atmospheric Administration, U.S. Department of Commerce, 1315 East-West Highway, Silver Spring, Maryland 20910</w:t>
      </w:r>
    </w:p>
    <w:p w14:paraId="5AFB9F60" w14:textId="77777777" w:rsidR="003C7DC6" w:rsidRPr="00CA6CBB" w:rsidRDefault="003C7DC6" w:rsidP="003C7DC6">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Tel: +1 202 480 4592, E-Mail: madison.harris@noaa.gov</w:t>
      </w:r>
    </w:p>
    <w:p w14:paraId="41BE25C0"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7956BFAB" w14:textId="77777777" w:rsidR="00976CBF" w:rsidRPr="00901F92"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it-IT"/>
        </w:rPr>
      </w:pPr>
      <w:r w:rsidRPr="00901F92">
        <w:rPr>
          <w:b/>
          <w:color w:val="auto"/>
          <w:lang w:val="it-IT"/>
        </w:rPr>
        <w:t>GHANA</w:t>
      </w:r>
    </w:p>
    <w:p w14:paraId="100401AE" w14:textId="77777777" w:rsidR="00976CBF" w:rsidRPr="00901F92"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it-IT"/>
        </w:rPr>
      </w:pPr>
      <w:proofErr w:type="spellStart"/>
      <w:r w:rsidRPr="00901F92">
        <w:rPr>
          <w:b/>
          <w:color w:val="auto"/>
          <w:sz w:val="18"/>
          <w:lang w:val="it-IT"/>
        </w:rPr>
        <w:t>Ayivi</w:t>
      </w:r>
      <w:proofErr w:type="spellEnd"/>
      <w:r w:rsidRPr="00901F92">
        <w:rPr>
          <w:color w:val="auto"/>
          <w:sz w:val="18"/>
          <w:lang w:val="it-IT"/>
        </w:rPr>
        <w:t>, Sylvia Sefakor Awo</w:t>
      </w:r>
    </w:p>
    <w:p w14:paraId="04C11BC0"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en-US"/>
        </w:rPr>
      </w:pPr>
      <w:r w:rsidRPr="00CA6CBB">
        <w:rPr>
          <w:color w:val="auto"/>
          <w:sz w:val="18"/>
          <w:lang w:val="en-US"/>
        </w:rPr>
        <w:t>Deputy Director, Fisheries Scientific Survey Division, Fisheries Commission, P.O. Box GP 630 Accra, Tema</w:t>
      </w:r>
    </w:p>
    <w:p w14:paraId="7F523650"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Tel: +233 2441 76300, Fax: +233 3032 008048, E-Mail: Sylvia.Ayivi@fishcom.gov.gh</w:t>
      </w:r>
    </w:p>
    <w:p w14:paraId="0FFAA9A8"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1E4B389F"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pt-PT"/>
        </w:rPr>
      </w:pPr>
      <w:r w:rsidRPr="00CA6CBB">
        <w:rPr>
          <w:b/>
          <w:color w:val="auto"/>
          <w:sz w:val="18"/>
          <w:lang w:val="pt-PT"/>
        </w:rPr>
        <w:t>Dovlo</w:t>
      </w:r>
      <w:r w:rsidRPr="00CA6CBB">
        <w:rPr>
          <w:color w:val="auto"/>
          <w:sz w:val="18"/>
          <w:lang w:val="pt-PT"/>
        </w:rPr>
        <w:t>, Emmanuel Kwame</w:t>
      </w:r>
    </w:p>
    <w:p w14:paraId="46C7F424"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en-US"/>
        </w:rPr>
      </w:pPr>
      <w:r w:rsidRPr="00CA6CBB">
        <w:rPr>
          <w:color w:val="auto"/>
          <w:sz w:val="18"/>
          <w:lang w:val="en-US"/>
        </w:rPr>
        <w:t>Fisheries Scientific Survey Division, Fisheries Commission, P.O. Box GP 630, Accra, Tema</w:t>
      </w:r>
    </w:p>
    <w:p w14:paraId="7FEDF4BF"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Tel: +233 243 368 091, E-Mail: emmanuel.dovlo@fishcom.gov.gh</w:t>
      </w:r>
    </w:p>
    <w:p w14:paraId="66D34443"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51EEA85D" w14:textId="77777777" w:rsidR="00976CBF" w:rsidRPr="00901F92"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it-IT"/>
        </w:rPr>
      </w:pPr>
      <w:r w:rsidRPr="00901F92">
        <w:rPr>
          <w:b/>
          <w:color w:val="auto"/>
          <w:lang w:val="it-IT"/>
        </w:rPr>
        <w:t>GUATEMALA</w:t>
      </w:r>
    </w:p>
    <w:p w14:paraId="4BBDD273" w14:textId="77777777" w:rsidR="00976CBF" w:rsidRPr="00901F92"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it-IT"/>
        </w:rPr>
      </w:pPr>
      <w:r w:rsidRPr="00901F92">
        <w:rPr>
          <w:b/>
          <w:color w:val="auto"/>
          <w:sz w:val="18"/>
          <w:lang w:val="it-IT"/>
        </w:rPr>
        <w:t>Chavarría Valverde</w:t>
      </w:r>
      <w:r w:rsidRPr="00901F92">
        <w:rPr>
          <w:color w:val="auto"/>
          <w:sz w:val="18"/>
          <w:lang w:val="it-IT"/>
        </w:rPr>
        <w:t>, Bernal Alberto</w:t>
      </w:r>
    </w:p>
    <w:p w14:paraId="4C3F5760"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rPr>
      </w:pPr>
      <w:r w:rsidRPr="00CA6CBB">
        <w:rPr>
          <w:color w:val="auto"/>
          <w:sz w:val="18"/>
        </w:rPr>
        <w:t>Asesor en Gestión y Política pesquera Internacional, DIPESCA, Bárcena</w:t>
      </w:r>
    </w:p>
    <w:p w14:paraId="3507D04C"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en-US"/>
        </w:rPr>
      </w:pPr>
      <w:r w:rsidRPr="00CA6CBB">
        <w:rPr>
          <w:color w:val="auto"/>
          <w:sz w:val="18"/>
          <w:lang w:val="en-US"/>
        </w:rPr>
        <w:t>Tel: +506 882 24709, Fax: +506 2232 4651, E-Mail: bchavarria@lsg-cr.com</w:t>
      </w:r>
    </w:p>
    <w:p w14:paraId="07CEC5F6"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en-US"/>
        </w:rPr>
      </w:pPr>
    </w:p>
    <w:p w14:paraId="228D1362"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CA6CBB">
        <w:rPr>
          <w:b/>
          <w:color w:val="auto"/>
          <w:lang w:val="en-US"/>
        </w:rPr>
        <w:t>GUINEA (REP.)</w:t>
      </w:r>
    </w:p>
    <w:p w14:paraId="192D661A"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CA6CBB">
        <w:rPr>
          <w:b/>
          <w:color w:val="auto"/>
          <w:sz w:val="18"/>
          <w:lang w:val="en-US"/>
        </w:rPr>
        <w:t>Barry</w:t>
      </w:r>
      <w:r w:rsidRPr="00CA6CBB">
        <w:rPr>
          <w:color w:val="auto"/>
          <w:sz w:val="18"/>
          <w:lang w:val="en-US"/>
        </w:rPr>
        <w:t>, Alhassane</w:t>
      </w:r>
    </w:p>
    <w:p w14:paraId="7DB2C291"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fr-FR"/>
        </w:rPr>
      </w:pPr>
      <w:r w:rsidRPr="00CA6CBB">
        <w:rPr>
          <w:color w:val="auto"/>
          <w:sz w:val="18"/>
          <w:lang w:val="fr-FR"/>
        </w:rPr>
        <w:t xml:space="preserve">Chef section statistiques, Direction Nationale des Pêches Maritimes, </w:t>
      </w:r>
      <w:proofErr w:type="spellStart"/>
      <w:r w:rsidRPr="00CA6CBB">
        <w:rPr>
          <w:color w:val="auto"/>
          <w:sz w:val="18"/>
          <w:lang w:val="fr-FR"/>
        </w:rPr>
        <w:t>Kaporo</w:t>
      </w:r>
      <w:proofErr w:type="spellEnd"/>
      <w:r w:rsidRPr="00CA6CBB">
        <w:rPr>
          <w:color w:val="auto"/>
          <w:sz w:val="18"/>
          <w:lang w:val="fr-FR"/>
        </w:rPr>
        <w:t xml:space="preserve"> Rail Conakry</w:t>
      </w:r>
    </w:p>
    <w:p w14:paraId="4DDF2DAF"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Tel: +224 623 244 634, E-Mail: alassb13@gmail.com</w:t>
      </w:r>
    </w:p>
    <w:p w14:paraId="05E879E7"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429958E7" w14:textId="77777777" w:rsidR="00976CBF" w:rsidRPr="00901F92"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901F92">
        <w:rPr>
          <w:b/>
          <w:color w:val="auto"/>
          <w:sz w:val="18"/>
          <w:lang w:val="en-US"/>
        </w:rPr>
        <w:t>Soumah</w:t>
      </w:r>
      <w:r w:rsidRPr="00901F92">
        <w:rPr>
          <w:color w:val="auto"/>
          <w:sz w:val="18"/>
          <w:lang w:val="en-US"/>
        </w:rPr>
        <w:t>, Mohamed</w:t>
      </w:r>
    </w:p>
    <w:p w14:paraId="0FF4626C"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fr-FR"/>
        </w:rPr>
      </w:pPr>
      <w:r w:rsidRPr="00CA6CBB">
        <w:rPr>
          <w:color w:val="auto"/>
          <w:sz w:val="18"/>
          <w:lang w:val="fr-FR"/>
        </w:rPr>
        <w:t xml:space="preserve">Responsable de Système d'Information Halieutique, Chef de Service Informatique du Centre National des Sciences Halieutiques de </w:t>
      </w:r>
      <w:proofErr w:type="spellStart"/>
      <w:r w:rsidRPr="00CA6CBB">
        <w:rPr>
          <w:color w:val="auto"/>
          <w:sz w:val="18"/>
          <w:lang w:val="fr-FR"/>
        </w:rPr>
        <w:t>Boussoura</w:t>
      </w:r>
      <w:proofErr w:type="spellEnd"/>
      <w:r w:rsidRPr="00CA6CBB">
        <w:rPr>
          <w:color w:val="auto"/>
          <w:sz w:val="18"/>
          <w:lang w:val="fr-FR"/>
        </w:rPr>
        <w:t xml:space="preserve"> (CNSHB), 814, Rue MA 500, Corniche Sud </w:t>
      </w:r>
      <w:proofErr w:type="spellStart"/>
      <w:r w:rsidRPr="00CA6CBB">
        <w:rPr>
          <w:color w:val="auto"/>
          <w:sz w:val="18"/>
          <w:lang w:val="fr-FR"/>
        </w:rPr>
        <w:t>Madina</w:t>
      </w:r>
      <w:proofErr w:type="spellEnd"/>
      <w:r w:rsidRPr="00CA6CBB">
        <w:rPr>
          <w:color w:val="auto"/>
          <w:sz w:val="18"/>
          <w:lang w:val="fr-FR"/>
        </w:rPr>
        <w:t xml:space="preserve">, </w:t>
      </w:r>
      <w:proofErr w:type="spellStart"/>
      <w:r w:rsidRPr="00CA6CBB">
        <w:rPr>
          <w:color w:val="auto"/>
          <w:sz w:val="18"/>
          <w:lang w:val="fr-FR"/>
        </w:rPr>
        <w:t>Boussoura</w:t>
      </w:r>
      <w:proofErr w:type="spellEnd"/>
      <w:r w:rsidRPr="00CA6CBB">
        <w:rPr>
          <w:color w:val="auto"/>
          <w:sz w:val="18"/>
          <w:lang w:val="fr-FR"/>
        </w:rPr>
        <w:t xml:space="preserve">, </w:t>
      </w:r>
      <w:proofErr w:type="gramStart"/>
      <w:r w:rsidRPr="00CA6CBB">
        <w:rPr>
          <w:color w:val="auto"/>
          <w:sz w:val="18"/>
          <w:lang w:val="fr-FR"/>
        </w:rPr>
        <w:t>BP:</w:t>
      </w:r>
      <w:proofErr w:type="gramEnd"/>
      <w:r w:rsidRPr="00CA6CBB">
        <w:rPr>
          <w:color w:val="auto"/>
          <w:sz w:val="18"/>
          <w:lang w:val="fr-FR"/>
        </w:rPr>
        <w:t xml:space="preserve"> 3738 Conakry</w:t>
      </w:r>
    </w:p>
    <w:p w14:paraId="2D708E2B"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Tel: +224 622 01 70 85, E-Mail: soumahmohamed2009@gmail.com</w:t>
      </w:r>
    </w:p>
    <w:p w14:paraId="520AE5A8"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0719364D" w14:textId="15956DC8" w:rsidR="00976CBF" w:rsidRPr="00901F92"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it-IT"/>
        </w:rPr>
      </w:pPr>
      <w:r w:rsidRPr="00901F92">
        <w:rPr>
          <w:b/>
          <w:color w:val="auto"/>
          <w:lang w:val="it-IT"/>
        </w:rPr>
        <w:t>JAPÓN</w:t>
      </w:r>
    </w:p>
    <w:p w14:paraId="6D44DA66" w14:textId="77777777" w:rsidR="00976CBF" w:rsidRPr="00901F92"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it-IT"/>
        </w:rPr>
      </w:pPr>
      <w:proofErr w:type="spellStart"/>
      <w:r w:rsidRPr="00901F92">
        <w:rPr>
          <w:b/>
          <w:color w:val="auto"/>
          <w:sz w:val="18"/>
          <w:lang w:val="it-IT"/>
        </w:rPr>
        <w:t>Fukugama</w:t>
      </w:r>
      <w:proofErr w:type="spellEnd"/>
      <w:r w:rsidRPr="00901F92">
        <w:rPr>
          <w:color w:val="auto"/>
          <w:sz w:val="18"/>
          <w:lang w:val="it-IT"/>
        </w:rPr>
        <w:t>, Chika</w:t>
      </w:r>
    </w:p>
    <w:p w14:paraId="057B5E43"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en-US"/>
        </w:rPr>
      </w:pPr>
      <w:r w:rsidRPr="00CA6CBB">
        <w:rPr>
          <w:color w:val="auto"/>
          <w:sz w:val="18"/>
          <w:lang w:val="en-US"/>
        </w:rPr>
        <w:t>Assistant Director, International Affairs Division, Fisheries Agency of Japan, Ministry of Agriculture, Forestry and Fisheries, 1-2-1, Kasumigaseki, Chiyoda-</w:t>
      </w:r>
      <w:proofErr w:type="spellStart"/>
      <w:r w:rsidRPr="00CA6CBB">
        <w:rPr>
          <w:color w:val="auto"/>
          <w:sz w:val="18"/>
          <w:lang w:val="en-US"/>
        </w:rPr>
        <w:t>ku</w:t>
      </w:r>
      <w:proofErr w:type="spellEnd"/>
      <w:r w:rsidRPr="00CA6CBB">
        <w:rPr>
          <w:color w:val="auto"/>
          <w:sz w:val="18"/>
          <w:lang w:val="en-US"/>
        </w:rPr>
        <w:t>, Tokyo 100-8907</w:t>
      </w:r>
    </w:p>
    <w:p w14:paraId="68DBF6B2"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it-IT"/>
        </w:rPr>
      </w:pPr>
      <w:r w:rsidRPr="00CA6CBB">
        <w:rPr>
          <w:color w:val="auto"/>
          <w:sz w:val="18"/>
          <w:lang w:val="it-IT"/>
        </w:rPr>
        <w:t>Tel: +81 3 3502 8460, Fax: +81 3 3504 2649, E-Mail: chika_fukugama740@maff.go.jp</w:t>
      </w:r>
    </w:p>
    <w:p w14:paraId="5993FA02"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it-IT"/>
        </w:rPr>
      </w:pPr>
    </w:p>
    <w:p w14:paraId="1CEAF56C"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it-IT"/>
        </w:rPr>
      </w:pPr>
      <w:r w:rsidRPr="00CA6CBB">
        <w:rPr>
          <w:b/>
          <w:color w:val="auto"/>
          <w:sz w:val="18"/>
          <w:lang w:val="it-IT"/>
        </w:rPr>
        <w:t>Kawano</w:t>
      </w:r>
      <w:r w:rsidRPr="00CA6CBB">
        <w:rPr>
          <w:color w:val="auto"/>
          <w:sz w:val="18"/>
          <w:lang w:val="it-IT"/>
        </w:rPr>
        <w:t>, Masataka</w:t>
      </w:r>
    </w:p>
    <w:p w14:paraId="7CD5E9C7"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en-US"/>
        </w:rPr>
      </w:pPr>
      <w:r w:rsidRPr="00CA6CBB">
        <w:rPr>
          <w:color w:val="auto"/>
          <w:sz w:val="18"/>
          <w:lang w:val="en-US"/>
        </w:rPr>
        <w:t>Technical Official, International Affairs Division, Fisheries Agency of Japan, Ministry of Agriculture, Forestry and Fisheries, 1-2-1, Kasumigaseki, Chiyoda-</w:t>
      </w:r>
      <w:proofErr w:type="spellStart"/>
      <w:r w:rsidRPr="00CA6CBB">
        <w:rPr>
          <w:color w:val="auto"/>
          <w:sz w:val="18"/>
          <w:lang w:val="en-US"/>
        </w:rPr>
        <w:t>ku</w:t>
      </w:r>
      <w:proofErr w:type="spellEnd"/>
      <w:r w:rsidRPr="00CA6CBB">
        <w:rPr>
          <w:color w:val="auto"/>
          <w:sz w:val="18"/>
          <w:lang w:val="en-US"/>
        </w:rPr>
        <w:t>, Tokyo 100-8907</w:t>
      </w:r>
    </w:p>
    <w:p w14:paraId="35766451"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en-US"/>
        </w:rPr>
      </w:pPr>
      <w:r w:rsidRPr="00CA6CBB">
        <w:rPr>
          <w:color w:val="auto"/>
          <w:sz w:val="18"/>
          <w:lang w:val="en-US"/>
        </w:rPr>
        <w:t>Tel: +81 3 3502 8460, Fax: +81 3 3504 2649, E-Mail: masataka_kawano320@maff.go.jp</w:t>
      </w:r>
    </w:p>
    <w:p w14:paraId="19F335FE"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en-US"/>
        </w:rPr>
      </w:pPr>
    </w:p>
    <w:p w14:paraId="226B1E74"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en-US"/>
        </w:rPr>
      </w:pPr>
      <w:proofErr w:type="spellStart"/>
      <w:r w:rsidRPr="00CA6CBB">
        <w:rPr>
          <w:b/>
          <w:color w:val="auto"/>
          <w:sz w:val="18"/>
          <w:lang w:val="en-US"/>
        </w:rPr>
        <w:t>Masunaka</w:t>
      </w:r>
      <w:proofErr w:type="spellEnd"/>
      <w:r w:rsidRPr="00CA6CBB">
        <w:rPr>
          <w:color w:val="auto"/>
          <w:sz w:val="18"/>
          <w:lang w:val="en-US"/>
        </w:rPr>
        <w:t>, Saki</w:t>
      </w:r>
    </w:p>
    <w:p w14:paraId="027BFF11"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en-US"/>
        </w:rPr>
      </w:pPr>
      <w:r w:rsidRPr="00CA6CBB">
        <w:rPr>
          <w:color w:val="auto"/>
          <w:sz w:val="18"/>
          <w:lang w:val="en-US"/>
        </w:rPr>
        <w:t>Technical Official, International Affairs Division, Fisheries Agency of Japan, Ministry of Agriculture, Forestry and Fisheries, 1-2-1, Kasumigaseki, Chiyoda-</w:t>
      </w:r>
      <w:proofErr w:type="spellStart"/>
      <w:r w:rsidRPr="00CA6CBB">
        <w:rPr>
          <w:color w:val="auto"/>
          <w:sz w:val="18"/>
          <w:lang w:val="en-US"/>
        </w:rPr>
        <w:t>ku</w:t>
      </w:r>
      <w:proofErr w:type="spellEnd"/>
      <w:r w:rsidRPr="00CA6CBB">
        <w:rPr>
          <w:color w:val="auto"/>
          <w:sz w:val="18"/>
          <w:lang w:val="en-US"/>
        </w:rPr>
        <w:t>, Tokyo 100-8907</w:t>
      </w:r>
    </w:p>
    <w:p w14:paraId="69F4E81E"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it-IT"/>
        </w:rPr>
      </w:pPr>
      <w:r w:rsidRPr="00CA6CBB">
        <w:rPr>
          <w:color w:val="auto"/>
          <w:sz w:val="18"/>
          <w:lang w:val="it-IT"/>
        </w:rPr>
        <w:t>Tel: +81 3 3502 8204, Fax: +81 3 3504 2649, E-Mail: saki_masunaka380@maff.go.jp</w:t>
      </w:r>
    </w:p>
    <w:p w14:paraId="7379C8E6"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it-IT"/>
        </w:rPr>
      </w:pPr>
    </w:p>
    <w:p w14:paraId="3B4DF254" w14:textId="77777777" w:rsidR="00372EFA" w:rsidRPr="00CA6CBB" w:rsidRDefault="00372EFA" w:rsidP="00372EFA">
      <w:pPr>
        <w:pBdr>
          <w:top w:val="none" w:sz="0" w:space="0" w:color="auto"/>
          <w:left w:val="none" w:sz="0" w:space="0" w:color="auto"/>
          <w:bottom w:val="none" w:sz="0" w:space="0" w:color="auto"/>
          <w:right w:val="none" w:sz="0" w:space="0" w:color="auto"/>
          <w:between w:val="none" w:sz="0" w:space="0" w:color="auto"/>
        </w:pBdr>
        <w:jc w:val="left"/>
        <w:rPr>
          <w:color w:val="auto"/>
          <w:lang w:val="it-IT"/>
        </w:rPr>
      </w:pPr>
      <w:r w:rsidRPr="00CA6CBB">
        <w:rPr>
          <w:b/>
          <w:color w:val="auto"/>
          <w:lang w:val="it-IT"/>
        </w:rPr>
        <w:t>MARRUECOS</w:t>
      </w:r>
    </w:p>
    <w:p w14:paraId="38564D05" w14:textId="77777777" w:rsidR="00372EFA" w:rsidRPr="00CA6CBB" w:rsidRDefault="00372EFA" w:rsidP="00372EFA">
      <w:pPr>
        <w:pBdr>
          <w:top w:val="none" w:sz="0" w:space="0" w:color="auto"/>
          <w:left w:val="none" w:sz="0" w:space="0" w:color="auto"/>
          <w:bottom w:val="none" w:sz="0" w:space="0" w:color="auto"/>
          <w:right w:val="none" w:sz="0" w:space="0" w:color="auto"/>
          <w:between w:val="none" w:sz="0" w:space="0" w:color="auto"/>
        </w:pBdr>
        <w:jc w:val="left"/>
        <w:rPr>
          <w:color w:val="auto"/>
          <w:lang w:val="it-IT"/>
        </w:rPr>
      </w:pPr>
      <w:r w:rsidRPr="00CA6CBB">
        <w:rPr>
          <w:b/>
          <w:color w:val="auto"/>
          <w:sz w:val="18"/>
          <w:lang w:val="it-IT"/>
        </w:rPr>
        <w:t xml:space="preserve">El </w:t>
      </w:r>
      <w:proofErr w:type="spellStart"/>
      <w:r w:rsidRPr="00CA6CBB">
        <w:rPr>
          <w:b/>
          <w:color w:val="auto"/>
          <w:sz w:val="18"/>
          <w:lang w:val="it-IT"/>
        </w:rPr>
        <w:t>Fatouani</w:t>
      </w:r>
      <w:proofErr w:type="spellEnd"/>
      <w:r w:rsidRPr="00CA6CBB">
        <w:rPr>
          <w:color w:val="auto"/>
          <w:sz w:val="18"/>
          <w:lang w:val="it-IT"/>
        </w:rPr>
        <w:t>, Zineb</w:t>
      </w:r>
    </w:p>
    <w:p w14:paraId="61D57DC0" w14:textId="77777777" w:rsidR="00372EFA" w:rsidRPr="00CA6CBB" w:rsidRDefault="00372EFA" w:rsidP="00372EFA">
      <w:pPr>
        <w:pBdr>
          <w:top w:val="none" w:sz="0" w:space="0" w:color="auto"/>
          <w:left w:val="none" w:sz="0" w:space="0" w:color="auto"/>
          <w:bottom w:val="none" w:sz="0" w:space="0" w:color="auto"/>
          <w:right w:val="none" w:sz="0" w:space="0" w:color="auto"/>
          <w:between w:val="none" w:sz="0" w:space="0" w:color="auto"/>
        </w:pBdr>
        <w:rPr>
          <w:color w:val="auto"/>
          <w:lang w:val="fr-FR"/>
        </w:rPr>
      </w:pPr>
      <w:r w:rsidRPr="00CA6CBB">
        <w:rPr>
          <w:color w:val="auto"/>
          <w:sz w:val="18"/>
          <w:lang w:val="fr-FR"/>
        </w:rPr>
        <w:t>Cadre à la Direction de Contrôle des Activités de la Pêche Maritime, Secrétariat d’Etat chargé de la Pêche Maritime, 476 Agdal Rabat</w:t>
      </w:r>
    </w:p>
    <w:p w14:paraId="56460CC9" w14:textId="77777777" w:rsidR="00372EFA" w:rsidRPr="00CA6CBB" w:rsidRDefault="00372EFA" w:rsidP="00372EFA">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Tel: +212 537 688 000, E-Mail: Z.ELFATOUANI@mpm.gov.ma; zineb.elfatouani@hotmail.com</w:t>
      </w:r>
    </w:p>
    <w:p w14:paraId="58655349" w14:textId="77777777" w:rsidR="00372EFA" w:rsidRPr="00CA6CBB" w:rsidRDefault="00372EFA" w:rsidP="00372EFA">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4238F04F" w14:textId="77777777" w:rsidR="00372EFA" w:rsidRPr="00CA6CBB" w:rsidRDefault="00372EFA" w:rsidP="00372EFA">
      <w:pPr>
        <w:pBdr>
          <w:top w:val="none" w:sz="0" w:space="0" w:color="auto"/>
          <w:left w:val="none" w:sz="0" w:space="0" w:color="auto"/>
          <w:bottom w:val="none" w:sz="0" w:space="0" w:color="auto"/>
          <w:right w:val="none" w:sz="0" w:space="0" w:color="auto"/>
          <w:between w:val="none" w:sz="0" w:space="0" w:color="auto"/>
        </w:pBdr>
        <w:jc w:val="left"/>
        <w:rPr>
          <w:color w:val="auto"/>
          <w:lang w:val="fr-FR"/>
        </w:rPr>
      </w:pPr>
      <w:proofErr w:type="spellStart"/>
      <w:r w:rsidRPr="00CA6CBB">
        <w:rPr>
          <w:b/>
          <w:color w:val="auto"/>
          <w:sz w:val="18"/>
          <w:lang w:val="fr-FR"/>
        </w:rPr>
        <w:t>Haoujar</w:t>
      </w:r>
      <w:proofErr w:type="spellEnd"/>
      <w:r w:rsidRPr="00CA6CBB">
        <w:rPr>
          <w:color w:val="auto"/>
          <w:sz w:val="18"/>
          <w:lang w:val="fr-FR"/>
        </w:rPr>
        <w:t>, Bouchra</w:t>
      </w:r>
    </w:p>
    <w:p w14:paraId="1D67E9E8" w14:textId="77777777" w:rsidR="00372EFA" w:rsidRPr="00CA6CBB" w:rsidRDefault="00372EFA" w:rsidP="00372EFA">
      <w:pPr>
        <w:pBdr>
          <w:top w:val="none" w:sz="0" w:space="0" w:color="auto"/>
          <w:left w:val="none" w:sz="0" w:space="0" w:color="auto"/>
          <w:bottom w:val="none" w:sz="0" w:space="0" w:color="auto"/>
          <w:right w:val="none" w:sz="0" w:space="0" w:color="auto"/>
          <w:between w:val="none" w:sz="0" w:space="0" w:color="auto"/>
        </w:pBdr>
        <w:rPr>
          <w:color w:val="auto"/>
          <w:lang w:val="fr-FR"/>
        </w:rPr>
      </w:pPr>
      <w:r w:rsidRPr="00CA6CBB">
        <w:rPr>
          <w:color w:val="auto"/>
          <w:sz w:val="18"/>
          <w:lang w:val="fr-FR"/>
        </w:rPr>
        <w:t>Cheffe de Service des Espèces Marines Migratrices et des Espaces Protégés, Secrétariat d’Etat chargé de la Pêche Maritime, Nouveau Quartier Administratif, BP 476, 10150 Haut Agdal, Rabat</w:t>
      </w:r>
    </w:p>
    <w:p w14:paraId="36852FA4" w14:textId="77777777" w:rsidR="00372EFA" w:rsidRPr="00CA6CBB" w:rsidRDefault="00372EFA" w:rsidP="00372EFA">
      <w:pPr>
        <w:pBdr>
          <w:top w:val="none" w:sz="0" w:space="0" w:color="auto"/>
          <w:left w:val="none" w:sz="0" w:space="0" w:color="auto"/>
          <w:bottom w:val="none" w:sz="0" w:space="0" w:color="auto"/>
          <w:right w:val="none" w:sz="0" w:space="0" w:color="auto"/>
          <w:between w:val="none" w:sz="0" w:space="0" w:color="auto"/>
        </w:pBdr>
        <w:rPr>
          <w:color w:val="auto"/>
          <w:lang w:val="en-US"/>
        </w:rPr>
      </w:pPr>
      <w:r w:rsidRPr="00CA6CBB">
        <w:rPr>
          <w:color w:val="auto"/>
          <w:sz w:val="18"/>
          <w:lang w:val="en-US"/>
        </w:rPr>
        <w:t>Tel: +212 253 768 8115, Fax: +212 537 688 089, E-Mail: haoujar@mpm.gov.ma</w:t>
      </w:r>
    </w:p>
    <w:p w14:paraId="5AFE9B63" w14:textId="77777777" w:rsidR="00372EFA" w:rsidRPr="00CA6CBB" w:rsidRDefault="00372EFA" w:rsidP="00372EFA">
      <w:pPr>
        <w:pBdr>
          <w:top w:val="none" w:sz="0" w:space="0" w:color="auto"/>
          <w:left w:val="none" w:sz="0" w:space="0" w:color="auto"/>
          <w:bottom w:val="none" w:sz="0" w:space="0" w:color="auto"/>
          <w:right w:val="none" w:sz="0" w:space="0" w:color="auto"/>
          <w:between w:val="none" w:sz="0" w:space="0" w:color="auto"/>
        </w:pBdr>
        <w:jc w:val="left"/>
        <w:rPr>
          <w:b/>
          <w:color w:val="auto"/>
          <w:lang w:val="en-US"/>
        </w:rPr>
      </w:pPr>
    </w:p>
    <w:p w14:paraId="1EA7E0BA" w14:textId="77777777" w:rsidR="00372EFA" w:rsidRPr="00CA6CBB" w:rsidRDefault="00372EFA" w:rsidP="00372EFA">
      <w:pPr>
        <w:pBdr>
          <w:top w:val="none" w:sz="0" w:space="0" w:color="auto"/>
          <w:left w:val="none" w:sz="0" w:space="0" w:color="auto"/>
          <w:bottom w:val="none" w:sz="0" w:space="0" w:color="auto"/>
          <w:right w:val="none" w:sz="0" w:space="0" w:color="auto"/>
          <w:between w:val="none" w:sz="0" w:space="0" w:color="auto"/>
        </w:pBdr>
        <w:jc w:val="left"/>
        <w:rPr>
          <w:b/>
          <w:color w:val="auto"/>
          <w:lang w:val="en-US"/>
        </w:rPr>
      </w:pPr>
    </w:p>
    <w:p w14:paraId="716D8DB4" w14:textId="749BF8E2" w:rsidR="00372EFA" w:rsidRPr="00CA6CBB" w:rsidRDefault="00372EFA" w:rsidP="00372EFA">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CA6CBB">
        <w:rPr>
          <w:b/>
          <w:color w:val="auto"/>
          <w:lang w:val="en-US"/>
        </w:rPr>
        <w:t>MAURITANIA</w:t>
      </w:r>
    </w:p>
    <w:p w14:paraId="12E224F6" w14:textId="77777777" w:rsidR="00372EFA" w:rsidRPr="00CA6CBB" w:rsidRDefault="00372EFA" w:rsidP="00372EFA">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CA6CBB">
        <w:rPr>
          <w:b/>
          <w:color w:val="auto"/>
          <w:sz w:val="18"/>
          <w:lang w:val="en-US"/>
        </w:rPr>
        <w:t xml:space="preserve">Ould </w:t>
      </w:r>
      <w:proofErr w:type="spellStart"/>
      <w:r w:rsidRPr="00CA6CBB">
        <w:rPr>
          <w:b/>
          <w:color w:val="auto"/>
          <w:sz w:val="18"/>
          <w:lang w:val="en-US"/>
        </w:rPr>
        <w:t>Beibou</w:t>
      </w:r>
      <w:proofErr w:type="spellEnd"/>
      <w:r w:rsidRPr="00CA6CBB">
        <w:rPr>
          <w:color w:val="auto"/>
          <w:sz w:val="18"/>
          <w:lang w:val="en-US"/>
        </w:rPr>
        <w:t>, Ely Ould Sidi</w:t>
      </w:r>
    </w:p>
    <w:p w14:paraId="08B09A82" w14:textId="77777777" w:rsidR="00372EFA" w:rsidRPr="00CA6CBB" w:rsidRDefault="00372EFA" w:rsidP="00372EFA">
      <w:pPr>
        <w:pBdr>
          <w:top w:val="none" w:sz="0" w:space="0" w:color="auto"/>
          <w:left w:val="none" w:sz="0" w:space="0" w:color="auto"/>
          <w:bottom w:val="none" w:sz="0" w:space="0" w:color="auto"/>
          <w:right w:val="none" w:sz="0" w:space="0" w:color="auto"/>
          <w:between w:val="none" w:sz="0" w:space="0" w:color="auto"/>
        </w:pBdr>
        <w:rPr>
          <w:color w:val="auto"/>
          <w:lang w:val="fr-FR"/>
        </w:rPr>
      </w:pPr>
      <w:r w:rsidRPr="00CA6CBB">
        <w:rPr>
          <w:color w:val="auto"/>
          <w:sz w:val="18"/>
          <w:lang w:val="fr-FR"/>
        </w:rPr>
        <w:t>Institut mauritanien de recherche océanographique et des pêches (IMROP), B14, Cansado BP 22, Nouadhibou</w:t>
      </w:r>
    </w:p>
    <w:p w14:paraId="7A2415FC" w14:textId="77777777" w:rsidR="00372EFA" w:rsidRPr="00CA6CBB" w:rsidRDefault="00372EFA" w:rsidP="00372EFA">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Tel: +222 224 21026, E-Mail: beibou_es@yahoo.fr</w:t>
      </w:r>
    </w:p>
    <w:p w14:paraId="60C13C50"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7033B123" w14:textId="3928C003" w:rsidR="00976CBF" w:rsidRPr="00901F92"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it-IT"/>
        </w:rPr>
      </w:pPr>
      <w:r w:rsidRPr="00901F92">
        <w:rPr>
          <w:b/>
          <w:color w:val="auto"/>
          <w:lang w:val="it-IT"/>
        </w:rPr>
        <w:t>MÉXICO</w:t>
      </w:r>
    </w:p>
    <w:p w14:paraId="0A1F7106" w14:textId="77777777" w:rsidR="00976CBF" w:rsidRPr="00901F92"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it-IT"/>
        </w:rPr>
      </w:pPr>
      <w:r w:rsidRPr="00901F92">
        <w:rPr>
          <w:b/>
          <w:color w:val="auto"/>
          <w:sz w:val="18"/>
          <w:lang w:val="it-IT"/>
        </w:rPr>
        <w:t>Soler Benítez</w:t>
      </w:r>
      <w:r w:rsidRPr="00901F92">
        <w:rPr>
          <w:color w:val="auto"/>
          <w:sz w:val="18"/>
          <w:lang w:val="it-IT"/>
        </w:rPr>
        <w:t xml:space="preserve">, Bertha Alicia </w:t>
      </w:r>
      <w:r w:rsidRPr="00901F92">
        <w:rPr>
          <w:color w:val="auto"/>
          <w:sz w:val="18"/>
          <w:vertAlign w:val="superscript"/>
          <w:lang w:val="it-IT"/>
        </w:rPr>
        <w:t>1</w:t>
      </w:r>
    </w:p>
    <w:p w14:paraId="733F9678"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rPr>
      </w:pPr>
      <w:r w:rsidRPr="00CA6CBB">
        <w:rPr>
          <w:color w:val="auto"/>
          <w:sz w:val="18"/>
        </w:rPr>
        <w:t>Comisión Nacional de Acuacultura y Pesca (CONAPESCA), 82100 Mazatlán, Sinaloa</w:t>
      </w:r>
    </w:p>
    <w:p w14:paraId="697C68A3"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b/>
          <w:color w:val="auto"/>
        </w:rPr>
      </w:pPr>
    </w:p>
    <w:p w14:paraId="5C01D917"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CA6CBB">
        <w:rPr>
          <w:b/>
          <w:color w:val="auto"/>
          <w:lang w:val="en-US"/>
        </w:rPr>
        <w:t>NAMIBIA</w:t>
      </w:r>
    </w:p>
    <w:p w14:paraId="4DF238A6"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CA6CBB">
        <w:rPr>
          <w:b/>
          <w:color w:val="auto"/>
          <w:sz w:val="18"/>
          <w:lang w:val="en-US"/>
        </w:rPr>
        <w:t>Jagger</w:t>
      </w:r>
      <w:r w:rsidRPr="00CA6CBB">
        <w:rPr>
          <w:color w:val="auto"/>
          <w:sz w:val="18"/>
          <w:lang w:val="en-US"/>
        </w:rPr>
        <w:t>, Charmaine</w:t>
      </w:r>
    </w:p>
    <w:p w14:paraId="6074045B"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en-US"/>
        </w:rPr>
      </w:pPr>
      <w:r w:rsidRPr="00CA6CBB">
        <w:rPr>
          <w:color w:val="auto"/>
          <w:sz w:val="18"/>
          <w:lang w:val="en-US"/>
        </w:rPr>
        <w:t>Fisheries Biologist: Large Pelagic Section, Pelagic Resources, Research Management, Ministry of Agriculture, Fisheries, Water and Land Reform, National Marine Information and Research Centre (</w:t>
      </w:r>
      <w:proofErr w:type="spellStart"/>
      <w:r w:rsidRPr="00CA6CBB">
        <w:rPr>
          <w:color w:val="auto"/>
          <w:sz w:val="18"/>
          <w:lang w:val="en-US"/>
        </w:rPr>
        <w:t>NatMIRC</w:t>
      </w:r>
      <w:proofErr w:type="spellEnd"/>
      <w:r w:rsidRPr="00CA6CBB">
        <w:rPr>
          <w:color w:val="auto"/>
          <w:sz w:val="18"/>
          <w:lang w:val="en-US"/>
        </w:rPr>
        <w:t>), P.O. Box 912 Swakopmund, 1 Strand Street</w:t>
      </w:r>
    </w:p>
    <w:p w14:paraId="5DD7FEE8"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Tel: +264 64 410 1000; +264 81 801 0960, E-Mail: Charmaine.Jagger@mfmr.gov.na; chajagger2014@gmail.com</w:t>
      </w:r>
    </w:p>
    <w:p w14:paraId="425B010B"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3843D904"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CA6CBB">
        <w:rPr>
          <w:b/>
          <w:color w:val="auto"/>
          <w:lang w:val="en-US"/>
        </w:rPr>
        <w:t>NIGERIA</w:t>
      </w:r>
    </w:p>
    <w:p w14:paraId="1DE93603"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CA6CBB">
        <w:rPr>
          <w:b/>
          <w:color w:val="auto"/>
          <w:sz w:val="18"/>
          <w:lang w:val="en-US"/>
        </w:rPr>
        <w:t>Garba</w:t>
      </w:r>
      <w:r w:rsidRPr="00CA6CBB">
        <w:rPr>
          <w:color w:val="auto"/>
          <w:sz w:val="18"/>
          <w:lang w:val="en-US"/>
        </w:rPr>
        <w:t>, Usman *</w:t>
      </w:r>
    </w:p>
    <w:p w14:paraId="16C9D67A"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en-US"/>
        </w:rPr>
      </w:pPr>
      <w:r w:rsidRPr="00CA6CBB">
        <w:rPr>
          <w:color w:val="auto"/>
          <w:sz w:val="18"/>
          <w:lang w:val="en-US"/>
        </w:rPr>
        <w:t>Ministry of Marine and Blue Economy, Department of Fisheries and Aquaculture, 1 Wilmont Point Road, Off Ahmadu Bello Way, 101241 Victoria Island, Lagos</w:t>
      </w:r>
    </w:p>
    <w:p w14:paraId="5835C170"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Tel: +234 802 086 3461; +234 706 819 6006, E-Mail: garbashafa@gmail.com</w:t>
      </w:r>
    </w:p>
    <w:p w14:paraId="214ACB98"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4D713AE5"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en-US"/>
        </w:rPr>
      </w:pPr>
      <w:proofErr w:type="spellStart"/>
      <w:r w:rsidRPr="00CA6CBB">
        <w:rPr>
          <w:b/>
          <w:color w:val="auto"/>
          <w:sz w:val="18"/>
          <w:lang w:val="en-US"/>
        </w:rPr>
        <w:t>Hungevu</w:t>
      </w:r>
      <w:proofErr w:type="spellEnd"/>
      <w:r w:rsidRPr="00CA6CBB">
        <w:rPr>
          <w:color w:val="auto"/>
          <w:sz w:val="18"/>
          <w:lang w:val="en-US"/>
        </w:rPr>
        <w:t>, Ruth Funmilola</w:t>
      </w:r>
    </w:p>
    <w:p w14:paraId="0BED3145"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en-US"/>
        </w:rPr>
      </w:pPr>
      <w:r w:rsidRPr="00CA6CBB">
        <w:rPr>
          <w:color w:val="auto"/>
          <w:sz w:val="18"/>
          <w:lang w:val="en-US"/>
        </w:rPr>
        <w:t>Data Analyst for Nigeria, Federal Ministry of Marine and Blue Economy, Federal Department of Fisheries &amp; Aquaculture, 1 Wilmot Point, Off Ahmadu Bello, Victoria Island, Lagos, 101241</w:t>
      </w:r>
    </w:p>
    <w:p w14:paraId="2587E1E2"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Tel: +234 803 071 3503, E-Mail: olufunmiomotade@gmail.com</w:t>
      </w:r>
    </w:p>
    <w:p w14:paraId="68F16F52"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4D9E9A22" w14:textId="524E693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rPr>
      </w:pPr>
      <w:r w:rsidRPr="00CA6CBB">
        <w:rPr>
          <w:b/>
          <w:color w:val="auto"/>
        </w:rPr>
        <w:t>PANAMÁ</w:t>
      </w:r>
    </w:p>
    <w:p w14:paraId="588BF832"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rPr>
      </w:pPr>
      <w:r w:rsidRPr="00CA6CBB">
        <w:rPr>
          <w:b/>
          <w:color w:val="auto"/>
          <w:sz w:val="18"/>
        </w:rPr>
        <w:t>Vergara</w:t>
      </w:r>
      <w:r w:rsidRPr="00CA6CBB">
        <w:rPr>
          <w:color w:val="auto"/>
          <w:sz w:val="18"/>
        </w:rPr>
        <w:t>, Yarkelia</w:t>
      </w:r>
    </w:p>
    <w:p w14:paraId="0CBD7AF2"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rPr>
      </w:pPr>
      <w:r w:rsidRPr="00CA6CBB">
        <w:rPr>
          <w:color w:val="auto"/>
          <w:sz w:val="18"/>
        </w:rPr>
        <w:t>Directora encargada de Cooperación y Asuntos Pesqueros, Ministerio de Desarrollo Agropecuario, Autoridad de los Recursos Acuáticos de Panamá, Cooperación Técnica y Asuntos Pesqueros Internacional, Edificio Riviera, Ave. Justo Arosemena, Calle 45 Bella Vista, 0819-02398</w:t>
      </w:r>
    </w:p>
    <w:p w14:paraId="5C225527"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rPr>
      </w:pPr>
      <w:r w:rsidRPr="00CA6CBB">
        <w:rPr>
          <w:color w:val="auto"/>
          <w:sz w:val="18"/>
        </w:rPr>
        <w:t>Tel: +507 511 6008 (ext. 359), E-Mail: yvergara@arap.gob.pa; hsfs@arap.gob.pa</w:t>
      </w:r>
    </w:p>
    <w:p w14:paraId="2C299EB3"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b/>
          <w:color w:val="auto"/>
          <w:sz w:val="18"/>
        </w:rPr>
      </w:pPr>
    </w:p>
    <w:p w14:paraId="53B9F139"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rPr>
      </w:pPr>
      <w:proofErr w:type="spellStart"/>
      <w:r w:rsidRPr="00CA6CBB">
        <w:rPr>
          <w:b/>
          <w:color w:val="auto"/>
          <w:sz w:val="18"/>
        </w:rPr>
        <w:t>Achón</w:t>
      </w:r>
      <w:proofErr w:type="spellEnd"/>
      <w:r w:rsidRPr="00CA6CBB">
        <w:rPr>
          <w:color w:val="auto"/>
          <w:sz w:val="18"/>
        </w:rPr>
        <w:t>, Giselle</w:t>
      </w:r>
    </w:p>
    <w:p w14:paraId="1F67FA64"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rPr>
      </w:pPr>
      <w:r w:rsidRPr="00CA6CBB">
        <w:rPr>
          <w:color w:val="auto"/>
          <w:sz w:val="18"/>
        </w:rPr>
        <w:t>Autoridad de los Recursos Acuáticos de Panamá ARAP, Ciudad de Panamá, Edificio La Riviera, Calle 45 Este y Avenida Cuba, 0801</w:t>
      </w:r>
    </w:p>
    <w:p w14:paraId="72FD8A45"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Tel: +507 511 6000, E-Mail: gachon@arap.gob.pa</w:t>
      </w:r>
    </w:p>
    <w:p w14:paraId="03AE5EE6"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537B4B56" w14:textId="77777777" w:rsidR="00976CBF" w:rsidRPr="00901F92"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fr-FR"/>
        </w:rPr>
      </w:pPr>
      <w:r w:rsidRPr="00901F92">
        <w:rPr>
          <w:b/>
          <w:color w:val="auto"/>
          <w:sz w:val="18"/>
          <w:lang w:val="fr-FR"/>
        </w:rPr>
        <w:t>Ellington</w:t>
      </w:r>
      <w:r w:rsidRPr="00901F92">
        <w:rPr>
          <w:color w:val="auto"/>
          <w:sz w:val="18"/>
          <w:lang w:val="fr-FR"/>
        </w:rPr>
        <w:t>, Christie</w:t>
      </w:r>
    </w:p>
    <w:p w14:paraId="3C05FB68"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rPr>
      </w:pPr>
      <w:r w:rsidRPr="00CA6CBB">
        <w:rPr>
          <w:color w:val="auto"/>
          <w:sz w:val="18"/>
        </w:rPr>
        <w:t>Autoridad de los Recursos Acuáticos de Panamá - ARAP, Edificio Riviera, Ave. Justo Arosemena, Calle 45 Bella Vista, 07096</w:t>
      </w:r>
    </w:p>
    <w:p w14:paraId="4C8AA477"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Tel: +507 674 90271; +507 511 6019, E-Mail: cellington@arap.gob.pa</w:t>
      </w:r>
    </w:p>
    <w:p w14:paraId="7DD44158"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52DBBE2F" w14:textId="77777777" w:rsidR="00976CBF" w:rsidRPr="00901F92"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it-IT"/>
        </w:rPr>
      </w:pPr>
      <w:r w:rsidRPr="00901F92">
        <w:rPr>
          <w:b/>
          <w:color w:val="auto"/>
          <w:sz w:val="18"/>
          <w:lang w:val="it-IT"/>
        </w:rPr>
        <w:t>Madrid</w:t>
      </w:r>
      <w:r w:rsidRPr="00901F92">
        <w:rPr>
          <w:color w:val="auto"/>
          <w:sz w:val="18"/>
          <w:lang w:val="it-IT"/>
        </w:rPr>
        <w:t>, Yessica</w:t>
      </w:r>
    </w:p>
    <w:p w14:paraId="531BFC98"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rPr>
      </w:pPr>
      <w:r w:rsidRPr="00CA6CBB">
        <w:rPr>
          <w:color w:val="auto"/>
          <w:sz w:val="18"/>
        </w:rPr>
        <w:t>Autoridad de los Recursos Acuáticos de Panamá ARAP, Ciudad de Panamá, Edificio La Riviera, Calle 45 Este y Avenida Cuba, 0801</w:t>
      </w:r>
    </w:p>
    <w:p w14:paraId="73B64628"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Tel: +507 511 6000, E-Mail: ymadrid@arap.gob.pa</w:t>
      </w:r>
    </w:p>
    <w:p w14:paraId="32AE5ECC"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699D18B4" w14:textId="77777777" w:rsidR="00372EFA" w:rsidRPr="00CA6CBB" w:rsidRDefault="00372EFA" w:rsidP="00372EFA">
      <w:pPr>
        <w:pBdr>
          <w:top w:val="none" w:sz="0" w:space="0" w:color="auto"/>
          <w:left w:val="none" w:sz="0" w:space="0" w:color="auto"/>
          <w:bottom w:val="none" w:sz="0" w:space="0" w:color="auto"/>
          <w:right w:val="none" w:sz="0" w:space="0" w:color="auto"/>
          <w:between w:val="none" w:sz="0" w:space="0" w:color="auto"/>
        </w:pBdr>
        <w:jc w:val="left"/>
        <w:rPr>
          <w:color w:val="auto"/>
          <w:lang w:val="pt-PT"/>
        </w:rPr>
      </w:pPr>
      <w:r w:rsidRPr="00CA6CBB">
        <w:rPr>
          <w:b/>
          <w:color w:val="auto"/>
          <w:lang w:val="pt-PT"/>
        </w:rPr>
        <w:t>REINO UNIDO DE GRAN BRETAÑA E IRLANDA DEL NORTE</w:t>
      </w:r>
    </w:p>
    <w:p w14:paraId="4AC9B3C4" w14:textId="77777777" w:rsidR="00372EFA" w:rsidRPr="00CA6CBB" w:rsidRDefault="00372EFA" w:rsidP="00372EFA">
      <w:pPr>
        <w:pBdr>
          <w:top w:val="none" w:sz="0" w:space="0" w:color="auto"/>
          <w:left w:val="none" w:sz="0" w:space="0" w:color="auto"/>
          <w:bottom w:val="none" w:sz="0" w:space="0" w:color="auto"/>
          <w:right w:val="none" w:sz="0" w:space="0" w:color="auto"/>
          <w:between w:val="none" w:sz="0" w:space="0" w:color="auto"/>
        </w:pBdr>
        <w:jc w:val="left"/>
        <w:rPr>
          <w:color w:val="auto"/>
          <w:lang w:val="pt-PT"/>
        </w:rPr>
      </w:pPr>
      <w:r w:rsidRPr="00CA6CBB">
        <w:rPr>
          <w:b/>
          <w:color w:val="auto"/>
          <w:sz w:val="18"/>
          <w:lang w:val="pt-PT"/>
        </w:rPr>
        <w:t>Maraj</w:t>
      </w:r>
      <w:r w:rsidRPr="00CA6CBB">
        <w:rPr>
          <w:color w:val="auto"/>
          <w:sz w:val="18"/>
          <w:lang w:val="pt-PT"/>
        </w:rPr>
        <w:t>, Aude</w:t>
      </w:r>
    </w:p>
    <w:p w14:paraId="37024224" w14:textId="77777777" w:rsidR="00372EFA" w:rsidRPr="00CA6CBB" w:rsidRDefault="00372EFA" w:rsidP="00372EFA">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Seacole Building 2 Marsham Street, London SW1P 4DF</w:t>
      </w:r>
    </w:p>
    <w:p w14:paraId="6CB0340B" w14:textId="77777777" w:rsidR="00372EFA" w:rsidRPr="00CA6CBB" w:rsidRDefault="00372EFA" w:rsidP="00372EFA">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Tel: +44 738 522 5291, E-Mail: Aude.Maraj@marinemanagement.org.uk</w:t>
      </w:r>
    </w:p>
    <w:p w14:paraId="3EC98973" w14:textId="77777777" w:rsidR="00372EFA" w:rsidRPr="00CA6CBB" w:rsidRDefault="00372EFA" w:rsidP="00372EFA">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54AAD991" w14:textId="77777777" w:rsidR="00372EFA" w:rsidRPr="00901F92" w:rsidRDefault="00372EFA" w:rsidP="00372EFA">
      <w:pPr>
        <w:pBdr>
          <w:top w:val="none" w:sz="0" w:space="0" w:color="auto"/>
          <w:left w:val="none" w:sz="0" w:space="0" w:color="auto"/>
          <w:bottom w:val="none" w:sz="0" w:space="0" w:color="auto"/>
          <w:right w:val="none" w:sz="0" w:space="0" w:color="auto"/>
          <w:between w:val="none" w:sz="0" w:space="0" w:color="auto"/>
        </w:pBdr>
        <w:jc w:val="left"/>
        <w:rPr>
          <w:color w:val="auto"/>
          <w:lang w:val="pt-PT"/>
        </w:rPr>
      </w:pPr>
      <w:r w:rsidRPr="00901F92">
        <w:rPr>
          <w:b/>
          <w:color w:val="auto"/>
          <w:sz w:val="18"/>
          <w:lang w:val="pt-PT"/>
        </w:rPr>
        <w:t>O’Shaughnessy</w:t>
      </w:r>
      <w:r w:rsidRPr="00901F92">
        <w:rPr>
          <w:color w:val="auto"/>
          <w:sz w:val="18"/>
          <w:lang w:val="pt-PT"/>
        </w:rPr>
        <w:t>, Andrea</w:t>
      </w:r>
    </w:p>
    <w:p w14:paraId="396972E2" w14:textId="77777777" w:rsidR="00372EFA" w:rsidRPr="00901F92" w:rsidRDefault="00372EFA" w:rsidP="00372EFA">
      <w:pPr>
        <w:pBdr>
          <w:top w:val="none" w:sz="0" w:space="0" w:color="auto"/>
          <w:left w:val="none" w:sz="0" w:space="0" w:color="auto"/>
          <w:bottom w:val="none" w:sz="0" w:space="0" w:color="auto"/>
          <w:right w:val="none" w:sz="0" w:space="0" w:color="auto"/>
          <w:between w:val="none" w:sz="0" w:space="0" w:color="auto"/>
        </w:pBdr>
        <w:rPr>
          <w:color w:val="auto"/>
          <w:lang w:val="pt-PT"/>
        </w:rPr>
      </w:pPr>
      <w:r w:rsidRPr="00901F92">
        <w:rPr>
          <w:color w:val="auto"/>
          <w:sz w:val="18"/>
          <w:lang w:val="pt-PT"/>
        </w:rPr>
        <w:t>Marine Management Organisation (MMO), Lancaster House, Hampshire, Newcastle upon Tyne NE4 7YH</w:t>
      </w:r>
    </w:p>
    <w:p w14:paraId="1D690E76" w14:textId="77777777" w:rsidR="00372EFA" w:rsidRPr="00CA6CBB" w:rsidRDefault="00372EFA" w:rsidP="00372EFA">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Tel: +44 208 225 8972, E-Mail: andrea.o'shaughnessy@marinemanagement.org.uk</w:t>
      </w:r>
    </w:p>
    <w:p w14:paraId="625C8DD8" w14:textId="77777777" w:rsidR="00372EFA" w:rsidRPr="00CA6CBB" w:rsidRDefault="00372EFA" w:rsidP="00372EFA">
      <w:pPr>
        <w:pBdr>
          <w:top w:val="none" w:sz="0" w:space="0" w:color="auto"/>
          <w:left w:val="none" w:sz="0" w:space="0" w:color="auto"/>
          <w:bottom w:val="none" w:sz="0" w:space="0" w:color="auto"/>
          <w:right w:val="none" w:sz="0" w:space="0" w:color="auto"/>
          <w:between w:val="none" w:sz="0" w:space="0" w:color="auto"/>
        </w:pBdr>
        <w:jc w:val="left"/>
        <w:rPr>
          <w:b/>
          <w:color w:val="auto"/>
          <w:sz w:val="18"/>
          <w:lang w:val="pt-PT"/>
        </w:rPr>
      </w:pPr>
    </w:p>
    <w:p w14:paraId="13BA9487" w14:textId="77777777" w:rsidR="00372EFA" w:rsidRPr="00CA6CBB" w:rsidRDefault="00372EFA" w:rsidP="00372EFA">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CA6CBB">
        <w:rPr>
          <w:b/>
          <w:color w:val="auto"/>
          <w:sz w:val="18"/>
          <w:lang w:val="en-US"/>
        </w:rPr>
        <w:t>Peel</w:t>
      </w:r>
      <w:r w:rsidRPr="00CA6CBB">
        <w:rPr>
          <w:color w:val="auto"/>
          <w:sz w:val="18"/>
          <w:lang w:val="en-US"/>
        </w:rPr>
        <w:t>, Michael</w:t>
      </w:r>
    </w:p>
    <w:p w14:paraId="77E0B896" w14:textId="77777777" w:rsidR="00372EFA" w:rsidRPr="00CA6CBB" w:rsidRDefault="00372EFA" w:rsidP="00372EFA">
      <w:pPr>
        <w:pBdr>
          <w:top w:val="none" w:sz="0" w:space="0" w:color="auto"/>
          <w:left w:val="none" w:sz="0" w:space="0" w:color="auto"/>
          <w:bottom w:val="none" w:sz="0" w:space="0" w:color="auto"/>
          <w:right w:val="none" w:sz="0" w:space="0" w:color="auto"/>
          <w:between w:val="none" w:sz="0" w:space="0" w:color="auto"/>
        </w:pBdr>
        <w:rPr>
          <w:color w:val="auto"/>
          <w:lang w:val="en-US"/>
        </w:rPr>
      </w:pPr>
      <w:r w:rsidRPr="00CA6CBB">
        <w:rPr>
          <w:color w:val="auto"/>
          <w:sz w:val="18"/>
          <w:lang w:val="en-US"/>
        </w:rPr>
        <w:t xml:space="preserve">Department for Environment, Food and Rural Affairs - Defra, 2 </w:t>
      </w:r>
      <w:proofErr w:type="spellStart"/>
      <w:r w:rsidRPr="00CA6CBB">
        <w:rPr>
          <w:color w:val="auto"/>
          <w:sz w:val="18"/>
          <w:lang w:val="en-US"/>
        </w:rPr>
        <w:t>Marsham</w:t>
      </w:r>
      <w:proofErr w:type="spellEnd"/>
      <w:r w:rsidRPr="00CA6CBB">
        <w:rPr>
          <w:color w:val="auto"/>
          <w:sz w:val="18"/>
          <w:lang w:val="en-US"/>
        </w:rPr>
        <w:t xml:space="preserve"> Street, London SW1P 4DF</w:t>
      </w:r>
    </w:p>
    <w:p w14:paraId="03163F84" w14:textId="77777777" w:rsidR="00372EFA" w:rsidRPr="00CA6CBB" w:rsidRDefault="00372EFA" w:rsidP="00372EFA">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Tel: +44 798 418 9608, E-Mail: michael.peel@defra.gov.uk</w:t>
      </w:r>
    </w:p>
    <w:p w14:paraId="30337067" w14:textId="77777777" w:rsidR="00372EFA" w:rsidRPr="00CA6CBB" w:rsidRDefault="00372EFA" w:rsidP="00976CBF">
      <w:pPr>
        <w:pBdr>
          <w:top w:val="none" w:sz="0" w:space="0" w:color="auto"/>
          <w:left w:val="none" w:sz="0" w:space="0" w:color="auto"/>
          <w:bottom w:val="none" w:sz="0" w:space="0" w:color="auto"/>
          <w:right w:val="none" w:sz="0" w:space="0" w:color="auto"/>
          <w:between w:val="none" w:sz="0" w:space="0" w:color="auto"/>
        </w:pBdr>
        <w:jc w:val="left"/>
        <w:rPr>
          <w:b/>
          <w:color w:val="auto"/>
          <w:lang w:val="pt-PT"/>
        </w:rPr>
      </w:pPr>
    </w:p>
    <w:p w14:paraId="058615D9" w14:textId="77777777" w:rsidR="00372EFA" w:rsidRPr="00CA6CBB" w:rsidRDefault="00372EFA" w:rsidP="00976CBF">
      <w:pPr>
        <w:pBdr>
          <w:top w:val="none" w:sz="0" w:space="0" w:color="auto"/>
          <w:left w:val="none" w:sz="0" w:space="0" w:color="auto"/>
          <w:bottom w:val="none" w:sz="0" w:space="0" w:color="auto"/>
          <w:right w:val="none" w:sz="0" w:space="0" w:color="auto"/>
          <w:between w:val="none" w:sz="0" w:space="0" w:color="auto"/>
        </w:pBdr>
        <w:jc w:val="left"/>
        <w:rPr>
          <w:b/>
          <w:color w:val="auto"/>
          <w:lang w:val="pt-PT"/>
        </w:rPr>
      </w:pPr>
    </w:p>
    <w:p w14:paraId="67DB289C" w14:textId="77777777" w:rsidR="004D7833" w:rsidRPr="00CA6CBB" w:rsidRDefault="004D7833" w:rsidP="004D7833">
      <w:pPr>
        <w:pBdr>
          <w:top w:val="none" w:sz="0" w:space="0" w:color="auto"/>
          <w:left w:val="none" w:sz="0" w:space="0" w:color="auto"/>
          <w:bottom w:val="none" w:sz="0" w:space="0" w:color="auto"/>
          <w:right w:val="none" w:sz="0" w:space="0" w:color="auto"/>
          <w:between w:val="none" w:sz="0" w:space="0" w:color="auto"/>
        </w:pBdr>
        <w:jc w:val="left"/>
        <w:rPr>
          <w:color w:val="auto"/>
        </w:rPr>
      </w:pPr>
      <w:r w:rsidRPr="00CA6CBB">
        <w:rPr>
          <w:b/>
          <w:color w:val="auto"/>
        </w:rPr>
        <w:lastRenderedPageBreak/>
        <w:t>SAN VICENTE Y LAS GRANADINAS</w:t>
      </w:r>
    </w:p>
    <w:p w14:paraId="5DB1CFD9" w14:textId="77777777" w:rsidR="004D7833" w:rsidRPr="00901F92" w:rsidRDefault="004D7833" w:rsidP="004D7833">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901F92">
        <w:rPr>
          <w:b/>
          <w:color w:val="auto"/>
          <w:sz w:val="18"/>
          <w:lang w:val="en-US"/>
        </w:rPr>
        <w:t>Connell</w:t>
      </w:r>
      <w:r w:rsidRPr="00901F92">
        <w:rPr>
          <w:color w:val="auto"/>
          <w:sz w:val="18"/>
          <w:lang w:val="en-US"/>
        </w:rPr>
        <w:t>, Shamal</w:t>
      </w:r>
    </w:p>
    <w:p w14:paraId="097F963F" w14:textId="77777777" w:rsidR="004D7833" w:rsidRPr="00CA6CBB" w:rsidRDefault="004D7833" w:rsidP="004D7833">
      <w:pPr>
        <w:pBdr>
          <w:top w:val="none" w:sz="0" w:space="0" w:color="auto"/>
          <w:left w:val="none" w:sz="0" w:space="0" w:color="auto"/>
          <w:bottom w:val="none" w:sz="0" w:space="0" w:color="auto"/>
          <w:right w:val="none" w:sz="0" w:space="0" w:color="auto"/>
          <w:between w:val="none" w:sz="0" w:space="0" w:color="auto"/>
        </w:pBdr>
        <w:rPr>
          <w:color w:val="auto"/>
          <w:lang w:val="en-US"/>
        </w:rPr>
      </w:pPr>
      <w:r w:rsidRPr="00CA6CBB">
        <w:rPr>
          <w:color w:val="auto"/>
          <w:sz w:val="18"/>
          <w:lang w:val="en-US"/>
        </w:rPr>
        <w:t xml:space="preserve">Fisheries Officer, Fisheries Division, Ministry of Agriculture, Forestry, Fisheries, Rural Transformation, Industry and </w:t>
      </w:r>
      <w:proofErr w:type="spellStart"/>
      <w:r w:rsidRPr="00CA6CBB">
        <w:rPr>
          <w:color w:val="auto"/>
          <w:sz w:val="18"/>
          <w:lang w:val="en-US"/>
        </w:rPr>
        <w:t>Labour</w:t>
      </w:r>
      <w:proofErr w:type="spellEnd"/>
      <w:r w:rsidRPr="00CA6CBB">
        <w:rPr>
          <w:color w:val="auto"/>
          <w:sz w:val="18"/>
          <w:lang w:val="en-US"/>
        </w:rPr>
        <w:t>, Government of St Vincent and the Grenadines, VC0100 Kingstown</w:t>
      </w:r>
    </w:p>
    <w:p w14:paraId="7EB39D44" w14:textId="77777777" w:rsidR="004D7833" w:rsidRPr="00CA6CBB" w:rsidRDefault="004D7833" w:rsidP="004D7833">
      <w:pPr>
        <w:pBdr>
          <w:top w:val="none" w:sz="0" w:space="0" w:color="auto"/>
          <w:left w:val="none" w:sz="0" w:space="0" w:color="auto"/>
          <w:bottom w:val="none" w:sz="0" w:space="0" w:color="auto"/>
          <w:right w:val="none" w:sz="0" w:space="0" w:color="auto"/>
          <w:between w:val="none" w:sz="0" w:space="0" w:color="auto"/>
        </w:pBdr>
        <w:jc w:val="left"/>
        <w:rPr>
          <w:color w:val="auto"/>
          <w:lang w:val="en-US"/>
        </w:rPr>
      </w:pPr>
    </w:p>
    <w:p w14:paraId="4BA52440" w14:textId="77777777" w:rsidR="004D7833" w:rsidRPr="00CA6CBB" w:rsidRDefault="004D7833" w:rsidP="004D7833">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CA6CBB">
        <w:rPr>
          <w:b/>
          <w:color w:val="auto"/>
          <w:sz w:val="18"/>
          <w:lang w:val="en-US"/>
        </w:rPr>
        <w:t>Thomas</w:t>
      </w:r>
      <w:r w:rsidRPr="00CA6CBB">
        <w:rPr>
          <w:color w:val="auto"/>
          <w:sz w:val="18"/>
          <w:lang w:val="en-US"/>
        </w:rPr>
        <w:t>, Allison</w:t>
      </w:r>
    </w:p>
    <w:p w14:paraId="196C907B" w14:textId="77777777" w:rsidR="004D7833" w:rsidRPr="00CA6CBB" w:rsidRDefault="004D7833" w:rsidP="004D7833">
      <w:pPr>
        <w:pBdr>
          <w:top w:val="none" w:sz="0" w:space="0" w:color="auto"/>
          <w:left w:val="none" w:sz="0" w:space="0" w:color="auto"/>
          <w:bottom w:val="none" w:sz="0" w:space="0" w:color="auto"/>
          <w:right w:val="none" w:sz="0" w:space="0" w:color="auto"/>
          <w:between w:val="none" w:sz="0" w:space="0" w:color="auto"/>
        </w:pBdr>
        <w:rPr>
          <w:color w:val="auto"/>
          <w:lang w:val="en-US"/>
        </w:rPr>
      </w:pPr>
      <w:r w:rsidRPr="00CA6CBB">
        <w:rPr>
          <w:color w:val="auto"/>
          <w:sz w:val="18"/>
          <w:lang w:val="en-US"/>
        </w:rPr>
        <w:t>Fisheries Division Kingstown St Vincent &amp; The Grenadines, VC0100 Kingstown</w:t>
      </w:r>
    </w:p>
    <w:p w14:paraId="74EF815E" w14:textId="77777777" w:rsidR="004D7833" w:rsidRPr="00CA6CBB" w:rsidRDefault="004D7833" w:rsidP="004D7833">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Tel: +1 784 456 2738, E-Mail: allithomas294@gmail.com</w:t>
      </w:r>
    </w:p>
    <w:p w14:paraId="2342E651" w14:textId="77777777" w:rsidR="004D7833" w:rsidRPr="00CA6CBB" w:rsidRDefault="004D7833" w:rsidP="004D7833">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66779219" w14:textId="0400D43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fr-FR"/>
        </w:rPr>
      </w:pPr>
      <w:r w:rsidRPr="00CA6CBB">
        <w:rPr>
          <w:b/>
          <w:color w:val="auto"/>
          <w:lang w:val="fr-FR"/>
        </w:rPr>
        <w:t>SENEGAL</w:t>
      </w:r>
    </w:p>
    <w:p w14:paraId="142CA8B2"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fr-FR"/>
        </w:rPr>
      </w:pPr>
      <w:r w:rsidRPr="00CA6CBB">
        <w:rPr>
          <w:b/>
          <w:color w:val="auto"/>
          <w:sz w:val="18"/>
          <w:lang w:val="fr-FR"/>
        </w:rPr>
        <w:t>Diouf</w:t>
      </w:r>
      <w:r w:rsidRPr="00CA6CBB">
        <w:rPr>
          <w:color w:val="auto"/>
          <w:sz w:val="18"/>
          <w:lang w:val="fr-FR"/>
        </w:rPr>
        <w:t>, Ibrahima</w:t>
      </w:r>
    </w:p>
    <w:p w14:paraId="10505F74"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fr-FR"/>
        </w:rPr>
      </w:pPr>
      <w:r w:rsidRPr="00CA6CBB">
        <w:rPr>
          <w:color w:val="auto"/>
          <w:sz w:val="18"/>
          <w:lang w:val="fr-FR"/>
        </w:rPr>
        <w:t>Ingénieur des Pêches, Direction des Pêches Maritimes, Chef de la Division de la pêche industrielle, Sphère ministérielle Ousmane Tanor DIENG, Immeuble D, 2e étage, Diamniadio, BP 289 Dakar</w:t>
      </w:r>
    </w:p>
    <w:p w14:paraId="766A8DC0"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Tel: +221 541 4764, Fax: +221 338 602 465, E-Mail: ivesdiouf@gmail.com</w:t>
      </w:r>
    </w:p>
    <w:p w14:paraId="70CCE9D2"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00330CDD"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pt-PT"/>
        </w:rPr>
      </w:pPr>
      <w:r w:rsidRPr="00CA6CBB">
        <w:rPr>
          <w:b/>
          <w:color w:val="auto"/>
          <w:sz w:val="18"/>
          <w:lang w:val="pt-PT"/>
        </w:rPr>
        <w:t>Gueye</w:t>
      </w:r>
      <w:r w:rsidRPr="00CA6CBB">
        <w:rPr>
          <w:color w:val="auto"/>
          <w:sz w:val="18"/>
          <w:lang w:val="pt-PT"/>
        </w:rPr>
        <w:t>, Assane</w:t>
      </w:r>
    </w:p>
    <w:p w14:paraId="4181193B"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fr-FR"/>
        </w:rPr>
      </w:pPr>
      <w:r w:rsidRPr="00CA6CBB">
        <w:rPr>
          <w:color w:val="auto"/>
          <w:sz w:val="18"/>
          <w:lang w:val="fr-FR"/>
        </w:rPr>
        <w:t xml:space="preserve">Conseiller Technique auprès du Directeur, Direction de la Protection et de la Surveillance des Pêches (DPSP), Cité Fenêtres Mermoz – Dakar – Corniche Ouest, </w:t>
      </w:r>
      <w:proofErr w:type="gramStart"/>
      <w:r w:rsidRPr="00CA6CBB">
        <w:rPr>
          <w:color w:val="auto"/>
          <w:sz w:val="18"/>
          <w:lang w:val="fr-FR"/>
        </w:rPr>
        <w:t>BP:</w:t>
      </w:r>
      <w:proofErr w:type="gramEnd"/>
      <w:r w:rsidRPr="00CA6CBB">
        <w:rPr>
          <w:color w:val="auto"/>
          <w:sz w:val="18"/>
          <w:lang w:val="fr-FR"/>
        </w:rPr>
        <w:t xml:space="preserve"> 3656</w:t>
      </w:r>
    </w:p>
    <w:p w14:paraId="10B1C6F4"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Tel: +221 776 342 953; +221 338 602 465, E-Mail: assaneg@hotmail.fr</w:t>
      </w:r>
    </w:p>
    <w:p w14:paraId="0F2A2A54"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b/>
          <w:color w:val="auto"/>
          <w:sz w:val="18"/>
          <w:lang w:val="pt-PT"/>
        </w:rPr>
      </w:pPr>
    </w:p>
    <w:p w14:paraId="5FA68805" w14:textId="77777777" w:rsidR="00976CBF" w:rsidRPr="00901F92"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it-IT"/>
        </w:rPr>
      </w:pPr>
      <w:r w:rsidRPr="00901F92">
        <w:rPr>
          <w:b/>
          <w:color w:val="auto"/>
          <w:sz w:val="18"/>
          <w:lang w:val="it-IT"/>
        </w:rPr>
        <w:t>Niang</w:t>
      </w:r>
      <w:r w:rsidRPr="00901F92">
        <w:rPr>
          <w:color w:val="auto"/>
          <w:sz w:val="18"/>
          <w:lang w:val="it-IT"/>
        </w:rPr>
        <w:t xml:space="preserve">, </w:t>
      </w:r>
      <w:proofErr w:type="spellStart"/>
      <w:r w:rsidRPr="00901F92">
        <w:rPr>
          <w:color w:val="auto"/>
          <w:sz w:val="18"/>
          <w:lang w:val="it-IT"/>
        </w:rPr>
        <w:t>Magatte</w:t>
      </w:r>
      <w:proofErr w:type="spellEnd"/>
    </w:p>
    <w:p w14:paraId="12BD07CD"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fr-FR"/>
        </w:rPr>
      </w:pPr>
      <w:r w:rsidRPr="00CA6CBB">
        <w:rPr>
          <w:color w:val="auto"/>
          <w:sz w:val="18"/>
          <w:lang w:val="fr-FR"/>
        </w:rPr>
        <w:t xml:space="preserve">Chef du Bureau des Observateurs de la Direction de la Protection et de Ia Surveillance des Pêches (DPSP), Fenêtre Mermoz, Corniche Ouest, </w:t>
      </w:r>
      <w:proofErr w:type="gramStart"/>
      <w:r w:rsidRPr="00CA6CBB">
        <w:rPr>
          <w:color w:val="auto"/>
          <w:sz w:val="18"/>
          <w:lang w:val="fr-FR"/>
        </w:rPr>
        <w:t>BP:</w:t>
      </w:r>
      <w:proofErr w:type="gramEnd"/>
      <w:r w:rsidRPr="00CA6CBB">
        <w:rPr>
          <w:color w:val="auto"/>
          <w:sz w:val="18"/>
          <w:lang w:val="fr-FR"/>
        </w:rPr>
        <w:t xml:space="preserve"> 3656 Dakar</w:t>
      </w:r>
    </w:p>
    <w:p w14:paraId="78E11118"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Tel: +221 775 854 440, E-Mail: niangmagatte966@gmail.com</w:t>
      </w:r>
    </w:p>
    <w:p w14:paraId="6D59CCD0"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29133496" w14:textId="77777777" w:rsidR="00976CBF" w:rsidRPr="00901F92"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rPr>
      </w:pPr>
      <w:proofErr w:type="spellStart"/>
      <w:r w:rsidRPr="00901F92">
        <w:rPr>
          <w:b/>
          <w:color w:val="auto"/>
          <w:sz w:val="18"/>
        </w:rPr>
        <w:t>Sèye</w:t>
      </w:r>
      <w:proofErr w:type="spellEnd"/>
      <w:r w:rsidRPr="00901F92">
        <w:rPr>
          <w:color w:val="auto"/>
          <w:sz w:val="18"/>
        </w:rPr>
        <w:t>, Mamadou</w:t>
      </w:r>
    </w:p>
    <w:p w14:paraId="60D51D0E"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fr-FR"/>
        </w:rPr>
      </w:pPr>
      <w:r w:rsidRPr="00CA6CBB">
        <w:rPr>
          <w:color w:val="auto"/>
          <w:sz w:val="18"/>
          <w:lang w:val="fr-FR"/>
        </w:rPr>
        <w:t>Ingénieur des Pêches, Chef de la Division Gestion et Aménagement des Pêcheries, Direction des Pêches Maritimes, Sphère Ministérielle Ousmane Tanor Dieng, Bâtiment D, 2è étage, Diamniadio, BP 289 Dakar</w:t>
      </w:r>
    </w:p>
    <w:p w14:paraId="6AC895A0"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en-US"/>
        </w:rPr>
      </w:pPr>
      <w:r w:rsidRPr="00CA6CBB">
        <w:rPr>
          <w:color w:val="auto"/>
          <w:sz w:val="18"/>
          <w:lang w:val="en-US"/>
        </w:rPr>
        <w:t>Tel: +221 77 841 83 94, Fax: +221 821 47 58, E-Mail: mdseye@gmail.com; mdseye1@gmail.com; mdouseye@yahoo.fr</w:t>
      </w:r>
    </w:p>
    <w:p w14:paraId="2C20F86A"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en-US"/>
        </w:rPr>
      </w:pPr>
    </w:p>
    <w:p w14:paraId="2F7845FC" w14:textId="77777777" w:rsidR="004D7833" w:rsidRPr="00CA6CBB" w:rsidRDefault="004D7833" w:rsidP="004D7833">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CA6CBB">
        <w:rPr>
          <w:b/>
          <w:color w:val="auto"/>
          <w:lang w:val="en-US"/>
        </w:rPr>
        <w:t>SIRIA</w:t>
      </w:r>
    </w:p>
    <w:p w14:paraId="342193A3" w14:textId="77777777" w:rsidR="004D7833" w:rsidRPr="00CA6CBB" w:rsidRDefault="004D7833" w:rsidP="004D7833">
      <w:pPr>
        <w:pBdr>
          <w:top w:val="none" w:sz="0" w:space="0" w:color="auto"/>
          <w:left w:val="none" w:sz="0" w:space="0" w:color="auto"/>
          <w:bottom w:val="none" w:sz="0" w:space="0" w:color="auto"/>
          <w:right w:val="none" w:sz="0" w:space="0" w:color="auto"/>
          <w:between w:val="none" w:sz="0" w:space="0" w:color="auto"/>
        </w:pBdr>
        <w:jc w:val="left"/>
        <w:rPr>
          <w:color w:val="auto"/>
          <w:lang w:val="en-US"/>
        </w:rPr>
      </w:pPr>
      <w:proofErr w:type="spellStart"/>
      <w:r w:rsidRPr="00CA6CBB">
        <w:rPr>
          <w:b/>
          <w:color w:val="auto"/>
          <w:sz w:val="18"/>
          <w:lang w:val="en-US"/>
        </w:rPr>
        <w:t>Gharqan</w:t>
      </w:r>
      <w:proofErr w:type="spellEnd"/>
      <w:r w:rsidRPr="00CA6CBB">
        <w:rPr>
          <w:color w:val="auto"/>
          <w:sz w:val="18"/>
          <w:lang w:val="en-US"/>
        </w:rPr>
        <w:t>, Ziyad</w:t>
      </w:r>
    </w:p>
    <w:p w14:paraId="0729ABCF" w14:textId="77777777" w:rsidR="004D7833" w:rsidRPr="00CA6CBB" w:rsidRDefault="004D7833" w:rsidP="004D7833">
      <w:pPr>
        <w:pBdr>
          <w:top w:val="none" w:sz="0" w:space="0" w:color="auto"/>
          <w:left w:val="none" w:sz="0" w:space="0" w:color="auto"/>
          <w:bottom w:val="none" w:sz="0" w:space="0" w:color="auto"/>
          <w:right w:val="none" w:sz="0" w:space="0" w:color="auto"/>
          <w:between w:val="none" w:sz="0" w:space="0" w:color="auto"/>
        </w:pBdr>
        <w:rPr>
          <w:color w:val="auto"/>
          <w:lang w:val="en-US"/>
        </w:rPr>
      </w:pPr>
      <w:r w:rsidRPr="00CA6CBB">
        <w:rPr>
          <w:color w:val="auto"/>
          <w:sz w:val="18"/>
          <w:lang w:val="en-US"/>
        </w:rPr>
        <w:t xml:space="preserve">Representative of the Director General, Director of International Cooperation, Al Salam ST, </w:t>
      </w:r>
      <w:proofErr w:type="spellStart"/>
      <w:r w:rsidRPr="00CA6CBB">
        <w:rPr>
          <w:color w:val="auto"/>
          <w:sz w:val="18"/>
          <w:lang w:val="en-US"/>
        </w:rPr>
        <w:t>Binnish</w:t>
      </w:r>
      <w:proofErr w:type="spellEnd"/>
      <w:r w:rsidRPr="00CA6CBB">
        <w:rPr>
          <w:color w:val="auto"/>
          <w:sz w:val="18"/>
          <w:lang w:val="en-US"/>
        </w:rPr>
        <w:t>, Idleb</w:t>
      </w:r>
    </w:p>
    <w:p w14:paraId="64B0E4A3" w14:textId="77777777" w:rsidR="004D7833" w:rsidRPr="00CA6CBB" w:rsidRDefault="004D7833" w:rsidP="004D7833">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Tel: +963 968 059 005, E-Mail: ziadgharqan@gmail.com</w:t>
      </w:r>
    </w:p>
    <w:p w14:paraId="71402325" w14:textId="77777777" w:rsidR="004D7833" w:rsidRPr="00CA6CBB" w:rsidRDefault="004D7833" w:rsidP="004D7833">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07E6B388" w14:textId="550245DA"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CA6CBB">
        <w:rPr>
          <w:b/>
          <w:color w:val="auto"/>
          <w:lang w:val="en-US"/>
        </w:rPr>
        <w:t>SUDÁFRICA</w:t>
      </w:r>
    </w:p>
    <w:p w14:paraId="388224A6"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en-US"/>
        </w:rPr>
      </w:pPr>
      <w:proofErr w:type="spellStart"/>
      <w:r w:rsidRPr="00CA6CBB">
        <w:rPr>
          <w:b/>
          <w:color w:val="auto"/>
          <w:sz w:val="18"/>
          <w:lang w:val="en-US"/>
        </w:rPr>
        <w:t>Mqoqi</w:t>
      </w:r>
      <w:proofErr w:type="spellEnd"/>
      <w:r w:rsidRPr="00CA6CBB">
        <w:rPr>
          <w:color w:val="auto"/>
          <w:sz w:val="18"/>
          <w:lang w:val="en-US"/>
        </w:rPr>
        <w:t xml:space="preserve">, </w:t>
      </w:r>
      <w:proofErr w:type="spellStart"/>
      <w:r w:rsidRPr="00CA6CBB">
        <w:rPr>
          <w:color w:val="auto"/>
          <w:sz w:val="18"/>
          <w:lang w:val="en-US"/>
        </w:rPr>
        <w:t>Mandisile</w:t>
      </w:r>
      <w:proofErr w:type="spellEnd"/>
    </w:p>
    <w:p w14:paraId="73C4CFA4"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en-US"/>
        </w:rPr>
      </w:pPr>
      <w:r w:rsidRPr="00CA6CBB">
        <w:rPr>
          <w:color w:val="auto"/>
          <w:sz w:val="18"/>
          <w:lang w:val="en-US"/>
        </w:rPr>
        <w:t>Offshore and High Seas Fisheries Management Department of Forestry, Fisheries and the Environment South Africa, 7 Martin Hammerschlag Way, Building Foreshore, 8000 Cape Town</w:t>
      </w:r>
    </w:p>
    <w:p w14:paraId="605EB086"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Tel: +27 846 072 921, E-Mail: MMqoqi@dffe.gov.za</w:t>
      </w:r>
    </w:p>
    <w:p w14:paraId="2BA6FEE4"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408D2E1F" w14:textId="77777777" w:rsidR="00976CBF" w:rsidRPr="00901F92"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it-IT"/>
        </w:rPr>
      </w:pPr>
      <w:proofErr w:type="spellStart"/>
      <w:r w:rsidRPr="00901F92">
        <w:rPr>
          <w:b/>
          <w:color w:val="auto"/>
          <w:sz w:val="18"/>
          <w:lang w:val="it-IT"/>
        </w:rPr>
        <w:t>Pheeha</w:t>
      </w:r>
      <w:proofErr w:type="spellEnd"/>
      <w:r w:rsidRPr="00901F92">
        <w:rPr>
          <w:color w:val="auto"/>
          <w:sz w:val="18"/>
          <w:lang w:val="it-IT"/>
        </w:rPr>
        <w:t xml:space="preserve">, </w:t>
      </w:r>
      <w:proofErr w:type="spellStart"/>
      <w:r w:rsidRPr="00901F92">
        <w:rPr>
          <w:color w:val="auto"/>
          <w:sz w:val="18"/>
          <w:lang w:val="it-IT"/>
        </w:rPr>
        <w:t>Saasa</w:t>
      </w:r>
      <w:proofErr w:type="spellEnd"/>
      <w:r w:rsidRPr="00901F92">
        <w:rPr>
          <w:color w:val="auto"/>
          <w:sz w:val="18"/>
          <w:lang w:val="it-IT"/>
        </w:rPr>
        <w:t xml:space="preserve"> </w:t>
      </w:r>
      <w:r w:rsidRPr="00901F92">
        <w:rPr>
          <w:color w:val="auto"/>
          <w:sz w:val="18"/>
          <w:vertAlign w:val="superscript"/>
          <w:lang w:val="it-IT"/>
        </w:rPr>
        <w:t>1</w:t>
      </w:r>
    </w:p>
    <w:p w14:paraId="032F2512"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en-US"/>
        </w:rPr>
      </w:pPr>
      <w:r w:rsidRPr="00CA6CBB">
        <w:rPr>
          <w:color w:val="auto"/>
          <w:sz w:val="18"/>
          <w:lang w:val="en-US"/>
        </w:rPr>
        <w:t>Chief Director, Marine Resource Management (Acting), Department of Agriculture, Forestry and Fisheries, Cape Town</w:t>
      </w:r>
    </w:p>
    <w:p w14:paraId="42ADD3CB"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en-US"/>
        </w:rPr>
      </w:pPr>
    </w:p>
    <w:p w14:paraId="21A2EBB1"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en-US"/>
        </w:rPr>
      </w:pPr>
      <w:proofErr w:type="spellStart"/>
      <w:r w:rsidRPr="00CA6CBB">
        <w:rPr>
          <w:b/>
          <w:color w:val="auto"/>
          <w:sz w:val="18"/>
          <w:lang w:val="en-US"/>
        </w:rPr>
        <w:t>Sigam</w:t>
      </w:r>
      <w:proofErr w:type="spellEnd"/>
      <w:r w:rsidRPr="00CA6CBB">
        <w:rPr>
          <w:color w:val="auto"/>
          <w:sz w:val="18"/>
          <w:lang w:val="en-US"/>
        </w:rPr>
        <w:t>, Sindisa</w:t>
      </w:r>
    </w:p>
    <w:p w14:paraId="0238A0B9"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en-US"/>
        </w:rPr>
      </w:pPr>
      <w:r w:rsidRPr="00CA6CBB">
        <w:rPr>
          <w:color w:val="auto"/>
          <w:sz w:val="18"/>
          <w:lang w:val="en-US"/>
        </w:rPr>
        <w:t>Deputy Director: Pelagic and High Seas Fisheries Management, Directorate: Offshore and High Seas Fisheries Management, Chief Directorate: Marine Resources Management, Fisheries Branch, Department of Forestry, Fisheries and the Environment, 8001 Cape Town</w:t>
      </w:r>
    </w:p>
    <w:p w14:paraId="517A8E41"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Tel: +27 7141 40671, E-Mail: ssigam@dffe.gov.za</w:t>
      </w:r>
    </w:p>
    <w:p w14:paraId="65B04488"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4107B33C"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CA6CBB">
        <w:rPr>
          <w:b/>
          <w:color w:val="auto"/>
          <w:lang w:val="en-US"/>
        </w:rPr>
        <w:t>TÜRKIYE</w:t>
      </w:r>
    </w:p>
    <w:p w14:paraId="5F73E4DA"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CA6CBB">
        <w:rPr>
          <w:b/>
          <w:color w:val="auto"/>
          <w:sz w:val="18"/>
          <w:lang w:val="en-US"/>
        </w:rPr>
        <w:t>Erdem</w:t>
      </w:r>
      <w:r w:rsidRPr="00CA6CBB">
        <w:rPr>
          <w:color w:val="auto"/>
          <w:sz w:val="18"/>
          <w:lang w:val="en-US"/>
        </w:rPr>
        <w:t>, Ercan</w:t>
      </w:r>
    </w:p>
    <w:p w14:paraId="7C1F7A26"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en-US"/>
        </w:rPr>
        <w:t xml:space="preserve">Senior Fisheries Officer, Ministry of Agriculture and Forestry (MoAF), General Directorate of Fisheries and Aquaculture, </w:t>
      </w:r>
      <w:proofErr w:type="spellStart"/>
      <w:r w:rsidRPr="00CA6CBB">
        <w:rPr>
          <w:color w:val="auto"/>
          <w:sz w:val="18"/>
          <w:lang w:val="en-US"/>
        </w:rPr>
        <w:t>Üniversiteler</w:t>
      </w:r>
      <w:proofErr w:type="spellEnd"/>
      <w:r w:rsidRPr="00CA6CBB">
        <w:rPr>
          <w:color w:val="auto"/>
          <w:sz w:val="18"/>
          <w:lang w:val="en-US"/>
        </w:rPr>
        <w:t xml:space="preserve"> Mah. </w:t>
      </w:r>
      <w:r w:rsidRPr="00CA6CBB">
        <w:rPr>
          <w:color w:val="auto"/>
          <w:sz w:val="18"/>
          <w:lang w:val="pt-PT"/>
        </w:rPr>
        <w:t>Dumlupınar Bulvarı, No: 161 / 1-0, 06800 Ankara</w:t>
      </w:r>
    </w:p>
    <w:p w14:paraId="5E9E06C7"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Tel: +90 312 258 3162, Fax: +90 312 258 3039, E-Mail: ercan.erdem@tarimorman.gov.tr</w:t>
      </w:r>
    </w:p>
    <w:p w14:paraId="6F76ED9C"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40867A66"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CA6CBB">
        <w:rPr>
          <w:b/>
          <w:color w:val="auto"/>
          <w:sz w:val="18"/>
          <w:lang w:val="en-US"/>
        </w:rPr>
        <w:t>Topçu</w:t>
      </w:r>
      <w:r w:rsidRPr="00CA6CBB">
        <w:rPr>
          <w:color w:val="auto"/>
          <w:sz w:val="18"/>
          <w:lang w:val="en-US"/>
        </w:rPr>
        <w:t>, Burcu Bilgin</w:t>
      </w:r>
    </w:p>
    <w:p w14:paraId="0212774C"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en-US"/>
        </w:rPr>
        <w:t xml:space="preserve">Senior Fisheries Officer, Ministry of Agriculture and Forestry, General Directorate of Fisheries and Aquaculture, </w:t>
      </w:r>
      <w:proofErr w:type="spellStart"/>
      <w:r w:rsidRPr="00CA6CBB">
        <w:rPr>
          <w:color w:val="auto"/>
          <w:sz w:val="18"/>
          <w:lang w:val="en-US"/>
        </w:rPr>
        <w:t>Üniversiteler</w:t>
      </w:r>
      <w:proofErr w:type="spellEnd"/>
      <w:r w:rsidRPr="00CA6CBB">
        <w:rPr>
          <w:color w:val="auto"/>
          <w:sz w:val="18"/>
          <w:lang w:val="en-US"/>
        </w:rPr>
        <w:t xml:space="preserve"> Mah. </w:t>
      </w:r>
      <w:r w:rsidRPr="00CA6CBB">
        <w:rPr>
          <w:color w:val="auto"/>
          <w:sz w:val="18"/>
          <w:lang w:val="pt-PT"/>
        </w:rPr>
        <w:t>Dumlupınar Bulvarı, No: 161 / 1-6, 06800 Lodumlu, Ankara</w:t>
      </w:r>
    </w:p>
    <w:p w14:paraId="197742BA"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Tel: +90 532 207 0632; +90 312 258 3077, Fax: +90 312 258 30 39, E-Mail: burcu.bilgin@tarimorman.gov.tr; bilginburcu@gmail.com</w:t>
      </w:r>
    </w:p>
    <w:p w14:paraId="0F47A22E"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2B94BF8C"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03CEE45C" w14:textId="77777777" w:rsidR="00372EFA" w:rsidRPr="00CA6CBB" w:rsidRDefault="00372EFA">
      <w:pPr>
        <w:pBdr>
          <w:top w:val="none" w:sz="0" w:space="0" w:color="auto"/>
          <w:left w:val="none" w:sz="0" w:space="0" w:color="auto"/>
          <w:bottom w:val="none" w:sz="0" w:space="0" w:color="auto"/>
          <w:right w:val="none" w:sz="0" w:space="0" w:color="auto"/>
          <w:between w:val="none" w:sz="0" w:space="0" w:color="auto"/>
        </w:pBdr>
        <w:spacing w:after="160" w:line="257" w:lineRule="auto"/>
        <w:jc w:val="left"/>
        <w:rPr>
          <w:b/>
          <w:color w:val="auto"/>
          <w:lang w:val="pt-PT"/>
        </w:rPr>
      </w:pPr>
      <w:r w:rsidRPr="00CA6CBB">
        <w:rPr>
          <w:b/>
          <w:color w:val="auto"/>
          <w:lang w:val="pt-PT"/>
        </w:rPr>
        <w:br w:type="page"/>
      </w:r>
    </w:p>
    <w:p w14:paraId="108A8A02" w14:textId="7D2B5E55" w:rsidR="003C7DC6" w:rsidRPr="00CA6CBB" w:rsidRDefault="003C7DC6" w:rsidP="003C7DC6">
      <w:pPr>
        <w:pBdr>
          <w:top w:val="none" w:sz="0" w:space="0" w:color="auto"/>
          <w:left w:val="none" w:sz="0" w:space="0" w:color="auto"/>
          <w:bottom w:val="none" w:sz="0" w:space="0" w:color="auto"/>
          <w:right w:val="none" w:sz="0" w:space="0" w:color="auto"/>
          <w:between w:val="none" w:sz="0" w:space="0" w:color="auto"/>
        </w:pBdr>
        <w:jc w:val="left"/>
        <w:rPr>
          <w:color w:val="auto"/>
          <w:lang w:val="pt-PT"/>
        </w:rPr>
      </w:pPr>
      <w:r w:rsidRPr="00CA6CBB">
        <w:rPr>
          <w:b/>
          <w:color w:val="auto"/>
          <w:lang w:val="pt-PT"/>
        </w:rPr>
        <w:lastRenderedPageBreak/>
        <w:t>UNIÓN EUROPEA</w:t>
      </w:r>
    </w:p>
    <w:p w14:paraId="2DDD2C05" w14:textId="77777777" w:rsidR="003C7DC6" w:rsidRPr="00CA6CBB" w:rsidRDefault="003C7DC6" w:rsidP="003C7DC6">
      <w:pPr>
        <w:pBdr>
          <w:top w:val="none" w:sz="0" w:space="0" w:color="auto"/>
          <w:left w:val="none" w:sz="0" w:space="0" w:color="auto"/>
          <w:bottom w:val="none" w:sz="0" w:space="0" w:color="auto"/>
          <w:right w:val="none" w:sz="0" w:space="0" w:color="auto"/>
          <w:between w:val="none" w:sz="0" w:space="0" w:color="auto"/>
        </w:pBdr>
        <w:jc w:val="left"/>
        <w:rPr>
          <w:color w:val="auto"/>
          <w:lang w:val="pt-PT"/>
        </w:rPr>
      </w:pPr>
      <w:r w:rsidRPr="00CA6CBB">
        <w:rPr>
          <w:b/>
          <w:color w:val="auto"/>
          <w:sz w:val="18"/>
          <w:lang w:val="pt-PT"/>
        </w:rPr>
        <w:t>Howard</w:t>
      </w:r>
      <w:r w:rsidRPr="00CA6CBB">
        <w:rPr>
          <w:color w:val="auto"/>
          <w:sz w:val="18"/>
          <w:lang w:val="pt-PT"/>
        </w:rPr>
        <w:t>, Séamus</w:t>
      </w:r>
    </w:p>
    <w:p w14:paraId="18EE85A0" w14:textId="77777777" w:rsidR="003C7DC6" w:rsidRPr="00CA6CBB" w:rsidRDefault="003C7DC6" w:rsidP="003C7DC6">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European Commission, DG MARE, Rue Joseph II 99, 1000 Brussels, Belgium</w:t>
      </w:r>
    </w:p>
    <w:p w14:paraId="1188FB62" w14:textId="77777777" w:rsidR="003C7DC6" w:rsidRPr="00CA6CBB" w:rsidRDefault="003C7DC6" w:rsidP="003C7DC6">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Tel: +32 229 50083; +32 488 258 038, E-Mail: seamus.howard@ec.europa.eu</w:t>
      </w:r>
    </w:p>
    <w:p w14:paraId="4F20912D" w14:textId="77777777" w:rsidR="003C7DC6" w:rsidRPr="00CA6CBB" w:rsidRDefault="003C7DC6" w:rsidP="003C7DC6">
      <w:pPr>
        <w:pBdr>
          <w:top w:val="none" w:sz="0" w:space="0" w:color="auto"/>
          <w:left w:val="none" w:sz="0" w:space="0" w:color="auto"/>
          <w:bottom w:val="none" w:sz="0" w:space="0" w:color="auto"/>
          <w:right w:val="none" w:sz="0" w:space="0" w:color="auto"/>
          <w:between w:val="none" w:sz="0" w:space="0" w:color="auto"/>
        </w:pBdr>
        <w:jc w:val="left"/>
        <w:rPr>
          <w:b/>
          <w:color w:val="auto"/>
          <w:sz w:val="18"/>
          <w:lang w:val="pt-PT"/>
        </w:rPr>
      </w:pPr>
    </w:p>
    <w:p w14:paraId="2F6E5C7E" w14:textId="77777777" w:rsidR="003C7DC6" w:rsidRPr="00CA6CBB" w:rsidRDefault="003C7DC6" w:rsidP="003C7DC6">
      <w:pPr>
        <w:pBdr>
          <w:top w:val="none" w:sz="0" w:space="0" w:color="auto"/>
          <w:left w:val="none" w:sz="0" w:space="0" w:color="auto"/>
          <w:bottom w:val="none" w:sz="0" w:space="0" w:color="auto"/>
          <w:right w:val="none" w:sz="0" w:space="0" w:color="auto"/>
          <w:between w:val="none" w:sz="0" w:space="0" w:color="auto"/>
        </w:pBdr>
        <w:jc w:val="left"/>
        <w:rPr>
          <w:color w:val="auto"/>
          <w:lang w:val="pt-PT"/>
        </w:rPr>
      </w:pPr>
      <w:r w:rsidRPr="00CA6CBB">
        <w:rPr>
          <w:b/>
          <w:color w:val="auto"/>
          <w:sz w:val="18"/>
          <w:lang w:val="pt-PT"/>
        </w:rPr>
        <w:t>Berzins</w:t>
      </w:r>
      <w:r w:rsidRPr="00CA6CBB">
        <w:rPr>
          <w:color w:val="auto"/>
          <w:sz w:val="18"/>
          <w:lang w:val="pt-PT"/>
        </w:rPr>
        <w:t>, Maris</w:t>
      </w:r>
    </w:p>
    <w:p w14:paraId="37DF0BE4" w14:textId="77777777" w:rsidR="003C7DC6" w:rsidRPr="00CA6CBB" w:rsidRDefault="003C7DC6" w:rsidP="003C7DC6">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Policy Officer, European Commission, DG MARE Unit C.4, Data Management, J II-99, 00/041, B-1049 Brussels, Belgium</w:t>
      </w:r>
    </w:p>
    <w:p w14:paraId="02D7F390" w14:textId="77777777" w:rsidR="003C7DC6" w:rsidRPr="00CA6CBB" w:rsidRDefault="003C7DC6" w:rsidP="003C7DC6">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Tel: +322 299 5524, E-Mail: Maris.BERZINS@ec.europa.eu</w:t>
      </w:r>
    </w:p>
    <w:p w14:paraId="31A78499" w14:textId="77777777" w:rsidR="003C7DC6" w:rsidRPr="00CA6CBB" w:rsidRDefault="003C7DC6" w:rsidP="003C7DC6">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0296BEA6" w14:textId="77777777" w:rsidR="003C7DC6" w:rsidRPr="00901F92" w:rsidRDefault="003C7DC6" w:rsidP="003C7DC6">
      <w:pPr>
        <w:pBdr>
          <w:top w:val="none" w:sz="0" w:space="0" w:color="auto"/>
          <w:left w:val="none" w:sz="0" w:space="0" w:color="auto"/>
          <w:bottom w:val="none" w:sz="0" w:space="0" w:color="auto"/>
          <w:right w:val="none" w:sz="0" w:space="0" w:color="auto"/>
          <w:between w:val="none" w:sz="0" w:space="0" w:color="auto"/>
        </w:pBdr>
        <w:jc w:val="left"/>
        <w:rPr>
          <w:color w:val="auto"/>
          <w:lang w:val="it-IT"/>
        </w:rPr>
      </w:pPr>
      <w:proofErr w:type="spellStart"/>
      <w:r w:rsidRPr="00901F92">
        <w:rPr>
          <w:b/>
          <w:color w:val="auto"/>
          <w:sz w:val="18"/>
          <w:lang w:val="it-IT"/>
        </w:rPr>
        <w:t>Bintoudi</w:t>
      </w:r>
      <w:proofErr w:type="spellEnd"/>
      <w:r w:rsidRPr="00901F92">
        <w:rPr>
          <w:color w:val="auto"/>
          <w:sz w:val="18"/>
          <w:lang w:val="it-IT"/>
        </w:rPr>
        <w:t>, Eleni</w:t>
      </w:r>
    </w:p>
    <w:p w14:paraId="6C1CA159" w14:textId="77777777" w:rsidR="003C7DC6" w:rsidRPr="00CA6CBB" w:rsidRDefault="003C7DC6" w:rsidP="003C7DC6">
      <w:pPr>
        <w:pBdr>
          <w:top w:val="none" w:sz="0" w:space="0" w:color="auto"/>
          <w:left w:val="none" w:sz="0" w:space="0" w:color="auto"/>
          <w:bottom w:val="none" w:sz="0" w:space="0" w:color="auto"/>
          <w:right w:val="none" w:sz="0" w:space="0" w:color="auto"/>
          <w:between w:val="none" w:sz="0" w:space="0" w:color="auto"/>
        </w:pBdr>
        <w:rPr>
          <w:color w:val="auto"/>
          <w:lang w:val="en-US"/>
        </w:rPr>
      </w:pPr>
      <w:r w:rsidRPr="00CA6CBB">
        <w:rPr>
          <w:color w:val="auto"/>
          <w:sz w:val="18"/>
          <w:lang w:val="en-US"/>
        </w:rPr>
        <w:t>European Commission Directorate General for Maritime Affairs &amp; Fisheries (DG MARE) European Commission Directorate General for Maritime Affairs &amp; Fisheries (DG MARE), J 99-00/33 Rue Joseph II 99 1000, 1049 Brussels, Belgium</w:t>
      </w:r>
    </w:p>
    <w:p w14:paraId="2166B245" w14:textId="77777777" w:rsidR="003C7DC6" w:rsidRPr="00CA6CBB" w:rsidRDefault="003C7DC6" w:rsidP="003C7DC6">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Tel: +32 229 94403, E-Mail: eleni.bintoudi@ec.europa.eu</w:t>
      </w:r>
    </w:p>
    <w:p w14:paraId="7BD1D0DD" w14:textId="77777777" w:rsidR="003C7DC6" w:rsidRPr="00CA6CBB" w:rsidRDefault="003C7DC6" w:rsidP="003C7DC6">
      <w:pPr>
        <w:pBdr>
          <w:top w:val="none" w:sz="0" w:space="0" w:color="auto"/>
          <w:left w:val="none" w:sz="0" w:space="0" w:color="auto"/>
          <w:bottom w:val="none" w:sz="0" w:space="0" w:color="auto"/>
          <w:right w:val="none" w:sz="0" w:space="0" w:color="auto"/>
          <w:between w:val="none" w:sz="0" w:space="0" w:color="auto"/>
        </w:pBdr>
        <w:jc w:val="left"/>
        <w:rPr>
          <w:b/>
          <w:color w:val="auto"/>
          <w:sz w:val="18"/>
          <w:lang w:val="pt-PT"/>
        </w:rPr>
      </w:pPr>
    </w:p>
    <w:p w14:paraId="3B469949" w14:textId="77777777" w:rsidR="003C7DC6" w:rsidRPr="00CA6CBB" w:rsidRDefault="003C7DC6" w:rsidP="003C7DC6">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CA6CBB">
        <w:rPr>
          <w:b/>
          <w:color w:val="auto"/>
          <w:sz w:val="18"/>
          <w:lang w:val="en-US"/>
        </w:rPr>
        <w:t>Khalil</w:t>
      </w:r>
      <w:r w:rsidRPr="00CA6CBB">
        <w:rPr>
          <w:color w:val="auto"/>
          <w:sz w:val="18"/>
          <w:lang w:val="en-US"/>
        </w:rPr>
        <w:t>, Samira</w:t>
      </w:r>
    </w:p>
    <w:p w14:paraId="1E7347AF" w14:textId="77777777" w:rsidR="003C7DC6" w:rsidRPr="00CA6CBB" w:rsidRDefault="003C7DC6" w:rsidP="003C7DC6">
      <w:pPr>
        <w:pBdr>
          <w:top w:val="none" w:sz="0" w:space="0" w:color="auto"/>
          <w:left w:val="none" w:sz="0" w:space="0" w:color="auto"/>
          <w:bottom w:val="none" w:sz="0" w:space="0" w:color="auto"/>
          <w:right w:val="none" w:sz="0" w:space="0" w:color="auto"/>
          <w:between w:val="none" w:sz="0" w:space="0" w:color="auto"/>
        </w:pBdr>
        <w:rPr>
          <w:color w:val="auto"/>
          <w:lang w:val="en-US"/>
        </w:rPr>
      </w:pPr>
      <w:r w:rsidRPr="00CA6CBB">
        <w:rPr>
          <w:color w:val="auto"/>
          <w:sz w:val="18"/>
          <w:lang w:val="en-US"/>
        </w:rPr>
        <w:t>European Commission, DG Maritime Affairs and Fisheries, Unit B-1 "International Affairs, Law of the Sea and RFOs", Joseph II - 99 3/74, 1049 Brussels, Belgium</w:t>
      </w:r>
    </w:p>
    <w:p w14:paraId="4791C6F6" w14:textId="77777777" w:rsidR="003C7DC6" w:rsidRPr="00CA6CBB" w:rsidRDefault="003C7DC6" w:rsidP="003C7DC6">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Tel: +32 2 298 03 39; +32 229 11111, E-Mail: samira.khalil@ec.europa.eu</w:t>
      </w:r>
    </w:p>
    <w:p w14:paraId="3E8AA2A9" w14:textId="77777777" w:rsidR="003C7DC6" w:rsidRPr="00CA6CBB" w:rsidRDefault="003C7DC6" w:rsidP="003C7DC6">
      <w:pPr>
        <w:pBdr>
          <w:top w:val="none" w:sz="0" w:space="0" w:color="auto"/>
          <w:left w:val="none" w:sz="0" w:space="0" w:color="auto"/>
          <w:bottom w:val="none" w:sz="0" w:space="0" w:color="auto"/>
          <w:right w:val="none" w:sz="0" w:space="0" w:color="auto"/>
          <w:between w:val="none" w:sz="0" w:space="0" w:color="auto"/>
        </w:pBdr>
        <w:jc w:val="left"/>
        <w:rPr>
          <w:b/>
          <w:color w:val="auto"/>
          <w:sz w:val="18"/>
          <w:lang w:val="pt-PT"/>
        </w:rPr>
      </w:pPr>
    </w:p>
    <w:p w14:paraId="678EF852" w14:textId="77777777" w:rsidR="003C7DC6" w:rsidRPr="00CA6CBB" w:rsidRDefault="003C7DC6" w:rsidP="003C7DC6">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CA6CBB">
        <w:rPr>
          <w:b/>
          <w:color w:val="auto"/>
          <w:sz w:val="18"/>
          <w:lang w:val="en-US"/>
        </w:rPr>
        <w:t>Pavlou</w:t>
      </w:r>
      <w:r w:rsidRPr="00CA6CBB">
        <w:rPr>
          <w:color w:val="auto"/>
          <w:sz w:val="18"/>
          <w:lang w:val="en-US"/>
        </w:rPr>
        <w:t>, Georgia</w:t>
      </w:r>
    </w:p>
    <w:p w14:paraId="72D95434" w14:textId="77777777" w:rsidR="003C7DC6" w:rsidRPr="00CA6CBB" w:rsidRDefault="003C7DC6" w:rsidP="003C7DC6">
      <w:pPr>
        <w:pBdr>
          <w:top w:val="none" w:sz="0" w:space="0" w:color="auto"/>
          <w:left w:val="none" w:sz="0" w:space="0" w:color="auto"/>
          <w:bottom w:val="none" w:sz="0" w:space="0" w:color="auto"/>
          <w:right w:val="none" w:sz="0" w:space="0" w:color="auto"/>
          <w:between w:val="none" w:sz="0" w:space="0" w:color="auto"/>
        </w:pBdr>
        <w:rPr>
          <w:color w:val="auto"/>
          <w:lang w:val="en-US"/>
        </w:rPr>
      </w:pPr>
      <w:r w:rsidRPr="00CA6CBB">
        <w:rPr>
          <w:color w:val="auto"/>
          <w:sz w:val="18"/>
          <w:lang w:val="en-US"/>
        </w:rPr>
        <w:t>Statistical Agent, European Commission, DG Maritime Affairs and Fisheries, Unit C.4 - Data Management, J99 00/023, B-1049 Brussels, Belgium</w:t>
      </w:r>
    </w:p>
    <w:p w14:paraId="168036BE" w14:textId="77777777" w:rsidR="003C7DC6" w:rsidRPr="00CA6CBB" w:rsidRDefault="003C7DC6" w:rsidP="003C7DC6">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Tel: +32 2 29 84998, Fax: +32 2 29 86121, E-Mail: georgia.pavlou@ec.europa.eu</w:t>
      </w:r>
    </w:p>
    <w:p w14:paraId="4FC0E792" w14:textId="77777777" w:rsidR="003C7DC6" w:rsidRPr="00CA6CBB" w:rsidRDefault="003C7DC6" w:rsidP="003C7DC6">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3680AFFF" w14:textId="77777777" w:rsidR="003C7DC6" w:rsidRPr="00CA6CBB" w:rsidRDefault="003C7DC6" w:rsidP="003C7DC6">
      <w:pPr>
        <w:pBdr>
          <w:top w:val="none" w:sz="0" w:space="0" w:color="auto"/>
          <w:left w:val="none" w:sz="0" w:space="0" w:color="auto"/>
          <w:bottom w:val="none" w:sz="0" w:space="0" w:color="auto"/>
          <w:right w:val="none" w:sz="0" w:space="0" w:color="auto"/>
          <w:between w:val="none" w:sz="0" w:space="0" w:color="auto"/>
        </w:pBdr>
        <w:jc w:val="left"/>
        <w:rPr>
          <w:color w:val="auto"/>
          <w:lang w:val="pt-PT"/>
        </w:rPr>
      </w:pPr>
      <w:r w:rsidRPr="00CA6CBB">
        <w:rPr>
          <w:b/>
          <w:color w:val="auto"/>
          <w:sz w:val="18"/>
          <w:lang w:val="pt-PT"/>
        </w:rPr>
        <w:t>Schulz</w:t>
      </w:r>
      <w:r w:rsidRPr="00CA6CBB">
        <w:rPr>
          <w:color w:val="auto"/>
          <w:sz w:val="18"/>
          <w:lang w:val="pt-PT"/>
        </w:rPr>
        <w:t>, Oliver</w:t>
      </w:r>
    </w:p>
    <w:p w14:paraId="01EC88F5" w14:textId="77777777" w:rsidR="003C7DC6" w:rsidRPr="00CA6CBB" w:rsidRDefault="003C7DC6" w:rsidP="003C7DC6">
      <w:pPr>
        <w:pBdr>
          <w:top w:val="none" w:sz="0" w:space="0" w:color="auto"/>
          <w:left w:val="none" w:sz="0" w:space="0" w:color="auto"/>
          <w:bottom w:val="none" w:sz="0" w:space="0" w:color="auto"/>
          <w:right w:val="none" w:sz="0" w:space="0" w:color="auto"/>
          <w:between w:val="none" w:sz="0" w:space="0" w:color="auto"/>
        </w:pBdr>
        <w:rPr>
          <w:color w:val="auto"/>
          <w:lang w:val="fr-FR"/>
        </w:rPr>
      </w:pPr>
      <w:r w:rsidRPr="00CA6CBB">
        <w:rPr>
          <w:color w:val="auto"/>
          <w:sz w:val="18"/>
          <w:lang w:val="fr-FR"/>
        </w:rPr>
        <w:t xml:space="preserve">DG MARE, Rue de la Loi 200 Office J99 00/045, 1049 Brussels, </w:t>
      </w:r>
      <w:proofErr w:type="spellStart"/>
      <w:r w:rsidRPr="00CA6CBB">
        <w:rPr>
          <w:color w:val="auto"/>
          <w:sz w:val="18"/>
          <w:lang w:val="fr-FR"/>
        </w:rPr>
        <w:t>Belgium</w:t>
      </w:r>
      <w:proofErr w:type="spellEnd"/>
    </w:p>
    <w:p w14:paraId="6A4EBEC5" w14:textId="77777777" w:rsidR="003C7DC6" w:rsidRPr="00CA6CBB" w:rsidRDefault="003C7DC6" w:rsidP="003C7DC6">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Tel: +32 229 60195, E-Mail: oliver.schulz@ec.europa.eu</w:t>
      </w:r>
    </w:p>
    <w:p w14:paraId="69F98C5E" w14:textId="77777777" w:rsidR="003C7DC6" w:rsidRPr="00CA6CBB" w:rsidRDefault="003C7DC6" w:rsidP="003C7DC6">
      <w:pPr>
        <w:pBdr>
          <w:top w:val="none" w:sz="0" w:space="0" w:color="auto"/>
          <w:left w:val="none" w:sz="0" w:space="0" w:color="auto"/>
          <w:bottom w:val="none" w:sz="0" w:space="0" w:color="auto"/>
          <w:right w:val="none" w:sz="0" w:space="0" w:color="auto"/>
          <w:between w:val="none" w:sz="0" w:space="0" w:color="auto"/>
        </w:pBdr>
        <w:jc w:val="left"/>
        <w:rPr>
          <w:b/>
          <w:color w:val="auto"/>
          <w:sz w:val="18"/>
          <w:lang w:val="pt-PT"/>
        </w:rPr>
      </w:pPr>
    </w:p>
    <w:p w14:paraId="258AEC35" w14:textId="77777777" w:rsidR="003C7DC6" w:rsidRPr="00CA6CBB" w:rsidRDefault="003C7DC6" w:rsidP="003C7DC6">
      <w:pPr>
        <w:pBdr>
          <w:top w:val="none" w:sz="0" w:space="0" w:color="auto"/>
          <w:left w:val="none" w:sz="0" w:space="0" w:color="auto"/>
          <w:bottom w:val="none" w:sz="0" w:space="0" w:color="auto"/>
          <w:right w:val="none" w:sz="0" w:space="0" w:color="auto"/>
          <w:between w:val="none" w:sz="0" w:space="0" w:color="auto"/>
        </w:pBdr>
        <w:jc w:val="left"/>
        <w:rPr>
          <w:color w:val="auto"/>
          <w:lang w:val="fr-FR"/>
        </w:rPr>
      </w:pPr>
      <w:r w:rsidRPr="00CA6CBB">
        <w:rPr>
          <w:b/>
          <w:color w:val="auto"/>
          <w:sz w:val="18"/>
          <w:lang w:val="fr-FR"/>
        </w:rPr>
        <w:t>Avignon</w:t>
      </w:r>
      <w:r w:rsidRPr="00CA6CBB">
        <w:rPr>
          <w:color w:val="auto"/>
          <w:sz w:val="18"/>
          <w:lang w:val="fr-FR"/>
        </w:rPr>
        <w:t>, Frédérique</w:t>
      </w:r>
    </w:p>
    <w:p w14:paraId="5D9482F8" w14:textId="77777777" w:rsidR="003C7DC6" w:rsidRPr="00CA6CBB" w:rsidRDefault="003C7DC6" w:rsidP="003C7DC6">
      <w:pPr>
        <w:pBdr>
          <w:top w:val="none" w:sz="0" w:space="0" w:color="auto"/>
          <w:left w:val="none" w:sz="0" w:space="0" w:color="auto"/>
          <w:bottom w:val="none" w:sz="0" w:space="0" w:color="auto"/>
          <w:right w:val="none" w:sz="0" w:space="0" w:color="auto"/>
          <w:between w:val="none" w:sz="0" w:space="0" w:color="auto"/>
        </w:pBdr>
        <w:rPr>
          <w:color w:val="auto"/>
          <w:lang w:val="fr-FR"/>
        </w:rPr>
      </w:pPr>
      <w:r w:rsidRPr="00CA6CBB">
        <w:rPr>
          <w:color w:val="auto"/>
          <w:sz w:val="18"/>
          <w:lang w:val="fr-FR"/>
        </w:rPr>
        <w:t>Direction générale des affaires maritimes, de la pêche et de l'aquaculture, 1 place Carpeaux, 92800 Île de France, France</w:t>
      </w:r>
    </w:p>
    <w:p w14:paraId="25715C81" w14:textId="77777777" w:rsidR="003C7DC6" w:rsidRPr="00CA6CBB" w:rsidRDefault="003C7DC6" w:rsidP="003C7DC6">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Tel: +33 660 883 604, E-Mail: frederique.avignon@mer.gouv.fr</w:t>
      </w:r>
    </w:p>
    <w:p w14:paraId="08F696BC" w14:textId="77777777" w:rsidR="003C7DC6" w:rsidRPr="00CA6CBB" w:rsidRDefault="003C7DC6" w:rsidP="003C7DC6">
      <w:pPr>
        <w:pBdr>
          <w:top w:val="none" w:sz="0" w:space="0" w:color="auto"/>
          <w:left w:val="none" w:sz="0" w:space="0" w:color="auto"/>
          <w:bottom w:val="none" w:sz="0" w:space="0" w:color="auto"/>
          <w:right w:val="none" w:sz="0" w:space="0" w:color="auto"/>
          <w:between w:val="none" w:sz="0" w:space="0" w:color="auto"/>
        </w:pBdr>
        <w:jc w:val="left"/>
        <w:rPr>
          <w:b/>
          <w:color w:val="auto"/>
          <w:sz w:val="18"/>
          <w:lang w:val="pt-PT"/>
        </w:rPr>
      </w:pPr>
    </w:p>
    <w:p w14:paraId="770163EA" w14:textId="77777777" w:rsidR="003C7DC6" w:rsidRPr="00901F92" w:rsidRDefault="003C7DC6" w:rsidP="003C7DC6">
      <w:pPr>
        <w:pBdr>
          <w:top w:val="none" w:sz="0" w:space="0" w:color="auto"/>
          <w:left w:val="none" w:sz="0" w:space="0" w:color="auto"/>
          <w:bottom w:val="none" w:sz="0" w:space="0" w:color="auto"/>
          <w:right w:val="none" w:sz="0" w:space="0" w:color="auto"/>
          <w:between w:val="none" w:sz="0" w:space="0" w:color="auto"/>
        </w:pBdr>
        <w:jc w:val="left"/>
        <w:rPr>
          <w:color w:val="auto"/>
          <w:lang w:val="it-IT"/>
        </w:rPr>
      </w:pPr>
      <w:proofErr w:type="spellStart"/>
      <w:r w:rsidRPr="00901F92">
        <w:rPr>
          <w:b/>
          <w:color w:val="auto"/>
          <w:sz w:val="18"/>
          <w:lang w:val="it-IT"/>
        </w:rPr>
        <w:t>Heracleous</w:t>
      </w:r>
      <w:proofErr w:type="spellEnd"/>
      <w:r w:rsidRPr="00901F92">
        <w:rPr>
          <w:color w:val="auto"/>
          <w:sz w:val="18"/>
          <w:lang w:val="it-IT"/>
        </w:rPr>
        <w:t>, Andri</w:t>
      </w:r>
    </w:p>
    <w:p w14:paraId="0B62FC00" w14:textId="77777777" w:rsidR="003C7DC6" w:rsidRPr="00CA6CBB" w:rsidRDefault="003C7DC6" w:rsidP="003C7DC6">
      <w:pPr>
        <w:pBdr>
          <w:top w:val="none" w:sz="0" w:space="0" w:color="auto"/>
          <w:left w:val="none" w:sz="0" w:space="0" w:color="auto"/>
          <w:bottom w:val="none" w:sz="0" w:space="0" w:color="auto"/>
          <w:right w:val="none" w:sz="0" w:space="0" w:color="auto"/>
          <w:between w:val="none" w:sz="0" w:space="0" w:color="auto"/>
        </w:pBdr>
        <w:rPr>
          <w:color w:val="auto"/>
          <w:lang w:val="en-US"/>
        </w:rPr>
      </w:pPr>
      <w:r w:rsidRPr="00CA6CBB">
        <w:rPr>
          <w:color w:val="auto"/>
          <w:sz w:val="18"/>
          <w:lang w:val="en-US"/>
        </w:rPr>
        <w:t>Fisheries Officer, Department of Fisheries and Marine Research, Cyprus</w:t>
      </w:r>
    </w:p>
    <w:p w14:paraId="6F6A465E" w14:textId="77777777" w:rsidR="003C7DC6" w:rsidRPr="00CA6CBB" w:rsidRDefault="003C7DC6" w:rsidP="003C7DC6">
      <w:pPr>
        <w:pBdr>
          <w:top w:val="none" w:sz="0" w:space="0" w:color="auto"/>
          <w:left w:val="none" w:sz="0" w:space="0" w:color="auto"/>
          <w:bottom w:val="none" w:sz="0" w:space="0" w:color="auto"/>
          <w:right w:val="none" w:sz="0" w:space="0" w:color="auto"/>
          <w:between w:val="none" w:sz="0" w:space="0" w:color="auto"/>
        </w:pBdr>
        <w:rPr>
          <w:color w:val="auto"/>
          <w:lang w:val="it-IT"/>
        </w:rPr>
      </w:pPr>
      <w:r w:rsidRPr="00CA6CBB">
        <w:rPr>
          <w:color w:val="auto"/>
          <w:sz w:val="18"/>
          <w:lang w:val="it-IT"/>
        </w:rPr>
        <w:t>E-Mail: aheracleous@dfmr.moa.gov.cy</w:t>
      </w:r>
    </w:p>
    <w:p w14:paraId="5B1A7118" w14:textId="77777777" w:rsidR="003C7DC6" w:rsidRPr="00CA6CBB" w:rsidRDefault="003C7DC6" w:rsidP="003C7DC6">
      <w:pPr>
        <w:pBdr>
          <w:top w:val="none" w:sz="0" w:space="0" w:color="auto"/>
          <w:left w:val="none" w:sz="0" w:space="0" w:color="auto"/>
          <w:bottom w:val="none" w:sz="0" w:space="0" w:color="auto"/>
          <w:right w:val="none" w:sz="0" w:space="0" w:color="auto"/>
          <w:between w:val="none" w:sz="0" w:space="0" w:color="auto"/>
        </w:pBdr>
        <w:jc w:val="left"/>
        <w:rPr>
          <w:color w:val="auto"/>
          <w:lang w:val="it-IT"/>
        </w:rPr>
      </w:pPr>
    </w:p>
    <w:p w14:paraId="207183C2" w14:textId="77777777" w:rsidR="003C7DC6" w:rsidRPr="00901F92" w:rsidRDefault="003C7DC6" w:rsidP="003C7DC6">
      <w:pPr>
        <w:pBdr>
          <w:top w:val="none" w:sz="0" w:space="0" w:color="auto"/>
          <w:left w:val="none" w:sz="0" w:space="0" w:color="auto"/>
          <w:bottom w:val="none" w:sz="0" w:space="0" w:color="auto"/>
          <w:right w:val="none" w:sz="0" w:space="0" w:color="auto"/>
          <w:between w:val="none" w:sz="0" w:space="0" w:color="auto"/>
        </w:pBdr>
        <w:jc w:val="left"/>
        <w:rPr>
          <w:color w:val="auto"/>
          <w:lang w:val="fr-FR"/>
        </w:rPr>
      </w:pPr>
      <w:r w:rsidRPr="00901F92">
        <w:rPr>
          <w:b/>
          <w:color w:val="auto"/>
          <w:sz w:val="18"/>
          <w:lang w:val="fr-FR"/>
        </w:rPr>
        <w:t>Orozco</w:t>
      </w:r>
      <w:r w:rsidRPr="00901F92">
        <w:rPr>
          <w:color w:val="auto"/>
          <w:sz w:val="18"/>
          <w:lang w:val="fr-FR"/>
        </w:rPr>
        <w:t>, Lucie</w:t>
      </w:r>
    </w:p>
    <w:p w14:paraId="3DD85B61" w14:textId="77777777" w:rsidR="003C7DC6" w:rsidRPr="00CA6CBB" w:rsidRDefault="003C7DC6" w:rsidP="003C7DC6">
      <w:pPr>
        <w:pBdr>
          <w:top w:val="none" w:sz="0" w:space="0" w:color="auto"/>
          <w:left w:val="none" w:sz="0" w:space="0" w:color="auto"/>
          <w:bottom w:val="none" w:sz="0" w:space="0" w:color="auto"/>
          <w:right w:val="none" w:sz="0" w:space="0" w:color="auto"/>
          <w:between w:val="none" w:sz="0" w:space="0" w:color="auto"/>
        </w:pBdr>
        <w:rPr>
          <w:color w:val="auto"/>
          <w:lang w:val="fr-FR"/>
        </w:rPr>
      </w:pPr>
      <w:r w:rsidRPr="00CA6CBB">
        <w:rPr>
          <w:color w:val="auto"/>
          <w:sz w:val="18"/>
          <w:lang w:val="fr-FR"/>
        </w:rPr>
        <w:t>Chargée de mission affaires thonières, Direction générale de affaires maritimes, de la pêche et de l'aquaculture (DGAMPA), Bureau des Affaires Européennes et Internationales (BAEI), 92055 La Défense, Île de France, France</w:t>
      </w:r>
    </w:p>
    <w:p w14:paraId="30367108" w14:textId="77777777" w:rsidR="003C7DC6" w:rsidRPr="00CA6CBB" w:rsidRDefault="003C7DC6" w:rsidP="003C7DC6">
      <w:pPr>
        <w:pBdr>
          <w:top w:val="none" w:sz="0" w:space="0" w:color="auto"/>
          <w:left w:val="none" w:sz="0" w:space="0" w:color="auto"/>
          <w:bottom w:val="none" w:sz="0" w:space="0" w:color="auto"/>
          <w:right w:val="none" w:sz="0" w:space="0" w:color="auto"/>
          <w:between w:val="none" w:sz="0" w:space="0" w:color="auto"/>
        </w:pBdr>
        <w:jc w:val="left"/>
        <w:rPr>
          <w:color w:val="auto"/>
          <w:lang w:val="fr-FR"/>
        </w:rPr>
      </w:pPr>
    </w:p>
    <w:p w14:paraId="339AFCC0" w14:textId="77777777" w:rsidR="003C7DC6" w:rsidRPr="00CA6CBB" w:rsidRDefault="003C7DC6" w:rsidP="003C7DC6">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CA6CBB">
        <w:rPr>
          <w:b/>
          <w:color w:val="auto"/>
          <w:sz w:val="18"/>
          <w:lang w:val="en-US"/>
        </w:rPr>
        <w:t>Papadatos</w:t>
      </w:r>
      <w:r w:rsidRPr="00CA6CBB">
        <w:rPr>
          <w:color w:val="auto"/>
          <w:sz w:val="18"/>
          <w:lang w:val="en-US"/>
        </w:rPr>
        <w:t>, Sotirios</w:t>
      </w:r>
    </w:p>
    <w:p w14:paraId="5BDF181B" w14:textId="77777777" w:rsidR="003C7DC6" w:rsidRPr="00CA6CBB" w:rsidRDefault="003C7DC6" w:rsidP="003C7DC6">
      <w:pPr>
        <w:pBdr>
          <w:top w:val="none" w:sz="0" w:space="0" w:color="auto"/>
          <w:left w:val="none" w:sz="0" w:space="0" w:color="auto"/>
          <w:bottom w:val="none" w:sz="0" w:space="0" w:color="auto"/>
          <w:right w:val="none" w:sz="0" w:space="0" w:color="auto"/>
          <w:between w:val="none" w:sz="0" w:space="0" w:color="auto"/>
        </w:pBdr>
        <w:rPr>
          <w:color w:val="auto"/>
          <w:lang w:val="en-US"/>
        </w:rPr>
      </w:pPr>
      <w:r w:rsidRPr="00CA6CBB">
        <w:rPr>
          <w:color w:val="auto"/>
          <w:sz w:val="18"/>
          <w:lang w:val="en-US"/>
        </w:rPr>
        <w:t>Fisheries Officer, Department of Fisheries and Marine Research, Cyprus</w:t>
      </w:r>
    </w:p>
    <w:p w14:paraId="18ACB328" w14:textId="77777777" w:rsidR="003C7DC6" w:rsidRPr="00901F92" w:rsidRDefault="003C7DC6" w:rsidP="003C7DC6">
      <w:pPr>
        <w:pBdr>
          <w:top w:val="none" w:sz="0" w:space="0" w:color="auto"/>
          <w:left w:val="none" w:sz="0" w:space="0" w:color="auto"/>
          <w:bottom w:val="none" w:sz="0" w:space="0" w:color="auto"/>
          <w:right w:val="none" w:sz="0" w:space="0" w:color="auto"/>
          <w:between w:val="none" w:sz="0" w:space="0" w:color="auto"/>
        </w:pBdr>
        <w:rPr>
          <w:color w:val="auto"/>
          <w:lang w:val="it-IT"/>
        </w:rPr>
      </w:pPr>
      <w:r w:rsidRPr="00901F92">
        <w:rPr>
          <w:color w:val="auto"/>
          <w:sz w:val="18"/>
          <w:lang w:val="it-IT"/>
        </w:rPr>
        <w:t>E-Mail: spapadatos@dfmr.moa.gov.cy</w:t>
      </w:r>
    </w:p>
    <w:p w14:paraId="11AD91C2" w14:textId="77777777" w:rsidR="00976CBF" w:rsidRPr="00901F92"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it-IT"/>
        </w:rPr>
      </w:pPr>
    </w:p>
    <w:p w14:paraId="4ABD7B0B" w14:textId="77777777" w:rsidR="00976CBF" w:rsidRPr="00901F92"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rPr>
      </w:pPr>
      <w:r w:rsidRPr="00901F92">
        <w:rPr>
          <w:b/>
          <w:color w:val="auto"/>
        </w:rPr>
        <w:t>VENEZUELA</w:t>
      </w:r>
    </w:p>
    <w:p w14:paraId="62263E58" w14:textId="77777777" w:rsidR="00976CBF" w:rsidRPr="00901F92"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rPr>
      </w:pPr>
      <w:r w:rsidRPr="00901F92">
        <w:rPr>
          <w:b/>
          <w:color w:val="auto"/>
          <w:sz w:val="18"/>
        </w:rPr>
        <w:t>Galicia Tremont</w:t>
      </w:r>
      <w:r w:rsidRPr="00901F92">
        <w:rPr>
          <w:color w:val="auto"/>
          <w:sz w:val="18"/>
        </w:rPr>
        <w:t>, Jeiris Nathaly</w:t>
      </w:r>
    </w:p>
    <w:p w14:paraId="70329EA4"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pt-PT"/>
        </w:rPr>
      </w:pPr>
      <w:r w:rsidRPr="00901F92">
        <w:rPr>
          <w:color w:val="auto"/>
          <w:sz w:val="18"/>
        </w:rPr>
        <w:t xml:space="preserve">Directora General de Pesca Industrial, Viceministerio de Producción Primaria Pesquera y Acuícola, Ministerio del Poder Popular de Pesca y Acuicultura, Av. </w:t>
      </w:r>
      <w:r w:rsidRPr="00CA6CBB">
        <w:rPr>
          <w:color w:val="auto"/>
          <w:sz w:val="18"/>
          <w:lang w:val="pt-PT"/>
        </w:rPr>
        <w:t>Lecuna, Torre Este, Parque central, piso 17</w:t>
      </w:r>
    </w:p>
    <w:p w14:paraId="60FCF043"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Tel: +58 0414 970 3064, E-Mail: ing.jeirisgalicia@gmail.com; dgpi.minpesca@gmail.com; jgalicia.minpesca@gmail.com</w:t>
      </w:r>
    </w:p>
    <w:p w14:paraId="629A2FC0"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5026CACA"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rPr>
      </w:pPr>
      <w:r w:rsidRPr="00CA6CBB">
        <w:rPr>
          <w:b/>
          <w:color w:val="auto"/>
          <w:sz w:val="18"/>
        </w:rPr>
        <w:t>Vivas Jiménez</w:t>
      </w:r>
      <w:r w:rsidRPr="00CA6CBB">
        <w:rPr>
          <w:color w:val="auto"/>
          <w:sz w:val="18"/>
        </w:rPr>
        <w:t>, María Daniela</w:t>
      </w:r>
    </w:p>
    <w:p w14:paraId="7B3E92C0"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rPr>
      </w:pPr>
      <w:r w:rsidRPr="00CA6CBB">
        <w:rPr>
          <w:color w:val="auto"/>
          <w:sz w:val="18"/>
        </w:rPr>
        <w:t>Analista de Asuntos Multilaterales de la Oficina de Integración y Asuntos Internacionales, Ministerio del Poder Popular de Pesca y Acuicultura, Parque Central, piso 17, 1040 Caracas</w:t>
      </w:r>
    </w:p>
    <w:p w14:paraId="2A90DB1E"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Tel: 04242808103, E-Mail: minpescaven@gmail.com</w:t>
      </w:r>
    </w:p>
    <w:p w14:paraId="19C56E17"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461D2DF7" w14:textId="4510682D" w:rsidR="00976CBF" w:rsidRPr="00CA6CBB" w:rsidRDefault="0095123F" w:rsidP="00976CBF">
      <w:pPr>
        <w:pBdr>
          <w:top w:val="none" w:sz="0" w:space="0" w:color="auto"/>
          <w:left w:val="none" w:sz="0" w:space="0" w:color="auto"/>
          <w:bottom w:val="none" w:sz="0" w:space="0" w:color="auto"/>
          <w:right w:val="none" w:sz="0" w:space="0" w:color="auto"/>
          <w:between w:val="none" w:sz="0" w:space="0" w:color="auto"/>
        </w:pBdr>
        <w:rPr>
          <w:color w:val="auto"/>
          <w:lang w:val="pt-BR"/>
        </w:rPr>
      </w:pPr>
      <w:r w:rsidRPr="00CA6CBB">
        <w:rPr>
          <w:b/>
          <w:i/>
          <w:color w:val="auto"/>
          <w:lang w:val="pt-BR"/>
        </w:rPr>
        <w:t>OBSERVADORES DE PARTES, ENTIDADES O ENTIDADES PESQUERAS NO CONTRATANTES COLABORADORAS</w:t>
      </w:r>
    </w:p>
    <w:p w14:paraId="68792CC0"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rPr>
      </w:pPr>
      <w:r w:rsidRPr="00CA6CBB">
        <w:rPr>
          <w:b/>
          <w:color w:val="auto"/>
        </w:rPr>
        <w:t>BOLIVIA</w:t>
      </w:r>
    </w:p>
    <w:p w14:paraId="0BB6C1A8"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rPr>
      </w:pPr>
      <w:r w:rsidRPr="00CA6CBB">
        <w:rPr>
          <w:b/>
          <w:color w:val="auto"/>
          <w:sz w:val="18"/>
        </w:rPr>
        <w:t>Cortez Franco</w:t>
      </w:r>
      <w:r w:rsidRPr="00CA6CBB">
        <w:rPr>
          <w:color w:val="auto"/>
          <w:sz w:val="18"/>
        </w:rPr>
        <w:t>, Limbert Ismael</w:t>
      </w:r>
    </w:p>
    <w:p w14:paraId="7D2FFFD4"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rPr>
      </w:pPr>
      <w:r w:rsidRPr="00CA6CBB">
        <w:rPr>
          <w:color w:val="auto"/>
          <w:sz w:val="18"/>
        </w:rPr>
        <w:t>Jefe de Unidad, Unidad Boliviana de Pesca Marítima (UBPM), calle 20 de Octubre 2502, esq. Pedro Salazar, La Paz</w:t>
      </w:r>
    </w:p>
    <w:p w14:paraId="357651E4"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rPr>
      </w:pPr>
      <w:r w:rsidRPr="00CA6CBB">
        <w:rPr>
          <w:color w:val="auto"/>
          <w:sz w:val="18"/>
        </w:rPr>
        <w:t>Tel: +591 6 700 9787, Fax: +591 2 291 4069, E-Mail: limbert.cortez@protonmail.ch; limbert.cortez@mindef.gob.bo; licor779704@gmail.com</w:t>
      </w:r>
    </w:p>
    <w:p w14:paraId="173064A2"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rPr>
      </w:pPr>
    </w:p>
    <w:p w14:paraId="3691554C"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rPr>
      </w:pPr>
    </w:p>
    <w:p w14:paraId="0082122A" w14:textId="0EE0F82C" w:rsidR="00976CBF" w:rsidRPr="00901F92" w:rsidRDefault="0095123F" w:rsidP="00976CBF">
      <w:pPr>
        <w:pBdr>
          <w:top w:val="none" w:sz="0" w:space="0" w:color="auto"/>
          <w:left w:val="none" w:sz="0" w:space="0" w:color="auto"/>
          <w:bottom w:val="none" w:sz="0" w:space="0" w:color="auto"/>
          <w:right w:val="none" w:sz="0" w:space="0" w:color="auto"/>
          <w:between w:val="none" w:sz="0" w:space="0" w:color="auto"/>
        </w:pBdr>
        <w:rPr>
          <w:color w:val="auto"/>
          <w:lang w:val="en-US"/>
        </w:rPr>
      </w:pPr>
      <w:r w:rsidRPr="00901F92">
        <w:rPr>
          <w:b/>
          <w:i/>
          <w:color w:val="auto"/>
          <w:lang w:val="en-US"/>
        </w:rPr>
        <w:t>OBSERVADORES DE ORGANIZACIONES INTERGUBERNAMENTALES</w:t>
      </w:r>
    </w:p>
    <w:p w14:paraId="18FF88A9" w14:textId="77777777" w:rsidR="00976CBF" w:rsidRPr="00901F92"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en-US"/>
        </w:rPr>
      </w:pPr>
    </w:p>
    <w:p w14:paraId="1E2A861A"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CA6CBB">
        <w:rPr>
          <w:b/>
          <w:color w:val="auto"/>
          <w:lang w:val="en-US"/>
        </w:rPr>
        <w:t>MINISTERIAL CONFERENCE ON FISHERIES COOPERATION AMONG AFRICAN STATES BORDERING THE ATLANTIC - ATLAFCO / COMHAFAT</w:t>
      </w:r>
    </w:p>
    <w:p w14:paraId="60675618"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fr-FR"/>
        </w:rPr>
      </w:pPr>
      <w:r w:rsidRPr="00CA6CBB">
        <w:rPr>
          <w:b/>
          <w:color w:val="auto"/>
          <w:sz w:val="18"/>
          <w:lang w:val="fr-FR"/>
        </w:rPr>
        <w:t>Regragui</w:t>
      </w:r>
      <w:r w:rsidRPr="00CA6CBB">
        <w:rPr>
          <w:color w:val="auto"/>
          <w:sz w:val="18"/>
          <w:lang w:val="fr-FR"/>
        </w:rPr>
        <w:t>, Rachid</w:t>
      </w:r>
    </w:p>
    <w:p w14:paraId="775EB337"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fr-FR"/>
        </w:rPr>
      </w:pPr>
      <w:r w:rsidRPr="00CA6CBB">
        <w:rPr>
          <w:color w:val="auto"/>
          <w:sz w:val="18"/>
          <w:lang w:val="fr-FR"/>
        </w:rPr>
        <w:t>Chef de projet, Conférence Ministérielle sur la Coopération Halieutique entre les États Africains Riverains de l'Océan Atlantique/COMHAFAT, 2, rue Beni Darkoul, Souissi, 10220 Rabat, Morocco</w:t>
      </w:r>
    </w:p>
    <w:p w14:paraId="070E3B12"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Tel: +212 674 906 822, E-Mail: regragui.comhafat@gmail.com</w:t>
      </w:r>
    </w:p>
    <w:p w14:paraId="47FCDF34"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4B0BBA89"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1C000226" w14:textId="4C6895D9" w:rsidR="00976CBF" w:rsidRPr="00901F92" w:rsidRDefault="00D659FA" w:rsidP="00976CBF">
      <w:pPr>
        <w:pBdr>
          <w:top w:val="none" w:sz="0" w:space="0" w:color="auto"/>
          <w:left w:val="none" w:sz="0" w:space="0" w:color="auto"/>
          <w:bottom w:val="none" w:sz="0" w:space="0" w:color="auto"/>
          <w:right w:val="none" w:sz="0" w:space="0" w:color="auto"/>
          <w:between w:val="none" w:sz="0" w:space="0" w:color="auto"/>
        </w:pBdr>
        <w:rPr>
          <w:color w:val="auto"/>
        </w:rPr>
      </w:pPr>
      <w:r w:rsidRPr="00901F92">
        <w:rPr>
          <w:b/>
          <w:i/>
          <w:color w:val="auto"/>
        </w:rPr>
        <w:t>OBSERVADORES DE ORGANIZACIONES NO GUBERNAMENTALES</w:t>
      </w:r>
    </w:p>
    <w:p w14:paraId="475F2041" w14:textId="77777777" w:rsidR="00976CBF" w:rsidRPr="00901F92" w:rsidRDefault="00976CBF" w:rsidP="00976CBF">
      <w:pPr>
        <w:pBdr>
          <w:top w:val="none" w:sz="0" w:space="0" w:color="auto"/>
          <w:left w:val="none" w:sz="0" w:space="0" w:color="auto"/>
          <w:bottom w:val="none" w:sz="0" w:space="0" w:color="auto"/>
          <w:right w:val="none" w:sz="0" w:space="0" w:color="auto"/>
          <w:between w:val="none" w:sz="0" w:space="0" w:color="auto"/>
        </w:pBdr>
        <w:rPr>
          <w:color w:val="auto"/>
        </w:rPr>
      </w:pPr>
    </w:p>
    <w:p w14:paraId="27653D26"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CA6CBB">
        <w:rPr>
          <w:b/>
          <w:color w:val="auto"/>
          <w:lang w:val="en-US"/>
        </w:rPr>
        <w:t>BIRDLIFE INTERNATIONAL - BI</w:t>
      </w:r>
    </w:p>
    <w:p w14:paraId="71E7A4FB"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CA6CBB">
        <w:rPr>
          <w:b/>
          <w:color w:val="auto"/>
          <w:sz w:val="18"/>
          <w:lang w:val="en-US"/>
        </w:rPr>
        <w:t>Wade</w:t>
      </w:r>
      <w:r w:rsidRPr="00CA6CBB">
        <w:rPr>
          <w:color w:val="auto"/>
          <w:sz w:val="18"/>
          <w:lang w:val="en-US"/>
        </w:rPr>
        <w:t>, Helen</w:t>
      </w:r>
    </w:p>
    <w:p w14:paraId="5EB12AA4"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en-US"/>
        </w:rPr>
      </w:pPr>
      <w:r w:rsidRPr="00CA6CBB">
        <w:rPr>
          <w:color w:val="auto"/>
          <w:sz w:val="18"/>
          <w:lang w:val="en-US"/>
        </w:rPr>
        <w:t>Birdlife International - RSPB, The Lodge, Sandy, Bedfordshire, SG19 2DL, United Kingdom</w:t>
      </w:r>
    </w:p>
    <w:p w14:paraId="4DBDC05A"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Tel: +44 7896 758 995, E-Mail: Helen.Wade@rspb.org.uk</w:t>
      </w:r>
    </w:p>
    <w:p w14:paraId="03891052"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3C43C22D" w14:textId="77777777" w:rsidR="00976CBF" w:rsidRPr="00901F92"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fr-FR"/>
        </w:rPr>
      </w:pPr>
      <w:r w:rsidRPr="00901F92">
        <w:rPr>
          <w:b/>
          <w:color w:val="auto"/>
          <w:lang w:val="fr-FR"/>
        </w:rPr>
        <w:t>ECOLOGY ACTION CENTRE - EAC</w:t>
      </w:r>
    </w:p>
    <w:p w14:paraId="0E7D0E85" w14:textId="77777777" w:rsidR="00976CBF" w:rsidRPr="00901F92"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fr-FR"/>
        </w:rPr>
      </w:pPr>
      <w:r w:rsidRPr="00901F92">
        <w:rPr>
          <w:b/>
          <w:color w:val="auto"/>
          <w:sz w:val="18"/>
          <w:lang w:val="fr-FR"/>
        </w:rPr>
        <w:t>Arnold</w:t>
      </w:r>
      <w:r w:rsidRPr="00901F92">
        <w:rPr>
          <w:color w:val="auto"/>
          <w:sz w:val="18"/>
          <w:lang w:val="fr-FR"/>
        </w:rPr>
        <w:t>, Shannon</w:t>
      </w:r>
    </w:p>
    <w:p w14:paraId="6EA2B372" w14:textId="77777777" w:rsidR="00976CBF" w:rsidRPr="00901F92"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fr-FR"/>
        </w:rPr>
      </w:pPr>
      <w:r w:rsidRPr="00901F92">
        <w:rPr>
          <w:color w:val="auto"/>
          <w:sz w:val="18"/>
          <w:lang w:val="fr-FR"/>
        </w:rPr>
        <w:t xml:space="preserve">Marine </w:t>
      </w:r>
      <w:proofErr w:type="spellStart"/>
      <w:r w:rsidRPr="00901F92">
        <w:rPr>
          <w:color w:val="auto"/>
          <w:sz w:val="18"/>
          <w:lang w:val="fr-FR"/>
        </w:rPr>
        <w:t>Coordinator</w:t>
      </w:r>
      <w:proofErr w:type="spellEnd"/>
      <w:r w:rsidRPr="00901F92">
        <w:rPr>
          <w:color w:val="auto"/>
          <w:sz w:val="18"/>
          <w:lang w:val="fr-FR"/>
        </w:rPr>
        <w:t xml:space="preserve">, </w:t>
      </w:r>
      <w:proofErr w:type="spellStart"/>
      <w:r w:rsidRPr="00901F92">
        <w:rPr>
          <w:color w:val="auto"/>
          <w:sz w:val="18"/>
          <w:lang w:val="fr-FR"/>
        </w:rPr>
        <w:t>Ecology</w:t>
      </w:r>
      <w:proofErr w:type="spellEnd"/>
      <w:r w:rsidRPr="00901F92">
        <w:rPr>
          <w:color w:val="auto"/>
          <w:sz w:val="18"/>
          <w:lang w:val="fr-FR"/>
        </w:rPr>
        <w:t xml:space="preserve"> Action Centre, 2705 Fern Lane, Halifax, Nova Scotia B3K 4L3, Canada</w:t>
      </w:r>
    </w:p>
    <w:p w14:paraId="72CAFFEB" w14:textId="77777777" w:rsidR="00976CBF" w:rsidRPr="00901F92"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fr-FR"/>
        </w:rPr>
      </w:pPr>
      <w:proofErr w:type="gramStart"/>
      <w:r w:rsidRPr="00901F92">
        <w:rPr>
          <w:color w:val="auto"/>
          <w:sz w:val="18"/>
          <w:lang w:val="fr-FR"/>
        </w:rPr>
        <w:t>Tel:</w:t>
      </w:r>
      <w:proofErr w:type="gramEnd"/>
      <w:r w:rsidRPr="00901F92">
        <w:rPr>
          <w:color w:val="auto"/>
          <w:sz w:val="18"/>
          <w:lang w:val="fr-FR"/>
        </w:rPr>
        <w:t xml:space="preserve"> +1 902 329 4668, </w:t>
      </w:r>
      <w:proofErr w:type="gramStart"/>
      <w:r w:rsidRPr="00901F92">
        <w:rPr>
          <w:color w:val="auto"/>
          <w:sz w:val="18"/>
          <w:lang w:val="fr-FR"/>
        </w:rPr>
        <w:t>E-Mail:</w:t>
      </w:r>
      <w:proofErr w:type="gramEnd"/>
      <w:r w:rsidRPr="00901F92">
        <w:rPr>
          <w:color w:val="auto"/>
          <w:sz w:val="18"/>
          <w:lang w:val="fr-FR"/>
        </w:rPr>
        <w:t xml:space="preserve"> sarnold@ecologyaction.ca</w:t>
      </w:r>
    </w:p>
    <w:p w14:paraId="70C8BC99" w14:textId="77777777" w:rsidR="00976CBF" w:rsidRPr="00901F92"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fr-FR"/>
        </w:rPr>
      </w:pPr>
    </w:p>
    <w:p w14:paraId="5FF83EE1"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en-US"/>
        </w:rPr>
      </w:pPr>
      <w:proofErr w:type="spellStart"/>
      <w:r w:rsidRPr="00CA6CBB">
        <w:rPr>
          <w:b/>
          <w:color w:val="auto"/>
          <w:sz w:val="18"/>
          <w:lang w:val="en-US"/>
        </w:rPr>
        <w:t>Isnor</w:t>
      </w:r>
      <w:proofErr w:type="spellEnd"/>
      <w:r w:rsidRPr="00CA6CBB">
        <w:rPr>
          <w:color w:val="auto"/>
          <w:sz w:val="18"/>
          <w:lang w:val="en-US"/>
        </w:rPr>
        <w:t>, Holly</w:t>
      </w:r>
    </w:p>
    <w:p w14:paraId="51911CF9"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en-US"/>
        </w:rPr>
      </w:pPr>
      <w:r w:rsidRPr="00CA6CBB">
        <w:rPr>
          <w:color w:val="auto"/>
          <w:sz w:val="18"/>
          <w:lang w:val="en-US"/>
        </w:rPr>
        <w:t>Ecology Action Centre - EAC, 2705 Fern Lane, Halifax Nova Scotia B3K 4L3, Canada</w:t>
      </w:r>
    </w:p>
    <w:p w14:paraId="47115120"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Tel: +1 902 580 0600, E-Mail: hollyisnor@ecologyaction.ca</w:t>
      </w:r>
    </w:p>
    <w:p w14:paraId="7E621C34"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14E0E018"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CA6CBB">
        <w:rPr>
          <w:b/>
          <w:color w:val="auto"/>
          <w:lang w:val="en-US"/>
        </w:rPr>
        <w:t>GLOBAL FISHING WATCH</w:t>
      </w:r>
    </w:p>
    <w:p w14:paraId="1201AD19"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CA6CBB">
        <w:rPr>
          <w:b/>
          <w:color w:val="auto"/>
          <w:sz w:val="18"/>
          <w:lang w:val="en-US"/>
        </w:rPr>
        <w:t>Bartra</w:t>
      </w:r>
      <w:r w:rsidRPr="00CA6CBB">
        <w:rPr>
          <w:color w:val="auto"/>
          <w:sz w:val="18"/>
          <w:lang w:val="en-US"/>
        </w:rPr>
        <w:t>, Ariadna</w:t>
      </w:r>
    </w:p>
    <w:p w14:paraId="655A4A48"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en-US"/>
        </w:rPr>
      </w:pPr>
      <w:r w:rsidRPr="00CA6CBB">
        <w:rPr>
          <w:color w:val="auto"/>
          <w:sz w:val="18"/>
          <w:lang w:val="en-US"/>
        </w:rPr>
        <w:t>Global Fishing Watch, 2051BB North Holland, Netherlands</w:t>
      </w:r>
    </w:p>
    <w:p w14:paraId="53E0A0D2"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Tel: +31 643 281 665, E-Mail: ariadna.bartra-baron@globalfishingwatch.org</w:t>
      </w:r>
    </w:p>
    <w:p w14:paraId="6B866B02"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1EC419F3"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pt-PT"/>
        </w:rPr>
      </w:pPr>
      <w:r w:rsidRPr="00CA6CBB">
        <w:rPr>
          <w:b/>
          <w:color w:val="auto"/>
          <w:sz w:val="18"/>
          <w:lang w:val="pt-PT"/>
        </w:rPr>
        <w:t>Blanco</w:t>
      </w:r>
      <w:r w:rsidRPr="00CA6CBB">
        <w:rPr>
          <w:color w:val="auto"/>
          <w:sz w:val="18"/>
          <w:lang w:val="pt-PT"/>
        </w:rPr>
        <w:t>, Mariana</w:t>
      </w:r>
    </w:p>
    <w:p w14:paraId="64243A3E"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Globala Fishing Watch, San José, Costa Rica</w:t>
      </w:r>
    </w:p>
    <w:p w14:paraId="5CDB5ADA"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Tel: +506 886 18610, E-Mail: mariana.blanco@globalfishingwatch.org</w:t>
      </w:r>
    </w:p>
    <w:p w14:paraId="66394079"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3D6B55A6"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pt-PT"/>
        </w:rPr>
      </w:pPr>
      <w:r w:rsidRPr="00CA6CBB">
        <w:rPr>
          <w:b/>
          <w:color w:val="auto"/>
          <w:sz w:val="18"/>
          <w:lang w:val="pt-PT"/>
        </w:rPr>
        <w:t>Kenton</w:t>
      </w:r>
      <w:r w:rsidRPr="00CA6CBB">
        <w:rPr>
          <w:color w:val="auto"/>
          <w:sz w:val="18"/>
          <w:lang w:val="pt-PT"/>
        </w:rPr>
        <w:t>, Maya</w:t>
      </w:r>
    </w:p>
    <w:p w14:paraId="59C1862A"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Product Manager, Global Fishing Watch, 3 Carrer de Tagamanent 2,2, 08012 Barcelona, Spain</w:t>
      </w:r>
    </w:p>
    <w:p w14:paraId="7044D052"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Tel: +34 637 430 277, E-Mail: maya.kenton@globalfishingwatch.org</w:t>
      </w:r>
    </w:p>
    <w:p w14:paraId="1AF8DC8B"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5831729F"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7C072B74" w14:textId="02B3A857" w:rsidR="00976CBF" w:rsidRPr="00CA6CBB" w:rsidRDefault="00D659FA" w:rsidP="00976CBF">
      <w:pPr>
        <w:pBdr>
          <w:top w:val="none" w:sz="0" w:space="0" w:color="auto"/>
          <w:left w:val="none" w:sz="0" w:space="0" w:color="auto"/>
          <w:bottom w:val="none" w:sz="0" w:space="0" w:color="auto"/>
          <w:right w:val="none" w:sz="0" w:space="0" w:color="auto"/>
          <w:between w:val="none" w:sz="0" w:space="0" w:color="auto"/>
        </w:pBdr>
        <w:rPr>
          <w:b/>
          <w:i/>
          <w:color w:val="auto"/>
        </w:rPr>
      </w:pPr>
      <w:r w:rsidRPr="00CA6CBB">
        <w:rPr>
          <w:b/>
          <w:i/>
          <w:color w:val="auto"/>
        </w:rPr>
        <w:t>OTROS PARTICIPANTES</w:t>
      </w:r>
    </w:p>
    <w:p w14:paraId="3A1AFE59"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b/>
          <w:i/>
          <w:color w:val="auto"/>
        </w:rPr>
      </w:pPr>
    </w:p>
    <w:p w14:paraId="389C63E4" w14:textId="53CC5F24" w:rsidR="00976CBF" w:rsidRPr="00CA6CBB" w:rsidRDefault="00D659FA" w:rsidP="00976CBF">
      <w:pPr>
        <w:pBdr>
          <w:top w:val="none" w:sz="0" w:space="0" w:color="auto"/>
          <w:left w:val="none" w:sz="0" w:space="0" w:color="auto"/>
          <w:bottom w:val="none" w:sz="0" w:space="0" w:color="auto"/>
          <w:right w:val="none" w:sz="0" w:space="0" w:color="auto"/>
          <w:between w:val="none" w:sz="0" w:space="0" w:color="auto"/>
        </w:pBdr>
        <w:rPr>
          <w:iCs/>
          <w:color w:val="auto"/>
        </w:rPr>
      </w:pPr>
      <w:r w:rsidRPr="00CA6CBB">
        <w:rPr>
          <w:b/>
          <w:iCs/>
          <w:color w:val="auto"/>
        </w:rPr>
        <w:t>EXPERTO EXTERNO</w:t>
      </w:r>
    </w:p>
    <w:p w14:paraId="62B0E736"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rPr>
      </w:pPr>
      <w:r w:rsidRPr="00CA6CBB">
        <w:rPr>
          <w:b/>
          <w:color w:val="auto"/>
          <w:sz w:val="18"/>
        </w:rPr>
        <w:t>Palma</w:t>
      </w:r>
      <w:r w:rsidRPr="00CA6CBB">
        <w:rPr>
          <w:color w:val="auto"/>
          <w:sz w:val="18"/>
        </w:rPr>
        <w:t>, Carlos</w:t>
      </w:r>
    </w:p>
    <w:p w14:paraId="37A2E41A"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rPr>
      </w:pPr>
      <w:r w:rsidRPr="00CA6CBB">
        <w:rPr>
          <w:color w:val="auto"/>
          <w:sz w:val="18"/>
        </w:rPr>
        <w:t xml:space="preserve">ICCAT </w:t>
      </w:r>
      <w:proofErr w:type="spellStart"/>
      <w:r w:rsidRPr="00CA6CBB">
        <w:rPr>
          <w:color w:val="auto"/>
          <w:sz w:val="18"/>
        </w:rPr>
        <w:t>Secretariat</w:t>
      </w:r>
      <w:proofErr w:type="spellEnd"/>
      <w:r w:rsidRPr="00CA6CBB">
        <w:rPr>
          <w:color w:val="auto"/>
          <w:sz w:val="18"/>
        </w:rPr>
        <w:t>, C/ Corazón de María, 8 - 6 Planta, 28002 Madrid, Spain</w:t>
      </w:r>
    </w:p>
    <w:p w14:paraId="7F1578FB"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rPr>
      </w:pPr>
      <w:r w:rsidRPr="00CA6CBB">
        <w:rPr>
          <w:color w:val="auto"/>
          <w:sz w:val="18"/>
        </w:rPr>
        <w:t>Tel: + 34 91 416 5600, Fax: +34 91 415 2612, E-Mail: carlos.palma@iccat.int</w:t>
      </w:r>
    </w:p>
    <w:p w14:paraId="75CF3695"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eastAsia="en-GB"/>
        </w:rPr>
      </w:pPr>
    </w:p>
    <w:p w14:paraId="19C5BC8D" w14:textId="7F453F1D" w:rsidR="00EA16E8" w:rsidRPr="00CA6CBB" w:rsidRDefault="00EA16E8" w:rsidP="00976CBF">
      <w:pPr>
        <w:pBdr>
          <w:top w:val="none" w:sz="0" w:space="0" w:color="auto"/>
          <w:left w:val="none" w:sz="0" w:space="0" w:color="auto"/>
          <w:bottom w:val="none" w:sz="0" w:space="0" w:color="auto"/>
          <w:right w:val="none" w:sz="0" w:space="0" w:color="auto"/>
          <w:between w:val="none" w:sz="0" w:space="0" w:color="auto"/>
        </w:pBdr>
        <w:jc w:val="left"/>
        <w:rPr>
          <w:b/>
          <w:bCs/>
          <w:color w:val="auto"/>
        </w:rPr>
      </w:pPr>
      <w:r w:rsidRPr="00CA6CBB">
        <w:rPr>
          <w:b/>
          <w:bCs/>
          <w:color w:val="auto"/>
        </w:rPr>
        <w:t xml:space="preserve">PRESIDENTE DEL GRUPO DE TRABAJO </w:t>
      </w:r>
      <w:r w:rsidR="00453FF5" w:rsidRPr="00CA6CBB">
        <w:rPr>
          <w:b/>
          <w:bCs/>
          <w:color w:val="auto"/>
        </w:rPr>
        <w:t>SOBRE TECNOLOGÍA DE COMUNICACIÓN EN LÍNEA</w:t>
      </w:r>
    </w:p>
    <w:p w14:paraId="78360CCC"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CA6CBB">
        <w:rPr>
          <w:b/>
          <w:color w:val="auto"/>
          <w:sz w:val="18"/>
          <w:lang w:val="en-US"/>
        </w:rPr>
        <w:t>Keller</w:t>
      </w:r>
      <w:r w:rsidRPr="00CA6CBB">
        <w:rPr>
          <w:color w:val="auto"/>
          <w:sz w:val="18"/>
          <w:lang w:val="en-US"/>
        </w:rPr>
        <w:t>, Bryan</w:t>
      </w:r>
    </w:p>
    <w:p w14:paraId="4C95EB8A"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en-US"/>
        </w:rPr>
      </w:pPr>
      <w:r w:rsidRPr="00CA6CBB">
        <w:rPr>
          <w:color w:val="auto"/>
          <w:sz w:val="18"/>
          <w:lang w:val="en-US"/>
        </w:rPr>
        <w:t>Foreign Affairs Specialist, Office of International Affairs, Trade and Commerce (F/IATC), NOAA, National Marine Fisheries Service, 1315 East-West Highway, Silver Spring, Maryland 20910, United States</w:t>
      </w:r>
    </w:p>
    <w:p w14:paraId="2E79E9AC"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b/>
          <w:i/>
          <w:color w:val="auto"/>
          <w:lang w:val="pt-PT"/>
        </w:rPr>
      </w:pPr>
      <w:r w:rsidRPr="00CA6CBB">
        <w:rPr>
          <w:color w:val="auto"/>
          <w:sz w:val="18"/>
          <w:lang w:val="pt-PT"/>
        </w:rPr>
        <w:t>Tel: +1 202 897 9208; +1 301 427 7725, E-Mail: bryan.keller@noaa.gov</w:t>
      </w:r>
    </w:p>
    <w:p w14:paraId="16062B7A"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rFonts w:cs="Arial"/>
          <w:b/>
          <w:bCs/>
          <w:color w:val="auto"/>
          <w:lang w:val="pt-PT"/>
        </w:rPr>
      </w:pPr>
    </w:p>
    <w:p w14:paraId="05BE9F72"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rFonts w:cs="Arial"/>
          <w:b/>
          <w:bCs/>
          <w:color w:val="auto"/>
          <w:lang w:val="pt-PT"/>
        </w:rPr>
      </w:pPr>
    </w:p>
    <w:p w14:paraId="7CF78DC2" w14:textId="3BFF28EA" w:rsidR="00976CBF" w:rsidRPr="00CA6CBB" w:rsidRDefault="00453FF5" w:rsidP="00976CBF">
      <w:pPr>
        <w:pBdr>
          <w:top w:val="none" w:sz="0" w:space="0" w:color="auto"/>
          <w:left w:val="none" w:sz="0" w:space="0" w:color="auto"/>
          <w:bottom w:val="none" w:sz="0" w:space="0" w:color="auto"/>
          <w:right w:val="none" w:sz="0" w:space="0" w:color="auto"/>
          <w:between w:val="none" w:sz="0" w:space="0" w:color="auto"/>
        </w:pBdr>
        <w:jc w:val="left"/>
        <w:rPr>
          <w:b/>
          <w:bCs/>
          <w:color w:val="auto"/>
          <w:lang w:val="pt-BR"/>
        </w:rPr>
      </w:pPr>
      <w:r w:rsidRPr="00CA6CBB">
        <w:rPr>
          <w:rFonts w:cs="Arial"/>
          <w:b/>
          <w:bCs/>
          <w:color w:val="auto"/>
          <w:lang w:val="pt-BR"/>
        </w:rPr>
        <w:t>PRESIDENTE DEL SUBCOMITÉ DE ESTADÍSTICAS</w:t>
      </w:r>
    </w:p>
    <w:p w14:paraId="40065844"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pt-BR"/>
        </w:rPr>
      </w:pPr>
      <w:r w:rsidRPr="00CA6CBB">
        <w:rPr>
          <w:b/>
          <w:color w:val="auto"/>
          <w:sz w:val="18"/>
          <w:lang w:val="pt-BR"/>
        </w:rPr>
        <w:t>Lino</w:t>
      </w:r>
      <w:r w:rsidRPr="00CA6CBB">
        <w:rPr>
          <w:color w:val="auto"/>
          <w:sz w:val="18"/>
          <w:lang w:val="pt-BR"/>
        </w:rPr>
        <w:t>, Pedro Gil</w:t>
      </w:r>
    </w:p>
    <w:p w14:paraId="4E750E3B"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Research Assistant, Instituto Português do Mar e da Atmosfera - I.P./IPMA, Avenida 5 Outubro s/n, 8700-305 Olhão, Faro, Portugal</w:t>
      </w:r>
    </w:p>
    <w:p w14:paraId="7BAFCBFD"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pt-PT"/>
        </w:rPr>
      </w:pPr>
      <w:r w:rsidRPr="00CA6CBB">
        <w:rPr>
          <w:color w:val="auto"/>
          <w:sz w:val="18"/>
          <w:lang w:val="pt-PT"/>
        </w:rPr>
        <w:t>Tel: +351 289 700508, E-Mail: plino@ipma.pt</w:t>
      </w:r>
    </w:p>
    <w:p w14:paraId="2231B1F5"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b/>
          <w:i/>
          <w:color w:val="auto"/>
          <w:lang w:val="pt-PT"/>
        </w:rPr>
      </w:pPr>
    </w:p>
    <w:p w14:paraId="4F2E57A4" w14:textId="77777777" w:rsidR="00372EFA" w:rsidRPr="00CA6CBB" w:rsidRDefault="00372EFA">
      <w:pPr>
        <w:pBdr>
          <w:top w:val="none" w:sz="0" w:space="0" w:color="auto"/>
          <w:left w:val="none" w:sz="0" w:space="0" w:color="auto"/>
          <w:bottom w:val="none" w:sz="0" w:space="0" w:color="auto"/>
          <w:right w:val="none" w:sz="0" w:space="0" w:color="auto"/>
          <w:between w:val="none" w:sz="0" w:space="0" w:color="auto"/>
        </w:pBdr>
        <w:spacing w:after="160" w:line="257" w:lineRule="auto"/>
        <w:jc w:val="left"/>
        <w:rPr>
          <w:b/>
          <w:iCs/>
          <w:color w:val="auto"/>
          <w:lang w:val="pt-PT"/>
        </w:rPr>
      </w:pPr>
      <w:r w:rsidRPr="00CA6CBB">
        <w:rPr>
          <w:b/>
          <w:iCs/>
          <w:color w:val="auto"/>
          <w:lang w:val="pt-PT"/>
        </w:rPr>
        <w:br w:type="page"/>
      </w:r>
    </w:p>
    <w:p w14:paraId="6784C005" w14:textId="665E6AA6" w:rsidR="00976CBF" w:rsidRPr="00CA6CBB" w:rsidRDefault="00453FF5" w:rsidP="00976CBF">
      <w:pPr>
        <w:pBdr>
          <w:top w:val="none" w:sz="0" w:space="0" w:color="auto"/>
          <w:left w:val="none" w:sz="0" w:space="0" w:color="auto"/>
          <w:bottom w:val="none" w:sz="0" w:space="0" w:color="auto"/>
          <w:right w:val="none" w:sz="0" w:space="0" w:color="auto"/>
          <w:between w:val="none" w:sz="0" w:space="0" w:color="auto"/>
        </w:pBdr>
        <w:rPr>
          <w:b/>
          <w:iCs/>
          <w:color w:val="auto"/>
        </w:rPr>
      </w:pPr>
      <w:r w:rsidRPr="00CA6CBB">
        <w:rPr>
          <w:b/>
          <w:iCs/>
          <w:color w:val="auto"/>
        </w:rPr>
        <w:lastRenderedPageBreak/>
        <w:t>PRESIDENTE DEL COMITÉ DE CUMPLIMIENTO</w:t>
      </w:r>
    </w:p>
    <w:p w14:paraId="6AC76C9C"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rPr>
      </w:pPr>
      <w:r w:rsidRPr="00CA6CBB">
        <w:rPr>
          <w:b/>
          <w:color w:val="auto"/>
          <w:sz w:val="18"/>
        </w:rPr>
        <w:t>Campbell</w:t>
      </w:r>
      <w:r w:rsidRPr="00CA6CBB">
        <w:rPr>
          <w:color w:val="auto"/>
          <w:sz w:val="18"/>
        </w:rPr>
        <w:t>, Derek</w:t>
      </w:r>
    </w:p>
    <w:p w14:paraId="7F9E92FB"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lang w:val="en-US"/>
        </w:rPr>
      </w:pPr>
      <w:r w:rsidRPr="00CA6CBB">
        <w:rPr>
          <w:color w:val="auto"/>
          <w:sz w:val="18"/>
          <w:lang w:val="en-US"/>
        </w:rPr>
        <w:t>Attorney-Advisor International Section, Office of General Counsel - International Law, National Oceanic and Atmospheric Administration, U.S. Department of Commerce, 1401 Constitution Avenue, N.W. HCHB Room 48026, Washington, D.C. 20230, United States</w:t>
      </w:r>
    </w:p>
    <w:p w14:paraId="0179A032"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rPr>
          <w:color w:val="auto"/>
        </w:rPr>
      </w:pPr>
      <w:r w:rsidRPr="00CA6CBB">
        <w:rPr>
          <w:color w:val="auto"/>
          <w:sz w:val="18"/>
        </w:rPr>
        <w:t>Tel: +1 202 482 0031, Fax: +1 202 371 0926, E-Mail: derek.campbell@noaa.gov</w:t>
      </w:r>
    </w:p>
    <w:p w14:paraId="32035F21"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eastAsia="en-GB"/>
        </w:rPr>
      </w:pPr>
    </w:p>
    <w:p w14:paraId="46653AF9" w14:textId="77777777" w:rsidR="00976CBF" w:rsidRPr="00CA6CBB" w:rsidRDefault="00976CBF" w:rsidP="00976CBF">
      <w:pPr>
        <w:widowControl w:val="0"/>
        <w:pBdr>
          <w:top w:val="none" w:sz="0" w:space="0" w:color="auto"/>
          <w:left w:val="none" w:sz="0" w:space="0" w:color="auto"/>
          <w:bottom w:val="none" w:sz="0" w:space="0" w:color="auto"/>
          <w:right w:val="none" w:sz="0" w:space="0" w:color="auto"/>
          <w:between w:val="none" w:sz="0" w:space="0" w:color="auto"/>
        </w:pBdr>
        <w:tabs>
          <w:tab w:val="left" w:pos="90"/>
        </w:tabs>
        <w:autoSpaceDE w:val="0"/>
        <w:autoSpaceDN w:val="0"/>
        <w:adjustRightInd w:val="0"/>
        <w:jc w:val="center"/>
        <w:rPr>
          <w:b/>
          <w:bCs/>
          <w:color w:val="auto"/>
        </w:rPr>
      </w:pPr>
      <w:r w:rsidRPr="00CA6CBB">
        <w:rPr>
          <w:b/>
          <w:bCs/>
          <w:color w:val="auto"/>
        </w:rPr>
        <w:t>*****</w:t>
      </w:r>
    </w:p>
    <w:p w14:paraId="34943A76" w14:textId="77777777" w:rsidR="00976CBF" w:rsidRPr="00CA6CBB" w:rsidRDefault="00976CBF" w:rsidP="00976CBF">
      <w:pPr>
        <w:widowControl w:val="0"/>
        <w:pBdr>
          <w:top w:val="none" w:sz="0" w:space="0" w:color="auto"/>
          <w:left w:val="none" w:sz="0" w:space="0" w:color="auto"/>
          <w:bottom w:val="none" w:sz="0" w:space="0" w:color="auto"/>
          <w:right w:val="none" w:sz="0" w:space="0" w:color="auto"/>
          <w:between w:val="none" w:sz="0" w:space="0" w:color="auto"/>
        </w:pBdr>
        <w:tabs>
          <w:tab w:val="left" w:pos="90"/>
        </w:tabs>
        <w:autoSpaceDE w:val="0"/>
        <w:autoSpaceDN w:val="0"/>
        <w:adjustRightInd w:val="0"/>
        <w:jc w:val="center"/>
        <w:rPr>
          <w:b/>
          <w:bCs/>
          <w:color w:val="auto"/>
        </w:rPr>
      </w:pPr>
    </w:p>
    <w:p w14:paraId="3593947D" w14:textId="073A672E" w:rsidR="00976CBF" w:rsidRPr="00CA6CBB" w:rsidRDefault="00453FF5" w:rsidP="00976CBF">
      <w:pPr>
        <w:widowControl w:val="0"/>
        <w:pBdr>
          <w:top w:val="none" w:sz="0" w:space="0" w:color="auto"/>
          <w:left w:val="none" w:sz="0" w:space="0" w:color="auto"/>
          <w:bottom w:val="none" w:sz="0" w:space="0" w:color="auto"/>
          <w:right w:val="none" w:sz="0" w:space="0" w:color="auto"/>
          <w:between w:val="none" w:sz="0" w:space="0" w:color="auto"/>
        </w:pBdr>
        <w:tabs>
          <w:tab w:val="left" w:pos="90"/>
        </w:tabs>
        <w:autoSpaceDE w:val="0"/>
        <w:autoSpaceDN w:val="0"/>
        <w:adjustRightInd w:val="0"/>
        <w:jc w:val="center"/>
        <w:rPr>
          <w:b/>
          <w:bCs/>
          <w:color w:val="auto"/>
        </w:rPr>
      </w:pPr>
      <w:r w:rsidRPr="00CA6CBB">
        <w:rPr>
          <w:b/>
          <w:bCs/>
          <w:color w:val="auto"/>
        </w:rPr>
        <w:t xml:space="preserve">Secretaría de </w:t>
      </w:r>
      <w:r w:rsidR="00976CBF" w:rsidRPr="00CA6CBB">
        <w:rPr>
          <w:b/>
          <w:bCs/>
          <w:color w:val="auto"/>
        </w:rPr>
        <w:t xml:space="preserve">ICCAT </w:t>
      </w:r>
    </w:p>
    <w:p w14:paraId="79B44E28" w14:textId="5ED548FF" w:rsidR="00976CBF" w:rsidRPr="00CA6CBB" w:rsidRDefault="00976CBF" w:rsidP="00976CBF">
      <w:pPr>
        <w:widowControl w:val="0"/>
        <w:pBdr>
          <w:top w:val="none" w:sz="0" w:space="0" w:color="auto"/>
          <w:left w:val="none" w:sz="0" w:space="0" w:color="auto"/>
          <w:bottom w:val="none" w:sz="0" w:space="0" w:color="auto"/>
          <w:right w:val="none" w:sz="0" w:space="0" w:color="auto"/>
          <w:between w:val="none" w:sz="0" w:space="0" w:color="auto"/>
        </w:pBdr>
        <w:tabs>
          <w:tab w:val="left" w:pos="90"/>
        </w:tabs>
        <w:autoSpaceDE w:val="0"/>
        <w:autoSpaceDN w:val="0"/>
        <w:adjustRightInd w:val="0"/>
        <w:jc w:val="center"/>
        <w:rPr>
          <w:bCs/>
          <w:color w:val="auto"/>
        </w:rPr>
      </w:pPr>
      <w:r w:rsidRPr="00CA6CBB">
        <w:rPr>
          <w:bCs/>
          <w:color w:val="auto"/>
        </w:rPr>
        <w:t>C/ Corazón de María 8 – 6</w:t>
      </w:r>
      <w:r w:rsidR="00E36DE9" w:rsidRPr="00CA6CBB">
        <w:rPr>
          <w:bCs/>
          <w:color w:val="auto"/>
        </w:rPr>
        <w:t>º planta</w:t>
      </w:r>
      <w:r w:rsidRPr="00CA6CBB">
        <w:rPr>
          <w:bCs/>
          <w:color w:val="auto"/>
        </w:rPr>
        <w:t xml:space="preserve">, 28002 Madrid – </w:t>
      </w:r>
      <w:r w:rsidR="00E36DE9" w:rsidRPr="00CA6CBB">
        <w:rPr>
          <w:bCs/>
          <w:color w:val="auto"/>
        </w:rPr>
        <w:t>España</w:t>
      </w:r>
    </w:p>
    <w:p w14:paraId="15275111" w14:textId="77777777" w:rsidR="00976CBF" w:rsidRPr="00CA6CBB" w:rsidRDefault="00976CBF" w:rsidP="00976CBF">
      <w:pPr>
        <w:widowControl w:val="0"/>
        <w:pBdr>
          <w:top w:val="none" w:sz="0" w:space="0" w:color="auto"/>
          <w:left w:val="none" w:sz="0" w:space="0" w:color="auto"/>
          <w:bottom w:val="none" w:sz="0" w:space="0" w:color="auto"/>
          <w:right w:val="none" w:sz="0" w:space="0" w:color="auto"/>
          <w:between w:val="none" w:sz="0" w:space="0" w:color="auto"/>
        </w:pBdr>
        <w:tabs>
          <w:tab w:val="left" w:pos="90"/>
        </w:tabs>
        <w:autoSpaceDE w:val="0"/>
        <w:autoSpaceDN w:val="0"/>
        <w:adjustRightInd w:val="0"/>
        <w:jc w:val="center"/>
        <w:rPr>
          <w:bCs/>
          <w:color w:val="auto"/>
          <w:lang w:val="fr-FR"/>
        </w:rPr>
      </w:pPr>
      <w:proofErr w:type="gramStart"/>
      <w:r w:rsidRPr="00CA6CBB">
        <w:rPr>
          <w:bCs/>
          <w:color w:val="auto"/>
          <w:lang w:val="fr-FR"/>
        </w:rPr>
        <w:t>Tel:</w:t>
      </w:r>
      <w:proofErr w:type="gramEnd"/>
      <w:r w:rsidRPr="00CA6CBB">
        <w:rPr>
          <w:bCs/>
          <w:color w:val="auto"/>
          <w:lang w:val="fr-FR"/>
        </w:rPr>
        <w:t xml:space="preserve"> +34 91 416 56 </w:t>
      </w:r>
      <w:proofErr w:type="gramStart"/>
      <w:r w:rsidRPr="00CA6CBB">
        <w:rPr>
          <w:bCs/>
          <w:color w:val="auto"/>
          <w:lang w:val="fr-FR"/>
        </w:rPr>
        <w:t>00;</w:t>
      </w:r>
      <w:proofErr w:type="gramEnd"/>
      <w:r w:rsidRPr="00CA6CBB">
        <w:rPr>
          <w:bCs/>
          <w:color w:val="auto"/>
          <w:lang w:val="fr-FR"/>
        </w:rPr>
        <w:t xml:space="preserve"> </w:t>
      </w:r>
      <w:proofErr w:type="gramStart"/>
      <w:r w:rsidRPr="00CA6CBB">
        <w:rPr>
          <w:bCs/>
          <w:color w:val="auto"/>
          <w:lang w:val="fr-FR"/>
        </w:rPr>
        <w:t>Fax:</w:t>
      </w:r>
      <w:proofErr w:type="gramEnd"/>
      <w:r w:rsidRPr="00CA6CBB">
        <w:rPr>
          <w:bCs/>
          <w:color w:val="auto"/>
          <w:lang w:val="fr-FR"/>
        </w:rPr>
        <w:t xml:space="preserve"> +34 91 415 26 </w:t>
      </w:r>
      <w:proofErr w:type="gramStart"/>
      <w:r w:rsidRPr="00CA6CBB">
        <w:rPr>
          <w:bCs/>
          <w:color w:val="auto"/>
          <w:lang w:val="fr-FR"/>
        </w:rPr>
        <w:t>12;</w:t>
      </w:r>
      <w:proofErr w:type="gramEnd"/>
      <w:r w:rsidRPr="00CA6CBB">
        <w:rPr>
          <w:bCs/>
          <w:color w:val="auto"/>
          <w:lang w:val="fr-FR"/>
        </w:rPr>
        <w:t xml:space="preserve"> </w:t>
      </w:r>
      <w:proofErr w:type="gramStart"/>
      <w:r w:rsidRPr="00CA6CBB">
        <w:rPr>
          <w:bCs/>
          <w:color w:val="auto"/>
          <w:lang w:val="fr-FR"/>
        </w:rPr>
        <w:t>E-mail:</w:t>
      </w:r>
      <w:proofErr w:type="gramEnd"/>
      <w:r w:rsidRPr="00CA6CBB">
        <w:rPr>
          <w:bCs/>
          <w:color w:val="auto"/>
          <w:lang w:val="fr-FR"/>
        </w:rPr>
        <w:t xml:space="preserve"> info@iccat.int</w:t>
      </w:r>
    </w:p>
    <w:p w14:paraId="205DA875"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fr-FR"/>
        </w:rPr>
      </w:pPr>
    </w:p>
    <w:p w14:paraId="44145B95"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b/>
          <w:color w:val="auto"/>
          <w:sz w:val="18"/>
          <w:lang w:val="fr-FR"/>
        </w:rPr>
      </w:pPr>
    </w:p>
    <w:p w14:paraId="5C0A3D1E"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fr-FR"/>
        </w:rPr>
      </w:pPr>
      <w:r w:rsidRPr="00CA6CBB">
        <w:rPr>
          <w:b/>
          <w:color w:val="auto"/>
          <w:sz w:val="18"/>
          <w:lang w:val="fr-FR"/>
        </w:rPr>
        <w:t>Manel</w:t>
      </w:r>
      <w:r w:rsidRPr="00CA6CBB">
        <w:rPr>
          <w:color w:val="auto"/>
          <w:sz w:val="18"/>
          <w:lang w:val="fr-FR"/>
        </w:rPr>
        <w:t>, Camille Jean Pierre</w:t>
      </w:r>
    </w:p>
    <w:p w14:paraId="0FD78783"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pt-PT"/>
        </w:rPr>
      </w:pPr>
      <w:r w:rsidRPr="00CA6CBB">
        <w:rPr>
          <w:b/>
          <w:color w:val="auto"/>
          <w:sz w:val="18"/>
          <w:lang w:val="pt-PT"/>
        </w:rPr>
        <w:t>Neves dos Santos</w:t>
      </w:r>
      <w:r w:rsidRPr="00CA6CBB">
        <w:rPr>
          <w:color w:val="auto"/>
          <w:sz w:val="18"/>
          <w:lang w:val="pt-PT"/>
        </w:rPr>
        <w:t>, Miguel</w:t>
      </w:r>
    </w:p>
    <w:p w14:paraId="5A76575F"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pt-PT"/>
        </w:rPr>
      </w:pPr>
      <w:r w:rsidRPr="00CA6CBB">
        <w:rPr>
          <w:b/>
          <w:color w:val="auto"/>
          <w:sz w:val="18"/>
          <w:lang w:val="pt-PT"/>
        </w:rPr>
        <w:t>Bonacasa</w:t>
      </w:r>
      <w:r w:rsidRPr="00CA6CBB">
        <w:rPr>
          <w:color w:val="auto"/>
          <w:sz w:val="18"/>
          <w:lang w:val="pt-PT"/>
        </w:rPr>
        <w:t>, María</w:t>
      </w:r>
    </w:p>
    <w:p w14:paraId="0902CCDA"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rPr>
      </w:pPr>
      <w:r w:rsidRPr="00CA6CBB">
        <w:rPr>
          <w:b/>
          <w:color w:val="auto"/>
          <w:sz w:val="18"/>
        </w:rPr>
        <w:t>Mayor</w:t>
      </w:r>
      <w:r w:rsidRPr="00CA6CBB">
        <w:rPr>
          <w:color w:val="auto"/>
          <w:sz w:val="18"/>
        </w:rPr>
        <w:t>, Carlos</w:t>
      </w:r>
    </w:p>
    <w:p w14:paraId="4B798BE7"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rPr>
      </w:pPr>
      <w:r w:rsidRPr="00CA6CBB">
        <w:rPr>
          <w:b/>
          <w:color w:val="auto"/>
          <w:sz w:val="18"/>
        </w:rPr>
        <w:t>Parrilla Moruno</w:t>
      </w:r>
      <w:r w:rsidRPr="00CA6CBB">
        <w:rPr>
          <w:color w:val="auto"/>
          <w:sz w:val="18"/>
        </w:rPr>
        <w:t>, Alberto Thais</w:t>
      </w:r>
    </w:p>
    <w:p w14:paraId="10F90C6A"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rPr>
      </w:pPr>
      <w:r w:rsidRPr="00CA6CBB">
        <w:rPr>
          <w:b/>
          <w:color w:val="auto"/>
          <w:sz w:val="18"/>
        </w:rPr>
        <w:t>De Andrés</w:t>
      </w:r>
      <w:r w:rsidRPr="00CA6CBB">
        <w:rPr>
          <w:color w:val="auto"/>
          <w:sz w:val="18"/>
        </w:rPr>
        <w:t>, Marisa</w:t>
      </w:r>
    </w:p>
    <w:p w14:paraId="3D5DFCC6"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rPr>
      </w:pPr>
      <w:r w:rsidRPr="00CA6CBB">
        <w:rPr>
          <w:b/>
          <w:color w:val="auto"/>
          <w:sz w:val="18"/>
        </w:rPr>
        <w:t>Acuña</w:t>
      </w:r>
      <w:r w:rsidRPr="00CA6CBB">
        <w:rPr>
          <w:color w:val="auto"/>
          <w:sz w:val="18"/>
        </w:rPr>
        <w:t>, Jose Antonio</w:t>
      </w:r>
    </w:p>
    <w:p w14:paraId="59B70F98"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rPr>
      </w:pPr>
      <w:r w:rsidRPr="00CA6CBB">
        <w:rPr>
          <w:b/>
          <w:color w:val="auto"/>
          <w:sz w:val="18"/>
        </w:rPr>
        <w:t>Baity</w:t>
      </w:r>
      <w:r w:rsidRPr="00CA6CBB">
        <w:rPr>
          <w:color w:val="auto"/>
          <w:sz w:val="18"/>
        </w:rPr>
        <w:t>, Dawn</w:t>
      </w:r>
    </w:p>
    <w:p w14:paraId="5EDE27FD"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rPr>
      </w:pPr>
      <w:r w:rsidRPr="00CA6CBB">
        <w:rPr>
          <w:b/>
          <w:color w:val="auto"/>
          <w:sz w:val="18"/>
        </w:rPr>
        <w:t>Deprez</w:t>
      </w:r>
      <w:r w:rsidRPr="00CA6CBB">
        <w:rPr>
          <w:color w:val="auto"/>
          <w:sz w:val="18"/>
        </w:rPr>
        <w:t>, Bruno</w:t>
      </w:r>
    </w:p>
    <w:p w14:paraId="0BB0F2B9"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rPr>
      </w:pPr>
      <w:r w:rsidRPr="00CA6CBB">
        <w:rPr>
          <w:b/>
          <w:color w:val="auto"/>
          <w:sz w:val="18"/>
        </w:rPr>
        <w:t>Elorriaga</w:t>
      </w:r>
      <w:r w:rsidRPr="00CA6CBB">
        <w:rPr>
          <w:color w:val="auto"/>
          <w:sz w:val="18"/>
        </w:rPr>
        <w:t>, Aitor</w:t>
      </w:r>
    </w:p>
    <w:p w14:paraId="1E5C6692"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rPr>
      </w:pPr>
      <w:r w:rsidRPr="00CA6CBB">
        <w:rPr>
          <w:b/>
          <w:color w:val="auto"/>
          <w:sz w:val="18"/>
        </w:rPr>
        <w:t>Gallego Sanz</w:t>
      </w:r>
      <w:r w:rsidRPr="00CA6CBB">
        <w:rPr>
          <w:color w:val="auto"/>
          <w:sz w:val="18"/>
        </w:rPr>
        <w:t>, Juan Luis</w:t>
      </w:r>
    </w:p>
    <w:p w14:paraId="59D7ADD4"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pt-PT"/>
        </w:rPr>
      </w:pPr>
      <w:r w:rsidRPr="00CA6CBB">
        <w:rPr>
          <w:b/>
          <w:color w:val="auto"/>
          <w:sz w:val="18"/>
          <w:lang w:val="pt-PT"/>
        </w:rPr>
        <w:t>García</w:t>
      </w:r>
      <w:r w:rsidRPr="00CA6CBB">
        <w:rPr>
          <w:color w:val="auto"/>
          <w:sz w:val="18"/>
          <w:lang w:val="pt-PT"/>
        </w:rPr>
        <w:t>, Jesús</w:t>
      </w:r>
    </w:p>
    <w:p w14:paraId="42348019"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pt-PT"/>
        </w:rPr>
      </w:pPr>
      <w:r w:rsidRPr="00CA6CBB">
        <w:rPr>
          <w:b/>
          <w:color w:val="auto"/>
          <w:sz w:val="18"/>
          <w:lang w:val="pt-PT"/>
        </w:rPr>
        <w:t>Jaiteh</w:t>
      </w:r>
      <w:r w:rsidRPr="00CA6CBB">
        <w:rPr>
          <w:color w:val="auto"/>
          <w:sz w:val="18"/>
          <w:lang w:val="pt-PT"/>
        </w:rPr>
        <w:t>, Ousainou</w:t>
      </w:r>
    </w:p>
    <w:p w14:paraId="73231000"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lang w:val="pt-PT"/>
        </w:rPr>
      </w:pPr>
      <w:r w:rsidRPr="00CA6CBB">
        <w:rPr>
          <w:b/>
          <w:color w:val="auto"/>
          <w:sz w:val="18"/>
          <w:lang w:val="pt-PT"/>
        </w:rPr>
        <w:t>Maestre</w:t>
      </w:r>
      <w:r w:rsidRPr="00CA6CBB">
        <w:rPr>
          <w:color w:val="auto"/>
          <w:sz w:val="18"/>
          <w:lang w:val="pt-PT"/>
        </w:rPr>
        <w:t>, Manuel</w:t>
      </w:r>
    </w:p>
    <w:p w14:paraId="2329D6CC"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rPr>
      </w:pPr>
      <w:r w:rsidRPr="00CA6CBB">
        <w:rPr>
          <w:b/>
          <w:color w:val="auto"/>
          <w:sz w:val="18"/>
        </w:rPr>
        <w:t>Martínez Herranz</w:t>
      </w:r>
      <w:r w:rsidRPr="00CA6CBB">
        <w:rPr>
          <w:color w:val="auto"/>
          <w:sz w:val="18"/>
        </w:rPr>
        <w:t>, Javier</w:t>
      </w:r>
    </w:p>
    <w:p w14:paraId="17222142"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rPr>
      </w:pPr>
      <w:r w:rsidRPr="00CA6CBB">
        <w:rPr>
          <w:b/>
          <w:color w:val="auto"/>
          <w:sz w:val="18"/>
        </w:rPr>
        <w:t>Mergarejo Dremov</w:t>
      </w:r>
      <w:r w:rsidRPr="00CA6CBB">
        <w:rPr>
          <w:color w:val="auto"/>
          <w:sz w:val="18"/>
        </w:rPr>
        <w:t xml:space="preserve">, Félix </w:t>
      </w:r>
    </w:p>
    <w:p w14:paraId="1362AFF4"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rPr>
      </w:pPr>
      <w:r w:rsidRPr="00CA6CBB">
        <w:rPr>
          <w:b/>
          <w:color w:val="auto"/>
          <w:sz w:val="18"/>
        </w:rPr>
        <w:t>Muñoz</w:t>
      </w:r>
      <w:r w:rsidRPr="00CA6CBB">
        <w:rPr>
          <w:color w:val="auto"/>
          <w:sz w:val="18"/>
        </w:rPr>
        <w:t>, Juan Carlos</w:t>
      </w:r>
    </w:p>
    <w:p w14:paraId="4C04E859"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rPr>
      </w:pPr>
      <w:r w:rsidRPr="00CA6CBB">
        <w:rPr>
          <w:b/>
          <w:color w:val="auto"/>
          <w:sz w:val="18"/>
        </w:rPr>
        <w:t>Pagá</w:t>
      </w:r>
      <w:r w:rsidRPr="00CA6CBB">
        <w:rPr>
          <w:color w:val="auto"/>
          <w:sz w:val="18"/>
        </w:rPr>
        <w:t>, Alfonso</w:t>
      </w:r>
    </w:p>
    <w:p w14:paraId="73528DD3"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rPr>
      </w:pPr>
      <w:r w:rsidRPr="00CA6CBB">
        <w:rPr>
          <w:b/>
          <w:color w:val="auto"/>
          <w:sz w:val="18"/>
        </w:rPr>
        <w:t>Portel</w:t>
      </w:r>
      <w:r w:rsidRPr="00CA6CBB">
        <w:rPr>
          <w:color w:val="auto"/>
          <w:sz w:val="18"/>
        </w:rPr>
        <w:t>, Dashiel</w:t>
      </w:r>
    </w:p>
    <w:p w14:paraId="4117BC48"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rPr>
      </w:pPr>
      <w:r w:rsidRPr="00CA6CBB">
        <w:rPr>
          <w:b/>
          <w:color w:val="auto"/>
          <w:sz w:val="18"/>
        </w:rPr>
        <w:t>Samedy</w:t>
      </w:r>
      <w:r w:rsidRPr="00CA6CBB">
        <w:rPr>
          <w:color w:val="auto"/>
          <w:sz w:val="18"/>
        </w:rPr>
        <w:t>, Valérie</w:t>
      </w:r>
    </w:p>
    <w:p w14:paraId="469EEDE6"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rPr>
      </w:pPr>
      <w:r w:rsidRPr="00CA6CBB">
        <w:rPr>
          <w:b/>
          <w:color w:val="auto"/>
          <w:sz w:val="18"/>
        </w:rPr>
        <w:t>Sanz</w:t>
      </w:r>
      <w:r w:rsidRPr="00CA6CBB">
        <w:rPr>
          <w:color w:val="auto"/>
          <w:sz w:val="18"/>
        </w:rPr>
        <w:t>, José</w:t>
      </w:r>
    </w:p>
    <w:p w14:paraId="5A195EEE"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rPr>
      </w:pPr>
      <w:r w:rsidRPr="00CA6CBB">
        <w:rPr>
          <w:b/>
          <w:color w:val="auto"/>
          <w:sz w:val="18"/>
        </w:rPr>
        <w:t>Vieito</w:t>
      </w:r>
      <w:r w:rsidRPr="00CA6CBB">
        <w:rPr>
          <w:color w:val="auto"/>
          <w:sz w:val="18"/>
        </w:rPr>
        <w:t>, Aldana</w:t>
      </w:r>
    </w:p>
    <w:p w14:paraId="1A5BAA27"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b/>
          <w:color w:val="auto"/>
        </w:rPr>
      </w:pPr>
    </w:p>
    <w:p w14:paraId="499B5DE7" w14:textId="323BA3E6" w:rsidR="00976CBF" w:rsidRPr="00CA6CBB" w:rsidRDefault="00453FF5" w:rsidP="00976CBF">
      <w:pPr>
        <w:pBdr>
          <w:top w:val="none" w:sz="0" w:space="0" w:color="auto"/>
          <w:left w:val="none" w:sz="0" w:space="0" w:color="auto"/>
          <w:bottom w:val="none" w:sz="0" w:space="0" w:color="auto"/>
          <w:right w:val="none" w:sz="0" w:space="0" w:color="auto"/>
          <w:between w:val="none" w:sz="0" w:space="0" w:color="auto"/>
        </w:pBdr>
        <w:jc w:val="left"/>
        <w:rPr>
          <w:color w:val="auto"/>
        </w:rPr>
      </w:pPr>
      <w:r w:rsidRPr="00CA6CBB">
        <w:rPr>
          <w:b/>
          <w:color w:val="auto"/>
        </w:rPr>
        <w:t xml:space="preserve">INTÉRPRETES DE </w:t>
      </w:r>
      <w:r w:rsidR="00976CBF" w:rsidRPr="00CA6CBB">
        <w:rPr>
          <w:b/>
          <w:color w:val="auto"/>
        </w:rPr>
        <w:t xml:space="preserve">ICCAT </w:t>
      </w:r>
    </w:p>
    <w:p w14:paraId="686E488C" w14:textId="77777777" w:rsidR="00976CBF" w:rsidRPr="00CA6CBB"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rPr>
      </w:pPr>
      <w:r w:rsidRPr="00CA6CBB">
        <w:rPr>
          <w:b/>
          <w:color w:val="auto"/>
          <w:sz w:val="18"/>
        </w:rPr>
        <w:t>Baena Jiménez</w:t>
      </w:r>
      <w:r w:rsidRPr="00CA6CBB">
        <w:rPr>
          <w:color w:val="auto"/>
          <w:sz w:val="18"/>
        </w:rPr>
        <w:t>, Eva J.</w:t>
      </w:r>
    </w:p>
    <w:p w14:paraId="69E216B2" w14:textId="77777777" w:rsidR="00976CBF" w:rsidRPr="00901F92"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rPr>
      </w:pPr>
      <w:proofErr w:type="spellStart"/>
      <w:r w:rsidRPr="00901F92">
        <w:rPr>
          <w:b/>
          <w:color w:val="auto"/>
          <w:sz w:val="18"/>
        </w:rPr>
        <w:t>Calmels</w:t>
      </w:r>
      <w:proofErr w:type="spellEnd"/>
      <w:r w:rsidRPr="00901F92">
        <w:rPr>
          <w:color w:val="auto"/>
          <w:sz w:val="18"/>
        </w:rPr>
        <w:t>, Ellie</w:t>
      </w:r>
    </w:p>
    <w:p w14:paraId="218DA3D3" w14:textId="77777777" w:rsidR="00976CBF" w:rsidRPr="00901F92"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rPr>
      </w:pPr>
      <w:r w:rsidRPr="00901F92">
        <w:rPr>
          <w:b/>
          <w:color w:val="auto"/>
          <w:sz w:val="18"/>
        </w:rPr>
        <w:t>Gelb Cohen</w:t>
      </w:r>
      <w:r w:rsidRPr="00901F92">
        <w:rPr>
          <w:color w:val="auto"/>
          <w:sz w:val="18"/>
        </w:rPr>
        <w:t>, Beth</w:t>
      </w:r>
    </w:p>
    <w:p w14:paraId="51D2A47A" w14:textId="77777777" w:rsidR="00976CBF" w:rsidRPr="00901F92"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rPr>
      </w:pPr>
      <w:r w:rsidRPr="00901F92">
        <w:rPr>
          <w:b/>
          <w:color w:val="auto"/>
          <w:sz w:val="18"/>
        </w:rPr>
        <w:t>Liberas</w:t>
      </w:r>
      <w:r w:rsidRPr="00901F92">
        <w:rPr>
          <w:color w:val="auto"/>
          <w:sz w:val="18"/>
        </w:rPr>
        <w:t>, Christine</w:t>
      </w:r>
    </w:p>
    <w:p w14:paraId="18FCB975" w14:textId="77777777" w:rsidR="00976CBF" w:rsidRPr="00901F92"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rPr>
      </w:pPr>
      <w:proofErr w:type="spellStart"/>
      <w:r w:rsidRPr="00901F92">
        <w:rPr>
          <w:b/>
          <w:color w:val="auto"/>
          <w:sz w:val="18"/>
        </w:rPr>
        <w:t>Linaae</w:t>
      </w:r>
      <w:proofErr w:type="spellEnd"/>
      <w:r w:rsidRPr="00901F92">
        <w:rPr>
          <w:color w:val="auto"/>
          <w:sz w:val="18"/>
        </w:rPr>
        <w:t>, Cristina</w:t>
      </w:r>
    </w:p>
    <w:p w14:paraId="32638EE1" w14:textId="77777777" w:rsidR="00976CBF" w:rsidRPr="00901F92" w:rsidRDefault="00976CBF" w:rsidP="00976CBF">
      <w:pPr>
        <w:pBdr>
          <w:top w:val="none" w:sz="0" w:space="0" w:color="auto"/>
          <w:left w:val="none" w:sz="0" w:space="0" w:color="auto"/>
          <w:bottom w:val="none" w:sz="0" w:space="0" w:color="auto"/>
          <w:right w:val="none" w:sz="0" w:space="0" w:color="auto"/>
          <w:between w:val="none" w:sz="0" w:space="0" w:color="auto"/>
        </w:pBdr>
        <w:jc w:val="left"/>
        <w:rPr>
          <w:color w:val="auto"/>
        </w:rPr>
      </w:pPr>
      <w:r w:rsidRPr="00901F92">
        <w:rPr>
          <w:b/>
          <w:color w:val="auto"/>
          <w:sz w:val="18"/>
        </w:rPr>
        <w:t>Pinzon</w:t>
      </w:r>
      <w:r w:rsidRPr="00901F92">
        <w:rPr>
          <w:color w:val="auto"/>
          <w:sz w:val="18"/>
        </w:rPr>
        <w:t>, Aurélie</w:t>
      </w:r>
    </w:p>
    <w:p w14:paraId="2F0AB146" w14:textId="77777777" w:rsidR="00B91489" w:rsidRPr="00901F92" w:rsidRDefault="00B91489" w:rsidP="00976CBF">
      <w:pPr>
        <w:widowControl w:val="0"/>
        <w:pBdr>
          <w:top w:val="none" w:sz="0" w:space="0" w:color="auto"/>
          <w:left w:val="none" w:sz="0" w:space="0" w:color="auto"/>
          <w:bottom w:val="none" w:sz="0" w:space="0" w:color="auto"/>
          <w:right w:val="none" w:sz="0" w:space="0" w:color="auto"/>
          <w:between w:val="none" w:sz="0" w:space="0" w:color="auto"/>
        </w:pBdr>
        <w:tabs>
          <w:tab w:val="left" w:pos="426"/>
        </w:tabs>
        <w:autoSpaceDE w:val="0"/>
        <w:autoSpaceDN w:val="0"/>
        <w:spacing w:after="80"/>
        <w:ind w:left="476"/>
        <w:jc w:val="left"/>
        <w:rPr>
          <w:rFonts w:eastAsia="Calibri" w:cs="Times New Roman"/>
          <w:color w:val="auto"/>
          <w:lang w:eastAsia="es-ES" w:bidi="es-ES"/>
        </w:rPr>
      </w:pPr>
    </w:p>
    <w:p w14:paraId="64DC03B3" w14:textId="77777777" w:rsidR="00B91489" w:rsidRPr="00901F92" w:rsidRDefault="00B91489" w:rsidP="00B91489">
      <w:pPr>
        <w:widowControl w:val="0"/>
        <w:pBdr>
          <w:top w:val="none" w:sz="0" w:space="0" w:color="auto"/>
          <w:left w:val="none" w:sz="0" w:space="0" w:color="auto"/>
          <w:bottom w:val="none" w:sz="0" w:space="0" w:color="auto"/>
          <w:right w:val="none" w:sz="0" w:space="0" w:color="auto"/>
          <w:between w:val="none" w:sz="0" w:space="0" w:color="auto"/>
        </w:pBdr>
        <w:jc w:val="center"/>
        <w:rPr>
          <w:rFonts w:eastAsia="Times New Roman" w:cs="Calibri Light"/>
          <w:b/>
          <w:bCs/>
          <w:color w:val="00000A"/>
        </w:rPr>
      </w:pPr>
    </w:p>
    <w:p w14:paraId="64A45C5E" w14:textId="77777777" w:rsidR="00446897" w:rsidRPr="00901F92" w:rsidRDefault="00446897" w:rsidP="002B2D9B"/>
    <w:p w14:paraId="25D478E4" w14:textId="77777777" w:rsidR="00CF0787" w:rsidRPr="00901F92" w:rsidRDefault="00CF0787" w:rsidP="00CF0787"/>
    <w:sectPr w:rsidR="00CF0787" w:rsidRPr="00901F92" w:rsidSect="004D7833">
      <w:headerReference w:type="default" r:id="rId51"/>
      <w:footerReference w:type="default" r:id="rId52"/>
      <w:pgSz w:w="11907" w:h="16840" w:code="9"/>
      <w:pgMar w:top="1418" w:right="1418" w:bottom="1418" w:left="1418" w:header="851" w:footer="113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574D4" w14:textId="77777777" w:rsidR="002F2182" w:rsidRDefault="002F2182" w:rsidP="00B1595B">
      <w:r>
        <w:separator/>
      </w:r>
    </w:p>
  </w:endnote>
  <w:endnote w:type="continuationSeparator" w:id="0">
    <w:p w14:paraId="5C64268A" w14:textId="77777777" w:rsidR="002F2182" w:rsidRDefault="002F2182" w:rsidP="00B1595B">
      <w:r>
        <w:continuationSeparator/>
      </w:r>
    </w:p>
  </w:endnote>
  <w:endnote w:type="continuationNotice" w:id="1">
    <w:p w14:paraId="49419347" w14:textId="77777777" w:rsidR="002F2182" w:rsidRDefault="002F21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B7E1B" w14:textId="38DD5ED9" w:rsidR="000F2ED2" w:rsidRPr="00827B0A" w:rsidRDefault="008E13D9" w:rsidP="008E13D9">
    <w:pPr>
      <w:pStyle w:val="Footer"/>
      <w:jc w:val="center"/>
    </w:pPr>
    <w:sdt>
      <w:sdtPr>
        <w:rPr>
          <w:rFonts w:ascii="Calibri" w:eastAsia="Calibri" w:hAnsi="Calibri" w:cs="Calibri"/>
          <w:lang w:val="en-US"/>
        </w:rPr>
        <w:id w:val="810910487"/>
        <w:docPartObj>
          <w:docPartGallery w:val="Page Numbers (Top of Page)"/>
          <w:docPartUnique/>
        </w:docPartObj>
      </w:sdtPr>
      <w:sdtContent>
        <w:r w:rsidRPr="00713AD4">
          <w:rPr>
            <w:rFonts w:eastAsia="Calibri" w:cs="Calibri"/>
            <w:lang w:val="en-US"/>
          </w:rPr>
          <w:fldChar w:fldCharType="begin"/>
        </w:r>
        <w:r w:rsidRPr="00713AD4">
          <w:rPr>
            <w:rFonts w:eastAsia="Calibri" w:cs="Calibri"/>
            <w:lang w:val="en-US"/>
          </w:rPr>
          <w:instrText xml:space="preserve"> PAGE </w:instrText>
        </w:r>
        <w:r w:rsidRPr="00713AD4">
          <w:rPr>
            <w:rFonts w:eastAsia="Calibri" w:cs="Calibri"/>
            <w:lang w:val="en-US"/>
          </w:rPr>
          <w:fldChar w:fldCharType="separate"/>
        </w:r>
        <w:r>
          <w:rPr>
            <w:rFonts w:eastAsia="Calibri" w:cs="Calibri"/>
            <w:lang w:val="en-US"/>
          </w:rPr>
          <w:t>1</w:t>
        </w:r>
        <w:r w:rsidRPr="00713AD4">
          <w:rPr>
            <w:rFonts w:eastAsia="Calibri" w:cs="Calibri"/>
            <w:lang w:val="en-US"/>
          </w:rPr>
          <w:fldChar w:fldCharType="end"/>
        </w:r>
        <w:r w:rsidRPr="00713AD4">
          <w:rPr>
            <w:rFonts w:eastAsia="Calibri" w:cs="Calibri"/>
            <w:lang w:val="en-US"/>
          </w:rPr>
          <w:t xml:space="preserve"> / </w:t>
        </w:r>
        <w:r w:rsidRPr="00713AD4">
          <w:rPr>
            <w:rFonts w:eastAsia="Calibri" w:cs="Calibri"/>
            <w:lang w:val="en-US"/>
          </w:rPr>
          <w:fldChar w:fldCharType="begin"/>
        </w:r>
        <w:r w:rsidRPr="00713AD4">
          <w:rPr>
            <w:rFonts w:eastAsia="Calibri" w:cs="Calibri"/>
            <w:lang w:val="en-US"/>
          </w:rPr>
          <w:instrText xml:space="preserve"> NUMPAGES  </w:instrText>
        </w:r>
        <w:r w:rsidRPr="00713AD4">
          <w:rPr>
            <w:rFonts w:eastAsia="Calibri" w:cs="Calibri"/>
            <w:lang w:val="en-US"/>
          </w:rPr>
          <w:fldChar w:fldCharType="separate"/>
        </w:r>
        <w:r>
          <w:rPr>
            <w:rFonts w:eastAsia="Calibri" w:cs="Calibri"/>
            <w:lang w:val="en-US"/>
          </w:rPr>
          <w:t>33</w:t>
        </w:r>
        <w:r w:rsidRPr="00713AD4">
          <w:rPr>
            <w:rFonts w:eastAsia="Calibri" w:cs="Calibri"/>
            <w:lang w:val="en-US"/>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9804657"/>
      <w:docPartObj>
        <w:docPartGallery w:val="Page Numbers (Bottom of Page)"/>
        <w:docPartUnique/>
      </w:docPartObj>
    </w:sdtPr>
    <w:sdtEndPr>
      <w:rPr>
        <w:noProof/>
      </w:rPr>
    </w:sdtEndPr>
    <w:sdtContent>
      <w:p w14:paraId="3BC13CBE" w14:textId="23ABBB7B" w:rsidR="004D09DF" w:rsidRDefault="004D09DF" w:rsidP="004D09D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5A021" w14:textId="77777777" w:rsidR="002F2182" w:rsidRDefault="002F2182" w:rsidP="00B1595B">
      <w:r>
        <w:separator/>
      </w:r>
    </w:p>
  </w:footnote>
  <w:footnote w:type="continuationSeparator" w:id="0">
    <w:p w14:paraId="3404F8BC" w14:textId="77777777" w:rsidR="002F2182" w:rsidRDefault="002F2182" w:rsidP="00B1595B">
      <w:r>
        <w:continuationSeparator/>
      </w:r>
    </w:p>
  </w:footnote>
  <w:footnote w:type="continuationNotice" w:id="1">
    <w:p w14:paraId="1B716FAA" w14:textId="77777777" w:rsidR="002F2182" w:rsidRDefault="002F2182"/>
  </w:footnote>
  <w:footnote w:id="2">
    <w:p w14:paraId="62559B52" w14:textId="7055060F" w:rsidR="00976CBF" w:rsidRPr="004D7833" w:rsidRDefault="00976CBF" w:rsidP="00976CBF">
      <w:pPr>
        <w:rPr>
          <w:sz w:val="16"/>
          <w:szCs w:val="16"/>
        </w:rPr>
      </w:pPr>
      <w:r w:rsidRPr="004D7833">
        <w:rPr>
          <w:rStyle w:val="FootnoteReference"/>
          <w:sz w:val="16"/>
          <w:szCs w:val="16"/>
        </w:rPr>
        <w:t>*</w:t>
      </w:r>
      <w:r w:rsidRPr="004D7833">
        <w:rPr>
          <w:sz w:val="16"/>
          <w:szCs w:val="16"/>
        </w:rPr>
        <w:t xml:space="preserve"> </w:t>
      </w:r>
      <w:r w:rsidR="00B03701" w:rsidRPr="004D7833">
        <w:rPr>
          <w:sz w:val="16"/>
          <w:szCs w:val="16"/>
        </w:rPr>
        <w:t>Jefe de Delegación.</w:t>
      </w:r>
    </w:p>
    <w:p w14:paraId="09348969" w14:textId="6D622B77" w:rsidR="00976CBF" w:rsidRPr="004D7833" w:rsidRDefault="00976CBF" w:rsidP="00976CBF">
      <w:pPr>
        <w:rPr>
          <w:sz w:val="16"/>
          <w:szCs w:val="16"/>
        </w:rPr>
      </w:pPr>
      <w:r w:rsidRPr="004D7833">
        <w:rPr>
          <w:sz w:val="16"/>
          <w:szCs w:val="16"/>
          <w:vertAlign w:val="superscript"/>
        </w:rPr>
        <w:t>1</w:t>
      </w:r>
      <w:r w:rsidRPr="004D7833">
        <w:rPr>
          <w:sz w:val="16"/>
          <w:szCs w:val="16"/>
        </w:rPr>
        <w:t xml:space="preserve"> </w:t>
      </w:r>
      <w:r w:rsidR="004D7833" w:rsidRPr="004D7833">
        <w:rPr>
          <w:sz w:val="16"/>
          <w:szCs w:val="16"/>
        </w:rPr>
        <w:t>Debido a la solicitud de protección de datos por parte de algunos delegados, en algunos casos no figuran los datos de contacto completos</w:t>
      </w:r>
      <w:r w:rsidRPr="004D7833">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56703" w14:textId="77777777" w:rsidR="00901F92" w:rsidRPr="003B7606" w:rsidRDefault="00901F92" w:rsidP="00901F92">
    <w:pPr>
      <w:tabs>
        <w:tab w:val="center" w:pos="4680"/>
        <w:tab w:val="left" w:pos="6520"/>
        <w:tab w:val="right" w:pos="9360"/>
        <w:tab w:val="right" w:pos="14240"/>
      </w:tabs>
      <w:jc w:val="right"/>
      <w:rPr>
        <w:rFonts w:eastAsia="Calibri" w:cs="Times New Roman"/>
        <w:b/>
        <w:bCs/>
        <w:lang w:val="en-US"/>
      </w:rPr>
    </w:pPr>
    <w:bookmarkStart w:id="1" w:name="_Hlk107908354"/>
    <w:bookmarkStart w:id="2" w:name="_Hlk107908355"/>
    <w:bookmarkStart w:id="3" w:name="_Hlk107908359"/>
    <w:bookmarkStart w:id="4" w:name="_Hlk107908360"/>
    <w:bookmarkStart w:id="5" w:name="_Hlk107908361"/>
    <w:bookmarkStart w:id="6" w:name="_Hlk107908362"/>
    <w:r>
      <w:rPr>
        <w:rFonts w:eastAsia="Calibri" w:cs="Times New Roman"/>
        <w:b/>
        <w:bCs/>
      </w:rPr>
      <w:t>COC</w:t>
    </w:r>
    <w:r>
      <w:rPr>
        <w:rFonts w:eastAsia="Calibri" w:cs="Times New Roman"/>
        <w:b/>
        <w:bCs/>
        <w:lang w:val="en-US"/>
      </w:rPr>
      <w:t>_302</w:t>
    </w:r>
    <w:r w:rsidRPr="003B7606">
      <w:rPr>
        <w:rFonts w:eastAsia="Calibri" w:cs="Times New Roman"/>
        <w:b/>
        <w:bCs/>
        <w:lang w:val="en-US"/>
      </w:rPr>
      <w:t>/2026</w:t>
    </w:r>
  </w:p>
  <w:p w14:paraId="734B1913" w14:textId="715D983C" w:rsidR="000F2ED2" w:rsidRPr="00901F92" w:rsidRDefault="00901F92" w:rsidP="00901F92">
    <w:pPr>
      <w:pStyle w:val="Header"/>
      <w:jc w:val="right"/>
    </w:pPr>
    <w:r w:rsidRPr="003B7606">
      <w:rPr>
        <w:rFonts w:eastAsia="Times New Roman" w:cs="Times New Roman"/>
        <w:b/>
        <w:bCs/>
        <w:sz w:val="16"/>
        <w:szCs w:val="16"/>
        <w:lang w:val="es-ES_tradnl"/>
      </w:rPr>
      <w:fldChar w:fldCharType="begin"/>
    </w:r>
    <w:r w:rsidRPr="003B7606">
      <w:rPr>
        <w:rFonts w:eastAsia="Times New Roman" w:cs="Times New Roman"/>
        <w:b/>
        <w:bCs/>
        <w:sz w:val="16"/>
        <w:szCs w:val="16"/>
        <w:lang w:val="es-ES_tradnl"/>
      </w:rPr>
      <w:instrText xml:space="preserve"> TIME \@ "dd/MM/yyyy H:mm" </w:instrText>
    </w:r>
    <w:r w:rsidRPr="003B7606">
      <w:rPr>
        <w:rFonts w:eastAsia="Times New Roman" w:cs="Times New Roman"/>
        <w:b/>
        <w:bCs/>
        <w:sz w:val="16"/>
        <w:szCs w:val="16"/>
        <w:lang w:val="es-ES_tradnl"/>
      </w:rPr>
      <w:fldChar w:fldCharType="separate"/>
    </w:r>
    <w:r w:rsidRPr="003B7606">
      <w:rPr>
        <w:rFonts w:eastAsia="Times New Roman" w:cs="Times New Roman"/>
        <w:b/>
        <w:bCs/>
        <w:noProof/>
        <w:sz w:val="16"/>
        <w:szCs w:val="16"/>
        <w:lang w:val="es-ES_tradnl"/>
      </w:rPr>
      <w:t>29/09/2026 11:21</w:t>
    </w:r>
    <w:r w:rsidRPr="003B7606">
      <w:rPr>
        <w:rFonts w:eastAsia="Times New Roman" w:cs="Times New Roman"/>
        <w:b/>
        <w:bCs/>
        <w:sz w:val="16"/>
        <w:szCs w:val="16"/>
        <w:lang w:val="es-ES_tradnl"/>
      </w:rPr>
      <w:fldChar w:fldCharType="end"/>
    </w:r>
    <w:bookmarkEnd w:id="1"/>
    <w:bookmarkEnd w:id="2"/>
    <w:bookmarkEnd w:id="3"/>
    <w:bookmarkEnd w:id="4"/>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F71CA" w14:textId="3D7DB9A9" w:rsidR="00BA0A76" w:rsidRPr="001C14AB" w:rsidRDefault="00A218C9" w:rsidP="00BA0A76">
    <w:pPr>
      <w:pBdr>
        <w:top w:val="none" w:sz="0" w:space="0" w:color="auto"/>
        <w:left w:val="none" w:sz="0" w:space="0" w:color="auto"/>
        <w:bottom w:val="none" w:sz="0" w:space="0" w:color="auto"/>
        <w:right w:val="none" w:sz="0" w:space="0" w:color="auto"/>
        <w:between w:val="none" w:sz="0" w:space="0" w:color="auto"/>
      </w:pBdr>
      <w:tabs>
        <w:tab w:val="center" w:pos="4680"/>
        <w:tab w:val="right" w:pos="9360"/>
      </w:tabs>
      <w:jc w:val="center"/>
      <w:rPr>
        <w:rFonts w:ascii="Arial" w:eastAsia="Calibri" w:hAnsi="Arial" w:cs="Arial"/>
        <w:color w:val="auto"/>
        <w:sz w:val="16"/>
        <w:szCs w:val="16"/>
      </w:rPr>
    </w:pPr>
    <w:r>
      <w:rPr>
        <w:rFonts w:ascii="Arial" w:hAnsi="Arial"/>
        <w:color w:val="auto"/>
        <w:sz w:val="16"/>
      </w:rPr>
      <w:t xml:space="preserve">REUNIÓN DEL </w:t>
    </w:r>
    <w:r w:rsidR="00BA0A76">
      <w:rPr>
        <w:rFonts w:ascii="Arial" w:hAnsi="Arial"/>
        <w:color w:val="auto"/>
        <w:sz w:val="16"/>
      </w:rPr>
      <w:t>WG-ORT, EN LÍNEA 202</w:t>
    </w:r>
    <w:r w:rsidR="00D07ACC">
      <w:rPr>
        <w:rFonts w:ascii="Arial" w:hAnsi="Arial"/>
        <w:color w:val="auto"/>
        <w:sz w:val="16"/>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2028"/>
    <w:multiLevelType w:val="multilevel"/>
    <w:tmpl w:val="C4885124"/>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1EC566F"/>
    <w:multiLevelType w:val="hybridMultilevel"/>
    <w:tmpl w:val="40383576"/>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8E43BEA"/>
    <w:multiLevelType w:val="hybridMultilevel"/>
    <w:tmpl w:val="E1647646"/>
    <w:lvl w:ilvl="0" w:tplc="FFFFFFFF">
      <w:start w:val="1"/>
      <w:numFmt w:val="bullet"/>
      <w:lvlText w:val="-"/>
      <w:lvlJc w:val="left"/>
      <w:pPr>
        <w:ind w:left="-66" w:hanging="360"/>
      </w:pPr>
      <w:rPr>
        <w:rFonts w:ascii="Cambria" w:hAnsi="Cambria" w:hint="default"/>
      </w:rPr>
    </w:lvl>
    <w:lvl w:ilvl="1" w:tplc="002AA744">
      <w:start w:val="5"/>
      <w:numFmt w:val="bullet"/>
      <w:lvlText w:val="-"/>
      <w:lvlJc w:val="left"/>
      <w:pPr>
        <w:ind w:left="654" w:hanging="360"/>
      </w:pPr>
      <w:rPr>
        <w:rFonts w:ascii="Cambria" w:eastAsia="Cambria" w:hAnsi="Cambria" w:cs="Cambria" w:hint="default"/>
      </w:rPr>
    </w:lvl>
    <w:lvl w:ilvl="2" w:tplc="FFFFFFFF" w:tentative="1">
      <w:start w:val="1"/>
      <w:numFmt w:val="bullet"/>
      <w:lvlText w:val=""/>
      <w:lvlJc w:val="left"/>
      <w:pPr>
        <w:ind w:left="1374" w:hanging="360"/>
      </w:pPr>
      <w:rPr>
        <w:rFonts w:ascii="Wingdings" w:hAnsi="Wingdings" w:hint="default"/>
      </w:rPr>
    </w:lvl>
    <w:lvl w:ilvl="3" w:tplc="FFFFFFFF" w:tentative="1">
      <w:start w:val="1"/>
      <w:numFmt w:val="bullet"/>
      <w:lvlText w:val=""/>
      <w:lvlJc w:val="left"/>
      <w:pPr>
        <w:ind w:left="2094" w:hanging="360"/>
      </w:pPr>
      <w:rPr>
        <w:rFonts w:ascii="Symbol" w:hAnsi="Symbol" w:hint="default"/>
      </w:rPr>
    </w:lvl>
    <w:lvl w:ilvl="4" w:tplc="FFFFFFFF" w:tentative="1">
      <w:start w:val="1"/>
      <w:numFmt w:val="bullet"/>
      <w:lvlText w:val="o"/>
      <w:lvlJc w:val="left"/>
      <w:pPr>
        <w:ind w:left="2814" w:hanging="360"/>
      </w:pPr>
      <w:rPr>
        <w:rFonts w:ascii="Courier New" w:hAnsi="Courier New" w:cs="Courier New" w:hint="default"/>
      </w:rPr>
    </w:lvl>
    <w:lvl w:ilvl="5" w:tplc="FFFFFFFF" w:tentative="1">
      <w:start w:val="1"/>
      <w:numFmt w:val="bullet"/>
      <w:lvlText w:val=""/>
      <w:lvlJc w:val="left"/>
      <w:pPr>
        <w:ind w:left="3534" w:hanging="360"/>
      </w:pPr>
      <w:rPr>
        <w:rFonts w:ascii="Wingdings" w:hAnsi="Wingdings" w:hint="default"/>
      </w:rPr>
    </w:lvl>
    <w:lvl w:ilvl="6" w:tplc="FFFFFFFF" w:tentative="1">
      <w:start w:val="1"/>
      <w:numFmt w:val="bullet"/>
      <w:lvlText w:val=""/>
      <w:lvlJc w:val="left"/>
      <w:pPr>
        <w:ind w:left="4254" w:hanging="360"/>
      </w:pPr>
      <w:rPr>
        <w:rFonts w:ascii="Symbol" w:hAnsi="Symbol" w:hint="default"/>
      </w:rPr>
    </w:lvl>
    <w:lvl w:ilvl="7" w:tplc="FFFFFFFF" w:tentative="1">
      <w:start w:val="1"/>
      <w:numFmt w:val="bullet"/>
      <w:lvlText w:val="o"/>
      <w:lvlJc w:val="left"/>
      <w:pPr>
        <w:ind w:left="4974" w:hanging="360"/>
      </w:pPr>
      <w:rPr>
        <w:rFonts w:ascii="Courier New" w:hAnsi="Courier New" w:cs="Courier New" w:hint="default"/>
      </w:rPr>
    </w:lvl>
    <w:lvl w:ilvl="8" w:tplc="FFFFFFFF" w:tentative="1">
      <w:start w:val="1"/>
      <w:numFmt w:val="bullet"/>
      <w:lvlText w:val=""/>
      <w:lvlJc w:val="left"/>
      <w:pPr>
        <w:ind w:left="5694" w:hanging="360"/>
      </w:pPr>
      <w:rPr>
        <w:rFonts w:ascii="Wingdings" w:hAnsi="Wingdings" w:hint="default"/>
      </w:rPr>
    </w:lvl>
  </w:abstractNum>
  <w:abstractNum w:abstractNumId="3" w15:restartNumberingAfterBreak="0">
    <w:nsid w:val="0E173AE7"/>
    <w:multiLevelType w:val="hybridMultilevel"/>
    <w:tmpl w:val="971E0724"/>
    <w:lvl w:ilvl="0" w:tplc="FFFFFFFF">
      <w:start w:val="5"/>
      <w:numFmt w:val="bullet"/>
      <w:lvlText w:val="-"/>
      <w:lvlJc w:val="left"/>
      <w:pPr>
        <w:ind w:left="720" w:hanging="360"/>
      </w:pPr>
      <w:rPr>
        <w:rFonts w:ascii="Cambria" w:eastAsia="Cambria" w:hAnsi="Cambria" w:cs="Cambria" w:hint="default"/>
      </w:rPr>
    </w:lvl>
    <w:lvl w:ilvl="1" w:tplc="FFFFFFFF">
      <w:start w:val="1"/>
      <w:numFmt w:val="bullet"/>
      <w:lvlText w:val=""/>
      <w:lvlJc w:val="left"/>
      <w:pPr>
        <w:ind w:left="1374" w:hanging="360"/>
      </w:pPr>
      <w:rPr>
        <w:rFonts w:ascii="Symbol" w:hAnsi="Symbol" w:hint="default"/>
      </w:rPr>
    </w:lvl>
    <w:lvl w:ilvl="2" w:tplc="04090001">
      <w:start w:val="1"/>
      <w:numFmt w:val="bullet"/>
      <w:lvlText w:val=""/>
      <w:lvlJc w:val="left"/>
      <w:pPr>
        <w:ind w:left="1374" w:hanging="360"/>
      </w:pPr>
      <w:rPr>
        <w:rFonts w:ascii="Symbol" w:hAnsi="Symbol"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0F37B7B"/>
    <w:multiLevelType w:val="hybridMultilevel"/>
    <w:tmpl w:val="C19C37CA"/>
    <w:lvl w:ilvl="0" w:tplc="002AA744">
      <w:start w:val="5"/>
      <w:numFmt w:val="bullet"/>
      <w:lvlText w:val="-"/>
      <w:lvlJc w:val="left"/>
      <w:pPr>
        <w:ind w:left="360" w:hanging="360"/>
      </w:pPr>
      <w:rPr>
        <w:rFonts w:ascii="Cambria" w:eastAsia="Cambria" w:hAnsi="Cambria" w:cs="Cambria" w:hint="default"/>
      </w:rPr>
    </w:lvl>
    <w:lvl w:ilvl="1" w:tplc="04090001">
      <w:start w:val="1"/>
      <w:numFmt w:val="bullet"/>
      <w:lvlText w:val=""/>
      <w:lvlJc w:val="left"/>
      <w:pPr>
        <w:ind w:left="1080" w:hanging="360"/>
      </w:pPr>
      <w:rPr>
        <w:rFonts w:ascii="Symbol" w:hAnsi="Symbol" w:hint="default"/>
      </w:rPr>
    </w:lvl>
    <w:lvl w:ilvl="2" w:tplc="FFFFFFFF">
      <w:start w:val="5"/>
      <w:numFmt w:val="bullet"/>
      <w:lvlText w:val="-"/>
      <w:lvlJc w:val="left"/>
      <w:pPr>
        <w:ind w:left="1800" w:hanging="360"/>
      </w:pPr>
      <w:rPr>
        <w:rFonts w:ascii="Cambria" w:eastAsia="Cambria" w:hAnsi="Cambria" w:cs="Cambria"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6AE4C24"/>
    <w:multiLevelType w:val="multilevel"/>
    <w:tmpl w:val="73A85E36"/>
    <w:lvl w:ilvl="0">
      <w:start w:val="10"/>
      <w:numFmt w:val="decimal"/>
      <w:lvlText w:val="%1"/>
      <w:lvlJc w:val="left"/>
      <w:pPr>
        <w:ind w:left="372" w:hanging="372"/>
      </w:pPr>
      <w:rPr>
        <w:rFonts w:hint="default"/>
      </w:rPr>
    </w:lvl>
    <w:lvl w:ilvl="1">
      <w:start w:val="1"/>
      <w:numFmt w:val="decimal"/>
      <w:lvlText w:val="%1.%2"/>
      <w:lvlJc w:val="left"/>
      <w:pPr>
        <w:ind w:left="732" w:hanging="372"/>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199E7CDB"/>
    <w:multiLevelType w:val="multilevel"/>
    <w:tmpl w:val="D0A04876"/>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9651"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7" w15:restartNumberingAfterBreak="0">
    <w:nsid w:val="1F8E4076"/>
    <w:multiLevelType w:val="hybridMultilevel"/>
    <w:tmpl w:val="E494A94A"/>
    <w:lvl w:ilvl="0" w:tplc="0809001B">
      <w:start w:val="1"/>
      <w:numFmt w:val="lowerRoman"/>
      <w:lvlText w:val="%1."/>
      <w:lvlJc w:val="right"/>
      <w:pPr>
        <w:ind w:left="360" w:hanging="360"/>
      </w:pPr>
    </w:lvl>
    <w:lvl w:ilvl="1" w:tplc="002AA744">
      <w:start w:val="5"/>
      <w:numFmt w:val="bullet"/>
      <w:lvlText w:val="-"/>
      <w:lvlJc w:val="left"/>
      <w:pPr>
        <w:ind w:left="786" w:hanging="360"/>
      </w:pPr>
      <w:rPr>
        <w:rFonts w:ascii="Cambria" w:eastAsia="Cambria" w:hAnsi="Cambria" w:cs="Cambria"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20550FA"/>
    <w:multiLevelType w:val="hybridMultilevel"/>
    <w:tmpl w:val="BC8AA3EE"/>
    <w:lvl w:ilvl="0" w:tplc="002AA744">
      <w:start w:val="5"/>
      <w:numFmt w:val="bullet"/>
      <w:lvlText w:val="-"/>
      <w:lvlJc w:val="left"/>
      <w:pPr>
        <w:ind w:left="720" w:hanging="360"/>
      </w:pPr>
      <w:rPr>
        <w:rFonts w:ascii="Cambria" w:eastAsia="Cambria" w:hAnsi="Cambria" w:cs="Cambri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A52DCC"/>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88D67B2"/>
    <w:multiLevelType w:val="hybridMultilevel"/>
    <w:tmpl w:val="B1D03070"/>
    <w:lvl w:ilvl="0" w:tplc="FFFFFFFF">
      <w:start w:val="1"/>
      <w:numFmt w:val="bullet"/>
      <w:lvlText w:val="-"/>
      <w:lvlJc w:val="left"/>
      <w:pPr>
        <w:ind w:left="-66" w:hanging="360"/>
      </w:pPr>
      <w:rPr>
        <w:rFonts w:ascii="Cambria" w:hAnsi="Cambria" w:hint="default"/>
      </w:rPr>
    </w:lvl>
    <w:lvl w:ilvl="1" w:tplc="04090001">
      <w:start w:val="1"/>
      <w:numFmt w:val="bullet"/>
      <w:lvlText w:val=""/>
      <w:lvlJc w:val="left"/>
      <w:pPr>
        <w:ind w:left="654" w:hanging="360"/>
      </w:pPr>
      <w:rPr>
        <w:rFonts w:ascii="Symbol" w:hAnsi="Symbol" w:hint="default"/>
      </w:rPr>
    </w:lvl>
    <w:lvl w:ilvl="2" w:tplc="04090001">
      <w:start w:val="1"/>
      <w:numFmt w:val="bullet"/>
      <w:lvlText w:val=""/>
      <w:lvlJc w:val="left"/>
      <w:pPr>
        <w:ind w:left="1374" w:hanging="360"/>
      </w:pPr>
      <w:rPr>
        <w:rFonts w:ascii="Symbol" w:hAnsi="Symbol" w:hint="default"/>
      </w:rPr>
    </w:lvl>
    <w:lvl w:ilvl="3" w:tplc="FFFFFFFF" w:tentative="1">
      <w:start w:val="1"/>
      <w:numFmt w:val="bullet"/>
      <w:lvlText w:val=""/>
      <w:lvlJc w:val="left"/>
      <w:pPr>
        <w:ind w:left="2094" w:hanging="360"/>
      </w:pPr>
      <w:rPr>
        <w:rFonts w:ascii="Symbol" w:hAnsi="Symbol" w:hint="default"/>
      </w:rPr>
    </w:lvl>
    <w:lvl w:ilvl="4" w:tplc="FFFFFFFF" w:tentative="1">
      <w:start w:val="1"/>
      <w:numFmt w:val="bullet"/>
      <w:lvlText w:val="o"/>
      <w:lvlJc w:val="left"/>
      <w:pPr>
        <w:ind w:left="2814" w:hanging="360"/>
      </w:pPr>
      <w:rPr>
        <w:rFonts w:ascii="Courier New" w:hAnsi="Courier New" w:cs="Courier New" w:hint="default"/>
      </w:rPr>
    </w:lvl>
    <w:lvl w:ilvl="5" w:tplc="FFFFFFFF" w:tentative="1">
      <w:start w:val="1"/>
      <w:numFmt w:val="bullet"/>
      <w:lvlText w:val=""/>
      <w:lvlJc w:val="left"/>
      <w:pPr>
        <w:ind w:left="3534" w:hanging="360"/>
      </w:pPr>
      <w:rPr>
        <w:rFonts w:ascii="Wingdings" w:hAnsi="Wingdings" w:hint="default"/>
      </w:rPr>
    </w:lvl>
    <w:lvl w:ilvl="6" w:tplc="FFFFFFFF" w:tentative="1">
      <w:start w:val="1"/>
      <w:numFmt w:val="bullet"/>
      <w:lvlText w:val=""/>
      <w:lvlJc w:val="left"/>
      <w:pPr>
        <w:ind w:left="4254" w:hanging="360"/>
      </w:pPr>
      <w:rPr>
        <w:rFonts w:ascii="Symbol" w:hAnsi="Symbol" w:hint="default"/>
      </w:rPr>
    </w:lvl>
    <w:lvl w:ilvl="7" w:tplc="FFFFFFFF" w:tentative="1">
      <w:start w:val="1"/>
      <w:numFmt w:val="bullet"/>
      <w:lvlText w:val="o"/>
      <w:lvlJc w:val="left"/>
      <w:pPr>
        <w:ind w:left="4974" w:hanging="360"/>
      </w:pPr>
      <w:rPr>
        <w:rFonts w:ascii="Courier New" w:hAnsi="Courier New" w:cs="Courier New" w:hint="default"/>
      </w:rPr>
    </w:lvl>
    <w:lvl w:ilvl="8" w:tplc="FFFFFFFF" w:tentative="1">
      <w:start w:val="1"/>
      <w:numFmt w:val="bullet"/>
      <w:lvlText w:val=""/>
      <w:lvlJc w:val="left"/>
      <w:pPr>
        <w:ind w:left="5694" w:hanging="360"/>
      </w:pPr>
      <w:rPr>
        <w:rFonts w:ascii="Wingdings" w:hAnsi="Wingdings" w:hint="default"/>
      </w:rPr>
    </w:lvl>
  </w:abstractNum>
  <w:abstractNum w:abstractNumId="11" w15:restartNumberingAfterBreak="0">
    <w:nsid w:val="2B6F72D1"/>
    <w:multiLevelType w:val="hybridMultilevel"/>
    <w:tmpl w:val="21B09FCA"/>
    <w:lvl w:ilvl="0" w:tplc="002AA744">
      <w:start w:val="5"/>
      <w:numFmt w:val="bullet"/>
      <w:lvlText w:val="-"/>
      <w:lvlJc w:val="left"/>
      <w:pPr>
        <w:ind w:left="720" w:hanging="360"/>
      </w:pPr>
      <w:rPr>
        <w:rFonts w:ascii="Cambria" w:eastAsia="Cambria" w:hAnsi="Cambria" w:cs="Cambri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C66BD0"/>
    <w:multiLevelType w:val="multilevel"/>
    <w:tmpl w:val="BC5CC8E2"/>
    <w:lvl w:ilvl="0">
      <w:start w:val="1"/>
      <w:numFmt w:val="decimal"/>
      <w:lvlText w:val="%1."/>
      <w:lvlJc w:val="left"/>
      <w:pPr>
        <w:ind w:left="1213" w:hanging="361"/>
      </w:pPr>
      <w:rPr>
        <w:rFonts w:ascii="Cambria" w:eastAsia="Cambria" w:hAnsi="Cambria" w:cs="Cambria" w:hint="default"/>
        <w:b w:val="0"/>
        <w:bCs w:val="0"/>
        <w:i w:val="0"/>
        <w:iCs w:val="0"/>
        <w:spacing w:val="-4"/>
        <w:w w:val="102"/>
        <w:sz w:val="19"/>
        <w:szCs w:val="19"/>
        <w:lang w:val="en-US" w:eastAsia="en-US" w:bidi="ar-SA"/>
      </w:rPr>
    </w:lvl>
    <w:lvl w:ilvl="1">
      <w:start w:val="1"/>
      <w:numFmt w:val="decimal"/>
      <w:lvlText w:val="%1.%2"/>
      <w:lvlJc w:val="left"/>
      <w:pPr>
        <w:ind w:left="837" w:hanging="361"/>
      </w:pPr>
      <w:rPr>
        <w:rFonts w:ascii="Cambria" w:eastAsia="Cambria" w:hAnsi="Cambria" w:cs="Cambria" w:hint="default"/>
        <w:b w:val="0"/>
        <w:bCs w:val="0"/>
        <w:i w:val="0"/>
        <w:iCs w:val="0"/>
        <w:spacing w:val="-4"/>
        <w:w w:val="102"/>
        <w:sz w:val="19"/>
        <w:szCs w:val="19"/>
        <w:lang w:val="en-US" w:eastAsia="en-US" w:bidi="ar-SA"/>
      </w:rPr>
    </w:lvl>
    <w:lvl w:ilvl="2">
      <w:start w:val="1"/>
      <w:numFmt w:val="decimal"/>
      <w:lvlText w:val="%1.%2.%3"/>
      <w:lvlJc w:val="left"/>
      <w:pPr>
        <w:ind w:left="1393" w:hanging="556"/>
      </w:pPr>
      <w:rPr>
        <w:rFonts w:ascii="Cambria" w:eastAsia="Cambria" w:hAnsi="Cambria" w:cs="Cambria" w:hint="default"/>
        <w:b w:val="0"/>
        <w:bCs w:val="0"/>
        <w:i w:val="0"/>
        <w:iCs w:val="0"/>
        <w:spacing w:val="-4"/>
        <w:w w:val="102"/>
        <w:sz w:val="19"/>
        <w:szCs w:val="19"/>
        <w:lang w:val="en-US" w:eastAsia="en-US" w:bidi="ar-SA"/>
      </w:rPr>
    </w:lvl>
    <w:lvl w:ilvl="3">
      <w:numFmt w:val="bullet"/>
      <w:lvlText w:val="•"/>
      <w:lvlJc w:val="left"/>
      <w:pPr>
        <w:ind w:left="1400" w:hanging="556"/>
      </w:pPr>
      <w:rPr>
        <w:rFonts w:hint="default"/>
        <w:lang w:val="en-US" w:eastAsia="en-US" w:bidi="ar-SA"/>
      </w:rPr>
    </w:lvl>
    <w:lvl w:ilvl="4">
      <w:numFmt w:val="bullet"/>
      <w:lvlText w:val="•"/>
      <w:lvlJc w:val="left"/>
      <w:pPr>
        <w:ind w:left="2544" w:hanging="556"/>
      </w:pPr>
      <w:rPr>
        <w:rFonts w:hint="default"/>
        <w:lang w:val="en-US" w:eastAsia="en-US" w:bidi="ar-SA"/>
      </w:rPr>
    </w:lvl>
    <w:lvl w:ilvl="5">
      <w:numFmt w:val="bullet"/>
      <w:lvlText w:val="•"/>
      <w:lvlJc w:val="left"/>
      <w:pPr>
        <w:ind w:left="3688" w:hanging="556"/>
      </w:pPr>
      <w:rPr>
        <w:rFonts w:hint="default"/>
        <w:lang w:val="en-US" w:eastAsia="en-US" w:bidi="ar-SA"/>
      </w:rPr>
    </w:lvl>
    <w:lvl w:ilvl="6">
      <w:numFmt w:val="bullet"/>
      <w:lvlText w:val="•"/>
      <w:lvlJc w:val="left"/>
      <w:pPr>
        <w:ind w:left="4832" w:hanging="556"/>
      </w:pPr>
      <w:rPr>
        <w:rFonts w:hint="default"/>
        <w:lang w:val="en-US" w:eastAsia="en-US" w:bidi="ar-SA"/>
      </w:rPr>
    </w:lvl>
    <w:lvl w:ilvl="7">
      <w:numFmt w:val="bullet"/>
      <w:lvlText w:val="•"/>
      <w:lvlJc w:val="left"/>
      <w:pPr>
        <w:ind w:left="5977" w:hanging="556"/>
      </w:pPr>
      <w:rPr>
        <w:rFonts w:hint="default"/>
        <w:lang w:val="en-US" w:eastAsia="en-US" w:bidi="ar-SA"/>
      </w:rPr>
    </w:lvl>
    <w:lvl w:ilvl="8">
      <w:numFmt w:val="bullet"/>
      <w:lvlText w:val="•"/>
      <w:lvlJc w:val="left"/>
      <w:pPr>
        <w:ind w:left="7121" w:hanging="556"/>
      </w:pPr>
      <w:rPr>
        <w:rFonts w:hint="default"/>
        <w:lang w:val="en-US" w:eastAsia="en-US" w:bidi="ar-SA"/>
      </w:rPr>
    </w:lvl>
  </w:abstractNum>
  <w:abstractNum w:abstractNumId="13" w15:restartNumberingAfterBreak="0">
    <w:nsid w:val="3CD57DE5"/>
    <w:multiLevelType w:val="hybridMultilevel"/>
    <w:tmpl w:val="0EDA3A84"/>
    <w:lvl w:ilvl="0" w:tplc="FFFFFFFF">
      <w:start w:val="1"/>
      <w:numFmt w:val="bullet"/>
      <w:lvlText w:val=""/>
      <w:lvlJc w:val="left"/>
      <w:pPr>
        <w:ind w:left="-66" w:hanging="360"/>
      </w:pPr>
      <w:rPr>
        <w:rFonts w:ascii="Wingdings" w:hAnsi="Wingdings" w:hint="default"/>
      </w:rPr>
    </w:lvl>
    <w:lvl w:ilvl="1" w:tplc="FFFFFFFF">
      <w:start w:val="5"/>
      <w:numFmt w:val="bullet"/>
      <w:lvlText w:val="-"/>
      <w:lvlJc w:val="left"/>
      <w:pPr>
        <w:ind w:left="654" w:hanging="360"/>
      </w:pPr>
      <w:rPr>
        <w:rFonts w:ascii="Cambria" w:eastAsiaTheme="minorHAnsi" w:hAnsi="Cambria" w:cstheme="minorBidi" w:hint="default"/>
      </w:rPr>
    </w:lvl>
    <w:lvl w:ilvl="2" w:tplc="FFFFFFFF">
      <w:start w:val="1"/>
      <w:numFmt w:val="bullet"/>
      <w:lvlText w:val="-"/>
      <w:lvlJc w:val="left"/>
      <w:pPr>
        <w:ind w:left="720" w:hanging="360"/>
      </w:pPr>
      <w:rPr>
        <w:rFonts w:ascii="Cambria" w:hAnsi="Cambria" w:hint="default"/>
      </w:rPr>
    </w:lvl>
    <w:lvl w:ilvl="3" w:tplc="FFFFFFFF" w:tentative="1">
      <w:start w:val="1"/>
      <w:numFmt w:val="bullet"/>
      <w:lvlText w:val=""/>
      <w:lvlJc w:val="left"/>
      <w:pPr>
        <w:ind w:left="2094" w:hanging="360"/>
      </w:pPr>
      <w:rPr>
        <w:rFonts w:ascii="Symbol" w:hAnsi="Symbol" w:hint="default"/>
      </w:rPr>
    </w:lvl>
    <w:lvl w:ilvl="4" w:tplc="FFFFFFFF" w:tentative="1">
      <w:start w:val="1"/>
      <w:numFmt w:val="bullet"/>
      <w:lvlText w:val="o"/>
      <w:lvlJc w:val="left"/>
      <w:pPr>
        <w:ind w:left="2814" w:hanging="360"/>
      </w:pPr>
      <w:rPr>
        <w:rFonts w:ascii="Courier New" w:hAnsi="Courier New" w:cs="Courier New" w:hint="default"/>
      </w:rPr>
    </w:lvl>
    <w:lvl w:ilvl="5" w:tplc="FFFFFFFF" w:tentative="1">
      <w:start w:val="1"/>
      <w:numFmt w:val="bullet"/>
      <w:lvlText w:val=""/>
      <w:lvlJc w:val="left"/>
      <w:pPr>
        <w:ind w:left="3534" w:hanging="360"/>
      </w:pPr>
      <w:rPr>
        <w:rFonts w:ascii="Wingdings" w:hAnsi="Wingdings" w:hint="default"/>
      </w:rPr>
    </w:lvl>
    <w:lvl w:ilvl="6" w:tplc="FFFFFFFF" w:tentative="1">
      <w:start w:val="1"/>
      <w:numFmt w:val="bullet"/>
      <w:lvlText w:val=""/>
      <w:lvlJc w:val="left"/>
      <w:pPr>
        <w:ind w:left="4254" w:hanging="360"/>
      </w:pPr>
      <w:rPr>
        <w:rFonts w:ascii="Symbol" w:hAnsi="Symbol" w:hint="default"/>
      </w:rPr>
    </w:lvl>
    <w:lvl w:ilvl="7" w:tplc="FFFFFFFF" w:tentative="1">
      <w:start w:val="1"/>
      <w:numFmt w:val="bullet"/>
      <w:lvlText w:val="o"/>
      <w:lvlJc w:val="left"/>
      <w:pPr>
        <w:ind w:left="4974" w:hanging="360"/>
      </w:pPr>
      <w:rPr>
        <w:rFonts w:ascii="Courier New" w:hAnsi="Courier New" w:cs="Courier New" w:hint="default"/>
      </w:rPr>
    </w:lvl>
    <w:lvl w:ilvl="8" w:tplc="FFFFFFFF" w:tentative="1">
      <w:start w:val="1"/>
      <w:numFmt w:val="bullet"/>
      <w:lvlText w:val=""/>
      <w:lvlJc w:val="left"/>
      <w:pPr>
        <w:ind w:left="5694" w:hanging="360"/>
      </w:pPr>
      <w:rPr>
        <w:rFonts w:ascii="Wingdings" w:hAnsi="Wingdings" w:hint="default"/>
      </w:rPr>
    </w:lvl>
  </w:abstractNum>
  <w:abstractNum w:abstractNumId="14" w15:restartNumberingAfterBreak="0">
    <w:nsid w:val="4AF264A5"/>
    <w:multiLevelType w:val="hybridMultilevel"/>
    <w:tmpl w:val="1F26761C"/>
    <w:lvl w:ilvl="0" w:tplc="002AA744">
      <w:start w:val="5"/>
      <w:numFmt w:val="bullet"/>
      <w:lvlText w:val="-"/>
      <w:lvlJc w:val="left"/>
      <w:pPr>
        <w:ind w:left="720" w:hanging="360"/>
      </w:pPr>
      <w:rPr>
        <w:rFonts w:ascii="Cambria" w:eastAsia="Cambria" w:hAnsi="Cambria" w:cs="Cambria"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B292BAD"/>
    <w:multiLevelType w:val="hybridMultilevel"/>
    <w:tmpl w:val="6CE28A62"/>
    <w:lvl w:ilvl="0" w:tplc="FFFFFFFF">
      <w:start w:val="5"/>
      <w:numFmt w:val="bullet"/>
      <w:lvlText w:val="-"/>
      <w:lvlJc w:val="left"/>
      <w:pPr>
        <w:ind w:left="360" w:hanging="360"/>
      </w:pPr>
      <w:rPr>
        <w:rFonts w:ascii="Cambria" w:eastAsia="Cambria" w:hAnsi="Cambria" w:cs="Cambria" w:hint="default"/>
      </w:rPr>
    </w:lvl>
    <w:lvl w:ilvl="1" w:tplc="577A4170">
      <w:start w:val="1"/>
      <w:numFmt w:val="bullet"/>
      <w:lvlText w:val="-"/>
      <w:lvlJc w:val="left"/>
      <w:pPr>
        <w:ind w:left="1080" w:hanging="360"/>
      </w:pPr>
      <w:rPr>
        <w:rFonts w:ascii="Cambria" w:hAnsi="Cambria" w:hint="default"/>
      </w:rPr>
    </w:lvl>
    <w:lvl w:ilvl="2" w:tplc="FFFFFFFF">
      <w:start w:val="5"/>
      <w:numFmt w:val="bullet"/>
      <w:lvlText w:val="-"/>
      <w:lvlJc w:val="left"/>
      <w:pPr>
        <w:ind w:left="1800" w:hanging="360"/>
      </w:pPr>
      <w:rPr>
        <w:rFonts w:ascii="Cambria" w:eastAsia="Cambria" w:hAnsi="Cambria" w:cs="Cambria"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4B94295D"/>
    <w:multiLevelType w:val="hybridMultilevel"/>
    <w:tmpl w:val="182CA22A"/>
    <w:lvl w:ilvl="0" w:tplc="08090017">
      <w:start w:val="1"/>
      <w:numFmt w:val="lowerLetter"/>
      <w:lvlText w:val="%1)"/>
      <w:lvlJc w:val="left"/>
      <w:pPr>
        <w:ind w:left="360" w:hanging="360"/>
      </w:pPr>
      <w:rPr>
        <w:rFonts w:hint="default"/>
      </w:rPr>
    </w:lvl>
    <w:lvl w:ilvl="1" w:tplc="002AA744">
      <w:start w:val="5"/>
      <w:numFmt w:val="bullet"/>
      <w:lvlText w:val="-"/>
      <w:lvlJc w:val="left"/>
      <w:pPr>
        <w:ind w:left="786" w:hanging="360"/>
      </w:pPr>
      <w:rPr>
        <w:rFonts w:ascii="Cambria" w:eastAsia="Cambria" w:hAnsi="Cambria" w:cs="Cambria" w:hint="default"/>
      </w:rPr>
    </w:lvl>
    <w:lvl w:ilvl="2" w:tplc="002AA744">
      <w:start w:val="5"/>
      <w:numFmt w:val="bullet"/>
      <w:lvlText w:val="-"/>
      <w:lvlJc w:val="left"/>
      <w:pPr>
        <w:ind w:left="1800" w:hanging="360"/>
      </w:pPr>
      <w:rPr>
        <w:rFonts w:ascii="Cambria" w:eastAsia="Cambria" w:hAnsi="Cambria" w:cs="Cambria"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D9D3695"/>
    <w:multiLevelType w:val="hybridMultilevel"/>
    <w:tmpl w:val="D800191E"/>
    <w:lvl w:ilvl="0" w:tplc="FFFFFFFF">
      <w:start w:val="5"/>
      <w:numFmt w:val="bullet"/>
      <w:lvlText w:val="-"/>
      <w:lvlJc w:val="left"/>
      <w:pPr>
        <w:ind w:left="720" w:hanging="360"/>
      </w:pPr>
      <w:rPr>
        <w:rFonts w:ascii="Cambria" w:eastAsia="Cambria" w:hAnsi="Cambria" w:cs="Cambria" w:hint="default"/>
      </w:rPr>
    </w:lvl>
    <w:lvl w:ilvl="1" w:tplc="04090001">
      <w:start w:val="1"/>
      <w:numFmt w:val="bullet"/>
      <w:lvlText w:val=""/>
      <w:lvlJc w:val="left"/>
      <w:pPr>
        <w:ind w:left="1374"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FDD16FA"/>
    <w:multiLevelType w:val="hybridMultilevel"/>
    <w:tmpl w:val="6534DEE6"/>
    <w:lvl w:ilvl="0" w:tplc="FFFFFFFF">
      <w:start w:val="1"/>
      <w:numFmt w:val="bullet"/>
      <w:lvlText w:val="-"/>
      <w:lvlJc w:val="left"/>
      <w:pPr>
        <w:ind w:left="720" w:hanging="360"/>
      </w:pPr>
      <w:rPr>
        <w:rFonts w:ascii="Cambria" w:hAnsi="Cambri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70478D6"/>
    <w:multiLevelType w:val="multilevel"/>
    <w:tmpl w:val="FD880988"/>
    <w:lvl w:ilvl="0">
      <w:start w:val="1"/>
      <w:numFmt w:val="lowerLetter"/>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0" w15:restartNumberingAfterBreak="0">
    <w:nsid w:val="580049BB"/>
    <w:multiLevelType w:val="hybridMultilevel"/>
    <w:tmpl w:val="7AB86602"/>
    <w:lvl w:ilvl="0" w:tplc="FFFFFFFF">
      <w:start w:val="5"/>
      <w:numFmt w:val="bullet"/>
      <w:lvlText w:val="-"/>
      <w:lvlJc w:val="left"/>
      <w:pPr>
        <w:ind w:left="720" w:hanging="360"/>
      </w:pPr>
      <w:rPr>
        <w:rFonts w:ascii="Cambria" w:eastAsia="Cambria" w:hAnsi="Cambria" w:cs="Cambria" w:hint="default"/>
      </w:rPr>
    </w:lvl>
    <w:lvl w:ilvl="1" w:tplc="04090001">
      <w:start w:val="1"/>
      <w:numFmt w:val="bullet"/>
      <w:lvlText w:val=""/>
      <w:lvlJc w:val="left"/>
      <w:pPr>
        <w:ind w:left="1374"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8190662"/>
    <w:multiLevelType w:val="hybridMultilevel"/>
    <w:tmpl w:val="AABA1A22"/>
    <w:lvl w:ilvl="0" w:tplc="002AA744">
      <w:start w:val="5"/>
      <w:numFmt w:val="bullet"/>
      <w:lvlText w:val="-"/>
      <w:lvlJc w:val="left"/>
      <w:pPr>
        <w:ind w:left="720" w:hanging="360"/>
      </w:pPr>
      <w:rPr>
        <w:rFonts w:ascii="Cambria" w:eastAsia="Cambria" w:hAnsi="Cambria" w:cs="Cambria" w:hint="default"/>
      </w:rPr>
    </w:lvl>
    <w:lvl w:ilvl="1" w:tplc="BB3A1F52">
      <w:start w:val="1"/>
      <w:numFmt w:val="bullet"/>
      <w:lvlText w:val="-"/>
      <w:lvlJc w:val="left"/>
      <w:pPr>
        <w:ind w:left="1440" w:hanging="360"/>
      </w:pPr>
      <w:rPr>
        <w:rFonts w:ascii="Cambria" w:eastAsia="Cambria" w:hAnsi="Cambria" w:cs="Cambria"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843EC4"/>
    <w:multiLevelType w:val="hybridMultilevel"/>
    <w:tmpl w:val="63123838"/>
    <w:lvl w:ilvl="0" w:tplc="002AA744">
      <w:start w:val="5"/>
      <w:numFmt w:val="bullet"/>
      <w:lvlText w:val="-"/>
      <w:lvlJc w:val="left"/>
      <w:pPr>
        <w:ind w:left="786" w:hanging="360"/>
      </w:pPr>
      <w:rPr>
        <w:rFonts w:ascii="Cambria" w:eastAsia="Cambria" w:hAnsi="Cambria" w:cs="Cambria" w:hint="default"/>
      </w:rPr>
    </w:lvl>
    <w:lvl w:ilvl="1" w:tplc="08090003">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3" w15:restartNumberingAfterBreak="0">
    <w:nsid w:val="5D5C6F85"/>
    <w:multiLevelType w:val="hybridMultilevel"/>
    <w:tmpl w:val="7A7A0E5C"/>
    <w:lvl w:ilvl="0" w:tplc="FFFFFFFF">
      <w:start w:val="5"/>
      <w:numFmt w:val="bullet"/>
      <w:lvlText w:val="-"/>
      <w:lvlJc w:val="left"/>
      <w:pPr>
        <w:ind w:left="786" w:hanging="360"/>
      </w:pPr>
      <w:rPr>
        <w:rFonts w:ascii="Cambria" w:eastAsia="Cambria" w:hAnsi="Cambria" w:cs="Cambria" w:hint="default"/>
      </w:rPr>
    </w:lvl>
    <w:lvl w:ilvl="1" w:tplc="002AA744">
      <w:start w:val="5"/>
      <w:numFmt w:val="bullet"/>
      <w:lvlText w:val="-"/>
      <w:lvlJc w:val="left"/>
      <w:pPr>
        <w:ind w:left="1506" w:hanging="360"/>
      </w:pPr>
      <w:rPr>
        <w:rFonts w:ascii="Cambria" w:eastAsia="Cambria" w:hAnsi="Cambria" w:cs="Cambria"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24" w15:restartNumberingAfterBreak="0">
    <w:nsid w:val="5E7041C3"/>
    <w:multiLevelType w:val="hybridMultilevel"/>
    <w:tmpl w:val="6DCED658"/>
    <w:lvl w:ilvl="0" w:tplc="FFFFFFFF">
      <w:start w:val="1"/>
      <w:numFmt w:val="bullet"/>
      <w:lvlText w:val=""/>
      <w:lvlJc w:val="left"/>
      <w:pPr>
        <w:ind w:left="-66" w:hanging="360"/>
      </w:pPr>
      <w:rPr>
        <w:rFonts w:ascii="Wingdings" w:hAnsi="Wingdings" w:hint="default"/>
      </w:rPr>
    </w:lvl>
    <w:lvl w:ilvl="1" w:tplc="FFFFFFFF">
      <w:start w:val="5"/>
      <w:numFmt w:val="bullet"/>
      <w:lvlText w:val="-"/>
      <w:lvlJc w:val="left"/>
      <w:pPr>
        <w:ind w:left="654" w:hanging="360"/>
      </w:pPr>
      <w:rPr>
        <w:rFonts w:ascii="Cambria" w:eastAsiaTheme="minorHAnsi" w:hAnsi="Cambria" w:cstheme="minorBidi" w:hint="default"/>
      </w:rPr>
    </w:lvl>
    <w:lvl w:ilvl="2" w:tplc="08090003">
      <w:start w:val="1"/>
      <w:numFmt w:val="bullet"/>
      <w:lvlText w:val="o"/>
      <w:lvlJc w:val="left"/>
      <w:pPr>
        <w:ind w:left="1440" w:hanging="360"/>
      </w:pPr>
      <w:rPr>
        <w:rFonts w:ascii="Courier New" w:hAnsi="Courier New" w:cs="Courier New" w:hint="default"/>
      </w:rPr>
    </w:lvl>
    <w:lvl w:ilvl="3" w:tplc="FFFFFFFF" w:tentative="1">
      <w:start w:val="1"/>
      <w:numFmt w:val="bullet"/>
      <w:lvlText w:val=""/>
      <w:lvlJc w:val="left"/>
      <w:pPr>
        <w:ind w:left="2094" w:hanging="360"/>
      </w:pPr>
      <w:rPr>
        <w:rFonts w:ascii="Symbol" w:hAnsi="Symbol" w:hint="default"/>
      </w:rPr>
    </w:lvl>
    <w:lvl w:ilvl="4" w:tplc="FFFFFFFF" w:tentative="1">
      <w:start w:val="1"/>
      <w:numFmt w:val="bullet"/>
      <w:lvlText w:val="o"/>
      <w:lvlJc w:val="left"/>
      <w:pPr>
        <w:ind w:left="2814" w:hanging="360"/>
      </w:pPr>
      <w:rPr>
        <w:rFonts w:ascii="Courier New" w:hAnsi="Courier New" w:cs="Courier New" w:hint="default"/>
      </w:rPr>
    </w:lvl>
    <w:lvl w:ilvl="5" w:tplc="FFFFFFFF" w:tentative="1">
      <w:start w:val="1"/>
      <w:numFmt w:val="bullet"/>
      <w:lvlText w:val=""/>
      <w:lvlJc w:val="left"/>
      <w:pPr>
        <w:ind w:left="3534" w:hanging="360"/>
      </w:pPr>
      <w:rPr>
        <w:rFonts w:ascii="Wingdings" w:hAnsi="Wingdings" w:hint="default"/>
      </w:rPr>
    </w:lvl>
    <w:lvl w:ilvl="6" w:tplc="FFFFFFFF" w:tentative="1">
      <w:start w:val="1"/>
      <w:numFmt w:val="bullet"/>
      <w:lvlText w:val=""/>
      <w:lvlJc w:val="left"/>
      <w:pPr>
        <w:ind w:left="4254" w:hanging="360"/>
      </w:pPr>
      <w:rPr>
        <w:rFonts w:ascii="Symbol" w:hAnsi="Symbol" w:hint="default"/>
      </w:rPr>
    </w:lvl>
    <w:lvl w:ilvl="7" w:tplc="FFFFFFFF" w:tentative="1">
      <w:start w:val="1"/>
      <w:numFmt w:val="bullet"/>
      <w:lvlText w:val="o"/>
      <w:lvlJc w:val="left"/>
      <w:pPr>
        <w:ind w:left="4974" w:hanging="360"/>
      </w:pPr>
      <w:rPr>
        <w:rFonts w:ascii="Courier New" w:hAnsi="Courier New" w:cs="Courier New" w:hint="default"/>
      </w:rPr>
    </w:lvl>
    <w:lvl w:ilvl="8" w:tplc="FFFFFFFF" w:tentative="1">
      <w:start w:val="1"/>
      <w:numFmt w:val="bullet"/>
      <w:lvlText w:val=""/>
      <w:lvlJc w:val="left"/>
      <w:pPr>
        <w:ind w:left="5694" w:hanging="360"/>
      </w:pPr>
      <w:rPr>
        <w:rFonts w:ascii="Wingdings" w:hAnsi="Wingdings" w:hint="default"/>
      </w:rPr>
    </w:lvl>
  </w:abstractNum>
  <w:abstractNum w:abstractNumId="25" w15:restartNumberingAfterBreak="0">
    <w:nsid w:val="5EFF34DB"/>
    <w:multiLevelType w:val="hybridMultilevel"/>
    <w:tmpl w:val="99783FB6"/>
    <w:lvl w:ilvl="0" w:tplc="FFFFFFFF">
      <w:start w:val="1"/>
      <w:numFmt w:val="bullet"/>
      <w:lvlText w:val=""/>
      <w:lvlJc w:val="left"/>
      <w:pPr>
        <w:ind w:left="-66" w:hanging="360"/>
      </w:pPr>
      <w:rPr>
        <w:rFonts w:ascii="Wingdings" w:hAnsi="Wingdings" w:hint="default"/>
      </w:rPr>
    </w:lvl>
    <w:lvl w:ilvl="1" w:tplc="FFFFFFFF">
      <w:start w:val="5"/>
      <w:numFmt w:val="bullet"/>
      <w:lvlText w:val="-"/>
      <w:lvlJc w:val="left"/>
      <w:pPr>
        <w:ind w:left="654" w:hanging="360"/>
      </w:pPr>
      <w:rPr>
        <w:rFonts w:ascii="Cambria" w:eastAsiaTheme="minorHAnsi" w:hAnsi="Cambria" w:cstheme="minorBidi" w:hint="default"/>
      </w:rPr>
    </w:lvl>
    <w:lvl w:ilvl="2" w:tplc="002AA744">
      <w:start w:val="5"/>
      <w:numFmt w:val="bullet"/>
      <w:lvlText w:val="-"/>
      <w:lvlJc w:val="left"/>
      <w:pPr>
        <w:ind w:left="1440" w:hanging="360"/>
      </w:pPr>
      <w:rPr>
        <w:rFonts w:ascii="Cambria" w:eastAsia="Cambria" w:hAnsi="Cambria" w:cs="Cambria" w:hint="default"/>
      </w:rPr>
    </w:lvl>
    <w:lvl w:ilvl="3" w:tplc="FFFFFFFF" w:tentative="1">
      <w:start w:val="1"/>
      <w:numFmt w:val="bullet"/>
      <w:lvlText w:val=""/>
      <w:lvlJc w:val="left"/>
      <w:pPr>
        <w:ind w:left="2094" w:hanging="360"/>
      </w:pPr>
      <w:rPr>
        <w:rFonts w:ascii="Symbol" w:hAnsi="Symbol" w:hint="default"/>
      </w:rPr>
    </w:lvl>
    <w:lvl w:ilvl="4" w:tplc="FFFFFFFF" w:tentative="1">
      <w:start w:val="1"/>
      <w:numFmt w:val="bullet"/>
      <w:lvlText w:val="o"/>
      <w:lvlJc w:val="left"/>
      <w:pPr>
        <w:ind w:left="2814" w:hanging="360"/>
      </w:pPr>
      <w:rPr>
        <w:rFonts w:ascii="Courier New" w:hAnsi="Courier New" w:cs="Courier New" w:hint="default"/>
      </w:rPr>
    </w:lvl>
    <w:lvl w:ilvl="5" w:tplc="FFFFFFFF" w:tentative="1">
      <w:start w:val="1"/>
      <w:numFmt w:val="bullet"/>
      <w:lvlText w:val=""/>
      <w:lvlJc w:val="left"/>
      <w:pPr>
        <w:ind w:left="3534" w:hanging="360"/>
      </w:pPr>
      <w:rPr>
        <w:rFonts w:ascii="Wingdings" w:hAnsi="Wingdings" w:hint="default"/>
      </w:rPr>
    </w:lvl>
    <w:lvl w:ilvl="6" w:tplc="FFFFFFFF" w:tentative="1">
      <w:start w:val="1"/>
      <w:numFmt w:val="bullet"/>
      <w:lvlText w:val=""/>
      <w:lvlJc w:val="left"/>
      <w:pPr>
        <w:ind w:left="4254" w:hanging="360"/>
      </w:pPr>
      <w:rPr>
        <w:rFonts w:ascii="Symbol" w:hAnsi="Symbol" w:hint="default"/>
      </w:rPr>
    </w:lvl>
    <w:lvl w:ilvl="7" w:tplc="FFFFFFFF" w:tentative="1">
      <w:start w:val="1"/>
      <w:numFmt w:val="bullet"/>
      <w:lvlText w:val="o"/>
      <w:lvlJc w:val="left"/>
      <w:pPr>
        <w:ind w:left="4974" w:hanging="360"/>
      </w:pPr>
      <w:rPr>
        <w:rFonts w:ascii="Courier New" w:hAnsi="Courier New" w:cs="Courier New" w:hint="default"/>
      </w:rPr>
    </w:lvl>
    <w:lvl w:ilvl="8" w:tplc="FFFFFFFF" w:tentative="1">
      <w:start w:val="1"/>
      <w:numFmt w:val="bullet"/>
      <w:lvlText w:val=""/>
      <w:lvlJc w:val="left"/>
      <w:pPr>
        <w:ind w:left="5694" w:hanging="360"/>
      </w:pPr>
      <w:rPr>
        <w:rFonts w:ascii="Wingdings" w:hAnsi="Wingdings" w:hint="default"/>
      </w:rPr>
    </w:lvl>
  </w:abstractNum>
  <w:abstractNum w:abstractNumId="26" w15:restartNumberingAfterBreak="0">
    <w:nsid w:val="64B4130E"/>
    <w:multiLevelType w:val="hybridMultilevel"/>
    <w:tmpl w:val="61520DA4"/>
    <w:lvl w:ilvl="0" w:tplc="002AA744">
      <w:start w:val="5"/>
      <w:numFmt w:val="bullet"/>
      <w:lvlText w:val="-"/>
      <w:lvlJc w:val="left"/>
      <w:pPr>
        <w:ind w:left="720" w:hanging="360"/>
      </w:pPr>
      <w:rPr>
        <w:rFonts w:ascii="Cambria" w:eastAsia="Cambria" w:hAnsi="Cambria" w:cs="Cambria"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2353933"/>
    <w:multiLevelType w:val="multilevel"/>
    <w:tmpl w:val="3ADEB190"/>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74972428"/>
    <w:multiLevelType w:val="hybridMultilevel"/>
    <w:tmpl w:val="4DAE9592"/>
    <w:lvl w:ilvl="0" w:tplc="6102F218">
      <w:start w:val="1"/>
      <w:numFmt w:val="decimal"/>
      <w:lvlText w:val="%1."/>
      <w:lvlJc w:val="left"/>
      <w:pPr>
        <w:ind w:left="1305" w:hanging="360"/>
      </w:pPr>
      <w:rPr>
        <w:rFonts w:hint="default"/>
      </w:rPr>
    </w:lvl>
    <w:lvl w:ilvl="1" w:tplc="04090019" w:tentative="1">
      <w:start w:val="1"/>
      <w:numFmt w:val="lowerLetter"/>
      <w:lvlText w:val="%2."/>
      <w:lvlJc w:val="left"/>
      <w:pPr>
        <w:ind w:left="2025" w:hanging="360"/>
      </w:pPr>
    </w:lvl>
    <w:lvl w:ilvl="2" w:tplc="0409001B" w:tentative="1">
      <w:start w:val="1"/>
      <w:numFmt w:val="lowerRoman"/>
      <w:lvlText w:val="%3."/>
      <w:lvlJc w:val="right"/>
      <w:pPr>
        <w:ind w:left="2745" w:hanging="180"/>
      </w:pPr>
    </w:lvl>
    <w:lvl w:ilvl="3" w:tplc="0409000F" w:tentative="1">
      <w:start w:val="1"/>
      <w:numFmt w:val="decimal"/>
      <w:lvlText w:val="%4."/>
      <w:lvlJc w:val="left"/>
      <w:pPr>
        <w:ind w:left="3465" w:hanging="360"/>
      </w:pPr>
    </w:lvl>
    <w:lvl w:ilvl="4" w:tplc="04090019" w:tentative="1">
      <w:start w:val="1"/>
      <w:numFmt w:val="lowerLetter"/>
      <w:lvlText w:val="%5."/>
      <w:lvlJc w:val="left"/>
      <w:pPr>
        <w:ind w:left="4185" w:hanging="360"/>
      </w:pPr>
    </w:lvl>
    <w:lvl w:ilvl="5" w:tplc="0409001B" w:tentative="1">
      <w:start w:val="1"/>
      <w:numFmt w:val="lowerRoman"/>
      <w:lvlText w:val="%6."/>
      <w:lvlJc w:val="right"/>
      <w:pPr>
        <w:ind w:left="4905" w:hanging="180"/>
      </w:pPr>
    </w:lvl>
    <w:lvl w:ilvl="6" w:tplc="0409000F" w:tentative="1">
      <w:start w:val="1"/>
      <w:numFmt w:val="decimal"/>
      <w:lvlText w:val="%7."/>
      <w:lvlJc w:val="left"/>
      <w:pPr>
        <w:ind w:left="5625" w:hanging="360"/>
      </w:pPr>
    </w:lvl>
    <w:lvl w:ilvl="7" w:tplc="04090019" w:tentative="1">
      <w:start w:val="1"/>
      <w:numFmt w:val="lowerLetter"/>
      <w:lvlText w:val="%8."/>
      <w:lvlJc w:val="left"/>
      <w:pPr>
        <w:ind w:left="6345" w:hanging="360"/>
      </w:pPr>
    </w:lvl>
    <w:lvl w:ilvl="8" w:tplc="0409001B" w:tentative="1">
      <w:start w:val="1"/>
      <w:numFmt w:val="lowerRoman"/>
      <w:lvlText w:val="%9."/>
      <w:lvlJc w:val="right"/>
      <w:pPr>
        <w:ind w:left="7065" w:hanging="180"/>
      </w:pPr>
    </w:lvl>
  </w:abstractNum>
  <w:abstractNum w:abstractNumId="29" w15:restartNumberingAfterBreak="0">
    <w:nsid w:val="75CD7BB6"/>
    <w:multiLevelType w:val="hybridMultilevel"/>
    <w:tmpl w:val="89445AC2"/>
    <w:lvl w:ilvl="0" w:tplc="5CC08C22">
      <w:start w:val="1"/>
      <w:numFmt w:val="bullet"/>
      <w:lvlText w:val=""/>
      <w:lvlJc w:val="left"/>
      <w:pPr>
        <w:ind w:left="-66" w:hanging="360"/>
      </w:pPr>
      <w:rPr>
        <w:rFonts w:ascii="Symbol" w:hAnsi="Symbol" w:hint="default"/>
      </w:rPr>
    </w:lvl>
    <w:lvl w:ilvl="1" w:tplc="04090001">
      <w:start w:val="1"/>
      <w:numFmt w:val="bullet"/>
      <w:lvlText w:val=""/>
      <w:lvlJc w:val="left"/>
      <w:pPr>
        <w:ind w:left="654" w:hanging="360"/>
      </w:pPr>
      <w:rPr>
        <w:rFonts w:ascii="Symbol" w:hAnsi="Symbol" w:hint="default"/>
      </w:rPr>
    </w:lvl>
    <w:lvl w:ilvl="2" w:tplc="08090005">
      <w:start w:val="1"/>
      <w:numFmt w:val="bullet"/>
      <w:lvlText w:val=""/>
      <w:lvlJc w:val="left"/>
      <w:pPr>
        <w:ind w:left="1374" w:hanging="360"/>
      </w:pPr>
      <w:rPr>
        <w:rFonts w:ascii="Wingdings" w:hAnsi="Wingdings" w:hint="default"/>
      </w:rPr>
    </w:lvl>
    <w:lvl w:ilvl="3" w:tplc="08090001" w:tentative="1">
      <w:start w:val="1"/>
      <w:numFmt w:val="bullet"/>
      <w:lvlText w:val=""/>
      <w:lvlJc w:val="left"/>
      <w:pPr>
        <w:ind w:left="2094" w:hanging="360"/>
      </w:pPr>
      <w:rPr>
        <w:rFonts w:ascii="Symbol" w:hAnsi="Symbol" w:hint="default"/>
      </w:rPr>
    </w:lvl>
    <w:lvl w:ilvl="4" w:tplc="08090003" w:tentative="1">
      <w:start w:val="1"/>
      <w:numFmt w:val="bullet"/>
      <w:lvlText w:val="o"/>
      <w:lvlJc w:val="left"/>
      <w:pPr>
        <w:ind w:left="2814" w:hanging="360"/>
      </w:pPr>
      <w:rPr>
        <w:rFonts w:ascii="Courier New" w:hAnsi="Courier New" w:cs="Courier New" w:hint="default"/>
      </w:rPr>
    </w:lvl>
    <w:lvl w:ilvl="5" w:tplc="08090005" w:tentative="1">
      <w:start w:val="1"/>
      <w:numFmt w:val="bullet"/>
      <w:lvlText w:val=""/>
      <w:lvlJc w:val="left"/>
      <w:pPr>
        <w:ind w:left="3534" w:hanging="360"/>
      </w:pPr>
      <w:rPr>
        <w:rFonts w:ascii="Wingdings" w:hAnsi="Wingdings" w:hint="default"/>
      </w:rPr>
    </w:lvl>
    <w:lvl w:ilvl="6" w:tplc="08090001" w:tentative="1">
      <w:start w:val="1"/>
      <w:numFmt w:val="bullet"/>
      <w:lvlText w:val=""/>
      <w:lvlJc w:val="left"/>
      <w:pPr>
        <w:ind w:left="4254" w:hanging="360"/>
      </w:pPr>
      <w:rPr>
        <w:rFonts w:ascii="Symbol" w:hAnsi="Symbol" w:hint="default"/>
      </w:rPr>
    </w:lvl>
    <w:lvl w:ilvl="7" w:tplc="08090003" w:tentative="1">
      <w:start w:val="1"/>
      <w:numFmt w:val="bullet"/>
      <w:lvlText w:val="o"/>
      <w:lvlJc w:val="left"/>
      <w:pPr>
        <w:ind w:left="4974" w:hanging="360"/>
      </w:pPr>
      <w:rPr>
        <w:rFonts w:ascii="Courier New" w:hAnsi="Courier New" w:cs="Courier New" w:hint="default"/>
      </w:rPr>
    </w:lvl>
    <w:lvl w:ilvl="8" w:tplc="08090005" w:tentative="1">
      <w:start w:val="1"/>
      <w:numFmt w:val="bullet"/>
      <w:lvlText w:val=""/>
      <w:lvlJc w:val="left"/>
      <w:pPr>
        <w:ind w:left="5694" w:hanging="360"/>
      </w:pPr>
      <w:rPr>
        <w:rFonts w:ascii="Wingdings" w:hAnsi="Wingdings" w:hint="default"/>
      </w:rPr>
    </w:lvl>
  </w:abstractNum>
  <w:abstractNum w:abstractNumId="30" w15:restartNumberingAfterBreak="0">
    <w:nsid w:val="7B57050A"/>
    <w:multiLevelType w:val="hybridMultilevel"/>
    <w:tmpl w:val="1F1E0898"/>
    <w:lvl w:ilvl="0" w:tplc="0409000F">
      <w:start w:val="1"/>
      <w:numFmt w:val="decimal"/>
      <w:lvlText w:val="%1."/>
      <w:lvlJc w:val="left"/>
      <w:pPr>
        <w:ind w:left="2070" w:hanging="360"/>
      </w:p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1" w15:restartNumberingAfterBreak="0">
    <w:nsid w:val="7C285FD3"/>
    <w:multiLevelType w:val="hybridMultilevel"/>
    <w:tmpl w:val="97B2F3E6"/>
    <w:lvl w:ilvl="0" w:tplc="FFFFFFFF">
      <w:start w:val="5"/>
      <w:numFmt w:val="bullet"/>
      <w:lvlText w:val="-"/>
      <w:lvlJc w:val="left"/>
      <w:pPr>
        <w:ind w:left="720" w:hanging="360"/>
      </w:pPr>
      <w:rPr>
        <w:rFonts w:ascii="Cambria" w:eastAsia="Cambria" w:hAnsi="Cambria" w:cs="Cambria" w:hint="default"/>
      </w:rPr>
    </w:lvl>
    <w:lvl w:ilvl="1" w:tplc="002AA744">
      <w:start w:val="5"/>
      <w:numFmt w:val="bullet"/>
      <w:lvlText w:val="-"/>
      <w:lvlJc w:val="left"/>
      <w:pPr>
        <w:ind w:left="1440" w:hanging="360"/>
      </w:pPr>
      <w:rPr>
        <w:rFonts w:ascii="Cambria" w:eastAsia="Cambria" w:hAnsi="Cambria" w:cs="Cambria"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12829827">
    <w:abstractNumId w:val="29"/>
  </w:num>
  <w:num w:numId="2" w16cid:durableId="120849532">
    <w:abstractNumId w:val="16"/>
  </w:num>
  <w:num w:numId="3" w16cid:durableId="1472091696">
    <w:abstractNumId w:val="14"/>
  </w:num>
  <w:num w:numId="4" w16cid:durableId="1738355802">
    <w:abstractNumId w:val="8"/>
  </w:num>
  <w:num w:numId="5" w16cid:durableId="1087772482">
    <w:abstractNumId w:val="19"/>
  </w:num>
  <w:num w:numId="6" w16cid:durableId="948780209">
    <w:abstractNumId w:val="6"/>
  </w:num>
  <w:num w:numId="7" w16cid:durableId="1217162156">
    <w:abstractNumId w:val="7"/>
  </w:num>
  <w:num w:numId="8" w16cid:durableId="504976607">
    <w:abstractNumId w:val="31"/>
  </w:num>
  <w:num w:numId="9" w16cid:durableId="1861581038">
    <w:abstractNumId w:val="22"/>
  </w:num>
  <w:num w:numId="10" w16cid:durableId="1226722006">
    <w:abstractNumId w:val="23"/>
  </w:num>
  <w:num w:numId="11" w16cid:durableId="1320844230">
    <w:abstractNumId w:val="1"/>
  </w:num>
  <w:num w:numId="12" w16cid:durableId="193154149">
    <w:abstractNumId w:val="26"/>
  </w:num>
  <w:num w:numId="13" w16cid:durableId="174819207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62073800">
    <w:abstractNumId w:val="11"/>
  </w:num>
  <w:num w:numId="15" w16cid:durableId="1482309111">
    <w:abstractNumId w:val="4"/>
  </w:num>
  <w:num w:numId="16" w16cid:durableId="397755054">
    <w:abstractNumId w:val="28"/>
  </w:num>
  <w:num w:numId="17" w16cid:durableId="1214582312">
    <w:abstractNumId w:val="21"/>
  </w:num>
  <w:num w:numId="18" w16cid:durableId="1652364061">
    <w:abstractNumId w:val="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41239796">
    <w:abstractNumId w:val="6"/>
  </w:num>
  <w:num w:numId="20" w16cid:durableId="1003162645">
    <w:abstractNumId w:val="6"/>
  </w:num>
  <w:num w:numId="21" w16cid:durableId="1620140543">
    <w:abstractNumId w:val="6"/>
  </w:num>
  <w:num w:numId="22" w16cid:durableId="1525940683">
    <w:abstractNumId w:val="6"/>
  </w:num>
  <w:num w:numId="23" w16cid:durableId="1134636143">
    <w:abstractNumId w:val="6"/>
  </w:num>
  <w:num w:numId="24" w16cid:durableId="157969087">
    <w:abstractNumId w:val="6"/>
  </w:num>
  <w:num w:numId="25" w16cid:durableId="1004628958">
    <w:abstractNumId w:val="9"/>
  </w:num>
  <w:num w:numId="26" w16cid:durableId="904070390">
    <w:abstractNumId w:val="27"/>
  </w:num>
  <w:num w:numId="27" w16cid:durableId="901672610">
    <w:abstractNumId w:val="0"/>
  </w:num>
  <w:num w:numId="28" w16cid:durableId="1340040371">
    <w:abstractNumId w:val="5"/>
  </w:num>
  <w:num w:numId="29" w16cid:durableId="901987719">
    <w:abstractNumId w:val="6"/>
  </w:num>
  <w:num w:numId="30" w16cid:durableId="1244728362">
    <w:abstractNumId w:val="12"/>
  </w:num>
  <w:num w:numId="31" w16cid:durableId="406195853">
    <w:abstractNumId w:val="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22509085">
    <w:abstractNumId w:val="2"/>
  </w:num>
  <w:num w:numId="33" w16cid:durableId="215624279">
    <w:abstractNumId w:val="13"/>
  </w:num>
  <w:num w:numId="34" w16cid:durableId="221453959">
    <w:abstractNumId w:val="24"/>
  </w:num>
  <w:num w:numId="35" w16cid:durableId="1848322776">
    <w:abstractNumId w:val="25"/>
  </w:num>
  <w:num w:numId="36" w16cid:durableId="2135520739">
    <w:abstractNumId w:val="18"/>
  </w:num>
  <w:num w:numId="37" w16cid:durableId="1248927720">
    <w:abstractNumId w:val="30"/>
  </w:num>
  <w:num w:numId="38" w16cid:durableId="1831827936">
    <w:abstractNumId w:val="10"/>
  </w:num>
  <w:num w:numId="39" w16cid:durableId="1367948476">
    <w:abstractNumId w:val="20"/>
  </w:num>
  <w:num w:numId="40" w16cid:durableId="849296186">
    <w:abstractNumId w:val="17"/>
  </w:num>
  <w:num w:numId="41" w16cid:durableId="1765878101">
    <w:abstractNumId w:val="3"/>
  </w:num>
  <w:num w:numId="42" w16cid:durableId="938753442">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ES" w:vendorID="64" w:dllVersion="6" w:nlCheck="1" w:checkStyle="0"/>
  <w:activeWritingStyle w:appName="MSWord" w:lang="en-GB" w:vendorID="64" w:dllVersion="6" w:nlCheck="1" w:checkStyle="1"/>
  <w:activeWritingStyle w:appName="MSWord" w:lang="fr-FR" w:vendorID="64" w:dllVersion="6" w:nlCheck="1" w:checkStyle="0"/>
  <w:activeWritingStyle w:appName="MSWord" w:lang="en-US" w:vendorID="64" w:dllVersion="6" w:nlCheck="1" w:checkStyle="1"/>
  <w:activeWritingStyle w:appName="MSWord" w:lang="en-GB" w:vendorID="64" w:dllVersion="0" w:nlCheck="1" w:checkStyle="0"/>
  <w:activeWritingStyle w:appName="MSWord" w:lang="es-ES" w:vendorID="64" w:dllVersion="0" w:nlCheck="1" w:checkStyle="0"/>
  <w:activeWritingStyle w:appName="MSWord" w:lang="fr-FR" w:vendorID="64" w:dllVersion="0" w:nlCheck="1" w:checkStyle="0"/>
  <w:activeWritingStyle w:appName="MSWord" w:lang="en-US" w:vendorID="64" w:dllVersion="0" w:nlCheck="1" w:checkStyle="0"/>
  <w:activeWritingStyle w:appName="MSWord" w:lang="en-IE" w:vendorID="64" w:dllVersion="0" w:nlCheck="1" w:checkStyle="0"/>
  <w:activeWritingStyle w:appName="MSWord" w:lang="pt-PT" w:vendorID="64" w:dllVersion="0" w:nlCheck="1" w:checkStyle="0"/>
  <w:activeWritingStyle w:appName="MSWord" w:lang="it-IT" w:vendorID="64" w:dllVersion="0" w:nlCheck="1" w:checkStyle="0"/>
  <w:activeWritingStyle w:appName="MSWord" w:lang="pt-BR" w:vendorID="64" w:dllVersion="0" w:nlCheck="1" w:checkStyle="0"/>
  <w:activeWritingStyle w:appName="MSWord" w:lang="es-ES_tradnl" w:vendorID="64" w:dllVersion="0" w:nlCheck="1" w:checkStyle="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729"/>
    <w:rsid w:val="000004EE"/>
    <w:rsid w:val="000007D2"/>
    <w:rsid w:val="00000D09"/>
    <w:rsid w:val="0000130A"/>
    <w:rsid w:val="00001767"/>
    <w:rsid w:val="00001A3F"/>
    <w:rsid w:val="000024BF"/>
    <w:rsid w:val="0000267F"/>
    <w:rsid w:val="00002795"/>
    <w:rsid w:val="00002ACF"/>
    <w:rsid w:val="0000306F"/>
    <w:rsid w:val="00003818"/>
    <w:rsid w:val="00003DA9"/>
    <w:rsid w:val="00003DC4"/>
    <w:rsid w:val="000048F3"/>
    <w:rsid w:val="00005306"/>
    <w:rsid w:val="00005598"/>
    <w:rsid w:val="0000578D"/>
    <w:rsid w:val="00005AC2"/>
    <w:rsid w:val="00005B4E"/>
    <w:rsid w:val="000061A3"/>
    <w:rsid w:val="000062C3"/>
    <w:rsid w:val="00006BCF"/>
    <w:rsid w:val="000070DC"/>
    <w:rsid w:val="00007419"/>
    <w:rsid w:val="00007614"/>
    <w:rsid w:val="0000779C"/>
    <w:rsid w:val="00007908"/>
    <w:rsid w:val="00007A13"/>
    <w:rsid w:val="00007ECF"/>
    <w:rsid w:val="00010239"/>
    <w:rsid w:val="000103D9"/>
    <w:rsid w:val="00010607"/>
    <w:rsid w:val="00010B81"/>
    <w:rsid w:val="00010F91"/>
    <w:rsid w:val="00011445"/>
    <w:rsid w:val="00011A05"/>
    <w:rsid w:val="00011BA3"/>
    <w:rsid w:val="00011CA1"/>
    <w:rsid w:val="00011FEF"/>
    <w:rsid w:val="00012023"/>
    <w:rsid w:val="00012105"/>
    <w:rsid w:val="0001236A"/>
    <w:rsid w:val="00012386"/>
    <w:rsid w:val="00012DA6"/>
    <w:rsid w:val="00013ADD"/>
    <w:rsid w:val="00013D04"/>
    <w:rsid w:val="0001409C"/>
    <w:rsid w:val="0001475C"/>
    <w:rsid w:val="000147BA"/>
    <w:rsid w:val="00014BAD"/>
    <w:rsid w:val="00014BDD"/>
    <w:rsid w:val="00014C77"/>
    <w:rsid w:val="00015206"/>
    <w:rsid w:val="00015398"/>
    <w:rsid w:val="000158E5"/>
    <w:rsid w:val="000159CB"/>
    <w:rsid w:val="0001606F"/>
    <w:rsid w:val="0001641A"/>
    <w:rsid w:val="000164D6"/>
    <w:rsid w:val="000167D0"/>
    <w:rsid w:val="00016829"/>
    <w:rsid w:val="00016EE2"/>
    <w:rsid w:val="000202AE"/>
    <w:rsid w:val="000205BC"/>
    <w:rsid w:val="00020652"/>
    <w:rsid w:val="00020C41"/>
    <w:rsid w:val="00021060"/>
    <w:rsid w:val="000212D8"/>
    <w:rsid w:val="00021512"/>
    <w:rsid w:val="00022064"/>
    <w:rsid w:val="0002212B"/>
    <w:rsid w:val="0002237C"/>
    <w:rsid w:val="0002251B"/>
    <w:rsid w:val="0002254E"/>
    <w:rsid w:val="00022653"/>
    <w:rsid w:val="000229CC"/>
    <w:rsid w:val="00022CC4"/>
    <w:rsid w:val="00022E76"/>
    <w:rsid w:val="00023140"/>
    <w:rsid w:val="000236E2"/>
    <w:rsid w:val="00023A83"/>
    <w:rsid w:val="00023DDA"/>
    <w:rsid w:val="00023E4E"/>
    <w:rsid w:val="00023F24"/>
    <w:rsid w:val="00023FCA"/>
    <w:rsid w:val="000243D9"/>
    <w:rsid w:val="00024651"/>
    <w:rsid w:val="00024D07"/>
    <w:rsid w:val="00024F5A"/>
    <w:rsid w:val="00025308"/>
    <w:rsid w:val="0002562D"/>
    <w:rsid w:val="000257B7"/>
    <w:rsid w:val="00025BF1"/>
    <w:rsid w:val="00025C6C"/>
    <w:rsid w:val="00025CE4"/>
    <w:rsid w:val="00025FD1"/>
    <w:rsid w:val="00026188"/>
    <w:rsid w:val="00026220"/>
    <w:rsid w:val="000264F8"/>
    <w:rsid w:val="00026531"/>
    <w:rsid w:val="00026934"/>
    <w:rsid w:val="00026A58"/>
    <w:rsid w:val="000271E0"/>
    <w:rsid w:val="00027333"/>
    <w:rsid w:val="000279FA"/>
    <w:rsid w:val="00027BB7"/>
    <w:rsid w:val="0003076F"/>
    <w:rsid w:val="000307BE"/>
    <w:rsid w:val="00030A59"/>
    <w:rsid w:val="00030ACC"/>
    <w:rsid w:val="00030DD7"/>
    <w:rsid w:val="00031530"/>
    <w:rsid w:val="000317D6"/>
    <w:rsid w:val="0003182A"/>
    <w:rsid w:val="00031DB0"/>
    <w:rsid w:val="00031E0F"/>
    <w:rsid w:val="00031F67"/>
    <w:rsid w:val="0003278A"/>
    <w:rsid w:val="00032A64"/>
    <w:rsid w:val="00032AAA"/>
    <w:rsid w:val="00032B23"/>
    <w:rsid w:val="00032C50"/>
    <w:rsid w:val="00032F6F"/>
    <w:rsid w:val="00033157"/>
    <w:rsid w:val="0003322F"/>
    <w:rsid w:val="0003330A"/>
    <w:rsid w:val="000334DA"/>
    <w:rsid w:val="00033682"/>
    <w:rsid w:val="00033BFE"/>
    <w:rsid w:val="000340CC"/>
    <w:rsid w:val="0003485F"/>
    <w:rsid w:val="00034B24"/>
    <w:rsid w:val="00034DBD"/>
    <w:rsid w:val="0003529F"/>
    <w:rsid w:val="00035675"/>
    <w:rsid w:val="0003574B"/>
    <w:rsid w:val="0003602D"/>
    <w:rsid w:val="000360B3"/>
    <w:rsid w:val="000360D1"/>
    <w:rsid w:val="00036240"/>
    <w:rsid w:val="00036575"/>
    <w:rsid w:val="00036A9C"/>
    <w:rsid w:val="00036C0C"/>
    <w:rsid w:val="000371C1"/>
    <w:rsid w:val="000372F4"/>
    <w:rsid w:val="0003730B"/>
    <w:rsid w:val="00037971"/>
    <w:rsid w:val="000379D0"/>
    <w:rsid w:val="00037BB9"/>
    <w:rsid w:val="00040042"/>
    <w:rsid w:val="000409F0"/>
    <w:rsid w:val="00041615"/>
    <w:rsid w:val="00041EFE"/>
    <w:rsid w:val="000420F0"/>
    <w:rsid w:val="0004219B"/>
    <w:rsid w:val="00042371"/>
    <w:rsid w:val="00042995"/>
    <w:rsid w:val="0004368A"/>
    <w:rsid w:val="000436A9"/>
    <w:rsid w:val="0004460E"/>
    <w:rsid w:val="00044690"/>
    <w:rsid w:val="00044894"/>
    <w:rsid w:val="00044D1D"/>
    <w:rsid w:val="00045453"/>
    <w:rsid w:val="000455D2"/>
    <w:rsid w:val="00045710"/>
    <w:rsid w:val="00045ABD"/>
    <w:rsid w:val="00046663"/>
    <w:rsid w:val="00046D72"/>
    <w:rsid w:val="00046EAB"/>
    <w:rsid w:val="000476B6"/>
    <w:rsid w:val="000476B8"/>
    <w:rsid w:val="000477E0"/>
    <w:rsid w:val="000477E6"/>
    <w:rsid w:val="00047B5E"/>
    <w:rsid w:val="00047E68"/>
    <w:rsid w:val="00050181"/>
    <w:rsid w:val="00050210"/>
    <w:rsid w:val="00050527"/>
    <w:rsid w:val="0005059F"/>
    <w:rsid w:val="0005069C"/>
    <w:rsid w:val="000509FB"/>
    <w:rsid w:val="00050B03"/>
    <w:rsid w:val="0005103F"/>
    <w:rsid w:val="0005147E"/>
    <w:rsid w:val="0005183C"/>
    <w:rsid w:val="00051EE0"/>
    <w:rsid w:val="000521A6"/>
    <w:rsid w:val="00052470"/>
    <w:rsid w:val="000524E4"/>
    <w:rsid w:val="00052568"/>
    <w:rsid w:val="00053955"/>
    <w:rsid w:val="000539A1"/>
    <w:rsid w:val="00053DCA"/>
    <w:rsid w:val="0005422A"/>
    <w:rsid w:val="000542AC"/>
    <w:rsid w:val="0005443E"/>
    <w:rsid w:val="000547C5"/>
    <w:rsid w:val="00054C1F"/>
    <w:rsid w:val="00054FCC"/>
    <w:rsid w:val="000554BE"/>
    <w:rsid w:val="000558DB"/>
    <w:rsid w:val="00055F82"/>
    <w:rsid w:val="00056270"/>
    <w:rsid w:val="000562D9"/>
    <w:rsid w:val="0005644B"/>
    <w:rsid w:val="000567D3"/>
    <w:rsid w:val="00056D68"/>
    <w:rsid w:val="00056DAA"/>
    <w:rsid w:val="00056E38"/>
    <w:rsid w:val="000574F7"/>
    <w:rsid w:val="00057A77"/>
    <w:rsid w:val="00057EA1"/>
    <w:rsid w:val="00060676"/>
    <w:rsid w:val="000606B5"/>
    <w:rsid w:val="000608F8"/>
    <w:rsid w:val="00060973"/>
    <w:rsid w:val="00061276"/>
    <w:rsid w:val="0006141A"/>
    <w:rsid w:val="0006187C"/>
    <w:rsid w:val="00061DAE"/>
    <w:rsid w:val="00061F98"/>
    <w:rsid w:val="000620E3"/>
    <w:rsid w:val="0006220D"/>
    <w:rsid w:val="00062B59"/>
    <w:rsid w:val="00062F28"/>
    <w:rsid w:val="000630DB"/>
    <w:rsid w:val="000632FC"/>
    <w:rsid w:val="00063332"/>
    <w:rsid w:val="0006349E"/>
    <w:rsid w:val="00063543"/>
    <w:rsid w:val="00063563"/>
    <w:rsid w:val="00063886"/>
    <w:rsid w:val="00063A73"/>
    <w:rsid w:val="00063D7F"/>
    <w:rsid w:val="00063F19"/>
    <w:rsid w:val="0006459C"/>
    <w:rsid w:val="00064E45"/>
    <w:rsid w:val="0006506B"/>
    <w:rsid w:val="00065599"/>
    <w:rsid w:val="000656CF"/>
    <w:rsid w:val="00065A61"/>
    <w:rsid w:val="00065A82"/>
    <w:rsid w:val="00065AF8"/>
    <w:rsid w:val="00065F9B"/>
    <w:rsid w:val="0006614E"/>
    <w:rsid w:val="000661F0"/>
    <w:rsid w:val="00066621"/>
    <w:rsid w:val="00066813"/>
    <w:rsid w:val="00066A47"/>
    <w:rsid w:val="00066BB6"/>
    <w:rsid w:val="00066F1F"/>
    <w:rsid w:val="000671AB"/>
    <w:rsid w:val="00067923"/>
    <w:rsid w:val="000700A8"/>
    <w:rsid w:val="00070105"/>
    <w:rsid w:val="00070114"/>
    <w:rsid w:val="00070786"/>
    <w:rsid w:val="000708B5"/>
    <w:rsid w:val="00070906"/>
    <w:rsid w:val="00070981"/>
    <w:rsid w:val="000709F9"/>
    <w:rsid w:val="00071150"/>
    <w:rsid w:val="000715D9"/>
    <w:rsid w:val="000715E8"/>
    <w:rsid w:val="00071DB3"/>
    <w:rsid w:val="000725AF"/>
    <w:rsid w:val="0007285F"/>
    <w:rsid w:val="0007295D"/>
    <w:rsid w:val="00072BD2"/>
    <w:rsid w:val="00072EA2"/>
    <w:rsid w:val="000730C0"/>
    <w:rsid w:val="0007314F"/>
    <w:rsid w:val="0007339A"/>
    <w:rsid w:val="000734E6"/>
    <w:rsid w:val="000737A7"/>
    <w:rsid w:val="000737D2"/>
    <w:rsid w:val="000738EB"/>
    <w:rsid w:val="00073920"/>
    <w:rsid w:val="00073CD9"/>
    <w:rsid w:val="00074023"/>
    <w:rsid w:val="00074890"/>
    <w:rsid w:val="00074FB9"/>
    <w:rsid w:val="000755B3"/>
    <w:rsid w:val="00075B28"/>
    <w:rsid w:val="00075C50"/>
    <w:rsid w:val="00075F5D"/>
    <w:rsid w:val="0007634C"/>
    <w:rsid w:val="0007781C"/>
    <w:rsid w:val="00077C27"/>
    <w:rsid w:val="00077DF1"/>
    <w:rsid w:val="0008081D"/>
    <w:rsid w:val="00080E00"/>
    <w:rsid w:val="000812EF"/>
    <w:rsid w:val="0008138B"/>
    <w:rsid w:val="0008168D"/>
    <w:rsid w:val="000816D9"/>
    <w:rsid w:val="000817FA"/>
    <w:rsid w:val="00081916"/>
    <w:rsid w:val="000822A2"/>
    <w:rsid w:val="00082492"/>
    <w:rsid w:val="0008270C"/>
    <w:rsid w:val="00082D6E"/>
    <w:rsid w:val="00082FD8"/>
    <w:rsid w:val="0008316C"/>
    <w:rsid w:val="0008335B"/>
    <w:rsid w:val="000836F6"/>
    <w:rsid w:val="00083C78"/>
    <w:rsid w:val="00083CD0"/>
    <w:rsid w:val="00083CF7"/>
    <w:rsid w:val="00083CFB"/>
    <w:rsid w:val="00083E9C"/>
    <w:rsid w:val="000842E6"/>
    <w:rsid w:val="0008434B"/>
    <w:rsid w:val="000854A7"/>
    <w:rsid w:val="000854DA"/>
    <w:rsid w:val="00085959"/>
    <w:rsid w:val="00085A54"/>
    <w:rsid w:val="00085E0D"/>
    <w:rsid w:val="0008756C"/>
    <w:rsid w:val="00087BD5"/>
    <w:rsid w:val="00087CCA"/>
    <w:rsid w:val="00090249"/>
    <w:rsid w:val="0009035D"/>
    <w:rsid w:val="000904B4"/>
    <w:rsid w:val="0009061E"/>
    <w:rsid w:val="0009073F"/>
    <w:rsid w:val="000909E1"/>
    <w:rsid w:val="000909F4"/>
    <w:rsid w:val="000909FE"/>
    <w:rsid w:val="00090B47"/>
    <w:rsid w:val="00090C39"/>
    <w:rsid w:val="00090DCE"/>
    <w:rsid w:val="00090F35"/>
    <w:rsid w:val="000913FD"/>
    <w:rsid w:val="00091640"/>
    <w:rsid w:val="000918FB"/>
    <w:rsid w:val="0009225C"/>
    <w:rsid w:val="00092511"/>
    <w:rsid w:val="000925AB"/>
    <w:rsid w:val="00093466"/>
    <w:rsid w:val="00093791"/>
    <w:rsid w:val="00093DE7"/>
    <w:rsid w:val="00093F30"/>
    <w:rsid w:val="000942E4"/>
    <w:rsid w:val="0009442E"/>
    <w:rsid w:val="00094595"/>
    <w:rsid w:val="00094852"/>
    <w:rsid w:val="000955E4"/>
    <w:rsid w:val="00095952"/>
    <w:rsid w:val="00095A43"/>
    <w:rsid w:val="00095A9A"/>
    <w:rsid w:val="00095D1E"/>
    <w:rsid w:val="0009615A"/>
    <w:rsid w:val="00096B11"/>
    <w:rsid w:val="0009700A"/>
    <w:rsid w:val="00097C1A"/>
    <w:rsid w:val="00097F89"/>
    <w:rsid w:val="000A0922"/>
    <w:rsid w:val="000A119B"/>
    <w:rsid w:val="000A1465"/>
    <w:rsid w:val="000A1E36"/>
    <w:rsid w:val="000A220E"/>
    <w:rsid w:val="000A24C5"/>
    <w:rsid w:val="000A25EC"/>
    <w:rsid w:val="000A2719"/>
    <w:rsid w:val="000A2E90"/>
    <w:rsid w:val="000A2EE6"/>
    <w:rsid w:val="000A37D0"/>
    <w:rsid w:val="000A3F4A"/>
    <w:rsid w:val="000A4862"/>
    <w:rsid w:val="000A4EEB"/>
    <w:rsid w:val="000A529C"/>
    <w:rsid w:val="000A586D"/>
    <w:rsid w:val="000A5A86"/>
    <w:rsid w:val="000A60EF"/>
    <w:rsid w:val="000A660B"/>
    <w:rsid w:val="000A6790"/>
    <w:rsid w:val="000A6B6B"/>
    <w:rsid w:val="000A6D3E"/>
    <w:rsid w:val="000A6D8D"/>
    <w:rsid w:val="000A7189"/>
    <w:rsid w:val="000A72B3"/>
    <w:rsid w:val="000A7703"/>
    <w:rsid w:val="000A7BB4"/>
    <w:rsid w:val="000A7C37"/>
    <w:rsid w:val="000A7E14"/>
    <w:rsid w:val="000B0A5C"/>
    <w:rsid w:val="000B0B78"/>
    <w:rsid w:val="000B0EBB"/>
    <w:rsid w:val="000B0FA5"/>
    <w:rsid w:val="000B13D6"/>
    <w:rsid w:val="000B146E"/>
    <w:rsid w:val="000B16D4"/>
    <w:rsid w:val="000B1B96"/>
    <w:rsid w:val="000B1C5F"/>
    <w:rsid w:val="000B211A"/>
    <w:rsid w:val="000B214F"/>
    <w:rsid w:val="000B22BC"/>
    <w:rsid w:val="000B29BD"/>
    <w:rsid w:val="000B2BBE"/>
    <w:rsid w:val="000B2FCE"/>
    <w:rsid w:val="000B3455"/>
    <w:rsid w:val="000B34F5"/>
    <w:rsid w:val="000B360B"/>
    <w:rsid w:val="000B376D"/>
    <w:rsid w:val="000B399A"/>
    <w:rsid w:val="000B3C77"/>
    <w:rsid w:val="000B3E66"/>
    <w:rsid w:val="000B4162"/>
    <w:rsid w:val="000B4AFF"/>
    <w:rsid w:val="000B4B8A"/>
    <w:rsid w:val="000B4EB4"/>
    <w:rsid w:val="000B50B1"/>
    <w:rsid w:val="000B58DD"/>
    <w:rsid w:val="000B5C26"/>
    <w:rsid w:val="000B614A"/>
    <w:rsid w:val="000B64D7"/>
    <w:rsid w:val="000B6504"/>
    <w:rsid w:val="000B7891"/>
    <w:rsid w:val="000B7B9F"/>
    <w:rsid w:val="000B7E1D"/>
    <w:rsid w:val="000B7F95"/>
    <w:rsid w:val="000C0255"/>
    <w:rsid w:val="000C0324"/>
    <w:rsid w:val="000C03AF"/>
    <w:rsid w:val="000C0E33"/>
    <w:rsid w:val="000C0FA9"/>
    <w:rsid w:val="000C158D"/>
    <w:rsid w:val="000C17ED"/>
    <w:rsid w:val="000C1A6E"/>
    <w:rsid w:val="000C1F3D"/>
    <w:rsid w:val="000C2099"/>
    <w:rsid w:val="000C21F0"/>
    <w:rsid w:val="000C2897"/>
    <w:rsid w:val="000C2AA5"/>
    <w:rsid w:val="000C30DA"/>
    <w:rsid w:val="000C325D"/>
    <w:rsid w:val="000C3658"/>
    <w:rsid w:val="000C4407"/>
    <w:rsid w:val="000C48EA"/>
    <w:rsid w:val="000C499C"/>
    <w:rsid w:val="000C4B58"/>
    <w:rsid w:val="000C515E"/>
    <w:rsid w:val="000C51DF"/>
    <w:rsid w:val="000C5253"/>
    <w:rsid w:val="000C546E"/>
    <w:rsid w:val="000C593E"/>
    <w:rsid w:val="000C5AF0"/>
    <w:rsid w:val="000C5E93"/>
    <w:rsid w:val="000C632D"/>
    <w:rsid w:val="000C69C7"/>
    <w:rsid w:val="000C6C4E"/>
    <w:rsid w:val="000C6CF5"/>
    <w:rsid w:val="000C6EFC"/>
    <w:rsid w:val="000C6F1A"/>
    <w:rsid w:val="000C6F5E"/>
    <w:rsid w:val="000C752E"/>
    <w:rsid w:val="000C7536"/>
    <w:rsid w:val="000C78A6"/>
    <w:rsid w:val="000C7BDB"/>
    <w:rsid w:val="000C7EAE"/>
    <w:rsid w:val="000C7EF1"/>
    <w:rsid w:val="000D01AF"/>
    <w:rsid w:val="000D02F2"/>
    <w:rsid w:val="000D0401"/>
    <w:rsid w:val="000D0851"/>
    <w:rsid w:val="000D0E20"/>
    <w:rsid w:val="000D0EC4"/>
    <w:rsid w:val="000D0F7E"/>
    <w:rsid w:val="000D112F"/>
    <w:rsid w:val="000D1B1E"/>
    <w:rsid w:val="000D1D6A"/>
    <w:rsid w:val="000D1EBF"/>
    <w:rsid w:val="000D1FBD"/>
    <w:rsid w:val="000D21D0"/>
    <w:rsid w:val="000D230C"/>
    <w:rsid w:val="000D231E"/>
    <w:rsid w:val="000D24C9"/>
    <w:rsid w:val="000D25A8"/>
    <w:rsid w:val="000D2C42"/>
    <w:rsid w:val="000D2E4C"/>
    <w:rsid w:val="000D2F9E"/>
    <w:rsid w:val="000D30A4"/>
    <w:rsid w:val="000D30E7"/>
    <w:rsid w:val="000D33B7"/>
    <w:rsid w:val="000D356A"/>
    <w:rsid w:val="000D3C8B"/>
    <w:rsid w:val="000D4112"/>
    <w:rsid w:val="000D4470"/>
    <w:rsid w:val="000D489A"/>
    <w:rsid w:val="000D4C8A"/>
    <w:rsid w:val="000D4FD5"/>
    <w:rsid w:val="000D561E"/>
    <w:rsid w:val="000D56B9"/>
    <w:rsid w:val="000D5C49"/>
    <w:rsid w:val="000D6003"/>
    <w:rsid w:val="000D6609"/>
    <w:rsid w:val="000D692A"/>
    <w:rsid w:val="000D69D0"/>
    <w:rsid w:val="000D6AF3"/>
    <w:rsid w:val="000D6DA1"/>
    <w:rsid w:val="000E02EA"/>
    <w:rsid w:val="000E033F"/>
    <w:rsid w:val="000E0AA7"/>
    <w:rsid w:val="000E0E80"/>
    <w:rsid w:val="000E13F3"/>
    <w:rsid w:val="000E1617"/>
    <w:rsid w:val="000E1681"/>
    <w:rsid w:val="000E18A1"/>
    <w:rsid w:val="000E1AA6"/>
    <w:rsid w:val="000E1D9F"/>
    <w:rsid w:val="000E1E24"/>
    <w:rsid w:val="000E21FB"/>
    <w:rsid w:val="000E32C6"/>
    <w:rsid w:val="000E35C9"/>
    <w:rsid w:val="000E37EC"/>
    <w:rsid w:val="000E3C34"/>
    <w:rsid w:val="000E4448"/>
    <w:rsid w:val="000E4889"/>
    <w:rsid w:val="000E5080"/>
    <w:rsid w:val="000E50B9"/>
    <w:rsid w:val="000E5864"/>
    <w:rsid w:val="000E5906"/>
    <w:rsid w:val="000E5F86"/>
    <w:rsid w:val="000E66B0"/>
    <w:rsid w:val="000E67BC"/>
    <w:rsid w:val="000E6A7D"/>
    <w:rsid w:val="000E6BD7"/>
    <w:rsid w:val="000E6F7F"/>
    <w:rsid w:val="000E7268"/>
    <w:rsid w:val="000E75F0"/>
    <w:rsid w:val="000E769B"/>
    <w:rsid w:val="000E7A17"/>
    <w:rsid w:val="000E7C35"/>
    <w:rsid w:val="000F0137"/>
    <w:rsid w:val="000F0D76"/>
    <w:rsid w:val="000F0FEB"/>
    <w:rsid w:val="000F1BB8"/>
    <w:rsid w:val="000F1CD1"/>
    <w:rsid w:val="000F1D86"/>
    <w:rsid w:val="000F20F9"/>
    <w:rsid w:val="000F21B0"/>
    <w:rsid w:val="000F256F"/>
    <w:rsid w:val="000F2EA0"/>
    <w:rsid w:val="000F2ED2"/>
    <w:rsid w:val="000F3397"/>
    <w:rsid w:val="000F3400"/>
    <w:rsid w:val="000F357F"/>
    <w:rsid w:val="000F4040"/>
    <w:rsid w:val="000F4242"/>
    <w:rsid w:val="000F472D"/>
    <w:rsid w:val="000F48A5"/>
    <w:rsid w:val="000F493F"/>
    <w:rsid w:val="000F4EC0"/>
    <w:rsid w:val="000F5225"/>
    <w:rsid w:val="000F5243"/>
    <w:rsid w:val="000F548F"/>
    <w:rsid w:val="000F5AE7"/>
    <w:rsid w:val="000F5B00"/>
    <w:rsid w:val="000F5BFF"/>
    <w:rsid w:val="000F5D0F"/>
    <w:rsid w:val="000F5D44"/>
    <w:rsid w:val="000F6593"/>
    <w:rsid w:val="000F6931"/>
    <w:rsid w:val="000F6CC9"/>
    <w:rsid w:val="000F73AB"/>
    <w:rsid w:val="000F7C4E"/>
    <w:rsid w:val="000F7E17"/>
    <w:rsid w:val="00100295"/>
    <w:rsid w:val="0010076E"/>
    <w:rsid w:val="0010089E"/>
    <w:rsid w:val="00100AD4"/>
    <w:rsid w:val="00100BB0"/>
    <w:rsid w:val="00101052"/>
    <w:rsid w:val="00101414"/>
    <w:rsid w:val="00101FF4"/>
    <w:rsid w:val="001028F0"/>
    <w:rsid w:val="00102962"/>
    <w:rsid w:val="00102C10"/>
    <w:rsid w:val="00102D4D"/>
    <w:rsid w:val="00102EAC"/>
    <w:rsid w:val="00103278"/>
    <w:rsid w:val="001034B3"/>
    <w:rsid w:val="00103585"/>
    <w:rsid w:val="00103C9B"/>
    <w:rsid w:val="00103F2F"/>
    <w:rsid w:val="00104115"/>
    <w:rsid w:val="0010429D"/>
    <w:rsid w:val="001042B1"/>
    <w:rsid w:val="001042F4"/>
    <w:rsid w:val="001044F7"/>
    <w:rsid w:val="00104658"/>
    <w:rsid w:val="001048FE"/>
    <w:rsid w:val="00104BF1"/>
    <w:rsid w:val="00105520"/>
    <w:rsid w:val="00105686"/>
    <w:rsid w:val="0010568D"/>
    <w:rsid w:val="001057E9"/>
    <w:rsid w:val="00105B59"/>
    <w:rsid w:val="00106106"/>
    <w:rsid w:val="001062D6"/>
    <w:rsid w:val="001068C4"/>
    <w:rsid w:val="00106ACD"/>
    <w:rsid w:val="00106D73"/>
    <w:rsid w:val="0010753C"/>
    <w:rsid w:val="001105B4"/>
    <w:rsid w:val="00110EAA"/>
    <w:rsid w:val="00111870"/>
    <w:rsid w:val="0011190F"/>
    <w:rsid w:val="00111BF3"/>
    <w:rsid w:val="00111C57"/>
    <w:rsid w:val="00111D92"/>
    <w:rsid w:val="00111E13"/>
    <w:rsid w:val="001123F4"/>
    <w:rsid w:val="00112682"/>
    <w:rsid w:val="00112A2F"/>
    <w:rsid w:val="00112A6C"/>
    <w:rsid w:val="00112C70"/>
    <w:rsid w:val="0011355B"/>
    <w:rsid w:val="00113681"/>
    <w:rsid w:val="00113B21"/>
    <w:rsid w:val="00113B87"/>
    <w:rsid w:val="0011430D"/>
    <w:rsid w:val="001144FA"/>
    <w:rsid w:val="00114A46"/>
    <w:rsid w:val="001152EE"/>
    <w:rsid w:val="00115312"/>
    <w:rsid w:val="00115708"/>
    <w:rsid w:val="00115729"/>
    <w:rsid w:val="00115933"/>
    <w:rsid w:val="00115DA6"/>
    <w:rsid w:val="00115F43"/>
    <w:rsid w:val="00116467"/>
    <w:rsid w:val="0011685B"/>
    <w:rsid w:val="00116937"/>
    <w:rsid w:val="00116F52"/>
    <w:rsid w:val="001172F4"/>
    <w:rsid w:val="00117F9D"/>
    <w:rsid w:val="00120213"/>
    <w:rsid w:val="001202D0"/>
    <w:rsid w:val="0012038F"/>
    <w:rsid w:val="0012064E"/>
    <w:rsid w:val="00120A9C"/>
    <w:rsid w:val="00120B65"/>
    <w:rsid w:val="00120F7D"/>
    <w:rsid w:val="00120FD1"/>
    <w:rsid w:val="00121335"/>
    <w:rsid w:val="0012141C"/>
    <w:rsid w:val="00121778"/>
    <w:rsid w:val="001218AE"/>
    <w:rsid w:val="00122115"/>
    <w:rsid w:val="0012215B"/>
    <w:rsid w:val="0012247D"/>
    <w:rsid w:val="001224CA"/>
    <w:rsid w:val="001235BC"/>
    <w:rsid w:val="0012397B"/>
    <w:rsid w:val="00123A15"/>
    <w:rsid w:val="00123C4B"/>
    <w:rsid w:val="00123EC6"/>
    <w:rsid w:val="001244EC"/>
    <w:rsid w:val="0012451E"/>
    <w:rsid w:val="001246F7"/>
    <w:rsid w:val="0012476F"/>
    <w:rsid w:val="00124951"/>
    <w:rsid w:val="00124C01"/>
    <w:rsid w:val="00124C56"/>
    <w:rsid w:val="00124C7C"/>
    <w:rsid w:val="001252EF"/>
    <w:rsid w:val="00125455"/>
    <w:rsid w:val="00125776"/>
    <w:rsid w:val="001257C2"/>
    <w:rsid w:val="001257F4"/>
    <w:rsid w:val="00125B21"/>
    <w:rsid w:val="0012613D"/>
    <w:rsid w:val="001265BD"/>
    <w:rsid w:val="00126B4E"/>
    <w:rsid w:val="00126E1D"/>
    <w:rsid w:val="00126FD1"/>
    <w:rsid w:val="00127174"/>
    <w:rsid w:val="00127B52"/>
    <w:rsid w:val="00130107"/>
    <w:rsid w:val="00130329"/>
    <w:rsid w:val="0013042F"/>
    <w:rsid w:val="00130817"/>
    <w:rsid w:val="00131334"/>
    <w:rsid w:val="00131415"/>
    <w:rsid w:val="0013172A"/>
    <w:rsid w:val="001317AD"/>
    <w:rsid w:val="00131A33"/>
    <w:rsid w:val="00131B5E"/>
    <w:rsid w:val="00131F33"/>
    <w:rsid w:val="0013234F"/>
    <w:rsid w:val="0013244B"/>
    <w:rsid w:val="0013254F"/>
    <w:rsid w:val="0013275B"/>
    <w:rsid w:val="00132A7A"/>
    <w:rsid w:val="00132AF8"/>
    <w:rsid w:val="001330BB"/>
    <w:rsid w:val="001330F0"/>
    <w:rsid w:val="001330F2"/>
    <w:rsid w:val="00133217"/>
    <w:rsid w:val="00133674"/>
    <w:rsid w:val="00133861"/>
    <w:rsid w:val="00133BF4"/>
    <w:rsid w:val="00134307"/>
    <w:rsid w:val="00134DF2"/>
    <w:rsid w:val="00134FE6"/>
    <w:rsid w:val="00135052"/>
    <w:rsid w:val="001356C5"/>
    <w:rsid w:val="00135BD6"/>
    <w:rsid w:val="00135C38"/>
    <w:rsid w:val="00135D02"/>
    <w:rsid w:val="00135FAC"/>
    <w:rsid w:val="00136781"/>
    <w:rsid w:val="00136E83"/>
    <w:rsid w:val="001370F6"/>
    <w:rsid w:val="00137456"/>
    <w:rsid w:val="001376FF"/>
    <w:rsid w:val="00137BCC"/>
    <w:rsid w:val="0014029F"/>
    <w:rsid w:val="001403DE"/>
    <w:rsid w:val="00140590"/>
    <w:rsid w:val="0014062E"/>
    <w:rsid w:val="00140659"/>
    <w:rsid w:val="001406E4"/>
    <w:rsid w:val="00140C36"/>
    <w:rsid w:val="0014106E"/>
    <w:rsid w:val="00141516"/>
    <w:rsid w:val="0014185A"/>
    <w:rsid w:val="00141DEF"/>
    <w:rsid w:val="00141E04"/>
    <w:rsid w:val="0014208B"/>
    <w:rsid w:val="001422BA"/>
    <w:rsid w:val="001425DB"/>
    <w:rsid w:val="0014260E"/>
    <w:rsid w:val="00142879"/>
    <w:rsid w:val="00142D4B"/>
    <w:rsid w:val="001432A9"/>
    <w:rsid w:val="00143460"/>
    <w:rsid w:val="00143516"/>
    <w:rsid w:val="00143555"/>
    <w:rsid w:val="00143818"/>
    <w:rsid w:val="001439D9"/>
    <w:rsid w:val="00143E7F"/>
    <w:rsid w:val="0014411D"/>
    <w:rsid w:val="001441A1"/>
    <w:rsid w:val="00144208"/>
    <w:rsid w:val="00144381"/>
    <w:rsid w:val="001447B7"/>
    <w:rsid w:val="00144A6A"/>
    <w:rsid w:val="0014512F"/>
    <w:rsid w:val="001452A9"/>
    <w:rsid w:val="001452DE"/>
    <w:rsid w:val="00145831"/>
    <w:rsid w:val="00145FCF"/>
    <w:rsid w:val="00146D60"/>
    <w:rsid w:val="00147440"/>
    <w:rsid w:val="001478A8"/>
    <w:rsid w:val="00147AF4"/>
    <w:rsid w:val="00147B10"/>
    <w:rsid w:val="00147D7E"/>
    <w:rsid w:val="00147DC7"/>
    <w:rsid w:val="0015019A"/>
    <w:rsid w:val="00150519"/>
    <w:rsid w:val="00150589"/>
    <w:rsid w:val="001508DA"/>
    <w:rsid w:val="001509E0"/>
    <w:rsid w:val="00150A89"/>
    <w:rsid w:val="00150BD0"/>
    <w:rsid w:val="0015161E"/>
    <w:rsid w:val="00151A13"/>
    <w:rsid w:val="00151DC6"/>
    <w:rsid w:val="001527B9"/>
    <w:rsid w:val="00152AFB"/>
    <w:rsid w:val="00152B61"/>
    <w:rsid w:val="00152BCA"/>
    <w:rsid w:val="00152D70"/>
    <w:rsid w:val="00152DBF"/>
    <w:rsid w:val="00153275"/>
    <w:rsid w:val="001535B8"/>
    <w:rsid w:val="001535D0"/>
    <w:rsid w:val="001536BC"/>
    <w:rsid w:val="001537E6"/>
    <w:rsid w:val="001538B4"/>
    <w:rsid w:val="0015399D"/>
    <w:rsid w:val="00153A83"/>
    <w:rsid w:val="00153FBE"/>
    <w:rsid w:val="00154363"/>
    <w:rsid w:val="001549CB"/>
    <w:rsid w:val="00154A57"/>
    <w:rsid w:val="00154DDF"/>
    <w:rsid w:val="00154FA3"/>
    <w:rsid w:val="001551EF"/>
    <w:rsid w:val="00155212"/>
    <w:rsid w:val="00155635"/>
    <w:rsid w:val="0015582E"/>
    <w:rsid w:val="00155B81"/>
    <w:rsid w:val="00155C20"/>
    <w:rsid w:val="001560BC"/>
    <w:rsid w:val="001561AD"/>
    <w:rsid w:val="00156542"/>
    <w:rsid w:val="001567F3"/>
    <w:rsid w:val="0015748C"/>
    <w:rsid w:val="0015761C"/>
    <w:rsid w:val="00157672"/>
    <w:rsid w:val="00157809"/>
    <w:rsid w:val="00157A80"/>
    <w:rsid w:val="00157CDF"/>
    <w:rsid w:val="00157CEC"/>
    <w:rsid w:val="00157E8D"/>
    <w:rsid w:val="001601D9"/>
    <w:rsid w:val="00160464"/>
    <w:rsid w:val="00160C80"/>
    <w:rsid w:val="00160D20"/>
    <w:rsid w:val="00160EE6"/>
    <w:rsid w:val="00160F03"/>
    <w:rsid w:val="001615FB"/>
    <w:rsid w:val="00161724"/>
    <w:rsid w:val="00161B35"/>
    <w:rsid w:val="00161BBC"/>
    <w:rsid w:val="00161F81"/>
    <w:rsid w:val="00162660"/>
    <w:rsid w:val="00162EBA"/>
    <w:rsid w:val="00162EE1"/>
    <w:rsid w:val="001631AF"/>
    <w:rsid w:val="001633A5"/>
    <w:rsid w:val="0016364A"/>
    <w:rsid w:val="00163A62"/>
    <w:rsid w:val="00163CC6"/>
    <w:rsid w:val="00163EB6"/>
    <w:rsid w:val="00163F27"/>
    <w:rsid w:val="00164002"/>
    <w:rsid w:val="001641C4"/>
    <w:rsid w:val="001641F6"/>
    <w:rsid w:val="00164A88"/>
    <w:rsid w:val="0016536E"/>
    <w:rsid w:val="001659F1"/>
    <w:rsid w:val="00165A9D"/>
    <w:rsid w:val="00165B90"/>
    <w:rsid w:val="00166152"/>
    <w:rsid w:val="00166336"/>
    <w:rsid w:val="001664B0"/>
    <w:rsid w:val="00166527"/>
    <w:rsid w:val="00166602"/>
    <w:rsid w:val="00166635"/>
    <w:rsid w:val="001668DB"/>
    <w:rsid w:val="00166940"/>
    <w:rsid w:val="001669A8"/>
    <w:rsid w:val="00166B0A"/>
    <w:rsid w:val="00166BDE"/>
    <w:rsid w:val="00167096"/>
    <w:rsid w:val="00167CB8"/>
    <w:rsid w:val="00167E20"/>
    <w:rsid w:val="00167F1E"/>
    <w:rsid w:val="0017037B"/>
    <w:rsid w:val="00170509"/>
    <w:rsid w:val="00171411"/>
    <w:rsid w:val="001714EA"/>
    <w:rsid w:val="00171895"/>
    <w:rsid w:val="00171E84"/>
    <w:rsid w:val="00171F83"/>
    <w:rsid w:val="00172C4F"/>
    <w:rsid w:val="00172CC1"/>
    <w:rsid w:val="001731F6"/>
    <w:rsid w:val="001738DA"/>
    <w:rsid w:val="001742BB"/>
    <w:rsid w:val="00174501"/>
    <w:rsid w:val="00174A00"/>
    <w:rsid w:val="0017502A"/>
    <w:rsid w:val="00175308"/>
    <w:rsid w:val="00175474"/>
    <w:rsid w:val="001759EA"/>
    <w:rsid w:val="00175E6E"/>
    <w:rsid w:val="00175F8A"/>
    <w:rsid w:val="001761B6"/>
    <w:rsid w:val="00176303"/>
    <w:rsid w:val="00176406"/>
    <w:rsid w:val="00176502"/>
    <w:rsid w:val="00176777"/>
    <w:rsid w:val="0017709D"/>
    <w:rsid w:val="00177813"/>
    <w:rsid w:val="001778B7"/>
    <w:rsid w:val="00177BA4"/>
    <w:rsid w:val="00177CEB"/>
    <w:rsid w:val="00180982"/>
    <w:rsid w:val="00180B8D"/>
    <w:rsid w:val="001824F8"/>
    <w:rsid w:val="00182687"/>
    <w:rsid w:val="0018297D"/>
    <w:rsid w:val="00182BD1"/>
    <w:rsid w:val="00182CBA"/>
    <w:rsid w:val="001833D7"/>
    <w:rsid w:val="001834D4"/>
    <w:rsid w:val="00183B0D"/>
    <w:rsid w:val="0018410B"/>
    <w:rsid w:val="0018471A"/>
    <w:rsid w:val="0018488B"/>
    <w:rsid w:val="001849C9"/>
    <w:rsid w:val="00184CCE"/>
    <w:rsid w:val="001850FD"/>
    <w:rsid w:val="00185163"/>
    <w:rsid w:val="0018535A"/>
    <w:rsid w:val="0018539A"/>
    <w:rsid w:val="00185504"/>
    <w:rsid w:val="00185643"/>
    <w:rsid w:val="00185645"/>
    <w:rsid w:val="00185A18"/>
    <w:rsid w:val="00185E69"/>
    <w:rsid w:val="001862D2"/>
    <w:rsid w:val="00186FC8"/>
    <w:rsid w:val="00187241"/>
    <w:rsid w:val="0018727E"/>
    <w:rsid w:val="00187A17"/>
    <w:rsid w:val="00187A6E"/>
    <w:rsid w:val="00187AD2"/>
    <w:rsid w:val="00187D05"/>
    <w:rsid w:val="00190169"/>
    <w:rsid w:val="001901BB"/>
    <w:rsid w:val="00190539"/>
    <w:rsid w:val="00190666"/>
    <w:rsid w:val="00190C78"/>
    <w:rsid w:val="00190F38"/>
    <w:rsid w:val="00191243"/>
    <w:rsid w:val="00191289"/>
    <w:rsid w:val="0019133C"/>
    <w:rsid w:val="00191477"/>
    <w:rsid w:val="001918D7"/>
    <w:rsid w:val="00191B06"/>
    <w:rsid w:val="00191BEE"/>
    <w:rsid w:val="00191E43"/>
    <w:rsid w:val="0019262D"/>
    <w:rsid w:val="00192DEA"/>
    <w:rsid w:val="00193328"/>
    <w:rsid w:val="00193676"/>
    <w:rsid w:val="0019407D"/>
    <w:rsid w:val="001942B9"/>
    <w:rsid w:val="0019434D"/>
    <w:rsid w:val="00194652"/>
    <w:rsid w:val="00194A68"/>
    <w:rsid w:val="00194DE6"/>
    <w:rsid w:val="00195331"/>
    <w:rsid w:val="001953D2"/>
    <w:rsid w:val="001957ED"/>
    <w:rsid w:val="00195856"/>
    <w:rsid w:val="001959BE"/>
    <w:rsid w:val="00195D00"/>
    <w:rsid w:val="00195DFD"/>
    <w:rsid w:val="00195FF0"/>
    <w:rsid w:val="001960A9"/>
    <w:rsid w:val="00196481"/>
    <w:rsid w:val="00196685"/>
    <w:rsid w:val="00196819"/>
    <w:rsid w:val="00197208"/>
    <w:rsid w:val="00197341"/>
    <w:rsid w:val="001974A8"/>
    <w:rsid w:val="001975F6"/>
    <w:rsid w:val="00197884"/>
    <w:rsid w:val="00197A2A"/>
    <w:rsid w:val="001A011F"/>
    <w:rsid w:val="001A01F5"/>
    <w:rsid w:val="001A07A7"/>
    <w:rsid w:val="001A0978"/>
    <w:rsid w:val="001A117A"/>
    <w:rsid w:val="001A14B4"/>
    <w:rsid w:val="001A1567"/>
    <w:rsid w:val="001A1675"/>
    <w:rsid w:val="001A182F"/>
    <w:rsid w:val="001A1AE4"/>
    <w:rsid w:val="001A1C14"/>
    <w:rsid w:val="001A1F85"/>
    <w:rsid w:val="001A2A6C"/>
    <w:rsid w:val="001A2F8B"/>
    <w:rsid w:val="001A327F"/>
    <w:rsid w:val="001A3295"/>
    <w:rsid w:val="001A3577"/>
    <w:rsid w:val="001A35C9"/>
    <w:rsid w:val="001A36B0"/>
    <w:rsid w:val="001A36EE"/>
    <w:rsid w:val="001A3A04"/>
    <w:rsid w:val="001A3D46"/>
    <w:rsid w:val="001A42EA"/>
    <w:rsid w:val="001A43E5"/>
    <w:rsid w:val="001A486C"/>
    <w:rsid w:val="001A4886"/>
    <w:rsid w:val="001A48C7"/>
    <w:rsid w:val="001A4D95"/>
    <w:rsid w:val="001A5384"/>
    <w:rsid w:val="001A557F"/>
    <w:rsid w:val="001A58F0"/>
    <w:rsid w:val="001A625C"/>
    <w:rsid w:val="001A66B2"/>
    <w:rsid w:val="001A66C1"/>
    <w:rsid w:val="001A66D1"/>
    <w:rsid w:val="001A6B33"/>
    <w:rsid w:val="001A6D97"/>
    <w:rsid w:val="001A6E4F"/>
    <w:rsid w:val="001A6F9A"/>
    <w:rsid w:val="001A72E4"/>
    <w:rsid w:val="001A738D"/>
    <w:rsid w:val="001A7B16"/>
    <w:rsid w:val="001B0123"/>
    <w:rsid w:val="001B037C"/>
    <w:rsid w:val="001B0FB4"/>
    <w:rsid w:val="001B11F1"/>
    <w:rsid w:val="001B128A"/>
    <w:rsid w:val="001B1304"/>
    <w:rsid w:val="001B24A3"/>
    <w:rsid w:val="001B24F6"/>
    <w:rsid w:val="001B2B43"/>
    <w:rsid w:val="001B2ED6"/>
    <w:rsid w:val="001B2EEC"/>
    <w:rsid w:val="001B2F77"/>
    <w:rsid w:val="001B3D97"/>
    <w:rsid w:val="001B3EEE"/>
    <w:rsid w:val="001B4A92"/>
    <w:rsid w:val="001B4DDF"/>
    <w:rsid w:val="001B503D"/>
    <w:rsid w:val="001B5090"/>
    <w:rsid w:val="001B51D8"/>
    <w:rsid w:val="001B52AB"/>
    <w:rsid w:val="001B532E"/>
    <w:rsid w:val="001B549E"/>
    <w:rsid w:val="001B5DE8"/>
    <w:rsid w:val="001B6019"/>
    <w:rsid w:val="001B63F0"/>
    <w:rsid w:val="001B6760"/>
    <w:rsid w:val="001B6E1D"/>
    <w:rsid w:val="001B72D6"/>
    <w:rsid w:val="001B74D5"/>
    <w:rsid w:val="001B7DDD"/>
    <w:rsid w:val="001B7F25"/>
    <w:rsid w:val="001B7FF4"/>
    <w:rsid w:val="001C096F"/>
    <w:rsid w:val="001C0C79"/>
    <w:rsid w:val="001C1316"/>
    <w:rsid w:val="001C14AB"/>
    <w:rsid w:val="001C15E7"/>
    <w:rsid w:val="001C1781"/>
    <w:rsid w:val="001C196E"/>
    <w:rsid w:val="001C1C54"/>
    <w:rsid w:val="001C1DA7"/>
    <w:rsid w:val="001C1ED1"/>
    <w:rsid w:val="001C1F61"/>
    <w:rsid w:val="001C237E"/>
    <w:rsid w:val="001C2411"/>
    <w:rsid w:val="001C2B14"/>
    <w:rsid w:val="001C2CD0"/>
    <w:rsid w:val="001C2DAB"/>
    <w:rsid w:val="001C2E11"/>
    <w:rsid w:val="001C2E4A"/>
    <w:rsid w:val="001C2F69"/>
    <w:rsid w:val="001C30F5"/>
    <w:rsid w:val="001C3117"/>
    <w:rsid w:val="001C3830"/>
    <w:rsid w:val="001C4F27"/>
    <w:rsid w:val="001C500D"/>
    <w:rsid w:val="001C51F3"/>
    <w:rsid w:val="001C5865"/>
    <w:rsid w:val="001C5EF5"/>
    <w:rsid w:val="001C633D"/>
    <w:rsid w:val="001C6346"/>
    <w:rsid w:val="001C663E"/>
    <w:rsid w:val="001C68C3"/>
    <w:rsid w:val="001C7417"/>
    <w:rsid w:val="001C7615"/>
    <w:rsid w:val="001C78B8"/>
    <w:rsid w:val="001C7F10"/>
    <w:rsid w:val="001D0A18"/>
    <w:rsid w:val="001D0CA4"/>
    <w:rsid w:val="001D0F73"/>
    <w:rsid w:val="001D13A8"/>
    <w:rsid w:val="001D1747"/>
    <w:rsid w:val="001D1952"/>
    <w:rsid w:val="001D19D1"/>
    <w:rsid w:val="001D20CB"/>
    <w:rsid w:val="001D2296"/>
    <w:rsid w:val="001D2828"/>
    <w:rsid w:val="001D2E29"/>
    <w:rsid w:val="001D33C1"/>
    <w:rsid w:val="001D33D9"/>
    <w:rsid w:val="001D39C5"/>
    <w:rsid w:val="001D3A1F"/>
    <w:rsid w:val="001D3B4F"/>
    <w:rsid w:val="001D3BA6"/>
    <w:rsid w:val="001D4025"/>
    <w:rsid w:val="001D4112"/>
    <w:rsid w:val="001D417C"/>
    <w:rsid w:val="001D522E"/>
    <w:rsid w:val="001D5458"/>
    <w:rsid w:val="001D59AA"/>
    <w:rsid w:val="001D630A"/>
    <w:rsid w:val="001D64F0"/>
    <w:rsid w:val="001D6A5B"/>
    <w:rsid w:val="001D6B3A"/>
    <w:rsid w:val="001D6C5E"/>
    <w:rsid w:val="001D7298"/>
    <w:rsid w:val="001D72EA"/>
    <w:rsid w:val="001D737C"/>
    <w:rsid w:val="001D772D"/>
    <w:rsid w:val="001D77BC"/>
    <w:rsid w:val="001D7EAC"/>
    <w:rsid w:val="001E0662"/>
    <w:rsid w:val="001E086A"/>
    <w:rsid w:val="001E0C43"/>
    <w:rsid w:val="001E0D3F"/>
    <w:rsid w:val="001E0D8F"/>
    <w:rsid w:val="001E0E12"/>
    <w:rsid w:val="001E163B"/>
    <w:rsid w:val="001E1670"/>
    <w:rsid w:val="001E1A07"/>
    <w:rsid w:val="001E1CC5"/>
    <w:rsid w:val="001E1E73"/>
    <w:rsid w:val="001E2455"/>
    <w:rsid w:val="001E2C4E"/>
    <w:rsid w:val="001E307A"/>
    <w:rsid w:val="001E341B"/>
    <w:rsid w:val="001E351C"/>
    <w:rsid w:val="001E3C28"/>
    <w:rsid w:val="001E3F9F"/>
    <w:rsid w:val="001E4226"/>
    <w:rsid w:val="001E4470"/>
    <w:rsid w:val="001E51CE"/>
    <w:rsid w:val="001E524D"/>
    <w:rsid w:val="001E5A40"/>
    <w:rsid w:val="001E614F"/>
    <w:rsid w:val="001E64FF"/>
    <w:rsid w:val="001E6A94"/>
    <w:rsid w:val="001E6B0D"/>
    <w:rsid w:val="001E6B7F"/>
    <w:rsid w:val="001E6D46"/>
    <w:rsid w:val="001E6FB5"/>
    <w:rsid w:val="001E7013"/>
    <w:rsid w:val="001E7223"/>
    <w:rsid w:val="001E7607"/>
    <w:rsid w:val="001E771D"/>
    <w:rsid w:val="001E7C81"/>
    <w:rsid w:val="001E7D70"/>
    <w:rsid w:val="001E7F33"/>
    <w:rsid w:val="001F0252"/>
    <w:rsid w:val="001F08B8"/>
    <w:rsid w:val="001F0A16"/>
    <w:rsid w:val="001F10A2"/>
    <w:rsid w:val="001F10E6"/>
    <w:rsid w:val="001F11D1"/>
    <w:rsid w:val="001F11FA"/>
    <w:rsid w:val="001F122D"/>
    <w:rsid w:val="001F13C3"/>
    <w:rsid w:val="001F1465"/>
    <w:rsid w:val="001F189D"/>
    <w:rsid w:val="001F190D"/>
    <w:rsid w:val="001F22A3"/>
    <w:rsid w:val="001F259A"/>
    <w:rsid w:val="001F282E"/>
    <w:rsid w:val="001F2DE8"/>
    <w:rsid w:val="001F34DF"/>
    <w:rsid w:val="001F3874"/>
    <w:rsid w:val="001F3956"/>
    <w:rsid w:val="001F39ED"/>
    <w:rsid w:val="001F3BF4"/>
    <w:rsid w:val="001F3D43"/>
    <w:rsid w:val="001F43A1"/>
    <w:rsid w:val="001F461B"/>
    <w:rsid w:val="001F48E5"/>
    <w:rsid w:val="001F49A8"/>
    <w:rsid w:val="001F4D78"/>
    <w:rsid w:val="001F4E59"/>
    <w:rsid w:val="001F52D4"/>
    <w:rsid w:val="001F5803"/>
    <w:rsid w:val="001F5B27"/>
    <w:rsid w:val="001F5C3D"/>
    <w:rsid w:val="001F5EB3"/>
    <w:rsid w:val="001F6021"/>
    <w:rsid w:val="001F65E1"/>
    <w:rsid w:val="001F6624"/>
    <w:rsid w:val="001F6A11"/>
    <w:rsid w:val="001F6C6B"/>
    <w:rsid w:val="001F7419"/>
    <w:rsid w:val="001F7C75"/>
    <w:rsid w:val="002001D5"/>
    <w:rsid w:val="00200385"/>
    <w:rsid w:val="00200591"/>
    <w:rsid w:val="00200838"/>
    <w:rsid w:val="00200BCB"/>
    <w:rsid w:val="002013B9"/>
    <w:rsid w:val="002016E9"/>
    <w:rsid w:val="002018C4"/>
    <w:rsid w:val="002020C5"/>
    <w:rsid w:val="002024F0"/>
    <w:rsid w:val="0020296D"/>
    <w:rsid w:val="002029CB"/>
    <w:rsid w:val="002029CD"/>
    <w:rsid w:val="00202B09"/>
    <w:rsid w:val="00202DC6"/>
    <w:rsid w:val="00202F57"/>
    <w:rsid w:val="00203474"/>
    <w:rsid w:val="002036B4"/>
    <w:rsid w:val="002036E6"/>
    <w:rsid w:val="002037D3"/>
    <w:rsid w:val="00203C8C"/>
    <w:rsid w:val="002042E4"/>
    <w:rsid w:val="002045DF"/>
    <w:rsid w:val="002046CA"/>
    <w:rsid w:val="002047D8"/>
    <w:rsid w:val="00204A6E"/>
    <w:rsid w:val="00204A81"/>
    <w:rsid w:val="00204E4D"/>
    <w:rsid w:val="002053B4"/>
    <w:rsid w:val="00205433"/>
    <w:rsid w:val="002054B5"/>
    <w:rsid w:val="0020564D"/>
    <w:rsid w:val="00205DFE"/>
    <w:rsid w:val="00206230"/>
    <w:rsid w:val="002063BB"/>
    <w:rsid w:val="00206978"/>
    <w:rsid w:val="002069B9"/>
    <w:rsid w:val="00206F45"/>
    <w:rsid w:val="00207018"/>
    <w:rsid w:val="0020763F"/>
    <w:rsid w:val="002077A4"/>
    <w:rsid w:val="0020783E"/>
    <w:rsid w:val="00207A3F"/>
    <w:rsid w:val="00210964"/>
    <w:rsid w:val="00210D62"/>
    <w:rsid w:val="002113A5"/>
    <w:rsid w:val="00211C2D"/>
    <w:rsid w:val="00211CC2"/>
    <w:rsid w:val="00212143"/>
    <w:rsid w:val="00212505"/>
    <w:rsid w:val="0021276E"/>
    <w:rsid w:val="00213B0F"/>
    <w:rsid w:val="00213B4E"/>
    <w:rsid w:val="00213CF2"/>
    <w:rsid w:val="0021434C"/>
    <w:rsid w:val="002143E4"/>
    <w:rsid w:val="00214549"/>
    <w:rsid w:val="00214DD2"/>
    <w:rsid w:val="00214F27"/>
    <w:rsid w:val="00215198"/>
    <w:rsid w:val="002152AF"/>
    <w:rsid w:val="00215613"/>
    <w:rsid w:val="002156AC"/>
    <w:rsid w:val="00215759"/>
    <w:rsid w:val="00215810"/>
    <w:rsid w:val="00215BED"/>
    <w:rsid w:val="002165A9"/>
    <w:rsid w:val="00216B22"/>
    <w:rsid w:val="00216BB3"/>
    <w:rsid w:val="00216EAC"/>
    <w:rsid w:val="00217FC2"/>
    <w:rsid w:val="002200EC"/>
    <w:rsid w:val="00220894"/>
    <w:rsid w:val="0022104E"/>
    <w:rsid w:val="002211F0"/>
    <w:rsid w:val="0022126D"/>
    <w:rsid w:val="00221360"/>
    <w:rsid w:val="002213DB"/>
    <w:rsid w:val="00221A48"/>
    <w:rsid w:val="00221C19"/>
    <w:rsid w:val="00221C97"/>
    <w:rsid w:val="002226C5"/>
    <w:rsid w:val="002228FD"/>
    <w:rsid w:val="00222D5F"/>
    <w:rsid w:val="00222EE5"/>
    <w:rsid w:val="002234F7"/>
    <w:rsid w:val="002236F5"/>
    <w:rsid w:val="002238C1"/>
    <w:rsid w:val="00223973"/>
    <w:rsid w:val="00223D59"/>
    <w:rsid w:val="00223EFA"/>
    <w:rsid w:val="00224142"/>
    <w:rsid w:val="00225B62"/>
    <w:rsid w:val="00225D48"/>
    <w:rsid w:val="00226780"/>
    <w:rsid w:val="00226B64"/>
    <w:rsid w:val="0022787C"/>
    <w:rsid w:val="002278CA"/>
    <w:rsid w:val="00227903"/>
    <w:rsid w:val="00227DB2"/>
    <w:rsid w:val="00227E32"/>
    <w:rsid w:val="00230DF8"/>
    <w:rsid w:val="00231752"/>
    <w:rsid w:val="00231E9E"/>
    <w:rsid w:val="00232974"/>
    <w:rsid w:val="00232C00"/>
    <w:rsid w:val="00232D14"/>
    <w:rsid w:val="00233105"/>
    <w:rsid w:val="002331F5"/>
    <w:rsid w:val="0023385D"/>
    <w:rsid w:val="00233B78"/>
    <w:rsid w:val="00233D46"/>
    <w:rsid w:val="00234273"/>
    <w:rsid w:val="0023439F"/>
    <w:rsid w:val="00234E04"/>
    <w:rsid w:val="00235141"/>
    <w:rsid w:val="002359E0"/>
    <w:rsid w:val="00236878"/>
    <w:rsid w:val="0023691B"/>
    <w:rsid w:val="00236925"/>
    <w:rsid w:val="00236B71"/>
    <w:rsid w:val="002379D9"/>
    <w:rsid w:val="00237DFE"/>
    <w:rsid w:val="00237F63"/>
    <w:rsid w:val="00240255"/>
    <w:rsid w:val="00240646"/>
    <w:rsid w:val="00240B2F"/>
    <w:rsid w:val="00240CA1"/>
    <w:rsid w:val="002410D1"/>
    <w:rsid w:val="0024111A"/>
    <w:rsid w:val="00241469"/>
    <w:rsid w:val="002414A8"/>
    <w:rsid w:val="0024158B"/>
    <w:rsid w:val="002415D8"/>
    <w:rsid w:val="0024199A"/>
    <w:rsid w:val="00241ADF"/>
    <w:rsid w:val="00241CFA"/>
    <w:rsid w:val="00242202"/>
    <w:rsid w:val="002422F0"/>
    <w:rsid w:val="0024258D"/>
    <w:rsid w:val="0024277C"/>
    <w:rsid w:val="00242C3A"/>
    <w:rsid w:val="00242DD0"/>
    <w:rsid w:val="0024300D"/>
    <w:rsid w:val="002433DE"/>
    <w:rsid w:val="002433F2"/>
    <w:rsid w:val="0024345E"/>
    <w:rsid w:val="002436CD"/>
    <w:rsid w:val="00243784"/>
    <w:rsid w:val="0024381F"/>
    <w:rsid w:val="00243977"/>
    <w:rsid w:val="00243BAF"/>
    <w:rsid w:val="002440D2"/>
    <w:rsid w:val="002442EB"/>
    <w:rsid w:val="002446B8"/>
    <w:rsid w:val="0024495E"/>
    <w:rsid w:val="00244ABF"/>
    <w:rsid w:val="00244B99"/>
    <w:rsid w:val="00244D6C"/>
    <w:rsid w:val="00244DFB"/>
    <w:rsid w:val="00245503"/>
    <w:rsid w:val="00245633"/>
    <w:rsid w:val="00245755"/>
    <w:rsid w:val="002457ED"/>
    <w:rsid w:val="00245BB0"/>
    <w:rsid w:val="00245CDC"/>
    <w:rsid w:val="00245EB3"/>
    <w:rsid w:val="00246119"/>
    <w:rsid w:val="0024619E"/>
    <w:rsid w:val="002467A8"/>
    <w:rsid w:val="00246864"/>
    <w:rsid w:val="00246B10"/>
    <w:rsid w:val="00246DF8"/>
    <w:rsid w:val="00246FBB"/>
    <w:rsid w:val="00247042"/>
    <w:rsid w:val="00247640"/>
    <w:rsid w:val="0024783C"/>
    <w:rsid w:val="00247C22"/>
    <w:rsid w:val="00247C2B"/>
    <w:rsid w:val="00247EC7"/>
    <w:rsid w:val="002503D9"/>
    <w:rsid w:val="00250859"/>
    <w:rsid w:val="00250A6F"/>
    <w:rsid w:val="00250CD2"/>
    <w:rsid w:val="002512F2"/>
    <w:rsid w:val="00251478"/>
    <w:rsid w:val="0025150A"/>
    <w:rsid w:val="00251C46"/>
    <w:rsid w:val="00251EEB"/>
    <w:rsid w:val="0025218B"/>
    <w:rsid w:val="00252308"/>
    <w:rsid w:val="002526C0"/>
    <w:rsid w:val="0025411B"/>
    <w:rsid w:val="00254473"/>
    <w:rsid w:val="00254487"/>
    <w:rsid w:val="0025486E"/>
    <w:rsid w:val="00254DE0"/>
    <w:rsid w:val="00255AC5"/>
    <w:rsid w:val="00255C50"/>
    <w:rsid w:val="00255DF1"/>
    <w:rsid w:val="00256316"/>
    <w:rsid w:val="0025650C"/>
    <w:rsid w:val="00256B08"/>
    <w:rsid w:val="00256B8F"/>
    <w:rsid w:val="00256DAC"/>
    <w:rsid w:val="002573F3"/>
    <w:rsid w:val="002577CE"/>
    <w:rsid w:val="002578DA"/>
    <w:rsid w:val="00257949"/>
    <w:rsid w:val="00257AE5"/>
    <w:rsid w:val="00260090"/>
    <w:rsid w:val="002600D0"/>
    <w:rsid w:val="00260530"/>
    <w:rsid w:val="00260EC6"/>
    <w:rsid w:val="00261794"/>
    <w:rsid w:val="00261919"/>
    <w:rsid w:val="00261D6E"/>
    <w:rsid w:val="00261D70"/>
    <w:rsid w:val="00261E9B"/>
    <w:rsid w:val="00262129"/>
    <w:rsid w:val="00262680"/>
    <w:rsid w:val="002627AD"/>
    <w:rsid w:val="00262B13"/>
    <w:rsid w:val="00262C2D"/>
    <w:rsid w:val="00262F8A"/>
    <w:rsid w:val="0026309D"/>
    <w:rsid w:val="0026316D"/>
    <w:rsid w:val="0026317F"/>
    <w:rsid w:val="002634F2"/>
    <w:rsid w:val="00263570"/>
    <w:rsid w:val="0026383F"/>
    <w:rsid w:val="00263D43"/>
    <w:rsid w:val="0026440F"/>
    <w:rsid w:val="00264528"/>
    <w:rsid w:val="00264596"/>
    <w:rsid w:val="002648F5"/>
    <w:rsid w:val="00264A0B"/>
    <w:rsid w:val="00264A7B"/>
    <w:rsid w:val="00264FB3"/>
    <w:rsid w:val="00265332"/>
    <w:rsid w:val="002654A0"/>
    <w:rsid w:val="00265CD2"/>
    <w:rsid w:val="00265E54"/>
    <w:rsid w:val="00266100"/>
    <w:rsid w:val="00266143"/>
    <w:rsid w:val="002661D8"/>
    <w:rsid w:val="00266648"/>
    <w:rsid w:val="00266DD8"/>
    <w:rsid w:val="002672B7"/>
    <w:rsid w:val="0026761E"/>
    <w:rsid w:val="00267631"/>
    <w:rsid w:val="0027008A"/>
    <w:rsid w:val="00270370"/>
    <w:rsid w:val="0027057C"/>
    <w:rsid w:val="00270925"/>
    <w:rsid w:val="002716D8"/>
    <w:rsid w:val="0027175C"/>
    <w:rsid w:val="00272032"/>
    <w:rsid w:val="002725D4"/>
    <w:rsid w:val="00272845"/>
    <w:rsid w:val="00272C77"/>
    <w:rsid w:val="00272EE9"/>
    <w:rsid w:val="002730C6"/>
    <w:rsid w:val="002738C5"/>
    <w:rsid w:val="0027392B"/>
    <w:rsid w:val="00273D92"/>
    <w:rsid w:val="0027474C"/>
    <w:rsid w:val="00274DA0"/>
    <w:rsid w:val="00275638"/>
    <w:rsid w:val="0027581B"/>
    <w:rsid w:val="0027581C"/>
    <w:rsid w:val="00275BFE"/>
    <w:rsid w:val="00275CB6"/>
    <w:rsid w:val="00276072"/>
    <w:rsid w:val="002762FD"/>
    <w:rsid w:val="00277C9E"/>
    <w:rsid w:val="00280152"/>
    <w:rsid w:val="00280479"/>
    <w:rsid w:val="002805DC"/>
    <w:rsid w:val="00280808"/>
    <w:rsid w:val="00280959"/>
    <w:rsid w:val="00280B49"/>
    <w:rsid w:val="00280C60"/>
    <w:rsid w:val="00281135"/>
    <w:rsid w:val="002811B5"/>
    <w:rsid w:val="002816E5"/>
    <w:rsid w:val="002817CA"/>
    <w:rsid w:val="00281F13"/>
    <w:rsid w:val="00281F9C"/>
    <w:rsid w:val="00282086"/>
    <w:rsid w:val="00282155"/>
    <w:rsid w:val="00282309"/>
    <w:rsid w:val="00282AD9"/>
    <w:rsid w:val="00282B00"/>
    <w:rsid w:val="00282FB0"/>
    <w:rsid w:val="00283797"/>
    <w:rsid w:val="00283885"/>
    <w:rsid w:val="00283A84"/>
    <w:rsid w:val="00283E49"/>
    <w:rsid w:val="002841D2"/>
    <w:rsid w:val="002842EF"/>
    <w:rsid w:val="002848F3"/>
    <w:rsid w:val="00284BC6"/>
    <w:rsid w:val="00284DD9"/>
    <w:rsid w:val="00284EE9"/>
    <w:rsid w:val="00284F07"/>
    <w:rsid w:val="00285045"/>
    <w:rsid w:val="0028510F"/>
    <w:rsid w:val="00285714"/>
    <w:rsid w:val="00285E7C"/>
    <w:rsid w:val="00285F18"/>
    <w:rsid w:val="002861BA"/>
    <w:rsid w:val="00286361"/>
    <w:rsid w:val="0028637D"/>
    <w:rsid w:val="002865D5"/>
    <w:rsid w:val="00286CE7"/>
    <w:rsid w:val="0028759D"/>
    <w:rsid w:val="0028764A"/>
    <w:rsid w:val="002876F0"/>
    <w:rsid w:val="002878B2"/>
    <w:rsid w:val="00287B5D"/>
    <w:rsid w:val="00287BE8"/>
    <w:rsid w:val="00287F9A"/>
    <w:rsid w:val="002906D6"/>
    <w:rsid w:val="00290712"/>
    <w:rsid w:val="0029073B"/>
    <w:rsid w:val="00290DF9"/>
    <w:rsid w:val="0029101F"/>
    <w:rsid w:val="0029167F"/>
    <w:rsid w:val="00291D36"/>
    <w:rsid w:val="00292722"/>
    <w:rsid w:val="00292B3F"/>
    <w:rsid w:val="00292B96"/>
    <w:rsid w:val="00292E45"/>
    <w:rsid w:val="00292EF4"/>
    <w:rsid w:val="00293008"/>
    <w:rsid w:val="002931AA"/>
    <w:rsid w:val="00293EF0"/>
    <w:rsid w:val="00294305"/>
    <w:rsid w:val="00294402"/>
    <w:rsid w:val="002944AF"/>
    <w:rsid w:val="00294639"/>
    <w:rsid w:val="002955E8"/>
    <w:rsid w:val="002958C4"/>
    <w:rsid w:val="00295A83"/>
    <w:rsid w:val="00295A97"/>
    <w:rsid w:val="00295AF6"/>
    <w:rsid w:val="00295B74"/>
    <w:rsid w:val="00295C25"/>
    <w:rsid w:val="002967E7"/>
    <w:rsid w:val="0029716A"/>
    <w:rsid w:val="00297969"/>
    <w:rsid w:val="00297F9D"/>
    <w:rsid w:val="002A0483"/>
    <w:rsid w:val="002A04CF"/>
    <w:rsid w:val="002A0773"/>
    <w:rsid w:val="002A1251"/>
    <w:rsid w:val="002A1611"/>
    <w:rsid w:val="002A182B"/>
    <w:rsid w:val="002A1B75"/>
    <w:rsid w:val="002A20CF"/>
    <w:rsid w:val="002A20DA"/>
    <w:rsid w:val="002A228D"/>
    <w:rsid w:val="002A24F1"/>
    <w:rsid w:val="002A2A74"/>
    <w:rsid w:val="002A2AB9"/>
    <w:rsid w:val="002A2B0D"/>
    <w:rsid w:val="002A325C"/>
    <w:rsid w:val="002A4460"/>
    <w:rsid w:val="002A461F"/>
    <w:rsid w:val="002A4D61"/>
    <w:rsid w:val="002A4FBC"/>
    <w:rsid w:val="002A5A8C"/>
    <w:rsid w:val="002A5CBB"/>
    <w:rsid w:val="002A5E17"/>
    <w:rsid w:val="002A6276"/>
    <w:rsid w:val="002A62D6"/>
    <w:rsid w:val="002A68EC"/>
    <w:rsid w:val="002A6A87"/>
    <w:rsid w:val="002A6B00"/>
    <w:rsid w:val="002A715D"/>
    <w:rsid w:val="002A771C"/>
    <w:rsid w:val="002A7810"/>
    <w:rsid w:val="002A7833"/>
    <w:rsid w:val="002B0405"/>
    <w:rsid w:val="002B041E"/>
    <w:rsid w:val="002B04CD"/>
    <w:rsid w:val="002B071D"/>
    <w:rsid w:val="002B10B1"/>
    <w:rsid w:val="002B1138"/>
    <w:rsid w:val="002B117F"/>
    <w:rsid w:val="002B1279"/>
    <w:rsid w:val="002B1522"/>
    <w:rsid w:val="002B178A"/>
    <w:rsid w:val="002B1A1E"/>
    <w:rsid w:val="002B1DA0"/>
    <w:rsid w:val="002B1F23"/>
    <w:rsid w:val="002B203A"/>
    <w:rsid w:val="002B2442"/>
    <w:rsid w:val="002B252D"/>
    <w:rsid w:val="002B2613"/>
    <w:rsid w:val="002B268E"/>
    <w:rsid w:val="002B279B"/>
    <w:rsid w:val="002B2A57"/>
    <w:rsid w:val="002B2D9B"/>
    <w:rsid w:val="002B2E11"/>
    <w:rsid w:val="002B2E2F"/>
    <w:rsid w:val="002B338A"/>
    <w:rsid w:val="002B3A97"/>
    <w:rsid w:val="002B3FF1"/>
    <w:rsid w:val="002B4550"/>
    <w:rsid w:val="002B457F"/>
    <w:rsid w:val="002B4B1D"/>
    <w:rsid w:val="002B4C80"/>
    <w:rsid w:val="002B4F5A"/>
    <w:rsid w:val="002B561F"/>
    <w:rsid w:val="002B57DE"/>
    <w:rsid w:val="002B5892"/>
    <w:rsid w:val="002B5D91"/>
    <w:rsid w:val="002B5EE7"/>
    <w:rsid w:val="002B603F"/>
    <w:rsid w:val="002B618C"/>
    <w:rsid w:val="002B63B9"/>
    <w:rsid w:val="002B66C3"/>
    <w:rsid w:val="002B69B3"/>
    <w:rsid w:val="002B6B3F"/>
    <w:rsid w:val="002B6CD5"/>
    <w:rsid w:val="002B708C"/>
    <w:rsid w:val="002B71DE"/>
    <w:rsid w:val="002B7406"/>
    <w:rsid w:val="002B7458"/>
    <w:rsid w:val="002B7BD6"/>
    <w:rsid w:val="002B7D32"/>
    <w:rsid w:val="002B7E05"/>
    <w:rsid w:val="002C0048"/>
    <w:rsid w:val="002C0729"/>
    <w:rsid w:val="002C181D"/>
    <w:rsid w:val="002C1AA6"/>
    <w:rsid w:val="002C20B5"/>
    <w:rsid w:val="002C2223"/>
    <w:rsid w:val="002C2287"/>
    <w:rsid w:val="002C24CB"/>
    <w:rsid w:val="002C271D"/>
    <w:rsid w:val="002C2844"/>
    <w:rsid w:val="002C2A53"/>
    <w:rsid w:val="002C2CDD"/>
    <w:rsid w:val="002C2CFD"/>
    <w:rsid w:val="002C2DCF"/>
    <w:rsid w:val="002C3247"/>
    <w:rsid w:val="002C3772"/>
    <w:rsid w:val="002C3792"/>
    <w:rsid w:val="002C4B39"/>
    <w:rsid w:val="002C4DA4"/>
    <w:rsid w:val="002C4E39"/>
    <w:rsid w:val="002C4E82"/>
    <w:rsid w:val="002C5163"/>
    <w:rsid w:val="002C564C"/>
    <w:rsid w:val="002C572D"/>
    <w:rsid w:val="002C584F"/>
    <w:rsid w:val="002C5E50"/>
    <w:rsid w:val="002C601C"/>
    <w:rsid w:val="002C62E4"/>
    <w:rsid w:val="002C69CC"/>
    <w:rsid w:val="002C6E5C"/>
    <w:rsid w:val="002C7BE4"/>
    <w:rsid w:val="002C7E32"/>
    <w:rsid w:val="002D044C"/>
    <w:rsid w:val="002D0587"/>
    <w:rsid w:val="002D0AF9"/>
    <w:rsid w:val="002D0DAF"/>
    <w:rsid w:val="002D1073"/>
    <w:rsid w:val="002D140E"/>
    <w:rsid w:val="002D1937"/>
    <w:rsid w:val="002D23FA"/>
    <w:rsid w:val="002D2B55"/>
    <w:rsid w:val="002D2DF4"/>
    <w:rsid w:val="002D312F"/>
    <w:rsid w:val="002D3273"/>
    <w:rsid w:val="002D344D"/>
    <w:rsid w:val="002D36F0"/>
    <w:rsid w:val="002D385B"/>
    <w:rsid w:val="002D39A7"/>
    <w:rsid w:val="002D3F44"/>
    <w:rsid w:val="002D4254"/>
    <w:rsid w:val="002D4ABF"/>
    <w:rsid w:val="002D4BAA"/>
    <w:rsid w:val="002D5134"/>
    <w:rsid w:val="002D5576"/>
    <w:rsid w:val="002D5DF0"/>
    <w:rsid w:val="002D6155"/>
    <w:rsid w:val="002D6714"/>
    <w:rsid w:val="002D684A"/>
    <w:rsid w:val="002D6C5D"/>
    <w:rsid w:val="002D7777"/>
    <w:rsid w:val="002D7842"/>
    <w:rsid w:val="002D7A82"/>
    <w:rsid w:val="002D7ADF"/>
    <w:rsid w:val="002D7C0F"/>
    <w:rsid w:val="002D7D9D"/>
    <w:rsid w:val="002D7F7A"/>
    <w:rsid w:val="002E08C9"/>
    <w:rsid w:val="002E0C88"/>
    <w:rsid w:val="002E0F9F"/>
    <w:rsid w:val="002E14AB"/>
    <w:rsid w:val="002E193F"/>
    <w:rsid w:val="002E1A6D"/>
    <w:rsid w:val="002E1E56"/>
    <w:rsid w:val="002E1F13"/>
    <w:rsid w:val="002E1FC1"/>
    <w:rsid w:val="002E24A7"/>
    <w:rsid w:val="002E253A"/>
    <w:rsid w:val="002E273F"/>
    <w:rsid w:val="002E2E32"/>
    <w:rsid w:val="002E309C"/>
    <w:rsid w:val="002E3509"/>
    <w:rsid w:val="002E3EDD"/>
    <w:rsid w:val="002E3F62"/>
    <w:rsid w:val="002E478B"/>
    <w:rsid w:val="002E4A98"/>
    <w:rsid w:val="002E4B0B"/>
    <w:rsid w:val="002E4C12"/>
    <w:rsid w:val="002E4E55"/>
    <w:rsid w:val="002E52B7"/>
    <w:rsid w:val="002E53E1"/>
    <w:rsid w:val="002E5BEF"/>
    <w:rsid w:val="002E5DA0"/>
    <w:rsid w:val="002E612B"/>
    <w:rsid w:val="002E67D6"/>
    <w:rsid w:val="002E698E"/>
    <w:rsid w:val="002E6E74"/>
    <w:rsid w:val="002E7406"/>
    <w:rsid w:val="002E7825"/>
    <w:rsid w:val="002E7C22"/>
    <w:rsid w:val="002F0022"/>
    <w:rsid w:val="002F0264"/>
    <w:rsid w:val="002F053F"/>
    <w:rsid w:val="002F05B1"/>
    <w:rsid w:val="002F0908"/>
    <w:rsid w:val="002F09FE"/>
    <w:rsid w:val="002F0A2F"/>
    <w:rsid w:val="002F0EAA"/>
    <w:rsid w:val="002F0F93"/>
    <w:rsid w:val="002F161C"/>
    <w:rsid w:val="002F1C65"/>
    <w:rsid w:val="002F1D4B"/>
    <w:rsid w:val="002F1F16"/>
    <w:rsid w:val="002F2182"/>
    <w:rsid w:val="002F2199"/>
    <w:rsid w:val="002F2EAC"/>
    <w:rsid w:val="002F3909"/>
    <w:rsid w:val="002F3914"/>
    <w:rsid w:val="002F42B2"/>
    <w:rsid w:val="002F4350"/>
    <w:rsid w:val="002F461A"/>
    <w:rsid w:val="002F467C"/>
    <w:rsid w:val="002F47F7"/>
    <w:rsid w:val="002F48A4"/>
    <w:rsid w:val="002F495E"/>
    <w:rsid w:val="002F4D71"/>
    <w:rsid w:val="002F509B"/>
    <w:rsid w:val="002F51EA"/>
    <w:rsid w:val="002F5751"/>
    <w:rsid w:val="002F57E9"/>
    <w:rsid w:val="002F5800"/>
    <w:rsid w:val="002F5D0A"/>
    <w:rsid w:val="002F5E50"/>
    <w:rsid w:val="002F5EF1"/>
    <w:rsid w:val="002F5F1B"/>
    <w:rsid w:val="002F6444"/>
    <w:rsid w:val="002F65DC"/>
    <w:rsid w:val="002F677B"/>
    <w:rsid w:val="002F7D63"/>
    <w:rsid w:val="003001D1"/>
    <w:rsid w:val="003001FA"/>
    <w:rsid w:val="00300636"/>
    <w:rsid w:val="00300F1D"/>
    <w:rsid w:val="00301022"/>
    <w:rsid w:val="00301287"/>
    <w:rsid w:val="00301365"/>
    <w:rsid w:val="00301368"/>
    <w:rsid w:val="003013B6"/>
    <w:rsid w:val="00301E65"/>
    <w:rsid w:val="00302D6F"/>
    <w:rsid w:val="003035B6"/>
    <w:rsid w:val="00303A60"/>
    <w:rsid w:val="00303D53"/>
    <w:rsid w:val="00303F3C"/>
    <w:rsid w:val="0030442A"/>
    <w:rsid w:val="0030448E"/>
    <w:rsid w:val="0030496B"/>
    <w:rsid w:val="00304D4B"/>
    <w:rsid w:val="00304E28"/>
    <w:rsid w:val="00304FF4"/>
    <w:rsid w:val="003052B0"/>
    <w:rsid w:val="003053D2"/>
    <w:rsid w:val="00305755"/>
    <w:rsid w:val="0030577C"/>
    <w:rsid w:val="003057E3"/>
    <w:rsid w:val="00305B5A"/>
    <w:rsid w:val="00305F2D"/>
    <w:rsid w:val="0030680D"/>
    <w:rsid w:val="00306915"/>
    <w:rsid w:val="00306BAE"/>
    <w:rsid w:val="00307017"/>
    <w:rsid w:val="003072B8"/>
    <w:rsid w:val="003074B6"/>
    <w:rsid w:val="0030755B"/>
    <w:rsid w:val="00310188"/>
    <w:rsid w:val="0031029E"/>
    <w:rsid w:val="00310DA5"/>
    <w:rsid w:val="00310E79"/>
    <w:rsid w:val="00310E88"/>
    <w:rsid w:val="00311123"/>
    <w:rsid w:val="003116A7"/>
    <w:rsid w:val="0031238F"/>
    <w:rsid w:val="003125DF"/>
    <w:rsid w:val="00312614"/>
    <w:rsid w:val="00312DEB"/>
    <w:rsid w:val="00313076"/>
    <w:rsid w:val="00313087"/>
    <w:rsid w:val="0031314D"/>
    <w:rsid w:val="003131A9"/>
    <w:rsid w:val="003133C5"/>
    <w:rsid w:val="00313470"/>
    <w:rsid w:val="00313489"/>
    <w:rsid w:val="003137A7"/>
    <w:rsid w:val="003137C2"/>
    <w:rsid w:val="00313823"/>
    <w:rsid w:val="00313C3F"/>
    <w:rsid w:val="00314121"/>
    <w:rsid w:val="003146B7"/>
    <w:rsid w:val="00314778"/>
    <w:rsid w:val="003147D9"/>
    <w:rsid w:val="00314A46"/>
    <w:rsid w:val="00314DC1"/>
    <w:rsid w:val="00314F75"/>
    <w:rsid w:val="00315007"/>
    <w:rsid w:val="00315241"/>
    <w:rsid w:val="00315322"/>
    <w:rsid w:val="003155BB"/>
    <w:rsid w:val="00315707"/>
    <w:rsid w:val="0031588B"/>
    <w:rsid w:val="00315FDD"/>
    <w:rsid w:val="00316139"/>
    <w:rsid w:val="0031655A"/>
    <w:rsid w:val="00316801"/>
    <w:rsid w:val="0031683E"/>
    <w:rsid w:val="003169A5"/>
    <w:rsid w:val="00316D39"/>
    <w:rsid w:val="00316E91"/>
    <w:rsid w:val="00317035"/>
    <w:rsid w:val="00317585"/>
    <w:rsid w:val="00317705"/>
    <w:rsid w:val="003178F2"/>
    <w:rsid w:val="00317967"/>
    <w:rsid w:val="00317C61"/>
    <w:rsid w:val="0032049F"/>
    <w:rsid w:val="003204B0"/>
    <w:rsid w:val="00320787"/>
    <w:rsid w:val="00320848"/>
    <w:rsid w:val="003208F9"/>
    <w:rsid w:val="00320908"/>
    <w:rsid w:val="003209D0"/>
    <w:rsid w:val="00320A1D"/>
    <w:rsid w:val="00320DB1"/>
    <w:rsid w:val="00321937"/>
    <w:rsid w:val="00321C4E"/>
    <w:rsid w:val="00322A67"/>
    <w:rsid w:val="00322D42"/>
    <w:rsid w:val="00322F26"/>
    <w:rsid w:val="00323193"/>
    <w:rsid w:val="0032334D"/>
    <w:rsid w:val="003233B8"/>
    <w:rsid w:val="00323531"/>
    <w:rsid w:val="00323554"/>
    <w:rsid w:val="00323DAF"/>
    <w:rsid w:val="00323F01"/>
    <w:rsid w:val="00324147"/>
    <w:rsid w:val="003241EC"/>
    <w:rsid w:val="00324386"/>
    <w:rsid w:val="00324631"/>
    <w:rsid w:val="003246F6"/>
    <w:rsid w:val="003248BB"/>
    <w:rsid w:val="00324C82"/>
    <w:rsid w:val="00324C88"/>
    <w:rsid w:val="003251C1"/>
    <w:rsid w:val="0032534E"/>
    <w:rsid w:val="003256F5"/>
    <w:rsid w:val="0032588F"/>
    <w:rsid w:val="0032614F"/>
    <w:rsid w:val="00326346"/>
    <w:rsid w:val="0032651B"/>
    <w:rsid w:val="003269C5"/>
    <w:rsid w:val="003276E4"/>
    <w:rsid w:val="00327A6D"/>
    <w:rsid w:val="00327D89"/>
    <w:rsid w:val="0033035D"/>
    <w:rsid w:val="003312FF"/>
    <w:rsid w:val="00331964"/>
    <w:rsid w:val="003319F4"/>
    <w:rsid w:val="00331C9E"/>
    <w:rsid w:val="00331E7A"/>
    <w:rsid w:val="003322D2"/>
    <w:rsid w:val="0033264E"/>
    <w:rsid w:val="00332744"/>
    <w:rsid w:val="003330AC"/>
    <w:rsid w:val="00333985"/>
    <w:rsid w:val="00334031"/>
    <w:rsid w:val="00334297"/>
    <w:rsid w:val="003343B3"/>
    <w:rsid w:val="00334A1C"/>
    <w:rsid w:val="00334D09"/>
    <w:rsid w:val="00334D9B"/>
    <w:rsid w:val="0033514F"/>
    <w:rsid w:val="0033518D"/>
    <w:rsid w:val="003352CF"/>
    <w:rsid w:val="00335631"/>
    <w:rsid w:val="003356D0"/>
    <w:rsid w:val="00335C89"/>
    <w:rsid w:val="00335DD1"/>
    <w:rsid w:val="00335E24"/>
    <w:rsid w:val="00335F0B"/>
    <w:rsid w:val="003360D9"/>
    <w:rsid w:val="003363DE"/>
    <w:rsid w:val="00336874"/>
    <w:rsid w:val="00336989"/>
    <w:rsid w:val="00336D42"/>
    <w:rsid w:val="003371E2"/>
    <w:rsid w:val="00337453"/>
    <w:rsid w:val="00337CB0"/>
    <w:rsid w:val="0034020C"/>
    <w:rsid w:val="003404C9"/>
    <w:rsid w:val="00340CBE"/>
    <w:rsid w:val="00340DD7"/>
    <w:rsid w:val="00341210"/>
    <w:rsid w:val="00341394"/>
    <w:rsid w:val="0034141A"/>
    <w:rsid w:val="003414A8"/>
    <w:rsid w:val="00341586"/>
    <w:rsid w:val="00341606"/>
    <w:rsid w:val="003417C5"/>
    <w:rsid w:val="00341805"/>
    <w:rsid w:val="00341A86"/>
    <w:rsid w:val="00341EDB"/>
    <w:rsid w:val="0034221F"/>
    <w:rsid w:val="0034271D"/>
    <w:rsid w:val="00342A72"/>
    <w:rsid w:val="00342C5C"/>
    <w:rsid w:val="00342DE6"/>
    <w:rsid w:val="00342DFD"/>
    <w:rsid w:val="0034312B"/>
    <w:rsid w:val="0034397C"/>
    <w:rsid w:val="00343B40"/>
    <w:rsid w:val="0034405D"/>
    <w:rsid w:val="003444EE"/>
    <w:rsid w:val="00344B97"/>
    <w:rsid w:val="00344C0E"/>
    <w:rsid w:val="00344DAB"/>
    <w:rsid w:val="00345205"/>
    <w:rsid w:val="003454D6"/>
    <w:rsid w:val="00345744"/>
    <w:rsid w:val="0034593D"/>
    <w:rsid w:val="00347210"/>
    <w:rsid w:val="003473A2"/>
    <w:rsid w:val="003479FF"/>
    <w:rsid w:val="00347C58"/>
    <w:rsid w:val="00347DEA"/>
    <w:rsid w:val="00347EAF"/>
    <w:rsid w:val="00347FEB"/>
    <w:rsid w:val="0035009A"/>
    <w:rsid w:val="0035031E"/>
    <w:rsid w:val="00350484"/>
    <w:rsid w:val="00350A39"/>
    <w:rsid w:val="00350EFE"/>
    <w:rsid w:val="003511C6"/>
    <w:rsid w:val="003513D8"/>
    <w:rsid w:val="00351499"/>
    <w:rsid w:val="0035157B"/>
    <w:rsid w:val="00351692"/>
    <w:rsid w:val="003517F0"/>
    <w:rsid w:val="00351CA8"/>
    <w:rsid w:val="00351F7C"/>
    <w:rsid w:val="00351FCC"/>
    <w:rsid w:val="00352033"/>
    <w:rsid w:val="00352171"/>
    <w:rsid w:val="003522D3"/>
    <w:rsid w:val="00353240"/>
    <w:rsid w:val="00353B13"/>
    <w:rsid w:val="00353B8D"/>
    <w:rsid w:val="00353BAC"/>
    <w:rsid w:val="00354397"/>
    <w:rsid w:val="00354464"/>
    <w:rsid w:val="00354847"/>
    <w:rsid w:val="00354C6D"/>
    <w:rsid w:val="003556AE"/>
    <w:rsid w:val="003558DE"/>
    <w:rsid w:val="00355B4F"/>
    <w:rsid w:val="00356319"/>
    <w:rsid w:val="00356370"/>
    <w:rsid w:val="003567E9"/>
    <w:rsid w:val="00357238"/>
    <w:rsid w:val="003574B6"/>
    <w:rsid w:val="00357753"/>
    <w:rsid w:val="003577DA"/>
    <w:rsid w:val="0035796A"/>
    <w:rsid w:val="00357A0F"/>
    <w:rsid w:val="00357F20"/>
    <w:rsid w:val="003604DC"/>
    <w:rsid w:val="00360575"/>
    <w:rsid w:val="003606B5"/>
    <w:rsid w:val="00362049"/>
    <w:rsid w:val="00362460"/>
    <w:rsid w:val="00362BAA"/>
    <w:rsid w:val="00362D0B"/>
    <w:rsid w:val="00362DC1"/>
    <w:rsid w:val="00362FEB"/>
    <w:rsid w:val="003632D6"/>
    <w:rsid w:val="00363611"/>
    <w:rsid w:val="0036367F"/>
    <w:rsid w:val="003637E3"/>
    <w:rsid w:val="00363B0F"/>
    <w:rsid w:val="00363C63"/>
    <w:rsid w:val="00363EBC"/>
    <w:rsid w:val="00364324"/>
    <w:rsid w:val="003648B5"/>
    <w:rsid w:val="00365054"/>
    <w:rsid w:val="0036524B"/>
    <w:rsid w:val="00365585"/>
    <w:rsid w:val="00365FC7"/>
    <w:rsid w:val="00366390"/>
    <w:rsid w:val="00366407"/>
    <w:rsid w:val="00366413"/>
    <w:rsid w:val="003665CA"/>
    <w:rsid w:val="00366F23"/>
    <w:rsid w:val="003675B1"/>
    <w:rsid w:val="003675DA"/>
    <w:rsid w:val="003676DF"/>
    <w:rsid w:val="00367936"/>
    <w:rsid w:val="00367E48"/>
    <w:rsid w:val="00367FF3"/>
    <w:rsid w:val="00370C33"/>
    <w:rsid w:val="00370F41"/>
    <w:rsid w:val="00371024"/>
    <w:rsid w:val="00371116"/>
    <w:rsid w:val="003711F3"/>
    <w:rsid w:val="003713FB"/>
    <w:rsid w:val="00371475"/>
    <w:rsid w:val="0037162F"/>
    <w:rsid w:val="00371E5A"/>
    <w:rsid w:val="00372442"/>
    <w:rsid w:val="003728D0"/>
    <w:rsid w:val="00372915"/>
    <w:rsid w:val="00372972"/>
    <w:rsid w:val="003729D8"/>
    <w:rsid w:val="00372EFA"/>
    <w:rsid w:val="0037306B"/>
    <w:rsid w:val="00373329"/>
    <w:rsid w:val="00373432"/>
    <w:rsid w:val="0037364D"/>
    <w:rsid w:val="00373982"/>
    <w:rsid w:val="00373B19"/>
    <w:rsid w:val="00373BDA"/>
    <w:rsid w:val="00373FFD"/>
    <w:rsid w:val="00374288"/>
    <w:rsid w:val="003743CF"/>
    <w:rsid w:val="0037476E"/>
    <w:rsid w:val="00374940"/>
    <w:rsid w:val="00374FE5"/>
    <w:rsid w:val="0037515B"/>
    <w:rsid w:val="0037521E"/>
    <w:rsid w:val="00375716"/>
    <w:rsid w:val="0037573B"/>
    <w:rsid w:val="00375B04"/>
    <w:rsid w:val="00375B31"/>
    <w:rsid w:val="00375B7A"/>
    <w:rsid w:val="00375C3F"/>
    <w:rsid w:val="003763F0"/>
    <w:rsid w:val="00376C5E"/>
    <w:rsid w:val="00376FE9"/>
    <w:rsid w:val="00377747"/>
    <w:rsid w:val="0037795A"/>
    <w:rsid w:val="00377BB0"/>
    <w:rsid w:val="00377BBB"/>
    <w:rsid w:val="003802CA"/>
    <w:rsid w:val="0038053F"/>
    <w:rsid w:val="00380837"/>
    <w:rsid w:val="00380D6F"/>
    <w:rsid w:val="0038133C"/>
    <w:rsid w:val="0038138C"/>
    <w:rsid w:val="0038184B"/>
    <w:rsid w:val="00381A04"/>
    <w:rsid w:val="00382339"/>
    <w:rsid w:val="00382681"/>
    <w:rsid w:val="00382A2E"/>
    <w:rsid w:val="00382DAC"/>
    <w:rsid w:val="0038319A"/>
    <w:rsid w:val="0038322C"/>
    <w:rsid w:val="00383B69"/>
    <w:rsid w:val="00384140"/>
    <w:rsid w:val="00384764"/>
    <w:rsid w:val="00384BA3"/>
    <w:rsid w:val="00384FE2"/>
    <w:rsid w:val="00385231"/>
    <w:rsid w:val="00385941"/>
    <w:rsid w:val="00385AAA"/>
    <w:rsid w:val="00385D19"/>
    <w:rsid w:val="00385F6F"/>
    <w:rsid w:val="00386308"/>
    <w:rsid w:val="00386465"/>
    <w:rsid w:val="003866B7"/>
    <w:rsid w:val="003866E5"/>
    <w:rsid w:val="00386791"/>
    <w:rsid w:val="0038684F"/>
    <w:rsid w:val="00386E70"/>
    <w:rsid w:val="0038710D"/>
    <w:rsid w:val="0038791C"/>
    <w:rsid w:val="00387A22"/>
    <w:rsid w:val="00387A62"/>
    <w:rsid w:val="00387DD5"/>
    <w:rsid w:val="00387F76"/>
    <w:rsid w:val="0039001F"/>
    <w:rsid w:val="00390103"/>
    <w:rsid w:val="00390277"/>
    <w:rsid w:val="00390546"/>
    <w:rsid w:val="00390921"/>
    <w:rsid w:val="00390C28"/>
    <w:rsid w:val="0039128D"/>
    <w:rsid w:val="00391434"/>
    <w:rsid w:val="00391C59"/>
    <w:rsid w:val="00391D4D"/>
    <w:rsid w:val="003922CB"/>
    <w:rsid w:val="00392544"/>
    <w:rsid w:val="00392E3C"/>
    <w:rsid w:val="0039317A"/>
    <w:rsid w:val="0039319F"/>
    <w:rsid w:val="003932A5"/>
    <w:rsid w:val="003939B8"/>
    <w:rsid w:val="00393DC6"/>
    <w:rsid w:val="003942DF"/>
    <w:rsid w:val="00394628"/>
    <w:rsid w:val="00394DAC"/>
    <w:rsid w:val="0039516E"/>
    <w:rsid w:val="00395379"/>
    <w:rsid w:val="003956DB"/>
    <w:rsid w:val="003957CC"/>
    <w:rsid w:val="003958FA"/>
    <w:rsid w:val="003959CE"/>
    <w:rsid w:val="00395BCD"/>
    <w:rsid w:val="00395E8E"/>
    <w:rsid w:val="00395F5C"/>
    <w:rsid w:val="00396859"/>
    <w:rsid w:val="003968C1"/>
    <w:rsid w:val="00396A43"/>
    <w:rsid w:val="00396AD0"/>
    <w:rsid w:val="00396C75"/>
    <w:rsid w:val="00396D54"/>
    <w:rsid w:val="00396E90"/>
    <w:rsid w:val="00396FC8"/>
    <w:rsid w:val="003971F1"/>
    <w:rsid w:val="00397340"/>
    <w:rsid w:val="003978B7"/>
    <w:rsid w:val="00397C5A"/>
    <w:rsid w:val="003A0065"/>
    <w:rsid w:val="003A00BD"/>
    <w:rsid w:val="003A01F3"/>
    <w:rsid w:val="003A024C"/>
    <w:rsid w:val="003A04BE"/>
    <w:rsid w:val="003A059E"/>
    <w:rsid w:val="003A05CF"/>
    <w:rsid w:val="003A0C68"/>
    <w:rsid w:val="003A0EAF"/>
    <w:rsid w:val="003A1993"/>
    <w:rsid w:val="003A1D74"/>
    <w:rsid w:val="003A1FF0"/>
    <w:rsid w:val="003A28BB"/>
    <w:rsid w:val="003A2B49"/>
    <w:rsid w:val="003A2C8F"/>
    <w:rsid w:val="003A2D6D"/>
    <w:rsid w:val="003A3250"/>
    <w:rsid w:val="003A369F"/>
    <w:rsid w:val="003A378E"/>
    <w:rsid w:val="003A3A85"/>
    <w:rsid w:val="003A3AFA"/>
    <w:rsid w:val="003A4261"/>
    <w:rsid w:val="003A45FE"/>
    <w:rsid w:val="003A498B"/>
    <w:rsid w:val="003A50B5"/>
    <w:rsid w:val="003A52FD"/>
    <w:rsid w:val="003A57C2"/>
    <w:rsid w:val="003A6331"/>
    <w:rsid w:val="003A6647"/>
    <w:rsid w:val="003A6652"/>
    <w:rsid w:val="003A66EA"/>
    <w:rsid w:val="003A690C"/>
    <w:rsid w:val="003A6999"/>
    <w:rsid w:val="003A6CDC"/>
    <w:rsid w:val="003A6E9B"/>
    <w:rsid w:val="003A7008"/>
    <w:rsid w:val="003A74D9"/>
    <w:rsid w:val="003A7729"/>
    <w:rsid w:val="003A7A43"/>
    <w:rsid w:val="003A7B45"/>
    <w:rsid w:val="003A7C09"/>
    <w:rsid w:val="003B01AC"/>
    <w:rsid w:val="003B02FB"/>
    <w:rsid w:val="003B08B0"/>
    <w:rsid w:val="003B0C90"/>
    <w:rsid w:val="003B0CF5"/>
    <w:rsid w:val="003B0ED5"/>
    <w:rsid w:val="003B1057"/>
    <w:rsid w:val="003B16C2"/>
    <w:rsid w:val="003B19EC"/>
    <w:rsid w:val="003B1C58"/>
    <w:rsid w:val="003B1EE6"/>
    <w:rsid w:val="003B2023"/>
    <w:rsid w:val="003B20A5"/>
    <w:rsid w:val="003B21A2"/>
    <w:rsid w:val="003B2730"/>
    <w:rsid w:val="003B283A"/>
    <w:rsid w:val="003B3904"/>
    <w:rsid w:val="003B3A92"/>
    <w:rsid w:val="003B3C02"/>
    <w:rsid w:val="003B3F22"/>
    <w:rsid w:val="003B3F7D"/>
    <w:rsid w:val="003B43FB"/>
    <w:rsid w:val="003B4769"/>
    <w:rsid w:val="003B4923"/>
    <w:rsid w:val="003B4FF0"/>
    <w:rsid w:val="003B5069"/>
    <w:rsid w:val="003B52AF"/>
    <w:rsid w:val="003B54A6"/>
    <w:rsid w:val="003B5696"/>
    <w:rsid w:val="003B57C6"/>
    <w:rsid w:val="003B5C25"/>
    <w:rsid w:val="003B5C9B"/>
    <w:rsid w:val="003B5E53"/>
    <w:rsid w:val="003B6169"/>
    <w:rsid w:val="003B6248"/>
    <w:rsid w:val="003B659D"/>
    <w:rsid w:val="003B65CB"/>
    <w:rsid w:val="003B6877"/>
    <w:rsid w:val="003B688B"/>
    <w:rsid w:val="003B69B3"/>
    <w:rsid w:val="003B6E03"/>
    <w:rsid w:val="003B71CB"/>
    <w:rsid w:val="003B73D3"/>
    <w:rsid w:val="003B7676"/>
    <w:rsid w:val="003B7A3C"/>
    <w:rsid w:val="003B7FAE"/>
    <w:rsid w:val="003C00DF"/>
    <w:rsid w:val="003C037A"/>
    <w:rsid w:val="003C071C"/>
    <w:rsid w:val="003C0A9A"/>
    <w:rsid w:val="003C0F14"/>
    <w:rsid w:val="003C15C1"/>
    <w:rsid w:val="003C1A61"/>
    <w:rsid w:val="003C1CE3"/>
    <w:rsid w:val="003C2695"/>
    <w:rsid w:val="003C2916"/>
    <w:rsid w:val="003C3128"/>
    <w:rsid w:val="003C363A"/>
    <w:rsid w:val="003C3683"/>
    <w:rsid w:val="003C3853"/>
    <w:rsid w:val="003C3F45"/>
    <w:rsid w:val="003C40E9"/>
    <w:rsid w:val="003C4552"/>
    <w:rsid w:val="003C4631"/>
    <w:rsid w:val="003C468E"/>
    <w:rsid w:val="003C49CF"/>
    <w:rsid w:val="003C4FED"/>
    <w:rsid w:val="003C50B5"/>
    <w:rsid w:val="003C51DE"/>
    <w:rsid w:val="003C5293"/>
    <w:rsid w:val="003C547C"/>
    <w:rsid w:val="003C55AE"/>
    <w:rsid w:val="003C55C5"/>
    <w:rsid w:val="003C5DD8"/>
    <w:rsid w:val="003C5FEF"/>
    <w:rsid w:val="003C6026"/>
    <w:rsid w:val="003C65C3"/>
    <w:rsid w:val="003C70AD"/>
    <w:rsid w:val="003C7503"/>
    <w:rsid w:val="003C78EE"/>
    <w:rsid w:val="003C7B02"/>
    <w:rsid w:val="003C7DC6"/>
    <w:rsid w:val="003C7F2C"/>
    <w:rsid w:val="003D005D"/>
    <w:rsid w:val="003D00B1"/>
    <w:rsid w:val="003D02B6"/>
    <w:rsid w:val="003D03A7"/>
    <w:rsid w:val="003D067F"/>
    <w:rsid w:val="003D070C"/>
    <w:rsid w:val="003D120C"/>
    <w:rsid w:val="003D1235"/>
    <w:rsid w:val="003D1592"/>
    <w:rsid w:val="003D1629"/>
    <w:rsid w:val="003D1816"/>
    <w:rsid w:val="003D1D01"/>
    <w:rsid w:val="003D1E5D"/>
    <w:rsid w:val="003D1E6E"/>
    <w:rsid w:val="003D2021"/>
    <w:rsid w:val="003D20AC"/>
    <w:rsid w:val="003D29A2"/>
    <w:rsid w:val="003D2CB1"/>
    <w:rsid w:val="003D30BD"/>
    <w:rsid w:val="003D37CA"/>
    <w:rsid w:val="003D3AC0"/>
    <w:rsid w:val="003D3B04"/>
    <w:rsid w:val="003D3C5B"/>
    <w:rsid w:val="003D3FED"/>
    <w:rsid w:val="003D42D3"/>
    <w:rsid w:val="003D4423"/>
    <w:rsid w:val="003D483A"/>
    <w:rsid w:val="003D49DF"/>
    <w:rsid w:val="003D4B4E"/>
    <w:rsid w:val="003D4FB3"/>
    <w:rsid w:val="003D542C"/>
    <w:rsid w:val="003D5893"/>
    <w:rsid w:val="003D5A28"/>
    <w:rsid w:val="003D5B21"/>
    <w:rsid w:val="003D5BF9"/>
    <w:rsid w:val="003D5C3F"/>
    <w:rsid w:val="003D60CB"/>
    <w:rsid w:val="003D67C1"/>
    <w:rsid w:val="003D6A0E"/>
    <w:rsid w:val="003D6C80"/>
    <w:rsid w:val="003D6D8E"/>
    <w:rsid w:val="003D6DB6"/>
    <w:rsid w:val="003D6E49"/>
    <w:rsid w:val="003D7512"/>
    <w:rsid w:val="003D75B8"/>
    <w:rsid w:val="003D77AE"/>
    <w:rsid w:val="003D7BA1"/>
    <w:rsid w:val="003D7D05"/>
    <w:rsid w:val="003D7DE1"/>
    <w:rsid w:val="003E01ED"/>
    <w:rsid w:val="003E0201"/>
    <w:rsid w:val="003E07FB"/>
    <w:rsid w:val="003E0927"/>
    <w:rsid w:val="003E096B"/>
    <w:rsid w:val="003E0D2B"/>
    <w:rsid w:val="003E1362"/>
    <w:rsid w:val="003E14B8"/>
    <w:rsid w:val="003E164B"/>
    <w:rsid w:val="003E17EA"/>
    <w:rsid w:val="003E1A6F"/>
    <w:rsid w:val="003E1FCF"/>
    <w:rsid w:val="003E217A"/>
    <w:rsid w:val="003E270A"/>
    <w:rsid w:val="003E27CF"/>
    <w:rsid w:val="003E2866"/>
    <w:rsid w:val="003E28C2"/>
    <w:rsid w:val="003E2C03"/>
    <w:rsid w:val="003E2CE7"/>
    <w:rsid w:val="003E2DF7"/>
    <w:rsid w:val="003E36E4"/>
    <w:rsid w:val="003E38CE"/>
    <w:rsid w:val="003E397E"/>
    <w:rsid w:val="003E4094"/>
    <w:rsid w:val="003E4211"/>
    <w:rsid w:val="003E4523"/>
    <w:rsid w:val="003E4C56"/>
    <w:rsid w:val="003E5472"/>
    <w:rsid w:val="003E6337"/>
    <w:rsid w:val="003E67C4"/>
    <w:rsid w:val="003E68AD"/>
    <w:rsid w:val="003E6949"/>
    <w:rsid w:val="003E7445"/>
    <w:rsid w:val="003F02FA"/>
    <w:rsid w:val="003F058C"/>
    <w:rsid w:val="003F0A72"/>
    <w:rsid w:val="003F0CA1"/>
    <w:rsid w:val="003F14AF"/>
    <w:rsid w:val="003F1E94"/>
    <w:rsid w:val="003F1F96"/>
    <w:rsid w:val="003F26C8"/>
    <w:rsid w:val="003F2DDC"/>
    <w:rsid w:val="003F3002"/>
    <w:rsid w:val="003F338B"/>
    <w:rsid w:val="003F41AB"/>
    <w:rsid w:val="003F423B"/>
    <w:rsid w:val="003F449D"/>
    <w:rsid w:val="003F4578"/>
    <w:rsid w:val="003F462D"/>
    <w:rsid w:val="003F49EC"/>
    <w:rsid w:val="003F4A58"/>
    <w:rsid w:val="003F4B7E"/>
    <w:rsid w:val="003F55D8"/>
    <w:rsid w:val="003F592C"/>
    <w:rsid w:val="003F5C09"/>
    <w:rsid w:val="003F5FE7"/>
    <w:rsid w:val="003F6093"/>
    <w:rsid w:val="003F65C5"/>
    <w:rsid w:val="003F71CB"/>
    <w:rsid w:val="003F74BB"/>
    <w:rsid w:val="003F77C0"/>
    <w:rsid w:val="003F7862"/>
    <w:rsid w:val="003F7D0E"/>
    <w:rsid w:val="003F7F3B"/>
    <w:rsid w:val="0040006A"/>
    <w:rsid w:val="004002F4"/>
    <w:rsid w:val="004002F9"/>
    <w:rsid w:val="00400576"/>
    <w:rsid w:val="0040071C"/>
    <w:rsid w:val="004009ED"/>
    <w:rsid w:val="00400C7C"/>
    <w:rsid w:val="00400D58"/>
    <w:rsid w:val="004011AA"/>
    <w:rsid w:val="00401530"/>
    <w:rsid w:val="0040191B"/>
    <w:rsid w:val="00401FB8"/>
    <w:rsid w:val="00402686"/>
    <w:rsid w:val="00402C48"/>
    <w:rsid w:val="00402C51"/>
    <w:rsid w:val="004030E6"/>
    <w:rsid w:val="004036A1"/>
    <w:rsid w:val="00403A52"/>
    <w:rsid w:val="00403AF3"/>
    <w:rsid w:val="00403F4F"/>
    <w:rsid w:val="00404137"/>
    <w:rsid w:val="00404275"/>
    <w:rsid w:val="004043DA"/>
    <w:rsid w:val="00404456"/>
    <w:rsid w:val="0040474F"/>
    <w:rsid w:val="00404D17"/>
    <w:rsid w:val="004051DE"/>
    <w:rsid w:val="00405662"/>
    <w:rsid w:val="00405A73"/>
    <w:rsid w:val="0040617B"/>
    <w:rsid w:val="00406837"/>
    <w:rsid w:val="00406BA2"/>
    <w:rsid w:val="00406D02"/>
    <w:rsid w:val="00406E74"/>
    <w:rsid w:val="00407080"/>
    <w:rsid w:val="00407293"/>
    <w:rsid w:val="00407450"/>
    <w:rsid w:val="0040767E"/>
    <w:rsid w:val="0040788B"/>
    <w:rsid w:val="00407991"/>
    <w:rsid w:val="0041025D"/>
    <w:rsid w:val="004102B2"/>
    <w:rsid w:val="00410DA9"/>
    <w:rsid w:val="00411066"/>
    <w:rsid w:val="00411424"/>
    <w:rsid w:val="00411502"/>
    <w:rsid w:val="004116D5"/>
    <w:rsid w:val="00411925"/>
    <w:rsid w:val="00411A90"/>
    <w:rsid w:val="00412098"/>
    <w:rsid w:val="004124BB"/>
    <w:rsid w:val="004124CD"/>
    <w:rsid w:val="00412655"/>
    <w:rsid w:val="004131FB"/>
    <w:rsid w:val="004134D2"/>
    <w:rsid w:val="00413731"/>
    <w:rsid w:val="00413913"/>
    <w:rsid w:val="0041398F"/>
    <w:rsid w:val="00413B58"/>
    <w:rsid w:val="0041418D"/>
    <w:rsid w:val="0041439F"/>
    <w:rsid w:val="0041453C"/>
    <w:rsid w:val="00414580"/>
    <w:rsid w:val="004145A9"/>
    <w:rsid w:val="00414A17"/>
    <w:rsid w:val="004150C3"/>
    <w:rsid w:val="00415216"/>
    <w:rsid w:val="0041524F"/>
    <w:rsid w:val="00415643"/>
    <w:rsid w:val="0041565A"/>
    <w:rsid w:val="0041582B"/>
    <w:rsid w:val="00415873"/>
    <w:rsid w:val="00415AFD"/>
    <w:rsid w:val="00415DB0"/>
    <w:rsid w:val="004162E6"/>
    <w:rsid w:val="00416986"/>
    <w:rsid w:val="00416B77"/>
    <w:rsid w:val="00416E54"/>
    <w:rsid w:val="00416F31"/>
    <w:rsid w:val="00416FC0"/>
    <w:rsid w:val="00417191"/>
    <w:rsid w:val="0041737D"/>
    <w:rsid w:val="00417874"/>
    <w:rsid w:val="00417959"/>
    <w:rsid w:val="0042044C"/>
    <w:rsid w:val="00420A93"/>
    <w:rsid w:val="00420CA7"/>
    <w:rsid w:val="00420DB1"/>
    <w:rsid w:val="0042157D"/>
    <w:rsid w:val="00421724"/>
    <w:rsid w:val="00421BFA"/>
    <w:rsid w:val="00421CA3"/>
    <w:rsid w:val="0042234A"/>
    <w:rsid w:val="00422630"/>
    <w:rsid w:val="00422705"/>
    <w:rsid w:val="00422A52"/>
    <w:rsid w:val="00423157"/>
    <w:rsid w:val="004235C1"/>
    <w:rsid w:val="00423772"/>
    <w:rsid w:val="00423860"/>
    <w:rsid w:val="004238C9"/>
    <w:rsid w:val="00424189"/>
    <w:rsid w:val="00424425"/>
    <w:rsid w:val="004244EB"/>
    <w:rsid w:val="00424508"/>
    <w:rsid w:val="0042537C"/>
    <w:rsid w:val="004253EA"/>
    <w:rsid w:val="00425412"/>
    <w:rsid w:val="0042567F"/>
    <w:rsid w:val="00425690"/>
    <w:rsid w:val="00425C1C"/>
    <w:rsid w:val="00425F4E"/>
    <w:rsid w:val="0042600A"/>
    <w:rsid w:val="00426065"/>
    <w:rsid w:val="00426E2C"/>
    <w:rsid w:val="00427000"/>
    <w:rsid w:val="00427163"/>
    <w:rsid w:val="004271A9"/>
    <w:rsid w:val="00427265"/>
    <w:rsid w:val="0042752F"/>
    <w:rsid w:val="00427575"/>
    <w:rsid w:val="004275BF"/>
    <w:rsid w:val="00427AFC"/>
    <w:rsid w:val="00427D63"/>
    <w:rsid w:val="00430013"/>
    <w:rsid w:val="0043010B"/>
    <w:rsid w:val="004309D0"/>
    <w:rsid w:val="00431813"/>
    <w:rsid w:val="00431BE2"/>
    <w:rsid w:val="0043277A"/>
    <w:rsid w:val="00432780"/>
    <w:rsid w:val="00432CB5"/>
    <w:rsid w:val="004333CB"/>
    <w:rsid w:val="004335BA"/>
    <w:rsid w:val="0043379E"/>
    <w:rsid w:val="004338CA"/>
    <w:rsid w:val="00433A94"/>
    <w:rsid w:val="00433B50"/>
    <w:rsid w:val="00433E1A"/>
    <w:rsid w:val="00433E96"/>
    <w:rsid w:val="00434132"/>
    <w:rsid w:val="0043455D"/>
    <w:rsid w:val="00434758"/>
    <w:rsid w:val="00434B9E"/>
    <w:rsid w:val="00434C17"/>
    <w:rsid w:val="0043522B"/>
    <w:rsid w:val="004352F8"/>
    <w:rsid w:val="0043531C"/>
    <w:rsid w:val="00435A82"/>
    <w:rsid w:val="00435F6E"/>
    <w:rsid w:val="00435F7A"/>
    <w:rsid w:val="00435FCA"/>
    <w:rsid w:val="00436465"/>
    <w:rsid w:val="00436B5D"/>
    <w:rsid w:val="00436C3F"/>
    <w:rsid w:val="00436D1C"/>
    <w:rsid w:val="00437200"/>
    <w:rsid w:val="004373EC"/>
    <w:rsid w:val="00437A5A"/>
    <w:rsid w:val="0044015E"/>
    <w:rsid w:val="004403A7"/>
    <w:rsid w:val="004406DF"/>
    <w:rsid w:val="00440894"/>
    <w:rsid w:val="004409B8"/>
    <w:rsid w:val="00440A14"/>
    <w:rsid w:val="00440CB0"/>
    <w:rsid w:val="00441730"/>
    <w:rsid w:val="00442622"/>
    <w:rsid w:val="0044270E"/>
    <w:rsid w:val="00443561"/>
    <w:rsid w:val="0044376B"/>
    <w:rsid w:val="00443AA7"/>
    <w:rsid w:val="00443F02"/>
    <w:rsid w:val="00444080"/>
    <w:rsid w:val="0044493F"/>
    <w:rsid w:val="00444A90"/>
    <w:rsid w:val="00444B7A"/>
    <w:rsid w:val="00444E9A"/>
    <w:rsid w:val="0044545F"/>
    <w:rsid w:val="0044589E"/>
    <w:rsid w:val="0044617B"/>
    <w:rsid w:val="004461B9"/>
    <w:rsid w:val="00446260"/>
    <w:rsid w:val="004463F7"/>
    <w:rsid w:val="004465E8"/>
    <w:rsid w:val="004467D7"/>
    <w:rsid w:val="0044681D"/>
    <w:rsid w:val="00446897"/>
    <w:rsid w:val="00446905"/>
    <w:rsid w:val="00446DAD"/>
    <w:rsid w:val="00446E80"/>
    <w:rsid w:val="00447863"/>
    <w:rsid w:val="00447F3E"/>
    <w:rsid w:val="004500D5"/>
    <w:rsid w:val="004501F7"/>
    <w:rsid w:val="0045030A"/>
    <w:rsid w:val="0045070C"/>
    <w:rsid w:val="004507FC"/>
    <w:rsid w:val="004508A5"/>
    <w:rsid w:val="004509FA"/>
    <w:rsid w:val="00450AE6"/>
    <w:rsid w:val="00450E36"/>
    <w:rsid w:val="00451634"/>
    <w:rsid w:val="00451DB2"/>
    <w:rsid w:val="00453536"/>
    <w:rsid w:val="00453FF5"/>
    <w:rsid w:val="0045437B"/>
    <w:rsid w:val="0045448B"/>
    <w:rsid w:val="00454948"/>
    <w:rsid w:val="00454BF1"/>
    <w:rsid w:val="00455487"/>
    <w:rsid w:val="0045590F"/>
    <w:rsid w:val="00455945"/>
    <w:rsid w:val="00455C51"/>
    <w:rsid w:val="00455CC2"/>
    <w:rsid w:val="00455E76"/>
    <w:rsid w:val="004560E6"/>
    <w:rsid w:val="00456332"/>
    <w:rsid w:val="00456A83"/>
    <w:rsid w:val="00456FDD"/>
    <w:rsid w:val="00457277"/>
    <w:rsid w:val="0045729B"/>
    <w:rsid w:val="0045739A"/>
    <w:rsid w:val="004576A1"/>
    <w:rsid w:val="00457A1F"/>
    <w:rsid w:val="004600A2"/>
    <w:rsid w:val="00460117"/>
    <w:rsid w:val="004604CF"/>
    <w:rsid w:val="004604F8"/>
    <w:rsid w:val="0046063B"/>
    <w:rsid w:val="0046116A"/>
    <w:rsid w:val="004612D4"/>
    <w:rsid w:val="00461403"/>
    <w:rsid w:val="0046173B"/>
    <w:rsid w:val="00461755"/>
    <w:rsid w:val="00461961"/>
    <w:rsid w:val="00461ACC"/>
    <w:rsid w:val="00461BE6"/>
    <w:rsid w:val="00461CF4"/>
    <w:rsid w:val="004622B7"/>
    <w:rsid w:val="00462311"/>
    <w:rsid w:val="00462510"/>
    <w:rsid w:val="00462886"/>
    <w:rsid w:val="00462B20"/>
    <w:rsid w:val="00463CD9"/>
    <w:rsid w:val="00463DB3"/>
    <w:rsid w:val="00464AE3"/>
    <w:rsid w:val="00464B3D"/>
    <w:rsid w:val="004653FB"/>
    <w:rsid w:val="00465484"/>
    <w:rsid w:val="00465522"/>
    <w:rsid w:val="0046567F"/>
    <w:rsid w:val="00465864"/>
    <w:rsid w:val="00465999"/>
    <w:rsid w:val="004659AE"/>
    <w:rsid w:val="00465BDB"/>
    <w:rsid w:val="0046602F"/>
    <w:rsid w:val="00466607"/>
    <w:rsid w:val="0046697B"/>
    <w:rsid w:val="00466C36"/>
    <w:rsid w:val="00466EA0"/>
    <w:rsid w:val="0046705F"/>
    <w:rsid w:val="0046758D"/>
    <w:rsid w:val="004678B7"/>
    <w:rsid w:val="00467D79"/>
    <w:rsid w:val="00467DF4"/>
    <w:rsid w:val="004703D4"/>
    <w:rsid w:val="004704AA"/>
    <w:rsid w:val="0047078D"/>
    <w:rsid w:val="00470CB3"/>
    <w:rsid w:val="00470E7B"/>
    <w:rsid w:val="004711E4"/>
    <w:rsid w:val="0047124F"/>
    <w:rsid w:val="00471256"/>
    <w:rsid w:val="00471E7A"/>
    <w:rsid w:val="00472513"/>
    <w:rsid w:val="0047256E"/>
    <w:rsid w:val="004727D2"/>
    <w:rsid w:val="00472B53"/>
    <w:rsid w:val="00472BAD"/>
    <w:rsid w:val="00473514"/>
    <w:rsid w:val="00473673"/>
    <w:rsid w:val="00473B1F"/>
    <w:rsid w:val="00473C2B"/>
    <w:rsid w:val="00473DC5"/>
    <w:rsid w:val="00474001"/>
    <w:rsid w:val="004747BF"/>
    <w:rsid w:val="00474CF0"/>
    <w:rsid w:val="00474E92"/>
    <w:rsid w:val="00475323"/>
    <w:rsid w:val="0047584F"/>
    <w:rsid w:val="00475AAF"/>
    <w:rsid w:val="00476846"/>
    <w:rsid w:val="00476AD5"/>
    <w:rsid w:val="00476B9D"/>
    <w:rsid w:val="004778A9"/>
    <w:rsid w:val="00477B5D"/>
    <w:rsid w:val="00477BDB"/>
    <w:rsid w:val="00477C44"/>
    <w:rsid w:val="00477FB7"/>
    <w:rsid w:val="00480681"/>
    <w:rsid w:val="00480980"/>
    <w:rsid w:val="00480ACA"/>
    <w:rsid w:val="00480BF3"/>
    <w:rsid w:val="00480F69"/>
    <w:rsid w:val="0048105F"/>
    <w:rsid w:val="0048135C"/>
    <w:rsid w:val="004815C6"/>
    <w:rsid w:val="00481753"/>
    <w:rsid w:val="00481B0D"/>
    <w:rsid w:val="00481BEF"/>
    <w:rsid w:val="00482460"/>
    <w:rsid w:val="00482DC9"/>
    <w:rsid w:val="00482F74"/>
    <w:rsid w:val="00483623"/>
    <w:rsid w:val="0048411F"/>
    <w:rsid w:val="00484A2E"/>
    <w:rsid w:val="00484EAD"/>
    <w:rsid w:val="00484EBF"/>
    <w:rsid w:val="0048518B"/>
    <w:rsid w:val="0048575C"/>
    <w:rsid w:val="00485947"/>
    <w:rsid w:val="004859B8"/>
    <w:rsid w:val="004859BC"/>
    <w:rsid w:val="00485A03"/>
    <w:rsid w:val="00485AEC"/>
    <w:rsid w:val="00485F13"/>
    <w:rsid w:val="004861BD"/>
    <w:rsid w:val="0048646D"/>
    <w:rsid w:val="004864E3"/>
    <w:rsid w:val="00486776"/>
    <w:rsid w:val="0048684E"/>
    <w:rsid w:val="00486A8B"/>
    <w:rsid w:val="00486DF9"/>
    <w:rsid w:val="00486E01"/>
    <w:rsid w:val="00487367"/>
    <w:rsid w:val="00487441"/>
    <w:rsid w:val="00487583"/>
    <w:rsid w:val="00487978"/>
    <w:rsid w:val="00490032"/>
    <w:rsid w:val="00490164"/>
    <w:rsid w:val="0049084F"/>
    <w:rsid w:val="00490945"/>
    <w:rsid w:val="00490A0C"/>
    <w:rsid w:val="004915C2"/>
    <w:rsid w:val="0049170D"/>
    <w:rsid w:val="004919B5"/>
    <w:rsid w:val="00491A95"/>
    <w:rsid w:val="004920F3"/>
    <w:rsid w:val="00492252"/>
    <w:rsid w:val="00492717"/>
    <w:rsid w:val="0049271D"/>
    <w:rsid w:val="00492884"/>
    <w:rsid w:val="004928E0"/>
    <w:rsid w:val="00492ADB"/>
    <w:rsid w:val="00493029"/>
    <w:rsid w:val="0049340F"/>
    <w:rsid w:val="00493797"/>
    <w:rsid w:val="00493B5F"/>
    <w:rsid w:val="00493DAD"/>
    <w:rsid w:val="00493E01"/>
    <w:rsid w:val="0049463C"/>
    <w:rsid w:val="00494F0C"/>
    <w:rsid w:val="00494FF5"/>
    <w:rsid w:val="00495182"/>
    <w:rsid w:val="00495284"/>
    <w:rsid w:val="004952DE"/>
    <w:rsid w:val="004954A8"/>
    <w:rsid w:val="004956FE"/>
    <w:rsid w:val="004958B0"/>
    <w:rsid w:val="004959E4"/>
    <w:rsid w:val="00495ACA"/>
    <w:rsid w:val="00495B35"/>
    <w:rsid w:val="00495D5B"/>
    <w:rsid w:val="00495E3B"/>
    <w:rsid w:val="0049648D"/>
    <w:rsid w:val="00496FEB"/>
    <w:rsid w:val="00497943"/>
    <w:rsid w:val="00497D6C"/>
    <w:rsid w:val="004A011E"/>
    <w:rsid w:val="004A034C"/>
    <w:rsid w:val="004A0425"/>
    <w:rsid w:val="004A0937"/>
    <w:rsid w:val="004A09F8"/>
    <w:rsid w:val="004A0A3D"/>
    <w:rsid w:val="004A0CDF"/>
    <w:rsid w:val="004A0F47"/>
    <w:rsid w:val="004A1135"/>
    <w:rsid w:val="004A168F"/>
    <w:rsid w:val="004A16CA"/>
    <w:rsid w:val="004A19D4"/>
    <w:rsid w:val="004A1E72"/>
    <w:rsid w:val="004A217D"/>
    <w:rsid w:val="004A2593"/>
    <w:rsid w:val="004A2637"/>
    <w:rsid w:val="004A2A54"/>
    <w:rsid w:val="004A37EF"/>
    <w:rsid w:val="004A3EBF"/>
    <w:rsid w:val="004A3FDE"/>
    <w:rsid w:val="004A412B"/>
    <w:rsid w:val="004A43B2"/>
    <w:rsid w:val="004A448D"/>
    <w:rsid w:val="004A4943"/>
    <w:rsid w:val="004A4E83"/>
    <w:rsid w:val="004A50D3"/>
    <w:rsid w:val="004A51B6"/>
    <w:rsid w:val="004A5B39"/>
    <w:rsid w:val="004A5EE8"/>
    <w:rsid w:val="004A6031"/>
    <w:rsid w:val="004A692B"/>
    <w:rsid w:val="004A6A3A"/>
    <w:rsid w:val="004A6C35"/>
    <w:rsid w:val="004A6E1B"/>
    <w:rsid w:val="004A70B9"/>
    <w:rsid w:val="004A7852"/>
    <w:rsid w:val="004B0148"/>
    <w:rsid w:val="004B112C"/>
    <w:rsid w:val="004B1770"/>
    <w:rsid w:val="004B178D"/>
    <w:rsid w:val="004B1868"/>
    <w:rsid w:val="004B1D9F"/>
    <w:rsid w:val="004B1E68"/>
    <w:rsid w:val="004B2779"/>
    <w:rsid w:val="004B28CD"/>
    <w:rsid w:val="004B3173"/>
    <w:rsid w:val="004B33E9"/>
    <w:rsid w:val="004B3C70"/>
    <w:rsid w:val="004B3E9D"/>
    <w:rsid w:val="004B4220"/>
    <w:rsid w:val="004B430F"/>
    <w:rsid w:val="004B4377"/>
    <w:rsid w:val="004B473F"/>
    <w:rsid w:val="004B47EB"/>
    <w:rsid w:val="004B4C40"/>
    <w:rsid w:val="004B4CA9"/>
    <w:rsid w:val="004B50E5"/>
    <w:rsid w:val="004B52E6"/>
    <w:rsid w:val="004B572A"/>
    <w:rsid w:val="004B5B4A"/>
    <w:rsid w:val="004B5ECE"/>
    <w:rsid w:val="004B5ED7"/>
    <w:rsid w:val="004B6299"/>
    <w:rsid w:val="004B6E6D"/>
    <w:rsid w:val="004B6E86"/>
    <w:rsid w:val="004B7034"/>
    <w:rsid w:val="004B78D2"/>
    <w:rsid w:val="004C0A1B"/>
    <w:rsid w:val="004C0A1D"/>
    <w:rsid w:val="004C0C79"/>
    <w:rsid w:val="004C0E3D"/>
    <w:rsid w:val="004C0E76"/>
    <w:rsid w:val="004C172E"/>
    <w:rsid w:val="004C187B"/>
    <w:rsid w:val="004C1BA4"/>
    <w:rsid w:val="004C1BB3"/>
    <w:rsid w:val="004C1E42"/>
    <w:rsid w:val="004C1F3E"/>
    <w:rsid w:val="004C2A05"/>
    <w:rsid w:val="004C307E"/>
    <w:rsid w:val="004C363B"/>
    <w:rsid w:val="004C369B"/>
    <w:rsid w:val="004C38BD"/>
    <w:rsid w:val="004C3E5B"/>
    <w:rsid w:val="004C4107"/>
    <w:rsid w:val="004C4811"/>
    <w:rsid w:val="004C4D62"/>
    <w:rsid w:val="004C4DA2"/>
    <w:rsid w:val="004C4FF4"/>
    <w:rsid w:val="004C528B"/>
    <w:rsid w:val="004C52B9"/>
    <w:rsid w:val="004C57FC"/>
    <w:rsid w:val="004C5828"/>
    <w:rsid w:val="004C583C"/>
    <w:rsid w:val="004C59BE"/>
    <w:rsid w:val="004C5B16"/>
    <w:rsid w:val="004C5DBD"/>
    <w:rsid w:val="004C5EEB"/>
    <w:rsid w:val="004C6162"/>
    <w:rsid w:val="004C6276"/>
    <w:rsid w:val="004C64CB"/>
    <w:rsid w:val="004C66DA"/>
    <w:rsid w:val="004C70F1"/>
    <w:rsid w:val="004C73FD"/>
    <w:rsid w:val="004C764F"/>
    <w:rsid w:val="004C789A"/>
    <w:rsid w:val="004C7A67"/>
    <w:rsid w:val="004D04EF"/>
    <w:rsid w:val="004D087C"/>
    <w:rsid w:val="004D09DF"/>
    <w:rsid w:val="004D1192"/>
    <w:rsid w:val="004D12FA"/>
    <w:rsid w:val="004D1351"/>
    <w:rsid w:val="004D1808"/>
    <w:rsid w:val="004D1821"/>
    <w:rsid w:val="004D1D4D"/>
    <w:rsid w:val="004D2081"/>
    <w:rsid w:val="004D28FE"/>
    <w:rsid w:val="004D2AC2"/>
    <w:rsid w:val="004D2C1E"/>
    <w:rsid w:val="004D2CAC"/>
    <w:rsid w:val="004D30BA"/>
    <w:rsid w:val="004D32ED"/>
    <w:rsid w:val="004D346D"/>
    <w:rsid w:val="004D4147"/>
    <w:rsid w:val="004D432E"/>
    <w:rsid w:val="004D448D"/>
    <w:rsid w:val="004D4716"/>
    <w:rsid w:val="004D4937"/>
    <w:rsid w:val="004D54F6"/>
    <w:rsid w:val="004D5518"/>
    <w:rsid w:val="004D5A9C"/>
    <w:rsid w:val="004D5F78"/>
    <w:rsid w:val="004D6062"/>
    <w:rsid w:val="004D616C"/>
    <w:rsid w:val="004D63CA"/>
    <w:rsid w:val="004D6570"/>
    <w:rsid w:val="004D6A1B"/>
    <w:rsid w:val="004D6AAB"/>
    <w:rsid w:val="004D6AE9"/>
    <w:rsid w:val="004D6BCF"/>
    <w:rsid w:val="004D6C21"/>
    <w:rsid w:val="004D6D1C"/>
    <w:rsid w:val="004D6FD9"/>
    <w:rsid w:val="004D7637"/>
    <w:rsid w:val="004D7833"/>
    <w:rsid w:val="004D7CD5"/>
    <w:rsid w:val="004D7F31"/>
    <w:rsid w:val="004D7FB5"/>
    <w:rsid w:val="004E0344"/>
    <w:rsid w:val="004E08E3"/>
    <w:rsid w:val="004E0C4C"/>
    <w:rsid w:val="004E0DDA"/>
    <w:rsid w:val="004E1123"/>
    <w:rsid w:val="004E13DB"/>
    <w:rsid w:val="004E1894"/>
    <w:rsid w:val="004E19BC"/>
    <w:rsid w:val="004E19FF"/>
    <w:rsid w:val="004E1B85"/>
    <w:rsid w:val="004E2177"/>
    <w:rsid w:val="004E259A"/>
    <w:rsid w:val="004E27D7"/>
    <w:rsid w:val="004E2C0A"/>
    <w:rsid w:val="004E32AE"/>
    <w:rsid w:val="004E34E4"/>
    <w:rsid w:val="004E3536"/>
    <w:rsid w:val="004E3BA7"/>
    <w:rsid w:val="004E3E5F"/>
    <w:rsid w:val="004E4096"/>
    <w:rsid w:val="004E445A"/>
    <w:rsid w:val="004E49E2"/>
    <w:rsid w:val="004E4C22"/>
    <w:rsid w:val="004E50D5"/>
    <w:rsid w:val="004E5529"/>
    <w:rsid w:val="004E59D2"/>
    <w:rsid w:val="004E6007"/>
    <w:rsid w:val="004E6782"/>
    <w:rsid w:val="004E68AE"/>
    <w:rsid w:val="004E69B1"/>
    <w:rsid w:val="004E6B30"/>
    <w:rsid w:val="004E6C43"/>
    <w:rsid w:val="004E731A"/>
    <w:rsid w:val="004E73F9"/>
    <w:rsid w:val="004E7574"/>
    <w:rsid w:val="004E7636"/>
    <w:rsid w:val="004E78F0"/>
    <w:rsid w:val="004E7DDF"/>
    <w:rsid w:val="004E7F91"/>
    <w:rsid w:val="004F04B3"/>
    <w:rsid w:val="004F0921"/>
    <w:rsid w:val="004F0F33"/>
    <w:rsid w:val="004F0FCE"/>
    <w:rsid w:val="004F0FE8"/>
    <w:rsid w:val="004F136E"/>
    <w:rsid w:val="004F145F"/>
    <w:rsid w:val="004F1596"/>
    <w:rsid w:val="004F167A"/>
    <w:rsid w:val="004F1914"/>
    <w:rsid w:val="004F1E17"/>
    <w:rsid w:val="004F21FE"/>
    <w:rsid w:val="004F2532"/>
    <w:rsid w:val="004F295C"/>
    <w:rsid w:val="004F2F80"/>
    <w:rsid w:val="004F3145"/>
    <w:rsid w:val="004F3449"/>
    <w:rsid w:val="004F349C"/>
    <w:rsid w:val="004F3F44"/>
    <w:rsid w:val="004F45CD"/>
    <w:rsid w:val="004F49AA"/>
    <w:rsid w:val="004F4DEF"/>
    <w:rsid w:val="004F4FE0"/>
    <w:rsid w:val="004F553D"/>
    <w:rsid w:val="004F6179"/>
    <w:rsid w:val="004F626E"/>
    <w:rsid w:val="004F63A2"/>
    <w:rsid w:val="004F66CD"/>
    <w:rsid w:val="004F68E6"/>
    <w:rsid w:val="004F6980"/>
    <w:rsid w:val="004F69B2"/>
    <w:rsid w:val="004F6D32"/>
    <w:rsid w:val="004F70B8"/>
    <w:rsid w:val="004F76C6"/>
    <w:rsid w:val="004F7F66"/>
    <w:rsid w:val="00500189"/>
    <w:rsid w:val="0050032E"/>
    <w:rsid w:val="00500337"/>
    <w:rsid w:val="005005BF"/>
    <w:rsid w:val="00500625"/>
    <w:rsid w:val="00500951"/>
    <w:rsid w:val="00500B21"/>
    <w:rsid w:val="00500E5B"/>
    <w:rsid w:val="0050135B"/>
    <w:rsid w:val="00501597"/>
    <w:rsid w:val="00501847"/>
    <w:rsid w:val="00501900"/>
    <w:rsid w:val="005019E7"/>
    <w:rsid w:val="00501AEF"/>
    <w:rsid w:val="00501BFF"/>
    <w:rsid w:val="00501C8D"/>
    <w:rsid w:val="00501CD3"/>
    <w:rsid w:val="00501DC3"/>
    <w:rsid w:val="005024B3"/>
    <w:rsid w:val="0050275C"/>
    <w:rsid w:val="00502BD1"/>
    <w:rsid w:val="00502C54"/>
    <w:rsid w:val="00502DC1"/>
    <w:rsid w:val="00502E19"/>
    <w:rsid w:val="00502FFA"/>
    <w:rsid w:val="005039FA"/>
    <w:rsid w:val="00503CC4"/>
    <w:rsid w:val="00503FB8"/>
    <w:rsid w:val="0050411B"/>
    <w:rsid w:val="005042D7"/>
    <w:rsid w:val="0050460E"/>
    <w:rsid w:val="005049CA"/>
    <w:rsid w:val="0050590D"/>
    <w:rsid w:val="00505998"/>
    <w:rsid w:val="00505BA1"/>
    <w:rsid w:val="00505CD7"/>
    <w:rsid w:val="00505F65"/>
    <w:rsid w:val="0050607E"/>
    <w:rsid w:val="00506098"/>
    <w:rsid w:val="0050644F"/>
    <w:rsid w:val="00506D4C"/>
    <w:rsid w:val="005070D1"/>
    <w:rsid w:val="00507404"/>
    <w:rsid w:val="0050799E"/>
    <w:rsid w:val="005079C3"/>
    <w:rsid w:val="00507C49"/>
    <w:rsid w:val="0051020D"/>
    <w:rsid w:val="005102BD"/>
    <w:rsid w:val="005108F7"/>
    <w:rsid w:val="00510ADC"/>
    <w:rsid w:val="00510BE8"/>
    <w:rsid w:val="00510CC2"/>
    <w:rsid w:val="005112B1"/>
    <w:rsid w:val="005116F0"/>
    <w:rsid w:val="00511957"/>
    <w:rsid w:val="00511E56"/>
    <w:rsid w:val="005122A9"/>
    <w:rsid w:val="005129EE"/>
    <w:rsid w:val="00512C07"/>
    <w:rsid w:val="005133A7"/>
    <w:rsid w:val="005137B8"/>
    <w:rsid w:val="00513D2C"/>
    <w:rsid w:val="0051463E"/>
    <w:rsid w:val="0051464A"/>
    <w:rsid w:val="005149BA"/>
    <w:rsid w:val="00514A5F"/>
    <w:rsid w:val="00514AD8"/>
    <w:rsid w:val="00514D46"/>
    <w:rsid w:val="00514E3D"/>
    <w:rsid w:val="00515067"/>
    <w:rsid w:val="005153AE"/>
    <w:rsid w:val="00515683"/>
    <w:rsid w:val="00515AFB"/>
    <w:rsid w:val="00515D77"/>
    <w:rsid w:val="00516160"/>
    <w:rsid w:val="0051617A"/>
    <w:rsid w:val="005167BD"/>
    <w:rsid w:val="005168D2"/>
    <w:rsid w:val="00517318"/>
    <w:rsid w:val="00517A11"/>
    <w:rsid w:val="00517A12"/>
    <w:rsid w:val="00517AC6"/>
    <w:rsid w:val="00517F4D"/>
    <w:rsid w:val="00520029"/>
    <w:rsid w:val="00520359"/>
    <w:rsid w:val="00520531"/>
    <w:rsid w:val="005209A2"/>
    <w:rsid w:val="00520A76"/>
    <w:rsid w:val="00520C95"/>
    <w:rsid w:val="00520CB6"/>
    <w:rsid w:val="00520FAA"/>
    <w:rsid w:val="00521023"/>
    <w:rsid w:val="00521201"/>
    <w:rsid w:val="00521C46"/>
    <w:rsid w:val="00522457"/>
    <w:rsid w:val="0052282B"/>
    <w:rsid w:val="005228B1"/>
    <w:rsid w:val="00522932"/>
    <w:rsid w:val="0052298E"/>
    <w:rsid w:val="005233DE"/>
    <w:rsid w:val="00523CB8"/>
    <w:rsid w:val="005241C2"/>
    <w:rsid w:val="00524E50"/>
    <w:rsid w:val="00524F8A"/>
    <w:rsid w:val="005259EA"/>
    <w:rsid w:val="00525E0B"/>
    <w:rsid w:val="00525EA4"/>
    <w:rsid w:val="00525F9D"/>
    <w:rsid w:val="005260A4"/>
    <w:rsid w:val="005265D0"/>
    <w:rsid w:val="0052706A"/>
    <w:rsid w:val="005270A0"/>
    <w:rsid w:val="005276A4"/>
    <w:rsid w:val="00527EA0"/>
    <w:rsid w:val="005309A1"/>
    <w:rsid w:val="00531643"/>
    <w:rsid w:val="005318B3"/>
    <w:rsid w:val="00531E43"/>
    <w:rsid w:val="00531ED9"/>
    <w:rsid w:val="00531EF1"/>
    <w:rsid w:val="0053212E"/>
    <w:rsid w:val="00532250"/>
    <w:rsid w:val="00532C2F"/>
    <w:rsid w:val="0053358B"/>
    <w:rsid w:val="005336ED"/>
    <w:rsid w:val="0053387A"/>
    <w:rsid w:val="005339F5"/>
    <w:rsid w:val="005339F7"/>
    <w:rsid w:val="0053414D"/>
    <w:rsid w:val="0053440C"/>
    <w:rsid w:val="00534922"/>
    <w:rsid w:val="00534A36"/>
    <w:rsid w:val="00534B41"/>
    <w:rsid w:val="00534C89"/>
    <w:rsid w:val="00534E3F"/>
    <w:rsid w:val="00535572"/>
    <w:rsid w:val="0053570C"/>
    <w:rsid w:val="00535778"/>
    <w:rsid w:val="0053578A"/>
    <w:rsid w:val="00535C13"/>
    <w:rsid w:val="00536002"/>
    <w:rsid w:val="00536783"/>
    <w:rsid w:val="00536B1E"/>
    <w:rsid w:val="00536D5F"/>
    <w:rsid w:val="0053759C"/>
    <w:rsid w:val="00537906"/>
    <w:rsid w:val="00540314"/>
    <w:rsid w:val="00540334"/>
    <w:rsid w:val="00540DBD"/>
    <w:rsid w:val="005411B5"/>
    <w:rsid w:val="00541509"/>
    <w:rsid w:val="00541B08"/>
    <w:rsid w:val="00541B81"/>
    <w:rsid w:val="0054216A"/>
    <w:rsid w:val="00542241"/>
    <w:rsid w:val="0054282B"/>
    <w:rsid w:val="00542C90"/>
    <w:rsid w:val="00542CDB"/>
    <w:rsid w:val="00543583"/>
    <w:rsid w:val="00543604"/>
    <w:rsid w:val="005438C7"/>
    <w:rsid w:val="00543AB7"/>
    <w:rsid w:val="00543BB0"/>
    <w:rsid w:val="00543D43"/>
    <w:rsid w:val="00543E4C"/>
    <w:rsid w:val="00543F32"/>
    <w:rsid w:val="00544061"/>
    <w:rsid w:val="005440D9"/>
    <w:rsid w:val="00544102"/>
    <w:rsid w:val="00544C98"/>
    <w:rsid w:val="00544D55"/>
    <w:rsid w:val="00544F97"/>
    <w:rsid w:val="00545120"/>
    <w:rsid w:val="00545876"/>
    <w:rsid w:val="00545957"/>
    <w:rsid w:val="00545AC2"/>
    <w:rsid w:val="00545E10"/>
    <w:rsid w:val="00545F79"/>
    <w:rsid w:val="0054624B"/>
    <w:rsid w:val="005465BF"/>
    <w:rsid w:val="00546606"/>
    <w:rsid w:val="00546950"/>
    <w:rsid w:val="005474A1"/>
    <w:rsid w:val="0054756B"/>
    <w:rsid w:val="00547716"/>
    <w:rsid w:val="00547885"/>
    <w:rsid w:val="00547A61"/>
    <w:rsid w:val="00547C24"/>
    <w:rsid w:val="00547C7D"/>
    <w:rsid w:val="005500FE"/>
    <w:rsid w:val="005501C1"/>
    <w:rsid w:val="0055059A"/>
    <w:rsid w:val="00550749"/>
    <w:rsid w:val="005509D5"/>
    <w:rsid w:val="00550C85"/>
    <w:rsid w:val="00551341"/>
    <w:rsid w:val="00551815"/>
    <w:rsid w:val="00551A70"/>
    <w:rsid w:val="00551E72"/>
    <w:rsid w:val="005522BA"/>
    <w:rsid w:val="0055251D"/>
    <w:rsid w:val="005528ED"/>
    <w:rsid w:val="00552B7D"/>
    <w:rsid w:val="00553039"/>
    <w:rsid w:val="00553327"/>
    <w:rsid w:val="005536D3"/>
    <w:rsid w:val="005538FC"/>
    <w:rsid w:val="00553B5F"/>
    <w:rsid w:val="005540C0"/>
    <w:rsid w:val="00554AE5"/>
    <w:rsid w:val="00554B79"/>
    <w:rsid w:val="00554C21"/>
    <w:rsid w:val="00554DA9"/>
    <w:rsid w:val="00554DC4"/>
    <w:rsid w:val="00555264"/>
    <w:rsid w:val="005554EB"/>
    <w:rsid w:val="00555862"/>
    <w:rsid w:val="00555EAA"/>
    <w:rsid w:val="0055684E"/>
    <w:rsid w:val="00556D7C"/>
    <w:rsid w:val="00556F69"/>
    <w:rsid w:val="00556FF5"/>
    <w:rsid w:val="00557F02"/>
    <w:rsid w:val="005601C5"/>
    <w:rsid w:val="00560350"/>
    <w:rsid w:val="005605DE"/>
    <w:rsid w:val="00560729"/>
    <w:rsid w:val="00560DE6"/>
    <w:rsid w:val="00561520"/>
    <w:rsid w:val="00561593"/>
    <w:rsid w:val="00561640"/>
    <w:rsid w:val="00561836"/>
    <w:rsid w:val="00561915"/>
    <w:rsid w:val="00561943"/>
    <w:rsid w:val="00562701"/>
    <w:rsid w:val="00562856"/>
    <w:rsid w:val="005629B6"/>
    <w:rsid w:val="00562EA6"/>
    <w:rsid w:val="00562F32"/>
    <w:rsid w:val="00562F9B"/>
    <w:rsid w:val="0056325E"/>
    <w:rsid w:val="0056361D"/>
    <w:rsid w:val="00563CC0"/>
    <w:rsid w:val="005641A2"/>
    <w:rsid w:val="0056453F"/>
    <w:rsid w:val="005648E9"/>
    <w:rsid w:val="00564F6B"/>
    <w:rsid w:val="00565155"/>
    <w:rsid w:val="00565170"/>
    <w:rsid w:val="005653B4"/>
    <w:rsid w:val="005654CC"/>
    <w:rsid w:val="00565967"/>
    <w:rsid w:val="0056598D"/>
    <w:rsid w:val="005659F6"/>
    <w:rsid w:val="00566700"/>
    <w:rsid w:val="005669FA"/>
    <w:rsid w:val="00566B3A"/>
    <w:rsid w:val="00566CB5"/>
    <w:rsid w:val="00566FCF"/>
    <w:rsid w:val="0056716D"/>
    <w:rsid w:val="005673BF"/>
    <w:rsid w:val="005675E4"/>
    <w:rsid w:val="005702B8"/>
    <w:rsid w:val="005707E5"/>
    <w:rsid w:val="00570811"/>
    <w:rsid w:val="00570A3C"/>
    <w:rsid w:val="00571213"/>
    <w:rsid w:val="00571415"/>
    <w:rsid w:val="00571804"/>
    <w:rsid w:val="00571B96"/>
    <w:rsid w:val="00572BF9"/>
    <w:rsid w:val="00573337"/>
    <w:rsid w:val="005734D3"/>
    <w:rsid w:val="00573744"/>
    <w:rsid w:val="005737B2"/>
    <w:rsid w:val="00573930"/>
    <w:rsid w:val="0057395F"/>
    <w:rsid w:val="00573E5D"/>
    <w:rsid w:val="005740E7"/>
    <w:rsid w:val="0057433E"/>
    <w:rsid w:val="00574343"/>
    <w:rsid w:val="00574B3E"/>
    <w:rsid w:val="00574F41"/>
    <w:rsid w:val="00574F51"/>
    <w:rsid w:val="00575340"/>
    <w:rsid w:val="005755A1"/>
    <w:rsid w:val="00575A28"/>
    <w:rsid w:val="00575ECF"/>
    <w:rsid w:val="005761F5"/>
    <w:rsid w:val="005762EB"/>
    <w:rsid w:val="00576694"/>
    <w:rsid w:val="00576BDD"/>
    <w:rsid w:val="00576D15"/>
    <w:rsid w:val="005774D5"/>
    <w:rsid w:val="005776D4"/>
    <w:rsid w:val="0057772A"/>
    <w:rsid w:val="00577A10"/>
    <w:rsid w:val="00577C78"/>
    <w:rsid w:val="00577F75"/>
    <w:rsid w:val="00580242"/>
    <w:rsid w:val="0058076B"/>
    <w:rsid w:val="00580A2B"/>
    <w:rsid w:val="005815B4"/>
    <w:rsid w:val="00581622"/>
    <w:rsid w:val="00581677"/>
    <w:rsid w:val="00581A9D"/>
    <w:rsid w:val="00581F56"/>
    <w:rsid w:val="005821B8"/>
    <w:rsid w:val="0058224E"/>
    <w:rsid w:val="0058241B"/>
    <w:rsid w:val="005826FB"/>
    <w:rsid w:val="00582E9D"/>
    <w:rsid w:val="00582F29"/>
    <w:rsid w:val="0058301B"/>
    <w:rsid w:val="00583478"/>
    <w:rsid w:val="005838F9"/>
    <w:rsid w:val="00583C8D"/>
    <w:rsid w:val="00583FAB"/>
    <w:rsid w:val="005840F7"/>
    <w:rsid w:val="005846D1"/>
    <w:rsid w:val="0058474F"/>
    <w:rsid w:val="0058546D"/>
    <w:rsid w:val="005857FD"/>
    <w:rsid w:val="00585951"/>
    <w:rsid w:val="00585BE7"/>
    <w:rsid w:val="00585C9B"/>
    <w:rsid w:val="00585D8D"/>
    <w:rsid w:val="00585ECB"/>
    <w:rsid w:val="00586517"/>
    <w:rsid w:val="005865BA"/>
    <w:rsid w:val="00586832"/>
    <w:rsid w:val="00586B5C"/>
    <w:rsid w:val="00586D06"/>
    <w:rsid w:val="00586DCE"/>
    <w:rsid w:val="00586E73"/>
    <w:rsid w:val="00587160"/>
    <w:rsid w:val="00587A3A"/>
    <w:rsid w:val="00587D2C"/>
    <w:rsid w:val="00590104"/>
    <w:rsid w:val="00590588"/>
    <w:rsid w:val="00590E86"/>
    <w:rsid w:val="00591125"/>
    <w:rsid w:val="0059147A"/>
    <w:rsid w:val="00591655"/>
    <w:rsid w:val="00591749"/>
    <w:rsid w:val="00591ACA"/>
    <w:rsid w:val="0059216C"/>
    <w:rsid w:val="005922BF"/>
    <w:rsid w:val="005924BF"/>
    <w:rsid w:val="00592559"/>
    <w:rsid w:val="00592581"/>
    <w:rsid w:val="00592645"/>
    <w:rsid w:val="0059287B"/>
    <w:rsid w:val="00592CFC"/>
    <w:rsid w:val="00592F65"/>
    <w:rsid w:val="0059303B"/>
    <w:rsid w:val="0059348D"/>
    <w:rsid w:val="00593BB4"/>
    <w:rsid w:val="00593FA8"/>
    <w:rsid w:val="005940CC"/>
    <w:rsid w:val="00594120"/>
    <w:rsid w:val="0059460C"/>
    <w:rsid w:val="005946C0"/>
    <w:rsid w:val="0059472A"/>
    <w:rsid w:val="005947A1"/>
    <w:rsid w:val="00595347"/>
    <w:rsid w:val="00595878"/>
    <w:rsid w:val="00595BA4"/>
    <w:rsid w:val="00595DB8"/>
    <w:rsid w:val="005960C1"/>
    <w:rsid w:val="005960C3"/>
    <w:rsid w:val="0059617D"/>
    <w:rsid w:val="005961A1"/>
    <w:rsid w:val="00596234"/>
    <w:rsid w:val="0059660D"/>
    <w:rsid w:val="00596E34"/>
    <w:rsid w:val="005973B1"/>
    <w:rsid w:val="005975AA"/>
    <w:rsid w:val="0059773E"/>
    <w:rsid w:val="00597982"/>
    <w:rsid w:val="00597A1E"/>
    <w:rsid w:val="00597A73"/>
    <w:rsid w:val="00597D21"/>
    <w:rsid w:val="005A0C6E"/>
    <w:rsid w:val="005A0DCE"/>
    <w:rsid w:val="005A0ED3"/>
    <w:rsid w:val="005A15D9"/>
    <w:rsid w:val="005A192A"/>
    <w:rsid w:val="005A3085"/>
    <w:rsid w:val="005A32AC"/>
    <w:rsid w:val="005A3714"/>
    <w:rsid w:val="005A3AFF"/>
    <w:rsid w:val="005A3E62"/>
    <w:rsid w:val="005A41B9"/>
    <w:rsid w:val="005A41D7"/>
    <w:rsid w:val="005A467D"/>
    <w:rsid w:val="005A505F"/>
    <w:rsid w:val="005A521A"/>
    <w:rsid w:val="005A5C45"/>
    <w:rsid w:val="005A5FB5"/>
    <w:rsid w:val="005A6158"/>
    <w:rsid w:val="005A647F"/>
    <w:rsid w:val="005A6599"/>
    <w:rsid w:val="005A6AFB"/>
    <w:rsid w:val="005A7659"/>
    <w:rsid w:val="005A7D9E"/>
    <w:rsid w:val="005A7E85"/>
    <w:rsid w:val="005A7FF6"/>
    <w:rsid w:val="005B0256"/>
    <w:rsid w:val="005B0262"/>
    <w:rsid w:val="005B034A"/>
    <w:rsid w:val="005B0B4B"/>
    <w:rsid w:val="005B1051"/>
    <w:rsid w:val="005B122F"/>
    <w:rsid w:val="005B13BE"/>
    <w:rsid w:val="005B13CA"/>
    <w:rsid w:val="005B1430"/>
    <w:rsid w:val="005B14C6"/>
    <w:rsid w:val="005B1C55"/>
    <w:rsid w:val="005B1FC7"/>
    <w:rsid w:val="005B2156"/>
    <w:rsid w:val="005B2D84"/>
    <w:rsid w:val="005B327A"/>
    <w:rsid w:val="005B3526"/>
    <w:rsid w:val="005B36D5"/>
    <w:rsid w:val="005B3AD4"/>
    <w:rsid w:val="005B46DB"/>
    <w:rsid w:val="005B4894"/>
    <w:rsid w:val="005B4A5D"/>
    <w:rsid w:val="005B4C0F"/>
    <w:rsid w:val="005B5104"/>
    <w:rsid w:val="005B5154"/>
    <w:rsid w:val="005B564A"/>
    <w:rsid w:val="005B5FE3"/>
    <w:rsid w:val="005B6BF5"/>
    <w:rsid w:val="005B6E33"/>
    <w:rsid w:val="005B731B"/>
    <w:rsid w:val="005B740B"/>
    <w:rsid w:val="005B7B1E"/>
    <w:rsid w:val="005B7B24"/>
    <w:rsid w:val="005B7B51"/>
    <w:rsid w:val="005B7D7E"/>
    <w:rsid w:val="005C0626"/>
    <w:rsid w:val="005C0D96"/>
    <w:rsid w:val="005C0E96"/>
    <w:rsid w:val="005C0F92"/>
    <w:rsid w:val="005C1A51"/>
    <w:rsid w:val="005C21EF"/>
    <w:rsid w:val="005C2576"/>
    <w:rsid w:val="005C2940"/>
    <w:rsid w:val="005C2DB0"/>
    <w:rsid w:val="005C2E52"/>
    <w:rsid w:val="005C2E99"/>
    <w:rsid w:val="005C2F33"/>
    <w:rsid w:val="005C3257"/>
    <w:rsid w:val="005C3B12"/>
    <w:rsid w:val="005C3C69"/>
    <w:rsid w:val="005C4256"/>
    <w:rsid w:val="005C4798"/>
    <w:rsid w:val="005C4834"/>
    <w:rsid w:val="005C4867"/>
    <w:rsid w:val="005C4899"/>
    <w:rsid w:val="005C4A24"/>
    <w:rsid w:val="005C4CC0"/>
    <w:rsid w:val="005C4EC5"/>
    <w:rsid w:val="005C50B2"/>
    <w:rsid w:val="005C527B"/>
    <w:rsid w:val="005C54CD"/>
    <w:rsid w:val="005C552C"/>
    <w:rsid w:val="005C56C8"/>
    <w:rsid w:val="005C59BA"/>
    <w:rsid w:val="005C5C57"/>
    <w:rsid w:val="005C5E46"/>
    <w:rsid w:val="005C64DC"/>
    <w:rsid w:val="005C66C8"/>
    <w:rsid w:val="005C70B2"/>
    <w:rsid w:val="005C731C"/>
    <w:rsid w:val="005C75FC"/>
    <w:rsid w:val="005C7A84"/>
    <w:rsid w:val="005C7A9C"/>
    <w:rsid w:val="005C7F08"/>
    <w:rsid w:val="005D0095"/>
    <w:rsid w:val="005D0427"/>
    <w:rsid w:val="005D09EB"/>
    <w:rsid w:val="005D0A2A"/>
    <w:rsid w:val="005D0DC4"/>
    <w:rsid w:val="005D0E02"/>
    <w:rsid w:val="005D0FA4"/>
    <w:rsid w:val="005D12F8"/>
    <w:rsid w:val="005D1446"/>
    <w:rsid w:val="005D1F4D"/>
    <w:rsid w:val="005D24CD"/>
    <w:rsid w:val="005D25CB"/>
    <w:rsid w:val="005D30FF"/>
    <w:rsid w:val="005D3158"/>
    <w:rsid w:val="005D33CE"/>
    <w:rsid w:val="005D385E"/>
    <w:rsid w:val="005D3FE6"/>
    <w:rsid w:val="005D4048"/>
    <w:rsid w:val="005D42FD"/>
    <w:rsid w:val="005D4540"/>
    <w:rsid w:val="005D4A42"/>
    <w:rsid w:val="005D4BDB"/>
    <w:rsid w:val="005D4D5A"/>
    <w:rsid w:val="005D4D6C"/>
    <w:rsid w:val="005D4EEE"/>
    <w:rsid w:val="005D54B2"/>
    <w:rsid w:val="005D56E4"/>
    <w:rsid w:val="005D575E"/>
    <w:rsid w:val="005D5D24"/>
    <w:rsid w:val="005D5F96"/>
    <w:rsid w:val="005D61B8"/>
    <w:rsid w:val="005D6309"/>
    <w:rsid w:val="005D64DC"/>
    <w:rsid w:val="005D67E2"/>
    <w:rsid w:val="005D7807"/>
    <w:rsid w:val="005D7E46"/>
    <w:rsid w:val="005D7EAB"/>
    <w:rsid w:val="005E03AA"/>
    <w:rsid w:val="005E07CE"/>
    <w:rsid w:val="005E0DE4"/>
    <w:rsid w:val="005E0E4E"/>
    <w:rsid w:val="005E12DE"/>
    <w:rsid w:val="005E16C7"/>
    <w:rsid w:val="005E1872"/>
    <w:rsid w:val="005E1874"/>
    <w:rsid w:val="005E1967"/>
    <w:rsid w:val="005E1F94"/>
    <w:rsid w:val="005E24B1"/>
    <w:rsid w:val="005E263A"/>
    <w:rsid w:val="005E2944"/>
    <w:rsid w:val="005E3465"/>
    <w:rsid w:val="005E3AF6"/>
    <w:rsid w:val="005E3DA7"/>
    <w:rsid w:val="005E3F49"/>
    <w:rsid w:val="005E4157"/>
    <w:rsid w:val="005E42C5"/>
    <w:rsid w:val="005E4390"/>
    <w:rsid w:val="005E4E2E"/>
    <w:rsid w:val="005E4E69"/>
    <w:rsid w:val="005E4FE0"/>
    <w:rsid w:val="005E51DD"/>
    <w:rsid w:val="005E51F3"/>
    <w:rsid w:val="005E529D"/>
    <w:rsid w:val="005E5B85"/>
    <w:rsid w:val="005E61CE"/>
    <w:rsid w:val="005E62B2"/>
    <w:rsid w:val="005E642A"/>
    <w:rsid w:val="005E699B"/>
    <w:rsid w:val="005E6C75"/>
    <w:rsid w:val="005E7DE3"/>
    <w:rsid w:val="005E7E65"/>
    <w:rsid w:val="005E7EB8"/>
    <w:rsid w:val="005F01B3"/>
    <w:rsid w:val="005F0248"/>
    <w:rsid w:val="005F0587"/>
    <w:rsid w:val="005F1946"/>
    <w:rsid w:val="005F1AF0"/>
    <w:rsid w:val="005F1CFA"/>
    <w:rsid w:val="005F1F1D"/>
    <w:rsid w:val="005F1FBB"/>
    <w:rsid w:val="005F202F"/>
    <w:rsid w:val="005F20B2"/>
    <w:rsid w:val="005F22C8"/>
    <w:rsid w:val="005F2662"/>
    <w:rsid w:val="005F284F"/>
    <w:rsid w:val="005F289B"/>
    <w:rsid w:val="005F2C67"/>
    <w:rsid w:val="005F339D"/>
    <w:rsid w:val="005F3510"/>
    <w:rsid w:val="005F39F8"/>
    <w:rsid w:val="005F3B9C"/>
    <w:rsid w:val="005F3DE1"/>
    <w:rsid w:val="005F43B1"/>
    <w:rsid w:val="005F46C3"/>
    <w:rsid w:val="005F46E0"/>
    <w:rsid w:val="005F4D8E"/>
    <w:rsid w:val="005F503E"/>
    <w:rsid w:val="005F5390"/>
    <w:rsid w:val="005F53F7"/>
    <w:rsid w:val="005F5BB7"/>
    <w:rsid w:val="005F5C0E"/>
    <w:rsid w:val="005F5D49"/>
    <w:rsid w:val="005F5DD2"/>
    <w:rsid w:val="005F6022"/>
    <w:rsid w:val="005F6276"/>
    <w:rsid w:val="005F6508"/>
    <w:rsid w:val="005F6634"/>
    <w:rsid w:val="005F66F4"/>
    <w:rsid w:val="005F6898"/>
    <w:rsid w:val="005F6AF6"/>
    <w:rsid w:val="005F6BD7"/>
    <w:rsid w:val="005F727C"/>
    <w:rsid w:val="005F777A"/>
    <w:rsid w:val="005F7904"/>
    <w:rsid w:val="005F7BED"/>
    <w:rsid w:val="005F7C99"/>
    <w:rsid w:val="005F7EFF"/>
    <w:rsid w:val="006000CC"/>
    <w:rsid w:val="0060023C"/>
    <w:rsid w:val="00600505"/>
    <w:rsid w:val="0060060C"/>
    <w:rsid w:val="00600B1C"/>
    <w:rsid w:val="00600C04"/>
    <w:rsid w:val="0060146A"/>
    <w:rsid w:val="00601721"/>
    <w:rsid w:val="00601878"/>
    <w:rsid w:val="00601A78"/>
    <w:rsid w:val="00601F59"/>
    <w:rsid w:val="006021D8"/>
    <w:rsid w:val="0060253F"/>
    <w:rsid w:val="00602ABC"/>
    <w:rsid w:val="00602B85"/>
    <w:rsid w:val="0060319D"/>
    <w:rsid w:val="006039FF"/>
    <w:rsid w:val="00603D0D"/>
    <w:rsid w:val="0060403B"/>
    <w:rsid w:val="00604335"/>
    <w:rsid w:val="00604896"/>
    <w:rsid w:val="00605173"/>
    <w:rsid w:val="00605743"/>
    <w:rsid w:val="0060591D"/>
    <w:rsid w:val="00605A3A"/>
    <w:rsid w:val="00605EBB"/>
    <w:rsid w:val="00606137"/>
    <w:rsid w:val="00606386"/>
    <w:rsid w:val="00606549"/>
    <w:rsid w:val="006067A4"/>
    <w:rsid w:val="00606B7D"/>
    <w:rsid w:val="00606C5E"/>
    <w:rsid w:val="00606D13"/>
    <w:rsid w:val="006071A1"/>
    <w:rsid w:val="006072D1"/>
    <w:rsid w:val="00607400"/>
    <w:rsid w:val="0060788B"/>
    <w:rsid w:val="00607974"/>
    <w:rsid w:val="0060798F"/>
    <w:rsid w:val="00610014"/>
    <w:rsid w:val="00610250"/>
    <w:rsid w:val="0061027B"/>
    <w:rsid w:val="00610460"/>
    <w:rsid w:val="00610DDE"/>
    <w:rsid w:val="00611185"/>
    <w:rsid w:val="00611248"/>
    <w:rsid w:val="00611AED"/>
    <w:rsid w:val="00611BDA"/>
    <w:rsid w:val="006120ED"/>
    <w:rsid w:val="00612266"/>
    <w:rsid w:val="00612593"/>
    <w:rsid w:val="00612A04"/>
    <w:rsid w:val="00612A84"/>
    <w:rsid w:val="00612E47"/>
    <w:rsid w:val="00612FE0"/>
    <w:rsid w:val="00613965"/>
    <w:rsid w:val="00613C9D"/>
    <w:rsid w:val="00613D23"/>
    <w:rsid w:val="0061438B"/>
    <w:rsid w:val="00614446"/>
    <w:rsid w:val="006147EA"/>
    <w:rsid w:val="00614822"/>
    <w:rsid w:val="00614D9F"/>
    <w:rsid w:val="00614ED9"/>
    <w:rsid w:val="00614F22"/>
    <w:rsid w:val="0061543F"/>
    <w:rsid w:val="0061570D"/>
    <w:rsid w:val="00616440"/>
    <w:rsid w:val="006168EE"/>
    <w:rsid w:val="00616B95"/>
    <w:rsid w:val="00616C80"/>
    <w:rsid w:val="00616FBC"/>
    <w:rsid w:val="00617142"/>
    <w:rsid w:val="00617254"/>
    <w:rsid w:val="006174BF"/>
    <w:rsid w:val="006174C0"/>
    <w:rsid w:val="006174FF"/>
    <w:rsid w:val="0061756A"/>
    <w:rsid w:val="0061791F"/>
    <w:rsid w:val="00617A2D"/>
    <w:rsid w:val="006206A6"/>
    <w:rsid w:val="00620B2B"/>
    <w:rsid w:val="0062115B"/>
    <w:rsid w:val="006212DB"/>
    <w:rsid w:val="00621308"/>
    <w:rsid w:val="00621600"/>
    <w:rsid w:val="00621623"/>
    <w:rsid w:val="00621986"/>
    <w:rsid w:val="00621F02"/>
    <w:rsid w:val="00622113"/>
    <w:rsid w:val="00622255"/>
    <w:rsid w:val="006223D5"/>
    <w:rsid w:val="006225C6"/>
    <w:rsid w:val="006228E1"/>
    <w:rsid w:val="00622D5B"/>
    <w:rsid w:val="0062343C"/>
    <w:rsid w:val="006238EE"/>
    <w:rsid w:val="00623AEF"/>
    <w:rsid w:val="00623B0C"/>
    <w:rsid w:val="00623E9D"/>
    <w:rsid w:val="00624699"/>
    <w:rsid w:val="00624EE8"/>
    <w:rsid w:val="006251A7"/>
    <w:rsid w:val="00625757"/>
    <w:rsid w:val="006266B8"/>
    <w:rsid w:val="0062687D"/>
    <w:rsid w:val="006269A7"/>
    <w:rsid w:val="00626A05"/>
    <w:rsid w:val="00626A09"/>
    <w:rsid w:val="00626AEC"/>
    <w:rsid w:val="00626F59"/>
    <w:rsid w:val="00627127"/>
    <w:rsid w:val="0062781E"/>
    <w:rsid w:val="00627BAB"/>
    <w:rsid w:val="00627C4D"/>
    <w:rsid w:val="00627F0F"/>
    <w:rsid w:val="0063002F"/>
    <w:rsid w:val="006301BC"/>
    <w:rsid w:val="0063020B"/>
    <w:rsid w:val="00630312"/>
    <w:rsid w:val="0063048E"/>
    <w:rsid w:val="00630524"/>
    <w:rsid w:val="006307B0"/>
    <w:rsid w:val="00630A86"/>
    <w:rsid w:val="00630B2A"/>
    <w:rsid w:val="00630C66"/>
    <w:rsid w:val="00630D51"/>
    <w:rsid w:val="00630D87"/>
    <w:rsid w:val="00630DD6"/>
    <w:rsid w:val="00630DE4"/>
    <w:rsid w:val="006316BA"/>
    <w:rsid w:val="00631846"/>
    <w:rsid w:val="006319BA"/>
    <w:rsid w:val="006319F3"/>
    <w:rsid w:val="00631A72"/>
    <w:rsid w:val="00631EFA"/>
    <w:rsid w:val="00631F92"/>
    <w:rsid w:val="006323AF"/>
    <w:rsid w:val="006326F6"/>
    <w:rsid w:val="006328BB"/>
    <w:rsid w:val="00632B98"/>
    <w:rsid w:val="00633365"/>
    <w:rsid w:val="006333B7"/>
    <w:rsid w:val="006339FA"/>
    <w:rsid w:val="00633D52"/>
    <w:rsid w:val="00634AA2"/>
    <w:rsid w:val="006351DB"/>
    <w:rsid w:val="0063522B"/>
    <w:rsid w:val="00635282"/>
    <w:rsid w:val="0063529D"/>
    <w:rsid w:val="00635D7C"/>
    <w:rsid w:val="00635E28"/>
    <w:rsid w:val="00635EED"/>
    <w:rsid w:val="00635FA9"/>
    <w:rsid w:val="00635FAA"/>
    <w:rsid w:val="00636315"/>
    <w:rsid w:val="00636C0E"/>
    <w:rsid w:val="0063729E"/>
    <w:rsid w:val="006372F0"/>
    <w:rsid w:val="006372F9"/>
    <w:rsid w:val="00637438"/>
    <w:rsid w:val="00637B05"/>
    <w:rsid w:val="00637C2D"/>
    <w:rsid w:val="00640071"/>
    <w:rsid w:val="00640420"/>
    <w:rsid w:val="00640473"/>
    <w:rsid w:val="00640538"/>
    <w:rsid w:val="00640C61"/>
    <w:rsid w:val="00641153"/>
    <w:rsid w:val="00641283"/>
    <w:rsid w:val="006418E1"/>
    <w:rsid w:val="0064231B"/>
    <w:rsid w:val="0064238D"/>
    <w:rsid w:val="00642558"/>
    <w:rsid w:val="006428CF"/>
    <w:rsid w:val="00642D41"/>
    <w:rsid w:val="00642F94"/>
    <w:rsid w:val="006431AA"/>
    <w:rsid w:val="00643F31"/>
    <w:rsid w:val="00643F6E"/>
    <w:rsid w:val="006443A6"/>
    <w:rsid w:val="006447E0"/>
    <w:rsid w:val="006448B9"/>
    <w:rsid w:val="00644E69"/>
    <w:rsid w:val="00644F28"/>
    <w:rsid w:val="00645224"/>
    <w:rsid w:val="00645485"/>
    <w:rsid w:val="0064585C"/>
    <w:rsid w:val="006461B7"/>
    <w:rsid w:val="006466C8"/>
    <w:rsid w:val="006467AC"/>
    <w:rsid w:val="00646D8F"/>
    <w:rsid w:val="00646ED4"/>
    <w:rsid w:val="00646F4D"/>
    <w:rsid w:val="00646F99"/>
    <w:rsid w:val="00646FE5"/>
    <w:rsid w:val="00646FFA"/>
    <w:rsid w:val="00647329"/>
    <w:rsid w:val="00647539"/>
    <w:rsid w:val="006476C8"/>
    <w:rsid w:val="00650A05"/>
    <w:rsid w:val="00650BDE"/>
    <w:rsid w:val="00650E73"/>
    <w:rsid w:val="00650ECB"/>
    <w:rsid w:val="00651449"/>
    <w:rsid w:val="0065169D"/>
    <w:rsid w:val="006519D5"/>
    <w:rsid w:val="00651B28"/>
    <w:rsid w:val="00651D78"/>
    <w:rsid w:val="00651E0E"/>
    <w:rsid w:val="00652152"/>
    <w:rsid w:val="00652260"/>
    <w:rsid w:val="006522A9"/>
    <w:rsid w:val="0065274A"/>
    <w:rsid w:val="006529F6"/>
    <w:rsid w:val="00652A58"/>
    <w:rsid w:val="00652C05"/>
    <w:rsid w:val="00652DD3"/>
    <w:rsid w:val="006535B5"/>
    <w:rsid w:val="00653BE0"/>
    <w:rsid w:val="00653CBC"/>
    <w:rsid w:val="00653D03"/>
    <w:rsid w:val="00653DDB"/>
    <w:rsid w:val="00654232"/>
    <w:rsid w:val="00654683"/>
    <w:rsid w:val="0065554B"/>
    <w:rsid w:val="006556F7"/>
    <w:rsid w:val="00655E47"/>
    <w:rsid w:val="00655F17"/>
    <w:rsid w:val="00656729"/>
    <w:rsid w:val="00656967"/>
    <w:rsid w:val="00656BC6"/>
    <w:rsid w:val="00656C21"/>
    <w:rsid w:val="00656E5B"/>
    <w:rsid w:val="00656F78"/>
    <w:rsid w:val="006574D3"/>
    <w:rsid w:val="006577D0"/>
    <w:rsid w:val="00657D71"/>
    <w:rsid w:val="00657E09"/>
    <w:rsid w:val="00657F72"/>
    <w:rsid w:val="0066031C"/>
    <w:rsid w:val="0066088E"/>
    <w:rsid w:val="00660A86"/>
    <w:rsid w:val="00660EB1"/>
    <w:rsid w:val="0066189C"/>
    <w:rsid w:val="00661D8E"/>
    <w:rsid w:val="00662005"/>
    <w:rsid w:val="006620AB"/>
    <w:rsid w:val="00662510"/>
    <w:rsid w:val="00662735"/>
    <w:rsid w:val="006628A9"/>
    <w:rsid w:val="00662AFF"/>
    <w:rsid w:val="00662C6E"/>
    <w:rsid w:val="00662DC4"/>
    <w:rsid w:val="00662E7B"/>
    <w:rsid w:val="00662FFD"/>
    <w:rsid w:val="006632E0"/>
    <w:rsid w:val="0066344D"/>
    <w:rsid w:val="006639B9"/>
    <w:rsid w:val="00663B15"/>
    <w:rsid w:val="00663D34"/>
    <w:rsid w:val="0066431A"/>
    <w:rsid w:val="006643E6"/>
    <w:rsid w:val="00665346"/>
    <w:rsid w:val="00665650"/>
    <w:rsid w:val="006656E4"/>
    <w:rsid w:val="0066570D"/>
    <w:rsid w:val="00665B7E"/>
    <w:rsid w:val="00665D34"/>
    <w:rsid w:val="00665D75"/>
    <w:rsid w:val="006661A8"/>
    <w:rsid w:val="0066635A"/>
    <w:rsid w:val="006664DE"/>
    <w:rsid w:val="0066669D"/>
    <w:rsid w:val="00666B7F"/>
    <w:rsid w:val="00666E3E"/>
    <w:rsid w:val="00666EA9"/>
    <w:rsid w:val="00667187"/>
    <w:rsid w:val="006672F5"/>
    <w:rsid w:val="0066731A"/>
    <w:rsid w:val="006673B4"/>
    <w:rsid w:val="006673F6"/>
    <w:rsid w:val="00667410"/>
    <w:rsid w:val="00667517"/>
    <w:rsid w:val="00667866"/>
    <w:rsid w:val="00667B46"/>
    <w:rsid w:val="00670253"/>
    <w:rsid w:val="00670384"/>
    <w:rsid w:val="00670617"/>
    <w:rsid w:val="00670745"/>
    <w:rsid w:val="00670975"/>
    <w:rsid w:val="00670D75"/>
    <w:rsid w:val="006711C6"/>
    <w:rsid w:val="006715CE"/>
    <w:rsid w:val="00671809"/>
    <w:rsid w:val="00671821"/>
    <w:rsid w:val="00671A7A"/>
    <w:rsid w:val="00671F1E"/>
    <w:rsid w:val="00671F97"/>
    <w:rsid w:val="00672011"/>
    <w:rsid w:val="00672084"/>
    <w:rsid w:val="00672086"/>
    <w:rsid w:val="0067225A"/>
    <w:rsid w:val="00672457"/>
    <w:rsid w:val="0067272E"/>
    <w:rsid w:val="0067277E"/>
    <w:rsid w:val="006728A8"/>
    <w:rsid w:val="006728C6"/>
    <w:rsid w:val="006729EE"/>
    <w:rsid w:val="00672CDE"/>
    <w:rsid w:val="006740B6"/>
    <w:rsid w:val="006741C6"/>
    <w:rsid w:val="00674A60"/>
    <w:rsid w:val="00674B45"/>
    <w:rsid w:val="006752F3"/>
    <w:rsid w:val="00675791"/>
    <w:rsid w:val="006758A8"/>
    <w:rsid w:val="00675EDC"/>
    <w:rsid w:val="00676352"/>
    <w:rsid w:val="00676899"/>
    <w:rsid w:val="00676BB2"/>
    <w:rsid w:val="00676CF0"/>
    <w:rsid w:val="00676E03"/>
    <w:rsid w:val="00676FD2"/>
    <w:rsid w:val="00677092"/>
    <w:rsid w:val="00677BCB"/>
    <w:rsid w:val="006802B6"/>
    <w:rsid w:val="00680366"/>
    <w:rsid w:val="006807E1"/>
    <w:rsid w:val="00680A3A"/>
    <w:rsid w:val="00680AEE"/>
    <w:rsid w:val="00680FB6"/>
    <w:rsid w:val="006810A2"/>
    <w:rsid w:val="00681817"/>
    <w:rsid w:val="006819AB"/>
    <w:rsid w:val="006820AB"/>
    <w:rsid w:val="006824D4"/>
    <w:rsid w:val="006828A6"/>
    <w:rsid w:val="0068299F"/>
    <w:rsid w:val="00682B36"/>
    <w:rsid w:val="00683472"/>
    <w:rsid w:val="00683B48"/>
    <w:rsid w:val="006848BB"/>
    <w:rsid w:val="006849B5"/>
    <w:rsid w:val="00685063"/>
    <w:rsid w:val="0068568A"/>
    <w:rsid w:val="00685AFA"/>
    <w:rsid w:val="00685E38"/>
    <w:rsid w:val="0068605D"/>
    <w:rsid w:val="006860AC"/>
    <w:rsid w:val="00686420"/>
    <w:rsid w:val="00686681"/>
    <w:rsid w:val="0068670C"/>
    <w:rsid w:val="0068725A"/>
    <w:rsid w:val="006874E0"/>
    <w:rsid w:val="006876D4"/>
    <w:rsid w:val="00687B5F"/>
    <w:rsid w:val="00687BAF"/>
    <w:rsid w:val="0069037D"/>
    <w:rsid w:val="00690A51"/>
    <w:rsid w:val="00691008"/>
    <w:rsid w:val="00691068"/>
    <w:rsid w:val="006910F8"/>
    <w:rsid w:val="006916EB"/>
    <w:rsid w:val="006917D7"/>
    <w:rsid w:val="00691D5E"/>
    <w:rsid w:val="00691F43"/>
    <w:rsid w:val="00691F65"/>
    <w:rsid w:val="006921E6"/>
    <w:rsid w:val="00692958"/>
    <w:rsid w:val="00692E7A"/>
    <w:rsid w:val="006934E2"/>
    <w:rsid w:val="00693879"/>
    <w:rsid w:val="00693AC6"/>
    <w:rsid w:val="0069440D"/>
    <w:rsid w:val="006950CD"/>
    <w:rsid w:val="00695305"/>
    <w:rsid w:val="006953C4"/>
    <w:rsid w:val="00695418"/>
    <w:rsid w:val="00695758"/>
    <w:rsid w:val="00695AB1"/>
    <w:rsid w:val="0069631C"/>
    <w:rsid w:val="0069678C"/>
    <w:rsid w:val="00696CB6"/>
    <w:rsid w:val="00696FE4"/>
    <w:rsid w:val="00697019"/>
    <w:rsid w:val="0069758B"/>
    <w:rsid w:val="006976BF"/>
    <w:rsid w:val="006979CD"/>
    <w:rsid w:val="006979E6"/>
    <w:rsid w:val="006A00DB"/>
    <w:rsid w:val="006A02D2"/>
    <w:rsid w:val="006A0464"/>
    <w:rsid w:val="006A082A"/>
    <w:rsid w:val="006A0D7A"/>
    <w:rsid w:val="006A0E1D"/>
    <w:rsid w:val="006A1169"/>
    <w:rsid w:val="006A132C"/>
    <w:rsid w:val="006A13AA"/>
    <w:rsid w:val="006A16FF"/>
    <w:rsid w:val="006A1818"/>
    <w:rsid w:val="006A1E2E"/>
    <w:rsid w:val="006A1F96"/>
    <w:rsid w:val="006A2394"/>
    <w:rsid w:val="006A27A9"/>
    <w:rsid w:val="006A2934"/>
    <w:rsid w:val="006A2C62"/>
    <w:rsid w:val="006A2FEB"/>
    <w:rsid w:val="006A340E"/>
    <w:rsid w:val="006A3A0A"/>
    <w:rsid w:val="006A3C9C"/>
    <w:rsid w:val="006A42D3"/>
    <w:rsid w:val="006A4511"/>
    <w:rsid w:val="006A46C2"/>
    <w:rsid w:val="006A542E"/>
    <w:rsid w:val="006A55C4"/>
    <w:rsid w:val="006A577E"/>
    <w:rsid w:val="006A57A9"/>
    <w:rsid w:val="006A5984"/>
    <w:rsid w:val="006A5BD9"/>
    <w:rsid w:val="006A610D"/>
    <w:rsid w:val="006A6B1C"/>
    <w:rsid w:val="006A6C22"/>
    <w:rsid w:val="006A74F9"/>
    <w:rsid w:val="006A781C"/>
    <w:rsid w:val="006A7B9F"/>
    <w:rsid w:val="006A7D13"/>
    <w:rsid w:val="006A7E77"/>
    <w:rsid w:val="006A7F09"/>
    <w:rsid w:val="006B01B0"/>
    <w:rsid w:val="006B0200"/>
    <w:rsid w:val="006B0228"/>
    <w:rsid w:val="006B04D6"/>
    <w:rsid w:val="006B04F8"/>
    <w:rsid w:val="006B0A2C"/>
    <w:rsid w:val="006B0BD4"/>
    <w:rsid w:val="006B0C57"/>
    <w:rsid w:val="006B0CED"/>
    <w:rsid w:val="006B0FC3"/>
    <w:rsid w:val="006B109C"/>
    <w:rsid w:val="006B113B"/>
    <w:rsid w:val="006B1C81"/>
    <w:rsid w:val="006B1F53"/>
    <w:rsid w:val="006B21ED"/>
    <w:rsid w:val="006B22DD"/>
    <w:rsid w:val="006B259B"/>
    <w:rsid w:val="006B2751"/>
    <w:rsid w:val="006B2C8C"/>
    <w:rsid w:val="006B32F2"/>
    <w:rsid w:val="006B35BC"/>
    <w:rsid w:val="006B38E8"/>
    <w:rsid w:val="006B3C45"/>
    <w:rsid w:val="006B4140"/>
    <w:rsid w:val="006B4423"/>
    <w:rsid w:val="006B4873"/>
    <w:rsid w:val="006B49E2"/>
    <w:rsid w:val="006B52E0"/>
    <w:rsid w:val="006B5A3A"/>
    <w:rsid w:val="006B5E66"/>
    <w:rsid w:val="006B62CA"/>
    <w:rsid w:val="006B656B"/>
    <w:rsid w:val="006B6843"/>
    <w:rsid w:val="006B6ABE"/>
    <w:rsid w:val="006B6AFE"/>
    <w:rsid w:val="006B7AE9"/>
    <w:rsid w:val="006B7AF9"/>
    <w:rsid w:val="006B7BE3"/>
    <w:rsid w:val="006B7E55"/>
    <w:rsid w:val="006B7F22"/>
    <w:rsid w:val="006C00FB"/>
    <w:rsid w:val="006C01C7"/>
    <w:rsid w:val="006C04FC"/>
    <w:rsid w:val="006C0946"/>
    <w:rsid w:val="006C0AEA"/>
    <w:rsid w:val="006C0C63"/>
    <w:rsid w:val="006C0C77"/>
    <w:rsid w:val="006C14FE"/>
    <w:rsid w:val="006C1715"/>
    <w:rsid w:val="006C1A85"/>
    <w:rsid w:val="006C1E5F"/>
    <w:rsid w:val="006C1FFD"/>
    <w:rsid w:val="006C226F"/>
    <w:rsid w:val="006C3032"/>
    <w:rsid w:val="006C3452"/>
    <w:rsid w:val="006C361F"/>
    <w:rsid w:val="006C3B6C"/>
    <w:rsid w:val="006C3FAB"/>
    <w:rsid w:val="006C4529"/>
    <w:rsid w:val="006C461D"/>
    <w:rsid w:val="006C499F"/>
    <w:rsid w:val="006C4C05"/>
    <w:rsid w:val="006C4F24"/>
    <w:rsid w:val="006C5143"/>
    <w:rsid w:val="006C5337"/>
    <w:rsid w:val="006C536D"/>
    <w:rsid w:val="006C56F0"/>
    <w:rsid w:val="006C6358"/>
    <w:rsid w:val="006C7882"/>
    <w:rsid w:val="006C793D"/>
    <w:rsid w:val="006D01DC"/>
    <w:rsid w:val="006D0289"/>
    <w:rsid w:val="006D059C"/>
    <w:rsid w:val="006D07BA"/>
    <w:rsid w:val="006D0AA3"/>
    <w:rsid w:val="006D0CAD"/>
    <w:rsid w:val="006D1524"/>
    <w:rsid w:val="006D1548"/>
    <w:rsid w:val="006D201B"/>
    <w:rsid w:val="006D207F"/>
    <w:rsid w:val="006D23A7"/>
    <w:rsid w:val="006D2461"/>
    <w:rsid w:val="006D25DF"/>
    <w:rsid w:val="006D2D86"/>
    <w:rsid w:val="006D307D"/>
    <w:rsid w:val="006D33A0"/>
    <w:rsid w:val="006D37FC"/>
    <w:rsid w:val="006D3840"/>
    <w:rsid w:val="006D386D"/>
    <w:rsid w:val="006D3C68"/>
    <w:rsid w:val="006D43D6"/>
    <w:rsid w:val="006D4A73"/>
    <w:rsid w:val="006D4B2D"/>
    <w:rsid w:val="006D4BE4"/>
    <w:rsid w:val="006D4F00"/>
    <w:rsid w:val="006D5052"/>
    <w:rsid w:val="006D5159"/>
    <w:rsid w:val="006D51E7"/>
    <w:rsid w:val="006D541A"/>
    <w:rsid w:val="006D5FDD"/>
    <w:rsid w:val="006D610C"/>
    <w:rsid w:val="006D61D6"/>
    <w:rsid w:val="006D61E8"/>
    <w:rsid w:val="006D6243"/>
    <w:rsid w:val="006D62DB"/>
    <w:rsid w:val="006D678E"/>
    <w:rsid w:val="006D6963"/>
    <w:rsid w:val="006D6B35"/>
    <w:rsid w:val="006D7372"/>
    <w:rsid w:val="006D739A"/>
    <w:rsid w:val="006D75E1"/>
    <w:rsid w:val="006D7820"/>
    <w:rsid w:val="006D7CC5"/>
    <w:rsid w:val="006E0638"/>
    <w:rsid w:val="006E0845"/>
    <w:rsid w:val="006E099C"/>
    <w:rsid w:val="006E133E"/>
    <w:rsid w:val="006E14CA"/>
    <w:rsid w:val="006E1732"/>
    <w:rsid w:val="006E24DD"/>
    <w:rsid w:val="006E2814"/>
    <w:rsid w:val="006E282E"/>
    <w:rsid w:val="006E2A54"/>
    <w:rsid w:val="006E2DED"/>
    <w:rsid w:val="006E2EEE"/>
    <w:rsid w:val="006E2FA8"/>
    <w:rsid w:val="006E313F"/>
    <w:rsid w:val="006E34C4"/>
    <w:rsid w:val="006E3922"/>
    <w:rsid w:val="006E3A97"/>
    <w:rsid w:val="006E3AB8"/>
    <w:rsid w:val="006E4189"/>
    <w:rsid w:val="006E43B3"/>
    <w:rsid w:val="006E4473"/>
    <w:rsid w:val="006E466B"/>
    <w:rsid w:val="006E4794"/>
    <w:rsid w:val="006E4ABF"/>
    <w:rsid w:val="006E5186"/>
    <w:rsid w:val="006E5349"/>
    <w:rsid w:val="006E5574"/>
    <w:rsid w:val="006E57EF"/>
    <w:rsid w:val="006E59B0"/>
    <w:rsid w:val="006E59E5"/>
    <w:rsid w:val="006E5A68"/>
    <w:rsid w:val="006E5CED"/>
    <w:rsid w:val="006E604E"/>
    <w:rsid w:val="006E613D"/>
    <w:rsid w:val="006E66A6"/>
    <w:rsid w:val="006E67F4"/>
    <w:rsid w:val="006E6AF1"/>
    <w:rsid w:val="006E6E6C"/>
    <w:rsid w:val="006E747F"/>
    <w:rsid w:val="006E7652"/>
    <w:rsid w:val="006E7770"/>
    <w:rsid w:val="006E78B3"/>
    <w:rsid w:val="006E7D37"/>
    <w:rsid w:val="006E7D3E"/>
    <w:rsid w:val="006E7E91"/>
    <w:rsid w:val="006E7F41"/>
    <w:rsid w:val="006E7FAD"/>
    <w:rsid w:val="006F011F"/>
    <w:rsid w:val="006F051B"/>
    <w:rsid w:val="006F07AA"/>
    <w:rsid w:val="006F098A"/>
    <w:rsid w:val="006F0FBF"/>
    <w:rsid w:val="006F1429"/>
    <w:rsid w:val="006F1852"/>
    <w:rsid w:val="006F18D4"/>
    <w:rsid w:val="006F1A62"/>
    <w:rsid w:val="006F20C4"/>
    <w:rsid w:val="006F23FD"/>
    <w:rsid w:val="006F242F"/>
    <w:rsid w:val="006F2438"/>
    <w:rsid w:val="006F250D"/>
    <w:rsid w:val="006F28DA"/>
    <w:rsid w:val="006F2D33"/>
    <w:rsid w:val="006F307A"/>
    <w:rsid w:val="006F3281"/>
    <w:rsid w:val="006F357E"/>
    <w:rsid w:val="006F36F7"/>
    <w:rsid w:val="006F3CC9"/>
    <w:rsid w:val="006F3D8C"/>
    <w:rsid w:val="006F3DD2"/>
    <w:rsid w:val="006F40B8"/>
    <w:rsid w:val="006F421C"/>
    <w:rsid w:val="006F4DBB"/>
    <w:rsid w:val="006F5143"/>
    <w:rsid w:val="006F5478"/>
    <w:rsid w:val="006F58A8"/>
    <w:rsid w:val="006F5A16"/>
    <w:rsid w:val="006F5A9B"/>
    <w:rsid w:val="006F5DFA"/>
    <w:rsid w:val="006F5F0C"/>
    <w:rsid w:val="006F64E9"/>
    <w:rsid w:val="006F66EF"/>
    <w:rsid w:val="006F670E"/>
    <w:rsid w:val="006F682F"/>
    <w:rsid w:val="006F6E47"/>
    <w:rsid w:val="006F7156"/>
    <w:rsid w:val="006F76B6"/>
    <w:rsid w:val="006F781D"/>
    <w:rsid w:val="006F7CDB"/>
    <w:rsid w:val="007004F4"/>
    <w:rsid w:val="00700862"/>
    <w:rsid w:val="00700B22"/>
    <w:rsid w:val="00700BEA"/>
    <w:rsid w:val="00700D76"/>
    <w:rsid w:val="00701158"/>
    <w:rsid w:val="00701E3D"/>
    <w:rsid w:val="00701F36"/>
    <w:rsid w:val="00702232"/>
    <w:rsid w:val="00702CDC"/>
    <w:rsid w:val="00702FDB"/>
    <w:rsid w:val="00703054"/>
    <w:rsid w:val="007030CC"/>
    <w:rsid w:val="00703208"/>
    <w:rsid w:val="007032F7"/>
    <w:rsid w:val="007034D8"/>
    <w:rsid w:val="0070351D"/>
    <w:rsid w:val="00703A5A"/>
    <w:rsid w:val="00703F94"/>
    <w:rsid w:val="00704158"/>
    <w:rsid w:val="00704214"/>
    <w:rsid w:val="00704226"/>
    <w:rsid w:val="00704437"/>
    <w:rsid w:val="007044AF"/>
    <w:rsid w:val="0070477B"/>
    <w:rsid w:val="007047DA"/>
    <w:rsid w:val="007048A8"/>
    <w:rsid w:val="00704C8D"/>
    <w:rsid w:val="00704CE4"/>
    <w:rsid w:val="00704EE9"/>
    <w:rsid w:val="007056C5"/>
    <w:rsid w:val="007064C3"/>
    <w:rsid w:val="007064F5"/>
    <w:rsid w:val="00706576"/>
    <w:rsid w:val="0070664D"/>
    <w:rsid w:val="00707F6C"/>
    <w:rsid w:val="00710039"/>
    <w:rsid w:val="00710760"/>
    <w:rsid w:val="00710C04"/>
    <w:rsid w:val="007114A0"/>
    <w:rsid w:val="0071221B"/>
    <w:rsid w:val="00712409"/>
    <w:rsid w:val="0071281A"/>
    <w:rsid w:val="00712912"/>
    <w:rsid w:val="007129AD"/>
    <w:rsid w:val="00712ACE"/>
    <w:rsid w:val="00712C17"/>
    <w:rsid w:val="00712DDD"/>
    <w:rsid w:val="0071345C"/>
    <w:rsid w:val="007135BF"/>
    <w:rsid w:val="007139F9"/>
    <w:rsid w:val="00713A90"/>
    <w:rsid w:val="00713D32"/>
    <w:rsid w:val="00713E72"/>
    <w:rsid w:val="00713F55"/>
    <w:rsid w:val="00713F98"/>
    <w:rsid w:val="007140A5"/>
    <w:rsid w:val="007143C8"/>
    <w:rsid w:val="00714491"/>
    <w:rsid w:val="007146D3"/>
    <w:rsid w:val="00714BBA"/>
    <w:rsid w:val="00714EFD"/>
    <w:rsid w:val="00714FED"/>
    <w:rsid w:val="007157C3"/>
    <w:rsid w:val="00715832"/>
    <w:rsid w:val="007162C1"/>
    <w:rsid w:val="00716452"/>
    <w:rsid w:val="0071650F"/>
    <w:rsid w:val="0071687A"/>
    <w:rsid w:val="007168A8"/>
    <w:rsid w:val="007169DA"/>
    <w:rsid w:val="00716A84"/>
    <w:rsid w:val="007171A0"/>
    <w:rsid w:val="00717502"/>
    <w:rsid w:val="007176B8"/>
    <w:rsid w:val="00717C1F"/>
    <w:rsid w:val="00717FE7"/>
    <w:rsid w:val="007200B4"/>
    <w:rsid w:val="007203CC"/>
    <w:rsid w:val="007205A8"/>
    <w:rsid w:val="007205FC"/>
    <w:rsid w:val="0072084A"/>
    <w:rsid w:val="00720ED2"/>
    <w:rsid w:val="007210E0"/>
    <w:rsid w:val="00721110"/>
    <w:rsid w:val="00721185"/>
    <w:rsid w:val="0072165C"/>
    <w:rsid w:val="00721764"/>
    <w:rsid w:val="00721D56"/>
    <w:rsid w:val="00721D66"/>
    <w:rsid w:val="00722053"/>
    <w:rsid w:val="007222F9"/>
    <w:rsid w:val="007224AE"/>
    <w:rsid w:val="007224F5"/>
    <w:rsid w:val="00722AB5"/>
    <w:rsid w:val="00722DBB"/>
    <w:rsid w:val="0072364F"/>
    <w:rsid w:val="0072396C"/>
    <w:rsid w:val="00723C08"/>
    <w:rsid w:val="00723F31"/>
    <w:rsid w:val="00724136"/>
    <w:rsid w:val="0072436F"/>
    <w:rsid w:val="00724376"/>
    <w:rsid w:val="0072447D"/>
    <w:rsid w:val="007247EA"/>
    <w:rsid w:val="007249C5"/>
    <w:rsid w:val="00724E48"/>
    <w:rsid w:val="00724E65"/>
    <w:rsid w:val="00724ECA"/>
    <w:rsid w:val="00724EEF"/>
    <w:rsid w:val="0072521D"/>
    <w:rsid w:val="00725785"/>
    <w:rsid w:val="0072686B"/>
    <w:rsid w:val="007268A4"/>
    <w:rsid w:val="00726F6A"/>
    <w:rsid w:val="00727313"/>
    <w:rsid w:val="007275FB"/>
    <w:rsid w:val="00727748"/>
    <w:rsid w:val="00727A1F"/>
    <w:rsid w:val="00727D66"/>
    <w:rsid w:val="007303E2"/>
    <w:rsid w:val="00730B4D"/>
    <w:rsid w:val="00730BA1"/>
    <w:rsid w:val="007317CD"/>
    <w:rsid w:val="00731A09"/>
    <w:rsid w:val="00731CC4"/>
    <w:rsid w:val="00731E73"/>
    <w:rsid w:val="00731FD3"/>
    <w:rsid w:val="00731FEF"/>
    <w:rsid w:val="00732184"/>
    <w:rsid w:val="00732292"/>
    <w:rsid w:val="007323D7"/>
    <w:rsid w:val="00732A06"/>
    <w:rsid w:val="00732A80"/>
    <w:rsid w:val="00732F2D"/>
    <w:rsid w:val="007339EF"/>
    <w:rsid w:val="00733DE0"/>
    <w:rsid w:val="00733E02"/>
    <w:rsid w:val="0073407B"/>
    <w:rsid w:val="00734844"/>
    <w:rsid w:val="0073496E"/>
    <w:rsid w:val="00734C06"/>
    <w:rsid w:val="00734C17"/>
    <w:rsid w:val="00734F8E"/>
    <w:rsid w:val="007350B7"/>
    <w:rsid w:val="007352E2"/>
    <w:rsid w:val="00735828"/>
    <w:rsid w:val="00735C17"/>
    <w:rsid w:val="0073613C"/>
    <w:rsid w:val="00736352"/>
    <w:rsid w:val="00736441"/>
    <w:rsid w:val="00736609"/>
    <w:rsid w:val="00736A99"/>
    <w:rsid w:val="00736D64"/>
    <w:rsid w:val="00736FBC"/>
    <w:rsid w:val="0073724E"/>
    <w:rsid w:val="007377FA"/>
    <w:rsid w:val="00737B0C"/>
    <w:rsid w:val="00737E3F"/>
    <w:rsid w:val="007400A0"/>
    <w:rsid w:val="00740441"/>
    <w:rsid w:val="00740474"/>
    <w:rsid w:val="0074070D"/>
    <w:rsid w:val="00740A53"/>
    <w:rsid w:val="00740FE2"/>
    <w:rsid w:val="0074131F"/>
    <w:rsid w:val="007413E2"/>
    <w:rsid w:val="007414A5"/>
    <w:rsid w:val="00741EFB"/>
    <w:rsid w:val="00741FFC"/>
    <w:rsid w:val="007429EA"/>
    <w:rsid w:val="00742A57"/>
    <w:rsid w:val="00742AEC"/>
    <w:rsid w:val="00742B1A"/>
    <w:rsid w:val="0074315A"/>
    <w:rsid w:val="00743301"/>
    <w:rsid w:val="00743BCC"/>
    <w:rsid w:val="00743CA1"/>
    <w:rsid w:val="00744040"/>
    <w:rsid w:val="0074478F"/>
    <w:rsid w:val="007447A4"/>
    <w:rsid w:val="00744829"/>
    <w:rsid w:val="00744D6C"/>
    <w:rsid w:val="0074585B"/>
    <w:rsid w:val="0074586C"/>
    <w:rsid w:val="007458C3"/>
    <w:rsid w:val="00745959"/>
    <w:rsid w:val="00745BE4"/>
    <w:rsid w:val="007461A4"/>
    <w:rsid w:val="007461C2"/>
    <w:rsid w:val="007467AF"/>
    <w:rsid w:val="00746ACB"/>
    <w:rsid w:val="00746F58"/>
    <w:rsid w:val="00747075"/>
    <w:rsid w:val="007471C2"/>
    <w:rsid w:val="00747266"/>
    <w:rsid w:val="00747D14"/>
    <w:rsid w:val="00750197"/>
    <w:rsid w:val="007505B2"/>
    <w:rsid w:val="007506B0"/>
    <w:rsid w:val="0075095B"/>
    <w:rsid w:val="00750AD6"/>
    <w:rsid w:val="00750EBA"/>
    <w:rsid w:val="007510E6"/>
    <w:rsid w:val="00751259"/>
    <w:rsid w:val="00751330"/>
    <w:rsid w:val="007513F2"/>
    <w:rsid w:val="00751475"/>
    <w:rsid w:val="007516C9"/>
    <w:rsid w:val="007518E1"/>
    <w:rsid w:val="007520BD"/>
    <w:rsid w:val="0075213B"/>
    <w:rsid w:val="007521E5"/>
    <w:rsid w:val="0075247A"/>
    <w:rsid w:val="007528C0"/>
    <w:rsid w:val="00752AB6"/>
    <w:rsid w:val="00752C1F"/>
    <w:rsid w:val="00752CF1"/>
    <w:rsid w:val="00752D77"/>
    <w:rsid w:val="00753057"/>
    <w:rsid w:val="007530EE"/>
    <w:rsid w:val="00753156"/>
    <w:rsid w:val="007536B7"/>
    <w:rsid w:val="00753853"/>
    <w:rsid w:val="007538B9"/>
    <w:rsid w:val="007539BC"/>
    <w:rsid w:val="00753B56"/>
    <w:rsid w:val="00753C46"/>
    <w:rsid w:val="00753E40"/>
    <w:rsid w:val="00754253"/>
    <w:rsid w:val="00754959"/>
    <w:rsid w:val="00754ECC"/>
    <w:rsid w:val="007553F8"/>
    <w:rsid w:val="0075546A"/>
    <w:rsid w:val="007554B9"/>
    <w:rsid w:val="00755E39"/>
    <w:rsid w:val="00756241"/>
    <w:rsid w:val="007567DC"/>
    <w:rsid w:val="00756AA2"/>
    <w:rsid w:val="00756F65"/>
    <w:rsid w:val="00757408"/>
    <w:rsid w:val="00757AA9"/>
    <w:rsid w:val="00757AB7"/>
    <w:rsid w:val="00757CC8"/>
    <w:rsid w:val="00757EC0"/>
    <w:rsid w:val="007603D1"/>
    <w:rsid w:val="00760999"/>
    <w:rsid w:val="00760D3A"/>
    <w:rsid w:val="00760F71"/>
    <w:rsid w:val="00761284"/>
    <w:rsid w:val="0076134D"/>
    <w:rsid w:val="00761DE1"/>
    <w:rsid w:val="00761EC4"/>
    <w:rsid w:val="00761EF6"/>
    <w:rsid w:val="00762309"/>
    <w:rsid w:val="00762947"/>
    <w:rsid w:val="00762948"/>
    <w:rsid w:val="00762A3E"/>
    <w:rsid w:val="00762E2F"/>
    <w:rsid w:val="0076303A"/>
    <w:rsid w:val="00763061"/>
    <w:rsid w:val="00763161"/>
    <w:rsid w:val="00763643"/>
    <w:rsid w:val="00763667"/>
    <w:rsid w:val="00763877"/>
    <w:rsid w:val="00763F3D"/>
    <w:rsid w:val="00763F9E"/>
    <w:rsid w:val="00764776"/>
    <w:rsid w:val="007649A8"/>
    <w:rsid w:val="00764B10"/>
    <w:rsid w:val="00764B85"/>
    <w:rsid w:val="00764C92"/>
    <w:rsid w:val="007650E6"/>
    <w:rsid w:val="0076531E"/>
    <w:rsid w:val="00765468"/>
    <w:rsid w:val="00765B27"/>
    <w:rsid w:val="0076629E"/>
    <w:rsid w:val="0076642C"/>
    <w:rsid w:val="007665BB"/>
    <w:rsid w:val="00766CF5"/>
    <w:rsid w:val="00766DF3"/>
    <w:rsid w:val="0076755D"/>
    <w:rsid w:val="00767572"/>
    <w:rsid w:val="00767767"/>
    <w:rsid w:val="007677F7"/>
    <w:rsid w:val="0076798E"/>
    <w:rsid w:val="00767BAE"/>
    <w:rsid w:val="0077054F"/>
    <w:rsid w:val="007707D5"/>
    <w:rsid w:val="00770A27"/>
    <w:rsid w:val="00770D77"/>
    <w:rsid w:val="00770EC6"/>
    <w:rsid w:val="00771437"/>
    <w:rsid w:val="0077152C"/>
    <w:rsid w:val="00771532"/>
    <w:rsid w:val="007716EC"/>
    <w:rsid w:val="0077206F"/>
    <w:rsid w:val="007723A1"/>
    <w:rsid w:val="00772478"/>
    <w:rsid w:val="00772839"/>
    <w:rsid w:val="007737C6"/>
    <w:rsid w:val="00773B2A"/>
    <w:rsid w:val="00773C89"/>
    <w:rsid w:val="00773F9D"/>
    <w:rsid w:val="00774561"/>
    <w:rsid w:val="007748A1"/>
    <w:rsid w:val="007748B1"/>
    <w:rsid w:val="0077500C"/>
    <w:rsid w:val="00775988"/>
    <w:rsid w:val="00775C77"/>
    <w:rsid w:val="0077685F"/>
    <w:rsid w:val="007769C2"/>
    <w:rsid w:val="00776AB1"/>
    <w:rsid w:val="007771BB"/>
    <w:rsid w:val="00777301"/>
    <w:rsid w:val="0077790B"/>
    <w:rsid w:val="00780220"/>
    <w:rsid w:val="00780951"/>
    <w:rsid w:val="00780CED"/>
    <w:rsid w:val="00780F4B"/>
    <w:rsid w:val="00780F71"/>
    <w:rsid w:val="00781176"/>
    <w:rsid w:val="00781862"/>
    <w:rsid w:val="00781879"/>
    <w:rsid w:val="007818A7"/>
    <w:rsid w:val="00781C84"/>
    <w:rsid w:val="007825F8"/>
    <w:rsid w:val="0078295C"/>
    <w:rsid w:val="00782AA4"/>
    <w:rsid w:val="00782F31"/>
    <w:rsid w:val="0078344C"/>
    <w:rsid w:val="007839B2"/>
    <w:rsid w:val="00783CA1"/>
    <w:rsid w:val="00783E78"/>
    <w:rsid w:val="0078412F"/>
    <w:rsid w:val="00784CCD"/>
    <w:rsid w:val="00784EAA"/>
    <w:rsid w:val="007853EE"/>
    <w:rsid w:val="007855F8"/>
    <w:rsid w:val="007857AB"/>
    <w:rsid w:val="00785A32"/>
    <w:rsid w:val="00785F76"/>
    <w:rsid w:val="007864A6"/>
    <w:rsid w:val="00786864"/>
    <w:rsid w:val="00786941"/>
    <w:rsid w:val="00786B16"/>
    <w:rsid w:val="007872F0"/>
    <w:rsid w:val="0078732E"/>
    <w:rsid w:val="007873C2"/>
    <w:rsid w:val="007876F1"/>
    <w:rsid w:val="00787AFD"/>
    <w:rsid w:val="007906F4"/>
    <w:rsid w:val="00790792"/>
    <w:rsid w:val="007907CA"/>
    <w:rsid w:val="00790A0C"/>
    <w:rsid w:val="00790B68"/>
    <w:rsid w:val="00791823"/>
    <w:rsid w:val="00791BD9"/>
    <w:rsid w:val="00791C8C"/>
    <w:rsid w:val="007921D3"/>
    <w:rsid w:val="0079226A"/>
    <w:rsid w:val="007922CF"/>
    <w:rsid w:val="00792D1B"/>
    <w:rsid w:val="00792F63"/>
    <w:rsid w:val="0079309C"/>
    <w:rsid w:val="007932E7"/>
    <w:rsid w:val="007933AE"/>
    <w:rsid w:val="00793508"/>
    <w:rsid w:val="00793799"/>
    <w:rsid w:val="0079380E"/>
    <w:rsid w:val="007938CF"/>
    <w:rsid w:val="00793F74"/>
    <w:rsid w:val="00793F99"/>
    <w:rsid w:val="0079404F"/>
    <w:rsid w:val="0079410B"/>
    <w:rsid w:val="00794165"/>
    <w:rsid w:val="007947D7"/>
    <w:rsid w:val="00794C34"/>
    <w:rsid w:val="00795151"/>
    <w:rsid w:val="007954AC"/>
    <w:rsid w:val="007954AE"/>
    <w:rsid w:val="00795528"/>
    <w:rsid w:val="00795F5D"/>
    <w:rsid w:val="00795FB4"/>
    <w:rsid w:val="0079633C"/>
    <w:rsid w:val="007970D6"/>
    <w:rsid w:val="00797165"/>
    <w:rsid w:val="007976FA"/>
    <w:rsid w:val="007978FD"/>
    <w:rsid w:val="00797B92"/>
    <w:rsid w:val="00797C33"/>
    <w:rsid w:val="00797C88"/>
    <w:rsid w:val="007A0131"/>
    <w:rsid w:val="007A01B7"/>
    <w:rsid w:val="007A01F8"/>
    <w:rsid w:val="007A023E"/>
    <w:rsid w:val="007A0519"/>
    <w:rsid w:val="007A05ED"/>
    <w:rsid w:val="007A0756"/>
    <w:rsid w:val="007A077B"/>
    <w:rsid w:val="007A092E"/>
    <w:rsid w:val="007A0E1B"/>
    <w:rsid w:val="007A0EF6"/>
    <w:rsid w:val="007A1889"/>
    <w:rsid w:val="007A189D"/>
    <w:rsid w:val="007A1934"/>
    <w:rsid w:val="007A19D8"/>
    <w:rsid w:val="007A2255"/>
    <w:rsid w:val="007A2A00"/>
    <w:rsid w:val="007A2C98"/>
    <w:rsid w:val="007A2E00"/>
    <w:rsid w:val="007A3129"/>
    <w:rsid w:val="007A3135"/>
    <w:rsid w:val="007A34F4"/>
    <w:rsid w:val="007A447E"/>
    <w:rsid w:val="007A45F6"/>
    <w:rsid w:val="007A4B91"/>
    <w:rsid w:val="007A4F90"/>
    <w:rsid w:val="007A5256"/>
    <w:rsid w:val="007A5331"/>
    <w:rsid w:val="007A5483"/>
    <w:rsid w:val="007A6340"/>
    <w:rsid w:val="007A6593"/>
    <w:rsid w:val="007A6959"/>
    <w:rsid w:val="007A6A05"/>
    <w:rsid w:val="007A6AA4"/>
    <w:rsid w:val="007A72E9"/>
    <w:rsid w:val="007A76DC"/>
    <w:rsid w:val="007A7C9C"/>
    <w:rsid w:val="007A7DA3"/>
    <w:rsid w:val="007B0142"/>
    <w:rsid w:val="007B03E5"/>
    <w:rsid w:val="007B0D99"/>
    <w:rsid w:val="007B10AD"/>
    <w:rsid w:val="007B10F6"/>
    <w:rsid w:val="007B191F"/>
    <w:rsid w:val="007B1AC3"/>
    <w:rsid w:val="007B1E3A"/>
    <w:rsid w:val="007B255B"/>
    <w:rsid w:val="007B3A6C"/>
    <w:rsid w:val="007B3BBB"/>
    <w:rsid w:val="007B3E8B"/>
    <w:rsid w:val="007B4234"/>
    <w:rsid w:val="007B42FC"/>
    <w:rsid w:val="007B4B52"/>
    <w:rsid w:val="007B4F3A"/>
    <w:rsid w:val="007B54FD"/>
    <w:rsid w:val="007B5946"/>
    <w:rsid w:val="007B5A77"/>
    <w:rsid w:val="007B5BE4"/>
    <w:rsid w:val="007B5C25"/>
    <w:rsid w:val="007B5CFF"/>
    <w:rsid w:val="007B6226"/>
    <w:rsid w:val="007B676C"/>
    <w:rsid w:val="007B6C78"/>
    <w:rsid w:val="007B6F47"/>
    <w:rsid w:val="007B75D8"/>
    <w:rsid w:val="007B7893"/>
    <w:rsid w:val="007B7957"/>
    <w:rsid w:val="007B79BC"/>
    <w:rsid w:val="007B7E44"/>
    <w:rsid w:val="007C1631"/>
    <w:rsid w:val="007C17C9"/>
    <w:rsid w:val="007C1C16"/>
    <w:rsid w:val="007C1CDA"/>
    <w:rsid w:val="007C1E4E"/>
    <w:rsid w:val="007C202B"/>
    <w:rsid w:val="007C2445"/>
    <w:rsid w:val="007C27E3"/>
    <w:rsid w:val="007C286C"/>
    <w:rsid w:val="007C2ADE"/>
    <w:rsid w:val="007C2CDF"/>
    <w:rsid w:val="007C3112"/>
    <w:rsid w:val="007C35CB"/>
    <w:rsid w:val="007C3627"/>
    <w:rsid w:val="007C3858"/>
    <w:rsid w:val="007C39B3"/>
    <w:rsid w:val="007C3AA8"/>
    <w:rsid w:val="007C3ACF"/>
    <w:rsid w:val="007C3BA5"/>
    <w:rsid w:val="007C3DA0"/>
    <w:rsid w:val="007C4648"/>
    <w:rsid w:val="007C46FD"/>
    <w:rsid w:val="007C490F"/>
    <w:rsid w:val="007C4C1B"/>
    <w:rsid w:val="007C4C91"/>
    <w:rsid w:val="007C503E"/>
    <w:rsid w:val="007C56A5"/>
    <w:rsid w:val="007C5823"/>
    <w:rsid w:val="007C58E7"/>
    <w:rsid w:val="007C5F48"/>
    <w:rsid w:val="007C5FA6"/>
    <w:rsid w:val="007C602E"/>
    <w:rsid w:val="007C6407"/>
    <w:rsid w:val="007C65EB"/>
    <w:rsid w:val="007C675A"/>
    <w:rsid w:val="007C685E"/>
    <w:rsid w:val="007C6A49"/>
    <w:rsid w:val="007C6DC1"/>
    <w:rsid w:val="007C7739"/>
    <w:rsid w:val="007C7A84"/>
    <w:rsid w:val="007D0559"/>
    <w:rsid w:val="007D0907"/>
    <w:rsid w:val="007D0CD4"/>
    <w:rsid w:val="007D0D62"/>
    <w:rsid w:val="007D17EB"/>
    <w:rsid w:val="007D259E"/>
    <w:rsid w:val="007D29AD"/>
    <w:rsid w:val="007D3161"/>
    <w:rsid w:val="007D374D"/>
    <w:rsid w:val="007D3D55"/>
    <w:rsid w:val="007D3D6F"/>
    <w:rsid w:val="007D40BB"/>
    <w:rsid w:val="007D41CA"/>
    <w:rsid w:val="007D44BA"/>
    <w:rsid w:val="007D4A27"/>
    <w:rsid w:val="007D4A4F"/>
    <w:rsid w:val="007D4FE0"/>
    <w:rsid w:val="007D5397"/>
    <w:rsid w:val="007D551D"/>
    <w:rsid w:val="007D55A9"/>
    <w:rsid w:val="007D56E5"/>
    <w:rsid w:val="007D57BB"/>
    <w:rsid w:val="007D5D2C"/>
    <w:rsid w:val="007D639E"/>
    <w:rsid w:val="007D6AD8"/>
    <w:rsid w:val="007D724D"/>
    <w:rsid w:val="007D74DC"/>
    <w:rsid w:val="007D7873"/>
    <w:rsid w:val="007D7932"/>
    <w:rsid w:val="007D7A50"/>
    <w:rsid w:val="007D7EBB"/>
    <w:rsid w:val="007E088E"/>
    <w:rsid w:val="007E0B10"/>
    <w:rsid w:val="007E0CC6"/>
    <w:rsid w:val="007E1569"/>
    <w:rsid w:val="007E2002"/>
    <w:rsid w:val="007E2252"/>
    <w:rsid w:val="007E2385"/>
    <w:rsid w:val="007E23DA"/>
    <w:rsid w:val="007E25E6"/>
    <w:rsid w:val="007E2898"/>
    <w:rsid w:val="007E28A3"/>
    <w:rsid w:val="007E2B60"/>
    <w:rsid w:val="007E2E40"/>
    <w:rsid w:val="007E32B4"/>
    <w:rsid w:val="007E3337"/>
    <w:rsid w:val="007E365A"/>
    <w:rsid w:val="007E3918"/>
    <w:rsid w:val="007E3AFD"/>
    <w:rsid w:val="007E3C88"/>
    <w:rsid w:val="007E3DB4"/>
    <w:rsid w:val="007E3E88"/>
    <w:rsid w:val="007E3EA6"/>
    <w:rsid w:val="007E4DDC"/>
    <w:rsid w:val="007E57FC"/>
    <w:rsid w:val="007E5A11"/>
    <w:rsid w:val="007E5FC8"/>
    <w:rsid w:val="007E6809"/>
    <w:rsid w:val="007E72A9"/>
    <w:rsid w:val="007E7C0A"/>
    <w:rsid w:val="007E7DBE"/>
    <w:rsid w:val="007F0544"/>
    <w:rsid w:val="007F0584"/>
    <w:rsid w:val="007F0DE4"/>
    <w:rsid w:val="007F10D9"/>
    <w:rsid w:val="007F1448"/>
    <w:rsid w:val="007F1759"/>
    <w:rsid w:val="007F19DC"/>
    <w:rsid w:val="007F1CBB"/>
    <w:rsid w:val="007F1DD7"/>
    <w:rsid w:val="007F1E29"/>
    <w:rsid w:val="007F1F19"/>
    <w:rsid w:val="007F1F5D"/>
    <w:rsid w:val="007F211F"/>
    <w:rsid w:val="007F24D6"/>
    <w:rsid w:val="007F25E5"/>
    <w:rsid w:val="007F2EAD"/>
    <w:rsid w:val="007F35FD"/>
    <w:rsid w:val="007F3D08"/>
    <w:rsid w:val="007F456A"/>
    <w:rsid w:val="007F4840"/>
    <w:rsid w:val="007F4A54"/>
    <w:rsid w:val="007F4C04"/>
    <w:rsid w:val="007F4D75"/>
    <w:rsid w:val="007F546E"/>
    <w:rsid w:val="007F56C3"/>
    <w:rsid w:val="007F59F1"/>
    <w:rsid w:val="007F5D05"/>
    <w:rsid w:val="007F6367"/>
    <w:rsid w:val="007F6398"/>
    <w:rsid w:val="007F6963"/>
    <w:rsid w:val="007F6ABD"/>
    <w:rsid w:val="007F6BED"/>
    <w:rsid w:val="007F6C40"/>
    <w:rsid w:val="007F70C0"/>
    <w:rsid w:val="007F73EF"/>
    <w:rsid w:val="007F7699"/>
    <w:rsid w:val="007F7A10"/>
    <w:rsid w:val="007F7A38"/>
    <w:rsid w:val="007F7E76"/>
    <w:rsid w:val="008001D2"/>
    <w:rsid w:val="0080024C"/>
    <w:rsid w:val="008006A4"/>
    <w:rsid w:val="00800F36"/>
    <w:rsid w:val="008011A1"/>
    <w:rsid w:val="00801392"/>
    <w:rsid w:val="00801E22"/>
    <w:rsid w:val="00801F92"/>
    <w:rsid w:val="008021FB"/>
    <w:rsid w:val="00802649"/>
    <w:rsid w:val="00802BEB"/>
    <w:rsid w:val="00802E69"/>
    <w:rsid w:val="0080332B"/>
    <w:rsid w:val="008036AF"/>
    <w:rsid w:val="00803A7E"/>
    <w:rsid w:val="00804397"/>
    <w:rsid w:val="008043EE"/>
    <w:rsid w:val="0080497E"/>
    <w:rsid w:val="00804E44"/>
    <w:rsid w:val="0080502C"/>
    <w:rsid w:val="0080530F"/>
    <w:rsid w:val="0080539B"/>
    <w:rsid w:val="0080542A"/>
    <w:rsid w:val="00806295"/>
    <w:rsid w:val="0080671D"/>
    <w:rsid w:val="00806AEA"/>
    <w:rsid w:val="00806E4B"/>
    <w:rsid w:val="00807803"/>
    <w:rsid w:val="008079D1"/>
    <w:rsid w:val="00807E4A"/>
    <w:rsid w:val="00807EF8"/>
    <w:rsid w:val="008106D9"/>
    <w:rsid w:val="008107F6"/>
    <w:rsid w:val="008108B1"/>
    <w:rsid w:val="00810BEC"/>
    <w:rsid w:val="00810D54"/>
    <w:rsid w:val="0081108C"/>
    <w:rsid w:val="00811562"/>
    <w:rsid w:val="00811625"/>
    <w:rsid w:val="008116A7"/>
    <w:rsid w:val="008118EE"/>
    <w:rsid w:val="00811C2B"/>
    <w:rsid w:val="00811FA9"/>
    <w:rsid w:val="0081255B"/>
    <w:rsid w:val="00812C1A"/>
    <w:rsid w:val="00812C59"/>
    <w:rsid w:val="00812D19"/>
    <w:rsid w:val="00812DEF"/>
    <w:rsid w:val="00813031"/>
    <w:rsid w:val="00813A1F"/>
    <w:rsid w:val="00813D98"/>
    <w:rsid w:val="00813E43"/>
    <w:rsid w:val="00813EB6"/>
    <w:rsid w:val="00813F63"/>
    <w:rsid w:val="00813FB9"/>
    <w:rsid w:val="008142E9"/>
    <w:rsid w:val="008149FC"/>
    <w:rsid w:val="00814C8A"/>
    <w:rsid w:val="00814DE9"/>
    <w:rsid w:val="008150CF"/>
    <w:rsid w:val="00815451"/>
    <w:rsid w:val="008154BA"/>
    <w:rsid w:val="00815CCF"/>
    <w:rsid w:val="008162CE"/>
    <w:rsid w:val="008165D0"/>
    <w:rsid w:val="008174D4"/>
    <w:rsid w:val="0081751E"/>
    <w:rsid w:val="008178B4"/>
    <w:rsid w:val="0081797D"/>
    <w:rsid w:val="008205C8"/>
    <w:rsid w:val="00820615"/>
    <w:rsid w:val="0082068E"/>
    <w:rsid w:val="008209C0"/>
    <w:rsid w:val="00820A40"/>
    <w:rsid w:val="00820E0B"/>
    <w:rsid w:val="00821522"/>
    <w:rsid w:val="00821863"/>
    <w:rsid w:val="00821B05"/>
    <w:rsid w:val="00821B6C"/>
    <w:rsid w:val="00821C2D"/>
    <w:rsid w:val="00821E95"/>
    <w:rsid w:val="008222E4"/>
    <w:rsid w:val="008226DD"/>
    <w:rsid w:val="00822FDC"/>
    <w:rsid w:val="008232D5"/>
    <w:rsid w:val="00824372"/>
    <w:rsid w:val="00824967"/>
    <w:rsid w:val="00824F80"/>
    <w:rsid w:val="0082507C"/>
    <w:rsid w:val="0082581E"/>
    <w:rsid w:val="0082588F"/>
    <w:rsid w:val="00825B19"/>
    <w:rsid w:val="00825DC1"/>
    <w:rsid w:val="00826060"/>
    <w:rsid w:val="008260F7"/>
    <w:rsid w:val="00826323"/>
    <w:rsid w:val="00826451"/>
    <w:rsid w:val="00826702"/>
    <w:rsid w:val="00826B09"/>
    <w:rsid w:val="00826B97"/>
    <w:rsid w:val="00826E17"/>
    <w:rsid w:val="00826F06"/>
    <w:rsid w:val="00827253"/>
    <w:rsid w:val="008275F8"/>
    <w:rsid w:val="00827757"/>
    <w:rsid w:val="00827854"/>
    <w:rsid w:val="008278B9"/>
    <w:rsid w:val="00827B0A"/>
    <w:rsid w:val="00827BD6"/>
    <w:rsid w:val="00827C28"/>
    <w:rsid w:val="00830256"/>
    <w:rsid w:val="00830298"/>
    <w:rsid w:val="008304C3"/>
    <w:rsid w:val="0083068F"/>
    <w:rsid w:val="00830882"/>
    <w:rsid w:val="00830971"/>
    <w:rsid w:val="00831011"/>
    <w:rsid w:val="00831200"/>
    <w:rsid w:val="00831208"/>
    <w:rsid w:val="008317F4"/>
    <w:rsid w:val="00831AEF"/>
    <w:rsid w:val="00831FA5"/>
    <w:rsid w:val="0083227B"/>
    <w:rsid w:val="008322FC"/>
    <w:rsid w:val="008328C6"/>
    <w:rsid w:val="00832987"/>
    <w:rsid w:val="00832CC4"/>
    <w:rsid w:val="00832D9C"/>
    <w:rsid w:val="00832E6F"/>
    <w:rsid w:val="0083323C"/>
    <w:rsid w:val="00833450"/>
    <w:rsid w:val="00833A2A"/>
    <w:rsid w:val="00833CFE"/>
    <w:rsid w:val="00833FA3"/>
    <w:rsid w:val="008342DE"/>
    <w:rsid w:val="00834869"/>
    <w:rsid w:val="00834A96"/>
    <w:rsid w:val="008350EF"/>
    <w:rsid w:val="0083595C"/>
    <w:rsid w:val="00835A4E"/>
    <w:rsid w:val="00835A6A"/>
    <w:rsid w:val="00835FDE"/>
    <w:rsid w:val="0083638A"/>
    <w:rsid w:val="0083669B"/>
    <w:rsid w:val="008366EC"/>
    <w:rsid w:val="00836ABC"/>
    <w:rsid w:val="00836EE4"/>
    <w:rsid w:val="00837781"/>
    <w:rsid w:val="00837C0B"/>
    <w:rsid w:val="00837C43"/>
    <w:rsid w:val="00841C79"/>
    <w:rsid w:val="00841E42"/>
    <w:rsid w:val="008425F3"/>
    <w:rsid w:val="008427B0"/>
    <w:rsid w:val="008428A6"/>
    <w:rsid w:val="00842AF1"/>
    <w:rsid w:val="00842C6B"/>
    <w:rsid w:val="00842CB5"/>
    <w:rsid w:val="00842FCC"/>
    <w:rsid w:val="0084303E"/>
    <w:rsid w:val="00843354"/>
    <w:rsid w:val="00843496"/>
    <w:rsid w:val="00843606"/>
    <w:rsid w:val="008444F0"/>
    <w:rsid w:val="0084470F"/>
    <w:rsid w:val="008448D8"/>
    <w:rsid w:val="00844980"/>
    <w:rsid w:val="00844A2A"/>
    <w:rsid w:val="00844A4F"/>
    <w:rsid w:val="0084515D"/>
    <w:rsid w:val="00845537"/>
    <w:rsid w:val="008455C5"/>
    <w:rsid w:val="00845672"/>
    <w:rsid w:val="00845708"/>
    <w:rsid w:val="0084583C"/>
    <w:rsid w:val="0084584D"/>
    <w:rsid w:val="008461D8"/>
    <w:rsid w:val="008463DC"/>
    <w:rsid w:val="00846514"/>
    <w:rsid w:val="00847302"/>
    <w:rsid w:val="00847841"/>
    <w:rsid w:val="00847EF1"/>
    <w:rsid w:val="008504AA"/>
    <w:rsid w:val="008508BF"/>
    <w:rsid w:val="00851089"/>
    <w:rsid w:val="008511AA"/>
    <w:rsid w:val="0085129A"/>
    <w:rsid w:val="00851317"/>
    <w:rsid w:val="008517FF"/>
    <w:rsid w:val="008518F5"/>
    <w:rsid w:val="00851BF4"/>
    <w:rsid w:val="00851FAF"/>
    <w:rsid w:val="00852295"/>
    <w:rsid w:val="0085229F"/>
    <w:rsid w:val="008524E9"/>
    <w:rsid w:val="00852614"/>
    <w:rsid w:val="008526AC"/>
    <w:rsid w:val="0085311E"/>
    <w:rsid w:val="0085374D"/>
    <w:rsid w:val="00853779"/>
    <w:rsid w:val="00853919"/>
    <w:rsid w:val="008542BB"/>
    <w:rsid w:val="008545B1"/>
    <w:rsid w:val="008548C0"/>
    <w:rsid w:val="00854B72"/>
    <w:rsid w:val="00854C98"/>
    <w:rsid w:val="00854D4E"/>
    <w:rsid w:val="00854E4D"/>
    <w:rsid w:val="00854F12"/>
    <w:rsid w:val="008550B5"/>
    <w:rsid w:val="0085541D"/>
    <w:rsid w:val="00855680"/>
    <w:rsid w:val="00855716"/>
    <w:rsid w:val="008557D9"/>
    <w:rsid w:val="00855B04"/>
    <w:rsid w:val="00855C61"/>
    <w:rsid w:val="00855D43"/>
    <w:rsid w:val="008560C3"/>
    <w:rsid w:val="0085633C"/>
    <w:rsid w:val="00856941"/>
    <w:rsid w:val="00856B3B"/>
    <w:rsid w:val="00856C76"/>
    <w:rsid w:val="00856F70"/>
    <w:rsid w:val="008571CE"/>
    <w:rsid w:val="008577C3"/>
    <w:rsid w:val="00857A3D"/>
    <w:rsid w:val="00860784"/>
    <w:rsid w:val="008609F8"/>
    <w:rsid w:val="00860C98"/>
    <w:rsid w:val="00861077"/>
    <w:rsid w:val="008611F4"/>
    <w:rsid w:val="008615E1"/>
    <w:rsid w:val="00861666"/>
    <w:rsid w:val="00861AD5"/>
    <w:rsid w:val="00861CB7"/>
    <w:rsid w:val="00861E7C"/>
    <w:rsid w:val="00861FC6"/>
    <w:rsid w:val="00862764"/>
    <w:rsid w:val="0086299E"/>
    <w:rsid w:val="00862A3D"/>
    <w:rsid w:val="00862D47"/>
    <w:rsid w:val="00862F53"/>
    <w:rsid w:val="0086343F"/>
    <w:rsid w:val="008639BF"/>
    <w:rsid w:val="00863BD1"/>
    <w:rsid w:val="008640B5"/>
    <w:rsid w:val="0086416D"/>
    <w:rsid w:val="008644C9"/>
    <w:rsid w:val="0086483C"/>
    <w:rsid w:val="00864FCA"/>
    <w:rsid w:val="008652D9"/>
    <w:rsid w:val="00865DF2"/>
    <w:rsid w:val="008661BA"/>
    <w:rsid w:val="008662E0"/>
    <w:rsid w:val="0086633B"/>
    <w:rsid w:val="008663FA"/>
    <w:rsid w:val="00866542"/>
    <w:rsid w:val="008665C3"/>
    <w:rsid w:val="00866795"/>
    <w:rsid w:val="008669ED"/>
    <w:rsid w:val="00866D43"/>
    <w:rsid w:val="00866DFA"/>
    <w:rsid w:val="00866E88"/>
    <w:rsid w:val="00866FB6"/>
    <w:rsid w:val="0086736B"/>
    <w:rsid w:val="00867A1B"/>
    <w:rsid w:val="00867B64"/>
    <w:rsid w:val="0087061B"/>
    <w:rsid w:val="008708FE"/>
    <w:rsid w:val="008712B5"/>
    <w:rsid w:val="008719C7"/>
    <w:rsid w:val="008719FA"/>
    <w:rsid w:val="00872A7E"/>
    <w:rsid w:val="00872B02"/>
    <w:rsid w:val="00872C68"/>
    <w:rsid w:val="00872D14"/>
    <w:rsid w:val="00872F4D"/>
    <w:rsid w:val="00873543"/>
    <w:rsid w:val="00873700"/>
    <w:rsid w:val="0087444A"/>
    <w:rsid w:val="00874C93"/>
    <w:rsid w:val="00875033"/>
    <w:rsid w:val="0087558E"/>
    <w:rsid w:val="00875818"/>
    <w:rsid w:val="00875A6F"/>
    <w:rsid w:val="00875DB9"/>
    <w:rsid w:val="0087629B"/>
    <w:rsid w:val="00876467"/>
    <w:rsid w:val="0087677E"/>
    <w:rsid w:val="008769E3"/>
    <w:rsid w:val="00876C41"/>
    <w:rsid w:val="00876C42"/>
    <w:rsid w:val="00876F45"/>
    <w:rsid w:val="0087734D"/>
    <w:rsid w:val="00877B61"/>
    <w:rsid w:val="0088050E"/>
    <w:rsid w:val="0088097E"/>
    <w:rsid w:val="008811B8"/>
    <w:rsid w:val="008818FB"/>
    <w:rsid w:val="0088191E"/>
    <w:rsid w:val="00881F13"/>
    <w:rsid w:val="00882266"/>
    <w:rsid w:val="008823E0"/>
    <w:rsid w:val="008824E9"/>
    <w:rsid w:val="00882604"/>
    <w:rsid w:val="0088282D"/>
    <w:rsid w:val="00882ADF"/>
    <w:rsid w:val="00882F5B"/>
    <w:rsid w:val="00882FB7"/>
    <w:rsid w:val="008837F8"/>
    <w:rsid w:val="00883870"/>
    <w:rsid w:val="0088388C"/>
    <w:rsid w:val="00883A72"/>
    <w:rsid w:val="008843F6"/>
    <w:rsid w:val="00884CE9"/>
    <w:rsid w:val="00885F35"/>
    <w:rsid w:val="00886262"/>
    <w:rsid w:val="00886498"/>
    <w:rsid w:val="008866FE"/>
    <w:rsid w:val="008869B1"/>
    <w:rsid w:val="00886BBD"/>
    <w:rsid w:val="00886D7F"/>
    <w:rsid w:val="0088703D"/>
    <w:rsid w:val="0088715C"/>
    <w:rsid w:val="008872C3"/>
    <w:rsid w:val="00887514"/>
    <w:rsid w:val="00887709"/>
    <w:rsid w:val="00887BD3"/>
    <w:rsid w:val="00887DD7"/>
    <w:rsid w:val="00890297"/>
    <w:rsid w:val="008908A3"/>
    <w:rsid w:val="00890C63"/>
    <w:rsid w:val="00890EF0"/>
    <w:rsid w:val="008910E2"/>
    <w:rsid w:val="0089125A"/>
    <w:rsid w:val="00891613"/>
    <w:rsid w:val="00891E34"/>
    <w:rsid w:val="00891F85"/>
    <w:rsid w:val="00891FBA"/>
    <w:rsid w:val="0089236C"/>
    <w:rsid w:val="00892521"/>
    <w:rsid w:val="008925E4"/>
    <w:rsid w:val="0089278A"/>
    <w:rsid w:val="00892B5C"/>
    <w:rsid w:val="00892F17"/>
    <w:rsid w:val="0089398A"/>
    <w:rsid w:val="0089404F"/>
    <w:rsid w:val="00895969"/>
    <w:rsid w:val="008959B8"/>
    <w:rsid w:val="0089632F"/>
    <w:rsid w:val="00896757"/>
    <w:rsid w:val="00896B34"/>
    <w:rsid w:val="0089714C"/>
    <w:rsid w:val="00897272"/>
    <w:rsid w:val="008972D5"/>
    <w:rsid w:val="00897491"/>
    <w:rsid w:val="008977A6"/>
    <w:rsid w:val="008A0AF7"/>
    <w:rsid w:val="008A15BC"/>
    <w:rsid w:val="008A15D7"/>
    <w:rsid w:val="008A18CF"/>
    <w:rsid w:val="008A1BA9"/>
    <w:rsid w:val="008A1ED3"/>
    <w:rsid w:val="008A2963"/>
    <w:rsid w:val="008A2A10"/>
    <w:rsid w:val="008A2D3D"/>
    <w:rsid w:val="008A3181"/>
    <w:rsid w:val="008A3450"/>
    <w:rsid w:val="008A36F8"/>
    <w:rsid w:val="008A38B8"/>
    <w:rsid w:val="008A461E"/>
    <w:rsid w:val="008A4BE7"/>
    <w:rsid w:val="008A4D98"/>
    <w:rsid w:val="008A5057"/>
    <w:rsid w:val="008A5124"/>
    <w:rsid w:val="008A52AF"/>
    <w:rsid w:val="008A5327"/>
    <w:rsid w:val="008A5445"/>
    <w:rsid w:val="008A5A07"/>
    <w:rsid w:val="008A5BE3"/>
    <w:rsid w:val="008A60AF"/>
    <w:rsid w:val="008A63F0"/>
    <w:rsid w:val="008A675E"/>
    <w:rsid w:val="008A6B27"/>
    <w:rsid w:val="008A6E3A"/>
    <w:rsid w:val="008A700D"/>
    <w:rsid w:val="008A7294"/>
    <w:rsid w:val="008A79F1"/>
    <w:rsid w:val="008A7F48"/>
    <w:rsid w:val="008B0262"/>
    <w:rsid w:val="008B0463"/>
    <w:rsid w:val="008B0539"/>
    <w:rsid w:val="008B072B"/>
    <w:rsid w:val="008B08C8"/>
    <w:rsid w:val="008B0A53"/>
    <w:rsid w:val="008B0AA5"/>
    <w:rsid w:val="008B1071"/>
    <w:rsid w:val="008B14F9"/>
    <w:rsid w:val="008B167E"/>
    <w:rsid w:val="008B1683"/>
    <w:rsid w:val="008B175A"/>
    <w:rsid w:val="008B1B47"/>
    <w:rsid w:val="008B1DA0"/>
    <w:rsid w:val="008B3865"/>
    <w:rsid w:val="008B38FA"/>
    <w:rsid w:val="008B41B8"/>
    <w:rsid w:val="008B43CB"/>
    <w:rsid w:val="008B47AE"/>
    <w:rsid w:val="008B493A"/>
    <w:rsid w:val="008B540B"/>
    <w:rsid w:val="008B549E"/>
    <w:rsid w:val="008B5512"/>
    <w:rsid w:val="008B5602"/>
    <w:rsid w:val="008B6B53"/>
    <w:rsid w:val="008B6DC5"/>
    <w:rsid w:val="008B6E0C"/>
    <w:rsid w:val="008B7298"/>
    <w:rsid w:val="008B7354"/>
    <w:rsid w:val="008B756A"/>
    <w:rsid w:val="008B7587"/>
    <w:rsid w:val="008B784F"/>
    <w:rsid w:val="008B78A3"/>
    <w:rsid w:val="008B7D1F"/>
    <w:rsid w:val="008C061C"/>
    <w:rsid w:val="008C0C89"/>
    <w:rsid w:val="008C0EC0"/>
    <w:rsid w:val="008C1375"/>
    <w:rsid w:val="008C1A9D"/>
    <w:rsid w:val="008C1B81"/>
    <w:rsid w:val="008C1F74"/>
    <w:rsid w:val="008C2305"/>
    <w:rsid w:val="008C24A2"/>
    <w:rsid w:val="008C24D7"/>
    <w:rsid w:val="008C2A5C"/>
    <w:rsid w:val="008C30AF"/>
    <w:rsid w:val="008C347F"/>
    <w:rsid w:val="008C3586"/>
    <w:rsid w:val="008C3C97"/>
    <w:rsid w:val="008C43AB"/>
    <w:rsid w:val="008C45B4"/>
    <w:rsid w:val="008C4ACA"/>
    <w:rsid w:val="008C4F73"/>
    <w:rsid w:val="008C5C43"/>
    <w:rsid w:val="008C65F5"/>
    <w:rsid w:val="008C6B50"/>
    <w:rsid w:val="008C6C76"/>
    <w:rsid w:val="008C6D1E"/>
    <w:rsid w:val="008C6D8D"/>
    <w:rsid w:val="008C6E24"/>
    <w:rsid w:val="008C6F84"/>
    <w:rsid w:val="008C73EC"/>
    <w:rsid w:val="008C780F"/>
    <w:rsid w:val="008C785A"/>
    <w:rsid w:val="008C78FA"/>
    <w:rsid w:val="008C7971"/>
    <w:rsid w:val="008C7C03"/>
    <w:rsid w:val="008C7DF3"/>
    <w:rsid w:val="008D03F4"/>
    <w:rsid w:val="008D0F48"/>
    <w:rsid w:val="008D15A2"/>
    <w:rsid w:val="008D1661"/>
    <w:rsid w:val="008D1E93"/>
    <w:rsid w:val="008D1F3A"/>
    <w:rsid w:val="008D2110"/>
    <w:rsid w:val="008D24F8"/>
    <w:rsid w:val="008D26D6"/>
    <w:rsid w:val="008D296E"/>
    <w:rsid w:val="008D2BC8"/>
    <w:rsid w:val="008D2E9B"/>
    <w:rsid w:val="008D3075"/>
    <w:rsid w:val="008D32D9"/>
    <w:rsid w:val="008D3615"/>
    <w:rsid w:val="008D38AF"/>
    <w:rsid w:val="008D3B3A"/>
    <w:rsid w:val="008D3B58"/>
    <w:rsid w:val="008D4024"/>
    <w:rsid w:val="008D403F"/>
    <w:rsid w:val="008D408F"/>
    <w:rsid w:val="008D41E4"/>
    <w:rsid w:val="008D41FF"/>
    <w:rsid w:val="008D42B3"/>
    <w:rsid w:val="008D4448"/>
    <w:rsid w:val="008D4572"/>
    <w:rsid w:val="008D4AA7"/>
    <w:rsid w:val="008D4AA8"/>
    <w:rsid w:val="008D4B71"/>
    <w:rsid w:val="008D5724"/>
    <w:rsid w:val="008D5DAD"/>
    <w:rsid w:val="008D6056"/>
    <w:rsid w:val="008D65DD"/>
    <w:rsid w:val="008D6641"/>
    <w:rsid w:val="008D674D"/>
    <w:rsid w:val="008D6D0F"/>
    <w:rsid w:val="008D6E4B"/>
    <w:rsid w:val="008D6F38"/>
    <w:rsid w:val="008D79A3"/>
    <w:rsid w:val="008D7AD2"/>
    <w:rsid w:val="008D7CC5"/>
    <w:rsid w:val="008D7CFB"/>
    <w:rsid w:val="008D7D71"/>
    <w:rsid w:val="008E0907"/>
    <w:rsid w:val="008E0922"/>
    <w:rsid w:val="008E0E81"/>
    <w:rsid w:val="008E0FC5"/>
    <w:rsid w:val="008E13D9"/>
    <w:rsid w:val="008E1591"/>
    <w:rsid w:val="008E1AEE"/>
    <w:rsid w:val="008E1FAF"/>
    <w:rsid w:val="008E1FD5"/>
    <w:rsid w:val="008E202A"/>
    <w:rsid w:val="008E20AC"/>
    <w:rsid w:val="008E240C"/>
    <w:rsid w:val="008E24BF"/>
    <w:rsid w:val="008E27FD"/>
    <w:rsid w:val="008E2834"/>
    <w:rsid w:val="008E29C2"/>
    <w:rsid w:val="008E2E19"/>
    <w:rsid w:val="008E3320"/>
    <w:rsid w:val="008E34B3"/>
    <w:rsid w:val="008E36B1"/>
    <w:rsid w:val="008E380D"/>
    <w:rsid w:val="008E3B69"/>
    <w:rsid w:val="008E3D89"/>
    <w:rsid w:val="008E42BF"/>
    <w:rsid w:val="008E4481"/>
    <w:rsid w:val="008E4911"/>
    <w:rsid w:val="008E4D8C"/>
    <w:rsid w:val="008E528A"/>
    <w:rsid w:val="008E539E"/>
    <w:rsid w:val="008E55A2"/>
    <w:rsid w:val="008E5685"/>
    <w:rsid w:val="008E636C"/>
    <w:rsid w:val="008E6370"/>
    <w:rsid w:val="008E6609"/>
    <w:rsid w:val="008E682E"/>
    <w:rsid w:val="008E6B4F"/>
    <w:rsid w:val="008E6E61"/>
    <w:rsid w:val="008E72AB"/>
    <w:rsid w:val="008E7389"/>
    <w:rsid w:val="008F059D"/>
    <w:rsid w:val="008F0E5D"/>
    <w:rsid w:val="008F0F3A"/>
    <w:rsid w:val="008F1312"/>
    <w:rsid w:val="008F13B9"/>
    <w:rsid w:val="008F1B14"/>
    <w:rsid w:val="008F1DCD"/>
    <w:rsid w:val="008F1EFD"/>
    <w:rsid w:val="008F268E"/>
    <w:rsid w:val="008F28F0"/>
    <w:rsid w:val="008F3229"/>
    <w:rsid w:val="008F3910"/>
    <w:rsid w:val="008F3975"/>
    <w:rsid w:val="008F3E11"/>
    <w:rsid w:val="008F40A8"/>
    <w:rsid w:val="008F4268"/>
    <w:rsid w:val="008F4476"/>
    <w:rsid w:val="008F4689"/>
    <w:rsid w:val="008F4D49"/>
    <w:rsid w:val="008F557C"/>
    <w:rsid w:val="008F65B5"/>
    <w:rsid w:val="008F6628"/>
    <w:rsid w:val="008F6C59"/>
    <w:rsid w:val="008F6C6D"/>
    <w:rsid w:val="008F6D0F"/>
    <w:rsid w:val="008F6E78"/>
    <w:rsid w:val="008F6EBA"/>
    <w:rsid w:val="008F7128"/>
    <w:rsid w:val="008F7693"/>
    <w:rsid w:val="008F7B06"/>
    <w:rsid w:val="008F7D4B"/>
    <w:rsid w:val="009004E4"/>
    <w:rsid w:val="009013CD"/>
    <w:rsid w:val="009014A2"/>
    <w:rsid w:val="009014C0"/>
    <w:rsid w:val="00901CE7"/>
    <w:rsid w:val="00901F92"/>
    <w:rsid w:val="00902D80"/>
    <w:rsid w:val="00902F40"/>
    <w:rsid w:val="00903365"/>
    <w:rsid w:val="00903606"/>
    <w:rsid w:val="00903986"/>
    <w:rsid w:val="00903A39"/>
    <w:rsid w:val="00903FD4"/>
    <w:rsid w:val="00904355"/>
    <w:rsid w:val="00904565"/>
    <w:rsid w:val="00904653"/>
    <w:rsid w:val="009049BE"/>
    <w:rsid w:val="00904AE4"/>
    <w:rsid w:val="00904F9B"/>
    <w:rsid w:val="00905080"/>
    <w:rsid w:val="0090592F"/>
    <w:rsid w:val="009059E7"/>
    <w:rsid w:val="00905C42"/>
    <w:rsid w:val="00905D50"/>
    <w:rsid w:val="00906163"/>
    <w:rsid w:val="00906253"/>
    <w:rsid w:val="00906276"/>
    <w:rsid w:val="00906CB6"/>
    <w:rsid w:val="00906E83"/>
    <w:rsid w:val="009075E0"/>
    <w:rsid w:val="0090764D"/>
    <w:rsid w:val="009076D8"/>
    <w:rsid w:val="009078B2"/>
    <w:rsid w:val="009079A7"/>
    <w:rsid w:val="00907BE8"/>
    <w:rsid w:val="00907C21"/>
    <w:rsid w:val="00907D13"/>
    <w:rsid w:val="00907F62"/>
    <w:rsid w:val="00910938"/>
    <w:rsid w:val="00910940"/>
    <w:rsid w:val="00910A01"/>
    <w:rsid w:val="009114D8"/>
    <w:rsid w:val="009114E8"/>
    <w:rsid w:val="009115AF"/>
    <w:rsid w:val="00911643"/>
    <w:rsid w:val="00911738"/>
    <w:rsid w:val="00911807"/>
    <w:rsid w:val="00911AE4"/>
    <w:rsid w:val="00911EFC"/>
    <w:rsid w:val="009120D3"/>
    <w:rsid w:val="00912343"/>
    <w:rsid w:val="009131CD"/>
    <w:rsid w:val="00913574"/>
    <w:rsid w:val="00913749"/>
    <w:rsid w:val="00913ABC"/>
    <w:rsid w:val="00913FFB"/>
    <w:rsid w:val="009140C8"/>
    <w:rsid w:val="009143D5"/>
    <w:rsid w:val="00915293"/>
    <w:rsid w:val="00915306"/>
    <w:rsid w:val="00915598"/>
    <w:rsid w:val="009155F2"/>
    <w:rsid w:val="00915AE6"/>
    <w:rsid w:val="00915F56"/>
    <w:rsid w:val="0091633F"/>
    <w:rsid w:val="009165F5"/>
    <w:rsid w:val="00916696"/>
    <w:rsid w:val="0091694F"/>
    <w:rsid w:val="00916B4B"/>
    <w:rsid w:val="00916B9D"/>
    <w:rsid w:val="00916CAD"/>
    <w:rsid w:val="00916FED"/>
    <w:rsid w:val="00917AC4"/>
    <w:rsid w:val="00917B3A"/>
    <w:rsid w:val="00917BA7"/>
    <w:rsid w:val="00917D8A"/>
    <w:rsid w:val="00917F69"/>
    <w:rsid w:val="009202EF"/>
    <w:rsid w:val="009203E9"/>
    <w:rsid w:val="009206DF"/>
    <w:rsid w:val="00920A64"/>
    <w:rsid w:val="00920C19"/>
    <w:rsid w:val="00920D7B"/>
    <w:rsid w:val="009210A6"/>
    <w:rsid w:val="00921414"/>
    <w:rsid w:val="0092162E"/>
    <w:rsid w:val="009217F3"/>
    <w:rsid w:val="00921FA1"/>
    <w:rsid w:val="00922B3D"/>
    <w:rsid w:val="00922CB5"/>
    <w:rsid w:val="00922D1F"/>
    <w:rsid w:val="00922D39"/>
    <w:rsid w:val="00922FFA"/>
    <w:rsid w:val="0092305A"/>
    <w:rsid w:val="00923380"/>
    <w:rsid w:val="00923670"/>
    <w:rsid w:val="009247D8"/>
    <w:rsid w:val="009248BE"/>
    <w:rsid w:val="00924B57"/>
    <w:rsid w:val="00924C21"/>
    <w:rsid w:val="00924F53"/>
    <w:rsid w:val="00925D9B"/>
    <w:rsid w:val="00925F6B"/>
    <w:rsid w:val="00925FF5"/>
    <w:rsid w:val="0092626D"/>
    <w:rsid w:val="00926290"/>
    <w:rsid w:val="00926553"/>
    <w:rsid w:val="00926B89"/>
    <w:rsid w:val="0092703D"/>
    <w:rsid w:val="009273C6"/>
    <w:rsid w:val="009275C3"/>
    <w:rsid w:val="00927663"/>
    <w:rsid w:val="00927807"/>
    <w:rsid w:val="00927B05"/>
    <w:rsid w:val="00927B23"/>
    <w:rsid w:val="00927DA8"/>
    <w:rsid w:val="009300B2"/>
    <w:rsid w:val="009302A4"/>
    <w:rsid w:val="00930712"/>
    <w:rsid w:val="009310E4"/>
    <w:rsid w:val="0093137A"/>
    <w:rsid w:val="0093175F"/>
    <w:rsid w:val="009321CA"/>
    <w:rsid w:val="009321E8"/>
    <w:rsid w:val="00932721"/>
    <w:rsid w:val="009328DA"/>
    <w:rsid w:val="00932BDF"/>
    <w:rsid w:val="00932BF6"/>
    <w:rsid w:val="00932D97"/>
    <w:rsid w:val="00933026"/>
    <w:rsid w:val="009333A5"/>
    <w:rsid w:val="009333F4"/>
    <w:rsid w:val="009335EB"/>
    <w:rsid w:val="00933875"/>
    <w:rsid w:val="00934015"/>
    <w:rsid w:val="009340F1"/>
    <w:rsid w:val="00934BC4"/>
    <w:rsid w:val="00934DFC"/>
    <w:rsid w:val="00934EC1"/>
    <w:rsid w:val="0093554D"/>
    <w:rsid w:val="0093578E"/>
    <w:rsid w:val="0093655A"/>
    <w:rsid w:val="0093658E"/>
    <w:rsid w:val="009365B7"/>
    <w:rsid w:val="009367F1"/>
    <w:rsid w:val="009369A3"/>
    <w:rsid w:val="00936CFE"/>
    <w:rsid w:val="009370BC"/>
    <w:rsid w:val="00937300"/>
    <w:rsid w:val="009376AE"/>
    <w:rsid w:val="00937778"/>
    <w:rsid w:val="0093777F"/>
    <w:rsid w:val="0093785D"/>
    <w:rsid w:val="00937A13"/>
    <w:rsid w:val="00937A82"/>
    <w:rsid w:val="00937AF0"/>
    <w:rsid w:val="00937D85"/>
    <w:rsid w:val="00940005"/>
    <w:rsid w:val="0094012F"/>
    <w:rsid w:val="00940328"/>
    <w:rsid w:val="0094076B"/>
    <w:rsid w:val="009408BD"/>
    <w:rsid w:val="00940AC9"/>
    <w:rsid w:val="00940C16"/>
    <w:rsid w:val="00940FF6"/>
    <w:rsid w:val="00941266"/>
    <w:rsid w:val="00941350"/>
    <w:rsid w:val="00941616"/>
    <w:rsid w:val="00941D0D"/>
    <w:rsid w:val="00942155"/>
    <w:rsid w:val="00942EAD"/>
    <w:rsid w:val="0094366C"/>
    <w:rsid w:val="00943962"/>
    <w:rsid w:val="00943E02"/>
    <w:rsid w:val="009440A5"/>
    <w:rsid w:val="0094419C"/>
    <w:rsid w:val="0094434A"/>
    <w:rsid w:val="0094486E"/>
    <w:rsid w:val="00944AFB"/>
    <w:rsid w:val="00944D45"/>
    <w:rsid w:val="00945199"/>
    <w:rsid w:val="009453AC"/>
    <w:rsid w:val="009456C1"/>
    <w:rsid w:val="00945AF5"/>
    <w:rsid w:val="00945D58"/>
    <w:rsid w:val="00945E2F"/>
    <w:rsid w:val="009462D0"/>
    <w:rsid w:val="0094633E"/>
    <w:rsid w:val="009463DD"/>
    <w:rsid w:val="00946EA7"/>
    <w:rsid w:val="00947229"/>
    <w:rsid w:val="00947D5F"/>
    <w:rsid w:val="009500EC"/>
    <w:rsid w:val="0095018D"/>
    <w:rsid w:val="009505EB"/>
    <w:rsid w:val="0095080B"/>
    <w:rsid w:val="00950947"/>
    <w:rsid w:val="009510E4"/>
    <w:rsid w:val="00951122"/>
    <w:rsid w:val="0095123F"/>
    <w:rsid w:val="009515B8"/>
    <w:rsid w:val="00951DA9"/>
    <w:rsid w:val="0095217F"/>
    <w:rsid w:val="009521A8"/>
    <w:rsid w:val="0095247C"/>
    <w:rsid w:val="00952927"/>
    <w:rsid w:val="00952D24"/>
    <w:rsid w:val="00952DF2"/>
    <w:rsid w:val="00952EBE"/>
    <w:rsid w:val="00953275"/>
    <w:rsid w:val="009546E2"/>
    <w:rsid w:val="00954B8B"/>
    <w:rsid w:val="00954C2D"/>
    <w:rsid w:val="0095522B"/>
    <w:rsid w:val="00955372"/>
    <w:rsid w:val="009553B5"/>
    <w:rsid w:val="009554C7"/>
    <w:rsid w:val="0095599E"/>
    <w:rsid w:val="00955A59"/>
    <w:rsid w:val="00955C9D"/>
    <w:rsid w:val="00955F85"/>
    <w:rsid w:val="00956315"/>
    <w:rsid w:val="00956440"/>
    <w:rsid w:val="009566AD"/>
    <w:rsid w:val="00956D01"/>
    <w:rsid w:val="0095750E"/>
    <w:rsid w:val="009576F8"/>
    <w:rsid w:val="00957B11"/>
    <w:rsid w:val="00957B3D"/>
    <w:rsid w:val="00957CBC"/>
    <w:rsid w:val="00960015"/>
    <w:rsid w:val="0096013D"/>
    <w:rsid w:val="009601F6"/>
    <w:rsid w:val="00960B4B"/>
    <w:rsid w:val="00960D5E"/>
    <w:rsid w:val="00960E28"/>
    <w:rsid w:val="009616C0"/>
    <w:rsid w:val="00961909"/>
    <w:rsid w:val="009629FE"/>
    <w:rsid w:val="00962B7D"/>
    <w:rsid w:val="0096303A"/>
    <w:rsid w:val="00963852"/>
    <w:rsid w:val="00963AEE"/>
    <w:rsid w:val="0096500D"/>
    <w:rsid w:val="009652B1"/>
    <w:rsid w:val="00965539"/>
    <w:rsid w:val="0096584C"/>
    <w:rsid w:val="00965ACB"/>
    <w:rsid w:val="00965E7F"/>
    <w:rsid w:val="00966027"/>
    <w:rsid w:val="00966EBB"/>
    <w:rsid w:val="009674BC"/>
    <w:rsid w:val="00967819"/>
    <w:rsid w:val="00967C3D"/>
    <w:rsid w:val="00970698"/>
    <w:rsid w:val="00970C57"/>
    <w:rsid w:val="00970D22"/>
    <w:rsid w:val="00971079"/>
    <w:rsid w:val="00971263"/>
    <w:rsid w:val="009713CB"/>
    <w:rsid w:val="00971413"/>
    <w:rsid w:val="009714B4"/>
    <w:rsid w:val="0097175E"/>
    <w:rsid w:val="00971799"/>
    <w:rsid w:val="009718BF"/>
    <w:rsid w:val="0097219B"/>
    <w:rsid w:val="00972473"/>
    <w:rsid w:val="0097250A"/>
    <w:rsid w:val="00972EFD"/>
    <w:rsid w:val="009731F1"/>
    <w:rsid w:val="00973504"/>
    <w:rsid w:val="00973B83"/>
    <w:rsid w:val="00973DF8"/>
    <w:rsid w:val="0097409F"/>
    <w:rsid w:val="009742FC"/>
    <w:rsid w:val="0097444D"/>
    <w:rsid w:val="0097485A"/>
    <w:rsid w:val="00974A42"/>
    <w:rsid w:val="00974B2E"/>
    <w:rsid w:val="00974CEC"/>
    <w:rsid w:val="0097518F"/>
    <w:rsid w:val="009754DF"/>
    <w:rsid w:val="00975BE9"/>
    <w:rsid w:val="009767D6"/>
    <w:rsid w:val="009769B2"/>
    <w:rsid w:val="00976CBF"/>
    <w:rsid w:val="00977206"/>
    <w:rsid w:val="009777DA"/>
    <w:rsid w:val="00980489"/>
    <w:rsid w:val="009806D0"/>
    <w:rsid w:val="009808B8"/>
    <w:rsid w:val="00980E22"/>
    <w:rsid w:val="00980E31"/>
    <w:rsid w:val="00980EAA"/>
    <w:rsid w:val="00980F8C"/>
    <w:rsid w:val="009813AA"/>
    <w:rsid w:val="0098152F"/>
    <w:rsid w:val="009816E7"/>
    <w:rsid w:val="009817FE"/>
    <w:rsid w:val="00981A28"/>
    <w:rsid w:val="00981CF9"/>
    <w:rsid w:val="009824B7"/>
    <w:rsid w:val="00982DFA"/>
    <w:rsid w:val="00982E22"/>
    <w:rsid w:val="009833F7"/>
    <w:rsid w:val="00984235"/>
    <w:rsid w:val="0098463E"/>
    <w:rsid w:val="00984D69"/>
    <w:rsid w:val="009855A7"/>
    <w:rsid w:val="0098592D"/>
    <w:rsid w:val="00985B15"/>
    <w:rsid w:val="00985E4E"/>
    <w:rsid w:val="009861DA"/>
    <w:rsid w:val="00986581"/>
    <w:rsid w:val="00986F4C"/>
    <w:rsid w:val="00987000"/>
    <w:rsid w:val="00987E05"/>
    <w:rsid w:val="0099023F"/>
    <w:rsid w:val="00990260"/>
    <w:rsid w:val="009908B6"/>
    <w:rsid w:val="009908E6"/>
    <w:rsid w:val="00990BA9"/>
    <w:rsid w:val="00991010"/>
    <w:rsid w:val="00991812"/>
    <w:rsid w:val="00991CD9"/>
    <w:rsid w:val="00991DA1"/>
    <w:rsid w:val="00991DCD"/>
    <w:rsid w:val="00992049"/>
    <w:rsid w:val="00992125"/>
    <w:rsid w:val="009922E4"/>
    <w:rsid w:val="00992688"/>
    <w:rsid w:val="00992787"/>
    <w:rsid w:val="0099285B"/>
    <w:rsid w:val="009929DD"/>
    <w:rsid w:val="00992CCC"/>
    <w:rsid w:val="00992D48"/>
    <w:rsid w:val="00992E6C"/>
    <w:rsid w:val="0099386A"/>
    <w:rsid w:val="00993B55"/>
    <w:rsid w:val="00993BE1"/>
    <w:rsid w:val="00993C94"/>
    <w:rsid w:val="00993D3E"/>
    <w:rsid w:val="00993D6F"/>
    <w:rsid w:val="00993DF7"/>
    <w:rsid w:val="009940DD"/>
    <w:rsid w:val="00994514"/>
    <w:rsid w:val="0099480C"/>
    <w:rsid w:val="00994FD6"/>
    <w:rsid w:val="0099503C"/>
    <w:rsid w:val="00995180"/>
    <w:rsid w:val="00995245"/>
    <w:rsid w:val="009955DC"/>
    <w:rsid w:val="009959D9"/>
    <w:rsid w:val="00995B0E"/>
    <w:rsid w:val="00995D75"/>
    <w:rsid w:val="00995EFC"/>
    <w:rsid w:val="00995F08"/>
    <w:rsid w:val="00995FEF"/>
    <w:rsid w:val="00996598"/>
    <w:rsid w:val="00996732"/>
    <w:rsid w:val="00996B72"/>
    <w:rsid w:val="00996C37"/>
    <w:rsid w:val="00996F1F"/>
    <w:rsid w:val="009973A1"/>
    <w:rsid w:val="00997B17"/>
    <w:rsid w:val="00997BF0"/>
    <w:rsid w:val="00997F67"/>
    <w:rsid w:val="009A006A"/>
    <w:rsid w:val="009A00D8"/>
    <w:rsid w:val="009A0AAC"/>
    <w:rsid w:val="009A0B66"/>
    <w:rsid w:val="009A0E85"/>
    <w:rsid w:val="009A0EB9"/>
    <w:rsid w:val="009A1015"/>
    <w:rsid w:val="009A11B8"/>
    <w:rsid w:val="009A1483"/>
    <w:rsid w:val="009A1588"/>
    <w:rsid w:val="009A1900"/>
    <w:rsid w:val="009A1F93"/>
    <w:rsid w:val="009A2135"/>
    <w:rsid w:val="009A28BE"/>
    <w:rsid w:val="009A2907"/>
    <w:rsid w:val="009A2C5C"/>
    <w:rsid w:val="009A2D1A"/>
    <w:rsid w:val="009A349F"/>
    <w:rsid w:val="009A34A8"/>
    <w:rsid w:val="009A3701"/>
    <w:rsid w:val="009A3848"/>
    <w:rsid w:val="009A39A9"/>
    <w:rsid w:val="009A3AAD"/>
    <w:rsid w:val="009A40B1"/>
    <w:rsid w:val="009A4130"/>
    <w:rsid w:val="009A4399"/>
    <w:rsid w:val="009A4492"/>
    <w:rsid w:val="009A44BE"/>
    <w:rsid w:val="009A4752"/>
    <w:rsid w:val="009A4C9C"/>
    <w:rsid w:val="009A4D59"/>
    <w:rsid w:val="009A5131"/>
    <w:rsid w:val="009A55F6"/>
    <w:rsid w:val="009A5B2A"/>
    <w:rsid w:val="009A615B"/>
    <w:rsid w:val="009A6389"/>
    <w:rsid w:val="009A676B"/>
    <w:rsid w:val="009A6804"/>
    <w:rsid w:val="009A69E8"/>
    <w:rsid w:val="009A6C48"/>
    <w:rsid w:val="009A734A"/>
    <w:rsid w:val="009A74F5"/>
    <w:rsid w:val="009A75B0"/>
    <w:rsid w:val="009A769B"/>
    <w:rsid w:val="009A7807"/>
    <w:rsid w:val="009A7AB2"/>
    <w:rsid w:val="009A7DC3"/>
    <w:rsid w:val="009B05FF"/>
    <w:rsid w:val="009B0D37"/>
    <w:rsid w:val="009B0FF8"/>
    <w:rsid w:val="009B1011"/>
    <w:rsid w:val="009B11C9"/>
    <w:rsid w:val="009B13FA"/>
    <w:rsid w:val="009B1625"/>
    <w:rsid w:val="009B1BF0"/>
    <w:rsid w:val="009B1DEE"/>
    <w:rsid w:val="009B2183"/>
    <w:rsid w:val="009B267E"/>
    <w:rsid w:val="009B2743"/>
    <w:rsid w:val="009B2744"/>
    <w:rsid w:val="009B295B"/>
    <w:rsid w:val="009B2B80"/>
    <w:rsid w:val="009B2D9C"/>
    <w:rsid w:val="009B353C"/>
    <w:rsid w:val="009B3893"/>
    <w:rsid w:val="009B39A3"/>
    <w:rsid w:val="009B43CD"/>
    <w:rsid w:val="009B465E"/>
    <w:rsid w:val="009B4E9C"/>
    <w:rsid w:val="009B50B7"/>
    <w:rsid w:val="009B5EBB"/>
    <w:rsid w:val="009B6BE5"/>
    <w:rsid w:val="009B7053"/>
    <w:rsid w:val="009B7FF6"/>
    <w:rsid w:val="009C0073"/>
    <w:rsid w:val="009C0AB6"/>
    <w:rsid w:val="009C1269"/>
    <w:rsid w:val="009C12AB"/>
    <w:rsid w:val="009C12F7"/>
    <w:rsid w:val="009C1473"/>
    <w:rsid w:val="009C1802"/>
    <w:rsid w:val="009C184C"/>
    <w:rsid w:val="009C1B21"/>
    <w:rsid w:val="009C23E6"/>
    <w:rsid w:val="009C24D5"/>
    <w:rsid w:val="009C3250"/>
    <w:rsid w:val="009C34CB"/>
    <w:rsid w:val="009C392F"/>
    <w:rsid w:val="009C39B8"/>
    <w:rsid w:val="009C3C83"/>
    <w:rsid w:val="009C3E99"/>
    <w:rsid w:val="009C4700"/>
    <w:rsid w:val="009C49AE"/>
    <w:rsid w:val="009C49BB"/>
    <w:rsid w:val="009C5645"/>
    <w:rsid w:val="009C567A"/>
    <w:rsid w:val="009C56D5"/>
    <w:rsid w:val="009C5B94"/>
    <w:rsid w:val="009C5C05"/>
    <w:rsid w:val="009C5D28"/>
    <w:rsid w:val="009C5E3F"/>
    <w:rsid w:val="009C61F7"/>
    <w:rsid w:val="009C658E"/>
    <w:rsid w:val="009C6620"/>
    <w:rsid w:val="009C6A43"/>
    <w:rsid w:val="009C6B39"/>
    <w:rsid w:val="009C6F71"/>
    <w:rsid w:val="009C719C"/>
    <w:rsid w:val="009C71B3"/>
    <w:rsid w:val="009C757F"/>
    <w:rsid w:val="009C76A6"/>
    <w:rsid w:val="009C7856"/>
    <w:rsid w:val="009C7BB7"/>
    <w:rsid w:val="009C7BDD"/>
    <w:rsid w:val="009C7D54"/>
    <w:rsid w:val="009C7F5A"/>
    <w:rsid w:val="009D0EFD"/>
    <w:rsid w:val="009D11F3"/>
    <w:rsid w:val="009D1438"/>
    <w:rsid w:val="009D15A7"/>
    <w:rsid w:val="009D16DE"/>
    <w:rsid w:val="009D1762"/>
    <w:rsid w:val="009D1D59"/>
    <w:rsid w:val="009D1DEE"/>
    <w:rsid w:val="009D1E33"/>
    <w:rsid w:val="009D2CD0"/>
    <w:rsid w:val="009D3663"/>
    <w:rsid w:val="009D3B49"/>
    <w:rsid w:val="009D3BD9"/>
    <w:rsid w:val="009D3DBB"/>
    <w:rsid w:val="009D3F65"/>
    <w:rsid w:val="009D5061"/>
    <w:rsid w:val="009D5306"/>
    <w:rsid w:val="009D55E7"/>
    <w:rsid w:val="009D5801"/>
    <w:rsid w:val="009D5C97"/>
    <w:rsid w:val="009D5CEC"/>
    <w:rsid w:val="009D5D61"/>
    <w:rsid w:val="009D6094"/>
    <w:rsid w:val="009D60CE"/>
    <w:rsid w:val="009D6162"/>
    <w:rsid w:val="009D646E"/>
    <w:rsid w:val="009D6BB2"/>
    <w:rsid w:val="009D6D4E"/>
    <w:rsid w:val="009D7472"/>
    <w:rsid w:val="009E0146"/>
    <w:rsid w:val="009E0511"/>
    <w:rsid w:val="009E0604"/>
    <w:rsid w:val="009E064C"/>
    <w:rsid w:val="009E0B4F"/>
    <w:rsid w:val="009E0FEF"/>
    <w:rsid w:val="009E11B7"/>
    <w:rsid w:val="009E1790"/>
    <w:rsid w:val="009E19E5"/>
    <w:rsid w:val="009E1D20"/>
    <w:rsid w:val="009E218B"/>
    <w:rsid w:val="009E2497"/>
    <w:rsid w:val="009E2F20"/>
    <w:rsid w:val="009E305D"/>
    <w:rsid w:val="009E33F1"/>
    <w:rsid w:val="009E3892"/>
    <w:rsid w:val="009E40AA"/>
    <w:rsid w:val="009E4458"/>
    <w:rsid w:val="009E4488"/>
    <w:rsid w:val="009E450E"/>
    <w:rsid w:val="009E4554"/>
    <w:rsid w:val="009E4C10"/>
    <w:rsid w:val="009E5107"/>
    <w:rsid w:val="009E5756"/>
    <w:rsid w:val="009E57B7"/>
    <w:rsid w:val="009E66A5"/>
    <w:rsid w:val="009E6E97"/>
    <w:rsid w:val="009E6F5A"/>
    <w:rsid w:val="009E7D84"/>
    <w:rsid w:val="009F0341"/>
    <w:rsid w:val="009F111E"/>
    <w:rsid w:val="009F118E"/>
    <w:rsid w:val="009F1C2E"/>
    <w:rsid w:val="009F1C4C"/>
    <w:rsid w:val="009F1E0E"/>
    <w:rsid w:val="009F225B"/>
    <w:rsid w:val="009F22F5"/>
    <w:rsid w:val="009F2363"/>
    <w:rsid w:val="009F242C"/>
    <w:rsid w:val="009F275B"/>
    <w:rsid w:val="009F2EB2"/>
    <w:rsid w:val="009F2F8B"/>
    <w:rsid w:val="009F3081"/>
    <w:rsid w:val="009F3173"/>
    <w:rsid w:val="009F3C24"/>
    <w:rsid w:val="009F4435"/>
    <w:rsid w:val="009F44A8"/>
    <w:rsid w:val="009F4A60"/>
    <w:rsid w:val="009F4B27"/>
    <w:rsid w:val="009F4DC1"/>
    <w:rsid w:val="009F4DFC"/>
    <w:rsid w:val="009F51A8"/>
    <w:rsid w:val="009F5238"/>
    <w:rsid w:val="009F57F1"/>
    <w:rsid w:val="009F586F"/>
    <w:rsid w:val="009F5C0B"/>
    <w:rsid w:val="009F6217"/>
    <w:rsid w:val="009F6BF8"/>
    <w:rsid w:val="009F6E74"/>
    <w:rsid w:val="009F73D0"/>
    <w:rsid w:val="009F7FF9"/>
    <w:rsid w:val="00A001DD"/>
    <w:rsid w:val="00A0024D"/>
    <w:rsid w:val="00A00277"/>
    <w:rsid w:val="00A00F46"/>
    <w:rsid w:val="00A01421"/>
    <w:rsid w:val="00A01B1B"/>
    <w:rsid w:val="00A01F23"/>
    <w:rsid w:val="00A02136"/>
    <w:rsid w:val="00A02B62"/>
    <w:rsid w:val="00A02C06"/>
    <w:rsid w:val="00A03165"/>
    <w:rsid w:val="00A031C7"/>
    <w:rsid w:val="00A0335B"/>
    <w:rsid w:val="00A035F4"/>
    <w:rsid w:val="00A036F2"/>
    <w:rsid w:val="00A03783"/>
    <w:rsid w:val="00A03F10"/>
    <w:rsid w:val="00A03FA7"/>
    <w:rsid w:val="00A043FA"/>
    <w:rsid w:val="00A0466A"/>
    <w:rsid w:val="00A04729"/>
    <w:rsid w:val="00A063B3"/>
    <w:rsid w:val="00A06810"/>
    <w:rsid w:val="00A06921"/>
    <w:rsid w:val="00A07005"/>
    <w:rsid w:val="00A07504"/>
    <w:rsid w:val="00A07FF2"/>
    <w:rsid w:val="00A100AE"/>
    <w:rsid w:val="00A10445"/>
    <w:rsid w:val="00A10579"/>
    <w:rsid w:val="00A11023"/>
    <w:rsid w:val="00A117BA"/>
    <w:rsid w:val="00A1185A"/>
    <w:rsid w:val="00A1206D"/>
    <w:rsid w:val="00A122A4"/>
    <w:rsid w:val="00A1291E"/>
    <w:rsid w:val="00A12A8F"/>
    <w:rsid w:val="00A12D44"/>
    <w:rsid w:val="00A12DA9"/>
    <w:rsid w:val="00A12FB2"/>
    <w:rsid w:val="00A13267"/>
    <w:rsid w:val="00A13353"/>
    <w:rsid w:val="00A13731"/>
    <w:rsid w:val="00A1388F"/>
    <w:rsid w:val="00A13C03"/>
    <w:rsid w:val="00A13DB3"/>
    <w:rsid w:val="00A13DB5"/>
    <w:rsid w:val="00A14B16"/>
    <w:rsid w:val="00A14D0A"/>
    <w:rsid w:val="00A150A9"/>
    <w:rsid w:val="00A154D2"/>
    <w:rsid w:val="00A15A82"/>
    <w:rsid w:val="00A15D57"/>
    <w:rsid w:val="00A15EFA"/>
    <w:rsid w:val="00A162BA"/>
    <w:rsid w:val="00A16613"/>
    <w:rsid w:val="00A16D15"/>
    <w:rsid w:val="00A16EDF"/>
    <w:rsid w:val="00A16F97"/>
    <w:rsid w:val="00A16FD5"/>
    <w:rsid w:val="00A17015"/>
    <w:rsid w:val="00A1745B"/>
    <w:rsid w:val="00A2001D"/>
    <w:rsid w:val="00A20030"/>
    <w:rsid w:val="00A20122"/>
    <w:rsid w:val="00A2039F"/>
    <w:rsid w:val="00A20630"/>
    <w:rsid w:val="00A20799"/>
    <w:rsid w:val="00A20A6C"/>
    <w:rsid w:val="00A21136"/>
    <w:rsid w:val="00A2137C"/>
    <w:rsid w:val="00A21550"/>
    <w:rsid w:val="00A218C9"/>
    <w:rsid w:val="00A21C38"/>
    <w:rsid w:val="00A21E6E"/>
    <w:rsid w:val="00A22124"/>
    <w:rsid w:val="00A226B6"/>
    <w:rsid w:val="00A22AA8"/>
    <w:rsid w:val="00A22C55"/>
    <w:rsid w:val="00A22C82"/>
    <w:rsid w:val="00A2354F"/>
    <w:rsid w:val="00A23CB9"/>
    <w:rsid w:val="00A23E92"/>
    <w:rsid w:val="00A23F33"/>
    <w:rsid w:val="00A24398"/>
    <w:rsid w:val="00A244D2"/>
    <w:rsid w:val="00A24595"/>
    <w:rsid w:val="00A2511A"/>
    <w:rsid w:val="00A2520A"/>
    <w:rsid w:val="00A254C0"/>
    <w:rsid w:val="00A256AA"/>
    <w:rsid w:val="00A25B4B"/>
    <w:rsid w:val="00A25DEA"/>
    <w:rsid w:val="00A26372"/>
    <w:rsid w:val="00A263FD"/>
    <w:rsid w:val="00A2654B"/>
    <w:rsid w:val="00A266E1"/>
    <w:rsid w:val="00A26C49"/>
    <w:rsid w:val="00A271AA"/>
    <w:rsid w:val="00A27247"/>
    <w:rsid w:val="00A275AA"/>
    <w:rsid w:val="00A2794A"/>
    <w:rsid w:val="00A27984"/>
    <w:rsid w:val="00A2798D"/>
    <w:rsid w:val="00A27D56"/>
    <w:rsid w:val="00A305E5"/>
    <w:rsid w:val="00A306C3"/>
    <w:rsid w:val="00A316A6"/>
    <w:rsid w:val="00A31D7A"/>
    <w:rsid w:val="00A31FB8"/>
    <w:rsid w:val="00A32041"/>
    <w:rsid w:val="00A3225A"/>
    <w:rsid w:val="00A323FE"/>
    <w:rsid w:val="00A3242E"/>
    <w:rsid w:val="00A327A9"/>
    <w:rsid w:val="00A32C75"/>
    <w:rsid w:val="00A32C90"/>
    <w:rsid w:val="00A32EB9"/>
    <w:rsid w:val="00A3306C"/>
    <w:rsid w:val="00A33D13"/>
    <w:rsid w:val="00A33F49"/>
    <w:rsid w:val="00A34050"/>
    <w:rsid w:val="00A34147"/>
    <w:rsid w:val="00A344F5"/>
    <w:rsid w:val="00A34725"/>
    <w:rsid w:val="00A34942"/>
    <w:rsid w:val="00A3494F"/>
    <w:rsid w:val="00A35397"/>
    <w:rsid w:val="00A35425"/>
    <w:rsid w:val="00A3575B"/>
    <w:rsid w:val="00A35A8A"/>
    <w:rsid w:val="00A35CC2"/>
    <w:rsid w:val="00A35D4B"/>
    <w:rsid w:val="00A35EBA"/>
    <w:rsid w:val="00A36025"/>
    <w:rsid w:val="00A36079"/>
    <w:rsid w:val="00A360EC"/>
    <w:rsid w:val="00A361D4"/>
    <w:rsid w:val="00A362F9"/>
    <w:rsid w:val="00A3635F"/>
    <w:rsid w:val="00A36391"/>
    <w:rsid w:val="00A36DF0"/>
    <w:rsid w:val="00A371BD"/>
    <w:rsid w:val="00A371ED"/>
    <w:rsid w:val="00A37438"/>
    <w:rsid w:val="00A37B91"/>
    <w:rsid w:val="00A403F6"/>
    <w:rsid w:val="00A415F6"/>
    <w:rsid w:val="00A4173B"/>
    <w:rsid w:val="00A419CC"/>
    <w:rsid w:val="00A41A0D"/>
    <w:rsid w:val="00A41FE3"/>
    <w:rsid w:val="00A423D1"/>
    <w:rsid w:val="00A42E5A"/>
    <w:rsid w:val="00A4322E"/>
    <w:rsid w:val="00A4370B"/>
    <w:rsid w:val="00A4391E"/>
    <w:rsid w:val="00A44786"/>
    <w:rsid w:val="00A4499D"/>
    <w:rsid w:val="00A449AB"/>
    <w:rsid w:val="00A44C80"/>
    <w:rsid w:val="00A44ED7"/>
    <w:rsid w:val="00A45034"/>
    <w:rsid w:val="00A45043"/>
    <w:rsid w:val="00A45164"/>
    <w:rsid w:val="00A454F4"/>
    <w:rsid w:val="00A45794"/>
    <w:rsid w:val="00A45C1A"/>
    <w:rsid w:val="00A45E7A"/>
    <w:rsid w:val="00A463E8"/>
    <w:rsid w:val="00A464B9"/>
    <w:rsid w:val="00A4660C"/>
    <w:rsid w:val="00A46644"/>
    <w:rsid w:val="00A46712"/>
    <w:rsid w:val="00A4702C"/>
    <w:rsid w:val="00A475AE"/>
    <w:rsid w:val="00A47848"/>
    <w:rsid w:val="00A50966"/>
    <w:rsid w:val="00A510E4"/>
    <w:rsid w:val="00A511B9"/>
    <w:rsid w:val="00A51626"/>
    <w:rsid w:val="00A516F2"/>
    <w:rsid w:val="00A51BFA"/>
    <w:rsid w:val="00A51CAB"/>
    <w:rsid w:val="00A52189"/>
    <w:rsid w:val="00A523AB"/>
    <w:rsid w:val="00A52B52"/>
    <w:rsid w:val="00A52FC6"/>
    <w:rsid w:val="00A53267"/>
    <w:rsid w:val="00A5338F"/>
    <w:rsid w:val="00A533F9"/>
    <w:rsid w:val="00A53721"/>
    <w:rsid w:val="00A53854"/>
    <w:rsid w:val="00A5385A"/>
    <w:rsid w:val="00A539B3"/>
    <w:rsid w:val="00A539E8"/>
    <w:rsid w:val="00A53BE0"/>
    <w:rsid w:val="00A540C4"/>
    <w:rsid w:val="00A5443D"/>
    <w:rsid w:val="00A5471B"/>
    <w:rsid w:val="00A54799"/>
    <w:rsid w:val="00A550E5"/>
    <w:rsid w:val="00A550F4"/>
    <w:rsid w:val="00A5541C"/>
    <w:rsid w:val="00A556EA"/>
    <w:rsid w:val="00A5591C"/>
    <w:rsid w:val="00A55D3A"/>
    <w:rsid w:val="00A56028"/>
    <w:rsid w:val="00A563C0"/>
    <w:rsid w:val="00A565D7"/>
    <w:rsid w:val="00A56680"/>
    <w:rsid w:val="00A56788"/>
    <w:rsid w:val="00A56A81"/>
    <w:rsid w:val="00A56ABC"/>
    <w:rsid w:val="00A572DA"/>
    <w:rsid w:val="00A5734F"/>
    <w:rsid w:val="00A5743F"/>
    <w:rsid w:val="00A577A6"/>
    <w:rsid w:val="00A57B88"/>
    <w:rsid w:val="00A57C7D"/>
    <w:rsid w:val="00A605E8"/>
    <w:rsid w:val="00A6064D"/>
    <w:rsid w:val="00A60764"/>
    <w:rsid w:val="00A60A44"/>
    <w:rsid w:val="00A60DFD"/>
    <w:rsid w:val="00A61205"/>
    <w:rsid w:val="00A617F6"/>
    <w:rsid w:val="00A61817"/>
    <w:rsid w:val="00A61840"/>
    <w:rsid w:val="00A62116"/>
    <w:rsid w:val="00A62139"/>
    <w:rsid w:val="00A62282"/>
    <w:rsid w:val="00A6248C"/>
    <w:rsid w:val="00A624B2"/>
    <w:rsid w:val="00A626AA"/>
    <w:rsid w:val="00A62D1F"/>
    <w:rsid w:val="00A6334B"/>
    <w:rsid w:val="00A63CB5"/>
    <w:rsid w:val="00A63F3A"/>
    <w:rsid w:val="00A64020"/>
    <w:rsid w:val="00A64118"/>
    <w:rsid w:val="00A6412B"/>
    <w:rsid w:val="00A64338"/>
    <w:rsid w:val="00A64950"/>
    <w:rsid w:val="00A64B59"/>
    <w:rsid w:val="00A65C0F"/>
    <w:rsid w:val="00A65CE9"/>
    <w:rsid w:val="00A65FA6"/>
    <w:rsid w:val="00A660C0"/>
    <w:rsid w:val="00A66925"/>
    <w:rsid w:val="00A66CCA"/>
    <w:rsid w:val="00A66DB8"/>
    <w:rsid w:val="00A66F59"/>
    <w:rsid w:val="00A66F7E"/>
    <w:rsid w:val="00A674E1"/>
    <w:rsid w:val="00A675C6"/>
    <w:rsid w:val="00A67762"/>
    <w:rsid w:val="00A67EF4"/>
    <w:rsid w:val="00A67F1D"/>
    <w:rsid w:val="00A70249"/>
    <w:rsid w:val="00A70657"/>
    <w:rsid w:val="00A70DAB"/>
    <w:rsid w:val="00A70FEF"/>
    <w:rsid w:val="00A713CE"/>
    <w:rsid w:val="00A71597"/>
    <w:rsid w:val="00A7225E"/>
    <w:rsid w:val="00A72327"/>
    <w:rsid w:val="00A723C5"/>
    <w:rsid w:val="00A72678"/>
    <w:rsid w:val="00A733B8"/>
    <w:rsid w:val="00A73761"/>
    <w:rsid w:val="00A73864"/>
    <w:rsid w:val="00A73E59"/>
    <w:rsid w:val="00A74076"/>
    <w:rsid w:val="00A74258"/>
    <w:rsid w:val="00A746F3"/>
    <w:rsid w:val="00A74790"/>
    <w:rsid w:val="00A74828"/>
    <w:rsid w:val="00A74F1B"/>
    <w:rsid w:val="00A7503D"/>
    <w:rsid w:val="00A7516A"/>
    <w:rsid w:val="00A754AA"/>
    <w:rsid w:val="00A754BC"/>
    <w:rsid w:val="00A7559E"/>
    <w:rsid w:val="00A75809"/>
    <w:rsid w:val="00A7595C"/>
    <w:rsid w:val="00A75F62"/>
    <w:rsid w:val="00A76096"/>
    <w:rsid w:val="00A7623E"/>
    <w:rsid w:val="00A765E3"/>
    <w:rsid w:val="00A765EA"/>
    <w:rsid w:val="00A76AB1"/>
    <w:rsid w:val="00A772FC"/>
    <w:rsid w:val="00A77E41"/>
    <w:rsid w:val="00A807A7"/>
    <w:rsid w:val="00A807DF"/>
    <w:rsid w:val="00A80879"/>
    <w:rsid w:val="00A808E9"/>
    <w:rsid w:val="00A80DBC"/>
    <w:rsid w:val="00A80DE3"/>
    <w:rsid w:val="00A81528"/>
    <w:rsid w:val="00A8154C"/>
    <w:rsid w:val="00A81ACF"/>
    <w:rsid w:val="00A81E17"/>
    <w:rsid w:val="00A81F3C"/>
    <w:rsid w:val="00A8258D"/>
    <w:rsid w:val="00A82679"/>
    <w:rsid w:val="00A82B77"/>
    <w:rsid w:val="00A82BE3"/>
    <w:rsid w:val="00A82DCE"/>
    <w:rsid w:val="00A83056"/>
    <w:rsid w:val="00A83101"/>
    <w:rsid w:val="00A8312D"/>
    <w:rsid w:val="00A83194"/>
    <w:rsid w:val="00A833FD"/>
    <w:rsid w:val="00A83652"/>
    <w:rsid w:val="00A83699"/>
    <w:rsid w:val="00A83D57"/>
    <w:rsid w:val="00A83D8B"/>
    <w:rsid w:val="00A83EDF"/>
    <w:rsid w:val="00A83F97"/>
    <w:rsid w:val="00A83F9B"/>
    <w:rsid w:val="00A84526"/>
    <w:rsid w:val="00A84805"/>
    <w:rsid w:val="00A84A20"/>
    <w:rsid w:val="00A84A9D"/>
    <w:rsid w:val="00A85406"/>
    <w:rsid w:val="00A8547F"/>
    <w:rsid w:val="00A854C9"/>
    <w:rsid w:val="00A85511"/>
    <w:rsid w:val="00A85570"/>
    <w:rsid w:val="00A8578E"/>
    <w:rsid w:val="00A85F65"/>
    <w:rsid w:val="00A861FE"/>
    <w:rsid w:val="00A86483"/>
    <w:rsid w:val="00A87132"/>
    <w:rsid w:val="00A872D8"/>
    <w:rsid w:val="00A87424"/>
    <w:rsid w:val="00A87721"/>
    <w:rsid w:val="00A87CB0"/>
    <w:rsid w:val="00A900E5"/>
    <w:rsid w:val="00A904C1"/>
    <w:rsid w:val="00A9056E"/>
    <w:rsid w:val="00A90A24"/>
    <w:rsid w:val="00A90F5B"/>
    <w:rsid w:val="00A90FDF"/>
    <w:rsid w:val="00A91064"/>
    <w:rsid w:val="00A91113"/>
    <w:rsid w:val="00A91651"/>
    <w:rsid w:val="00A918CB"/>
    <w:rsid w:val="00A9270F"/>
    <w:rsid w:val="00A92FE5"/>
    <w:rsid w:val="00A930B4"/>
    <w:rsid w:val="00A93397"/>
    <w:rsid w:val="00A93436"/>
    <w:rsid w:val="00A93780"/>
    <w:rsid w:val="00A93A83"/>
    <w:rsid w:val="00A93DE5"/>
    <w:rsid w:val="00A93F6D"/>
    <w:rsid w:val="00A9404D"/>
    <w:rsid w:val="00A9432F"/>
    <w:rsid w:val="00A94506"/>
    <w:rsid w:val="00A945E7"/>
    <w:rsid w:val="00A94641"/>
    <w:rsid w:val="00A94B4B"/>
    <w:rsid w:val="00A94CBD"/>
    <w:rsid w:val="00A95158"/>
    <w:rsid w:val="00A951BF"/>
    <w:rsid w:val="00A954EB"/>
    <w:rsid w:val="00A95573"/>
    <w:rsid w:val="00A956D2"/>
    <w:rsid w:val="00A95711"/>
    <w:rsid w:val="00A95C46"/>
    <w:rsid w:val="00A963C8"/>
    <w:rsid w:val="00A964B5"/>
    <w:rsid w:val="00A96BF7"/>
    <w:rsid w:val="00A97186"/>
    <w:rsid w:val="00A973A1"/>
    <w:rsid w:val="00A974F5"/>
    <w:rsid w:val="00A97662"/>
    <w:rsid w:val="00A9774C"/>
    <w:rsid w:val="00A97979"/>
    <w:rsid w:val="00A97AD7"/>
    <w:rsid w:val="00AA0174"/>
    <w:rsid w:val="00AA0625"/>
    <w:rsid w:val="00AA06C1"/>
    <w:rsid w:val="00AA09BC"/>
    <w:rsid w:val="00AA0BE1"/>
    <w:rsid w:val="00AA0C83"/>
    <w:rsid w:val="00AA135A"/>
    <w:rsid w:val="00AA143C"/>
    <w:rsid w:val="00AA169C"/>
    <w:rsid w:val="00AA1789"/>
    <w:rsid w:val="00AA1975"/>
    <w:rsid w:val="00AA1BCE"/>
    <w:rsid w:val="00AA1C55"/>
    <w:rsid w:val="00AA20C4"/>
    <w:rsid w:val="00AA22E2"/>
    <w:rsid w:val="00AA2483"/>
    <w:rsid w:val="00AA2500"/>
    <w:rsid w:val="00AA27E5"/>
    <w:rsid w:val="00AA299C"/>
    <w:rsid w:val="00AA2A80"/>
    <w:rsid w:val="00AA2AF0"/>
    <w:rsid w:val="00AA36A3"/>
    <w:rsid w:val="00AA36E2"/>
    <w:rsid w:val="00AA3825"/>
    <w:rsid w:val="00AA395D"/>
    <w:rsid w:val="00AA3CC7"/>
    <w:rsid w:val="00AA3F65"/>
    <w:rsid w:val="00AA3FD4"/>
    <w:rsid w:val="00AA424E"/>
    <w:rsid w:val="00AA49E4"/>
    <w:rsid w:val="00AA4DB6"/>
    <w:rsid w:val="00AA5011"/>
    <w:rsid w:val="00AA5C41"/>
    <w:rsid w:val="00AA5C99"/>
    <w:rsid w:val="00AA5D33"/>
    <w:rsid w:val="00AA63A1"/>
    <w:rsid w:val="00AA678D"/>
    <w:rsid w:val="00AA6D97"/>
    <w:rsid w:val="00AA731B"/>
    <w:rsid w:val="00AA737A"/>
    <w:rsid w:val="00AA7553"/>
    <w:rsid w:val="00AA7B03"/>
    <w:rsid w:val="00AA7B15"/>
    <w:rsid w:val="00AA7B37"/>
    <w:rsid w:val="00AA7C27"/>
    <w:rsid w:val="00AB09B3"/>
    <w:rsid w:val="00AB0E47"/>
    <w:rsid w:val="00AB0F53"/>
    <w:rsid w:val="00AB108B"/>
    <w:rsid w:val="00AB120A"/>
    <w:rsid w:val="00AB173A"/>
    <w:rsid w:val="00AB1748"/>
    <w:rsid w:val="00AB187A"/>
    <w:rsid w:val="00AB1A78"/>
    <w:rsid w:val="00AB1B5E"/>
    <w:rsid w:val="00AB1FCE"/>
    <w:rsid w:val="00AB2508"/>
    <w:rsid w:val="00AB2E5A"/>
    <w:rsid w:val="00AB31F9"/>
    <w:rsid w:val="00AB32B5"/>
    <w:rsid w:val="00AB33F6"/>
    <w:rsid w:val="00AB3DF7"/>
    <w:rsid w:val="00AB4426"/>
    <w:rsid w:val="00AB45E8"/>
    <w:rsid w:val="00AB465C"/>
    <w:rsid w:val="00AB47E4"/>
    <w:rsid w:val="00AB4DC4"/>
    <w:rsid w:val="00AB513D"/>
    <w:rsid w:val="00AB521B"/>
    <w:rsid w:val="00AB58E8"/>
    <w:rsid w:val="00AB59B9"/>
    <w:rsid w:val="00AB5C7B"/>
    <w:rsid w:val="00AB6C94"/>
    <w:rsid w:val="00AB6D2D"/>
    <w:rsid w:val="00AB76C2"/>
    <w:rsid w:val="00AB7BE5"/>
    <w:rsid w:val="00AB7EB6"/>
    <w:rsid w:val="00AC0047"/>
    <w:rsid w:val="00AC00E6"/>
    <w:rsid w:val="00AC0344"/>
    <w:rsid w:val="00AC0375"/>
    <w:rsid w:val="00AC04B0"/>
    <w:rsid w:val="00AC0CDC"/>
    <w:rsid w:val="00AC12A9"/>
    <w:rsid w:val="00AC1685"/>
    <w:rsid w:val="00AC18F0"/>
    <w:rsid w:val="00AC194C"/>
    <w:rsid w:val="00AC1B32"/>
    <w:rsid w:val="00AC1BCC"/>
    <w:rsid w:val="00AC1E18"/>
    <w:rsid w:val="00AC2244"/>
    <w:rsid w:val="00AC246F"/>
    <w:rsid w:val="00AC28BA"/>
    <w:rsid w:val="00AC2BA8"/>
    <w:rsid w:val="00AC2CA0"/>
    <w:rsid w:val="00AC2CEF"/>
    <w:rsid w:val="00AC2EBE"/>
    <w:rsid w:val="00AC34F4"/>
    <w:rsid w:val="00AC3A38"/>
    <w:rsid w:val="00AC3D79"/>
    <w:rsid w:val="00AC3EC9"/>
    <w:rsid w:val="00AC4518"/>
    <w:rsid w:val="00AC45D4"/>
    <w:rsid w:val="00AC50BA"/>
    <w:rsid w:val="00AC54C0"/>
    <w:rsid w:val="00AC573F"/>
    <w:rsid w:val="00AC5948"/>
    <w:rsid w:val="00AC5BAC"/>
    <w:rsid w:val="00AC5C98"/>
    <w:rsid w:val="00AC631C"/>
    <w:rsid w:val="00AC6321"/>
    <w:rsid w:val="00AC6345"/>
    <w:rsid w:val="00AC673D"/>
    <w:rsid w:val="00AC6AF5"/>
    <w:rsid w:val="00AC6F11"/>
    <w:rsid w:val="00AC70D3"/>
    <w:rsid w:val="00AC719D"/>
    <w:rsid w:val="00AC71F4"/>
    <w:rsid w:val="00AC7732"/>
    <w:rsid w:val="00AC7D0C"/>
    <w:rsid w:val="00AC7DAF"/>
    <w:rsid w:val="00AD0469"/>
    <w:rsid w:val="00AD06A9"/>
    <w:rsid w:val="00AD098B"/>
    <w:rsid w:val="00AD0AA3"/>
    <w:rsid w:val="00AD0BB1"/>
    <w:rsid w:val="00AD0D5E"/>
    <w:rsid w:val="00AD11F2"/>
    <w:rsid w:val="00AD16EC"/>
    <w:rsid w:val="00AD18AB"/>
    <w:rsid w:val="00AD1990"/>
    <w:rsid w:val="00AD1A7A"/>
    <w:rsid w:val="00AD1B69"/>
    <w:rsid w:val="00AD1D83"/>
    <w:rsid w:val="00AD1F76"/>
    <w:rsid w:val="00AD2ABB"/>
    <w:rsid w:val="00AD2CA6"/>
    <w:rsid w:val="00AD347B"/>
    <w:rsid w:val="00AD3655"/>
    <w:rsid w:val="00AD378B"/>
    <w:rsid w:val="00AD3C8B"/>
    <w:rsid w:val="00AD59A7"/>
    <w:rsid w:val="00AD5AD7"/>
    <w:rsid w:val="00AD5AE1"/>
    <w:rsid w:val="00AD5FFE"/>
    <w:rsid w:val="00AD63E4"/>
    <w:rsid w:val="00AD64EE"/>
    <w:rsid w:val="00AD66A4"/>
    <w:rsid w:val="00AD66D3"/>
    <w:rsid w:val="00AD72F7"/>
    <w:rsid w:val="00AD77A3"/>
    <w:rsid w:val="00AD7965"/>
    <w:rsid w:val="00AD7BFF"/>
    <w:rsid w:val="00AD7D28"/>
    <w:rsid w:val="00AD7E0D"/>
    <w:rsid w:val="00AE00D6"/>
    <w:rsid w:val="00AE0E3E"/>
    <w:rsid w:val="00AE1431"/>
    <w:rsid w:val="00AE153D"/>
    <w:rsid w:val="00AE15A2"/>
    <w:rsid w:val="00AE1B54"/>
    <w:rsid w:val="00AE1EEA"/>
    <w:rsid w:val="00AE2494"/>
    <w:rsid w:val="00AE262F"/>
    <w:rsid w:val="00AE2E7E"/>
    <w:rsid w:val="00AE34F4"/>
    <w:rsid w:val="00AE3AC7"/>
    <w:rsid w:val="00AE3AF8"/>
    <w:rsid w:val="00AE3F6A"/>
    <w:rsid w:val="00AE4549"/>
    <w:rsid w:val="00AE49B8"/>
    <w:rsid w:val="00AE5337"/>
    <w:rsid w:val="00AE537D"/>
    <w:rsid w:val="00AE58B5"/>
    <w:rsid w:val="00AE5BB7"/>
    <w:rsid w:val="00AE5E18"/>
    <w:rsid w:val="00AE6541"/>
    <w:rsid w:val="00AE661F"/>
    <w:rsid w:val="00AE684E"/>
    <w:rsid w:val="00AE689A"/>
    <w:rsid w:val="00AE6B1E"/>
    <w:rsid w:val="00AE6BF4"/>
    <w:rsid w:val="00AE77A8"/>
    <w:rsid w:val="00AE7911"/>
    <w:rsid w:val="00AE7A5C"/>
    <w:rsid w:val="00AE7F87"/>
    <w:rsid w:val="00AF03BE"/>
    <w:rsid w:val="00AF053B"/>
    <w:rsid w:val="00AF068F"/>
    <w:rsid w:val="00AF0AA7"/>
    <w:rsid w:val="00AF0BDC"/>
    <w:rsid w:val="00AF0F01"/>
    <w:rsid w:val="00AF1288"/>
    <w:rsid w:val="00AF138E"/>
    <w:rsid w:val="00AF16B4"/>
    <w:rsid w:val="00AF1A7D"/>
    <w:rsid w:val="00AF2361"/>
    <w:rsid w:val="00AF2462"/>
    <w:rsid w:val="00AF2477"/>
    <w:rsid w:val="00AF265E"/>
    <w:rsid w:val="00AF2812"/>
    <w:rsid w:val="00AF2A47"/>
    <w:rsid w:val="00AF30F6"/>
    <w:rsid w:val="00AF324E"/>
    <w:rsid w:val="00AF38BF"/>
    <w:rsid w:val="00AF3A27"/>
    <w:rsid w:val="00AF3A43"/>
    <w:rsid w:val="00AF3BA7"/>
    <w:rsid w:val="00AF3BFD"/>
    <w:rsid w:val="00AF3CCF"/>
    <w:rsid w:val="00AF3E93"/>
    <w:rsid w:val="00AF401C"/>
    <w:rsid w:val="00AF43C8"/>
    <w:rsid w:val="00AF450D"/>
    <w:rsid w:val="00AF4592"/>
    <w:rsid w:val="00AF468C"/>
    <w:rsid w:val="00AF4760"/>
    <w:rsid w:val="00AF476F"/>
    <w:rsid w:val="00AF4898"/>
    <w:rsid w:val="00AF4E48"/>
    <w:rsid w:val="00AF52BE"/>
    <w:rsid w:val="00AF5EC9"/>
    <w:rsid w:val="00AF5ECC"/>
    <w:rsid w:val="00AF61EF"/>
    <w:rsid w:val="00AF61FB"/>
    <w:rsid w:val="00AF6B65"/>
    <w:rsid w:val="00AF6D8C"/>
    <w:rsid w:val="00AF6FC8"/>
    <w:rsid w:val="00AF6FE3"/>
    <w:rsid w:val="00AF760D"/>
    <w:rsid w:val="00AF785F"/>
    <w:rsid w:val="00AF7931"/>
    <w:rsid w:val="00AF7EA3"/>
    <w:rsid w:val="00AF7F6F"/>
    <w:rsid w:val="00B007BA"/>
    <w:rsid w:val="00B007E9"/>
    <w:rsid w:val="00B00FE5"/>
    <w:rsid w:val="00B0144E"/>
    <w:rsid w:val="00B0157F"/>
    <w:rsid w:val="00B016C6"/>
    <w:rsid w:val="00B018E5"/>
    <w:rsid w:val="00B026EF"/>
    <w:rsid w:val="00B02891"/>
    <w:rsid w:val="00B034BA"/>
    <w:rsid w:val="00B03701"/>
    <w:rsid w:val="00B03A60"/>
    <w:rsid w:val="00B03A7E"/>
    <w:rsid w:val="00B03A91"/>
    <w:rsid w:val="00B03F33"/>
    <w:rsid w:val="00B03F4D"/>
    <w:rsid w:val="00B03F84"/>
    <w:rsid w:val="00B04AEF"/>
    <w:rsid w:val="00B04B60"/>
    <w:rsid w:val="00B04CC7"/>
    <w:rsid w:val="00B056C8"/>
    <w:rsid w:val="00B0570F"/>
    <w:rsid w:val="00B05750"/>
    <w:rsid w:val="00B058B1"/>
    <w:rsid w:val="00B05D72"/>
    <w:rsid w:val="00B0621B"/>
    <w:rsid w:val="00B0637F"/>
    <w:rsid w:val="00B06455"/>
    <w:rsid w:val="00B066FC"/>
    <w:rsid w:val="00B067AF"/>
    <w:rsid w:val="00B06827"/>
    <w:rsid w:val="00B0691F"/>
    <w:rsid w:val="00B06994"/>
    <w:rsid w:val="00B06D2D"/>
    <w:rsid w:val="00B06E74"/>
    <w:rsid w:val="00B06F59"/>
    <w:rsid w:val="00B0743D"/>
    <w:rsid w:val="00B07E79"/>
    <w:rsid w:val="00B07EF5"/>
    <w:rsid w:val="00B10582"/>
    <w:rsid w:val="00B10EEE"/>
    <w:rsid w:val="00B10F12"/>
    <w:rsid w:val="00B110C5"/>
    <w:rsid w:val="00B11402"/>
    <w:rsid w:val="00B114F5"/>
    <w:rsid w:val="00B115CC"/>
    <w:rsid w:val="00B11F32"/>
    <w:rsid w:val="00B1213D"/>
    <w:rsid w:val="00B121CA"/>
    <w:rsid w:val="00B121FE"/>
    <w:rsid w:val="00B12BEA"/>
    <w:rsid w:val="00B12CA8"/>
    <w:rsid w:val="00B12CB1"/>
    <w:rsid w:val="00B12D9E"/>
    <w:rsid w:val="00B13017"/>
    <w:rsid w:val="00B13050"/>
    <w:rsid w:val="00B133D6"/>
    <w:rsid w:val="00B134FD"/>
    <w:rsid w:val="00B136FC"/>
    <w:rsid w:val="00B13E27"/>
    <w:rsid w:val="00B14255"/>
    <w:rsid w:val="00B14A65"/>
    <w:rsid w:val="00B14CCF"/>
    <w:rsid w:val="00B151AA"/>
    <w:rsid w:val="00B155A7"/>
    <w:rsid w:val="00B1595B"/>
    <w:rsid w:val="00B15B5F"/>
    <w:rsid w:val="00B15CC9"/>
    <w:rsid w:val="00B15F75"/>
    <w:rsid w:val="00B15F99"/>
    <w:rsid w:val="00B1621D"/>
    <w:rsid w:val="00B16795"/>
    <w:rsid w:val="00B16E84"/>
    <w:rsid w:val="00B16F7C"/>
    <w:rsid w:val="00B16F9A"/>
    <w:rsid w:val="00B17100"/>
    <w:rsid w:val="00B17282"/>
    <w:rsid w:val="00B1736B"/>
    <w:rsid w:val="00B17490"/>
    <w:rsid w:val="00B17670"/>
    <w:rsid w:val="00B17685"/>
    <w:rsid w:val="00B17C82"/>
    <w:rsid w:val="00B20259"/>
    <w:rsid w:val="00B20CFC"/>
    <w:rsid w:val="00B21015"/>
    <w:rsid w:val="00B21346"/>
    <w:rsid w:val="00B2157C"/>
    <w:rsid w:val="00B217A0"/>
    <w:rsid w:val="00B21925"/>
    <w:rsid w:val="00B219E5"/>
    <w:rsid w:val="00B21EB1"/>
    <w:rsid w:val="00B21F8B"/>
    <w:rsid w:val="00B22188"/>
    <w:rsid w:val="00B22519"/>
    <w:rsid w:val="00B22702"/>
    <w:rsid w:val="00B2273B"/>
    <w:rsid w:val="00B228CC"/>
    <w:rsid w:val="00B22AEE"/>
    <w:rsid w:val="00B22E63"/>
    <w:rsid w:val="00B231CD"/>
    <w:rsid w:val="00B23253"/>
    <w:rsid w:val="00B234A3"/>
    <w:rsid w:val="00B23E25"/>
    <w:rsid w:val="00B240DE"/>
    <w:rsid w:val="00B2469B"/>
    <w:rsid w:val="00B24D28"/>
    <w:rsid w:val="00B250CD"/>
    <w:rsid w:val="00B255EF"/>
    <w:rsid w:val="00B258B8"/>
    <w:rsid w:val="00B25B27"/>
    <w:rsid w:val="00B25C98"/>
    <w:rsid w:val="00B25EF5"/>
    <w:rsid w:val="00B261AE"/>
    <w:rsid w:val="00B26B90"/>
    <w:rsid w:val="00B26B97"/>
    <w:rsid w:val="00B270B8"/>
    <w:rsid w:val="00B275C5"/>
    <w:rsid w:val="00B27FD4"/>
    <w:rsid w:val="00B30888"/>
    <w:rsid w:val="00B30B0E"/>
    <w:rsid w:val="00B30C34"/>
    <w:rsid w:val="00B30D2E"/>
    <w:rsid w:val="00B3104F"/>
    <w:rsid w:val="00B31524"/>
    <w:rsid w:val="00B319B2"/>
    <w:rsid w:val="00B31D8E"/>
    <w:rsid w:val="00B31EEA"/>
    <w:rsid w:val="00B32851"/>
    <w:rsid w:val="00B32AD8"/>
    <w:rsid w:val="00B3346B"/>
    <w:rsid w:val="00B33C6E"/>
    <w:rsid w:val="00B33E23"/>
    <w:rsid w:val="00B3437B"/>
    <w:rsid w:val="00B347A5"/>
    <w:rsid w:val="00B34A5F"/>
    <w:rsid w:val="00B34AFF"/>
    <w:rsid w:val="00B350EA"/>
    <w:rsid w:val="00B352B0"/>
    <w:rsid w:val="00B358F4"/>
    <w:rsid w:val="00B35F4B"/>
    <w:rsid w:val="00B35FC0"/>
    <w:rsid w:val="00B364E3"/>
    <w:rsid w:val="00B36537"/>
    <w:rsid w:val="00B365BF"/>
    <w:rsid w:val="00B36934"/>
    <w:rsid w:val="00B36A9C"/>
    <w:rsid w:val="00B36BDC"/>
    <w:rsid w:val="00B36C83"/>
    <w:rsid w:val="00B36D7A"/>
    <w:rsid w:val="00B372EB"/>
    <w:rsid w:val="00B37945"/>
    <w:rsid w:val="00B4022A"/>
    <w:rsid w:val="00B4028D"/>
    <w:rsid w:val="00B402DF"/>
    <w:rsid w:val="00B40CCC"/>
    <w:rsid w:val="00B40FA5"/>
    <w:rsid w:val="00B41076"/>
    <w:rsid w:val="00B41C3B"/>
    <w:rsid w:val="00B41D18"/>
    <w:rsid w:val="00B4212E"/>
    <w:rsid w:val="00B42639"/>
    <w:rsid w:val="00B42C3E"/>
    <w:rsid w:val="00B42E27"/>
    <w:rsid w:val="00B43223"/>
    <w:rsid w:val="00B43A72"/>
    <w:rsid w:val="00B43B06"/>
    <w:rsid w:val="00B43D12"/>
    <w:rsid w:val="00B43F38"/>
    <w:rsid w:val="00B44023"/>
    <w:rsid w:val="00B448C8"/>
    <w:rsid w:val="00B448EA"/>
    <w:rsid w:val="00B4491C"/>
    <w:rsid w:val="00B4558A"/>
    <w:rsid w:val="00B459C9"/>
    <w:rsid w:val="00B45ABE"/>
    <w:rsid w:val="00B45D51"/>
    <w:rsid w:val="00B45ED3"/>
    <w:rsid w:val="00B45EDE"/>
    <w:rsid w:val="00B464F8"/>
    <w:rsid w:val="00B46528"/>
    <w:rsid w:val="00B468DD"/>
    <w:rsid w:val="00B46EDA"/>
    <w:rsid w:val="00B472E8"/>
    <w:rsid w:val="00B47365"/>
    <w:rsid w:val="00B47459"/>
    <w:rsid w:val="00B4754A"/>
    <w:rsid w:val="00B476E9"/>
    <w:rsid w:val="00B47796"/>
    <w:rsid w:val="00B5021B"/>
    <w:rsid w:val="00B50C65"/>
    <w:rsid w:val="00B51095"/>
    <w:rsid w:val="00B5109E"/>
    <w:rsid w:val="00B51CC7"/>
    <w:rsid w:val="00B51CF2"/>
    <w:rsid w:val="00B51EEB"/>
    <w:rsid w:val="00B5217B"/>
    <w:rsid w:val="00B52546"/>
    <w:rsid w:val="00B52BF8"/>
    <w:rsid w:val="00B52E8B"/>
    <w:rsid w:val="00B535E5"/>
    <w:rsid w:val="00B53676"/>
    <w:rsid w:val="00B538A3"/>
    <w:rsid w:val="00B53ED8"/>
    <w:rsid w:val="00B54046"/>
    <w:rsid w:val="00B54298"/>
    <w:rsid w:val="00B542C1"/>
    <w:rsid w:val="00B5436E"/>
    <w:rsid w:val="00B546E7"/>
    <w:rsid w:val="00B54CF6"/>
    <w:rsid w:val="00B54F91"/>
    <w:rsid w:val="00B55260"/>
    <w:rsid w:val="00B555C1"/>
    <w:rsid w:val="00B5592A"/>
    <w:rsid w:val="00B55BF1"/>
    <w:rsid w:val="00B55C13"/>
    <w:rsid w:val="00B55C21"/>
    <w:rsid w:val="00B5642A"/>
    <w:rsid w:val="00B5672A"/>
    <w:rsid w:val="00B56898"/>
    <w:rsid w:val="00B56AEB"/>
    <w:rsid w:val="00B56BBB"/>
    <w:rsid w:val="00B56E28"/>
    <w:rsid w:val="00B56EEE"/>
    <w:rsid w:val="00B5705D"/>
    <w:rsid w:val="00B5746D"/>
    <w:rsid w:val="00B57795"/>
    <w:rsid w:val="00B57D88"/>
    <w:rsid w:val="00B57D90"/>
    <w:rsid w:val="00B57E18"/>
    <w:rsid w:val="00B601FC"/>
    <w:rsid w:val="00B60497"/>
    <w:rsid w:val="00B60DC0"/>
    <w:rsid w:val="00B60FF5"/>
    <w:rsid w:val="00B613BE"/>
    <w:rsid w:val="00B6171C"/>
    <w:rsid w:val="00B62068"/>
    <w:rsid w:val="00B6242C"/>
    <w:rsid w:val="00B62A68"/>
    <w:rsid w:val="00B62EB8"/>
    <w:rsid w:val="00B631E7"/>
    <w:rsid w:val="00B63CC7"/>
    <w:rsid w:val="00B63F9C"/>
    <w:rsid w:val="00B63FBB"/>
    <w:rsid w:val="00B64141"/>
    <w:rsid w:val="00B649EF"/>
    <w:rsid w:val="00B64B61"/>
    <w:rsid w:val="00B64D5F"/>
    <w:rsid w:val="00B65229"/>
    <w:rsid w:val="00B658BA"/>
    <w:rsid w:val="00B65951"/>
    <w:rsid w:val="00B65B03"/>
    <w:rsid w:val="00B65E0C"/>
    <w:rsid w:val="00B66402"/>
    <w:rsid w:val="00B670D4"/>
    <w:rsid w:val="00B671BC"/>
    <w:rsid w:val="00B671D6"/>
    <w:rsid w:val="00B67347"/>
    <w:rsid w:val="00B67BB0"/>
    <w:rsid w:val="00B67BF5"/>
    <w:rsid w:val="00B67E67"/>
    <w:rsid w:val="00B7038C"/>
    <w:rsid w:val="00B705A7"/>
    <w:rsid w:val="00B70852"/>
    <w:rsid w:val="00B70EC4"/>
    <w:rsid w:val="00B7160F"/>
    <w:rsid w:val="00B71A72"/>
    <w:rsid w:val="00B71B71"/>
    <w:rsid w:val="00B71D4D"/>
    <w:rsid w:val="00B724A6"/>
    <w:rsid w:val="00B7270F"/>
    <w:rsid w:val="00B72AA6"/>
    <w:rsid w:val="00B72B28"/>
    <w:rsid w:val="00B73718"/>
    <w:rsid w:val="00B73B48"/>
    <w:rsid w:val="00B73C92"/>
    <w:rsid w:val="00B73DA8"/>
    <w:rsid w:val="00B73E38"/>
    <w:rsid w:val="00B740DD"/>
    <w:rsid w:val="00B74155"/>
    <w:rsid w:val="00B74B13"/>
    <w:rsid w:val="00B74FA6"/>
    <w:rsid w:val="00B75293"/>
    <w:rsid w:val="00B75B15"/>
    <w:rsid w:val="00B75BD7"/>
    <w:rsid w:val="00B75C80"/>
    <w:rsid w:val="00B75D78"/>
    <w:rsid w:val="00B7607C"/>
    <w:rsid w:val="00B76081"/>
    <w:rsid w:val="00B7615C"/>
    <w:rsid w:val="00B7651B"/>
    <w:rsid w:val="00B769CA"/>
    <w:rsid w:val="00B76D36"/>
    <w:rsid w:val="00B7707B"/>
    <w:rsid w:val="00B7724B"/>
    <w:rsid w:val="00B772C4"/>
    <w:rsid w:val="00B7770D"/>
    <w:rsid w:val="00B77D16"/>
    <w:rsid w:val="00B77D81"/>
    <w:rsid w:val="00B77E90"/>
    <w:rsid w:val="00B8038C"/>
    <w:rsid w:val="00B803BC"/>
    <w:rsid w:val="00B8072A"/>
    <w:rsid w:val="00B8074D"/>
    <w:rsid w:val="00B8092E"/>
    <w:rsid w:val="00B80B2F"/>
    <w:rsid w:val="00B80D10"/>
    <w:rsid w:val="00B80E36"/>
    <w:rsid w:val="00B8117A"/>
    <w:rsid w:val="00B811ED"/>
    <w:rsid w:val="00B81E4C"/>
    <w:rsid w:val="00B81F5E"/>
    <w:rsid w:val="00B822FA"/>
    <w:rsid w:val="00B82333"/>
    <w:rsid w:val="00B82771"/>
    <w:rsid w:val="00B82C75"/>
    <w:rsid w:val="00B83209"/>
    <w:rsid w:val="00B83354"/>
    <w:rsid w:val="00B83900"/>
    <w:rsid w:val="00B83AB8"/>
    <w:rsid w:val="00B83BFA"/>
    <w:rsid w:val="00B83C30"/>
    <w:rsid w:val="00B840F5"/>
    <w:rsid w:val="00B84258"/>
    <w:rsid w:val="00B8426F"/>
    <w:rsid w:val="00B84651"/>
    <w:rsid w:val="00B8499A"/>
    <w:rsid w:val="00B84FEA"/>
    <w:rsid w:val="00B8550C"/>
    <w:rsid w:val="00B8582D"/>
    <w:rsid w:val="00B86044"/>
    <w:rsid w:val="00B86162"/>
    <w:rsid w:val="00B86C20"/>
    <w:rsid w:val="00B86CDA"/>
    <w:rsid w:val="00B87253"/>
    <w:rsid w:val="00B87292"/>
    <w:rsid w:val="00B87353"/>
    <w:rsid w:val="00B87AF2"/>
    <w:rsid w:val="00B87B6D"/>
    <w:rsid w:val="00B9048F"/>
    <w:rsid w:val="00B907A9"/>
    <w:rsid w:val="00B9083E"/>
    <w:rsid w:val="00B90E37"/>
    <w:rsid w:val="00B91489"/>
    <w:rsid w:val="00B91FB3"/>
    <w:rsid w:val="00B91FD4"/>
    <w:rsid w:val="00B92036"/>
    <w:rsid w:val="00B92223"/>
    <w:rsid w:val="00B923E2"/>
    <w:rsid w:val="00B924BD"/>
    <w:rsid w:val="00B92D34"/>
    <w:rsid w:val="00B9339E"/>
    <w:rsid w:val="00B93E1E"/>
    <w:rsid w:val="00B941D2"/>
    <w:rsid w:val="00B9440D"/>
    <w:rsid w:val="00B945D0"/>
    <w:rsid w:val="00B9533F"/>
    <w:rsid w:val="00B9555F"/>
    <w:rsid w:val="00B95561"/>
    <w:rsid w:val="00B956BE"/>
    <w:rsid w:val="00B95922"/>
    <w:rsid w:val="00B95EE3"/>
    <w:rsid w:val="00B975AC"/>
    <w:rsid w:val="00B9780E"/>
    <w:rsid w:val="00B979B4"/>
    <w:rsid w:val="00B97A68"/>
    <w:rsid w:val="00B97C22"/>
    <w:rsid w:val="00B97CCD"/>
    <w:rsid w:val="00B97E37"/>
    <w:rsid w:val="00B97ED7"/>
    <w:rsid w:val="00BA02D0"/>
    <w:rsid w:val="00BA0342"/>
    <w:rsid w:val="00BA0A76"/>
    <w:rsid w:val="00BA0B05"/>
    <w:rsid w:val="00BA0C6D"/>
    <w:rsid w:val="00BA0D0A"/>
    <w:rsid w:val="00BA0FEA"/>
    <w:rsid w:val="00BA1015"/>
    <w:rsid w:val="00BA182A"/>
    <w:rsid w:val="00BA1934"/>
    <w:rsid w:val="00BA1AB0"/>
    <w:rsid w:val="00BA1C79"/>
    <w:rsid w:val="00BA1E9C"/>
    <w:rsid w:val="00BA1E9D"/>
    <w:rsid w:val="00BA2400"/>
    <w:rsid w:val="00BA272D"/>
    <w:rsid w:val="00BA2ACD"/>
    <w:rsid w:val="00BA2AD7"/>
    <w:rsid w:val="00BA2B7E"/>
    <w:rsid w:val="00BA2F43"/>
    <w:rsid w:val="00BA345A"/>
    <w:rsid w:val="00BA3560"/>
    <w:rsid w:val="00BA427F"/>
    <w:rsid w:val="00BA4570"/>
    <w:rsid w:val="00BA47DD"/>
    <w:rsid w:val="00BA518E"/>
    <w:rsid w:val="00BA52AF"/>
    <w:rsid w:val="00BA56BC"/>
    <w:rsid w:val="00BA5BF9"/>
    <w:rsid w:val="00BA63E8"/>
    <w:rsid w:val="00BA65D9"/>
    <w:rsid w:val="00BA689E"/>
    <w:rsid w:val="00BA6A2A"/>
    <w:rsid w:val="00BA6A99"/>
    <w:rsid w:val="00BA6F11"/>
    <w:rsid w:val="00BA711D"/>
    <w:rsid w:val="00BA74A1"/>
    <w:rsid w:val="00BA755E"/>
    <w:rsid w:val="00BA7652"/>
    <w:rsid w:val="00BA7C9C"/>
    <w:rsid w:val="00BA7E1E"/>
    <w:rsid w:val="00BA7E45"/>
    <w:rsid w:val="00BB0052"/>
    <w:rsid w:val="00BB0139"/>
    <w:rsid w:val="00BB072B"/>
    <w:rsid w:val="00BB0F0A"/>
    <w:rsid w:val="00BB191F"/>
    <w:rsid w:val="00BB195B"/>
    <w:rsid w:val="00BB1A29"/>
    <w:rsid w:val="00BB1C2D"/>
    <w:rsid w:val="00BB1FA5"/>
    <w:rsid w:val="00BB22E7"/>
    <w:rsid w:val="00BB23B3"/>
    <w:rsid w:val="00BB26E5"/>
    <w:rsid w:val="00BB27FA"/>
    <w:rsid w:val="00BB2E09"/>
    <w:rsid w:val="00BB2E8F"/>
    <w:rsid w:val="00BB2FB0"/>
    <w:rsid w:val="00BB2FCC"/>
    <w:rsid w:val="00BB3016"/>
    <w:rsid w:val="00BB347D"/>
    <w:rsid w:val="00BB36F2"/>
    <w:rsid w:val="00BB3846"/>
    <w:rsid w:val="00BB3A51"/>
    <w:rsid w:val="00BB3C7B"/>
    <w:rsid w:val="00BB3F92"/>
    <w:rsid w:val="00BB42BF"/>
    <w:rsid w:val="00BB455E"/>
    <w:rsid w:val="00BB4729"/>
    <w:rsid w:val="00BB47B1"/>
    <w:rsid w:val="00BB507C"/>
    <w:rsid w:val="00BB5279"/>
    <w:rsid w:val="00BB5609"/>
    <w:rsid w:val="00BB5AE2"/>
    <w:rsid w:val="00BB5D4D"/>
    <w:rsid w:val="00BB5D64"/>
    <w:rsid w:val="00BB5EDF"/>
    <w:rsid w:val="00BB607E"/>
    <w:rsid w:val="00BB60A9"/>
    <w:rsid w:val="00BB657D"/>
    <w:rsid w:val="00BB65A2"/>
    <w:rsid w:val="00BB66E1"/>
    <w:rsid w:val="00BB725B"/>
    <w:rsid w:val="00BB738B"/>
    <w:rsid w:val="00BB79A2"/>
    <w:rsid w:val="00BB7EA2"/>
    <w:rsid w:val="00BB7F21"/>
    <w:rsid w:val="00BC00D6"/>
    <w:rsid w:val="00BC0324"/>
    <w:rsid w:val="00BC04F6"/>
    <w:rsid w:val="00BC0505"/>
    <w:rsid w:val="00BC1495"/>
    <w:rsid w:val="00BC1B0E"/>
    <w:rsid w:val="00BC1FE5"/>
    <w:rsid w:val="00BC2A3F"/>
    <w:rsid w:val="00BC2A69"/>
    <w:rsid w:val="00BC2CB1"/>
    <w:rsid w:val="00BC3302"/>
    <w:rsid w:val="00BC3478"/>
    <w:rsid w:val="00BC370C"/>
    <w:rsid w:val="00BC3DC7"/>
    <w:rsid w:val="00BC3E74"/>
    <w:rsid w:val="00BC3EBF"/>
    <w:rsid w:val="00BC3FFC"/>
    <w:rsid w:val="00BC4057"/>
    <w:rsid w:val="00BC4193"/>
    <w:rsid w:val="00BC44C6"/>
    <w:rsid w:val="00BC46E6"/>
    <w:rsid w:val="00BC46FD"/>
    <w:rsid w:val="00BC4797"/>
    <w:rsid w:val="00BC4859"/>
    <w:rsid w:val="00BC491B"/>
    <w:rsid w:val="00BC4998"/>
    <w:rsid w:val="00BC4A9A"/>
    <w:rsid w:val="00BC4BDE"/>
    <w:rsid w:val="00BC4DA6"/>
    <w:rsid w:val="00BC4E04"/>
    <w:rsid w:val="00BC4EA2"/>
    <w:rsid w:val="00BC51F4"/>
    <w:rsid w:val="00BC561A"/>
    <w:rsid w:val="00BC5627"/>
    <w:rsid w:val="00BC5D79"/>
    <w:rsid w:val="00BC5DA7"/>
    <w:rsid w:val="00BC5F05"/>
    <w:rsid w:val="00BC608B"/>
    <w:rsid w:val="00BC620F"/>
    <w:rsid w:val="00BC637D"/>
    <w:rsid w:val="00BC638E"/>
    <w:rsid w:val="00BC6F10"/>
    <w:rsid w:val="00BC713A"/>
    <w:rsid w:val="00BC74EE"/>
    <w:rsid w:val="00BC751B"/>
    <w:rsid w:val="00BC7BDD"/>
    <w:rsid w:val="00BC7C0B"/>
    <w:rsid w:val="00BC7D48"/>
    <w:rsid w:val="00BC7D7C"/>
    <w:rsid w:val="00BC7DA5"/>
    <w:rsid w:val="00BC7DF4"/>
    <w:rsid w:val="00BD005E"/>
    <w:rsid w:val="00BD00A0"/>
    <w:rsid w:val="00BD057B"/>
    <w:rsid w:val="00BD094C"/>
    <w:rsid w:val="00BD0A5E"/>
    <w:rsid w:val="00BD1292"/>
    <w:rsid w:val="00BD16F3"/>
    <w:rsid w:val="00BD188C"/>
    <w:rsid w:val="00BD197C"/>
    <w:rsid w:val="00BD1B05"/>
    <w:rsid w:val="00BD1F74"/>
    <w:rsid w:val="00BD25C8"/>
    <w:rsid w:val="00BD2850"/>
    <w:rsid w:val="00BD2C5A"/>
    <w:rsid w:val="00BD2FCF"/>
    <w:rsid w:val="00BD3B3B"/>
    <w:rsid w:val="00BD3BCB"/>
    <w:rsid w:val="00BD3E33"/>
    <w:rsid w:val="00BD477A"/>
    <w:rsid w:val="00BD47D7"/>
    <w:rsid w:val="00BD4B4A"/>
    <w:rsid w:val="00BD4E36"/>
    <w:rsid w:val="00BD5115"/>
    <w:rsid w:val="00BD5475"/>
    <w:rsid w:val="00BD5A7D"/>
    <w:rsid w:val="00BD5AED"/>
    <w:rsid w:val="00BD5B8B"/>
    <w:rsid w:val="00BD5CA5"/>
    <w:rsid w:val="00BD62CB"/>
    <w:rsid w:val="00BD6403"/>
    <w:rsid w:val="00BD644D"/>
    <w:rsid w:val="00BD68C0"/>
    <w:rsid w:val="00BD69BF"/>
    <w:rsid w:val="00BD6B7D"/>
    <w:rsid w:val="00BD7176"/>
    <w:rsid w:val="00BD7191"/>
    <w:rsid w:val="00BD7686"/>
    <w:rsid w:val="00BD76F0"/>
    <w:rsid w:val="00BD7C10"/>
    <w:rsid w:val="00BE0305"/>
    <w:rsid w:val="00BE08EB"/>
    <w:rsid w:val="00BE0A0D"/>
    <w:rsid w:val="00BE0AA9"/>
    <w:rsid w:val="00BE0BD4"/>
    <w:rsid w:val="00BE0FAC"/>
    <w:rsid w:val="00BE13ED"/>
    <w:rsid w:val="00BE1491"/>
    <w:rsid w:val="00BE1C1B"/>
    <w:rsid w:val="00BE1E23"/>
    <w:rsid w:val="00BE202A"/>
    <w:rsid w:val="00BE2478"/>
    <w:rsid w:val="00BE2871"/>
    <w:rsid w:val="00BE2AAD"/>
    <w:rsid w:val="00BE2AE1"/>
    <w:rsid w:val="00BE3099"/>
    <w:rsid w:val="00BE3125"/>
    <w:rsid w:val="00BE3435"/>
    <w:rsid w:val="00BE37BE"/>
    <w:rsid w:val="00BE3B5D"/>
    <w:rsid w:val="00BE40E5"/>
    <w:rsid w:val="00BE491D"/>
    <w:rsid w:val="00BE4C1C"/>
    <w:rsid w:val="00BE4C67"/>
    <w:rsid w:val="00BE514E"/>
    <w:rsid w:val="00BE554C"/>
    <w:rsid w:val="00BE55AE"/>
    <w:rsid w:val="00BE55E1"/>
    <w:rsid w:val="00BE5767"/>
    <w:rsid w:val="00BE5BD4"/>
    <w:rsid w:val="00BE5C9D"/>
    <w:rsid w:val="00BE5F0D"/>
    <w:rsid w:val="00BE636B"/>
    <w:rsid w:val="00BE6414"/>
    <w:rsid w:val="00BE65BC"/>
    <w:rsid w:val="00BE65D9"/>
    <w:rsid w:val="00BE694F"/>
    <w:rsid w:val="00BE6A3A"/>
    <w:rsid w:val="00BE6CDD"/>
    <w:rsid w:val="00BE7049"/>
    <w:rsid w:val="00BE742C"/>
    <w:rsid w:val="00BE74BD"/>
    <w:rsid w:val="00BE772B"/>
    <w:rsid w:val="00BE77CC"/>
    <w:rsid w:val="00BE7B58"/>
    <w:rsid w:val="00BE7D10"/>
    <w:rsid w:val="00BE7F68"/>
    <w:rsid w:val="00BE7FCE"/>
    <w:rsid w:val="00BE7FE3"/>
    <w:rsid w:val="00BE7FF1"/>
    <w:rsid w:val="00BF0558"/>
    <w:rsid w:val="00BF0C24"/>
    <w:rsid w:val="00BF0ED4"/>
    <w:rsid w:val="00BF0FCB"/>
    <w:rsid w:val="00BF130B"/>
    <w:rsid w:val="00BF1521"/>
    <w:rsid w:val="00BF1675"/>
    <w:rsid w:val="00BF188C"/>
    <w:rsid w:val="00BF1BB7"/>
    <w:rsid w:val="00BF1D5A"/>
    <w:rsid w:val="00BF1D63"/>
    <w:rsid w:val="00BF1EFF"/>
    <w:rsid w:val="00BF1F9C"/>
    <w:rsid w:val="00BF20D9"/>
    <w:rsid w:val="00BF245D"/>
    <w:rsid w:val="00BF2AD2"/>
    <w:rsid w:val="00BF2CA8"/>
    <w:rsid w:val="00BF33BF"/>
    <w:rsid w:val="00BF3462"/>
    <w:rsid w:val="00BF354B"/>
    <w:rsid w:val="00BF35FC"/>
    <w:rsid w:val="00BF3C69"/>
    <w:rsid w:val="00BF4189"/>
    <w:rsid w:val="00BF4466"/>
    <w:rsid w:val="00BF47DA"/>
    <w:rsid w:val="00BF49D8"/>
    <w:rsid w:val="00BF4A89"/>
    <w:rsid w:val="00BF4E0F"/>
    <w:rsid w:val="00BF54A5"/>
    <w:rsid w:val="00BF567B"/>
    <w:rsid w:val="00BF5EDE"/>
    <w:rsid w:val="00BF6009"/>
    <w:rsid w:val="00BF60CC"/>
    <w:rsid w:val="00BF6493"/>
    <w:rsid w:val="00BF6673"/>
    <w:rsid w:val="00BF6AAE"/>
    <w:rsid w:val="00BF6AB7"/>
    <w:rsid w:val="00BF7131"/>
    <w:rsid w:val="00BF749E"/>
    <w:rsid w:val="00BF7805"/>
    <w:rsid w:val="00BF7906"/>
    <w:rsid w:val="00BF793D"/>
    <w:rsid w:val="00C00819"/>
    <w:rsid w:val="00C00C03"/>
    <w:rsid w:val="00C00C35"/>
    <w:rsid w:val="00C01113"/>
    <w:rsid w:val="00C018DF"/>
    <w:rsid w:val="00C01B3F"/>
    <w:rsid w:val="00C02D85"/>
    <w:rsid w:val="00C02E74"/>
    <w:rsid w:val="00C02E8A"/>
    <w:rsid w:val="00C02ED4"/>
    <w:rsid w:val="00C02FA9"/>
    <w:rsid w:val="00C034AE"/>
    <w:rsid w:val="00C037CA"/>
    <w:rsid w:val="00C03B89"/>
    <w:rsid w:val="00C03CE8"/>
    <w:rsid w:val="00C03FD6"/>
    <w:rsid w:val="00C04265"/>
    <w:rsid w:val="00C04413"/>
    <w:rsid w:val="00C049F5"/>
    <w:rsid w:val="00C04A03"/>
    <w:rsid w:val="00C052DD"/>
    <w:rsid w:val="00C05303"/>
    <w:rsid w:val="00C05359"/>
    <w:rsid w:val="00C0578F"/>
    <w:rsid w:val="00C05B50"/>
    <w:rsid w:val="00C05BBB"/>
    <w:rsid w:val="00C05C0B"/>
    <w:rsid w:val="00C05CA2"/>
    <w:rsid w:val="00C0611A"/>
    <w:rsid w:val="00C06724"/>
    <w:rsid w:val="00C06B1A"/>
    <w:rsid w:val="00C06BFE"/>
    <w:rsid w:val="00C06EA6"/>
    <w:rsid w:val="00C070F8"/>
    <w:rsid w:val="00C07F92"/>
    <w:rsid w:val="00C103B5"/>
    <w:rsid w:val="00C10B23"/>
    <w:rsid w:val="00C10FF3"/>
    <w:rsid w:val="00C11C4F"/>
    <w:rsid w:val="00C11CE0"/>
    <w:rsid w:val="00C124EE"/>
    <w:rsid w:val="00C1262B"/>
    <w:rsid w:val="00C12794"/>
    <w:rsid w:val="00C1297A"/>
    <w:rsid w:val="00C13670"/>
    <w:rsid w:val="00C13759"/>
    <w:rsid w:val="00C13A42"/>
    <w:rsid w:val="00C13BE6"/>
    <w:rsid w:val="00C13C0E"/>
    <w:rsid w:val="00C13F20"/>
    <w:rsid w:val="00C1444F"/>
    <w:rsid w:val="00C14825"/>
    <w:rsid w:val="00C14E6B"/>
    <w:rsid w:val="00C15816"/>
    <w:rsid w:val="00C15ED3"/>
    <w:rsid w:val="00C16124"/>
    <w:rsid w:val="00C161CC"/>
    <w:rsid w:val="00C16438"/>
    <w:rsid w:val="00C164C4"/>
    <w:rsid w:val="00C1660C"/>
    <w:rsid w:val="00C16656"/>
    <w:rsid w:val="00C168EF"/>
    <w:rsid w:val="00C16E12"/>
    <w:rsid w:val="00C174E2"/>
    <w:rsid w:val="00C17A1F"/>
    <w:rsid w:val="00C17CB6"/>
    <w:rsid w:val="00C17DBA"/>
    <w:rsid w:val="00C2013B"/>
    <w:rsid w:val="00C203F8"/>
    <w:rsid w:val="00C20587"/>
    <w:rsid w:val="00C205A1"/>
    <w:rsid w:val="00C2080D"/>
    <w:rsid w:val="00C2089D"/>
    <w:rsid w:val="00C209C7"/>
    <w:rsid w:val="00C20AD5"/>
    <w:rsid w:val="00C20C14"/>
    <w:rsid w:val="00C20C3C"/>
    <w:rsid w:val="00C20D31"/>
    <w:rsid w:val="00C21094"/>
    <w:rsid w:val="00C21396"/>
    <w:rsid w:val="00C215C5"/>
    <w:rsid w:val="00C21788"/>
    <w:rsid w:val="00C219AE"/>
    <w:rsid w:val="00C21F4F"/>
    <w:rsid w:val="00C22445"/>
    <w:rsid w:val="00C23562"/>
    <w:rsid w:val="00C237B3"/>
    <w:rsid w:val="00C23BAA"/>
    <w:rsid w:val="00C24824"/>
    <w:rsid w:val="00C248B9"/>
    <w:rsid w:val="00C249F7"/>
    <w:rsid w:val="00C24ECF"/>
    <w:rsid w:val="00C24F36"/>
    <w:rsid w:val="00C24F83"/>
    <w:rsid w:val="00C25387"/>
    <w:rsid w:val="00C25459"/>
    <w:rsid w:val="00C2552B"/>
    <w:rsid w:val="00C2586D"/>
    <w:rsid w:val="00C26045"/>
    <w:rsid w:val="00C26341"/>
    <w:rsid w:val="00C268C3"/>
    <w:rsid w:val="00C268D4"/>
    <w:rsid w:val="00C26FCC"/>
    <w:rsid w:val="00C27192"/>
    <w:rsid w:val="00C271BA"/>
    <w:rsid w:val="00C273F5"/>
    <w:rsid w:val="00C275A4"/>
    <w:rsid w:val="00C27701"/>
    <w:rsid w:val="00C27777"/>
    <w:rsid w:val="00C2794C"/>
    <w:rsid w:val="00C2799C"/>
    <w:rsid w:val="00C27BBA"/>
    <w:rsid w:val="00C27D89"/>
    <w:rsid w:val="00C30187"/>
    <w:rsid w:val="00C306B3"/>
    <w:rsid w:val="00C3070C"/>
    <w:rsid w:val="00C307CF"/>
    <w:rsid w:val="00C30AA9"/>
    <w:rsid w:val="00C30E70"/>
    <w:rsid w:val="00C3121D"/>
    <w:rsid w:val="00C31231"/>
    <w:rsid w:val="00C31491"/>
    <w:rsid w:val="00C31671"/>
    <w:rsid w:val="00C316FB"/>
    <w:rsid w:val="00C3187F"/>
    <w:rsid w:val="00C31C1D"/>
    <w:rsid w:val="00C31C8F"/>
    <w:rsid w:val="00C31DD0"/>
    <w:rsid w:val="00C31EEE"/>
    <w:rsid w:val="00C323BA"/>
    <w:rsid w:val="00C32517"/>
    <w:rsid w:val="00C3288D"/>
    <w:rsid w:val="00C32BB0"/>
    <w:rsid w:val="00C32C53"/>
    <w:rsid w:val="00C32F8D"/>
    <w:rsid w:val="00C33149"/>
    <w:rsid w:val="00C3330D"/>
    <w:rsid w:val="00C33B26"/>
    <w:rsid w:val="00C33BD6"/>
    <w:rsid w:val="00C33EBE"/>
    <w:rsid w:val="00C33ED7"/>
    <w:rsid w:val="00C3413E"/>
    <w:rsid w:val="00C3478E"/>
    <w:rsid w:val="00C34EE9"/>
    <w:rsid w:val="00C35100"/>
    <w:rsid w:val="00C355A2"/>
    <w:rsid w:val="00C35919"/>
    <w:rsid w:val="00C35B19"/>
    <w:rsid w:val="00C3629F"/>
    <w:rsid w:val="00C362E3"/>
    <w:rsid w:val="00C36933"/>
    <w:rsid w:val="00C36ED4"/>
    <w:rsid w:val="00C371E5"/>
    <w:rsid w:val="00C37540"/>
    <w:rsid w:val="00C37548"/>
    <w:rsid w:val="00C3760A"/>
    <w:rsid w:val="00C37785"/>
    <w:rsid w:val="00C37AC6"/>
    <w:rsid w:val="00C40178"/>
    <w:rsid w:val="00C40917"/>
    <w:rsid w:val="00C40B5C"/>
    <w:rsid w:val="00C40FDA"/>
    <w:rsid w:val="00C4170A"/>
    <w:rsid w:val="00C41BD2"/>
    <w:rsid w:val="00C41C17"/>
    <w:rsid w:val="00C41CAE"/>
    <w:rsid w:val="00C41F4F"/>
    <w:rsid w:val="00C4256D"/>
    <w:rsid w:val="00C42729"/>
    <w:rsid w:val="00C4288A"/>
    <w:rsid w:val="00C42D58"/>
    <w:rsid w:val="00C435E9"/>
    <w:rsid w:val="00C43637"/>
    <w:rsid w:val="00C43A69"/>
    <w:rsid w:val="00C43B9B"/>
    <w:rsid w:val="00C43F8B"/>
    <w:rsid w:val="00C44211"/>
    <w:rsid w:val="00C443D5"/>
    <w:rsid w:val="00C44647"/>
    <w:rsid w:val="00C4483A"/>
    <w:rsid w:val="00C449C6"/>
    <w:rsid w:val="00C44DE5"/>
    <w:rsid w:val="00C4500C"/>
    <w:rsid w:val="00C4510D"/>
    <w:rsid w:val="00C4564E"/>
    <w:rsid w:val="00C462F2"/>
    <w:rsid w:val="00C466BC"/>
    <w:rsid w:val="00C4691D"/>
    <w:rsid w:val="00C46B18"/>
    <w:rsid w:val="00C46E26"/>
    <w:rsid w:val="00C471FB"/>
    <w:rsid w:val="00C47E06"/>
    <w:rsid w:val="00C47F96"/>
    <w:rsid w:val="00C50E13"/>
    <w:rsid w:val="00C50F17"/>
    <w:rsid w:val="00C5102D"/>
    <w:rsid w:val="00C514CB"/>
    <w:rsid w:val="00C51D83"/>
    <w:rsid w:val="00C51E9F"/>
    <w:rsid w:val="00C522B5"/>
    <w:rsid w:val="00C522CA"/>
    <w:rsid w:val="00C522F0"/>
    <w:rsid w:val="00C52351"/>
    <w:rsid w:val="00C523DF"/>
    <w:rsid w:val="00C52668"/>
    <w:rsid w:val="00C527ED"/>
    <w:rsid w:val="00C528A4"/>
    <w:rsid w:val="00C528E0"/>
    <w:rsid w:val="00C52A1E"/>
    <w:rsid w:val="00C52DA5"/>
    <w:rsid w:val="00C52DA7"/>
    <w:rsid w:val="00C53631"/>
    <w:rsid w:val="00C536E5"/>
    <w:rsid w:val="00C53ADC"/>
    <w:rsid w:val="00C541EC"/>
    <w:rsid w:val="00C54698"/>
    <w:rsid w:val="00C54709"/>
    <w:rsid w:val="00C54A0B"/>
    <w:rsid w:val="00C54A1A"/>
    <w:rsid w:val="00C54A8D"/>
    <w:rsid w:val="00C54B76"/>
    <w:rsid w:val="00C54CE2"/>
    <w:rsid w:val="00C55575"/>
    <w:rsid w:val="00C555A3"/>
    <w:rsid w:val="00C55C44"/>
    <w:rsid w:val="00C55EBD"/>
    <w:rsid w:val="00C56800"/>
    <w:rsid w:val="00C56B28"/>
    <w:rsid w:val="00C56CBD"/>
    <w:rsid w:val="00C56CD6"/>
    <w:rsid w:val="00C56CFF"/>
    <w:rsid w:val="00C571BF"/>
    <w:rsid w:val="00C5724C"/>
    <w:rsid w:val="00C57808"/>
    <w:rsid w:val="00C57827"/>
    <w:rsid w:val="00C57E3E"/>
    <w:rsid w:val="00C57E74"/>
    <w:rsid w:val="00C6002F"/>
    <w:rsid w:val="00C604FC"/>
    <w:rsid w:val="00C60AFF"/>
    <w:rsid w:val="00C60DCD"/>
    <w:rsid w:val="00C60F77"/>
    <w:rsid w:val="00C612BF"/>
    <w:rsid w:val="00C61388"/>
    <w:rsid w:val="00C61603"/>
    <w:rsid w:val="00C6163A"/>
    <w:rsid w:val="00C61B4F"/>
    <w:rsid w:val="00C61B7E"/>
    <w:rsid w:val="00C61E3C"/>
    <w:rsid w:val="00C61EC2"/>
    <w:rsid w:val="00C62508"/>
    <w:rsid w:val="00C62EF1"/>
    <w:rsid w:val="00C63176"/>
    <w:rsid w:val="00C634E1"/>
    <w:rsid w:val="00C6388A"/>
    <w:rsid w:val="00C63BBC"/>
    <w:rsid w:val="00C6448E"/>
    <w:rsid w:val="00C6486A"/>
    <w:rsid w:val="00C64A0E"/>
    <w:rsid w:val="00C653F5"/>
    <w:rsid w:val="00C6563D"/>
    <w:rsid w:val="00C66751"/>
    <w:rsid w:val="00C6720D"/>
    <w:rsid w:val="00C67800"/>
    <w:rsid w:val="00C7063F"/>
    <w:rsid w:val="00C706F8"/>
    <w:rsid w:val="00C70953"/>
    <w:rsid w:val="00C70A6A"/>
    <w:rsid w:val="00C70B16"/>
    <w:rsid w:val="00C70C59"/>
    <w:rsid w:val="00C70D35"/>
    <w:rsid w:val="00C70F84"/>
    <w:rsid w:val="00C71323"/>
    <w:rsid w:val="00C71D2A"/>
    <w:rsid w:val="00C71DE5"/>
    <w:rsid w:val="00C71E8A"/>
    <w:rsid w:val="00C720B3"/>
    <w:rsid w:val="00C7228B"/>
    <w:rsid w:val="00C72442"/>
    <w:rsid w:val="00C72BA6"/>
    <w:rsid w:val="00C73163"/>
    <w:rsid w:val="00C732A5"/>
    <w:rsid w:val="00C73567"/>
    <w:rsid w:val="00C73618"/>
    <w:rsid w:val="00C73630"/>
    <w:rsid w:val="00C7393A"/>
    <w:rsid w:val="00C745D5"/>
    <w:rsid w:val="00C74728"/>
    <w:rsid w:val="00C74996"/>
    <w:rsid w:val="00C74B64"/>
    <w:rsid w:val="00C74F4D"/>
    <w:rsid w:val="00C75ABF"/>
    <w:rsid w:val="00C75D7C"/>
    <w:rsid w:val="00C75EEC"/>
    <w:rsid w:val="00C765ED"/>
    <w:rsid w:val="00C76625"/>
    <w:rsid w:val="00C766DB"/>
    <w:rsid w:val="00C7678C"/>
    <w:rsid w:val="00C76ABA"/>
    <w:rsid w:val="00C76D3D"/>
    <w:rsid w:val="00C76E18"/>
    <w:rsid w:val="00C76EAF"/>
    <w:rsid w:val="00C77020"/>
    <w:rsid w:val="00C774AA"/>
    <w:rsid w:val="00C77604"/>
    <w:rsid w:val="00C776D9"/>
    <w:rsid w:val="00C77716"/>
    <w:rsid w:val="00C77AD3"/>
    <w:rsid w:val="00C77C38"/>
    <w:rsid w:val="00C77E52"/>
    <w:rsid w:val="00C802A0"/>
    <w:rsid w:val="00C80760"/>
    <w:rsid w:val="00C80B88"/>
    <w:rsid w:val="00C81078"/>
    <w:rsid w:val="00C8169F"/>
    <w:rsid w:val="00C823E7"/>
    <w:rsid w:val="00C8258B"/>
    <w:rsid w:val="00C829DB"/>
    <w:rsid w:val="00C829DC"/>
    <w:rsid w:val="00C82DBE"/>
    <w:rsid w:val="00C8315A"/>
    <w:rsid w:val="00C836A9"/>
    <w:rsid w:val="00C83F3D"/>
    <w:rsid w:val="00C842AB"/>
    <w:rsid w:val="00C8467A"/>
    <w:rsid w:val="00C84715"/>
    <w:rsid w:val="00C847AE"/>
    <w:rsid w:val="00C847EF"/>
    <w:rsid w:val="00C84C5A"/>
    <w:rsid w:val="00C84CA5"/>
    <w:rsid w:val="00C85681"/>
    <w:rsid w:val="00C86016"/>
    <w:rsid w:val="00C86095"/>
    <w:rsid w:val="00C86113"/>
    <w:rsid w:val="00C861F0"/>
    <w:rsid w:val="00C8629A"/>
    <w:rsid w:val="00C862F0"/>
    <w:rsid w:val="00C8644E"/>
    <w:rsid w:val="00C86E22"/>
    <w:rsid w:val="00C86ECC"/>
    <w:rsid w:val="00C87CBC"/>
    <w:rsid w:val="00C87D7C"/>
    <w:rsid w:val="00C87E38"/>
    <w:rsid w:val="00C90162"/>
    <w:rsid w:val="00C90645"/>
    <w:rsid w:val="00C91682"/>
    <w:rsid w:val="00C91DBB"/>
    <w:rsid w:val="00C920EE"/>
    <w:rsid w:val="00C921F2"/>
    <w:rsid w:val="00C92297"/>
    <w:rsid w:val="00C92482"/>
    <w:rsid w:val="00C925BD"/>
    <w:rsid w:val="00C92B29"/>
    <w:rsid w:val="00C9301F"/>
    <w:rsid w:val="00C93101"/>
    <w:rsid w:val="00C93215"/>
    <w:rsid w:val="00C932EA"/>
    <w:rsid w:val="00C93571"/>
    <w:rsid w:val="00C94235"/>
    <w:rsid w:val="00C942D7"/>
    <w:rsid w:val="00C94F24"/>
    <w:rsid w:val="00C950F6"/>
    <w:rsid w:val="00C95275"/>
    <w:rsid w:val="00C9539E"/>
    <w:rsid w:val="00C95707"/>
    <w:rsid w:val="00C95F0A"/>
    <w:rsid w:val="00C95FB2"/>
    <w:rsid w:val="00C95FF0"/>
    <w:rsid w:val="00C9643F"/>
    <w:rsid w:val="00C96AF9"/>
    <w:rsid w:val="00C96ED5"/>
    <w:rsid w:val="00C96EEF"/>
    <w:rsid w:val="00C97192"/>
    <w:rsid w:val="00C973F5"/>
    <w:rsid w:val="00C97A70"/>
    <w:rsid w:val="00C97C43"/>
    <w:rsid w:val="00C97CF8"/>
    <w:rsid w:val="00CA04B4"/>
    <w:rsid w:val="00CA081F"/>
    <w:rsid w:val="00CA0A76"/>
    <w:rsid w:val="00CA0B17"/>
    <w:rsid w:val="00CA0B3D"/>
    <w:rsid w:val="00CA0B43"/>
    <w:rsid w:val="00CA1111"/>
    <w:rsid w:val="00CA12F6"/>
    <w:rsid w:val="00CA1454"/>
    <w:rsid w:val="00CA16B0"/>
    <w:rsid w:val="00CA1982"/>
    <w:rsid w:val="00CA1B36"/>
    <w:rsid w:val="00CA1C0A"/>
    <w:rsid w:val="00CA207C"/>
    <w:rsid w:val="00CA21EF"/>
    <w:rsid w:val="00CA2A99"/>
    <w:rsid w:val="00CA2D11"/>
    <w:rsid w:val="00CA30F9"/>
    <w:rsid w:val="00CA36C4"/>
    <w:rsid w:val="00CA37B7"/>
    <w:rsid w:val="00CA46C3"/>
    <w:rsid w:val="00CA4AC9"/>
    <w:rsid w:val="00CA4CC4"/>
    <w:rsid w:val="00CA52B8"/>
    <w:rsid w:val="00CA5736"/>
    <w:rsid w:val="00CA5747"/>
    <w:rsid w:val="00CA5C5F"/>
    <w:rsid w:val="00CA6271"/>
    <w:rsid w:val="00CA65A0"/>
    <w:rsid w:val="00CA65F0"/>
    <w:rsid w:val="00CA66EA"/>
    <w:rsid w:val="00CA678A"/>
    <w:rsid w:val="00CA6B79"/>
    <w:rsid w:val="00CA6CBB"/>
    <w:rsid w:val="00CA7302"/>
    <w:rsid w:val="00CB011A"/>
    <w:rsid w:val="00CB0799"/>
    <w:rsid w:val="00CB08CD"/>
    <w:rsid w:val="00CB1821"/>
    <w:rsid w:val="00CB18D0"/>
    <w:rsid w:val="00CB1C46"/>
    <w:rsid w:val="00CB1EB8"/>
    <w:rsid w:val="00CB1F3A"/>
    <w:rsid w:val="00CB2148"/>
    <w:rsid w:val="00CB2371"/>
    <w:rsid w:val="00CB2674"/>
    <w:rsid w:val="00CB2CA5"/>
    <w:rsid w:val="00CB3EC8"/>
    <w:rsid w:val="00CB3FDC"/>
    <w:rsid w:val="00CB4197"/>
    <w:rsid w:val="00CB42DD"/>
    <w:rsid w:val="00CB42EF"/>
    <w:rsid w:val="00CB49F7"/>
    <w:rsid w:val="00CB4D5C"/>
    <w:rsid w:val="00CB5177"/>
    <w:rsid w:val="00CB5218"/>
    <w:rsid w:val="00CB52ED"/>
    <w:rsid w:val="00CB543E"/>
    <w:rsid w:val="00CB5447"/>
    <w:rsid w:val="00CB54D3"/>
    <w:rsid w:val="00CB55F3"/>
    <w:rsid w:val="00CB5811"/>
    <w:rsid w:val="00CB61B7"/>
    <w:rsid w:val="00CB621B"/>
    <w:rsid w:val="00CB66A1"/>
    <w:rsid w:val="00CB67D1"/>
    <w:rsid w:val="00CB72AE"/>
    <w:rsid w:val="00CB7D12"/>
    <w:rsid w:val="00CC099A"/>
    <w:rsid w:val="00CC0EAF"/>
    <w:rsid w:val="00CC0FE7"/>
    <w:rsid w:val="00CC11D8"/>
    <w:rsid w:val="00CC1264"/>
    <w:rsid w:val="00CC12B1"/>
    <w:rsid w:val="00CC12CE"/>
    <w:rsid w:val="00CC197E"/>
    <w:rsid w:val="00CC19FD"/>
    <w:rsid w:val="00CC1AB1"/>
    <w:rsid w:val="00CC1FDB"/>
    <w:rsid w:val="00CC2B27"/>
    <w:rsid w:val="00CC31AD"/>
    <w:rsid w:val="00CC3931"/>
    <w:rsid w:val="00CC3F5D"/>
    <w:rsid w:val="00CC47DF"/>
    <w:rsid w:val="00CC4B9D"/>
    <w:rsid w:val="00CC4DD8"/>
    <w:rsid w:val="00CC6119"/>
    <w:rsid w:val="00CC61F4"/>
    <w:rsid w:val="00CC662F"/>
    <w:rsid w:val="00CC66A1"/>
    <w:rsid w:val="00CC6A61"/>
    <w:rsid w:val="00CC6D8E"/>
    <w:rsid w:val="00CC707C"/>
    <w:rsid w:val="00CC78BD"/>
    <w:rsid w:val="00CC7B2C"/>
    <w:rsid w:val="00CC7DDD"/>
    <w:rsid w:val="00CD0617"/>
    <w:rsid w:val="00CD0790"/>
    <w:rsid w:val="00CD0CCF"/>
    <w:rsid w:val="00CD0DCC"/>
    <w:rsid w:val="00CD0E95"/>
    <w:rsid w:val="00CD141F"/>
    <w:rsid w:val="00CD1A2B"/>
    <w:rsid w:val="00CD2138"/>
    <w:rsid w:val="00CD2771"/>
    <w:rsid w:val="00CD27D1"/>
    <w:rsid w:val="00CD27F1"/>
    <w:rsid w:val="00CD28DE"/>
    <w:rsid w:val="00CD2B1F"/>
    <w:rsid w:val="00CD2BB3"/>
    <w:rsid w:val="00CD2C43"/>
    <w:rsid w:val="00CD2E24"/>
    <w:rsid w:val="00CD2F57"/>
    <w:rsid w:val="00CD366F"/>
    <w:rsid w:val="00CD394A"/>
    <w:rsid w:val="00CD3BC9"/>
    <w:rsid w:val="00CD3BF2"/>
    <w:rsid w:val="00CD3D7C"/>
    <w:rsid w:val="00CD4598"/>
    <w:rsid w:val="00CD4A69"/>
    <w:rsid w:val="00CD4BC2"/>
    <w:rsid w:val="00CD4C76"/>
    <w:rsid w:val="00CD5101"/>
    <w:rsid w:val="00CD555A"/>
    <w:rsid w:val="00CD57A3"/>
    <w:rsid w:val="00CD5C69"/>
    <w:rsid w:val="00CD5E54"/>
    <w:rsid w:val="00CD6005"/>
    <w:rsid w:val="00CD63D9"/>
    <w:rsid w:val="00CD644E"/>
    <w:rsid w:val="00CD6486"/>
    <w:rsid w:val="00CD6C24"/>
    <w:rsid w:val="00CD7254"/>
    <w:rsid w:val="00CD7783"/>
    <w:rsid w:val="00CD780A"/>
    <w:rsid w:val="00CD7953"/>
    <w:rsid w:val="00CD79B6"/>
    <w:rsid w:val="00CD79D7"/>
    <w:rsid w:val="00CD7EF1"/>
    <w:rsid w:val="00CE001A"/>
    <w:rsid w:val="00CE003E"/>
    <w:rsid w:val="00CE0052"/>
    <w:rsid w:val="00CE0194"/>
    <w:rsid w:val="00CE0374"/>
    <w:rsid w:val="00CE03CE"/>
    <w:rsid w:val="00CE0525"/>
    <w:rsid w:val="00CE0727"/>
    <w:rsid w:val="00CE0AC7"/>
    <w:rsid w:val="00CE0E98"/>
    <w:rsid w:val="00CE1376"/>
    <w:rsid w:val="00CE16FC"/>
    <w:rsid w:val="00CE184E"/>
    <w:rsid w:val="00CE1E13"/>
    <w:rsid w:val="00CE2131"/>
    <w:rsid w:val="00CE2859"/>
    <w:rsid w:val="00CE2891"/>
    <w:rsid w:val="00CE2B59"/>
    <w:rsid w:val="00CE2FD6"/>
    <w:rsid w:val="00CE3F70"/>
    <w:rsid w:val="00CE4012"/>
    <w:rsid w:val="00CE41D6"/>
    <w:rsid w:val="00CE4538"/>
    <w:rsid w:val="00CE45BC"/>
    <w:rsid w:val="00CE46E5"/>
    <w:rsid w:val="00CE4A0D"/>
    <w:rsid w:val="00CE4B45"/>
    <w:rsid w:val="00CE5096"/>
    <w:rsid w:val="00CE5188"/>
    <w:rsid w:val="00CE57FF"/>
    <w:rsid w:val="00CE62A2"/>
    <w:rsid w:val="00CE62F7"/>
    <w:rsid w:val="00CE6427"/>
    <w:rsid w:val="00CE6527"/>
    <w:rsid w:val="00CE6C30"/>
    <w:rsid w:val="00CE6D46"/>
    <w:rsid w:val="00CE6E77"/>
    <w:rsid w:val="00CE7189"/>
    <w:rsid w:val="00CE71F7"/>
    <w:rsid w:val="00CE7376"/>
    <w:rsid w:val="00CE74F0"/>
    <w:rsid w:val="00CE761E"/>
    <w:rsid w:val="00CE7938"/>
    <w:rsid w:val="00CE7AB6"/>
    <w:rsid w:val="00CE7ABB"/>
    <w:rsid w:val="00CF0544"/>
    <w:rsid w:val="00CF0787"/>
    <w:rsid w:val="00CF09E3"/>
    <w:rsid w:val="00CF0DC6"/>
    <w:rsid w:val="00CF1173"/>
    <w:rsid w:val="00CF2018"/>
    <w:rsid w:val="00CF2AC3"/>
    <w:rsid w:val="00CF2CB9"/>
    <w:rsid w:val="00CF2F4A"/>
    <w:rsid w:val="00CF2FD2"/>
    <w:rsid w:val="00CF311D"/>
    <w:rsid w:val="00CF3447"/>
    <w:rsid w:val="00CF3F98"/>
    <w:rsid w:val="00CF4229"/>
    <w:rsid w:val="00CF430C"/>
    <w:rsid w:val="00CF4469"/>
    <w:rsid w:val="00CF4789"/>
    <w:rsid w:val="00CF49AD"/>
    <w:rsid w:val="00CF4CB6"/>
    <w:rsid w:val="00CF4F6B"/>
    <w:rsid w:val="00CF5124"/>
    <w:rsid w:val="00CF51A6"/>
    <w:rsid w:val="00CF5F76"/>
    <w:rsid w:val="00CF64B7"/>
    <w:rsid w:val="00CF6613"/>
    <w:rsid w:val="00CF6A0A"/>
    <w:rsid w:val="00CF6B85"/>
    <w:rsid w:val="00CF6E85"/>
    <w:rsid w:val="00CF6F0D"/>
    <w:rsid w:val="00CF7378"/>
    <w:rsid w:val="00CF76FB"/>
    <w:rsid w:val="00CF77A1"/>
    <w:rsid w:val="00CF77A2"/>
    <w:rsid w:val="00CF7A2D"/>
    <w:rsid w:val="00CF7DD5"/>
    <w:rsid w:val="00D0066E"/>
    <w:rsid w:val="00D00873"/>
    <w:rsid w:val="00D00E48"/>
    <w:rsid w:val="00D00E7D"/>
    <w:rsid w:val="00D0104D"/>
    <w:rsid w:val="00D013A4"/>
    <w:rsid w:val="00D01493"/>
    <w:rsid w:val="00D01657"/>
    <w:rsid w:val="00D01A1B"/>
    <w:rsid w:val="00D01C20"/>
    <w:rsid w:val="00D020B0"/>
    <w:rsid w:val="00D0210A"/>
    <w:rsid w:val="00D02365"/>
    <w:rsid w:val="00D02786"/>
    <w:rsid w:val="00D02E3A"/>
    <w:rsid w:val="00D02E3E"/>
    <w:rsid w:val="00D032D7"/>
    <w:rsid w:val="00D0352E"/>
    <w:rsid w:val="00D03E64"/>
    <w:rsid w:val="00D04163"/>
    <w:rsid w:val="00D046DD"/>
    <w:rsid w:val="00D04D3F"/>
    <w:rsid w:val="00D04E9B"/>
    <w:rsid w:val="00D05041"/>
    <w:rsid w:val="00D05132"/>
    <w:rsid w:val="00D05134"/>
    <w:rsid w:val="00D051CC"/>
    <w:rsid w:val="00D0525A"/>
    <w:rsid w:val="00D05624"/>
    <w:rsid w:val="00D05956"/>
    <w:rsid w:val="00D05A79"/>
    <w:rsid w:val="00D05B98"/>
    <w:rsid w:val="00D05D59"/>
    <w:rsid w:val="00D05FBE"/>
    <w:rsid w:val="00D06396"/>
    <w:rsid w:val="00D06599"/>
    <w:rsid w:val="00D0667D"/>
    <w:rsid w:val="00D07047"/>
    <w:rsid w:val="00D0740F"/>
    <w:rsid w:val="00D077B8"/>
    <w:rsid w:val="00D07879"/>
    <w:rsid w:val="00D07ACC"/>
    <w:rsid w:val="00D1032D"/>
    <w:rsid w:val="00D108EB"/>
    <w:rsid w:val="00D10D77"/>
    <w:rsid w:val="00D10E54"/>
    <w:rsid w:val="00D10F43"/>
    <w:rsid w:val="00D117FF"/>
    <w:rsid w:val="00D11BC7"/>
    <w:rsid w:val="00D1216B"/>
    <w:rsid w:val="00D1231C"/>
    <w:rsid w:val="00D1279A"/>
    <w:rsid w:val="00D12BCD"/>
    <w:rsid w:val="00D12BD7"/>
    <w:rsid w:val="00D131F1"/>
    <w:rsid w:val="00D13249"/>
    <w:rsid w:val="00D132A5"/>
    <w:rsid w:val="00D132F6"/>
    <w:rsid w:val="00D13430"/>
    <w:rsid w:val="00D134C6"/>
    <w:rsid w:val="00D136C5"/>
    <w:rsid w:val="00D13823"/>
    <w:rsid w:val="00D13DC0"/>
    <w:rsid w:val="00D13E24"/>
    <w:rsid w:val="00D14209"/>
    <w:rsid w:val="00D14514"/>
    <w:rsid w:val="00D14811"/>
    <w:rsid w:val="00D14FF4"/>
    <w:rsid w:val="00D15585"/>
    <w:rsid w:val="00D15593"/>
    <w:rsid w:val="00D1559A"/>
    <w:rsid w:val="00D1564B"/>
    <w:rsid w:val="00D15955"/>
    <w:rsid w:val="00D159BC"/>
    <w:rsid w:val="00D15A32"/>
    <w:rsid w:val="00D166D5"/>
    <w:rsid w:val="00D16D08"/>
    <w:rsid w:val="00D16E1C"/>
    <w:rsid w:val="00D17138"/>
    <w:rsid w:val="00D17417"/>
    <w:rsid w:val="00D17554"/>
    <w:rsid w:val="00D179E7"/>
    <w:rsid w:val="00D17C81"/>
    <w:rsid w:val="00D17DFE"/>
    <w:rsid w:val="00D17F86"/>
    <w:rsid w:val="00D20195"/>
    <w:rsid w:val="00D205A3"/>
    <w:rsid w:val="00D20DAA"/>
    <w:rsid w:val="00D214B5"/>
    <w:rsid w:val="00D21530"/>
    <w:rsid w:val="00D21696"/>
    <w:rsid w:val="00D21C30"/>
    <w:rsid w:val="00D21D54"/>
    <w:rsid w:val="00D2261A"/>
    <w:rsid w:val="00D2273B"/>
    <w:rsid w:val="00D22AC0"/>
    <w:rsid w:val="00D23233"/>
    <w:rsid w:val="00D23317"/>
    <w:rsid w:val="00D239F9"/>
    <w:rsid w:val="00D2435E"/>
    <w:rsid w:val="00D243FA"/>
    <w:rsid w:val="00D244EA"/>
    <w:rsid w:val="00D24606"/>
    <w:rsid w:val="00D24AE5"/>
    <w:rsid w:val="00D24E5D"/>
    <w:rsid w:val="00D24E74"/>
    <w:rsid w:val="00D24F44"/>
    <w:rsid w:val="00D25092"/>
    <w:rsid w:val="00D25120"/>
    <w:rsid w:val="00D25139"/>
    <w:rsid w:val="00D25372"/>
    <w:rsid w:val="00D25407"/>
    <w:rsid w:val="00D25423"/>
    <w:rsid w:val="00D255EC"/>
    <w:rsid w:val="00D25CCD"/>
    <w:rsid w:val="00D26046"/>
    <w:rsid w:val="00D261D7"/>
    <w:rsid w:val="00D26311"/>
    <w:rsid w:val="00D263AE"/>
    <w:rsid w:val="00D263DA"/>
    <w:rsid w:val="00D26B11"/>
    <w:rsid w:val="00D27555"/>
    <w:rsid w:val="00D2771C"/>
    <w:rsid w:val="00D277F4"/>
    <w:rsid w:val="00D278C0"/>
    <w:rsid w:val="00D27B85"/>
    <w:rsid w:val="00D27FDC"/>
    <w:rsid w:val="00D301ED"/>
    <w:rsid w:val="00D30553"/>
    <w:rsid w:val="00D3063A"/>
    <w:rsid w:val="00D30F5A"/>
    <w:rsid w:val="00D3115B"/>
    <w:rsid w:val="00D319E5"/>
    <w:rsid w:val="00D31EED"/>
    <w:rsid w:val="00D32573"/>
    <w:rsid w:val="00D32EE7"/>
    <w:rsid w:val="00D33162"/>
    <w:rsid w:val="00D332B0"/>
    <w:rsid w:val="00D33C75"/>
    <w:rsid w:val="00D33CCA"/>
    <w:rsid w:val="00D33DD3"/>
    <w:rsid w:val="00D34125"/>
    <w:rsid w:val="00D34A48"/>
    <w:rsid w:val="00D34A9A"/>
    <w:rsid w:val="00D354BB"/>
    <w:rsid w:val="00D359D5"/>
    <w:rsid w:val="00D35BFC"/>
    <w:rsid w:val="00D35DC8"/>
    <w:rsid w:val="00D35F51"/>
    <w:rsid w:val="00D369B4"/>
    <w:rsid w:val="00D37727"/>
    <w:rsid w:val="00D3790E"/>
    <w:rsid w:val="00D37A67"/>
    <w:rsid w:val="00D37E10"/>
    <w:rsid w:val="00D37EE8"/>
    <w:rsid w:val="00D37EFC"/>
    <w:rsid w:val="00D40369"/>
    <w:rsid w:val="00D4048A"/>
    <w:rsid w:val="00D40764"/>
    <w:rsid w:val="00D41044"/>
    <w:rsid w:val="00D42139"/>
    <w:rsid w:val="00D42283"/>
    <w:rsid w:val="00D42555"/>
    <w:rsid w:val="00D4299F"/>
    <w:rsid w:val="00D42BDD"/>
    <w:rsid w:val="00D42D12"/>
    <w:rsid w:val="00D432A2"/>
    <w:rsid w:val="00D43A8D"/>
    <w:rsid w:val="00D43AF6"/>
    <w:rsid w:val="00D440E3"/>
    <w:rsid w:val="00D44448"/>
    <w:rsid w:val="00D44A00"/>
    <w:rsid w:val="00D44BF5"/>
    <w:rsid w:val="00D44F20"/>
    <w:rsid w:val="00D4530F"/>
    <w:rsid w:val="00D45830"/>
    <w:rsid w:val="00D45EEC"/>
    <w:rsid w:val="00D46028"/>
    <w:rsid w:val="00D46118"/>
    <w:rsid w:val="00D464D1"/>
    <w:rsid w:val="00D46BAC"/>
    <w:rsid w:val="00D46C87"/>
    <w:rsid w:val="00D471FC"/>
    <w:rsid w:val="00D474C1"/>
    <w:rsid w:val="00D47998"/>
    <w:rsid w:val="00D47DF0"/>
    <w:rsid w:val="00D50091"/>
    <w:rsid w:val="00D50184"/>
    <w:rsid w:val="00D50451"/>
    <w:rsid w:val="00D504A2"/>
    <w:rsid w:val="00D509C1"/>
    <w:rsid w:val="00D50AA6"/>
    <w:rsid w:val="00D50D9A"/>
    <w:rsid w:val="00D50DCC"/>
    <w:rsid w:val="00D510C6"/>
    <w:rsid w:val="00D51563"/>
    <w:rsid w:val="00D51761"/>
    <w:rsid w:val="00D51D0E"/>
    <w:rsid w:val="00D51D1D"/>
    <w:rsid w:val="00D520DB"/>
    <w:rsid w:val="00D521AD"/>
    <w:rsid w:val="00D526FE"/>
    <w:rsid w:val="00D52AE9"/>
    <w:rsid w:val="00D52B2E"/>
    <w:rsid w:val="00D52DF0"/>
    <w:rsid w:val="00D530E9"/>
    <w:rsid w:val="00D53632"/>
    <w:rsid w:val="00D53685"/>
    <w:rsid w:val="00D538D7"/>
    <w:rsid w:val="00D54943"/>
    <w:rsid w:val="00D54B7B"/>
    <w:rsid w:val="00D54CF7"/>
    <w:rsid w:val="00D55290"/>
    <w:rsid w:val="00D553F3"/>
    <w:rsid w:val="00D55526"/>
    <w:rsid w:val="00D556F8"/>
    <w:rsid w:val="00D55E22"/>
    <w:rsid w:val="00D561AF"/>
    <w:rsid w:val="00D56523"/>
    <w:rsid w:val="00D56C98"/>
    <w:rsid w:val="00D57332"/>
    <w:rsid w:val="00D57547"/>
    <w:rsid w:val="00D575D7"/>
    <w:rsid w:val="00D576CE"/>
    <w:rsid w:val="00D6020F"/>
    <w:rsid w:val="00D6026F"/>
    <w:rsid w:val="00D606BA"/>
    <w:rsid w:val="00D607CC"/>
    <w:rsid w:val="00D60DB8"/>
    <w:rsid w:val="00D618EE"/>
    <w:rsid w:val="00D61B36"/>
    <w:rsid w:val="00D61D6E"/>
    <w:rsid w:val="00D61DAB"/>
    <w:rsid w:val="00D6298A"/>
    <w:rsid w:val="00D62DD2"/>
    <w:rsid w:val="00D63210"/>
    <w:rsid w:val="00D63300"/>
    <w:rsid w:val="00D637CB"/>
    <w:rsid w:val="00D63B3C"/>
    <w:rsid w:val="00D63D1D"/>
    <w:rsid w:val="00D63E85"/>
    <w:rsid w:val="00D64A58"/>
    <w:rsid w:val="00D64E59"/>
    <w:rsid w:val="00D64EE7"/>
    <w:rsid w:val="00D64F2F"/>
    <w:rsid w:val="00D65091"/>
    <w:rsid w:val="00D657FB"/>
    <w:rsid w:val="00D659FA"/>
    <w:rsid w:val="00D669C0"/>
    <w:rsid w:val="00D66A83"/>
    <w:rsid w:val="00D66AA0"/>
    <w:rsid w:val="00D66BBD"/>
    <w:rsid w:val="00D6738F"/>
    <w:rsid w:val="00D675B0"/>
    <w:rsid w:val="00D679D8"/>
    <w:rsid w:val="00D67F63"/>
    <w:rsid w:val="00D67FEB"/>
    <w:rsid w:val="00D7037D"/>
    <w:rsid w:val="00D70E03"/>
    <w:rsid w:val="00D7116C"/>
    <w:rsid w:val="00D715FC"/>
    <w:rsid w:val="00D71DB2"/>
    <w:rsid w:val="00D71FAB"/>
    <w:rsid w:val="00D72042"/>
    <w:rsid w:val="00D732B0"/>
    <w:rsid w:val="00D736FC"/>
    <w:rsid w:val="00D7379E"/>
    <w:rsid w:val="00D738F4"/>
    <w:rsid w:val="00D74FDC"/>
    <w:rsid w:val="00D7549C"/>
    <w:rsid w:val="00D75AEF"/>
    <w:rsid w:val="00D75B57"/>
    <w:rsid w:val="00D75BF2"/>
    <w:rsid w:val="00D75EC6"/>
    <w:rsid w:val="00D76240"/>
    <w:rsid w:val="00D7634C"/>
    <w:rsid w:val="00D76988"/>
    <w:rsid w:val="00D76A28"/>
    <w:rsid w:val="00D76BF7"/>
    <w:rsid w:val="00D772E0"/>
    <w:rsid w:val="00D7748B"/>
    <w:rsid w:val="00D77986"/>
    <w:rsid w:val="00D77B35"/>
    <w:rsid w:val="00D77CEA"/>
    <w:rsid w:val="00D77D01"/>
    <w:rsid w:val="00D77E01"/>
    <w:rsid w:val="00D77EB6"/>
    <w:rsid w:val="00D8067C"/>
    <w:rsid w:val="00D808FC"/>
    <w:rsid w:val="00D80B41"/>
    <w:rsid w:val="00D80F7F"/>
    <w:rsid w:val="00D811B3"/>
    <w:rsid w:val="00D815BD"/>
    <w:rsid w:val="00D817A0"/>
    <w:rsid w:val="00D81973"/>
    <w:rsid w:val="00D81AF5"/>
    <w:rsid w:val="00D82067"/>
    <w:rsid w:val="00D82840"/>
    <w:rsid w:val="00D82AD4"/>
    <w:rsid w:val="00D83159"/>
    <w:rsid w:val="00D8371B"/>
    <w:rsid w:val="00D83762"/>
    <w:rsid w:val="00D83820"/>
    <w:rsid w:val="00D838E1"/>
    <w:rsid w:val="00D83FCB"/>
    <w:rsid w:val="00D8428D"/>
    <w:rsid w:val="00D8453C"/>
    <w:rsid w:val="00D846DA"/>
    <w:rsid w:val="00D8470E"/>
    <w:rsid w:val="00D848E4"/>
    <w:rsid w:val="00D84A40"/>
    <w:rsid w:val="00D84D54"/>
    <w:rsid w:val="00D84EC6"/>
    <w:rsid w:val="00D84FC4"/>
    <w:rsid w:val="00D85007"/>
    <w:rsid w:val="00D8600B"/>
    <w:rsid w:val="00D86847"/>
    <w:rsid w:val="00D86C04"/>
    <w:rsid w:val="00D8714F"/>
    <w:rsid w:val="00D873E9"/>
    <w:rsid w:val="00D87520"/>
    <w:rsid w:val="00D87570"/>
    <w:rsid w:val="00D87667"/>
    <w:rsid w:val="00D876EF"/>
    <w:rsid w:val="00D87935"/>
    <w:rsid w:val="00D879ED"/>
    <w:rsid w:val="00D87F2E"/>
    <w:rsid w:val="00D90197"/>
    <w:rsid w:val="00D9085D"/>
    <w:rsid w:val="00D90F1B"/>
    <w:rsid w:val="00D9104B"/>
    <w:rsid w:val="00D910A5"/>
    <w:rsid w:val="00D91443"/>
    <w:rsid w:val="00D915C4"/>
    <w:rsid w:val="00D91D33"/>
    <w:rsid w:val="00D920BF"/>
    <w:rsid w:val="00D92146"/>
    <w:rsid w:val="00D922BF"/>
    <w:rsid w:val="00D9236A"/>
    <w:rsid w:val="00D92552"/>
    <w:rsid w:val="00D925BE"/>
    <w:rsid w:val="00D92ADD"/>
    <w:rsid w:val="00D92CE9"/>
    <w:rsid w:val="00D93102"/>
    <w:rsid w:val="00D9329F"/>
    <w:rsid w:val="00D932EB"/>
    <w:rsid w:val="00D93EEC"/>
    <w:rsid w:val="00D944B2"/>
    <w:rsid w:val="00D94738"/>
    <w:rsid w:val="00D9494D"/>
    <w:rsid w:val="00D94F57"/>
    <w:rsid w:val="00D951B6"/>
    <w:rsid w:val="00D95996"/>
    <w:rsid w:val="00D95B51"/>
    <w:rsid w:val="00D95BEF"/>
    <w:rsid w:val="00D95CAF"/>
    <w:rsid w:val="00D96817"/>
    <w:rsid w:val="00D96DC7"/>
    <w:rsid w:val="00D9724B"/>
    <w:rsid w:val="00D97483"/>
    <w:rsid w:val="00D975FA"/>
    <w:rsid w:val="00D97806"/>
    <w:rsid w:val="00D97B46"/>
    <w:rsid w:val="00D97EC9"/>
    <w:rsid w:val="00DA0718"/>
    <w:rsid w:val="00DA0C75"/>
    <w:rsid w:val="00DA1205"/>
    <w:rsid w:val="00DA16AA"/>
    <w:rsid w:val="00DA16D5"/>
    <w:rsid w:val="00DA195B"/>
    <w:rsid w:val="00DA1C8F"/>
    <w:rsid w:val="00DA2D1A"/>
    <w:rsid w:val="00DA34A0"/>
    <w:rsid w:val="00DA3AEB"/>
    <w:rsid w:val="00DA3D2D"/>
    <w:rsid w:val="00DA3D83"/>
    <w:rsid w:val="00DA403D"/>
    <w:rsid w:val="00DA46CF"/>
    <w:rsid w:val="00DA57A0"/>
    <w:rsid w:val="00DA5A81"/>
    <w:rsid w:val="00DA5DD4"/>
    <w:rsid w:val="00DA5F0B"/>
    <w:rsid w:val="00DA606F"/>
    <w:rsid w:val="00DA6122"/>
    <w:rsid w:val="00DA6706"/>
    <w:rsid w:val="00DA6A5B"/>
    <w:rsid w:val="00DA6C1A"/>
    <w:rsid w:val="00DA6DDE"/>
    <w:rsid w:val="00DA6E96"/>
    <w:rsid w:val="00DA6F2C"/>
    <w:rsid w:val="00DA72CE"/>
    <w:rsid w:val="00DA744A"/>
    <w:rsid w:val="00DA79CB"/>
    <w:rsid w:val="00DA7B9D"/>
    <w:rsid w:val="00DA7BE1"/>
    <w:rsid w:val="00DA7EC8"/>
    <w:rsid w:val="00DB0136"/>
    <w:rsid w:val="00DB0141"/>
    <w:rsid w:val="00DB0714"/>
    <w:rsid w:val="00DB0A89"/>
    <w:rsid w:val="00DB0B12"/>
    <w:rsid w:val="00DB0C5A"/>
    <w:rsid w:val="00DB0D9D"/>
    <w:rsid w:val="00DB111A"/>
    <w:rsid w:val="00DB146D"/>
    <w:rsid w:val="00DB14C0"/>
    <w:rsid w:val="00DB15C7"/>
    <w:rsid w:val="00DB15CE"/>
    <w:rsid w:val="00DB1812"/>
    <w:rsid w:val="00DB1B82"/>
    <w:rsid w:val="00DB1EC9"/>
    <w:rsid w:val="00DB1F5A"/>
    <w:rsid w:val="00DB2D32"/>
    <w:rsid w:val="00DB2FAB"/>
    <w:rsid w:val="00DB323E"/>
    <w:rsid w:val="00DB356B"/>
    <w:rsid w:val="00DB3802"/>
    <w:rsid w:val="00DB3834"/>
    <w:rsid w:val="00DB3954"/>
    <w:rsid w:val="00DB3AD0"/>
    <w:rsid w:val="00DB3B54"/>
    <w:rsid w:val="00DB3FDD"/>
    <w:rsid w:val="00DB4658"/>
    <w:rsid w:val="00DB5496"/>
    <w:rsid w:val="00DB55CE"/>
    <w:rsid w:val="00DB6606"/>
    <w:rsid w:val="00DB668C"/>
    <w:rsid w:val="00DB6916"/>
    <w:rsid w:val="00DB6C70"/>
    <w:rsid w:val="00DB6E6D"/>
    <w:rsid w:val="00DB718B"/>
    <w:rsid w:val="00DB7557"/>
    <w:rsid w:val="00DC0145"/>
    <w:rsid w:val="00DC0C58"/>
    <w:rsid w:val="00DC10EE"/>
    <w:rsid w:val="00DC11A5"/>
    <w:rsid w:val="00DC159E"/>
    <w:rsid w:val="00DC19C6"/>
    <w:rsid w:val="00DC1C77"/>
    <w:rsid w:val="00DC20AE"/>
    <w:rsid w:val="00DC213B"/>
    <w:rsid w:val="00DC214A"/>
    <w:rsid w:val="00DC23E9"/>
    <w:rsid w:val="00DC2444"/>
    <w:rsid w:val="00DC2930"/>
    <w:rsid w:val="00DC30A3"/>
    <w:rsid w:val="00DC331F"/>
    <w:rsid w:val="00DC33EA"/>
    <w:rsid w:val="00DC3A49"/>
    <w:rsid w:val="00DC3A62"/>
    <w:rsid w:val="00DC3DF7"/>
    <w:rsid w:val="00DC3E1E"/>
    <w:rsid w:val="00DC43F0"/>
    <w:rsid w:val="00DC4448"/>
    <w:rsid w:val="00DC445B"/>
    <w:rsid w:val="00DC486A"/>
    <w:rsid w:val="00DC491A"/>
    <w:rsid w:val="00DC4AB8"/>
    <w:rsid w:val="00DC4C8C"/>
    <w:rsid w:val="00DC4E26"/>
    <w:rsid w:val="00DC50C5"/>
    <w:rsid w:val="00DC54A5"/>
    <w:rsid w:val="00DC579F"/>
    <w:rsid w:val="00DC5902"/>
    <w:rsid w:val="00DC599F"/>
    <w:rsid w:val="00DC5BCB"/>
    <w:rsid w:val="00DC603D"/>
    <w:rsid w:val="00DC61C1"/>
    <w:rsid w:val="00DC65AB"/>
    <w:rsid w:val="00DC6D50"/>
    <w:rsid w:val="00DC72BE"/>
    <w:rsid w:val="00DC7648"/>
    <w:rsid w:val="00DC7B00"/>
    <w:rsid w:val="00DC7B0E"/>
    <w:rsid w:val="00DC7BCA"/>
    <w:rsid w:val="00DC7DCE"/>
    <w:rsid w:val="00DC7E38"/>
    <w:rsid w:val="00DD0090"/>
    <w:rsid w:val="00DD0691"/>
    <w:rsid w:val="00DD0869"/>
    <w:rsid w:val="00DD0A9D"/>
    <w:rsid w:val="00DD0AF1"/>
    <w:rsid w:val="00DD0E8B"/>
    <w:rsid w:val="00DD135B"/>
    <w:rsid w:val="00DD13B7"/>
    <w:rsid w:val="00DD1982"/>
    <w:rsid w:val="00DD1DBD"/>
    <w:rsid w:val="00DD1E28"/>
    <w:rsid w:val="00DD222D"/>
    <w:rsid w:val="00DD2459"/>
    <w:rsid w:val="00DD2936"/>
    <w:rsid w:val="00DD2F91"/>
    <w:rsid w:val="00DD308B"/>
    <w:rsid w:val="00DD3568"/>
    <w:rsid w:val="00DD3C32"/>
    <w:rsid w:val="00DD3D57"/>
    <w:rsid w:val="00DD3ED7"/>
    <w:rsid w:val="00DD3F55"/>
    <w:rsid w:val="00DD4048"/>
    <w:rsid w:val="00DD40EB"/>
    <w:rsid w:val="00DD460B"/>
    <w:rsid w:val="00DD48CD"/>
    <w:rsid w:val="00DD4A09"/>
    <w:rsid w:val="00DD5365"/>
    <w:rsid w:val="00DD5425"/>
    <w:rsid w:val="00DD5C42"/>
    <w:rsid w:val="00DD5DA0"/>
    <w:rsid w:val="00DD665F"/>
    <w:rsid w:val="00DD67ED"/>
    <w:rsid w:val="00DD69B3"/>
    <w:rsid w:val="00DD74C6"/>
    <w:rsid w:val="00DD7688"/>
    <w:rsid w:val="00DD7897"/>
    <w:rsid w:val="00DD79DD"/>
    <w:rsid w:val="00DD7A8D"/>
    <w:rsid w:val="00DD7ECD"/>
    <w:rsid w:val="00DD7F99"/>
    <w:rsid w:val="00DE0606"/>
    <w:rsid w:val="00DE0A98"/>
    <w:rsid w:val="00DE0AF4"/>
    <w:rsid w:val="00DE0C3E"/>
    <w:rsid w:val="00DE0F27"/>
    <w:rsid w:val="00DE1388"/>
    <w:rsid w:val="00DE14B7"/>
    <w:rsid w:val="00DE1B3C"/>
    <w:rsid w:val="00DE1B5E"/>
    <w:rsid w:val="00DE1B6D"/>
    <w:rsid w:val="00DE1BAF"/>
    <w:rsid w:val="00DE2013"/>
    <w:rsid w:val="00DE201A"/>
    <w:rsid w:val="00DE2058"/>
    <w:rsid w:val="00DE2140"/>
    <w:rsid w:val="00DE220F"/>
    <w:rsid w:val="00DE2688"/>
    <w:rsid w:val="00DE27DD"/>
    <w:rsid w:val="00DE2D79"/>
    <w:rsid w:val="00DE2F8C"/>
    <w:rsid w:val="00DE324C"/>
    <w:rsid w:val="00DE39B4"/>
    <w:rsid w:val="00DE3BC0"/>
    <w:rsid w:val="00DE3E0F"/>
    <w:rsid w:val="00DE41BD"/>
    <w:rsid w:val="00DE4BEF"/>
    <w:rsid w:val="00DE5021"/>
    <w:rsid w:val="00DE50D4"/>
    <w:rsid w:val="00DE550D"/>
    <w:rsid w:val="00DE59B4"/>
    <w:rsid w:val="00DE5EA0"/>
    <w:rsid w:val="00DE67F6"/>
    <w:rsid w:val="00DE6B89"/>
    <w:rsid w:val="00DE6CA6"/>
    <w:rsid w:val="00DE6D12"/>
    <w:rsid w:val="00DE6EE6"/>
    <w:rsid w:val="00DE76E9"/>
    <w:rsid w:val="00DE77D3"/>
    <w:rsid w:val="00DE7A63"/>
    <w:rsid w:val="00DE7A93"/>
    <w:rsid w:val="00DE7C8F"/>
    <w:rsid w:val="00DF02ED"/>
    <w:rsid w:val="00DF039E"/>
    <w:rsid w:val="00DF15E6"/>
    <w:rsid w:val="00DF1789"/>
    <w:rsid w:val="00DF1A15"/>
    <w:rsid w:val="00DF1DBF"/>
    <w:rsid w:val="00DF26EC"/>
    <w:rsid w:val="00DF284F"/>
    <w:rsid w:val="00DF2AF8"/>
    <w:rsid w:val="00DF2CAB"/>
    <w:rsid w:val="00DF32A0"/>
    <w:rsid w:val="00DF3910"/>
    <w:rsid w:val="00DF4B8F"/>
    <w:rsid w:val="00DF5803"/>
    <w:rsid w:val="00DF5B77"/>
    <w:rsid w:val="00DF6083"/>
    <w:rsid w:val="00DF61E0"/>
    <w:rsid w:val="00DF632E"/>
    <w:rsid w:val="00DF7095"/>
    <w:rsid w:val="00DF7393"/>
    <w:rsid w:val="00DF753E"/>
    <w:rsid w:val="00DF75EF"/>
    <w:rsid w:val="00DF7EE5"/>
    <w:rsid w:val="00E001EA"/>
    <w:rsid w:val="00E00636"/>
    <w:rsid w:val="00E00ACC"/>
    <w:rsid w:val="00E00C30"/>
    <w:rsid w:val="00E010E4"/>
    <w:rsid w:val="00E01406"/>
    <w:rsid w:val="00E01C87"/>
    <w:rsid w:val="00E02080"/>
    <w:rsid w:val="00E0223F"/>
    <w:rsid w:val="00E02311"/>
    <w:rsid w:val="00E02B7C"/>
    <w:rsid w:val="00E02D15"/>
    <w:rsid w:val="00E03EAC"/>
    <w:rsid w:val="00E03FE4"/>
    <w:rsid w:val="00E042BA"/>
    <w:rsid w:val="00E042E1"/>
    <w:rsid w:val="00E04602"/>
    <w:rsid w:val="00E04814"/>
    <w:rsid w:val="00E04AC9"/>
    <w:rsid w:val="00E04F13"/>
    <w:rsid w:val="00E05264"/>
    <w:rsid w:val="00E05613"/>
    <w:rsid w:val="00E05718"/>
    <w:rsid w:val="00E05969"/>
    <w:rsid w:val="00E06811"/>
    <w:rsid w:val="00E06E26"/>
    <w:rsid w:val="00E07233"/>
    <w:rsid w:val="00E07A08"/>
    <w:rsid w:val="00E07CAC"/>
    <w:rsid w:val="00E102A8"/>
    <w:rsid w:val="00E106FE"/>
    <w:rsid w:val="00E1085F"/>
    <w:rsid w:val="00E10A8D"/>
    <w:rsid w:val="00E10DA2"/>
    <w:rsid w:val="00E11005"/>
    <w:rsid w:val="00E11D2C"/>
    <w:rsid w:val="00E11DC0"/>
    <w:rsid w:val="00E12273"/>
    <w:rsid w:val="00E123D0"/>
    <w:rsid w:val="00E12571"/>
    <w:rsid w:val="00E12619"/>
    <w:rsid w:val="00E12829"/>
    <w:rsid w:val="00E1331D"/>
    <w:rsid w:val="00E13633"/>
    <w:rsid w:val="00E13EE9"/>
    <w:rsid w:val="00E1403F"/>
    <w:rsid w:val="00E14286"/>
    <w:rsid w:val="00E1428D"/>
    <w:rsid w:val="00E14311"/>
    <w:rsid w:val="00E14398"/>
    <w:rsid w:val="00E15182"/>
    <w:rsid w:val="00E15671"/>
    <w:rsid w:val="00E157EB"/>
    <w:rsid w:val="00E15946"/>
    <w:rsid w:val="00E15980"/>
    <w:rsid w:val="00E15A21"/>
    <w:rsid w:val="00E15AF5"/>
    <w:rsid w:val="00E15D0D"/>
    <w:rsid w:val="00E15FDD"/>
    <w:rsid w:val="00E16033"/>
    <w:rsid w:val="00E16110"/>
    <w:rsid w:val="00E16DD2"/>
    <w:rsid w:val="00E1701C"/>
    <w:rsid w:val="00E1746A"/>
    <w:rsid w:val="00E175CD"/>
    <w:rsid w:val="00E17D91"/>
    <w:rsid w:val="00E17FAD"/>
    <w:rsid w:val="00E204E8"/>
    <w:rsid w:val="00E206B0"/>
    <w:rsid w:val="00E20815"/>
    <w:rsid w:val="00E20A7A"/>
    <w:rsid w:val="00E20C72"/>
    <w:rsid w:val="00E2144F"/>
    <w:rsid w:val="00E214DB"/>
    <w:rsid w:val="00E21894"/>
    <w:rsid w:val="00E21BC8"/>
    <w:rsid w:val="00E220EF"/>
    <w:rsid w:val="00E226CE"/>
    <w:rsid w:val="00E22D9A"/>
    <w:rsid w:val="00E22E25"/>
    <w:rsid w:val="00E2308A"/>
    <w:rsid w:val="00E234F0"/>
    <w:rsid w:val="00E237BA"/>
    <w:rsid w:val="00E239D2"/>
    <w:rsid w:val="00E23E23"/>
    <w:rsid w:val="00E23EF7"/>
    <w:rsid w:val="00E24316"/>
    <w:rsid w:val="00E245FA"/>
    <w:rsid w:val="00E24F57"/>
    <w:rsid w:val="00E253A4"/>
    <w:rsid w:val="00E25502"/>
    <w:rsid w:val="00E25521"/>
    <w:rsid w:val="00E25684"/>
    <w:rsid w:val="00E25C63"/>
    <w:rsid w:val="00E25C89"/>
    <w:rsid w:val="00E25F04"/>
    <w:rsid w:val="00E2631A"/>
    <w:rsid w:val="00E26418"/>
    <w:rsid w:val="00E26429"/>
    <w:rsid w:val="00E264CC"/>
    <w:rsid w:val="00E2750F"/>
    <w:rsid w:val="00E27740"/>
    <w:rsid w:val="00E2780A"/>
    <w:rsid w:val="00E27D0D"/>
    <w:rsid w:val="00E30205"/>
    <w:rsid w:val="00E30556"/>
    <w:rsid w:val="00E30ACF"/>
    <w:rsid w:val="00E31195"/>
    <w:rsid w:val="00E313C1"/>
    <w:rsid w:val="00E31A01"/>
    <w:rsid w:val="00E31E9A"/>
    <w:rsid w:val="00E32741"/>
    <w:rsid w:val="00E328E4"/>
    <w:rsid w:val="00E32AA0"/>
    <w:rsid w:val="00E32F12"/>
    <w:rsid w:val="00E33162"/>
    <w:rsid w:val="00E33634"/>
    <w:rsid w:val="00E33798"/>
    <w:rsid w:val="00E33FDA"/>
    <w:rsid w:val="00E34192"/>
    <w:rsid w:val="00E348BB"/>
    <w:rsid w:val="00E34D23"/>
    <w:rsid w:val="00E353ED"/>
    <w:rsid w:val="00E354F8"/>
    <w:rsid w:val="00E3568E"/>
    <w:rsid w:val="00E356AD"/>
    <w:rsid w:val="00E357B7"/>
    <w:rsid w:val="00E35D72"/>
    <w:rsid w:val="00E3698A"/>
    <w:rsid w:val="00E36DC4"/>
    <w:rsid w:val="00E36DE9"/>
    <w:rsid w:val="00E37B28"/>
    <w:rsid w:val="00E37B9C"/>
    <w:rsid w:val="00E37C34"/>
    <w:rsid w:val="00E409E6"/>
    <w:rsid w:val="00E40EA0"/>
    <w:rsid w:val="00E4112B"/>
    <w:rsid w:val="00E4139F"/>
    <w:rsid w:val="00E41573"/>
    <w:rsid w:val="00E415CF"/>
    <w:rsid w:val="00E41EE0"/>
    <w:rsid w:val="00E424A0"/>
    <w:rsid w:val="00E42CD5"/>
    <w:rsid w:val="00E42F89"/>
    <w:rsid w:val="00E43512"/>
    <w:rsid w:val="00E43A63"/>
    <w:rsid w:val="00E43DED"/>
    <w:rsid w:val="00E447C5"/>
    <w:rsid w:val="00E44902"/>
    <w:rsid w:val="00E44B17"/>
    <w:rsid w:val="00E44B4A"/>
    <w:rsid w:val="00E44B69"/>
    <w:rsid w:val="00E44B7A"/>
    <w:rsid w:val="00E450E8"/>
    <w:rsid w:val="00E4664F"/>
    <w:rsid w:val="00E46AD5"/>
    <w:rsid w:val="00E46AEA"/>
    <w:rsid w:val="00E46B29"/>
    <w:rsid w:val="00E47118"/>
    <w:rsid w:val="00E47664"/>
    <w:rsid w:val="00E47AA5"/>
    <w:rsid w:val="00E47EDC"/>
    <w:rsid w:val="00E47FC4"/>
    <w:rsid w:val="00E50598"/>
    <w:rsid w:val="00E50723"/>
    <w:rsid w:val="00E50B8D"/>
    <w:rsid w:val="00E5118E"/>
    <w:rsid w:val="00E5140A"/>
    <w:rsid w:val="00E51EA0"/>
    <w:rsid w:val="00E51F1F"/>
    <w:rsid w:val="00E51F9A"/>
    <w:rsid w:val="00E522BB"/>
    <w:rsid w:val="00E52745"/>
    <w:rsid w:val="00E52CBA"/>
    <w:rsid w:val="00E52D36"/>
    <w:rsid w:val="00E53766"/>
    <w:rsid w:val="00E5379D"/>
    <w:rsid w:val="00E5397B"/>
    <w:rsid w:val="00E53A30"/>
    <w:rsid w:val="00E54504"/>
    <w:rsid w:val="00E54966"/>
    <w:rsid w:val="00E54A0B"/>
    <w:rsid w:val="00E54C42"/>
    <w:rsid w:val="00E55631"/>
    <w:rsid w:val="00E556C7"/>
    <w:rsid w:val="00E562B6"/>
    <w:rsid w:val="00E56C25"/>
    <w:rsid w:val="00E56CCE"/>
    <w:rsid w:val="00E56DE0"/>
    <w:rsid w:val="00E56FA0"/>
    <w:rsid w:val="00E575A7"/>
    <w:rsid w:val="00E579FF"/>
    <w:rsid w:val="00E601E4"/>
    <w:rsid w:val="00E6030C"/>
    <w:rsid w:val="00E605F8"/>
    <w:rsid w:val="00E606C2"/>
    <w:rsid w:val="00E607B8"/>
    <w:rsid w:val="00E60BC1"/>
    <w:rsid w:val="00E60C66"/>
    <w:rsid w:val="00E60E3A"/>
    <w:rsid w:val="00E60FF6"/>
    <w:rsid w:val="00E6139E"/>
    <w:rsid w:val="00E6206D"/>
    <w:rsid w:val="00E624A3"/>
    <w:rsid w:val="00E62612"/>
    <w:rsid w:val="00E635C7"/>
    <w:rsid w:val="00E635FA"/>
    <w:rsid w:val="00E639CD"/>
    <w:rsid w:val="00E63F74"/>
    <w:rsid w:val="00E6433C"/>
    <w:rsid w:val="00E64BCC"/>
    <w:rsid w:val="00E64BED"/>
    <w:rsid w:val="00E65350"/>
    <w:rsid w:val="00E653F8"/>
    <w:rsid w:val="00E65504"/>
    <w:rsid w:val="00E65F10"/>
    <w:rsid w:val="00E6628C"/>
    <w:rsid w:val="00E665FE"/>
    <w:rsid w:val="00E66C1A"/>
    <w:rsid w:val="00E66C37"/>
    <w:rsid w:val="00E66F33"/>
    <w:rsid w:val="00E67411"/>
    <w:rsid w:val="00E67ED6"/>
    <w:rsid w:val="00E704A3"/>
    <w:rsid w:val="00E70738"/>
    <w:rsid w:val="00E70992"/>
    <w:rsid w:val="00E70AA1"/>
    <w:rsid w:val="00E71296"/>
    <w:rsid w:val="00E71732"/>
    <w:rsid w:val="00E71BA2"/>
    <w:rsid w:val="00E71D03"/>
    <w:rsid w:val="00E71E9E"/>
    <w:rsid w:val="00E71F8D"/>
    <w:rsid w:val="00E721F7"/>
    <w:rsid w:val="00E724AA"/>
    <w:rsid w:val="00E727D1"/>
    <w:rsid w:val="00E72983"/>
    <w:rsid w:val="00E731DD"/>
    <w:rsid w:val="00E735D5"/>
    <w:rsid w:val="00E737BD"/>
    <w:rsid w:val="00E73A0E"/>
    <w:rsid w:val="00E74725"/>
    <w:rsid w:val="00E74799"/>
    <w:rsid w:val="00E75AE5"/>
    <w:rsid w:val="00E761C4"/>
    <w:rsid w:val="00E764B8"/>
    <w:rsid w:val="00E769D2"/>
    <w:rsid w:val="00E76CDA"/>
    <w:rsid w:val="00E76EE6"/>
    <w:rsid w:val="00E770B8"/>
    <w:rsid w:val="00E775DE"/>
    <w:rsid w:val="00E7763E"/>
    <w:rsid w:val="00E77983"/>
    <w:rsid w:val="00E77B01"/>
    <w:rsid w:val="00E80724"/>
    <w:rsid w:val="00E80A19"/>
    <w:rsid w:val="00E80CFB"/>
    <w:rsid w:val="00E80D7E"/>
    <w:rsid w:val="00E80F81"/>
    <w:rsid w:val="00E810CE"/>
    <w:rsid w:val="00E810D7"/>
    <w:rsid w:val="00E8112E"/>
    <w:rsid w:val="00E811C2"/>
    <w:rsid w:val="00E81309"/>
    <w:rsid w:val="00E81576"/>
    <w:rsid w:val="00E82033"/>
    <w:rsid w:val="00E82479"/>
    <w:rsid w:val="00E824FB"/>
    <w:rsid w:val="00E829C9"/>
    <w:rsid w:val="00E82BC8"/>
    <w:rsid w:val="00E8323C"/>
    <w:rsid w:val="00E832AA"/>
    <w:rsid w:val="00E836CA"/>
    <w:rsid w:val="00E84403"/>
    <w:rsid w:val="00E84518"/>
    <w:rsid w:val="00E847B1"/>
    <w:rsid w:val="00E848BC"/>
    <w:rsid w:val="00E84937"/>
    <w:rsid w:val="00E84A14"/>
    <w:rsid w:val="00E84E14"/>
    <w:rsid w:val="00E850F1"/>
    <w:rsid w:val="00E859A9"/>
    <w:rsid w:val="00E85B41"/>
    <w:rsid w:val="00E85B8C"/>
    <w:rsid w:val="00E85BFD"/>
    <w:rsid w:val="00E85D40"/>
    <w:rsid w:val="00E865F9"/>
    <w:rsid w:val="00E86711"/>
    <w:rsid w:val="00E86A4A"/>
    <w:rsid w:val="00E86B78"/>
    <w:rsid w:val="00E87108"/>
    <w:rsid w:val="00E872CF"/>
    <w:rsid w:val="00E87881"/>
    <w:rsid w:val="00E87A27"/>
    <w:rsid w:val="00E87AC9"/>
    <w:rsid w:val="00E87DCD"/>
    <w:rsid w:val="00E87E1A"/>
    <w:rsid w:val="00E9092D"/>
    <w:rsid w:val="00E90C3A"/>
    <w:rsid w:val="00E90DE6"/>
    <w:rsid w:val="00E91D90"/>
    <w:rsid w:val="00E9204A"/>
    <w:rsid w:val="00E92440"/>
    <w:rsid w:val="00E9283B"/>
    <w:rsid w:val="00E92921"/>
    <w:rsid w:val="00E92E40"/>
    <w:rsid w:val="00E93106"/>
    <w:rsid w:val="00E931F8"/>
    <w:rsid w:val="00E932C9"/>
    <w:rsid w:val="00E934FF"/>
    <w:rsid w:val="00E93EE3"/>
    <w:rsid w:val="00E94158"/>
    <w:rsid w:val="00E948DA"/>
    <w:rsid w:val="00E94E0B"/>
    <w:rsid w:val="00E94F39"/>
    <w:rsid w:val="00E952CA"/>
    <w:rsid w:val="00E95430"/>
    <w:rsid w:val="00E95EF7"/>
    <w:rsid w:val="00E9662F"/>
    <w:rsid w:val="00E968A7"/>
    <w:rsid w:val="00E969E7"/>
    <w:rsid w:val="00E9749B"/>
    <w:rsid w:val="00E977AA"/>
    <w:rsid w:val="00E97BD3"/>
    <w:rsid w:val="00E97C14"/>
    <w:rsid w:val="00E97EC6"/>
    <w:rsid w:val="00EA02B6"/>
    <w:rsid w:val="00EA0654"/>
    <w:rsid w:val="00EA0856"/>
    <w:rsid w:val="00EA094B"/>
    <w:rsid w:val="00EA0CF3"/>
    <w:rsid w:val="00EA0D2F"/>
    <w:rsid w:val="00EA0DFA"/>
    <w:rsid w:val="00EA1153"/>
    <w:rsid w:val="00EA1494"/>
    <w:rsid w:val="00EA16E8"/>
    <w:rsid w:val="00EA1968"/>
    <w:rsid w:val="00EA1ABB"/>
    <w:rsid w:val="00EA1BD5"/>
    <w:rsid w:val="00EA1F72"/>
    <w:rsid w:val="00EA205E"/>
    <w:rsid w:val="00EA2E01"/>
    <w:rsid w:val="00EA31AA"/>
    <w:rsid w:val="00EA3398"/>
    <w:rsid w:val="00EA352C"/>
    <w:rsid w:val="00EA3680"/>
    <w:rsid w:val="00EA3877"/>
    <w:rsid w:val="00EA3AC4"/>
    <w:rsid w:val="00EA3B83"/>
    <w:rsid w:val="00EA3C85"/>
    <w:rsid w:val="00EA401B"/>
    <w:rsid w:val="00EA416A"/>
    <w:rsid w:val="00EA44CD"/>
    <w:rsid w:val="00EA4834"/>
    <w:rsid w:val="00EA4887"/>
    <w:rsid w:val="00EA4D2D"/>
    <w:rsid w:val="00EA5C0C"/>
    <w:rsid w:val="00EA5DC4"/>
    <w:rsid w:val="00EA6208"/>
    <w:rsid w:val="00EA62E1"/>
    <w:rsid w:val="00EA632E"/>
    <w:rsid w:val="00EA67E0"/>
    <w:rsid w:val="00EA67F5"/>
    <w:rsid w:val="00EA6875"/>
    <w:rsid w:val="00EA725B"/>
    <w:rsid w:val="00EA73E5"/>
    <w:rsid w:val="00EA7898"/>
    <w:rsid w:val="00EA7BF3"/>
    <w:rsid w:val="00EB0097"/>
    <w:rsid w:val="00EB02FC"/>
    <w:rsid w:val="00EB0919"/>
    <w:rsid w:val="00EB0A87"/>
    <w:rsid w:val="00EB1271"/>
    <w:rsid w:val="00EB15E1"/>
    <w:rsid w:val="00EB19E5"/>
    <w:rsid w:val="00EB1B9B"/>
    <w:rsid w:val="00EB1DD4"/>
    <w:rsid w:val="00EB1EBB"/>
    <w:rsid w:val="00EB225C"/>
    <w:rsid w:val="00EB242A"/>
    <w:rsid w:val="00EB2597"/>
    <w:rsid w:val="00EB2CE0"/>
    <w:rsid w:val="00EB30BF"/>
    <w:rsid w:val="00EB3306"/>
    <w:rsid w:val="00EB3A6D"/>
    <w:rsid w:val="00EB3CAF"/>
    <w:rsid w:val="00EB3F47"/>
    <w:rsid w:val="00EB4077"/>
    <w:rsid w:val="00EB480F"/>
    <w:rsid w:val="00EB4C89"/>
    <w:rsid w:val="00EB4D4F"/>
    <w:rsid w:val="00EB4E16"/>
    <w:rsid w:val="00EB4EFD"/>
    <w:rsid w:val="00EB505D"/>
    <w:rsid w:val="00EB65A3"/>
    <w:rsid w:val="00EB6F93"/>
    <w:rsid w:val="00EB7891"/>
    <w:rsid w:val="00EB7B70"/>
    <w:rsid w:val="00EB7EF7"/>
    <w:rsid w:val="00EC025A"/>
    <w:rsid w:val="00EC0312"/>
    <w:rsid w:val="00EC0428"/>
    <w:rsid w:val="00EC0712"/>
    <w:rsid w:val="00EC08D2"/>
    <w:rsid w:val="00EC0AB4"/>
    <w:rsid w:val="00EC0F56"/>
    <w:rsid w:val="00EC1784"/>
    <w:rsid w:val="00EC18E8"/>
    <w:rsid w:val="00EC19A0"/>
    <w:rsid w:val="00EC1ABC"/>
    <w:rsid w:val="00EC1CFD"/>
    <w:rsid w:val="00EC27DF"/>
    <w:rsid w:val="00EC28B6"/>
    <w:rsid w:val="00EC2972"/>
    <w:rsid w:val="00EC29A8"/>
    <w:rsid w:val="00EC2A86"/>
    <w:rsid w:val="00EC2E5E"/>
    <w:rsid w:val="00EC357A"/>
    <w:rsid w:val="00EC35C1"/>
    <w:rsid w:val="00EC37AD"/>
    <w:rsid w:val="00EC3F71"/>
    <w:rsid w:val="00EC4164"/>
    <w:rsid w:val="00EC4285"/>
    <w:rsid w:val="00EC4363"/>
    <w:rsid w:val="00EC4564"/>
    <w:rsid w:val="00EC5111"/>
    <w:rsid w:val="00EC520A"/>
    <w:rsid w:val="00EC53DD"/>
    <w:rsid w:val="00EC5722"/>
    <w:rsid w:val="00EC58F0"/>
    <w:rsid w:val="00EC5FFD"/>
    <w:rsid w:val="00EC618B"/>
    <w:rsid w:val="00EC65E4"/>
    <w:rsid w:val="00EC6667"/>
    <w:rsid w:val="00EC669D"/>
    <w:rsid w:val="00EC6C09"/>
    <w:rsid w:val="00EC766D"/>
    <w:rsid w:val="00EC7962"/>
    <w:rsid w:val="00EC79B9"/>
    <w:rsid w:val="00EC7BA4"/>
    <w:rsid w:val="00EC7ED4"/>
    <w:rsid w:val="00ED0187"/>
    <w:rsid w:val="00ED02EA"/>
    <w:rsid w:val="00ED04F6"/>
    <w:rsid w:val="00ED0B42"/>
    <w:rsid w:val="00ED0B54"/>
    <w:rsid w:val="00ED128C"/>
    <w:rsid w:val="00ED1921"/>
    <w:rsid w:val="00ED270A"/>
    <w:rsid w:val="00ED28F6"/>
    <w:rsid w:val="00ED2B75"/>
    <w:rsid w:val="00ED2FDD"/>
    <w:rsid w:val="00ED3124"/>
    <w:rsid w:val="00ED37C7"/>
    <w:rsid w:val="00ED3E83"/>
    <w:rsid w:val="00ED415C"/>
    <w:rsid w:val="00ED4638"/>
    <w:rsid w:val="00ED471A"/>
    <w:rsid w:val="00ED48EA"/>
    <w:rsid w:val="00ED578B"/>
    <w:rsid w:val="00ED5EE8"/>
    <w:rsid w:val="00ED6504"/>
    <w:rsid w:val="00ED6723"/>
    <w:rsid w:val="00ED698B"/>
    <w:rsid w:val="00ED6DC6"/>
    <w:rsid w:val="00ED708C"/>
    <w:rsid w:val="00ED7425"/>
    <w:rsid w:val="00ED753F"/>
    <w:rsid w:val="00ED75C6"/>
    <w:rsid w:val="00EE025A"/>
    <w:rsid w:val="00EE0387"/>
    <w:rsid w:val="00EE04DB"/>
    <w:rsid w:val="00EE081B"/>
    <w:rsid w:val="00EE0BDB"/>
    <w:rsid w:val="00EE0FB5"/>
    <w:rsid w:val="00EE11B1"/>
    <w:rsid w:val="00EE12DC"/>
    <w:rsid w:val="00EE18DF"/>
    <w:rsid w:val="00EE1B17"/>
    <w:rsid w:val="00EE1E63"/>
    <w:rsid w:val="00EE20F3"/>
    <w:rsid w:val="00EE227D"/>
    <w:rsid w:val="00EE2335"/>
    <w:rsid w:val="00EE2336"/>
    <w:rsid w:val="00EE24A4"/>
    <w:rsid w:val="00EE29F2"/>
    <w:rsid w:val="00EE2C2D"/>
    <w:rsid w:val="00EE313E"/>
    <w:rsid w:val="00EE3646"/>
    <w:rsid w:val="00EE3932"/>
    <w:rsid w:val="00EE3AEC"/>
    <w:rsid w:val="00EE3C52"/>
    <w:rsid w:val="00EE3DD9"/>
    <w:rsid w:val="00EE40A6"/>
    <w:rsid w:val="00EE40D4"/>
    <w:rsid w:val="00EE421D"/>
    <w:rsid w:val="00EE4585"/>
    <w:rsid w:val="00EE45B8"/>
    <w:rsid w:val="00EE4B68"/>
    <w:rsid w:val="00EE4FD8"/>
    <w:rsid w:val="00EE5047"/>
    <w:rsid w:val="00EE5278"/>
    <w:rsid w:val="00EE5459"/>
    <w:rsid w:val="00EE5482"/>
    <w:rsid w:val="00EE5576"/>
    <w:rsid w:val="00EE57B8"/>
    <w:rsid w:val="00EE58EB"/>
    <w:rsid w:val="00EE59EC"/>
    <w:rsid w:val="00EE5DE1"/>
    <w:rsid w:val="00EE5E8C"/>
    <w:rsid w:val="00EE5FFD"/>
    <w:rsid w:val="00EE6243"/>
    <w:rsid w:val="00EE6840"/>
    <w:rsid w:val="00EE6A8B"/>
    <w:rsid w:val="00EE6AE0"/>
    <w:rsid w:val="00EE6B33"/>
    <w:rsid w:val="00EE6D11"/>
    <w:rsid w:val="00EE711D"/>
    <w:rsid w:val="00EE7252"/>
    <w:rsid w:val="00EE745F"/>
    <w:rsid w:val="00EE78A5"/>
    <w:rsid w:val="00EE7B27"/>
    <w:rsid w:val="00EE7D6C"/>
    <w:rsid w:val="00EF0048"/>
    <w:rsid w:val="00EF0140"/>
    <w:rsid w:val="00EF0176"/>
    <w:rsid w:val="00EF0262"/>
    <w:rsid w:val="00EF051C"/>
    <w:rsid w:val="00EF0BE6"/>
    <w:rsid w:val="00EF1124"/>
    <w:rsid w:val="00EF11D4"/>
    <w:rsid w:val="00EF12CC"/>
    <w:rsid w:val="00EF1D9A"/>
    <w:rsid w:val="00EF1F9C"/>
    <w:rsid w:val="00EF227C"/>
    <w:rsid w:val="00EF272A"/>
    <w:rsid w:val="00EF2E6A"/>
    <w:rsid w:val="00EF304B"/>
    <w:rsid w:val="00EF3426"/>
    <w:rsid w:val="00EF4D8A"/>
    <w:rsid w:val="00EF588A"/>
    <w:rsid w:val="00EF5A62"/>
    <w:rsid w:val="00EF5F1B"/>
    <w:rsid w:val="00EF627A"/>
    <w:rsid w:val="00EF64B5"/>
    <w:rsid w:val="00EF676B"/>
    <w:rsid w:val="00EF6A4B"/>
    <w:rsid w:val="00EF6A51"/>
    <w:rsid w:val="00EF6B25"/>
    <w:rsid w:val="00EF7035"/>
    <w:rsid w:val="00EF70E5"/>
    <w:rsid w:val="00EF77E5"/>
    <w:rsid w:val="00EF789D"/>
    <w:rsid w:val="00EF7955"/>
    <w:rsid w:val="00F00609"/>
    <w:rsid w:val="00F006BC"/>
    <w:rsid w:val="00F00844"/>
    <w:rsid w:val="00F00ACB"/>
    <w:rsid w:val="00F00D92"/>
    <w:rsid w:val="00F00F72"/>
    <w:rsid w:val="00F0101F"/>
    <w:rsid w:val="00F01224"/>
    <w:rsid w:val="00F012E0"/>
    <w:rsid w:val="00F01469"/>
    <w:rsid w:val="00F01A53"/>
    <w:rsid w:val="00F01E5E"/>
    <w:rsid w:val="00F02145"/>
    <w:rsid w:val="00F029F0"/>
    <w:rsid w:val="00F02C8A"/>
    <w:rsid w:val="00F02D44"/>
    <w:rsid w:val="00F02FAE"/>
    <w:rsid w:val="00F0300B"/>
    <w:rsid w:val="00F03370"/>
    <w:rsid w:val="00F03530"/>
    <w:rsid w:val="00F035C0"/>
    <w:rsid w:val="00F036C0"/>
    <w:rsid w:val="00F03780"/>
    <w:rsid w:val="00F037DA"/>
    <w:rsid w:val="00F03953"/>
    <w:rsid w:val="00F0419E"/>
    <w:rsid w:val="00F0424F"/>
    <w:rsid w:val="00F04260"/>
    <w:rsid w:val="00F045F1"/>
    <w:rsid w:val="00F04C30"/>
    <w:rsid w:val="00F04EB4"/>
    <w:rsid w:val="00F04F11"/>
    <w:rsid w:val="00F051AD"/>
    <w:rsid w:val="00F059CA"/>
    <w:rsid w:val="00F05A90"/>
    <w:rsid w:val="00F05B32"/>
    <w:rsid w:val="00F05EE0"/>
    <w:rsid w:val="00F0604D"/>
    <w:rsid w:val="00F06172"/>
    <w:rsid w:val="00F061CF"/>
    <w:rsid w:val="00F0621C"/>
    <w:rsid w:val="00F0649B"/>
    <w:rsid w:val="00F066C6"/>
    <w:rsid w:val="00F06A2C"/>
    <w:rsid w:val="00F06C74"/>
    <w:rsid w:val="00F06FC3"/>
    <w:rsid w:val="00F0751A"/>
    <w:rsid w:val="00F07728"/>
    <w:rsid w:val="00F079B9"/>
    <w:rsid w:val="00F07BB8"/>
    <w:rsid w:val="00F07C21"/>
    <w:rsid w:val="00F07C38"/>
    <w:rsid w:val="00F07D75"/>
    <w:rsid w:val="00F07E2D"/>
    <w:rsid w:val="00F07FA3"/>
    <w:rsid w:val="00F102BC"/>
    <w:rsid w:val="00F102D5"/>
    <w:rsid w:val="00F10967"/>
    <w:rsid w:val="00F109C4"/>
    <w:rsid w:val="00F10A83"/>
    <w:rsid w:val="00F10FD9"/>
    <w:rsid w:val="00F11257"/>
    <w:rsid w:val="00F11543"/>
    <w:rsid w:val="00F11B20"/>
    <w:rsid w:val="00F11CF2"/>
    <w:rsid w:val="00F11D87"/>
    <w:rsid w:val="00F11E7A"/>
    <w:rsid w:val="00F12A0E"/>
    <w:rsid w:val="00F12B14"/>
    <w:rsid w:val="00F12BC0"/>
    <w:rsid w:val="00F1346D"/>
    <w:rsid w:val="00F137C1"/>
    <w:rsid w:val="00F1397B"/>
    <w:rsid w:val="00F13FCB"/>
    <w:rsid w:val="00F143AD"/>
    <w:rsid w:val="00F1501E"/>
    <w:rsid w:val="00F15439"/>
    <w:rsid w:val="00F156F6"/>
    <w:rsid w:val="00F15F59"/>
    <w:rsid w:val="00F15F62"/>
    <w:rsid w:val="00F16596"/>
    <w:rsid w:val="00F1666C"/>
    <w:rsid w:val="00F16A40"/>
    <w:rsid w:val="00F16A9D"/>
    <w:rsid w:val="00F16E1B"/>
    <w:rsid w:val="00F173B2"/>
    <w:rsid w:val="00F17B21"/>
    <w:rsid w:val="00F20065"/>
    <w:rsid w:val="00F201B6"/>
    <w:rsid w:val="00F20304"/>
    <w:rsid w:val="00F203E3"/>
    <w:rsid w:val="00F20A66"/>
    <w:rsid w:val="00F20E02"/>
    <w:rsid w:val="00F20EAB"/>
    <w:rsid w:val="00F211AD"/>
    <w:rsid w:val="00F217E3"/>
    <w:rsid w:val="00F21848"/>
    <w:rsid w:val="00F21D21"/>
    <w:rsid w:val="00F22141"/>
    <w:rsid w:val="00F22229"/>
    <w:rsid w:val="00F227FB"/>
    <w:rsid w:val="00F229D7"/>
    <w:rsid w:val="00F22A67"/>
    <w:rsid w:val="00F232CD"/>
    <w:rsid w:val="00F23627"/>
    <w:rsid w:val="00F23786"/>
    <w:rsid w:val="00F23B72"/>
    <w:rsid w:val="00F23C05"/>
    <w:rsid w:val="00F24382"/>
    <w:rsid w:val="00F24498"/>
    <w:rsid w:val="00F24A6E"/>
    <w:rsid w:val="00F24DFA"/>
    <w:rsid w:val="00F24EAC"/>
    <w:rsid w:val="00F24EEF"/>
    <w:rsid w:val="00F24FF7"/>
    <w:rsid w:val="00F25059"/>
    <w:rsid w:val="00F2523D"/>
    <w:rsid w:val="00F25C22"/>
    <w:rsid w:val="00F2687A"/>
    <w:rsid w:val="00F2697D"/>
    <w:rsid w:val="00F269F1"/>
    <w:rsid w:val="00F26A0C"/>
    <w:rsid w:val="00F26DD9"/>
    <w:rsid w:val="00F26F46"/>
    <w:rsid w:val="00F273DB"/>
    <w:rsid w:val="00F2754C"/>
    <w:rsid w:val="00F2762D"/>
    <w:rsid w:val="00F27F7B"/>
    <w:rsid w:val="00F27FF2"/>
    <w:rsid w:val="00F27FFC"/>
    <w:rsid w:val="00F30071"/>
    <w:rsid w:val="00F300DA"/>
    <w:rsid w:val="00F3098A"/>
    <w:rsid w:val="00F30D94"/>
    <w:rsid w:val="00F30E26"/>
    <w:rsid w:val="00F31063"/>
    <w:rsid w:val="00F311A0"/>
    <w:rsid w:val="00F31519"/>
    <w:rsid w:val="00F31950"/>
    <w:rsid w:val="00F32189"/>
    <w:rsid w:val="00F321D5"/>
    <w:rsid w:val="00F3272E"/>
    <w:rsid w:val="00F3279F"/>
    <w:rsid w:val="00F32D1D"/>
    <w:rsid w:val="00F32D99"/>
    <w:rsid w:val="00F32FD4"/>
    <w:rsid w:val="00F33223"/>
    <w:rsid w:val="00F335D6"/>
    <w:rsid w:val="00F33818"/>
    <w:rsid w:val="00F33C0F"/>
    <w:rsid w:val="00F3434C"/>
    <w:rsid w:val="00F3441A"/>
    <w:rsid w:val="00F34474"/>
    <w:rsid w:val="00F344F3"/>
    <w:rsid w:val="00F34727"/>
    <w:rsid w:val="00F34840"/>
    <w:rsid w:val="00F34B22"/>
    <w:rsid w:val="00F34FC6"/>
    <w:rsid w:val="00F352EE"/>
    <w:rsid w:val="00F35387"/>
    <w:rsid w:val="00F35D0D"/>
    <w:rsid w:val="00F3679A"/>
    <w:rsid w:val="00F36FE1"/>
    <w:rsid w:val="00F36FEB"/>
    <w:rsid w:val="00F374BB"/>
    <w:rsid w:val="00F375AF"/>
    <w:rsid w:val="00F37AE4"/>
    <w:rsid w:val="00F37B37"/>
    <w:rsid w:val="00F37EEE"/>
    <w:rsid w:val="00F408D9"/>
    <w:rsid w:val="00F40A6D"/>
    <w:rsid w:val="00F40B9C"/>
    <w:rsid w:val="00F4106D"/>
    <w:rsid w:val="00F410D5"/>
    <w:rsid w:val="00F41444"/>
    <w:rsid w:val="00F4149C"/>
    <w:rsid w:val="00F41971"/>
    <w:rsid w:val="00F41B20"/>
    <w:rsid w:val="00F4248A"/>
    <w:rsid w:val="00F428B9"/>
    <w:rsid w:val="00F43434"/>
    <w:rsid w:val="00F4357B"/>
    <w:rsid w:val="00F43BA0"/>
    <w:rsid w:val="00F43BC3"/>
    <w:rsid w:val="00F43F63"/>
    <w:rsid w:val="00F442EE"/>
    <w:rsid w:val="00F44345"/>
    <w:rsid w:val="00F44A9F"/>
    <w:rsid w:val="00F4503B"/>
    <w:rsid w:val="00F45270"/>
    <w:rsid w:val="00F452BE"/>
    <w:rsid w:val="00F4540D"/>
    <w:rsid w:val="00F454F3"/>
    <w:rsid w:val="00F45AF5"/>
    <w:rsid w:val="00F45BF3"/>
    <w:rsid w:val="00F46430"/>
    <w:rsid w:val="00F46918"/>
    <w:rsid w:val="00F46E60"/>
    <w:rsid w:val="00F471E0"/>
    <w:rsid w:val="00F478FF"/>
    <w:rsid w:val="00F47EA4"/>
    <w:rsid w:val="00F5085D"/>
    <w:rsid w:val="00F509E4"/>
    <w:rsid w:val="00F50BB3"/>
    <w:rsid w:val="00F50FDA"/>
    <w:rsid w:val="00F51868"/>
    <w:rsid w:val="00F51D0A"/>
    <w:rsid w:val="00F51D68"/>
    <w:rsid w:val="00F51EFC"/>
    <w:rsid w:val="00F521F8"/>
    <w:rsid w:val="00F5272C"/>
    <w:rsid w:val="00F528D3"/>
    <w:rsid w:val="00F52968"/>
    <w:rsid w:val="00F52CEE"/>
    <w:rsid w:val="00F52DC1"/>
    <w:rsid w:val="00F53488"/>
    <w:rsid w:val="00F53759"/>
    <w:rsid w:val="00F53C26"/>
    <w:rsid w:val="00F53DA7"/>
    <w:rsid w:val="00F54745"/>
    <w:rsid w:val="00F547DB"/>
    <w:rsid w:val="00F547DC"/>
    <w:rsid w:val="00F54CAA"/>
    <w:rsid w:val="00F54E6F"/>
    <w:rsid w:val="00F5502B"/>
    <w:rsid w:val="00F55391"/>
    <w:rsid w:val="00F55438"/>
    <w:rsid w:val="00F55446"/>
    <w:rsid w:val="00F560BA"/>
    <w:rsid w:val="00F561B5"/>
    <w:rsid w:val="00F56382"/>
    <w:rsid w:val="00F563CA"/>
    <w:rsid w:val="00F5643B"/>
    <w:rsid w:val="00F56499"/>
    <w:rsid w:val="00F5677E"/>
    <w:rsid w:val="00F56A6F"/>
    <w:rsid w:val="00F56F10"/>
    <w:rsid w:val="00F5719B"/>
    <w:rsid w:val="00F57256"/>
    <w:rsid w:val="00F576B4"/>
    <w:rsid w:val="00F577CE"/>
    <w:rsid w:val="00F57C20"/>
    <w:rsid w:val="00F57D75"/>
    <w:rsid w:val="00F60C81"/>
    <w:rsid w:val="00F60D5F"/>
    <w:rsid w:val="00F610E7"/>
    <w:rsid w:val="00F613D9"/>
    <w:rsid w:val="00F61518"/>
    <w:rsid w:val="00F6155D"/>
    <w:rsid w:val="00F61584"/>
    <w:rsid w:val="00F61CBF"/>
    <w:rsid w:val="00F61D69"/>
    <w:rsid w:val="00F62D2D"/>
    <w:rsid w:val="00F63398"/>
    <w:rsid w:val="00F637BC"/>
    <w:rsid w:val="00F63CC2"/>
    <w:rsid w:val="00F63EA2"/>
    <w:rsid w:val="00F640D6"/>
    <w:rsid w:val="00F64CCD"/>
    <w:rsid w:val="00F64CFC"/>
    <w:rsid w:val="00F65304"/>
    <w:rsid w:val="00F65417"/>
    <w:rsid w:val="00F65857"/>
    <w:rsid w:val="00F6598C"/>
    <w:rsid w:val="00F659DD"/>
    <w:rsid w:val="00F661DB"/>
    <w:rsid w:val="00F66423"/>
    <w:rsid w:val="00F665E5"/>
    <w:rsid w:val="00F66758"/>
    <w:rsid w:val="00F66A3B"/>
    <w:rsid w:val="00F66E88"/>
    <w:rsid w:val="00F67700"/>
    <w:rsid w:val="00F6787E"/>
    <w:rsid w:val="00F678CE"/>
    <w:rsid w:val="00F6792B"/>
    <w:rsid w:val="00F67D7A"/>
    <w:rsid w:val="00F67E30"/>
    <w:rsid w:val="00F7014B"/>
    <w:rsid w:val="00F70380"/>
    <w:rsid w:val="00F705C3"/>
    <w:rsid w:val="00F70725"/>
    <w:rsid w:val="00F7115B"/>
    <w:rsid w:val="00F715AD"/>
    <w:rsid w:val="00F7169D"/>
    <w:rsid w:val="00F718C0"/>
    <w:rsid w:val="00F71958"/>
    <w:rsid w:val="00F72098"/>
    <w:rsid w:val="00F720D4"/>
    <w:rsid w:val="00F7211F"/>
    <w:rsid w:val="00F72140"/>
    <w:rsid w:val="00F7248D"/>
    <w:rsid w:val="00F72A27"/>
    <w:rsid w:val="00F72C4E"/>
    <w:rsid w:val="00F72E47"/>
    <w:rsid w:val="00F732B5"/>
    <w:rsid w:val="00F7335C"/>
    <w:rsid w:val="00F733CE"/>
    <w:rsid w:val="00F73515"/>
    <w:rsid w:val="00F73673"/>
    <w:rsid w:val="00F73EB7"/>
    <w:rsid w:val="00F7431A"/>
    <w:rsid w:val="00F748A9"/>
    <w:rsid w:val="00F748DC"/>
    <w:rsid w:val="00F748E6"/>
    <w:rsid w:val="00F74A76"/>
    <w:rsid w:val="00F74F02"/>
    <w:rsid w:val="00F75828"/>
    <w:rsid w:val="00F75C53"/>
    <w:rsid w:val="00F7619A"/>
    <w:rsid w:val="00F761A9"/>
    <w:rsid w:val="00F764B7"/>
    <w:rsid w:val="00F7667B"/>
    <w:rsid w:val="00F7668A"/>
    <w:rsid w:val="00F767B1"/>
    <w:rsid w:val="00F76C57"/>
    <w:rsid w:val="00F77242"/>
    <w:rsid w:val="00F772CD"/>
    <w:rsid w:val="00F77388"/>
    <w:rsid w:val="00F77425"/>
    <w:rsid w:val="00F77B2D"/>
    <w:rsid w:val="00F77CD6"/>
    <w:rsid w:val="00F77F91"/>
    <w:rsid w:val="00F800EC"/>
    <w:rsid w:val="00F802DC"/>
    <w:rsid w:val="00F8057A"/>
    <w:rsid w:val="00F806B7"/>
    <w:rsid w:val="00F806DD"/>
    <w:rsid w:val="00F80BE2"/>
    <w:rsid w:val="00F80CD0"/>
    <w:rsid w:val="00F80FEF"/>
    <w:rsid w:val="00F812E6"/>
    <w:rsid w:val="00F81375"/>
    <w:rsid w:val="00F813F5"/>
    <w:rsid w:val="00F814CD"/>
    <w:rsid w:val="00F81704"/>
    <w:rsid w:val="00F8198B"/>
    <w:rsid w:val="00F82934"/>
    <w:rsid w:val="00F83117"/>
    <w:rsid w:val="00F83722"/>
    <w:rsid w:val="00F837E8"/>
    <w:rsid w:val="00F83D2F"/>
    <w:rsid w:val="00F83D44"/>
    <w:rsid w:val="00F83F9D"/>
    <w:rsid w:val="00F851A4"/>
    <w:rsid w:val="00F85512"/>
    <w:rsid w:val="00F855ED"/>
    <w:rsid w:val="00F8583A"/>
    <w:rsid w:val="00F85948"/>
    <w:rsid w:val="00F85EF2"/>
    <w:rsid w:val="00F8627C"/>
    <w:rsid w:val="00F867BE"/>
    <w:rsid w:val="00F86A4B"/>
    <w:rsid w:val="00F86AA3"/>
    <w:rsid w:val="00F86D57"/>
    <w:rsid w:val="00F872E9"/>
    <w:rsid w:val="00F87410"/>
    <w:rsid w:val="00F87600"/>
    <w:rsid w:val="00F876D4"/>
    <w:rsid w:val="00F879C4"/>
    <w:rsid w:val="00F87A58"/>
    <w:rsid w:val="00F87ABC"/>
    <w:rsid w:val="00F87CAB"/>
    <w:rsid w:val="00F87D1E"/>
    <w:rsid w:val="00F87DDE"/>
    <w:rsid w:val="00F87EB2"/>
    <w:rsid w:val="00F901F7"/>
    <w:rsid w:val="00F90962"/>
    <w:rsid w:val="00F90C18"/>
    <w:rsid w:val="00F90E11"/>
    <w:rsid w:val="00F913D0"/>
    <w:rsid w:val="00F91AA2"/>
    <w:rsid w:val="00F91D5E"/>
    <w:rsid w:val="00F920A7"/>
    <w:rsid w:val="00F92214"/>
    <w:rsid w:val="00F924EB"/>
    <w:rsid w:val="00F929CD"/>
    <w:rsid w:val="00F92D2F"/>
    <w:rsid w:val="00F9313A"/>
    <w:rsid w:val="00F93240"/>
    <w:rsid w:val="00F93350"/>
    <w:rsid w:val="00F939AB"/>
    <w:rsid w:val="00F93E04"/>
    <w:rsid w:val="00F94272"/>
    <w:rsid w:val="00F94362"/>
    <w:rsid w:val="00F94430"/>
    <w:rsid w:val="00F94761"/>
    <w:rsid w:val="00F9495F"/>
    <w:rsid w:val="00F94F6B"/>
    <w:rsid w:val="00F951E8"/>
    <w:rsid w:val="00F952B4"/>
    <w:rsid w:val="00F952EA"/>
    <w:rsid w:val="00F95399"/>
    <w:rsid w:val="00F953CC"/>
    <w:rsid w:val="00F953F9"/>
    <w:rsid w:val="00F95979"/>
    <w:rsid w:val="00F95DAB"/>
    <w:rsid w:val="00F95F68"/>
    <w:rsid w:val="00F969A9"/>
    <w:rsid w:val="00F96B0F"/>
    <w:rsid w:val="00F96E33"/>
    <w:rsid w:val="00F96EAC"/>
    <w:rsid w:val="00F9739D"/>
    <w:rsid w:val="00F974FE"/>
    <w:rsid w:val="00F97675"/>
    <w:rsid w:val="00F97953"/>
    <w:rsid w:val="00F97BB1"/>
    <w:rsid w:val="00F97DC4"/>
    <w:rsid w:val="00FA0651"/>
    <w:rsid w:val="00FA17F1"/>
    <w:rsid w:val="00FA1860"/>
    <w:rsid w:val="00FA1DFA"/>
    <w:rsid w:val="00FA206B"/>
    <w:rsid w:val="00FA2366"/>
    <w:rsid w:val="00FA23B3"/>
    <w:rsid w:val="00FA282C"/>
    <w:rsid w:val="00FA2AB7"/>
    <w:rsid w:val="00FA2CAF"/>
    <w:rsid w:val="00FA2ED1"/>
    <w:rsid w:val="00FA35D0"/>
    <w:rsid w:val="00FA36F6"/>
    <w:rsid w:val="00FA3ADC"/>
    <w:rsid w:val="00FA3EF4"/>
    <w:rsid w:val="00FA42F6"/>
    <w:rsid w:val="00FA43F7"/>
    <w:rsid w:val="00FA470B"/>
    <w:rsid w:val="00FA48F9"/>
    <w:rsid w:val="00FA4CCB"/>
    <w:rsid w:val="00FA52A8"/>
    <w:rsid w:val="00FA542C"/>
    <w:rsid w:val="00FA5528"/>
    <w:rsid w:val="00FA5742"/>
    <w:rsid w:val="00FA5B93"/>
    <w:rsid w:val="00FA5F95"/>
    <w:rsid w:val="00FA6259"/>
    <w:rsid w:val="00FA6A73"/>
    <w:rsid w:val="00FA7CFB"/>
    <w:rsid w:val="00FB002B"/>
    <w:rsid w:val="00FB0158"/>
    <w:rsid w:val="00FB01B2"/>
    <w:rsid w:val="00FB0340"/>
    <w:rsid w:val="00FB0601"/>
    <w:rsid w:val="00FB070E"/>
    <w:rsid w:val="00FB079E"/>
    <w:rsid w:val="00FB10C2"/>
    <w:rsid w:val="00FB1302"/>
    <w:rsid w:val="00FB1781"/>
    <w:rsid w:val="00FB1D44"/>
    <w:rsid w:val="00FB20D0"/>
    <w:rsid w:val="00FB2462"/>
    <w:rsid w:val="00FB251E"/>
    <w:rsid w:val="00FB2844"/>
    <w:rsid w:val="00FB2FC3"/>
    <w:rsid w:val="00FB3085"/>
    <w:rsid w:val="00FB317C"/>
    <w:rsid w:val="00FB3483"/>
    <w:rsid w:val="00FB34E9"/>
    <w:rsid w:val="00FB394E"/>
    <w:rsid w:val="00FB41F9"/>
    <w:rsid w:val="00FB4826"/>
    <w:rsid w:val="00FB4AEB"/>
    <w:rsid w:val="00FB4CB3"/>
    <w:rsid w:val="00FB4D1B"/>
    <w:rsid w:val="00FB5572"/>
    <w:rsid w:val="00FB58FB"/>
    <w:rsid w:val="00FB594A"/>
    <w:rsid w:val="00FB688F"/>
    <w:rsid w:val="00FB6950"/>
    <w:rsid w:val="00FB69DE"/>
    <w:rsid w:val="00FB6C55"/>
    <w:rsid w:val="00FB70D2"/>
    <w:rsid w:val="00FB745B"/>
    <w:rsid w:val="00FB770F"/>
    <w:rsid w:val="00FB7CF7"/>
    <w:rsid w:val="00FC02EF"/>
    <w:rsid w:val="00FC0A95"/>
    <w:rsid w:val="00FC0EDB"/>
    <w:rsid w:val="00FC0EFC"/>
    <w:rsid w:val="00FC1856"/>
    <w:rsid w:val="00FC1ECA"/>
    <w:rsid w:val="00FC1FD0"/>
    <w:rsid w:val="00FC2088"/>
    <w:rsid w:val="00FC20DB"/>
    <w:rsid w:val="00FC2454"/>
    <w:rsid w:val="00FC2630"/>
    <w:rsid w:val="00FC2A21"/>
    <w:rsid w:val="00FC2AAC"/>
    <w:rsid w:val="00FC2B15"/>
    <w:rsid w:val="00FC3193"/>
    <w:rsid w:val="00FC33D7"/>
    <w:rsid w:val="00FC3679"/>
    <w:rsid w:val="00FC3FD0"/>
    <w:rsid w:val="00FC418F"/>
    <w:rsid w:val="00FC41BD"/>
    <w:rsid w:val="00FC45D7"/>
    <w:rsid w:val="00FC48A0"/>
    <w:rsid w:val="00FC54CC"/>
    <w:rsid w:val="00FC57F2"/>
    <w:rsid w:val="00FC593C"/>
    <w:rsid w:val="00FC5948"/>
    <w:rsid w:val="00FC5FF6"/>
    <w:rsid w:val="00FC60A7"/>
    <w:rsid w:val="00FC66FE"/>
    <w:rsid w:val="00FC6810"/>
    <w:rsid w:val="00FC6972"/>
    <w:rsid w:val="00FC6B9A"/>
    <w:rsid w:val="00FC6DAE"/>
    <w:rsid w:val="00FC7060"/>
    <w:rsid w:val="00FC758B"/>
    <w:rsid w:val="00FC78B2"/>
    <w:rsid w:val="00FC7917"/>
    <w:rsid w:val="00FC7BA9"/>
    <w:rsid w:val="00FD0030"/>
    <w:rsid w:val="00FD01DC"/>
    <w:rsid w:val="00FD0AAA"/>
    <w:rsid w:val="00FD0AB2"/>
    <w:rsid w:val="00FD0F6B"/>
    <w:rsid w:val="00FD17C6"/>
    <w:rsid w:val="00FD1868"/>
    <w:rsid w:val="00FD1A07"/>
    <w:rsid w:val="00FD1A14"/>
    <w:rsid w:val="00FD1C12"/>
    <w:rsid w:val="00FD2301"/>
    <w:rsid w:val="00FD25EE"/>
    <w:rsid w:val="00FD2792"/>
    <w:rsid w:val="00FD288B"/>
    <w:rsid w:val="00FD2BC5"/>
    <w:rsid w:val="00FD2C21"/>
    <w:rsid w:val="00FD30B9"/>
    <w:rsid w:val="00FD38CB"/>
    <w:rsid w:val="00FD3B1D"/>
    <w:rsid w:val="00FD3BF6"/>
    <w:rsid w:val="00FD3F3C"/>
    <w:rsid w:val="00FD429D"/>
    <w:rsid w:val="00FD4316"/>
    <w:rsid w:val="00FD46C6"/>
    <w:rsid w:val="00FD495A"/>
    <w:rsid w:val="00FD4A0E"/>
    <w:rsid w:val="00FD5073"/>
    <w:rsid w:val="00FD5253"/>
    <w:rsid w:val="00FD56AF"/>
    <w:rsid w:val="00FD58E1"/>
    <w:rsid w:val="00FD62D4"/>
    <w:rsid w:val="00FD63AB"/>
    <w:rsid w:val="00FD6697"/>
    <w:rsid w:val="00FD6CBB"/>
    <w:rsid w:val="00FD7167"/>
    <w:rsid w:val="00FD73E0"/>
    <w:rsid w:val="00FD7507"/>
    <w:rsid w:val="00FD7B93"/>
    <w:rsid w:val="00FE0565"/>
    <w:rsid w:val="00FE0B17"/>
    <w:rsid w:val="00FE0CD4"/>
    <w:rsid w:val="00FE11EB"/>
    <w:rsid w:val="00FE11FA"/>
    <w:rsid w:val="00FE1238"/>
    <w:rsid w:val="00FE1727"/>
    <w:rsid w:val="00FE1F8C"/>
    <w:rsid w:val="00FE241D"/>
    <w:rsid w:val="00FE24B8"/>
    <w:rsid w:val="00FE2792"/>
    <w:rsid w:val="00FE27C4"/>
    <w:rsid w:val="00FE3139"/>
    <w:rsid w:val="00FE31EC"/>
    <w:rsid w:val="00FE334F"/>
    <w:rsid w:val="00FE3437"/>
    <w:rsid w:val="00FE3DC9"/>
    <w:rsid w:val="00FE3EBD"/>
    <w:rsid w:val="00FE4430"/>
    <w:rsid w:val="00FE4657"/>
    <w:rsid w:val="00FE4A2F"/>
    <w:rsid w:val="00FE4B42"/>
    <w:rsid w:val="00FE4F6F"/>
    <w:rsid w:val="00FE50CD"/>
    <w:rsid w:val="00FE50D3"/>
    <w:rsid w:val="00FE51D7"/>
    <w:rsid w:val="00FE5612"/>
    <w:rsid w:val="00FE579F"/>
    <w:rsid w:val="00FE5888"/>
    <w:rsid w:val="00FE5FA8"/>
    <w:rsid w:val="00FE63D2"/>
    <w:rsid w:val="00FE6AC9"/>
    <w:rsid w:val="00FE6B29"/>
    <w:rsid w:val="00FE6F21"/>
    <w:rsid w:val="00FE7094"/>
    <w:rsid w:val="00FE7567"/>
    <w:rsid w:val="00FE7696"/>
    <w:rsid w:val="00FE77D4"/>
    <w:rsid w:val="00FE77F8"/>
    <w:rsid w:val="00FE7809"/>
    <w:rsid w:val="00FF037F"/>
    <w:rsid w:val="00FF04F5"/>
    <w:rsid w:val="00FF0A8C"/>
    <w:rsid w:val="00FF10BF"/>
    <w:rsid w:val="00FF10EE"/>
    <w:rsid w:val="00FF1DC8"/>
    <w:rsid w:val="00FF257B"/>
    <w:rsid w:val="00FF2BC2"/>
    <w:rsid w:val="00FF2D86"/>
    <w:rsid w:val="00FF2D8C"/>
    <w:rsid w:val="00FF2E10"/>
    <w:rsid w:val="00FF339A"/>
    <w:rsid w:val="00FF3A93"/>
    <w:rsid w:val="00FF3F87"/>
    <w:rsid w:val="00FF3FC5"/>
    <w:rsid w:val="00FF4A9D"/>
    <w:rsid w:val="00FF4E0D"/>
    <w:rsid w:val="00FF533D"/>
    <w:rsid w:val="00FF587D"/>
    <w:rsid w:val="00FF5891"/>
    <w:rsid w:val="00FF5C4D"/>
    <w:rsid w:val="00FF612A"/>
    <w:rsid w:val="00FF62BF"/>
    <w:rsid w:val="00FF63FE"/>
    <w:rsid w:val="00FF65B2"/>
    <w:rsid w:val="00FF67F2"/>
    <w:rsid w:val="00FF6C31"/>
    <w:rsid w:val="00FF71C1"/>
    <w:rsid w:val="00FF758D"/>
    <w:rsid w:val="00FF75A4"/>
    <w:rsid w:val="00FF7723"/>
    <w:rsid w:val="00FF7814"/>
    <w:rsid w:val="00FF7F4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D1DCD4"/>
  <w15:docId w15:val="{3DC015B5-D94C-4064-A12C-76504BBE7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 w:eastAsia="en-US" w:bidi="ar-SA"/>
      </w:rPr>
    </w:rPrDefault>
    <w:pPrDefault>
      <w:pPr>
        <w:spacing w:after="160" w:line="257"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B3834"/>
    <w:pPr>
      <w:pBdr>
        <w:top w:val="nil"/>
        <w:left w:val="nil"/>
        <w:bottom w:val="nil"/>
        <w:right w:val="nil"/>
        <w:between w:val="nil"/>
      </w:pBdr>
      <w:spacing w:after="0" w:line="240" w:lineRule="auto"/>
      <w:jc w:val="both"/>
    </w:pPr>
    <w:rPr>
      <w:rFonts w:ascii="Cambria" w:eastAsia="Cambria" w:hAnsi="Cambria" w:cs="Cambria"/>
      <w:color w:val="000000"/>
      <w:sz w:val="20"/>
      <w:szCs w:val="20"/>
    </w:rPr>
  </w:style>
  <w:style w:type="paragraph" w:styleId="Heading1">
    <w:name w:val="heading 1"/>
    <w:basedOn w:val="Normal"/>
    <w:next w:val="Normal"/>
    <w:link w:val="Heading1Char"/>
    <w:rsid w:val="00E859A9"/>
    <w:pPr>
      <w:keepNext/>
      <w:keepLines/>
      <w:widowControl w:val="0"/>
      <w:numPr>
        <w:numId w:val="6"/>
      </w:numPr>
      <w:spacing w:before="240" w:after="120"/>
      <w:outlineLvl w:val="0"/>
    </w:pPr>
    <w:rPr>
      <w:b/>
      <w:bCs/>
    </w:rPr>
  </w:style>
  <w:style w:type="paragraph" w:styleId="Heading2">
    <w:name w:val="heading 2"/>
    <w:basedOn w:val="Normal"/>
    <w:next w:val="Normal"/>
    <w:link w:val="Heading2Char"/>
    <w:rsid w:val="00B1595B"/>
    <w:pPr>
      <w:keepNext/>
      <w:keepLines/>
      <w:widowControl w:val="0"/>
      <w:numPr>
        <w:ilvl w:val="1"/>
        <w:numId w:val="6"/>
      </w:numPr>
      <w:spacing w:before="240" w:after="120"/>
      <w:outlineLvl w:val="1"/>
    </w:pPr>
    <w:rPr>
      <w:b/>
      <w:bCs/>
      <w:i/>
      <w:iCs/>
    </w:rPr>
  </w:style>
  <w:style w:type="paragraph" w:styleId="Heading3">
    <w:name w:val="heading 3"/>
    <w:basedOn w:val="Normal"/>
    <w:next w:val="Normal"/>
    <w:link w:val="Heading3Char"/>
    <w:rsid w:val="00821B05"/>
    <w:pPr>
      <w:keepNext/>
      <w:keepLines/>
      <w:widowControl w:val="0"/>
      <w:numPr>
        <w:ilvl w:val="2"/>
        <w:numId w:val="6"/>
      </w:numPr>
      <w:spacing w:before="40"/>
      <w:ind w:left="851"/>
      <w:outlineLvl w:val="2"/>
    </w:pPr>
    <w:rPr>
      <w:rFonts w:asciiTheme="minorHAnsi" w:hAnsiTheme="minorHAnsi"/>
      <w:b/>
      <w:bCs/>
      <w:i/>
      <w:iCs/>
    </w:rPr>
  </w:style>
  <w:style w:type="paragraph" w:styleId="Heading4">
    <w:name w:val="heading 4"/>
    <w:basedOn w:val="Normal"/>
    <w:next w:val="Normal"/>
    <w:pPr>
      <w:keepNext/>
      <w:keepLines/>
      <w:widowControl w:val="0"/>
      <w:numPr>
        <w:ilvl w:val="3"/>
        <w:numId w:val="6"/>
      </w:numPr>
      <w:tabs>
        <w:tab w:val="left" w:pos="426"/>
      </w:tabs>
      <w:spacing w:before="40"/>
      <w:outlineLvl w:val="3"/>
    </w:pPr>
    <w:rPr>
      <w:i/>
      <w:color w:val="2F5496"/>
    </w:rPr>
  </w:style>
  <w:style w:type="paragraph" w:styleId="Heading5">
    <w:name w:val="heading 5"/>
    <w:basedOn w:val="Normal"/>
    <w:next w:val="Normal"/>
    <w:pPr>
      <w:keepNext/>
      <w:keepLines/>
      <w:widowControl w:val="0"/>
      <w:numPr>
        <w:ilvl w:val="4"/>
        <w:numId w:val="6"/>
      </w:numPr>
      <w:tabs>
        <w:tab w:val="left" w:pos="426"/>
      </w:tabs>
      <w:spacing w:before="40"/>
      <w:outlineLvl w:val="4"/>
    </w:pPr>
    <w:rPr>
      <w:color w:val="2F5496"/>
    </w:rPr>
  </w:style>
  <w:style w:type="paragraph" w:styleId="Heading6">
    <w:name w:val="heading 6"/>
    <w:basedOn w:val="Normal"/>
    <w:next w:val="Normal"/>
    <w:pPr>
      <w:keepNext/>
      <w:keepLines/>
      <w:widowControl w:val="0"/>
      <w:numPr>
        <w:ilvl w:val="5"/>
        <w:numId w:val="6"/>
      </w:numPr>
      <w:tabs>
        <w:tab w:val="left" w:pos="426"/>
      </w:tabs>
      <w:spacing w:before="40"/>
      <w:outlineLvl w:val="5"/>
    </w:pPr>
    <w:rPr>
      <w:color w:val="1F3863"/>
    </w:rPr>
  </w:style>
  <w:style w:type="paragraph" w:styleId="Heading7">
    <w:name w:val="heading 7"/>
    <w:basedOn w:val="Normal"/>
    <w:next w:val="Normal"/>
    <w:link w:val="Heading7Char"/>
    <w:uiPriority w:val="9"/>
    <w:semiHidden/>
    <w:unhideWhenUsed/>
    <w:qFormat/>
    <w:rsid w:val="00FA5F95"/>
    <w:pPr>
      <w:keepNext/>
      <w:keepLines/>
      <w:numPr>
        <w:ilvl w:val="6"/>
        <w:numId w:val="6"/>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FA5F95"/>
    <w:pPr>
      <w:keepNext/>
      <w:keepLines/>
      <w:numPr>
        <w:ilvl w:val="7"/>
        <w:numId w:val="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A5F95"/>
    <w:pPr>
      <w:keepNext/>
      <w:keepLines/>
      <w:numPr>
        <w:ilvl w:val="8"/>
        <w:numId w:val="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12">
    <w:name w:val="12"/>
    <w:basedOn w:val="TableNormal"/>
    <w:tblPr>
      <w:tblStyleRowBandSize w:val="1"/>
      <w:tblStyleColBandSize w:val="1"/>
      <w:tblCellMar>
        <w:left w:w="57" w:type="dxa"/>
        <w:right w:w="57" w:type="dxa"/>
      </w:tblCellMar>
    </w:tblPr>
  </w:style>
  <w:style w:type="table" w:customStyle="1" w:styleId="11">
    <w:name w:val="11"/>
    <w:basedOn w:val="TableNormal"/>
    <w:tblPr>
      <w:tblStyleRowBandSize w:val="1"/>
      <w:tblStyleColBandSize w:val="1"/>
      <w:tblCellMar>
        <w:left w:w="57" w:type="dxa"/>
        <w:right w:w="57" w:type="dxa"/>
      </w:tblCellMar>
    </w:tblPr>
  </w:style>
  <w:style w:type="table" w:customStyle="1" w:styleId="10">
    <w:name w:val="10"/>
    <w:basedOn w:val="TableNormal"/>
    <w:tblPr>
      <w:tblStyleRowBandSize w:val="1"/>
      <w:tblStyleColBandSize w:val="1"/>
      <w:tblCellMar>
        <w:left w:w="28" w:type="dxa"/>
        <w:right w:w="28" w:type="dxa"/>
      </w:tblCellMar>
    </w:tblPr>
  </w:style>
  <w:style w:type="table" w:customStyle="1" w:styleId="9">
    <w:name w:val="9"/>
    <w:basedOn w:val="TableNormal"/>
    <w:tblPr>
      <w:tblStyleRowBandSize w:val="1"/>
      <w:tblStyleColBandSize w:val="1"/>
      <w:tblCellMar>
        <w:left w:w="57" w:type="dxa"/>
        <w:right w:w="57" w:type="dxa"/>
      </w:tblCellMar>
    </w:tblPr>
  </w:style>
  <w:style w:type="table" w:customStyle="1" w:styleId="8">
    <w:name w:val="8"/>
    <w:basedOn w:val="TableNormal"/>
    <w:tblPr>
      <w:tblStyleRowBandSize w:val="1"/>
      <w:tblStyleColBandSize w:val="1"/>
      <w:tblCellMar>
        <w:left w:w="28" w:type="dxa"/>
        <w:right w:w="28" w:type="dxa"/>
      </w:tblCellMar>
    </w:tblPr>
  </w:style>
  <w:style w:type="table" w:customStyle="1" w:styleId="7">
    <w:name w:val="7"/>
    <w:basedOn w:val="TableNormal"/>
    <w:tblPr>
      <w:tblStyleRowBandSize w:val="1"/>
      <w:tblStyleColBandSize w:val="1"/>
      <w:tblCellMar>
        <w:left w:w="57" w:type="dxa"/>
        <w:right w:w="57" w:type="dxa"/>
      </w:tblCellMar>
    </w:tblPr>
  </w:style>
  <w:style w:type="paragraph" w:styleId="CommentText">
    <w:name w:val="annotation text"/>
    <w:basedOn w:val="Normal"/>
    <w:link w:val="CommentTextChar"/>
    <w:uiPriority w:val="99"/>
    <w:unhideWhenUsed/>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5B5C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5C1E"/>
    <w:rPr>
      <w:rFonts w:ascii="Segoe UI" w:hAnsi="Segoe UI" w:cs="Segoe UI"/>
      <w:sz w:val="18"/>
      <w:szCs w:val="18"/>
    </w:rPr>
  </w:style>
  <w:style w:type="paragraph" w:styleId="Header">
    <w:name w:val="header"/>
    <w:basedOn w:val="Normal"/>
    <w:link w:val="HeaderChar"/>
    <w:uiPriority w:val="99"/>
    <w:unhideWhenUsed/>
    <w:rsid w:val="005B5C1E"/>
    <w:pPr>
      <w:tabs>
        <w:tab w:val="center" w:pos="4680"/>
        <w:tab w:val="right" w:pos="9360"/>
      </w:tabs>
    </w:pPr>
  </w:style>
  <w:style w:type="character" w:customStyle="1" w:styleId="HeaderChar">
    <w:name w:val="Header Char"/>
    <w:basedOn w:val="DefaultParagraphFont"/>
    <w:link w:val="Header"/>
    <w:uiPriority w:val="99"/>
    <w:rsid w:val="005B5C1E"/>
  </w:style>
  <w:style w:type="paragraph" w:styleId="Footer">
    <w:name w:val="footer"/>
    <w:basedOn w:val="Normal"/>
    <w:link w:val="FooterChar"/>
    <w:uiPriority w:val="99"/>
    <w:unhideWhenUsed/>
    <w:rsid w:val="005B5C1E"/>
    <w:pPr>
      <w:tabs>
        <w:tab w:val="center" w:pos="4680"/>
        <w:tab w:val="right" w:pos="9360"/>
      </w:tabs>
    </w:pPr>
  </w:style>
  <w:style w:type="character" w:customStyle="1" w:styleId="FooterChar">
    <w:name w:val="Footer Char"/>
    <w:basedOn w:val="DefaultParagraphFont"/>
    <w:link w:val="Footer"/>
    <w:uiPriority w:val="99"/>
    <w:rsid w:val="005B5C1E"/>
  </w:style>
  <w:style w:type="paragraph" w:styleId="Revision">
    <w:name w:val="Revision"/>
    <w:hidden/>
    <w:uiPriority w:val="99"/>
    <w:semiHidden/>
    <w:rsid w:val="005B5C1E"/>
    <w:pPr>
      <w:spacing w:after="0" w:line="240" w:lineRule="auto"/>
    </w:pPr>
  </w:style>
  <w:style w:type="table" w:customStyle="1" w:styleId="6">
    <w:name w:val="6"/>
    <w:basedOn w:val="TableNormal"/>
    <w:tblPr>
      <w:tblStyleRowBandSize w:val="1"/>
      <w:tblStyleColBandSize w:val="1"/>
      <w:tblCellMar>
        <w:left w:w="57" w:type="dxa"/>
        <w:right w:w="57" w:type="dxa"/>
      </w:tblCellMar>
    </w:tblPr>
  </w:style>
  <w:style w:type="table" w:customStyle="1" w:styleId="5">
    <w:name w:val="5"/>
    <w:basedOn w:val="TableNormal"/>
    <w:tblPr>
      <w:tblStyleRowBandSize w:val="1"/>
      <w:tblStyleColBandSize w:val="1"/>
      <w:tblCellMar>
        <w:left w:w="57" w:type="dxa"/>
        <w:right w:w="57" w:type="dxa"/>
      </w:tblCellMar>
    </w:tblPr>
  </w:style>
  <w:style w:type="table" w:customStyle="1" w:styleId="4">
    <w:name w:val="4"/>
    <w:basedOn w:val="TableNormal"/>
    <w:tblPr>
      <w:tblStyleRowBandSize w:val="1"/>
      <w:tblStyleColBandSize w:val="1"/>
      <w:tblCellMar>
        <w:left w:w="57" w:type="dxa"/>
        <w:right w:w="57" w:type="dxa"/>
      </w:tblCellMar>
    </w:tblPr>
  </w:style>
  <w:style w:type="table" w:customStyle="1" w:styleId="3">
    <w:name w:val="3"/>
    <w:basedOn w:val="TableNormal"/>
    <w:tblPr>
      <w:tblStyleRowBandSize w:val="1"/>
      <w:tblStyleColBandSize w:val="1"/>
      <w:tblCellMar>
        <w:left w:w="57" w:type="dxa"/>
        <w:right w:w="57" w:type="dxa"/>
      </w:tblCellMar>
    </w:tblPr>
  </w:style>
  <w:style w:type="table" w:customStyle="1" w:styleId="2">
    <w:name w:val="2"/>
    <w:basedOn w:val="TableNormal"/>
    <w:tblPr>
      <w:tblStyleRowBandSize w:val="1"/>
      <w:tblStyleColBandSize w:val="1"/>
      <w:tblCellMar>
        <w:left w:w="57" w:type="dxa"/>
        <w:right w:w="57" w:type="dxa"/>
      </w:tblCellMar>
    </w:tblPr>
  </w:style>
  <w:style w:type="table" w:customStyle="1" w:styleId="1">
    <w:name w:val="1"/>
    <w:basedOn w:val="TableNormal"/>
    <w:tblPr>
      <w:tblStyleRowBandSize w:val="1"/>
      <w:tblStyleColBandSize w:val="1"/>
      <w:tblCellMar>
        <w:left w:w="57" w:type="dxa"/>
        <w:right w:w="57" w:type="dxa"/>
      </w:tblCellMar>
    </w:tblPr>
  </w:style>
  <w:style w:type="paragraph" w:styleId="CommentSubject">
    <w:name w:val="annotation subject"/>
    <w:basedOn w:val="CommentText"/>
    <w:next w:val="CommentText"/>
    <w:link w:val="CommentSubjectChar"/>
    <w:uiPriority w:val="99"/>
    <w:semiHidden/>
    <w:unhideWhenUsed/>
    <w:rsid w:val="00C237B3"/>
    <w:rPr>
      <w:b/>
      <w:bCs/>
    </w:rPr>
  </w:style>
  <w:style w:type="character" w:customStyle="1" w:styleId="CommentSubjectChar">
    <w:name w:val="Comment Subject Char"/>
    <w:basedOn w:val="CommentTextChar"/>
    <w:link w:val="CommentSubject"/>
    <w:uiPriority w:val="99"/>
    <w:semiHidden/>
    <w:rsid w:val="00C237B3"/>
    <w:rPr>
      <w:b/>
      <w:bCs/>
      <w:sz w:val="20"/>
      <w:szCs w:val="20"/>
    </w:rPr>
  </w:style>
  <w:style w:type="character" w:styleId="PlaceholderText">
    <w:name w:val="Placeholder Text"/>
    <w:basedOn w:val="DefaultParagraphFont"/>
    <w:uiPriority w:val="99"/>
    <w:semiHidden/>
    <w:rsid w:val="006B0228"/>
    <w:rPr>
      <w:color w:val="808080"/>
    </w:rPr>
  </w:style>
  <w:style w:type="paragraph" w:styleId="NoSpacing">
    <w:name w:val="No Spacing"/>
    <w:uiPriority w:val="1"/>
    <w:qFormat/>
    <w:rsid w:val="008108B1"/>
    <w:pPr>
      <w:spacing w:after="0" w:line="240" w:lineRule="auto"/>
    </w:pPr>
  </w:style>
  <w:style w:type="paragraph" w:styleId="ListParagraph">
    <w:name w:val="List Paragraph"/>
    <w:basedOn w:val="Normal"/>
    <w:uiPriority w:val="34"/>
    <w:qFormat/>
    <w:rsid w:val="003675DA"/>
    <w:pPr>
      <w:ind w:left="720"/>
      <w:contextualSpacing/>
    </w:pPr>
  </w:style>
  <w:style w:type="paragraph" w:styleId="FootnoteText">
    <w:name w:val="footnote text"/>
    <w:basedOn w:val="Normal"/>
    <w:link w:val="FootnoteTextChar"/>
    <w:uiPriority w:val="99"/>
    <w:unhideWhenUsed/>
    <w:rsid w:val="008B784F"/>
  </w:style>
  <w:style w:type="character" w:customStyle="1" w:styleId="FootnoteTextChar">
    <w:name w:val="Footnote Text Char"/>
    <w:basedOn w:val="DefaultParagraphFont"/>
    <w:link w:val="FootnoteText"/>
    <w:uiPriority w:val="99"/>
    <w:rsid w:val="008B784F"/>
    <w:rPr>
      <w:sz w:val="20"/>
      <w:szCs w:val="20"/>
    </w:rPr>
  </w:style>
  <w:style w:type="character" w:styleId="FootnoteReference">
    <w:name w:val="footnote reference"/>
    <w:basedOn w:val="DefaultParagraphFont"/>
    <w:uiPriority w:val="99"/>
    <w:semiHidden/>
    <w:unhideWhenUsed/>
    <w:rsid w:val="008B784F"/>
    <w:rPr>
      <w:vertAlign w:val="superscript"/>
    </w:rPr>
  </w:style>
  <w:style w:type="character" w:styleId="Hyperlink">
    <w:name w:val="Hyperlink"/>
    <w:basedOn w:val="DefaultParagraphFont"/>
    <w:uiPriority w:val="99"/>
    <w:unhideWhenUsed/>
    <w:rsid w:val="00E71296"/>
    <w:rPr>
      <w:color w:val="0000FF" w:themeColor="hyperlink"/>
      <w:u w:val="single"/>
    </w:rPr>
  </w:style>
  <w:style w:type="character" w:customStyle="1" w:styleId="UnresolvedMention1">
    <w:name w:val="Unresolved Mention1"/>
    <w:basedOn w:val="DefaultParagraphFont"/>
    <w:uiPriority w:val="99"/>
    <w:semiHidden/>
    <w:unhideWhenUsed/>
    <w:rsid w:val="00E71296"/>
    <w:rPr>
      <w:color w:val="605E5C"/>
      <w:shd w:val="clear" w:color="auto" w:fill="E1DFDD"/>
    </w:rPr>
  </w:style>
  <w:style w:type="character" w:styleId="FollowedHyperlink">
    <w:name w:val="FollowedHyperlink"/>
    <w:basedOn w:val="DefaultParagraphFont"/>
    <w:uiPriority w:val="99"/>
    <w:semiHidden/>
    <w:unhideWhenUsed/>
    <w:rsid w:val="00AE4549"/>
    <w:rPr>
      <w:color w:val="800080" w:themeColor="followedHyperlink"/>
      <w:u w:val="single"/>
    </w:rPr>
  </w:style>
  <w:style w:type="paragraph" w:customStyle="1" w:styleId="Text2">
    <w:name w:val="Text 2"/>
    <w:basedOn w:val="Normal"/>
    <w:rsid w:val="00485A03"/>
    <w:pPr>
      <w:tabs>
        <w:tab w:val="left" w:pos="2160"/>
      </w:tabs>
      <w:spacing w:after="240"/>
      <w:ind w:left="1077"/>
    </w:pPr>
    <w:rPr>
      <w:rFonts w:ascii="Times New Roman" w:eastAsia="Batang" w:hAnsi="Times New Roman" w:cs="Times New Roman"/>
      <w:sz w:val="24"/>
    </w:rPr>
  </w:style>
  <w:style w:type="paragraph" w:styleId="NormalWeb">
    <w:name w:val="Normal (Web)"/>
    <w:basedOn w:val="Normal"/>
    <w:uiPriority w:val="99"/>
    <w:unhideWhenUsed/>
    <w:rsid w:val="00EC19A0"/>
    <w:pPr>
      <w:spacing w:before="100" w:beforeAutospacing="1" w:after="100" w:afterAutospacing="1"/>
    </w:pPr>
    <w:rPr>
      <w:rFonts w:ascii="Aptos" w:eastAsiaTheme="minorHAnsi" w:hAnsi="Aptos" w:cs="Aptos"/>
      <w:sz w:val="24"/>
      <w:szCs w:val="24"/>
      <w:lang w:eastAsia="en-GB"/>
    </w:rPr>
  </w:style>
  <w:style w:type="paragraph" w:styleId="HTMLPreformatted">
    <w:name w:val="HTML Preformatted"/>
    <w:basedOn w:val="Normal"/>
    <w:link w:val="HTMLPreformattedChar"/>
    <w:uiPriority w:val="99"/>
    <w:semiHidden/>
    <w:unhideWhenUsed/>
    <w:rsid w:val="00952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lang w:eastAsia="en-GB"/>
    </w:rPr>
  </w:style>
  <w:style w:type="character" w:customStyle="1" w:styleId="HTMLPreformattedChar">
    <w:name w:val="HTML Preformatted Char"/>
    <w:basedOn w:val="DefaultParagraphFont"/>
    <w:link w:val="HTMLPreformatted"/>
    <w:uiPriority w:val="99"/>
    <w:semiHidden/>
    <w:rsid w:val="00952D24"/>
    <w:rPr>
      <w:rFonts w:ascii="Courier New" w:eastAsia="Times New Roman" w:hAnsi="Courier New" w:cs="Courier New"/>
      <w:sz w:val="20"/>
      <w:szCs w:val="20"/>
      <w:lang w:eastAsia="en-GB"/>
    </w:rPr>
  </w:style>
  <w:style w:type="character" w:customStyle="1" w:styleId="hljs-comment">
    <w:name w:val="hljs-comment"/>
    <w:basedOn w:val="DefaultParagraphFont"/>
    <w:rsid w:val="00952D24"/>
  </w:style>
  <w:style w:type="table" w:styleId="TableGrid">
    <w:name w:val="Table Grid"/>
    <w:basedOn w:val="TableNormal"/>
    <w:uiPriority w:val="39"/>
    <w:rsid w:val="00D838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DF5B7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badge">
    <w:name w:val="badge"/>
    <w:basedOn w:val="DefaultParagraphFont"/>
    <w:rsid w:val="00AF2A47"/>
  </w:style>
  <w:style w:type="character" w:customStyle="1" w:styleId="ui-provider">
    <w:name w:val="ui-provider"/>
    <w:basedOn w:val="DefaultParagraphFont"/>
    <w:rsid w:val="003146B7"/>
  </w:style>
  <w:style w:type="paragraph" w:customStyle="1" w:styleId="msonormal0">
    <w:name w:val="msonormal"/>
    <w:basedOn w:val="Normal"/>
    <w:rsid w:val="00BA0D0A"/>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xl66">
    <w:name w:val="xl66"/>
    <w:basedOn w:val="Normal"/>
    <w:rsid w:val="00BA0D0A"/>
    <w:pPr>
      <w:pBdr>
        <w:left w:val="single" w:sz="4" w:space="0" w:color="auto"/>
      </w:pBdr>
      <w:shd w:val="clear" w:color="000000" w:fill="BFBFBF"/>
      <w:spacing w:before="100" w:beforeAutospacing="1" w:after="100" w:afterAutospacing="1"/>
      <w:jc w:val="center"/>
      <w:textAlignment w:val="center"/>
    </w:pPr>
    <w:rPr>
      <w:rFonts w:ascii="Segoe UI" w:eastAsia="Times New Roman" w:hAnsi="Segoe UI" w:cs="Segoe UI"/>
      <w:b/>
      <w:bCs/>
      <w:sz w:val="24"/>
      <w:szCs w:val="24"/>
      <w:lang w:eastAsia="en-GB"/>
    </w:rPr>
  </w:style>
  <w:style w:type="paragraph" w:customStyle="1" w:styleId="xl67">
    <w:name w:val="xl67"/>
    <w:basedOn w:val="Normal"/>
    <w:rsid w:val="00BA0D0A"/>
    <w:pPr>
      <w:pBdr>
        <w:right w:val="single" w:sz="4" w:space="0" w:color="auto"/>
      </w:pBdr>
      <w:shd w:val="clear" w:color="000000" w:fill="BFBFBF"/>
      <w:spacing w:before="100" w:beforeAutospacing="1" w:after="100" w:afterAutospacing="1"/>
      <w:jc w:val="center"/>
      <w:textAlignment w:val="center"/>
    </w:pPr>
    <w:rPr>
      <w:rFonts w:ascii="Segoe UI" w:eastAsia="Times New Roman" w:hAnsi="Segoe UI" w:cs="Segoe UI"/>
      <w:b/>
      <w:bCs/>
      <w:sz w:val="24"/>
      <w:szCs w:val="24"/>
      <w:lang w:eastAsia="en-GB"/>
    </w:rPr>
  </w:style>
  <w:style w:type="paragraph" w:customStyle="1" w:styleId="xl68">
    <w:name w:val="xl68"/>
    <w:basedOn w:val="Normal"/>
    <w:rsid w:val="00BA0D0A"/>
    <w:pPr>
      <w:pBdr>
        <w:top w:val="single" w:sz="4" w:space="0" w:color="auto"/>
        <w:left w:val="single" w:sz="4" w:space="0" w:color="auto"/>
      </w:pBdr>
      <w:spacing w:before="100" w:beforeAutospacing="1" w:after="100" w:afterAutospacing="1"/>
      <w:jc w:val="center"/>
      <w:textAlignment w:val="center"/>
    </w:pPr>
    <w:rPr>
      <w:rFonts w:ascii="Segoe UI" w:eastAsia="Times New Roman" w:hAnsi="Segoe UI" w:cs="Segoe UI"/>
      <w:sz w:val="24"/>
      <w:szCs w:val="24"/>
      <w:lang w:eastAsia="en-GB"/>
    </w:rPr>
  </w:style>
  <w:style w:type="paragraph" w:customStyle="1" w:styleId="xl69">
    <w:name w:val="xl69"/>
    <w:basedOn w:val="Normal"/>
    <w:rsid w:val="00BA0D0A"/>
    <w:pPr>
      <w:pBdr>
        <w:top w:val="single" w:sz="4" w:space="0" w:color="auto"/>
      </w:pBdr>
      <w:spacing w:before="100" w:beforeAutospacing="1" w:after="100" w:afterAutospacing="1"/>
    </w:pPr>
    <w:rPr>
      <w:rFonts w:ascii="Segoe UI" w:eastAsia="Times New Roman" w:hAnsi="Segoe UI" w:cs="Segoe UI"/>
      <w:sz w:val="24"/>
      <w:szCs w:val="24"/>
      <w:lang w:eastAsia="en-GB"/>
    </w:rPr>
  </w:style>
  <w:style w:type="paragraph" w:customStyle="1" w:styleId="xl70">
    <w:name w:val="xl70"/>
    <w:basedOn w:val="Normal"/>
    <w:rsid w:val="00BA0D0A"/>
    <w:pPr>
      <w:pBdr>
        <w:top w:val="single" w:sz="4" w:space="0" w:color="auto"/>
        <w:left w:val="single" w:sz="4" w:space="0" w:color="auto"/>
      </w:pBdr>
      <w:spacing w:before="100" w:beforeAutospacing="1" w:after="100" w:afterAutospacing="1"/>
      <w:jc w:val="center"/>
    </w:pPr>
    <w:rPr>
      <w:rFonts w:ascii="Segoe UI" w:eastAsia="Times New Roman" w:hAnsi="Segoe UI" w:cs="Segoe UI"/>
      <w:sz w:val="24"/>
      <w:szCs w:val="24"/>
      <w:lang w:eastAsia="en-GB"/>
    </w:rPr>
  </w:style>
  <w:style w:type="paragraph" w:customStyle="1" w:styleId="xl71">
    <w:name w:val="xl71"/>
    <w:basedOn w:val="Normal"/>
    <w:rsid w:val="00BA0D0A"/>
    <w:pPr>
      <w:pBdr>
        <w:top w:val="single" w:sz="4" w:space="0" w:color="auto"/>
      </w:pBdr>
      <w:spacing w:before="100" w:beforeAutospacing="1" w:after="100" w:afterAutospacing="1"/>
      <w:jc w:val="center"/>
    </w:pPr>
    <w:rPr>
      <w:rFonts w:ascii="Segoe UI" w:eastAsia="Times New Roman" w:hAnsi="Segoe UI" w:cs="Segoe UI"/>
      <w:sz w:val="24"/>
      <w:szCs w:val="24"/>
      <w:lang w:eastAsia="en-GB"/>
    </w:rPr>
  </w:style>
  <w:style w:type="paragraph" w:customStyle="1" w:styleId="xl72">
    <w:name w:val="xl72"/>
    <w:basedOn w:val="Normal"/>
    <w:rsid w:val="00BA0D0A"/>
    <w:pPr>
      <w:pBdr>
        <w:top w:val="single" w:sz="4" w:space="0" w:color="auto"/>
        <w:right w:val="single" w:sz="4" w:space="0" w:color="auto"/>
      </w:pBdr>
      <w:spacing w:before="100" w:beforeAutospacing="1" w:after="100" w:afterAutospacing="1"/>
      <w:jc w:val="center"/>
    </w:pPr>
    <w:rPr>
      <w:rFonts w:ascii="Segoe UI" w:eastAsia="Times New Roman" w:hAnsi="Segoe UI" w:cs="Segoe UI"/>
      <w:sz w:val="24"/>
      <w:szCs w:val="24"/>
      <w:lang w:eastAsia="en-GB"/>
    </w:rPr>
  </w:style>
  <w:style w:type="paragraph" w:customStyle="1" w:styleId="xl73">
    <w:name w:val="xl73"/>
    <w:basedOn w:val="Normal"/>
    <w:rsid w:val="00BA0D0A"/>
    <w:pPr>
      <w:pBdr>
        <w:left w:val="single" w:sz="4" w:space="0" w:color="auto"/>
      </w:pBdr>
      <w:spacing w:before="100" w:beforeAutospacing="1" w:after="100" w:afterAutospacing="1"/>
      <w:jc w:val="center"/>
      <w:textAlignment w:val="center"/>
    </w:pPr>
    <w:rPr>
      <w:rFonts w:ascii="Segoe UI" w:eastAsia="Times New Roman" w:hAnsi="Segoe UI" w:cs="Segoe UI"/>
      <w:sz w:val="24"/>
      <w:szCs w:val="24"/>
      <w:lang w:eastAsia="en-GB"/>
    </w:rPr>
  </w:style>
  <w:style w:type="paragraph" w:customStyle="1" w:styleId="xl74">
    <w:name w:val="xl74"/>
    <w:basedOn w:val="Normal"/>
    <w:rsid w:val="00BA0D0A"/>
    <w:pPr>
      <w:spacing w:before="100" w:beforeAutospacing="1" w:after="100" w:afterAutospacing="1"/>
      <w:jc w:val="center"/>
    </w:pPr>
    <w:rPr>
      <w:rFonts w:ascii="Segoe UI" w:eastAsia="Times New Roman" w:hAnsi="Segoe UI" w:cs="Segoe UI"/>
      <w:sz w:val="24"/>
      <w:szCs w:val="24"/>
      <w:lang w:eastAsia="en-GB"/>
    </w:rPr>
  </w:style>
  <w:style w:type="paragraph" w:customStyle="1" w:styleId="xl75">
    <w:name w:val="xl75"/>
    <w:basedOn w:val="Normal"/>
    <w:rsid w:val="00BA0D0A"/>
    <w:pPr>
      <w:pBdr>
        <w:left w:val="single" w:sz="4" w:space="0" w:color="auto"/>
      </w:pBdr>
      <w:spacing w:before="100" w:beforeAutospacing="1" w:after="100" w:afterAutospacing="1"/>
      <w:jc w:val="center"/>
    </w:pPr>
    <w:rPr>
      <w:rFonts w:ascii="Segoe UI" w:eastAsia="Times New Roman" w:hAnsi="Segoe UI" w:cs="Segoe UI"/>
      <w:sz w:val="24"/>
      <w:szCs w:val="24"/>
      <w:lang w:eastAsia="en-GB"/>
    </w:rPr>
  </w:style>
  <w:style w:type="paragraph" w:customStyle="1" w:styleId="xl76">
    <w:name w:val="xl76"/>
    <w:basedOn w:val="Normal"/>
    <w:rsid w:val="00BA0D0A"/>
    <w:pPr>
      <w:pBdr>
        <w:right w:val="single" w:sz="4" w:space="0" w:color="auto"/>
      </w:pBdr>
      <w:spacing w:before="100" w:beforeAutospacing="1" w:after="100" w:afterAutospacing="1"/>
      <w:jc w:val="center"/>
    </w:pPr>
    <w:rPr>
      <w:rFonts w:ascii="Segoe UI" w:eastAsia="Times New Roman" w:hAnsi="Segoe UI" w:cs="Segoe UI"/>
      <w:sz w:val="24"/>
      <w:szCs w:val="24"/>
      <w:lang w:eastAsia="en-GB"/>
    </w:rPr>
  </w:style>
  <w:style w:type="paragraph" w:customStyle="1" w:styleId="xl77">
    <w:name w:val="xl77"/>
    <w:basedOn w:val="Normal"/>
    <w:rsid w:val="00BA0D0A"/>
    <w:pPr>
      <w:pBdr>
        <w:left w:val="single" w:sz="4" w:space="0" w:color="auto"/>
        <w:bottom w:val="single" w:sz="4" w:space="0" w:color="auto"/>
      </w:pBdr>
      <w:spacing w:before="100" w:beforeAutospacing="1" w:after="100" w:afterAutospacing="1"/>
      <w:jc w:val="center"/>
      <w:textAlignment w:val="center"/>
    </w:pPr>
    <w:rPr>
      <w:rFonts w:ascii="Segoe UI" w:eastAsia="Times New Roman" w:hAnsi="Segoe UI" w:cs="Segoe UI"/>
      <w:sz w:val="24"/>
      <w:szCs w:val="24"/>
      <w:lang w:eastAsia="en-GB"/>
    </w:rPr>
  </w:style>
  <w:style w:type="paragraph" w:customStyle="1" w:styleId="xl78">
    <w:name w:val="xl78"/>
    <w:basedOn w:val="Normal"/>
    <w:rsid w:val="00BA0D0A"/>
    <w:pPr>
      <w:pBdr>
        <w:bottom w:val="single" w:sz="4" w:space="0" w:color="auto"/>
      </w:pBdr>
      <w:spacing w:before="100" w:beforeAutospacing="1" w:after="100" w:afterAutospacing="1"/>
    </w:pPr>
    <w:rPr>
      <w:rFonts w:ascii="Segoe UI" w:eastAsia="Times New Roman" w:hAnsi="Segoe UI" w:cs="Segoe UI"/>
      <w:sz w:val="24"/>
      <w:szCs w:val="24"/>
      <w:lang w:eastAsia="en-GB"/>
    </w:rPr>
  </w:style>
  <w:style w:type="paragraph" w:customStyle="1" w:styleId="xl79">
    <w:name w:val="xl79"/>
    <w:basedOn w:val="Normal"/>
    <w:rsid w:val="00BA0D0A"/>
    <w:pPr>
      <w:pBdr>
        <w:left w:val="single" w:sz="4" w:space="0" w:color="auto"/>
        <w:bottom w:val="single" w:sz="4" w:space="0" w:color="auto"/>
      </w:pBdr>
      <w:spacing w:before="100" w:beforeAutospacing="1" w:after="100" w:afterAutospacing="1"/>
      <w:jc w:val="center"/>
    </w:pPr>
    <w:rPr>
      <w:rFonts w:ascii="Segoe UI" w:eastAsia="Times New Roman" w:hAnsi="Segoe UI" w:cs="Segoe UI"/>
      <w:sz w:val="24"/>
      <w:szCs w:val="24"/>
      <w:lang w:eastAsia="en-GB"/>
    </w:rPr>
  </w:style>
  <w:style w:type="paragraph" w:customStyle="1" w:styleId="xl80">
    <w:name w:val="xl80"/>
    <w:basedOn w:val="Normal"/>
    <w:rsid w:val="00BA0D0A"/>
    <w:pPr>
      <w:pBdr>
        <w:bottom w:val="single" w:sz="4" w:space="0" w:color="auto"/>
      </w:pBdr>
      <w:spacing w:before="100" w:beforeAutospacing="1" w:after="100" w:afterAutospacing="1"/>
      <w:jc w:val="center"/>
    </w:pPr>
    <w:rPr>
      <w:rFonts w:ascii="Segoe UI" w:eastAsia="Times New Roman" w:hAnsi="Segoe UI" w:cs="Segoe UI"/>
      <w:sz w:val="24"/>
      <w:szCs w:val="24"/>
      <w:lang w:eastAsia="en-GB"/>
    </w:rPr>
  </w:style>
  <w:style w:type="paragraph" w:customStyle="1" w:styleId="xl81">
    <w:name w:val="xl81"/>
    <w:basedOn w:val="Normal"/>
    <w:rsid w:val="00BA0D0A"/>
    <w:pPr>
      <w:pBdr>
        <w:bottom w:val="single" w:sz="4" w:space="0" w:color="auto"/>
        <w:right w:val="single" w:sz="4" w:space="0" w:color="auto"/>
      </w:pBdr>
      <w:spacing w:before="100" w:beforeAutospacing="1" w:after="100" w:afterAutospacing="1"/>
      <w:jc w:val="center"/>
    </w:pPr>
    <w:rPr>
      <w:rFonts w:ascii="Segoe UI" w:eastAsia="Times New Roman" w:hAnsi="Segoe UI" w:cs="Segoe UI"/>
      <w:sz w:val="24"/>
      <w:szCs w:val="24"/>
      <w:lang w:eastAsia="en-GB"/>
    </w:rPr>
  </w:style>
  <w:style w:type="paragraph" w:customStyle="1" w:styleId="xl82">
    <w:name w:val="xl82"/>
    <w:basedOn w:val="Normal"/>
    <w:rsid w:val="00BA0D0A"/>
    <w:pPr>
      <w:pBdr>
        <w:top w:val="single" w:sz="4" w:space="0" w:color="auto"/>
        <w:right w:val="single" w:sz="4" w:space="0" w:color="auto"/>
      </w:pBdr>
      <w:spacing w:before="100" w:beforeAutospacing="1" w:after="100" w:afterAutospacing="1"/>
    </w:pPr>
    <w:rPr>
      <w:rFonts w:ascii="Segoe UI" w:eastAsia="Times New Roman" w:hAnsi="Segoe UI" w:cs="Segoe UI"/>
      <w:sz w:val="24"/>
      <w:szCs w:val="24"/>
      <w:lang w:eastAsia="en-GB"/>
    </w:rPr>
  </w:style>
  <w:style w:type="paragraph" w:customStyle="1" w:styleId="xl83">
    <w:name w:val="xl83"/>
    <w:basedOn w:val="Normal"/>
    <w:rsid w:val="00BA0D0A"/>
    <w:pPr>
      <w:pBdr>
        <w:right w:val="single" w:sz="4" w:space="0" w:color="auto"/>
      </w:pBdr>
      <w:spacing w:before="100" w:beforeAutospacing="1" w:after="100" w:afterAutospacing="1"/>
    </w:pPr>
    <w:rPr>
      <w:rFonts w:ascii="Segoe UI" w:eastAsia="Times New Roman" w:hAnsi="Segoe UI" w:cs="Segoe UI"/>
      <w:sz w:val="24"/>
      <w:szCs w:val="24"/>
      <w:lang w:eastAsia="en-GB"/>
    </w:rPr>
  </w:style>
  <w:style w:type="paragraph" w:customStyle="1" w:styleId="xl84">
    <w:name w:val="xl84"/>
    <w:basedOn w:val="Normal"/>
    <w:rsid w:val="00BA0D0A"/>
    <w:pPr>
      <w:pBdr>
        <w:bottom w:val="single" w:sz="4" w:space="0" w:color="auto"/>
        <w:right w:val="single" w:sz="4" w:space="0" w:color="auto"/>
      </w:pBdr>
      <w:spacing w:before="100" w:beforeAutospacing="1" w:after="100" w:afterAutospacing="1"/>
    </w:pPr>
    <w:rPr>
      <w:rFonts w:ascii="Segoe UI" w:eastAsia="Times New Roman" w:hAnsi="Segoe UI" w:cs="Segoe UI"/>
      <w:sz w:val="24"/>
      <w:szCs w:val="24"/>
      <w:lang w:eastAsia="en-GB"/>
    </w:rPr>
  </w:style>
  <w:style w:type="paragraph" w:customStyle="1" w:styleId="xl85">
    <w:name w:val="xl85"/>
    <w:basedOn w:val="Normal"/>
    <w:rsid w:val="00BA0D0A"/>
    <w:pPr>
      <w:spacing w:before="100" w:beforeAutospacing="1" w:after="100" w:afterAutospacing="1"/>
      <w:textAlignment w:val="center"/>
    </w:pPr>
    <w:rPr>
      <w:rFonts w:ascii="Segoe UI" w:eastAsia="Times New Roman" w:hAnsi="Segoe UI" w:cs="Segoe UI"/>
      <w:sz w:val="24"/>
      <w:szCs w:val="24"/>
      <w:lang w:eastAsia="en-GB"/>
    </w:rPr>
  </w:style>
  <w:style w:type="paragraph" w:customStyle="1" w:styleId="xl86">
    <w:name w:val="xl86"/>
    <w:basedOn w:val="Normal"/>
    <w:rsid w:val="00BA0D0A"/>
    <w:pPr>
      <w:pBdr>
        <w:top w:val="single" w:sz="4" w:space="0" w:color="auto"/>
      </w:pBdr>
      <w:spacing w:before="100" w:beforeAutospacing="1" w:after="100" w:afterAutospacing="1"/>
      <w:textAlignment w:val="center"/>
    </w:pPr>
    <w:rPr>
      <w:rFonts w:ascii="Segoe UI" w:eastAsia="Times New Roman" w:hAnsi="Segoe UI" w:cs="Segoe UI"/>
      <w:sz w:val="24"/>
      <w:szCs w:val="24"/>
      <w:lang w:eastAsia="en-GB"/>
    </w:rPr>
  </w:style>
  <w:style w:type="paragraph" w:customStyle="1" w:styleId="xl87">
    <w:name w:val="xl87"/>
    <w:basedOn w:val="Normal"/>
    <w:rsid w:val="00BA0D0A"/>
    <w:pPr>
      <w:pBdr>
        <w:bottom w:val="single" w:sz="4" w:space="0" w:color="auto"/>
      </w:pBdr>
      <w:spacing w:before="100" w:beforeAutospacing="1" w:after="100" w:afterAutospacing="1"/>
      <w:textAlignment w:val="center"/>
    </w:pPr>
    <w:rPr>
      <w:rFonts w:ascii="Segoe UI" w:eastAsia="Times New Roman" w:hAnsi="Segoe UI" w:cs="Segoe UI"/>
      <w:sz w:val="24"/>
      <w:szCs w:val="24"/>
      <w:lang w:eastAsia="en-GB"/>
    </w:rPr>
  </w:style>
  <w:style w:type="paragraph" w:customStyle="1" w:styleId="xl88">
    <w:name w:val="xl88"/>
    <w:basedOn w:val="Normal"/>
    <w:rsid w:val="00BA0D0A"/>
    <w:pPr>
      <w:pBdr>
        <w:top w:val="single" w:sz="4" w:space="0" w:color="auto"/>
      </w:pBdr>
      <w:shd w:val="clear" w:color="000000" w:fill="4472C4"/>
      <w:spacing w:before="100" w:beforeAutospacing="1" w:after="100" w:afterAutospacing="1"/>
      <w:jc w:val="center"/>
      <w:textAlignment w:val="center"/>
    </w:pPr>
    <w:rPr>
      <w:rFonts w:ascii="Segoe UI" w:eastAsia="Times New Roman" w:hAnsi="Segoe UI" w:cs="Segoe UI"/>
      <w:b/>
      <w:bCs/>
      <w:color w:val="FFFFFF"/>
      <w:sz w:val="24"/>
      <w:szCs w:val="24"/>
      <w:lang w:eastAsia="en-GB"/>
    </w:rPr>
  </w:style>
  <w:style w:type="paragraph" w:customStyle="1" w:styleId="xl89">
    <w:name w:val="xl89"/>
    <w:basedOn w:val="Normal"/>
    <w:rsid w:val="00BA0D0A"/>
    <w:pPr>
      <w:pBdr>
        <w:top w:val="single" w:sz="4" w:space="0" w:color="auto"/>
        <w:left w:val="single" w:sz="4" w:space="0" w:color="auto"/>
      </w:pBdr>
      <w:shd w:val="clear" w:color="000000" w:fill="4472C4"/>
      <w:spacing w:before="100" w:beforeAutospacing="1" w:after="100" w:afterAutospacing="1"/>
      <w:jc w:val="center"/>
      <w:textAlignment w:val="center"/>
    </w:pPr>
    <w:rPr>
      <w:rFonts w:ascii="Segoe UI" w:eastAsia="Times New Roman" w:hAnsi="Segoe UI" w:cs="Segoe UI"/>
      <w:b/>
      <w:bCs/>
      <w:color w:val="FFFFFF"/>
      <w:sz w:val="24"/>
      <w:szCs w:val="24"/>
      <w:lang w:eastAsia="en-GB"/>
    </w:rPr>
  </w:style>
  <w:style w:type="paragraph" w:customStyle="1" w:styleId="xl90">
    <w:name w:val="xl90"/>
    <w:basedOn w:val="Normal"/>
    <w:rsid w:val="00BA0D0A"/>
    <w:pPr>
      <w:pBdr>
        <w:top w:val="single" w:sz="4" w:space="0" w:color="auto"/>
        <w:right w:val="single" w:sz="4" w:space="0" w:color="auto"/>
      </w:pBdr>
      <w:shd w:val="clear" w:color="000000" w:fill="4472C4"/>
      <w:spacing w:before="100" w:beforeAutospacing="1" w:after="100" w:afterAutospacing="1"/>
      <w:jc w:val="center"/>
      <w:textAlignment w:val="center"/>
    </w:pPr>
    <w:rPr>
      <w:rFonts w:ascii="Segoe UI" w:eastAsia="Times New Roman" w:hAnsi="Segoe UI" w:cs="Segoe UI"/>
      <w:b/>
      <w:bCs/>
      <w:color w:val="FFFFFF"/>
      <w:sz w:val="24"/>
      <w:szCs w:val="24"/>
      <w:lang w:eastAsia="en-GB"/>
    </w:rPr>
  </w:style>
  <w:style w:type="paragraph" w:customStyle="1" w:styleId="pf0">
    <w:name w:val="pf0"/>
    <w:basedOn w:val="Normal"/>
    <w:rsid w:val="004E445A"/>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cf11">
    <w:name w:val="cf11"/>
    <w:basedOn w:val="DefaultParagraphFont"/>
    <w:rsid w:val="004E445A"/>
    <w:rPr>
      <w:rFonts w:ascii="Segoe UI" w:hAnsi="Segoe UI" w:cs="Segoe UI" w:hint="default"/>
      <w:sz w:val="18"/>
      <w:szCs w:val="18"/>
    </w:rPr>
  </w:style>
  <w:style w:type="character" w:customStyle="1" w:styleId="cf01">
    <w:name w:val="cf01"/>
    <w:basedOn w:val="DefaultParagraphFont"/>
    <w:rsid w:val="004E445A"/>
    <w:rPr>
      <w:rFonts w:ascii="Segoe UI" w:hAnsi="Segoe UI" w:cs="Segoe UI" w:hint="default"/>
      <w:sz w:val="18"/>
      <w:szCs w:val="18"/>
    </w:rPr>
  </w:style>
  <w:style w:type="character" w:customStyle="1" w:styleId="cf31">
    <w:name w:val="cf31"/>
    <w:basedOn w:val="DefaultParagraphFont"/>
    <w:rsid w:val="004E445A"/>
    <w:rPr>
      <w:rFonts w:ascii="Segoe UI" w:hAnsi="Segoe UI" w:cs="Segoe UI" w:hint="default"/>
      <w:sz w:val="18"/>
      <w:szCs w:val="18"/>
      <w:u w:val="single"/>
    </w:rPr>
  </w:style>
  <w:style w:type="character" w:customStyle="1" w:styleId="UnresolvedMention2">
    <w:name w:val="Unresolved Mention2"/>
    <w:basedOn w:val="DefaultParagraphFont"/>
    <w:uiPriority w:val="99"/>
    <w:semiHidden/>
    <w:unhideWhenUsed/>
    <w:rsid w:val="00AF265E"/>
    <w:rPr>
      <w:color w:val="605E5C"/>
      <w:shd w:val="clear" w:color="auto" w:fill="E1DFDD"/>
    </w:rPr>
  </w:style>
  <w:style w:type="character" w:styleId="Strong">
    <w:name w:val="Strong"/>
    <w:basedOn w:val="DefaultParagraphFont"/>
    <w:uiPriority w:val="22"/>
    <w:qFormat/>
    <w:rsid w:val="00232D14"/>
    <w:rPr>
      <w:b/>
      <w:bCs/>
    </w:rPr>
  </w:style>
  <w:style w:type="character" w:styleId="BookTitle">
    <w:name w:val="Book Title"/>
    <w:basedOn w:val="DefaultParagraphFont"/>
    <w:uiPriority w:val="33"/>
    <w:qFormat/>
    <w:rsid w:val="00B1595B"/>
    <w:rPr>
      <w:b/>
      <w:bCs/>
      <w:spacing w:val="5"/>
      <w:sz w:val="22"/>
      <w:szCs w:val="22"/>
    </w:rPr>
  </w:style>
  <w:style w:type="character" w:customStyle="1" w:styleId="Heading7Char">
    <w:name w:val="Heading 7 Char"/>
    <w:basedOn w:val="DefaultParagraphFont"/>
    <w:link w:val="Heading7"/>
    <w:uiPriority w:val="9"/>
    <w:semiHidden/>
    <w:rsid w:val="00FA5F95"/>
    <w:rPr>
      <w:rFonts w:asciiTheme="majorHAnsi" w:eastAsiaTheme="majorEastAsia" w:hAnsiTheme="majorHAnsi" w:cstheme="majorBidi"/>
      <w:i/>
      <w:iCs/>
      <w:color w:val="243F60" w:themeColor="accent1" w:themeShade="7F"/>
      <w:sz w:val="20"/>
      <w:szCs w:val="20"/>
    </w:rPr>
  </w:style>
  <w:style w:type="character" w:customStyle="1" w:styleId="Heading8Char">
    <w:name w:val="Heading 8 Char"/>
    <w:basedOn w:val="DefaultParagraphFont"/>
    <w:link w:val="Heading8"/>
    <w:uiPriority w:val="9"/>
    <w:semiHidden/>
    <w:rsid w:val="00FA5F9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A5F95"/>
    <w:rPr>
      <w:rFonts w:asciiTheme="majorHAnsi" w:eastAsiaTheme="majorEastAsia" w:hAnsiTheme="majorHAnsi" w:cstheme="majorBidi"/>
      <w:i/>
      <w:iCs/>
      <w:color w:val="272727" w:themeColor="text1" w:themeTint="D8"/>
      <w:sz w:val="21"/>
      <w:szCs w:val="21"/>
    </w:rPr>
  </w:style>
  <w:style w:type="character" w:customStyle="1" w:styleId="Heading3Char">
    <w:name w:val="Heading 3 Char"/>
    <w:basedOn w:val="DefaultParagraphFont"/>
    <w:link w:val="Heading3"/>
    <w:rsid w:val="00821B05"/>
    <w:rPr>
      <w:rFonts w:asciiTheme="minorHAnsi" w:eastAsia="Cambria" w:hAnsiTheme="minorHAnsi" w:cs="Cambria"/>
      <w:b/>
      <w:bCs/>
      <w:i/>
      <w:iCs/>
      <w:color w:val="000000"/>
      <w:sz w:val="20"/>
      <w:szCs w:val="20"/>
    </w:rPr>
  </w:style>
  <w:style w:type="paragraph" w:styleId="Caption">
    <w:name w:val="caption"/>
    <w:basedOn w:val="Normal"/>
    <w:next w:val="Normal"/>
    <w:uiPriority w:val="35"/>
    <w:semiHidden/>
    <w:unhideWhenUsed/>
    <w:qFormat/>
    <w:rsid w:val="00FB4CB3"/>
    <w:pPr>
      <w:spacing w:after="200"/>
    </w:pPr>
    <w:rPr>
      <w:i/>
      <w:iCs/>
      <w:color w:val="1F497D" w:themeColor="text2"/>
      <w:sz w:val="18"/>
      <w:szCs w:val="18"/>
    </w:rPr>
  </w:style>
  <w:style w:type="character" w:customStyle="1" w:styleId="Heading2Char">
    <w:name w:val="Heading 2 Char"/>
    <w:basedOn w:val="DefaultParagraphFont"/>
    <w:link w:val="Heading2"/>
    <w:rsid w:val="009F4A60"/>
    <w:rPr>
      <w:rFonts w:ascii="Cambria" w:eastAsia="Cambria" w:hAnsi="Cambria" w:cs="Cambria"/>
      <w:b/>
      <w:bCs/>
      <w:i/>
      <w:iCs/>
      <w:color w:val="000000"/>
      <w:sz w:val="20"/>
      <w:szCs w:val="20"/>
    </w:rPr>
  </w:style>
  <w:style w:type="table" w:styleId="GridTable3">
    <w:name w:val="Grid Table 3"/>
    <w:basedOn w:val="TableNormal"/>
    <w:uiPriority w:val="48"/>
    <w:rsid w:val="002F0F9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PlainTable1">
    <w:name w:val="Plain Table 1"/>
    <w:basedOn w:val="TableNormal"/>
    <w:uiPriority w:val="41"/>
    <w:rsid w:val="002F0F9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2F0F9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3">
    <w:name w:val="Unresolved Mention3"/>
    <w:basedOn w:val="DefaultParagraphFont"/>
    <w:uiPriority w:val="99"/>
    <w:semiHidden/>
    <w:unhideWhenUsed/>
    <w:rsid w:val="0042537C"/>
    <w:rPr>
      <w:color w:val="605E5C"/>
      <w:shd w:val="clear" w:color="auto" w:fill="E1DFDD"/>
    </w:rPr>
  </w:style>
  <w:style w:type="character" w:styleId="UnresolvedMention">
    <w:name w:val="Unresolved Mention"/>
    <w:basedOn w:val="DefaultParagraphFont"/>
    <w:uiPriority w:val="99"/>
    <w:semiHidden/>
    <w:unhideWhenUsed/>
    <w:rsid w:val="0061027B"/>
    <w:rPr>
      <w:color w:val="605E5C"/>
      <w:shd w:val="clear" w:color="auto" w:fill="E1DFDD"/>
    </w:rPr>
  </w:style>
  <w:style w:type="character" w:customStyle="1" w:styleId="Heading1Char">
    <w:name w:val="Heading 1 Char"/>
    <w:basedOn w:val="DefaultParagraphFont"/>
    <w:link w:val="Heading1"/>
    <w:rsid w:val="00114A46"/>
    <w:rPr>
      <w:rFonts w:ascii="Cambria" w:eastAsia="Cambria" w:hAnsi="Cambria" w:cs="Cambria"/>
      <w:b/>
      <w:bCs/>
      <w:color w:val="000000"/>
      <w:sz w:val="20"/>
      <w:szCs w:val="20"/>
    </w:rPr>
  </w:style>
  <w:style w:type="paragraph" w:styleId="Quote">
    <w:name w:val="Quote"/>
    <w:basedOn w:val="Normal"/>
    <w:next w:val="Normal"/>
    <w:link w:val="QuoteChar"/>
    <w:uiPriority w:val="29"/>
    <w:qFormat/>
    <w:rsid w:val="007F6C4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F6C40"/>
    <w:rPr>
      <w:rFonts w:ascii="Cambria" w:eastAsia="Cambria" w:hAnsi="Cambria" w:cs="Cambria"/>
      <w:i/>
      <w:iCs/>
      <w:color w:val="404040" w:themeColor="text1" w:themeTint="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0748">
      <w:bodyDiv w:val="1"/>
      <w:marLeft w:val="0"/>
      <w:marRight w:val="0"/>
      <w:marTop w:val="0"/>
      <w:marBottom w:val="0"/>
      <w:divBdr>
        <w:top w:val="none" w:sz="0" w:space="0" w:color="auto"/>
        <w:left w:val="none" w:sz="0" w:space="0" w:color="auto"/>
        <w:bottom w:val="none" w:sz="0" w:space="0" w:color="auto"/>
        <w:right w:val="none" w:sz="0" w:space="0" w:color="auto"/>
      </w:divBdr>
    </w:div>
    <w:div w:id="101609104">
      <w:bodyDiv w:val="1"/>
      <w:marLeft w:val="0"/>
      <w:marRight w:val="0"/>
      <w:marTop w:val="0"/>
      <w:marBottom w:val="0"/>
      <w:divBdr>
        <w:top w:val="none" w:sz="0" w:space="0" w:color="auto"/>
        <w:left w:val="none" w:sz="0" w:space="0" w:color="auto"/>
        <w:bottom w:val="none" w:sz="0" w:space="0" w:color="auto"/>
        <w:right w:val="none" w:sz="0" w:space="0" w:color="auto"/>
      </w:divBdr>
    </w:div>
    <w:div w:id="113595820">
      <w:bodyDiv w:val="1"/>
      <w:marLeft w:val="0"/>
      <w:marRight w:val="0"/>
      <w:marTop w:val="0"/>
      <w:marBottom w:val="0"/>
      <w:divBdr>
        <w:top w:val="none" w:sz="0" w:space="0" w:color="auto"/>
        <w:left w:val="none" w:sz="0" w:space="0" w:color="auto"/>
        <w:bottom w:val="none" w:sz="0" w:space="0" w:color="auto"/>
        <w:right w:val="none" w:sz="0" w:space="0" w:color="auto"/>
      </w:divBdr>
    </w:div>
    <w:div w:id="222260938">
      <w:bodyDiv w:val="1"/>
      <w:marLeft w:val="0"/>
      <w:marRight w:val="0"/>
      <w:marTop w:val="0"/>
      <w:marBottom w:val="0"/>
      <w:divBdr>
        <w:top w:val="none" w:sz="0" w:space="0" w:color="auto"/>
        <w:left w:val="none" w:sz="0" w:space="0" w:color="auto"/>
        <w:bottom w:val="none" w:sz="0" w:space="0" w:color="auto"/>
        <w:right w:val="none" w:sz="0" w:space="0" w:color="auto"/>
      </w:divBdr>
    </w:div>
    <w:div w:id="351995149">
      <w:bodyDiv w:val="1"/>
      <w:marLeft w:val="0"/>
      <w:marRight w:val="0"/>
      <w:marTop w:val="0"/>
      <w:marBottom w:val="0"/>
      <w:divBdr>
        <w:top w:val="none" w:sz="0" w:space="0" w:color="auto"/>
        <w:left w:val="none" w:sz="0" w:space="0" w:color="auto"/>
        <w:bottom w:val="none" w:sz="0" w:space="0" w:color="auto"/>
        <w:right w:val="none" w:sz="0" w:space="0" w:color="auto"/>
      </w:divBdr>
    </w:div>
    <w:div w:id="398093021">
      <w:bodyDiv w:val="1"/>
      <w:marLeft w:val="0"/>
      <w:marRight w:val="0"/>
      <w:marTop w:val="0"/>
      <w:marBottom w:val="0"/>
      <w:divBdr>
        <w:top w:val="none" w:sz="0" w:space="0" w:color="auto"/>
        <w:left w:val="none" w:sz="0" w:space="0" w:color="auto"/>
        <w:bottom w:val="none" w:sz="0" w:space="0" w:color="auto"/>
        <w:right w:val="none" w:sz="0" w:space="0" w:color="auto"/>
      </w:divBdr>
      <w:divsChild>
        <w:div w:id="65542528">
          <w:marLeft w:val="1267"/>
          <w:marRight w:val="0"/>
          <w:marTop w:val="0"/>
          <w:marBottom w:val="0"/>
          <w:divBdr>
            <w:top w:val="none" w:sz="0" w:space="0" w:color="auto"/>
            <w:left w:val="none" w:sz="0" w:space="0" w:color="auto"/>
            <w:bottom w:val="none" w:sz="0" w:space="0" w:color="auto"/>
            <w:right w:val="none" w:sz="0" w:space="0" w:color="auto"/>
          </w:divBdr>
        </w:div>
        <w:div w:id="285082482">
          <w:marLeft w:val="1166"/>
          <w:marRight w:val="0"/>
          <w:marTop w:val="0"/>
          <w:marBottom w:val="0"/>
          <w:divBdr>
            <w:top w:val="none" w:sz="0" w:space="0" w:color="auto"/>
            <w:left w:val="none" w:sz="0" w:space="0" w:color="auto"/>
            <w:bottom w:val="none" w:sz="0" w:space="0" w:color="auto"/>
            <w:right w:val="none" w:sz="0" w:space="0" w:color="auto"/>
          </w:divBdr>
        </w:div>
        <w:div w:id="797450416">
          <w:marLeft w:val="1267"/>
          <w:marRight w:val="0"/>
          <w:marTop w:val="0"/>
          <w:marBottom w:val="0"/>
          <w:divBdr>
            <w:top w:val="none" w:sz="0" w:space="0" w:color="auto"/>
            <w:left w:val="none" w:sz="0" w:space="0" w:color="auto"/>
            <w:bottom w:val="none" w:sz="0" w:space="0" w:color="auto"/>
            <w:right w:val="none" w:sz="0" w:space="0" w:color="auto"/>
          </w:divBdr>
        </w:div>
        <w:div w:id="1444231813">
          <w:marLeft w:val="1166"/>
          <w:marRight w:val="0"/>
          <w:marTop w:val="0"/>
          <w:marBottom w:val="0"/>
          <w:divBdr>
            <w:top w:val="none" w:sz="0" w:space="0" w:color="auto"/>
            <w:left w:val="none" w:sz="0" w:space="0" w:color="auto"/>
            <w:bottom w:val="none" w:sz="0" w:space="0" w:color="auto"/>
            <w:right w:val="none" w:sz="0" w:space="0" w:color="auto"/>
          </w:divBdr>
        </w:div>
        <w:div w:id="1527717343">
          <w:marLeft w:val="1166"/>
          <w:marRight w:val="0"/>
          <w:marTop w:val="0"/>
          <w:marBottom w:val="0"/>
          <w:divBdr>
            <w:top w:val="none" w:sz="0" w:space="0" w:color="auto"/>
            <w:left w:val="none" w:sz="0" w:space="0" w:color="auto"/>
            <w:bottom w:val="none" w:sz="0" w:space="0" w:color="auto"/>
            <w:right w:val="none" w:sz="0" w:space="0" w:color="auto"/>
          </w:divBdr>
        </w:div>
        <w:div w:id="1979533422">
          <w:marLeft w:val="1166"/>
          <w:marRight w:val="0"/>
          <w:marTop w:val="0"/>
          <w:marBottom w:val="0"/>
          <w:divBdr>
            <w:top w:val="none" w:sz="0" w:space="0" w:color="auto"/>
            <w:left w:val="none" w:sz="0" w:space="0" w:color="auto"/>
            <w:bottom w:val="none" w:sz="0" w:space="0" w:color="auto"/>
            <w:right w:val="none" w:sz="0" w:space="0" w:color="auto"/>
          </w:divBdr>
        </w:div>
      </w:divsChild>
    </w:div>
    <w:div w:id="454524222">
      <w:bodyDiv w:val="1"/>
      <w:marLeft w:val="0"/>
      <w:marRight w:val="0"/>
      <w:marTop w:val="0"/>
      <w:marBottom w:val="0"/>
      <w:divBdr>
        <w:top w:val="none" w:sz="0" w:space="0" w:color="auto"/>
        <w:left w:val="none" w:sz="0" w:space="0" w:color="auto"/>
        <w:bottom w:val="none" w:sz="0" w:space="0" w:color="auto"/>
        <w:right w:val="none" w:sz="0" w:space="0" w:color="auto"/>
      </w:divBdr>
    </w:div>
    <w:div w:id="573273055">
      <w:bodyDiv w:val="1"/>
      <w:marLeft w:val="0"/>
      <w:marRight w:val="0"/>
      <w:marTop w:val="0"/>
      <w:marBottom w:val="0"/>
      <w:divBdr>
        <w:top w:val="none" w:sz="0" w:space="0" w:color="auto"/>
        <w:left w:val="none" w:sz="0" w:space="0" w:color="auto"/>
        <w:bottom w:val="none" w:sz="0" w:space="0" w:color="auto"/>
        <w:right w:val="none" w:sz="0" w:space="0" w:color="auto"/>
      </w:divBdr>
    </w:div>
    <w:div w:id="580140337">
      <w:bodyDiv w:val="1"/>
      <w:marLeft w:val="0"/>
      <w:marRight w:val="0"/>
      <w:marTop w:val="0"/>
      <w:marBottom w:val="0"/>
      <w:divBdr>
        <w:top w:val="none" w:sz="0" w:space="0" w:color="auto"/>
        <w:left w:val="none" w:sz="0" w:space="0" w:color="auto"/>
        <w:bottom w:val="none" w:sz="0" w:space="0" w:color="auto"/>
        <w:right w:val="none" w:sz="0" w:space="0" w:color="auto"/>
      </w:divBdr>
    </w:div>
    <w:div w:id="588393343">
      <w:bodyDiv w:val="1"/>
      <w:marLeft w:val="0"/>
      <w:marRight w:val="0"/>
      <w:marTop w:val="0"/>
      <w:marBottom w:val="0"/>
      <w:divBdr>
        <w:top w:val="none" w:sz="0" w:space="0" w:color="auto"/>
        <w:left w:val="none" w:sz="0" w:space="0" w:color="auto"/>
        <w:bottom w:val="none" w:sz="0" w:space="0" w:color="auto"/>
        <w:right w:val="none" w:sz="0" w:space="0" w:color="auto"/>
      </w:divBdr>
    </w:div>
    <w:div w:id="618725679">
      <w:bodyDiv w:val="1"/>
      <w:marLeft w:val="0"/>
      <w:marRight w:val="0"/>
      <w:marTop w:val="0"/>
      <w:marBottom w:val="0"/>
      <w:divBdr>
        <w:top w:val="none" w:sz="0" w:space="0" w:color="auto"/>
        <w:left w:val="none" w:sz="0" w:space="0" w:color="auto"/>
        <w:bottom w:val="none" w:sz="0" w:space="0" w:color="auto"/>
        <w:right w:val="none" w:sz="0" w:space="0" w:color="auto"/>
      </w:divBdr>
    </w:div>
    <w:div w:id="695887523">
      <w:bodyDiv w:val="1"/>
      <w:marLeft w:val="0"/>
      <w:marRight w:val="0"/>
      <w:marTop w:val="0"/>
      <w:marBottom w:val="0"/>
      <w:divBdr>
        <w:top w:val="none" w:sz="0" w:space="0" w:color="auto"/>
        <w:left w:val="none" w:sz="0" w:space="0" w:color="auto"/>
        <w:bottom w:val="none" w:sz="0" w:space="0" w:color="auto"/>
        <w:right w:val="none" w:sz="0" w:space="0" w:color="auto"/>
      </w:divBdr>
    </w:div>
    <w:div w:id="791829439">
      <w:bodyDiv w:val="1"/>
      <w:marLeft w:val="0"/>
      <w:marRight w:val="0"/>
      <w:marTop w:val="0"/>
      <w:marBottom w:val="0"/>
      <w:divBdr>
        <w:top w:val="none" w:sz="0" w:space="0" w:color="auto"/>
        <w:left w:val="none" w:sz="0" w:space="0" w:color="auto"/>
        <w:bottom w:val="none" w:sz="0" w:space="0" w:color="auto"/>
        <w:right w:val="none" w:sz="0" w:space="0" w:color="auto"/>
      </w:divBdr>
    </w:div>
    <w:div w:id="810445881">
      <w:bodyDiv w:val="1"/>
      <w:marLeft w:val="0"/>
      <w:marRight w:val="0"/>
      <w:marTop w:val="0"/>
      <w:marBottom w:val="0"/>
      <w:divBdr>
        <w:top w:val="none" w:sz="0" w:space="0" w:color="auto"/>
        <w:left w:val="none" w:sz="0" w:space="0" w:color="auto"/>
        <w:bottom w:val="none" w:sz="0" w:space="0" w:color="auto"/>
        <w:right w:val="none" w:sz="0" w:space="0" w:color="auto"/>
      </w:divBdr>
    </w:div>
    <w:div w:id="1036464042">
      <w:bodyDiv w:val="1"/>
      <w:marLeft w:val="0"/>
      <w:marRight w:val="0"/>
      <w:marTop w:val="0"/>
      <w:marBottom w:val="0"/>
      <w:divBdr>
        <w:top w:val="none" w:sz="0" w:space="0" w:color="auto"/>
        <w:left w:val="none" w:sz="0" w:space="0" w:color="auto"/>
        <w:bottom w:val="none" w:sz="0" w:space="0" w:color="auto"/>
        <w:right w:val="none" w:sz="0" w:space="0" w:color="auto"/>
      </w:divBdr>
    </w:div>
    <w:div w:id="1057968834">
      <w:bodyDiv w:val="1"/>
      <w:marLeft w:val="0"/>
      <w:marRight w:val="0"/>
      <w:marTop w:val="0"/>
      <w:marBottom w:val="0"/>
      <w:divBdr>
        <w:top w:val="none" w:sz="0" w:space="0" w:color="auto"/>
        <w:left w:val="none" w:sz="0" w:space="0" w:color="auto"/>
        <w:bottom w:val="none" w:sz="0" w:space="0" w:color="auto"/>
        <w:right w:val="none" w:sz="0" w:space="0" w:color="auto"/>
      </w:divBdr>
    </w:div>
    <w:div w:id="1103841977">
      <w:bodyDiv w:val="1"/>
      <w:marLeft w:val="0"/>
      <w:marRight w:val="0"/>
      <w:marTop w:val="0"/>
      <w:marBottom w:val="0"/>
      <w:divBdr>
        <w:top w:val="none" w:sz="0" w:space="0" w:color="auto"/>
        <w:left w:val="none" w:sz="0" w:space="0" w:color="auto"/>
        <w:bottom w:val="none" w:sz="0" w:space="0" w:color="auto"/>
        <w:right w:val="none" w:sz="0" w:space="0" w:color="auto"/>
      </w:divBdr>
    </w:div>
    <w:div w:id="1111782075">
      <w:bodyDiv w:val="1"/>
      <w:marLeft w:val="0"/>
      <w:marRight w:val="0"/>
      <w:marTop w:val="0"/>
      <w:marBottom w:val="0"/>
      <w:divBdr>
        <w:top w:val="none" w:sz="0" w:space="0" w:color="auto"/>
        <w:left w:val="none" w:sz="0" w:space="0" w:color="auto"/>
        <w:bottom w:val="none" w:sz="0" w:space="0" w:color="auto"/>
        <w:right w:val="none" w:sz="0" w:space="0" w:color="auto"/>
      </w:divBdr>
    </w:div>
    <w:div w:id="1119374964">
      <w:bodyDiv w:val="1"/>
      <w:marLeft w:val="0"/>
      <w:marRight w:val="0"/>
      <w:marTop w:val="0"/>
      <w:marBottom w:val="0"/>
      <w:divBdr>
        <w:top w:val="none" w:sz="0" w:space="0" w:color="auto"/>
        <w:left w:val="none" w:sz="0" w:space="0" w:color="auto"/>
        <w:bottom w:val="none" w:sz="0" w:space="0" w:color="auto"/>
        <w:right w:val="none" w:sz="0" w:space="0" w:color="auto"/>
      </w:divBdr>
    </w:div>
    <w:div w:id="1201825340">
      <w:bodyDiv w:val="1"/>
      <w:marLeft w:val="0"/>
      <w:marRight w:val="0"/>
      <w:marTop w:val="0"/>
      <w:marBottom w:val="0"/>
      <w:divBdr>
        <w:top w:val="none" w:sz="0" w:space="0" w:color="auto"/>
        <w:left w:val="none" w:sz="0" w:space="0" w:color="auto"/>
        <w:bottom w:val="none" w:sz="0" w:space="0" w:color="auto"/>
        <w:right w:val="none" w:sz="0" w:space="0" w:color="auto"/>
      </w:divBdr>
    </w:div>
    <w:div w:id="1266378039">
      <w:bodyDiv w:val="1"/>
      <w:marLeft w:val="0"/>
      <w:marRight w:val="0"/>
      <w:marTop w:val="0"/>
      <w:marBottom w:val="0"/>
      <w:divBdr>
        <w:top w:val="none" w:sz="0" w:space="0" w:color="auto"/>
        <w:left w:val="none" w:sz="0" w:space="0" w:color="auto"/>
        <w:bottom w:val="none" w:sz="0" w:space="0" w:color="auto"/>
        <w:right w:val="none" w:sz="0" w:space="0" w:color="auto"/>
      </w:divBdr>
    </w:div>
    <w:div w:id="1486044070">
      <w:bodyDiv w:val="1"/>
      <w:marLeft w:val="0"/>
      <w:marRight w:val="0"/>
      <w:marTop w:val="0"/>
      <w:marBottom w:val="0"/>
      <w:divBdr>
        <w:top w:val="none" w:sz="0" w:space="0" w:color="auto"/>
        <w:left w:val="none" w:sz="0" w:space="0" w:color="auto"/>
        <w:bottom w:val="none" w:sz="0" w:space="0" w:color="auto"/>
        <w:right w:val="none" w:sz="0" w:space="0" w:color="auto"/>
      </w:divBdr>
    </w:div>
    <w:div w:id="1507213111">
      <w:bodyDiv w:val="1"/>
      <w:marLeft w:val="0"/>
      <w:marRight w:val="0"/>
      <w:marTop w:val="0"/>
      <w:marBottom w:val="0"/>
      <w:divBdr>
        <w:top w:val="none" w:sz="0" w:space="0" w:color="auto"/>
        <w:left w:val="none" w:sz="0" w:space="0" w:color="auto"/>
        <w:bottom w:val="none" w:sz="0" w:space="0" w:color="auto"/>
        <w:right w:val="none" w:sz="0" w:space="0" w:color="auto"/>
      </w:divBdr>
    </w:div>
    <w:div w:id="1580679288">
      <w:bodyDiv w:val="1"/>
      <w:marLeft w:val="0"/>
      <w:marRight w:val="0"/>
      <w:marTop w:val="0"/>
      <w:marBottom w:val="0"/>
      <w:divBdr>
        <w:top w:val="none" w:sz="0" w:space="0" w:color="auto"/>
        <w:left w:val="none" w:sz="0" w:space="0" w:color="auto"/>
        <w:bottom w:val="none" w:sz="0" w:space="0" w:color="auto"/>
        <w:right w:val="none" w:sz="0" w:space="0" w:color="auto"/>
      </w:divBdr>
    </w:div>
    <w:div w:id="1591087301">
      <w:bodyDiv w:val="1"/>
      <w:marLeft w:val="0"/>
      <w:marRight w:val="0"/>
      <w:marTop w:val="0"/>
      <w:marBottom w:val="0"/>
      <w:divBdr>
        <w:top w:val="none" w:sz="0" w:space="0" w:color="auto"/>
        <w:left w:val="none" w:sz="0" w:space="0" w:color="auto"/>
        <w:bottom w:val="none" w:sz="0" w:space="0" w:color="auto"/>
        <w:right w:val="none" w:sz="0" w:space="0" w:color="auto"/>
      </w:divBdr>
    </w:div>
    <w:div w:id="1686982136">
      <w:bodyDiv w:val="1"/>
      <w:marLeft w:val="0"/>
      <w:marRight w:val="0"/>
      <w:marTop w:val="0"/>
      <w:marBottom w:val="0"/>
      <w:divBdr>
        <w:top w:val="none" w:sz="0" w:space="0" w:color="auto"/>
        <w:left w:val="none" w:sz="0" w:space="0" w:color="auto"/>
        <w:bottom w:val="none" w:sz="0" w:space="0" w:color="auto"/>
        <w:right w:val="none" w:sz="0" w:space="0" w:color="auto"/>
      </w:divBdr>
    </w:div>
    <w:div w:id="1690065787">
      <w:bodyDiv w:val="1"/>
      <w:marLeft w:val="0"/>
      <w:marRight w:val="0"/>
      <w:marTop w:val="0"/>
      <w:marBottom w:val="0"/>
      <w:divBdr>
        <w:top w:val="none" w:sz="0" w:space="0" w:color="auto"/>
        <w:left w:val="none" w:sz="0" w:space="0" w:color="auto"/>
        <w:bottom w:val="none" w:sz="0" w:space="0" w:color="auto"/>
        <w:right w:val="none" w:sz="0" w:space="0" w:color="auto"/>
      </w:divBdr>
    </w:div>
    <w:div w:id="1717775872">
      <w:bodyDiv w:val="1"/>
      <w:marLeft w:val="0"/>
      <w:marRight w:val="0"/>
      <w:marTop w:val="0"/>
      <w:marBottom w:val="0"/>
      <w:divBdr>
        <w:top w:val="none" w:sz="0" w:space="0" w:color="auto"/>
        <w:left w:val="none" w:sz="0" w:space="0" w:color="auto"/>
        <w:bottom w:val="none" w:sz="0" w:space="0" w:color="auto"/>
        <w:right w:val="none" w:sz="0" w:space="0" w:color="auto"/>
      </w:divBdr>
    </w:div>
    <w:div w:id="1908107238">
      <w:bodyDiv w:val="1"/>
      <w:marLeft w:val="0"/>
      <w:marRight w:val="0"/>
      <w:marTop w:val="0"/>
      <w:marBottom w:val="0"/>
      <w:divBdr>
        <w:top w:val="none" w:sz="0" w:space="0" w:color="auto"/>
        <w:left w:val="none" w:sz="0" w:space="0" w:color="auto"/>
        <w:bottom w:val="none" w:sz="0" w:space="0" w:color="auto"/>
        <w:right w:val="none" w:sz="0" w:space="0" w:color="auto"/>
      </w:divBdr>
    </w:div>
    <w:div w:id="1970283299">
      <w:bodyDiv w:val="1"/>
      <w:marLeft w:val="0"/>
      <w:marRight w:val="0"/>
      <w:marTop w:val="0"/>
      <w:marBottom w:val="0"/>
      <w:divBdr>
        <w:top w:val="none" w:sz="0" w:space="0" w:color="auto"/>
        <w:left w:val="none" w:sz="0" w:space="0" w:color="auto"/>
        <w:bottom w:val="none" w:sz="0" w:space="0" w:color="auto"/>
        <w:right w:val="none" w:sz="0" w:space="0" w:color="auto"/>
      </w:divBdr>
    </w:div>
    <w:div w:id="2009092560">
      <w:bodyDiv w:val="1"/>
      <w:marLeft w:val="0"/>
      <w:marRight w:val="0"/>
      <w:marTop w:val="0"/>
      <w:marBottom w:val="0"/>
      <w:divBdr>
        <w:top w:val="none" w:sz="0" w:space="0" w:color="auto"/>
        <w:left w:val="none" w:sz="0" w:space="0" w:color="auto"/>
        <w:bottom w:val="none" w:sz="0" w:space="0" w:color="auto"/>
        <w:right w:val="none" w:sz="0" w:space="0" w:color="auto"/>
      </w:divBdr>
    </w:div>
    <w:div w:id="2016224841">
      <w:bodyDiv w:val="1"/>
      <w:marLeft w:val="0"/>
      <w:marRight w:val="0"/>
      <w:marTop w:val="0"/>
      <w:marBottom w:val="0"/>
      <w:divBdr>
        <w:top w:val="none" w:sz="0" w:space="0" w:color="auto"/>
        <w:left w:val="none" w:sz="0" w:space="0" w:color="auto"/>
        <w:bottom w:val="none" w:sz="0" w:space="0" w:color="auto"/>
        <w:right w:val="none" w:sz="0" w:space="0" w:color="auto"/>
      </w:divBdr>
    </w:div>
    <w:div w:id="2030982632">
      <w:bodyDiv w:val="1"/>
      <w:marLeft w:val="0"/>
      <w:marRight w:val="0"/>
      <w:marTop w:val="0"/>
      <w:marBottom w:val="0"/>
      <w:divBdr>
        <w:top w:val="none" w:sz="0" w:space="0" w:color="auto"/>
        <w:left w:val="none" w:sz="0" w:space="0" w:color="auto"/>
        <w:bottom w:val="none" w:sz="0" w:space="0" w:color="auto"/>
        <w:right w:val="none" w:sz="0" w:space="0" w:color="auto"/>
      </w:divBdr>
    </w:div>
    <w:div w:id="2095978685">
      <w:bodyDiv w:val="1"/>
      <w:marLeft w:val="0"/>
      <w:marRight w:val="0"/>
      <w:marTop w:val="0"/>
      <w:marBottom w:val="0"/>
      <w:divBdr>
        <w:top w:val="none" w:sz="0" w:space="0" w:color="auto"/>
        <w:left w:val="none" w:sz="0" w:space="0" w:color="auto"/>
        <w:bottom w:val="none" w:sz="0" w:space="0" w:color="auto"/>
        <w:right w:val="none" w:sz="0" w:space="0" w:color="auto"/>
      </w:divBdr>
    </w:div>
    <w:div w:id="21310440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ccat.int/Documents/Recs/compendiopdf-s/2024-17-s.pdf" TargetMode="External"/><Relationship Id="rId18" Type="http://schemas.openxmlformats.org/officeDocument/2006/relationships/hyperlink" Target="https://www.iccat.int/es/IOMS.html" TargetMode="External"/><Relationship Id="rId26" Type="http://schemas.openxmlformats.org/officeDocument/2006/relationships/hyperlink" Target="https://www.iccat.int/es/VesselsRecord.asp" TargetMode="External"/><Relationship Id="rId39" Type="http://schemas.openxmlformats.org/officeDocument/2006/relationships/hyperlink" Target="https://www.iccat.int/es/submitSTAT.html" TargetMode="External"/><Relationship Id="rId21" Type="http://schemas.openxmlformats.org/officeDocument/2006/relationships/hyperlink" Target="mailto:general@ioms.iccat.int" TargetMode="External"/><Relationship Id="rId34" Type="http://schemas.openxmlformats.org/officeDocument/2006/relationships/hyperlink" Target="https://www.iccat.int/Data/Data_protection_SPA.pdf" TargetMode="External"/><Relationship Id="rId42" Type="http://schemas.openxmlformats.org/officeDocument/2006/relationships/hyperlink" Target="https://iccat.int/Forms/CP01-VessLst.xlsx" TargetMode="External"/><Relationship Id="rId47" Type="http://schemas.openxmlformats.org/officeDocument/2006/relationships/hyperlink" Target="https://www.iccat.int/DocsComm/uploads/2025/COC_319_SPA_20251113160422.docx" TargetMode="External"/><Relationship Id="rId50"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ioms.iccat.int/" TargetMode="External"/><Relationship Id="rId29" Type="http://schemas.openxmlformats.org/officeDocument/2006/relationships/hyperlink" Target="https://www.iccat.int/Documents/Recs/compendiopdf-s/2003-20-s.pdf" TargetMode="External"/><Relationship Id="rId11" Type="http://schemas.openxmlformats.org/officeDocument/2006/relationships/hyperlink" Target="https://www.iccat.int/Documents/Recs/compendiopdf-s/2021-20-s.pdf" TargetMode="External"/><Relationship Id="rId24" Type="http://schemas.openxmlformats.org/officeDocument/2006/relationships/hyperlink" Target="https://iccat.int/Forms/CP46-VessTrans_TRI.xlsx" TargetMode="External"/><Relationship Id="rId32" Type="http://schemas.openxmlformats.org/officeDocument/2006/relationships/hyperlink" Target="https://www.iccat.int/Documents/Comply/Guidelines_SPA.pdf" TargetMode="External"/><Relationship Id="rId37" Type="http://schemas.openxmlformats.org/officeDocument/2006/relationships/hyperlink" Target="https://www.iccat.int/DocsComm/uploads/2025/COC_321_SPA_20251113105059.docx" TargetMode="External"/><Relationship Id="rId40" Type="http://schemas.openxmlformats.org/officeDocument/2006/relationships/hyperlink" Target="https://www.iccat.int/Documents/BienRep/REP_ES_24-25-II-1.pdf" TargetMode="External"/><Relationship Id="rId45" Type="http://schemas.openxmlformats.org/officeDocument/2006/relationships/hyperlink" Target="https://www.iccat.int/DocsComm/uploads/2025/COC_319_SPA_20251113160422.docx"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iccat.int/Documents/Recs/compendiopdf-s/2016-19-s.pdf" TargetMode="External"/><Relationship Id="rId19" Type="http://schemas.openxmlformats.org/officeDocument/2006/relationships/hyperlink" Target="https://www.iccat.int/Documents/Recs/compendiopdf-s/2022-17-s.pdf" TargetMode="External"/><Relationship Id="rId31" Type="http://schemas.openxmlformats.org/officeDocument/2006/relationships/hyperlink" Target="https://iccat.int/Forms/CP24-AuthPorts_TRI.xlsx" TargetMode="External"/><Relationship Id="rId44" Type="http://schemas.openxmlformats.org/officeDocument/2006/relationships/hyperlink" Target="http://www.tuna-org.org" TargetMode="External"/><Relationship Id="rId52"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secretariat.iccat.online/index.php/s/LyFdcxncqaA8fps" TargetMode="External"/><Relationship Id="rId14" Type="http://schemas.openxmlformats.org/officeDocument/2006/relationships/hyperlink" Target="https://www.iccat.int/Documents/BienRep/REP_ES_24-25-II-2.pdf" TargetMode="External"/><Relationship Id="rId22" Type="http://schemas.openxmlformats.org/officeDocument/2006/relationships/hyperlink" Target="https://www.iccat.int/Documents/Comply/Guidelines_SPA.pdf" TargetMode="External"/><Relationship Id="rId27" Type="http://schemas.openxmlformats.org/officeDocument/2006/relationships/hyperlink" Target="https://www.iccat.int/Documents/Recs/compendiopdf-s/2003-20-s.pdf" TargetMode="External"/><Relationship Id="rId30" Type="http://schemas.openxmlformats.org/officeDocument/2006/relationships/hyperlink" Target="https://www.iccat.int/Documents/Recs/compendiopdf-s/2024-15-s.pdf" TargetMode="External"/><Relationship Id="rId35" Type="http://schemas.openxmlformats.org/officeDocument/2006/relationships/hyperlink" Target="https://www.iccat.int/DocsComm/uploads/2025/COC_321_SPA_20251113105059.docx" TargetMode="External"/><Relationship Id="rId43" Type="http://schemas.openxmlformats.org/officeDocument/2006/relationships/hyperlink" Target="http://www.iccat.int/" TargetMode="External"/><Relationship Id="rId48" Type="http://schemas.openxmlformats.org/officeDocument/2006/relationships/image" Target="media/image1.emf"/><Relationship Id="rId8" Type="http://schemas.openxmlformats.org/officeDocument/2006/relationships/hyperlink" Target="https://www.iccat.int/Documents/Meetings/Docs/2026/00309-26_SPA.pdf" TargetMode="External"/><Relationship Id="rId51" Type="http://schemas.openxmlformats.org/officeDocument/2006/relationships/header" Target="header2.xml"/><Relationship Id="rId3" Type="http://schemas.openxmlformats.org/officeDocument/2006/relationships/styles" Target="styles.xml"/><Relationship Id="rId12" Type="http://schemas.openxmlformats.org/officeDocument/2006/relationships/hyperlink" Target="https://www.iccat.int/Documents/Recs/compendiopdf-s/2022-17-s.pdf" TargetMode="External"/><Relationship Id="rId17" Type="http://schemas.openxmlformats.org/officeDocument/2006/relationships/hyperlink" Target="https://www.iccat.int/Documents/Recs/compendiopdf-s/2016-19-s.pdf" TargetMode="External"/><Relationship Id="rId25" Type="http://schemas.openxmlformats.org/officeDocument/2006/relationships/hyperlink" Target="https://iccat.int/Forms/CP53-ChartrCP_FS.xlsx" TargetMode="External"/><Relationship Id="rId33" Type="http://schemas.openxmlformats.org/officeDocument/2006/relationships/hyperlink" Target="https://www.iccat.int/en/Ports.asp" TargetMode="External"/><Relationship Id="rId38" Type="http://schemas.openxmlformats.org/officeDocument/2006/relationships/hyperlink" Target="https://www.iccat.int/es/SubmitCOMP.html" TargetMode="External"/><Relationship Id="rId46" Type="http://schemas.openxmlformats.org/officeDocument/2006/relationships/hyperlink" Target="https://www.iccat.int/Documents/Meetings/Docs/2024/Reports/2024_IMM_SPA.pdf" TargetMode="External"/><Relationship Id="rId20" Type="http://schemas.openxmlformats.org/officeDocument/2006/relationships/hyperlink" Target="https://kubernetes.io/" TargetMode="External"/><Relationship Id="rId41" Type="http://schemas.openxmlformats.org/officeDocument/2006/relationships/hyperlink" Target="https://www.iccat.int/Data/Data_protection_SPA.pdf"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sandbox-ioms.iccat.int" TargetMode="External"/><Relationship Id="rId23" Type="http://schemas.openxmlformats.org/officeDocument/2006/relationships/hyperlink" Target="https://iccat.int/Forms/CP01-VessLst.xlsx" TargetMode="External"/><Relationship Id="rId28" Type="http://schemas.openxmlformats.org/officeDocument/2006/relationships/hyperlink" Target="https://www.iccat.int/Documents/Recs/compendiopdf-s/2003-20-s.pdf" TargetMode="External"/><Relationship Id="rId36" Type="http://schemas.openxmlformats.org/officeDocument/2006/relationships/hyperlink" Target="https://www.iccat.int/Documents/Meetings/Docs/2025/Reports/2025_WG-ORT_SPA.pdf" TargetMode="External"/><Relationship Id="rId4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02D760-2669-4135-83FB-36C2858F2B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35</Pages>
  <Words>18607</Words>
  <Characters>106061</Characters>
  <Application>Microsoft Office Word</Application>
  <DocSecurity>0</DocSecurity>
  <Lines>883</Lines>
  <Paragraphs>248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124420</CharactersWithSpaces>
  <SharedDoc>false</SharedDoc>
  <HLinks>
    <vt:vector size="216" baseType="variant">
      <vt:variant>
        <vt:i4>7012461</vt:i4>
      </vt:variant>
      <vt:variant>
        <vt:i4>111</vt:i4>
      </vt:variant>
      <vt:variant>
        <vt:i4>0</vt:i4>
      </vt:variant>
      <vt:variant>
        <vt:i4>5</vt:i4>
      </vt:variant>
      <vt:variant>
        <vt:lpwstr>https://www.iccat.int/Documents/Meetings/Docs/2024/Reports/2024_IMM_ENG.pdf</vt:lpwstr>
      </vt:variant>
      <vt:variant>
        <vt:lpwstr/>
      </vt:variant>
      <vt:variant>
        <vt:i4>4522027</vt:i4>
      </vt:variant>
      <vt:variant>
        <vt:i4>108</vt:i4>
      </vt:variant>
      <vt:variant>
        <vt:i4>0</vt:i4>
      </vt:variant>
      <vt:variant>
        <vt:i4>5</vt:i4>
      </vt:variant>
      <vt:variant>
        <vt:lpwstr>https://www.iccat.int/DocsComm/uploads/2025/COC_319_ENG_20251113153343.docx</vt:lpwstr>
      </vt:variant>
      <vt:variant>
        <vt:lpwstr/>
      </vt:variant>
      <vt:variant>
        <vt:i4>1900612</vt:i4>
      </vt:variant>
      <vt:variant>
        <vt:i4>105</vt:i4>
      </vt:variant>
      <vt:variant>
        <vt:i4>0</vt:i4>
      </vt:variant>
      <vt:variant>
        <vt:i4>5</vt:i4>
      </vt:variant>
      <vt:variant>
        <vt:lpwstr>http://www.tuna-org.org/</vt:lpwstr>
      </vt:variant>
      <vt:variant>
        <vt:lpwstr/>
      </vt:variant>
      <vt:variant>
        <vt:i4>4718610</vt:i4>
      </vt:variant>
      <vt:variant>
        <vt:i4>102</vt:i4>
      </vt:variant>
      <vt:variant>
        <vt:i4>0</vt:i4>
      </vt:variant>
      <vt:variant>
        <vt:i4>5</vt:i4>
      </vt:variant>
      <vt:variant>
        <vt:lpwstr>http://www.iccat.int/</vt:lpwstr>
      </vt:variant>
      <vt:variant>
        <vt:lpwstr/>
      </vt:variant>
      <vt:variant>
        <vt:i4>393245</vt:i4>
      </vt:variant>
      <vt:variant>
        <vt:i4>99</vt:i4>
      </vt:variant>
      <vt:variant>
        <vt:i4>0</vt:i4>
      </vt:variant>
      <vt:variant>
        <vt:i4>5</vt:i4>
      </vt:variant>
      <vt:variant>
        <vt:lpwstr>https://iccat.int/Forms/CP01-VessLst.xlsx</vt:lpwstr>
      </vt:variant>
      <vt:variant>
        <vt:lpwstr/>
      </vt:variant>
      <vt:variant>
        <vt:i4>1835014</vt:i4>
      </vt:variant>
      <vt:variant>
        <vt:i4>96</vt:i4>
      </vt:variant>
      <vt:variant>
        <vt:i4>0</vt:i4>
      </vt:variant>
      <vt:variant>
        <vt:i4>5</vt:i4>
      </vt:variant>
      <vt:variant>
        <vt:lpwstr>https://www.iccat.int/Data/Data_protection_ENG.pdf</vt:lpwstr>
      </vt:variant>
      <vt:variant>
        <vt:lpwstr/>
      </vt:variant>
      <vt:variant>
        <vt:i4>4325408</vt:i4>
      </vt:variant>
      <vt:variant>
        <vt:i4>93</vt:i4>
      </vt:variant>
      <vt:variant>
        <vt:i4>0</vt:i4>
      </vt:variant>
      <vt:variant>
        <vt:i4>5</vt:i4>
      </vt:variant>
      <vt:variant>
        <vt:lpwstr>https://www.iccat.int/DocsComm/uploads/2025/COC_316_ENG_20251115100236.docx</vt:lpwstr>
      </vt:variant>
      <vt:variant>
        <vt:lpwstr/>
      </vt:variant>
      <vt:variant>
        <vt:i4>1507328</vt:i4>
      </vt:variant>
      <vt:variant>
        <vt:i4>90</vt:i4>
      </vt:variant>
      <vt:variant>
        <vt:i4>0</vt:i4>
      </vt:variant>
      <vt:variant>
        <vt:i4>5</vt:i4>
      </vt:variant>
      <vt:variant>
        <vt:lpwstr>https://www.iccat.int/en/submitSTAT.html</vt:lpwstr>
      </vt:variant>
      <vt:variant>
        <vt:lpwstr/>
      </vt:variant>
      <vt:variant>
        <vt:i4>720927</vt:i4>
      </vt:variant>
      <vt:variant>
        <vt:i4>87</vt:i4>
      </vt:variant>
      <vt:variant>
        <vt:i4>0</vt:i4>
      </vt:variant>
      <vt:variant>
        <vt:i4>5</vt:i4>
      </vt:variant>
      <vt:variant>
        <vt:lpwstr>https://www.iccat.int/en/SubmitCOMP.html</vt:lpwstr>
      </vt:variant>
      <vt:variant>
        <vt:lpwstr/>
      </vt:variant>
      <vt:variant>
        <vt:i4>4849700</vt:i4>
      </vt:variant>
      <vt:variant>
        <vt:i4>81</vt:i4>
      </vt:variant>
      <vt:variant>
        <vt:i4>0</vt:i4>
      </vt:variant>
      <vt:variant>
        <vt:i4>5</vt:i4>
      </vt:variant>
      <vt:variant>
        <vt:lpwstr>https://www.iccat.int/DocsComm/uploads/2025/COC_321_ENG_20251113105059.docx</vt:lpwstr>
      </vt:variant>
      <vt:variant>
        <vt:lpwstr/>
      </vt:variant>
      <vt:variant>
        <vt:i4>1310793</vt:i4>
      </vt:variant>
      <vt:variant>
        <vt:i4>78</vt:i4>
      </vt:variant>
      <vt:variant>
        <vt:i4>0</vt:i4>
      </vt:variant>
      <vt:variant>
        <vt:i4>5</vt:i4>
      </vt:variant>
      <vt:variant>
        <vt:lpwstr>https://www.iccat.int/Documents/Meetings/Docs/2025/Reports/2025_WG-ORT_ENG.pdf</vt:lpwstr>
      </vt:variant>
      <vt:variant>
        <vt:lpwstr/>
      </vt:variant>
      <vt:variant>
        <vt:i4>4849700</vt:i4>
      </vt:variant>
      <vt:variant>
        <vt:i4>75</vt:i4>
      </vt:variant>
      <vt:variant>
        <vt:i4>0</vt:i4>
      </vt:variant>
      <vt:variant>
        <vt:i4>5</vt:i4>
      </vt:variant>
      <vt:variant>
        <vt:lpwstr>https://www.iccat.int/DocsComm/uploads/2025/COC_321_ENG_20251113105059.docx</vt:lpwstr>
      </vt:variant>
      <vt:variant>
        <vt:lpwstr/>
      </vt:variant>
      <vt:variant>
        <vt:i4>1835014</vt:i4>
      </vt:variant>
      <vt:variant>
        <vt:i4>72</vt:i4>
      </vt:variant>
      <vt:variant>
        <vt:i4>0</vt:i4>
      </vt:variant>
      <vt:variant>
        <vt:i4>5</vt:i4>
      </vt:variant>
      <vt:variant>
        <vt:lpwstr>https://www.iccat.int/Data/Data_protection_ENG.pdf</vt:lpwstr>
      </vt:variant>
      <vt:variant>
        <vt:lpwstr/>
      </vt:variant>
      <vt:variant>
        <vt:i4>2818095</vt:i4>
      </vt:variant>
      <vt:variant>
        <vt:i4>69</vt:i4>
      </vt:variant>
      <vt:variant>
        <vt:i4>0</vt:i4>
      </vt:variant>
      <vt:variant>
        <vt:i4>5</vt:i4>
      </vt:variant>
      <vt:variant>
        <vt:lpwstr>https://www.iccat.int/en/Ports.asp</vt:lpwstr>
      </vt:variant>
      <vt:variant>
        <vt:lpwstr/>
      </vt:variant>
      <vt:variant>
        <vt:i4>8060939</vt:i4>
      </vt:variant>
      <vt:variant>
        <vt:i4>66</vt:i4>
      </vt:variant>
      <vt:variant>
        <vt:i4>0</vt:i4>
      </vt:variant>
      <vt:variant>
        <vt:i4>5</vt:i4>
      </vt:variant>
      <vt:variant>
        <vt:lpwstr>https://www.iccat.int/Documents/Comply/Guidelines_ENG.pdf</vt:lpwstr>
      </vt:variant>
      <vt:variant>
        <vt:lpwstr/>
      </vt:variant>
      <vt:variant>
        <vt:i4>6750289</vt:i4>
      </vt:variant>
      <vt:variant>
        <vt:i4>63</vt:i4>
      </vt:variant>
      <vt:variant>
        <vt:i4>0</vt:i4>
      </vt:variant>
      <vt:variant>
        <vt:i4>5</vt:i4>
      </vt:variant>
      <vt:variant>
        <vt:lpwstr>https://iccat.int/Forms/CP24-AuthPorts_TRI.xlsx</vt:lpwstr>
      </vt:variant>
      <vt:variant>
        <vt:lpwstr/>
      </vt:variant>
      <vt:variant>
        <vt:i4>4653067</vt:i4>
      </vt:variant>
      <vt:variant>
        <vt:i4>60</vt:i4>
      </vt:variant>
      <vt:variant>
        <vt:i4>0</vt:i4>
      </vt:variant>
      <vt:variant>
        <vt:i4>5</vt:i4>
      </vt:variant>
      <vt:variant>
        <vt:lpwstr>https://www.iccat.int/Documents/Recs/compendiopdf-e/2003-20-e.pdf</vt:lpwstr>
      </vt:variant>
      <vt:variant>
        <vt:lpwstr/>
      </vt:variant>
      <vt:variant>
        <vt:i4>2555949</vt:i4>
      </vt:variant>
      <vt:variant>
        <vt:i4>57</vt:i4>
      </vt:variant>
      <vt:variant>
        <vt:i4>0</vt:i4>
      </vt:variant>
      <vt:variant>
        <vt:i4>5</vt:i4>
      </vt:variant>
      <vt:variant>
        <vt:lpwstr>https://www.iccat.int/en/VesselsRecord.asp</vt:lpwstr>
      </vt:variant>
      <vt:variant>
        <vt:lpwstr/>
      </vt:variant>
      <vt:variant>
        <vt:i4>2097155</vt:i4>
      </vt:variant>
      <vt:variant>
        <vt:i4>54</vt:i4>
      </vt:variant>
      <vt:variant>
        <vt:i4>0</vt:i4>
      </vt:variant>
      <vt:variant>
        <vt:i4>5</vt:i4>
      </vt:variant>
      <vt:variant>
        <vt:lpwstr>https://iccat.int/Forms/CP53-ChartrCP_FS.xlsx</vt:lpwstr>
      </vt:variant>
      <vt:variant>
        <vt:lpwstr/>
      </vt:variant>
      <vt:variant>
        <vt:i4>6422619</vt:i4>
      </vt:variant>
      <vt:variant>
        <vt:i4>51</vt:i4>
      </vt:variant>
      <vt:variant>
        <vt:i4>0</vt:i4>
      </vt:variant>
      <vt:variant>
        <vt:i4>5</vt:i4>
      </vt:variant>
      <vt:variant>
        <vt:lpwstr>https://iccat.int/Forms/CP46-VessTrans_TRI.xlsx</vt:lpwstr>
      </vt:variant>
      <vt:variant>
        <vt:lpwstr/>
      </vt:variant>
      <vt:variant>
        <vt:i4>393245</vt:i4>
      </vt:variant>
      <vt:variant>
        <vt:i4>48</vt:i4>
      </vt:variant>
      <vt:variant>
        <vt:i4>0</vt:i4>
      </vt:variant>
      <vt:variant>
        <vt:i4>5</vt:i4>
      </vt:variant>
      <vt:variant>
        <vt:lpwstr>https://iccat.int/Forms/CP01-VessLst.xlsx</vt:lpwstr>
      </vt:variant>
      <vt:variant>
        <vt:lpwstr/>
      </vt:variant>
      <vt:variant>
        <vt:i4>8060939</vt:i4>
      </vt:variant>
      <vt:variant>
        <vt:i4>45</vt:i4>
      </vt:variant>
      <vt:variant>
        <vt:i4>0</vt:i4>
      </vt:variant>
      <vt:variant>
        <vt:i4>5</vt:i4>
      </vt:variant>
      <vt:variant>
        <vt:lpwstr>https://www.iccat.int/Documents/Comply/Guidelines_ENG.pdf</vt:lpwstr>
      </vt:variant>
      <vt:variant>
        <vt:lpwstr/>
      </vt:variant>
      <vt:variant>
        <vt:i4>1900640</vt:i4>
      </vt:variant>
      <vt:variant>
        <vt:i4>42</vt:i4>
      </vt:variant>
      <vt:variant>
        <vt:i4>0</vt:i4>
      </vt:variant>
      <vt:variant>
        <vt:i4>5</vt:i4>
      </vt:variant>
      <vt:variant>
        <vt:lpwstr>mailto:general@ioms.iccat.int</vt:lpwstr>
      </vt:variant>
      <vt:variant>
        <vt:lpwstr/>
      </vt:variant>
      <vt:variant>
        <vt:i4>3014778</vt:i4>
      </vt:variant>
      <vt:variant>
        <vt:i4>39</vt:i4>
      </vt:variant>
      <vt:variant>
        <vt:i4>0</vt:i4>
      </vt:variant>
      <vt:variant>
        <vt:i4>5</vt:i4>
      </vt:variant>
      <vt:variant>
        <vt:lpwstr>https://kubernetes.io/</vt:lpwstr>
      </vt:variant>
      <vt:variant>
        <vt:lpwstr/>
      </vt:variant>
      <vt:variant>
        <vt:i4>4521998</vt:i4>
      </vt:variant>
      <vt:variant>
        <vt:i4>33</vt:i4>
      </vt:variant>
      <vt:variant>
        <vt:i4>0</vt:i4>
      </vt:variant>
      <vt:variant>
        <vt:i4>5</vt:i4>
      </vt:variant>
      <vt:variant>
        <vt:lpwstr>https://www.iccat.int/Documents/Recs/compendiopdf-e/2022-17-e.pdf</vt:lpwstr>
      </vt:variant>
      <vt:variant>
        <vt:lpwstr/>
      </vt:variant>
      <vt:variant>
        <vt:i4>7929968</vt:i4>
      </vt:variant>
      <vt:variant>
        <vt:i4>30</vt:i4>
      </vt:variant>
      <vt:variant>
        <vt:i4>0</vt:i4>
      </vt:variant>
      <vt:variant>
        <vt:i4>5</vt:i4>
      </vt:variant>
      <vt:variant>
        <vt:lpwstr>https://www.iccat.int/en/IOMS.html</vt:lpwstr>
      </vt:variant>
      <vt:variant>
        <vt:lpwstr/>
      </vt:variant>
      <vt:variant>
        <vt:i4>4259843</vt:i4>
      </vt:variant>
      <vt:variant>
        <vt:i4>27</vt:i4>
      </vt:variant>
      <vt:variant>
        <vt:i4>0</vt:i4>
      </vt:variant>
      <vt:variant>
        <vt:i4>5</vt:i4>
      </vt:variant>
      <vt:variant>
        <vt:lpwstr>https://www.iccat.int/Documents/Recs/compendiopdf-e/2016-19-e.pdf</vt:lpwstr>
      </vt:variant>
      <vt:variant>
        <vt:lpwstr/>
      </vt:variant>
      <vt:variant>
        <vt:i4>7209000</vt:i4>
      </vt:variant>
      <vt:variant>
        <vt:i4>24</vt:i4>
      </vt:variant>
      <vt:variant>
        <vt:i4>0</vt:i4>
      </vt:variant>
      <vt:variant>
        <vt:i4>5</vt:i4>
      </vt:variant>
      <vt:variant>
        <vt:lpwstr>https://ioms.iccat.int/</vt:lpwstr>
      </vt:variant>
      <vt:variant>
        <vt:lpwstr/>
      </vt:variant>
      <vt:variant>
        <vt:i4>2687023</vt:i4>
      </vt:variant>
      <vt:variant>
        <vt:i4>21</vt:i4>
      </vt:variant>
      <vt:variant>
        <vt:i4>0</vt:i4>
      </vt:variant>
      <vt:variant>
        <vt:i4>5</vt:i4>
      </vt:variant>
      <vt:variant>
        <vt:lpwstr>https://sandbox-ioms.iccat.int/</vt:lpwstr>
      </vt:variant>
      <vt:variant>
        <vt:lpwstr/>
      </vt:variant>
      <vt:variant>
        <vt:i4>8126501</vt:i4>
      </vt:variant>
      <vt:variant>
        <vt:i4>18</vt:i4>
      </vt:variant>
      <vt:variant>
        <vt:i4>0</vt:i4>
      </vt:variant>
      <vt:variant>
        <vt:i4>5</vt:i4>
      </vt:variant>
      <vt:variant>
        <vt:lpwstr>https://www.iccat.int/Documents/BienRep/REP_EN_24-25-I-1.pdf</vt:lpwstr>
      </vt:variant>
      <vt:variant>
        <vt:lpwstr/>
      </vt:variant>
      <vt:variant>
        <vt:i4>4390926</vt:i4>
      </vt:variant>
      <vt:variant>
        <vt:i4>15</vt:i4>
      </vt:variant>
      <vt:variant>
        <vt:i4>0</vt:i4>
      </vt:variant>
      <vt:variant>
        <vt:i4>5</vt:i4>
      </vt:variant>
      <vt:variant>
        <vt:lpwstr>https://www.iccat.int/Documents/Recs/compendiopdf-e/2024-17-e.pdf</vt:lpwstr>
      </vt:variant>
      <vt:variant>
        <vt:lpwstr/>
      </vt:variant>
      <vt:variant>
        <vt:i4>4521998</vt:i4>
      </vt:variant>
      <vt:variant>
        <vt:i4>12</vt:i4>
      </vt:variant>
      <vt:variant>
        <vt:i4>0</vt:i4>
      </vt:variant>
      <vt:variant>
        <vt:i4>5</vt:i4>
      </vt:variant>
      <vt:variant>
        <vt:lpwstr>https://www.iccat.int/Documents/Recs/compendiopdf-e/2022-17-e.pdf</vt:lpwstr>
      </vt:variant>
      <vt:variant>
        <vt:lpwstr/>
      </vt:variant>
      <vt:variant>
        <vt:i4>4521993</vt:i4>
      </vt:variant>
      <vt:variant>
        <vt:i4>9</vt:i4>
      </vt:variant>
      <vt:variant>
        <vt:i4>0</vt:i4>
      </vt:variant>
      <vt:variant>
        <vt:i4>5</vt:i4>
      </vt:variant>
      <vt:variant>
        <vt:lpwstr>https://www.iccat.int/Documents/Recs/compendiopdf-e/2021-20-e.pdf</vt:lpwstr>
      </vt:variant>
      <vt:variant>
        <vt:lpwstr/>
      </vt:variant>
      <vt:variant>
        <vt:i4>4259843</vt:i4>
      </vt:variant>
      <vt:variant>
        <vt:i4>6</vt:i4>
      </vt:variant>
      <vt:variant>
        <vt:i4>0</vt:i4>
      </vt:variant>
      <vt:variant>
        <vt:i4>5</vt:i4>
      </vt:variant>
      <vt:variant>
        <vt:lpwstr>https://www.iccat.int/Documents/Recs/compendiopdf-e/2016-19-e.pdf</vt:lpwstr>
      </vt:variant>
      <vt:variant>
        <vt:lpwstr/>
      </vt:variant>
      <vt:variant>
        <vt:i4>327703</vt:i4>
      </vt:variant>
      <vt:variant>
        <vt:i4>3</vt:i4>
      </vt:variant>
      <vt:variant>
        <vt:i4>0</vt:i4>
      </vt:variant>
      <vt:variant>
        <vt:i4>5</vt:i4>
      </vt:variant>
      <vt:variant>
        <vt:lpwstr>https://secretariat.iccat.online/index.php/s/LyFdcxncqaA8fps</vt:lpwstr>
      </vt:variant>
      <vt:variant>
        <vt:lpwstr/>
      </vt:variant>
      <vt:variant>
        <vt:i4>5242919</vt:i4>
      </vt:variant>
      <vt:variant>
        <vt:i4>0</vt:i4>
      </vt:variant>
      <vt:variant>
        <vt:i4>0</vt:i4>
      </vt:variant>
      <vt:variant>
        <vt:i4>5</vt:i4>
      </vt:variant>
      <vt:variant>
        <vt:lpwstr>https://www.iccat.int/Documents/Meetings/Docs/2026/00309-26_ENG.pdf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Palma</dc:creator>
  <cp:keywords/>
  <dc:description/>
  <cp:lastModifiedBy>Marisa de Andrés</cp:lastModifiedBy>
  <cp:revision>3</cp:revision>
  <cp:lastPrinted>2024-05-15T11:32:00Z</cp:lastPrinted>
  <dcterms:created xsi:type="dcterms:W3CDTF">2026-09-29T13:14:00Z</dcterms:created>
  <dcterms:modified xsi:type="dcterms:W3CDTF">2026-09-29T13:16:00Z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2024-05-14T08:33:55Z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afb3bb4b-30af-497c-a208-49e56c0b88e0</vt:lpwstr>
  </property>
  <property fmtid="{D5CDD505-2E9C-101B-9397-08002B2CF9AE}" pid="8" name="MSIP_Label_6bd9ddd1-4d20-43f6-abfa-fc3c07406f94_ContentBits">
    <vt:lpwstr>0</vt:lpwstr>
  </property>
</Properties>
</file>