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BB529" w14:textId="09F7F6A5" w:rsidR="001E1EF3" w:rsidRPr="001E1EF3" w:rsidRDefault="001E1EF3" w:rsidP="001E1EF3">
      <w:pPr>
        <w:jc w:val="right"/>
        <w:rPr>
          <w:bCs/>
        </w:rPr>
      </w:pPr>
      <w:r>
        <w:rPr>
          <w:b/>
        </w:rPr>
        <w:t xml:space="preserve">Original : </w:t>
      </w:r>
      <w:r>
        <w:rPr>
          <w:bCs/>
        </w:rPr>
        <w:t>anglais</w:t>
      </w:r>
    </w:p>
    <w:p w14:paraId="1FEFF219" w14:textId="77777777" w:rsidR="001E1EF3" w:rsidRDefault="001E1EF3" w:rsidP="00E66320">
      <w:pPr>
        <w:jc w:val="center"/>
        <w:rPr>
          <w:b/>
        </w:rPr>
      </w:pPr>
    </w:p>
    <w:p w14:paraId="352C4A3E" w14:textId="3A81C85A" w:rsidR="008D4FE9" w:rsidRDefault="008D4FE9" w:rsidP="00E66320">
      <w:pPr>
        <w:jc w:val="center"/>
        <w:rPr>
          <w:b/>
        </w:rPr>
      </w:pPr>
      <w:r>
        <w:rPr>
          <w:b/>
        </w:rPr>
        <w:t>R</w:t>
      </w:r>
      <w:r w:rsidR="00E66320" w:rsidRPr="00C34819">
        <w:rPr>
          <w:b/>
        </w:rPr>
        <w:t>apport de la réunion du</w:t>
      </w:r>
      <w:r>
        <w:rPr>
          <w:b/>
        </w:rPr>
        <w:t xml:space="preserve"> </w:t>
      </w:r>
      <w:r w:rsidR="00E66320" w:rsidRPr="00C34819">
        <w:rPr>
          <w:b/>
        </w:rPr>
        <w:t xml:space="preserve">Groupe de travail </w:t>
      </w:r>
    </w:p>
    <w:p w14:paraId="696F7EC3" w14:textId="4B2713B8" w:rsidR="00E66320" w:rsidRPr="00C34819" w:rsidRDefault="00E66320" w:rsidP="00E66320">
      <w:pPr>
        <w:jc w:val="center"/>
        <w:rPr>
          <w:b/>
          <w:bCs/>
        </w:rPr>
      </w:pPr>
      <w:proofErr w:type="gramStart"/>
      <w:r w:rsidRPr="00C34819">
        <w:rPr>
          <w:b/>
        </w:rPr>
        <w:t>sur</w:t>
      </w:r>
      <w:proofErr w:type="gramEnd"/>
      <w:r w:rsidRPr="00C34819">
        <w:rPr>
          <w:b/>
        </w:rPr>
        <w:t xml:space="preserve"> les technologies de déclaration en ligne (WG-ORT)</w:t>
      </w:r>
    </w:p>
    <w:p w14:paraId="755EFD04" w14:textId="77777777" w:rsidR="00E66320" w:rsidRPr="00C34819" w:rsidRDefault="00E66320" w:rsidP="00E66320">
      <w:pPr>
        <w:jc w:val="center"/>
        <w:rPr>
          <w:i/>
          <w:iCs/>
        </w:rPr>
      </w:pPr>
      <w:r w:rsidRPr="00C34819">
        <w:rPr>
          <w:i/>
        </w:rPr>
        <w:t>(</w:t>
      </w:r>
      <w:proofErr w:type="gramStart"/>
      <w:r w:rsidRPr="00C34819">
        <w:rPr>
          <w:i/>
        </w:rPr>
        <w:t>en</w:t>
      </w:r>
      <w:proofErr w:type="gramEnd"/>
      <w:r w:rsidRPr="00C34819">
        <w:rPr>
          <w:i/>
        </w:rPr>
        <w:t xml:space="preserve"> ligne, 10-11 février 2026)</w:t>
      </w:r>
    </w:p>
    <w:p w14:paraId="581D7E29" w14:textId="77777777" w:rsidR="00E66320" w:rsidRPr="00C34819" w:rsidRDefault="00E66320" w:rsidP="00E66320"/>
    <w:p w14:paraId="7E7DC089" w14:textId="77777777" w:rsidR="00E66320" w:rsidRPr="00C34819" w:rsidRDefault="00E66320" w:rsidP="00E66320">
      <w:pPr>
        <w:pStyle w:val="Heading1"/>
        <w:spacing w:before="0" w:after="0"/>
        <w:ind w:left="426" w:hanging="426"/>
      </w:pPr>
      <w:r w:rsidRPr="00C34819">
        <w:t>Ouverture de la réunion</w:t>
      </w:r>
    </w:p>
    <w:p w14:paraId="39503936" w14:textId="77777777" w:rsidR="00E66320" w:rsidRPr="00C34819" w:rsidRDefault="00E66320" w:rsidP="00E66320"/>
    <w:p w14:paraId="55AFA6C1" w14:textId="77777777" w:rsidR="00E66320" w:rsidRPr="00C34819" w:rsidRDefault="00E66320" w:rsidP="00E66320">
      <w:r w:rsidRPr="00C34819">
        <w:t>Le Secrétaire exécutif de l'ICCAT, M. Camille Jean Pierre Manel, a ouvert la réunion et souhaité la bienvenue à tous les participants à la Réunion du Groupe de travail sur les technologies de déclaration en ligne (WG-ORT) en rappelant que le Secrétariat de l'ICCAT se tenait à leur disposition pour contribuer au succès de cette réunion. Le Secrétaire exécutif a remercié l'équipe d'interprètes pour leur travail au cours de cette réunion complexe et hautement technique, ainsi que le Président du WG-ORT, le Dr Bryan Keller, pour son engagement et son rôle de chef de file. Le Dr Keller a remercié le Secrétaire exécutif, tous les participants ainsi que le Secrétariat de l’ICCAT pour son soutien. Le Président a également remercié l'équipe du Système intégré de gestion en ligne (IOMS) pour avoir préparé les débats de la réunion, ainsi que pour son travail acharné et constant visant à faire progresser le développement de l'IOMS. Le Secrétariat exécutif et le Président du WG-ORT ont tous deux souligné le rôle clé de ce Groupe dans la gestion du développement de l'IOMS.</w:t>
      </w:r>
    </w:p>
    <w:p w14:paraId="4E9D27A8" w14:textId="77777777" w:rsidR="00E66320" w:rsidRPr="00C34819" w:rsidRDefault="00E66320" w:rsidP="00E66320"/>
    <w:p w14:paraId="7E07474C" w14:textId="77777777" w:rsidR="00E66320" w:rsidRPr="00C34819" w:rsidRDefault="00E66320" w:rsidP="00E66320"/>
    <w:p w14:paraId="784724B1" w14:textId="77777777" w:rsidR="00E66320" w:rsidRPr="00C34819" w:rsidRDefault="00E66320" w:rsidP="00E66320">
      <w:pPr>
        <w:pStyle w:val="Heading1"/>
        <w:spacing w:before="0" w:after="0"/>
        <w:ind w:left="426" w:hanging="426"/>
      </w:pPr>
      <w:r w:rsidRPr="00C34819">
        <w:t>Désignation du rapporteur</w:t>
      </w:r>
    </w:p>
    <w:p w14:paraId="5C57A4B1" w14:textId="77777777" w:rsidR="00E66320" w:rsidRPr="00C34819" w:rsidRDefault="00E66320" w:rsidP="00E66320"/>
    <w:p w14:paraId="29560706" w14:textId="77777777" w:rsidR="00E66320" w:rsidRPr="00C34819" w:rsidRDefault="00E66320" w:rsidP="00E66320">
      <w:r w:rsidRPr="00C34819">
        <w:t>M. Carlos Palma a été désigné comme rapporteur pour la réunion. Le Président l'a remercié d'avoir accepté à nouveau cette fonction.</w:t>
      </w:r>
    </w:p>
    <w:p w14:paraId="64583A28" w14:textId="77777777" w:rsidR="00E66320" w:rsidRPr="00C34819" w:rsidRDefault="00E66320" w:rsidP="00E66320"/>
    <w:p w14:paraId="27BC0D97" w14:textId="77777777" w:rsidR="00E66320" w:rsidRPr="00C34819" w:rsidRDefault="00E66320" w:rsidP="00E66320"/>
    <w:p w14:paraId="74621366" w14:textId="77777777" w:rsidR="00E66320" w:rsidRPr="00C34819" w:rsidRDefault="00E66320" w:rsidP="00E66320">
      <w:pPr>
        <w:pStyle w:val="Heading1"/>
        <w:spacing w:before="0" w:after="0"/>
        <w:ind w:left="426" w:hanging="426"/>
      </w:pPr>
      <w:r w:rsidRPr="00C34819">
        <w:t>Adoption de l’ordre du jour et organisation des sessions</w:t>
      </w:r>
    </w:p>
    <w:p w14:paraId="718F1D13" w14:textId="77777777" w:rsidR="00E66320" w:rsidRPr="00C34819" w:rsidRDefault="00E66320" w:rsidP="00E66320"/>
    <w:p w14:paraId="1A5B46D5" w14:textId="1B912F12" w:rsidR="00E66320" w:rsidRPr="00C34819" w:rsidRDefault="00E66320" w:rsidP="00E66320">
      <w:r w:rsidRPr="00C34819">
        <w:t>Après une brève discussion, l'ordre du jour de la réunion a été adopté avec quelques modifications mineures et figure à l’</w:t>
      </w:r>
      <w:r w:rsidRPr="00C34819">
        <w:rPr>
          <w:b/>
          <w:bCs/>
        </w:rPr>
        <w:t>appendice 1</w:t>
      </w:r>
      <w:r w:rsidRPr="00C34819">
        <w:t>. La liste des participants est jointe à l’</w:t>
      </w:r>
      <w:r w:rsidRPr="00C34819">
        <w:rPr>
          <w:b/>
        </w:rPr>
        <w:t>appendice 2</w:t>
      </w:r>
      <w:r w:rsidRPr="00C34819">
        <w:t>.</w:t>
      </w:r>
    </w:p>
    <w:p w14:paraId="3AB926A1" w14:textId="77777777" w:rsidR="00E66320" w:rsidRPr="00C34819" w:rsidRDefault="00E66320" w:rsidP="00E66320"/>
    <w:p w14:paraId="6C0BD2BD" w14:textId="77777777" w:rsidR="00E66320" w:rsidRPr="00C34819" w:rsidRDefault="00E66320" w:rsidP="00E66320">
      <w:r w:rsidRPr="00C34819">
        <w:t xml:space="preserve">Le Secrétariat a rappelé que la </w:t>
      </w:r>
      <w:hyperlink r:id="rId8" w:history="1">
        <w:r w:rsidRPr="00C34819">
          <w:rPr>
            <w:rStyle w:val="Hyperlink"/>
            <w:u w:val="none"/>
          </w:rPr>
          <w:t xml:space="preserve">circulaire n° 0309/2026 de l’ICCAT </w:t>
        </w:r>
      </w:hyperlink>
      <w:r w:rsidRPr="00C34819">
        <w:t xml:space="preserve">annonçait la tenue de la réunion en ligne de deux jours du WG-ORT de 2026. Le Président, avec le soutien du Secrétariat, a également informé les participants des modalités et de la logistique de la réunion, notamment des informations disponibles dans le dossier partagé de </w:t>
      </w:r>
      <w:hyperlink r:id="rId9" w:history="1">
        <w:proofErr w:type="spellStart"/>
        <w:r w:rsidRPr="00C34819">
          <w:rPr>
            <w:rStyle w:val="Hyperlink"/>
            <w:u w:val="none"/>
          </w:rPr>
          <w:t>NextCloud</w:t>
        </w:r>
        <w:proofErr w:type="spellEnd"/>
      </w:hyperlink>
      <w:r w:rsidRPr="00C34819">
        <w:t xml:space="preserve"> contenant tous les documents du WG-ORT pour la réunion en cours (dossier 2026) ainsi que toutes les ressources utilisées lors des précédentes réunions du WG-ORT, depuis 2021. Le Président a également rappelé que la réunion était enregistrée et qu'elle bénéficiait d'une interprétation dans les trois langues officielles de l’ICCAT.</w:t>
      </w:r>
    </w:p>
    <w:p w14:paraId="1CA09E37" w14:textId="77777777" w:rsidR="00E66320" w:rsidRPr="00C34819" w:rsidRDefault="00E66320" w:rsidP="00E66320"/>
    <w:p w14:paraId="58E259B4" w14:textId="66E99CD2" w:rsidR="00E66320" w:rsidRPr="00C34819" w:rsidRDefault="00E66320" w:rsidP="00E66320">
      <w:r w:rsidRPr="00C34819">
        <w:t>Le Président a remercié le Japon d'avoir présenté le document « Quelques observations sur l'amélioration des spécifications de l'IOMS », contenant des suggestions pertinentes visant à améliorer l'IOMS à long terme, en précisant que ce document serait examiné en détail au titre du point 5.2 de l'ordre du jour.</w:t>
      </w:r>
    </w:p>
    <w:p w14:paraId="7E98314B" w14:textId="77777777" w:rsidR="00E66320" w:rsidRPr="00C34819" w:rsidRDefault="00E66320" w:rsidP="00E66320"/>
    <w:p w14:paraId="2FA80175" w14:textId="77777777" w:rsidR="00E66320" w:rsidRPr="00C34819" w:rsidRDefault="00E66320" w:rsidP="00E66320"/>
    <w:p w14:paraId="5B4CBF0B" w14:textId="77777777" w:rsidR="00E66320" w:rsidRPr="00C34819" w:rsidRDefault="00E66320" w:rsidP="00E66320">
      <w:pPr>
        <w:pStyle w:val="Heading1"/>
        <w:spacing w:before="0" w:after="0"/>
        <w:ind w:left="426" w:hanging="426"/>
      </w:pPr>
      <w:r w:rsidRPr="00C34819">
        <w:t>Examen de la réglementation de l'ICCAT ayant des implications sur le mandat du Groupe de travail</w:t>
      </w:r>
    </w:p>
    <w:p w14:paraId="2A49E529" w14:textId="77777777" w:rsidR="00E66320" w:rsidRPr="00C34819" w:rsidRDefault="00E66320" w:rsidP="00E66320"/>
    <w:p w14:paraId="6FE91967" w14:textId="77777777" w:rsidR="00E66320" w:rsidRPr="00C34819" w:rsidRDefault="00E66320" w:rsidP="00E66320">
      <w:r w:rsidRPr="00C34819">
        <w:t>Le Président a brièvement passé en revue les mesures de l'ICCAT ayant une incidence sur le mandat du WG-ORT et a indiqué qu'aucun changement majeur n'avait été apporté lors de la 29e réunion ordinaire de la Commission (17-24 novembre 2025, Séville, Espagne). La réglementation actuelle de l’ICCAT ayant des implications pour le WG-ORT est la suivante :</w:t>
      </w:r>
    </w:p>
    <w:p w14:paraId="5C807782" w14:textId="77777777" w:rsidR="00E66320" w:rsidRPr="00C34819" w:rsidRDefault="00E66320" w:rsidP="00E66320"/>
    <w:p w14:paraId="47759011" w14:textId="77777777" w:rsidR="00E66320" w:rsidRPr="00C34819" w:rsidRDefault="00E66320" w:rsidP="00E66320">
      <w:pPr>
        <w:pStyle w:val="ListParagraph"/>
        <w:numPr>
          <w:ilvl w:val="0"/>
          <w:numId w:val="1"/>
        </w:numPr>
        <w:ind w:left="851" w:hanging="425"/>
      </w:pPr>
      <w:hyperlink r:id="rId10" w:history="1">
        <w:r w:rsidRPr="00C34819">
          <w:rPr>
            <w:rStyle w:val="Hyperlink"/>
            <w:i/>
            <w:iCs/>
            <w:u w:val="none"/>
          </w:rPr>
          <w:t>Recommandation de l’ICCAT concernant l'élaboration d'un système de déclaration en ligne</w:t>
        </w:r>
        <w:r w:rsidRPr="00C34819">
          <w:rPr>
            <w:rStyle w:val="Hyperlink"/>
            <w:u w:val="none"/>
          </w:rPr>
          <w:t xml:space="preserve"> (Rec. 16-19)</w:t>
        </w:r>
      </w:hyperlink>
      <w:r w:rsidRPr="00C34819">
        <w:t xml:space="preserve"> Cette mesure établit la création et le mandat du WG-ORT concernant le développement de l'IOMS.</w:t>
      </w:r>
    </w:p>
    <w:p w14:paraId="0424ADDA" w14:textId="77777777" w:rsidR="00E66320" w:rsidRPr="00C34819" w:rsidRDefault="00E66320" w:rsidP="00E66320">
      <w:pPr>
        <w:pStyle w:val="ListParagraph"/>
        <w:numPr>
          <w:ilvl w:val="0"/>
          <w:numId w:val="1"/>
        </w:numPr>
        <w:pBdr>
          <w:top w:val="none" w:sz="0" w:space="0" w:color="auto"/>
          <w:left w:val="none" w:sz="0" w:space="0" w:color="auto"/>
          <w:bottom w:val="none" w:sz="0" w:space="0" w:color="auto"/>
          <w:right w:val="none" w:sz="0" w:space="0" w:color="auto"/>
          <w:between w:val="none" w:sz="0" w:space="0" w:color="auto"/>
        </w:pBdr>
        <w:spacing w:after="160" w:line="257" w:lineRule="auto"/>
        <w:ind w:left="851" w:hanging="425"/>
        <w:jc w:val="left"/>
      </w:pPr>
      <w:hyperlink r:id="rId11" w:history="1">
        <w:r w:rsidRPr="00C34819">
          <w:rPr>
            <w:rStyle w:val="Hyperlink"/>
            <w:i/>
            <w:iCs/>
            <w:u w:val="none"/>
          </w:rPr>
          <w:t>Recommandation de l’ICCAT visant à poursuivre l'élaboration d'un système de déclaration en ligne intégré</w:t>
        </w:r>
        <w:r w:rsidRPr="00C34819">
          <w:rPr>
            <w:rStyle w:val="Hyperlink"/>
            <w:u w:val="none"/>
          </w:rPr>
          <w:t xml:space="preserve"> (Rec. 21-20) </w:t>
        </w:r>
      </w:hyperlink>
      <w:r w:rsidRPr="00C34819">
        <w:t xml:space="preserve">. Cette mesure renforce le mandat du WG-ORT en consolidant le travail </w:t>
      </w:r>
      <w:r w:rsidRPr="00C34819">
        <w:lastRenderedPageBreak/>
        <w:t>intersessions et permet un processus décisionnel plus souple et plus autonome pour la mise en production de nouvelles fonctionnalités.</w:t>
      </w:r>
      <w:r w:rsidRPr="00C34819">
        <w:br w:type="page"/>
      </w:r>
    </w:p>
    <w:p w14:paraId="0E2E373A" w14:textId="77777777" w:rsidR="00E66320" w:rsidRPr="00C34819" w:rsidRDefault="00E66320" w:rsidP="00E66320">
      <w:r w:rsidRPr="00C34819">
        <w:lastRenderedPageBreak/>
        <w:t xml:space="preserve">Le Président a évoqué les avantages que ces mesures ont apportés ces dernières années en rationalisant le développement de nouveaux modules de l’IOMS. Le Président a également rappelé que, dans le but de remplacer la </w:t>
      </w:r>
      <w:hyperlink r:id="rId12" w:history="1">
        <w:r w:rsidRPr="00C34819">
          <w:rPr>
            <w:rStyle w:val="Hyperlink"/>
            <w:i/>
            <w:iCs/>
            <w:u w:val="none"/>
          </w:rPr>
          <w:t>Recommandation de l'ICCAT sur l'application du système intégré de gestion en ligne</w:t>
        </w:r>
        <w:r w:rsidRPr="00C34819">
          <w:rPr>
            <w:rStyle w:val="Hyperlink"/>
            <w:u w:val="none"/>
          </w:rPr>
          <w:t xml:space="preserve"> (Rec. 22-17)</w:t>
        </w:r>
      </w:hyperlink>
      <w:r w:rsidRPr="00C34819">
        <w:t>, une nouvelle Recommandation a été adoptée par la Commission lors de sa réunion annuelle de 2024 afin de répondre aux besoins de flexibilité du WG-ORT pour la mise en service des modules IOMS récemment achevés, destinés à la gestion des données d’application et des données statistiques :</w:t>
      </w:r>
    </w:p>
    <w:p w14:paraId="1E0953EF" w14:textId="77777777" w:rsidR="00E66320" w:rsidRPr="00C34819" w:rsidRDefault="00E66320" w:rsidP="00E66320">
      <w:pPr>
        <w:pStyle w:val="ListParagraph"/>
      </w:pPr>
    </w:p>
    <w:p w14:paraId="66E5C393" w14:textId="77777777" w:rsidR="00E66320" w:rsidRPr="00C34819" w:rsidRDefault="00E66320" w:rsidP="00E66320">
      <w:pPr>
        <w:pStyle w:val="ListParagraph"/>
        <w:numPr>
          <w:ilvl w:val="0"/>
          <w:numId w:val="1"/>
        </w:numPr>
        <w:ind w:left="851" w:hanging="425"/>
      </w:pPr>
      <w:hyperlink r:id="rId13" w:history="1">
        <w:r w:rsidRPr="00C34819">
          <w:rPr>
            <w:rStyle w:val="Hyperlink"/>
            <w:i/>
            <w:iCs/>
            <w:u w:val="none"/>
          </w:rPr>
          <w:t>Recommandation de l'ICCAT sur l'application du système intégré de gestion en ligne</w:t>
        </w:r>
        <w:r w:rsidRPr="00C34819">
          <w:rPr>
            <w:rStyle w:val="Hyperlink"/>
            <w:i/>
            <w:u w:val="none"/>
          </w:rPr>
          <w:t xml:space="preserve"> </w:t>
        </w:r>
        <w:r w:rsidRPr="00C34819">
          <w:rPr>
            <w:rStyle w:val="Hyperlink"/>
            <w:u w:val="none"/>
          </w:rPr>
          <w:t>(Rec. 24-17)</w:t>
        </w:r>
      </w:hyperlink>
      <w:r w:rsidRPr="00C34819">
        <w:t>. Aux termes de cette mesure, les CPC sont tenues d’enregistrer au moins un utilisateur dans l'IOMS. De plus, à mesure que de nouveaux modules seront développés dans l'IOMS, les CPC devront transmettre les informations pertinentes en utilisant les modules IOMS dédiés dès qu'ils seront disponibles.</w:t>
      </w:r>
    </w:p>
    <w:p w14:paraId="178CD0BF" w14:textId="77777777" w:rsidR="00E66320" w:rsidRPr="00C34819" w:rsidRDefault="00E66320" w:rsidP="00E66320">
      <w:pPr>
        <w:pStyle w:val="ListParagraph"/>
      </w:pPr>
    </w:p>
    <w:p w14:paraId="1030E9E9" w14:textId="77777777" w:rsidR="00E66320" w:rsidRPr="00C34819" w:rsidRDefault="00E66320" w:rsidP="00E66320">
      <w:r w:rsidRPr="00C34819">
        <w:t>Cette Recommandation offre à l'IOMS suffisamment de souplesse pour mettre en production de nouveaux modules dès qu'ils sont disponibles. De plus, il n'est pas nécessaire d'adopter une nouvelle Recommandation chaque année lorsqu'un nouveau module IOMS est prêt. Le Président a rappelé le déroulement des étapes (développement, tests, formation, mise en production, période expérimentale de présentation, présentation obligatoire) menant à la mise en service d'un nouveau module IOMS, chacune de ces étapes étant assortie de dates (ou de délais) précis, tels que décrits dans le plan de travail du WG-ORT.</w:t>
      </w:r>
    </w:p>
    <w:p w14:paraId="3F8A3DCD" w14:textId="77777777" w:rsidR="00E66320" w:rsidRPr="00C34819" w:rsidRDefault="00E66320" w:rsidP="00E66320"/>
    <w:p w14:paraId="3571B71E" w14:textId="77777777" w:rsidR="00E66320" w:rsidRPr="00C34819" w:rsidRDefault="00E66320" w:rsidP="00E66320"/>
    <w:p w14:paraId="668AC4F9" w14:textId="77777777" w:rsidR="00E66320" w:rsidRPr="00C34819" w:rsidRDefault="00E66320" w:rsidP="00E66320">
      <w:pPr>
        <w:pStyle w:val="Heading1"/>
        <w:spacing w:before="0" w:after="0"/>
        <w:ind w:left="426" w:hanging="426"/>
      </w:pPr>
      <w:r w:rsidRPr="00C34819">
        <w:t xml:space="preserve">Mise à jour de l'état d'avancement du Système intégré de gestion en ligne (IOMS) </w:t>
      </w:r>
    </w:p>
    <w:p w14:paraId="74B384CE" w14:textId="77777777" w:rsidR="00E66320" w:rsidRPr="00C34819" w:rsidRDefault="00E66320" w:rsidP="00E66320"/>
    <w:p w14:paraId="25FAD8CF" w14:textId="77777777" w:rsidR="00E66320" w:rsidRPr="00C34819" w:rsidRDefault="00E66320" w:rsidP="00E66320">
      <w:r w:rsidRPr="00C34819">
        <w:t xml:space="preserve">Le Président a présenté cette section en rappelant au Groupe que le « Rapport de situation de 2025 du Groupe de travail sur les technologies de déclaration en ligne (WG-ORT) » (contenu à l'appendice 2 de l'annexe 9 du </w:t>
      </w:r>
      <w:hyperlink r:id="rId14" w:history="1">
        <w:r w:rsidRPr="00C34819">
          <w:rPr>
            <w:rStyle w:val="Hyperlink"/>
            <w:i/>
            <w:u w:val="none"/>
          </w:rPr>
          <w:t>Rapport de la période biennale 2024-2025, IIe partie (2025), Vol. 1</w:t>
        </w:r>
      </w:hyperlink>
      <w:r w:rsidRPr="00C34819">
        <w:t>) a été présenté au Comité d'application (COC) par le Président du WG-ORT lors de la 29e réunion ordinaire de la Commission. Ce rapport de synthèse résume les activités du WG-ORT réalisées au cours de l'année 2025.</w:t>
      </w:r>
    </w:p>
    <w:p w14:paraId="235C4E59" w14:textId="77777777" w:rsidR="00E66320" w:rsidRPr="00C34819" w:rsidRDefault="00E66320" w:rsidP="00E66320"/>
    <w:p w14:paraId="27367B4F" w14:textId="581727A9" w:rsidR="00E66320" w:rsidRPr="00C34819" w:rsidRDefault="00E66320" w:rsidP="00E66320">
      <w:r w:rsidRPr="00C34819">
        <w:t>Le Président a félicité le Secrétariat pour la préparation du projet de document « Système intégré de gestion en ligne de l’ICCAT (IOMS) : aperçu, développement et situation actuelle » destiné à devenir un nouveau document « évolutif » reprenant l'ensemble des principales réalisations de l'IOMS au fil du temps. Son objectif est de simplifier et d'optimiser la mise à jour du statut de l'IOMS décrite dans cette section, en y ajoutant progressivement toutes les réalisations achevées, ce qui évitera de devoir les décrire chaque année.</w:t>
      </w:r>
    </w:p>
    <w:p w14:paraId="70254A68" w14:textId="77777777" w:rsidR="00E66320" w:rsidRPr="00C34819" w:rsidRDefault="00E66320" w:rsidP="00E66320"/>
    <w:p w14:paraId="61A46746" w14:textId="77777777" w:rsidR="00E66320" w:rsidRPr="00C34819" w:rsidRDefault="00E66320" w:rsidP="00E66320">
      <w:pPr>
        <w:pStyle w:val="Heading2"/>
        <w:numPr>
          <w:ilvl w:val="0"/>
          <w:numId w:val="0"/>
        </w:numPr>
        <w:spacing w:before="0" w:after="0"/>
        <w:ind w:left="576" w:hanging="576"/>
        <w:rPr>
          <w:b w:val="0"/>
          <w:bCs w:val="0"/>
        </w:rPr>
      </w:pPr>
      <w:r w:rsidRPr="00C34819">
        <w:rPr>
          <w:b w:val="0"/>
        </w:rPr>
        <w:t>5.1 Examen de la situation actuelle et des progrès réalisés en 2025</w:t>
      </w:r>
    </w:p>
    <w:p w14:paraId="7B1ACD0E" w14:textId="77777777" w:rsidR="00E66320" w:rsidRPr="00C34819" w:rsidRDefault="00E66320" w:rsidP="00E66320"/>
    <w:p w14:paraId="4E39901D" w14:textId="77777777" w:rsidR="00E66320" w:rsidRPr="00C34819" w:rsidRDefault="00E66320" w:rsidP="00E66320">
      <w:r w:rsidRPr="00C34819">
        <w:t>Le Secrétariat a présenté un résumé des principaux objectifs de l'IOMS, ainsi que de ses spécifications et de son modèle de développement. L'IOMS a pour objectif de centraliser et de gérer la quasi-totalité des exigences de déclaration des données de l’ICCAT. Une architecture modulaire a été adoptée en s'appuyant sur des technologies modernes et fonctionnant sur une infrastructure cloud évolutive (récemment mise à niveau pour accroître la flexibilité et l'évolutivité). Pour atteindre les objectifs de l'IOMS, trois environnements de travail ont été créés et sont aujourd'hui pleinement opérationnels. L'environnement de développement est réservé à l'équipe IOMS et sert à développer de nouveaux modules et à améliorer les fonctionnalités existantes de l’IOMS. L'</w:t>
      </w:r>
      <w:hyperlink r:id="rId15" w:history="1">
        <w:r w:rsidRPr="00C34819">
          <w:rPr>
            <w:rStyle w:val="Hyperlink"/>
            <w:u w:val="none"/>
          </w:rPr>
          <w:t xml:space="preserve">environnement de </w:t>
        </w:r>
        <w:proofErr w:type="spellStart"/>
        <w:r w:rsidRPr="00C34819">
          <w:rPr>
            <w:rStyle w:val="Hyperlink"/>
            <w:u w:val="none"/>
          </w:rPr>
          <w:t>sandbox</w:t>
        </w:r>
        <w:proofErr w:type="spellEnd"/>
      </w:hyperlink>
      <w:r w:rsidRPr="00C34819">
        <w:t>) destiné à la formation et à la mise à l’essai des nouvelles fonctionnalités au préalable, est accessible à tous les utilisateurs de l’IOMS. Enfin, l'</w:t>
      </w:r>
      <w:hyperlink r:id="rId16" w:history="1">
        <w:r w:rsidRPr="00C34819">
          <w:rPr>
            <w:rStyle w:val="Hyperlink"/>
            <w:u w:val="none"/>
          </w:rPr>
          <w:t>environnement de production</w:t>
        </w:r>
      </w:hyperlink>
      <w:r w:rsidRPr="00C34819">
        <w:t xml:space="preserve"> est l’endroit où sont gérées toutes les données officielles fournies par les CPC à l’ICCAT. Le Secrétariat a rappelé que le WG-ORT recommande systématiquement aux utilisateurs de l'IOMS de se familiariser avec l'environnement de test et d'y effectuer des exercices autant que possible avant de passer à l'environnement de production de l'IOMS.</w:t>
      </w:r>
    </w:p>
    <w:p w14:paraId="115A9675" w14:textId="77777777" w:rsidR="00E66320" w:rsidRPr="00C34819" w:rsidRDefault="00E66320" w:rsidP="00E66320"/>
    <w:p w14:paraId="5B4ACBE3" w14:textId="0B595983" w:rsidR="00E66320" w:rsidRPr="00C34819" w:rsidRDefault="00E66320" w:rsidP="00E66320">
      <w:r w:rsidRPr="00C34819">
        <w:t xml:space="preserve">Le Secrétariat a présenté un bref aperçu historique des avancées de l'IOMS depuis la création du WG-ORT en 2016 (cf. </w:t>
      </w:r>
      <w:hyperlink r:id="rId17" w:history="1">
        <w:r w:rsidRPr="00C34819">
          <w:rPr>
            <w:rStyle w:val="Hyperlink"/>
            <w:u w:val="none"/>
          </w:rPr>
          <w:t>Rec. 16-19</w:t>
        </w:r>
      </w:hyperlink>
      <w:r w:rsidRPr="00C34819">
        <w:t xml:space="preserve">) jusqu'à la quatrième phase de développement, en cours et presque achevée (pour plus de détails, voir le plan de travail du WG-ORT à la section 11). Ce résumé, qui présente un aperçu historique des principales réalisations de l'IOMS, sera désormais mis à jour en continu par le Secrétariat de l’ICCAT dans le document « évolutif « Système intégré de gestion en ligne de l’ICCAT (IOMS) : aperçu, développement et situation actuelle » à mesure que de nouveaux progrès seront réalisés. Cette approche permet de simplifier et de raccourcir le rapport annuel sur l'état d'avancement de l'IOMS publié dans cette section, en transférant dans ce document les passages descriptifs répétitifs. Par conséquent, dès à présent, </w:t>
      </w:r>
      <w:r w:rsidRPr="00C34819">
        <w:lastRenderedPageBreak/>
        <w:t>l'ensemble des réalisations historiques de l'IOMS (depuis la phase de prototypage jusqu'aux progrès accomplis à chaque étape) peut être consulté dans ce document évolutif, qui sera ultérieurement publié et mis à jour en continu sur le site web de l’ICCAT (</w:t>
      </w:r>
      <w:hyperlink r:id="rId18" w:history="1">
        <w:r w:rsidRPr="00C34819">
          <w:rPr>
            <w:rStyle w:val="Hyperlink"/>
            <w:u w:val="none"/>
          </w:rPr>
          <w:t>page web dédiée à l'IOMS</w:t>
        </w:r>
      </w:hyperlink>
      <w:r w:rsidRPr="00C34819">
        <w:t>). Le Président et le Groupe ont salué cette initiative.</w:t>
      </w:r>
    </w:p>
    <w:p w14:paraId="5F7CA4F2" w14:textId="77777777" w:rsidR="00E66320" w:rsidRPr="00C34819" w:rsidRDefault="00E66320" w:rsidP="00E66320"/>
    <w:p w14:paraId="4BD0BDD1" w14:textId="55813968" w:rsidR="00E66320" w:rsidRPr="00C34819" w:rsidRDefault="00E66320" w:rsidP="00E66320">
      <w:r w:rsidRPr="00C34819">
        <w:t xml:space="preserve">Les progrès réalisés au cours des phases 1, 2 et 3 ainsi que de la première année de la phase 4 (biennal : du 1er juin 2024 au 31 mai 2026) figurent dans le document « Système intégré de gestion en ligne de l’ICCAT (IOMS) : aperçu, développement et situation actuelle »). Au cours de l'année 2025, les travaux de développement se sont concentrés sur la finalisation des modules de gestionnaire de navires (sans l'intégration UN/FLUX) et gestionnaire de formulaires, qui ont tous </w:t>
      </w:r>
      <w:proofErr w:type="gramStart"/>
      <w:r w:rsidRPr="00C34819">
        <w:t>deux été</w:t>
      </w:r>
      <w:proofErr w:type="gramEnd"/>
      <w:r w:rsidRPr="00C34819">
        <w:t xml:space="preserve"> mis en production le 1er août 2025. Par ailleurs, quatre nouveaux modules étaient également en pleine phase de développement : Gestionnaire de ports, gestionnaire des feuilles de contrôle pour les requins et les istiophoridés, gestionnaire de T1NC (prises nominales de la tâche 1), gestionnaire de COCT (tableaux d’application). Le gestionnaire de ports est presque terminé. Les trois autres modules restants nécessiteront un travail supplémentaire. L'intégration de l'UN/FLUX dans le module de gestionnaire des navires a été reportée, car elle nécessite des tests approfondis avant d'être mise en production. </w:t>
      </w:r>
    </w:p>
    <w:p w14:paraId="220ED5F7" w14:textId="77777777" w:rsidR="00E66320" w:rsidRPr="00C34819" w:rsidRDefault="00E66320" w:rsidP="00E66320"/>
    <w:p w14:paraId="2E3332CF" w14:textId="77777777" w:rsidR="00E66320" w:rsidRPr="00C34819" w:rsidRDefault="00E66320" w:rsidP="00E66320">
      <w:pPr>
        <w:ind w:right="113"/>
      </w:pPr>
      <w:r w:rsidRPr="00C34819">
        <w:t>Tout au long de 2025, un travail continu a été mené afin de garantir la stabilité et l'utilisation efficace de l'IOMS. Cela comprend les tâches de maintenance de l'IOMS (correction de bogues, optimisation, améliorations fonctionnelles mineures), ainsi que l'assistance continue aux utilisateurs (Secrétariat et CPC) par le biais d'ateliers du WG-ORT et de sessions de formation individuelles destinées aux CPC.</w:t>
      </w:r>
    </w:p>
    <w:p w14:paraId="7D30ED03" w14:textId="77777777" w:rsidR="00E66320" w:rsidRPr="00C34819" w:rsidRDefault="00E66320" w:rsidP="00E66320"/>
    <w:p w14:paraId="590186AC" w14:textId="77777777" w:rsidR="00E66320" w:rsidRPr="00C34819" w:rsidRDefault="00E66320" w:rsidP="00E66320">
      <w:r w:rsidRPr="00C34819">
        <w:t xml:space="preserve">Enfin, le Secrétariat a fourni des données statistiques sur l'utilisation de l'IOMS, notamment en ce qui concerne les activités liées à la soumission des rapports annuels pour les cinq années en production (2021 à 2025). Dans l'ensemble, elles montrent une amélioration au fil du temps. En résumé, ces statistiques indiquent </w:t>
      </w:r>
      <w:proofErr w:type="gramStart"/>
      <w:r w:rsidRPr="00C34819">
        <w:t>que:</w:t>
      </w:r>
      <w:proofErr w:type="gramEnd"/>
    </w:p>
    <w:p w14:paraId="2A98549E" w14:textId="77777777" w:rsidR="00E66320" w:rsidRPr="00C34819" w:rsidRDefault="00E66320" w:rsidP="00E66320"/>
    <w:p w14:paraId="30F30CF6" w14:textId="77777777" w:rsidR="00E66320" w:rsidRPr="00C34819" w:rsidRDefault="00E66320" w:rsidP="00E66320">
      <w:pPr>
        <w:pStyle w:val="ListParagraph"/>
        <w:numPr>
          <w:ilvl w:val="0"/>
          <w:numId w:val="1"/>
        </w:numPr>
        <w:ind w:left="851" w:hanging="425"/>
      </w:pPr>
      <w:r w:rsidRPr="00C34819">
        <w:t xml:space="preserve">Depuis 2023, toutes les CPC de l’ICCAT ont des utilisateurs enregistrés dans l'IOMS (conformément au paragraphe 1 de la </w:t>
      </w:r>
      <w:hyperlink r:id="rId19" w:history="1">
        <w:r w:rsidRPr="00C34819">
          <w:rPr>
            <w:rStyle w:val="Hyperlink"/>
            <w:u w:val="none"/>
          </w:rPr>
          <w:t>Rec. 22-17</w:t>
        </w:r>
      </w:hyperlink>
      <w:r w:rsidRPr="00C34819">
        <w:t>).</w:t>
      </w:r>
    </w:p>
    <w:p w14:paraId="774511DB" w14:textId="77777777" w:rsidR="00E66320" w:rsidRPr="00C34819" w:rsidRDefault="00E66320" w:rsidP="00E66320">
      <w:pPr>
        <w:pStyle w:val="ListParagraph"/>
        <w:ind w:left="851"/>
      </w:pPr>
    </w:p>
    <w:p w14:paraId="2FCAEC41" w14:textId="77777777" w:rsidR="00E66320" w:rsidRPr="00C34819" w:rsidRDefault="00E66320" w:rsidP="00E66320">
      <w:pPr>
        <w:pStyle w:val="ListParagraph"/>
        <w:numPr>
          <w:ilvl w:val="0"/>
          <w:numId w:val="1"/>
        </w:numPr>
        <w:ind w:left="851" w:hanging="425"/>
      </w:pPr>
      <w:r w:rsidRPr="00C34819">
        <w:t>Tendance à l'amélioration en vue d'atteindre l'exhaustivité totale des deux sections du rapport annuel (S3P1 : Section 3/Partie 1 consacrée aux statistiques ; S3P2 : Section 3/Partie 2 (relative à l’application), transmises via l'IOMS entre 2021 et 2025 pour les CPC de l’ICCAT (57 à 58 au total). Plus spécifiquement :</w:t>
      </w:r>
    </w:p>
    <w:p w14:paraId="16D65075" w14:textId="77777777" w:rsidR="00E66320" w:rsidRPr="00C34819" w:rsidRDefault="00E66320" w:rsidP="00E66320">
      <w:pPr>
        <w:pStyle w:val="ListParagraph"/>
        <w:ind w:left="851"/>
      </w:pPr>
    </w:p>
    <w:p w14:paraId="36D95FFD" w14:textId="77777777" w:rsidR="00E66320" w:rsidRPr="00C34819" w:rsidRDefault="00E66320" w:rsidP="00E66320">
      <w:pPr>
        <w:pStyle w:val="ListParagraph"/>
        <w:numPr>
          <w:ilvl w:val="0"/>
          <w:numId w:val="40"/>
        </w:numPr>
        <w:ind w:left="1276" w:hanging="425"/>
      </w:pPr>
      <w:r w:rsidRPr="00C34819">
        <w:t>S3P1 (statistiques) : de 72 % en 2021 à 77 % en 2025</w:t>
      </w:r>
    </w:p>
    <w:p w14:paraId="4C442B53" w14:textId="77777777" w:rsidR="00E66320" w:rsidRPr="00C34819" w:rsidRDefault="00E66320" w:rsidP="00E66320">
      <w:pPr>
        <w:pStyle w:val="ListParagraph"/>
        <w:numPr>
          <w:ilvl w:val="0"/>
          <w:numId w:val="40"/>
        </w:numPr>
        <w:ind w:left="1276" w:hanging="425"/>
        <w:rPr>
          <w:b/>
        </w:rPr>
      </w:pPr>
      <w:r w:rsidRPr="00C34819">
        <w:t>S3P2 (application) : de 70 % en 2021 à 85 % en 2025</w:t>
      </w:r>
    </w:p>
    <w:p w14:paraId="6E3EF4C1" w14:textId="77777777" w:rsidR="00E66320" w:rsidRPr="00C34819" w:rsidRDefault="00E66320" w:rsidP="00E66320">
      <w:pPr>
        <w:pStyle w:val="ListParagraph"/>
      </w:pPr>
    </w:p>
    <w:p w14:paraId="004075A5" w14:textId="77777777" w:rsidR="00E66320" w:rsidRPr="00C34819" w:rsidRDefault="00E66320" w:rsidP="00E66320">
      <w:pPr>
        <w:pStyle w:val="ListParagraph"/>
        <w:numPr>
          <w:ilvl w:val="0"/>
          <w:numId w:val="1"/>
        </w:numPr>
        <w:ind w:left="851" w:hanging="425"/>
        <w:rPr>
          <w:b/>
        </w:rPr>
      </w:pPr>
      <w:r w:rsidRPr="00C34819">
        <w:t>Outre l'augmentation constante indiquée ci-dessus, le soutien direct fourni par le Secrétariat pour télécharger et corriger les deux sections du rapport annuel (S3P1 et S3P2) a diminué progressivement de 2021 (40 % des CPC) à 2025 (&lt;5 % des CPC).</w:t>
      </w:r>
    </w:p>
    <w:p w14:paraId="43EDF336" w14:textId="77777777" w:rsidR="00E66320" w:rsidRPr="00C34819" w:rsidRDefault="00E66320" w:rsidP="00E66320">
      <w:pPr>
        <w:pStyle w:val="ListParagraph"/>
        <w:ind w:left="567" w:hanging="283"/>
      </w:pPr>
    </w:p>
    <w:p w14:paraId="1A984845" w14:textId="77777777" w:rsidR="00E66320" w:rsidRPr="00C34819" w:rsidRDefault="00E66320" w:rsidP="00E66320">
      <w:pPr>
        <w:pStyle w:val="ListParagraph"/>
        <w:numPr>
          <w:ilvl w:val="0"/>
          <w:numId w:val="1"/>
        </w:numPr>
        <w:ind w:left="851" w:hanging="425"/>
        <w:rPr>
          <w:b/>
        </w:rPr>
      </w:pPr>
      <w:r w:rsidRPr="00C34819">
        <w:t xml:space="preserve">Une dizaine de CPC </w:t>
      </w:r>
      <w:proofErr w:type="gramStart"/>
      <w:r w:rsidRPr="00C34819">
        <w:t>ont</w:t>
      </w:r>
      <w:proofErr w:type="gramEnd"/>
      <w:r w:rsidRPr="00C34819">
        <w:t xml:space="preserve"> encore des difficultés à élaborer et à fournir les deux sections du rapport annuel (période 2021-2025).</w:t>
      </w:r>
    </w:p>
    <w:p w14:paraId="5F194546" w14:textId="77777777" w:rsidR="00E66320" w:rsidRPr="00C34819" w:rsidRDefault="00E66320" w:rsidP="00E66320">
      <w:pPr>
        <w:pStyle w:val="ListParagraph"/>
      </w:pPr>
    </w:p>
    <w:p w14:paraId="67836FD6" w14:textId="77777777" w:rsidR="00E66320" w:rsidRPr="00C34819" w:rsidRDefault="00E66320" w:rsidP="00E66320">
      <w:r w:rsidRPr="00C34819">
        <w:t xml:space="preserve">Les indicateurs statistiques ci-dessus (détaillés dans le </w:t>
      </w:r>
      <w:r w:rsidRPr="00C34819">
        <w:rPr>
          <w:b/>
        </w:rPr>
        <w:fldChar w:fldCharType="begin"/>
      </w:r>
      <w:r w:rsidRPr="00C34819">
        <w:instrText xml:space="preserve"> REF _Ref193563119 \h </w:instrText>
      </w:r>
      <w:r w:rsidRPr="00C34819">
        <w:rPr>
          <w:b/>
        </w:rPr>
        <w:instrText xml:space="preserve"> \* MERGEFORMAT </w:instrText>
      </w:r>
      <w:r w:rsidRPr="00C34819">
        <w:rPr>
          <w:b/>
        </w:rPr>
      </w:r>
      <w:r w:rsidRPr="00C34819">
        <w:rPr>
          <w:b/>
        </w:rPr>
        <w:fldChar w:fldCharType="separate"/>
      </w:r>
      <w:r w:rsidRPr="00C34819">
        <w:rPr>
          <w:b/>
          <w:color w:val="auto"/>
        </w:rPr>
        <w:t>Table 1</w:t>
      </w:r>
      <w:r w:rsidRPr="00C34819">
        <w:rPr>
          <w:b/>
        </w:rPr>
        <w:fldChar w:fldCharType="end"/>
      </w:r>
      <w:r w:rsidRPr="00C34819">
        <w:t>) montrent de bons progrès au cours des cinq dernières années. Toutefois, des difficultés subsistent pour certaines CPC (soumissions en attente incluant des sections incomplètes et complètes). Le Secrétariat s'engage à analyser chaque cas et à contacter les CPC pour résoudre les problèmes constatés.</w:t>
      </w:r>
    </w:p>
    <w:p w14:paraId="386643AD" w14:textId="77777777" w:rsidR="00E66320" w:rsidRPr="00C34819" w:rsidRDefault="00E66320" w:rsidP="00E66320"/>
    <w:p w14:paraId="463F2302" w14:textId="77777777" w:rsidR="00E66320" w:rsidRPr="00C34819" w:rsidRDefault="00E66320" w:rsidP="00E66320">
      <w:r w:rsidRPr="00C34819">
        <w:t>Le Secrétariat a indiqué qu'il travaillait également à l'élaboration d'indicateurs statistiques similaires pour tous les modules IOMS en cours de développement, dans le but d'identifier les faiblesses fondamentales et d'en informer le WG-ORT (comme détaillé ci-après dans les sous-sections correspondantes).</w:t>
      </w:r>
    </w:p>
    <w:p w14:paraId="7F2ED16C" w14:textId="77777777" w:rsidR="00E66320" w:rsidRPr="00C34819" w:rsidRDefault="00E66320" w:rsidP="00E66320"/>
    <w:p w14:paraId="42252A4C" w14:textId="77777777" w:rsidR="00E66320" w:rsidRPr="00C34819" w:rsidRDefault="00E66320" w:rsidP="00E66320">
      <w:r w:rsidRPr="00C34819">
        <w:t xml:space="preserve">Outre le développement habituel de l'IOMS, qui comprend l'adaptation et la conception des bases de données utilisées par chaque module, le Secrétariat travaille également à la standardisation des formulaires restants de l'ICCAT (seuls 16 sur plus de 60 sont standardisés) en vue de leur intégration dans l'IOMS.  </w:t>
      </w:r>
    </w:p>
    <w:p w14:paraId="26D48E70" w14:textId="77777777" w:rsidR="00E66320" w:rsidRPr="00C34819" w:rsidRDefault="00E66320" w:rsidP="00E66320">
      <w:pPr>
        <w:pBdr>
          <w:top w:val="none" w:sz="0" w:space="0" w:color="auto"/>
          <w:left w:val="none" w:sz="0" w:space="0" w:color="auto"/>
          <w:bottom w:val="none" w:sz="0" w:space="0" w:color="auto"/>
          <w:right w:val="none" w:sz="0" w:space="0" w:color="auto"/>
          <w:between w:val="none" w:sz="0" w:space="0" w:color="auto"/>
        </w:pBdr>
        <w:spacing w:after="160" w:line="257" w:lineRule="auto"/>
        <w:jc w:val="left"/>
      </w:pPr>
      <w:r w:rsidRPr="00C34819">
        <w:br w:type="page"/>
      </w:r>
    </w:p>
    <w:p w14:paraId="43691696" w14:textId="77777777" w:rsidR="00E66320" w:rsidRPr="00C34819" w:rsidRDefault="00E66320" w:rsidP="00E66320">
      <w:r w:rsidRPr="00C34819">
        <w:lastRenderedPageBreak/>
        <w:t>Le Secrétariat a indiqué que la répartition du temps consacré aux trois principales activités de l'IOMS est conforme aux prévisions ou en bonne voie. Le soutien apporté aux utilisateurs de l'IOMS (CPC et Secrétariat) est proche de l'objectif de 30 %. La maintenance de l'IOMS (corrections de bogues et améliorations mineures du code existant) représente environ 40 %, soit un peu plus que l'objectif fixé à 30 %. Le développement du nouvel IOMS (nouveaux modules et améliorations fonctionnelles majeures) est achevé à environ 30 %, ce qui est inférieur à l'objectif de 40 %. Le Secrétariat estime que, dans une perspective à long terme, le nouveau développement de l’IOMS devrait, à terme, représenter environ 50 % du temps de partage consacré à l'IOMS.</w:t>
      </w:r>
    </w:p>
    <w:p w14:paraId="31943F4D" w14:textId="77777777" w:rsidR="00E66320" w:rsidRPr="00C34819" w:rsidRDefault="00E66320" w:rsidP="00E66320"/>
    <w:p w14:paraId="1F4D3967" w14:textId="77777777" w:rsidR="00E66320" w:rsidRDefault="00E66320" w:rsidP="00E66320">
      <w:r w:rsidRPr="00C34819">
        <w:t xml:space="preserve">Le Président a félicité l'équipe de l'IOMS pour l'impressionnant volume de travail accompli en 2025, soulignant que l'assistance aux utilisateurs de l'IOMS fournie par le Secrétariat s'ajoute aux nouvelles tâches de développement et de maintenance, et que ces trois activités sont tout aussi importantes les unes que les autres et se complètent mutuellement. </w:t>
      </w:r>
    </w:p>
    <w:p w14:paraId="1DF80155" w14:textId="77777777" w:rsidR="008372F8" w:rsidRPr="00C34819" w:rsidRDefault="008372F8" w:rsidP="00E66320"/>
    <w:p w14:paraId="709FE262" w14:textId="77777777" w:rsidR="00E66320" w:rsidRPr="00C34819" w:rsidRDefault="00E66320" w:rsidP="00E66320">
      <w:r w:rsidRPr="00C34819">
        <w:t xml:space="preserve">Une CPC a demandé des précisions sur la tâche de maintenance de l'IOMS, qui représente environ 40 % du temps alloué. Le Secrétariat a indiqué que cela couvre toutes les activités liées au code IOMS existant en production (correction de bogues, optimisation du code, refactorisation du code en raison des nouvelles versions des logiciels et des technologies utilisées par l’IOMS, ainsi que des améliorations mineures visant à optimiser l’expérience utilisateur) et comprend la maintenance et l’amélioration de l’infrastructure IOMS déployée (évolutivité des serveurs cloud, orchestration des services, etc.), comme ce fut le cas lors de la récente migration de l’infrastructure de l’IOMS de RACKSPACE vers AZURE (qui utilise désormais </w:t>
      </w:r>
      <w:hyperlink r:id="rId20" w:history="1">
        <w:proofErr w:type="spellStart"/>
        <w:r w:rsidRPr="00C34819">
          <w:rPr>
            <w:rStyle w:val="Hyperlink"/>
            <w:u w:val="none"/>
          </w:rPr>
          <w:t>Kubernetes</w:t>
        </w:r>
        <w:proofErr w:type="spellEnd"/>
      </w:hyperlink>
      <w:r w:rsidRPr="00C34819">
        <w:t xml:space="preserve"> pour orchestrer et automatiser les déploiements). Dans l'ensemble, l'équipe de développement de l’IOMS effectue régulièrement des tests et des refactorisations du code, comme ce fut le cas lors d'une récente mise à jour du code (refactorisé pour fonctionner avec les nouvelles versions logicielles), afin d'améliorer les temps de réponse et les performances globales de l’IOMS.</w:t>
      </w:r>
    </w:p>
    <w:p w14:paraId="40BCABC2" w14:textId="77777777" w:rsidR="00E66320" w:rsidRPr="00C34819" w:rsidRDefault="00E66320" w:rsidP="00E66320"/>
    <w:p w14:paraId="21160985" w14:textId="77777777" w:rsidR="00E66320" w:rsidRPr="00C34819" w:rsidRDefault="00E66320" w:rsidP="00E66320">
      <w:r w:rsidRPr="00C34819">
        <w:t xml:space="preserve">On a également demandé de plus amples explications concernant l'assistance aux utilisateurs de l'IOMS (30 % du temps de travail). Le Secrétariat a précisé qu'il chapeautait l'ensemble des initiatives de renforcement des capacités concernant tous les utilisateurs enregistrés dans l'IOMS (les CPC et le personnel du Secrétariat). Il existe plusieurs types de formation. Sous la forme d'ateliers intersessions organisés chaque année par le WG-ORT (participants inscrits), de demandes de formation spécifiques émanant de chaque CPC (via TEAMS ou ZOOM) et, plus récemment (depuis la 28e réunion ordinaire de la Commission, tenue au Nouveau Caire, Égypte, en 2023), de sessions de formation dédiées aux CPC (d'une à deux heures) organisées sur demande lors de la réunion annuelle de la Commission. Une assistance est également fournie par </w:t>
      </w:r>
      <w:proofErr w:type="gramStart"/>
      <w:r w:rsidRPr="00C34819">
        <w:t>e-mail</w:t>
      </w:r>
      <w:proofErr w:type="gramEnd"/>
      <w:r w:rsidRPr="00C34819">
        <w:t xml:space="preserve"> (</w:t>
      </w:r>
      <w:hyperlink r:id="rId21" w:history="1">
        <w:r w:rsidRPr="00C34819">
          <w:rPr>
            <w:rStyle w:val="Hyperlink"/>
            <w:u w:val="none"/>
          </w:rPr>
          <w:t>general@ioms.iccat.int</w:t>
        </w:r>
      </w:hyperlink>
      <w:r w:rsidRPr="00C34819">
        <w:t>) aux CPC, qui peuvent ainsi obtenir des réponses à leurs questions ou préoccupations. Par ailleurs, l'IOMS dispose également d'outils internes (un système de notification et un système d'aide dynamique) destinés à guider ses utilisateurs.</w:t>
      </w:r>
    </w:p>
    <w:p w14:paraId="6577F733" w14:textId="77777777" w:rsidR="00E66320" w:rsidRPr="00C34819" w:rsidRDefault="00E66320" w:rsidP="00E66320"/>
    <w:p w14:paraId="46534F18" w14:textId="77777777" w:rsidR="00E66320" w:rsidRPr="00C34819" w:rsidRDefault="00E66320" w:rsidP="00E66320">
      <w:r w:rsidRPr="00C34819">
        <w:t xml:space="preserve">Le WG-ORT a pris note des informations fournies ainsi que des efforts actuellement déployés par le Secrétariat pour maintenir et améliorer l'IOMS. Le Président a indiqué que les précisions demandées concernant certains modules seront fournies dans les sections correspondantes. </w:t>
      </w:r>
    </w:p>
    <w:p w14:paraId="050E3752" w14:textId="77777777" w:rsidR="00E66320" w:rsidRPr="00C34819" w:rsidRDefault="00E66320" w:rsidP="00E66320">
      <w:pPr>
        <w:rPr>
          <w:sz w:val="16"/>
          <w:szCs w:val="16"/>
        </w:rPr>
      </w:pPr>
    </w:p>
    <w:p w14:paraId="0D6CF1F9" w14:textId="77777777" w:rsidR="00E66320" w:rsidRPr="00C34819" w:rsidRDefault="00E66320" w:rsidP="00E66320">
      <w:pPr>
        <w:pStyle w:val="Heading3"/>
        <w:numPr>
          <w:ilvl w:val="0"/>
          <w:numId w:val="0"/>
        </w:numPr>
        <w:rPr>
          <w:b w:val="0"/>
          <w:bCs w:val="0"/>
          <w:spacing w:val="-2"/>
        </w:rPr>
      </w:pPr>
      <w:r w:rsidRPr="00C34819">
        <w:rPr>
          <w:b w:val="0"/>
        </w:rPr>
        <w:t>5.1.1 Module de gestionnaires de formulaires</w:t>
      </w:r>
    </w:p>
    <w:p w14:paraId="278BA53D" w14:textId="77777777" w:rsidR="00E66320" w:rsidRPr="00C34819" w:rsidRDefault="00E66320" w:rsidP="00E66320">
      <w:pPr>
        <w:rPr>
          <w:sz w:val="16"/>
          <w:szCs w:val="16"/>
        </w:rPr>
      </w:pPr>
    </w:p>
    <w:p w14:paraId="334EEF73" w14:textId="77777777" w:rsidR="00E66320" w:rsidRPr="00C34819" w:rsidRDefault="00E66320" w:rsidP="00E66320">
      <w:r w:rsidRPr="00C34819">
        <w:t>L'objectif principal du module de gestionnaire des formulaires est de centraliser et de gérer tous les formulaires électroniques standardisés de l'ICCAT de différents types (CP : application ; ST : statistiques ; TG : marquage) envoyés par les CPC à l'ICCAT, pour s'acquitter de leurs obligations en matière de déclaration. Un ou plusieurs formulaires peuvent être téléchargés simultanément. Les CPC de l’ICCAT peuvent consulter en ligne la liste de tous les formulaires soumis au fil du temps, vérifier leur statut, suivre les événements associés à chacun d'entre eux et prendre les mesures nécessaires. Chaque formulaire téléchargé a un identifiant de fil unique (dates, actions, remarques, etc.) afin de suivre les événements intermédiaires et le statut associé (rejeté, inventorié, validé, corrigé, traité, etc.) jusqu'à ce que l'information soit effectivement stockée dans les bases de données de l'ICCAT (IOMS ou le système ICCAT-DB actuel) et que le fil soit finalement clôturé. Le gestionnaire de formulaires dispose d'une base de données dédiée pour traiter toutes les informations qu'il gère.</w:t>
      </w:r>
    </w:p>
    <w:p w14:paraId="7644E3E5" w14:textId="77777777" w:rsidR="00E66320" w:rsidRPr="00C34819" w:rsidRDefault="00E66320" w:rsidP="00E66320"/>
    <w:p w14:paraId="4BE7AF38" w14:textId="77777777" w:rsidR="00E66320" w:rsidRPr="00C34819" w:rsidRDefault="00E66320" w:rsidP="00E66320">
      <w:r w:rsidRPr="00C34819">
        <w:t xml:space="preserve">Le Secrétariat a présenté un exposé donnant un aperçu de l'état d'avancement actuel du module de gestionnaire de formulaires, après sa mise en production le 1er août 2025. La présentation a décrit les principales fonctionnalités du module, notamment le processus de téléchargement des formulaires </w:t>
      </w:r>
      <w:r w:rsidRPr="00C34819">
        <w:lastRenderedPageBreak/>
        <w:t>standard, le fonctionnement des notifications, les mécanismes de validation, ainsi que la manière de suivre et de consulter l'état d'avancement d'un ou plusieurs formulaires. Les améliorations apportées au cours des six derniers mois ont également été mises en avant, notamment les perfectionnements apportés à l'interface utilisateur, les améliorations de l'outil de notification, les ajustements des règles de validation et les optimisations visant à faciliter la soumission et la vérification des données.</w:t>
      </w:r>
    </w:p>
    <w:p w14:paraId="1239C7E5" w14:textId="77777777" w:rsidR="00E66320" w:rsidRPr="00C34819" w:rsidRDefault="00E66320" w:rsidP="00E66320"/>
    <w:p w14:paraId="4DB659C8" w14:textId="77777777" w:rsidR="00E66320" w:rsidRPr="00C34819" w:rsidRDefault="00E66320" w:rsidP="00E66320">
      <w:r w:rsidRPr="00C34819">
        <w:t xml:space="preserve">Le Secrétariat a rappelé qu'à ce jour, le gestionnaire de formulaires ne prend en charge que 16 formulaires standard (10 de type ST, 3 de type CP et 3 de type TG) sur un total d'environ 65 formulaires de déclaration de données de l'ICCAT. La standardisation des formulaires est complexe (multilinguisme, codes ICCAT intégrés, instructions intégrées, etc.) et sera réalisée progressivement par le Secrétariat, puis enregistrée dans le gestionnaire de formulaires afin de permettre leur mise en ligne. </w:t>
      </w:r>
    </w:p>
    <w:p w14:paraId="679F3355" w14:textId="77777777" w:rsidR="00E66320" w:rsidRPr="00C34819" w:rsidRDefault="00E66320" w:rsidP="00E66320"/>
    <w:p w14:paraId="61813060" w14:textId="77777777" w:rsidR="00E66320" w:rsidRPr="00C34819" w:rsidRDefault="00E66320" w:rsidP="00E66320">
      <w:r w:rsidRPr="00C34819">
        <w:t>Le Secrétariat a également présenté quelques indicateurs statistiques préliminaires concernant les six premiers mois de fonctionnement du gestionnaire de formulaires (du 1er août 2025 au 3 février 2026) :</w:t>
      </w:r>
    </w:p>
    <w:p w14:paraId="3429AD51" w14:textId="77777777" w:rsidR="00E66320" w:rsidRPr="00C34819" w:rsidRDefault="00E66320" w:rsidP="00E66320"/>
    <w:p w14:paraId="3DEAB91E" w14:textId="77777777" w:rsidR="00E66320" w:rsidRPr="00C34819" w:rsidRDefault="00E66320" w:rsidP="00E66320">
      <w:pPr>
        <w:pStyle w:val="ListParagraph"/>
        <w:numPr>
          <w:ilvl w:val="0"/>
          <w:numId w:val="1"/>
        </w:numPr>
        <w:ind w:left="851" w:hanging="425"/>
      </w:pPr>
      <w:r w:rsidRPr="00C34819">
        <w:t>Au total, 653 formulaires ont été téléchargés et enregistrés (62 % acceptés, 37 % rejetés, 1 % en attente)</w:t>
      </w:r>
    </w:p>
    <w:p w14:paraId="70CC92AE" w14:textId="77777777" w:rsidR="00E66320" w:rsidRPr="00C34819" w:rsidRDefault="00E66320" w:rsidP="00E66320">
      <w:pPr>
        <w:pStyle w:val="ListParagraph"/>
        <w:numPr>
          <w:ilvl w:val="0"/>
          <w:numId w:val="1"/>
        </w:numPr>
        <w:ind w:left="851" w:hanging="425"/>
      </w:pPr>
      <w:r w:rsidRPr="00C34819">
        <w:t>16 types de formulaires différents (64 % de type CP, 35 % de type ST, 1 % de type TG)</w:t>
      </w:r>
    </w:p>
    <w:p w14:paraId="732414CB" w14:textId="77777777" w:rsidR="00E66320" w:rsidRPr="00C34819" w:rsidRDefault="00E66320" w:rsidP="00E66320">
      <w:pPr>
        <w:pStyle w:val="ListParagraph"/>
        <w:numPr>
          <w:ilvl w:val="0"/>
          <w:numId w:val="1"/>
        </w:numPr>
        <w:ind w:left="851" w:hanging="425"/>
      </w:pPr>
      <w:r w:rsidRPr="00C34819">
        <w:t>59 % (387) des formulaires CP01 (52 % acceptés, 46 % rejetés, 1 % en attente)</w:t>
      </w:r>
    </w:p>
    <w:p w14:paraId="4A3EAC0D" w14:textId="77777777" w:rsidR="00E66320" w:rsidRPr="00C34819" w:rsidRDefault="00E66320" w:rsidP="00E66320"/>
    <w:p w14:paraId="615B55BF" w14:textId="77777777" w:rsidR="00E66320" w:rsidRPr="00C34819" w:rsidRDefault="00E66320" w:rsidP="00E66320">
      <w:r w:rsidRPr="00C34819">
        <w:t>Comme prévu, le formulaire CP01 (inscriptions et autorisations des navires), traité et validé automatiquement par le nouveau module de gestionnaire des navires de l’IOMS, a été le formulaire le plus téléchargé via le gestionnaire de formulaires, avec 59 % (387) du total. Près de la moitié des formulaires CP01 ont été rejetés (46 %) selon les règles de validation (formulaires obsolètes, sections d'en-tête incomplètes, codes et formats non valides, etc.) et ont dû être modifiés avec l'aide du Secrétariat, puis téléchargés à nouveau par les CPC. Environ 35 % (230) des formulaires téléchargés via le Gestionnaire de formulaires étaient des formulaires statistiques (de type ST) dont la validation (environ 16 % ont été rejetés et révisés) est effectuée en dehors de l'IOMS par le département des statistiques, car aucun module n'existe encore. Il s'agit d'indicateurs statistiques très préliminaires, qu'il convient d'interpréter avec prudence. Étant donné que l'ICCAT reçoit chaque année plus de 5.000 formulaires de toutes sortes, des statistiques plus complètes seront établies à l'avenir, à mesure que le système IOMS progressera, dans le but d'identifier et de remédier aux faiblesses potentielles. Pour l'instant, ces indicateurs montrent qu'il reste encore du travail à accomplir pour former les utilisateurs des CPC à mieux remplir les formulaires de l'ICCAT afin de réduire au minimum le nombre de formulaires rejetés.</w:t>
      </w:r>
    </w:p>
    <w:p w14:paraId="07F5773A" w14:textId="77777777" w:rsidR="00E66320" w:rsidRPr="00C34819" w:rsidRDefault="00E66320" w:rsidP="00E66320"/>
    <w:p w14:paraId="6EEBA2B1" w14:textId="77777777" w:rsidR="00E66320" w:rsidRPr="00C34819" w:rsidRDefault="00E66320" w:rsidP="00E66320">
      <w:r w:rsidRPr="00C34819">
        <w:t xml:space="preserve">Le Secrétariat a également fait part de certaines situations particulières pouvant poser </w:t>
      </w:r>
      <w:proofErr w:type="gramStart"/>
      <w:r w:rsidRPr="00C34819">
        <w:t>problème</w:t>
      </w:r>
      <w:proofErr w:type="gramEnd"/>
      <w:r w:rsidRPr="00C34819">
        <w:t xml:space="preserve">, </w:t>
      </w:r>
      <w:proofErr w:type="gramStart"/>
      <w:r w:rsidRPr="00C34819">
        <w:t>comme par exemple</w:t>
      </w:r>
      <w:proofErr w:type="gramEnd"/>
      <w:r w:rsidRPr="00C34819">
        <w:t xml:space="preserve"> le cas où un formulaire CP01 correctement rempli est téléchargé dans le gestionnaire de formulaires (après avoir été dûment validé tant par le gestionnaire de formulaires que par le gestionnaire de navires) par un utilisateur de la CPC du pavillon avant la date limite, mais où l'approbation finale par l'administrateur de la CPC n'intervient qu'après ladite date limite. Ce retard entraîne le rejet du formulaire et oblige à recommencer toutes les étapes du processus de téléchargement. Pour l'instant, ces cas, bien que rares mais problématiques, sont traités directement avec les CPC concernées.</w:t>
      </w:r>
    </w:p>
    <w:p w14:paraId="60CD4A19" w14:textId="77777777" w:rsidR="00E66320" w:rsidRPr="00C34819" w:rsidRDefault="00E66320" w:rsidP="00E66320"/>
    <w:p w14:paraId="3EA08D34" w14:textId="77777777" w:rsidR="00E66320" w:rsidRPr="00C34819" w:rsidRDefault="00E66320" w:rsidP="00E66320">
      <w:r w:rsidRPr="00C34819">
        <w:t xml:space="preserve">Le Secrétariat a également fait part des travaux en cours visant à améliorer le processus de communication et de stockage des messages dans le Gestionnaire de formulaires tout au long du cycle de vie de chaque formulaire. Pour y remédier, le système de notification de l’IOMS est configuré pour détecter les événements liés à une modification d'un formulaire et générer des notifications auxquelles les utilisateurs de l'IOMS peuvent accéder et qu'ils peuvent consulter à tout moment lorsqu'ils naviguent entre les événements du formulaire. Par ailleurs, chaque utilisateur recevra des notifications en temps réel par </w:t>
      </w:r>
      <w:proofErr w:type="gramStart"/>
      <w:r w:rsidRPr="00C34819">
        <w:t>e-mail</w:t>
      </w:r>
      <w:proofErr w:type="gramEnd"/>
      <w:r w:rsidRPr="00C34819">
        <w:t xml:space="preserve"> (contenant des liens vers l'emplacement exact de l'événement dans le système IOMS) chaque fois que des modifications seront apportées aux formulaires auxquels il est souscrit. Cette fonctionnalité, qui est mise en place progressivement, vise à automatiser et à simplifier le suivi de tous les formulaires transmis à l’ICCAT ainsi que les échanges entre les utilisateurs des CPC et le Secrétariat. Une simple démonstration des notifications en temps réel concernant la mise à jour du statut d'un formulaire a été présentée.</w:t>
      </w:r>
    </w:p>
    <w:p w14:paraId="3055E1DA" w14:textId="77777777" w:rsidR="00E66320" w:rsidRPr="00C34819" w:rsidRDefault="00E66320" w:rsidP="00E66320"/>
    <w:p w14:paraId="69C6397E" w14:textId="77777777" w:rsidR="00E66320" w:rsidRPr="00C34819" w:rsidRDefault="00E66320" w:rsidP="00E66320">
      <w:pPr>
        <w:pBdr>
          <w:top w:val="none" w:sz="0" w:space="0" w:color="auto"/>
          <w:left w:val="none" w:sz="0" w:space="0" w:color="auto"/>
          <w:bottom w:val="none" w:sz="0" w:space="0" w:color="auto"/>
          <w:right w:val="none" w:sz="0" w:space="0" w:color="auto"/>
          <w:between w:val="none" w:sz="0" w:space="0" w:color="auto"/>
        </w:pBdr>
      </w:pPr>
      <w:r w:rsidRPr="00C34819">
        <w:t xml:space="preserve">Le Président a félicité l'équipe de l'IOMS pour les résultats obtenus en ce qui concerne le module de gestionnaire de formulaires. Le Groupe a demandé plusieurs précisions. Tout d'abord, il a été demandé au Secrétariat de confirmer si le gestionnaire des formulaires devait traiter l'ensemble des formulaires de l'ICCAT liés à plus de 180 exigences et comment le faire. Le Secrétariat a répondu par l'affirmative, tout en </w:t>
      </w:r>
      <w:r w:rsidRPr="00C34819">
        <w:lastRenderedPageBreak/>
        <w:t>précisant que ce processus serait mené de manière cohérente au fil du temps. Plus de 60 formulaires, dont seulement 16 sont standardisés et enregistrés dans le gestionnaire de formulaires, couvrent la majorité des 180 exigences en matière de données. Il n'existe pas de relation univoque (un-à-un) entre les formulaires et les exigences, et dans de nombreux cas, un même formulaire (par exemple le CP01) peut répondre à plusieurs exigences. Une petite partie des exigences pour lesquelles il existe des modèles libres (par exemple, les documents scientifiques SCRS) ne devrait pas être intégrée dans l'IOMS.</w:t>
      </w:r>
    </w:p>
    <w:p w14:paraId="749873AE" w14:textId="77777777" w:rsidR="00E66320" w:rsidRPr="00C34819" w:rsidRDefault="00E66320" w:rsidP="00E66320">
      <w:pPr>
        <w:pBdr>
          <w:top w:val="none" w:sz="0" w:space="0" w:color="auto"/>
          <w:left w:val="none" w:sz="0" w:space="0" w:color="auto"/>
          <w:bottom w:val="none" w:sz="0" w:space="0" w:color="auto"/>
          <w:right w:val="none" w:sz="0" w:space="0" w:color="auto"/>
          <w:between w:val="none" w:sz="0" w:space="0" w:color="auto"/>
        </w:pBdr>
      </w:pPr>
    </w:p>
    <w:p w14:paraId="179AE368" w14:textId="77777777" w:rsidR="00E66320" w:rsidRPr="00C34819" w:rsidRDefault="00E66320" w:rsidP="00E66320">
      <w:pPr>
        <w:pBdr>
          <w:top w:val="none" w:sz="0" w:space="0" w:color="auto"/>
          <w:left w:val="none" w:sz="0" w:space="0" w:color="auto"/>
          <w:bottom w:val="none" w:sz="0" w:space="0" w:color="auto"/>
          <w:right w:val="none" w:sz="0" w:space="0" w:color="auto"/>
          <w:between w:val="none" w:sz="0" w:space="0" w:color="auto"/>
        </w:pBdr>
      </w:pPr>
      <w:r w:rsidRPr="00C34819">
        <w:t xml:space="preserve">Une explication détaillée du processus de validation du gestionnaire de formulaires, et plus particulièrement du fonctionnement des procédures automatiques et manuelles, a également été demandée. Le Secrétariat a signalé que l'IOMS et le système de base de données actuel (ICCAT-DB), géré dans l'intranet de l'ICCAT, disposent déjà d'un large éventail d'outils de validation des données, mais que tous ne sont pas entièrement automatisés et optimisés. L'IOMS vise à automatiser et à optimiser la plus grande partie de tous les processus de validation des données derrière les soumissions de données, en développant des outils plus élaborés et plus avancés. Pour mieux comprendre cela, il convient de se référer à la liste schématique des événements et aux processus de validation décrits l'année dernière. La validation de chaque formulaire soumis par l'intermédiaire du gestionnaire de formulaires et traité par le module cible (le module qui prend en charge les informations arrivant dans ce type de formulaire spécifique), s'il existe, implique les événements suivants : </w:t>
      </w:r>
    </w:p>
    <w:p w14:paraId="2C12D6BD" w14:textId="77777777" w:rsidR="00E66320" w:rsidRPr="00C34819" w:rsidRDefault="00E66320" w:rsidP="00E66320">
      <w:pPr>
        <w:pBdr>
          <w:top w:val="none" w:sz="0" w:space="0" w:color="auto"/>
          <w:left w:val="none" w:sz="0" w:space="0" w:color="auto"/>
          <w:bottom w:val="none" w:sz="0" w:space="0" w:color="auto"/>
          <w:right w:val="none" w:sz="0" w:space="0" w:color="auto"/>
          <w:between w:val="none" w:sz="0" w:space="0" w:color="auto"/>
        </w:pBdr>
      </w:pPr>
    </w:p>
    <w:p w14:paraId="69C4CED9" w14:textId="77777777" w:rsidR="00E66320" w:rsidRPr="00C34819" w:rsidRDefault="00E66320" w:rsidP="00E66320">
      <w:pPr>
        <w:pStyle w:val="ListParagraph"/>
        <w:numPr>
          <w:ilvl w:val="0"/>
          <w:numId w:val="7"/>
        </w:numPr>
        <w:ind w:left="851" w:hanging="425"/>
      </w:pPr>
      <w:r w:rsidRPr="00C34819">
        <w:t>Le gestionnaire de formulaires effectue une validation de base (automatique</w:t>
      </w:r>
      <w:proofErr w:type="gramStart"/>
      <w:r w:rsidRPr="00C34819">
        <w:t>):</w:t>
      </w:r>
      <w:proofErr w:type="gramEnd"/>
    </w:p>
    <w:p w14:paraId="3E4051E5" w14:textId="77777777" w:rsidR="00E66320" w:rsidRPr="00C34819" w:rsidRDefault="00E66320" w:rsidP="00E66320">
      <w:pPr>
        <w:pStyle w:val="ListParagraph"/>
        <w:ind w:left="851"/>
      </w:pPr>
    </w:p>
    <w:p w14:paraId="449289B8" w14:textId="77777777" w:rsidR="00E66320" w:rsidRPr="00C34819" w:rsidRDefault="00E66320" w:rsidP="00E66320">
      <w:pPr>
        <w:pStyle w:val="ListParagraph"/>
        <w:numPr>
          <w:ilvl w:val="0"/>
          <w:numId w:val="8"/>
        </w:numPr>
        <w:ind w:left="1276" w:hanging="425"/>
      </w:pPr>
      <w:r w:rsidRPr="00C34819">
        <w:t>En vérifiant si le formulaire est enregistré et si la dernière version a été utilisée</w:t>
      </w:r>
    </w:p>
    <w:p w14:paraId="44BA3548" w14:textId="77777777" w:rsidR="00E66320" w:rsidRPr="00C34819" w:rsidRDefault="00E66320" w:rsidP="00E66320">
      <w:pPr>
        <w:pStyle w:val="ListParagraph"/>
        <w:numPr>
          <w:ilvl w:val="0"/>
          <w:numId w:val="8"/>
        </w:numPr>
        <w:ind w:left="1276" w:hanging="425"/>
      </w:pPr>
      <w:r w:rsidRPr="00C34819">
        <w:t>En vérifiant si tous les champs de l'en-tête du formulaire ont été remplis</w:t>
      </w:r>
    </w:p>
    <w:p w14:paraId="369AD20A" w14:textId="18F5332A" w:rsidR="00E66320" w:rsidRPr="00C34819" w:rsidRDefault="008372F8" w:rsidP="00E66320">
      <w:pPr>
        <w:pStyle w:val="ListParagraph"/>
        <w:numPr>
          <w:ilvl w:val="0"/>
          <w:numId w:val="8"/>
        </w:numPr>
        <w:ind w:left="1276" w:hanging="425"/>
      </w:pPr>
      <w:r w:rsidRPr="00C34819">
        <w:t>En</w:t>
      </w:r>
      <w:r w:rsidR="00E66320" w:rsidRPr="00C34819">
        <w:t xml:space="preserve"> vérifiant la cohérence de tous les champs remplis (chaque formulaire a ses propres contrôles de validité),</w:t>
      </w:r>
    </w:p>
    <w:p w14:paraId="6C789D07" w14:textId="71CF2DDC" w:rsidR="00E66320" w:rsidRPr="00C34819" w:rsidRDefault="008372F8" w:rsidP="00E66320">
      <w:pPr>
        <w:pStyle w:val="ListParagraph"/>
        <w:numPr>
          <w:ilvl w:val="0"/>
          <w:numId w:val="8"/>
        </w:numPr>
        <w:ind w:left="1276" w:hanging="425"/>
      </w:pPr>
      <w:r w:rsidRPr="00C34819">
        <w:t>En</w:t>
      </w:r>
      <w:r w:rsidR="00E66320" w:rsidRPr="00C34819">
        <w:t xml:space="preserve"> identifiant le module cible qui gère les détails du formulaire (section détaillée). </w:t>
      </w:r>
    </w:p>
    <w:p w14:paraId="6A2CF5C0" w14:textId="77777777" w:rsidR="00E66320" w:rsidRPr="00C34819" w:rsidRDefault="00E66320" w:rsidP="00E66320">
      <w:pPr>
        <w:pStyle w:val="ListParagraph"/>
        <w:ind w:left="1276"/>
      </w:pPr>
    </w:p>
    <w:p w14:paraId="59DCA948" w14:textId="77777777" w:rsidR="00E66320" w:rsidRPr="00C34819" w:rsidRDefault="00E66320" w:rsidP="00E66320">
      <w:pPr>
        <w:pStyle w:val="ListParagraph"/>
        <w:numPr>
          <w:ilvl w:val="0"/>
          <w:numId w:val="7"/>
        </w:numPr>
        <w:ind w:left="851" w:hanging="425"/>
      </w:pPr>
      <w:r w:rsidRPr="00C34819">
        <w:t>Si un module cible existe (communication bidirectionnelle) :</w:t>
      </w:r>
    </w:p>
    <w:p w14:paraId="01570388" w14:textId="77777777" w:rsidR="00E66320" w:rsidRPr="00C34819" w:rsidRDefault="00E66320" w:rsidP="00E66320">
      <w:pPr>
        <w:pStyle w:val="ListParagraph"/>
        <w:ind w:left="851"/>
      </w:pPr>
    </w:p>
    <w:p w14:paraId="022F19C1" w14:textId="77777777" w:rsidR="00E66320" w:rsidRPr="00C34819" w:rsidRDefault="00E66320" w:rsidP="00E66320">
      <w:pPr>
        <w:pStyle w:val="ListParagraph"/>
        <w:numPr>
          <w:ilvl w:val="0"/>
          <w:numId w:val="8"/>
        </w:numPr>
        <w:ind w:left="1276" w:hanging="425"/>
      </w:pPr>
      <w:r w:rsidRPr="00C34819">
        <w:t xml:space="preserve">Il lui transfère les processus de validation de niveau supérieur (automatique), à </w:t>
      </w:r>
      <w:proofErr w:type="gramStart"/>
      <w:r w:rsidRPr="00C34819">
        <w:t>savoir:</w:t>
      </w:r>
      <w:proofErr w:type="gramEnd"/>
    </w:p>
    <w:p w14:paraId="63FBAE12" w14:textId="77777777" w:rsidR="00E66320" w:rsidRPr="00C34819" w:rsidRDefault="00E66320" w:rsidP="00E66320">
      <w:pPr>
        <w:pStyle w:val="ListParagraph"/>
        <w:ind w:left="1276"/>
      </w:pPr>
    </w:p>
    <w:p w14:paraId="4951CD47" w14:textId="77777777" w:rsidR="00E66320" w:rsidRPr="008372F8" w:rsidRDefault="00E66320" w:rsidP="00E66320">
      <w:pPr>
        <w:pStyle w:val="ListParagraph"/>
        <w:numPr>
          <w:ilvl w:val="0"/>
          <w:numId w:val="40"/>
        </w:numPr>
        <w:ind w:left="1701" w:hanging="425"/>
      </w:pPr>
      <w:r w:rsidRPr="00C34819">
        <w:t>Critères de validation</w:t>
      </w:r>
      <w:r w:rsidRPr="008372F8">
        <w:t xml:space="preserve"> basés sur les registres (syntaxe, sémantique, logique commerciale)</w:t>
      </w:r>
    </w:p>
    <w:p w14:paraId="623CFB20" w14:textId="77777777" w:rsidR="00E66320" w:rsidRPr="00C34819" w:rsidRDefault="00E66320" w:rsidP="00E66320">
      <w:pPr>
        <w:pStyle w:val="ListParagraph"/>
        <w:numPr>
          <w:ilvl w:val="0"/>
          <w:numId w:val="40"/>
        </w:numPr>
        <w:ind w:left="1701" w:hanging="425"/>
      </w:pPr>
      <w:r w:rsidRPr="008372F8">
        <w:t>Contrôles de cohérence entre les champs basés sur les registres (pa</w:t>
      </w:r>
      <w:r w:rsidRPr="00C34819">
        <w:t>r exemple, corrélation entre les caractéristiques)</w:t>
      </w:r>
    </w:p>
    <w:p w14:paraId="587AEEC3" w14:textId="77777777" w:rsidR="00E66320" w:rsidRPr="00C34819" w:rsidRDefault="00E66320" w:rsidP="00E66320">
      <w:pPr>
        <w:pStyle w:val="ListParagraph"/>
        <w:ind w:left="1701"/>
      </w:pPr>
    </w:p>
    <w:p w14:paraId="7F269D81" w14:textId="77777777" w:rsidR="00E66320" w:rsidRPr="00C34819" w:rsidRDefault="00E66320" w:rsidP="00E66320">
      <w:pPr>
        <w:pStyle w:val="ListParagraph"/>
        <w:numPr>
          <w:ilvl w:val="0"/>
          <w:numId w:val="8"/>
        </w:numPr>
        <w:ind w:left="1276" w:hanging="425"/>
      </w:pPr>
      <w:r w:rsidRPr="00C34819">
        <w:t>Le module cible traite et stocke les informations, ce qui permet :</w:t>
      </w:r>
    </w:p>
    <w:p w14:paraId="077568EF" w14:textId="77777777" w:rsidR="00E66320" w:rsidRPr="00C34819" w:rsidRDefault="00E66320" w:rsidP="00E66320">
      <w:pPr>
        <w:pStyle w:val="ListParagraph"/>
        <w:ind w:left="1276"/>
      </w:pPr>
    </w:p>
    <w:p w14:paraId="3E475119" w14:textId="77777777" w:rsidR="00E66320" w:rsidRPr="00C34819" w:rsidRDefault="00E66320" w:rsidP="00E66320">
      <w:pPr>
        <w:pStyle w:val="ListParagraph"/>
        <w:numPr>
          <w:ilvl w:val="0"/>
          <w:numId w:val="40"/>
        </w:numPr>
        <w:ind w:left="1701" w:hanging="425"/>
      </w:pPr>
      <w:r w:rsidRPr="00C34819">
        <w:t>D’être prêt pour des analyses statistiques avancées, en interne ou à l'aide d'outils externes (analyses exploratoires et exploration de données), et enfin,</w:t>
      </w:r>
    </w:p>
    <w:p w14:paraId="50FEEF5E" w14:textId="77777777" w:rsidR="00E66320" w:rsidRPr="00C34819" w:rsidRDefault="00E66320" w:rsidP="00E66320">
      <w:pPr>
        <w:pStyle w:val="ListParagraph"/>
        <w:ind w:left="1701"/>
      </w:pPr>
    </w:p>
    <w:p w14:paraId="5F31C755" w14:textId="77777777" w:rsidR="00E66320" w:rsidRPr="00C34819" w:rsidRDefault="00E66320" w:rsidP="00E66320">
      <w:pPr>
        <w:pStyle w:val="ListParagraph"/>
        <w:numPr>
          <w:ilvl w:val="0"/>
          <w:numId w:val="8"/>
        </w:numPr>
        <w:ind w:left="1276" w:hanging="425"/>
      </w:pPr>
      <w:r w:rsidRPr="00C34819">
        <w:t>Le module cible informe le gestionnaire de formulaires des résultats de la modification de l'état du formulaire.</w:t>
      </w:r>
    </w:p>
    <w:p w14:paraId="13B8EE16" w14:textId="77777777" w:rsidR="00E66320" w:rsidRPr="00C34819" w:rsidRDefault="00E66320" w:rsidP="00E66320">
      <w:pPr>
        <w:pStyle w:val="ListParagraph"/>
        <w:ind w:left="1276"/>
        <w:rPr>
          <w:sz w:val="8"/>
          <w:szCs w:val="8"/>
        </w:rPr>
      </w:pPr>
    </w:p>
    <w:p w14:paraId="38926C2D" w14:textId="77777777" w:rsidR="00E66320" w:rsidRPr="00C34819" w:rsidRDefault="00E66320" w:rsidP="00E66320">
      <w:pPr>
        <w:pStyle w:val="ListParagraph"/>
        <w:numPr>
          <w:ilvl w:val="0"/>
          <w:numId w:val="7"/>
        </w:numPr>
        <w:ind w:left="851" w:hanging="425"/>
      </w:pPr>
      <w:r w:rsidRPr="00C34819">
        <w:t>Sinon (module IOMS pas encore développé) :</w:t>
      </w:r>
    </w:p>
    <w:p w14:paraId="644CDE4D" w14:textId="77777777" w:rsidR="00E66320" w:rsidRPr="00C34819" w:rsidRDefault="00E66320" w:rsidP="00E66320">
      <w:pPr>
        <w:pStyle w:val="ListParagraph"/>
        <w:ind w:left="851"/>
      </w:pPr>
    </w:p>
    <w:p w14:paraId="73F915A6" w14:textId="77777777" w:rsidR="00E66320" w:rsidRPr="00C34819" w:rsidRDefault="00E66320" w:rsidP="00E66320">
      <w:pPr>
        <w:pStyle w:val="ListParagraph"/>
        <w:numPr>
          <w:ilvl w:val="0"/>
          <w:numId w:val="8"/>
        </w:numPr>
        <w:ind w:left="1276" w:hanging="425"/>
      </w:pPr>
      <w:r w:rsidRPr="00C34819">
        <w:t>Le travail de validation est effectué par le Secrétariat en utilisant ICCAT-DB (en dehors de l'IOMS).</w:t>
      </w:r>
    </w:p>
    <w:p w14:paraId="35C06DCD" w14:textId="77777777" w:rsidR="00E66320" w:rsidRPr="00C34819" w:rsidRDefault="00E66320" w:rsidP="00E66320">
      <w:pPr>
        <w:pStyle w:val="ListParagraph"/>
        <w:numPr>
          <w:ilvl w:val="0"/>
          <w:numId w:val="8"/>
        </w:numPr>
        <w:ind w:left="1276" w:hanging="425"/>
      </w:pPr>
      <w:r w:rsidRPr="00C34819">
        <w:t>Si un outil spécifique existe, les formulaires sont automatiquement validés (c'est le cas de tous les formulaires de type ST) et les informations sont enregistrées dans la base de données ICCAT-DB.</w:t>
      </w:r>
    </w:p>
    <w:p w14:paraId="32412BEA" w14:textId="77777777" w:rsidR="00E66320" w:rsidRPr="00C34819" w:rsidRDefault="00E66320" w:rsidP="00E66320">
      <w:pPr>
        <w:pStyle w:val="ListParagraph"/>
        <w:numPr>
          <w:ilvl w:val="0"/>
          <w:numId w:val="8"/>
        </w:numPr>
        <w:ind w:left="1276" w:hanging="425"/>
      </w:pPr>
      <w:r w:rsidRPr="00C34819">
        <w:t>Sinon, les formulaires sont validés manuellement et les informations sont enregistrées dans la base de données ICCAT-DB.</w:t>
      </w:r>
    </w:p>
    <w:p w14:paraId="093E6CB4" w14:textId="77777777" w:rsidR="00E66320" w:rsidRPr="00C34819" w:rsidRDefault="00E66320" w:rsidP="00E66320">
      <w:pPr>
        <w:pStyle w:val="ListParagraph"/>
        <w:ind w:left="1276"/>
      </w:pPr>
    </w:p>
    <w:p w14:paraId="3ADCEDD0" w14:textId="026817E0" w:rsidR="00E66320" w:rsidRDefault="00E66320" w:rsidP="00E66320">
      <w:r w:rsidRPr="00C34819">
        <w:t xml:space="preserve">Le WG-ORT a pris note des progrès réalisés dans le développement et le perfectionnement du module de gestionnaire de formulaires et a encouragé la poursuite des améliorations en tenant compte des commentaires des utilisateurs et de l'évolution des exigences en matière de déclaration. Plusieurs suggestions ont été formulées afin d'améliorer encore la convivialité, l'efficacité et la clarté des instructions. La plupart visaient à garantir la transparence et la facilité d'utilisation pour les utilisateurs de l'IOMS. Le </w:t>
      </w:r>
      <w:r w:rsidRPr="00C34819">
        <w:lastRenderedPageBreak/>
        <w:t xml:space="preserve">Secrétariat a salué ces orientations et s'est engagé à étudier les moyens d'améliorer l'IOMS en s'appuyant sur ces lignes directrices. </w:t>
      </w:r>
    </w:p>
    <w:p w14:paraId="3D8D0E19" w14:textId="77777777" w:rsidR="004528BD" w:rsidRPr="00C34819" w:rsidRDefault="004528BD" w:rsidP="00E66320">
      <w:pPr>
        <w:rPr>
          <w:rFonts w:asciiTheme="minorHAnsi" w:hAnsiTheme="minorHAnsi"/>
          <w:bCs/>
          <w:i/>
          <w:iCs/>
        </w:rPr>
      </w:pPr>
    </w:p>
    <w:p w14:paraId="489C15C9" w14:textId="77777777" w:rsidR="00E66320" w:rsidRPr="00C34819" w:rsidRDefault="00E66320" w:rsidP="00E66320">
      <w:pPr>
        <w:pStyle w:val="Heading3"/>
        <w:numPr>
          <w:ilvl w:val="0"/>
          <w:numId w:val="0"/>
        </w:numPr>
        <w:rPr>
          <w:b w:val="0"/>
          <w:bCs w:val="0"/>
        </w:rPr>
      </w:pPr>
      <w:r w:rsidRPr="00C34819">
        <w:rPr>
          <w:b w:val="0"/>
        </w:rPr>
        <w:t>5.1.2 Module de gestionnaires de navires (incluant FLUX)</w:t>
      </w:r>
    </w:p>
    <w:p w14:paraId="26FC95F7" w14:textId="77777777" w:rsidR="00E66320" w:rsidRPr="00C34819" w:rsidRDefault="00E66320" w:rsidP="00E66320"/>
    <w:p w14:paraId="4311E552" w14:textId="77777777" w:rsidR="00E66320" w:rsidRPr="00C34819" w:rsidRDefault="00E66320" w:rsidP="00E66320">
      <w:r w:rsidRPr="00C34819">
        <w:t xml:space="preserve">Le module de gestionnaire de navires de l’IOMS est un module complexe, incorporant de nombreuses fonctionnalités visant à traiter toutes les informations relatives aux navires soumises à l’ICCAT sur la base des diverses Recommandations (détails dans les </w:t>
      </w:r>
      <w:hyperlink r:id="rId22" w:history="1">
        <w:r w:rsidRPr="00C34819">
          <w:rPr>
            <w:rStyle w:val="Hyperlink"/>
            <w:i/>
            <w:iCs/>
            <w:u w:val="none"/>
          </w:rPr>
          <w:t>Directives pour la transmission des données et des informations requises par l’ICCAT</w:t>
        </w:r>
      </w:hyperlink>
      <w:r w:rsidRPr="00C34819">
        <w:rPr>
          <w:rStyle w:val="Hyperlink"/>
          <w:color w:val="auto"/>
          <w:u w:val="none"/>
        </w:rPr>
        <w:t>).</w:t>
      </w:r>
      <w:r w:rsidRPr="00C34819">
        <w:t xml:space="preserve"> Ils comprennent trois ensembles principaux de fonctionnalités intégrés dans les sous-modules correspondants :</w:t>
      </w:r>
    </w:p>
    <w:p w14:paraId="2097444C" w14:textId="77777777" w:rsidR="00E66320" w:rsidRPr="00C34819" w:rsidRDefault="00E66320" w:rsidP="00E66320">
      <w:pPr>
        <w:rPr>
          <w:sz w:val="16"/>
          <w:szCs w:val="16"/>
        </w:rPr>
      </w:pPr>
    </w:p>
    <w:p w14:paraId="6623D25A" w14:textId="77777777" w:rsidR="00E66320" w:rsidRPr="00C34819" w:rsidRDefault="00E66320" w:rsidP="00E66320">
      <w:pPr>
        <w:ind w:left="851" w:hanging="425"/>
      </w:pPr>
      <w:r w:rsidRPr="00C34819">
        <w:t xml:space="preserve">a) </w:t>
      </w:r>
      <w:r w:rsidRPr="00C34819">
        <w:tab/>
        <w:t xml:space="preserve">Gestionnaire de l'enregistrement et de l'autorisation des navires (formulaire </w:t>
      </w:r>
      <w:hyperlink r:id="rId23" w:history="1">
        <w:r w:rsidRPr="00C34819">
          <w:rPr>
            <w:rStyle w:val="Hyperlink"/>
            <w:u w:val="none"/>
          </w:rPr>
          <w:t>CP01-VessLst</w:t>
        </w:r>
      </w:hyperlink>
      <w:r w:rsidRPr="00C34819">
        <w:t xml:space="preserve">) </w:t>
      </w:r>
    </w:p>
    <w:p w14:paraId="0749B020" w14:textId="77777777" w:rsidR="00E66320" w:rsidRPr="00C34819" w:rsidRDefault="00E66320" w:rsidP="00E66320">
      <w:pPr>
        <w:ind w:left="851" w:hanging="425"/>
      </w:pPr>
      <w:r w:rsidRPr="00C34819">
        <w:t xml:space="preserve">b) </w:t>
      </w:r>
      <w:r w:rsidRPr="00C34819">
        <w:tab/>
        <w:t xml:space="preserve">Gestionnaire des autorisations de transbordement (formulaire </w:t>
      </w:r>
      <w:hyperlink r:id="rId24" w:history="1">
        <w:r w:rsidRPr="00C34819">
          <w:rPr>
            <w:rStyle w:val="Hyperlink"/>
            <w:u w:val="none"/>
          </w:rPr>
          <w:t>CP46</w:t>
        </w:r>
        <w:r w:rsidRPr="00C34819">
          <w:rPr>
            <w:rStyle w:val="Hyperlink"/>
            <w:u w:val="none"/>
          </w:rPr>
          <w:noBreakHyphen/>
          <w:t>VessTran</w:t>
        </w:r>
      </w:hyperlink>
      <w:r w:rsidRPr="00C34819">
        <w:t xml:space="preserve">) </w:t>
      </w:r>
    </w:p>
    <w:p w14:paraId="30F65E8B" w14:textId="77777777" w:rsidR="00E66320" w:rsidRPr="00C34819" w:rsidRDefault="00E66320" w:rsidP="00E66320">
      <w:pPr>
        <w:ind w:left="851" w:hanging="425"/>
      </w:pPr>
      <w:r w:rsidRPr="00C34819">
        <w:t xml:space="preserve">c) </w:t>
      </w:r>
      <w:r w:rsidRPr="00C34819">
        <w:tab/>
        <w:t>Gestionnaire des accords d'affrètement (formulaire</w:t>
      </w:r>
      <w:hyperlink r:id="rId25" w:history="1">
        <w:r w:rsidRPr="00C34819">
          <w:rPr>
            <w:rStyle w:val="Hyperlink"/>
            <w:u w:val="none"/>
          </w:rPr>
          <w:t>CP53-ChartrCP_FS</w:t>
        </w:r>
      </w:hyperlink>
      <w:r w:rsidRPr="00C34819">
        <w:t xml:space="preserve">) </w:t>
      </w:r>
    </w:p>
    <w:p w14:paraId="7695C6B2" w14:textId="77777777" w:rsidR="00E66320" w:rsidRPr="00C34819" w:rsidRDefault="00E66320" w:rsidP="00E66320">
      <w:pPr>
        <w:rPr>
          <w:sz w:val="16"/>
          <w:szCs w:val="16"/>
        </w:rPr>
      </w:pPr>
    </w:p>
    <w:p w14:paraId="6AF49073" w14:textId="77777777" w:rsidR="00E66320" w:rsidRPr="00C34819" w:rsidRDefault="00E66320" w:rsidP="00E66320">
      <w:r w:rsidRPr="00C34819">
        <w:t>Les trois sous-modules de gestionnaire des navires peuvent être complétés en ligne (modification directe : ajouter, modifier, supprimer) et hors ligne (remplir les formulaires en dehors de l'IOMS et enfin les télécharger dans l’IOMS). Le sous-module « enregistrement et autorisations des navires » (a) permettra un échange automatique de données (au format UN/FLUX) en temps réel et avec une intervention humaine minimale (échange de données de machine à machine).</w:t>
      </w:r>
    </w:p>
    <w:p w14:paraId="43567A4C" w14:textId="77777777" w:rsidR="00E66320" w:rsidRPr="00C34819" w:rsidRDefault="00E66320" w:rsidP="00E66320">
      <w:pPr>
        <w:rPr>
          <w:sz w:val="16"/>
          <w:szCs w:val="16"/>
        </w:rPr>
      </w:pPr>
    </w:p>
    <w:p w14:paraId="679E8C73" w14:textId="77777777" w:rsidR="00E66320" w:rsidRPr="00C34819" w:rsidRDefault="00E66320" w:rsidP="00E66320">
      <w:r w:rsidRPr="00C34819">
        <w:t>Le Secrétariat a présenté un exposé décrivant l'état d'avancement actuel du module de gestionnaire des navires. Comme prévu, le module de gestionnaires de navires a été mis en production le 1er août 2025 (en parallèle avec le module de gestionnaire de formulaires) et fonctionne depuis sans interruption. Comme prévu, toutes les informations relatives aux navires (immatriculations, autorisations, contrats d'affrètement, autorisations de transbordement) qui étaient conservées et mises à jour dans l'ancien système ICCAT-DB ont été entièrement transférées vers l'IOMS, qui contient l'historique complet de ces données depuis 2014. De nombreuses erreurs (principalement des doublons de navires) et incohérences ont été corrigées avant le processus de migration complet. Pour récupérer les données des années antérieures, à savoir depuis 2008, date à laquelle l’ICCAT a officiellement mis en place la liste positive, il faudra procéder à une reconstitution complexe des données et à un travail de standardisation approprié (des centaines de fichiers à traiter et à harmoniser) avant que ces données historiques sur les navires puissent être intégrées dans l'IOMS. Le Secrétariat a également présenté les principales fonctionnalités du module, notamment la procédure de téléchargement des formulaires standard contenant les données relatives aux navires (CP01, CP46 et CP53), le fonctionnement des notifications, les mécanismes de validation, ainsi que la manière de suivre et de consulter l'état d'avancement de la déclaration d'un ou plusieurs formulaires.</w:t>
      </w:r>
    </w:p>
    <w:p w14:paraId="487F059F" w14:textId="77777777" w:rsidR="00E66320" w:rsidRPr="00C34819" w:rsidRDefault="00E66320" w:rsidP="00E66320"/>
    <w:p w14:paraId="4C07898A" w14:textId="77777777" w:rsidR="00E66320" w:rsidRDefault="00E66320" w:rsidP="00E66320">
      <w:r w:rsidRPr="00C34819">
        <w:t>Le Secrétariat a indiqué que le module de gestionnaire des navires, actuellement en production, fonctionne sans le système UN/FLUX. L'équipe de l’IOMS a développé le code source IOMS afin de traiter les messages XML reçus conformément aux règles métier définies pour les deux domaines (voir les détails dans les deux documents de mise en œuvre), y compris certaines règles récemment ajoutées. Pour aller plus loin sur ce sujet, il convient de mener à bien la dernière phase de tests approfondis UN/FLUX (qui peut inclure des mises à jour des règles commerciales et d'éventuelles modifications du code) avant que cette fonctionnalité ne soit mise en production. Cette tâche doit être menée conjointement avec l'Union européenne (UE) en s'appuyant sur les données relatives aux navires fournies par les États membres de l'UE.</w:t>
      </w:r>
    </w:p>
    <w:p w14:paraId="4C738CB9" w14:textId="77777777" w:rsidR="004528BD" w:rsidRPr="00C34819" w:rsidRDefault="004528BD" w:rsidP="00E66320"/>
    <w:p w14:paraId="583458BC" w14:textId="77777777" w:rsidR="00E66320" w:rsidRPr="00C34819" w:rsidRDefault="00E66320" w:rsidP="00E66320">
      <w:r w:rsidRPr="00C34819">
        <w:t xml:space="preserve">Le Secrétariat a indiqué que, comme prévu, les trois premiers mois de mise en production du module de gestionnaire de navires (phase d’essai prévue, durant laquelle toute l’assistance nécessaire a été fournie aux utilisateurs des CPC avant que la transmission des données sur les navires via l’IOMS ne devienne obligatoire et ne constitue le seul moyen de soumettre ces données, à compter du 1er novembre 2025) se sont avérés complexes et chronophages pour l’équipe de l’IOMS et le Secrétariat, ceux-ci ayant dû répondre à un grand nombre de demandes d’assistance émanant des utilisateurs des CPC concernant le téléchargement des formulaires relatifs aux navires.  Parallèlement, de nombreuses petites erreurs ont également été corrigées. Les améliorations apportées au cours des six derniers mois s'appuient sur les enseignements tirés de cette période. Il s'agit notamment d'améliorations apportées à l'interface utilisateur, d'optimisations de l'outil de notification, de corrections et d'harmonisation des données, ainsi que d'une amélioration des performances. Depuis la mise en service du module de gestionnaire de navires, les données relatives aux navires disponibles dans l'IOMS sont publiées en temps réel et de manière dynamique via les services web de l'IOMS (interfaces de programmation d'applications (API) REST) sur le site web de l'ICCAT </w:t>
      </w:r>
      <w:r w:rsidRPr="00C34819">
        <w:lastRenderedPageBreak/>
        <w:t>(</w:t>
      </w:r>
      <w:hyperlink r:id="rId26" w:history="1">
        <w:r w:rsidRPr="00C34819">
          <w:rPr>
            <w:rStyle w:val="Hyperlink"/>
            <w:u w:val="none"/>
          </w:rPr>
          <w:t>Registre des navires de l'ICCAT</w:t>
        </w:r>
      </w:hyperlink>
      <w:r w:rsidRPr="00C34819">
        <w:t xml:space="preserve"> </w:t>
      </w:r>
      <w:hyperlink r:id="rId27" w:history="1"/>
      <w:r w:rsidRPr="00C34819">
        <w:t>). Plusieurs autres partenaires de l'ICCAT, tels que l'Organisation des Nations unies pour l'alimentation et l'agriculture (FAO), ont également demandé l'autorisation de consulter et d'utiliser les données publiques sur les navires issues des API publiques de l'IOMS.</w:t>
      </w:r>
    </w:p>
    <w:p w14:paraId="3A8DAE57" w14:textId="77777777" w:rsidR="004528BD" w:rsidRDefault="004528BD" w:rsidP="00E66320"/>
    <w:p w14:paraId="1FAEC237" w14:textId="6325C1EE" w:rsidR="00E66320" w:rsidRPr="00C34819" w:rsidRDefault="00E66320" w:rsidP="00E66320">
      <w:r w:rsidRPr="00C34819">
        <w:t>Enfin, le Secrétariat a fourni quelques indicateurs préliminaires concernant le gestionnaire de navires depuis sa mise en service (du 1er août 2025 au 3 février 2026) :</w:t>
      </w:r>
    </w:p>
    <w:p w14:paraId="0E5D7473" w14:textId="77777777" w:rsidR="00E66320" w:rsidRPr="00C34819" w:rsidRDefault="00E66320" w:rsidP="00E66320"/>
    <w:p w14:paraId="324929A8" w14:textId="77777777" w:rsidR="00E66320" w:rsidRPr="00C34819" w:rsidRDefault="00E66320" w:rsidP="00E66320">
      <w:pPr>
        <w:pStyle w:val="ListParagraph"/>
        <w:numPr>
          <w:ilvl w:val="0"/>
          <w:numId w:val="1"/>
        </w:numPr>
        <w:ind w:left="851" w:hanging="425"/>
      </w:pPr>
      <w:r w:rsidRPr="00C34819">
        <w:t>Formulaire CP01 (navires et autorisations) :</w:t>
      </w:r>
    </w:p>
    <w:p w14:paraId="3BCFEF9E" w14:textId="77777777" w:rsidR="00E66320" w:rsidRPr="00C34819" w:rsidRDefault="00E66320" w:rsidP="00E66320">
      <w:pPr>
        <w:pStyle w:val="ListParagraph"/>
        <w:ind w:left="851"/>
      </w:pPr>
    </w:p>
    <w:p w14:paraId="33285538" w14:textId="77777777" w:rsidR="00E66320" w:rsidRPr="00C34819" w:rsidRDefault="00E66320" w:rsidP="00E66320">
      <w:pPr>
        <w:pStyle w:val="ListParagraph"/>
        <w:numPr>
          <w:ilvl w:val="1"/>
          <w:numId w:val="1"/>
        </w:numPr>
        <w:ind w:left="1276" w:hanging="425"/>
      </w:pPr>
      <w:r w:rsidRPr="00C34819">
        <w:t>Au total, 322 processus (intégration/fils de mise à jour gérés par le module) : dont 17 % ont été rejetés.</w:t>
      </w:r>
    </w:p>
    <w:p w14:paraId="2D5A1080" w14:textId="77777777" w:rsidR="00E66320" w:rsidRPr="00C34819" w:rsidRDefault="00E66320" w:rsidP="00E66320">
      <w:pPr>
        <w:pStyle w:val="ListParagraph"/>
        <w:ind w:left="1276"/>
        <w:rPr>
          <w:sz w:val="16"/>
          <w:szCs w:val="16"/>
        </w:rPr>
      </w:pPr>
    </w:p>
    <w:p w14:paraId="7337B917" w14:textId="77777777" w:rsidR="00E66320" w:rsidRPr="00C34819" w:rsidRDefault="00E66320" w:rsidP="00E66320">
      <w:pPr>
        <w:pStyle w:val="ListParagraph"/>
        <w:numPr>
          <w:ilvl w:val="0"/>
          <w:numId w:val="41"/>
        </w:numPr>
        <w:ind w:left="1701" w:hanging="425"/>
      </w:pPr>
      <w:r w:rsidRPr="00C34819">
        <w:t>Édition de la version en ligne : 149 (46%)</w:t>
      </w:r>
    </w:p>
    <w:p w14:paraId="3BC4A935" w14:textId="77777777" w:rsidR="00E66320" w:rsidRPr="00C34819" w:rsidRDefault="00E66320" w:rsidP="00E66320">
      <w:pPr>
        <w:pStyle w:val="ListParagraph"/>
        <w:numPr>
          <w:ilvl w:val="0"/>
          <w:numId w:val="41"/>
        </w:numPr>
        <w:ind w:left="1701" w:hanging="425"/>
      </w:pPr>
      <w:r w:rsidRPr="00C34819">
        <w:t xml:space="preserve">Utilisation du gestionnaire de </w:t>
      </w:r>
      <w:proofErr w:type="gramStart"/>
      <w:r w:rsidRPr="00C34819">
        <w:t>formulaires:</w:t>
      </w:r>
      <w:proofErr w:type="gramEnd"/>
      <w:r w:rsidRPr="00C34819">
        <w:t xml:space="preserve"> 173 (54%)</w:t>
      </w:r>
    </w:p>
    <w:p w14:paraId="029C27DB" w14:textId="77777777" w:rsidR="00E66320" w:rsidRPr="00C34819" w:rsidRDefault="00E66320" w:rsidP="00E66320">
      <w:pPr>
        <w:pStyle w:val="ListParagraph"/>
        <w:ind w:left="1134"/>
      </w:pPr>
    </w:p>
    <w:p w14:paraId="3BB1A89E" w14:textId="77777777" w:rsidR="00E66320" w:rsidRPr="00C34819" w:rsidRDefault="00E66320" w:rsidP="00E66320">
      <w:pPr>
        <w:pStyle w:val="ListParagraph"/>
        <w:numPr>
          <w:ilvl w:val="1"/>
          <w:numId w:val="1"/>
        </w:numPr>
        <w:ind w:left="1276" w:hanging="425"/>
      </w:pPr>
      <w:r w:rsidRPr="00C34819">
        <w:t xml:space="preserve">Modification effective de 5.620 navires et de leurs autorisations </w:t>
      </w:r>
    </w:p>
    <w:p w14:paraId="299E87C0" w14:textId="77777777" w:rsidR="00E66320" w:rsidRPr="00C34819" w:rsidRDefault="00E66320" w:rsidP="00E66320">
      <w:pPr>
        <w:pStyle w:val="ListParagraph"/>
        <w:ind w:left="1276"/>
        <w:rPr>
          <w:sz w:val="16"/>
          <w:szCs w:val="16"/>
        </w:rPr>
      </w:pPr>
    </w:p>
    <w:p w14:paraId="41CA8CC5" w14:textId="77777777" w:rsidR="00E66320" w:rsidRPr="00C34819" w:rsidRDefault="00E66320" w:rsidP="00E66320">
      <w:pPr>
        <w:pStyle w:val="ListParagraph"/>
        <w:numPr>
          <w:ilvl w:val="0"/>
          <w:numId w:val="41"/>
        </w:numPr>
        <w:ind w:left="1701" w:hanging="425"/>
      </w:pPr>
      <w:r w:rsidRPr="00C34819">
        <w:t>Utilisation de l’édition en ligne : 3.477 (62 %, renouvellement automatique compris)</w:t>
      </w:r>
    </w:p>
    <w:p w14:paraId="12872801" w14:textId="77777777" w:rsidR="00E66320" w:rsidRPr="00C34819" w:rsidRDefault="00E66320" w:rsidP="00E66320">
      <w:pPr>
        <w:pStyle w:val="ListParagraph"/>
        <w:numPr>
          <w:ilvl w:val="0"/>
          <w:numId w:val="41"/>
        </w:numPr>
        <w:ind w:left="1701" w:hanging="425"/>
      </w:pPr>
      <w:r w:rsidRPr="00C34819">
        <w:t xml:space="preserve">Utilisation du gestionnaire de </w:t>
      </w:r>
      <w:proofErr w:type="gramStart"/>
      <w:r w:rsidRPr="00C34819">
        <w:t>formulaires:</w:t>
      </w:r>
      <w:proofErr w:type="gramEnd"/>
      <w:r w:rsidRPr="00C34819">
        <w:t xml:space="preserve"> 2.143 (38%)</w:t>
      </w:r>
    </w:p>
    <w:p w14:paraId="661657F2" w14:textId="77777777" w:rsidR="00E66320" w:rsidRPr="00C34819" w:rsidRDefault="00E66320" w:rsidP="00E66320">
      <w:pPr>
        <w:pStyle w:val="ListParagraph"/>
        <w:ind w:left="1134"/>
      </w:pPr>
    </w:p>
    <w:p w14:paraId="0238D7DA" w14:textId="77777777" w:rsidR="00E66320" w:rsidRPr="00C34819" w:rsidRDefault="00E66320" w:rsidP="00E66320">
      <w:pPr>
        <w:pStyle w:val="ListParagraph"/>
        <w:numPr>
          <w:ilvl w:val="0"/>
          <w:numId w:val="1"/>
        </w:numPr>
        <w:ind w:left="851" w:hanging="425"/>
      </w:pPr>
      <w:r w:rsidRPr="00C34819">
        <w:t>Formulaire CP46 (transbordements</w:t>
      </w:r>
      <w:proofErr w:type="gramStart"/>
      <w:r w:rsidRPr="00C34819">
        <w:t>):</w:t>
      </w:r>
      <w:proofErr w:type="gramEnd"/>
    </w:p>
    <w:p w14:paraId="59BD801D" w14:textId="77777777" w:rsidR="00E66320" w:rsidRPr="00C34819" w:rsidRDefault="00E66320" w:rsidP="00E66320">
      <w:pPr>
        <w:pStyle w:val="ListParagraph"/>
        <w:ind w:left="851"/>
      </w:pPr>
    </w:p>
    <w:p w14:paraId="55E8C209" w14:textId="77777777" w:rsidR="00E66320" w:rsidRPr="00C34819" w:rsidRDefault="00E66320" w:rsidP="00E66320">
      <w:pPr>
        <w:pStyle w:val="ListParagraph"/>
        <w:numPr>
          <w:ilvl w:val="1"/>
          <w:numId w:val="1"/>
        </w:numPr>
        <w:ind w:left="1276" w:hanging="425"/>
      </w:pPr>
      <w:r w:rsidRPr="00C34819">
        <w:t>Au total, 6 processus (intégration/fils de mise à jour gérés par le module) : dont 43% ont été rejetés.</w:t>
      </w:r>
    </w:p>
    <w:p w14:paraId="5D68BA85" w14:textId="77777777" w:rsidR="00E66320" w:rsidRPr="00C34819" w:rsidRDefault="00E66320" w:rsidP="00E66320">
      <w:pPr>
        <w:pStyle w:val="ListParagraph"/>
        <w:ind w:left="1276"/>
        <w:rPr>
          <w:sz w:val="16"/>
          <w:szCs w:val="16"/>
        </w:rPr>
      </w:pPr>
    </w:p>
    <w:p w14:paraId="15C865B3" w14:textId="77777777" w:rsidR="00E66320" w:rsidRPr="00C34819" w:rsidRDefault="00E66320" w:rsidP="00E66320">
      <w:pPr>
        <w:pStyle w:val="ListParagraph"/>
        <w:numPr>
          <w:ilvl w:val="0"/>
          <w:numId w:val="41"/>
        </w:numPr>
        <w:ind w:left="1701" w:hanging="425"/>
      </w:pPr>
      <w:r w:rsidRPr="00C34819">
        <w:t>Utilisation de l’édition en ligne : 1 (14%)</w:t>
      </w:r>
    </w:p>
    <w:p w14:paraId="43F22E49" w14:textId="77777777" w:rsidR="00E66320" w:rsidRPr="00C34819" w:rsidRDefault="00E66320" w:rsidP="00E66320">
      <w:pPr>
        <w:pStyle w:val="ListParagraph"/>
        <w:numPr>
          <w:ilvl w:val="0"/>
          <w:numId w:val="41"/>
        </w:numPr>
        <w:ind w:left="1701" w:hanging="425"/>
      </w:pPr>
      <w:r w:rsidRPr="00C34819">
        <w:t xml:space="preserve">Utilisation du gestionnaire de </w:t>
      </w:r>
      <w:proofErr w:type="gramStart"/>
      <w:r w:rsidRPr="00C34819">
        <w:t>formulaires:</w:t>
      </w:r>
      <w:proofErr w:type="gramEnd"/>
      <w:r w:rsidRPr="00C34819">
        <w:t xml:space="preserve"> 6 (86%)</w:t>
      </w:r>
    </w:p>
    <w:p w14:paraId="3CE69171" w14:textId="77777777" w:rsidR="00E66320" w:rsidRPr="00C34819" w:rsidRDefault="00E66320" w:rsidP="00E66320">
      <w:pPr>
        <w:pStyle w:val="ListParagraph"/>
        <w:ind w:left="1701"/>
      </w:pPr>
    </w:p>
    <w:p w14:paraId="74667D9B" w14:textId="77777777" w:rsidR="00E66320" w:rsidRPr="00C34819" w:rsidRDefault="00E66320" w:rsidP="00E66320">
      <w:pPr>
        <w:pStyle w:val="ListParagraph"/>
        <w:numPr>
          <w:ilvl w:val="1"/>
          <w:numId w:val="1"/>
        </w:numPr>
        <w:ind w:left="1276" w:hanging="425"/>
      </w:pPr>
      <w:r w:rsidRPr="00C34819">
        <w:t>Modification effective de 414 navires (12 en ligne, 402 via le gestionnaire de formulaires)</w:t>
      </w:r>
    </w:p>
    <w:p w14:paraId="1AED902F" w14:textId="77777777" w:rsidR="00E66320" w:rsidRPr="00C34819" w:rsidRDefault="00E66320" w:rsidP="00E66320">
      <w:pPr>
        <w:pStyle w:val="ListParagraph"/>
        <w:ind w:left="1276"/>
      </w:pPr>
    </w:p>
    <w:p w14:paraId="26C10BB4" w14:textId="77777777" w:rsidR="00E66320" w:rsidRPr="00C34819" w:rsidRDefault="00E66320" w:rsidP="00E66320">
      <w:pPr>
        <w:pStyle w:val="ListParagraph"/>
        <w:numPr>
          <w:ilvl w:val="0"/>
          <w:numId w:val="1"/>
        </w:numPr>
        <w:ind w:left="851" w:hanging="425"/>
      </w:pPr>
      <w:r w:rsidRPr="00C34819">
        <w:t>Formulaire CP53 (affrètement</w:t>
      </w:r>
      <w:proofErr w:type="gramStart"/>
      <w:r w:rsidRPr="00C34819">
        <w:t>):</w:t>
      </w:r>
      <w:proofErr w:type="gramEnd"/>
    </w:p>
    <w:p w14:paraId="56EACDCF" w14:textId="77777777" w:rsidR="00E66320" w:rsidRPr="00C34819" w:rsidRDefault="00E66320" w:rsidP="00E66320">
      <w:pPr>
        <w:pStyle w:val="ListParagraph"/>
        <w:ind w:left="851"/>
      </w:pPr>
    </w:p>
    <w:p w14:paraId="08E65ABD" w14:textId="77777777" w:rsidR="00E66320" w:rsidRPr="00C34819" w:rsidRDefault="00E66320" w:rsidP="00E66320">
      <w:pPr>
        <w:pStyle w:val="ListParagraph"/>
        <w:numPr>
          <w:ilvl w:val="1"/>
          <w:numId w:val="1"/>
        </w:numPr>
        <w:ind w:left="1276" w:hanging="425"/>
      </w:pPr>
      <w:r w:rsidRPr="00C34819">
        <w:t>Au total, 20 processus (intégration/fils de mise à jour gérés par le module) : dont 45% ont été rejetés.</w:t>
      </w:r>
    </w:p>
    <w:p w14:paraId="0833C4A7" w14:textId="77777777" w:rsidR="00E66320" w:rsidRPr="00C34819" w:rsidRDefault="00E66320" w:rsidP="00E66320">
      <w:pPr>
        <w:pStyle w:val="ListParagraph"/>
        <w:ind w:left="1276"/>
        <w:rPr>
          <w:sz w:val="16"/>
          <w:szCs w:val="16"/>
        </w:rPr>
      </w:pPr>
    </w:p>
    <w:p w14:paraId="450BF2CA" w14:textId="77777777" w:rsidR="00E66320" w:rsidRPr="00C34819" w:rsidRDefault="00E66320" w:rsidP="00E66320">
      <w:pPr>
        <w:pStyle w:val="ListParagraph"/>
        <w:numPr>
          <w:ilvl w:val="0"/>
          <w:numId w:val="41"/>
        </w:numPr>
        <w:ind w:left="1701" w:hanging="425"/>
      </w:pPr>
      <w:r w:rsidRPr="00C34819">
        <w:t>Utilisation de l’édition en ligne : 18 (90%)</w:t>
      </w:r>
    </w:p>
    <w:p w14:paraId="766E0B18" w14:textId="7486BA95" w:rsidR="00E66320" w:rsidRPr="00C34819" w:rsidRDefault="00E66320" w:rsidP="00E66320">
      <w:pPr>
        <w:pStyle w:val="ListParagraph"/>
        <w:numPr>
          <w:ilvl w:val="0"/>
          <w:numId w:val="41"/>
        </w:numPr>
        <w:ind w:left="1701" w:hanging="425"/>
      </w:pPr>
      <w:r w:rsidRPr="00C34819">
        <w:t xml:space="preserve">Utilisation du gestionnaire de </w:t>
      </w:r>
      <w:r w:rsidR="004528BD" w:rsidRPr="00C34819">
        <w:t>formulaires :</w:t>
      </w:r>
      <w:r w:rsidRPr="00C34819">
        <w:t xml:space="preserve"> 2 (10%)</w:t>
      </w:r>
    </w:p>
    <w:p w14:paraId="76AC7E25" w14:textId="77777777" w:rsidR="00E66320" w:rsidRPr="00C34819" w:rsidRDefault="00E66320" w:rsidP="00E66320">
      <w:pPr>
        <w:pStyle w:val="ListParagraph"/>
        <w:ind w:left="1134"/>
      </w:pPr>
    </w:p>
    <w:p w14:paraId="527036F8" w14:textId="77777777" w:rsidR="00E66320" w:rsidRPr="00C34819" w:rsidRDefault="00E66320" w:rsidP="00E66320">
      <w:pPr>
        <w:pStyle w:val="ListParagraph"/>
        <w:numPr>
          <w:ilvl w:val="1"/>
          <w:numId w:val="1"/>
        </w:numPr>
        <w:ind w:left="1276" w:hanging="425"/>
      </w:pPr>
      <w:r w:rsidRPr="00C34819">
        <w:t>Modification effective de 20 navires affrétés (18 en ligne, 2 via le gestionnaire de formulaires)</w:t>
      </w:r>
    </w:p>
    <w:p w14:paraId="35F9A6BB" w14:textId="77777777" w:rsidR="00E66320" w:rsidRPr="00C34819" w:rsidRDefault="00E66320" w:rsidP="00E66320"/>
    <w:p w14:paraId="457E1738" w14:textId="77777777" w:rsidR="00E66320" w:rsidRPr="00C34819" w:rsidRDefault="00E66320" w:rsidP="00E66320">
      <w:r w:rsidRPr="00C34819">
        <w:t xml:space="preserve">La majeure partie des opérations liées au formulaire CP01 (92 %, soit 322 processus sur un total de 349) est gérée par le module de gestionnaire des navires. Le taux de rejet des formulaires CP01 peut être considéré comme faible (17 %) pour les deux modes de traitement (version en ligne et utilisation de gestionnaire de formulaires), ce qui témoigne d'une bonne maîtrise du formulaire CP01. Les transbordements (formulaire CP46) et les autorisations d'affrètement (formulaire CP53) ont posé davantage de problèmes, les rejets de formulaires représentant plus de 42 % du total. Cela signifie qu'il est nécessaire d'organiser une formation complémentaire à l'intention des utilisateurs des CPC. Alors que les formulaires CP01 et CP46 ont utilisé les modules de gestionnaire de formulaires pour télécharger des données dans plus de la moitié des cas, c'est la version en ligne du formulaire CP53 qui a été la plus utilisée. Il s'agit d'indicateurs statistiques de base et préliminaires, dont l'amélioration est prévue à l'avenir. </w:t>
      </w:r>
    </w:p>
    <w:p w14:paraId="114D9D88" w14:textId="77777777" w:rsidR="00E66320" w:rsidRPr="00C34819" w:rsidRDefault="00E66320" w:rsidP="00E66320"/>
    <w:p w14:paraId="69A12A3E" w14:textId="77777777" w:rsidR="00E66320" w:rsidRPr="00C34819" w:rsidRDefault="00E66320" w:rsidP="00E66320">
      <w:r w:rsidRPr="00C34819">
        <w:t xml:space="preserve">Au cours de la discussion, une CPC a suggéré d'optimiser la formation des utilisateurs de l'IOMS pour un module donné, en les associant dès les premières étapes de la mise en œuvre du module (conception, spécifications, développement, tests), par exemple en organisant au préalable des réunions ad hoc. Cette implication dès le début profitera à tous les utilisateurs de l'IOMS et pourrait permettre d'alléger la charge de travail liée à la modification de certaines parties du code pour modifier les fonctionnalités des modules. Mis à part certaines réserves exprimées (par exemple, comment planifier ces réunions à l'avance sans disposer d'un développement ou, à tout le moins, d'un prototype de module, comment améliorer la participation à ces réunions pour atteindre les niveaux observés lors des ateliers de l'IOMS, etc.), une </w:t>
      </w:r>
      <w:r w:rsidRPr="00C34819">
        <w:lastRenderedPageBreak/>
        <w:t>certaine volonté s'est manifestée d'étudier cette possibilité, dès lors que le temps le permettra et à condition que ces activités ne fassent pas double emploi avec les travaux du WG-ORT.</w:t>
      </w:r>
    </w:p>
    <w:p w14:paraId="72A60AB6" w14:textId="77777777" w:rsidR="004528BD" w:rsidRDefault="004528BD" w:rsidP="00E66320"/>
    <w:p w14:paraId="01651D48" w14:textId="5E04A11F" w:rsidR="00E66320" w:rsidRPr="00C34819" w:rsidRDefault="00E66320" w:rsidP="00E66320">
      <w:r w:rsidRPr="00C34819">
        <w:t>En ce qui concerne les travaux liés à l'intégration d'UN/FLUX dans l'IOMS (module de gestionnaire de navires), l'UE a présenté sa situation actuelle. L'UE et l’ICCAT ont procédé à des essais du système UN/FLUX pour le domaine des navires (les essais concernant le domaine des autorisations étant en cours), mais de manière lente et peu efficace pour diverses raisons. L'UE procède actuellement à une refonte complète de son système interne UN/FLUX (refonte et redéveloppement complets), qui gère les navires et les autorisations (les deux domaines utilisés par l'IOMS). Une fois ces travaux achevés (prévus pour mi-2026), l'UE pourra avancer de concert avec la tâche d'essais approfondis en cours menée par l'UN/FLUX, qui portera sur ces deux domaines (immatriculation des navires et autorisations). Le Président a remercié l'UE pour ces informations.</w:t>
      </w:r>
    </w:p>
    <w:p w14:paraId="1F211279" w14:textId="77777777" w:rsidR="00E66320" w:rsidRPr="00C34819" w:rsidRDefault="00E66320" w:rsidP="00E66320"/>
    <w:p w14:paraId="52CE7217" w14:textId="77777777" w:rsidR="00E66320" w:rsidRPr="00C34819" w:rsidRDefault="00E66320" w:rsidP="00E66320">
      <w:r w:rsidRPr="00C34819">
        <w:t xml:space="preserve">Quelques participants ont demandé si le nouveau système de notification IOMS allait remplacer les </w:t>
      </w:r>
      <w:proofErr w:type="gramStart"/>
      <w:r w:rsidRPr="00C34819">
        <w:t>e-mails</w:t>
      </w:r>
      <w:proofErr w:type="gramEnd"/>
      <w:r w:rsidRPr="00C34819">
        <w:t>, ou si les deux systèmes seraient utilisés pour échanger des informations. Le Secrétariat a indiqué que les deux seraient utilisés, car ils se complètent mutuellement.</w:t>
      </w:r>
    </w:p>
    <w:p w14:paraId="54FBC24B" w14:textId="77777777" w:rsidR="00E66320" w:rsidRPr="00C34819" w:rsidRDefault="00E66320" w:rsidP="00E66320"/>
    <w:p w14:paraId="5959A8FC" w14:textId="77777777" w:rsidR="00E66320" w:rsidRPr="00C34819" w:rsidRDefault="00E66320" w:rsidP="00E66320">
      <w:r w:rsidRPr="00C34819">
        <w:t xml:space="preserve">Le Groupe a demandé au Secrétariat d'apporter des précisions supplémentaires sur la manière dont les transporteurs des CPC </w:t>
      </w:r>
      <w:proofErr w:type="gramStart"/>
      <w:r w:rsidRPr="00C34819">
        <w:t>non membres</w:t>
      </w:r>
      <w:proofErr w:type="gramEnd"/>
      <w:r w:rsidRPr="00C34819">
        <w:t xml:space="preserve"> de l’ICCAT seront traités dans l'IOMS (si possible, en indiquant le volume de données), dès lors que ces pays ne pourront plus accéder à l'IOMS. Le Secrétariat a indiqué que les transporteurs appartenant à des CPC </w:t>
      </w:r>
      <w:proofErr w:type="gramStart"/>
      <w:r w:rsidRPr="00C34819">
        <w:t>non membres</w:t>
      </w:r>
      <w:proofErr w:type="gramEnd"/>
      <w:r w:rsidRPr="00C34819">
        <w:t xml:space="preserve"> de l’ICCAT sont généralement enregistrés par le Secrétariat et a suggéré de conserver cette approche. Le nombre de formulaires CP01 remplis par des CPC </w:t>
      </w:r>
      <w:proofErr w:type="gramStart"/>
      <w:r w:rsidRPr="00C34819">
        <w:t>non membres</w:t>
      </w:r>
      <w:proofErr w:type="gramEnd"/>
      <w:r w:rsidRPr="00C34819">
        <w:t xml:space="preserve"> de l’ICCAT est très faible. Le Panama a rappelé que l'ICCAT disposait d'un instrument (</w:t>
      </w:r>
      <w:hyperlink r:id="rId28" w:history="1">
        <w:r w:rsidRPr="00C34819">
          <w:rPr>
            <w:rStyle w:val="Hyperlink"/>
            <w:i/>
            <w:iCs/>
            <w:u w:val="none"/>
          </w:rPr>
          <w:t>Recommandation de l’ICCAT sur les critères visant à l’octroi du statut de Partie, Entité ou Entité de pêche non-contractante coopérante à l’ICCAT (Rec. 03-20)</w:t>
        </w:r>
      </w:hyperlink>
      <w:r w:rsidRPr="00C34819">
        <w:t xml:space="preserve">) qui est spécialement destiné à permettre aux pays ayant des intérêts dans les espèces gérées par l'ICCAT d'obtenir ce statut de coopérant. En outre, la </w:t>
      </w:r>
      <w:hyperlink r:id="rId29" w:history="1">
        <w:r w:rsidRPr="00C34819">
          <w:rPr>
            <w:rStyle w:val="Hyperlink"/>
            <w:i/>
            <w:iCs/>
            <w:u w:val="none"/>
          </w:rPr>
          <w:t xml:space="preserve">Recommandation de l’ICCAT amendant la Recommandation 21-15 sur le transbordement </w:t>
        </w:r>
        <w:r w:rsidRPr="00C34819">
          <w:rPr>
            <w:rStyle w:val="Hyperlink"/>
            <w:u w:val="none"/>
          </w:rPr>
          <w:t>(Rec. 24-15)</w:t>
        </w:r>
      </w:hyperlink>
      <w:r w:rsidRPr="00C34819">
        <w:t xml:space="preserve"> (paragraphe 10) stipule que le nombre de </w:t>
      </w:r>
      <w:proofErr w:type="gramStart"/>
      <w:r w:rsidRPr="00C34819">
        <w:t>transporteurs  immatriculés</w:t>
      </w:r>
      <w:proofErr w:type="gramEnd"/>
      <w:r w:rsidRPr="00C34819">
        <w:t xml:space="preserve"> appartenant à des CPC </w:t>
      </w:r>
      <w:proofErr w:type="gramStart"/>
      <w:r w:rsidRPr="00C34819">
        <w:t>non membres</w:t>
      </w:r>
      <w:proofErr w:type="gramEnd"/>
      <w:r w:rsidRPr="00C34819">
        <w:t xml:space="preserve"> de l’ICCAT ne doit pas dépasser le nombre déjà immatriculé au 18 novembre 2024 (objectif atteint uniquement par Singapour et les Bahamas). </w:t>
      </w:r>
    </w:p>
    <w:p w14:paraId="5FB4C168" w14:textId="77777777" w:rsidR="00E66320" w:rsidRPr="00C34819" w:rsidRDefault="00E66320" w:rsidP="00E66320"/>
    <w:p w14:paraId="346CA845" w14:textId="77777777" w:rsidR="00E66320" w:rsidRPr="00C34819" w:rsidRDefault="00E66320" w:rsidP="00E66320">
      <w:pPr>
        <w:pStyle w:val="Heading3"/>
        <w:numPr>
          <w:ilvl w:val="0"/>
          <w:numId w:val="0"/>
        </w:numPr>
        <w:rPr>
          <w:b w:val="0"/>
          <w:bCs w:val="0"/>
        </w:rPr>
      </w:pPr>
      <w:r w:rsidRPr="00C34819">
        <w:rPr>
          <w:b w:val="0"/>
        </w:rPr>
        <w:t>5.1.3 Module de gestionnaires de ports</w:t>
      </w:r>
    </w:p>
    <w:p w14:paraId="478031B6" w14:textId="77777777" w:rsidR="00E66320" w:rsidRPr="00C34819" w:rsidRDefault="00E66320" w:rsidP="00E66320"/>
    <w:p w14:paraId="1BFFFA5F" w14:textId="77777777" w:rsidR="00E66320" w:rsidRPr="00C34819" w:rsidRDefault="00E66320" w:rsidP="00E66320">
      <w:r w:rsidRPr="00C34819">
        <w:t xml:space="preserve">Le module de gestionnaire de ports de l’IOMS a pour objectif de gérer la liste des ports autorisés par l’ICCAT ainsi que les différents types d'autorisations. Le formulaire </w:t>
      </w:r>
      <w:hyperlink r:id="rId30" w:history="1">
        <w:r w:rsidRPr="00C34819">
          <w:rPr>
            <w:rStyle w:val="Hyperlink"/>
            <w:u w:val="none"/>
          </w:rPr>
          <w:t>CP24-AuthPort</w:t>
        </w:r>
      </w:hyperlink>
      <w:r w:rsidRPr="00C34819">
        <w:t xml:space="preserve"> a été conçu par le Secrétariat afin de recueillir les informations relatives aux ports. Il est désormais standardisé et prêt à être utilisé avec l'IOMS. Ce module intègre de nombreuses fonctionnalités destinées à traiter toutes les informations portuaires requises par l’ICCAT, conformément à diverses Recommandations (pour plus de détails, voir la page 31 du document </w:t>
      </w:r>
      <w:hyperlink r:id="rId31" w:history="1">
        <w:r w:rsidRPr="00C34819">
          <w:rPr>
            <w:rStyle w:val="Hyperlink"/>
            <w:u w:val="none"/>
          </w:rPr>
          <w:t>Directives pour la transmission des données et des informations requises par l’ICCAT</w:t>
        </w:r>
      </w:hyperlink>
      <w:r w:rsidRPr="00C34819">
        <w:t xml:space="preserve">). Il existe trois ensembles principaux de fonctionnalités intégrés dans les sous-modules correspondants. </w:t>
      </w:r>
    </w:p>
    <w:p w14:paraId="4634CD87" w14:textId="77777777" w:rsidR="00E66320" w:rsidRPr="00C34819" w:rsidRDefault="00E66320" w:rsidP="00E66320"/>
    <w:p w14:paraId="72BD84AA" w14:textId="7E4F580A" w:rsidR="00E66320" w:rsidRPr="00C34819" w:rsidRDefault="00E66320" w:rsidP="00E66320">
      <w:r w:rsidRPr="00C34819">
        <w:t xml:space="preserve">Le Secrétariat a présenté l'état d'avancement du nouveau module </w:t>
      </w:r>
      <w:r w:rsidR="004528BD" w:rsidRPr="00C34819">
        <w:t>de gestionnaire</w:t>
      </w:r>
      <w:r w:rsidRPr="00C34819">
        <w:t xml:space="preserve"> de ports de l'IOMS, accompagné d'une brève démonstration de ses fonctionnalités. Le développement du gestionnaire de ports est presque terminé et est déjà entré en phase de test. Mis à part quelques particularités, il présente des fonctionnalités et des caractéristiques similaires à celles des autres modules de l’IOMS. En règle générale, un port donné doit avoir été préalablement enregistré pour pouvoir recevoir des autorisations. Un port est considéré comme actif lorsqu'il dispose d'une ou plusieurs autorisations valides (y compris le mode de renouvellement automatique disponible pour les autorisations de navires étrangers). Les fonctionnalités de filtrage et de recherche utilisées pour rechercher des ports (y compris l’historique) et exporter les ports sélectionnés afin de constituer le CP24 ont également été présentées. Le gestionnaire de ports dispose notamment d'un outil de cartographie permettant de localiser géographiquement le port, à condition que les coordonnées exactes soient fournies dans le CP24. </w:t>
      </w:r>
    </w:p>
    <w:p w14:paraId="6B9758AE" w14:textId="77777777" w:rsidR="00E66320" w:rsidRPr="00C34819" w:rsidRDefault="00E66320" w:rsidP="00E66320"/>
    <w:p w14:paraId="2831ECD8" w14:textId="77777777" w:rsidR="00E66320" w:rsidRPr="00C34819" w:rsidRDefault="00E66320" w:rsidP="00E66320">
      <w:r w:rsidRPr="00C34819">
        <w:t>Le Secrétariat a conclu la présentation du gestionnaire de ports en invitant les participants à faire part de leurs impressions générales et de leurs commentaires sur deux suggestions spécifiques, à savoir l'adoption (et l'ajout au formulaire CP24) d'un numéro d'enregistrement de l’ICCAT pour les ports (</w:t>
      </w:r>
      <w:proofErr w:type="spellStart"/>
      <w:r w:rsidRPr="00C34819">
        <w:t>PortID</w:t>
      </w:r>
      <w:proofErr w:type="spellEnd"/>
      <w:r w:rsidRPr="00C34819">
        <w:t xml:space="preserve">, servant d'identifiant unique en l'absence de code UN/LOCODE) et l'utilisation exclusive du gestionnaire de formulaires pour le téléchargement des informations relatives aux ports. Le Président a félicité l'équipe de </w:t>
      </w:r>
      <w:r w:rsidRPr="00C34819">
        <w:lastRenderedPageBreak/>
        <w:t>l'IOMS pour les récentes améliorations apportées au gestionnaire de ports et a sollicité des commentaires à ce sujet. Après quelques discussions et une explication détaillée du Secrétariat concernant l'intégration des deux modes de fonctionnement possibles du gestionnaire de ports (en ligne : saisie directe dans le module de gestionnaire de ports ; hors ligne : remplissage du formulaire CP24 hors ligne puis téléchargement à l'aide du gestionnaire de formulaires ou du gestionnaire de ports), le Secrétariat a proposé d'abandonner la saisie en ligne. Le Groupe a décidé d'adopter les deux propositions du Secrétariat (adoption d'un identifiant de port « Port ID » et utilisation exclusive du gestionnaire de formulaires pour le téléchargement des données du CP24). Par ailleurs, le Groupe a proposé certaines améliorations à l'interface du gestionnaire de ports, dont les plus importantes sont les suivantes : utiliser autant que possible des libellés intuitifs plutôt que des numéros (pour les types d'autorisation portuaire et éventuellement d'autres champs) ; et réduire autant que possible les éléments de navigation par onglets de l'interface, jugés moins intuitifs. Le Président a proposé d’informer le Groupe de travail sur les mesures de contrôle intégré (IMM) et le Groupe de travail permanent sur l’amélioration des statistiques et des mesures de conservation de l’ICCAT (PWG) de la proposition visant à adopter un numéro d’enregistrement portuaire obligatoire de l’ICCAT (</w:t>
      </w:r>
      <w:proofErr w:type="spellStart"/>
      <w:r w:rsidRPr="00C34819">
        <w:t>PortID</w:t>
      </w:r>
      <w:proofErr w:type="spellEnd"/>
      <w:r w:rsidRPr="00C34819">
        <w:t xml:space="preserve">) en tant qu’identifiant unique du port (en précisant les besoins de l’IOMS et les avantages qui en découlent), afin d’examiner les mesures actuelles, de clarifier quels champs sont obligatoires et de formuler des recommandations en conséquence. Par ailleurs, le Groupe a également proposé d'aborder la question du remplacement et de la publication des futures données du registre des ports de l'IOMS (site web actuel : </w:t>
      </w:r>
      <w:hyperlink r:id="rId32" w:history="1">
        <w:r w:rsidRPr="00C34819">
          <w:rPr>
            <w:rStyle w:val="Hyperlink"/>
            <w:u w:val="none"/>
          </w:rPr>
          <w:t>Registre ICCAT des ports autorisés)</w:t>
        </w:r>
      </w:hyperlink>
      <w:r w:rsidRPr="00C34819">
        <w:t>, qui sera accessible en temps réel, avec le Groupe de travail IMM et le PWG pour des orientations supplémentaires.</w:t>
      </w:r>
    </w:p>
    <w:p w14:paraId="1E57E806" w14:textId="77777777" w:rsidR="00E66320" w:rsidRPr="00C34819" w:rsidRDefault="00E66320" w:rsidP="00E66320"/>
    <w:p w14:paraId="2D6CE195" w14:textId="77777777" w:rsidR="00E66320" w:rsidRPr="00C34819" w:rsidRDefault="00E66320" w:rsidP="00E66320">
      <w:r w:rsidRPr="00C34819">
        <w:t>Le Groupe a demandé quand le gestionnaire de ports serait prêt à être mis en production. Le Secrétariat estime que le code source du module est pratiquement achevé et qu'il sera prêt une fois la phase de test terminée et après avoir apporté quelques modifications convenues lors de la réunion (modifications de l'interface, mise à jour du formulaire CP24 pour y inclure de nouveaux champs, etc.). Le Président a ajouté qu'une session de formation spécifique destinée aux gestionnaires de ports était également nécessaire avant la mise en production du système, et a renvoyé les décisions finales aux sections concernées (discussion du plan de travail et planification des ateliers).</w:t>
      </w:r>
    </w:p>
    <w:p w14:paraId="4516DBD5" w14:textId="77777777" w:rsidR="00E66320" w:rsidRPr="00C34819" w:rsidRDefault="00E66320" w:rsidP="00E66320"/>
    <w:p w14:paraId="18FC57E4" w14:textId="7D500CC4" w:rsidR="00E66320" w:rsidRPr="00C34819" w:rsidRDefault="004528BD" w:rsidP="00E66320">
      <w:pPr>
        <w:pStyle w:val="Heading3"/>
        <w:numPr>
          <w:ilvl w:val="0"/>
          <w:numId w:val="0"/>
        </w:numPr>
        <w:rPr>
          <w:b w:val="0"/>
          <w:bCs w:val="0"/>
        </w:rPr>
      </w:pPr>
      <w:r w:rsidRPr="00C34819">
        <w:rPr>
          <w:b w:val="0"/>
        </w:rPr>
        <w:t>5.1.4 Modules</w:t>
      </w:r>
      <w:r w:rsidR="00E66320" w:rsidRPr="00C34819">
        <w:rPr>
          <w:b w:val="0"/>
        </w:rPr>
        <w:t xml:space="preserve"> de captures nominales de la tâche 1 et des tableaux d'application</w:t>
      </w:r>
    </w:p>
    <w:p w14:paraId="23C493AE" w14:textId="77777777" w:rsidR="00E66320" w:rsidRPr="00C34819" w:rsidRDefault="00E66320" w:rsidP="00E66320"/>
    <w:p w14:paraId="4762497C" w14:textId="77777777" w:rsidR="00E66320" w:rsidRPr="00C34819" w:rsidRDefault="00E66320" w:rsidP="00E66320">
      <w:r w:rsidRPr="00C34819">
        <w:t>Le Secrétariat a préparé une présentation décrivant les modules de gestionnaire T1NC (gestionnaire des captures nominales de la tâche 1) et COCT (tableaux d'application), deux nouveaux composants de l’IOMS destinés à traiter deux types de données de l’ICCAT qui se complètent (par exemple, les informations gérées par T1NC peuvent servir de données COCT préliminaires si les données COCT ne sont pas disponibles au moment voulu), ce qui impose à ces deux modules un haut degré d’interopérabilité. Les données T1NC sont principalement utilisées à des fins scientifiques (Comité scientifique de l'ICCAT, le SCRS), tandis que les données COCT servent surtout à des fins d’application (Comité d’application (COC) de l'ICCAT). Les deux jeux de données fournis contiennent des informations sur les captures annuelles par espèce, basées sur les CPC, avec des niveaux de détail différents, mais dont les structures sont facilement comparables. Bien que leurs objectifs diffèrent, ces captures devraient correspondre à des volumes similaires. Le module COCT gérera les captures et débarquements déclarés dans le CP13, ainsi que les informations supplémentaires relatives aux mesures de l’ICCAT, telles que les totaux admissibles de captures (TAC) fixés en fonction des stocks et les limites de capture, ainsi que les parts de quota attribuées aux CPC.</w:t>
      </w:r>
    </w:p>
    <w:p w14:paraId="20A9FAA2" w14:textId="77777777" w:rsidR="00E66320" w:rsidRPr="00C34819" w:rsidRDefault="00E66320" w:rsidP="00E66320">
      <w:r w:rsidRPr="00C34819">
        <w:t xml:space="preserve"> </w:t>
      </w:r>
    </w:p>
    <w:p w14:paraId="3400D180" w14:textId="77777777" w:rsidR="00E66320" w:rsidRPr="00C34819" w:rsidRDefault="00E66320" w:rsidP="00E66320">
      <w:r w:rsidRPr="00C34819">
        <w:t>Comme prévu, les activités relatives à ces deux modules ont déjà débuté à la mi-2025 et plusieurs tâches sont toujours en cours. L'un des principaux axes concerne les travaux relatifs aux bases de données, avec une restructuration complète de la base de données T1NC actuelle dans l'ICCAT-DB et le développement d'une nouvelle base de données pour le COCT. Une autre tâche importante consiste à adapter les informations existantes aux besoins de l'IOMS. En ce qui concerne les données T1NC (mises à jour en continu dans la base de données ICCAT-DB), la restructuration nécessaire sera simple. En ce qui concerne les données COCT (des données non structurées présentes dans plusieurs archives et formats), un traitement complexe sera nécessaire pour standardiser les données existantes. Les formulaires standard utilisés par les deux modules (ST02 pour T1NC et CP13 pour COCT) pour télécharger les informations vers l'IOMS (mode de travail hors ligne) sont également en cours de révision. Le formulaire ST02 est déjà standardisé et ne nécessite que des modifications minimes. Toutefois, le formulaire CP13 n'est pas standardisé et devra faire l'objet d'une révision en profondeur. Il est prévu que ces activités soient achevées d'ici la fin juin 2026, date à laquelle la mise en œuvre du code source commencera pour les deux modules.</w:t>
      </w:r>
    </w:p>
    <w:p w14:paraId="1E71DB44" w14:textId="77777777" w:rsidR="00E66320" w:rsidRPr="00C34819" w:rsidRDefault="00E66320" w:rsidP="00E66320"/>
    <w:p w14:paraId="36A0773C" w14:textId="77777777" w:rsidR="00E66320" w:rsidRPr="00C34819" w:rsidRDefault="00E66320" w:rsidP="00E66320">
      <w:r w:rsidRPr="00C34819">
        <w:lastRenderedPageBreak/>
        <w:t xml:space="preserve">Un vaste ensemble de résultats standard, élaborés à partir des données T1NC et COCT, est préparé pour les nombreuses réunions de l’ICCAT qui se tiennent tout au long de l'année. Ces résultats essentiels doivent être reproduits dans les deux modules de l'IOMS (services web et autres outils), ce qui constituera une tâche chronophage. Par conséquent, la reproduction des fonctionnalités de sortie du T1NC et du COCT dans l'IOMS constituera une priorité. À ce sujet, le Secrétariat a souligné de manière décisive que le module COCT est lié aux critères complexes (des centaines de règles et de conditions) utilisés pour obtenir les quotas ajustés en fonction des CPC. La complexité des règles et les conditions d'application rendent extrêmement difficile la reproduction initiale de cette fonctionnalité dans l'IOMS. Tant que ces critères n'auront pas fait l'objet d'une étude plus approfondie, ce module ne sera pas développé ni intégré à l'IOMS.   </w:t>
      </w:r>
    </w:p>
    <w:p w14:paraId="450AF7BD" w14:textId="77777777" w:rsidR="00E66320" w:rsidRPr="00C34819" w:rsidRDefault="00E66320" w:rsidP="00E66320"/>
    <w:p w14:paraId="50CED750" w14:textId="77777777" w:rsidR="00E66320" w:rsidRPr="00C34819" w:rsidRDefault="00E66320" w:rsidP="00E66320">
      <w:r w:rsidRPr="00C34819">
        <w:t xml:space="preserve">L'une des dernières tâches prévues avant la mise en production de ces deux modules consiste en la migration finale « unidirectionnelle » (de ICCAT-DB vers l'IOMS) des données existantes de T1NC et COCT. Cette tâche spécifique et cruciale nécessitera un code spécialement conçu pour réduire au minimum le temps consacré à la migration. La migration vers le modèle T1NC portera sur l'ensemble des données existantes depuis 1950 (il existe certaines séries de captures incomplètes antérieures à 1950 pour le thon rouge et le germon dont l’intégration nécessiterait l'intervention du SCRS). La migration du module COCT portera sur les années pour lesquelles le Secrétariat a pu retrouver les travaux de traitement et d'harmonisation (au moins depuis 2016, mais probablement avant 2016, étant donné que les premiers tableaux d’application ont été adoptés/publiés vers 2006-2007). </w:t>
      </w:r>
    </w:p>
    <w:p w14:paraId="2A27071C" w14:textId="77777777" w:rsidR="00E66320" w:rsidRPr="00C34819" w:rsidRDefault="00E66320" w:rsidP="00E66320"/>
    <w:p w14:paraId="364877FE" w14:textId="77777777" w:rsidR="00E66320" w:rsidRPr="00C34819" w:rsidRDefault="00E66320" w:rsidP="00E66320">
      <w:r w:rsidRPr="00C34819">
        <w:t xml:space="preserve">Le Président a félicité le Secrétariat pour les résultats obtenus dans le cadre des deux modules et a demandé si les données relatives à l’application (gérées par le module COCT) et les données scientifiques (gérées par le module T1NC) constituaient des estimations fondées sur des sources de données identiques ou différentes. Le Secrétariat part du principe que les deux s'appuient sur les mêmes sources de données, mais qu'ils utilisent des méthodes d'estimation légèrement différentes. Alors que le T1NC est standardisé de manière à refléter systématiquement la meilleure estimation scientifique des prélèvements totaux de biomasse (débarquements + rejets de poissons morts + taux de mortalité des poissons remis à l’eau vivants en biomasse) en poids vif et pour l'ensemble des pêcheries (y compris la pêche récréative), les estimations issues des données d’application ne sont pas standardisées pour être toujours exprimées en poids vif et ne couvrent pas non plus l'ensemble des composantes de la biomasse du prélèvement total (dans certains cas, seuls les débarquements sont pris en compte) de toutes les pêcheries. On peut donc s'attendre à de légères variations (de l'ordre de ± 5 % en poids) par an et par CPC pour chaque stock de l'ICCAT. Idéalement, les données d’application devraient être standardisées de la même manière que les données T1NC, mais cette standardisation n'est pas toujours possible. Le Secrétariat a également noté que le SCRS procède à une révision continue du T1NC et que, si certains lots de capture font défaut pour une pêcherie donnée (par exemple, la composante « flottille CPC »), ces montants sont ajoutés à la série de données de capture sous forme d'estimations préliminaires du SCRS (en utilisant des techniques appropriées ou d'autres sources d'information, le cas échéant). </w:t>
      </w:r>
    </w:p>
    <w:p w14:paraId="1530154E" w14:textId="77777777" w:rsidR="00E66320" w:rsidRPr="00C34819" w:rsidRDefault="00E66320" w:rsidP="00E66320"/>
    <w:p w14:paraId="70AE167E" w14:textId="77777777" w:rsidR="00E66320" w:rsidRPr="00C34819" w:rsidRDefault="00E66320" w:rsidP="00E66320">
      <w:r w:rsidRPr="00C34819">
        <w:t>Une question a été soulevée concernant la politique de diffusion des données via les API publiques de l'IOMS. Les informations gérées par les gestionnaires des modules T1NC et COCT seront-elles accessibles à tous les utilisateurs ou y aura-t-il des restrictions ? Le Secrétariat a indiqué que, conformément à la politique de diffusion des données de l'ICCAT (</w:t>
      </w:r>
      <w:hyperlink r:id="rId33" w:tgtFrame="_blank" w:history="1">
        <w:r w:rsidRPr="00C34819">
          <w:rPr>
            <w:rStyle w:val="Hyperlink"/>
            <w:u w:val="none"/>
          </w:rPr>
          <w:t>Normes et procédures pour la protection, l’accès et la diffusion des données compilées par l’ICCAT</w:t>
        </w:r>
      </w:hyperlink>
      <w:r w:rsidRPr="00C34819">
        <w:t xml:space="preserve">, actuellement en cours de révision par le SCRS), les données T1NC sont publiques et peuvent être utilisées par tout un chacun, tandis que les données COCT sont généralement mises à disposition lors de la réunion annuelle de la Commission et publiées sur Internet pour être accessibles à tous. Le Président a confirmé que les API publiques de l'IOMS destinées à la diffusion de ces données respecteraient strictement la politique actuelle de l'ICCAT. </w:t>
      </w:r>
    </w:p>
    <w:p w14:paraId="61A1D2B6" w14:textId="77777777" w:rsidR="00E66320" w:rsidRPr="00C34819" w:rsidRDefault="00E66320" w:rsidP="00E66320"/>
    <w:p w14:paraId="181D8289" w14:textId="77777777" w:rsidR="00E66320" w:rsidRPr="00C34819" w:rsidRDefault="00E66320" w:rsidP="00E66320">
      <w:r w:rsidRPr="00C34819">
        <w:t xml:space="preserve">Le Japon a rappelé sa spécificité grâce à la gestion de ses données assurée par ces deux modules. Alors que les données T1NC sont communiquées sur la base de l'année civile, les données COCT se rapportent à l’année de pêche. Il convient de tenir compte de cet élément lors du développement. </w:t>
      </w:r>
    </w:p>
    <w:p w14:paraId="3F258342" w14:textId="77777777" w:rsidR="00E66320" w:rsidRPr="00C34819" w:rsidRDefault="00E66320" w:rsidP="00E66320"/>
    <w:p w14:paraId="1D294B61" w14:textId="77777777" w:rsidR="00E66320" w:rsidRPr="00C34819" w:rsidRDefault="00E66320" w:rsidP="00E66320">
      <w:r w:rsidRPr="00C34819">
        <w:t xml:space="preserve">Compte tenu du nombre important d'engagements pris par l'équipe IOMS, ainsi que des activités en cours et prévues dans le cadre de ces deux nouveaux modules (gestionnaire T1NC et gestionnaire COCT), et de la formation nécessaire à venir (probablement deux sessions pour chacun), le Président a proposé de fixer la date cible de mise en production des deux modules aux alentours du mois d'août 2027. </w:t>
      </w:r>
    </w:p>
    <w:p w14:paraId="543D77E4" w14:textId="77777777" w:rsidR="00E66320" w:rsidRPr="00C34819" w:rsidRDefault="00E66320" w:rsidP="00E66320">
      <w:pPr>
        <w:pBdr>
          <w:top w:val="none" w:sz="0" w:space="0" w:color="auto"/>
          <w:left w:val="none" w:sz="0" w:space="0" w:color="auto"/>
          <w:bottom w:val="none" w:sz="0" w:space="0" w:color="auto"/>
          <w:right w:val="none" w:sz="0" w:space="0" w:color="auto"/>
          <w:between w:val="none" w:sz="0" w:space="0" w:color="auto"/>
        </w:pBdr>
        <w:spacing w:after="160" w:line="257" w:lineRule="auto"/>
        <w:jc w:val="left"/>
      </w:pPr>
      <w:r w:rsidRPr="00C34819">
        <w:br w:type="page"/>
      </w:r>
    </w:p>
    <w:p w14:paraId="68B41511" w14:textId="614F9161" w:rsidR="00CF0787" w:rsidRPr="00A66378" w:rsidRDefault="00282084" w:rsidP="005301A1">
      <w:pPr>
        <w:pStyle w:val="Heading3"/>
        <w:numPr>
          <w:ilvl w:val="0"/>
          <w:numId w:val="0"/>
        </w:numPr>
        <w:spacing w:before="0"/>
        <w:rPr>
          <w:b w:val="0"/>
          <w:bCs w:val="0"/>
        </w:rPr>
      </w:pPr>
      <w:r>
        <w:rPr>
          <w:b w:val="0"/>
        </w:rPr>
        <w:lastRenderedPageBreak/>
        <w:t>5</w:t>
      </w:r>
      <w:r w:rsidR="005301A1">
        <w:rPr>
          <w:b w:val="0"/>
        </w:rPr>
        <w:t>.1.</w:t>
      </w:r>
      <w:r>
        <w:rPr>
          <w:b w:val="0"/>
        </w:rPr>
        <w:t>5</w:t>
      </w:r>
      <w:r w:rsidR="005301A1">
        <w:rPr>
          <w:b w:val="0"/>
        </w:rPr>
        <w:t xml:space="preserve"> </w:t>
      </w:r>
      <w:r w:rsidR="00CF0787" w:rsidRPr="00A66378">
        <w:rPr>
          <w:b w:val="0"/>
        </w:rPr>
        <w:t xml:space="preserve">Module des feuilles de contrôle pour les requins et les istiophoridés </w:t>
      </w:r>
    </w:p>
    <w:p w14:paraId="5BF7598C" w14:textId="77777777" w:rsidR="00363B0F" w:rsidRPr="00A66378" w:rsidRDefault="00363B0F" w:rsidP="00A66378">
      <w:pPr>
        <w:rPr>
          <w:rFonts w:asciiTheme="minorHAnsi" w:hAnsiTheme="minorHAnsi"/>
        </w:rPr>
      </w:pPr>
    </w:p>
    <w:p w14:paraId="73638932" w14:textId="5A421656" w:rsidR="00AB6C94" w:rsidRPr="00A66378" w:rsidRDefault="00AB6C94" w:rsidP="00A66378">
      <w:pPr>
        <w:rPr>
          <w:rFonts w:asciiTheme="minorHAnsi" w:hAnsiTheme="minorHAnsi"/>
        </w:rPr>
      </w:pPr>
      <w:r w:rsidRPr="00A66378">
        <w:rPr>
          <w:rFonts w:asciiTheme="minorHAnsi" w:hAnsiTheme="minorHAnsi"/>
        </w:rPr>
        <w:t xml:space="preserve">Le Président a rappelé que les travaux d'harmonisation des feuilles de contrôle pour les requins/istiophoridés (SBCS) constituaient une tâche intersessions de ce Groupe, consistant à collaborer avec les Présidents de la Sous-commission 4 et du Comité d’application afin de standardiser et d'améliorer les modèles SBCS existants, </w:t>
      </w:r>
      <w:r w:rsidR="008532F9" w:rsidRPr="00A66378">
        <w:rPr>
          <w:rFonts w:asciiTheme="minorHAnsi" w:hAnsiTheme="minorHAnsi"/>
        </w:rPr>
        <w:t>de manière</w:t>
      </w:r>
      <w:r w:rsidRPr="00A66378">
        <w:rPr>
          <w:rFonts w:asciiTheme="minorHAnsi" w:hAnsiTheme="minorHAnsi"/>
        </w:rPr>
        <w:t xml:space="preserve"> qu'ils puissent être intégrés plus efficacement dans l'IOMS. Cela comprenait des activités visant à supprimer les redondances dans les SBCS. Le document « Lignes directrices visant à simplifier les feuilles de contrôle s’appliquant aux requins et aux istiophoridés, basées sur celles présentées en 2025 » (</w:t>
      </w:r>
      <w:hyperlink r:id="rId34" w:history="1">
        <w:r w:rsidRPr="00A66378">
          <w:rPr>
            <w:rStyle w:val="Hyperlink"/>
            <w:rFonts w:asciiTheme="minorHAnsi" w:hAnsiTheme="minorHAnsi"/>
            <w:u w:val="none"/>
          </w:rPr>
          <w:t>COC_321/2025</w:t>
        </w:r>
      </w:hyperlink>
      <w:r w:rsidRPr="00A66378">
        <w:rPr>
          <w:rFonts w:asciiTheme="minorHAnsi" w:hAnsiTheme="minorHAnsi"/>
        </w:rPr>
        <w:t xml:space="preserve">) qui résume ces travaux conjoints et contient des lignes directrices visant à rationaliser les travaux d'harmonisation du SBCS, a été présenté par le Président et le Secrétariat lors de la réunion annuelle de la Commission en 2025. Le contexte sur lequel s'appuie le document est décrit dans la section 8 du </w:t>
      </w:r>
      <w:hyperlink r:id="rId35" w:history="1">
        <w:r w:rsidRPr="00A66378">
          <w:rPr>
            <w:rStyle w:val="Hyperlink"/>
            <w:rFonts w:asciiTheme="minorHAnsi" w:hAnsiTheme="minorHAnsi"/>
            <w:u w:val="none"/>
          </w:rPr>
          <w:t>rapport de la réunion du Groupe de travail sur les technologies de gestion en ligne (WG-ORT),</w:t>
        </w:r>
      </w:hyperlink>
      <w:r w:rsidRPr="00A66378">
        <w:rPr>
          <w:rFonts w:asciiTheme="minorHAnsi" w:hAnsiTheme="minorHAnsi"/>
        </w:rPr>
        <w:t>) qui s’est tenue en 2025 ainsi que dans les rapports antérieurs du WG-ORT.</w:t>
      </w:r>
    </w:p>
    <w:p w14:paraId="7A7C9092" w14:textId="77777777" w:rsidR="00957B11" w:rsidRPr="00A66378" w:rsidRDefault="00957B11" w:rsidP="00A66378">
      <w:pPr>
        <w:rPr>
          <w:rFonts w:asciiTheme="minorHAnsi" w:hAnsiTheme="minorHAnsi"/>
        </w:rPr>
      </w:pPr>
    </w:p>
    <w:p w14:paraId="73F56562" w14:textId="3C226D56" w:rsidR="00A043FA" w:rsidRPr="00A66378" w:rsidRDefault="00305F2D" w:rsidP="00A66378">
      <w:pPr>
        <w:rPr>
          <w:rFonts w:asciiTheme="minorHAnsi" w:hAnsiTheme="minorHAnsi"/>
        </w:rPr>
      </w:pPr>
      <w:r w:rsidRPr="00A66378">
        <w:rPr>
          <w:rFonts w:asciiTheme="minorHAnsi" w:hAnsiTheme="minorHAnsi"/>
        </w:rPr>
        <w:t xml:space="preserve">Après avoir brièvement présenté les objectifs du futur module de gestionnaire des SBCS, le Secrétariat a exposé les progrès réalisés dans la standardisation des modèles SBCS actuels au format tableur (EXCEL), dans le but d'atteindre les objectifs à court terme décrits dans la section des  « Lignes directrices visant à simplifier les feuilles de contrôle s’appliquant aux requins et aux istiophoridés, basées sur celles présentées en 2025 » </w:t>
      </w:r>
      <w:hyperlink r:id="rId36" w:history="1">
        <w:r w:rsidRPr="00A66378">
          <w:rPr>
            <w:rStyle w:val="Hyperlink"/>
            <w:rFonts w:asciiTheme="minorHAnsi" w:hAnsiTheme="minorHAnsi"/>
            <w:u w:val="none"/>
          </w:rPr>
          <w:t>(COC_321/2025)</w:t>
        </w:r>
      </w:hyperlink>
      <w:r w:rsidRPr="00A66378">
        <w:rPr>
          <w:rFonts w:asciiTheme="minorHAnsi" w:hAnsiTheme="minorHAnsi"/>
        </w:rPr>
        <w:t>. Ils constituent les travaux préliminaires en vue de la création des formulaires standard SBCS sous Excel (types de formulaires des CP). Le Secrétariat a présenté la structure tabulaire recommandée (champs) et a démontré l'utilité de certaines caractéristiques des formulaires standard de l’ICCAT. Des fonctionnalités telles que le multilinguisme, l'intégration des codes ICCAT, l'intégration d'instructions dans les trois langues officielles de l'ICCAT, les réponses limitées, une édition limitée dans certaines gammes de cellules, la capacité de filtrage, entre autres, rendent le remplissage de ces formulaires standard plus objectif et moins sujet aux erreurs, tout en simplifiant le traitement et le stockage des informations saisies dans ces modèles. L'exemple SBCS présenté pour les istiophoridés (environ 22 questions) servira également à élaborer le formulaire SBCS pour les requins (environ 84 questions). Chaque question sera dotée d'un numéro unique afin de faciliter les modifications futures des feuilles de contrôle et de conserver l'historique. Les réponses aux feuilles de contrôle sur les requins et les istiophoridés fournies par les CPC dans les modèles actuels pour les trois dernières années (2023 à 2025) seront utilisées (après avoir été traitées et standardisées) pour affiner les nouveaux formulaires SBSC concernant à la fois les requins et les istiophoridés. Le Secrétariat continuera à perfectionner les nouveaux modèles jusqu'à ce qu'une version plus aboutie soit prête à être examinée lors de la réunion annuelle de la Commission en 2026.</w:t>
      </w:r>
    </w:p>
    <w:p w14:paraId="519A512A" w14:textId="77777777" w:rsidR="00DE201A" w:rsidRPr="00A66378" w:rsidRDefault="00DE201A" w:rsidP="00A66378">
      <w:pPr>
        <w:rPr>
          <w:rFonts w:asciiTheme="minorHAnsi" w:hAnsiTheme="minorHAnsi"/>
        </w:rPr>
      </w:pPr>
    </w:p>
    <w:p w14:paraId="383212FD" w14:textId="7ECDDB87" w:rsidR="0093554D" w:rsidRPr="00A66378" w:rsidRDefault="001668DB" w:rsidP="00A66378">
      <w:pPr>
        <w:rPr>
          <w:rFonts w:asciiTheme="minorHAnsi" w:hAnsiTheme="minorHAnsi"/>
        </w:rPr>
      </w:pPr>
      <w:r w:rsidRPr="00A66378">
        <w:rPr>
          <w:rFonts w:asciiTheme="minorHAnsi" w:hAnsiTheme="minorHAnsi"/>
        </w:rPr>
        <w:t xml:space="preserve">Le Président a félicité le Secrétariat pour les progrès accomplis dans ce domaine et a demandé aux participants de lui faire part de leurs commentaires sur la proposition du Secrétariat. Constatant que le Groupe pourrait devoir mener des travaux supplémentaires pour examiner en détail la structure et les formats proposés pour les modèles, le Président a proposé d'aborder ces questions de manière approfondie au titre du point 12 de l’ordre du jour « Travaux intersessions requis en 2026 ». Le Groupe a approuvé la proposition du Président. </w:t>
      </w:r>
    </w:p>
    <w:p w14:paraId="432C3C3C" w14:textId="77777777" w:rsidR="007F6C40" w:rsidRPr="00A66378" w:rsidRDefault="007F6C40" w:rsidP="00A66378">
      <w:pPr>
        <w:rPr>
          <w:rFonts w:asciiTheme="minorHAnsi" w:hAnsiTheme="minorHAnsi"/>
        </w:rPr>
      </w:pPr>
    </w:p>
    <w:p w14:paraId="55A7E8F6" w14:textId="01BD9F68" w:rsidR="00CF0787" w:rsidRPr="00A66378" w:rsidRDefault="007474D5" w:rsidP="000F05DF">
      <w:pPr>
        <w:pStyle w:val="Heading3"/>
        <w:numPr>
          <w:ilvl w:val="0"/>
          <w:numId w:val="0"/>
        </w:numPr>
        <w:spacing w:before="0"/>
        <w:rPr>
          <w:b w:val="0"/>
          <w:bCs w:val="0"/>
        </w:rPr>
      </w:pPr>
      <w:r>
        <w:rPr>
          <w:b w:val="0"/>
        </w:rPr>
        <w:t>5</w:t>
      </w:r>
      <w:r w:rsidR="000F05DF">
        <w:rPr>
          <w:b w:val="0"/>
        </w:rPr>
        <w:t>.1.</w:t>
      </w:r>
      <w:r>
        <w:rPr>
          <w:b w:val="0"/>
        </w:rPr>
        <w:t>6</w:t>
      </w:r>
      <w:r w:rsidR="000F05DF">
        <w:rPr>
          <w:b w:val="0"/>
        </w:rPr>
        <w:t xml:space="preserve"> </w:t>
      </w:r>
      <w:r w:rsidR="00CF0787" w:rsidRPr="00A66378">
        <w:rPr>
          <w:b w:val="0"/>
        </w:rPr>
        <w:t>Améliorations apportées à l'architecture de l’IOMS</w:t>
      </w:r>
    </w:p>
    <w:p w14:paraId="25AFF803" w14:textId="77777777" w:rsidR="0072165C" w:rsidRPr="00A66378" w:rsidRDefault="0072165C" w:rsidP="00A66378">
      <w:pPr>
        <w:rPr>
          <w:rFonts w:asciiTheme="minorHAnsi" w:hAnsiTheme="minorHAnsi"/>
        </w:rPr>
      </w:pPr>
    </w:p>
    <w:p w14:paraId="0C78B5E1" w14:textId="0C29E554" w:rsidR="00DB3834" w:rsidRPr="00A66378" w:rsidRDefault="0072165C" w:rsidP="00A66378">
      <w:pPr>
        <w:rPr>
          <w:rFonts w:asciiTheme="minorHAnsi" w:hAnsiTheme="minorHAnsi"/>
        </w:rPr>
      </w:pPr>
      <w:r w:rsidRPr="00A66378">
        <w:rPr>
          <w:rFonts w:asciiTheme="minorHAnsi" w:hAnsiTheme="minorHAnsi"/>
        </w:rPr>
        <w:t xml:space="preserve">Le Secrétariat a réalisé une présentation qui décrivait les raisons qui justifiaient la nécessité de moderniser l'architecture de l'IOMS et a fait le point sur les progrès réalisés au cours de l'année écoulée. La mise à niveau des deux environnements IOMS requis (production et </w:t>
      </w:r>
      <w:proofErr w:type="spellStart"/>
      <w:r w:rsidRPr="00A66378">
        <w:rPr>
          <w:rFonts w:asciiTheme="minorHAnsi" w:hAnsiTheme="minorHAnsi"/>
        </w:rPr>
        <w:t>sandbox</w:t>
      </w:r>
      <w:proofErr w:type="spellEnd"/>
      <w:r w:rsidRPr="00A66378">
        <w:rPr>
          <w:rFonts w:asciiTheme="minorHAnsi" w:hAnsiTheme="minorHAnsi"/>
        </w:rPr>
        <w:t xml:space="preserve">) a été achevée au cours des deux derniers mois. La nouvelle architecture a été déployée dans un centre de données Microsoft Azure (en utilisant </w:t>
      </w:r>
      <w:proofErr w:type="spellStart"/>
      <w:r w:rsidRPr="00A66378">
        <w:rPr>
          <w:rFonts w:asciiTheme="minorHAnsi" w:hAnsiTheme="minorHAnsi"/>
        </w:rPr>
        <w:t>Kubernetes</w:t>
      </w:r>
      <w:proofErr w:type="spellEnd"/>
      <w:r w:rsidRPr="00A66378">
        <w:rPr>
          <w:rFonts w:asciiTheme="minorHAnsi" w:hAnsiTheme="minorHAnsi"/>
        </w:rPr>
        <w:t xml:space="preserve"> pour orchestrer, déployer et gérer automatiquement les nœuds de serveurs cloud), en remplacement des anciens serveurs cloud IOMS déployés dans le centre de données </w:t>
      </w:r>
      <w:proofErr w:type="spellStart"/>
      <w:r w:rsidRPr="00A66378">
        <w:rPr>
          <w:rFonts w:asciiTheme="minorHAnsi" w:hAnsiTheme="minorHAnsi"/>
        </w:rPr>
        <w:t>Rackspace</w:t>
      </w:r>
      <w:proofErr w:type="spellEnd"/>
      <w:r w:rsidRPr="00A66378">
        <w:rPr>
          <w:rFonts w:asciiTheme="minorHAnsi" w:hAnsiTheme="minorHAnsi"/>
        </w:rPr>
        <w:t>, qui sera fermé une fois la réplication du serveur FLUX-TL effectuée sur Azure. Grâce à cette avancée, l'infrastructure IOMS est désormais parée pour l'avenir, notamment dans les domaines clés pour l'IOMS tels que l'amélioration de la flexibilité, de la résilience, de l'évolutivité et de la maintenance.</w:t>
      </w:r>
    </w:p>
    <w:p w14:paraId="24FD919E" w14:textId="77777777" w:rsidR="00DB3834" w:rsidRPr="00A66378" w:rsidRDefault="00DB3834" w:rsidP="00A66378">
      <w:pPr>
        <w:rPr>
          <w:rFonts w:asciiTheme="minorHAnsi" w:hAnsiTheme="minorHAnsi"/>
        </w:rPr>
      </w:pPr>
    </w:p>
    <w:p w14:paraId="7B0A8B08" w14:textId="3E4F7286" w:rsidR="0072165C" w:rsidRPr="00A66378" w:rsidRDefault="006848BB" w:rsidP="00A66378">
      <w:pPr>
        <w:rPr>
          <w:rFonts w:asciiTheme="minorHAnsi" w:hAnsiTheme="minorHAnsi"/>
        </w:rPr>
      </w:pPr>
      <w:r w:rsidRPr="00A66378">
        <w:rPr>
          <w:rFonts w:asciiTheme="minorHAnsi" w:hAnsiTheme="minorHAnsi"/>
        </w:rPr>
        <w:t xml:space="preserve">L'équipe IOMS a également présenté un bref aperçu des coûts détaillés d'Azure pour les deux environnements, y compris l'augmentation potentielle projetée </w:t>
      </w:r>
      <w:proofErr w:type="gramStart"/>
      <w:r w:rsidRPr="00A66378">
        <w:rPr>
          <w:rFonts w:asciiTheme="minorHAnsi" w:hAnsiTheme="minorHAnsi"/>
        </w:rPr>
        <w:t>des coûts liée</w:t>
      </w:r>
      <w:proofErr w:type="gramEnd"/>
      <w:r w:rsidRPr="00A66378">
        <w:rPr>
          <w:rFonts w:asciiTheme="minorHAnsi" w:hAnsiTheme="minorHAnsi"/>
        </w:rPr>
        <w:t xml:space="preserve"> à l'extension de la capacité des nœuds de serveur IOMS en raison d'une charge de travail accrue pour l’IOMS. Il s'agit de chiffres très préliminaires qui ne couvrent pas une année complète (seulement six mois de production pour le Gestionnaire de navires et le Gestionnaire de formulaires). Ainsi, le coût total observé de 9.000 €/an aurait </w:t>
      </w:r>
      <w:r w:rsidRPr="00A66378">
        <w:rPr>
          <w:rFonts w:asciiTheme="minorHAnsi" w:hAnsiTheme="minorHAnsi"/>
        </w:rPr>
        <w:lastRenderedPageBreak/>
        <w:t>été d'environ 14.000 €/an si l'on avait pris en compte les spécifications actuelles en matière de ressources des deux environnements IOMS. Des statistiques plus complètes seront présentées ultérieurement. Le Secrétariat a également indiqué qu'il travaillait actuellement sur des tâches de calibrage pour les deux environnements IOMS (p. ex., l'intégration d'un cache local pour accélérer les opérations essentielles), ce qui permettra d'optimiser davantage la vitesse et l'efficacité de l'IOMS.</w:t>
      </w:r>
    </w:p>
    <w:p w14:paraId="5E84AA2A" w14:textId="77777777" w:rsidR="0072165C" w:rsidRPr="00A66378" w:rsidRDefault="0072165C" w:rsidP="00A66378">
      <w:pPr>
        <w:rPr>
          <w:rFonts w:asciiTheme="minorHAnsi" w:hAnsiTheme="minorHAnsi"/>
        </w:rPr>
      </w:pPr>
    </w:p>
    <w:p w14:paraId="3BF34F28" w14:textId="098A62CD" w:rsidR="00C24ECF" w:rsidRPr="00A66378" w:rsidRDefault="00C24ECF" w:rsidP="00A66378">
      <w:pPr>
        <w:rPr>
          <w:rFonts w:asciiTheme="minorHAnsi" w:hAnsiTheme="minorHAnsi"/>
        </w:rPr>
      </w:pPr>
      <w:r w:rsidRPr="00A66378">
        <w:rPr>
          <w:rFonts w:asciiTheme="minorHAnsi" w:hAnsiTheme="minorHAnsi"/>
        </w:rPr>
        <w:t xml:space="preserve">Au cours de la discussion, le Groupe a salué la présentation de la nouvelle architecture de l'IOMS et a reconnu les efforts déployés pour renforcer la robustesse, la stabilité et la sécurité du système. L'importance d'assurer la viabilité à long terme et l'évolutivité à la demande du système a été soulignée. Le Groupe s'est également félicité de l'augmentation constatée de l'utilisation de l'IOMS par les CPC de l’ICCAT au cours de l'année 2025. </w:t>
      </w:r>
    </w:p>
    <w:p w14:paraId="7AD7D587" w14:textId="77777777" w:rsidR="00C24ECF" w:rsidRPr="00A66378" w:rsidRDefault="00C24ECF" w:rsidP="00A66378">
      <w:pPr>
        <w:rPr>
          <w:rFonts w:asciiTheme="minorHAnsi" w:hAnsiTheme="minorHAnsi"/>
        </w:rPr>
      </w:pPr>
    </w:p>
    <w:p w14:paraId="59A284D8" w14:textId="0C837AC4" w:rsidR="00536B1E" w:rsidRPr="00A66378" w:rsidRDefault="003E27CF" w:rsidP="00A66378">
      <w:pPr>
        <w:rPr>
          <w:rFonts w:asciiTheme="minorHAnsi" w:hAnsiTheme="minorHAnsi"/>
        </w:rPr>
      </w:pPr>
      <w:r w:rsidRPr="00A66378">
        <w:rPr>
          <w:rFonts w:asciiTheme="minorHAnsi" w:hAnsiTheme="minorHAnsi"/>
        </w:rPr>
        <w:t xml:space="preserve">Les membres du WG-ORT ont demandé des précisions sur les implications de cette transition architecturale, notamment en ce qui concerne les coûts d'exploitation, les besoins en infrastructures et l'impact prévu sur les performances du système. Le Secrétariat a expliqué que la migration vers une nouvelle architecture visait à améliorer la résilience et les normes de sécurité, tout en permettant une plus grande souplesse pour les développements futurs. Il a été noté que les besoins en infrastructure pourraient augmenter en termes de puissance et de ressources (p. ex. davantage de processeurs, de mémoire et d'espace de stockage) à mesure que de nouveaux modules seront intégrés et que l'utilisation du système s'intensifiera. La nouvelle architecture remplacera entièrement l'ancienne, une fois que le serveur FLUX-TL (hébergé chez </w:t>
      </w:r>
      <w:proofErr w:type="spellStart"/>
      <w:r w:rsidRPr="00A66378">
        <w:rPr>
          <w:rFonts w:asciiTheme="minorHAnsi" w:hAnsiTheme="minorHAnsi"/>
        </w:rPr>
        <w:t>Rackspace</w:t>
      </w:r>
      <w:proofErr w:type="spellEnd"/>
      <w:r w:rsidRPr="00A66378">
        <w:rPr>
          <w:rFonts w:asciiTheme="minorHAnsi" w:hAnsiTheme="minorHAnsi"/>
        </w:rPr>
        <w:t xml:space="preserve">) aura été déployé sur Azure. </w:t>
      </w:r>
    </w:p>
    <w:p w14:paraId="3CF287F8" w14:textId="77777777" w:rsidR="00476B9D" w:rsidRPr="00A66378" w:rsidRDefault="00476B9D" w:rsidP="00A66378">
      <w:pPr>
        <w:rPr>
          <w:rFonts w:asciiTheme="minorHAnsi" w:hAnsiTheme="minorHAnsi"/>
        </w:rPr>
      </w:pPr>
    </w:p>
    <w:p w14:paraId="6FEF68ED" w14:textId="2533F8AF" w:rsidR="00EF676B" w:rsidRDefault="00DB3834" w:rsidP="00A66378">
      <w:pPr>
        <w:rPr>
          <w:rFonts w:asciiTheme="minorHAnsi" w:hAnsiTheme="minorHAnsi"/>
        </w:rPr>
      </w:pPr>
      <w:r w:rsidRPr="00A66378">
        <w:rPr>
          <w:rFonts w:asciiTheme="minorHAnsi" w:hAnsiTheme="minorHAnsi"/>
        </w:rPr>
        <w:t xml:space="preserve">Le WG-ORT a pris note des informations fournies et a encouragé le Secrétariat à continuer de prêter une attention particulière à l'évolutivité, à la rentabilité et à l'assistance aux utilisateurs à mesure que les améliorations architecturales sont mises en place. Après un débat sur les besoins budgétaires actuels et futurs de l'IOMS pour son infrastructure, notamment en prévision de l'augmentation de la demande en capacité de serveurs liée à l'ajout de nouveaux modules à long terme, le Président a proposé de présenter au Comité permanent pour les finances </w:t>
      </w:r>
      <w:r w:rsidR="00A20BD2" w:rsidRPr="00A66378">
        <w:rPr>
          <w:rFonts w:asciiTheme="minorHAnsi" w:hAnsiTheme="minorHAnsi"/>
        </w:rPr>
        <w:t>et l’administration</w:t>
      </w:r>
      <w:r w:rsidRPr="00A66378">
        <w:rPr>
          <w:rFonts w:asciiTheme="minorHAnsi" w:hAnsiTheme="minorHAnsi"/>
        </w:rPr>
        <w:t xml:space="preserve"> (STACFAD), lors de la réunion annuelle de 2026, un budget révisé de l'IOMS intégrant ce nouvel élément (objectif d'environ 14.000 € par an). La proposition a été appuyée par plusieurs participants. Le pic d'utilisation des ressources matérielles de l'IOMS observé en septembre 2025, dû à la mise en production de deux nouveaux modules (Gestionnaire de navires et Gestionnaire de formulaires), confirme à quel point la capacité d'extension matérielle est essentielle au bon fonctionnement de l'IOMS.</w:t>
      </w:r>
    </w:p>
    <w:p w14:paraId="5CA8257C" w14:textId="77777777" w:rsidR="00A20BD2" w:rsidRPr="00A66378" w:rsidRDefault="00A20BD2" w:rsidP="00A66378">
      <w:pPr>
        <w:rPr>
          <w:rFonts w:asciiTheme="minorHAnsi" w:hAnsiTheme="minorHAnsi"/>
        </w:rPr>
      </w:pPr>
    </w:p>
    <w:p w14:paraId="72699422" w14:textId="7F065387" w:rsidR="002C0729" w:rsidRPr="00A66378" w:rsidRDefault="00A20BD2" w:rsidP="00A20BD2">
      <w:pPr>
        <w:pStyle w:val="Heading2"/>
        <w:numPr>
          <w:ilvl w:val="0"/>
          <w:numId w:val="0"/>
        </w:numPr>
        <w:spacing w:before="0" w:after="0"/>
        <w:rPr>
          <w:rFonts w:asciiTheme="minorHAnsi" w:hAnsiTheme="minorHAnsi"/>
        </w:rPr>
      </w:pPr>
      <w:r>
        <w:rPr>
          <w:rFonts w:asciiTheme="minorHAnsi" w:hAnsiTheme="minorHAnsi"/>
        </w:rPr>
        <w:t xml:space="preserve">5.2 </w:t>
      </w:r>
      <w:r w:rsidR="005F46C3" w:rsidRPr="00A66378">
        <w:rPr>
          <w:rFonts w:asciiTheme="minorHAnsi" w:hAnsiTheme="minorHAnsi"/>
        </w:rPr>
        <w:t xml:space="preserve">Améliorations potentielles </w:t>
      </w:r>
    </w:p>
    <w:p w14:paraId="35857961" w14:textId="77777777" w:rsidR="009C12CF" w:rsidRDefault="009C12CF" w:rsidP="00A66378">
      <w:pPr>
        <w:rPr>
          <w:rFonts w:asciiTheme="minorHAnsi" w:hAnsiTheme="minorHAnsi"/>
        </w:rPr>
      </w:pPr>
    </w:p>
    <w:p w14:paraId="4C5AF120" w14:textId="5E9D8ADB" w:rsidR="00280152" w:rsidRPr="00A66378" w:rsidRDefault="00C01B3F" w:rsidP="00A66378">
      <w:pPr>
        <w:rPr>
          <w:rFonts w:asciiTheme="minorHAnsi" w:hAnsiTheme="minorHAnsi"/>
        </w:rPr>
      </w:pPr>
      <w:r w:rsidRPr="00A66378">
        <w:rPr>
          <w:rFonts w:asciiTheme="minorHAnsi" w:hAnsiTheme="minorHAnsi"/>
        </w:rPr>
        <w:t xml:space="preserve">Deux documents ont été élaborés pour cette section : « Quelques commentaires sur l'amélioration des spécifications de l’IOMS » présenté par le </w:t>
      </w:r>
      <w:r w:rsidR="009C12CF" w:rsidRPr="00A66378">
        <w:rPr>
          <w:rFonts w:asciiTheme="minorHAnsi" w:hAnsiTheme="minorHAnsi"/>
        </w:rPr>
        <w:t>Japon et</w:t>
      </w:r>
      <w:r w:rsidRPr="00A66378">
        <w:rPr>
          <w:rFonts w:asciiTheme="minorHAnsi" w:hAnsiTheme="minorHAnsi"/>
        </w:rPr>
        <w:t xml:space="preserve"> une présentation préparée par l'équipe de l'IOMS.</w:t>
      </w:r>
    </w:p>
    <w:p w14:paraId="7745EF1C" w14:textId="77777777" w:rsidR="00280152" w:rsidRPr="00A66378" w:rsidRDefault="00280152" w:rsidP="00A66378">
      <w:pPr>
        <w:rPr>
          <w:rFonts w:asciiTheme="minorHAnsi" w:hAnsiTheme="minorHAnsi"/>
        </w:rPr>
      </w:pPr>
    </w:p>
    <w:p w14:paraId="50043274" w14:textId="5DC93977" w:rsidR="00280152" w:rsidRPr="00A66378" w:rsidRDefault="00280152" w:rsidP="00A66378">
      <w:pPr>
        <w:rPr>
          <w:rFonts w:asciiTheme="minorHAnsi" w:hAnsiTheme="minorHAnsi"/>
        </w:rPr>
      </w:pPr>
      <w:r w:rsidRPr="00A66378">
        <w:rPr>
          <w:rFonts w:asciiTheme="minorHAnsi" w:hAnsiTheme="minorHAnsi"/>
        </w:rPr>
        <w:t xml:space="preserve">La présentation du Japon a donné lieu à une série de suggestions visant à améliorer l'IOMS dans son ensemble. La première partie contenait des remarques générales sur la manière dont le projet devrait avancer. La deuxième partie comprenait une série de remarques techniques visant à résoudre des fonctionnalités spécifiques. Dans l'ensemble, les suggestions portaient principalement sur des ajustements pratiques visant à améliorer la clarté, l'efficacité et l'expérience utilisateur pour les CPC. La présentation a mis en évidence les domaines dans lesquels les spécifications du système pourraient être affinées afin de faciliter la transmission des données, d'améliorer la transparence des processus de validation et de rationaliser les interactions entre les CPC et le Secrétariat. Parmi les suggestions figuraient la clarification de certaines exigences techniques, le renforcement des mécanismes de retour d'information en cas de détection d'erreurs, ainsi que l'amélioration de la visibilité sur l'état de déclaration et les délais. Le Japon a souligné que les améliorations proposées visent à favoriser une déclaration plus efficace, à alléger certaines charges administratives et à renforcer la fiabilité et la facilité d'utilisation de l'IOMS. Enfin, le Japon a remercié le Secrétariat pour son travail acharné et le Président pour ses efforts visant à améliorer sans cesse l'IOMS. </w:t>
      </w:r>
    </w:p>
    <w:p w14:paraId="690E40D4" w14:textId="77777777" w:rsidR="003E27CF" w:rsidRPr="00A66378" w:rsidRDefault="003E27CF" w:rsidP="00A66378">
      <w:pPr>
        <w:rPr>
          <w:rFonts w:asciiTheme="minorHAnsi" w:hAnsiTheme="minorHAnsi"/>
        </w:rPr>
      </w:pPr>
    </w:p>
    <w:p w14:paraId="4111335A" w14:textId="7D98F071" w:rsidR="00280152" w:rsidRPr="00A66378" w:rsidRDefault="0042752F" w:rsidP="00A66378">
      <w:pPr>
        <w:rPr>
          <w:rFonts w:asciiTheme="minorHAnsi" w:hAnsiTheme="minorHAnsi"/>
        </w:rPr>
      </w:pPr>
      <w:r w:rsidRPr="00A66378">
        <w:rPr>
          <w:rFonts w:asciiTheme="minorHAnsi" w:hAnsiTheme="minorHAnsi"/>
        </w:rPr>
        <w:t xml:space="preserve">Le Président a remercié la délégation japonaise d'avoir présenté ce document, qui contient une série de suggestions pertinentes visant à rationaliser et à améliorer l'IOMS, en rappelant que ce sont précisément ce genre de contributions qui renforcent véritablement l'IOMS à long terme. Le Secrétariat s'est joint au Président pour remercier le Japon et a informé le Groupe qu'il était déjà en train d'intégrer certaines de ces améliorations dans l'IOMS. </w:t>
      </w:r>
    </w:p>
    <w:p w14:paraId="15D0E127" w14:textId="7F42690F" w:rsidR="0042752F" w:rsidRPr="00A66378" w:rsidRDefault="0042752F" w:rsidP="00A66378">
      <w:pPr>
        <w:rPr>
          <w:rFonts w:asciiTheme="minorHAnsi" w:hAnsiTheme="minorHAnsi"/>
        </w:rPr>
      </w:pPr>
      <w:r w:rsidRPr="00A66378">
        <w:rPr>
          <w:rFonts w:asciiTheme="minorHAnsi" w:hAnsiTheme="minorHAnsi"/>
        </w:rPr>
        <w:lastRenderedPageBreak/>
        <w:t>Au cours de la discussion, les membres ont salué le caractère détaillé et concret des observations présentées par le Japon. Plusieurs délégations ont estimé qu'il était essentiel de perfectionner en permanence les spécifications de l'IOMS afin de garantir l'efficacité, la transparence et la facilité d'utilisation. Les participants ont échangé leurs points de vue sur des aspects techniques spécifiques abordés lors de la présentation, notamment la clarté des validations du système, la gestion des messages d'erreur et la visibilité de l'état de déclaration au sein de la plateforme. Il a été noté que des mécanismes de retour d'information plus clairs et plus détaillés pourraient aider les CPC à identifier et à corriger les incohérences plus efficacement, réduisant ainsi la communication dans les deux sens avec le Secrétariat.</w:t>
      </w:r>
    </w:p>
    <w:p w14:paraId="56421C8E" w14:textId="77777777" w:rsidR="0042752F" w:rsidRPr="00A66378" w:rsidRDefault="0042752F" w:rsidP="00A66378">
      <w:pPr>
        <w:rPr>
          <w:rFonts w:asciiTheme="minorHAnsi" w:hAnsiTheme="minorHAnsi"/>
        </w:rPr>
      </w:pPr>
    </w:p>
    <w:p w14:paraId="6ADAAE7F" w14:textId="55EDA47D" w:rsidR="0042752F" w:rsidRPr="00A66378" w:rsidRDefault="0042752F" w:rsidP="00A66378">
      <w:pPr>
        <w:rPr>
          <w:rFonts w:asciiTheme="minorHAnsi" w:hAnsiTheme="minorHAnsi"/>
        </w:rPr>
      </w:pPr>
      <w:r w:rsidRPr="00A66378">
        <w:rPr>
          <w:rFonts w:asciiTheme="minorHAnsi" w:hAnsiTheme="minorHAnsi"/>
        </w:rPr>
        <w:t>Le Secrétariat a répondu aux différents points soulevés, en précisant les contraintes techniques le cas échéant et en indiquant que certaines suggestions devaient faire l'objet d'une étude approfondie et pourraient être prises en compte dans le cadre de futures améliorations de l'IOMS. Il a également été souligné que toute amélioration supplémentaire devrait tenir compte des priorités du plan de travail actuel, qui imposent déjà une charge de travail importante à l'équipe restreinte de l'IOMS et aux ressources humaines du Secrétariat.</w:t>
      </w:r>
    </w:p>
    <w:p w14:paraId="114D6BBD" w14:textId="77777777" w:rsidR="009E218B" w:rsidRPr="00A66378" w:rsidRDefault="009E218B" w:rsidP="00A66378">
      <w:pPr>
        <w:rPr>
          <w:rFonts w:asciiTheme="minorHAnsi" w:hAnsiTheme="minorHAnsi"/>
        </w:rPr>
      </w:pPr>
    </w:p>
    <w:p w14:paraId="731E9121" w14:textId="62651E0B" w:rsidR="0042752F" w:rsidRPr="00A66378" w:rsidRDefault="0042752F" w:rsidP="00A66378">
      <w:pPr>
        <w:rPr>
          <w:rFonts w:asciiTheme="minorHAnsi" w:hAnsiTheme="minorHAnsi"/>
        </w:rPr>
      </w:pPr>
      <w:r w:rsidRPr="00A66378">
        <w:rPr>
          <w:rFonts w:asciiTheme="minorHAnsi" w:hAnsiTheme="minorHAnsi"/>
        </w:rPr>
        <w:t>Le Groupe de travail a encouragé les CPC à continuer de soumettre des propositions concrètes et a apporté son soutien à la collaboration en cours entre le Secrétariat et les utilisateurs afin d'affiner progressivement les spécifications de l'IOMS de manière structurée et coordonnée.</w:t>
      </w:r>
    </w:p>
    <w:p w14:paraId="7808A5B9" w14:textId="77777777" w:rsidR="0042752F" w:rsidRPr="00A66378" w:rsidRDefault="0042752F" w:rsidP="00A66378">
      <w:pPr>
        <w:rPr>
          <w:rFonts w:asciiTheme="minorHAnsi" w:hAnsiTheme="minorHAnsi"/>
        </w:rPr>
      </w:pPr>
    </w:p>
    <w:p w14:paraId="56860921" w14:textId="6F4D2000" w:rsidR="003D6DB6" w:rsidRPr="00A66378" w:rsidRDefault="000A1E36" w:rsidP="00A66378">
      <w:pPr>
        <w:rPr>
          <w:rFonts w:asciiTheme="minorHAnsi" w:hAnsiTheme="minorHAnsi"/>
        </w:rPr>
      </w:pPr>
      <w:r w:rsidRPr="00A66378">
        <w:rPr>
          <w:rFonts w:asciiTheme="minorHAnsi" w:hAnsiTheme="minorHAnsi"/>
        </w:rPr>
        <w:t>Le Secrétariat a présenté une liste des améliorations potentielles du système IOMS (celles en cours d'examen depuis 2025 et les nouvelles pour 2026), sur la base de l'expérience opérationnelle et des commentaires reçus des CPC au cours de l'année 2025. La liste mise à jour comprend au total 19 propositions (dont neuf nouvelles). Comme les années précédentes, chaque amélioration potentielle a été évaluée par le WG-ORT en termes d'utilité, de coût de développement (temps) et de faisabilité de la mise en œuvre. Le WG-ORT a établi ses priorités (élevées, moyennes, faibles), en rappelant que le travail d'amélioration ne devait pas interférer avec l'exécution normale du plan de travail de l'IOMS.</w:t>
      </w:r>
    </w:p>
    <w:p w14:paraId="21989F18" w14:textId="77777777" w:rsidR="003D6DB6" w:rsidRPr="00A66378" w:rsidRDefault="003D6DB6" w:rsidP="00A66378">
      <w:pPr>
        <w:rPr>
          <w:rFonts w:asciiTheme="minorHAnsi" w:hAnsiTheme="minorHAnsi"/>
        </w:rPr>
      </w:pPr>
    </w:p>
    <w:p w14:paraId="0BB84D4D" w14:textId="3EAEEE44" w:rsidR="009C5C05" w:rsidRDefault="007E2252" w:rsidP="00A66378">
      <w:pPr>
        <w:rPr>
          <w:rFonts w:asciiTheme="minorHAnsi" w:hAnsiTheme="minorHAnsi"/>
        </w:rPr>
      </w:pPr>
      <w:r w:rsidRPr="00A66378">
        <w:rPr>
          <w:rFonts w:asciiTheme="minorHAnsi" w:hAnsiTheme="minorHAnsi"/>
        </w:rPr>
        <w:t xml:space="preserve">Au cours de la discussion, les participants ont exprimé leur soutien à la poursuite de l'amélioration du système et ont formulé des suggestions supplémentaires visant à améliorer l'expérience de l’utilisateur. Une attention particulière a été accordée à l'amélioration des mécanismes de notification liés aux soumissions en attente et aux échéances qui approchent. Le Président a pris note de l'approbation par le Groupe de travail de la liste définitive des améliorations proposées pour 2026 (détaillées dans le </w:t>
      </w:r>
      <w:r w:rsidR="004A3EBF" w:rsidRPr="00A66378">
        <w:rPr>
          <w:rFonts w:asciiTheme="minorHAnsi" w:hAnsiTheme="minorHAnsi"/>
          <w:b/>
        </w:rPr>
        <w:fldChar w:fldCharType="begin"/>
      </w:r>
      <w:r w:rsidR="004A3EBF" w:rsidRPr="00A66378">
        <w:rPr>
          <w:rFonts w:asciiTheme="minorHAnsi" w:hAnsiTheme="minorHAnsi"/>
        </w:rPr>
        <w:instrText xml:space="preserve"> REF _Ref193563249 \h </w:instrText>
      </w:r>
      <w:r w:rsidR="004A3EBF" w:rsidRPr="00A66378">
        <w:rPr>
          <w:rFonts w:asciiTheme="minorHAnsi" w:hAnsiTheme="minorHAnsi"/>
          <w:b/>
        </w:rPr>
        <w:instrText xml:space="preserve"> \* MERGEFORMAT </w:instrText>
      </w:r>
      <w:r w:rsidR="004A3EBF" w:rsidRPr="00A66378">
        <w:rPr>
          <w:rFonts w:asciiTheme="minorHAnsi" w:hAnsiTheme="minorHAnsi"/>
          <w:b/>
        </w:rPr>
      </w:r>
      <w:r w:rsidR="004A3EBF" w:rsidRPr="00A66378">
        <w:rPr>
          <w:rFonts w:asciiTheme="minorHAnsi" w:hAnsiTheme="minorHAnsi"/>
          <w:b/>
        </w:rPr>
        <w:fldChar w:fldCharType="separate"/>
      </w:r>
      <w:r w:rsidR="004A3EBF" w:rsidRPr="00A66378">
        <w:rPr>
          <w:rFonts w:asciiTheme="minorHAnsi" w:hAnsiTheme="minorHAnsi"/>
          <w:b/>
          <w:color w:val="auto"/>
        </w:rPr>
        <w:t>Table 2</w:t>
      </w:r>
      <w:r w:rsidR="004A3EBF" w:rsidRPr="00A66378">
        <w:rPr>
          <w:rFonts w:asciiTheme="minorHAnsi" w:hAnsiTheme="minorHAnsi"/>
          <w:b/>
        </w:rPr>
        <w:fldChar w:fldCharType="end"/>
      </w:r>
      <w:r w:rsidRPr="00A66378">
        <w:rPr>
          <w:rFonts w:asciiTheme="minorHAnsi" w:hAnsiTheme="minorHAnsi"/>
          <w:b/>
        </w:rPr>
        <w:t>)</w:t>
      </w:r>
      <w:r w:rsidRPr="00A66378">
        <w:rPr>
          <w:rFonts w:asciiTheme="minorHAnsi" w:hAnsiTheme="minorHAnsi"/>
        </w:rPr>
        <w:t>. Le Groupe a encouragé le Secrétariat à continuer de recueillir les commentaires des utilisateurs de l'IOMS concernant cet objectif précis.</w:t>
      </w:r>
    </w:p>
    <w:p w14:paraId="1D1F5FAB" w14:textId="77777777" w:rsidR="009578DC" w:rsidRPr="00A66378" w:rsidRDefault="009578DC" w:rsidP="00A66378">
      <w:pPr>
        <w:rPr>
          <w:rFonts w:asciiTheme="minorHAnsi" w:hAnsiTheme="minorHAnsi"/>
        </w:rPr>
      </w:pPr>
    </w:p>
    <w:p w14:paraId="32182DA6" w14:textId="5EA73454" w:rsidR="00021512" w:rsidRPr="00A66378" w:rsidRDefault="009578DC" w:rsidP="009578DC">
      <w:pPr>
        <w:pStyle w:val="Heading2"/>
        <w:numPr>
          <w:ilvl w:val="0"/>
          <w:numId w:val="0"/>
        </w:numPr>
        <w:spacing w:before="0" w:after="0"/>
        <w:rPr>
          <w:rFonts w:asciiTheme="minorHAnsi" w:hAnsiTheme="minorHAnsi"/>
        </w:rPr>
      </w:pPr>
      <w:r>
        <w:rPr>
          <w:rFonts w:asciiTheme="minorHAnsi" w:hAnsiTheme="minorHAnsi"/>
        </w:rPr>
        <w:t xml:space="preserve">5.3 </w:t>
      </w:r>
      <w:r w:rsidR="00021512" w:rsidRPr="00A66378">
        <w:rPr>
          <w:rFonts w:asciiTheme="minorHAnsi" w:hAnsiTheme="minorHAnsi"/>
        </w:rPr>
        <w:t>Examen des nouvelles exigences en matière de données adoptées par la Commission en 2025</w:t>
      </w:r>
    </w:p>
    <w:p w14:paraId="2DB428D1" w14:textId="77777777" w:rsidR="009578DC" w:rsidRDefault="009578DC" w:rsidP="00A66378">
      <w:pPr>
        <w:rPr>
          <w:rFonts w:asciiTheme="minorHAnsi" w:hAnsiTheme="minorHAnsi"/>
        </w:rPr>
      </w:pPr>
    </w:p>
    <w:p w14:paraId="27984438" w14:textId="3BB1C3DF" w:rsidR="009F4A60" w:rsidRPr="00A66378" w:rsidRDefault="009F4A60" w:rsidP="00A66378">
      <w:pPr>
        <w:rPr>
          <w:rFonts w:asciiTheme="minorHAnsi" w:hAnsiTheme="minorHAnsi"/>
        </w:rPr>
      </w:pPr>
      <w:r w:rsidRPr="00A66378">
        <w:rPr>
          <w:rFonts w:asciiTheme="minorHAnsi" w:hAnsiTheme="minorHAnsi"/>
        </w:rPr>
        <w:t xml:space="preserve">Le Président du WG-ORT a informé le Groupe que l’ICCAT compte actuellement 184 exigences de déclaration de l’ICCAT pour 2026, dont quatre nouvelles exigences liées aux nouvelles mesures de gestion adoptées par la Commission en 2025.  Toutes les exigences avaient déjà été intégrées dans les modèles de l’IOMS de la section 3 (partie 1 : Statistiques ; Partie 2 : Gestion) du rapport annuel. La liste des exigences pour 2026 comprend 135 exigences relatives à l’application (soit quatre de plus qu'en 2025) et 49 exigences relatives aux statistiques (soit une de plus qu'en 2025). Toutes les exigences peuvent être filtrées et exportées depuis l'IOMS.  Depuis 2021, la liste actualisée des exigences pour 2026 stockées dans l'IOMS est automatiquement publiée (via les API publiques de l'IOMS) dans les trois langues officielles sur le site web de l'ICCAT (Application : </w:t>
      </w:r>
      <w:hyperlink r:id="rId37" w:history="1">
        <w:r w:rsidRPr="00A66378">
          <w:rPr>
            <w:rStyle w:val="Hyperlink"/>
            <w:rFonts w:asciiTheme="minorHAnsi" w:hAnsiTheme="minorHAnsi"/>
            <w:u w:val="none"/>
          </w:rPr>
          <w:t xml:space="preserve">Liste des exigences de 2026 pour la Commission </w:t>
        </w:r>
      </w:hyperlink>
      <w:r w:rsidRPr="00A66378">
        <w:rPr>
          <w:rFonts w:asciiTheme="minorHAnsi" w:hAnsiTheme="minorHAnsi"/>
        </w:rPr>
        <w:t xml:space="preserve"> ; Statistiques : </w:t>
      </w:r>
      <w:hyperlink r:id="rId38" w:history="1">
        <w:r w:rsidRPr="00A66378">
          <w:rPr>
            <w:rStyle w:val="Hyperlink"/>
            <w:rFonts w:asciiTheme="minorHAnsi" w:hAnsiTheme="minorHAnsi"/>
            <w:u w:val="none"/>
          </w:rPr>
          <w:t>Liste des exigences de 2026 pour le SCRS</w:t>
        </w:r>
      </w:hyperlink>
      <w:r w:rsidRPr="00A66378">
        <w:rPr>
          <w:rFonts w:asciiTheme="minorHAnsi" w:hAnsiTheme="minorHAnsi"/>
        </w:rPr>
        <w:t>).</w:t>
      </w:r>
    </w:p>
    <w:p w14:paraId="177DDA0F" w14:textId="77777777" w:rsidR="009F4A60" w:rsidRPr="00A66378" w:rsidRDefault="009F4A60" w:rsidP="00A66378">
      <w:pPr>
        <w:rPr>
          <w:rFonts w:asciiTheme="minorHAnsi" w:hAnsiTheme="minorHAnsi"/>
        </w:rPr>
      </w:pPr>
    </w:p>
    <w:p w14:paraId="41C26D60" w14:textId="77777777" w:rsidR="00DA72CE" w:rsidRPr="00A66378" w:rsidRDefault="009F4A60" w:rsidP="00A66378">
      <w:pPr>
        <w:rPr>
          <w:rFonts w:asciiTheme="minorHAnsi" w:hAnsiTheme="minorHAnsi"/>
        </w:rPr>
      </w:pPr>
      <w:r w:rsidRPr="00A66378">
        <w:rPr>
          <w:rFonts w:asciiTheme="minorHAnsi" w:hAnsiTheme="minorHAnsi"/>
        </w:rPr>
        <w:t>Le Secrétariat a rappelé que, depuis aujourd’hui, les CPC peuvent commencer à compléter les versions préliminaires des rapports annuels de 2026 dans l'IOMS.</w:t>
      </w:r>
    </w:p>
    <w:p w14:paraId="52233063" w14:textId="54A10ED2" w:rsidR="009F4A60" w:rsidRDefault="009F4A60" w:rsidP="00A66378">
      <w:pPr>
        <w:rPr>
          <w:rFonts w:asciiTheme="minorHAnsi" w:hAnsiTheme="minorHAnsi"/>
        </w:rPr>
      </w:pPr>
      <w:r w:rsidRPr="00A66378">
        <w:rPr>
          <w:rFonts w:asciiTheme="minorHAnsi" w:hAnsiTheme="minorHAnsi"/>
        </w:rPr>
        <w:t xml:space="preserve"> </w:t>
      </w:r>
    </w:p>
    <w:p w14:paraId="4009EC1F" w14:textId="77777777" w:rsidR="009578DC" w:rsidRPr="00A66378" w:rsidRDefault="009578DC" w:rsidP="00A66378">
      <w:pPr>
        <w:rPr>
          <w:rFonts w:asciiTheme="minorHAnsi" w:hAnsiTheme="minorHAnsi"/>
        </w:rPr>
      </w:pPr>
    </w:p>
    <w:p w14:paraId="0EFF63B4" w14:textId="77777777" w:rsidR="004528BD" w:rsidRDefault="004528BD">
      <w:pPr>
        <w:pBdr>
          <w:top w:val="none" w:sz="0" w:space="0" w:color="auto"/>
          <w:left w:val="none" w:sz="0" w:space="0" w:color="auto"/>
          <w:bottom w:val="none" w:sz="0" w:space="0" w:color="auto"/>
          <w:right w:val="none" w:sz="0" w:space="0" w:color="auto"/>
          <w:between w:val="none" w:sz="0" w:space="0" w:color="auto"/>
        </w:pBdr>
        <w:spacing w:after="160" w:line="257" w:lineRule="auto"/>
        <w:jc w:val="left"/>
        <w:rPr>
          <w:rFonts w:asciiTheme="minorHAnsi" w:hAnsiTheme="minorHAnsi"/>
          <w:b/>
          <w:bCs/>
        </w:rPr>
      </w:pPr>
      <w:r>
        <w:rPr>
          <w:rFonts w:asciiTheme="minorHAnsi" w:hAnsiTheme="minorHAnsi"/>
        </w:rPr>
        <w:br w:type="page"/>
      </w:r>
    </w:p>
    <w:p w14:paraId="4648B804" w14:textId="4692F64B" w:rsidR="008444F0" w:rsidRPr="00A66378" w:rsidRDefault="009578DC" w:rsidP="009578DC">
      <w:pPr>
        <w:pStyle w:val="Heading1"/>
        <w:numPr>
          <w:ilvl w:val="0"/>
          <w:numId w:val="0"/>
        </w:numPr>
        <w:spacing w:before="0" w:after="0"/>
        <w:ind w:left="426" w:hanging="426"/>
        <w:rPr>
          <w:rFonts w:asciiTheme="minorHAnsi" w:hAnsiTheme="minorHAnsi"/>
        </w:rPr>
      </w:pPr>
      <w:r>
        <w:rPr>
          <w:rFonts w:asciiTheme="minorHAnsi" w:hAnsiTheme="minorHAnsi"/>
        </w:rPr>
        <w:lastRenderedPageBreak/>
        <w:t>6.</w:t>
      </w:r>
      <w:r>
        <w:rPr>
          <w:rFonts w:asciiTheme="minorHAnsi" w:hAnsiTheme="minorHAnsi"/>
        </w:rPr>
        <w:tab/>
      </w:r>
      <w:r w:rsidR="008444F0" w:rsidRPr="00A66378">
        <w:rPr>
          <w:rFonts w:asciiTheme="minorHAnsi" w:hAnsiTheme="minorHAnsi"/>
        </w:rPr>
        <w:t xml:space="preserve">Travaux préliminaires réalisés en 2025 </w:t>
      </w:r>
    </w:p>
    <w:p w14:paraId="738D54AD" w14:textId="77777777" w:rsidR="00B5163A" w:rsidRDefault="00B5163A" w:rsidP="00A66378">
      <w:pPr>
        <w:rPr>
          <w:rFonts w:asciiTheme="minorHAnsi" w:hAnsiTheme="minorHAnsi"/>
        </w:rPr>
      </w:pPr>
    </w:p>
    <w:p w14:paraId="142B775D" w14:textId="69260B53" w:rsidR="008444F0" w:rsidRPr="00A66378" w:rsidRDefault="002876F0" w:rsidP="00A66378">
      <w:pPr>
        <w:rPr>
          <w:rFonts w:asciiTheme="minorHAnsi" w:hAnsiTheme="minorHAnsi"/>
        </w:rPr>
      </w:pPr>
      <w:r w:rsidRPr="00A66378">
        <w:rPr>
          <w:rFonts w:asciiTheme="minorHAnsi" w:hAnsiTheme="minorHAnsi"/>
        </w:rPr>
        <w:t xml:space="preserve">Le Président a indiqué au Groupe que la plupart des tâches prévues pour 2025 ont été menées à bien. Cependant, certaines nécessitent encore un peu de travail. Dans ces cas-là, le Président a proposé de les reporter au programme de travail intersessions de 2026 afin qu’elles soient menées à bien. De plus amples informations sont disponibles dans le « Rapport de situation de 2025 du Groupe de travail sur les technologies de déclaration en ligne (WG-ORT) » (appendice 2 de l’annexe 9 du </w:t>
      </w:r>
      <w:hyperlink r:id="rId39" w:history="1">
        <w:r w:rsidRPr="00A66378">
          <w:rPr>
            <w:rStyle w:val="Hyperlink"/>
            <w:rFonts w:asciiTheme="minorHAnsi" w:hAnsiTheme="minorHAnsi"/>
            <w:i/>
            <w:iCs/>
            <w:u w:val="none"/>
          </w:rPr>
          <w:t>Rapport pour la période biennale 2024-2025, partie I (2024), Vol. 1</w:t>
        </w:r>
        <w:r w:rsidRPr="00A66378">
          <w:rPr>
            <w:rStyle w:val="Hyperlink"/>
            <w:rFonts w:asciiTheme="minorHAnsi" w:hAnsiTheme="minorHAnsi"/>
            <w:u w:val="none"/>
          </w:rPr>
          <w:t>)</w:t>
        </w:r>
      </w:hyperlink>
      <w:r w:rsidRPr="00A66378">
        <w:rPr>
          <w:rFonts w:asciiTheme="minorHAnsi" w:hAnsiTheme="minorHAnsi"/>
        </w:rPr>
        <w:t xml:space="preserve"> présenté lors de la réunion annuelle de la Commission en 2025. Le Secrétariat a complété l'examen du Président par une présentation détaillant l'état d'avancement de chacune des sept tâches intersessions de 2025. En résumé, toutes les tâches ont avancé comme prévu, la plupart étant déjà achevées ou en voie d'achèvement. Trois tâches (les points 3, 5 et 7) nécessiteront un travail supplémentaire et elles ont également besoin d’informations complémentaires (p. ex. les conclusions du Groupe de travail </w:t>
      </w:r>
      <w:r w:rsidRPr="00A66378">
        <w:rPr>
          <w:rFonts w:asciiTheme="minorHAnsi" w:hAnsiTheme="minorHAnsi"/>
          <w:i/>
          <w:iCs/>
        </w:rPr>
        <w:t>ad hoc</w:t>
      </w:r>
      <w:r w:rsidRPr="00A66378">
        <w:rPr>
          <w:rFonts w:asciiTheme="minorHAnsi" w:hAnsiTheme="minorHAnsi"/>
        </w:rPr>
        <w:t xml:space="preserve"> sur la suppression des redondances, en lien avec le point 7). </w:t>
      </w:r>
    </w:p>
    <w:p w14:paraId="1A4FAF23" w14:textId="77777777" w:rsidR="001C1316" w:rsidRPr="00A66378" w:rsidRDefault="001C1316" w:rsidP="00A66378">
      <w:pPr>
        <w:rPr>
          <w:rFonts w:asciiTheme="minorHAnsi" w:hAnsiTheme="minorHAnsi"/>
        </w:rPr>
      </w:pPr>
    </w:p>
    <w:p w14:paraId="1EBB484F" w14:textId="606B59CC" w:rsidR="00327D89" w:rsidRPr="00A66378" w:rsidRDefault="001C1316" w:rsidP="00A66378">
      <w:pPr>
        <w:rPr>
          <w:rFonts w:asciiTheme="minorHAnsi" w:hAnsiTheme="minorHAnsi"/>
        </w:rPr>
      </w:pPr>
      <w:r w:rsidRPr="00A66378">
        <w:rPr>
          <w:rFonts w:asciiTheme="minorHAnsi" w:hAnsiTheme="minorHAnsi"/>
        </w:rPr>
        <w:t>Au cours de la discussion, le Président a soulevé une question concernant les critères de recherche des documents au sein de l'IOMS et l'accès du public à certains documents de l'IOMS (points 3 et 5). Le Président a rappelé au WG-ORT qu'il n'était pas habilité à prendre ou à mettre en œuvre des décisions contraires aux règles de confidentialité de l'ICCAT (</w:t>
      </w:r>
      <w:hyperlink r:id="rId40" w:tgtFrame="_blank" w:history="1">
        <w:r w:rsidRPr="00A66378">
          <w:rPr>
            <w:rStyle w:val="Hyperlink"/>
            <w:rFonts w:asciiTheme="minorHAnsi" w:hAnsiTheme="minorHAnsi"/>
            <w:u w:val="none"/>
          </w:rPr>
          <w:t>Normes et procédures pour la protection, l’accès et la diffusion des données compilées par l’ICCAT</w:t>
        </w:r>
      </w:hyperlink>
      <w:r w:rsidRPr="00A66378">
        <w:rPr>
          <w:rFonts w:asciiTheme="minorHAnsi" w:hAnsiTheme="minorHAnsi"/>
        </w:rPr>
        <w:t>) ni à mettre des documents à la disposition du public. En ce qui concerne le processus, une solution consisterait pour l'IOMS à recenser les versions définitives des documents accessibles au public, qui pourraient ensuite être mises à la disposition des autres CPC par le biais de requêtes de recherche ou d'outils similaires. Le Président a rappelé que cette discussion avait également eu lieu l'année dernière, et le Groupe a convenu que seules les soumissions complètes (versions définitives et en aucun cas des versions provisoires) pouvaient être diffusées ; il a recommandé d'étendre cette règle à toutes les autres données gérées par l'IOMS à l'avenir. Le Groupe a appuyé la proposition du Président et a recommandé que ces deux points soient examinés et affinés dans le cadre des tâches intersessions pour 2026 (ce point de l'ordre du jour).</w:t>
      </w:r>
    </w:p>
    <w:p w14:paraId="0957AA06" w14:textId="77777777" w:rsidR="00327D89" w:rsidRPr="00A66378" w:rsidRDefault="00327D89" w:rsidP="00A66378">
      <w:pPr>
        <w:rPr>
          <w:rFonts w:asciiTheme="minorHAnsi" w:hAnsiTheme="minorHAnsi"/>
        </w:rPr>
      </w:pPr>
    </w:p>
    <w:p w14:paraId="6B7A68A5" w14:textId="7D10E965" w:rsidR="00DC43F0" w:rsidRPr="00A66378" w:rsidRDefault="00DC43F0" w:rsidP="00A66378">
      <w:pPr>
        <w:rPr>
          <w:rFonts w:asciiTheme="minorHAnsi" w:hAnsiTheme="minorHAnsi"/>
        </w:rPr>
      </w:pPr>
      <w:r w:rsidRPr="00A66378">
        <w:rPr>
          <w:rFonts w:asciiTheme="minorHAnsi" w:hAnsiTheme="minorHAnsi"/>
        </w:rPr>
        <w:t>En ce qui concerne la dernière tâche en suspens pour 2025 relative à la suppression des redondances (point</w:t>
      </w:r>
      <w:r w:rsidR="00B5163A">
        <w:rPr>
          <w:rFonts w:asciiTheme="minorHAnsi" w:hAnsiTheme="minorHAnsi"/>
        </w:rPr>
        <w:t> </w:t>
      </w:r>
      <w:r w:rsidRPr="00A66378">
        <w:rPr>
          <w:rFonts w:asciiTheme="minorHAnsi" w:hAnsiTheme="minorHAnsi"/>
        </w:rPr>
        <w:t xml:space="preserve">7), le Président a proposé de la prolonger jusqu'en 2026 inclus, car elle nécessite l'avis du Groupe de travail </w:t>
      </w:r>
      <w:r w:rsidRPr="00A66378">
        <w:rPr>
          <w:rFonts w:asciiTheme="minorHAnsi" w:hAnsiTheme="minorHAnsi"/>
          <w:i/>
          <w:iCs/>
        </w:rPr>
        <w:t>ad hoc</w:t>
      </w:r>
      <w:r w:rsidRPr="00A66378">
        <w:rPr>
          <w:rFonts w:asciiTheme="minorHAnsi" w:hAnsiTheme="minorHAnsi"/>
        </w:rPr>
        <w:t xml:space="preserve"> sur la suppression des redondances (et peut-être celui du Groupe de travail </w:t>
      </w:r>
      <w:r w:rsidRPr="00A66378">
        <w:rPr>
          <w:rFonts w:asciiTheme="minorHAnsi" w:hAnsiTheme="minorHAnsi"/>
          <w:i/>
          <w:iCs/>
        </w:rPr>
        <w:t>ad hoc</w:t>
      </w:r>
      <w:r w:rsidRPr="00A66378">
        <w:rPr>
          <w:rFonts w:asciiTheme="minorHAnsi" w:hAnsiTheme="minorHAnsi"/>
        </w:rPr>
        <w:t xml:space="preserve"> sur la rationalisation des feuilles de contrôle pour les requins/istiophoridés). </w:t>
      </w:r>
    </w:p>
    <w:p w14:paraId="0E6F85FF" w14:textId="77777777" w:rsidR="00DC43F0" w:rsidRDefault="00DC43F0" w:rsidP="00A66378">
      <w:pPr>
        <w:rPr>
          <w:rFonts w:asciiTheme="minorHAnsi" w:hAnsiTheme="minorHAnsi"/>
        </w:rPr>
      </w:pPr>
    </w:p>
    <w:p w14:paraId="245B2990" w14:textId="77777777" w:rsidR="00B5163A" w:rsidRPr="00A66378" w:rsidRDefault="00B5163A" w:rsidP="00A66378">
      <w:pPr>
        <w:rPr>
          <w:rFonts w:asciiTheme="minorHAnsi" w:hAnsiTheme="minorHAnsi"/>
        </w:rPr>
      </w:pPr>
    </w:p>
    <w:p w14:paraId="7DFFDE53" w14:textId="7B8A2D26" w:rsidR="006556F7" w:rsidRPr="00A66378" w:rsidRDefault="00C37CC6" w:rsidP="00C37CC6">
      <w:pPr>
        <w:pStyle w:val="Heading1"/>
        <w:numPr>
          <w:ilvl w:val="0"/>
          <w:numId w:val="0"/>
        </w:numPr>
        <w:spacing w:before="0" w:after="0"/>
        <w:ind w:left="426" w:hanging="426"/>
        <w:rPr>
          <w:rFonts w:asciiTheme="minorHAnsi" w:hAnsiTheme="minorHAnsi"/>
          <w:spacing w:val="-2"/>
        </w:rPr>
      </w:pPr>
      <w:r>
        <w:rPr>
          <w:rFonts w:asciiTheme="minorHAnsi" w:hAnsiTheme="minorHAnsi"/>
        </w:rPr>
        <w:t>7.</w:t>
      </w:r>
      <w:r>
        <w:rPr>
          <w:rFonts w:asciiTheme="minorHAnsi" w:hAnsiTheme="minorHAnsi"/>
        </w:rPr>
        <w:tab/>
      </w:r>
      <w:r w:rsidR="006556F7" w:rsidRPr="00A66378">
        <w:rPr>
          <w:rFonts w:asciiTheme="minorHAnsi" w:hAnsiTheme="minorHAnsi"/>
        </w:rPr>
        <w:t>Mise à jour de l'état des projets complémentaires de l'IOMS</w:t>
      </w:r>
    </w:p>
    <w:p w14:paraId="1613354E" w14:textId="77777777" w:rsidR="00C37CC6" w:rsidRDefault="00C37CC6" w:rsidP="00A66378">
      <w:pPr>
        <w:rPr>
          <w:rFonts w:asciiTheme="minorHAnsi" w:hAnsiTheme="minorHAnsi"/>
        </w:rPr>
      </w:pPr>
    </w:p>
    <w:p w14:paraId="7CD79534" w14:textId="31474447" w:rsidR="00C35B19" w:rsidRPr="00A66378" w:rsidRDefault="00C35B19" w:rsidP="00A66378">
      <w:pPr>
        <w:rPr>
          <w:rFonts w:asciiTheme="minorHAnsi" w:hAnsiTheme="minorHAnsi"/>
        </w:rPr>
      </w:pPr>
      <w:r w:rsidRPr="00A66378">
        <w:rPr>
          <w:rFonts w:asciiTheme="minorHAnsi" w:hAnsiTheme="minorHAnsi"/>
        </w:rPr>
        <w:t>Le Secrétariat a présenté un état des lieux des deux projets complémentaires de l'IOMS, menés en parallèle avec le projet principal de développement de l'IOMS.</w:t>
      </w:r>
    </w:p>
    <w:p w14:paraId="2640F390" w14:textId="77777777" w:rsidR="009E6F5A" w:rsidRPr="00A66378" w:rsidRDefault="009E6F5A" w:rsidP="00A66378">
      <w:pPr>
        <w:rPr>
          <w:rFonts w:asciiTheme="minorHAnsi" w:hAnsiTheme="minorHAnsi"/>
        </w:rPr>
      </w:pPr>
    </w:p>
    <w:p w14:paraId="5C011228" w14:textId="5906FAC7" w:rsidR="006556F7" w:rsidRPr="00A66378" w:rsidRDefault="00C37CC6" w:rsidP="00C37CC6">
      <w:pPr>
        <w:pStyle w:val="Heading2"/>
        <w:numPr>
          <w:ilvl w:val="0"/>
          <w:numId w:val="0"/>
        </w:numPr>
        <w:spacing w:before="0" w:after="0"/>
        <w:rPr>
          <w:rFonts w:asciiTheme="minorHAnsi" w:hAnsiTheme="minorHAnsi"/>
          <w:spacing w:val="-2"/>
        </w:rPr>
      </w:pPr>
      <w:r>
        <w:rPr>
          <w:rFonts w:asciiTheme="minorHAnsi" w:hAnsiTheme="minorHAnsi"/>
        </w:rPr>
        <w:t xml:space="preserve">7.1 </w:t>
      </w:r>
      <w:r w:rsidR="006556F7" w:rsidRPr="00A66378">
        <w:rPr>
          <w:rFonts w:asciiTheme="minorHAnsi" w:hAnsiTheme="minorHAnsi"/>
        </w:rPr>
        <w:t>Subventions de l'Union européenne liées à l'IOMS (2025-2026)</w:t>
      </w:r>
    </w:p>
    <w:p w14:paraId="20B4E928" w14:textId="77777777" w:rsidR="00CF430C" w:rsidRPr="00A66378" w:rsidRDefault="00CF430C" w:rsidP="00A66378">
      <w:pPr>
        <w:rPr>
          <w:rFonts w:asciiTheme="minorHAnsi" w:hAnsiTheme="minorHAnsi"/>
        </w:rPr>
      </w:pPr>
    </w:p>
    <w:p w14:paraId="5FD3A4AB" w14:textId="09A9F082" w:rsidR="00405A73" w:rsidRPr="00A66378" w:rsidRDefault="005924BF" w:rsidP="00A66378">
      <w:pPr>
        <w:rPr>
          <w:rFonts w:asciiTheme="minorHAnsi" w:hAnsiTheme="minorHAnsi"/>
        </w:rPr>
      </w:pPr>
      <w:r w:rsidRPr="00A66378">
        <w:rPr>
          <w:rFonts w:asciiTheme="minorHAnsi" w:hAnsiTheme="minorHAnsi"/>
        </w:rPr>
        <w:t>L’accord de subvention de l'UE EMFAF-2024-VC-ICCAT3 " Développement et renforcement des capacités au sein de l'ICCAT - Système de gestion en ligne " est un projet complémentaire de l'IOMS doté d'un budget total de 250.000 € prévu pour une période de 24 mois (2025 et 2026). Il comporte deux thèmes ou sous-projets :</w:t>
      </w:r>
    </w:p>
    <w:p w14:paraId="4D414C75" w14:textId="77777777" w:rsidR="008C6B50" w:rsidRPr="00A66378" w:rsidRDefault="008C6B50" w:rsidP="00A66378">
      <w:pPr>
        <w:rPr>
          <w:rFonts w:asciiTheme="minorHAnsi" w:hAnsiTheme="minorHAnsi"/>
        </w:rPr>
      </w:pPr>
    </w:p>
    <w:p w14:paraId="163A70B7" w14:textId="5C8B5AB1" w:rsidR="00EA62E1" w:rsidRPr="00A66378" w:rsidRDefault="00405A73" w:rsidP="00A66378">
      <w:pPr>
        <w:pStyle w:val="ListParagraph"/>
        <w:numPr>
          <w:ilvl w:val="0"/>
          <w:numId w:val="12"/>
        </w:numPr>
        <w:ind w:left="567" w:hanging="283"/>
        <w:rPr>
          <w:rFonts w:asciiTheme="minorHAnsi" w:hAnsiTheme="minorHAnsi"/>
        </w:rPr>
      </w:pPr>
      <w:r w:rsidRPr="00A66378">
        <w:rPr>
          <w:rFonts w:asciiTheme="minorHAnsi" w:hAnsiTheme="minorHAnsi"/>
        </w:rPr>
        <w:t>Thème 1 (EMFAF-2024-VC-ICCAT3-IBA-01 (Projet No. 101197348) - Système de gestion intégrée en ligne (acronyme : EU-IOMS2024-TT12 (en abrégé TT12 : Thème modules des tâches 1 et 2)) avec un budget de 150.000 €</w:t>
      </w:r>
    </w:p>
    <w:p w14:paraId="15D6DCD8" w14:textId="77777777" w:rsidR="00EA62E1" w:rsidRPr="00A66378" w:rsidRDefault="00EA62E1" w:rsidP="00A66378">
      <w:pPr>
        <w:pStyle w:val="ListParagraph"/>
        <w:ind w:left="567" w:hanging="283"/>
        <w:rPr>
          <w:rFonts w:asciiTheme="minorHAnsi" w:hAnsiTheme="minorHAnsi"/>
        </w:rPr>
      </w:pPr>
    </w:p>
    <w:p w14:paraId="02C07975" w14:textId="3B3D49B5" w:rsidR="00405A73" w:rsidRPr="00A66378" w:rsidRDefault="00405A73" w:rsidP="00A66378">
      <w:pPr>
        <w:pStyle w:val="ListParagraph"/>
        <w:numPr>
          <w:ilvl w:val="0"/>
          <w:numId w:val="12"/>
        </w:numPr>
        <w:ind w:left="567" w:hanging="283"/>
        <w:rPr>
          <w:rFonts w:asciiTheme="minorHAnsi" w:hAnsiTheme="minorHAnsi"/>
        </w:rPr>
      </w:pPr>
      <w:r w:rsidRPr="00A66378">
        <w:rPr>
          <w:rFonts w:asciiTheme="minorHAnsi" w:hAnsiTheme="minorHAnsi"/>
        </w:rPr>
        <w:t>Thème 2 (EMFAF-2024-VC-ICCAT3-IBA-02 (Projet No. 101197349) - Intégration de la norme UN/FLUX dans l'IOMS (acronyme : EU-IOMS2024-TF2 (en abrégé TF2 : Thème FLUX partie 2)) avec un budget de 100.000 €</w:t>
      </w:r>
    </w:p>
    <w:p w14:paraId="5E9FD416" w14:textId="77777777" w:rsidR="00405A73" w:rsidRPr="00A66378" w:rsidRDefault="00405A73" w:rsidP="00A66378">
      <w:pPr>
        <w:rPr>
          <w:rFonts w:asciiTheme="minorHAnsi" w:hAnsiTheme="minorHAnsi"/>
        </w:rPr>
      </w:pPr>
    </w:p>
    <w:p w14:paraId="60902283" w14:textId="2E89AE7F" w:rsidR="00225B62" w:rsidRPr="00A66378" w:rsidRDefault="00BF4189" w:rsidP="00A66378">
      <w:pPr>
        <w:rPr>
          <w:rFonts w:asciiTheme="minorHAnsi" w:hAnsiTheme="minorHAnsi"/>
        </w:rPr>
      </w:pPr>
      <w:r w:rsidRPr="00A66378">
        <w:rPr>
          <w:rFonts w:asciiTheme="minorHAnsi" w:hAnsiTheme="minorHAnsi"/>
        </w:rPr>
        <w:t xml:space="preserve">Le projet du Thème 1 (WU-IOMS2024-TT12) vise à soutenir l'achèvement des modules en cours (Gestionnaire de navires et Gestionnaire de formulaires) et à lancer les travaux sur deux modules de l’IOMS (prises nominales de la tâche 1 et captures et effort de pêche de la tâche 2). Deux objectifs spécifiques ont déjà été atteints concernant le soutien à la finalisation et à la mise en production (1er août 2025) du </w:t>
      </w:r>
      <w:r w:rsidRPr="00A66378">
        <w:rPr>
          <w:rFonts w:asciiTheme="minorHAnsi" w:hAnsiTheme="minorHAnsi"/>
        </w:rPr>
        <w:lastRenderedPageBreak/>
        <w:t xml:space="preserve">Gestionnaire de navires et du Gestionnaire de formulaires. Les deux objectifs spécifiques toujours en cours concernent le soutien aux deux nouveaux modules en cours de développement : </w:t>
      </w:r>
    </w:p>
    <w:p w14:paraId="4AB1AE7A" w14:textId="77777777" w:rsidR="008106D9" w:rsidRPr="00A66378" w:rsidRDefault="008106D9" w:rsidP="00A66378">
      <w:pPr>
        <w:rPr>
          <w:rFonts w:asciiTheme="minorHAnsi" w:hAnsiTheme="minorHAnsi"/>
        </w:rPr>
      </w:pPr>
    </w:p>
    <w:p w14:paraId="665AA895" w14:textId="47E8A811" w:rsidR="009217F3" w:rsidRPr="00A66378" w:rsidRDefault="009217F3" w:rsidP="00A66378">
      <w:pPr>
        <w:pStyle w:val="ListParagraph"/>
        <w:numPr>
          <w:ilvl w:val="0"/>
          <w:numId w:val="12"/>
        </w:numPr>
        <w:ind w:left="567" w:hanging="283"/>
        <w:rPr>
          <w:rFonts w:asciiTheme="minorHAnsi" w:hAnsiTheme="minorHAnsi"/>
        </w:rPr>
      </w:pPr>
      <w:r w:rsidRPr="00A66378">
        <w:rPr>
          <w:rFonts w:asciiTheme="minorHAnsi" w:hAnsiTheme="minorHAnsi"/>
        </w:rPr>
        <w:t>Gestionnaire de T1NC (prises nominales de la tâche 1) : soutenir le développement de ce nouveau module qui gérera l'obligation de déclaration des données de prises nominales de la tâche 1.</w:t>
      </w:r>
    </w:p>
    <w:p w14:paraId="618F81F3" w14:textId="77777777" w:rsidR="008106D9" w:rsidRPr="00A66378" w:rsidRDefault="008106D9" w:rsidP="00A66378">
      <w:pPr>
        <w:pStyle w:val="ListParagraph"/>
        <w:ind w:left="567" w:hanging="283"/>
        <w:rPr>
          <w:rFonts w:asciiTheme="minorHAnsi" w:hAnsiTheme="minorHAnsi"/>
        </w:rPr>
      </w:pPr>
    </w:p>
    <w:p w14:paraId="31AE9B3F" w14:textId="438460C1" w:rsidR="009217F3" w:rsidRPr="00A66378" w:rsidRDefault="009217F3" w:rsidP="00A66378">
      <w:pPr>
        <w:pStyle w:val="ListParagraph"/>
        <w:numPr>
          <w:ilvl w:val="0"/>
          <w:numId w:val="12"/>
        </w:numPr>
        <w:ind w:left="567" w:hanging="283"/>
        <w:rPr>
          <w:rFonts w:asciiTheme="minorHAnsi" w:hAnsiTheme="minorHAnsi"/>
        </w:rPr>
      </w:pPr>
      <w:r w:rsidRPr="00A66378">
        <w:rPr>
          <w:rFonts w:asciiTheme="minorHAnsi" w:hAnsiTheme="minorHAnsi"/>
        </w:rPr>
        <w:t>Gestionnaire de T2CE (prises et effort de la tâche 2) : soutenir le développement de ce nouveau module qui gérera l'obligation de déclaration des données de capture et d'effort de la tâche 2.</w:t>
      </w:r>
    </w:p>
    <w:p w14:paraId="619979E5" w14:textId="77777777" w:rsidR="007461A4" w:rsidRPr="00A66378" w:rsidRDefault="007461A4" w:rsidP="00A66378">
      <w:pPr>
        <w:rPr>
          <w:rFonts w:asciiTheme="minorHAnsi" w:hAnsiTheme="minorHAnsi"/>
        </w:rPr>
      </w:pPr>
    </w:p>
    <w:p w14:paraId="76673C6B" w14:textId="6BC03A3D" w:rsidR="00225B62" w:rsidRPr="00A66378" w:rsidRDefault="00225B62" w:rsidP="00A66378">
      <w:pPr>
        <w:rPr>
          <w:rFonts w:asciiTheme="minorHAnsi" w:hAnsiTheme="minorHAnsi"/>
        </w:rPr>
      </w:pPr>
      <w:r w:rsidRPr="00A66378">
        <w:rPr>
          <w:rFonts w:asciiTheme="minorHAnsi" w:hAnsiTheme="minorHAnsi"/>
        </w:rPr>
        <w:t>Les travaux sur le Gestionnaire de T1NC et le Gestionnaire de T2CE ont commencé et se poursuivront jusqu'à la fin du projet. Ces modules gèrent deux jeux de données statistiques halieutiques essentiels, largement utilisés par le SCRS et la communauté scientifique de l’ICCAT, mais qui sont également souvent utilisés par la plupart des organes subsidiaires de l’ICCAT (COC, PWG et les Sous-commissions 1 à 4, etc.).</w:t>
      </w:r>
    </w:p>
    <w:p w14:paraId="0B0DC22A" w14:textId="77777777" w:rsidR="00225B62" w:rsidRPr="00A66378" w:rsidRDefault="00225B62" w:rsidP="00A66378">
      <w:pPr>
        <w:rPr>
          <w:rFonts w:asciiTheme="minorHAnsi" w:hAnsiTheme="minorHAnsi"/>
        </w:rPr>
      </w:pPr>
    </w:p>
    <w:p w14:paraId="29CC6D1D" w14:textId="6E1AD29B" w:rsidR="005019E7" w:rsidRPr="00A66378" w:rsidRDefault="005019E7" w:rsidP="00A66378">
      <w:pPr>
        <w:rPr>
          <w:rFonts w:asciiTheme="minorHAnsi" w:hAnsiTheme="minorHAnsi"/>
        </w:rPr>
      </w:pPr>
      <w:r w:rsidRPr="00A66378">
        <w:rPr>
          <w:rFonts w:asciiTheme="minorHAnsi" w:hAnsiTheme="minorHAnsi"/>
        </w:rPr>
        <w:t>Le sous-projet thème 2 (EU-IOMS2024-TF2) vise à compléter les activités en cours sur l'intégration de la norme UN/FLUX dans le module de gestionnaire des navires (une priorité pour l'UE et l’ICCAT), qui couvre deux flux de données : a) les données d'enregistrement des navires (ajout/modification/désactivation et autres actions) ; et b) les données d'autorisation de pêche (actions d’ajout/de modification/de suppression sur 11 listes de navires autorisés de l’ICCAT). Les principales activités s'articulent autour de quatre axes principaux :</w:t>
      </w:r>
    </w:p>
    <w:p w14:paraId="0D0CD2A2" w14:textId="77777777" w:rsidR="00CF430C" w:rsidRPr="00A66378" w:rsidRDefault="00CF430C" w:rsidP="00A66378">
      <w:pPr>
        <w:rPr>
          <w:rFonts w:asciiTheme="minorHAnsi" w:hAnsiTheme="minorHAnsi"/>
        </w:rPr>
      </w:pPr>
    </w:p>
    <w:p w14:paraId="1AF1D5E6" w14:textId="4908C9DB" w:rsidR="00C87D7C" w:rsidRPr="00A66378" w:rsidRDefault="001B7F25" w:rsidP="00A66378">
      <w:pPr>
        <w:pStyle w:val="ListParagraph"/>
        <w:numPr>
          <w:ilvl w:val="0"/>
          <w:numId w:val="5"/>
        </w:numPr>
        <w:ind w:left="851" w:hanging="425"/>
        <w:rPr>
          <w:rFonts w:asciiTheme="minorHAnsi" w:hAnsiTheme="minorHAnsi"/>
        </w:rPr>
      </w:pPr>
      <w:r w:rsidRPr="00A66378">
        <w:rPr>
          <w:rFonts w:asciiTheme="minorHAnsi" w:hAnsiTheme="minorHAnsi"/>
        </w:rPr>
        <w:t>Mise en place d’un nœud final FLUX-TL entièrement fonctionnel (TL : couche de transport dans l'infrastructure en nuage de l’ICCAT).</w:t>
      </w:r>
    </w:p>
    <w:p w14:paraId="7C61E5E8" w14:textId="01E97E5B" w:rsidR="00C87D7C" w:rsidRPr="00A66378" w:rsidRDefault="001B7F25" w:rsidP="00A66378">
      <w:pPr>
        <w:pStyle w:val="ListParagraph"/>
        <w:numPr>
          <w:ilvl w:val="0"/>
          <w:numId w:val="5"/>
        </w:numPr>
        <w:ind w:left="851" w:hanging="425"/>
        <w:rPr>
          <w:rFonts w:asciiTheme="minorHAnsi" w:hAnsiTheme="minorHAnsi"/>
        </w:rPr>
      </w:pPr>
      <w:r w:rsidRPr="00A66378">
        <w:rPr>
          <w:rFonts w:asciiTheme="minorHAnsi" w:hAnsiTheme="minorHAnsi"/>
        </w:rPr>
        <w:t>Mise en place de flux de données pleinement opérationnelles pour deux domaines UN/FLUX (navires, autorisations), y compris la logique commerciale (règles commerciales pertinentes).</w:t>
      </w:r>
    </w:p>
    <w:p w14:paraId="19B66979" w14:textId="75BCB3C6" w:rsidR="00C87D7C" w:rsidRPr="00A66378" w:rsidRDefault="005E3DA7" w:rsidP="00A66378">
      <w:pPr>
        <w:pStyle w:val="ListParagraph"/>
        <w:numPr>
          <w:ilvl w:val="0"/>
          <w:numId w:val="5"/>
        </w:numPr>
        <w:ind w:left="851" w:hanging="425"/>
        <w:rPr>
          <w:rFonts w:asciiTheme="minorHAnsi" w:hAnsiTheme="minorHAnsi"/>
        </w:rPr>
      </w:pPr>
      <w:r w:rsidRPr="00A66378">
        <w:rPr>
          <w:rFonts w:asciiTheme="minorHAnsi" w:hAnsiTheme="minorHAnsi"/>
        </w:rPr>
        <w:t>Pleine intégration de (a) et (b) dans le module de gestionnaire des navires de l’IOMS.</w:t>
      </w:r>
    </w:p>
    <w:p w14:paraId="4EFD9E1B" w14:textId="43FDB52C" w:rsidR="001560BC" w:rsidRPr="00A66378" w:rsidRDefault="005E3DA7" w:rsidP="00A66378">
      <w:pPr>
        <w:pStyle w:val="ListParagraph"/>
        <w:numPr>
          <w:ilvl w:val="0"/>
          <w:numId w:val="5"/>
        </w:numPr>
        <w:ind w:left="851" w:hanging="425"/>
        <w:rPr>
          <w:rFonts w:asciiTheme="minorHAnsi" w:hAnsiTheme="minorHAnsi"/>
        </w:rPr>
      </w:pPr>
      <w:r w:rsidRPr="00A66378">
        <w:rPr>
          <w:rFonts w:asciiTheme="minorHAnsi" w:hAnsiTheme="minorHAnsi"/>
        </w:rPr>
        <w:t xml:space="preserve">Obtention de flux de données pleinement opérationnels pour les navires et les autorisations et principalement ceux qui utilisent le formulaire </w:t>
      </w:r>
      <w:hyperlink r:id="rId41" w:history="1">
        <w:r w:rsidRPr="00A66378">
          <w:rPr>
            <w:rStyle w:val="Hyperlink"/>
            <w:rFonts w:asciiTheme="minorHAnsi" w:hAnsiTheme="minorHAnsi"/>
            <w:u w:val="none"/>
          </w:rPr>
          <w:t>CP01-VessLst</w:t>
        </w:r>
      </w:hyperlink>
      <w:r w:rsidRPr="00A66378">
        <w:rPr>
          <w:rFonts w:asciiTheme="minorHAnsi" w:hAnsiTheme="minorHAnsi"/>
        </w:rPr>
        <w:t>, via UN/FLUX.</w:t>
      </w:r>
    </w:p>
    <w:p w14:paraId="2399C38F" w14:textId="77777777" w:rsidR="00160D20" w:rsidRPr="00A66378" w:rsidRDefault="00160D20" w:rsidP="00A66378">
      <w:pPr>
        <w:rPr>
          <w:rFonts w:asciiTheme="minorHAnsi" w:hAnsiTheme="minorHAnsi"/>
        </w:rPr>
      </w:pPr>
    </w:p>
    <w:p w14:paraId="10488FFA" w14:textId="1160CF90" w:rsidR="00160D20" w:rsidRPr="00A66378" w:rsidRDefault="00DD7A8D" w:rsidP="00A66378">
      <w:pPr>
        <w:rPr>
          <w:rFonts w:asciiTheme="minorHAnsi" w:hAnsiTheme="minorHAnsi"/>
        </w:rPr>
      </w:pPr>
      <w:r w:rsidRPr="00A66378">
        <w:rPr>
          <w:rFonts w:asciiTheme="minorHAnsi" w:hAnsiTheme="minorHAnsi"/>
        </w:rPr>
        <w:t xml:space="preserve">Les points </w:t>
      </w:r>
      <w:proofErr w:type="gramStart"/>
      <w:r w:rsidRPr="00A66378">
        <w:rPr>
          <w:rFonts w:asciiTheme="minorHAnsi" w:hAnsiTheme="minorHAnsi"/>
        </w:rPr>
        <w:t>a</w:t>
      </w:r>
      <w:proofErr w:type="gramEnd"/>
      <w:r w:rsidRPr="00A66378">
        <w:rPr>
          <w:rFonts w:asciiTheme="minorHAnsi" w:hAnsiTheme="minorHAnsi"/>
        </w:rPr>
        <w:t>) et b) ont été menés en étroite collaboration avec l'Union européenne. La majeure partie du travail de développement avait déjà été effectuée pour ces deux domaines. La tâche de test dite « approfondie » prévue (avec d'éventuels ajustements des règles commerciales), qui porte sur un texte crucial pour l'ensemble du système FLUX et qui doit impliquer à la fois l'UE et l’ICCAT, est la seule qui reste en suspens. L'équipe de l'IOMS et l'Union européenne organisent régulièrement des réunions en ligne afin de faire avancer cette tâche complexe.</w:t>
      </w:r>
    </w:p>
    <w:p w14:paraId="74E5F4EA" w14:textId="77777777" w:rsidR="00160D20" w:rsidRPr="00A66378" w:rsidRDefault="00160D20" w:rsidP="00A66378">
      <w:pPr>
        <w:rPr>
          <w:rFonts w:asciiTheme="minorHAnsi" w:hAnsiTheme="minorHAnsi"/>
        </w:rPr>
      </w:pPr>
    </w:p>
    <w:p w14:paraId="724F9262" w14:textId="7209688E" w:rsidR="00D205A3" w:rsidRPr="00A66378" w:rsidRDefault="00D205A3" w:rsidP="00A66378">
      <w:pPr>
        <w:rPr>
          <w:rFonts w:asciiTheme="minorHAnsi" w:hAnsiTheme="minorHAnsi"/>
        </w:rPr>
      </w:pPr>
      <w:r w:rsidRPr="00A66378">
        <w:rPr>
          <w:rFonts w:asciiTheme="minorHAnsi" w:hAnsiTheme="minorHAnsi"/>
        </w:rPr>
        <w:t>Comme pour tous les projets complémentaires de l'IOMS, le travail associé décrit ci-dessus a été intégré dans le projet global de l'IOMS et coordonné par l'équipe de l'IOMS et le WG-ORT. Le budget global a permis d'embaucher un développeur de logiciels senior supplémentaire pour deux ans, avec des activités partagées sur les deux sous-projets. Une petite partie du budget global a été réservée pour contribuer à l'ensemble des coûts de développement et de soutien (services de traduction, infrastructure, coûts des logiciels et matériel) de l'IOMS.</w:t>
      </w:r>
    </w:p>
    <w:p w14:paraId="41383316" w14:textId="77777777" w:rsidR="008444F0" w:rsidRPr="00A66378" w:rsidRDefault="008444F0" w:rsidP="00A66378">
      <w:pPr>
        <w:rPr>
          <w:rFonts w:asciiTheme="minorHAnsi" w:hAnsiTheme="minorHAnsi"/>
        </w:rPr>
      </w:pPr>
    </w:p>
    <w:p w14:paraId="30D88CB9" w14:textId="4C831A2D" w:rsidR="00926B89" w:rsidRPr="00A66378" w:rsidRDefault="00A57C32" w:rsidP="00A57C32">
      <w:pPr>
        <w:pStyle w:val="Heading2"/>
        <w:numPr>
          <w:ilvl w:val="0"/>
          <w:numId w:val="0"/>
        </w:numPr>
        <w:spacing w:before="0" w:after="0"/>
        <w:rPr>
          <w:rFonts w:asciiTheme="minorHAnsi" w:hAnsiTheme="minorHAnsi"/>
          <w:spacing w:val="-2"/>
        </w:rPr>
      </w:pPr>
      <w:r>
        <w:rPr>
          <w:rFonts w:asciiTheme="minorHAnsi" w:hAnsiTheme="minorHAnsi"/>
        </w:rPr>
        <w:t xml:space="preserve">7.2 </w:t>
      </w:r>
      <w:r w:rsidR="00926B89" w:rsidRPr="00A66378">
        <w:rPr>
          <w:rFonts w:asciiTheme="minorHAnsi" w:hAnsiTheme="minorHAnsi"/>
        </w:rPr>
        <w:t>Projet GEF-ABNJ II concernant l'IOMS (2024-2027)</w:t>
      </w:r>
    </w:p>
    <w:p w14:paraId="3775F4B3" w14:textId="77777777" w:rsidR="00CF430C" w:rsidRPr="00A66378" w:rsidRDefault="00CF430C" w:rsidP="00A66378">
      <w:pPr>
        <w:rPr>
          <w:rFonts w:asciiTheme="minorHAnsi" w:hAnsiTheme="minorHAnsi"/>
        </w:rPr>
      </w:pPr>
    </w:p>
    <w:p w14:paraId="74B04B2F" w14:textId="0854AB5F" w:rsidR="000D2F9E" w:rsidRPr="00A66378" w:rsidRDefault="00163A62" w:rsidP="00A66378">
      <w:pPr>
        <w:rPr>
          <w:rFonts w:asciiTheme="minorHAnsi" w:hAnsiTheme="minorHAnsi"/>
        </w:rPr>
      </w:pPr>
      <w:r w:rsidRPr="00A66378">
        <w:rPr>
          <w:rFonts w:asciiTheme="minorHAnsi" w:hAnsiTheme="minorHAnsi"/>
        </w:rPr>
        <w:t xml:space="preserve">L'une des cinq capsules financées par la phase II du programme des océans communs - zones situées au-delà de la juridiction nationale (ABNJ) et le projet thonier (GEF-ABNJ Tuna II) est </w:t>
      </w:r>
      <w:proofErr w:type="gramStart"/>
      <w:r w:rsidRPr="00A66378">
        <w:rPr>
          <w:rFonts w:asciiTheme="minorHAnsi" w:hAnsiTheme="minorHAnsi"/>
        </w:rPr>
        <w:t>l' «</w:t>
      </w:r>
      <w:proofErr w:type="gramEnd"/>
      <w:r w:rsidRPr="00A66378">
        <w:rPr>
          <w:rFonts w:asciiTheme="minorHAnsi" w:hAnsiTheme="minorHAnsi"/>
        </w:rPr>
        <w:t xml:space="preserve"> Amélioration des systèmes de déclaration en ligne (OR) ». Ce projet complémentaire vise à améliorer l'IOMS par le développement d'extensions (API publiques REST standard) pour l'interopérabilité automatique des données, en mettant l'accent sur la diffusion de données publiques (structures de données standard à utiliser/publier par n'importe quel « utilisateur final »). Le terme « utilisateur final » désigne un large éventail d'utilisateurs potentiels et peut désigner aussi bien un utilisateur individuel souhaitant obtenir un jeu de données IOMS particulier pour des études spécifiques, qu'un partenaire de l'ICCAT tel que la FAO souhaitant explorer les données publiques de l'ICCAT, ou encore un site web proposant des outils permettant de traiter et de publier les données publiques de l’ICCAT. Dans tous les cas, la propriété de l’ICCAT et toute restriction sur la confidentialité des données sont assurées. Les deux principaux utilisateurs finaux des données de l'ICCAT stockées dans l'IOMS seront le </w:t>
      </w:r>
      <w:hyperlink r:id="rId42" w:history="1">
        <w:r w:rsidRPr="00A66378">
          <w:rPr>
            <w:rStyle w:val="Hyperlink"/>
            <w:rFonts w:asciiTheme="minorHAnsi" w:hAnsiTheme="minorHAnsi"/>
            <w:u w:val="none"/>
          </w:rPr>
          <w:t>site web de l'ICCAT</w:t>
        </w:r>
      </w:hyperlink>
      <w:r w:rsidRPr="00A66378">
        <w:rPr>
          <w:rFonts w:asciiTheme="minorHAnsi" w:hAnsiTheme="minorHAnsi"/>
        </w:rPr>
        <w:t xml:space="preserve"> et le </w:t>
      </w:r>
      <w:hyperlink r:id="rId43" w:history="1">
        <w:r w:rsidRPr="00A66378">
          <w:rPr>
            <w:rStyle w:val="Hyperlink"/>
            <w:rFonts w:asciiTheme="minorHAnsi" w:hAnsiTheme="minorHAnsi"/>
            <w:u w:val="none"/>
          </w:rPr>
          <w:t>site web de TUNA-ORG</w:t>
        </w:r>
      </w:hyperlink>
      <w:r w:rsidRPr="00A66378">
        <w:rPr>
          <w:rFonts w:asciiTheme="minorHAnsi" w:hAnsiTheme="minorHAnsi"/>
        </w:rPr>
        <w:t xml:space="preserve">.  Le budget total du GEF-ABNJ Tuna II consacré au développement des extensions de l'IOMS s'élève à près de 490.000 euros et est prévu pour une durée effective totale de quatre ans. Le projet a été signé par </w:t>
      </w:r>
      <w:r w:rsidRPr="00A66378">
        <w:rPr>
          <w:rFonts w:asciiTheme="minorHAnsi" w:hAnsiTheme="minorHAnsi"/>
        </w:rPr>
        <w:lastRenderedPageBreak/>
        <w:t>l'ICCAT et la FAO en août 2023 et le travail a commencé en septembre 2023 et devrait se terminer aux alentours du mois de mai 2027.</w:t>
      </w:r>
    </w:p>
    <w:p w14:paraId="5CEDD373" w14:textId="77777777" w:rsidR="000D2F9E" w:rsidRPr="00A66378" w:rsidRDefault="000D2F9E" w:rsidP="00A66378">
      <w:pPr>
        <w:rPr>
          <w:rFonts w:asciiTheme="minorHAnsi" w:hAnsiTheme="minorHAnsi"/>
        </w:rPr>
      </w:pPr>
    </w:p>
    <w:p w14:paraId="72F00BFD" w14:textId="333F0DCA" w:rsidR="006269A7" w:rsidRPr="00A66378" w:rsidRDefault="002A04CF" w:rsidP="00A66378">
      <w:pPr>
        <w:rPr>
          <w:rFonts w:asciiTheme="minorHAnsi" w:hAnsiTheme="minorHAnsi"/>
        </w:rPr>
      </w:pPr>
      <w:r w:rsidRPr="00A66378">
        <w:rPr>
          <w:rFonts w:asciiTheme="minorHAnsi" w:hAnsiTheme="minorHAnsi"/>
        </w:rPr>
        <w:t xml:space="preserve">L'ICCAT transmet à la FAO un rapport intermédiaire semestriel (le dernier datant du 15 janvier 2026) décrivant les progrès réalisés au cours des six mois précédents (juillet-décembre 2025). Des exemples d'API publiques de l'IOMS déjà utilisées sur le site web de l'ICCAT (exigences de l'ICCAT en matière de données et données sur les navires) ont été présentés. Les indicateurs convenus pour le rapport d'avancement ont été mis à jour en conséquence. </w:t>
      </w:r>
    </w:p>
    <w:p w14:paraId="5454EEE5" w14:textId="77777777" w:rsidR="000D2F9E" w:rsidRPr="00A66378" w:rsidRDefault="000D2F9E" w:rsidP="00A66378">
      <w:pPr>
        <w:rPr>
          <w:rFonts w:asciiTheme="minorHAnsi" w:hAnsiTheme="minorHAnsi"/>
        </w:rPr>
      </w:pPr>
    </w:p>
    <w:p w14:paraId="30B00D32" w14:textId="4A2A4342" w:rsidR="000D2F9E" w:rsidRPr="00A66378" w:rsidRDefault="000D2F9E" w:rsidP="00A66378">
      <w:pPr>
        <w:rPr>
          <w:rFonts w:asciiTheme="minorHAnsi" w:hAnsiTheme="minorHAnsi"/>
        </w:rPr>
      </w:pPr>
      <w:r w:rsidRPr="00A66378">
        <w:rPr>
          <w:rFonts w:asciiTheme="minorHAnsi" w:hAnsiTheme="minorHAnsi"/>
        </w:rPr>
        <w:t>Le Président du WG-ORT a remercié le Secrétariat pour la mise à jour des projets complémentaires en cours de l'IOMS et les progrès associés réalisés par l'équipe de l'IOMS. Il a également remercié l'UE pour son soutien continu au projet IOMS, avec un projet complémentaire additionnel de deux ans, et au projet GEF qui permet au Groupe de bénéficier de l'expertise de M. Carlos Palma pour une année supplémentaire.</w:t>
      </w:r>
    </w:p>
    <w:p w14:paraId="487E18F1" w14:textId="77777777" w:rsidR="00114A46" w:rsidRDefault="00114A46" w:rsidP="00A66378">
      <w:pPr>
        <w:rPr>
          <w:rFonts w:asciiTheme="minorHAnsi" w:hAnsiTheme="minorHAnsi"/>
          <w:b/>
          <w:bCs/>
        </w:rPr>
      </w:pPr>
    </w:p>
    <w:p w14:paraId="692994BE" w14:textId="77777777" w:rsidR="00A57C32" w:rsidRPr="00A66378" w:rsidRDefault="00A57C32" w:rsidP="00A66378">
      <w:pPr>
        <w:rPr>
          <w:rFonts w:asciiTheme="minorHAnsi" w:hAnsiTheme="minorHAnsi"/>
          <w:b/>
          <w:bCs/>
        </w:rPr>
      </w:pPr>
    </w:p>
    <w:p w14:paraId="7842B0A7" w14:textId="60DC01D5" w:rsidR="00114A46" w:rsidRPr="00A66378" w:rsidRDefault="00A57C32" w:rsidP="00631ACD">
      <w:pPr>
        <w:pStyle w:val="Heading1"/>
        <w:numPr>
          <w:ilvl w:val="0"/>
          <w:numId w:val="0"/>
        </w:numPr>
        <w:tabs>
          <w:tab w:val="left" w:pos="426"/>
        </w:tabs>
        <w:spacing w:before="0" w:after="0"/>
        <w:rPr>
          <w:rFonts w:asciiTheme="minorHAnsi" w:hAnsiTheme="minorHAnsi"/>
        </w:rPr>
      </w:pPr>
      <w:r>
        <w:rPr>
          <w:rFonts w:asciiTheme="minorHAnsi" w:hAnsiTheme="minorHAnsi"/>
        </w:rPr>
        <w:t>8.</w:t>
      </w:r>
      <w:r w:rsidR="00631ACD">
        <w:rPr>
          <w:rFonts w:asciiTheme="minorHAnsi" w:hAnsiTheme="minorHAnsi"/>
        </w:rPr>
        <w:tab/>
      </w:r>
      <w:r w:rsidR="00114A46" w:rsidRPr="00A66378">
        <w:rPr>
          <w:rFonts w:asciiTheme="minorHAnsi" w:hAnsiTheme="minorHAnsi"/>
        </w:rPr>
        <w:t>Activités en vue d'un projet pilote de traduction partielle des rapports annuels</w:t>
      </w:r>
    </w:p>
    <w:p w14:paraId="27A60987" w14:textId="77777777" w:rsidR="00631ACD" w:rsidRDefault="00631ACD" w:rsidP="00A66378">
      <w:pPr>
        <w:rPr>
          <w:rFonts w:asciiTheme="minorHAnsi" w:hAnsiTheme="minorHAnsi"/>
        </w:rPr>
      </w:pPr>
    </w:p>
    <w:p w14:paraId="7735EDDA" w14:textId="344A7638" w:rsidR="002817CA" w:rsidRPr="00A66378" w:rsidRDefault="00917BA7" w:rsidP="00A66378">
      <w:pPr>
        <w:rPr>
          <w:rFonts w:asciiTheme="minorHAnsi" w:hAnsiTheme="minorHAnsi"/>
        </w:rPr>
      </w:pPr>
      <w:r w:rsidRPr="00A66378">
        <w:rPr>
          <w:rFonts w:asciiTheme="minorHAnsi" w:hAnsiTheme="minorHAnsi"/>
        </w:rPr>
        <w:t>Le Secrétariat a présenté les activités réalisées en vue de la mise en place d'un projet pilote de traduction partielle des rapports annuels dans les trois langues officielles de l'ICCAT.</w:t>
      </w:r>
    </w:p>
    <w:p w14:paraId="1D9E91D1" w14:textId="77777777" w:rsidR="002817CA" w:rsidRPr="00A66378" w:rsidRDefault="002817CA" w:rsidP="00A66378">
      <w:pPr>
        <w:rPr>
          <w:rFonts w:asciiTheme="minorHAnsi" w:hAnsiTheme="minorHAnsi"/>
        </w:rPr>
      </w:pPr>
    </w:p>
    <w:p w14:paraId="4D9D5963" w14:textId="2BA84DF2" w:rsidR="002C2844" w:rsidRPr="00A66378" w:rsidRDefault="00917BA7" w:rsidP="00A66378">
      <w:pPr>
        <w:rPr>
          <w:rFonts w:asciiTheme="minorHAnsi" w:hAnsiTheme="minorHAnsi"/>
        </w:rPr>
      </w:pPr>
      <w:r w:rsidRPr="00A66378">
        <w:rPr>
          <w:rFonts w:asciiTheme="minorHAnsi" w:hAnsiTheme="minorHAnsi"/>
        </w:rPr>
        <w:t>Le projet pilote a débuté avec le document « Évaluation des coûts pour la traduction des données et documents de l’IOMS » (</w:t>
      </w:r>
      <w:hyperlink r:id="rId44" w:history="1">
        <w:r w:rsidRPr="00A66378">
          <w:rPr>
            <w:rStyle w:val="Hyperlink"/>
            <w:rFonts w:asciiTheme="minorHAnsi" w:hAnsiTheme="minorHAnsi"/>
            <w:u w:val="none"/>
          </w:rPr>
          <w:t>COC-319/2025</w:t>
        </w:r>
      </w:hyperlink>
      <w:r w:rsidRPr="00A66378">
        <w:rPr>
          <w:rFonts w:asciiTheme="minorHAnsi" w:hAnsiTheme="minorHAnsi"/>
        </w:rPr>
        <w:t>) présenté lors de la réunion annuelle de la Commission de 2025. En conséquence, le Comité d’application a recommandé au WG-ORT de mettre en œuvre ce projet pilote visant à traduire certaines parties du rapport annuel (notamment la section 3) directement dans l'IOMS. Ce projet pilote vise à évaluer la faisabilité, la qualité et les implications financières d'une traduction intégrale de la section 3 du rapport annuel de toutes les CPC. La présentation a exposé l'approche méthodologique et les étapes concrètes nécessaires à la mise en œuvre du projet pilote et à la réalisation de ses objectifs. Parmi les différents modèles de traduction envisagés, le choix s'est porté sur un projet pilote reposant sur un modèle hybride (traduction automatique + révision humaine), la révision humaine étant confiée à des ressources externes (le service de traduction du Secrétariat étant déjà complètement surchargé).</w:t>
      </w:r>
    </w:p>
    <w:p w14:paraId="15965E76" w14:textId="77777777" w:rsidR="00917BA7" w:rsidRPr="00A66378" w:rsidRDefault="00917BA7" w:rsidP="00A66378">
      <w:pPr>
        <w:rPr>
          <w:rFonts w:asciiTheme="minorHAnsi" w:hAnsiTheme="minorHAnsi"/>
        </w:rPr>
      </w:pPr>
    </w:p>
    <w:p w14:paraId="72601F7D" w14:textId="79F5F32E" w:rsidR="00917BA7" w:rsidRPr="00A66378" w:rsidRDefault="00917BA7" w:rsidP="00A66378">
      <w:pPr>
        <w:rPr>
          <w:rFonts w:asciiTheme="minorHAnsi" w:hAnsiTheme="minorHAnsi"/>
        </w:rPr>
      </w:pPr>
      <w:r w:rsidRPr="00A66378">
        <w:rPr>
          <w:rFonts w:asciiTheme="minorHAnsi" w:hAnsiTheme="minorHAnsi"/>
        </w:rPr>
        <w:t>Le Secrétariat a indiqué que le projet pilote permettrait d'évaluer les implications financières d'une traduction partielle, y compris les coûts potentiels liés aux outils de traduction, au contrôle de qualité et à la révision humaine externe. Il a été noté que le projet vise à étudier des solutions rentables et à déterminer si les avantages en termes d'accessibilité et d'efficacité justifieraient d'éventuelles dépenses supplémentaires.</w:t>
      </w:r>
    </w:p>
    <w:p w14:paraId="38A873A9" w14:textId="77777777" w:rsidR="00917BA7" w:rsidRPr="00A66378" w:rsidRDefault="00917BA7" w:rsidP="00A66378">
      <w:pPr>
        <w:rPr>
          <w:rFonts w:asciiTheme="minorHAnsi" w:hAnsiTheme="minorHAnsi"/>
        </w:rPr>
      </w:pPr>
    </w:p>
    <w:p w14:paraId="6D863901" w14:textId="1D2F1B59" w:rsidR="002C2844" w:rsidRDefault="002C2844" w:rsidP="00A66378">
      <w:pPr>
        <w:pBdr>
          <w:top w:val="none" w:sz="0" w:space="0" w:color="auto"/>
          <w:left w:val="none" w:sz="0" w:space="0" w:color="auto"/>
          <w:bottom w:val="none" w:sz="0" w:space="0" w:color="auto"/>
          <w:right w:val="none" w:sz="0" w:space="0" w:color="auto"/>
          <w:between w:val="none" w:sz="0" w:space="0" w:color="auto"/>
        </w:pBdr>
        <w:rPr>
          <w:rFonts w:asciiTheme="minorHAnsi" w:hAnsiTheme="minorHAnsi"/>
        </w:rPr>
      </w:pPr>
      <w:r w:rsidRPr="00A66378">
        <w:rPr>
          <w:rFonts w:asciiTheme="minorHAnsi" w:hAnsiTheme="minorHAnsi"/>
        </w:rPr>
        <w:t>Au cours de la discussion, les membres ont manifesté leur intérêt pour cette initiative et ont échangé leurs points de vue sur ses avantages potentiels et les défis qu'elle pourrait poser. Une CPC a fait part de ses inquiétudes quant au délai très court imparti pour la mise en œuvre du projet pilote et a suggéré de recourir uniquement à la traduction automatique (outils d'IA) si les ressources nécessaires à la révision humaine venaient à manquer, et de rendre compte des résultats au COC et au STACFAD en 2026.</w:t>
      </w:r>
    </w:p>
    <w:p w14:paraId="163E8E73" w14:textId="77777777" w:rsidR="007B167D" w:rsidRPr="00A66378" w:rsidRDefault="007B167D" w:rsidP="00A66378">
      <w:pPr>
        <w:pBdr>
          <w:top w:val="none" w:sz="0" w:space="0" w:color="auto"/>
          <w:left w:val="none" w:sz="0" w:space="0" w:color="auto"/>
          <w:bottom w:val="none" w:sz="0" w:space="0" w:color="auto"/>
          <w:right w:val="none" w:sz="0" w:space="0" w:color="auto"/>
          <w:between w:val="none" w:sz="0" w:space="0" w:color="auto"/>
        </w:pBdr>
        <w:rPr>
          <w:rFonts w:asciiTheme="minorHAnsi" w:hAnsiTheme="minorHAnsi"/>
        </w:rPr>
      </w:pPr>
    </w:p>
    <w:p w14:paraId="28CEB658" w14:textId="77777777" w:rsidR="00876C42" w:rsidRDefault="00876C42" w:rsidP="00A66378">
      <w:pPr>
        <w:pBdr>
          <w:top w:val="none" w:sz="0" w:space="0" w:color="auto"/>
          <w:left w:val="none" w:sz="0" w:space="0" w:color="auto"/>
          <w:bottom w:val="none" w:sz="0" w:space="0" w:color="auto"/>
          <w:right w:val="none" w:sz="0" w:space="0" w:color="auto"/>
          <w:between w:val="none" w:sz="0" w:space="0" w:color="auto"/>
        </w:pBdr>
        <w:rPr>
          <w:rFonts w:asciiTheme="minorHAnsi" w:hAnsiTheme="minorHAnsi"/>
        </w:rPr>
      </w:pPr>
      <w:r w:rsidRPr="00A66378">
        <w:rPr>
          <w:rFonts w:asciiTheme="minorHAnsi" w:hAnsiTheme="minorHAnsi"/>
        </w:rPr>
        <w:t>À l'issue d'une discussion fructueuse, le Groupe a décidé de soutenir la mise en œuvre du projet pilote consistant à recourir à la traduction automatique à l'aide d'outils d'IA pour la traduction de la section 3 des rapports annuels. Afin d'indiquer clairement la nature de ces traductions, les CPC ont soutenu l'ajout d'une mention ou d'un filigrane précisant que les traductions générées par l'IA n'avaient pas fait l'objet d'une révision linguistique officielle et étaient produites exclusivement dans le cadre du projet pilote.</w:t>
      </w:r>
    </w:p>
    <w:p w14:paraId="7E2782FF" w14:textId="77777777" w:rsidR="007B167D" w:rsidRPr="00A66378" w:rsidRDefault="007B167D" w:rsidP="00A66378">
      <w:pPr>
        <w:pBdr>
          <w:top w:val="none" w:sz="0" w:space="0" w:color="auto"/>
          <w:left w:val="none" w:sz="0" w:space="0" w:color="auto"/>
          <w:bottom w:val="none" w:sz="0" w:space="0" w:color="auto"/>
          <w:right w:val="none" w:sz="0" w:space="0" w:color="auto"/>
          <w:between w:val="none" w:sz="0" w:space="0" w:color="auto"/>
        </w:pBdr>
        <w:rPr>
          <w:rFonts w:asciiTheme="minorHAnsi" w:hAnsiTheme="minorHAnsi"/>
        </w:rPr>
      </w:pPr>
    </w:p>
    <w:p w14:paraId="5200DE83" w14:textId="4CD97A48" w:rsidR="008006A4" w:rsidRDefault="00876C42" w:rsidP="00A66378">
      <w:pPr>
        <w:pBdr>
          <w:top w:val="none" w:sz="0" w:space="0" w:color="auto"/>
          <w:left w:val="none" w:sz="0" w:space="0" w:color="auto"/>
          <w:bottom w:val="none" w:sz="0" w:space="0" w:color="auto"/>
          <w:right w:val="none" w:sz="0" w:space="0" w:color="auto"/>
          <w:between w:val="none" w:sz="0" w:space="0" w:color="auto"/>
        </w:pBdr>
        <w:rPr>
          <w:rFonts w:asciiTheme="minorHAnsi" w:hAnsiTheme="minorHAnsi"/>
        </w:rPr>
      </w:pPr>
      <w:r w:rsidRPr="00A66378">
        <w:rPr>
          <w:rFonts w:asciiTheme="minorHAnsi" w:hAnsiTheme="minorHAnsi"/>
        </w:rPr>
        <w:t xml:space="preserve">Le Groupe a en outre noté qu'à l'issue de la réunion de la Commission de 2026, le projet pilote et ses résultats feraient l'objet d'un examen et d'une évaluation, notamment en ce qui concerne la qualité, la cohérence et la facilité d'utilisation des traductions générées par l'IA. À cet égard, il a été reconnu que le contrôle linguistique professionnel reste indispensable, notamment en ce qui concerne la révision rédactionnelle, la cohérence institutionnelle, l'harmonisation terminologique et l'assurance qualité globale. Le WG-ORT a réaffirmé que le projet pilote visait à explorer des outils permettant d'améliorer l'accessibilité et l'efficacité compte tenu de la charge de travail actuelle liée aux rapports annuels, et qu'il n'avait pas pour objectif de se substituer au travail effectué par les traductrices de l'ICCAT. </w:t>
      </w:r>
    </w:p>
    <w:p w14:paraId="5EF0DEC6" w14:textId="77777777" w:rsidR="007B167D" w:rsidRDefault="007B167D" w:rsidP="00A66378">
      <w:pPr>
        <w:pBdr>
          <w:top w:val="none" w:sz="0" w:space="0" w:color="auto"/>
          <w:left w:val="none" w:sz="0" w:space="0" w:color="auto"/>
          <w:bottom w:val="none" w:sz="0" w:space="0" w:color="auto"/>
          <w:right w:val="none" w:sz="0" w:space="0" w:color="auto"/>
          <w:between w:val="none" w:sz="0" w:space="0" w:color="auto"/>
        </w:pBdr>
        <w:rPr>
          <w:rFonts w:asciiTheme="minorHAnsi" w:hAnsiTheme="minorHAnsi"/>
        </w:rPr>
      </w:pPr>
    </w:p>
    <w:p w14:paraId="4F163FEC" w14:textId="77777777" w:rsidR="007B167D" w:rsidRPr="00A66378" w:rsidRDefault="007B167D" w:rsidP="00A66378">
      <w:pPr>
        <w:pBdr>
          <w:top w:val="none" w:sz="0" w:space="0" w:color="auto"/>
          <w:left w:val="none" w:sz="0" w:space="0" w:color="auto"/>
          <w:bottom w:val="none" w:sz="0" w:space="0" w:color="auto"/>
          <w:right w:val="none" w:sz="0" w:space="0" w:color="auto"/>
          <w:between w:val="none" w:sz="0" w:space="0" w:color="auto"/>
        </w:pBdr>
        <w:rPr>
          <w:rFonts w:asciiTheme="minorHAnsi" w:hAnsiTheme="minorHAnsi"/>
        </w:rPr>
      </w:pPr>
    </w:p>
    <w:p w14:paraId="1F51519F" w14:textId="08E4A483" w:rsidR="007F6C40" w:rsidRPr="00A66378" w:rsidRDefault="007B167D" w:rsidP="007B167D">
      <w:pPr>
        <w:pStyle w:val="Heading1"/>
        <w:numPr>
          <w:ilvl w:val="0"/>
          <w:numId w:val="0"/>
        </w:numPr>
        <w:spacing w:before="0" w:after="0"/>
        <w:ind w:left="360" w:hanging="360"/>
        <w:rPr>
          <w:rFonts w:asciiTheme="minorHAnsi" w:hAnsiTheme="minorHAnsi"/>
          <w:spacing w:val="-2"/>
        </w:rPr>
      </w:pPr>
      <w:r>
        <w:rPr>
          <w:rFonts w:asciiTheme="minorHAnsi" w:hAnsiTheme="minorHAnsi"/>
        </w:rPr>
        <w:lastRenderedPageBreak/>
        <w:t>9.</w:t>
      </w:r>
      <w:r>
        <w:rPr>
          <w:rFonts w:asciiTheme="minorHAnsi" w:hAnsiTheme="minorHAnsi"/>
        </w:rPr>
        <w:tab/>
      </w:r>
      <w:r w:rsidR="007F6C40" w:rsidRPr="00A66378">
        <w:rPr>
          <w:rFonts w:asciiTheme="minorHAnsi" w:hAnsiTheme="minorHAnsi"/>
        </w:rPr>
        <w:t>Planification des séances de formation des utilisateurs de l'IOMS en 2026</w:t>
      </w:r>
    </w:p>
    <w:p w14:paraId="3D3ACCF0" w14:textId="77777777" w:rsidR="007B167D" w:rsidRDefault="007B167D" w:rsidP="00A66378">
      <w:pPr>
        <w:rPr>
          <w:rFonts w:asciiTheme="minorHAnsi" w:hAnsiTheme="minorHAnsi"/>
        </w:rPr>
      </w:pPr>
    </w:p>
    <w:p w14:paraId="14DADC64" w14:textId="7077C12D" w:rsidR="002C2844" w:rsidRPr="00A66378" w:rsidRDefault="002C2844" w:rsidP="00A66378">
      <w:pPr>
        <w:rPr>
          <w:rFonts w:asciiTheme="minorHAnsi" w:hAnsiTheme="minorHAnsi"/>
        </w:rPr>
      </w:pPr>
      <w:r w:rsidRPr="00A66378">
        <w:rPr>
          <w:rFonts w:asciiTheme="minorHAnsi" w:hAnsiTheme="minorHAnsi"/>
        </w:rPr>
        <w:t>Le Président a rappelé que les deux séances de formation de l'IOMS prévues pour 2026 avaient déjà été examinées et approuvées lors de la réunion annuelle de la Commission de 2025, et que les thèmes de chacune de ces séances avaient déjà été fixés.</w:t>
      </w:r>
    </w:p>
    <w:p w14:paraId="752B9304" w14:textId="77777777" w:rsidR="002C2844" w:rsidRPr="00A66378" w:rsidRDefault="002C2844" w:rsidP="00A66378">
      <w:pPr>
        <w:rPr>
          <w:rFonts w:asciiTheme="minorHAnsi" w:hAnsiTheme="minorHAnsi"/>
        </w:rPr>
      </w:pPr>
    </w:p>
    <w:p w14:paraId="65E2B8F1" w14:textId="3611563E" w:rsidR="002C2844" w:rsidRPr="00A66378" w:rsidRDefault="002C2844" w:rsidP="00A66378">
      <w:pPr>
        <w:rPr>
          <w:rFonts w:asciiTheme="minorHAnsi" w:hAnsiTheme="minorHAnsi"/>
        </w:rPr>
      </w:pPr>
      <w:r w:rsidRPr="00A66378">
        <w:rPr>
          <w:rFonts w:asciiTheme="minorHAnsi" w:hAnsiTheme="minorHAnsi"/>
        </w:rPr>
        <w:t xml:space="preserve">Le Secrétariat a indiqué que la première séance serait entièrement consacrée au module de gestionnaire des ports, étant donné que celui-ci sera mis en service courant 2026. La deuxième séance sera de nature plus générale et portera sur l'ensemble des modules de l'IOMS, tout en mettant l'accent sur la résolution des principales difficultés rencontrées par les utilisateurs dans l'utilisation de toutes les fonctionnalités de l'IOMS. </w:t>
      </w:r>
    </w:p>
    <w:p w14:paraId="7072FDE1" w14:textId="77777777" w:rsidR="002C2844" w:rsidRPr="00A66378" w:rsidRDefault="002C2844" w:rsidP="00A66378">
      <w:pPr>
        <w:rPr>
          <w:rFonts w:asciiTheme="minorHAnsi" w:hAnsiTheme="minorHAnsi"/>
        </w:rPr>
      </w:pPr>
    </w:p>
    <w:p w14:paraId="59E1F638" w14:textId="1500D3A7" w:rsidR="002C2844" w:rsidRPr="00A66378" w:rsidRDefault="002C2844" w:rsidP="00A66378">
      <w:pPr>
        <w:rPr>
          <w:rFonts w:asciiTheme="minorHAnsi" w:hAnsiTheme="minorHAnsi"/>
        </w:rPr>
      </w:pPr>
      <w:r w:rsidRPr="00A66378">
        <w:rPr>
          <w:rFonts w:asciiTheme="minorHAnsi" w:hAnsiTheme="minorHAnsi"/>
        </w:rPr>
        <w:t xml:space="preserve">Comme lors des séances précédentes, toutes les séances de formation utiliseront le </w:t>
      </w:r>
      <w:proofErr w:type="spellStart"/>
      <w:r w:rsidRPr="00A66378">
        <w:rPr>
          <w:rFonts w:asciiTheme="minorHAnsi" w:hAnsiTheme="minorHAnsi"/>
        </w:rPr>
        <w:t>sandbox</w:t>
      </w:r>
      <w:proofErr w:type="spellEnd"/>
      <w:r w:rsidRPr="00A66378">
        <w:rPr>
          <w:rFonts w:asciiTheme="minorHAnsi" w:hAnsiTheme="minorHAnsi"/>
        </w:rPr>
        <w:t xml:space="preserve"> de l’IOMS. Les vidéos enregistrées lors des précédentes séances de formation de l'IOMS sont disponibles dans le dossier partagé Nextcloud réservé au WG-ORT et tous les participants sont invités à consulter ces vidéos.</w:t>
      </w:r>
    </w:p>
    <w:p w14:paraId="0926CF58" w14:textId="77777777" w:rsidR="002C2844" w:rsidRPr="00A66378" w:rsidRDefault="002C2844" w:rsidP="00A66378">
      <w:pPr>
        <w:rPr>
          <w:rFonts w:asciiTheme="minorHAnsi" w:hAnsiTheme="minorHAnsi"/>
        </w:rPr>
      </w:pPr>
    </w:p>
    <w:p w14:paraId="20F45767" w14:textId="77777777" w:rsidR="002C2844" w:rsidRPr="00A66378" w:rsidRDefault="002C2844" w:rsidP="00A66378">
      <w:pPr>
        <w:rPr>
          <w:rFonts w:asciiTheme="minorHAnsi" w:hAnsiTheme="minorHAnsi"/>
        </w:rPr>
      </w:pPr>
      <w:r w:rsidRPr="00A66378">
        <w:rPr>
          <w:rFonts w:asciiTheme="minorHAnsi" w:hAnsiTheme="minorHAnsi"/>
        </w:rPr>
        <w:t>Il a été convenu d'organiser la première séance de formation d'ici la fin du mois d'avril 2026 et la deuxième séance au cours de la deuxième quinzaine de juin 2026. Les dates définitives convenues avec le Président seront annoncées par le biais d'une circulaire de l’ICCAT.</w:t>
      </w:r>
    </w:p>
    <w:p w14:paraId="5AB1265F" w14:textId="77777777" w:rsidR="002C2844" w:rsidRDefault="002C2844"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hAnsiTheme="minorHAnsi"/>
        </w:rPr>
      </w:pPr>
    </w:p>
    <w:p w14:paraId="3DA567BD" w14:textId="77777777" w:rsidR="008A07DF" w:rsidRPr="00A66378" w:rsidRDefault="008A07DF"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hAnsiTheme="minorHAnsi"/>
        </w:rPr>
      </w:pPr>
    </w:p>
    <w:p w14:paraId="2C96A71A" w14:textId="0968A435" w:rsidR="007F6C40" w:rsidRPr="00A66378" w:rsidRDefault="008A07DF" w:rsidP="008A07DF">
      <w:pPr>
        <w:pStyle w:val="Heading1"/>
        <w:numPr>
          <w:ilvl w:val="0"/>
          <w:numId w:val="0"/>
        </w:numPr>
        <w:spacing w:before="0" w:after="0"/>
        <w:ind w:left="426" w:hanging="426"/>
        <w:rPr>
          <w:rFonts w:asciiTheme="minorHAnsi" w:hAnsiTheme="minorHAnsi"/>
          <w:spacing w:val="-5"/>
        </w:rPr>
      </w:pPr>
      <w:r>
        <w:rPr>
          <w:rFonts w:asciiTheme="minorHAnsi" w:hAnsiTheme="minorHAnsi"/>
        </w:rPr>
        <w:t>10.</w:t>
      </w:r>
      <w:r>
        <w:rPr>
          <w:rFonts w:asciiTheme="minorHAnsi" w:hAnsiTheme="minorHAnsi"/>
        </w:rPr>
        <w:tab/>
      </w:r>
      <w:r w:rsidR="007F6C40" w:rsidRPr="00A66378">
        <w:rPr>
          <w:rFonts w:asciiTheme="minorHAnsi" w:hAnsiTheme="minorHAnsi"/>
        </w:rPr>
        <w:t xml:space="preserve">Examen des activités des groupes de travail </w:t>
      </w:r>
      <w:r w:rsidR="007F6C40" w:rsidRPr="00A66378">
        <w:rPr>
          <w:rFonts w:asciiTheme="minorHAnsi" w:hAnsiTheme="minorHAnsi"/>
          <w:i/>
          <w:iCs/>
        </w:rPr>
        <w:t>ad hoc</w:t>
      </w:r>
      <w:r w:rsidR="007F6C40" w:rsidRPr="00A66378">
        <w:rPr>
          <w:rFonts w:asciiTheme="minorHAnsi" w:hAnsiTheme="minorHAnsi"/>
        </w:rPr>
        <w:t xml:space="preserve"> du WG-ORT</w:t>
      </w:r>
      <w:r>
        <w:rPr>
          <w:rFonts w:asciiTheme="minorHAnsi" w:hAnsiTheme="minorHAnsi"/>
        </w:rPr>
        <w:t>.</w:t>
      </w:r>
    </w:p>
    <w:p w14:paraId="0328E501" w14:textId="77777777" w:rsidR="008A07DF" w:rsidRDefault="008A07DF" w:rsidP="00A66378">
      <w:pPr>
        <w:rPr>
          <w:rFonts w:asciiTheme="minorHAnsi" w:hAnsiTheme="minorHAnsi"/>
        </w:rPr>
      </w:pPr>
    </w:p>
    <w:p w14:paraId="2A954B57" w14:textId="0E703EE1" w:rsidR="007F6C40" w:rsidRPr="00A66378" w:rsidRDefault="002730C6" w:rsidP="00A66378">
      <w:pPr>
        <w:rPr>
          <w:rFonts w:asciiTheme="minorHAnsi" w:hAnsiTheme="minorHAnsi"/>
        </w:rPr>
      </w:pPr>
      <w:r w:rsidRPr="00A66378">
        <w:rPr>
          <w:rFonts w:asciiTheme="minorHAnsi" w:hAnsiTheme="minorHAnsi"/>
        </w:rPr>
        <w:t xml:space="preserve">Cette section aborde deux thèmes : le premier résume les activités menées en matière d'élimination des redondances (en collaboration avec le Groupe de travail </w:t>
      </w:r>
      <w:r w:rsidRPr="00A66378">
        <w:rPr>
          <w:rFonts w:asciiTheme="minorHAnsi" w:hAnsiTheme="minorHAnsi"/>
          <w:i/>
          <w:iCs/>
        </w:rPr>
        <w:t>ad hoc</w:t>
      </w:r>
      <w:r w:rsidRPr="00A66378">
        <w:rPr>
          <w:rFonts w:asciiTheme="minorHAnsi" w:hAnsiTheme="minorHAnsi"/>
        </w:rPr>
        <w:t xml:space="preserve"> sur l'élimination des redondances), et le second passe en revue le glossaire de l'IOMS.</w:t>
      </w:r>
    </w:p>
    <w:p w14:paraId="56A1B261" w14:textId="77777777" w:rsidR="002730C6" w:rsidRPr="00A66378" w:rsidRDefault="002730C6" w:rsidP="00A66378">
      <w:pPr>
        <w:rPr>
          <w:rFonts w:asciiTheme="minorHAnsi" w:hAnsiTheme="minorHAnsi"/>
        </w:rPr>
      </w:pPr>
    </w:p>
    <w:p w14:paraId="3C78199A" w14:textId="3885312A" w:rsidR="007F6C40" w:rsidRPr="00A66378" w:rsidRDefault="001A50DE" w:rsidP="001A50DE">
      <w:pPr>
        <w:pStyle w:val="Heading2"/>
        <w:numPr>
          <w:ilvl w:val="0"/>
          <w:numId w:val="0"/>
        </w:numPr>
        <w:spacing w:before="0" w:after="0"/>
        <w:rPr>
          <w:rFonts w:asciiTheme="minorHAnsi" w:hAnsiTheme="minorHAnsi"/>
          <w:spacing w:val="-2"/>
        </w:rPr>
      </w:pPr>
      <w:r>
        <w:rPr>
          <w:rFonts w:asciiTheme="minorHAnsi" w:hAnsiTheme="minorHAnsi"/>
        </w:rPr>
        <w:t xml:space="preserve">10.1 </w:t>
      </w:r>
      <w:r w:rsidR="007F6C40" w:rsidRPr="00A66378">
        <w:rPr>
          <w:rFonts w:asciiTheme="minorHAnsi" w:hAnsiTheme="minorHAnsi"/>
        </w:rPr>
        <w:t>Suppression des redondances</w:t>
      </w:r>
    </w:p>
    <w:p w14:paraId="667B1058" w14:textId="77777777" w:rsidR="007F6C40" w:rsidRPr="00A66378" w:rsidRDefault="007F6C40" w:rsidP="00A66378">
      <w:pPr>
        <w:rPr>
          <w:rFonts w:asciiTheme="minorHAnsi" w:hAnsiTheme="minorHAnsi"/>
        </w:rPr>
      </w:pPr>
    </w:p>
    <w:p w14:paraId="76580771" w14:textId="6789F4BE" w:rsidR="002730C6" w:rsidRPr="00A66378" w:rsidRDefault="002730C6" w:rsidP="00A66378">
      <w:pPr>
        <w:rPr>
          <w:rFonts w:asciiTheme="minorHAnsi" w:hAnsiTheme="minorHAnsi"/>
        </w:rPr>
      </w:pPr>
      <w:r w:rsidRPr="00A66378">
        <w:rPr>
          <w:rFonts w:asciiTheme="minorHAnsi" w:hAnsiTheme="minorHAnsi"/>
        </w:rPr>
        <w:t>Le Président a rappelé que, l'année dernière, l'UE avait prévu d'apporter une contribution volontaire afin de faciliter la rationalisation et l'élimination des redondances dans les mesures de l’ICCAT, en recrutant un expert en réglementation de l’ICCAT. Le Président a demandé au Secrétariat et à l'UE de lui fournir des informations complémentaires sur l'état d'avancement de ces travaux.</w:t>
      </w:r>
    </w:p>
    <w:p w14:paraId="27A9EFB2" w14:textId="77777777" w:rsidR="002730C6" w:rsidRPr="00A66378" w:rsidRDefault="002730C6" w:rsidP="00A66378">
      <w:pPr>
        <w:rPr>
          <w:rFonts w:asciiTheme="minorHAnsi" w:hAnsiTheme="minorHAnsi"/>
        </w:rPr>
      </w:pPr>
    </w:p>
    <w:p w14:paraId="072F75EC" w14:textId="77777777" w:rsidR="002730C6" w:rsidRPr="00A66378" w:rsidRDefault="002730C6" w:rsidP="00A66378">
      <w:pPr>
        <w:rPr>
          <w:rFonts w:asciiTheme="minorHAnsi" w:hAnsiTheme="minorHAnsi"/>
        </w:rPr>
      </w:pPr>
      <w:r w:rsidRPr="00A66378">
        <w:rPr>
          <w:rFonts w:asciiTheme="minorHAnsi" w:hAnsiTheme="minorHAnsi"/>
        </w:rPr>
        <w:t xml:space="preserve">Le Secrétariat a fait le point sur l'état d'avancement de la subvention de l'UE visant à rationaliser les règlementations de l’ICCAT et à en éliminer les redondances. L'ICCAT a déjà reçu l'invitation accompagnée des termes de référence relatives aux travaux en question. L'ICCAT a déjà déposé sa demande de subvention et attend l'accord de l'UE pour procéder aux signatures finales, qui devraient être finalisées dans les prochains mois. Par la suite, le Secrétariat lancera un appel d'offres pour recruter des consultants chargés de mener à bien ce travail. Le Secrétariat prévoit que ce projet sera opérationnel avant l'été 2026, mais a demandé à l'UE de lui faire part de ses commentaires supplémentaires. L'UE a validé l'analyse du Secrétariat et a fait part de ses attentes, qui vont dans le même sens, concernant le lancement du projet. Par ailleurs, l'UE a estimé que ce Groupe était le mieux placé pour fournir des orientations et des conseils concernant le travail du futur consultant. </w:t>
      </w:r>
    </w:p>
    <w:p w14:paraId="5CBECFA2" w14:textId="77777777" w:rsidR="002730C6" w:rsidRPr="00A66378" w:rsidRDefault="002730C6" w:rsidP="00A66378">
      <w:pPr>
        <w:rPr>
          <w:rFonts w:asciiTheme="minorHAnsi" w:hAnsiTheme="minorHAnsi"/>
        </w:rPr>
      </w:pPr>
    </w:p>
    <w:p w14:paraId="281ED47C" w14:textId="19321C41" w:rsidR="002730C6" w:rsidRPr="00A66378" w:rsidRDefault="002730C6" w:rsidP="00A66378">
      <w:pPr>
        <w:rPr>
          <w:rFonts w:asciiTheme="minorHAnsi" w:hAnsiTheme="minorHAnsi"/>
        </w:rPr>
      </w:pPr>
      <w:r w:rsidRPr="00A66378">
        <w:rPr>
          <w:rFonts w:asciiTheme="minorHAnsi" w:hAnsiTheme="minorHAnsi"/>
        </w:rPr>
        <w:t xml:space="preserve">Le Président a exprimé, au nom du WG-ORT, ses remerciements pour la contribution volontaire de l'UE apportée à cette question complexe. Le Groupe a souscrit à l'avis de l'UE selon lequel il existe une marge de manœuvre pour une collaboration entre ce Groupe de travail et le consultant ; il a été suggéré d'ajouter cette collaboration à la liste des tâches à accomplir entre les sessions. </w:t>
      </w:r>
    </w:p>
    <w:p w14:paraId="3450963E" w14:textId="77777777" w:rsidR="007F6C40" w:rsidRPr="00A66378" w:rsidRDefault="007F6C40" w:rsidP="00A66378">
      <w:pPr>
        <w:rPr>
          <w:rFonts w:asciiTheme="minorHAnsi" w:hAnsiTheme="minorHAnsi"/>
        </w:rPr>
      </w:pPr>
    </w:p>
    <w:p w14:paraId="36622864" w14:textId="2896AE69" w:rsidR="007F6C40" w:rsidRPr="00A66378" w:rsidRDefault="001A50DE" w:rsidP="001A50DE">
      <w:pPr>
        <w:pStyle w:val="Heading2"/>
        <w:numPr>
          <w:ilvl w:val="0"/>
          <w:numId w:val="0"/>
        </w:numPr>
        <w:spacing w:before="0" w:after="0"/>
        <w:rPr>
          <w:rFonts w:asciiTheme="minorHAnsi" w:hAnsiTheme="minorHAnsi"/>
          <w:spacing w:val="-2"/>
        </w:rPr>
      </w:pPr>
      <w:r>
        <w:rPr>
          <w:rFonts w:asciiTheme="minorHAnsi" w:hAnsiTheme="minorHAnsi"/>
        </w:rPr>
        <w:t xml:space="preserve">10.2 </w:t>
      </w:r>
      <w:r w:rsidR="007F6C40" w:rsidRPr="00A66378">
        <w:rPr>
          <w:rFonts w:asciiTheme="minorHAnsi" w:hAnsiTheme="minorHAnsi"/>
        </w:rPr>
        <w:t>Glossaire des termes et définitions de l'IOMS</w:t>
      </w:r>
    </w:p>
    <w:p w14:paraId="6EB453D3" w14:textId="77777777" w:rsidR="007F6C40" w:rsidRPr="00A66378" w:rsidRDefault="007F6C40" w:rsidP="00A66378">
      <w:pPr>
        <w:rPr>
          <w:rFonts w:asciiTheme="minorHAnsi" w:hAnsiTheme="minorHAnsi"/>
        </w:rPr>
      </w:pPr>
    </w:p>
    <w:p w14:paraId="2F500606" w14:textId="0CD1C8CA" w:rsidR="002730C6" w:rsidRPr="00A66378" w:rsidRDefault="002730C6" w:rsidP="00A66378">
      <w:pPr>
        <w:rPr>
          <w:rFonts w:asciiTheme="minorHAnsi" w:hAnsiTheme="minorHAnsi"/>
        </w:rPr>
      </w:pPr>
      <w:r w:rsidRPr="00A66378">
        <w:rPr>
          <w:rFonts w:asciiTheme="minorHAnsi" w:hAnsiTheme="minorHAnsi"/>
        </w:rPr>
        <w:t xml:space="preserve">Le Président a rappelé aux nouveaux participants que ce Groupe avait élaboré un glossaire des termes de l'IOMS, notamment en ce qui concerne les navires et les autorisations. Ce glossaire a été validé par le Groupe de travail sur les mesures de contrôle intégré (IMM) en 2024, puis approuvé par la Commission. La version adoptée du glossaire de l’IOMS est </w:t>
      </w:r>
      <w:r w:rsidR="001A50DE" w:rsidRPr="00A66378">
        <w:rPr>
          <w:rFonts w:asciiTheme="minorHAnsi" w:hAnsiTheme="minorHAnsi"/>
        </w:rPr>
        <w:t>jointe</w:t>
      </w:r>
      <w:r w:rsidRPr="00A66378">
        <w:rPr>
          <w:rFonts w:asciiTheme="minorHAnsi" w:hAnsiTheme="minorHAnsi"/>
        </w:rPr>
        <w:t xml:space="preserve"> en tant qu’appendice 9 au </w:t>
      </w:r>
      <w:hyperlink r:id="rId45" w:history="1">
        <w:r w:rsidRPr="00A66378">
          <w:rPr>
            <w:rStyle w:val="Hyperlink"/>
            <w:rFonts w:asciiTheme="minorHAnsi" w:hAnsiTheme="minorHAnsi"/>
            <w:u w:val="none"/>
          </w:rPr>
          <w:t>rapport de la 17e réunion du Groupe de travail chargé d’élaborer des mesures de contrôle intégré (IMM).</w:t>
        </w:r>
      </w:hyperlink>
      <w:r w:rsidRPr="00A66378">
        <w:rPr>
          <w:rFonts w:asciiTheme="minorHAnsi" w:hAnsiTheme="minorHAnsi"/>
        </w:rPr>
        <w:t xml:space="preserve"> Le WG-ORT est chargé de tenir à jour le glossaire des termes et définitions de l'IOMS chaque fois que de nouveaux termes et concepts sont adoptés pour l'IOMS. </w:t>
      </w:r>
    </w:p>
    <w:p w14:paraId="1700BB25" w14:textId="1FD43FF6" w:rsidR="007F6C40" w:rsidRPr="00A66378" w:rsidRDefault="002730C6" w:rsidP="00A66378">
      <w:pPr>
        <w:rPr>
          <w:rFonts w:asciiTheme="minorHAnsi" w:hAnsiTheme="minorHAnsi"/>
        </w:rPr>
      </w:pPr>
      <w:r w:rsidRPr="00A66378">
        <w:rPr>
          <w:rFonts w:asciiTheme="minorHAnsi" w:hAnsiTheme="minorHAnsi"/>
        </w:rPr>
        <w:lastRenderedPageBreak/>
        <w:t>Le Président a indiqué que le glossaire des termes et définitions de l'IOMS n'avait pas changé depuis l'année dernière. Ce Groupe a également convenu de publier le glossaire de l'IOMS au sein du système d'aide de l'IOMS, dans la mesure du possible et sans entraver le déroulement normal des travaux de l'IOMS.</w:t>
      </w:r>
    </w:p>
    <w:p w14:paraId="5F1A9521" w14:textId="77777777" w:rsidR="007F6C40" w:rsidRDefault="007F6C40" w:rsidP="00A66378">
      <w:pPr>
        <w:rPr>
          <w:rFonts w:asciiTheme="minorHAnsi" w:hAnsiTheme="minorHAnsi"/>
        </w:rPr>
      </w:pPr>
    </w:p>
    <w:p w14:paraId="3CC74768" w14:textId="77777777" w:rsidR="002D5B45" w:rsidRPr="00A66378" w:rsidRDefault="002D5B45" w:rsidP="00A66378">
      <w:pPr>
        <w:rPr>
          <w:rFonts w:asciiTheme="minorHAnsi" w:hAnsiTheme="minorHAnsi"/>
        </w:rPr>
      </w:pPr>
    </w:p>
    <w:p w14:paraId="5F9ECE59" w14:textId="0506557C" w:rsidR="00114A46" w:rsidRPr="00A66378" w:rsidRDefault="002D5B45" w:rsidP="002D5B45">
      <w:pPr>
        <w:pStyle w:val="Heading1"/>
        <w:numPr>
          <w:ilvl w:val="0"/>
          <w:numId w:val="0"/>
        </w:numPr>
        <w:tabs>
          <w:tab w:val="left" w:pos="426"/>
        </w:tabs>
        <w:spacing w:before="0" w:after="0"/>
        <w:rPr>
          <w:rFonts w:asciiTheme="minorHAnsi" w:hAnsiTheme="minorHAnsi"/>
          <w:spacing w:val="-2"/>
        </w:rPr>
      </w:pPr>
      <w:r>
        <w:rPr>
          <w:rFonts w:asciiTheme="minorHAnsi" w:hAnsiTheme="minorHAnsi"/>
        </w:rPr>
        <w:t>11.</w:t>
      </w:r>
      <w:r>
        <w:rPr>
          <w:rFonts w:asciiTheme="minorHAnsi" w:hAnsiTheme="minorHAnsi"/>
        </w:rPr>
        <w:tab/>
      </w:r>
      <w:r w:rsidR="00114A46" w:rsidRPr="00A66378">
        <w:rPr>
          <w:rFonts w:asciiTheme="minorHAnsi" w:hAnsiTheme="minorHAnsi"/>
        </w:rPr>
        <w:t>Mise à jour et approbation du plan de travail de l'IOMS</w:t>
      </w:r>
    </w:p>
    <w:p w14:paraId="7C1D18AF" w14:textId="77777777" w:rsidR="002D5B45" w:rsidRDefault="002D5B45" w:rsidP="00A66378">
      <w:pPr>
        <w:pBdr>
          <w:top w:val="none" w:sz="0" w:space="0" w:color="auto"/>
          <w:left w:val="none" w:sz="0" w:space="0" w:color="auto"/>
          <w:bottom w:val="none" w:sz="0" w:space="0" w:color="auto"/>
          <w:right w:val="none" w:sz="0" w:space="0" w:color="auto"/>
          <w:between w:val="none" w:sz="0" w:space="0" w:color="auto"/>
        </w:pBdr>
        <w:rPr>
          <w:rFonts w:asciiTheme="minorHAnsi" w:hAnsiTheme="minorHAnsi"/>
        </w:rPr>
      </w:pPr>
    </w:p>
    <w:p w14:paraId="08E979D9" w14:textId="289520EE" w:rsidR="008E4481" w:rsidRPr="00A66378" w:rsidRDefault="005E263A" w:rsidP="00A66378">
      <w:pPr>
        <w:pBdr>
          <w:top w:val="none" w:sz="0" w:space="0" w:color="auto"/>
          <w:left w:val="none" w:sz="0" w:space="0" w:color="auto"/>
          <w:bottom w:val="none" w:sz="0" w:space="0" w:color="auto"/>
          <w:right w:val="none" w:sz="0" w:space="0" w:color="auto"/>
          <w:between w:val="none" w:sz="0" w:space="0" w:color="auto"/>
        </w:pBdr>
        <w:rPr>
          <w:rFonts w:asciiTheme="minorHAnsi" w:hAnsiTheme="minorHAnsi"/>
        </w:rPr>
      </w:pPr>
      <w:r w:rsidRPr="00A66378">
        <w:rPr>
          <w:rFonts w:asciiTheme="minorHAnsi" w:hAnsiTheme="minorHAnsi"/>
        </w:rPr>
        <w:t>Le Président a demandé au Secrétariat de présenter le plan de travail actuel de l'IOMS, qui repose sur la version adoptée en 2025. Le Président a sollicité l'avis des membres du WG-ORT concernant d'éventuelles modifications.</w:t>
      </w:r>
    </w:p>
    <w:p w14:paraId="26825B84" w14:textId="77777777" w:rsidR="008E4481" w:rsidRPr="00A66378" w:rsidRDefault="008E4481" w:rsidP="00A66378">
      <w:pPr>
        <w:pBdr>
          <w:top w:val="none" w:sz="0" w:space="0" w:color="auto"/>
          <w:left w:val="none" w:sz="0" w:space="0" w:color="auto"/>
          <w:bottom w:val="none" w:sz="0" w:space="0" w:color="auto"/>
          <w:right w:val="none" w:sz="0" w:space="0" w:color="auto"/>
          <w:between w:val="none" w:sz="0" w:space="0" w:color="auto"/>
        </w:pBdr>
        <w:rPr>
          <w:rFonts w:asciiTheme="minorHAnsi" w:hAnsiTheme="minorHAnsi"/>
        </w:rPr>
      </w:pPr>
    </w:p>
    <w:p w14:paraId="529F5579" w14:textId="5BC47C44" w:rsidR="00B57795" w:rsidRPr="00A66378" w:rsidRDefault="003B0ED5" w:rsidP="00A66378">
      <w:pPr>
        <w:pBdr>
          <w:top w:val="none" w:sz="0" w:space="0" w:color="auto"/>
          <w:left w:val="none" w:sz="0" w:space="0" w:color="auto"/>
          <w:bottom w:val="none" w:sz="0" w:space="0" w:color="auto"/>
          <w:right w:val="none" w:sz="0" w:space="0" w:color="auto"/>
          <w:between w:val="none" w:sz="0" w:space="0" w:color="auto"/>
        </w:pBdr>
        <w:rPr>
          <w:rFonts w:asciiTheme="minorHAnsi" w:hAnsiTheme="minorHAnsi"/>
        </w:rPr>
      </w:pPr>
      <w:r w:rsidRPr="00A66378">
        <w:rPr>
          <w:rFonts w:asciiTheme="minorHAnsi" w:hAnsiTheme="minorHAnsi"/>
        </w:rPr>
        <w:t xml:space="preserve">Le Secrétariat de l’ICCAT a présenté une explication détaillée du projet de plan de travail de l'IOMS pour 2026, qui s'appuie sur la version adoptée pour 2025, comme l'a rappelé le Président. Il comprend déjà la phase 5 (24 mois se terminant en mai 2028), et aucune autre phase n'a été ajoutée. La phase 3 s'est achevée avec la mise en production du Gestionnaire de navires et du Gestionnaire de formulaires. </w:t>
      </w:r>
    </w:p>
    <w:p w14:paraId="606E1D6A" w14:textId="77777777" w:rsidR="00B57795" w:rsidRPr="00A66378" w:rsidRDefault="00B57795" w:rsidP="00A66378">
      <w:pPr>
        <w:pBdr>
          <w:top w:val="none" w:sz="0" w:space="0" w:color="auto"/>
          <w:left w:val="none" w:sz="0" w:space="0" w:color="auto"/>
          <w:bottom w:val="none" w:sz="0" w:space="0" w:color="auto"/>
          <w:right w:val="none" w:sz="0" w:space="0" w:color="auto"/>
          <w:between w:val="none" w:sz="0" w:space="0" w:color="auto"/>
        </w:pBdr>
        <w:rPr>
          <w:rFonts w:asciiTheme="minorHAnsi" w:hAnsiTheme="minorHAnsi"/>
        </w:rPr>
      </w:pPr>
    </w:p>
    <w:p w14:paraId="277148DD" w14:textId="3F7AAC8D" w:rsidR="009A75B0" w:rsidRDefault="00B57795" w:rsidP="00A66378">
      <w:pPr>
        <w:pBdr>
          <w:top w:val="none" w:sz="0" w:space="0" w:color="auto"/>
          <w:left w:val="none" w:sz="0" w:space="0" w:color="auto"/>
          <w:bottom w:val="none" w:sz="0" w:space="0" w:color="auto"/>
          <w:right w:val="none" w:sz="0" w:space="0" w:color="auto"/>
          <w:between w:val="none" w:sz="0" w:space="0" w:color="auto"/>
        </w:pBdr>
        <w:rPr>
          <w:rFonts w:asciiTheme="minorHAnsi" w:hAnsiTheme="minorHAnsi"/>
        </w:rPr>
      </w:pPr>
      <w:r w:rsidRPr="00A66378">
        <w:rPr>
          <w:rFonts w:asciiTheme="minorHAnsi" w:hAnsiTheme="minorHAnsi"/>
        </w:rPr>
        <w:t>Aucune modification n'a été apportée aux priorités des activités prévues dans les modules des phases 4 et 5. Cependant, certaines activités ont été reprogrammées :</w:t>
      </w:r>
    </w:p>
    <w:p w14:paraId="1E53C95B" w14:textId="77777777" w:rsidR="002D5B45" w:rsidRPr="00A66378" w:rsidRDefault="002D5B45" w:rsidP="00A66378">
      <w:pPr>
        <w:pBdr>
          <w:top w:val="none" w:sz="0" w:space="0" w:color="auto"/>
          <w:left w:val="none" w:sz="0" w:space="0" w:color="auto"/>
          <w:bottom w:val="none" w:sz="0" w:space="0" w:color="auto"/>
          <w:right w:val="none" w:sz="0" w:space="0" w:color="auto"/>
          <w:between w:val="none" w:sz="0" w:space="0" w:color="auto"/>
        </w:pBdr>
        <w:rPr>
          <w:rFonts w:asciiTheme="minorHAnsi" w:hAnsiTheme="minorHAnsi"/>
        </w:rPr>
      </w:pPr>
    </w:p>
    <w:p w14:paraId="23879ABA" w14:textId="698176A8" w:rsidR="001953D2" w:rsidRPr="00A66378" w:rsidRDefault="00B57795" w:rsidP="00AE78DE">
      <w:pPr>
        <w:pStyle w:val="ListParagraph"/>
        <w:numPr>
          <w:ilvl w:val="1"/>
          <w:numId w:val="38"/>
        </w:numPr>
        <w:pBdr>
          <w:top w:val="none" w:sz="0" w:space="0" w:color="auto"/>
          <w:left w:val="none" w:sz="0" w:space="0" w:color="auto"/>
          <w:bottom w:val="none" w:sz="0" w:space="0" w:color="auto"/>
          <w:right w:val="none" w:sz="0" w:space="0" w:color="auto"/>
          <w:between w:val="none" w:sz="0" w:space="0" w:color="auto"/>
        </w:pBdr>
        <w:tabs>
          <w:tab w:val="left" w:pos="851"/>
        </w:tabs>
        <w:ind w:left="709" w:hanging="425"/>
        <w:rPr>
          <w:rFonts w:asciiTheme="minorHAnsi" w:hAnsiTheme="minorHAnsi"/>
        </w:rPr>
      </w:pPr>
      <w:r w:rsidRPr="00A66378">
        <w:rPr>
          <w:rFonts w:asciiTheme="minorHAnsi" w:hAnsiTheme="minorHAnsi"/>
        </w:rPr>
        <w:t>Séance de formation pour le Gestionnaire de ports (prévue en avril 2026)</w:t>
      </w:r>
    </w:p>
    <w:p w14:paraId="05527984" w14:textId="2DAE2AE1" w:rsidR="00C37AC6" w:rsidRPr="00A66378" w:rsidRDefault="00C37AC6" w:rsidP="00AE78DE">
      <w:pPr>
        <w:pStyle w:val="ListParagraph"/>
        <w:numPr>
          <w:ilvl w:val="1"/>
          <w:numId w:val="38"/>
        </w:numPr>
        <w:pBdr>
          <w:top w:val="none" w:sz="0" w:space="0" w:color="auto"/>
          <w:left w:val="none" w:sz="0" w:space="0" w:color="auto"/>
          <w:bottom w:val="none" w:sz="0" w:space="0" w:color="auto"/>
          <w:right w:val="none" w:sz="0" w:space="0" w:color="auto"/>
          <w:between w:val="none" w:sz="0" w:space="0" w:color="auto"/>
        </w:pBdr>
        <w:tabs>
          <w:tab w:val="left" w:pos="851"/>
        </w:tabs>
        <w:ind w:left="709" w:hanging="425"/>
        <w:rPr>
          <w:rFonts w:asciiTheme="minorHAnsi" w:hAnsiTheme="minorHAnsi"/>
        </w:rPr>
      </w:pPr>
      <w:r w:rsidRPr="00A66378">
        <w:rPr>
          <w:rFonts w:asciiTheme="minorHAnsi" w:hAnsiTheme="minorHAnsi"/>
        </w:rPr>
        <w:t>Ajout d'une session de formation générale sur les difficultés rencontrées (prévue pour juin 2026)</w:t>
      </w:r>
    </w:p>
    <w:p w14:paraId="34AF7403" w14:textId="65511C79" w:rsidR="00C37AC6" w:rsidRPr="00A66378" w:rsidRDefault="00B57795" w:rsidP="00AE78DE">
      <w:pPr>
        <w:pStyle w:val="ListParagraph"/>
        <w:numPr>
          <w:ilvl w:val="1"/>
          <w:numId w:val="38"/>
        </w:numPr>
        <w:pBdr>
          <w:top w:val="none" w:sz="0" w:space="0" w:color="auto"/>
          <w:left w:val="none" w:sz="0" w:space="0" w:color="auto"/>
          <w:bottom w:val="none" w:sz="0" w:space="0" w:color="auto"/>
          <w:right w:val="none" w:sz="0" w:space="0" w:color="auto"/>
          <w:between w:val="none" w:sz="0" w:space="0" w:color="auto"/>
        </w:pBdr>
        <w:tabs>
          <w:tab w:val="left" w:pos="851"/>
        </w:tabs>
        <w:ind w:left="709" w:hanging="425"/>
        <w:rPr>
          <w:rFonts w:asciiTheme="minorHAnsi" w:hAnsiTheme="minorHAnsi"/>
        </w:rPr>
      </w:pPr>
      <w:r w:rsidRPr="00A66378">
        <w:rPr>
          <w:rFonts w:asciiTheme="minorHAnsi" w:hAnsiTheme="minorHAnsi"/>
        </w:rPr>
        <w:t>Achèvement du Gestionnaire de ports (mise en production le 1er août 2026)</w:t>
      </w:r>
    </w:p>
    <w:p w14:paraId="302B6CC6" w14:textId="39038E8E" w:rsidR="00C37AC6" w:rsidRPr="00A66378" w:rsidRDefault="00C37AC6" w:rsidP="00AE78DE">
      <w:pPr>
        <w:pStyle w:val="ListParagraph"/>
        <w:numPr>
          <w:ilvl w:val="1"/>
          <w:numId w:val="38"/>
        </w:numPr>
        <w:pBdr>
          <w:top w:val="none" w:sz="0" w:space="0" w:color="auto"/>
          <w:left w:val="none" w:sz="0" w:space="0" w:color="auto"/>
          <w:bottom w:val="none" w:sz="0" w:space="0" w:color="auto"/>
          <w:right w:val="none" w:sz="0" w:space="0" w:color="auto"/>
          <w:between w:val="none" w:sz="0" w:space="0" w:color="auto"/>
        </w:pBdr>
        <w:tabs>
          <w:tab w:val="left" w:pos="851"/>
        </w:tabs>
        <w:ind w:left="709" w:hanging="425"/>
        <w:rPr>
          <w:rFonts w:asciiTheme="minorHAnsi" w:hAnsiTheme="minorHAnsi"/>
        </w:rPr>
      </w:pPr>
      <w:r w:rsidRPr="00A66378">
        <w:rPr>
          <w:rFonts w:asciiTheme="minorHAnsi" w:hAnsiTheme="minorHAnsi"/>
        </w:rPr>
        <w:t>Finalisation du Gestionnaire de T1NC (prises nominales de la tâche 1) (reportée au 1er mai 2027)</w:t>
      </w:r>
    </w:p>
    <w:p w14:paraId="22772D29" w14:textId="33385BA9" w:rsidR="00C37AC6" w:rsidRPr="00A66378" w:rsidRDefault="00C37AC6" w:rsidP="00AE78DE">
      <w:pPr>
        <w:pStyle w:val="ListParagraph"/>
        <w:numPr>
          <w:ilvl w:val="1"/>
          <w:numId w:val="38"/>
        </w:numPr>
        <w:pBdr>
          <w:top w:val="none" w:sz="0" w:space="0" w:color="auto"/>
          <w:left w:val="none" w:sz="0" w:space="0" w:color="auto"/>
          <w:bottom w:val="none" w:sz="0" w:space="0" w:color="auto"/>
          <w:right w:val="none" w:sz="0" w:space="0" w:color="auto"/>
          <w:between w:val="none" w:sz="0" w:space="0" w:color="auto"/>
        </w:pBdr>
        <w:tabs>
          <w:tab w:val="left" w:pos="851"/>
        </w:tabs>
        <w:ind w:left="709" w:hanging="425"/>
        <w:rPr>
          <w:rFonts w:asciiTheme="minorHAnsi" w:hAnsiTheme="minorHAnsi"/>
        </w:rPr>
      </w:pPr>
      <w:r w:rsidRPr="00A66378">
        <w:rPr>
          <w:rFonts w:asciiTheme="minorHAnsi" w:hAnsiTheme="minorHAnsi"/>
        </w:rPr>
        <w:t>Finalisation du Gestionnaire de COCT (tableaux d’application) (reportée au 1er mai 2027)</w:t>
      </w:r>
    </w:p>
    <w:p w14:paraId="579C2987" w14:textId="22789DD5" w:rsidR="00C37AC6" w:rsidRPr="00A66378" w:rsidRDefault="00C37AC6" w:rsidP="00AE78DE">
      <w:pPr>
        <w:pStyle w:val="ListParagraph"/>
        <w:numPr>
          <w:ilvl w:val="1"/>
          <w:numId w:val="38"/>
        </w:numPr>
        <w:pBdr>
          <w:top w:val="none" w:sz="0" w:space="0" w:color="auto"/>
          <w:left w:val="none" w:sz="0" w:space="0" w:color="auto"/>
          <w:bottom w:val="none" w:sz="0" w:space="0" w:color="auto"/>
          <w:right w:val="none" w:sz="0" w:space="0" w:color="auto"/>
          <w:between w:val="none" w:sz="0" w:space="0" w:color="auto"/>
        </w:pBdr>
        <w:tabs>
          <w:tab w:val="left" w:pos="851"/>
        </w:tabs>
        <w:ind w:left="709" w:hanging="425"/>
        <w:rPr>
          <w:rFonts w:asciiTheme="minorHAnsi" w:hAnsiTheme="minorHAnsi"/>
        </w:rPr>
      </w:pPr>
      <w:r w:rsidRPr="00A66378">
        <w:rPr>
          <w:rFonts w:asciiTheme="minorHAnsi" w:hAnsiTheme="minorHAnsi"/>
        </w:rPr>
        <w:t>Finalisation du Gestionnaire de feuilles de contrôle sur les requins/istiophoridés (reportée au 1er août 2027)</w:t>
      </w:r>
    </w:p>
    <w:p w14:paraId="216C77AF" w14:textId="7F1433BC" w:rsidR="00C37AC6" w:rsidRPr="00A66378" w:rsidRDefault="00C37AC6" w:rsidP="00AE78DE">
      <w:pPr>
        <w:pStyle w:val="ListParagraph"/>
        <w:numPr>
          <w:ilvl w:val="1"/>
          <w:numId w:val="38"/>
        </w:numPr>
        <w:pBdr>
          <w:top w:val="none" w:sz="0" w:space="0" w:color="auto"/>
          <w:left w:val="none" w:sz="0" w:space="0" w:color="auto"/>
          <w:bottom w:val="none" w:sz="0" w:space="0" w:color="auto"/>
          <w:right w:val="none" w:sz="0" w:space="0" w:color="auto"/>
          <w:between w:val="none" w:sz="0" w:space="0" w:color="auto"/>
        </w:pBdr>
        <w:tabs>
          <w:tab w:val="left" w:pos="851"/>
        </w:tabs>
        <w:ind w:left="709" w:hanging="425"/>
        <w:rPr>
          <w:rFonts w:asciiTheme="minorHAnsi" w:hAnsiTheme="minorHAnsi"/>
        </w:rPr>
      </w:pPr>
      <w:r w:rsidRPr="00A66378">
        <w:rPr>
          <w:rFonts w:asciiTheme="minorHAnsi" w:hAnsiTheme="minorHAnsi"/>
        </w:rPr>
        <w:t>Module de gestionnaire de T2CE (léger report de la date de début au 2 août 2026)</w:t>
      </w:r>
    </w:p>
    <w:p w14:paraId="09DB3870" w14:textId="7403D5E0" w:rsidR="00B57795" w:rsidRPr="00A66378" w:rsidRDefault="00C1262B" w:rsidP="00AE78DE">
      <w:pPr>
        <w:pStyle w:val="ListParagraph"/>
        <w:numPr>
          <w:ilvl w:val="1"/>
          <w:numId w:val="38"/>
        </w:numPr>
        <w:pBdr>
          <w:top w:val="none" w:sz="0" w:space="0" w:color="auto"/>
          <w:left w:val="none" w:sz="0" w:space="0" w:color="auto"/>
          <w:bottom w:val="none" w:sz="0" w:space="0" w:color="auto"/>
          <w:right w:val="none" w:sz="0" w:space="0" w:color="auto"/>
          <w:between w:val="none" w:sz="0" w:space="0" w:color="auto"/>
        </w:pBdr>
        <w:tabs>
          <w:tab w:val="left" w:pos="851"/>
        </w:tabs>
        <w:ind w:left="709" w:hanging="425"/>
        <w:rPr>
          <w:rFonts w:asciiTheme="minorHAnsi" w:hAnsiTheme="minorHAnsi"/>
        </w:rPr>
      </w:pPr>
      <w:r w:rsidRPr="00A66378">
        <w:rPr>
          <w:rFonts w:asciiTheme="minorHAnsi" w:hAnsiTheme="minorHAnsi"/>
        </w:rPr>
        <w:t>Conclusion des tests de UN/FLUX du Gestionnaire de navires (provisoirement le 1er novembre 2026).</w:t>
      </w:r>
    </w:p>
    <w:p w14:paraId="429CA6DB" w14:textId="77777777" w:rsidR="00663B15" w:rsidRPr="00A66378" w:rsidRDefault="00663B15" w:rsidP="00AE78DE">
      <w:pPr>
        <w:tabs>
          <w:tab w:val="left" w:pos="851"/>
        </w:tabs>
        <w:ind w:left="709" w:hanging="425"/>
        <w:rPr>
          <w:rFonts w:asciiTheme="minorHAnsi" w:hAnsiTheme="minorHAnsi"/>
        </w:rPr>
      </w:pPr>
    </w:p>
    <w:p w14:paraId="38D464AB" w14:textId="61D602B6" w:rsidR="00C37AC6" w:rsidRPr="00A66378" w:rsidRDefault="00C37AC6" w:rsidP="00A66378">
      <w:pPr>
        <w:rPr>
          <w:rFonts w:asciiTheme="minorHAnsi" w:hAnsiTheme="minorHAnsi"/>
        </w:rPr>
      </w:pPr>
      <w:r w:rsidRPr="00A66378">
        <w:rPr>
          <w:rFonts w:asciiTheme="minorHAnsi" w:hAnsiTheme="minorHAnsi"/>
        </w:rPr>
        <w:t>La finalisation et la mise en production de deux modules (Gestionnaires de T1NC et de COCT) ont été reportées afin de tenir compte des travaux de développement supplémentaires et de la formation des utilisateurs, chacune nécessitant au moins deux sessions de formation. Les feuilles de contrôle pour les requins/istiophoridés ont été reportées car elles nécessitaient des travaux intermédiaires supplémentaires (redondances et autres) avant de pouvoir passer à l'étape suivante du développement (priorité revue à la baisse en 2025).</w:t>
      </w:r>
    </w:p>
    <w:p w14:paraId="5BBF6804" w14:textId="77777777" w:rsidR="00C37AC6" w:rsidRPr="00A66378" w:rsidRDefault="00C37AC6" w:rsidP="00A66378">
      <w:pPr>
        <w:pBdr>
          <w:top w:val="none" w:sz="0" w:space="0" w:color="auto"/>
          <w:left w:val="none" w:sz="0" w:space="0" w:color="auto"/>
          <w:bottom w:val="none" w:sz="0" w:space="0" w:color="auto"/>
          <w:right w:val="none" w:sz="0" w:space="0" w:color="auto"/>
          <w:between w:val="none" w:sz="0" w:space="0" w:color="auto"/>
        </w:pBdr>
        <w:tabs>
          <w:tab w:val="left" w:pos="1134"/>
          <w:tab w:val="left" w:pos="1276"/>
        </w:tabs>
        <w:rPr>
          <w:rFonts w:asciiTheme="minorHAnsi" w:hAnsiTheme="minorHAnsi"/>
        </w:rPr>
      </w:pPr>
    </w:p>
    <w:p w14:paraId="1C625D14" w14:textId="51C20EF2" w:rsidR="00C37AC6" w:rsidRDefault="00C10FF3" w:rsidP="00A66378">
      <w:pPr>
        <w:rPr>
          <w:rFonts w:asciiTheme="minorHAnsi" w:hAnsiTheme="minorHAnsi"/>
        </w:rPr>
      </w:pPr>
      <w:r w:rsidRPr="00A66378">
        <w:rPr>
          <w:rFonts w:asciiTheme="minorHAnsi" w:hAnsiTheme="minorHAnsi"/>
        </w:rPr>
        <w:t>Le Secrétariat a également rappelé la liste des modules prioritaires de l'IOMS à développer dans les phases futures. La liste, mise à jour par ce Groupe en 2025 et pour laquelle aucun ajout n'a été proposé, est la suivante :</w:t>
      </w:r>
    </w:p>
    <w:p w14:paraId="4AF9E5DF" w14:textId="77777777" w:rsidR="00AE78DE" w:rsidRPr="00A66378" w:rsidRDefault="00AE78DE" w:rsidP="00A66378">
      <w:pPr>
        <w:rPr>
          <w:rFonts w:asciiTheme="minorHAnsi" w:hAnsiTheme="minorHAnsi"/>
        </w:rPr>
      </w:pPr>
    </w:p>
    <w:p w14:paraId="7DEC43AB" w14:textId="77777777" w:rsidR="00C37AC6" w:rsidRPr="00A66378" w:rsidRDefault="00C37AC6" w:rsidP="00C97AD0">
      <w:pPr>
        <w:pStyle w:val="ListParagraph"/>
        <w:numPr>
          <w:ilvl w:val="1"/>
          <w:numId w:val="38"/>
        </w:numPr>
        <w:pBdr>
          <w:top w:val="none" w:sz="0" w:space="0" w:color="auto"/>
          <w:left w:val="none" w:sz="0" w:space="0" w:color="auto"/>
          <w:bottom w:val="none" w:sz="0" w:space="0" w:color="auto"/>
          <w:right w:val="none" w:sz="0" w:space="0" w:color="auto"/>
          <w:between w:val="none" w:sz="0" w:space="0" w:color="auto"/>
        </w:pBdr>
        <w:tabs>
          <w:tab w:val="left" w:pos="851"/>
        </w:tabs>
        <w:ind w:left="709" w:hanging="425"/>
        <w:rPr>
          <w:rFonts w:asciiTheme="minorHAnsi" w:hAnsiTheme="minorHAnsi"/>
        </w:rPr>
      </w:pPr>
      <w:r w:rsidRPr="00A66378">
        <w:rPr>
          <w:rFonts w:asciiTheme="minorHAnsi" w:hAnsiTheme="minorHAnsi"/>
        </w:rPr>
        <w:t>Mise en œuvre de FLUX au sein de l'ICCAT pour les rapports d'inspection</w:t>
      </w:r>
    </w:p>
    <w:p w14:paraId="6BECE32A" w14:textId="77777777" w:rsidR="00C37AC6" w:rsidRPr="00A66378" w:rsidRDefault="00C37AC6" w:rsidP="00C97AD0">
      <w:pPr>
        <w:pStyle w:val="ListParagraph"/>
        <w:numPr>
          <w:ilvl w:val="1"/>
          <w:numId w:val="38"/>
        </w:numPr>
        <w:pBdr>
          <w:top w:val="none" w:sz="0" w:space="0" w:color="auto"/>
          <w:left w:val="none" w:sz="0" w:space="0" w:color="auto"/>
          <w:bottom w:val="none" w:sz="0" w:space="0" w:color="auto"/>
          <w:right w:val="none" w:sz="0" w:space="0" w:color="auto"/>
          <w:between w:val="none" w:sz="0" w:space="0" w:color="auto"/>
        </w:pBdr>
        <w:tabs>
          <w:tab w:val="left" w:pos="851"/>
        </w:tabs>
        <w:ind w:left="709" w:hanging="425"/>
        <w:rPr>
          <w:rFonts w:asciiTheme="minorHAnsi" w:hAnsiTheme="minorHAnsi"/>
        </w:rPr>
      </w:pPr>
      <w:r w:rsidRPr="00A66378">
        <w:rPr>
          <w:rFonts w:asciiTheme="minorHAnsi" w:hAnsiTheme="minorHAnsi"/>
        </w:rPr>
        <w:t>Échantillons de taille de la tâche 2</w:t>
      </w:r>
    </w:p>
    <w:p w14:paraId="79D3BFC2" w14:textId="77777777" w:rsidR="00C37AC6" w:rsidRPr="00A66378" w:rsidRDefault="00C37AC6" w:rsidP="00C97AD0">
      <w:pPr>
        <w:pStyle w:val="ListParagraph"/>
        <w:numPr>
          <w:ilvl w:val="1"/>
          <w:numId w:val="38"/>
        </w:numPr>
        <w:pBdr>
          <w:top w:val="none" w:sz="0" w:space="0" w:color="auto"/>
          <w:left w:val="none" w:sz="0" w:space="0" w:color="auto"/>
          <w:bottom w:val="none" w:sz="0" w:space="0" w:color="auto"/>
          <w:right w:val="none" w:sz="0" w:space="0" w:color="auto"/>
          <w:between w:val="none" w:sz="0" w:space="0" w:color="auto"/>
        </w:pBdr>
        <w:tabs>
          <w:tab w:val="left" w:pos="851"/>
        </w:tabs>
        <w:ind w:left="709" w:hanging="425"/>
        <w:rPr>
          <w:rFonts w:asciiTheme="minorHAnsi" w:hAnsiTheme="minorHAnsi"/>
        </w:rPr>
      </w:pPr>
      <w:r w:rsidRPr="00A66378">
        <w:rPr>
          <w:rFonts w:asciiTheme="minorHAnsi" w:hAnsiTheme="minorHAnsi"/>
        </w:rPr>
        <w:t>Caractéristiques de la flottille de la tâche 1 (navires actifs au cours de l'année précédente) - ST01</w:t>
      </w:r>
    </w:p>
    <w:p w14:paraId="4B707F45" w14:textId="77777777" w:rsidR="00C37AC6" w:rsidRPr="00A66378" w:rsidRDefault="00C37AC6" w:rsidP="00C97AD0">
      <w:pPr>
        <w:pStyle w:val="ListParagraph"/>
        <w:numPr>
          <w:ilvl w:val="1"/>
          <w:numId w:val="38"/>
        </w:numPr>
        <w:pBdr>
          <w:top w:val="none" w:sz="0" w:space="0" w:color="auto"/>
          <w:left w:val="none" w:sz="0" w:space="0" w:color="auto"/>
          <w:bottom w:val="none" w:sz="0" w:space="0" w:color="auto"/>
          <w:right w:val="none" w:sz="0" w:space="0" w:color="auto"/>
          <w:between w:val="none" w:sz="0" w:space="0" w:color="auto"/>
        </w:pBdr>
        <w:tabs>
          <w:tab w:val="left" w:pos="851"/>
        </w:tabs>
        <w:ind w:left="709" w:hanging="425"/>
        <w:rPr>
          <w:rFonts w:asciiTheme="minorHAnsi" w:hAnsiTheme="minorHAnsi"/>
        </w:rPr>
      </w:pPr>
      <w:r w:rsidRPr="00A66378">
        <w:rPr>
          <w:rFonts w:asciiTheme="minorHAnsi" w:hAnsiTheme="minorHAnsi"/>
        </w:rPr>
        <w:t>Déclarations de transbordement/déclarations d'approvisionnement/rapports de transbordement</w:t>
      </w:r>
    </w:p>
    <w:p w14:paraId="35CF5568" w14:textId="77777777" w:rsidR="00C37AC6" w:rsidRPr="00A66378" w:rsidRDefault="00C37AC6" w:rsidP="00C97AD0">
      <w:pPr>
        <w:pStyle w:val="ListParagraph"/>
        <w:numPr>
          <w:ilvl w:val="1"/>
          <w:numId w:val="38"/>
        </w:numPr>
        <w:pBdr>
          <w:top w:val="none" w:sz="0" w:space="0" w:color="auto"/>
          <w:left w:val="none" w:sz="0" w:space="0" w:color="auto"/>
          <w:bottom w:val="none" w:sz="0" w:space="0" w:color="auto"/>
          <w:right w:val="none" w:sz="0" w:space="0" w:color="auto"/>
          <w:between w:val="none" w:sz="0" w:space="0" w:color="auto"/>
        </w:pBdr>
        <w:tabs>
          <w:tab w:val="left" w:pos="851"/>
        </w:tabs>
        <w:ind w:left="709" w:hanging="425"/>
        <w:rPr>
          <w:rFonts w:asciiTheme="minorHAnsi" w:hAnsiTheme="minorHAnsi"/>
        </w:rPr>
      </w:pPr>
      <w:r w:rsidRPr="00A66378">
        <w:rPr>
          <w:rFonts w:asciiTheme="minorHAnsi" w:hAnsiTheme="minorHAnsi"/>
        </w:rPr>
        <w:t>Rapports d'inspection au port/de programme d’inspection conjointe (JIS)</w:t>
      </w:r>
    </w:p>
    <w:p w14:paraId="6E0C3A5D" w14:textId="77777777" w:rsidR="00C37AC6" w:rsidRPr="00A66378" w:rsidRDefault="00C37AC6" w:rsidP="00C97AD0">
      <w:pPr>
        <w:pStyle w:val="ListParagraph"/>
        <w:numPr>
          <w:ilvl w:val="1"/>
          <w:numId w:val="38"/>
        </w:numPr>
        <w:pBdr>
          <w:top w:val="none" w:sz="0" w:space="0" w:color="auto"/>
          <w:left w:val="none" w:sz="0" w:space="0" w:color="auto"/>
          <w:bottom w:val="none" w:sz="0" w:space="0" w:color="auto"/>
          <w:right w:val="none" w:sz="0" w:space="0" w:color="auto"/>
          <w:between w:val="none" w:sz="0" w:space="0" w:color="auto"/>
        </w:pBdr>
        <w:tabs>
          <w:tab w:val="left" w:pos="851"/>
        </w:tabs>
        <w:ind w:left="709" w:hanging="425"/>
        <w:rPr>
          <w:rFonts w:asciiTheme="minorHAnsi" w:hAnsiTheme="minorHAnsi"/>
        </w:rPr>
      </w:pPr>
      <w:r w:rsidRPr="00A66378">
        <w:rPr>
          <w:rFonts w:asciiTheme="minorHAnsi" w:hAnsiTheme="minorHAnsi"/>
        </w:rPr>
        <w:t>Plans de pêche</w:t>
      </w:r>
    </w:p>
    <w:p w14:paraId="6627FBD7" w14:textId="77777777" w:rsidR="00C37AC6" w:rsidRPr="00A66378" w:rsidRDefault="00C37AC6" w:rsidP="00C97AD0">
      <w:pPr>
        <w:pStyle w:val="ListParagraph"/>
        <w:numPr>
          <w:ilvl w:val="1"/>
          <w:numId w:val="38"/>
        </w:numPr>
        <w:pBdr>
          <w:top w:val="none" w:sz="0" w:space="0" w:color="auto"/>
          <w:left w:val="none" w:sz="0" w:space="0" w:color="auto"/>
          <w:bottom w:val="none" w:sz="0" w:space="0" w:color="auto"/>
          <w:right w:val="none" w:sz="0" w:space="0" w:color="auto"/>
          <w:between w:val="none" w:sz="0" w:space="0" w:color="auto"/>
        </w:pBdr>
        <w:tabs>
          <w:tab w:val="left" w:pos="851"/>
        </w:tabs>
        <w:ind w:left="709" w:hanging="425"/>
        <w:rPr>
          <w:rFonts w:asciiTheme="minorHAnsi" w:hAnsiTheme="minorHAnsi"/>
        </w:rPr>
      </w:pPr>
      <w:r w:rsidRPr="00A66378">
        <w:rPr>
          <w:rFonts w:asciiTheme="minorHAnsi" w:hAnsiTheme="minorHAnsi"/>
        </w:rPr>
        <w:t>Accords d'accès</w:t>
      </w:r>
    </w:p>
    <w:p w14:paraId="26F56343" w14:textId="77777777" w:rsidR="00C37AC6" w:rsidRPr="00A66378" w:rsidRDefault="00C37AC6" w:rsidP="00C97AD0">
      <w:pPr>
        <w:pStyle w:val="ListParagraph"/>
        <w:numPr>
          <w:ilvl w:val="1"/>
          <w:numId w:val="38"/>
        </w:numPr>
        <w:pBdr>
          <w:top w:val="none" w:sz="0" w:space="0" w:color="auto"/>
          <w:left w:val="none" w:sz="0" w:space="0" w:color="auto"/>
          <w:bottom w:val="none" w:sz="0" w:space="0" w:color="auto"/>
          <w:right w:val="none" w:sz="0" w:space="0" w:color="auto"/>
          <w:between w:val="none" w:sz="0" w:space="0" w:color="auto"/>
        </w:pBdr>
        <w:tabs>
          <w:tab w:val="left" w:pos="851"/>
        </w:tabs>
        <w:ind w:left="709" w:hanging="425"/>
        <w:rPr>
          <w:rFonts w:asciiTheme="minorHAnsi" w:hAnsiTheme="minorHAnsi"/>
        </w:rPr>
      </w:pPr>
      <w:r w:rsidRPr="00A66378">
        <w:rPr>
          <w:rFonts w:asciiTheme="minorHAnsi" w:hAnsiTheme="minorHAnsi"/>
        </w:rPr>
        <w:t>Mesures d’atténuation des oiseaux de mer</w:t>
      </w:r>
    </w:p>
    <w:p w14:paraId="753436A0" w14:textId="2EEDDA5B" w:rsidR="00C37AC6" w:rsidRPr="00A66378" w:rsidRDefault="00C37AC6" w:rsidP="00C97AD0">
      <w:pPr>
        <w:pStyle w:val="ListParagraph"/>
        <w:numPr>
          <w:ilvl w:val="1"/>
          <w:numId w:val="38"/>
        </w:numPr>
        <w:pBdr>
          <w:top w:val="none" w:sz="0" w:space="0" w:color="auto"/>
          <w:left w:val="none" w:sz="0" w:space="0" w:color="auto"/>
          <w:bottom w:val="none" w:sz="0" w:space="0" w:color="auto"/>
          <w:right w:val="none" w:sz="0" w:space="0" w:color="auto"/>
          <w:between w:val="none" w:sz="0" w:space="0" w:color="auto"/>
        </w:pBdr>
        <w:tabs>
          <w:tab w:val="left" w:pos="851"/>
        </w:tabs>
        <w:ind w:left="709" w:hanging="425"/>
        <w:rPr>
          <w:rFonts w:asciiTheme="minorHAnsi" w:hAnsiTheme="minorHAnsi"/>
        </w:rPr>
      </w:pPr>
      <w:r w:rsidRPr="00A66378">
        <w:rPr>
          <w:rFonts w:asciiTheme="minorHAnsi" w:hAnsiTheme="minorHAnsi"/>
        </w:rPr>
        <w:t>Engins perdus/trouvés et autres</w:t>
      </w:r>
    </w:p>
    <w:p w14:paraId="40BC0AB9" w14:textId="77777777" w:rsidR="00C37AC6" w:rsidRPr="00A66378" w:rsidRDefault="00C37AC6" w:rsidP="00A66378">
      <w:pPr>
        <w:rPr>
          <w:rFonts w:asciiTheme="minorHAnsi" w:hAnsiTheme="minorHAnsi"/>
        </w:rPr>
      </w:pPr>
    </w:p>
    <w:p w14:paraId="2635699E" w14:textId="01E9E059" w:rsidR="009C757F" w:rsidRPr="00A66378" w:rsidRDefault="00693879" w:rsidP="00A66378">
      <w:pPr>
        <w:rPr>
          <w:rFonts w:asciiTheme="minorHAnsi" w:hAnsiTheme="minorHAnsi"/>
        </w:rPr>
      </w:pPr>
      <w:r w:rsidRPr="00A66378">
        <w:rPr>
          <w:rFonts w:asciiTheme="minorHAnsi" w:hAnsiTheme="minorHAnsi"/>
        </w:rPr>
        <w:t xml:space="preserve">Le Président du WG-ORT a remercié le Secrétariat d'avoir élaboré le plan de travail provisoire pour 2026 et a ouvert les débats sur ce sujet. </w:t>
      </w:r>
    </w:p>
    <w:p w14:paraId="37ED4615" w14:textId="77777777" w:rsidR="00440CB0" w:rsidRPr="00A66378" w:rsidRDefault="00440CB0" w:rsidP="00A66378">
      <w:pPr>
        <w:rPr>
          <w:rFonts w:asciiTheme="minorHAnsi" w:hAnsiTheme="minorHAnsi"/>
        </w:rPr>
      </w:pPr>
    </w:p>
    <w:p w14:paraId="06C8C681" w14:textId="65F16686" w:rsidR="009C757F" w:rsidRPr="00A66378" w:rsidRDefault="009C757F" w:rsidP="00A66378">
      <w:pPr>
        <w:rPr>
          <w:rFonts w:asciiTheme="minorHAnsi" w:hAnsiTheme="minorHAnsi"/>
        </w:rPr>
      </w:pPr>
      <w:r w:rsidRPr="00A66378">
        <w:rPr>
          <w:rFonts w:asciiTheme="minorHAnsi" w:hAnsiTheme="minorHAnsi"/>
        </w:rPr>
        <w:t xml:space="preserve">L'UE a indiqué qu'elle approuvait le rééchelonnement et la hiérarchisation actuelle des modules, soulignant qu'elle tient compte de la priorité accrue accordée au Gestionnaire de T2CE (captures et effort de pêche de la tâche 2), un module prioritaire qu'elle soutient déjà dans le cadre du projet complémentaire actuel de </w:t>
      </w:r>
      <w:r w:rsidRPr="00A66378">
        <w:rPr>
          <w:rFonts w:asciiTheme="minorHAnsi" w:hAnsiTheme="minorHAnsi"/>
        </w:rPr>
        <w:lastRenderedPageBreak/>
        <w:t xml:space="preserve">l'UE (voir section 7). L'UE a également accepté de repousser légèrement la mise en production de UN/FLUX afin de permettre la réalisation des tests approfondis indispensables. </w:t>
      </w:r>
    </w:p>
    <w:p w14:paraId="4B201AF5" w14:textId="77777777" w:rsidR="0062115B" w:rsidRPr="00A66378" w:rsidRDefault="0062115B" w:rsidP="00A66378">
      <w:pPr>
        <w:rPr>
          <w:rFonts w:asciiTheme="minorHAnsi" w:hAnsiTheme="minorHAnsi"/>
        </w:rPr>
      </w:pPr>
    </w:p>
    <w:p w14:paraId="6D7DE7EE" w14:textId="1BE02C29" w:rsidR="0062115B" w:rsidRPr="00A66378" w:rsidRDefault="0062115B" w:rsidP="00A66378">
      <w:pPr>
        <w:rPr>
          <w:rFonts w:asciiTheme="minorHAnsi" w:hAnsiTheme="minorHAnsi"/>
        </w:rPr>
      </w:pPr>
      <w:r w:rsidRPr="00A66378">
        <w:rPr>
          <w:rFonts w:asciiTheme="minorHAnsi" w:hAnsiTheme="minorHAnsi"/>
        </w:rPr>
        <w:t>Le Secrétariat a rappelé que l'IMM avait recommandé de donner la priorité à la mise en place d'une solution permettant de traiter les informations relatives aux inspections portuaires. Le Secrétariat ne sait pas exactement comment s'y prendre pour mener à bien ce travail. Que ce soit au sein de l'IOMS (module spécifique) ou en externe (à l'aide du logiciel du Système mondial d'échange d'informations (GIES) de la FAO ou en adaptant un logiciel existant aux besoins de l'ICCAT). Étant donné que le WG-ORT a inscrit ce module en 2025 sur la liste des modules prioritaires pour les phases suivantes (le lancement de la phase 6 est prévu pour mi-2028</w:t>
      </w:r>
      <w:r w:rsidR="00271287" w:rsidRPr="00A66378">
        <w:rPr>
          <w:rFonts w:asciiTheme="minorHAnsi" w:hAnsiTheme="minorHAnsi"/>
        </w:rPr>
        <w:t>), le</w:t>
      </w:r>
      <w:r w:rsidRPr="00A66378">
        <w:rPr>
          <w:rFonts w:asciiTheme="minorHAnsi" w:hAnsiTheme="minorHAnsi"/>
        </w:rPr>
        <w:t xml:space="preserve"> plan de travail de l'IOMS ne prévoit donc pas le développement de ce module à long terme. Le Secrétariat a demandé des conseils sur le type d'approche à adopter. Le Président a demandé au Groupe de donner son avis sur la question. À l'issue d'une discussion constructive, et compte tenu de la charge de travail importante de l'IOMS jusqu'en 2028, un consensus général s'est dégagé pour explorer en priorité la solution consistant à externaliser la gestion des informations relatives aux inspections portuaires. Le Groupe a suggéré au Secrétariat de prendre contact avec la FAO afin d'étudier la possibilité d'obtenir le code source du système d’information géographique (SIG) et d'examiner s'il serait possible de l'adapter aux besoins de l'ICCAT. Il conviendrait également d'étudier d'autres solutions logicielles (telles que celle utilisée par la Commission du thon de l'océan Indien (CTOI)).</w:t>
      </w:r>
    </w:p>
    <w:p w14:paraId="22863A26" w14:textId="77777777" w:rsidR="0062115B" w:rsidRPr="00A66378" w:rsidRDefault="0062115B" w:rsidP="00A66378">
      <w:pPr>
        <w:rPr>
          <w:rFonts w:asciiTheme="minorHAnsi" w:hAnsiTheme="minorHAnsi"/>
        </w:rPr>
      </w:pPr>
    </w:p>
    <w:p w14:paraId="69435891" w14:textId="6C862074" w:rsidR="0062115B" w:rsidRPr="00A66378" w:rsidRDefault="0062115B" w:rsidP="00A66378">
      <w:pPr>
        <w:rPr>
          <w:rFonts w:asciiTheme="minorHAnsi" w:hAnsiTheme="minorHAnsi"/>
        </w:rPr>
      </w:pPr>
      <w:r w:rsidRPr="00A66378">
        <w:rPr>
          <w:rFonts w:asciiTheme="minorHAnsi" w:hAnsiTheme="minorHAnsi"/>
        </w:rPr>
        <w:t>En l'absence d'autres interventions, le Président a estimé que le Groupe approuvait globalement le plan de travail de l'IOMS pour 2026 (</w:t>
      </w:r>
      <w:r w:rsidRPr="00A66378">
        <w:rPr>
          <w:rFonts w:asciiTheme="minorHAnsi" w:hAnsiTheme="minorHAnsi"/>
          <w:b/>
        </w:rPr>
        <w:fldChar w:fldCharType="begin"/>
      </w:r>
      <w:r w:rsidRPr="00A66378">
        <w:rPr>
          <w:rFonts w:asciiTheme="minorHAnsi" w:hAnsiTheme="minorHAnsi"/>
        </w:rPr>
        <w:instrText xml:space="preserve"> REF _Ref193563249 \h </w:instrText>
      </w:r>
      <w:r w:rsidRPr="00A66378">
        <w:rPr>
          <w:rFonts w:asciiTheme="minorHAnsi" w:hAnsiTheme="minorHAnsi"/>
          <w:b/>
        </w:rPr>
        <w:instrText xml:space="preserve"> \* MERGEFORMAT </w:instrText>
      </w:r>
      <w:r w:rsidRPr="00A66378">
        <w:rPr>
          <w:rFonts w:asciiTheme="minorHAnsi" w:hAnsiTheme="minorHAnsi"/>
          <w:b/>
        </w:rPr>
      </w:r>
      <w:r w:rsidRPr="00A66378">
        <w:rPr>
          <w:rFonts w:asciiTheme="minorHAnsi" w:hAnsiTheme="minorHAnsi"/>
          <w:b/>
        </w:rPr>
        <w:fldChar w:fldCharType="separate"/>
      </w:r>
      <w:r w:rsidRPr="00A66378">
        <w:rPr>
          <w:rFonts w:asciiTheme="minorHAnsi" w:hAnsiTheme="minorHAnsi"/>
          <w:b/>
          <w:color w:val="auto"/>
        </w:rPr>
        <w:t>Table</w:t>
      </w:r>
      <w:r w:rsidR="000013F1">
        <w:rPr>
          <w:rFonts w:asciiTheme="minorHAnsi" w:hAnsiTheme="minorHAnsi"/>
          <w:b/>
          <w:color w:val="auto"/>
        </w:rPr>
        <w:t>au 3</w:t>
      </w:r>
      <w:r w:rsidRPr="00A66378">
        <w:rPr>
          <w:rFonts w:asciiTheme="minorHAnsi" w:hAnsiTheme="minorHAnsi"/>
          <w:b/>
        </w:rPr>
        <w:fldChar w:fldCharType="end"/>
      </w:r>
      <w:r w:rsidRPr="00A66378">
        <w:rPr>
          <w:rFonts w:asciiTheme="minorHAnsi" w:hAnsiTheme="minorHAnsi"/>
        </w:rPr>
        <w:t>), qui sera adopté par le WG-ORT lors de l'adoption du rapport de la présente réunion.</w:t>
      </w:r>
    </w:p>
    <w:p w14:paraId="68F29815" w14:textId="77777777" w:rsidR="0062115B" w:rsidRPr="00A66378" w:rsidRDefault="0062115B" w:rsidP="00A66378">
      <w:pPr>
        <w:rPr>
          <w:rFonts w:asciiTheme="minorHAnsi" w:hAnsiTheme="minorHAnsi"/>
        </w:rPr>
      </w:pPr>
    </w:p>
    <w:p w14:paraId="71117382" w14:textId="6142A97D" w:rsidR="0062115B" w:rsidRPr="00A66378" w:rsidRDefault="0062115B" w:rsidP="00A66378">
      <w:pPr>
        <w:rPr>
          <w:rFonts w:asciiTheme="minorHAnsi" w:hAnsiTheme="minorHAnsi"/>
        </w:rPr>
      </w:pPr>
      <w:r w:rsidRPr="00A66378">
        <w:rPr>
          <w:rFonts w:asciiTheme="minorHAnsi" w:hAnsiTheme="minorHAnsi"/>
        </w:rPr>
        <w:t>Afin de poursuivre les objectifs du plan de travail pour 2026, le Secrétariat élabore systématiquement une feuille de route (tâches/événements classés par module avec les dates d'achèvement prévues, ainsi que d'autres éléments). Le Président a invité le Secrétariat à présenter la feuille de route comprenant les tâches liées aux différents modules : Gestionnaire du port, Gestionnaire de T1NC, Gestionnaire de COCT, Gestionnaire de la fiche de contrôle sur les requins/istiophoridés et Gestionnaire de T2CE. Le tableau ci-dessous présente la feuille de route :</w:t>
      </w:r>
    </w:p>
    <w:p w14:paraId="4700C178" w14:textId="77777777" w:rsidR="0062115B" w:rsidRPr="00A66378" w:rsidRDefault="0062115B" w:rsidP="00A66378">
      <w:pPr>
        <w:rPr>
          <w:rFonts w:asciiTheme="minorHAnsi" w:hAnsiTheme="minorHAnsi"/>
        </w:rPr>
      </w:pPr>
    </w:p>
    <w:tbl>
      <w:tblPr>
        <w:tblStyle w:val="PlainTable2"/>
        <w:tblW w:w="9880" w:type="dxa"/>
        <w:tblLook w:val="0600" w:firstRow="0" w:lastRow="0" w:firstColumn="0" w:lastColumn="0" w:noHBand="1" w:noVBand="1"/>
      </w:tblPr>
      <w:tblGrid>
        <w:gridCol w:w="1701"/>
        <w:gridCol w:w="1669"/>
        <w:gridCol w:w="5288"/>
        <w:gridCol w:w="1222"/>
      </w:tblGrid>
      <w:tr w:rsidR="0062115B" w:rsidRPr="00EE3B69" w14:paraId="2A9467B8" w14:textId="77777777" w:rsidTr="00EE3B69">
        <w:trPr>
          <w:trHeight w:val="227"/>
        </w:trPr>
        <w:tc>
          <w:tcPr>
            <w:tcW w:w="1701" w:type="dxa"/>
            <w:noWrap/>
            <w:hideMark/>
          </w:tcPr>
          <w:p w14:paraId="188C3AC3" w14:textId="77777777" w:rsidR="0062115B" w:rsidRPr="00EE3B69" w:rsidRDefault="0062115B" w:rsidP="00EE3B69">
            <w:pPr>
              <w:pBdr>
                <w:top w:val="none" w:sz="0" w:space="0" w:color="auto"/>
                <w:left w:val="none" w:sz="0" w:space="0" w:color="auto"/>
                <w:bottom w:val="none" w:sz="0" w:space="0" w:color="auto"/>
                <w:right w:val="none" w:sz="0" w:space="0" w:color="auto"/>
                <w:between w:val="none" w:sz="0" w:space="0" w:color="auto"/>
              </w:pBdr>
              <w:ind w:left="-248" w:right="-247"/>
              <w:jc w:val="center"/>
              <w:rPr>
                <w:rFonts w:asciiTheme="minorHAnsi" w:eastAsia="Times New Roman" w:hAnsiTheme="minorHAnsi" w:cstheme="majorHAnsi"/>
                <w:b/>
                <w:bCs/>
                <w:color w:val="auto"/>
                <w:sz w:val="14"/>
                <w:szCs w:val="14"/>
              </w:rPr>
            </w:pPr>
            <w:r w:rsidRPr="00EE3B69">
              <w:rPr>
                <w:rFonts w:asciiTheme="minorHAnsi" w:hAnsiTheme="minorHAnsi"/>
                <w:b/>
                <w:color w:val="auto"/>
                <w:sz w:val="14"/>
                <w:szCs w:val="14"/>
              </w:rPr>
              <w:t>Date</w:t>
            </w:r>
          </w:p>
        </w:tc>
        <w:tc>
          <w:tcPr>
            <w:tcW w:w="0" w:type="auto"/>
            <w:noWrap/>
            <w:hideMark/>
          </w:tcPr>
          <w:p w14:paraId="56B6F71F"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b/>
                <w:bCs/>
                <w:color w:val="auto"/>
                <w:sz w:val="14"/>
                <w:szCs w:val="14"/>
              </w:rPr>
            </w:pPr>
            <w:r w:rsidRPr="00EE3B69">
              <w:rPr>
                <w:rFonts w:asciiTheme="minorHAnsi" w:hAnsiTheme="minorHAnsi"/>
                <w:b/>
                <w:color w:val="auto"/>
                <w:sz w:val="14"/>
                <w:szCs w:val="14"/>
              </w:rPr>
              <w:t>Module</w:t>
            </w:r>
          </w:p>
        </w:tc>
        <w:tc>
          <w:tcPr>
            <w:tcW w:w="5288" w:type="dxa"/>
            <w:noWrap/>
            <w:hideMark/>
          </w:tcPr>
          <w:p w14:paraId="44334783" w14:textId="0709EE93"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b/>
                <w:bCs/>
                <w:color w:val="auto"/>
                <w:sz w:val="14"/>
                <w:szCs w:val="14"/>
              </w:rPr>
            </w:pPr>
            <w:r w:rsidRPr="00EE3B69">
              <w:rPr>
                <w:rFonts w:asciiTheme="minorHAnsi" w:hAnsiTheme="minorHAnsi"/>
                <w:b/>
                <w:color w:val="auto"/>
                <w:sz w:val="14"/>
                <w:szCs w:val="14"/>
              </w:rPr>
              <w:t>Tâche/Événement</w:t>
            </w:r>
          </w:p>
        </w:tc>
        <w:tc>
          <w:tcPr>
            <w:tcW w:w="1222" w:type="dxa"/>
            <w:noWrap/>
            <w:hideMark/>
          </w:tcPr>
          <w:p w14:paraId="7E4B51F7"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b/>
                <w:bCs/>
                <w:color w:val="auto"/>
                <w:sz w:val="14"/>
                <w:szCs w:val="14"/>
              </w:rPr>
            </w:pPr>
            <w:r w:rsidRPr="00EE3B69">
              <w:rPr>
                <w:rFonts w:asciiTheme="minorHAnsi" w:hAnsiTheme="minorHAnsi"/>
                <w:b/>
                <w:color w:val="auto"/>
                <w:sz w:val="14"/>
                <w:szCs w:val="14"/>
              </w:rPr>
              <w:t>Environnement</w:t>
            </w:r>
          </w:p>
        </w:tc>
      </w:tr>
      <w:tr w:rsidR="0062115B" w:rsidRPr="00EE3B69" w14:paraId="7407E0C5" w14:textId="77777777" w:rsidTr="00EE3B69">
        <w:trPr>
          <w:trHeight w:val="227"/>
        </w:trPr>
        <w:tc>
          <w:tcPr>
            <w:tcW w:w="1701" w:type="dxa"/>
            <w:hideMark/>
          </w:tcPr>
          <w:p w14:paraId="1A5BC268"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15 mars 2026</w:t>
            </w:r>
          </w:p>
        </w:tc>
        <w:tc>
          <w:tcPr>
            <w:tcW w:w="0" w:type="auto"/>
            <w:hideMark/>
          </w:tcPr>
          <w:p w14:paraId="4D3DCAF9"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T1NC/COCT</w:t>
            </w:r>
          </w:p>
        </w:tc>
        <w:tc>
          <w:tcPr>
            <w:tcW w:w="5288" w:type="dxa"/>
            <w:hideMark/>
          </w:tcPr>
          <w:p w14:paraId="56A09F54"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theme="majorHAnsi"/>
                <w:color w:val="auto"/>
                <w:sz w:val="14"/>
                <w:szCs w:val="14"/>
              </w:rPr>
            </w:pPr>
            <w:r w:rsidRPr="00EE3B69">
              <w:rPr>
                <w:rFonts w:asciiTheme="minorHAnsi" w:hAnsiTheme="minorHAnsi"/>
                <w:color w:val="auto"/>
                <w:sz w:val="14"/>
                <w:szCs w:val="14"/>
              </w:rPr>
              <w:t>Les nouvelles bases de données T1NC et COCT sont désormais disponibles</w:t>
            </w:r>
          </w:p>
        </w:tc>
        <w:tc>
          <w:tcPr>
            <w:tcW w:w="1222" w:type="dxa"/>
            <w:noWrap/>
            <w:hideMark/>
          </w:tcPr>
          <w:p w14:paraId="6B0D306E"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Test</w:t>
            </w:r>
          </w:p>
        </w:tc>
      </w:tr>
      <w:tr w:rsidR="0062115B" w:rsidRPr="00EE3B69" w14:paraId="44284792" w14:textId="77777777" w:rsidTr="00EE3B69">
        <w:trPr>
          <w:trHeight w:val="227"/>
        </w:trPr>
        <w:tc>
          <w:tcPr>
            <w:tcW w:w="1701" w:type="dxa"/>
            <w:hideMark/>
          </w:tcPr>
          <w:p w14:paraId="6D46ECA9"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1er avril 2026</w:t>
            </w:r>
          </w:p>
        </w:tc>
        <w:tc>
          <w:tcPr>
            <w:tcW w:w="0" w:type="auto"/>
            <w:hideMark/>
          </w:tcPr>
          <w:p w14:paraId="54F1FC6A"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Gestionnaire de ports</w:t>
            </w:r>
          </w:p>
        </w:tc>
        <w:tc>
          <w:tcPr>
            <w:tcW w:w="5288" w:type="dxa"/>
            <w:noWrap/>
            <w:hideMark/>
          </w:tcPr>
          <w:p w14:paraId="626D536F"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theme="majorHAnsi"/>
                <w:color w:val="auto"/>
                <w:sz w:val="14"/>
                <w:szCs w:val="14"/>
              </w:rPr>
            </w:pPr>
            <w:r w:rsidRPr="00EE3B69">
              <w:rPr>
                <w:rFonts w:asciiTheme="minorHAnsi" w:hAnsiTheme="minorHAnsi"/>
                <w:color w:val="auto"/>
                <w:sz w:val="14"/>
                <w:szCs w:val="14"/>
              </w:rPr>
              <w:t xml:space="preserve">Gestionnaire des ports disponible dans </w:t>
            </w:r>
            <w:proofErr w:type="spellStart"/>
            <w:r w:rsidRPr="00EE3B69">
              <w:rPr>
                <w:rFonts w:asciiTheme="minorHAnsi" w:hAnsiTheme="minorHAnsi"/>
                <w:color w:val="auto"/>
                <w:sz w:val="14"/>
                <w:szCs w:val="14"/>
              </w:rPr>
              <w:t>Sandbox</w:t>
            </w:r>
            <w:proofErr w:type="spellEnd"/>
            <w:r w:rsidRPr="00EE3B69">
              <w:rPr>
                <w:rFonts w:asciiTheme="minorHAnsi" w:hAnsiTheme="minorHAnsi"/>
                <w:color w:val="auto"/>
                <w:sz w:val="14"/>
                <w:szCs w:val="14"/>
              </w:rPr>
              <w:t xml:space="preserve"> (https://sandbox-ioms.iccat.int)</w:t>
            </w:r>
          </w:p>
        </w:tc>
        <w:tc>
          <w:tcPr>
            <w:tcW w:w="1222" w:type="dxa"/>
            <w:noWrap/>
            <w:hideMark/>
          </w:tcPr>
          <w:p w14:paraId="1726BCDE"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Test</w:t>
            </w:r>
          </w:p>
        </w:tc>
      </w:tr>
      <w:tr w:rsidR="0062115B" w:rsidRPr="00EE3B69" w14:paraId="78CA8C53" w14:textId="77777777" w:rsidTr="00EE3B69">
        <w:trPr>
          <w:trHeight w:val="227"/>
        </w:trPr>
        <w:tc>
          <w:tcPr>
            <w:tcW w:w="1701" w:type="dxa"/>
            <w:hideMark/>
          </w:tcPr>
          <w:p w14:paraId="584E8B59"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1er avril 2026</w:t>
            </w:r>
          </w:p>
        </w:tc>
        <w:tc>
          <w:tcPr>
            <w:tcW w:w="0" w:type="auto"/>
            <w:hideMark/>
          </w:tcPr>
          <w:p w14:paraId="5844B0F8"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FLUX</w:t>
            </w:r>
          </w:p>
        </w:tc>
        <w:tc>
          <w:tcPr>
            <w:tcW w:w="5288" w:type="dxa"/>
            <w:hideMark/>
          </w:tcPr>
          <w:p w14:paraId="5E45F98D"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theme="majorHAnsi"/>
                <w:color w:val="auto"/>
                <w:sz w:val="14"/>
                <w:szCs w:val="14"/>
              </w:rPr>
            </w:pPr>
            <w:r w:rsidRPr="00EE3B69">
              <w:rPr>
                <w:rFonts w:asciiTheme="minorHAnsi" w:hAnsiTheme="minorHAnsi"/>
                <w:color w:val="auto"/>
                <w:sz w:val="14"/>
                <w:szCs w:val="14"/>
              </w:rPr>
              <w:t>Début des essais intensifs du module FLUX (caractéristiques du navire et FLAP)</w:t>
            </w:r>
          </w:p>
        </w:tc>
        <w:tc>
          <w:tcPr>
            <w:tcW w:w="1222" w:type="dxa"/>
            <w:noWrap/>
            <w:hideMark/>
          </w:tcPr>
          <w:p w14:paraId="3D837FCC"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Test</w:t>
            </w:r>
          </w:p>
        </w:tc>
      </w:tr>
      <w:tr w:rsidR="0062115B" w:rsidRPr="00EE3B69" w14:paraId="6B57EA72" w14:textId="77777777" w:rsidTr="00EE3B69">
        <w:trPr>
          <w:trHeight w:val="227"/>
        </w:trPr>
        <w:tc>
          <w:tcPr>
            <w:tcW w:w="1701" w:type="dxa"/>
            <w:hideMark/>
          </w:tcPr>
          <w:p w14:paraId="0D76367B"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1er mai 2026</w:t>
            </w:r>
          </w:p>
        </w:tc>
        <w:tc>
          <w:tcPr>
            <w:tcW w:w="0" w:type="auto"/>
            <w:hideMark/>
          </w:tcPr>
          <w:p w14:paraId="0B14B692"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 xml:space="preserve">Feuilles de contrôle </w:t>
            </w:r>
            <w:proofErr w:type="spellStart"/>
            <w:r w:rsidRPr="00EE3B69">
              <w:rPr>
                <w:rFonts w:asciiTheme="minorHAnsi" w:hAnsiTheme="minorHAnsi"/>
                <w:color w:val="auto"/>
                <w:sz w:val="14"/>
                <w:szCs w:val="14"/>
              </w:rPr>
              <w:t>Requins&amp;Istiophoridés</w:t>
            </w:r>
            <w:proofErr w:type="spellEnd"/>
          </w:p>
        </w:tc>
        <w:tc>
          <w:tcPr>
            <w:tcW w:w="5288" w:type="dxa"/>
            <w:hideMark/>
          </w:tcPr>
          <w:p w14:paraId="34ACC71F"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theme="majorHAnsi"/>
                <w:color w:val="auto"/>
                <w:sz w:val="14"/>
                <w:szCs w:val="14"/>
              </w:rPr>
            </w:pPr>
            <w:r w:rsidRPr="00EE3B69">
              <w:rPr>
                <w:rFonts w:asciiTheme="minorHAnsi" w:hAnsiTheme="minorHAnsi"/>
                <w:color w:val="auto"/>
                <w:sz w:val="14"/>
                <w:szCs w:val="14"/>
              </w:rPr>
              <w:t>Conception du flux de données pour les requins et les istiophoridés</w:t>
            </w:r>
          </w:p>
        </w:tc>
        <w:tc>
          <w:tcPr>
            <w:tcW w:w="1222" w:type="dxa"/>
            <w:noWrap/>
            <w:hideMark/>
          </w:tcPr>
          <w:p w14:paraId="635FC00F"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Test</w:t>
            </w:r>
          </w:p>
        </w:tc>
      </w:tr>
      <w:tr w:rsidR="0062115B" w:rsidRPr="00EE3B69" w14:paraId="0254A04B" w14:textId="77777777" w:rsidTr="00EE3B69">
        <w:trPr>
          <w:trHeight w:val="227"/>
        </w:trPr>
        <w:tc>
          <w:tcPr>
            <w:tcW w:w="1701" w:type="dxa"/>
            <w:hideMark/>
          </w:tcPr>
          <w:p w14:paraId="26C9FFF1"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1er juin 2026</w:t>
            </w:r>
          </w:p>
        </w:tc>
        <w:tc>
          <w:tcPr>
            <w:tcW w:w="0" w:type="auto"/>
            <w:hideMark/>
          </w:tcPr>
          <w:p w14:paraId="2E6C8303"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T1NC/COCT</w:t>
            </w:r>
          </w:p>
        </w:tc>
        <w:tc>
          <w:tcPr>
            <w:tcW w:w="5288" w:type="dxa"/>
            <w:hideMark/>
          </w:tcPr>
          <w:p w14:paraId="13EAE85A"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theme="majorHAnsi"/>
                <w:color w:val="auto"/>
                <w:sz w:val="14"/>
                <w:szCs w:val="14"/>
              </w:rPr>
            </w:pPr>
            <w:r w:rsidRPr="00EE3B69">
              <w:rPr>
                <w:rFonts w:asciiTheme="minorHAnsi" w:hAnsiTheme="minorHAnsi"/>
                <w:color w:val="auto"/>
                <w:sz w:val="14"/>
                <w:szCs w:val="14"/>
              </w:rPr>
              <w:t>Les services web d'acquisition de données T1NC sont désormais opérationnels</w:t>
            </w:r>
          </w:p>
        </w:tc>
        <w:tc>
          <w:tcPr>
            <w:tcW w:w="1222" w:type="dxa"/>
            <w:noWrap/>
            <w:hideMark/>
          </w:tcPr>
          <w:p w14:paraId="35E08B81"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Test</w:t>
            </w:r>
          </w:p>
        </w:tc>
      </w:tr>
      <w:tr w:rsidR="0062115B" w:rsidRPr="00EE3B69" w14:paraId="0AD0B78A" w14:textId="77777777" w:rsidTr="00EE3B69">
        <w:trPr>
          <w:trHeight w:val="227"/>
        </w:trPr>
        <w:tc>
          <w:tcPr>
            <w:tcW w:w="1701" w:type="dxa"/>
            <w:hideMark/>
          </w:tcPr>
          <w:p w14:paraId="03961B37"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1er juin 2026</w:t>
            </w:r>
          </w:p>
        </w:tc>
        <w:tc>
          <w:tcPr>
            <w:tcW w:w="0" w:type="auto"/>
            <w:hideMark/>
          </w:tcPr>
          <w:p w14:paraId="309EC8C7"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T1NC/COCT</w:t>
            </w:r>
          </w:p>
        </w:tc>
        <w:tc>
          <w:tcPr>
            <w:tcW w:w="5288" w:type="dxa"/>
            <w:hideMark/>
          </w:tcPr>
          <w:p w14:paraId="568942D0"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theme="majorHAnsi"/>
                <w:color w:val="auto"/>
                <w:sz w:val="14"/>
                <w:szCs w:val="14"/>
              </w:rPr>
            </w:pPr>
            <w:r w:rsidRPr="00EE3B69">
              <w:rPr>
                <w:rFonts w:asciiTheme="minorHAnsi" w:hAnsiTheme="minorHAnsi"/>
                <w:color w:val="auto"/>
                <w:sz w:val="14"/>
                <w:szCs w:val="14"/>
              </w:rPr>
              <w:t>Tableaux de bord T1NC conçus</w:t>
            </w:r>
          </w:p>
        </w:tc>
        <w:tc>
          <w:tcPr>
            <w:tcW w:w="1222" w:type="dxa"/>
            <w:noWrap/>
            <w:hideMark/>
          </w:tcPr>
          <w:p w14:paraId="6AD50FEC"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Test</w:t>
            </w:r>
          </w:p>
        </w:tc>
      </w:tr>
      <w:tr w:rsidR="0062115B" w:rsidRPr="00EE3B69" w14:paraId="4DD309E9" w14:textId="77777777" w:rsidTr="00EE3B69">
        <w:trPr>
          <w:trHeight w:val="227"/>
        </w:trPr>
        <w:tc>
          <w:tcPr>
            <w:tcW w:w="1701" w:type="dxa"/>
            <w:hideMark/>
          </w:tcPr>
          <w:p w14:paraId="041DE4B4"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1er août 2026</w:t>
            </w:r>
          </w:p>
        </w:tc>
        <w:tc>
          <w:tcPr>
            <w:tcW w:w="0" w:type="auto"/>
            <w:hideMark/>
          </w:tcPr>
          <w:p w14:paraId="09DB9061"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Gestionnaire de ports</w:t>
            </w:r>
          </w:p>
        </w:tc>
        <w:tc>
          <w:tcPr>
            <w:tcW w:w="5288" w:type="dxa"/>
            <w:hideMark/>
          </w:tcPr>
          <w:p w14:paraId="473E9B8D"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theme="majorHAnsi"/>
                <w:color w:val="auto"/>
                <w:sz w:val="14"/>
                <w:szCs w:val="14"/>
              </w:rPr>
            </w:pPr>
            <w:r w:rsidRPr="00EE3B69">
              <w:rPr>
                <w:rFonts w:asciiTheme="minorHAnsi" w:hAnsiTheme="minorHAnsi"/>
                <w:color w:val="auto"/>
                <w:sz w:val="14"/>
                <w:szCs w:val="14"/>
              </w:rPr>
              <w:t>Gestionnaire de ports est mis en production</w:t>
            </w:r>
          </w:p>
        </w:tc>
        <w:tc>
          <w:tcPr>
            <w:tcW w:w="1222" w:type="dxa"/>
            <w:noWrap/>
            <w:hideMark/>
          </w:tcPr>
          <w:p w14:paraId="47E2408C"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Production</w:t>
            </w:r>
          </w:p>
        </w:tc>
      </w:tr>
      <w:tr w:rsidR="0062115B" w:rsidRPr="00EE3B69" w14:paraId="381DF031" w14:textId="77777777" w:rsidTr="00EE3B69">
        <w:trPr>
          <w:trHeight w:val="227"/>
        </w:trPr>
        <w:tc>
          <w:tcPr>
            <w:tcW w:w="1701" w:type="dxa"/>
            <w:hideMark/>
          </w:tcPr>
          <w:p w14:paraId="342FFB53"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1er septembre 2026</w:t>
            </w:r>
          </w:p>
        </w:tc>
        <w:tc>
          <w:tcPr>
            <w:tcW w:w="0" w:type="auto"/>
            <w:hideMark/>
          </w:tcPr>
          <w:p w14:paraId="2FC9642A"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T1NC/COCT</w:t>
            </w:r>
          </w:p>
        </w:tc>
        <w:tc>
          <w:tcPr>
            <w:tcW w:w="5288" w:type="dxa"/>
            <w:hideMark/>
          </w:tcPr>
          <w:p w14:paraId="5C145DE5"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theme="majorHAnsi"/>
                <w:color w:val="auto"/>
                <w:sz w:val="14"/>
                <w:szCs w:val="14"/>
              </w:rPr>
            </w:pPr>
            <w:r w:rsidRPr="00EE3B69">
              <w:rPr>
                <w:rFonts w:asciiTheme="minorHAnsi" w:hAnsiTheme="minorHAnsi"/>
                <w:color w:val="auto"/>
                <w:sz w:val="14"/>
                <w:szCs w:val="14"/>
              </w:rPr>
              <w:t>Les services web d'acquisition de données COCT sont désormais opérationnels</w:t>
            </w:r>
          </w:p>
        </w:tc>
        <w:tc>
          <w:tcPr>
            <w:tcW w:w="1222" w:type="dxa"/>
            <w:noWrap/>
            <w:hideMark/>
          </w:tcPr>
          <w:p w14:paraId="146314B4"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Test</w:t>
            </w:r>
          </w:p>
        </w:tc>
      </w:tr>
      <w:tr w:rsidR="0062115B" w:rsidRPr="00EE3B69" w14:paraId="5742A05E" w14:textId="77777777" w:rsidTr="00EE3B69">
        <w:trPr>
          <w:trHeight w:val="227"/>
        </w:trPr>
        <w:tc>
          <w:tcPr>
            <w:tcW w:w="1701" w:type="dxa"/>
            <w:hideMark/>
          </w:tcPr>
          <w:p w14:paraId="6F94677B"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1er septembre 2026</w:t>
            </w:r>
          </w:p>
        </w:tc>
        <w:tc>
          <w:tcPr>
            <w:tcW w:w="0" w:type="auto"/>
            <w:hideMark/>
          </w:tcPr>
          <w:p w14:paraId="2B52D82A"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T1NC/COCT</w:t>
            </w:r>
          </w:p>
        </w:tc>
        <w:tc>
          <w:tcPr>
            <w:tcW w:w="5288" w:type="dxa"/>
            <w:hideMark/>
          </w:tcPr>
          <w:p w14:paraId="243B8E1D"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theme="majorHAnsi"/>
                <w:color w:val="auto"/>
                <w:sz w:val="14"/>
                <w:szCs w:val="14"/>
              </w:rPr>
            </w:pPr>
            <w:r w:rsidRPr="00EE3B69">
              <w:rPr>
                <w:rFonts w:asciiTheme="minorHAnsi" w:hAnsiTheme="minorHAnsi"/>
                <w:color w:val="auto"/>
                <w:sz w:val="14"/>
                <w:szCs w:val="14"/>
              </w:rPr>
              <w:t>Les tableaux de bord COCT sont opérationnels</w:t>
            </w:r>
          </w:p>
        </w:tc>
        <w:tc>
          <w:tcPr>
            <w:tcW w:w="1222" w:type="dxa"/>
            <w:noWrap/>
            <w:hideMark/>
          </w:tcPr>
          <w:p w14:paraId="1BC7B39F"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Test</w:t>
            </w:r>
          </w:p>
        </w:tc>
      </w:tr>
      <w:tr w:rsidR="0062115B" w:rsidRPr="00EE3B69" w14:paraId="218FAED7" w14:textId="77777777" w:rsidTr="00EE3B69">
        <w:trPr>
          <w:trHeight w:val="227"/>
        </w:trPr>
        <w:tc>
          <w:tcPr>
            <w:tcW w:w="1701" w:type="dxa"/>
            <w:hideMark/>
          </w:tcPr>
          <w:p w14:paraId="320F2C89"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1er septembre 2026</w:t>
            </w:r>
          </w:p>
        </w:tc>
        <w:tc>
          <w:tcPr>
            <w:tcW w:w="0" w:type="auto"/>
            <w:hideMark/>
          </w:tcPr>
          <w:p w14:paraId="0B2C5D50"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 xml:space="preserve">Feuilles de contrôle </w:t>
            </w:r>
            <w:proofErr w:type="spellStart"/>
            <w:r w:rsidRPr="00EE3B69">
              <w:rPr>
                <w:rFonts w:asciiTheme="minorHAnsi" w:hAnsiTheme="minorHAnsi"/>
                <w:color w:val="auto"/>
                <w:sz w:val="14"/>
                <w:szCs w:val="14"/>
              </w:rPr>
              <w:t>Requins&amp;Istiophoridés</w:t>
            </w:r>
            <w:proofErr w:type="spellEnd"/>
          </w:p>
        </w:tc>
        <w:tc>
          <w:tcPr>
            <w:tcW w:w="5288" w:type="dxa"/>
            <w:hideMark/>
          </w:tcPr>
          <w:p w14:paraId="40047BDD"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theme="majorHAnsi"/>
                <w:color w:val="auto"/>
                <w:sz w:val="14"/>
                <w:szCs w:val="14"/>
              </w:rPr>
            </w:pPr>
            <w:r w:rsidRPr="00EE3B69">
              <w:rPr>
                <w:rFonts w:asciiTheme="minorHAnsi" w:hAnsiTheme="minorHAnsi"/>
                <w:color w:val="auto"/>
                <w:sz w:val="14"/>
                <w:szCs w:val="14"/>
              </w:rPr>
              <w:t>Le développement de Requins &amp; Istiophoridés est terminé</w:t>
            </w:r>
          </w:p>
        </w:tc>
        <w:tc>
          <w:tcPr>
            <w:tcW w:w="1222" w:type="dxa"/>
            <w:noWrap/>
            <w:hideMark/>
          </w:tcPr>
          <w:p w14:paraId="071090CD"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Test</w:t>
            </w:r>
          </w:p>
        </w:tc>
      </w:tr>
      <w:tr w:rsidR="0062115B" w:rsidRPr="00EE3B69" w14:paraId="71B5AC57" w14:textId="77777777" w:rsidTr="00EE3B69">
        <w:trPr>
          <w:trHeight w:val="227"/>
        </w:trPr>
        <w:tc>
          <w:tcPr>
            <w:tcW w:w="1701" w:type="dxa"/>
            <w:hideMark/>
          </w:tcPr>
          <w:p w14:paraId="20332195"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1er septembre 2026</w:t>
            </w:r>
          </w:p>
        </w:tc>
        <w:tc>
          <w:tcPr>
            <w:tcW w:w="0" w:type="auto"/>
            <w:hideMark/>
          </w:tcPr>
          <w:p w14:paraId="649C22CD"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FLUX</w:t>
            </w:r>
          </w:p>
        </w:tc>
        <w:tc>
          <w:tcPr>
            <w:tcW w:w="5288" w:type="dxa"/>
            <w:hideMark/>
          </w:tcPr>
          <w:p w14:paraId="54EFEBDC"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theme="majorHAnsi"/>
                <w:color w:val="auto"/>
                <w:sz w:val="14"/>
                <w:szCs w:val="14"/>
              </w:rPr>
            </w:pPr>
            <w:r w:rsidRPr="00EE3B69">
              <w:rPr>
                <w:rFonts w:asciiTheme="minorHAnsi" w:hAnsiTheme="minorHAnsi"/>
                <w:color w:val="auto"/>
                <w:sz w:val="14"/>
                <w:szCs w:val="14"/>
              </w:rPr>
              <w:t>Evaluation des essais intensifs du module FLUX (caractéristiques du navire et FLAP)</w:t>
            </w:r>
          </w:p>
        </w:tc>
        <w:tc>
          <w:tcPr>
            <w:tcW w:w="1222" w:type="dxa"/>
            <w:noWrap/>
            <w:hideMark/>
          </w:tcPr>
          <w:p w14:paraId="13384B83"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Test</w:t>
            </w:r>
          </w:p>
        </w:tc>
      </w:tr>
      <w:tr w:rsidR="0062115B" w:rsidRPr="00EE3B69" w14:paraId="17C5D2EA" w14:textId="77777777" w:rsidTr="00EE3B69">
        <w:trPr>
          <w:trHeight w:val="227"/>
        </w:trPr>
        <w:tc>
          <w:tcPr>
            <w:tcW w:w="1701" w:type="dxa"/>
            <w:hideMark/>
          </w:tcPr>
          <w:p w14:paraId="61A177F2"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15 octobre 2026</w:t>
            </w:r>
          </w:p>
        </w:tc>
        <w:tc>
          <w:tcPr>
            <w:tcW w:w="0" w:type="auto"/>
            <w:hideMark/>
          </w:tcPr>
          <w:p w14:paraId="0A835FF3"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T2CE</w:t>
            </w:r>
          </w:p>
        </w:tc>
        <w:tc>
          <w:tcPr>
            <w:tcW w:w="5288" w:type="dxa"/>
            <w:hideMark/>
          </w:tcPr>
          <w:p w14:paraId="6D04A95E"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theme="majorHAnsi"/>
                <w:color w:val="auto"/>
                <w:sz w:val="14"/>
                <w:szCs w:val="14"/>
              </w:rPr>
            </w:pPr>
            <w:r w:rsidRPr="00EE3B69">
              <w:rPr>
                <w:rFonts w:asciiTheme="minorHAnsi" w:hAnsiTheme="minorHAnsi"/>
                <w:color w:val="auto"/>
                <w:sz w:val="14"/>
                <w:szCs w:val="14"/>
              </w:rPr>
              <w:t>La refonte de la base de données T2CE est terminée</w:t>
            </w:r>
          </w:p>
        </w:tc>
        <w:tc>
          <w:tcPr>
            <w:tcW w:w="1222" w:type="dxa"/>
            <w:noWrap/>
            <w:hideMark/>
          </w:tcPr>
          <w:p w14:paraId="66E26EE9"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Test</w:t>
            </w:r>
          </w:p>
        </w:tc>
      </w:tr>
      <w:tr w:rsidR="0062115B" w:rsidRPr="00EE3B69" w14:paraId="02E39D1F" w14:textId="77777777" w:rsidTr="00EE3B69">
        <w:trPr>
          <w:trHeight w:val="227"/>
        </w:trPr>
        <w:tc>
          <w:tcPr>
            <w:tcW w:w="1701" w:type="dxa"/>
            <w:hideMark/>
          </w:tcPr>
          <w:p w14:paraId="1B390E90"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1er novembre 2026</w:t>
            </w:r>
          </w:p>
        </w:tc>
        <w:tc>
          <w:tcPr>
            <w:tcW w:w="0" w:type="auto"/>
            <w:hideMark/>
          </w:tcPr>
          <w:p w14:paraId="76F05C96"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Gestionnaire de ports</w:t>
            </w:r>
          </w:p>
        </w:tc>
        <w:tc>
          <w:tcPr>
            <w:tcW w:w="5288" w:type="dxa"/>
            <w:hideMark/>
          </w:tcPr>
          <w:p w14:paraId="7E1CE21F"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theme="majorHAnsi"/>
                <w:color w:val="auto"/>
                <w:sz w:val="14"/>
                <w:szCs w:val="14"/>
              </w:rPr>
            </w:pPr>
            <w:r w:rsidRPr="00EE3B69">
              <w:rPr>
                <w:rFonts w:asciiTheme="minorHAnsi" w:hAnsiTheme="minorHAnsi"/>
                <w:color w:val="auto"/>
                <w:sz w:val="14"/>
                <w:szCs w:val="14"/>
              </w:rPr>
              <w:t>Gestionnaire de ports comme seul canal pour la soumission des informations d'autorisation des ports</w:t>
            </w:r>
          </w:p>
        </w:tc>
        <w:tc>
          <w:tcPr>
            <w:tcW w:w="1222" w:type="dxa"/>
            <w:noWrap/>
            <w:hideMark/>
          </w:tcPr>
          <w:p w14:paraId="351BB460"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Production</w:t>
            </w:r>
          </w:p>
        </w:tc>
      </w:tr>
      <w:tr w:rsidR="0062115B" w:rsidRPr="00EE3B69" w14:paraId="12C77339" w14:textId="77777777" w:rsidTr="00EE3B69">
        <w:trPr>
          <w:trHeight w:val="227"/>
        </w:trPr>
        <w:tc>
          <w:tcPr>
            <w:tcW w:w="1701" w:type="dxa"/>
            <w:hideMark/>
          </w:tcPr>
          <w:p w14:paraId="710F645B"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1er novembre 2026</w:t>
            </w:r>
          </w:p>
        </w:tc>
        <w:tc>
          <w:tcPr>
            <w:tcW w:w="0" w:type="auto"/>
            <w:hideMark/>
          </w:tcPr>
          <w:p w14:paraId="7689FCCE"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T1NC/COCT</w:t>
            </w:r>
          </w:p>
        </w:tc>
        <w:tc>
          <w:tcPr>
            <w:tcW w:w="5288" w:type="dxa"/>
            <w:hideMark/>
          </w:tcPr>
          <w:p w14:paraId="26B46472"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theme="majorHAnsi"/>
                <w:color w:val="auto"/>
                <w:sz w:val="14"/>
                <w:szCs w:val="14"/>
              </w:rPr>
            </w:pPr>
            <w:r w:rsidRPr="00EE3B69">
              <w:rPr>
                <w:rFonts w:asciiTheme="minorHAnsi" w:hAnsiTheme="minorHAnsi"/>
                <w:color w:val="auto"/>
                <w:sz w:val="14"/>
                <w:szCs w:val="14"/>
              </w:rPr>
              <w:t>Les tests d'intégration T1NC/COCT sont terminés</w:t>
            </w:r>
          </w:p>
        </w:tc>
        <w:tc>
          <w:tcPr>
            <w:tcW w:w="1222" w:type="dxa"/>
            <w:noWrap/>
            <w:hideMark/>
          </w:tcPr>
          <w:p w14:paraId="717E3BC2"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Test</w:t>
            </w:r>
          </w:p>
        </w:tc>
      </w:tr>
      <w:tr w:rsidR="0062115B" w:rsidRPr="00EE3B69" w14:paraId="0DB808E4" w14:textId="77777777" w:rsidTr="00EE3B69">
        <w:trPr>
          <w:trHeight w:val="227"/>
        </w:trPr>
        <w:tc>
          <w:tcPr>
            <w:tcW w:w="1701" w:type="dxa"/>
            <w:hideMark/>
          </w:tcPr>
          <w:p w14:paraId="089BFAFF"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1er novembre 2026</w:t>
            </w:r>
          </w:p>
        </w:tc>
        <w:tc>
          <w:tcPr>
            <w:tcW w:w="0" w:type="auto"/>
            <w:hideMark/>
          </w:tcPr>
          <w:p w14:paraId="62F8BF55" w14:textId="5ADD6B81"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Feuilles de contrôle Requins/Istiophoridés</w:t>
            </w:r>
          </w:p>
        </w:tc>
        <w:tc>
          <w:tcPr>
            <w:tcW w:w="5288" w:type="dxa"/>
            <w:hideMark/>
          </w:tcPr>
          <w:p w14:paraId="7BD110A5"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theme="majorHAnsi"/>
                <w:color w:val="auto"/>
                <w:sz w:val="14"/>
                <w:szCs w:val="14"/>
              </w:rPr>
            </w:pPr>
            <w:r w:rsidRPr="00EE3B69">
              <w:rPr>
                <w:rFonts w:asciiTheme="minorHAnsi" w:hAnsiTheme="minorHAnsi"/>
                <w:color w:val="auto"/>
                <w:sz w:val="14"/>
                <w:szCs w:val="14"/>
              </w:rPr>
              <w:t xml:space="preserve">Les tests d'intégration </w:t>
            </w:r>
            <w:proofErr w:type="spellStart"/>
            <w:r w:rsidRPr="00EE3B69">
              <w:rPr>
                <w:rFonts w:asciiTheme="minorHAnsi" w:hAnsiTheme="minorHAnsi"/>
                <w:color w:val="auto"/>
                <w:sz w:val="14"/>
                <w:szCs w:val="14"/>
              </w:rPr>
              <w:t>Requins&amp;Istiophoridés</w:t>
            </w:r>
            <w:proofErr w:type="spellEnd"/>
            <w:r w:rsidRPr="00EE3B69">
              <w:rPr>
                <w:rFonts w:asciiTheme="minorHAnsi" w:hAnsiTheme="minorHAnsi"/>
                <w:color w:val="auto"/>
                <w:sz w:val="14"/>
                <w:szCs w:val="14"/>
              </w:rPr>
              <w:t xml:space="preserve"> sont terminés</w:t>
            </w:r>
          </w:p>
        </w:tc>
        <w:tc>
          <w:tcPr>
            <w:tcW w:w="1222" w:type="dxa"/>
            <w:noWrap/>
            <w:hideMark/>
          </w:tcPr>
          <w:p w14:paraId="1E7871F2"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Test</w:t>
            </w:r>
          </w:p>
        </w:tc>
      </w:tr>
      <w:tr w:rsidR="0062115B" w:rsidRPr="00EE3B69" w14:paraId="0BE1240C" w14:textId="77777777" w:rsidTr="00EE3B69">
        <w:trPr>
          <w:trHeight w:val="227"/>
        </w:trPr>
        <w:tc>
          <w:tcPr>
            <w:tcW w:w="1701" w:type="dxa"/>
            <w:hideMark/>
          </w:tcPr>
          <w:p w14:paraId="6839BA3D"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1er novembre 2026</w:t>
            </w:r>
          </w:p>
        </w:tc>
        <w:tc>
          <w:tcPr>
            <w:tcW w:w="0" w:type="auto"/>
            <w:hideMark/>
          </w:tcPr>
          <w:p w14:paraId="09AAA4D5"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FLUX</w:t>
            </w:r>
          </w:p>
        </w:tc>
        <w:tc>
          <w:tcPr>
            <w:tcW w:w="5288" w:type="dxa"/>
            <w:hideMark/>
          </w:tcPr>
          <w:p w14:paraId="72823DB7"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theme="majorHAnsi"/>
                <w:color w:val="auto"/>
                <w:sz w:val="14"/>
                <w:szCs w:val="14"/>
              </w:rPr>
            </w:pPr>
            <w:r w:rsidRPr="00EE3B69">
              <w:rPr>
                <w:rFonts w:asciiTheme="minorHAnsi" w:hAnsiTheme="minorHAnsi"/>
                <w:color w:val="auto"/>
                <w:sz w:val="14"/>
                <w:szCs w:val="14"/>
              </w:rPr>
              <w:t>Le module FLUX est mis en production</w:t>
            </w:r>
          </w:p>
        </w:tc>
        <w:tc>
          <w:tcPr>
            <w:tcW w:w="1222" w:type="dxa"/>
            <w:noWrap/>
            <w:hideMark/>
          </w:tcPr>
          <w:p w14:paraId="09869A7B"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Production</w:t>
            </w:r>
          </w:p>
        </w:tc>
      </w:tr>
      <w:tr w:rsidR="0062115B" w:rsidRPr="00EE3B69" w14:paraId="39172321" w14:textId="77777777" w:rsidTr="00EE3B69">
        <w:trPr>
          <w:trHeight w:val="227"/>
        </w:trPr>
        <w:tc>
          <w:tcPr>
            <w:tcW w:w="1701" w:type="dxa"/>
            <w:hideMark/>
          </w:tcPr>
          <w:p w14:paraId="57309F26"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31 décembre 2026</w:t>
            </w:r>
          </w:p>
        </w:tc>
        <w:tc>
          <w:tcPr>
            <w:tcW w:w="0" w:type="auto"/>
            <w:hideMark/>
          </w:tcPr>
          <w:p w14:paraId="7F5656E2"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T2CE</w:t>
            </w:r>
          </w:p>
        </w:tc>
        <w:tc>
          <w:tcPr>
            <w:tcW w:w="5288" w:type="dxa"/>
            <w:hideMark/>
          </w:tcPr>
          <w:p w14:paraId="2E501364"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theme="majorHAnsi"/>
                <w:color w:val="auto"/>
                <w:sz w:val="14"/>
                <w:szCs w:val="14"/>
              </w:rPr>
            </w:pPr>
            <w:r w:rsidRPr="00EE3B69">
              <w:rPr>
                <w:rFonts w:asciiTheme="minorHAnsi" w:hAnsiTheme="minorHAnsi"/>
                <w:color w:val="auto"/>
                <w:sz w:val="14"/>
                <w:szCs w:val="14"/>
              </w:rPr>
              <w:t>La conception du flux de données T2CE est terminée</w:t>
            </w:r>
          </w:p>
        </w:tc>
        <w:tc>
          <w:tcPr>
            <w:tcW w:w="1222" w:type="dxa"/>
            <w:noWrap/>
            <w:hideMark/>
          </w:tcPr>
          <w:p w14:paraId="51049D66"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Test</w:t>
            </w:r>
          </w:p>
        </w:tc>
      </w:tr>
      <w:tr w:rsidR="0062115B" w:rsidRPr="00EE3B69" w14:paraId="1FF5301B" w14:textId="77777777" w:rsidTr="00EE3B69">
        <w:trPr>
          <w:trHeight w:val="227"/>
        </w:trPr>
        <w:tc>
          <w:tcPr>
            <w:tcW w:w="1701" w:type="dxa"/>
            <w:hideMark/>
          </w:tcPr>
          <w:p w14:paraId="47AB70FF"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15 février 2027</w:t>
            </w:r>
          </w:p>
        </w:tc>
        <w:tc>
          <w:tcPr>
            <w:tcW w:w="0" w:type="auto"/>
            <w:hideMark/>
          </w:tcPr>
          <w:p w14:paraId="171AAF78"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T1NC/COCT</w:t>
            </w:r>
          </w:p>
        </w:tc>
        <w:tc>
          <w:tcPr>
            <w:tcW w:w="5288" w:type="dxa"/>
            <w:hideMark/>
          </w:tcPr>
          <w:p w14:paraId="75CA5759"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theme="majorHAnsi"/>
                <w:color w:val="auto"/>
                <w:sz w:val="14"/>
                <w:szCs w:val="14"/>
              </w:rPr>
            </w:pPr>
            <w:r w:rsidRPr="00EE3B69">
              <w:rPr>
                <w:rFonts w:asciiTheme="minorHAnsi" w:hAnsiTheme="minorHAnsi"/>
                <w:color w:val="auto"/>
                <w:sz w:val="14"/>
                <w:szCs w:val="14"/>
              </w:rPr>
              <w:t>Début de la phase de tests T1NC/COCT</w:t>
            </w:r>
          </w:p>
        </w:tc>
        <w:tc>
          <w:tcPr>
            <w:tcW w:w="1222" w:type="dxa"/>
            <w:noWrap/>
            <w:hideMark/>
          </w:tcPr>
          <w:p w14:paraId="6E85D97B"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Test</w:t>
            </w:r>
          </w:p>
        </w:tc>
      </w:tr>
      <w:tr w:rsidR="0062115B" w:rsidRPr="00EE3B69" w14:paraId="35BC5A3A" w14:textId="77777777" w:rsidTr="00EE3B69">
        <w:trPr>
          <w:trHeight w:val="227"/>
        </w:trPr>
        <w:tc>
          <w:tcPr>
            <w:tcW w:w="1701" w:type="dxa"/>
            <w:hideMark/>
          </w:tcPr>
          <w:p w14:paraId="1C434F5B"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15 février 2027</w:t>
            </w:r>
          </w:p>
        </w:tc>
        <w:tc>
          <w:tcPr>
            <w:tcW w:w="0" w:type="auto"/>
            <w:hideMark/>
          </w:tcPr>
          <w:p w14:paraId="5D481DD7"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 xml:space="preserve">Feuilles de contrôle </w:t>
            </w:r>
            <w:proofErr w:type="spellStart"/>
            <w:r w:rsidRPr="00EE3B69">
              <w:rPr>
                <w:rFonts w:asciiTheme="minorHAnsi" w:hAnsiTheme="minorHAnsi"/>
                <w:color w:val="auto"/>
                <w:sz w:val="14"/>
                <w:szCs w:val="14"/>
              </w:rPr>
              <w:t>Requins&amp;Istiophoridés</w:t>
            </w:r>
            <w:proofErr w:type="spellEnd"/>
          </w:p>
        </w:tc>
        <w:tc>
          <w:tcPr>
            <w:tcW w:w="5288" w:type="dxa"/>
            <w:hideMark/>
          </w:tcPr>
          <w:p w14:paraId="32AD9B65"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theme="majorHAnsi"/>
                <w:color w:val="auto"/>
                <w:sz w:val="14"/>
                <w:szCs w:val="14"/>
              </w:rPr>
            </w:pPr>
            <w:r w:rsidRPr="00EE3B69">
              <w:rPr>
                <w:rFonts w:asciiTheme="minorHAnsi" w:hAnsiTheme="minorHAnsi"/>
                <w:color w:val="auto"/>
                <w:sz w:val="14"/>
                <w:szCs w:val="14"/>
              </w:rPr>
              <w:t>Lancement de la phase de test des feuilles de contrôle Requins/Istiophoridés</w:t>
            </w:r>
          </w:p>
        </w:tc>
        <w:tc>
          <w:tcPr>
            <w:tcW w:w="1222" w:type="dxa"/>
            <w:noWrap/>
            <w:hideMark/>
          </w:tcPr>
          <w:p w14:paraId="492F46CF"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Test</w:t>
            </w:r>
          </w:p>
        </w:tc>
      </w:tr>
      <w:tr w:rsidR="0062115B" w:rsidRPr="00EE3B69" w14:paraId="125C9ECD" w14:textId="77777777" w:rsidTr="00EE3B69">
        <w:trPr>
          <w:trHeight w:val="227"/>
        </w:trPr>
        <w:tc>
          <w:tcPr>
            <w:tcW w:w="1701" w:type="dxa"/>
            <w:hideMark/>
          </w:tcPr>
          <w:p w14:paraId="15DE338C"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1er mai 2027</w:t>
            </w:r>
          </w:p>
        </w:tc>
        <w:tc>
          <w:tcPr>
            <w:tcW w:w="0" w:type="auto"/>
            <w:hideMark/>
          </w:tcPr>
          <w:p w14:paraId="086C387C"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T1NC/COCT</w:t>
            </w:r>
          </w:p>
        </w:tc>
        <w:tc>
          <w:tcPr>
            <w:tcW w:w="5288" w:type="dxa"/>
            <w:hideMark/>
          </w:tcPr>
          <w:p w14:paraId="3ABFB07C"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theme="majorHAnsi"/>
                <w:color w:val="auto"/>
                <w:sz w:val="14"/>
                <w:szCs w:val="14"/>
              </w:rPr>
            </w:pPr>
            <w:r w:rsidRPr="00EE3B69">
              <w:rPr>
                <w:rFonts w:asciiTheme="minorHAnsi" w:hAnsiTheme="minorHAnsi"/>
                <w:color w:val="auto"/>
                <w:sz w:val="14"/>
                <w:szCs w:val="14"/>
              </w:rPr>
              <w:t>T1NC/COCT mis en production</w:t>
            </w:r>
          </w:p>
        </w:tc>
        <w:tc>
          <w:tcPr>
            <w:tcW w:w="1222" w:type="dxa"/>
            <w:noWrap/>
            <w:hideMark/>
          </w:tcPr>
          <w:p w14:paraId="66E24ACE"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Production</w:t>
            </w:r>
          </w:p>
        </w:tc>
      </w:tr>
      <w:tr w:rsidR="0062115B" w:rsidRPr="00EE3B69" w14:paraId="7B3C9304" w14:textId="77777777" w:rsidTr="00EE3B69">
        <w:trPr>
          <w:trHeight w:val="227"/>
        </w:trPr>
        <w:tc>
          <w:tcPr>
            <w:tcW w:w="1701" w:type="dxa"/>
            <w:hideMark/>
          </w:tcPr>
          <w:p w14:paraId="0644C969"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1er juillet 2027</w:t>
            </w:r>
          </w:p>
        </w:tc>
        <w:tc>
          <w:tcPr>
            <w:tcW w:w="0" w:type="auto"/>
            <w:hideMark/>
          </w:tcPr>
          <w:p w14:paraId="17EF77B2"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 xml:space="preserve">Feuilles de contrôle </w:t>
            </w:r>
            <w:proofErr w:type="spellStart"/>
            <w:r w:rsidRPr="00EE3B69">
              <w:rPr>
                <w:rFonts w:asciiTheme="minorHAnsi" w:hAnsiTheme="minorHAnsi"/>
                <w:color w:val="auto"/>
                <w:sz w:val="14"/>
                <w:szCs w:val="14"/>
              </w:rPr>
              <w:t>Requins&amp;Istiophoridés</w:t>
            </w:r>
            <w:proofErr w:type="spellEnd"/>
          </w:p>
        </w:tc>
        <w:tc>
          <w:tcPr>
            <w:tcW w:w="5288" w:type="dxa"/>
            <w:hideMark/>
          </w:tcPr>
          <w:p w14:paraId="58CFA421"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theme="majorHAnsi"/>
                <w:color w:val="auto"/>
                <w:sz w:val="14"/>
                <w:szCs w:val="14"/>
              </w:rPr>
            </w:pPr>
            <w:r w:rsidRPr="00EE3B69">
              <w:rPr>
                <w:rFonts w:asciiTheme="minorHAnsi" w:hAnsiTheme="minorHAnsi"/>
                <w:color w:val="auto"/>
                <w:sz w:val="14"/>
                <w:szCs w:val="14"/>
              </w:rPr>
              <w:t xml:space="preserve">Feuilles de contrôle </w:t>
            </w:r>
            <w:proofErr w:type="spellStart"/>
            <w:r w:rsidRPr="00EE3B69">
              <w:rPr>
                <w:rFonts w:asciiTheme="minorHAnsi" w:hAnsiTheme="minorHAnsi"/>
                <w:color w:val="auto"/>
                <w:sz w:val="14"/>
                <w:szCs w:val="14"/>
              </w:rPr>
              <w:t>Requins&amp;Istiophoridés</w:t>
            </w:r>
            <w:proofErr w:type="spellEnd"/>
            <w:r w:rsidRPr="00EE3B69">
              <w:rPr>
                <w:rFonts w:asciiTheme="minorHAnsi" w:hAnsiTheme="minorHAnsi"/>
                <w:color w:val="auto"/>
                <w:sz w:val="14"/>
                <w:szCs w:val="14"/>
              </w:rPr>
              <w:t xml:space="preserve"> mises en production</w:t>
            </w:r>
          </w:p>
        </w:tc>
        <w:tc>
          <w:tcPr>
            <w:tcW w:w="1222" w:type="dxa"/>
            <w:noWrap/>
            <w:hideMark/>
          </w:tcPr>
          <w:p w14:paraId="30D8763B"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Production</w:t>
            </w:r>
          </w:p>
        </w:tc>
      </w:tr>
      <w:tr w:rsidR="0062115B" w:rsidRPr="00EE3B69" w14:paraId="39311222" w14:textId="77777777" w:rsidTr="00EE3B69">
        <w:trPr>
          <w:trHeight w:val="227"/>
        </w:trPr>
        <w:tc>
          <w:tcPr>
            <w:tcW w:w="1701" w:type="dxa"/>
            <w:hideMark/>
          </w:tcPr>
          <w:p w14:paraId="5DE0FBA2"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2026-05-XX</w:t>
            </w:r>
          </w:p>
        </w:tc>
        <w:tc>
          <w:tcPr>
            <w:tcW w:w="0" w:type="auto"/>
            <w:hideMark/>
          </w:tcPr>
          <w:p w14:paraId="1B22675F"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Gestionnaire de ports</w:t>
            </w:r>
          </w:p>
        </w:tc>
        <w:tc>
          <w:tcPr>
            <w:tcW w:w="5288" w:type="dxa"/>
            <w:hideMark/>
          </w:tcPr>
          <w:p w14:paraId="11E4621C"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theme="majorHAnsi"/>
                <w:color w:val="auto"/>
                <w:sz w:val="14"/>
                <w:szCs w:val="14"/>
              </w:rPr>
            </w:pPr>
            <w:r w:rsidRPr="00EE3B69">
              <w:rPr>
                <w:rFonts w:asciiTheme="minorHAnsi" w:hAnsiTheme="minorHAnsi"/>
                <w:color w:val="auto"/>
                <w:sz w:val="14"/>
                <w:szCs w:val="14"/>
              </w:rPr>
              <w:t>Session de formation/atelier pour les gestionnaires de ports (1ère session)</w:t>
            </w:r>
          </w:p>
        </w:tc>
        <w:tc>
          <w:tcPr>
            <w:tcW w:w="1222" w:type="dxa"/>
            <w:noWrap/>
            <w:hideMark/>
          </w:tcPr>
          <w:p w14:paraId="0194814D" w14:textId="77777777" w:rsidR="0062115B" w:rsidRPr="00EE3B69" w:rsidRDefault="0062115B"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heme="majorHAnsi"/>
                <w:color w:val="auto"/>
                <w:sz w:val="14"/>
                <w:szCs w:val="14"/>
              </w:rPr>
            </w:pPr>
            <w:r w:rsidRPr="00EE3B69">
              <w:rPr>
                <w:rFonts w:asciiTheme="minorHAnsi" w:hAnsiTheme="minorHAnsi"/>
                <w:color w:val="auto"/>
                <w:sz w:val="14"/>
                <w:szCs w:val="14"/>
              </w:rPr>
              <w:t>Test</w:t>
            </w:r>
          </w:p>
        </w:tc>
      </w:tr>
    </w:tbl>
    <w:p w14:paraId="0E8BA066" w14:textId="77777777" w:rsidR="0062115B" w:rsidRPr="00A66378" w:rsidRDefault="0062115B" w:rsidP="00A66378">
      <w:pPr>
        <w:rPr>
          <w:rFonts w:asciiTheme="minorHAnsi" w:hAnsiTheme="minorHAnsi"/>
        </w:rPr>
      </w:pPr>
    </w:p>
    <w:p w14:paraId="4B5427A0" w14:textId="1C42F336" w:rsidR="0062115B" w:rsidRPr="00A66378" w:rsidRDefault="0062115B" w:rsidP="00A66378">
      <w:pPr>
        <w:rPr>
          <w:rFonts w:asciiTheme="minorHAnsi" w:hAnsiTheme="minorHAnsi"/>
        </w:rPr>
      </w:pPr>
      <w:r w:rsidRPr="00A66378">
        <w:rPr>
          <w:rFonts w:asciiTheme="minorHAnsi" w:hAnsiTheme="minorHAnsi"/>
        </w:rPr>
        <w:t xml:space="preserve">Parallèlement à la feuille de route, le Secrétariat a également présenté un diagramme préliminaire de la feuille de route pour 2026 à l'aide du logiciel Jira Project Manager. </w:t>
      </w:r>
    </w:p>
    <w:p w14:paraId="690F4057" w14:textId="77777777" w:rsidR="0062115B" w:rsidRPr="00A66378" w:rsidRDefault="0062115B" w:rsidP="00A66378">
      <w:pPr>
        <w:rPr>
          <w:rFonts w:asciiTheme="minorHAnsi" w:hAnsiTheme="minorHAnsi"/>
        </w:rPr>
      </w:pPr>
    </w:p>
    <w:p w14:paraId="3BAA3E68" w14:textId="045072BA" w:rsidR="0062115B" w:rsidRPr="00A66378" w:rsidRDefault="0062115B" w:rsidP="00A66378">
      <w:pPr>
        <w:rPr>
          <w:rFonts w:asciiTheme="minorHAnsi" w:hAnsiTheme="minorHAnsi"/>
        </w:rPr>
      </w:pPr>
      <w:r w:rsidRPr="00A66378">
        <w:rPr>
          <w:rFonts w:asciiTheme="minorHAnsi" w:hAnsiTheme="minorHAnsi"/>
        </w:rPr>
        <w:lastRenderedPageBreak/>
        <w:t>Le Président a remercié le Secrétariat et les participants pour leurs contributions, qui ont permis de finaliser le plan de travail de l'IOMS pour 2026.</w:t>
      </w:r>
    </w:p>
    <w:p w14:paraId="4CC2C0D8" w14:textId="77777777" w:rsidR="00A3591F" w:rsidRDefault="00A3591F" w:rsidP="00A66378">
      <w:pPr>
        <w:rPr>
          <w:rFonts w:asciiTheme="minorHAnsi" w:hAnsiTheme="minorHAnsi"/>
        </w:rPr>
      </w:pPr>
    </w:p>
    <w:p w14:paraId="67787DE1" w14:textId="77777777" w:rsidR="00714D97" w:rsidRPr="00A66378" w:rsidRDefault="00714D97" w:rsidP="00A66378">
      <w:pPr>
        <w:rPr>
          <w:rFonts w:asciiTheme="minorHAnsi" w:hAnsiTheme="minorHAnsi"/>
        </w:rPr>
      </w:pPr>
    </w:p>
    <w:p w14:paraId="1AC0D264" w14:textId="5609050D" w:rsidR="00693879" w:rsidRPr="00A66378" w:rsidRDefault="00A3591F" w:rsidP="00A3591F">
      <w:pPr>
        <w:pStyle w:val="Heading1"/>
        <w:numPr>
          <w:ilvl w:val="0"/>
          <w:numId w:val="0"/>
        </w:numPr>
        <w:spacing w:before="0" w:after="0"/>
        <w:ind w:left="567" w:hanging="567"/>
        <w:rPr>
          <w:rFonts w:asciiTheme="minorHAnsi" w:hAnsiTheme="minorHAnsi"/>
          <w:spacing w:val="-2"/>
        </w:rPr>
      </w:pPr>
      <w:r>
        <w:rPr>
          <w:rFonts w:asciiTheme="minorHAnsi" w:hAnsiTheme="minorHAnsi"/>
        </w:rPr>
        <w:t>12.</w:t>
      </w:r>
      <w:r>
        <w:rPr>
          <w:rFonts w:asciiTheme="minorHAnsi" w:hAnsiTheme="minorHAnsi"/>
        </w:rPr>
        <w:tab/>
      </w:r>
      <w:r w:rsidR="00693879" w:rsidRPr="00A66378">
        <w:rPr>
          <w:rFonts w:asciiTheme="minorHAnsi" w:hAnsiTheme="minorHAnsi"/>
        </w:rPr>
        <w:t>Travaux intersessions à réaliser en 2026</w:t>
      </w:r>
    </w:p>
    <w:p w14:paraId="717DB022" w14:textId="77777777" w:rsidR="00A3591F" w:rsidRDefault="00A3591F" w:rsidP="00A66378">
      <w:pPr>
        <w:rPr>
          <w:rFonts w:asciiTheme="minorHAnsi" w:hAnsiTheme="minorHAnsi"/>
        </w:rPr>
      </w:pPr>
    </w:p>
    <w:p w14:paraId="54DAA56C" w14:textId="351E966D" w:rsidR="00A605E8" w:rsidRPr="00A66378" w:rsidRDefault="00A605E8" w:rsidP="00A66378">
      <w:pPr>
        <w:rPr>
          <w:rFonts w:asciiTheme="minorHAnsi" w:hAnsiTheme="minorHAnsi"/>
        </w:rPr>
      </w:pPr>
      <w:r w:rsidRPr="00A66378">
        <w:rPr>
          <w:rFonts w:asciiTheme="minorHAnsi" w:hAnsiTheme="minorHAnsi"/>
        </w:rPr>
        <w:t xml:space="preserve">En plus des diverses améliorations de l'IOMS discutées/adoptées (résumées dans le </w:t>
      </w:r>
      <w:r w:rsidRPr="00A66378">
        <w:rPr>
          <w:rFonts w:asciiTheme="minorHAnsi" w:hAnsiTheme="minorHAnsi"/>
          <w:b/>
          <w:bCs/>
        </w:rPr>
        <w:t>tableau 2</w:t>
      </w:r>
      <w:r w:rsidRPr="00A66378">
        <w:rPr>
          <w:rFonts w:asciiTheme="minorHAnsi" w:hAnsiTheme="minorHAnsi"/>
        </w:rPr>
        <w:t xml:space="preserve">), le WG-ORT, en collaboration avec le Secrétariat de l’ICCAT, a élaboré la liste suivante de travaux intersessions : </w:t>
      </w:r>
    </w:p>
    <w:p w14:paraId="4098D103" w14:textId="35CDFF7F" w:rsidR="0062115B" w:rsidRPr="00A66378" w:rsidRDefault="0062115B" w:rsidP="00A66378">
      <w:pPr>
        <w:rPr>
          <w:rFonts w:asciiTheme="minorHAnsi" w:hAnsiTheme="minorHAnsi"/>
        </w:rPr>
      </w:pPr>
    </w:p>
    <w:p w14:paraId="2995C1A9" w14:textId="673225E7" w:rsidR="0062115B" w:rsidRPr="00A66378" w:rsidRDefault="0062115B" w:rsidP="00A3591F">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ind w:left="709" w:hanging="425"/>
        <w:rPr>
          <w:rFonts w:asciiTheme="minorHAnsi" w:eastAsia="Times New Roman" w:hAnsiTheme="minorHAnsi" w:cs="Times New Roman"/>
        </w:rPr>
      </w:pPr>
      <w:r w:rsidRPr="00A66378">
        <w:rPr>
          <w:rFonts w:asciiTheme="minorHAnsi" w:hAnsiTheme="minorHAnsi"/>
        </w:rPr>
        <w:t xml:space="preserve">Conformément à la recommandation du COC visant à aller de l’avant avec la traduction des rapports annuels (plus de détails peuvent être consultés dans </w:t>
      </w:r>
      <w:r w:rsidR="00A3591F" w:rsidRPr="00A66378">
        <w:rPr>
          <w:rFonts w:asciiTheme="minorHAnsi" w:hAnsiTheme="minorHAnsi"/>
        </w:rPr>
        <w:t>le document</w:t>
      </w:r>
      <w:r w:rsidRPr="00A66378">
        <w:rPr>
          <w:rFonts w:asciiTheme="minorHAnsi" w:hAnsiTheme="minorHAnsi"/>
        </w:rPr>
        <w:t xml:space="preserve"> « Évaluation des coûts pour la traduction des données et documents de l’IOMS » (COC-319/2025)), le Secrétariat devrait mettre en œuvre un projet pilote et présenter les résultats préliminaires au COC et au STACFAD lors de leur réunion annuelle de 2026, ainsi qu'au WG-ORT lors de sa réunion de 2027.</w:t>
      </w:r>
    </w:p>
    <w:p w14:paraId="71332FEE" w14:textId="77777777" w:rsidR="0062115B" w:rsidRPr="00A66378" w:rsidRDefault="0062115B" w:rsidP="00A3591F">
      <w:pPr>
        <w:pStyle w:val="ListParagraph"/>
        <w:ind w:left="709" w:hanging="425"/>
        <w:rPr>
          <w:rFonts w:asciiTheme="minorHAnsi" w:eastAsia="Times New Roman" w:hAnsiTheme="minorHAnsi" w:cs="Times New Roman"/>
        </w:rPr>
      </w:pPr>
    </w:p>
    <w:p w14:paraId="53C2BEDC" w14:textId="77777777" w:rsidR="0062115B" w:rsidRPr="00A66378" w:rsidRDefault="0062115B" w:rsidP="00A3591F">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ind w:left="709" w:hanging="425"/>
        <w:rPr>
          <w:rFonts w:asciiTheme="minorHAnsi" w:eastAsia="Times New Roman" w:hAnsiTheme="minorHAnsi" w:cs="Times New Roman"/>
        </w:rPr>
      </w:pPr>
      <w:r w:rsidRPr="00A66378">
        <w:rPr>
          <w:rFonts w:asciiTheme="minorHAnsi" w:hAnsiTheme="minorHAnsi"/>
          <w:color w:val="131619"/>
        </w:rPr>
        <w:t>Évaluer le volume des navires transporteurs provenant des non-CPC qui déclarent des données de CP01 et étudier les implications de l’autorisation accordée aux non-CPC d’accéder à l'IOMS dans le cadre de ce travail.</w:t>
      </w:r>
    </w:p>
    <w:p w14:paraId="7120F26F" w14:textId="77777777" w:rsidR="0062115B" w:rsidRPr="00A66378" w:rsidRDefault="0062115B" w:rsidP="00A3591F">
      <w:pPr>
        <w:pStyle w:val="ListParagraph"/>
        <w:ind w:left="709" w:hanging="425"/>
        <w:rPr>
          <w:rFonts w:asciiTheme="minorHAnsi" w:eastAsia="Times New Roman" w:hAnsiTheme="minorHAnsi" w:cs="Times New Roman"/>
        </w:rPr>
      </w:pPr>
    </w:p>
    <w:p w14:paraId="18017779" w14:textId="77777777" w:rsidR="0062115B" w:rsidRPr="00A66378" w:rsidRDefault="0062115B" w:rsidP="00A3591F">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ind w:left="709" w:hanging="425"/>
        <w:rPr>
          <w:rFonts w:asciiTheme="minorHAnsi" w:eastAsia="Times New Roman" w:hAnsiTheme="minorHAnsi" w:cs="Times New Roman"/>
        </w:rPr>
      </w:pPr>
      <w:r w:rsidRPr="00A66378">
        <w:rPr>
          <w:rFonts w:asciiTheme="minorHAnsi" w:hAnsiTheme="minorHAnsi"/>
          <w:color w:val="131619"/>
        </w:rPr>
        <w:t>Mettre en place une équipe technique chargée d'examiner les améliorations potentielles de l’IOMS et de formuler des commentaires quant à leur faisabilité, leur ordre de priorité et les modalités de mise en œuvre. </w:t>
      </w:r>
    </w:p>
    <w:p w14:paraId="0B512D35" w14:textId="77777777" w:rsidR="0062115B" w:rsidRPr="00A66378" w:rsidRDefault="0062115B" w:rsidP="00A3591F">
      <w:pPr>
        <w:pStyle w:val="ListParagraph"/>
        <w:ind w:left="709" w:hanging="425"/>
        <w:rPr>
          <w:rFonts w:asciiTheme="minorHAnsi" w:eastAsia="Times New Roman" w:hAnsiTheme="minorHAnsi" w:cs="Times New Roman"/>
        </w:rPr>
      </w:pPr>
    </w:p>
    <w:p w14:paraId="44401256" w14:textId="77777777" w:rsidR="0062115B" w:rsidRPr="00A66378" w:rsidRDefault="0062115B" w:rsidP="00A3591F">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ind w:left="709" w:hanging="425"/>
        <w:rPr>
          <w:rFonts w:asciiTheme="minorHAnsi" w:eastAsia="Times New Roman" w:hAnsiTheme="minorHAnsi" w:cs="Times New Roman"/>
        </w:rPr>
      </w:pPr>
      <w:r w:rsidRPr="00A66378">
        <w:rPr>
          <w:rFonts w:asciiTheme="minorHAnsi" w:hAnsiTheme="minorHAnsi"/>
          <w:color w:val="131619"/>
        </w:rPr>
        <w:t>Le Président du WG-ORT et le Secrétariat devraient rédiger un document à l'intention du STACFAD afin d'examiner une éventuelle augmentation du budget nécessaire pour s'adapter à l'architecture en pleine expansion de l'IOMS.</w:t>
      </w:r>
    </w:p>
    <w:p w14:paraId="690C3D0A" w14:textId="77777777" w:rsidR="0062115B" w:rsidRPr="00A66378" w:rsidRDefault="0062115B" w:rsidP="00A3591F">
      <w:pPr>
        <w:pStyle w:val="ListParagraph"/>
        <w:ind w:left="709" w:hanging="425"/>
        <w:rPr>
          <w:rFonts w:asciiTheme="minorHAnsi" w:eastAsia="Times New Roman" w:hAnsiTheme="minorHAnsi" w:cs="Times New Roman"/>
        </w:rPr>
      </w:pPr>
    </w:p>
    <w:p w14:paraId="158E93A2" w14:textId="77777777" w:rsidR="0062115B" w:rsidRPr="00A66378" w:rsidRDefault="0062115B" w:rsidP="00A3591F">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ind w:left="709" w:hanging="425"/>
        <w:rPr>
          <w:rFonts w:asciiTheme="minorHAnsi" w:eastAsia="Times New Roman" w:hAnsiTheme="minorHAnsi" w:cs="Times New Roman"/>
        </w:rPr>
      </w:pPr>
      <w:r w:rsidRPr="00A66378">
        <w:rPr>
          <w:rFonts w:asciiTheme="minorHAnsi" w:hAnsiTheme="minorHAnsi"/>
        </w:rPr>
        <w:t xml:space="preserve">Accessibilité et fonctionnalités de recherche au sein de l'IOMS : l'équipe de développement de l'IOMS examinera les mesures à prendre pour permettre aux CPC de consulter, trier, filtrer et rechercher les documents de déclaration finalisés d'autres CPC au sein de l'environnement IOMS. Cet accès ne devrait être accordé que pour les versions finales des produits qui seront finalement mises à la disposition du public.  </w:t>
      </w:r>
    </w:p>
    <w:p w14:paraId="19C27004" w14:textId="77777777" w:rsidR="0062115B" w:rsidRPr="00A66378" w:rsidRDefault="0062115B" w:rsidP="00A3591F">
      <w:pPr>
        <w:pStyle w:val="ListParagraph"/>
        <w:ind w:left="709" w:hanging="425"/>
        <w:rPr>
          <w:rFonts w:asciiTheme="minorHAnsi" w:eastAsia="Times New Roman" w:hAnsiTheme="minorHAnsi" w:cs="Times New Roman"/>
        </w:rPr>
      </w:pPr>
    </w:p>
    <w:p w14:paraId="53500BD7" w14:textId="77777777" w:rsidR="0062115B" w:rsidRPr="00A66378" w:rsidRDefault="0062115B" w:rsidP="00A3591F">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ind w:left="709" w:hanging="425"/>
        <w:rPr>
          <w:rFonts w:asciiTheme="minorHAnsi" w:eastAsia="Times New Roman" w:hAnsiTheme="minorHAnsi" w:cs="Times New Roman"/>
        </w:rPr>
      </w:pPr>
      <w:r w:rsidRPr="00A66378">
        <w:rPr>
          <w:rFonts w:asciiTheme="minorHAnsi" w:hAnsiTheme="minorHAnsi"/>
        </w:rPr>
        <w:t>Formats de soumission des données : l'équipe de développement de l'IOMS évaluera la faisabilité d'utiliser des formats ouverts et non propriétaires pour la soumission des formulaires standardisés de l’ICCAT gérés par le Gestionnaire de formulaires.</w:t>
      </w:r>
    </w:p>
    <w:p w14:paraId="40E30E66" w14:textId="77777777" w:rsidR="0062115B" w:rsidRPr="00A66378" w:rsidRDefault="0062115B" w:rsidP="00A3591F">
      <w:pPr>
        <w:pStyle w:val="ListParagraph"/>
        <w:ind w:left="709" w:hanging="425"/>
        <w:rPr>
          <w:rFonts w:asciiTheme="minorHAnsi" w:eastAsia="Times New Roman" w:hAnsiTheme="minorHAnsi" w:cs="Times New Roman"/>
        </w:rPr>
      </w:pPr>
    </w:p>
    <w:p w14:paraId="61AC29FB" w14:textId="77777777" w:rsidR="0062115B" w:rsidRPr="00A66378" w:rsidRDefault="0062115B" w:rsidP="00A3591F">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ind w:left="709" w:hanging="425"/>
        <w:rPr>
          <w:rFonts w:asciiTheme="minorHAnsi" w:eastAsia="Times New Roman" w:hAnsiTheme="minorHAnsi" w:cs="Times New Roman"/>
        </w:rPr>
      </w:pPr>
      <w:r w:rsidRPr="00A66378">
        <w:rPr>
          <w:rFonts w:asciiTheme="minorHAnsi" w:hAnsiTheme="minorHAnsi"/>
        </w:rPr>
        <w:t>Accès public à certaines données de l’IOMS : le Secrétariat préparera une proposition pour la prochaine réunion du WG-ORT sur la manière de rendre publiques les données appropriées de l’IOMS, conformément à la politique de confidentialité des données de l'ICCAT. Dans le cadre de l'élaboration de cette proposition, l'accès ne devrait être accordé qu'aux versions finales des produits qui seront finalement mises à la disposition du public. </w:t>
      </w:r>
    </w:p>
    <w:p w14:paraId="24D3749A" w14:textId="77777777" w:rsidR="0062115B" w:rsidRPr="00A66378" w:rsidRDefault="0062115B" w:rsidP="00A3591F">
      <w:pPr>
        <w:ind w:left="709" w:hanging="425"/>
        <w:rPr>
          <w:rFonts w:asciiTheme="minorHAnsi" w:eastAsia="Times New Roman" w:hAnsiTheme="minorHAnsi" w:cs="Times New Roman"/>
        </w:rPr>
      </w:pPr>
    </w:p>
    <w:p w14:paraId="5F2CF96E" w14:textId="2F74389F" w:rsidR="0062115B" w:rsidRPr="00A66378" w:rsidRDefault="00A3591F" w:rsidP="00A3591F">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ind w:left="709" w:hanging="425"/>
        <w:rPr>
          <w:rFonts w:asciiTheme="minorHAnsi" w:eastAsia="Times New Roman" w:hAnsiTheme="minorHAnsi" w:cs="Times New Roman"/>
        </w:rPr>
      </w:pPr>
      <w:r w:rsidRPr="00A66378">
        <w:rPr>
          <w:rFonts w:asciiTheme="minorHAnsi" w:hAnsiTheme="minorHAnsi"/>
        </w:rPr>
        <w:t>Le Groupe</w:t>
      </w:r>
      <w:r w:rsidR="0062115B" w:rsidRPr="00A66378">
        <w:rPr>
          <w:rFonts w:asciiTheme="minorHAnsi" w:hAnsiTheme="minorHAnsi"/>
        </w:rPr>
        <w:t xml:space="preserve"> de travail </w:t>
      </w:r>
      <w:r w:rsidR="0062115B" w:rsidRPr="00A66378">
        <w:rPr>
          <w:rFonts w:asciiTheme="minorHAnsi" w:hAnsiTheme="minorHAnsi"/>
          <w:i/>
          <w:iCs/>
        </w:rPr>
        <w:t>ad hoc</w:t>
      </w:r>
      <w:r w:rsidR="0062115B" w:rsidRPr="00A66378">
        <w:rPr>
          <w:rFonts w:asciiTheme="minorHAnsi" w:hAnsiTheme="minorHAnsi"/>
        </w:rPr>
        <w:t xml:space="preserve"> sur la rationalisation des feuilles de contrôle pour les requins/istiophoridés apportera son soutien au Président et au Secrétariat afin de poursuivre les efforts visant à simplifier la structure des modèles de feuilles de contrôle pour les requins et les istiophoridés en vue de leur intégration dans l'IOMS.</w:t>
      </w:r>
    </w:p>
    <w:p w14:paraId="5B69E7B9" w14:textId="77777777" w:rsidR="0062115B" w:rsidRPr="00A66378" w:rsidRDefault="0062115B" w:rsidP="00A3591F">
      <w:pPr>
        <w:pStyle w:val="ListParagraph"/>
        <w:ind w:left="709" w:hanging="425"/>
        <w:jc w:val="left"/>
        <w:rPr>
          <w:rFonts w:asciiTheme="minorHAnsi" w:eastAsia="Times New Roman" w:hAnsiTheme="minorHAnsi" w:cs="Times New Roman"/>
        </w:rPr>
      </w:pPr>
    </w:p>
    <w:p w14:paraId="08EB7A3A" w14:textId="77777777" w:rsidR="0062115B" w:rsidRPr="00A66378" w:rsidRDefault="0062115B" w:rsidP="00A3591F">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ind w:left="709" w:hanging="425"/>
        <w:rPr>
          <w:rFonts w:asciiTheme="minorHAnsi" w:eastAsia="Times New Roman" w:hAnsiTheme="minorHAnsi" w:cs="Times New Roman"/>
        </w:rPr>
      </w:pPr>
      <w:r w:rsidRPr="00A66378">
        <w:rPr>
          <w:rFonts w:asciiTheme="minorHAnsi" w:hAnsiTheme="minorHAnsi"/>
        </w:rPr>
        <w:t>Le Secrétariat examinera la solution GIES de la FAO et fournira l'année prochaine des orientations sur la voie à suivre (utilisation directe de la plateforme GIES, réutilisation du code GIES, création d'un nouveau module dans l'IOMS, solution externe, etc.)</w:t>
      </w:r>
    </w:p>
    <w:p w14:paraId="4CBCCAA0" w14:textId="77777777" w:rsidR="0062115B" w:rsidRPr="00A66378" w:rsidRDefault="0062115B" w:rsidP="00A3591F">
      <w:pPr>
        <w:pStyle w:val="ListParagraph"/>
        <w:ind w:left="709" w:hanging="425"/>
        <w:jc w:val="left"/>
        <w:rPr>
          <w:rFonts w:asciiTheme="minorHAnsi" w:eastAsia="Times New Roman" w:hAnsiTheme="minorHAnsi" w:cs="Times New Roman"/>
        </w:rPr>
      </w:pPr>
    </w:p>
    <w:p w14:paraId="01B647E0" w14:textId="3CA1E8E7" w:rsidR="0062115B" w:rsidRPr="00A66378" w:rsidRDefault="0062115B" w:rsidP="00A3591F">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ind w:left="709" w:hanging="425"/>
        <w:rPr>
          <w:rFonts w:asciiTheme="minorHAnsi" w:eastAsia="Times New Roman" w:hAnsiTheme="minorHAnsi" w:cs="Times New Roman"/>
        </w:rPr>
      </w:pPr>
      <w:r w:rsidRPr="00A66378">
        <w:rPr>
          <w:rFonts w:asciiTheme="minorHAnsi" w:hAnsiTheme="minorHAnsi"/>
        </w:rPr>
        <w:t>Suivre l'avancement des travaux et intervenir si nécessaire dans le cadre de l’examen de la déclaration, de la prochaine évaluation des performances de l’ICCAT, ainsi que du processus d'examen et de rationalisation du COC.</w:t>
      </w:r>
    </w:p>
    <w:p w14:paraId="5610DA6B" w14:textId="77777777" w:rsidR="00304E28" w:rsidRPr="00A66378" w:rsidRDefault="00304E28" w:rsidP="00A66378">
      <w:pPr>
        <w:rPr>
          <w:rFonts w:asciiTheme="minorHAnsi" w:hAnsiTheme="minorHAnsi"/>
        </w:rPr>
      </w:pPr>
    </w:p>
    <w:p w14:paraId="38ABAC38" w14:textId="2409E301" w:rsidR="002C0729" w:rsidRPr="00A66378" w:rsidRDefault="0016557E" w:rsidP="0016557E">
      <w:pPr>
        <w:pStyle w:val="Heading1"/>
        <w:numPr>
          <w:ilvl w:val="0"/>
          <w:numId w:val="0"/>
        </w:numPr>
        <w:spacing w:before="0" w:after="0"/>
        <w:ind w:left="426" w:hanging="426"/>
        <w:rPr>
          <w:rFonts w:asciiTheme="minorHAnsi" w:hAnsiTheme="minorHAnsi"/>
        </w:rPr>
      </w:pPr>
      <w:r>
        <w:rPr>
          <w:rFonts w:asciiTheme="minorHAnsi" w:hAnsiTheme="minorHAnsi"/>
        </w:rPr>
        <w:t>13.</w:t>
      </w:r>
      <w:r>
        <w:rPr>
          <w:rFonts w:asciiTheme="minorHAnsi" w:hAnsiTheme="minorHAnsi"/>
        </w:rPr>
        <w:tab/>
      </w:r>
      <w:r w:rsidR="005F46C3" w:rsidRPr="00A66378">
        <w:rPr>
          <w:rFonts w:asciiTheme="minorHAnsi" w:hAnsiTheme="minorHAnsi"/>
        </w:rPr>
        <w:t xml:space="preserve">Autres questions </w:t>
      </w:r>
    </w:p>
    <w:p w14:paraId="1A869D14" w14:textId="77777777" w:rsidR="0016557E" w:rsidRDefault="0016557E" w:rsidP="00A66378">
      <w:pPr>
        <w:rPr>
          <w:rFonts w:asciiTheme="minorHAnsi" w:hAnsiTheme="minorHAnsi"/>
        </w:rPr>
      </w:pPr>
    </w:p>
    <w:p w14:paraId="172412EC" w14:textId="5E23B293" w:rsidR="00304E28" w:rsidRPr="00A66378" w:rsidRDefault="0062115B" w:rsidP="00A66378">
      <w:pPr>
        <w:rPr>
          <w:rFonts w:asciiTheme="minorHAnsi" w:hAnsiTheme="minorHAnsi"/>
        </w:rPr>
      </w:pPr>
      <w:r w:rsidRPr="00A66378">
        <w:rPr>
          <w:rFonts w:asciiTheme="minorHAnsi" w:hAnsiTheme="minorHAnsi"/>
        </w:rPr>
        <w:t>Aucune autre question n’a été discutée.</w:t>
      </w:r>
    </w:p>
    <w:p w14:paraId="0EDE4E4F" w14:textId="77777777" w:rsidR="003A0C68" w:rsidRPr="00A66378" w:rsidRDefault="003A0C68" w:rsidP="00A66378">
      <w:pPr>
        <w:rPr>
          <w:rFonts w:asciiTheme="minorHAnsi" w:hAnsiTheme="minorHAnsi"/>
        </w:rPr>
      </w:pPr>
    </w:p>
    <w:p w14:paraId="53029759" w14:textId="6A7A2822" w:rsidR="002C0729" w:rsidRPr="00A66378" w:rsidRDefault="0016557E" w:rsidP="0016557E">
      <w:pPr>
        <w:pStyle w:val="Heading1"/>
        <w:numPr>
          <w:ilvl w:val="0"/>
          <w:numId w:val="0"/>
        </w:numPr>
        <w:spacing w:before="0" w:after="0"/>
        <w:ind w:left="426" w:hanging="426"/>
        <w:rPr>
          <w:rFonts w:asciiTheme="minorHAnsi" w:hAnsiTheme="minorHAnsi"/>
        </w:rPr>
      </w:pPr>
      <w:r>
        <w:rPr>
          <w:rFonts w:asciiTheme="minorHAnsi" w:hAnsiTheme="minorHAnsi"/>
        </w:rPr>
        <w:t>14.</w:t>
      </w:r>
      <w:r>
        <w:rPr>
          <w:rFonts w:asciiTheme="minorHAnsi" w:hAnsiTheme="minorHAnsi"/>
        </w:rPr>
        <w:tab/>
      </w:r>
      <w:r w:rsidR="005F46C3" w:rsidRPr="00A66378">
        <w:rPr>
          <w:rFonts w:asciiTheme="minorHAnsi" w:hAnsiTheme="minorHAnsi"/>
        </w:rPr>
        <w:t>Adoption du rapport et clôture</w:t>
      </w:r>
    </w:p>
    <w:p w14:paraId="13398F09" w14:textId="77777777" w:rsidR="00A813BB" w:rsidRDefault="00A813BB" w:rsidP="00A66378">
      <w:pPr>
        <w:rPr>
          <w:rFonts w:asciiTheme="minorHAnsi" w:hAnsiTheme="minorHAnsi"/>
        </w:rPr>
      </w:pPr>
    </w:p>
    <w:p w14:paraId="164E87C1" w14:textId="24B01C47" w:rsidR="00CB49F7" w:rsidRPr="00A66378" w:rsidRDefault="00CD555A" w:rsidP="00A66378">
      <w:pPr>
        <w:rPr>
          <w:rFonts w:asciiTheme="minorHAnsi" w:hAnsiTheme="minorHAnsi"/>
        </w:rPr>
      </w:pPr>
      <w:r w:rsidRPr="00A66378">
        <w:rPr>
          <w:rFonts w:asciiTheme="minorHAnsi" w:hAnsiTheme="minorHAnsi"/>
        </w:rPr>
        <w:t>Il a été convenu que le rapport serait adopté par correspondance.</w:t>
      </w:r>
    </w:p>
    <w:p w14:paraId="4331BE4D" w14:textId="77777777" w:rsidR="00CB49F7" w:rsidRPr="00A66378" w:rsidRDefault="00CB49F7"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hAnsiTheme="minorHAnsi"/>
        </w:rPr>
      </w:pPr>
      <w:r w:rsidRPr="00A66378">
        <w:rPr>
          <w:rFonts w:asciiTheme="minorHAnsi" w:hAnsiTheme="minorHAnsi"/>
        </w:rPr>
        <w:br w:type="page"/>
      </w:r>
    </w:p>
    <w:p w14:paraId="112EFABD" w14:textId="77777777" w:rsidR="002C0729" w:rsidRPr="00A66378" w:rsidRDefault="002C0729" w:rsidP="00A66378">
      <w:pPr>
        <w:rPr>
          <w:rFonts w:asciiTheme="minorHAnsi" w:hAnsiTheme="minorHAnsi"/>
        </w:rPr>
      </w:pPr>
    </w:p>
    <w:p w14:paraId="193F267D" w14:textId="2F861693" w:rsidR="00FB4CB3" w:rsidRPr="00A66378" w:rsidRDefault="00FB4CB3" w:rsidP="00A66378">
      <w:pPr>
        <w:pStyle w:val="Caption"/>
        <w:keepNext/>
        <w:spacing w:after="0"/>
        <w:rPr>
          <w:rFonts w:asciiTheme="minorHAnsi" w:hAnsiTheme="minorHAnsi"/>
          <w:i w:val="0"/>
          <w:iCs w:val="0"/>
          <w:color w:val="auto"/>
          <w:sz w:val="20"/>
          <w:szCs w:val="20"/>
        </w:rPr>
      </w:pPr>
      <w:bookmarkStart w:id="0" w:name="_Ref193563119"/>
      <w:r w:rsidRPr="00A66378">
        <w:rPr>
          <w:rFonts w:asciiTheme="minorHAnsi" w:hAnsiTheme="minorHAnsi"/>
          <w:b/>
          <w:i w:val="0"/>
          <w:color w:val="auto"/>
          <w:sz w:val="20"/>
          <w:szCs w:val="20"/>
        </w:rPr>
        <w:t xml:space="preserve">Tableau </w:t>
      </w:r>
      <w:r w:rsidRPr="00A66378">
        <w:rPr>
          <w:rFonts w:asciiTheme="minorHAnsi" w:hAnsiTheme="minorHAnsi"/>
          <w:b/>
          <w:i w:val="0"/>
          <w:color w:val="auto"/>
          <w:sz w:val="20"/>
          <w:szCs w:val="20"/>
        </w:rPr>
        <w:fldChar w:fldCharType="begin"/>
      </w:r>
      <w:r w:rsidRPr="00A66378">
        <w:rPr>
          <w:rFonts w:asciiTheme="minorHAnsi" w:hAnsiTheme="minorHAnsi"/>
          <w:b/>
          <w:i w:val="0"/>
          <w:color w:val="auto"/>
          <w:sz w:val="20"/>
          <w:szCs w:val="20"/>
        </w:rPr>
        <w:instrText xml:space="preserve"> SEQ Table \* ARABIC </w:instrText>
      </w:r>
      <w:r w:rsidRPr="00A66378">
        <w:rPr>
          <w:rFonts w:asciiTheme="minorHAnsi" w:hAnsiTheme="minorHAnsi"/>
          <w:b/>
          <w:i w:val="0"/>
          <w:color w:val="auto"/>
          <w:sz w:val="20"/>
          <w:szCs w:val="20"/>
        </w:rPr>
        <w:fldChar w:fldCharType="separate"/>
      </w:r>
      <w:r w:rsidRPr="00A66378">
        <w:rPr>
          <w:rFonts w:asciiTheme="minorHAnsi" w:hAnsiTheme="minorHAnsi"/>
          <w:b/>
          <w:i w:val="0"/>
          <w:color w:val="auto"/>
          <w:sz w:val="20"/>
          <w:szCs w:val="20"/>
        </w:rPr>
        <w:t>1</w:t>
      </w:r>
      <w:r w:rsidRPr="00A66378">
        <w:rPr>
          <w:rFonts w:asciiTheme="minorHAnsi" w:hAnsiTheme="minorHAnsi"/>
          <w:b/>
          <w:i w:val="0"/>
          <w:color w:val="auto"/>
          <w:sz w:val="20"/>
          <w:szCs w:val="20"/>
        </w:rPr>
        <w:fldChar w:fldCharType="end"/>
      </w:r>
      <w:r w:rsidRPr="00A66378">
        <w:rPr>
          <w:rFonts w:asciiTheme="minorHAnsi" w:hAnsiTheme="minorHAnsi"/>
          <w:b/>
          <w:i w:val="0"/>
          <w:color w:val="auto"/>
          <w:sz w:val="20"/>
          <w:szCs w:val="20"/>
        </w:rPr>
        <w:t xml:space="preserve">. </w:t>
      </w:r>
      <w:r w:rsidRPr="00A66378">
        <w:rPr>
          <w:rFonts w:asciiTheme="minorHAnsi" w:hAnsiTheme="minorHAnsi"/>
          <w:i w:val="0"/>
          <w:color w:val="auto"/>
          <w:sz w:val="20"/>
          <w:szCs w:val="20"/>
        </w:rPr>
        <w:t>Nombre de rapports annuels de 2021, 2022, 2023, 2024 et 2025 stockés dans l'IOMS par catégorie (S3P1 : Statistiques, S3P2 : Application), taux d'achèvement (0% à 100%), soutien du Secrétariat (Oui/Non), et statut en attente. Le nombre total de rapports annuels attendus est passé de 57 (53 CP – Parties contractantes + 4 NCC – Parties non contractantes coopérantes) entre 2021 et 2024 à 58 (soit 1 CP supplémentaire). Le champ "Remarques" indique les sections du rapport annuel qui ont été entièrement complétées et soumises ("version finale OK ») ou non (complètes mais en mode projet, incomplètes mais soumises, et incomplètes et en mode projet). Les trois derniers cas nécessiteront un travail conjoint des CPC et du Secrétariat.</w:t>
      </w:r>
      <w:bookmarkEnd w:id="0"/>
      <w:r w:rsidRPr="00A66378">
        <w:rPr>
          <w:rFonts w:asciiTheme="minorHAnsi" w:hAnsiTheme="minorHAnsi"/>
          <w:i w:val="0"/>
          <w:color w:val="auto"/>
          <w:sz w:val="20"/>
          <w:szCs w:val="20"/>
        </w:rPr>
        <w:t xml:space="preserve"> </w:t>
      </w:r>
    </w:p>
    <w:p w14:paraId="105E23C7" w14:textId="77777777" w:rsidR="006339FA" w:rsidRPr="00A66378" w:rsidRDefault="006339FA" w:rsidP="00A66378">
      <w:pPr>
        <w:rPr>
          <w:rFonts w:asciiTheme="minorHAnsi" w:hAnsiTheme="minorHAnsi"/>
        </w:rPr>
      </w:pPr>
    </w:p>
    <w:p w14:paraId="24485704" w14:textId="66542C5B" w:rsidR="0031655A" w:rsidRPr="00A66378" w:rsidRDefault="006F3D8C" w:rsidP="00A66378">
      <w:pPr>
        <w:rPr>
          <w:rFonts w:asciiTheme="minorHAnsi" w:hAnsiTheme="minorHAnsi"/>
        </w:rPr>
      </w:pPr>
      <w:r w:rsidRPr="00A66378">
        <w:rPr>
          <w:rFonts w:asciiTheme="minorHAnsi" w:hAnsiTheme="minorHAnsi"/>
          <w:noProof/>
        </w:rPr>
        <w:drawing>
          <wp:inline distT="0" distB="0" distL="0" distR="0" wp14:anchorId="2551407E" wp14:editId="360F34D6">
            <wp:extent cx="5760085" cy="2369820"/>
            <wp:effectExtent l="0" t="0" r="0" b="0"/>
            <wp:docPr id="202371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60085" cy="2369820"/>
                    </a:xfrm>
                    <a:prstGeom prst="rect">
                      <a:avLst/>
                    </a:prstGeom>
                    <a:noFill/>
                    <a:ln>
                      <a:noFill/>
                    </a:ln>
                  </pic:spPr>
                </pic:pic>
              </a:graphicData>
            </a:graphic>
          </wp:inline>
        </w:drawing>
      </w:r>
    </w:p>
    <w:p w14:paraId="71F72C87" w14:textId="77777777" w:rsidR="0031655A" w:rsidRPr="00A66378" w:rsidRDefault="0031655A" w:rsidP="00A66378">
      <w:pPr>
        <w:rPr>
          <w:rFonts w:asciiTheme="minorHAnsi" w:hAnsiTheme="minorHAnsi"/>
        </w:rPr>
      </w:pPr>
    </w:p>
    <w:p w14:paraId="08F0D9C8" w14:textId="461CDA5F" w:rsidR="00F5085D" w:rsidRPr="00A66378" w:rsidRDefault="00F5085D" w:rsidP="00A66378">
      <w:pPr>
        <w:rPr>
          <w:rFonts w:asciiTheme="minorHAnsi" w:hAnsiTheme="minorHAnsi"/>
        </w:rPr>
      </w:pPr>
    </w:p>
    <w:p w14:paraId="09925C3D" w14:textId="47D87B5C" w:rsidR="00F5085D" w:rsidRPr="00A66378" w:rsidRDefault="00F5085D" w:rsidP="00A66378">
      <w:pPr>
        <w:rPr>
          <w:rFonts w:asciiTheme="minorHAnsi" w:hAnsiTheme="minorHAnsi"/>
        </w:rPr>
      </w:pPr>
    </w:p>
    <w:p w14:paraId="0DF367C6" w14:textId="77777777" w:rsidR="0016536E" w:rsidRPr="00A66378" w:rsidRDefault="0016536E" w:rsidP="00A66378">
      <w:pPr>
        <w:rPr>
          <w:rFonts w:asciiTheme="minorHAnsi" w:hAnsiTheme="minorHAnsi"/>
        </w:rPr>
      </w:pPr>
    </w:p>
    <w:p w14:paraId="4DE0DCB0" w14:textId="73E4B98A" w:rsidR="0016536E" w:rsidRPr="00A66378" w:rsidRDefault="0016536E" w:rsidP="00A66378">
      <w:pPr>
        <w:rPr>
          <w:rFonts w:asciiTheme="minorHAnsi" w:hAnsiTheme="minorHAnsi"/>
        </w:rPr>
      </w:pPr>
    </w:p>
    <w:p w14:paraId="467F29E6" w14:textId="77777777" w:rsidR="0016536E" w:rsidRPr="00A66378" w:rsidRDefault="0016536E" w:rsidP="00A66378">
      <w:pPr>
        <w:rPr>
          <w:rFonts w:asciiTheme="minorHAnsi" w:hAnsiTheme="minorHAnsi"/>
        </w:rPr>
      </w:pPr>
    </w:p>
    <w:p w14:paraId="5226E11B" w14:textId="47CDE156" w:rsidR="0016536E" w:rsidRPr="00A66378" w:rsidRDefault="0016536E" w:rsidP="00A66378">
      <w:pPr>
        <w:rPr>
          <w:rFonts w:asciiTheme="minorHAnsi" w:hAnsiTheme="minorHAnsi"/>
        </w:rPr>
      </w:pPr>
    </w:p>
    <w:p w14:paraId="3896ABA4" w14:textId="77777777" w:rsidR="0016536E" w:rsidRPr="00A66378" w:rsidRDefault="0016536E" w:rsidP="00A66378">
      <w:pPr>
        <w:rPr>
          <w:rFonts w:asciiTheme="minorHAnsi" w:hAnsiTheme="minorHAnsi"/>
        </w:rPr>
        <w:sectPr w:rsidR="0016536E" w:rsidRPr="00A66378" w:rsidSect="006A3C9C">
          <w:headerReference w:type="default" r:id="rId47"/>
          <w:footerReference w:type="default" r:id="rId48"/>
          <w:pgSz w:w="11907" w:h="16840" w:code="9"/>
          <w:pgMar w:top="1418" w:right="1418" w:bottom="1418" w:left="1418" w:header="851" w:footer="1134" w:gutter="0"/>
          <w:pgNumType w:start="1"/>
          <w:cols w:space="720"/>
          <w:docGrid w:linePitch="299"/>
        </w:sectPr>
      </w:pPr>
    </w:p>
    <w:p w14:paraId="07437C76" w14:textId="1A1B748C" w:rsidR="0016536E" w:rsidRPr="00A66378" w:rsidRDefault="00135052" w:rsidP="00A66378">
      <w:pPr>
        <w:rPr>
          <w:rFonts w:asciiTheme="minorHAnsi" w:hAnsiTheme="minorHAnsi"/>
        </w:rPr>
      </w:pPr>
      <w:bookmarkStart w:id="7" w:name="_Ref193563249"/>
      <w:r w:rsidRPr="00A66378">
        <w:rPr>
          <w:rFonts w:asciiTheme="minorHAnsi" w:hAnsiTheme="minorHAnsi"/>
          <w:b/>
          <w:color w:val="auto"/>
        </w:rPr>
        <w:lastRenderedPageBreak/>
        <w:t xml:space="preserve">Tableau </w:t>
      </w:r>
      <w:r w:rsidRPr="00A66378">
        <w:rPr>
          <w:rFonts w:asciiTheme="minorHAnsi" w:hAnsiTheme="minorHAnsi"/>
          <w:b/>
          <w:color w:val="auto"/>
        </w:rPr>
        <w:fldChar w:fldCharType="begin"/>
      </w:r>
      <w:r w:rsidRPr="00A66378">
        <w:rPr>
          <w:rFonts w:asciiTheme="minorHAnsi" w:hAnsiTheme="minorHAnsi"/>
          <w:b/>
          <w:color w:val="auto"/>
        </w:rPr>
        <w:instrText xml:space="preserve"> SEQ Table \* ARABIC </w:instrText>
      </w:r>
      <w:r w:rsidRPr="00A66378">
        <w:rPr>
          <w:rFonts w:asciiTheme="minorHAnsi" w:hAnsiTheme="minorHAnsi"/>
          <w:b/>
          <w:color w:val="auto"/>
        </w:rPr>
        <w:fldChar w:fldCharType="separate"/>
      </w:r>
      <w:r w:rsidRPr="00A66378">
        <w:rPr>
          <w:rFonts w:asciiTheme="minorHAnsi" w:hAnsiTheme="minorHAnsi"/>
          <w:b/>
          <w:color w:val="auto"/>
        </w:rPr>
        <w:t>2</w:t>
      </w:r>
      <w:r w:rsidRPr="00A66378">
        <w:rPr>
          <w:rFonts w:asciiTheme="minorHAnsi" w:hAnsiTheme="minorHAnsi"/>
          <w:b/>
          <w:color w:val="auto"/>
        </w:rPr>
        <w:fldChar w:fldCharType="end"/>
      </w:r>
      <w:bookmarkEnd w:id="7"/>
      <w:r w:rsidRPr="00A66378">
        <w:rPr>
          <w:rFonts w:asciiTheme="minorHAnsi" w:hAnsiTheme="minorHAnsi"/>
          <w:b/>
          <w:color w:val="auto"/>
        </w:rPr>
        <w:t>.</w:t>
      </w:r>
      <w:r w:rsidRPr="00A66378">
        <w:rPr>
          <w:rFonts w:asciiTheme="minorHAnsi" w:hAnsiTheme="minorHAnsi"/>
          <w:b/>
          <w:i/>
          <w:color w:val="auto"/>
        </w:rPr>
        <w:t xml:space="preserve"> </w:t>
      </w:r>
      <w:r w:rsidRPr="00A66378">
        <w:rPr>
          <w:rFonts w:asciiTheme="minorHAnsi" w:hAnsiTheme="minorHAnsi"/>
        </w:rPr>
        <w:t>Liste des améliorations de l'IOMS proposées, discutées et adoptées, à développer pendant la période intersessions. Le temps de développement est un indicateur qualitatif préliminaire (légende : achevé - en vert ; rejeté - en rouge ; en cours/à l'étude – sans couleur).</w:t>
      </w:r>
    </w:p>
    <w:p w14:paraId="4EC991AB" w14:textId="77777777" w:rsidR="0006506B" w:rsidRPr="00A66378" w:rsidRDefault="0006506B" w:rsidP="00A66378">
      <w:pPr>
        <w:rPr>
          <w:rFonts w:asciiTheme="minorHAnsi" w:hAnsiTheme="minorHAnsi"/>
        </w:rPr>
      </w:pPr>
    </w:p>
    <w:tbl>
      <w:tblPr>
        <w:tblW w:w="5000" w:type="pct"/>
        <w:tblLayout w:type="fixed"/>
        <w:tblLook w:val="04A0" w:firstRow="1" w:lastRow="0" w:firstColumn="1" w:lastColumn="0" w:noHBand="0" w:noVBand="1"/>
      </w:tblPr>
      <w:tblGrid>
        <w:gridCol w:w="541"/>
        <w:gridCol w:w="761"/>
        <w:gridCol w:w="5861"/>
        <w:gridCol w:w="1203"/>
        <w:gridCol w:w="814"/>
        <w:gridCol w:w="792"/>
        <w:gridCol w:w="1139"/>
        <w:gridCol w:w="848"/>
        <w:gridCol w:w="2035"/>
      </w:tblGrid>
      <w:tr w:rsidR="00E1701C" w:rsidRPr="004C3C03" w14:paraId="311C136A" w14:textId="77777777" w:rsidTr="00E1701C">
        <w:trPr>
          <w:trHeight w:val="480"/>
        </w:trPr>
        <w:tc>
          <w:tcPr>
            <w:tcW w:w="193" w:type="pct"/>
            <w:tcBorders>
              <w:top w:val="single" w:sz="4" w:space="0" w:color="auto"/>
              <w:left w:val="single" w:sz="4" w:space="0" w:color="auto"/>
              <w:bottom w:val="nil"/>
              <w:right w:val="nil"/>
            </w:tcBorders>
            <w:shd w:val="clear" w:color="000000" w:fill="F2F2F2"/>
            <w:hideMark/>
          </w:tcPr>
          <w:p w14:paraId="383A4C8A" w14:textId="39708B40"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sz w:val="14"/>
                <w:szCs w:val="14"/>
              </w:rPr>
            </w:pPr>
            <w:r w:rsidRPr="004C3C03">
              <w:rPr>
                <w:rFonts w:asciiTheme="minorHAnsi" w:hAnsiTheme="minorHAnsi"/>
                <w:b/>
                <w:sz w:val="14"/>
                <w:szCs w:val="14"/>
              </w:rPr>
              <w:t>An</w:t>
            </w:r>
          </w:p>
        </w:tc>
        <w:tc>
          <w:tcPr>
            <w:tcW w:w="272" w:type="pct"/>
            <w:tcBorders>
              <w:top w:val="single" w:sz="4" w:space="0" w:color="auto"/>
              <w:left w:val="nil"/>
              <w:bottom w:val="nil"/>
              <w:right w:val="nil"/>
            </w:tcBorders>
            <w:shd w:val="clear" w:color="000000" w:fill="F2F2F2"/>
            <w:hideMark/>
          </w:tcPr>
          <w:p w14:paraId="2F971031"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sz w:val="14"/>
                <w:szCs w:val="14"/>
              </w:rPr>
            </w:pPr>
            <w:r w:rsidRPr="004C3C03">
              <w:rPr>
                <w:rFonts w:asciiTheme="minorHAnsi" w:hAnsiTheme="minorHAnsi"/>
                <w:b/>
                <w:sz w:val="14"/>
                <w:szCs w:val="14"/>
              </w:rPr>
              <w:t>Numéro</w:t>
            </w:r>
          </w:p>
        </w:tc>
        <w:tc>
          <w:tcPr>
            <w:tcW w:w="2094" w:type="pct"/>
            <w:tcBorders>
              <w:top w:val="single" w:sz="4" w:space="0" w:color="auto"/>
              <w:left w:val="nil"/>
              <w:bottom w:val="nil"/>
              <w:right w:val="nil"/>
            </w:tcBorders>
            <w:shd w:val="clear" w:color="000000" w:fill="F2F2F2"/>
            <w:hideMark/>
          </w:tcPr>
          <w:p w14:paraId="5154FB45"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sz w:val="14"/>
                <w:szCs w:val="14"/>
              </w:rPr>
            </w:pPr>
            <w:r w:rsidRPr="004C3C03">
              <w:rPr>
                <w:rFonts w:asciiTheme="minorHAnsi" w:hAnsiTheme="minorHAnsi"/>
                <w:b/>
                <w:sz w:val="14"/>
                <w:szCs w:val="14"/>
              </w:rPr>
              <w:t>Amélioration (brève description)</w:t>
            </w:r>
          </w:p>
        </w:tc>
        <w:tc>
          <w:tcPr>
            <w:tcW w:w="430" w:type="pct"/>
            <w:tcBorders>
              <w:top w:val="single" w:sz="4" w:space="0" w:color="auto"/>
              <w:left w:val="nil"/>
              <w:bottom w:val="nil"/>
              <w:right w:val="nil"/>
            </w:tcBorders>
            <w:shd w:val="clear" w:color="000000" w:fill="F2F2F2"/>
            <w:hideMark/>
          </w:tcPr>
          <w:p w14:paraId="44386D3E"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sz w:val="14"/>
                <w:szCs w:val="14"/>
              </w:rPr>
            </w:pPr>
            <w:r w:rsidRPr="004C3C03">
              <w:rPr>
                <w:rFonts w:asciiTheme="minorHAnsi" w:hAnsiTheme="minorHAnsi"/>
                <w:b/>
                <w:sz w:val="14"/>
                <w:szCs w:val="14"/>
              </w:rPr>
              <w:t>Module</w:t>
            </w:r>
          </w:p>
        </w:tc>
        <w:tc>
          <w:tcPr>
            <w:tcW w:w="291" w:type="pct"/>
            <w:tcBorders>
              <w:top w:val="single" w:sz="4" w:space="0" w:color="auto"/>
              <w:left w:val="nil"/>
              <w:bottom w:val="nil"/>
              <w:right w:val="nil"/>
            </w:tcBorders>
            <w:shd w:val="clear" w:color="000000" w:fill="F2F2F2"/>
            <w:hideMark/>
          </w:tcPr>
          <w:p w14:paraId="43C3C1EF" w14:textId="2259ACDD"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sz w:val="14"/>
                <w:szCs w:val="14"/>
              </w:rPr>
            </w:pPr>
            <w:r w:rsidRPr="004C3C03">
              <w:rPr>
                <w:rFonts w:asciiTheme="minorHAnsi" w:hAnsiTheme="minorHAnsi"/>
                <w:b/>
                <w:sz w:val="14"/>
                <w:szCs w:val="14"/>
              </w:rPr>
              <w:t xml:space="preserve">Coût (temps de </w:t>
            </w:r>
            <w:proofErr w:type="spellStart"/>
            <w:r w:rsidRPr="004C3C03">
              <w:rPr>
                <w:rFonts w:asciiTheme="minorHAnsi" w:hAnsiTheme="minorHAnsi"/>
                <w:b/>
                <w:sz w:val="14"/>
                <w:szCs w:val="14"/>
              </w:rPr>
              <w:t>dvpt</w:t>
            </w:r>
            <w:proofErr w:type="spellEnd"/>
            <w:r w:rsidRPr="004C3C03">
              <w:rPr>
                <w:rFonts w:asciiTheme="minorHAnsi" w:hAnsiTheme="minorHAnsi"/>
                <w:b/>
                <w:sz w:val="14"/>
                <w:szCs w:val="14"/>
              </w:rPr>
              <w:t>)</w:t>
            </w:r>
          </w:p>
        </w:tc>
        <w:tc>
          <w:tcPr>
            <w:tcW w:w="283" w:type="pct"/>
            <w:tcBorders>
              <w:top w:val="single" w:sz="4" w:space="0" w:color="auto"/>
              <w:left w:val="nil"/>
              <w:bottom w:val="nil"/>
              <w:right w:val="nil"/>
            </w:tcBorders>
            <w:shd w:val="clear" w:color="000000" w:fill="F2F2F2"/>
            <w:hideMark/>
          </w:tcPr>
          <w:p w14:paraId="47F3C291"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sz w:val="14"/>
                <w:szCs w:val="14"/>
              </w:rPr>
            </w:pPr>
            <w:r w:rsidRPr="004C3C03">
              <w:rPr>
                <w:rFonts w:asciiTheme="minorHAnsi" w:hAnsiTheme="minorHAnsi"/>
                <w:b/>
                <w:sz w:val="14"/>
                <w:szCs w:val="14"/>
              </w:rPr>
              <w:t>Adopté</w:t>
            </w:r>
          </w:p>
        </w:tc>
        <w:tc>
          <w:tcPr>
            <w:tcW w:w="407" w:type="pct"/>
            <w:tcBorders>
              <w:top w:val="single" w:sz="4" w:space="0" w:color="auto"/>
              <w:left w:val="nil"/>
              <w:bottom w:val="nil"/>
              <w:right w:val="nil"/>
            </w:tcBorders>
            <w:shd w:val="clear" w:color="000000" w:fill="F2F2F2"/>
            <w:hideMark/>
          </w:tcPr>
          <w:p w14:paraId="6D7C1F39"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sz w:val="14"/>
                <w:szCs w:val="14"/>
              </w:rPr>
            </w:pPr>
            <w:r w:rsidRPr="004C3C03">
              <w:rPr>
                <w:rFonts w:asciiTheme="minorHAnsi" w:hAnsiTheme="minorHAnsi"/>
                <w:b/>
                <w:sz w:val="14"/>
                <w:szCs w:val="14"/>
              </w:rPr>
              <w:t>Travaux intersessions</w:t>
            </w:r>
          </w:p>
        </w:tc>
        <w:tc>
          <w:tcPr>
            <w:tcW w:w="303" w:type="pct"/>
            <w:tcBorders>
              <w:top w:val="single" w:sz="4" w:space="0" w:color="auto"/>
              <w:left w:val="nil"/>
              <w:bottom w:val="nil"/>
              <w:right w:val="nil"/>
            </w:tcBorders>
            <w:shd w:val="clear" w:color="000000" w:fill="F2F2F2"/>
            <w:hideMark/>
          </w:tcPr>
          <w:p w14:paraId="4DC6B2C9"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sz w:val="14"/>
                <w:szCs w:val="14"/>
              </w:rPr>
            </w:pPr>
            <w:r w:rsidRPr="004C3C03">
              <w:rPr>
                <w:rFonts w:asciiTheme="minorHAnsi" w:hAnsiTheme="minorHAnsi"/>
                <w:b/>
                <w:sz w:val="14"/>
                <w:szCs w:val="14"/>
              </w:rPr>
              <w:t>État (actuel)</w:t>
            </w:r>
          </w:p>
        </w:tc>
        <w:tc>
          <w:tcPr>
            <w:tcW w:w="727" w:type="pct"/>
            <w:tcBorders>
              <w:top w:val="single" w:sz="4" w:space="0" w:color="auto"/>
              <w:left w:val="nil"/>
              <w:bottom w:val="nil"/>
              <w:right w:val="single" w:sz="4" w:space="0" w:color="auto"/>
            </w:tcBorders>
            <w:shd w:val="clear" w:color="000000" w:fill="F2F2F2"/>
            <w:hideMark/>
          </w:tcPr>
          <w:p w14:paraId="5AC5A435"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sz w:val="14"/>
                <w:szCs w:val="14"/>
              </w:rPr>
            </w:pPr>
            <w:r w:rsidRPr="004C3C03">
              <w:rPr>
                <w:rFonts w:asciiTheme="minorHAnsi" w:hAnsiTheme="minorHAnsi"/>
                <w:b/>
                <w:sz w:val="14"/>
                <w:szCs w:val="14"/>
              </w:rPr>
              <w:t>Notes</w:t>
            </w:r>
          </w:p>
        </w:tc>
      </w:tr>
      <w:tr w:rsidR="00E1701C" w:rsidRPr="004C3C03" w14:paraId="796309EB" w14:textId="77777777" w:rsidTr="00E1701C">
        <w:trPr>
          <w:trHeight w:val="480"/>
        </w:trPr>
        <w:tc>
          <w:tcPr>
            <w:tcW w:w="193" w:type="pct"/>
            <w:tcBorders>
              <w:top w:val="nil"/>
              <w:left w:val="single" w:sz="4" w:space="0" w:color="auto"/>
              <w:bottom w:val="nil"/>
              <w:right w:val="nil"/>
            </w:tcBorders>
            <w:shd w:val="clear" w:color="000000" w:fill="FFEAAF"/>
            <w:vAlign w:val="center"/>
            <w:hideMark/>
          </w:tcPr>
          <w:p w14:paraId="135549A5"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2023</w:t>
            </w:r>
          </w:p>
        </w:tc>
        <w:tc>
          <w:tcPr>
            <w:tcW w:w="272" w:type="pct"/>
            <w:tcBorders>
              <w:top w:val="nil"/>
              <w:left w:val="nil"/>
              <w:bottom w:val="nil"/>
              <w:right w:val="nil"/>
            </w:tcBorders>
            <w:shd w:val="clear" w:color="000000" w:fill="FFEAAF"/>
            <w:vAlign w:val="center"/>
            <w:hideMark/>
          </w:tcPr>
          <w:p w14:paraId="49F6ED9F"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3</w:t>
            </w:r>
          </w:p>
        </w:tc>
        <w:tc>
          <w:tcPr>
            <w:tcW w:w="2094" w:type="pct"/>
            <w:tcBorders>
              <w:top w:val="nil"/>
              <w:left w:val="nil"/>
              <w:bottom w:val="nil"/>
              <w:right w:val="nil"/>
            </w:tcBorders>
            <w:shd w:val="clear" w:color="000000" w:fill="FFEAAF"/>
            <w:vAlign w:val="center"/>
            <w:hideMark/>
          </w:tcPr>
          <w:p w14:paraId="2106CCD2"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FF0000"/>
                <w:sz w:val="14"/>
                <w:szCs w:val="14"/>
              </w:rPr>
            </w:pPr>
            <w:r w:rsidRPr="004C3C03">
              <w:rPr>
                <w:rFonts w:asciiTheme="minorHAnsi" w:hAnsiTheme="minorHAnsi"/>
                <w:color w:val="FF0000"/>
                <w:sz w:val="14"/>
                <w:szCs w:val="14"/>
              </w:rPr>
              <w:t>Un message automatisé sera envoyé à l'expéditeur pour confirmer que la soumission a été correctement réalisée (CC à : info@iccat.int ?).</w:t>
            </w:r>
          </w:p>
        </w:tc>
        <w:tc>
          <w:tcPr>
            <w:tcW w:w="430" w:type="pct"/>
            <w:tcBorders>
              <w:top w:val="nil"/>
              <w:left w:val="nil"/>
              <w:bottom w:val="nil"/>
              <w:right w:val="nil"/>
            </w:tcBorders>
            <w:shd w:val="clear" w:color="000000" w:fill="FFEAAF"/>
            <w:vAlign w:val="center"/>
            <w:hideMark/>
          </w:tcPr>
          <w:p w14:paraId="1CEC68E3"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Rapport annuel</w:t>
            </w:r>
          </w:p>
        </w:tc>
        <w:tc>
          <w:tcPr>
            <w:tcW w:w="291" w:type="pct"/>
            <w:tcBorders>
              <w:top w:val="nil"/>
              <w:left w:val="nil"/>
              <w:bottom w:val="nil"/>
              <w:right w:val="nil"/>
            </w:tcBorders>
            <w:shd w:val="clear" w:color="000000" w:fill="FFEAAF"/>
            <w:vAlign w:val="center"/>
            <w:hideMark/>
          </w:tcPr>
          <w:p w14:paraId="348082B7"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Moyen</w:t>
            </w:r>
          </w:p>
        </w:tc>
        <w:tc>
          <w:tcPr>
            <w:tcW w:w="283" w:type="pct"/>
            <w:tcBorders>
              <w:top w:val="nil"/>
              <w:left w:val="nil"/>
              <w:bottom w:val="nil"/>
              <w:right w:val="nil"/>
            </w:tcBorders>
            <w:shd w:val="clear" w:color="000000" w:fill="FFEAAF"/>
            <w:vAlign w:val="center"/>
            <w:hideMark/>
          </w:tcPr>
          <w:p w14:paraId="41236D70"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Non</w:t>
            </w:r>
          </w:p>
        </w:tc>
        <w:tc>
          <w:tcPr>
            <w:tcW w:w="407" w:type="pct"/>
            <w:tcBorders>
              <w:top w:val="nil"/>
              <w:left w:val="nil"/>
              <w:bottom w:val="nil"/>
              <w:right w:val="nil"/>
            </w:tcBorders>
            <w:shd w:val="clear" w:color="000000" w:fill="FFEAAF"/>
            <w:vAlign w:val="center"/>
            <w:hideMark/>
          </w:tcPr>
          <w:p w14:paraId="072A3C0E"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Non</w:t>
            </w:r>
          </w:p>
        </w:tc>
        <w:tc>
          <w:tcPr>
            <w:tcW w:w="303" w:type="pct"/>
            <w:tcBorders>
              <w:top w:val="nil"/>
              <w:left w:val="nil"/>
              <w:bottom w:val="nil"/>
              <w:right w:val="nil"/>
            </w:tcBorders>
            <w:shd w:val="clear" w:color="000000" w:fill="FFEAAF"/>
            <w:vAlign w:val="center"/>
            <w:hideMark/>
          </w:tcPr>
          <w:p w14:paraId="7A4E9ACE" w14:textId="4C973134"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Abandon</w:t>
            </w:r>
          </w:p>
        </w:tc>
        <w:tc>
          <w:tcPr>
            <w:tcW w:w="727" w:type="pct"/>
            <w:tcBorders>
              <w:top w:val="nil"/>
              <w:left w:val="nil"/>
              <w:bottom w:val="nil"/>
              <w:right w:val="single" w:sz="4" w:space="0" w:color="auto"/>
            </w:tcBorders>
            <w:shd w:val="clear" w:color="000000" w:fill="FFEAAF"/>
            <w:vAlign w:val="center"/>
            <w:hideMark/>
          </w:tcPr>
          <w:p w14:paraId="3495DA1B"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FF0000"/>
                <w:sz w:val="14"/>
                <w:szCs w:val="14"/>
              </w:rPr>
            </w:pPr>
            <w:r w:rsidRPr="004C3C03">
              <w:rPr>
                <w:rFonts w:asciiTheme="minorHAnsi" w:hAnsiTheme="minorHAnsi"/>
                <w:color w:val="FF0000"/>
                <w:sz w:val="14"/>
                <w:szCs w:val="14"/>
              </w:rPr>
              <w:t>Remplacé par 18 (décision du WG de se concentrer sur les rappels de dates limites)</w:t>
            </w:r>
          </w:p>
        </w:tc>
      </w:tr>
      <w:tr w:rsidR="00E1701C" w:rsidRPr="004C3C03" w14:paraId="5A6FF005" w14:textId="77777777" w:rsidTr="00E1701C">
        <w:trPr>
          <w:trHeight w:val="480"/>
        </w:trPr>
        <w:tc>
          <w:tcPr>
            <w:tcW w:w="193" w:type="pct"/>
            <w:tcBorders>
              <w:top w:val="nil"/>
              <w:left w:val="single" w:sz="4" w:space="0" w:color="auto"/>
              <w:bottom w:val="nil"/>
              <w:right w:val="nil"/>
            </w:tcBorders>
            <w:shd w:val="clear" w:color="000000" w:fill="CAE2BC"/>
            <w:vAlign w:val="center"/>
            <w:hideMark/>
          </w:tcPr>
          <w:p w14:paraId="02881C80"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2023</w:t>
            </w:r>
          </w:p>
        </w:tc>
        <w:tc>
          <w:tcPr>
            <w:tcW w:w="272" w:type="pct"/>
            <w:tcBorders>
              <w:top w:val="nil"/>
              <w:left w:val="nil"/>
              <w:bottom w:val="nil"/>
              <w:right w:val="nil"/>
            </w:tcBorders>
            <w:shd w:val="clear" w:color="000000" w:fill="CAE2BC"/>
            <w:vAlign w:val="center"/>
            <w:hideMark/>
          </w:tcPr>
          <w:p w14:paraId="3ABA097B"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5</w:t>
            </w:r>
          </w:p>
        </w:tc>
        <w:tc>
          <w:tcPr>
            <w:tcW w:w="2094" w:type="pct"/>
            <w:tcBorders>
              <w:top w:val="nil"/>
              <w:left w:val="nil"/>
              <w:bottom w:val="nil"/>
              <w:right w:val="nil"/>
            </w:tcBorders>
            <w:shd w:val="clear" w:color="000000" w:fill="CAE2BC"/>
            <w:vAlign w:val="center"/>
            <w:hideMark/>
          </w:tcPr>
          <w:p w14:paraId="0E0A8942"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4"/>
                <w:szCs w:val="14"/>
              </w:rPr>
            </w:pPr>
            <w:r w:rsidRPr="004C3C03">
              <w:rPr>
                <w:rFonts w:asciiTheme="minorHAnsi" w:hAnsiTheme="minorHAnsi"/>
                <w:color w:val="auto"/>
                <w:sz w:val="14"/>
                <w:szCs w:val="14"/>
              </w:rPr>
              <w:t>Indiquer le pourcentage de CPC qui ont rempli le rapport annuel (par exemple, 19 CPC sur 57 = 33,3%, en particulier sur la date limite + 1)</w:t>
            </w:r>
          </w:p>
        </w:tc>
        <w:tc>
          <w:tcPr>
            <w:tcW w:w="430" w:type="pct"/>
            <w:tcBorders>
              <w:top w:val="nil"/>
              <w:left w:val="nil"/>
              <w:bottom w:val="nil"/>
              <w:right w:val="nil"/>
            </w:tcBorders>
            <w:shd w:val="clear" w:color="000000" w:fill="CAE2BC"/>
            <w:vAlign w:val="center"/>
            <w:hideMark/>
          </w:tcPr>
          <w:p w14:paraId="45405DBA"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Rapport annuel</w:t>
            </w:r>
          </w:p>
        </w:tc>
        <w:tc>
          <w:tcPr>
            <w:tcW w:w="291" w:type="pct"/>
            <w:tcBorders>
              <w:top w:val="nil"/>
              <w:left w:val="nil"/>
              <w:bottom w:val="nil"/>
              <w:right w:val="nil"/>
            </w:tcBorders>
            <w:shd w:val="clear" w:color="000000" w:fill="CAE2BC"/>
            <w:vAlign w:val="center"/>
            <w:hideMark/>
          </w:tcPr>
          <w:p w14:paraId="51587D9D"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Moyen</w:t>
            </w:r>
          </w:p>
        </w:tc>
        <w:tc>
          <w:tcPr>
            <w:tcW w:w="283" w:type="pct"/>
            <w:tcBorders>
              <w:top w:val="nil"/>
              <w:left w:val="nil"/>
              <w:bottom w:val="nil"/>
              <w:right w:val="nil"/>
            </w:tcBorders>
            <w:shd w:val="clear" w:color="000000" w:fill="CAE2BC"/>
            <w:vAlign w:val="center"/>
            <w:hideMark/>
          </w:tcPr>
          <w:p w14:paraId="4AD7D018"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Non</w:t>
            </w:r>
          </w:p>
        </w:tc>
        <w:tc>
          <w:tcPr>
            <w:tcW w:w="407" w:type="pct"/>
            <w:tcBorders>
              <w:top w:val="nil"/>
              <w:left w:val="nil"/>
              <w:bottom w:val="nil"/>
              <w:right w:val="nil"/>
            </w:tcBorders>
            <w:shd w:val="clear" w:color="000000" w:fill="CAE2BC"/>
            <w:vAlign w:val="center"/>
            <w:hideMark/>
          </w:tcPr>
          <w:p w14:paraId="5456FD50"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Non</w:t>
            </w:r>
          </w:p>
        </w:tc>
        <w:tc>
          <w:tcPr>
            <w:tcW w:w="303" w:type="pct"/>
            <w:tcBorders>
              <w:top w:val="nil"/>
              <w:left w:val="nil"/>
              <w:bottom w:val="nil"/>
              <w:right w:val="nil"/>
            </w:tcBorders>
            <w:shd w:val="clear" w:color="000000" w:fill="CAE2BC"/>
            <w:vAlign w:val="center"/>
            <w:hideMark/>
          </w:tcPr>
          <w:p w14:paraId="2840C2AD"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Terminé</w:t>
            </w:r>
          </w:p>
        </w:tc>
        <w:tc>
          <w:tcPr>
            <w:tcW w:w="727" w:type="pct"/>
            <w:tcBorders>
              <w:top w:val="nil"/>
              <w:left w:val="nil"/>
              <w:bottom w:val="nil"/>
              <w:right w:val="single" w:sz="4" w:space="0" w:color="auto"/>
            </w:tcBorders>
            <w:shd w:val="clear" w:color="000000" w:fill="CAE2BC"/>
            <w:vAlign w:val="center"/>
            <w:hideMark/>
          </w:tcPr>
          <w:p w14:paraId="57792DCE"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4"/>
                <w:szCs w:val="14"/>
              </w:rPr>
            </w:pPr>
            <w:r w:rsidRPr="004C3C03">
              <w:rPr>
                <w:rFonts w:asciiTheme="minorHAnsi" w:hAnsiTheme="minorHAnsi"/>
                <w:color w:val="auto"/>
                <w:sz w:val="14"/>
                <w:szCs w:val="14"/>
              </w:rPr>
              <w:t>Aucune décision n'a été prise (éventuellement ajouté au tableau de bord)</w:t>
            </w:r>
          </w:p>
        </w:tc>
      </w:tr>
      <w:tr w:rsidR="00E1701C" w:rsidRPr="004C3C03" w14:paraId="5BD5DBA0" w14:textId="77777777" w:rsidTr="00E1701C">
        <w:trPr>
          <w:trHeight w:val="480"/>
        </w:trPr>
        <w:tc>
          <w:tcPr>
            <w:tcW w:w="193" w:type="pct"/>
            <w:tcBorders>
              <w:top w:val="nil"/>
              <w:left w:val="single" w:sz="4" w:space="0" w:color="auto"/>
              <w:bottom w:val="nil"/>
              <w:right w:val="nil"/>
            </w:tcBorders>
            <w:shd w:val="clear" w:color="000000" w:fill="CAE2BC"/>
            <w:vAlign w:val="center"/>
            <w:hideMark/>
          </w:tcPr>
          <w:p w14:paraId="2ECA0A9E"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2023</w:t>
            </w:r>
          </w:p>
        </w:tc>
        <w:tc>
          <w:tcPr>
            <w:tcW w:w="272" w:type="pct"/>
            <w:tcBorders>
              <w:top w:val="nil"/>
              <w:left w:val="nil"/>
              <w:bottom w:val="nil"/>
              <w:right w:val="nil"/>
            </w:tcBorders>
            <w:shd w:val="clear" w:color="000000" w:fill="CAE2BC"/>
            <w:vAlign w:val="center"/>
            <w:hideMark/>
          </w:tcPr>
          <w:p w14:paraId="18060BF1"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6</w:t>
            </w:r>
          </w:p>
        </w:tc>
        <w:tc>
          <w:tcPr>
            <w:tcW w:w="2094" w:type="pct"/>
            <w:tcBorders>
              <w:top w:val="nil"/>
              <w:left w:val="nil"/>
              <w:bottom w:val="nil"/>
              <w:right w:val="nil"/>
            </w:tcBorders>
            <w:shd w:val="clear" w:color="000000" w:fill="CAE2BC"/>
            <w:vAlign w:val="center"/>
            <w:hideMark/>
          </w:tcPr>
          <w:p w14:paraId="3B04ED66"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4"/>
                <w:szCs w:val="14"/>
              </w:rPr>
            </w:pPr>
            <w:r w:rsidRPr="004C3C03">
              <w:rPr>
                <w:rFonts w:asciiTheme="minorHAnsi" w:hAnsiTheme="minorHAnsi"/>
                <w:color w:val="auto"/>
                <w:sz w:val="14"/>
                <w:szCs w:val="14"/>
              </w:rPr>
              <w:t xml:space="preserve">Classer par ordre alphabétique ceux achevés à 100%, et non par ordre d'achèvement, et ajouter la colonne "date de soumission" au graphique </w:t>
            </w:r>
          </w:p>
        </w:tc>
        <w:tc>
          <w:tcPr>
            <w:tcW w:w="430" w:type="pct"/>
            <w:tcBorders>
              <w:top w:val="nil"/>
              <w:left w:val="nil"/>
              <w:bottom w:val="nil"/>
              <w:right w:val="nil"/>
            </w:tcBorders>
            <w:shd w:val="clear" w:color="000000" w:fill="CAE2BC"/>
            <w:vAlign w:val="center"/>
            <w:hideMark/>
          </w:tcPr>
          <w:p w14:paraId="47143B85"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Rapport annuel</w:t>
            </w:r>
          </w:p>
        </w:tc>
        <w:tc>
          <w:tcPr>
            <w:tcW w:w="291" w:type="pct"/>
            <w:tcBorders>
              <w:top w:val="nil"/>
              <w:left w:val="nil"/>
              <w:bottom w:val="nil"/>
              <w:right w:val="nil"/>
            </w:tcBorders>
            <w:shd w:val="clear" w:color="000000" w:fill="CAE2BC"/>
            <w:vAlign w:val="center"/>
            <w:hideMark/>
          </w:tcPr>
          <w:p w14:paraId="6E3C3282"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Moyen</w:t>
            </w:r>
          </w:p>
        </w:tc>
        <w:tc>
          <w:tcPr>
            <w:tcW w:w="283" w:type="pct"/>
            <w:tcBorders>
              <w:top w:val="nil"/>
              <w:left w:val="nil"/>
              <w:bottom w:val="nil"/>
              <w:right w:val="nil"/>
            </w:tcBorders>
            <w:shd w:val="clear" w:color="000000" w:fill="CAE2BC"/>
            <w:vAlign w:val="center"/>
            <w:hideMark/>
          </w:tcPr>
          <w:p w14:paraId="166A9339"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Oui</w:t>
            </w:r>
          </w:p>
        </w:tc>
        <w:tc>
          <w:tcPr>
            <w:tcW w:w="407" w:type="pct"/>
            <w:tcBorders>
              <w:top w:val="nil"/>
              <w:left w:val="nil"/>
              <w:bottom w:val="nil"/>
              <w:right w:val="nil"/>
            </w:tcBorders>
            <w:shd w:val="clear" w:color="000000" w:fill="CAE2BC"/>
            <w:vAlign w:val="center"/>
            <w:hideMark/>
          </w:tcPr>
          <w:p w14:paraId="119EBE10"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Oui</w:t>
            </w:r>
          </w:p>
        </w:tc>
        <w:tc>
          <w:tcPr>
            <w:tcW w:w="303" w:type="pct"/>
            <w:tcBorders>
              <w:top w:val="nil"/>
              <w:left w:val="nil"/>
              <w:bottom w:val="nil"/>
              <w:right w:val="nil"/>
            </w:tcBorders>
            <w:shd w:val="clear" w:color="000000" w:fill="CAE2BC"/>
            <w:vAlign w:val="center"/>
            <w:hideMark/>
          </w:tcPr>
          <w:p w14:paraId="11EE22D0"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Terminé</w:t>
            </w:r>
          </w:p>
        </w:tc>
        <w:tc>
          <w:tcPr>
            <w:tcW w:w="727" w:type="pct"/>
            <w:tcBorders>
              <w:top w:val="nil"/>
              <w:left w:val="nil"/>
              <w:bottom w:val="nil"/>
              <w:right w:val="single" w:sz="4" w:space="0" w:color="auto"/>
            </w:tcBorders>
            <w:shd w:val="clear" w:color="000000" w:fill="CAE2BC"/>
            <w:vAlign w:val="center"/>
            <w:hideMark/>
          </w:tcPr>
          <w:p w14:paraId="77BA4579"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4"/>
                <w:szCs w:val="14"/>
              </w:rPr>
            </w:pPr>
            <w:r w:rsidRPr="004C3C03">
              <w:rPr>
                <w:rFonts w:asciiTheme="minorHAnsi" w:hAnsiTheme="minorHAnsi"/>
                <w:color w:val="auto"/>
                <w:sz w:val="14"/>
                <w:szCs w:val="14"/>
              </w:rPr>
              <w:t>Date non encore ajoutée</w:t>
            </w:r>
          </w:p>
        </w:tc>
      </w:tr>
      <w:tr w:rsidR="00E1701C" w:rsidRPr="004C3C03" w14:paraId="224F7912" w14:textId="77777777" w:rsidTr="00E1701C">
        <w:trPr>
          <w:trHeight w:val="240"/>
        </w:trPr>
        <w:tc>
          <w:tcPr>
            <w:tcW w:w="193" w:type="pct"/>
            <w:tcBorders>
              <w:top w:val="nil"/>
              <w:left w:val="single" w:sz="4" w:space="0" w:color="auto"/>
              <w:bottom w:val="nil"/>
              <w:right w:val="nil"/>
            </w:tcBorders>
            <w:shd w:val="clear" w:color="000000" w:fill="FFEAAF"/>
            <w:vAlign w:val="center"/>
            <w:hideMark/>
          </w:tcPr>
          <w:p w14:paraId="15466194"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2023</w:t>
            </w:r>
          </w:p>
        </w:tc>
        <w:tc>
          <w:tcPr>
            <w:tcW w:w="272" w:type="pct"/>
            <w:tcBorders>
              <w:top w:val="nil"/>
              <w:left w:val="nil"/>
              <w:bottom w:val="nil"/>
              <w:right w:val="nil"/>
            </w:tcBorders>
            <w:shd w:val="clear" w:color="000000" w:fill="FFEAAF"/>
            <w:vAlign w:val="center"/>
            <w:hideMark/>
          </w:tcPr>
          <w:p w14:paraId="481A2A74"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7</w:t>
            </w:r>
          </w:p>
        </w:tc>
        <w:tc>
          <w:tcPr>
            <w:tcW w:w="2094" w:type="pct"/>
            <w:tcBorders>
              <w:top w:val="nil"/>
              <w:left w:val="nil"/>
              <w:bottom w:val="nil"/>
              <w:right w:val="nil"/>
            </w:tcBorders>
            <w:shd w:val="clear" w:color="000000" w:fill="FFEAAF"/>
            <w:vAlign w:val="center"/>
            <w:hideMark/>
          </w:tcPr>
          <w:p w14:paraId="2EDB8D1E"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FF0000"/>
                <w:sz w:val="14"/>
                <w:szCs w:val="14"/>
              </w:rPr>
            </w:pPr>
            <w:r w:rsidRPr="004C3C03">
              <w:rPr>
                <w:rFonts w:asciiTheme="minorHAnsi" w:hAnsiTheme="minorHAnsi"/>
                <w:color w:val="FF0000"/>
                <w:sz w:val="14"/>
                <w:szCs w:val="14"/>
              </w:rPr>
              <w:t xml:space="preserve">Option d'annulation d'un fichier « en cours d'importation » </w:t>
            </w:r>
          </w:p>
        </w:tc>
        <w:tc>
          <w:tcPr>
            <w:tcW w:w="430" w:type="pct"/>
            <w:tcBorders>
              <w:top w:val="nil"/>
              <w:left w:val="nil"/>
              <w:bottom w:val="nil"/>
              <w:right w:val="nil"/>
            </w:tcBorders>
            <w:shd w:val="clear" w:color="000000" w:fill="FFEAAF"/>
            <w:vAlign w:val="center"/>
            <w:hideMark/>
          </w:tcPr>
          <w:p w14:paraId="37C17DBC"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Rapport annuel</w:t>
            </w:r>
          </w:p>
        </w:tc>
        <w:tc>
          <w:tcPr>
            <w:tcW w:w="291" w:type="pct"/>
            <w:tcBorders>
              <w:top w:val="nil"/>
              <w:left w:val="nil"/>
              <w:bottom w:val="nil"/>
              <w:right w:val="nil"/>
            </w:tcBorders>
            <w:shd w:val="clear" w:color="000000" w:fill="FFEAAF"/>
            <w:vAlign w:val="center"/>
            <w:hideMark/>
          </w:tcPr>
          <w:p w14:paraId="150153DD"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Élevé</w:t>
            </w:r>
          </w:p>
        </w:tc>
        <w:tc>
          <w:tcPr>
            <w:tcW w:w="283" w:type="pct"/>
            <w:tcBorders>
              <w:top w:val="nil"/>
              <w:left w:val="nil"/>
              <w:bottom w:val="nil"/>
              <w:right w:val="nil"/>
            </w:tcBorders>
            <w:shd w:val="clear" w:color="000000" w:fill="FFEAAF"/>
            <w:vAlign w:val="center"/>
            <w:hideMark/>
          </w:tcPr>
          <w:p w14:paraId="6EFB1275"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Non</w:t>
            </w:r>
          </w:p>
        </w:tc>
        <w:tc>
          <w:tcPr>
            <w:tcW w:w="407" w:type="pct"/>
            <w:tcBorders>
              <w:top w:val="nil"/>
              <w:left w:val="nil"/>
              <w:bottom w:val="nil"/>
              <w:right w:val="nil"/>
            </w:tcBorders>
            <w:shd w:val="clear" w:color="000000" w:fill="FFEAAF"/>
            <w:vAlign w:val="center"/>
            <w:hideMark/>
          </w:tcPr>
          <w:p w14:paraId="31001627"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Non</w:t>
            </w:r>
          </w:p>
        </w:tc>
        <w:tc>
          <w:tcPr>
            <w:tcW w:w="303" w:type="pct"/>
            <w:tcBorders>
              <w:top w:val="nil"/>
              <w:left w:val="nil"/>
              <w:bottom w:val="nil"/>
              <w:right w:val="nil"/>
            </w:tcBorders>
            <w:shd w:val="clear" w:color="000000" w:fill="FFEAAF"/>
            <w:vAlign w:val="center"/>
            <w:hideMark/>
          </w:tcPr>
          <w:p w14:paraId="6B5EB58D" w14:textId="70010C5F" w:rsidR="00E1701C" w:rsidRPr="004C3C03" w:rsidRDefault="00E3216F"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Abandon</w:t>
            </w:r>
          </w:p>
        </w:tc>
        <w:tc>
          <w:tcPr>
            <w:tcW w:w="727" w:type="pct"/>
            <w:tcBorders>
              <w:top w:val="nil"/>
              <w:left w:val="nil"/>
              <w:bottom w:val="nil"/>
              <w:right w:val="single" w:sz="4" w:space="0" w:color="auto"/>
            </w:tcBorders>
            <w:shd w:val="clear" w:color="000000" w:fill="FFEAAF"/>
            <w:vAlign w:val="center"/>
            <w:hideMark/>
          </w:tcPr>
          <w:p w14:paraId="2B67C4D4"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FF0000"/>
                <w:sz w:val="14"/>
                <w:szCs w:val="14"/>
              </w:rPr>
            </w:pPr>
            <w:r w:rsidRPr="004C3C03">
              <w:rPr>
                <w:rFonts w:asciiTheme="minorHAnsi" w:hAnsiTheme="minorHAnsi"/>
                <w:color w:val="FF0000"/>
                <w:sz w:val="14"/>
                <w:szCs w:val="14"/>
              </w:rPr>
              <w:t>Le versionnage l'envisage déjà</w:t>
            </w:r>
          </w:p>
        </w:tc>
      </w:tr>
      <w:tr w:rsidR="00E1701C" w:rsidRPr="004C3C03" w14:paraId="082AA774" w14:textId="77777777" w:rsidTr="00E1701C">
        <w:trPr>
          <w:trHeight w:val="480"/>
        </w:trPr>
        <w:tc>
          <w:tcPr>
            <w:tcW w:w="193" w:type="pct"/>
            <w:tcBorders>
              <w:top w:val="nil"/>
              <w:left w:val="single" w:sz="4" w:space="0" w:color="auto"/>
              <w:bottom w:val="nil"/>
              <w:right w:val="nil"/>
            </w:tcBorders>
            <w:shd w:val="clear" w:color="000000" w:fill="FFEAAF"/>
            <w:vAlign w:val="center"/>
            <w:hideMark/>
          </w:tcPr>
          <w:p w14:paraId="063D6AA6"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2023</w:t>
            </w:r>
          </w:p>
        </w:tc>
        <w:tc>
          <w:tcPr>
            <w:tcW w:w="272" w:type="pct"/>
            <w:tcBorders>
              <w:top w:val="nil"/>
              <w:left w:val="nil"/>
              <w:bottom w:val="nil"/>
              <w:right w:val="nil"/>
            </w:tcBorders>
            <w:shd w:val="clear" w:color="000000" w:fill="FFEAAF"/>
            <w:vAlign w:val="center"/>
            <w:hideMark/>
          </w:tcPr>
          <w:p w14:paraId="7D310FA2"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11</w:t>
            </w:r>
          </w:p>
        </w:tc>
        <w:tc>
          <w:tcPr>
            <w:tcW w:w="2094" w:type="pct"/>
            <w:tcBorders>
              <w:top w:val="nil"/>
              <w:left w:val="nil"/>
              <w:bottom w:val="nil"/>
              <w:right w:val="nil"/>
            </w:tcBorders>
            <w:shd w:val="clear" w:color="000000" w:fill="FFEAAF"/>
            <w:vAlign w:val="center"/>
            <w:hideMark/>
          </w:tcPr>
          <w:p w14:paraId="5E31B5EE"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FF0000"/>
                <w:sz w:val="14"/>
                <w:szCs w:val="14"/>
              </w:rPr>
            </w:pPr>
            <w:r w:rsidRPr="004C3C03">
              <w:rPr>
                <w:rFonts w:asciiTheme="minorHAnsi" w:hAnsiTheme="minorHAnsi"/>
                <w:color w:val="FF0000"/>
                <w:sz w:val="14"/>
                <w:szCs w:val="14"/>
              </w:rPr>
              <w:t xml:space="preserve">Si les exigences sont éditées manuellement par le personnel du Secrétariat à la demande de la CPC/de l’auteur de la demande initiale, est-il nécessaire de les enregistrer en tant que nouvelle version et de faire apparaître notre nom ? </w:t>
            </w:r>
          </w:p>
        </w:tc>
        <w:tc>
          <w:tcPr>
            <w:tcW w:w="430" w:type="pct"/>
            <w:tcBorders>
              <w:top w:val="nil"/>
              <w:left w:val="nil"/>
              <w:bottom w:val="nil"/>
              <w:right w:val="nil"/>
            </w:tcBorders>
            <w:shd w:val="clear" w:color="000000" w:fill="FFEAAF"/>
            <w:vAlign w:val="center"/>
            <w:hideMark/>
          </w:tcPr>
          <w:p w14:paraId="341D63DF"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Rapport annuel</w:t>
            </w:r>
          </w:p>
        </w:tc>
        <w:tc>
          <w:tcPr>
            <w:tcW w:w="291" w:type="pct"/>
            <w:tcBorders>
              <w:top w:val="nil"/>
              <w:left w:val="nil"/>
              <w:bottom w:val="nil"/>
              <w:right w:val="nil"/>
            </w:tcBorders>
            <w:shd w:val="clear" w:color="000000" w:fill="FFEAAF"/>
            <w:vAlign w:val="center"/>
            <w:hideMark/>
          </w:tcPr>
          <w:p w14:paraId="668D37E1"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Moyen</w:t>
            </w:r>
          </w:p>
        </w:tc>
        <w:tc>
          <w:tcPr>
            <w:tcW w:w="283" w:type="pct"/>
            <w:tcBorders>
              <w:top w:val="nil"/>
              <w:left w:val="nil"/>
              <w:bottom w:val="nil"/>
              <w:right w:val="nil"/>
            </w:tcBorders>
            <w:shd w:val="clear" w:color="000000" w:fill="FFEAAF"/>
            <w:vAlign w:val="center"/>
            <w:hideMark/>
          </w:tcPr>
          <w:p w14:paraId="52A592B8"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Non</w:t>
            </w:r>
          </w:p>
        </w:tc>
        <w:tc>
          <w:tcPr>
            <w:tcW w:w="407" w:type="pct"/>
            <w:tcBorders>
              <w:top w:val="nil"/>
              <w:left w:val="nil"/>
              <w:bottom w:val="nil"/>
              <w:right w:val="nil"/>
            </w:tcBorders>
            <w:shd w:val="clear" w:color="000000" w:fill="FFEAAF"/>
            <w:vAlign w:val="center"/>
            <w:hideMark/>
          </w:tcPr>
          <w:p w14:paraId="34FA90D5"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Non</w:t>
            </w:r>
          </w:p>
        </w:tc>
        <w:tc>
          <w:tcPr>
            <w:tcW w:w="303" w:type="pct"/>
            <w:tcBorders>
              <w:top w:val="nil"/>
              <w:left w:val="nil"/>
              <w:bottom w:val="nil"/>
              <w:right w:val="nil"/>
            </w:tcBorders>
            <w:shd w:val="clear" w:color="000000" w:fill="FFEAAF"/>
            <w:vAlign w:val="center"/>
            <w:hideMark/>
          </w:tcPr>
          <w:p w14:paraId="0B931C1D" w14:textId="25B5637E" w:rsidR="00E1701C" w:rsidRPr="004C3C03" w:rsidRDefault="00E3216F"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Abandon</w:t>
            </w:r>
          </w:p>
        </w:tc>
        <w:tc>
          <w:tcPr>
            <w:tcW w:w="727" w:type="pct"/>
            <w:tcBorders>
              <w:top w:val="nil"/>
              <w:left w:val="nil"/>
              <w:bottom w:val="nil"/>
              <w:right w:val="single" w:sz="4" w:space="0" w:color="auto"/>
            </w:tcBorders>
            <w:shd w:val="clear" w:color="000000" w:fill="FFEAAF"/>
            <w:vAlign w:val="center"/>
            <w:hideMark/>
          </w:tcPr>
          <w:p w14:paraId="25AA4B1F"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FF0000"/>
                <w:sz w:val="14"/>
                <w:szCs w:val="14"/>
              </w:rPr>
            </w:pPr>
            <w:r w:rsidRPr="004C3C03">
              <w:rPr>
                <w:rFonts w:asciiTheme="minorHAnsi" w:hAnsiTheme="minorHAnsi"/>
                <w:color w:val="FF0000"/>
                <w:sz w:val="14"/>
                <w:szCs w:val="14"/>
              </w:rPr>
              <w:t>Traçabilité nécessaire dans tous les cas</w:t>
            </w:r>
          </w:p>
        </w:tc>
      </w:tr>
      <w:tr w:rsidR="00E1701C" w:rsidRPr="004C3C03" w14:paraId="4C981EDD" w14:textId="77777777" w:rsidTr="00E1701C">
        <w:trPr>
          <w:trHeight w:val="480"/>
        </w:trPr>
        <w:tc>
          <w:tcPr>
            <w:tcW w:w="193" w:type="pct"/>
            <w:tcBorders>
              <w:top w:val="nil"/>
              <w:left w:val="single" w:sz="4" w:space="0" w:color="auto"/>
              <w:bottom w:val="nil"/>
              <w:right w:val="nil"/>
            </w:tcBorders>
            <w:vAlign w:val="center"/>
            <w:hideMark/>
          </w:tcPr>
          <w:p w14:paraId="45353859"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2024</w:t>
            </w:r>
          </w:p>
        </w:tc>
        <w:tc>
          <w:tcPr>
            <w:tcW w:w="272" w:type="pct"/>
            <w:tcBorders>
              <w:top w:val="nil"/>
              <w:left w:val="nil"/>
              <w:bottom w:val="nil"/>
              <w:right w:val="nil"/>
            </w:tcBorders>
            <w:vAlign w:val="center"/>
            <w:hideMark/>
          </w:tcPr>
          <w:p w14:paraId="25BF8F5E"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12</w:t>
            </w:r>
          </w:p>
        </w:tc>
        <w:tc>
          <w:tcPr>
            <w:tcW w:w="2094" w:type="pct"/>
            <w:tcBorders>
              <w:top w:val="nil"/>
              <w:left w:val="nil"/>
              <w:bottom w:val="nil"/>
              <w:right w:val="nil"/>
            </w:tcBorders>
            <w:vAlign w:val="center"/>
            <w:hideMark/>
          </w:tcPr>
          <w:p w14:paraId="40EBC53E" w14:textId="5BB65BD5"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4"/>
                <w:szCs w:val="14"/>
              </w:rPr>
            </w:pPr>
            <w:r w:rsidRPr="004C3C03">
              <w:rPr>
                <w:rFonts w:asciiTheme="minorHAnsi" w:hAnsiTheme="minorHAnsi"/>
                <w:color w:val="auto"/>
                <w:sz w:val="14"/>
                <w:szCs w:val="14"/>
              </w:rPr>
              <w:t>Questions discriminatoires pour répondre automatiquement aux exigences du rapport annuel (y compris l'élaboration de profils CPC)</w:t>
            </w:r>
          </w:p>
        </w:tc>
        <w:tc>
          <w:tcPr>
            <w:tcW w:w="430" w:type="pct"/>
            <w:tcBorders>
              <w:top w:val="nil"/>
              <w:left w:val="nil"/>
              <w:bottom w:val="nil"/>
              <w:right w:val="nil"/>
            </w:tcBorders>
            <w:vAlign w:val="center"/>
            <w:hideMark/>
          </w:tcPr>
          <w:p w14:paraId="2FFAA8ED"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Rapport annuel</w:t>
            </w:r>
          </w:p>
        </w:tc>
        <w:tc>
          <w:tcPr>
            <w:tcW w:w="291" w:type="pct"/>
            <w:tcBorders>
              <w:top w:val="nil"/>
              <w:left w:val="nil"/>
              <w:bottom w:val="nil"/>
              <w:right w:val="nil"/>
            </w:tcBorders>
            <w:vAlign w:val="center"/>
            <w:hideMark/>
          </w:tcPr>
          <w:p w14:paraId="3E2F57ED"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Élevé</w:t>
            </w:r>
          </w:p>
        </w:tc>
        <w:tc>
          <w:tcPr>
            <w:tcW w:w="283" w:type="pct"/>
            <w:tcBorders>
              <w:top w:val="nil"/>
              <w:left w:val="nil"/>
              <w:bottom w:val="nil"/>
              <w:right w:val="nil"/>
            </w:tcBorders>
            <w:vAlign w:val="center"/>
            <w:hideMark/>
          </w:tcPr>
          <w:p w14:paraId="394CF20B"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Oui</w:t>
            </w:r>
          </w:p>
        </w:tc>
        <w:tc>
          <w:tcPr>
            <w:tcW w:w="407" w:type="pct"/>
            <w:tcBorders>
              <w:top w:val="nil"/>
              <w:left w:val="nil"/>
              <w:bottom w:val="nil"/>
              <w:right w:val="nil"/>
            </w:tcBorders>
            <w:vAlign w:val="center"/>
            <w:hideMark/>
          </w:tcPr>
          <w:p w14:paraId="57EE6CC2"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Oui</w:t>
            </w:r>
          </w:p>
        </w:tc>
        <w:tc>
          <w:tcPr>
            <w:tcW w:w="303" w:type="pct"/>
            <w:tcBorders>
              <w:top w:val="nil"/>
              <w:left w:val="nil"/>
              <w:bottom w:val="nil"/>
              <w:right w:val="nil"/>
            </w:tcBorders>
            <w:vAlign w:val="center"/>
            <w:hideMark/>
          </w:tcPr>
          <w:p w14:paraId="70CF235E"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À l’étude</w:t>
            </w:r>
          </w:p>
        </w:tc>
        <w:tc>
          <w:tcPr>
            <w:tcW w:w="727" w:type="pct"/>
            <w:tcBorders>
              <w:top w:val="nil"/>
              <w:left w:val="nil"/>
              <w:bottom w:val="nil"/>
              <w:right w:val="single" w:sz="4" w:space="0" w:color="auto"/>
            </w:tcBorders>
            <w:vAlign w:val="center"/>
            <w:hideMark/>
          </w:tcPr>
          <w:p w14:paraId="558CC5A2"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4"/>
                <w:szCs w:val="14"/>
              </w:rPr>
            </w:pPr>
            <w:r w:rsidRPr="004C3C03">
              <w:rPr>
                <w:rFonts w:asciiTheme="minorHAnsi" w:hAnsiTheme="minorHAnsi"/>
                <w:color w:val="auto"/>
                <w:sz w:val="14"/>
                <w:szCs w:val="14"/>
              </w:rPr>
              <w:t>Étudier/créer comment les profils de CPC peuvent contribuer au remplissage automatique des rapports annuels.</w:t>
            </w:r>
          </w:p>
        </w:tc>
      </w:tr>
      <w:tr w:rsidR="00E1701C" w:rsidRPr="004C3C03" w14:paraId="4C61B700" w14:textId="77777777" w:rsidTr="00E1701C">
        <w:trPr>
          <w:trHeight w:val="240"/>
        </w:trPr>
        <w:tc>
          <w:tcPr>
            <w:tcW w:w="193" w:type="pct"/>
            <w:tcBorders>
              <w:top w:val="nil"/>
              <w:left w:val="single" w:sz="4" w:space="0" w:color="auto"/>
              <w:bottom w:val="nil"/>
              <w:right w:val="nil"/>
            </w:tcBorders>
            <w:vAlign w:val="center"/>
            <w:hideMark/>
          </w:tcPr>
          <w:p w14:paraId="0ECE9FCE"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2024</w:t>
            </w:r>
          </w:p>
        </w:tc>
        <w:tc>
          <w:tcPr>
            <w:tcW w:w="272" w:type="pct"/>
            <w:tcBorders>
              <w:top w:val="nil"/>
              <w:left w:val="nil"/>
              <w:bottom w:val="nil"/>
              <w:right w:val="nil"/>
            </w:tcBorders>
            <w:vAlign w:val="center"/>
            <w:hideMark/>
          </w:tcPr>
          <w:p w14:paraId="27D5497A"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13</w:t>
            </w:r>
          </w:p>
        </w:tc>
        <w:tc>
          <w:tcPr>
            <w:tcW w:w="2094" w:type="pct"/>
            <w:tcBorders>
              <w:top w:val="nil"/>
              <w:left w:val="nil"/>
              <w:bottom w:val="nil"/>
              <w:right w:val="nil"/>
            </w:tcBorders>
            <w:vAlign w:val="center"/>
            <w:hideMark/>
          </w:tcPr>
          <w:p w14:paraId="3C70842B"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4"/>
                <w:szCs w:val="14"/>
              </w:rPr>
            </w:pPr>
            <w:r w:rsidRPr="004C3C03">
              <w:rPr>
                <w:rFonts w:asciiTheme="minorHAnsi" w:hAnsiTheme="minorHAnsi"/>
                <w:color w:val="auto"/>
                <w:sz w:val="14"/>
                <w:szCs w:val="14"/>
              </w:rPr>
              <w:t>Réviser les réponses standard</w:t>
            </w:r>
          </w:p>
        </w:tc>
        <w:tc>
          <w:tcPr>
            <w:tcW w:w="430" w:type="pct"/>
            <w:tcBorders>
              <w:top w:val="nil"/>
              <w:left w:val="nil"/>
              <w:bottom w:val="nil"/>
              <w:right w:val="nil"/>
            </w:tcBorders>
            <w:vAlign w:val="center"/>
            <w:hideMark/>
          </w:tcPr>
          <w:p w14:paraId="438B3DF6"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Rapport annuel</w:t>
            </w:r>
          </w:p>
        </w:tc>
        <w:tc>
          <w:tcPr>
            <w:tcW w:w="291" w:type="pct"/>
            <w:tcBorders>
              <w:top w:val="nil"/>
              <w:left w:val="nil"/>
              <w:bottom w:val="nil"/>
              <w:right w:val="nil"/>
            </w:tcBorders>
            <w:vAlign w:val="center"/>
            <w:hideMark/>
          </w:tcPr>
          <w:p w14:paraId="4FD4E620"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Élevé</w:t>
            </w:r>
          </w:p>
        </w:tc>
        <w:tc>
          <w:tcPr>
            <w:tcW w:w="283" w:type="pct"/>
            <w:tcBorders>
              <w:top w:val="nil"/>
              <w:left w:val="nil"/>
              <w:bottom w:val="nil"/>
              <w:right w:val="nil"/>
            </w:tcBorders>
            <w:vAlign w:val="center"/>
            <w:hideMark/>
          </w:tcPr>
          <w:p w14:paraId="358D38B6"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Oui</w:t>
            </w:r>
          </w:p>
        </w:tc>
        <w:tc>
          <w:tcPr>
            <w:tcW w:w="407" w:type="pct"/>
            <w:tcBorders>
              <w:top w:val="nil"/>
              <w:left w:val="nil"/>
              <w:bottom w:val="nil"/>
              <w:right w:val="nil"/>
            </w:tcBorders>
            <w:vAlign w:val="center"/>
            <w:hideMark/>
          </w:tcPr>
          <w:p w14:paraId="05C564DA"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Oui</w:t>
            </w:r>
          </w:p>
        </w:tc>
        <w:tc>
          <w:tcPr>
            <w:tcW w:w="303" w:type="pct"/>
            <w:tcBorders>
              <w:top w:val="nil"/>
              <w:left w:val="nil"/>
              <w:bottom w:val="nil"/>
              <w:right w:val="nil"/>
            </w:tcBorders>
            <w:vAlign w:val="center"/>
            <w:hideMark/>
          </w:tcPr>
          <w:p w14:paraId="00BAC4A8"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En cours</w:t>
            </w:r>
          </w:p>
        </w:tc>
        <w:tc>
          <w:tcPr>
            <w:tcW w:w="727" w:type="pct"/>
            <w:tcBorders>
              <w:top w:val="nil"/>
              <w:left w:val="nil"/>
              <w:bottom w:val="nil"/>
              <w:right w:val="single" w:sz="4" w:space="0" w:color="auto"/>
            </w:tcBorders>
            <w:vAlign w:val="center"/>
            <w:hideMark/>
          </w:tcPr>
          <w:p w14:paraId="1817231F"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4"/>
                <w:szCs w:val="14"/>
              </w:rPr>
            </w:pPr>
            <w:r w:rsidRPr="004C3C03">
              <w:rPr>
                <w:rFonts w:asciiTheme="minorHAnsi" w:hAnsiTheme="minorHAnsi"/>
                <w:color w:val="auto"/>
                <w:sz w:val="14"/>
                <w:szCs w:val="14"/>
              </w:rPr>
              <w:t> </w:t>
            </w:r>
          </w:p>
        </w:tc>
      </w:tr>
      <w:tr w:rsidR="00E1701C" w:rsidRPr="004C3C03" w14:paraId="1694ABAE" w14:textId="77777777" w:rsidTr="00E1701C">
        <w:trPr>
          <w:trHeight w:val="240"/>
        </w:trPr>
        <w:tc>
          <w:tcPr>
            <w:tcW w:w="193" w:type="pct"/>
            <w:tcBorders>
              <w:top w:val="nil"/>
              <w:left w:val="single" w:sz="4" w:space="0" w:color="auto"/>
              <w:bottom w:val="nil"/>
              <w:right w:val="nil"/>
            </w:tcBorders>
            <w:vAlign w:val="center"/>
            <w:hideMark/>
          </w:tcPr>
          <w:p w14:paraId="20B85521"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2024</w:t>
            </w:r>
          </w:p>
        </w:tc>
        <w:tc>
          <w:tcPr>
            <w:tcW w:w="272" w:type="pct"/>
            <w:tcBorders>
              <w:top w:val="nil"/>
              <w:left w:val="nil"/>
              <w:bottom w:val="nil"/>
              <w:right w:val="nil"/>
            </w:tcBorders>
            <w:vAlign w:val="center"/>
            <w:hideMark/>
          </w:tcPr>
          <w:p w14:paraId="5AA685CA"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15</w:t>
            </w:r>
          </w:p>
        </w:tc>
        <w:tc>
          <w:tcPr>
            <w:tcW w:w="2094" w:type="pct"/>
            <w:tcBorders>
              <w:top w:val="nil"/>
              <w:left w:val="nil"/>
              <w:bottom w:val="nil"/>
              <w:right w:val="nil"/>
            </w:tcBorders>
            <w:vAlign w:val="center"/>
            <w:hideMark/>
          </w:tcPr>
          <w:p w14:paraId="41677611"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4"/>
                <w:szCs w:val="14"/>
              </w:rPr>
            </w:pPr>
            <w:r w:rsidRPr="004C3C03">
              <w:rPr>
                <w:rFonts w:asciiTheme="minorHAnsi" w:hAnsiTheme="minorHAnsi"/>
                <w:color w:val="auto"/>
                <w:sz w:val="14"/>
                <w:szCs w:val="14"/>
              </w:rPr>
              <w:t>Modifier/Ajouter le rapport annuel complet (pas seulement la section 3)</w:t>
            </w:r>
          </w:p>
        </w:tc>
        <w:tc>
          <w:tcPr>
            <w:tcW w:w="430" w:type="pct"/>
            <w:tcBorders>
              <w:top w:val="nil"/>
              <w:left w:val="nil"/>
              <w:bottom w:val="nil"/>
              <w:right w:val="nil"/>
            </w:tcBorders>
            <w:vAlign w:val="center"/>
            <w:hideMark/>
          </w:tcPr>
          <w:p w14:paraId="3929424B"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Rapport annuel</w:t>
            </w:r>
          </w:p>
        </w:tc>
        <w:tc>
          <w:tcPr>
            <w:tcW w:w="291" w:type="pct"/>
            <w:tcBorders>
              <w:top w:val="nil"/>
              <w:left w:val="nil"/>
              <w:bottom w:val="nil"/>
              <w:right w:val="nil"/>
            </w:tcBorders>
            <w:vAlign w:val="center"/>
            <w:hideMark/>
          </w:tcPr>
          <w:p w14:paraId="7EE10219"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Moyen</w:t>
            </w:r>
          </w:p>
        </w:tc>
        <w:tc>
          <w:tcPr>
            <w:tcW w:w="283" w:type="pct"/>
            <w:tcBorders>
              <w:top w:val="nil"/>
              <w:left w:val="nil"/>
              <w:bottom w:val="nil"/>
              <w:right w:val="nil"/>
            </w:tcBorders>
            <w:vAlign w:val="center"/>
            <w:hideMark/>
          </w:tcPr>
          <w:p w14:paraId="191A6488"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Oui</w:t>
            </w:r>
          </w:p>
        </w:tc>
        <w:tc>
          <w:tcPr>
            <w:tcW w:w="407" w:type="pct"/>
            <w:tcBorders>
              <w:top w:val="nil"/>
              <w:left w:val="nil"/>
              <w:bottom w:val="nil"/>
              <w:right w:val="nil"/>
            </w:tcBorders>
            <w:vAlign w:val="center"/>
            <w:hideMark/>
          </w:tcPr>
          <w:p w14:paraId="248F7B2B"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Oui</w:t>
            </w:r>
          </w:p>
        </w:tc>
        <w:tc>
          <w:tcPr>
            <w:tcW w:w="303" w:type="pct"/>
            <w:tcBorders>
              <w:top w:val="nil"/>
              <w:left w:val="nil"/>
              <w:bottom w:val="nil"/>
              <w:right w:val="nil"/>
            </w:tcBorders>
            <w:vAlign w:val="center"/>
            <w:hideMark/>
          </w:tcPr>
          <w:p w14:paraId="2F74D838"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À l’étude</w:t>
            </w:r>
          </w:p>
        </w:tc>
        <w:tc>
          <w:tcPr>
            <w:tcW w:w="727" w:type="pct"/>
            <w:tcBorders>
              <w:top w:val="nil"/>
              <w:left w:val="nil"/>
              <w:bottom w:val="nil"/>
              <w:right w:val="single" w:sz="4" w:space="0" w:color="auto"/>
            </w:tcBorders>
            <w:vAlign w:val="center"/>
            <w:hideMark/>
          </w:tcPr>
          <w:p w14:paraId="3097ADA4"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4"/>
                <w:szCs w:val="14"/>
              </w:rPr>
            </w:pPr>
            <w:r w:rsidRPr="004C3C03">
              <w:rPr>
                <w:rFonts w:asciiTheme="minorHAnsi" w:hAnsiTheme="minorHAnsi"/>
                <w:color w:val="auto"/>
                <w:sz w:val="14"/>
                <w:szCs w:val="14"/>
              </w:rPr>
              <w:t> </w:t>
            </w:r>
          </w:p>
        </w:tc>
      </w:tr>
      <w:tr w:rsidR="00E1701C" w:rsidRPr="004C3C03" w14:paraId="4474872C" w14:textId="77777777" w:rsidTr="00E1701C">
        <w:trPr>
          <w:trHeight w:val="240"/>
        </w:trPr>
        <w:tc>
          <w:tcPr>
            <w:tcW w:w="193" w:type="pct"/>
            <w:tcBorders>
              <w:top w:val="nil"/>
              <w:left w:val="single" w:sz="4" w:space="0" w:color="auto"/>
              <w:bottom w:val="nil"/>
              <w:right w:val="nil"/>
            </w:tcBorders>
            <w:vAlign w:val="center"/>
            <w:hideMark/>
          </w:tcPr>
          <w:p w14:paraId="3B29233E"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2024</w:t>
            </w:r>
          </w:p>
        </w:tc>
        <w:tc>
          <w:tcPr>
            <w:tcW w:w="272" w:type="pct"/>
            <w:tcBorders>
              <w:top w:val="nil"/>
              <w:left w:val="nil"/>
              <w:bottom w:val="nil"/>
              <w:right w:val="nil"/>
            </w:tcBorders>
            <w:vAlign w:val="center"/>
            <w:hideMark/>
          </w:tcPr>
          <w:p w14:paraId="3439CB67"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17</w:t>
            </w:r>
          </w:p>
        </w:tc>
        <w:tc>
          <w:tcPr>
            <w:tcW w:w="2094" w:type="pct"/>
            <w:tcBorders>
              <w:top w:val="nil"/>
              <w:left w:val="nil"/>
              <w:bottom w:val="nil"/>
              <w:right w:val="nil"/>
            </w:tcBorders>
            <w:vAlign w:val="center"/>
            <w:hideMark/>
          </w:tcPr>
          <w:p w14:paraId="283D0C01"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4"/>
                <w:szCs w:val="14"/>
              </w:rPr>
            </w:pPr>
            <w:r w:rsidRPr="004C3C03">
              <w:rPr>
                <w:rFonts w:asciiTheme="minorHAnsi" w:hAnsiTheme="minorHAnsi"/>
                <w:color w:val="auto"/>
                <w:sz w:val="14"/>
                <w:szCs w:val="14"/>
              </w:rPr>
              <w:t>Remplissage automatique du rapport annuel sur la base de la soumission des formulaires (uniquement les exigences spécifiques)</w:t>
            </w:r>
          </w:p>
        </w:tc>
        <w:tc>
          <w:tcPr>
            <w:tcW w:w="430" w:type="pct"/>
            <w:tcBorders>
              <w:top w:val="nil"/>
              <w:left w:val="nil"/>
              <w:bottom w:val="nil"/>
              <w:right w:val="nil"/>
            </w:tcBorders>
            <w:vAlign w:val="center"/>
            <w:hideMark/>
          </w:tcPr>
          <w:p w14:paraId="4902572F"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Gestionnaire de formulaires</w:t>
            </w:r>
          </w:p>
        </w:tc>
        <w:tc>
          <w:tcPr>
            <w:tcW w:w="291" w:type="pct"/>
            <w:tcBorders>
              <w:top w:val="nil"/>
              <w:left w:val="nil"/>
              <w:bottom w:val="nil"/>
              <w:right w:val="nil"/>
            </w:tcBorders>
            <w:vAlign w:val="center"/>
            <w:hideMark/>
          </w:tcPr>
          <w:p w14:paraId="79D77139"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Élevé</w:t>
            </w:r>
          </w:p>
        </w:tc>
        <w:tc>
          <w:tcPr>
            <w:tcW w:w="283" w:type="pct"/>
            <w:tcBorders>
              <w:top w:val="nil"/>
              <w:left w:val="nil"/>
              <w:bottom w:val="nil"/>
              <w:right w:val="nil"/>
            </w:tcBorders>
            <w:vAlign w:val="center"/>
            <w:hideMark/>
          </w:tcPr>
          <w:p w14:paraId="591F9F07"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Oui</w:t>
            </w:r>
          </w:p>
        </w:tc>
        <w:tc>
          <w:tcPr>
            <w:tcW w:w="407" w:type="pct"/>
            <w:tcBorders>
              <w:top w:val="nil"/>
              <w:left w:val="nil"/>
              <w:bottom w:val="nil"/>
              <w:right w:val="nil"/>
            </w:tcBorders>
            <w:vAlign w:val="center"/>
            <w:hideMark/>
          </w:tcPr>
          <w:p w14:paraId="2D24AB2F"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Oui</w:t>
            </w:r>
          </w:p>
        </w:tc>
        <w:tc>
          <w:tcPr>
            <w:tcW w:w="303" w:type="pct"/>
            <w:tcBorders>
              <w:top w:val="nil"/>
              <w:left w:val="nil"/>
              <w:bottom w:val="nil"/>
              <w:right w:val="nil"/>
            </w:tcBorders>
            <w:vAlign w:val="center"/>
            <w:hideMark/>
          </w:tcPr>
          <w:p w14:paraId="72C7E32B"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En cours</w:t>
            </w:r>
          </w:p>
        </w:tc>
        <w:tc>
          <w:tcPr>
            <w:tcW w:w="727" w:type="pct"/>
            <w:tcBorders>
              <w:top w:val="nil"/>
              <w:left w:val="nil"/>
              <w:bottom w:val="nil"/>
              <w:right w:val="single" w:sz="4" w:space="0" w:color="auto"/>
            </w:tcBorders>
            <w:vAlign w:val="center"/>
            <w:hideMark/>
          </w:tcPr>
          <w:p w14:paraId="7962D231"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4"/>
                <w:szCs w:val="14"/>
              </w:rPr>
            </w:pPr>
            <w:r w:rsidRPr="004C3C03">
              <w:rPr>
                <w:rFonts w:asciiTheme="minorHAnsi" w:hAnsiTheme="minorHAnsi"/>
                <w:color w:val="auto"/>
                <w:sz w:val="14"/>
                <w:szCs w:val="14"/>
              </w:rPr>
              <w:t> </w:t>
            </w:r>
          </w:p>
        </w:tc>
      </w:tr>
      <w:tr w:rsidR="00E1701C" w:rsidRPr="004C3C03" w14:paraId="4763F0AC" w14:textId="77777777" w:rsidTr="00E1701C">
        <w:trPr>
          <w:trHeight w:val="240"/>
        </w:trPr>
        <w:tc>
          <w:tcPr>
            <w:tcW w:w="193" w:type="pct"/>
            <w:tcBorders>
              <w:top w:val="nil"/>
              <w:left w:val="single" w:sz="4" w:space="0" w:color="auto"/>
              <w:bottom w:val="nil"/>
              <w:right w:val="nil"/>
            </w:tcBorders>
            <w:vAlign w:val="center"/>
            <w:hideMark/>
          </w:tcPr>
          <w:p w14:paraId="67C01681"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2024</w:t>
            </w:r>
          </w:p>
        </w:tc>
        <w:tc>
          <w:tcPr>
            <w:tcW w:w="272" w:type="pct"/>
            <w:tcBorders>
              <w:top w:val="nil"/>
              <w:left w:val="nil"/>
              <w:bottom w:val="nil"/>
              <w:right w:val="nil"/>
            </w:tcBorders>
            <w:vAlign w:val="center"/>
            <w:hideMark/>
          </w:tcPr>
          <w:p w14:paraId="4F2C4C3F"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18</w:t>
            </w:r>
          </w:p>
        </w:tc>
        <w:tc>
          <w:tcPr>
            <w:tcW w:w="2094" w:type="pct"/>
            <w:tcBorders>
              <w:top w:val="nil"/>
              <w:left w:val="nil"/>
              <w:bottom w:val="nil"/>
              <w:right w:val="nil"/>
            </w:tcBorders>
            <w:vAlign w:val="center"/>
            <w:hideMark/>
          </w:tcPr>
          <w:p w14:paraId="7175F09D"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4"/>
                <w:szCs w:val="14"/>
              </w:rPr>
            </w:pPr>
            <w:r w:rsidRPr="004C3C03">
              <w:rPr>
                <w:rFonts w:asciiTheme="minorHAnsi" w:hAnsiTheme="minorHAnsi"/>
                <w:color w:val="auto"/>
                <w:sz w:val="14"/>
                <w:szCs w:val="14"/>
              </w:rPr>
              <w:t>Rappels automatisés aux CPC pour les informer de la proximité des échéances (remplace 3)</w:t>
            </w:r>
          </w:p>
        </w:tc>
        <w:tc>
          <w:tcPr>
            <w:tcW w:w="430" w:type="pct"/>
            <w:tcBorders>
              <w:top w:val="nil"/>
              <w:left w:val="nil"/>
              <w:bottom w:val="nil"/>
              <w:right w:val="nil"/>
            </w:tcBorders>
            <w:vAlign w:val="center"/>
            <w:hideMark/>
          </w:tcPr>
          <w:p w14:paraId="549CAE2C"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Rapport annuel</w:t>
            </w:r>
          </w:p>
        </w:tc>
        <w:tc>
          <w:tcPr>
            <w:tcW w:w="291" w:type="pct"/>
            <w:tcBorders>
              <w:top w:val="nil"/>
              <w:left w:val="nil"/>
              <w:bottom w:val="nil"/>
              <w:right w:val="nil"/>
            </w:tcBorders>
            <w:vAlign w:val="center"/>
            <w:hideMark/>
          </w:tcPr>
          <w:p w14:paraId="19D2A0A2"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Moyen</w:t>
            </w:r>
          </w:p>
        </w:tc>
        <w:tc>
          <w:tcPr>
            <w:tcW w:w="283" w:type="pct"/>
            <w:tcBorders>
              <w:top w:val="nil"/>
              <w:left w:val="nil"/>
              <w:bottom w:val="nil"/>
              <w:right w:val="nil"/>
            </w:tcBorders>
            <w:vAlign w:val="center"/>
            <w:hideMark/>
          </w:tcPr>
          <w:p w14:paraId="406927BD"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Oui</w:t>
            </w:r>
          </w:p>
        </w:tc>
        <w:tc>
          <w:tcPr>
            <w:tcW w:w="407" w:type="pct"/>
            <w:tcBorders>
              <w:top w:val="nil"/>
              <w:left w:val="nil"/>
              <w:bottom w:val="nil"/>
              <w:right w:val="nil"/>
            </w:tcBorders>
            <w:vAlign w:val="center"/>
            <w:hideMark/>
          </w:tcPr>
          <w:p w14:paraId="1D26630A"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Oui</w:t>
            </w:r>
          </w:p>
        </w:tc>
        <w:tc>
          <w:tcPr>
            <w:tcW w:w="303" w:type="pct"/>
            <w:tcBorders>
              <w:top w:val="nil"/>
              <w:left w:val="nil"/>
              <w:bottom w:val="nil"/>
              <w:right w:val="nil"/>
            </w:tcBorders>
            <w:vAlign w:val="center"/>
            <w:hideMark/>
          </w:tcPr>
          <w:p w14:paraId="64B24741"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4"/>
                <w:szCs w:val="14"/>
              </w:rPr>
            </w:pPr>
            <w:r w:rsidRPr="004C3C03">
              <w:rPr>
                <w:rFonts w:asciiTheme="minorHAnsi" w:hAnsiTheme="minorHAnsi"/>
                <w:color w:val="auto"/>
                <w:sz w:val="14"/>
                <w:szCs w:val="14"/>
              </w:rPr>
              <w:t>En cours</w:t>
            </w:r>
          </w:p>
        </w:tc>
        <w:tc>
          <w:tcPr>
            <w:tcW w:w="727" w:type="pct"/>
            <w:tcBorders>
              <w:top w:val="nil"/>
              <w:left w:val="nil"/>
              <w:bottom w:val="nil"/>
              <w:right w:val="single" w:sz="4" w:space="0" w:color="auto"/>
            </w:tcBorders>
            <w:vAlign w:val="center"/>
            <w:hideMark/>
          </w:tcPr>
          <w:p w14:paraId="2664738A"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4"/>
                <w:szCs w:val="14"/>
              </w:rPr>
            </w:pPr>
            <w:r w:rsidRPr="004C3C03">
              <w:rPr>
                <w:rFonts w:asciiTheme="minorHAnsi" w:hAnsiTheme="minorHAnsi"/>
                <w:color w:val="auto"/>
                <w:sz w:val="14"/>
                <w:szCs w:val="14"/>
              </w:rPr>
              <w:t> </w:t>
            </w:r>
          </w:p>
        </w:tc>
      </w:tr>
      <w:tr w:rsidR="00E1701C" w:rsidRPr="004C3C03" w14:paraId="15ED1D19" w14:textId="77777777" w:rsidTr="00E1701C">
        <w:trPr>
          <w:trHeight w:val="590"/>
        </w:trPr>
        <w:tc>
          <w:tcPr>
            <w:tcW w:w="193" w:type="pct"/>
            <w:tcBorders>
              <w:top w:val="nil"/>
              <w:left w:val="single" w:sz="4" w:space="0" w:color="auto"/>
              <w:bottom w:val="nil"/>
              <w:right w:val="nil"/>
            </w:tcBorders>
            <w:vAlign w:val="center"/>
            <w:hideMark/>
          </w:tcPr>
          <w:p w14:paraId="0697CD07"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2025</w:t>
            </w:r>
          </w:p>
        </w:tc>
        <w:tc>
          <w:tcPr>
            <w:tcW w:w="272" w:type="pct"/>
            <w:tcBorders>
              <w:top w:val="nil"/>
              <w:left w:val="nil"/>
              <w:bottom w:val="nil"/>
              <w:right w:val="nil"/>
            </w:tcBorders>
            <w:vAlign w:val="center"/>
            <w:hideMark/>
          </w:tcPr>
          <w:p w14:paraId="08A1362D"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19</w:t>
            </w:r>
          </w:p>
        </w:tc>
        <w:tc>
          <w:tcPr>
            <w:tcW w:w="2094" w:type="pct"/>
            <w:tcBorders>
              <w:top w:val="nil"/>
              <w:left w:val="nil"/>
              <w:bottom w:val="nil"/>
              <w:right w:val="nil"/>
            </w:tcBorders>
            <w:vAlign w:val="center"/>
            <w:hideMark/>
          </w:tcPr>
          <w:p w14:paraId="2BA80B67"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L'IOMS conservera en interne les textes des recommandations, y compris les paragraphes et les sous-paragraphes. De cette façon, il y aura des liens vers des textes spécifiques dans les différents modules qui le composent.</w:t>
            </w:r>
          </w:p>
        </w:tc>
        <w:tc>
          <w:tcPr>
            <w:tcW w:w="430" w:type="pct"/>
            <w:tcBorders>
              <w:top w:val="nil"/>
              <w:left w:val="nil"/>
              <w:bottom w:val="nil"/>
              <w:right w:val="nil"/>
            </w:tcBorders>
            <w:vAlign w:val="center"/>
            <w:hideMark/>
          </w:tcPr>
          <w:p w14:paraId="68CA4AF4"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Noyau</w:t>
            </w:r>
          </w:p>
        </w:tc>
        <w:tc>
          <w:tcPr>
            <w:tcW w:w="291" w:type="pct"/>
            <w:tcBorders>
              <w:top w:val="nil"/>
              <w:left w:val="nil"/>
              <w:bottom w:val="nil"/>
              <w:right w:val="nil"/>
            </w:tcBorders>
            <w:vAlign w:val="center"/>
            <w:hideMark/>
          </w:tcPr>
          <w:p w14:paraId="33AA58FE"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Moyen</w:t>
            </w:r>
          </w:p>
        </w:tc>
        <w:tc>
          <w:tcPr>
            <w:tcW w:w="283" w:type="pct"/>
            <w:tcBorders>
              <w:top w:val="nil"/>
              <w:left w:val="nil"/>
              <w:bottom w:val="nil"/>
              <w:right w:val="nil"/>
            </w:tcBorders>
            <w:vAlign w:val="center"/>
            <w:hideMark/>
          </w:tcPr>
          <w:p w14:paraId="2924E6C2"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lang w:eastAsia="en-GB"/>
              </w:rPr>
            </w:pPr>
          </w:p>
        </w:tc>
        <w:tc>
          <w:tcPr>
            <w:tcW w:w="407" w:type="pct"/>
            <w:tcBorders>
              <w:top w:val="nil"/>
              <w:left w:val="nil"/>
              <w:bottom w:val="nil"/>
              <w:right w:val="nil"/>
            </w:tcBorders>
            <w:vAlign w:val="center"/>
            <w:hideMark/>
          </w:tcPr>
          <w:p w14:paraId="07B57C31"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imes New Roman"/>
                <w:color w:val="auto"/>
                <w:sz w:val="14"/>
                <w:szCs w:val="14"/>
                <w:lang w:eastAsia="en-GB"/>
              </w:rPr>
            </w:pPr>
          </w:p>
        </w:tc>
        <w:tc>
          <w:tcPr>
            <w:tcW w:w="303" w:type="pct"/>
            <w:tcBorders>
              <w:top w:val="nil"/>
              <w:left w:val="nil"/>
              <w:bottom w:val="nil"/>
              <w:right w:val="nil"/>
            </w:tcBorders>
            <w:vAlign w:val="center"/>
            <w:hideMark/>
          </w:tcPr>
          <w:p w14:paraId="586A23DD"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À l’étude</w:t>
            </w:r>
          </w:p>
        </w:tc>
        <w:tc>
          <w:tcPr>
            <w:tcW w:w="727" w:type="pct"/>
            <w:tcBorders>
              <w:top w:val="nil"/>
              <w:left w:val="nil"/>
              <w:bottom w:val="nil"/>
              <w:right w:val="single" w:sz="4" w:space="0" w:color="auto"/>
            </w:tcBorders>
            <w:vAlign w:val="center"/>
            <w:hideMark/>
          </w:tcPr>
          <w:p w14:paraId="7AEEBABC"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Lié aux feuilles de contrôle</w:t>
            </w:r>
          </w:p>
        </w:tc>
      </w:tr>
      <w:tr w:rsidR="00E1701C" w:rsidRPr="004C3C03" w14:paraId="362993BB" w14:textId="77777777" w:rsidTr="00E1701C">
        <w:trPr>
          <w:trHeight w:val="240"/>
        </w:trPr>
        <w:tc>
          <w:tcPr>
            <w:tcW w:w="193" w:type="pct"/>
            <w:tcBorders>
              <w:top w:val="nil"/>
              <w:left w:val="single" w:sz="4" w:space="0" w:color="auto"/>
              <w:bottom w:val="nil"/>
              <w:right w:val="nil"/>
            </w:tcBorders>
            <w:vAlign w:val="center"/>
            <w:hideMark/>
          </w:tcPr>
          <w:p w14:paraId="2008CA21"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2025</w:t>
            </w:r>
          </w:p>
        </w:tc>
        <w:tc>
          <w:tcPr>
            <w:tcW w:w="272" w:type="pct"/>
            <w:tcBorders>
              <w:top w:val="nil"/>
              <w:left w:val="nil"/>
              <w:bottom w:val="nil"/>
              <w:right w:val="nil"/>
            </w:tcBorders>
            <w:vAlign w:val="center"/>
            <w:hideMark/>
          </w:tcPr>
          <w:p w14:paraId="0C3F1687"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20</w:t>
            </w:r>
          </w:p>
        </w:tc>
        <w:tc>
          <w:tcPr>
            <w:tcW w:w="2094" w:type="pct"/>
            <w:tcBorders>
              <w:top w:val="nil"/>
              <w:left w:val="nil"/>
              <w:bottom w:val="nil"/>
              <w:right w:val="nil"/>
            </w:tcBorders>
            <w:vAlign w:val="center"/>
            <w:hideMark/>
          </w:tcPr>
          <w:p w14:paraId="6B4FF7E8"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Autoriser les pièces jointes dans le rapport annuel</w:t>
            </w:r>
          </w:p>
        </w:tc>
        <w:tc>
          <w:tcPr>
            <w:tcW w:w="430" w:type="pct"/>
            <w:tcBorders>
              <w:top w:val="nil"/>
              <w:left w:val="nil"/>
              <w:bottom w:val="nil"/>
              <w:right w:val="nil"/>
            </w:tcBorders>
            <w:vAlign w:val="center"/>
            <w:hideMark/>
          </w:tcPr>
          <w:p w14:paraId="75E66854"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Rapport annuel</w:t>
            </w:r>
          </w:p>
        </w:tc>
        <w:tc>
          <w:tcPr>
            <w:tcW w:w="291" w:type="pct"/>
            <w:tcBorders>
              <w:top w:val="nil"/>
              <w:left w:val="nil"/>
              <w:bottom w:val="nil"/>
              <w:right w:val="nil"/>
            </w:tcBorders>
            <w:vAlign w:val="center"/>
            <w:hideMark/>
          </w:tcPr>
          <w:p w14:paraId="233D51D5"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Moyen</w:t>
            </w:r>
          </w:p>
        </w:tc>
        <w:tc>
          <w:tcPr>
            <w:tcW w:w="283" w:type="pct"/>
            <w:tcBorders>
              <w:top w:val="nil"/>
              <w:left w:val="nil"/>
              <w:bottom w:val="nil"/>
              <w:right w:val="nil"/>
            </w:tcBorders>
            <w:vAlign w:val="center"/>
            <w:hideMark/>
          </w:tcPr>
          <w:p w14:paraId="027920D7"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lang w:eastAsia="en-GB"/>
              </w:rPr>
            </w:pPr>
          </w:p>
        </w:tc>
        <w:tc>
          <w:tcPr>
            <w:tcW w:w="407" w:type="pct"/>
            <w:tcBorders>
              <w:top w:val="nil"/>
              <w:left w:val="nil"/>
              <w:bottom w:val="nil"/>
              <w:right w:val="nil"/>
            </w:tcBorders>
            <w:vAlign w:val="center"/>
            <w:hideMark/>
          </w:tcPr>
          <w:p w14:paraId="7BED7E04"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imes New Roman"/>
                <w:color w:val="auto"/>
                <w:sz w:val="14"/>
                <w:szCs w:val="14"/>
                <w:lang w:eastAsia="en-GB"/>
              </w:rPr>
            </w:pPr>
          </w:p>
        </w:tc>
        <w:tc>
          <w:tcPr>
            <w:tcW w:w="303" w:type="pct"/>
            <w:tcBorders>
              <w:top w:val="nil"/>
              <w:left w:val="nil"/>
              <w:bottom w:val="nil"/>
              <w:right w:val="nil"/>
            </w:tcBorders>
            <w:vAlign w:val="center"/>
            <w:hideMark/>
          </w:tcPr>
          <w:p w14:paraId="61085C36"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À l’étude</w:t>
            </w:r>
          </w:p>
        </w:tc>
        <w:tc>
          <w:tcPr>
            <w:tcW w:w="727" w:type="pct"/>
            <w:tcBorders>
              <w:top w:val="nil"/>
              <w:left w:val="nil"/>
              <w:bottom w:val="nil"/>
              <w:right w:val="single" w:sz="4" w:space="0" w:color="auto"/>
            </w:tcBorders>
            <w:vAlign w:val="center"/>
            <w:hideMark/>
          </w:tcPr>
          <w:p w14:paraId="18C65EA8"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 </w:t>
            </w:r>
          </w:p>
        </w:tc>
      </w:tr>
      <w:tr w:rsidR="00E1701C" w:rsidRPr="004C3C03" w14:paraId="274DF390" w14:textId="77777777" w:rsidTr="00E1701C">
        <w:trPr>
          <w:trHeight w:val="240"/>
        </w:trPr>
        <w:tc>
          <w:tcPr>
            <w:tcW w:w="193" w:type="pct"/>
            <w:tcBorders>
              <w:top w:val="nil"/>
              <w:left w:val="single" w:sz="4" w:space="0" w:color="auto"/>
              <w:bottom w:val="nil"/>
              <w:right w:val="nil"/>
            </w:tcBorders>
            <w:shd w:val="clear" w:color="000000" w:fill="FFEAAF"/>
            <w:vAlign w:val="center"/>
            <w:hideMark/>
          </w:tcPr>
          <w:p w14:paraId="2444ECFD"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2025</w:t>
            </w:r>
          </w:p>
        </w:tc>
        <w:tc>
          <w:tcPr>
            <w:tcW w:w="272" w:type="pct"/>
            <w:tcBorders>
              <w:top w:val="nil"/>
              <w:left w:val="nil"/>
              <w:bottom w:val="nil"/>
              <w:right w:val="nil"/>
            </w:tcBorders>
            <w:shd w:val="clear" w:color="000000" w:fill="FFEAAF"/>
            <w:vAlign w:val="center"/>
            <w:hideMark/>
          </w:tcPr>
          <w:p w14:paraId="03447A22"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21</w:t>
            </w:r>
          </w:p>
        </w:tc>
        <w:tc>
          <w:tcPr>
            <w:tcW w:w="2094" w:type="pct"/>
            <w:tcBorders>
              <w:top w:val="nil"/>
              <w:left w:val="nil"/>
              <w:bottom w:val="nil"/>
              <w:right w:val="nil"/>
            </w:tcBorders>
            <w:shd w:val="clear" w:color="000000" w:fill="FFEAAF"/>
            <w:vAlign w:val="center"/>
            <w:hideMark/>
          </w:tcPr>
          <w:p w14:paraId="750E241E"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FF0000"/>
                <w:sz w:val="14"/>
                <w:szCs w:val="14"/>
              </w:rPr>
            </w:pPr>
            <w:r w:rsidRPr="004C3C03">
              <w:rPr>
                <w:rFonts w:asciiTheme="minorHAnsi" w:hAnsiTheme="minorHAnsi"/>
                <w:color w:val="FF0000"/>
                <w:sz w:val="14"/>
                <w:szCs w:val="14"/>
              </w:rPr>
              <w:t>Élargir les rapports annuels afin de stocker les réponses dans les trois langues.</w:t>
            </w:r>
          </w:p>
        </w:tc>
        <w:tc>
          <w:tcPr>
            <w:tcW w:w="430" w:type="pct"/>
            <w:tcBorders>
              <w:top w:val="nil"/>
              <w:left w:val="nil"/>
              <w:bottom w:val="nil"/>
              <w:right w:val="nil"/>
            </w:tcBorders>
            <w:shd w:val="clear" w:color="000000" w:fill="FFEAAF"/>
            <w:vAlign w:val="center"/>
            <w:hideMark/>
          </w:tcPr>
          <w:p w14:paraId="3A8C94D4"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Rapport annuel</w:t>
            </w:r>
          </w:p>
        </w:tc>
        <w:tc>
          <w:tcPr>
            <w:tcW w:w="291" w:type="pct"/>
            <w:tcBorders>
              <w:top w:val="nil"/>
              <w:left w:val="nil"/>
              <w:bottom w:val="nil"/>
              <w:right w:val="nil"/>
            </w:tcBorders>
            <w:shd w:val="clear" w:color="000000" w:fill="FFEAAF"/>
            <w:vAlign w:val="center"/>
            <w:hideMark/>
          </w:tcPr>
          <w:p w14:paraId="3E365239"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Élevé</w:t>
            </w:r>
          </w:p>
        </w:tc>
        <w:tc>
          <w:tcPr>
            <w:tcW w:w="283" w:type="pct"/>
            <w:tcBorders>
              <w:top w:val="nil"/>
              <w:left w:val="nil"/>
              <w:bottom w:val="nil"/>
              <w:right w:val="nil"/>
            </w:tcBorders>
            <w:shd w:val="clear" w:color="000000" w:fill="FFEAAF"/>
            <w:vAlign w:val="center"/>
            <w:hideMark/>
          </w:tcPr>
          <w:p w14:paraId="44FD19F1"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Non</w:t>
            </w:r>
          </w:p>
        </w:tc>
        <w:tc>
          <w:tcPr>
            <w:tcW w:w="407" w:type="pct"/>
            <w:tcBorders>
              <w:top w:val="nil"/>
              <w:left w:val="nil"/>
              <w:bottom w:val="nil"/>
              <w:right w:val="nil"/>
            </w:tcBorders>
            <w:shd w:val="clear" w:color="000000" w:fill="FFEAAF"/>
            <w:vAlign w:val="center"/>
            <w:hideMark/>
          </w:tcPr>
          <w:p w14:paraId="3CD90619"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Non</w:t>
            </w:r>
          </w:p>
        </w:tc>
        <w:tc>
          <w:tcPr>
            <w:tcW w:w="303" w:type="pct"/>
            <w:tcBorders>
              <w:top w:val="nil"/>
              <w:left w:val="nil"/>
              <w:bottom w:val="nil"/>
              <w:right w:val="nil"/>
            </w:tcBorders>
            <w:shd w:val="clear" w:color="000000" w:fill="FFEAAF"/>
            <w:vAlign w:val="center"/>
            <w:hideMark/>
          </w:tcPr>
          <w:p w14:paraId="6CCBB4DC" w14:textId="0C9BD1F9" w:rsidR="00E1701C" w:rsidRPr="004C3C03" w:rsidRDefault="00E3216F"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FF0000"/>
                <w:sz w:val="14"/>
                <w:szCs w:val="14"/>
              </w:rPr>
            </w:pPr>
            <w:r w:rsidRPr="004C3C03">
              <w:rPr>
                <w:rFonts w:asciiTheme="minorHAnsi" w:hAnsiTheme="minorHAnsi"/>
                <w:color w:val="FF0000"/>
                <w:sz w:val="14"/>
                <w:szCs w:val="14"/>
              </w:rPr>
              <w:t>Abandon</w:t>
            </w:r>
          </w:p>
        </w:tc>
        <w:tc>
          <w:tcPr>
            <w:tcW w:w="727" w:type="pct"/>
            <w:tcBorders>
              <w:top w:val="nil"/>
              <w:left w:val="nil"/>
              <w:bottom w:val="nil"/>
              <w:right w:val="single" w:sz="4" w:space="0" w:color="auto"/>
            </w:tcBorders>
            <w:shd w:val="clear" w:color="000000" w:fill="FFEAAF"/>
            <w:vAlign w:val="center"/>
            <w:hideMark/>
          </w:tcPr>
          <w:p w14:paraId="5DE65C92"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FF0000"/>
                <w:sz w:val="14"/>
                <w:szCs w:val="14"/>
              </w:rPr>
            </w:pPr>
            <w:r w:rsidRPr="004C3C03">
              <w:rPr>
                <w:rFonts w:asciiTheme="minorHAnsi" w:hAnsiTheme="minorHAnsi"/>
                <w:color w:val="FF0000"/>
                <w:sz w:val="14"/>
                <w:szCs w:val="14"/>
              </w:rPr>
              <w:t>Remplacé par 24 (Traduction hybride automatique)</w:t>
            </w:r>
          </w:p>
        </w:tc>
      </w:tr>
      <w:tr w:rsidR="00E1701C" w:rsidRPr="004C3C03" w14:paraId="6CD505D0" w14:textId="77777777" w:rsidTr="00E1701C">
        <w:trPr>
          <w:trHeight w:val="240"/>
        </w:trPr>
        <w:tc>
          <w:tcPr>
            <w:tcW w:w="193" w:type="pct"/>
            <w:tcBorders>
              <w:top w:val="nil"/>
              <w:left w:val="single" w:sz="4" w:space="0" w:color="auto"/>
              <w:bottom w:val="nil"/>
              <w:right w:val="nil"/>
            </w:tcBorders>
            <w:vAlign w:val="center"/>
            <w:hideMark/>
          </w:tcPr>
          <w:p w14:paraId="133FDD37"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2025</w:t>
            </w:r>
          </w:p>
        </w:tc>
        <w:tc>
          <w:tcPr>
            <w:tcW w:w="272" w:type="pct"/>
            <w:tcBorders>
              <w:top w:val="nil"/>
              <w:left w:val="nil"/>
              <w:bottom w:val="nil"/>
              <w:right w:val="nil"/>
            </w:tcBorders>
            <w:vAlign w:val="center"/>
            <w:hideMark/>
          </w:tcPr>
          <w:p w14:paraId="14165356"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22</w:t>
            </w:r>
          </w:p>
        </w:tc>
        <w:tc>
          <w:tcPr>
            <w:tcW w:w="2094" w:type="pct"/>
            <w:tcBorders>
              <w:top w:val="nil"/>
              <w:left w:val="nil"/>
              <w:bottom w:val="nil"/>
              <w:right w:val="nil"/>
            </w:tcBorders>
            <w:vAlign w:val="center"/>
            <w:hideMark/>
          </w:tcPr>
          <w:p w14:paraId="3787C13E"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Permettre la soumission des rapports annuels par l'intermédiaire du Gestionnaire de formulaires</w:t>
            </w:r>
          </w:p>
        </w:tc>
        <w:tc>
          <w:tcPr>
            <w:tcW w:w="430" w:type="pct"/>
            <w:tcBorders>
              <w:top w:val="nil"/>
              <w:left w:val="nil"/>
              <w:bottom w:val="nil"/>
              <w:right w:val="nil"/>
            </w:tcBorders>
            <w:vAlign w:val="center"/>
            <w:hideMark/>
          </w:tcPr>
          <w:p w14:paraId="6E0D276F"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Rapport annuel</w:t>
            </w:r>
          </w:p>
        </w:tc>
        <w:tc>
          <w:tcPr>
            <w:tcW w:w="291" w:type="pct"/>
            <w:tcBorders>
              <w:top w:val="nil"/>
              <w:left w:val="nil"/>
              <w:bottom w:val="nil"/>
              <w:right w:val="nil"/>
            </w:tcBorders>
            <w:vAlign w:val="center"/>
            <w:hideMark/>
          </w:tcPr>
          <w:p w14:paraId="09AECB35"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Moyen</w:t>
            </w:r>
          </w:p>
        </w:tc>
        <w:tc>
          <w:tcPr>
            <w:tcW w:w="283" w:type="pct"/>
            <w:tcBorders>
              <w:top w:val="nil"/>
              <w:left w:val="nil"/>
              <w:bottom w:val="nil"/>
              <w:right w:val="nil"/>
            </w:tcBorders>
            <w:vAlign w:val="center"/>
            <w:hideMark/>
          </w:tcPr>
          <w:p w14:paraId="11B669BA"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lang w:eastAsia="en-GB"/>
              </w:rPr>
            </w:pPr>
          </w:p>
        </w:tc>
        <w:tc>
          <w:tcPr>
            <w:tcW w:w="407" w:type="pct"/>
            <w:tcBorders>
              <w:top w:val="nil"/>
              <w:left w:val="nil"/>
              <w:bottom w:val="nil"/>
              <w:right w:val="nil"/>
            </w:tcBorders>
            <w:vAlign w:val="center"/>
            <w:hideMark/>
          </w:tcPr>
          <w:p w14:paraId="1E02C443"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imes New Roman"/>
                <w:color w:val="auto"/>
                <w:sz w:val="14"/>
                <w:szCs w:val="14"/>
                <w:lang w:eastAsia="en-GB"/>
              </w:rPr>
            </w:pPr>
          </w:p>
        </w:tc>
        <w:tc>
          <w:tcPr>
            <w:tcW w:w="303" w:type="pct"/>
            <w:tcBorders>
              <w:top w:val="nil"/>
              <w:left w:val="nil"/>
              <w:bottom w:val="nil"/>
              <w:right w:val="nil"/>
            </w:tcBorders>
            <w:vAlign w:val="center"/>
            <w:hideMark/>
          </w:tcPr>
          <w:p w14:paraId="6B3000F3"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imes New Roman"/>
                <w:color w:val="auto"/>
                <w:sz w:val="14"/>
                <w:szCs w:val="14"/>
                <w:lang w:eastAsia="en-GB"/>
              </w:rPr>
            </w:pPr>
          </w:p>
        </w:tc>
        <w:tc>
          <w:tcPr>
            <w:tcW w:w="727" w:type="pct"/>
            <w:tcBorders>
              <w:top w:val="nil"/>
              <w:left w:val="nil"/>
              <w:bottom w:val="nil"/>
              <w:right w:val="single" w:sz="4" w:space="0" w:color="auto"/>
            </w:tcBorders>
            <w:vAlign w:val="center"/>
            <w:hideMark/>
          </w:tcPr>
          <w:p w14:paraId="2BA1567A"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 </w:t>
            </w:r>
          </w:p>
        </w:tc>
      </w:tr>
      <w:tr w:rsidR="00E1701C" w:rsidRPr="004C3C03" w14:paraId="06604C41" w14:textId="77777777" w:rsidTr="00E1701C">
        <w:trPr>
          <w:trHeight w:val="230"/>
        </w:trPr>
        <w:tc>
          <w:tcPr>
            <w:tcW w:w="193" w:type="pct"/>
            <w:tcBorders>
              <w:top w:val="nil"/>
              <w:left w:val="single" w:sz="4" w:space="0" w:color="auto"/>
              <w:bottom w:val="single" w:sz="4" w:space="0" w:color="auto"/>
              <w:right w:val="nil"/>
            </w:tcBorders>
            <w:vAlign w:val="center"/>
            <w:hideMark/>
          </w:tcPr>
          <w:p w14:paraId="188285A5"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2025</w:t>
            </w:r>
          </w:p>
        </w:tc>
        <w:tc>
          <w:tcPr>
            <w:tcW w:w="272" w:type="pct"/>
            <w:tcBorders>
              <w:top w:val="nil"/>
              <w:left w:val="nil"/>
              <w:bottom w:val="single" w:sz="4" w:space="0" w:color="auto"/>
              <w:right w:val="nil"/>
            </w:tcBorders>
            <w:vAlign w:val="center"/>
            <w:hideMark/>
          </w:tcPr>
          <w:p w14:paraId="624DC1DD"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23</w:t>
            </w:r>
          </w:p>
        </w:tc>
        <w:tc>
          <w:tcPr>
            <w:tcW w:w="2094" w:type="pct"/>
            <w:tcBorders>
              <w:top w:val="nil"/>
              <w:left w:val="nil"/>
              <w:bottom w:val="single" w:sz="4" w:space="0" w:color="auto"/>
              <w:right w:val="nil"/>
            </w:tcBorders>
            <w:vAlign w:val="center"/>
            <w:hideMark/>
          </w:tcPr>
          <w:p w14:paraId="5C131A98"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Définir les dates limites de certaines exigences en indiquant des dates précises (12/07/2025) plutôt que le 15 juillet (sans mentionner l'année)</w:t>
            </w:r>
          </w:p>
        </w:tc>
        <w:tc>
          <w:tcPr>
            <w:tcW w:w="430" w:type="pct"/>
            <w:tcBorders>
              <w:top w:val="nil"/>
              <w:left w:val="nil"/>
              <w:bottom w:val="single" w:sz="4" w:space="0" w:color="auto"/>
              <w:right w:val="nil"/>
            </w:tcBorders>
            <w:vAlign w:val="center"/>
            <w:hideMark/>
          </w:tcPr>
          <w:p w14:paraId="63F014DB"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Noyau</w:t>
            </w:r>
          </w:p>
        </w:tc>
        <w:tc>
          <w:tcPr>
            <w:tcW w:w="291" w:type="pct"/>
            <w:tcBorders>
              <w:top w:val="nil"/>
              <w:left w:val="nil"/>
              <w:bottom w:val="single" w:sz="4" w:space="0" w:color="auto"/>
              <w:right w:val="nil"/>
            </w:tcBorders>
            <w:vAlign w:val="center"/>
            <w:hideMark/>
          </w:tcPr>
          <w:p w14:paraId="0C5CF505"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Moyen</w:t>
            </w:r>
          </w:p>
        </w:tc>
        <w:tc>
          <w:tcPr>
            <w:tcW w:w="283" w:type="pct"/>
            <w:tcBorders>
              <w:top w:val="nil"/>
              <w:left w:val="nil"/>
              <w:bottom w:val="single" w:sz="4" w:space="0" w:color="auto"/>
              <w:right w:val="nil"/>
            </w:tcBorders>
            <w:vAlign w:val="center"/>
            <w:hideMark/>
          </w:tcPr>
          <w:p w14:paraId="65308406"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 </w:t>
            </w:r>
          </w:p>
        </w:tc>
        <w:tc>
          <w:tcPr>
            <w:tcW w:w="407" w:type="pct"/>
            <w:tcBorders>
              <w:top w:val="nil"/>
              <w:left w:val="nil"/>
              <w:bottom w:val="single" w:sz="4" w:space="0" w:color="auto"/>
              <w:right w:val="nil"/>
            </w:tcBorders>
            <w:vAlign w:val="center"/>
            <w:hideMark/>
          </w:tcPr>
          <w:p w14:paraId="1145D7C3"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 </w:t>
            </w:r>
          </w:p>
        </w:tc>
        <w:tc>
          <w:tcPr>
            <w:tcW w:w="303" w:type="pct"/>
            <w:tcBorders>
              <w:top w:val="nil"/>
              <w:left w:val="nil"/>
              <w:bottom w:val="single" w:sz="4" w:space="0" w:color="auto"/>
              <w:right w:val="nil"/>
            </w:tcBorders>
            <w:vAlign w:val="center"/>
            <w:hideMark/>
          </w:tcPr>
          <w:p w14:paraId="3F7317CD"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 </w:t>
            </w:r>
          </w:p>
        </w:tc>
        <w:tc>
          <w:tcPr>
            <w:tcW w:w="727" w:type="pct"/>
            <w:tcBorders>
              <w:top w:val="nil"/>
              <w:left w:val="nil"/>
              <w:bottom w:val="single" w:sz="4" w:space="0" w:color="auto"/>
              <w:right w:val="single" w:sz="4" w:space="0" w:color="auto"/>
            </w:tcBorders>
            <w:vAlign w:val="center"/>
            <w:hideMark/>
          </w:tcPr>
          <w:p w14:paraId="3D64E3A5"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Simplifie la vérification des échéances</w:t>
            </w:r>
          </w:p>
        </w:tc>
      </w:tr>
      <w:tr w:rsidR="00E1701C" w:rsidRPr="004C3C03" w14:paraId="7A187293" w14:textId="77777777" w:rsidTr="00E1701C">
        <w:trPr>
          <w:trHeight w:val="443"/>
        </w:trPr>
        <w:tc>
          <w:tcPr>
            <w:tcW w:w="193" w:type="pct"/>
            <w:tcBorders>
              <w:top w:val="nil"/>
              <w:left w:val="single" w:sz="4" w:space="0" w:color="auto"/>
              <w:bottom w:val="nil"/>
              <w:right w:val="nil"/>
            </w:tcBorders>
            <w:vAlign w:val="center"/>
            <w:hideMark/>
          </w:tcPr>
          <w:p w14:paraId="1A7B94CB"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2026</w:t>
            </w:r>
          </w:p>
        </w:tc>
        <w:tc>
          <w:tcPr>
            <w:tcW w:w="272" w:type="pct"/>
            <w:tcBorders>
              <w:top w:val="nil"/>
              <w:left w:val="nil"/>
              <w:bottom w:val="nil"/>
              <w:right w:val="nil"/>
            </w:tcBorders>
            <w:vAlign w:val="center"/>
            <w:hideMark/>
          </w:tcPr>
          <w:p w14:paraId="1207F402"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24</w:t>
            </w:r>
          </w:p>
        </w:tc>
        <w:tc>
          <w:tcPr>
            <w:tcW w:w="2094" w:type="pct"/>
            <w:tcBorders>
              <w:top w:val="nil"/>
              <w:left w:val="nil"/>
              <w:bottom w:val="nil"/>
              <w:right w:val="nil"/>
            </w:tcBorders>
            <w:vAlign w:val="center"/>
            <w:hideMark/>
          </w:tcPr>
          <w:p w14:paraId="5628B669"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Système de traduction hybride automatique</w:t>
            </w:r>
          </w:p>
        </w:tc>
        <w:tc>
          <w:tcPr>
            <w:tcW w:w="430" w:type="pct"/>
            <w:tcBorders>
              <w:top w:val="nil"/>
              <w:left w:val="nil"/>
              <w:bottom w:val="nil"/>
              <w:right w:val="nil"/>
            </w:tcBorders>
            <w:vAlign w:val="center"/>
            <w:hideMark/>
          </w:tcPr>
          <w:p w14:paraId="72EAB122"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Noyau</w:t>
            </w:r>
          </w:p>
        </w:tc>
        <w:tc>
          <w:tcPr>
            <w:tcW w:w="291" w:type="pct"/>
            <w:tcBorders>
              <w:top w:val="nil"/>
              <w:left w:val="nil"/>
              <w:bottom w:val="nil"/>
              <w:right w:val="nil"/>
            </w:tcBorders>
            <w:vAlign w:val="center"/>
            <w:hideMark/>
          </w:tcPr>
          <w:p w14:paraId="309A6122"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Moyen</w:t>
            </w:r>
          </w:p>
        </w:tc>
        <w:tc>
          <w:tcPr>
            <w:tcW w:w="283" w:type="pct"/>
            <w:tcBorders>
              <w:top w:val="nil"/>
              <w:left w:val="nil"/>
              <w:bottom w:val="nil"/>
              <w:right w:val="nil"/>
            </w:tcBorders>
            <w:vAlign w:val="center"/>
            <w:hideMark/>
          </w:tcPr>
          <w:p w14:paraId="2D8D31E4"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Oui</w:t>
            </w:r>
          </w:p>
        </w:tc>
        <w:tc>
          <w:tcPr>
            <w:tcW w:w="407" w:type="pct"/>
            <w:tcBorders>
              <w:top w:val="nil"/>
              <w:left w:val="nil"/>
              <w:bottom w:val="nil"/>
              <w:right w:val="nil"/>
            </w:tcBorders>
            <w:vAlign w:val="center"/>
            <w:hideMark/>
          </w:tcPr>
          <w:p w14:paraId="1CBFB7D2"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Oui</w:t>
            </w:r>
          </w:p>
        </w:tc>
        <w:tc>
          <w:tcPr>
            <w:tcW w:w="303" w:type="pct"/>
            <w:tcBorders>
              <w:top w:val="nil"/>
              <w:left w:val="nil"/>
              <w:bottom w:val="nil"/>
              <w:right w:val="nil"/>
            </w:tcBorders>
            <w:vAlign w:val="center"/>
            <w:hideMark/>
          </w:tcPr>
          <w:p w14:paraId="01FBAB6A"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À l’étude</w:t>
            </w:r>
          </w:p>
        </w:tc>
        <w:tc>
          <w:tcPr>
            <w:tcW w:w="727" w:type="pct"/>
            <w:tcBorders>
              <w:top w:val="nil"/>
              <w:left w:val="nil"/>
              <w:bottom w:val="nil"/>
              <w:right w:val="single" w:sz="4" w:space="0" w:color="auto"/>
            </w:tcBorders>
            <w:vAlign w:val="center"/>
            <w:hideMark/>
          </w:tcPr>
          <w:p w14:paraId="2EEBB6DC"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Suggestion d'éviter d'entraîner l’IA avec nos données personnelles, ajoutée par le Japon</w:t>
            </w:r>
          </w:p>
        </w:tc>
      </w:tr>
      <w:tr w:rsidR="00E1701C" w:rsidRPr="004C3C03" w14:paraId="1951A542" w14:textId="77777777" w:rsidTr="00E1701C">
        <w:trPr>
          <w:trHeight w:val="480"/>
        </w:trPr>
        <w:tc>
          <w:tcPr>
            <w:tcW w:w="193" w:type="pct"/>
            <w:tcBorders>
              <w:top w:val="nil"/>
              <w:left w:val="single" w:sz="4" w:space="0" w:color="auto"/>
              <w:bottom w:val="nil"/>
              <w:right w:val="nil"/>
            </w:tcBorders>
            <w:vAlign w:val="center"/>
            <w:hideMark/>
          </w:tcPr>
          <w:p w14:paraId="6A682100"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2026</w:t>
            </w:r>
          </w:p>
        </w:tc>
        <w:tc>
          <w:tcPr>
            <w:tcW w:w="272" w:type="pct"/>
            <w:tcBorders>
              <w:top w:val="nil"/>
              <w:left w:val="nil"/>
              <w:bottom w:val="nil"/>
              <w:right w:val="nil"/>
            </w:tcBorders>
            <w:vAlign w:val="center"/>
            <w:hideMark/>
          </w:tcPr>
          <w:p w14:paraId="37C6F1E4"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25</w:t>
            </w:r>
          </w:p>
        </w:tc>
        <w:tc>
          <w:tcPr>
            <w:tcW w:w="2094" w:type="pct"/>
            <w:tcBorders>
              <w:top w:val="nil"/>
              <w:left w:val="nil"/>
              <w:bottom w:val="nil"/>
              <w:right w:val="nil"/>
            </w:tcBorders>
            <w:vAlign w:val="center"/>
            <w:hideMark/>
          </w:tcPr>
          <w:p w14:paraId="663A7917"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Refonte du système de notification</w:t>
            </w:r>
          </w:p>
        </w:tc>
        <w:tc>
          <w:tcPr>
            <w:tcW w:w="430" w:type="pct"/>
            <w:tcBorders>
              <w:top w:val="nil"/>
              <w:left w:val="nil"/>
              <w:bottom w:val="nil"/>
              <w:right w:val="nil"/>
            </w:tcBorders>
            <w:vAlign w:val="center"/>
            <w:hideMark/>
          </w:tcPr>
          <w:p w14:paraId="6C444936"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Notification et tout</w:t>
            </w:r>
          </w:p>
        </w:tc>
        <w:tc>
          <w:tcPr>
            <w:tcW w:w="291" w:type="pct"/>
            <w:tcBorders>
              <w:top w:val="nil"/>
              <w:left w:val="nil"/>
              <w:bottom w:val="nil"/>
              <w:right w:val="nil"/>
            </w:tcBorders>
            <w:vAlign w:val="center"/>
            <w:hideMark/>
          </w:tcPr>
          <w:p w14:paraId="12B97F00"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Moyen</w:t>
            </w:r>
          </w:p>
        </w:tc>
        <w:tc>
          <w:tcPr>
            <w:tcW w:w="283" w:type="pct"/>
            <w:tcBorders>
              <w:top w:val="nil"/>
              <w:left w:val="nil"/>
              <w:bottom w:val="nil"/>
              <w:right w:val="nil"/>
            </w:tcBorders>
            <w:vAlign w:val="center"/>
            <w:hideMark/>
          </w:tcPr>
          <w:p w14:paraId="7149E981"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lang w:eastAsia="en-GB"/>
              </w:rPr>
            </w:pPr>
          </w:p>
        </w:tc>
        <w:tc>
          <w:tcPr>
            <w:tcW w:w="407" w:type="pct"/>
            <w:tcBorders>
              <w:top w:val="nil"/>
              <w:left w:val="nil"/>
              <w:bottom w:val="nil"/>
              <w:right w:val="nil"/>
            </w:tcBorders>
            <w:vAlign w:val="center"/>
            <w:hideMark/>
          </w:tcPr>
          <w:p w14:paraId="3B8FF725"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imes New Roman"/>
                <w:color w:val="auto"/>
                <w:sz w:val="14"/>
                <w:szCs w:val="14"/>
                <w:lang w:eastAsia="en-GB"/>
              </w:rPr>
            </w:pPr>
          </w:p>
        </w:tc>
        <w:tc>
          <w:tcPr>
            <w:tcW w:w="303" w:type="pct"/>
            <w:tcBorders>
              <w:top w:val="nil"/>
              <w:left w:val="nil"/>
              <w:bottom w:val="nil"/>
              <w:right w:val="nil"/>
            </w:tcBorders>
            <w:vAlign w:val="center"/>
            <w:hideMark/>
          </w:tcPr>
          <w:p w14:paraId="1D0914E5"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En cours</w:t>
            </w:r>
          </w:p>
        </w:tc>
        <w:tc>
          <w:tcPr>
            <w:tcW w:w="727" w:type="pct"/>
            <w:tcBorders>
              <w:top w:val="nil"/>
              <w:left w:val="nil"/>
              <w:bottom w:val="nil"/>
              <w:right w:val="single" w:sz="4" w:space="0" w:color="auto"/>
            </w:tcBorders>
            <w:vAlign w:val="center"/>
            <w:hideMark/>
          </w:tcPr>
          <w:p w14:paraId="00734F7D"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La suggestion formulée par le Japon est intégrée au nouveau système de notification</w:t>
            </w:r>
          </w:p>
        </w:tc>
      </w:tr>
      <w:tr w:rsidR="00E1701C" w:rsidRPr="004C3C03" w14:paraId="4E039C6B" w14:textId="77777777" w:rsidTr="00E1701C">
        <w:trPr>
          <w:trHeight w:val="240"/>
        </w:trPr>
        <w:tc>
          <w:tcPr>
            <w:tcW w:w="193" w:type="pct"/>
            <w:tcBorders>
              <w:top w:val="nil"/>
              <w:left w:val="single" w:sz="4" w:space="0" w:color="auto"/>
              <w:bottom w:val="nil"/>
              <w:right w:val="nil"/>
            </w:tcBorders>
            <w:vAlign w:val="center"/>
            <w:hideMark/>
          </w:tcPr>
          <w:p w14:paraId="0E9B7E31"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2026</w:t>
            </w:r>
          </w:p>
        </w:tc>
        <w:tc>
          <w:tcPr>
            <w:tcW w:w="272" w:type="pct"/>
            <w:tcBorders>
              <w:top w:val="nil"/>
              <w:left w:val="nil"/>
              <w:bottom w:val="nil"/>
              <w:right w:val="nil"/>
            </w:tcBorders>
            <w:vAlign w:val="center"/>
            <w:hideMark/>
          </w:tcPr>
          <w:p w14:paraId="7E44CCDA"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26</w:t>
            </w:r>
          </w:p>
        </w:tc>
        <w:tc>
          <w:tcPr>
            <w:tcW w:w="2094" w:type="pct"/>
            <w:tcBorders>
              <w:top w:val="nil"/>
              <w:left w:val="nil"/>
              <w:bottom w:val="nil"/>
              <w:right w:val="nil"/>
            </w:tcBorders>
            <w:vAlign w:val="center"/>
            <w:hideMark/>
          </w:tcPr>
          <w:p w14:paraId="3073CA19"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Rendre le tableau de bord dynamique (préférences utilisateur enregistrées dans la base de données)</w:t>
            </w:r>
          </w:p>
        </w:tc>
        <w:tc>
          <w:tcPr>
            <w:tcW w:w="430" w:type="pct"/>
            <w:tcBorders>
              <w:top w:val="nil"/>
              <w:left w:val="nil"/>
              <w:bottom w:val="nil"/>
              <w:right w:val="nil"/>
            </w:tcBorders>
            <w:vAlign w:val="center"/>
            <w:hideMark/>
          </w:tcPr>
          <w:p w14:paraId="651CE125"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Noyau</w:t>
            </w:r>
          </w:p>
        </w:tc>
        <w:tc>
          <w:tcPr>
            <w:tcW w:w="291" w:type="pct"/>
            <w:tcBorders>
              <w:top w:val="nil"/>
              <w:left w:val="nil"/>
              <w:bottom w:val="nil"/>
              <w:right w:val="nil"/>
            </w:tcBorders>
            <w:vAlign w:val="center"/>
            <w:hideMark/>
          </w:tcPr>
          <w:p w14:paraId="1FF62DE6"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Faible</w:t>
            </w:r>
          </w:p>
        </w:tc>
        <w:tc>
          <w:tcPr>
            <w:tcW w:w="283" w:type="pct"/>
            <w:tcBorders>
              <w:top w:val="nil"/>
              <w:left w:val="nil"/>
              <w:bottom w:val="nil"/>
              <w:right w:val="nil"/>
            </w:tcBorders>
            <w:vAlign w:val="center"/>
            <w:hideMark/>
          </w:tcPr>
          <w:p w14:paraId="424B81C8"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lang w:eastAsia="en-GB"/>
              </w:rPr>
            </w:pPr>
          </w:p>
        </w:tc>
        <w:tc>
          <w:tcPr>
            <w:tcW w:w="407" w:type="pct"/>
            <w:tcBorders>
              <w:top w:val="nil"/>
              <w:left w:val="nil"/>
              <w:bottom w:val="nil"/>
              <w:right w:val="nil"/>
            </w:tcBorders>
            <w:vAlign w:val="center"/>
            <w:hideMark/>
          </w:tcPr>
          <w:p w14:paraId="65BEBC75"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imes New Roman"/>
                <w:color w:val="auto"/>
                <w:sz w:val="14"/>
                <w:szCs w:val="14"/>
                <w:lang w:eastAsia="en-GB"/>
              </w:rPr>
            </w:pPr>
          </w:p>
        </w:tc>
        <w:tc>
          <w:tcPr>
            <w:tcW w:w="303" w:type="pct"/>
            <w:tcBorders>
              <w:top w:val="nil"/>
              <w:left w:val="nil"/>
              <w:bottom w:val="nil"/>
              <w:right w:val="nil"/>
            </w:tcBorders>
            <w:vAlign w:val="center"/>
            <w:hideMark/>
          </w:tcPr>
          <w:p w14:paraId="6150B66F"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imes New Roman"/>
                <w:color w:val="auto"/>
                <w:sz w:val="14"/>
                <w:szCs w:val="14"/>
                <w:lang w:eastAsia="en-GB"/>
              </w:rPr>
            </w:pPr>
          </w:p>
        </w:tc>
        <w:tc>
          <w:tcPr>
            <w:tcW w:w="727" w:type="pct"/>
            <w:tcBorders>
              <w:top w:val="nil"/>
              <w:left w:val="nil"/>
              <w:bottom w:val="nil"/>
              <w:right w:val="single" w:sz="4" w:space="0" w:color="auto"/>
            </w:tcBorders>
            <w:vAlign w:val="center"/>
            <w:hideMark/>
          </w:tcPr>
          <w:p w14:paraId="7073A9AC"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 </w:t>
            </w:r>
          </w:p>
        </w:tc>
      </w:tr>
      <w:tr w:rsidR="00E1701C" w:rsidRPr="004C3C03" w14:paraId="077644C3" w14:textId="77777777" w:rsidTr="00E1701C">
        <w:trPr>
          <w:trHeight w:val="480"/>
        </w:trPr>
        <w:tc>
          <w:tcPr>
            <w:tcW w:w="193" w:type="pct"/>
            <w:tcBorders>
              <w:top w:val="nil"/>
              <w:left w:val="single" w:sz="4" w:space="0" w:color="auto"/>
              <w:bottom w:val="nil"/>
              <w:right w:val="nil"/>
            </w:tcBorders>
            <w:vAlign w:val="center"/>
            <w:hideMark/>
          </w:tcPr>
          <w:p w14:paraId="7BAF394A"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2026</w:t>
            </w:r>
          </w:p>
        </w:tc>
        <w:tc>
          <w:tcPr>
            <w:tcW w:w="272" w:type="pct"/>
            <w:tcBorders>
              <w:top w:val="nil"/>
              <w:left w:val="nil"/>
              <w:bottom w:val="nil"/>
              <w:right w:val="nil"/>
            </w:tcBorders>
            <w:vAlign w:val="center"/>
            <w:hideMark/>
          </w:tcPr>
          <w:p w14:paraId="0C35C844"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27</w:t>
            </w:r>
          </w:p>
        </w:tc>
        <w:tc>
          <w:tcPr>
            <w:tcW w:w="2094" w:type="pct"/>
            <w:tcBorders>
              <w:top w:val="nil"/>
              <w:left w:val="nil"/>
              <w:bottom w:val="nil"/>
              <w:right w:val="nil"/>
            </w:tcBorders>
            <w:vAlign w:val="center"/>
            <w:hideMark/>
          </w:tcPr>
          <w:p w14:paraId="0650A043"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Achever la migration des modules backend vers Spring Boot 3.5.6 (dernière version stable)</w:t>
            </w:r>
          </w:p>
        </w:tc>
        <w:tc>
          <w:tcPr>
            <w:tcW w:w="430" w:type="pct"/>
            <w:tcBorders>
              <w:top w:val="nil"/>
              <w:left w:val="nil"/>
              <w:bottom w:val="nil"/>
              <w:right w:val="nil"/>
            </w:tcBorders>
            <w:vAlign w:val="center"/>
            <w:hideMark/>
          </w:tcPr>
          <w:p w14:paraId="5E20EFB9"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Noyau, navires</w:t>
            </w:r>
          </w:p>
        </w:tc>
        <w:tc>
          <w:tcPr>
            <w:tcW w:w="291" w:type="pct"/>
            <w:tcBorders>
              <w:top w:val="nil"/>
              <w:left w:val="nil"/>
              <w:bottom w:val="nil"/>
              <w:right w:val="nil"/>
            </w:tcBorders>
            <w:vAlign w:val="center"/>
            <w:hideMark/>
          </w:tcPr>
          <w:p w14:paraId="30996DB1"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Moyen</w:t>
            </w:r>
          </w:p>
        </w:tc>
        <w:tc>
          <w:tcPr>
            <w:tcW w:w="283" w:type="pct"/>
            <w:tcBorders>
              <w:top w:val="nil"/>
              <w:left w:val="nil"/>
              <w:bottom w:val="nil"/>
              <w:right w:val="nil"/>
            </w:tcBorders>
            <w:vAlign w:val="center"/>
            <w:hideMark/>
          </w:tcPr>
          <w:p w14:paraId="0911DED8"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lang w:eastAsia="en-GB"/>
              </w:rPr>
            </w:pPr>
          </w:p>
        </w:tc>
        <w:tc>
          <w:tcPr>
            <w:tcW w:w="407" w:type="pct"/>
            <w:tcBorders>
              <w:top w:val="nil"/>
              <w:left w:val="nil"/>
              <w:bottom w:val="nil"/>
              <w:right w:val="nil"/>
            </w:tcBorders>
            <w:vAlign w:val="center"/>
            <w:hideMark/>
          </w:tcPr>
          <w:p w14:paraId="0D9EB926"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imes New Roman"/>
                <w:color w:val="auto"/>
                <w:sz w:val="14"/>
                <w:szCs w:val="14"/>
                <w:lang w:eastAsia="en-GB"/>
              </w:rPr>
            </w:pPr>
          </w:p>
        </w:tc>
        <w:tc>
          <w:tcPr>
            <w:tcW w:w="303" w:type="pct"/>
            <w:tcBorders>
              <w:top w:val="nil"/>
              <w:left w:val="nil"/>
              <w:bottom w:val="nil"/>
              <w:right w:val="nil"/>
            </w:tcBorders>
            <w:vAlign w:val="center"/>
            <w:hideMark/>
          </w:tcPr>
          <w:p w14:paraId="1D318E85"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En cours</w:t>
            </w:r>
          </w:p>
        </w:tc>
        <w:tc>
          <w:tcPr>
            <w:tcW w:w="727" w:type="pct"/>
            <w:tcBorders>
              <w:top w:val="nil"/>
              <w:left w:val="nil"/>
              <w:bottom w:val="nil"/>
              <w:right w:val="single" w:sz="4" w:space="0" w:color="auto"/>
            </w:tcBorders>
            <w:vAlign w:val="center"/>
            <w:hideMark/>
          </w:tcPr>
          <w:p w14:paraId="11354223"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 xml:space="preserve">Cette version apportera plusieurs améliorations au niveau des temps de </w:t>
            </w:r>
            <w:r w:rsidRPr="004C3C03">
              <w:rPr>
                <w:rFonts w:asciiTheme="minorHAnsi" w:hAnsiTheme="minorHAnsi"/>
                <w:sz w:val="14"/>
                <w:szCs w:val="14"/>
              </w:rPr>
              <w:lastRenderedPageBreak/>
              <w:t>chargement. Comme l'a suggéré le Japon.</w:t>
            </w:r>
          </w:p>
        </w:tc>
      </w:tr>
      <w:tr w:rsidR="00E1701C" w:rsidRPr="004C3C03" w14:paraId="58699A8C" w14:textId="77777777" w:rsidTr="00E1701C">
        <w:trPr>
          <w:trHeight w:val="240"/>
        </w:trPr>
        <w:tc>
          <w:tcPr>
            <w:tcW w:w="193" w:type="pct"/>
            <w:tcBorders>
              <w:top w:val="nil"/>
              <w:left w:val="single" w:sz="4" w:space="0" w:color="auto"/>
              <w:bottom w:val="nil"/>
              <w:right w:val="nil"/>
            </w:tcBorders>
            <w:vAlign w:val="center"/>
            <w:hideMark/>
          </w:tcPr>
          <w:p w14:paraId="2C384F2C"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lastRenderedPageBreak/>
              <w:t>2026</w:t>
            </w:r>
          </w:p>
        </w:tc>
        <w:tc>
          <w:tcPr>
            <w:tcW w:w="272" w:type="pct"/>
            <w:tcBorders>
              <w:top w:val="nil"/>
              <w:left w:val="nil"/>
              <w:bottom w:val="nil"/>
              <w:right w:val="nil"/>
            </w:tcBorders>
            <w:vAlign w:val="center"/>
            <w:hideMark/>
          </w:tcPr>
          <w:p w14:paraId="0742268D"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28</w:t>
            </w:r>
          </w:p>
        </w:tc>
        <w:tc>
          <w:tcPr>
            <w:tcW w:w="2094" w:type="pct"/>
            <w:tcBorders>
              <w:top w:val="nil"/>
              <w:left w:val="nil"/>
              <w:bottom w:val="nil"/>
              <w:right w:val="nil"/>
            </w:tcBorders>
            <w:vAlign w:val="center"/>
            <w:hideMark/>
          </w:tcPr>
          <w:p w14:paraId="0FCDA15A"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 xml:space="preserve">Achever la migration du module frontend vers </w:t>
            </w:r>
            <w:proofErr w:type="spellStart"/>
            <w:r w:rsidRPr="004C3C03">
              <w:rPr>
                <w:rFonts w:asciiTheme="minorHAnsi" w:hAnsiTheme="minorHAnsi"/>
                <w:sz w:val="14"/>
                <w:szCs w:val="14"/>
              </w:rPr>
              <w:t>Angular</w:t>
            </w:r>
            <w:proofErr w:type="spellEnd"/>
            <w:r w:rsidRPr="004C3C03">
              <w:rPr>
                <w:rFonts w:asciiTheme="minorHAnsi" w:hAnsiTheme="minorHAnsi"/>
                <w:sz w:val="14"/>
                <w:szCs w:val="14"/>
              </w:rPr>
              <w:t xml:space="preserve"> 20</w:t>
            </w:r>
          </w:p>
        </w:tc>
        <w:tc>
          <w:tcPr>
            <w:tcW w:w="430" w:type="pct"/>
            <w:tcBorders>
              <w:top w:val="nil"/>
              <w:left w:val="nil"/>
              <w:bottom w:val="nil"/>
              <w:right w:val="nil"/>
            </w:tcBorders>
            <w:vAlign w:val="center"/>
            <w:hideMark/>
          </w:tcPr>
          <w:p w14:paraId="5EB3C107"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Frontend</w:t>
            </w:r>
          </w:p>
        </w:tc>
        <w:tc>
          <w:tcPr>
            <w:tcW w:w="291" w:type="pct"/>
            <w:tcBorders>
              <w:top w:val="nil"/>
              <w:left w:val="nil"/>
              <w:bottom w:val="nil"/>
              <w:right w:val="nil"/>
            </w:tcBorders>
            <w:vAlign w:val="center"/>
            <w:hideMark/>
          </w:tcPr>
          <w:p w14:paraId="31010063"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Moyen</w:t>
            </w:r>
          </w:p>
        </w:tc>
        <w:tc>
          <w:tcPr>
            <w:tcW w:w="283" w:type="pct"/>
            <w:tcBorders>
              <w:top w:val="nil"/>
              <w:left w:val="nil"/>
              <w:bottom w:val="nil"/>
              <w:right w:val="nil"/>
            </w:tcBorders>
            <w:vAlign w:val="center"/>
            <w:hideMark/>
          </w:tcPr>
          <w:p w14:paraId="0E789D73"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lang w:eastAsia="en-GB"/>
              </w:rPr>
            </w:pPr>
          </w:p>
        </w:tc>
        <w:tc>
          <w:tcPr>
            <w:tcW w:w="407" w:type="pct"/>
            <w:tcBorders>
              <w:top w:val="nil"/>
              <w:left w:val="nil"/>
              <w:bottom w:val="nil"/>
              <w:right w:val="nil"/>
            </w:tcBorders>
            <w:vAlign w:val="center"/>
            <w:hideMark/>
          </w:tcPr>
          <w:p w14:paraId="443D0331"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imes New Roman"/>
                <w:color w:val="auto"/>
                <w:sz w:val="14"/>
                <w:szCs w:val="14"/>
                <w:lang w:eastAsia="en-GB"/>
              </w:rPr>
            </w:pPr>
          </w:p>
        </w:tc>
        <w:tc>
          <w:tcPr>
            <w:tcW w:w="303" w:type="pct"/>
            <w:tcBorders>
              <w:top w:val="nil"/>
              <w:left w:val="nil"/>
              <w:bottom w:val="nil"/>
              <w:right w:val="nil"/>
            </w:tcBorders>
            <w:vAlign w:val="center"/>
            <w:hideMark/>
          </w:tcPr>
          <w:p w14:paraId="73B05467"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En cours</w:t>
            </w:r>
          </w:p>
        </w:tc>
        <w:tc>
          <w:tcPr>
            <w:tcW w:w="727" w:type="pct"/>
            <w:tcBorders>
              <w:top w:val="nil"/>
              <w:left w:val="nil"/>
              <w:bottom w:val="nil"/>
              <w:right w:val="single" w:sz="4" w:space="0" w:color="auto"/>
            </w:tcBorders>
            <w:vAlign w:val="center"/>
            <w:hideMark/>
          </w:tcPr>
          <w:p w14:paraId="4EA2D8F2"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 </w:t>
            </w:r>
          </w:p>
        </w:tc>
      </w:tr>
      <w:tr w:rsidR="00E1701C" w:rsidRPr="004C3C03" w14:paraId="07862A65" w14:textId="77777777" w:rsidTr="00E1701C">
        <w:trPr>
          <w:trHeight w:val="240"/>
        </w:trPr>
        <w:tc>
          <w:tcPr>
            <w:tcW w:w="193" w:type="pct"/>
            <w:tcBorders>
              <w:top w:val="nil"/>
              <w:left w:val="single" w:sz="4" w:space="0" w:color="auto"/>
              <w:bottom w:val="nil"/>
              <w:right w:val="nil"/>
            </w:tcBorders>
            <w:vAlign w:val="center"/>
            <w:hideMark/>
          </w:tcPr>
          <w:p w14:paraId="665AD682"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2026</w:t>
            </w:r>
          </w:p>
        </w:tc>
        <w:tc>
          <w:tcPr>
            <w:tcW w:w="272" w:type="pct"/>
            <w:tcBorders>
              <w:top w:val="nil"/>
              <w:left w:val="nil"/>
              <w:bottom w:val="nil"/>
              <w:right w:val="nil"/>
            </w:tcBorders>
            <w:vAlign w:val="center"/>
            <w:hideMark/>
          </w:tcPr>
          <w:p w14:paraId="45E41769"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29</w:t>
            </w:r>
          </w:p>
        </w:tc>
        <w:tc>
          <w:tcPr>
            <w:tcW w:w="2094" w:type="pct"/>
            <w:tcBorders>
              <w:top w:val="nil"/>
              <w:left w:val="nil"/>
              <w:bottom w:val="nil"/>
              <w:right w:val="nil"/>
            </w:tcBorders>
            <w:vAlign w:val="center"/>
            <w:hideMark/>
          </w:tcPr>
          <w:p w14:paraId="5A62FD58"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Ajouter des filtres de gamme aux champs numériques dans la Gestion des registres des navires</w:t>
            </w:r>
          </w:p>
        </w:tc>
        <w:tc>
          <w:tcPr>
            <w:tcW w:w="430" w:type="pct"/>
            <w:tcBorders>
              <w:top w:val="nil"/>
              <w:left w:val="nil"/>
              <w:bottom w:val="nil"/>
              <w:right w:val="nil"/>
            </w:tcBorders>
            <w:vAlign w:val="center"/>
            <w:hideMark/>
          </w:tcPr>
          <w:p w14:paraId="229E0FE2"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Frontend, Navires</w:t>
            </w:r>
          </w:p>
        </w:tc>
        <w:tc>
          <w:tcPr>
            <w:tcW w:w="291" w:type="pct"/>
            <w:tcBorders>
              <w:top w:val="nil"/>
              <w:left w:val="nil"/>
              <w:bottom w:val="nil"/>
              <w:right w:val="nil"/>
            </w:tcBorders>
            <w:vAlign w:val="center"/>
            <w:hideMark/>
          </w:tcPr>
          <w:p w14:paraId="24D40EB2"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Moyen</w:t>
            </w:r>
          </w:p>
        </w:tc>
        <w:tc>
          <w:tcPr>
            <w:tcW w:w="283" w:type="pct"/>
            <w:tcBorders>
              <w:top w:val="nil"/>
              <w:left w:val="nil"/>
              <w:bottom w:val="nil"/>
              <w:right w:val="nil"/>
            </w:tcBorders>
            <w:vAlign w:val="center"/>
            <w:hideMark/>
          </w:tcPr>
          <w:p w14:paraId="764481FA"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lang w:eastAsia="en-GB"/>
              </w:rPr>
            </w:pPr>
          </w:p>
        </w:tc>
        <w:tc>
          <w:tcPr>
            <w:tcW w:w="407" w:type="pct"/>
            <w:tcBorders>
              <w:top w:val="nil"/>
              <w:left w:val="nil"/>
              <w:bottom w:val="nil"/>
              <w:right w:val="nil"/>
            </w:tcBorders>
            <w:vAlign w:val="center"/>
            <w:hideMark/>
          </w:tcPr>
          <w:p w14:paraId="3D3B4051"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imes New Roman"/>
                <w:color w:val="auto"/>
                <w:sz w:val="14"/>
                <w:szCs w:val="14"/>
                <w:lang w:eastAsia="en-GB"/>
              </w:rPr>
            </w:pPr>
          </w:p>
        </w:tc>
        <w:tc>
          <w:tcPr>
            <w:tcW w:w="303" w:type="pct"/>
            <w:tcBorders>
              <w:top w:val="nil"/>
              <w:left w:val="nil"/>
              <w:bottom w:val="nil"/>
              <w:right w:val="nil"/>
            </w:tcBorders>
            <w:vAlign w:val="center"/>
            <w:hideMark/>
          </w:tcPr>
          <w:p w14:paraId="251F3DDE"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imes New Roman"/>
                <w:color w:val="auto"/>
                <w:sz w:val="14"/>
                <w:szCs w:val="14"/>
                <w:lang w:eastAsia="en-GB"/>
              </w:rPr>
            </w:pPr>
          </w:p>
        </w:tc>
        <w:tc>
          <w:tcPr>
            <w:tcW w:w="727" w:type="pct"/>
            <w:tcBorders>
              <w:top w:val="nil"/>
              <w:left w:val="nil"/>
              <w:bottom w:val="nil"/>
              <w:right w:val="single" w:sz="4" w:space="0" w:color="auto"/>
            </w:tcBorders>
            <w:vAlign w:val="center"/>
            <w:hideMark/>
          </w:tcPr>
          <w:p w14:paraId="3A952A57"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 </w:t>
            </w:r>
          </w:p>
        </w:tc>
      </w:tr>
      <w:tr w:rsidR="00E1701C" w:rsidRPr="004C3C03" w14:paraId="79ADA2ED" w14:textId="77777777" w:rsidTr="00E1701C">
        <w:trPr>
          <w:trHeight w:val="240"/>
        </w:trPr>
        <w:tc>
          <w:tcPr>
            <w:tcW w:w="193" w:type="pct"/>
            <w:tcBorders>
              <w:top w:val="nil"/>
              <w:left w:val="single" w:sz="4" w:space="0" w:color="auto"/>
              <w:bottom w:val="nil"/>
              <w:right w:val="nil"/>
            </w:tcBorders>
            <w:vAlign w:val="center"/>
            <w:hideMark/>
          </w:tcPr>
          <w:p w14:paraId="41150F8D"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2026</w:t>
            </w:r>
          </w:p>
        </w:tc>
        <w:tc>
          <w:tcPr>
            <w:tcW w:w="272" w:type="pct"/>
            <w:tcBorders>
              <w:top w:val="nil"/>
              <w:left w:val="nil"/>
              <w:bottom w:val="nil"/>
              <w:right w:val="nil"/>
            </w:tcBorders>
            <w:vAlign w:val="center"/>
            <w:hideMark/>
          </w:tcPr>
          <w:p w14:paraId="60026A2A"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30</w:t>
            </w:r>
          </w:p>
        </w:tc>
        <w:tc>
          <w:tcPr>
            <w:tcW w:w="2094" w:type="pct"/>
            <w:tcBorders>
              <w:top w:val="nil"/>
              <w:left w:val="nil"/>
              <w:bottom w:val="nil"/>
              <w:right w:val="nil"/>
            </w:tcBorders>
            <w:vAlign w:val="center"/>
            <w:hideMark/>
          </w:tcPr>
          <w:p w14:paraId="57AFB435"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Meilleure prise en charge d'autres navigateurs (Edge, Safari) et d'autres systèmes d'exploitation (</w:t>
            </w:r>
            <w:proofErr w:type="spellStart"/>
            <w:r w:rsidRPr="004C3C03">
              <w:rPr>
                <w:rFonts w:asciiTheme="minorHAnsi" w:hAnsiTheme="minorHAnsi"/>
                <w:sz w:val="14"/>
                <w:szCs w:val="14"/>
              </w:rPr>
              <w:t>MacOS</w:t>
            </w:r>
            <w:proofErr w:type="spellEnd"/>
            <w:r w:rsidRPr="004C3C03">
              <w:rPr>
                <w:rFonts w:asciiTheme="minorHAnsi" w:hAnsiTheme="minorHAnsi"/>
                <w:sz w:val="14"/>
                <w:szCs w:val="14"/>
              </w:rPr>
              <w:t>, Linux)</w:t>
            </w:r>
          </w:p>
        </w:tc>
        <w:tc>
          <w:tcPr>
            <w:tcW w:w="430" w:type="pct"/>
            <w:tcBorders>
              <w:top w:val="nil"/>
              <w:left w:val="nil"/>
              <w:bottom w:val="nil"/>
              <w:right w:val="nil"/>
            </w:tcBorders>
            <w:vAlign w:val="center"/>
            <w:hideMark/>
          </w:tcPr>
          <w:p w14:paraId="0AA14520"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Frontend</w:t>
            </w:r>
          </w:p>
        </w:tc>
        <w:tc>
          <w:tcPr>
            <w:tcW w:w="291" w:type="pct"/>
            <w:tcBorders>
              <w:top w:val="nil"/>
              <w:left w:val="nil"/>
              <w:bottom w:val="nil"/>
              <w:right w:val="nil"/>
            </w:tcBorders>
            <w:vAlign w:val="center"/>
            <w:hideMark/>
          </w:tcPr>
          <w:p w14:paraId="67E5975E"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Moyen</w:t>
            </w:r>
          </w:p>
        </w:tc>
        <w:tc>
          <w:tcPr>
            <w:tcW w:w="283" w:type="pct"/>
            <w:tcBorders>
              <w:top w:val="nil"/>
              <w:left w:val="nil"/>
              <w:bottom w:val="nil"/>
              <w:right w:val="nil"/>
            </w:tcBorders>
            <w:vAlign w:val="center"/>
            <w:hideMark/>
          </w:tcPr>
          <w:p w14:paraId="6DECDA92"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lang w:eastAsia="en-GB"/>
              </w:rPr>
            </w:pPr>
          </w:p>
        </w:tc>
        <w:tc>
          <w:tcPr>
            <w:tcW w:w="407" w:type="pct"/>
            <w:tcBorders>
              <w:top w:val="nil"/>
              <w:left w:val="nil"/>
              <w:bottom w:val="nil"/>
              <w:right w:val="nil"/>
            </w:tcBorders>
            <w:vAlign w:val="center"/>
            <w:hideMark/>
          </w:tcPr>
          <w:p w14:paraId="328A02AF"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imes New Roman"/>
                <w:color w:val="auto"/>
                <w:sz w:val="14"/>
                <w:szCs w:val="14"/>
                <w:lang w:eastAsia="en-GB"/>
              </w:rPr>
            </w:pPr>
          </w:p>
        </w:tc>
        <w:tc>
          <w:tcPr>
            <w:tcW w:w="303" w:type="pct"/>
            <w:tcBorders>
              <w:top w:val="nil"/>
              <w:left w:val="nil"/>
              <w:bottom w:val="nil"/>
              <w:right w:val="nil"/>
            </w:tcBorders>
            <w:vAlign w:val="center"/>
            <w:hideMark/>
          </w:tcPr>
          <w:p w14:paraId="7395BFEC"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imes New Roman"/>
                <w:color w:val="auto"/>
                <w:sz w:val="14"/>
                <w:szCs w:val="14"/>
                <w:lang w:eastAsia="en-GB"/>
              </w:rPr>
            </w:pPr>
          </w:p>
        </w:tc>
        <w:tc>
          <w:tcPr>
            <w:tcW w:w="727" w:type="pct"/>
            <w:tcBorders>
              <w:top w:val="nil"/>
              <w:left w:val="nil"/>
              <w:bottom w:val="nil"/>
              <w:right w:val="single" w:sz="4" w:space="0" w:color="auto"/>
            </w:tcBorders>
            <w:vAlign w:val="center"/>
            <w:hideMark/>
          </w:tcPr>
          <w:p w14:paraId="52F0C475"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Suggestion ajoutée par le Japon</w:t>
            </w:r>
          </w:p>
        </w:tc>
      </w:tr>
      <w:tr w:rsidR="00E1701C" w:rsidRPr="004C3C03" w14:paraId="213A916E" w14:textId="77777777" w:rsidTr="00E1701C">
        <w:trPr>
          <w:trHeight w:val="240"/>
        </w:trPr>
        <w:tc>
          <w:tcPr>
            <w:tcW w:w="193" w:type="pct"/>
            <w:tcBorders>
              <w:top w:val="nil"/>
              <w:left w:val="single" w:sz="4" w:space="0" w:color="auto"/>
              <w:bottom w:val="nil"/>
              <w:right w:val="nil"/>
            </w:tcBorders>
            <w:noWrap/>
            <w:vAlign w:val="center"/>
            <w:hideMark/>
          </w:tcPr>
          <w:p w14:paraId="155069EB"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2026</w:t>
            </w:r>
          </w:p>
        </w:tc>
        <w:tc>
          <w:tcPr>
            <w:tcW w:w="272" w:type="pct"/>
            <w:tcBorders>
              <w:top w:val="nil"/>
              <w:left w:val="nil"/>
              <w:bottom w:val="nil"/>
              <w:right w:val="nil"/>
            </w:tcBorders>
            <w:noWrap/>
            <w:vAlign w:val="center"/>
            <w:hideMark/>
          </w:tcPr>
          <w:p w14:paraId="48FC0DC0"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31</w:t>
            </w:r>
          </w:p>
        </w:tc>
        <w:tc>
          <w:tcPr>
            <w:tcW w:w="2094" w:type="pct"/>
            <w:tcBorders>
              <w:top w:val="nil"/>
              <w:left w:val="nil"/>
              <w:bottom w:val="nil"/>
              <w:right w:val="nil"/>
            </w:tcBorders>
            <w:noWrap/>
            <w:vAlign w:val="bottom"/>
            <w:hideMark/>
          </w:tcPr>
          <w:p w14:paraId="08A84D21"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Lien vers les soumissions de formulaires pour le re-téléchargement des formulaires rejetés provenant des modules</w:t>
            </w:r>
          </w:p>
        </w:tc>
        <w:tc>
          <w:tcPr>
            <w:tcW w:w="430" w:type="pct"/>
            <w:tcBorders>
              <w:top w:val="nil"/>
              <w:left w:val="nil"/>
              <w:bottom w:val="nil"/>
              <w:right w:val="nil"/>
            </w:tcBorders>
            <w:noWrap/>
            <w:vAlign w:val="center"/>
            <w:hideMark/>
          </w:tcPr>
          <w:p w14:paraId="3BA39E51"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Gestionnaire de formulaires</w:t>
            </w:r>
          </w:p>
        </w:tc>
        <w:tc>
          <w:tcPr>
            <w:tcW w:w="291" w:type="pct"/>
            <w:tcBorders>
              <w:top w:val="nil"/>
              <w:left w:val="nil"/>
              <w:bottom w:val="nil"/>
              <w:right w:val="nil"/>
            </w:tcBorders>
            <w:noWrap/>
            <w:vAlign w:val="center"/>
            <w:hideMark/>
          </w:tcPr>
          <w:p w14:paraId="0EFD4D2A"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lang w:eastAsia="en-GB"/>
              </w:rPr>
            </w:pPr>
          </w:p>
        </w:tc>
        <w:tc>
          <w:tcPr>
            <w:tcW w:w="283" w:type="pct"/>
            <w:tcBorders>
              <w:top w:val="nil"/>
              <w:left w:val="nil"/>
              <w:bottom w:val="nil"/>
              <w:right w:val="nil"/>
            </w:tcBorders>
            <w:noWrap/>
            <w:vAlign w:val="center"/>
            <w:hideMark/>
          </w:tcPr>
          <w:p w14:paraId="2685FF87"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imes New Roman"/>
                <w:color w:val="auto"/>
                <w:sz w:val="14"/>
                <w:szCs w:val="14"/>
                <w:lang w:eastAsia="en-GB"/>
              </w:rPr>
            </w:pPr>
          </w:p>
        </w:tc>
        <w:tc>
          <w:tcPr>
            <w:tcW w:w="407" w:type="pct"/>
            <w:tcBorders>
              <w:top w:val="nil"/>
              <w:left w:val="nil"/>
              <w:bottom w:val="nil"/>
              <w:right w:val="nil"/>
            </w:tcBorders>
            <w:noWrap/>
            <w:vAlign w:val="center"/>
            <w:hideMark/>
          </w:tcPr>
          <w:p w14:paraId="7DA8AB84"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imes New Roman"/>
                <w:color w:val="auto"/>
                <w:sz w:val="14"/>
                <w:szCs w:val="14"/>
                <w:lang w:eastAsia="en-GB"/>
              </w:rPr>
            </w:pPr>
          </w:p>
        </w:tc>
        <w:tc>
          <w:tcPr>
            <w:tcW w:w="303" w:type="pct"/>
            <w:tcBorders>
              <w:top w:val="nil"/>
              <w:left w:val="nil"/>
              <w:bottom w:val="nil"/>
              <w:right w:val="nil"/>
            </w:tcBorders>
            <w:noWrap/>
            <w:vAlign w:val="center"/>
            <w:hideMark/>
          </w:tcPr>
          <w:p w14:paraId="4AC8E01D"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imes New Roman"/>
                <w:color w:val="auto"/>
                <w:sz w:val="14"/>
                <w:szCs w:val="14"/>
                <w:lang w:eastAsia="en-GB"/>
              </w:rPr>
            </w:pPr>
          </w:p>
        </w:tc>
        <w:tc>
          <w:tcPr>
            <w:tcW w:w="727" w:type="pct"/>
            <w:tcBorders>
              <w:top w:val="nil"/>
              <w:left w:val="nil"/>
              <w:bottom w:val="nil"/>
              <w:right w:val="single" w:sz="4" w:space="0" w:color="auto"/>
            </w:tcBorders>
            <w:vAlign w:val="center"/>
            <w:hideMark/>
          </w:tcPr>
          <w:p w14:paraId="174A8770"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Suggestion ajoutée par le Japon</w:t>
            </w:r>
          </w:p>
        </w:tc>
      </w:tr>
      <w:tr w:rsidR="00E1701C" w:rsidRPr="004C3C03" w14:paraId="4D5C3AE7" w14:textId="77777777" w:rsidTr="00E1701C">
        <w:trPr>
          <w:trHeight w:val="240"/>
        </w:trPr>
        <w:tc>
          <w:tcPr>
            <w:tcW w:w="193" w:type="pct"/>
            <w:tcBorders>
              <w:top w:val="nil"/>
              <w:left w:val="single" w:sz="4" w:space="0" w:color="auto"/>
              <w:bottom w:val="single" w:sz="4" w:space="0" w:color="auto"/>
              <w:right w:val="nil"/>
            </w:tcBorders>
            <w:noWrap/>
            <w:vAlign w:val="center"/>
            <w:hideMark/>
          </w:tcPr>
          <w:p w14:paraId="5EE9F636"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2026</w:t>
            </w:r>
          </w:p>
        </w:tc>
        <w:tc>
          <w:tcPr>
            <w:tcW w:w="272" w:type="pct"/>
            <w:tcBorders>
              <w:top w:val="nil"/>
              <w:left w:val="nil"/>
              <w:bottom w:val="single" w:sz="4" w:space="0" w:color="auto"/>
              <w:right w:val="nil"/>
            </w:tcBorders>
            <w:noWrap/>
            <w:vAlign w:val="center"/>
            <w:hideMark/>
          </w:tcPr>
          <w:p w14:paraId="509759DF"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32</w:t>
            </w:r>
          </w:p>
        </w:tc>
        <w:tc>
          <w:tcPr>
            <w:tcW w:w="2094" w:type="pct"/>
            <w:tcBorders>
              <w:top w:val="nil"/>
              <w:left w:val="nil"/>
              <w:bottom w:val="single" w:sz="4" w:space="0" w:color="auto"/>
              <w:right w:val="nil"/>
            </w:tcBorders>
            <w:noWrap/>
            <w:vAlign w:val="bottom"/>
            <w:hideMark/>
          </w:tcPr>
          <w:p w14:paraId="595F9B33"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Améliorations apportées à l'interface utilisateur du rapport annuel afin d'alerter les utilisateurs en cas de soumission incomplète.</w:t>
            </w:r>
          </w:p>
        </w:tc>
        <w:tc>
          <w:tcPr>
            <w:tcW w:w="430" w:type="pct"/>
            <w:tcBorders>
              <w:top w:val="nil"/>
              <w:left w:val="nil"/>
              <w:bottom w:val="single" w:sz="4" w:space="0" w:color="auto"/>
              <w:right w:val="nil"/>
            </w:tcBorders>
            <w:noWrap/>
            <w:vAlign w:val="center"/>
            <w:hideMark/>
          </w:tcPr>
          <w:p w14:paraId="43D1CF8A"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Frontend, Noyau</w:t>
            </w:r>
          </w:p>
        </w:tc>
        <w:tc>
          <w:tcPr>
            <w:tcW w:w="291" w:type="pct"/>
            <w:tcBorders>
              <w:top w:val="nil"/>
              <w:left w:val="nil"/>
              <w:bottom w:val="single" w:sz="4" w:space="0" w:color="auto"/>
              <w:right w:val="nil"/>
            </w:tcBorders>
            <w:noWrap/>
            <w:vAlign w:val="center"/>
            <w:hideMark/>
          </w:tcPr>
          <w:p w14:paraId="6313BD11"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 </w:t>
            </w:r>
          </w:p>
        </w:tc>
        <w:tc>
          <w:tcPr>
            <w:tcW w:w="283" w:type="pct"/>
            <w:tcBorders>
              <w:top w:val="nil"/>
              <w:left w:val="nil"/>
              <w:bottom w:val="single" w:sz="4" w:space="0" w:color="auto"/>
              <w:right w:val="nil"/>
            </w:tcBorders>
            <w:noWrap/>
            <w:vAlign w:val="center"/>
            <w:hideMark/>
          </w:tcPr>
          <w:p w14:paraId="07493083"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 </w:t>
            </w:r>
          </w:p>
        </w:tc>
        <w:tc>
          <w:tcPr>
            <w:tcW w:w="407" w:type="pct"/>
            <w:tcBorders>
              <w:top w:val="nil"/>
              <w:left w:val="nil"/>
              <w:bottom w:val="single" w:sz="4" w:space="0" w:color="auto"/>
              <w:right w:val="nil"/>
            </w:tcBorders>
            <w:noWrap/>
            <w:vAlign w:val="center"/>
            <w:hideMark/>
          </w:tcPr>
          <w:p w14:paraId="1DD6C452"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 </w:t>
            </w:r>
          </w:p>
        </w:tc>
        <w:tc>
          <w:tcPr>
            <w:tcW w:w="303" w:type="pct"/>
            <w:tcBorders>
              <w:top w:val="nil"/>
              <w:left w:val="nil"/>
              <w:bottom w:val="single" w:sz="4" w:space="0" w:color="auto"/>
              <w:right w:val="nil"/>
            </w:tcBorders>
            <w:noWrap/>
            <w:vAlign w:val="center"/>
            <w:hideMark/>
          </w:tcPr>
          <w:p w14:paraId="53363024"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sz w:val="14"/>
                <w:szCs w:val="14"/>
              </w:rPr>
            </w:pPr>
            <w:r w:rsidRPr="004C3C03">
              <w:rPr>
                <w:rFonts w:asciiTheme="minorHAnsi" w:hAnsiTheme="minorHAnsi"/>
                <w:sz w:val="14"/>
                <w:szCs w:val="14"/>
              </w:rPr>
              <w:t> </w:t>
            </w:r>
          </w:p>
        </w:tc>
        <w:tc>
          <w:tcPr>
            <w:tcW w:w="727" w:type="pct"/>
            <w:tcBorders>
              <w:top w:val="nil"/>
              <w:left w:val="nil"/>
              <w:bottom w:val="single" w:sz="4" w:space="0" w:color="auto"/>
              <w:right w:val="single" w:sz="4" w:space="0" w:color="auto"/>
            </w:tcBorders>
            <w:vAlign w:val="center"/>
            <w:hideMark/>
          </w:tcPr>
          <w:p w14:paraId="60E1B150" w14:textId="77777777" w:rsidR="00E1701C" w:rsidRPr="004C3C03" w:rsidRDefault="00E1701C"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sz w:val="14"/>
                <w:szCs w:val="14"/>
              </w:rPr>
            </w:pPr>
            <w:r w:rsidRPr="004C3C03">
              <w:rPr>
                <w:rFonts w:asciiTheme="minorHAnsi" w:hAnsiTheme="minorHAnsi"/>
                <w:sz w:val="14"/>
                <w:szCs w:val="14"/>
              </w:rPr>
              <w:t>Suggestion ajoutée par le Japon</w:t>
            </w:r>
          </w:p>
        </w:tc>
      </w:tr>
    </w:tbl>
    <w:p w14:paraId="5A07EF73" w14:textId="77777777" w:rsidR="00B64141" w:rsidRPr="00A66378" w:rsidRDefault="00B64141" w:rsidP="00A66378">
      <w:pPr>
        <w:rPr>
          <w:rFonts w:asciiTheme="minorHAnsi" w:hAnsiTheme="minorHAnsi"/>
        </w:rPr>
      </w:pPr>
    </w:p>
    <w:p w14:paraId="50AAFE19" w14:textId="77777777" w:rsidR="0006506B" w:rsidRPr="00A66378" w:rsidRDefault="0006506B" w:rsidP="00A66378">
      <w:pPr>
        <w:rPr>
          <w:rFonts w:asciiTheme="minorHAnsi" w:hAnsiTheme="minorHAnsi"/>
        </w:rPr>
      </w:pPr>
    </w:p>
    <w:p w14:paraId="423A6ACC" w14:textId="77777777" w:rsidR="006339FA" w:rsidRPr="00A66378" w:rsidRDefault="006339FA" w:rsidP="00A66378">
      <w:pPr>
        <w:rPr>
          <w:rFonts w:asciiTheme="minorHAnsi" w:hAnsiTheme="minorHAnsi"/>
        </w:rPr>
      </w:pPr>
    </w:p>
    <w:p w14:paraId="3560EF0D" w14:textId="77777777" w:rsidR="00447F3E" w:rsidRPr="00A66378" w:rsidRDefault="00447F3E" w:rsidP="00A66378">
      <w:pPr>
        <w:rPr>
          <w:rFonts w:asciiTheme="minorHAnsi" w:hAnsiTheme="minorHAnsi"/>
        </w:rPr>
      </w:pPr>
    </w:p>
    <w:p w14:paraId="5F078C0A" w14:textId="77777777" w:rsidR="00447F3E" w:rsidRPr="00A66378" w:rsidRDefault="00447F3E" w:rsidP="00A66378">
      <w:pPr>
        <w:rPr>
          <w:rFonts w:asciiTheme="minorHAnsi" w:hAnsiTheme="minorHAnsi"/>
        </w:rPr>
      </w:pPr>
    </w:p>
    <w:p w14:paraId="5B8E0A07" w14:textId="4BC5D063" w:rsidR="002B7E05" w:rsidRPr="00A66378" w:rsidRDefault="002B7E05" w:rsidP="00A66378">
      <w:pPr>
        <w:rPr>
          <w:rFonts w:asciiTheme="minorHAnsi" w:hAnsiTheme="minorHAnsi"/>
        </w:rPr>
      </w:pPr>
    </w:p>
    <w:p w14:paraId="47CCE240" w14:textId="77777777" w:rsidR="00D03E64" w:rsidRPr="00A66378" w:rsidRDefault="00D03E64"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hAnsiTheme="minorHAnsi"/>
          <w:b/>
        </w:rPr>
      </w:pPr>
      <w:r w:rsidRPr="00A66378">
        <w:rPr>
          <w:rFonts w:asciiTheme="minorHAnsi" w:hAnsiTheme="minorHAnsi"/>
        </w:rPr>
        <w:br w:type="page"/>
      </w:r>
    </w:p>
    <w:p w14:paraId="47BCEB3E" w14:textId="4851285E" w:rsidR="00E1701C" w:rsidRPr="00A66378" w:rsidRDefault="0016536E" w:rsidP="00A66378">
      <w:pPr>
        <w:rPr>
          <w:rFonts w:asciiTheme="minorHAnsi" w:hAnsiTheme="minorHAnsi"/>
        </w:rPr>
      </w:pPr>
      <w:r w:rsidRPr="00A66378">
        <w:rPr>
          <w:rFonts w:asciiTheme="minorHAnsi" w:hAnsiTheme="minorHAnsi"/>
          <w:b/>
        </w:rPr>
        <w:lastRenderedPageBreak/>
        <w:t xml:space="preserve">Tableau 3. </w:t>
      </w:r>
      <w:r w:rsidRPr="00A66378">
        <w:rPr>
          <w:rFonts w:asciiTheme="minorHAnsi" w:hAnsiTheme="minorHAnsi"/>
        </w:rPr>
        <w:t>Plan de travail révisé de l'IOMS adopté par le WG-ORT, couvrant les phases de développement en cours et à venir. Les détails de chaque phase sont indiqués en bas de page. Les phases 4 et 5 sont des références aux modules préliminaires.</w:t>
      </w:r>
    </w:p>
    <w:p w14:paraId="67D7D639" w14:textId="77777777" w:rsidR="007162C1" w:rsidRPr="00A66378" w:rsidRDefault="00A746F3" w:rsidP="00A66378">
      <w:pPr>
        <w:rPr>
          <w:rFonts w:asciiTheme="minorHAnsi" w:hAnsiTheme="minorHAnsi"/>
        </w:rPr>
      </w:pPr>
      <w:r w:rsidRPr="00A66378">
        <w:rPr>
          <w:rFonts w:asciiTheme="minorHAnsi" w:hAnsiTheme="minorHAnsi"/>
        </w:rPr>
        <w:t xml:space="preserve"> </w:t>
      </w:r>
    </w:p>
    <w:tbl>
      <w:tblPr>
        <w:tblW w:w="5000" w:type="pct"/>
        <w:tblLook w:val="04A0" w:firstRow="1" w:lastRow="0" w:firstColumn="1" w:lastColumn="0" w:noHBand="0" w:noVBand="1"/>
      </w:tblPr>
      <w:tblGrid>
        <w:gridCol w:w="654"/>
        <w:gridCol w:w="797"/>
        <w:gridCol w:w="1292"/>
        <w:gridCol w:w="1723"/>
        <w:gridCol w:w="2648"/>
        <w:gridCol w:w="1156"/>
        <w:gridCol w:w="1004"/>
        <w:gridCol w:w="970"/>
        <w:gridCol w:w="1094"/>
        <w:gridCol w:w="796"/>
        <w:gridCol w:w="1860"/>
      </w:tblGrid>
      <w:tr w:rsidR="006B109C" w:rsidRPr="00A13D16" w14:paraId="7B67C66F" w14:textId="77777777" w:rsidTr="00A13D16">
        <w:trPr>
          <w:trHeight w:val="580"/>
        </w:trPr>
        <w:tc>
          <w:tcPr>
            <w:tcW w:w="234" w:type="pct"/>
            <w:tcBorders>
              <w:top w:val="single" w:sz="4" w:space="0" w:color="auto"/>
              <w:left w:val="single" w:sz="4" w:space="0" w:color="auto"/>
              <w:bottom w:val="single" w:sz="4" w:space="0" w:color="auto"/>
              <w:right w:val="nil"/>
            </w:tcBorders>
            <w:shd w:val="clear" w:color="000000" w:fill="D9D9D9"/>
            <w:noWrap/>
            <w:vAlign w:val="bottom"/>
            <w:hideMark/>
          </w:tcPr>
          <w:p w14:paraId="5E4239D9"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sz w:val="16"/>
                <w:szCs w:val="16"/>
              </w:rPr>
            </w:pPr>
            <w:r w:rsidRPr="00A13D16">
              <w:rPr>
                <w:rFonts w:asciiTheme="minorHAnsi" w:hAnsiTheme="minorHAnsi"/>
                <w:b/>
                <w:sz w:val="16"/>
                <w:szCs w:val="16"/>
              </w:rPr>
              <w:t>Phase</w:t>
            </w:r>
          </w:p>
        </w:tc>
        <w:tc>
          <w:tcPr>
            <w:tcW w:w="285" w:type="pct"/>
            <w:tcBorders>
              <w:top w:val="single" w:sz="4" w:space="0" w:color="auto"/>
              <w:left w:val="nil"/>
              <w:bottom w:val="single" w:sz="4" w:space="0" w:color="auto"/>
              <w:right w:val="nil"/>
            </w:tcBorders>
            <w:shd w:val="clear" w:color="000000" w:fill="D9D9D9"/>
            <w:noWrap/>
            <w:vAlign w:val="bottom"/>
            <w:hideMark/>
          </w:tcPr>
          <w:p w14:paraId="2DB23551"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sz w:val="16"/>
                <w:szCs w:val="16"/>
              </w:rPr>
            </w:pPr>
            <w:r w:rsidRPr="00A13D16">
              <w:rPr>
                <w:rFonts w:asciiTheme="minorHAnsi" w:hAnsiTheme="minorHAnsi"/>
                <w:b/>
                <w:sz w:val="16"/>
                <w:szCs w:val="16"/>
              </w:rPr>
              <w:t>Priorité</w:t>
            </w:r>
          </w:p>
        </w:tc>
        <w:tc>
          <w:tcPr>
            <w:tcW w:w="462" w:type="pct"/>
            <w:tcBorders>
              <w:top w:val="single" w:sz="4" w:space="0" w:color="auto"/>
              <w:left w:val="nil"/>
              <w:bottom w:val="single" w:sz="4" w:space="0" w:color="auto"/>
              <w:right w:val="nil"/>
            </w:tcBorders>
            <w:shd w:val="clear" w:color="000000" w:fill="D9D9D9"/>
            <w:noWrap/>
            <w:vAlign w:val="bottom"/>
            <w:hideMark/>
          </w:tcPr>
          <w:p w14:paraId="28B42517"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sz w:val="16"/>
                <w:szCs w:val="16"/>
              </w:rPr>
            </w:pPr>
            <w:r w:rsidRPr="00A13D16">
              <w:rPr>
                <w:rFonts w:asciiTheme="minorHAnsi" w:hAnsiTheme="minorHAnsi"/>
                <w:b/>
                <w:sz w:val="16"/>
                <w:szCs w:val="16"/>
              </w:rPr>
              <w:t>Module/Tâche</w:t>
            </w:r>
          </w:p>
        </w:tc>
        <w:tc>
          <w:tcPr>
            <w:tcW w:w="616" w:type="pct"/>
            <w:tcBorders>
              <w:top w:val="single" w:sz="4" w:space="0" w:color="auto"/>
              <w:left w:val="nil"/>
              <w:bottom w:val="single" w:sz="4" w:space="0" w:color="auto"/>
              <w:right w:val="nil"/>
            </w:tcBorders>
            <w:shd w:val="clear" w:color="000000" w:fill="D9D9D9"/>
            <w:noWrap/>
            <w:vAlign w:val="bottom"/>
            <w:hideMark/>
          </w:tcPr>
          <w:p w14:paraId="21FFB3D5"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b/>
                <w:bCs/>
                <w:sz w:val="16"/>
                <w:szCs w:val="16"/>
              </w:rPr>
            </w:pPr>
            <w:r w:rsidRPr="00A13D16">
              <w:rPr>
                <w:rFonts w:asciiTheme="minorHAnsi" w:hAnsiTheme="minorHAnsi"/>
                <w:b/>
                <w:sz w:val="16"/>
                <w:szCs w:val="16"/>
              </w:rPr>
              <w:t>Description</w:t>
            </w:r>
          </w:p>
        </w:tc>
        <w:tc>
          <w:tcPr>
            <w:tcW w:w="946" w:type="pct"/>
            <w:tcBorders>
              <w:top w:val="single" w:sz="4" w:space="0" w:color="auto"/>
              <w:left w:val="nil"/>
              <w:bottom w:val="single" w:sz="4" w:space="0" w:color="auto"/>
              <w:right w:val="nil"/>
            </w:tcBorders>
            <w:shd w:val="clear" w:color="000000" w:fill="D9D9D9"/>
            <w:noWrap/>
            <w:vAlign w:val="bottom"/>
            <w:hideMark/>
          </w:tcPr>
          <w:p w14:paraId="69A2A900"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sz w:val="16"/>
                <w:szCs w:val="16"/>
              </w:rPr>
            </w:pPr>
            <w:r w:rsidRPr="00A13D16">
              <w:rPr>
                <w:rFonts w:asciiTheme="minorHAnsi" w:hAnsiTheme="minorHAnsi"/>
                <w:b/>
                <w:sz w:val="16"/>
                <w:szCs w:val="16"/>
              </w:rPr>
              <w:t>Exigences en matière de données</w:t>
            </w:r>
          </w:p>
        </w:tc>
        <w:tc>
          <w:tcPr>
            <w:tcW w:w="413" w:type="pct"/>
            <w:tcBorders>
              <w:top w:val="single" w:sz="4" w:space="0" w:color="auto"/>
              <w:left w:val="nil"/>
              <w:bottom w:val="single" w:sz="4" w:space="0" w:color="auto"/>
              <w:right w:val="nil"/>
            </w:tcBorders>
            <w:shd w:val="clear" w:color="000000" w:fill="D9D9D9"/>
            <w:noWrap/>
            <w:vAlign w:val="bottom"/>
            <w:hideMark/>
          </w:tcPr>
          <w:p w14:paraId="203A4ECD"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sz w:val="16"/>
                <w:szCs w:val="16"/>
              </w:rPr>
            </w:pPr>
            <w:proofErr w:type="spellStart"/>
            <w:r w:rsidRPr="00A13D16">
              <w:rPr>
                <w:rFonts w:asciiTheme="minorHAnsi" w:hAnsiTheme="minorHAnsi"/>
                <w:b/>
                <w:sz w:val="16"/>
                <w:szCs w:val="16"/>
              </w:rPr>
              <w:t>ÉtatDév</w:t>
            </w:r>
            <w:proofErr w:type="spellEnd"/>
          </w:p>
        </w:tc>
        <w:tc>
          <w:tcPr>
            <w:tcW w:w="359" w:type="pct"/>
            <w:tcBorders>
              <w:top w:val="single" w:sz="4" w:space="0" w:color="auto"/>
              <w:left w:val="nil"/>
              <w:bottom w:val="single" w:sz="4" w:space="0" w:color="auto"/>
              <w:right w:val="nil"/>
            </w:tcBorders>
            <w:shd w:val="clear" w:color="000000" w:fill="D9D9D9"/>
            <w:noWrap/>
            <w:vAlign w:val="bottom"/>
            <w:hideMark/>
          </w:tcPr>
          <w:p w14:paraId="77EDD43A"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sz w:val="16"/>
                <w:szCs w:val="16"/>
              </w:rPr>
            </w:pPr>
            <w:proofErr w:type="spellStart"/>
            <w:r w:rsidRPr="00A13D16">
              <w:rPr>
                <w:rFonts w:asciiTheme="minorHAnsi" w:hAnsiTheme="minorHAnsi"/>
                <w:b/>
                <w:sz w:val="16"/>
                <w:szCs w:val="16"/>
              </w:rPr>
              <w:t>DateDébut</w:t>
            </w:r>
            <w:proofErr w:type="spellEnd"/>
          </w:p>
        </w:tc>
        <w:tc>
          <w:tcPr>
            <w:tcW w:w="347" w:type="pct"/>
            <w:tcBorders>
              <w:top w:val="single" w:sz="4" w:space="0" w:color="auto"/>
              <w:left w:val="nil"/>
              <w:bottom w:val="single" w:sz="4" w:space="0" w:color="auto"/>
              <w:right w:val="nil"/>
            </w:tcBorders>
            <w:shd w:val="clear" w:color="000000" w:fill="D9D9D9"/>
            <w:noWrap/>
            <w:vAlign w:val="bottom"/>
            <w:hideMark/>
          </w:tcPr>
          <w:p w14:paraId="79F3B964"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ind w:right="-63"/>
              <w:jc w:val="left"/>
              <w:rPr>
                <w:rFonts w:asciiTheme="minorHAnsi" w:eastAsia="Times New Roman" w:hAnsiTheme="minorHAnsi" w:cs="Calibri"/>
                <w:b/>
                <w:bCs/>
                <w:sz w:val="16"/>
                <w:szCs w:val="16"/>
              </w:rPr>
            </w:pPr>
            <w:proofErr w:type="spellStart"/>
            <w:r w:rsidRPr="00A13D16">
              <w:rPr>
                <w:rFonts w:asciiTheme="minorHAnsi" w:hAnsiTheme="minorHAnsi"/>
                <w:b/>
                <w:sz w:val="16"/>
                <w:szCs w:val="16"/>
              </w:rPr>
              <w:t>DateFin</w:t>
            </w:r>
            <w:proofErr w:type="spellEnd"/>
          </w:p>
        </w:tc>
        <w:tc>
          <w:tcPr>
            <w:tcW w:w="407" w:type="pct"/>
            <w:tcBorders>
              <w:top w:val="single" w:sz="4" w:space="0" w:color="auto"/>
              <w:left w:val="nil"/>
              <w:bottom w:val="single" w:sz="4" w:space="0" w:color="auto"/>
              <w:right w:val="nil"/>
            </w:tcBorders>
            <w:shd w:val="clear" w:color="000000" w:fill="D9D9D9"/>
            <w:noWrap/>
            <w:vAlign w:val="bottom"/>
            <w:hideMark/>
          </w:tcPr>
          <w:p w14:paraId="550D82DC" w14:textId="272FBCB4" w:rsidR="00CA3FF4"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hAnsiTheme="minorHAnsi"/>
                <w:b/>
                <w:sz w:val="16"/>
                <w:szCs w:val="16"/>
              </w:rPr>
            </w:pPr>
            <w:r w:rsidRPr="00A13D16">
              <w:rPr>
                <w:rFonts w:asciiTheme="minorHAnsi" w:hAnsiTheme="minorHAnsi"/>
                <w:b/>
                <w:sz w:val="16"/>
                <w:szCs w:val="16"/>
              </w:rPr>
              <w:t>Fin de</w:t>
            </w:r>
          </w:p>
          <w:p w14:paraId="161C2924" w14:textId="13D45D5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sz w:val="16"/>
                <w:szCs w:val="16"/>
              </w:rPr>
            </w:pPr>
            <w:proofErr w:type="gramStart"/>
            <w:r w:rsidRPr="00A13D16">
              <w:rPr>
                <w:rFonts w:asciiTheme="minorHAnsi" w:hAnsiTheme="minorHAnsi"/>
                <w:b/>
                <w:sz w:val="16"/>
                <w:szCs w:val="16"/>
              </w:rPr>
              <w:t>phase</w:t>
            </w:r>
            <w:proofErr w:type="gramEnd"/>
          </w:p>
        </w:tc>
        <w:tc>
          <w:tcPr>
            <w:tcW w:w="264" w:type="pct"/>
            <w:tcBorders>
              <w:top w:val="single" w:sz="4" w:space="0" w:color="auto"/>
              <w:left w:val="nil"/>
              <w:bottom w:val="single" w:sz="4" w:space="0" w:color="auto"/>
              <w:right w:val="nil"/>
            </w:tcBorders>
            <w:shd w:val="clear" w:color="000000" w:fill="D9D9D9"/>
            <w:noWrap/>
            <w:vAlign w:val="bottom"/>
            <w:hideMark/>
          </w:tcPr>
          <w:p w14:paraId="51630EA3"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ind w:left="-36"/>
              <w:jc w:val="left"/>
              <w:rPr>
                <w:rFonts w:asciiTheme="minorHAnsi" w:eastAsia="Times New Roman" w:hAnsiTheme="minorHAnsi" w:cs="Calibri"/>
                <w:b/>
                <w:bCs/>
                <w:sz w:val="16"/>
                <w:szCs w:val="16"/>
              </w:rPr>
            </w:pPr>
            <w:r w:rsidRPr="00A13D16">
              <w:rPr>
                <w:rFonts w:asciiTheme="minorHAnsi" w:hAnsiTheme="minorHAnsi"/>
                <w:b/>
                <w:sz w:val="16"/>
                <w:szCs w:val="16"/>
              </w:rPr>
              <w:t>Budget</w:t>
            </w:r>
          </w:p>
        </w:tc>
        <w:tc>
          <w:tcPr>
            <w:tcW w:w="670" w:type="pct"/>
            <w:tcBorders>
              <w:top w:val="single" w:sz="4" w:space="0" w:color="auto"/>
              <w:left w:val="nil"/>
              <w:bottom w:val="single" w:sz="4" w:space="0" w:color="auto"/>
              <w:right w:val="single" w:sz="4" w:space="0" w:color="auto"/>
            </w:tcBorders>
            <w:shd w:val="clear" w:color="000000" w:fill="D9D9D9"/>
            <w:noWrap/>
            <w:vAlign w:val="bottom"/>
            <w:hideMark/>
          </w:tcPr>
          <w:p w14:paraId="603564C5"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sz w:val="16"/>
                <w:szCs w:val="16"/>
              </w:rPr>
            </w:pPr>
            <w:r w:rsidRPr="00A13D16">
              <w:rPr>
                <w:rFonts w:asciiTheme="minorHAnsi" w:hAnsiTheme="minorHAnsi"/>
                <w:b/>
                <w:sz w:val="16"/>
                <w:szCs w:val="16"/>
              </w:rPr>
              <w:t>Remarques</w:t>
            </w:r>
          </w:p>
        </w:tc>
      </w:tr>
      <w:tr w:rsidR="006B109C" w:rsidRPr="00A13D16" w14:paraId="22486B66" w14:textId="77777777" w:rsidTr="00A13D16">
        <w:trPr>
          <w:trHeight w:val="290"/>
        </w:trPr>
        <w:tc>
          <w:tcPr>
            <w:tcW w:w="234" w:type="pct"/>
            <w:tcBorders>
              <w:top w:val="nil"/>
              <w:left w:val="single" w:sz="8" w:space="0" w:color="auto"/>
              <w:bottom w:val="nil"/>
              <w:right w:val="nil"/>
            </w:tcBorders>
            <w:vAlign w:val="center"/>
            <w:hideMark/>
          </w:tcPr>
          <w:p w14:paraId="57348D9A"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285" w:type="pct"/>
            <w:tcBorders>
              <w:top w:val="nil"/>
              <w:left w:val="nil"/>
              <w:bottom w:val="nil"/>
              <w:right w:val="nil"/>
            </w:tcBorders>
            <w:vAlign w:val="center"/>
            <w:hideMark/>
          </w:tcPr>
          <w:p w14:paraId="162941C3"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462" w:type="pct"/>
            <w:tcBorders>
              <w:top w:val="nil"/>
              <w:left w:val="nil"/>
              <w:bottom w:val="nil"/>
              <w:right w:val="nil"/>
            </w:tcBorders>
            <w:vAlign w:val="center"/>
            <w:hideMark/>
          </w:tcPr>
          <w:p w14:paraId="47CC9022"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Module</w:t>
            </w:r>
          </w:p>
        </w:tc>
        <w:tc>
          <w:tcPr>
            <w:tcW w:w="616" w:type="pct"/>
            <w:tcBorders>
              <w:top w:val="nil"/>
              <w:left w:val="nil"/>
              <w:bottom w:val="nil"/>
              <w:right w:val="nil"/>
            </w:tcBorders>
            <w:vAlign w:val="center"/>
            <w:hideMark/>
          </w:tcPr>
          <w:p w14:paraId="0DC24E55"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Noyau/base de données IOMS</w:t>
            </w:r>
          </w:p>
        </w:tc>
        <w:tc>
          <w:tcPr>
            <w:tcW w:w="946" w:type="pct"/>
            <w:tcBorders>
              <w:top w:val="nil"/>
              <w:left w:val="nil"/>
              <w:bottom w:val="nil"/>
              <w:right w:val="nil"/>
            </w:tcBorders>
            <w:vAlign w:val="center"/>
            <w:hideMark/>
          </w:tcPr>
          <w:p w14:paraId="7243CE85"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n</w:t>
            </w:r>
            <w:proofErr w:type="gramEnd"/>
            <w:r w:rsidRPr="00A13D16">
              <w:rPr>
                <w:rFonts w:asciiTheme="minorHAnsi" w:hAnsiTheme="minorHAnsi"/>
                <w:color w:val="auto"/>
                <w:sz w:val="16"/>
                <w:szCs w:val="16"/>
              </w:rPr>
              <w:t>/a</w:t>
            </w:r>
          </w:p>
        </w:tc>
        <w:tc>
          <w:tcPr>
            <w:tcW w:w="413" w:type="pct"/>
            <w:tcBorders>
              <w:top w:val="nil"/>
              <w:left w:val="nil"/>
              <w:bottom w:val="nil"/>
              <w:right w:val="nil"/>
            </w:tcBorders>
            <w:vAlign w:val="center"/>
            <w:hideMark/>
          </w:tcPr>
          <w:p w14:paraId="2E56B4A3"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COMPLET</w:t>
            </w:r>
          </w:p>
        </w:tc>
        <w:tc>
          <w:tcPr>
            <w:tcW w:w="359" w:type="pct"/>
            <w:tcBorders>
              <w:top w:val="nil"/>
              <w:left w:val="nil"/>
              <w:bottom w:val="nil"/>
              <w:right w:val="nil"/>
            </w:tcBorders>
            <w:vAlign w:val="center"/>
            <w:hideMark/>
          </w:tcPr>
          <w:p w14:paraId="4F5C8F7B"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1er juin 2019</w:t>
            </w:r>
          </w:p>
        </w:tc>
        <w:tc>
          <w:tcPr>
            <w:tcW w:w="347" w:type="pct"/>
            <w:tcBorders>
              <w:top w:val="nil"/>
              <w:left w:val="nil"/>
              <w:bottom w:val="nil"/>
              <w:right w:val="nil"/>
            </w:tcBorders>
            <w:vAlign w:val="center"/>
            <w:hideMark/>
          </w:tcPr>
          <w:p w14:paraId="2CF9395A"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1er août 2021</w:t>
            </w:r>
          </w:p>
        </w:tc>
        <w:tc>
          <w:tcPr>
            <w:tcW w:w="407" w:type="pct"/>
            <w:tcBorders>
              <w:top w:val="nil"/>
              <w:left w:val="nil"/>
              <w:bottom w:val="nil"/>
              <w:right w:val="nil"/>
            </w:tcBorders>
            <w:vAlign w:val="center"/>
            <w:hideMark/>
          </w:tcPr>
          <w:p w14:paraId="7019F919"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2</w:t>
            </w:r>
          </w:p>
        </w:tc>
        <w:tc>
          <w:tcPr>
            <w:tcW w:w="264" w:type="pct"/>
            <w:tcBorders>
              <w:top w:val="nil"/>
              <w:left w:val="nil"/>
              <w:bottom w:val="nil"/>
              <w:right w:val="nil"/>
            </w:tcBorders>
            <w:vAlign w:val="center"/>
            <w:hideMark/>
          </w:tcPr>
          <w:p w14:paraId="2F763842"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COM-18</w:t>
            </w:r>
          </w:p>
        </w:tc>
        <w:tc>
          <w:tcPr>
            <w:tcW w:w="670" w:type="pct"/>
            <w:tcBorders>
              <w:top w:val="nil"/>
              <w:left w:val="nil"/>
              <w:bottom w:val="nil"/>
              <w:right w:val="single" w:sz="8" w:space="0" w:color="auto"/>
            </w:tcBorders>
            <w:vAlign w:val="center"/>
            <w:hideMark/>
          </w:tcPr>
          <w:p w14:paraId="6558FF56"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 </w:t>
            </w:r>
          </w:p>
        </w:tc>
      </w:tr>
      <w:tr w:rsidR="006B109C" w:rsidRPr="00A13D16" w14:paraId="17ED96E9" w14:textId="77777777" w:rsidTr="00A13D16">
        <w:trPr>
          <w:trHeight w:val="290"/>
        </w:trPr>
        <w:tc>
          <w:tcPr>
            <w:tcW w:w="234" w:type="pct"/>
            <w:tcBorders>
              <w:top w:val="nil"/>
              <w:left w:val="single" w:sz="8" w:space="0" w:color="auto"/>
              <w:bottom w:val="nil"/>
              <w:right w:val="nil"/>
            </w:tcBorders>
            <w:vAlign w:val="center"/>
            <w:hideMark/>
          </w:tcPr>
          <w:p w14:paraId="4F4CE3C6"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285" w:type="pct"/>
            <w:tcBorders>
              <w:top w:val="nil"/>
              <w:left w:val="nil"/>
              <w:bottom w:val="nil"/>
              <w:right w:val="nil"/>
            </w:tcBorders>
            <w:vAlign w:val="center"/>
            <w:hideMark/>
          </w:tcPr>
          <w:p w14:paraId="53CAF3DA"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2</w:t>
            </w:r>
          </w:p>
        </w:tc>
        <w:tc>
          <w:tcPr>
            <w:tcW w:w="462" w:type="pct"/>
            <w:tcBorders>
              <w:top w:val="nil"/>
              <w:left w:val="nil"/>
              <w:bottom w:val="nil"/>
              <w:right w:val="nil"/>
            </w:tcBorders>
            <w:vAlign w:val="center"/>
            <w:hideMark/>
          </w:tcPr>
          <w:p w14:paraId="2BF9D2A1"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Module</w:t>
            </w:r>
          </w:p>
        </w:tc>
        <w:tc>
          <w:tcPr>
            <w:tcW w:w="616" w:type="pct"/>
            <w:tcBorders>
              <w:top w:val="nil"/>
              <w:left w:val="nil"/>
              <w:bottom w:val="nil"/>
              <w:right w:val="nil"/>
            </w:tcBorders>
            <w:vAlign w:val="center"/>
            <w:hideMark/>
          </w:tcPr>
          <w:p w14:paraId="2A123B90"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Rapport annuel IOMS (Partie II/Section 3, Partie I /Annexe 1)</w:t>
            </w:r>
          </w:p>
        </w:tc>
        <w:tc>
          <w:tcPr>
            <w:tcW w:w="946" w:type="pct"/>
            <w:tcBorders>
              <w:top w:val="nil"/>
              <w:left w:val="nil"/>
              <w:bottom w:val="nil"/>
              <w:right w:val="nil"/>
            </w:tcBorders>
            <w:vAlign w:val="center"/>
            <w:hideMark/>
          </w:tcPr>
          <w:p w14:paraId="1883CB52"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S:GEN</w:t>
            </w:r>
            <w:proofErr w:type="gramEnd"/>
            <w:r w:rsidRPr="00A13D16">
              <w:rPr>
                <w:rFonts w:asciiTheme="minorHAnsi" w:hAnsiTheme="minorHAnsi"/>
                <w:color w:val="auto"/>
                <w:sz w:val="16"/>
                <w:szCs w:val="16"/>
              </w:rPr>
              <w:t xml:space="preserve">01, </w:t>
            </w:r>
            <w:proofErr w:type="gramStart"/>
            <w:r w:rsidRPr="00A13D16">
              <w:rPr>
                <w:rFonts w:asciiTheme="minorHAnsi" w:hAnsiTheme="minorHAnsi"/>
                <w:color w:val="auto"/>
                <w:sz w:val="16"/>
                <w:szCs w:val="16"/>
              </w:rPr>
              <w:t>M:GEN</w:t>
            </w:r>
            <w:proofErr w:type="gramEnd"/>
            <w:r w:rsidRPr="00A13D16">
              <w:rPr>
                <w:rFonts w:asciiTheme="minorHAnsi" w:hAnsiTheme="minorHAnsi"/>
                <w:color w:val="auto"/>
                <w:sz w:val="16"/>
                <w:szCs w:val="16"/>
              </w:rPr>
              <w:t>01</w:t>
            </w:r>
          </w:p>
        </w:tc>
        <w:tc>
          <w:tcPr>
            <w:tcW w:w="413" w:type="pct"/>
            <w:tcBorders>
              <w:top w:val="nil"/>
              <w:left w:val="nil"/>
              <w:bottom w:val="nil"/>
              <w:right w:val="nil"/>
            </w:tcBorders>
            <w:vAlign w:val="center"/>
            <w:hideMark/>
          </w:tcPr>
          <w:p w14:paraId="131BD19F"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COMPLET</w:t>
            </w:r>
          </w:p>
        </w:tc>
        <w:tc>
          <w:tcPr>
            <w:tcW w:w="359" w:type="pct"/>
            <w:tcBorders>
              <w:top w:val="nil"/>
              <w:left w:val="nil"/>
              <w:bottom w:val="nil"/>
              <w:right w:val="nil"/>
            </w:tcBorders>
            <w:vAlign w:val="center"/>
            <w:hideMark/>
          </w:tcPr>
          <w:p w14:paraId="2D458985"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1er juin 2019</w:t>
            </w:r>
          </w:p>
        </w:tc>
        <w:tc>
          <w:tcPr>
            <w:tcW w:w="347" w:type="pct"/>
            <w:tcBorders>
              <w:top w:val="nil"/>
              <w:left w:val="nil"/>
              <w:bottom w:val="nil"/>
              <w:right w:val="nil"/>
            </w:tcBorders>
            <w:vAlign w:val="center"/>
            <w:hideMark/>
          </w:tcPr>
          <w:p w14:paraId="5FB9751A"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1er août 2021</w:t>
            </w:r>
          </w:p>
        </w:tc>
        <w:tc>
          <w:tcPr>
            <w:tcW w:w="407" w:type="pct"/>
            <w:tcBorders>
              <w:top w:val="nil"/>
              <w:left w:val="nil"/>
              <w:bottom w:val="nil"/>
              <w:right w:val="nil"/>
            </w:tcBorders>
            <w:vAlign w:val="center"/>
            <w:hideMark/>
          </w:tcPr>
          <w:p w14:paraId="68CE52B7"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2</w:t>
            </w:r>
          </w:p>
        </w:tc>
        <w:tc>
          <w:tcPr>
            <w:tcW w:w="264" w:type="pct"/>
            <w:tcBorders>
              <w:top w:val="nil"/>
              <w:left w:val="nil"/>
              <w:bottom w:val="nil"/>
              <w:right w:val="nil"/>
            </w:tcBorders>
            <w:vAlign w:val="center"/>
            <w:hideMark/>
          </w:tcPr>
          <w:p w14:paraId="4E482260"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COM-18</w:t>
            </w:r>
          </w:p>
        </w:tc>
        <w:tc>
          <w:tcPr>
            <w:tcW w:w="670" w:type="pct"/>
            <w:tcBorders>
              <w:top w:val="nil"/>
              <w:left w:val="nil"/>
              <w:bottom w:val="nil"/>
              <w:right w:val="single" w:sz="8" w:space="0" w:color="auto"/>
            </w:tcBorders>
            <w:vAlign w:val="center"/>
            <w:hideMark/>
          </w:tcPr>
          <w:p w14:paraId="405BAC4B"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 </w:t>
            </w:r>
          </w:p>
        </w:tc>
      </w:tr>
      <w:tr w:rsidR="006B109C" w:rsidRPr="00A13D16" w14:paraId="45531A34" w14:textId="77777777" w:rsidTr="00A13D16">
        <w:trPr>
          <w:trHeight w:val="290"/>
        </w:trPr>
        <w:tc>
          <w:tcPr>
            <w:tcW w:w="234" w:type="pct"/>
            <w:tcBorders>
              <w:top w:val="nil"/>
              <w:left w:val="single" w:sz="8" w:space="0" w:color="auto"/>
              <w:bottom w:val="nil"/>
              <w:right w:val="nil"/>
            </w:tcBorders>
            <w:vAlign w:val="center"/>
            <w:hideMark/>
          </w:tcPr>
          <w:p w14:paraId="10C31E12"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285" w:type="pct"/>
            <w:tcBorders>
              <w:top w:val="nil"/>
              <w:left w:val="nil"/>
              <w:bottom w:val="nil"/>
              <w:right w:val="nil"/>
            </w:tcBorders>
            <w:vAlign w:val="center"/>
            <w:hideMark/>
          </w:tcPr>
          <w:p w14:paraId="28655F93"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3</w:t>
            </w:r>
          </w:p>
        </w:tc>
        <w:tc>
          <w:tcPr>
            <w:tcW w:w="462" w:type="pct"/>
            <w:tcBorders>
              <w:top w:val="nil"/>
              <w:left w:val="nil"/>
              <w:bottom w:val="nil"/>
              <w:right w:val="nil"/>
            </w:tcBorders>
            <w:vAlign w:val="center"/>
            <w:hideMark/>
          </w:tcPr>
          <w:p w14:paraId="5410455F"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Tâche</w:t>
            </w:r>
          </w:p>
        </w:tc>
        <w:tc>
          <w:tcPr>
            <w:tcW w:w="616" w:type="pct"/>
            <w:tcBorders>
              <w:top w:val="nil"/>
              <w:left w:val="nil"/>
              <w:bottom w:val="nil"/>
              <w:right w:val="nil"/>
            </w:tcBorders>
            <w:vAlign w:val="center"/>
            <w:hideMark/>
          </w:tcPr>
          <w:p w14:paraId="0F42257B"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IOMS en production</w:t>
            </w:r>
          </w:p>
        </w:tc>
        <w:tc>
          <w:tcPr>
            <w:tcW w:w="946" w:type="pct"/>
            <w:tcBorders>
              <w:top w:val="nil"/>
              <w:left w:val="nil"/>
              <w:bottom w:val="nil"/>
              <w:right w:val="nil"/>
            </w:tcBorders>
            <w:hideMark/>
          </w:tcPr>
          <w:p w14:paraId="77A49C99"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lang w:eastAsia="en-GB"/>
              </w:rPr>
            </w:pPr>
          </w:p>
        </w:tc>
        <w:tc>
          <w:tcPr>
            <w:tcW w:w="413" w:type="pct"/>
            <w:tcBorders>
              <w:top w:val="nil"/>
              <w:left w:val="nil"/>
              <w:bottom w:val="nil"/>
              <w:right w:val="nil"/>
            </w:tcBorders>
            <w:vAlign w:val="center"/>
            <w:hideMark/>
          </w:tcPr>
          <w:p w14:paraId="01188D47"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COMPLET</w:t>
            </w:r>
          </w:p>
        </w:tc>
        <w:tc>
          <w:tcPr>
            <w:tcW w:w="359" w:type="pct"/>
            <w:tcBorders>
              <w:top w:val="nil"/>
              <w:left w:val="nil"/>
              <w:bottom w:val="nil"/>
              <w:right w:val="nil"/>
            </w:tcBorders>
            <w:vAlign w:val="center"/>
            <w:hideMark/>
          </w:tcPr>
          <w:p w14:paraId="25F07B4A"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1er juin 2019</w:t>
            </w:r>
          </w:p>
        </w:tc>
        <w:tc>
          <w:tcPr>
            <w:tcW w:w="347" w:type="pct"/>
            <w:tcBorders>
              <w:top w:val="nil"/>
              <w:left w:val="nil"/>
              <w:bottom w:val="nil"/>
              <w:right w:val="nil"/>
            </w:tcBorders>
            <w:vAlign w:val="center"/>
            <w:hideMark/>
          </w:tcPr>
          <w:p w14:paraId="15B69CF4"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1er août 2021</w:t>
            </w:r>
          </w:p>
        </w:tc>
        <w:tc>
          <w:tcPr>
            <w:tcW w:w="407" w:type="pct"/>
            <w:tcBorders>
              <w:top w:val="nil"/>
              <w:left w:val="nil"/>
              <w:bottom w:val="nil"/>
              <w:right w:val="nil"/>
            </w:tcBorders>
            <w:vAlign w:val="center"/>
            <w:hideMark/>
          </w:tcPr>
          <w:p w14:paraId="19AFFE2B"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2</w:t>
            </w:r>
          </w:p>
        </w:tc>
        <w:tc>
          <w:tcPr>
            <w:tcW w:w="264" w:type="pct"/>
            <w:tcBorders>
              <w:top w:val="nil"/>
              <w:left w:val="nil"/>
              <w:bottom w:val="nil"/>
              <w:right w:val="nil"/>
            </w:tcBorders>
            <w:vAlign w:val="center"/>
            <w:hideMark/>
          </w:tcPr>
          <w:p w14:paraId="0FB67853"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COM-18</w:t>
            </w:r>
          </w:p>
        </w:tc>
        <w:tc>
          <w:tcPr>
            <w:tcW w:w="670" w:type="pct"/>
            <w:tcBorders>
              <w:top w:val="nil"/>
              <w:left w:val="nil"/>
              <w:bottom w:val="nil"/>
              <w:right w:val="single" w:sz="8" w:space="0" w:color="auto"/>
            </w:tcBorders>
            <w:vAlign w:val="center"/>
            <w:hideMark/>
          </w:tcPr>
          <w:p w14:paraId="6632C8ED"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 </w:t>
            </w:r>
          </w:p>
        </w:tc>
      </w:tr>
      <w:tr w:rsidR="006B109C" w:rsidRPr="00A13D16" w14:paraId="1E0E5B3E" w14:textId="77777777" w:rsidTr="00A13D16">
        <w:trPr>
          <w:trHeight w:val="290"/>
        </w:trPr>
        <w:tc>
          <w:tcPr>
            <w:tcW w:w="234" w:type="pct"/>
            <w:tcBorders>
              <w:top w:val="nil"/>
              <w:left w:val="single" w:sz="8" w:space="0" w:color="auto"/>
              <w:bottom w:val="nil"/>
              <w:right w:val="nil"/>
            </w:tcBorders>
            <w:vAlign w:val="center"/>
            <w:hideMark/>
          </w:tcPr>
          <w:p w14:paraId="202126D7"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285" w:type="pct"/>
            <w:tcBorders>
              <w:top w:val="nil"/>
              <w:left w:val="nil"/>
              <w:bottom w:val="nil"/>
              <w:right w:val="nil"/>
            </w:tcBorders>
            <w:vAlign w:val="center"/>
            <w:hideMark/>
          </w:tcPr>
          <w:p w14:paraId="32DBD9CD"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462" w:type="pct"/>
            <w:tcBorders>
              <w:top w:val="nil"/>
              <w:left w:val="nil"/>
              <w:bottom w:val="nil"/>
              <w:right w:val="nil"/>
            </w:tcBorders>
            <w:vAlign w:val="center"/>
            <w:hideMark/>
          </w:tcPr>
          <w:p w14:paraId="373F6331"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Tâche</w:t>
            </w:r>
          </w:p>
        </w:tc>
        <w:tc>
          <w:tcPr>
            <w:tcW w:w="616" w:type="pct"/>
            <w:tcBorders>
              <w:top w:val="nil"/>
              <w:left w:val="nil"/>
              <w:bottom w:val="nil"/>
              <w:right w:val="nil"/>
            </w:tcBorders>
            <w:vAlign w:val="center"/>
            <w:hideMark/>
          </w:tcPr>
          <w:p w14:paraId="15CD20DA"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Séance 1 de l’atelier de formation (phase 1)</w:t>
            </w:r>
          </w:p>
        </w:tc>
        <w:tc>
          <w:tcPr>
            <w:tcW w:w="946" w:type="pct"/>
            <w:tcBorders>
              <w:top w:val="nil"/>
              <w:left w:val="nil"/>
              <w:bottom w:val="nil"/>
              <w:right w:val="nil"/>
            </w:tcBorders>
            <w:hideMark/>
          </w:tcPr>
          <w:p w14:paraId="7971FAB2"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lang w:eastAsia="en-GB"/>
              </w:rPr>
            </w:pPr>
          </w:p>
        </w:tc>
        <w:tc>
          <w:tcPr>
            <w:tcW w:w="413" w:type="pct"/>
            <w:tcBorders>
              <w:top w:val="nil"/>
              <w:left w:val="nil"/>
              <w:bottom w:val="nil"/>
              <w:right w:val="nil"/>
            </w:tcBorders>
            <w:vAlign w:val="center"/>
            <w:hideMark/>
          </w:tcPr>
          <w:p w14:paraId="24AB8503"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COMPLET</w:t>
            </w:r>
          </w:p>
        </w:tc>
        <w:tc>
          <w:tcPr>
            <w:tcW w:w="359" w:type="pct"/>
            <w:tcBorders>
              <w:top w:val="nil"/>
              <w:left w:val="nil"/>
              <w:bottom w:val="nil"/>
              <w:right w:val="nil"/>
            </w:tcBorders>
            <w:vAlign w:val="center"/>
            <w:hideMark/>
          </w:tcPr>
          <w:p w14:paraId="631A91CA"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28 avril 2022</w:t>
            </w:r>
          </w:p>
        </w:tc>
        <w:tc>
          <w:tcPr>
            <w:tcW w:w="347" w:type="pct"/>
            <w:tcBorders>
              <w:top w:val="nil"/>
              <w:left w:val="nil"/>
              <w:bottom w:val="nil"/>
              <w:right w:val="nil"/>
            </w:tcBorders>
            <w:vAlign w:val="center"/>
            <w:hideMark/>
          </w:tcPr>
          <w:p w14:paraId="0D57DA16"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n</w:t>
            </w:r>
            <w:proofErr w:type="gramEnd"/>
            <w:r w:rsidRPr="00A13D16">
              <w:rPr>
                <w:rFonts w:asciiTheme="minorHAnsi" w:hAnsiTheme="minorHAnsi"/>
                <w:color w:val="auto"/>
                <w:sz w:val="16"/>
                <w:szCs w:val="16"/>
              </w:rPr>
              <w:t>/a</w:t>
            </w:r>
          </w:p>
        </w:tc>
        <w:tc>
          <w:tcPr>
            <w:tcW w:w="407" w:type="pct"/>
            <w:tcBorders>
              <w:top w:val="nil"/>
              <w:left w:val="nil"/>
              <w:bottom w:val="nil"/>
              <w:right w:val="nil"/>
            </w:tcBorders>
            <w:vAlign w:val="center"/>
            <w:hideMark/>
          </w:tcPr>
          <w:p w14:paraId="7E564073"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2</w:t>
            </w:r>
          </w:p>
        </w:tc>
        <w:tc>
          <w:tcPr>
            <w:tcW w:w="264" w:type="pct"/>
            <w:tcBorders>
              <w:top w:val="nil"/>
              <w:left w:val="nil"/>
              <w:bottom w:val="nil"/>
              <w:right w:val="nil"/>
            </w:tcBorders>
            <w:vAlign w:val="center"/>
            <w:hideMark/>
          </w:tcPr>
          <w:p w14:paraId="4DF38066"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COM-18</w:t>
            </w:r>
          </w:p>
        </w:tc>
        <w:tc>
          <w:tcPr>
            <w:tcW w:w="670" w:type="pct"/>
            <w:tcBorders>
              <w:top w:val="nil"/>
              <w:left w:val="nil"/>
              <w:bottom w:val="nil"/>
              <w:right w:val="single" w:sz="8" w:space="0" w:color="auto"/>
            </w:tcBorders>
            <w:vAlign w:val="center"/>
            <w:hideMark/>
          </w:tcPr>
          <w:p w14:paraId="38B99106" w14:textId="77777777" w:rsidR="001466C2"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hAnsiTheme="minorHAnsi"/>
                <w:color w:val="auto"/>
                <w:sz w:val="16"/>
                <w:szCs w:val="16"/>
              </w:rPr>
            </w:pPr>
            <w:r w:rsidRPr="00A13D16">
              <w:rPr>
                <w:rFonts w:asciiTheme="minorHAnsi" w:hAnsiTheme="minorHAnsi"/>
                <w:color w:val="auto"/>
                <w:sz w:val="16"/>
                <w:szCs w:val="16"/>
              </w:rPr>
              <w:t xml:space="preserve">Première séance </w:t>
            </w:r>
          </w:p>
          <w:p w14:paraId="1191B661" w14:textId="66828873"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(4 heures)</w:t>
            </w:r>
          </w:p>
        </w:tc>
      </w:tr>
      <w:tr w:rsidR="006B109C" w:rsidRPr="00A13D16" w14:paraId="17E6CC3B" w14:textId="77777777" w:rsidTr="00A13D16">
        <w:trPr>
          <w:trHeight w:val="290"/>
        </w:trPr>
        <w:tc>
          <w:tcPr>
            <w:tcW w:w="234" w:type="pct"/>
            <w:tcBorders>
              <w:top w:val="nil"/>
              <w:left w:val="single" w:sz="8" w:space="0" w:color="auto"/>
              <w:bottom w:val="nil"/>
              <w:right w:val="nil"/>
            </w:tcBorders>
            <w:vAlign w:val="center"/>
            <w:hideMark/>
          </w:tcPr>
          <w:p w14:paraId="27CF0F40"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285" w:type="pct"/>
            <w:tcBorders>
              <w:top w:val="nil"/>
              <w:left w:val="nil"/>
              <w:bottom w:val="nil"/>
              <w:right w:val="nil"/>
            </w:tcBorders>
            <w:vAlign w:val="center"/>
            <w:hideMark/>
          </w:tcPr>
          <w:p w14:paraId="4D88C6CB"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462" w:type="pct"/>
            <w:tcBorders>
              <w:top w:val="nil"/>
              <w:left w:val="nil"/>
              <w:bottom w:val="nil"/>
              <w:right w:val="nil"/>
            </w:tcBorders>
            <w:vAlign w:val="center"/>
            <w:hideMark/>
          </w:tcPr>
          <w:p w14:paraId="133F2A99"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Tâche</w:t>
            </w:r>
          </w:p>
        </w:tc>
        <w:tc>
          <w:tcPr>
            <w:tcW w:w="616" w:type="pct"/>
            <w:tcBorders>
              <w:top w:val="nil"/>
              <w:left w:val="nil"/>
              <w:bottom w:val="nil"/>
              <w:right w:val="nil"/>
            </w:tcBorders>
            <w:vAlign w:val="center"/>
            <w:hideMark/>
          </w:tcPr>
          <w:p w14:paraId="7951E2AE"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Séance 2 de l’atelier de formation (phase 1)</w:t>
            </w:r>
          </w:p>
        </w:tc>
        <w:tc>
          <w:tcPr>
            <w:tcW w:w="946" w:type="pct"/>
            <w:tcBorders>
              <w:top w:val="nil"/>
              <w:left w:val="nil"/>
              <w:bottom w:val="nil"/>
              <w:right w:val="nil"/>
            </w:tcBorders>
            <w:hideMark/>
          </w:tcPr>
          <w:p w14:paraId="557228C4"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lang w:eastAsia="en-GB"/>
              </w:rPr>
            </w:pPr>
          </w:p>
        </w:tc>
        <w:tc>
          <w:tcPr>
            <w:tcW w:w="413" w:type="pct"/>
            <w:tcBorders>
              <w:top w:val="nil"/>
              <w:left w:val="nil"/>
              <w:bottom w:val="nil"/>
              <w:right w:val="nil"/>
            </w:tcBorders>
            <w:vAlign w:val="center"/>
            <w:hideMark/>
          </w:tcPr>
          <w:p w14:paraId="1792D547"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COMPLET</w:t>
            </w:r>
          </w:p>
        </w:tc>
        <w:tc>
          <w:tcPr>
            <w:tcW w:w="359" w:type="pct"/>
            <w:tcBorders>
              <w:top w:val="nil"/>
              <w:left w:val="nil"/>
              <w:bottom w:val="nil"/>
              <w:right w:val="nil"/>
            </w:tcBorders>
            <w:vAlign w:val="center"/>
            <w:hideMark/>
          </w:tcPr>
          <w:p w14:paraId="770CB1BF"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1er septembre 2022</w:t>
            </w:r>
          </w:p>
        </w:tc>
        <w:tc>
          <w:tcPr>
            <w:tcW w:w="347" w:type="pct"/>
            <w:tcBorders>
              <w:top w:val="nil"/>
              <w:left w:val="nil"/>
              <w:bottom w:val="nil"/>
              <w:right w:val="nil"/>
            </w:tcBorders>
            <w:vAlign w:val="center"/>
            <w:hideMark/>
          </w:tcPr>
          <w:p w14:paraId="3D0BEBFD"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n</w:t>
            </w:r>
            <w:proofErr w:type="gramEnd"/>
            <w:r w:rsidRPr="00A13D16">
              <w:rPr>
                <w:rFonts w:asciiTheme="minorHAnsi" w:hAnsiTheme="minorHAnsi"/>
                <w:color w:val="auto"/>
                <w:sz w:val="16"/>
                <w:szCs w:val="16"/>
              </w:rPr>
              <w:t>/a</w:t>
            </w:r>
          </w:p>
        </w:tc>
        <w:tc>
          <w:tcPr>
            <w:tcW w:w="407" w:type="pct"/>
            <w:tcBorders>
              <w:top w:val="nil"/>
              <w:left w:val="nil"/>
              <w:bottom w:val="nil"/>
              <w:right w:val="nil"/>
            </w:tcBorders>
            <w:vAlign w:val="center"/>
            <w:hideMark/>
          </w:tcPr>
          <w:p w14:paraId="0D692FA4"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2</w:t>
            </w:r>
          </w:p>
        </w:tc>
        <w:tc>
          <w:tcPr>
            <w:tcW w:w="264" w:type="pct"/>
            <w:tcBorders>
              <w:top w:val="nil"/>
              <w:left w:val="nil"/>
              <w:bottom w:val="nil"/>
              <w:right w:val="nil"/>
            </w:tcBorders>
            <w:vAlign w:val="center"/>
            <w:hideMark/>
          </w:tcPr>
          <w:p w14:paraId="17555B2E"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COM-18</w:t>
            </w:r>
          </w:p>
        </w:tc>
        <w:tc>
          <w:tcPr>
            <w:tcW w:w="670" w:type="pct"/>
            <w:tcBorders>
              <w:top w:val="nil"/>
              <w:left w:val="nil"/>
              <w:bottom w:val="nil"/>
              <w:right w:val="single" w:sz="8" w:space="0" w:color="auto"/>
            </w:tcBorders>
            <w:vAlign w:val="center"/>
            <w:hideMark/>
          </w:tcPr>
          <w:p w14:paraId="3154F59D" w14:textId="77777777" w:rsidR="001466C2"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hAnsiTheme="minorHAnsi"/>
                <w:color w:val="auto"/>
                <w:sz w:val="16"/>
                <w:szCs w:val="16"/>
              </w:rPr>
            </w:pPr>
            <w:r w:rsidRPr="00A13D16">
              <w:rPr>
                <w:rFonts w:asciiTheme="minorHAnsi" w:hAnsiTheme="minorHAnsi"/>
                <w:color w:val="auto"/>
                <w:sz w:val="16"/>
                <w:szCs w:val="16"/>
              </w:rPr>
              <w:t xml:space="preserve">Deuxième séance </w:t>
            </w:r>
          </w:p>
          <w:p w14:paraId="4097BAD1" w14:textId="41FD6693"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(4 heures)</w:t>
            </w:r>
          </w:p>
        </w:tc>
      </w:tr>
      <w:tr w:rsidR="006B109C" w:rsidRPr="00A13D16" w14:paraId="5CB482E0" w14:textId="77777777" w:rsidTr="00A13D16">
        <w:trPr>
          <w:trHeight w:val="300"/>
        </w:trPr>
        <w:tc>
          <w:tcPr>
            <w:tcW w:w="234" w:type="pct"/>
            <w:tcBorders>
              <w:top w:val="nil"/>
              <w:left w:val="nil"/>
              <w:bottom w:val="single" w:sz="8" w:space="0" w:color="auto"/>
              <w:right w:val="nil"/>
            </w:tcBorders>
            <w:shd w:val="clear" w:color="000000" w:fill="DDEBF7"/>
            <w:vAlign w:val="center"/>
            <w:hideMark/>
          </w:tcPr>
          <w:p w14:paraId="0C35A0EB"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285" w:type="pct"/>
            <w:tcBorders>
              <w:top w:val="nil"/>
              <w:left w:val="nil"/>
              <w:bottom w:val="single" w:sz="8" w:space="0" w:color="auto"/>
              <w:right w:val="nil"/>
            </w:tcBorders>
            <w:shd w:val="clear" w:color="000000" w:fill="DDEBF7"/>
            <w:vAlign w:val="center"/>
            <w:hideMark/>
          </w:tcPr>
          <w:p w14:paraId="006B14AB"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462" w:type="pct"/>
            <w:tcBorders>
              <w:top w:val="nil"/>
              <w:left w:val="nil"/>
              <w:bottom w:val="single" w:sz="8" w:space="0" w:color="auto"/>
              <w:right w:val="nil"/>
            </w:tcBorders>
            <w:shd w:val="clear" w:color="000000" w:fill="DDEBF7"/>
            <w:vAlign w:val="center"/>
            <w:hideMark/>
          </w:tcPr>
          <w:p w14:paraId="27048790"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Tâche</w:t>
            </w:r>
          </w:p>
        </w:tc>
        <w:tc>
          <w:tcPr>
            <w:tcW w:w="616" w:type="pct"/>
            <w:tcBorders>
              <w:top w:val="nil"/>
              <w:left w:val="nil"/>
              <w:bottom w:val="single" w:sz="8" w:space="0" w:color="auto"/>
              <w:right w:val="nil"/>
            </w:tcBorders>
            <w:shd w:val="clear" w:color="000000" w:fill="DDEBF7"/>
            <w:vAlign w:val="center"/>
            <w:hideMark/>
          </w:tcPr>
          <w:p w14:paraId="73D175EE"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Maintenance (y compris les améliorations et la correction des erreurs)</w:t>
            </w:r>
          </w:p>
        </w:tc>
        <w:tc>
          <w:tcPr>
            <w:tcW w:w="946" w:type="pct"/>
            <w:tcBorders>
              <w:top w:val="nil"/>
              <w:left w:val="nil"/>
              <w:bottom w:val="single" w:sz="8" w:space="0" w:color="auto"/>
              <w:right w:val="nil"/>
            </w:tcBorders>
            <w:shd w:val="clear" w:color="000000" w:fill="DDEBF7"/>
            <w:vAlign w:val="center"/>
            <w:hideMark/>
          </w:tcPr>
          <w:p w14:paraId="45A60FE7" w14:textId="00A4CAF9"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
        </w:tc>
        <w:tc>
          <w:tcPr>
            <w:tcW w:w="413" w:type="pct"/>
            <w:tcBorders>
              <w:top w:val="nil"/>
              <w:left w:val="nil"/>
              <w:bottom w:val="single" w:sz="8" w:space="0" w:color="auto"/>
              <w:right w:val="nil"/>
            </w:tcBorders>
            <w:shd w:val="clear" w:color="000000" w:fill="DDEBF7"/>
            <w:vAlign w:val="center"/>
            <w:hideMark/>
          </w:tcPr>
          <w:p w14:paraId="0EBCEA76"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Suite</w:t>
            </w:r>
          </w:p>
        </w:tc>
        <w:tc>
          <w:tcPr>
            <w:tcW w:w="359" w:type="pct"/>
            <w:tcBorders>
              <w:top w:val="nil"/>
              <w:left w:val="nil"/>
              <w:bottom w:val="single" w:sz="8" w:space="0" w:color="auto"/>
              <w:right w:val="nil"/>
            </w:tcBorders>
            <w:shd w:val="clear" w:color="000000" w:fill="DDEBF7"/>
            <w:vAlign w:val="center"/>
            <w:hideMark/>
          </w:tcPr>
          <w:p w14:paraId="007B66AB"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1er juin 2019</w:t>
            </w:r>
          </w:p>
        </w:tc>
        <w:tc>
          <w:tcPr>
            <w:tcW w:w="347" w:type="pct"/>
            <w:tcBorders>
              <w:top w:val="nil"/>
              <w:left w:val="nil"/>
              <w:bottom w:val="single" w:sz="8" w:space="0" w:color="auto"/>
              <w:right w:val="nil"/>
            </w:tcBorders>
            <w:shd w:val="clear" w:color="000000" w:fill="DDEBF7"/>
            <w:vAlign w:val="center"/>
            <w:hideMark/>
          </w:tcPr>
          <w:p w14:paraId="191E71A2"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n</w:t>
            </w:r>
            <w:proofErr w:type="gramEnd"/>
            <w:r w:rsidRPr="00A13D16">
              <w:rPr>
                <w:rFonts w:asciiTheme="minorHAnsi" w:hAnsiTheme="minorHAnsi"/>
                <w:color w:val="auto"/>
                <w:sz w:val="16"/>
                <w:szCs w:val="16"/>
              </w:rPr>
              <w:t>/a</w:t>
            </w:r>
          </w:p>
        </w:tc>
        <w:tc>
          <w:tcPr>
            <w:tcW w:w="407" w:type="pct"/>
            <w:tcBorders>
              <w:top w:val="nil"/>
              <w:left w:val="nil"/>
              <w:bottom w:val="single" w:sz="8" w:space="0" w:color="auto"/>
              <w:right w:val="nil"/>
            </w:tcBorders>
            <w:shd w:val="clear" w:color="000000" w:fill="DDEBF7"/>
            <w:vAlign w:val="center"/>
            <w:hideMark/>
          </w:tcPr>
          <w:p w14:paraId="3FFA2094"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n</w:t>
            </w:r>
            <w:proofErr w:type="gramEnd"/>
            <w:r w:rsidRPr="00A13D16">
              <w:rPr>
                <w:rFonts w:asciiTheme="minorHAnsi" w:hAnsiTheme="minorHAnsi"/>
                <w:color w:val="auto"/>
                <w:sz w:val="16"/>
                <w:szCs w:val="16"/>
              </w:rPr>
              <w:t>/a</w:t>
            </w:r>
          </w:p>
        </w:tc>
        <w:tc>
          <w:tcPr>
            <w:tcW w:w="264" w:type="pct"/>
            <w:tcBorders>
              <w:top w:val="nil"/>
              <w:left w:val="nil"/>
              <w:bottom w:val="single" w:sz="8" w:space="0" w:color="auto"/>
              <w:right w:val="nil"/>
            </w:tcBorders>
            <w:shd w:val="clear" w:color="000000" w:fill="DDEBF7"/>
            <w:vAlign w:val="center"/>
            <w:hideMark/>
          </w:tcPr>
          <w:p w14:paraId="79C0B31A"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COM-18</w:t>
            </w:r>
          </w:p>
        </w:tc>
        <w:tc>
          <w:tcPr>
            <w:tcW w:w="670" w:type="pct"/>
            <w:tcBorders>
              <w:top w:val="nil"/>
              <w:left w:val="nil"/>
              <w:bottom w:val="single" w:sz="8" w:space="0" w:color="auto"/>
              <w:right w:val="single" w:sz="8" w:space="0" w:color="auto"/>
            </w:tcBorders>
            <w:shd w:val="clear" w:color="000000" w:fill="DDEBF7"/>
            <w:vAlign w:val="center"/>
            <w:hideMark/>
          </w:tcPr>
          <w:p w14:paraId="70A3F32A"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Tâche de maintenance</w:t>
            </w:r>
          </w:p>
        </w:tc>
      </w:tr>
      <w:tr w:rsidR="006B109C" w:rsidRPr="00A13D16" w14:paraId="3EF9E4DA" w14:textId="77777777" w:rsidTr="00A13D16">
        <w:trPr>
          <w:trHeight w:val="290"/>
        </w:trPr>
        <w:tc>
          <w:tcPr>
            <w:tcW w:w="234" w:type="pct"/>
            <w:tcBorders>
              <w:top w:val="nil"/>
              <w:left w:val="single" w:sz="8" w:space="0" w:color="auto"/>
              <w:bottom w:val="nil"/>
              <w:right w:val="nil"/>
            </w:tcBorders>
            <w:vAlign w:val="center"/>
            <w:hideMark/>
          </w:tcPr>
          <w:p w14:paraId="140DA584"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2</w:t>
            </w:r>
          </w:p>
        </w:tc>
        <w:tc>
          <w:tcPr>
            <w:tcW w:w="285" w:type="pct"/>
            <w:tcBorders>
              <w:top w:val="nil"/>
              <w:left w:val="nil"/>
              <w:bottom w:val="nil"/>
              <w:right w:val="nil"/>
            </w:tcBorders>
            <w:vAlign w:val="center"/>
            <w:hideMark/>
          </w:tcPr>
          <w:p w14:paraId="6A938022"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462" w:type="pct"/>
            <w:tcBorders>
              <w:top w:val="nil"/>
              <w:left w:val="nil"/>
              <w:bottom w:val="nil"/>
              <w:right w:val="nil"/>
            </w:tcBorders>
            <w:vAlign w:val="center"/>
            <w:hideMark/>
          </w:tcPr>
          <w:p w14:paraId="37A7879F"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Module</w:t>
            </w:r>
          </w:p>
        </w:tc>
        <w:tc>
          <w:tcPr>
            <w:tcW w:w="616" w:type="pct"/>
            <w:tcBorders>
              <w:top w:val="nil"/>
              <w:left w:val="nil"/>
              <w:bottom w:val="nil"/>
              <w:right w:val="nil"/>
            </w:tcBorders>
            <w:vAlign w:val="center"/>
            <w:hideMark/>
          </w:tcPr>
          <w:p w14:paraId="310AAE7D"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Système dynamique d'aide (module)</w:t>
            </w:r>
          </w:p>
        </w:tc>
        <w:tc>
          <w:tcPr>
            <w:tcW w:w="946" w:type="pct"/>
            <w:tcBorders>
              <w:top w:val="nil"/>
              <w:left w:val="nil"/>
              <w:bottom w:val="nil"/>
              <w:right w:val="nil"/>
            </w:tcBorders>
            <w:vAlign w:val="center"/>
            <w:hideMark/>
          </w:tcPr>
          <w:p w14:paraId="01D4AF15"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n</w:t>
            </w:r>
            <w:proofErr w:type="gramEnd"/>
            <w:r w:rsidRPr="00A13D16">
              <w:rPr>
                <w:rFonts w:asciiTheme="minorHAnsi" w:hAnsiTheme="minorHAnsi"/>
                <w:color w:val="auto"/>
                <w:sz w:val="16"/>
                <w:szCs w:val="16"/>
              </w:rPr>
              <w:t>/a</w:t>
            </w:r>
          </w:p>
        </w:tc>
        <w:tc>
          <w:tcPr>
            <w:tcW w:w="413" w:type="pct"/>
            <w:tcBorders>
              <w:top w:val="nil"/>
              <w:left w:val="nil"/>
              <w:bottom w:val="nil"/>
              <w:right w:val="nil"/>
            </w:tcBorders>
            <w:vAlign w:val="center"/>
            <w:hideMark/>
          </w:tcPr>
          <w:p w14:paraId="574D588C"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COMPLET</w:t>
            </w:r>
          </w:p>
        </w:tc>
        <w:tc>
          <w:tcPr>
            <w:tcW w:w="359" w:type="pct"/>
            <w:tcBorders>
              <w:top w:val="nil"/>
              <w:left w:val="nil"/>
              <w:bottom w:val="nil"/>
              <w:right w:val="nil"/>
            </w:tcBorders>
            <w:vAlign w:val="center"/>
            <w:hideMark/>
          </w:tcPr>
          <w:p w14:paraId="4D4ADB3D"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31 mars 2021</w:t>
            </w:r>
          </w:p>
        </w:tc>
        <w:tc>
          <w:tcPr>
            <w:tcW w:w="347" w:type="pct"/>
            <w:tcBorders>
              <w:top w:val="nil"/>
              <w:left w:val="nil"/>
              <w:bottom w:val="nil"/>
              <w:right w:val="nil"/>
            </w:tcBorders>
            <w:vAlign w:val="center"/>
            <w:hideMark/>
          </w:tcPr>
          <w:p w14:paraId="4BC97E9D"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31 mars 2022</w:t>
            </w:r>
          </w:p>
        </w:tc>
        <w:tc>
          <w:tcPr>
            <w:tcW w:w="407" w:type="pct"/>
            <w:tcBorders>
              <w:top w:val="nil"/>
              <w:left w:val="nil"/>
              <w:bottom w:val="nil"/>
              <w:right w:val="nil"/>
            </w:tcBorders>
            <w:vAlign w:val="center"/>
            <w:hideMark/>
          </w:tcPr>
          <w:p w14:paraId="0C0B2382"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2</w:t>
            </w:r>
          </w:p>
        </w:tc>
        <w:tc>
          <w:tcPr>
            <w:tcW w:w="264" w:type="pct"/>
            <w:tcBorders>
              <w:top w:val="nil"/>
              <w:left w:val="nil"/>
              <w:bottom w:val="nil"/>
              <w:right w:val="nil"/>
            </w:tcBorders>
            <w:vAlign w:val="center"/>
            <w:hideMark/>
          </w:tcPr>
          <w:p w14:paraId="225DD6DE"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CPC (UE)</w:t>
            </w:r>
          </w:p>
        </w:tc>
        <w:tc>
          <w:tcPr>
            <w:tcW w:w="670" w:type="pct"/>
            <w:tcBorders>
              <w:top w:val="nil"/>
              <w:left w:val="nil"/>
              <w:bottom w:val="nil"/>
              <w:right w:val="single" w:sz="8" w:space="0" w:color="auto"/>
            </w:tcBorders>
            <w:vAlign w:val="center"/>
            <w:hideMark/>
          </w:tcPr>
          <w:p w14:paraId="0508D5AC"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 </w:t>
            </w:r>
          </w:p>
        </w:tc>
      </w:tr>
      <w:tr w:rsidR="006B109C" w:rsidRPr="00A13D16" w14:paraId="28CBCA30" w14:textId="77777777" w:rsidTr="00A13D16">
        <w:trPr>
          <w:trHeight w:val="290"/>
        </w:trPr>
        <w:tc>
          <w:tcPr>
            <w:tcW w:w="234" w:type="pct"/>
            <w:tcBorders>
              <w:top w:val="nil"/>
              <w:left w:val="single" w:sz="8" w:space="0" w:color="auto"/>
              <w:bottom w:val="nil"/>
              <w:right w:val="nil"/>
            </w:tcBorders>
            <w:vAlign w:val="center"/>
            <w:hideMark/>
          </w:tcPr>
          <w:p w14:paraId="13CD4FF9"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2</w:t>
            </w:r>
          </w:p>
        </w:tc>
        <w:tc>
          <w:tcPr>
            <w:tcW w:w="285" w:type="pct"/>
            <w:tcBorders>
              <w:top w:val="nil"/>
              <w:left w:val="nil"/>
              <w:bottom w:val="nil"/>
              <w:right w:val="nil"/>
            </w:tcBorders>
            <w:vAlign w:val="center"/>
            <w:hideMark/>
          </w:tcPr>
          <w:p w14:paraId="4681AF97"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462" w:type="pct"/>
            <w:tcBorders>
              <w:top w:val="nil"/>
              <w:left w:val="nil"/>
              <w:bottom w:val="nil"/>
              <w:right w:val="nil"/>
            </w:tcBorders>
            <w:vAlign w:val="center"/>
            <w:hideMark/>
          </w:tcPr>
          <w:p w14:paraId="783A0D2B"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Tâche</w:t>
            </w:r>
          </w:p>
        </w:tc>
        <w:tc>
          <w:tcPr>
            <w:tcW w:w="616" w:type="pct"/>
            <w:tcBorders>
              <w:top w:val="nil"/>
              <w:left w:val="nil"/>
              <w:bottom w:val="nil"/>
              <w:right w:val="nil"/>
            </w:tcBorders>
            <w:vAlign w:val="center"/>
            <w:hideMark/>
          </w:tcPr>
          <w:p w14:paraId="6618183D"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Adaptations à la nouvelle définition des rôles</w:t>
            </w:r>
          </w:p>
        </w:tc>
        <w:tc>
          <w:tcPr>
            <w:tcW w:w="946" w:type="pct"/>
            <w:tcBorders>
              <w:top w:val="nil"/>
              <w:left w:val="nil"/>
              <w:bottom w:val="nil"/>
              <w:right w:val="nil"/>
            </w:tcBorders>
            <w:vAlign w:val="center"/>
            <w:hideMark/>
          </w:tcPr>
          <w:p w14:paraId="4566D279"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n</w:t>
            </w:r>
            <w:proofErr w:type="gramEnd"/>
            <w:r w:rsidRPr="00A13D16">
              <w:rPr>
                <w:rFonts w:asciiTheme="minorHAnsi" w:hAnsiTheme="minorHAnsi"/>
                <w:color w:val="auto"/>
                <w:sz w:val="16"/>
                <w:szCs w:val="16"/>
              </w:rPr>
              <w:t>/a</w:t>
            </w:r>
          </w:p>
        </w:tc>
        <w:tc>
          <w:tcPr>
            <w:tcW w:w="413" w:type="pct"/>
            <w:tcBorders>
              <w:top w:val="nil"/>
              <w:left w:val="nil"/>
              <w:bottom w:val="nil"/>
              <w:right w:val="nil"/>
            </w:tcBorders>
            <w:vAlign w:val="center"/>
            <w:hideMark/>
          </w:tcPr>
          <w:p w14:paraId="14A53E88"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COMPLET</w:t>
            </w:r>
          </w:p>
        </w:tc>
        <w:tc>
          <w:tcPr>
            <w:tcW w:w="359" w:type="pct"/>
            <w:tcBorders>
              <w:top w:val="nil"/>
              <w:left w:val="nil"/>
              <w:bottom w:val="nil"/>
              <w:right w:val="nil"/>
            </w:tcBorders>
            <w:vAlign w:val="center"/>
            <w:hideMark/>
          </w:tcPr>
          <w:p w14:paraId="225CA154"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15 février 2022</w:t>
            </w:r>
          </w:p>
        </w:tc>
        <w:tc>
          <w:tcPr>
            <w:tcW w:w="347" w:type="pct"/>
            <w:tcBorders>
              <w:top w:val="nil"/>
              <w:left w:val="nil"/>
              <w:bottom w:val="nil"/>
              <w:right w:val="nil"/>
            </w:tcBorders>
            <w:vAlign w:val="center"/>
            <w:hideMark/>
          </w:tcPr>
          <w:p w14:paraId="56A5D6A6"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15 mars 2022</w:t>
            </w:r>
          </w:p>
        </w:tc>
        <w:tc>
          <w:tcPr>
            <w:tcW w:w="407" w:type="pct"/>
            <w:tcBorders>
              <w:top w:val="nil"/>
              <w:left w:val="nil"/>
              <w:bottom w:val="nil"/>
              <w:right w:val="nil"/>
            </w:tcBorders>
            <w:vAlign w:val="center"/>
            <w:hideMark/>
          </w:tcPr>
          <w:p w14:paraId="332894EB"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2</w:t>
            </w:r>
          </w:p>
        </w:tc>
        <w:tc>
          <w:tcPr>
            <w:tcW w:w="264" w:type="pct"/>
            <w:tcBorders>
              <w:top w:val="nil"/>
              <w:left w:val="nil"/>
              <w:bottom w:val="nil"/>
              <w:right w:val="nil"/>
            </w:tcBorders>
            <w:vAlign w:val="center"/>
            <w:hideMark/>
          </w:tcPr>
          <w:p w14:paraId="36E5C374"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COM-19</w:t>
            </w:r>
          </w:p>
        </w:tc>
        <w:tc>
          <w:tcPr>
            <w:tcW w:w="670" w:type="pct"/>
            <w:tcBorders>
              <w:top w:val="nil"/>
              <w:left w:val="nil"/>
              <w:bottom w:val="nil"/>
              <w:right w:val="single" w:sz="8" w:space="0" w:color="auto"/>
            </w:tcBorders>
            <w:vAlign w:val="center"/>
            <w:hideMark/>
          </w:tcPr>
          <w:p w14:paraId="278808F1"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Adoptée par le WG-ORT 2022</w:t>
            </w:r>
          </w:p>
        </w:tc>
      </w:tr>
      <w:tr w:rsidR="006B109C" w:rsidRPr="00A13D16" w14:paraId="77C9EAB9" w14:textId="77777777" w:rsidTr="00A13D16">
        <w:trPr>
          <w:trHeight w:val="870"/>
        </w:trPr>
        <w:tc>
          <w:tcPr>
            <w:tcW w:w="234" w:type="pct"/>
            <w:tcBorders>
              <w:top w:val="nil"/>
              <w:left w:val="single" w:sz="8" w:space="0" w:color="auto"/>
              <w:bottom w:val="nil"/>
              <w:right w:val="nil"/>
            </w:tcBorders>
            <w:vAlign w:val="center"/>
            <w:hideMark/>
          </w:tcPr>
          <w:p w14:paraId="2D18559A"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2</w:t>
            </w:r>
          </w:p>
        </w:tc>
        <w:tc>
          <w:tcPr>
            <w:tcW w:w="285" w:type="pct"/>
            <w:tcBorders>
              <w:top w:val="nil"/>
              <w:left w:val="nil"/>
              <w:bottom w:val="nil"/>
              <w:right w:val="nil"/>
            </w:tcBorders>
            <w:vAlign w:val="center"/>
            <w:hideMark/>
          </w:tcPr>
          <w:p w14:paraId="1998B756"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462" w:type="pct"/>
            <w:tcBorders>
              <w:top w:val="nil"/>
              <w:left w:val="nil"/>
              <w:bottom w:val="nil"/>
              <w:right w:val="nil"/>
            </w:tcBorders>
            <w:vAlign w:val="center"/>
            <w:hideMark/>
          </w:tcPr>
          <w:p w14:paraId="12BE0F2C"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Module</w:t>
            </w:r>
          </w:p>
        </w:tc>
        <w:tc>
          <w:tcPr>
            <w:tcW w:w="616" w:type="pct"/>
            <w:tcBorders>
              <w:top w:val="nil"/>
              <w:left w:val="nil"/>
              <w:bottom w:val="nil"/>
              <w:right w:val="nil"/>
            </w:tcBorders>
            <w:vAlign w:val="center"/>
            <w:hideMark/>
          </w:tcPr>
          <w:p w14:paraId="2058D5EA"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Gestionnaire de navires ICCAT</w:t>
            </w:r>
          </w:p>
        </w:tc>
        <w:tc>
          <w:tcPr>
            <w:tcW w:w="946" w:type="pct"/>
            <w:tcBorders>
              <w:top w:val="nil"/>
              <w:left w:val="nil"/>
              <w:bottom w:val="nil"/>
              <w:right w:val="nil"/>
            </w:tcBorders>
            <w:vAlign w:val="center"/>
            <w:hideMark/>
          </w:tcPr>
          <w:p w14:paraId="0B133E10"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Jusqu'à 21 exigences en matière de données (immatriculation du navire, 11 listes d'autorisations, transporteurs, accords d'affrètement, autorisations de transbordement, activité de l'année précédente)</w:t>
            </w:r>
          </w:p>
        </w:tc>
        <w:tc>
          <w:tcPr>
            <w:tcW w:w="413" w:type="pct"/>
            <w:tcBorders>
              <w:top w:val="nil"/>
              <w:left w:val="nil"/>
              <w:bottom w:val="nil"/>
              <w:right w:val="nil"/>
            </w:tcBorders>
            <w:vAlign w:val="center"/>
            <w:hideMark/>
          </w:tcPr>
          <w:p w14:paraId="7C40AD4C"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COMPLET</w:t>
            </w:r>
          </w:p>
        </w:tc>
        <w:tc>
          <w:tcPr>
            <w:tcW w:w="359" w:type="pct"/>
            <w:tcBorders>
              <w:top w:val="nil"/>
              <w:left w:val="nil"/>
              <w:bottom w:val="nil"/>
              <w:right w:val="nil"/>
            </w:tcBorders>
            <w:vAlign w:val="center"/>
            <w:hideMark/>
          </w:tcPr>
          <w:p w14:paraId="5845335F"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1er mars 2021</w:t>
            </w:r>
          </w:p>
        </w:tc>
        <w:tc>
          <w:tcPr>
            <w:tcW w:w="347" w:type="pct"/>
            <w:tcBorders>
              <w:top w:val="nil"/>
              <w:left w:val="nil"/>
              <w:bottom w:val="nil"/>
              <w:right w:val="nil"/>
            </w:tcBorders>
            <w:vAlign w:val="center"/>
            <w:hideMark/>
          </w:tcPr>
          <w:p w14:paraId="71D0999A"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1er août 2025</w:t>
            </w:r>
          </w:p>
        </w:tc>
        <w:tc>
          <w:tcPr>
            <w:tcW w:w="407" w:type="pct"/>
            <w:tcBorders>
              <w:top w:val="nil"/>
              <w:left w:val="nil"/>
              <w:bottom w:val="nil"/>
              <w:right w:val="nil"/>
            </w:tcBorders>
            <w:vAlign w:val="center"/>
            <w:hideMark/>
          </w:tcPr>
          <w:p w14:paraId="6AA19DD5"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4</w:t>
            </w:r>
          </w:p>
        </w:tc>
        <w:tc>
          <w:tcPr>
            <w:tcW w:w="264" w:type="pct"/>
            <w:tcBorders>
              <w:top w:val="nil"/>
              <w:left w:val="nil"/>
              <w:bottom w:val="nil"/>
              <w:right w:val="nil"/>
            </w:tcBorders>
            <w:vAlign w:val="center"/>
            <w:hideMark/>
          </w:tcPr>
          <w:p w14:paraId="5530DC01"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COM-19 &amp; CPC (UE)</w:t>
            </w:r>
          </w:p>
        </w:tc>
        <w:tc>
          <w:tcPr>
            <w:tcW w:w="670" w:type="pct"/>
            <w:tcBorders>
              <w:top w:val="nil"/>
              <w:left w:val="nil"/>
              <w:bottom w:val="nil"/>
              <w:right w:val="single" w:sz="8" w:space="0" w:color="auto"/>
            </w:tcBorders>
            <w:vAlign w:val="center"/>
            <w:hideMark/>
          </w:tcPr>
          <w:p w14:paraId="4E74F438"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Le développement a été étendu à la phase 3 (10 mois supplémentaires) conjointement avec l'intégration de UN/FLUX. Partiellement couvert par les contributions volontaires de l'UE (2021, 2022, 2023)</w:t>
            </w:r>
          </w:p>
        </w:tc>
      </w:tr>
      <w:tr w:rsidR="006B109C" w:rsidRPr="00A13D16" w14:paraId="3F3E6CAF" w14:textId="77777777" w:rsidTr="00A13D16">
        <w:trPr>
          <w:trHeight w:val="290"/>
        </w:trPr>
        <w:tc>
          <w:tcPr>
            <w:tcW w:w="234" w:type="pct"/>
            <w:tcBorders>
              <w:top w:val="nil"/>
              <w:left w:val="single" w:sz="8" w:space="0" w:color="auto"/>
              <w:bottom w:val="nil"/>
              <w:right w:val="nil"/>
            </w:tcBorders>
            <w:shd w:val="clear" w:color="000000" w:fill="DDEBF7"/>
            <w:vAlign w:val="center"/>
            <w:hideMark/>
          </w:tcPr>
          <w:p w14:paraId="183EA801"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2</w:t>
            </w:r>
          </w:p>
        </w:tc>
        <w:tc>
          <w:tcPr>
            <w:tcW w:w="285" w:type="pct"/>
            <w:tcBorders>
              <w:top w:val="nil"/>
              <w:left w:val="nil"/>
              <w:bottom w:val="nil"/>
              <w:right w:val="nil"/>
            </w:tcBorders>
            <w:shd w:val="clear" w:color="000000" w:fill="DDEBF7"/>
            <w:vAlign w:val="center"/>
            <w:hideMark/>
          </w:tcPr>
          <w:p w14:paraId="36BFFE50"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462" w:type="pct"/>
            <w:tcBorders>
              <w:top w:val="nil"/>
              <w:left w:val="nil"/>
              <w:bottom w:val="nil"/>
              <w:right w:val="nil"/>
            </w:tcBorders>
            <w:shd w:val="clear" w:color="000000" w:fill="DDEBF7"/>
            <w:vAlign w:val="center"/>
            <w:hideMark/>
          </w:tcPr>
          <w:p w14:paraId="7E8C15A1"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Tâche</w:t>
            </w:r>
          </w:p>
        </w:tc>
        <w:tc>
          <w:tcPr>
            <w:tcW w:w="616" w:type="pct"/>
            <w:tcBorders>
              <w:top w:val="nil"/>
              <w:left w:val="nil"/>
              <w:bottom w:val="nil"/>
              <w:right w:val="nil"/>
            </w:tcBorders>
            <w:shd w:val="clear" w:color="000000" w:fill="DDEBF7"/>
            <w:vAlign w:val="center"/>
            <w:hideMark/>
          </w:tcPr>
          <w:p w14:paraId="5F26C822"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Intégration de UN/FLUX dans le Gestionnaire de navires</w:t>
            </w:r>
          </w:p>
        </w:tc>
        <w:tc>
          <w:tcPr>
            <w:tcW w:w="946" w:type="pct"/>
            <w:tcBorders>
              <w:top w:val="nil"/>
              <w:left w:val="nil"/>
              <w:bottom w:val="nil"/>
              <w:right w:val="nil"/>
            </w:tcBorders>
            <w:shd w:val="clear" w:color="000000" w:fill="DDEBF7"/>
            <w:vAlign w:val="center"/>
            <w:hideMark/>
          </w:tcPr>
          <w:p w14:paraId="6DD8A9EC"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Toutes les exigences en matière d'enregistrement et d’autorisation des navires (11 listes)</w:t>
            </w:r>
          </w:p>
        </w:tc>
        <w:tc>
          <w:tcPr>
            <w:tcW w:w="413" w:type="pct"/>
            <w:tcBorders>
              <w:top w:val="nil"/>
              <w:left w:val="nil"/>
              <w:bottom w:val="nil"/>
              <w:right w:val="nil"/>
            </w:tcBorders>
            <w:shd w:val="clear" w:color="000000" w:fill="DDEBF7"/>
            <w:vAlign w:val="center"/>
            <w:hideMark/>
          </w:tcPr>
          <w:p w14:paraId="2BFBC051"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En cours</w:t>
            </w:r>
          </w:p>
        </w:tc>
        <w:tc>
          <w:tcPr>
            <w:tcW w:w="359" w:type="pct"/>
            <w:tcBorders>
              <w:top w:val="nil"/>
              <w:left w:val="nil"/>
              <w:bottom w:val="nil"/>
              <w:right w:val="nil"/>
            </w:tcBorders>
            <w:shd w:val="clear" w:color="000000" w:fill="DDEBF7"/>
            <w:vAlign w:val="center"/>
            <w:hideMark/>
          </w:tcPr>
          <w:p w14:paraId="740DA762"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1er avril 2022</w:t>
            </w:r>
          </w:p>
        </w:tc>
        <w:tc>
          <w:tcPr>
            <w:tcW w:w="347" w:type="pct"/>
            <w:tcBorders>
              <w:top w:val="nil"/>
              <w:left w:val="nil"/>
              <w:bottom w:val="nil"/>
              <w:right w:val="nil"/>
            </w:tcBorders>
            <w:shd w:val="clear" w:color="000000" w:fill="DDEBF7"/>
            <w:vAlign w:val="center"/>
            <w:hideMark/>
          </w:tcPr>
          <w:p w14:paraId="4ADB5123"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1er novembre 2026</w:t>
            </w:r>
          </w:p>
        </w:tc>
        <w:tc>
          <w:tcPr>
            <w:tcW w:w="407" w:type="pct"/>
            <w:tcBorders>
              <w:top w:val="nil"/>
              <w:left w:val="nil"/>
              <w:bottom w:val="nil"/>
              <w:right w:val="nil"/>
            </w:tcBorders>
            <w:shd w:val="clear" w:color="000000" w:fill="DDEBF7"/>
            <w:vAlign w:val="center"/>
            <w:hideMark/>
          </w:tcPr>
          <w:p w14:paraId="5AC49357"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4</w:t>
            </w:r>
          </w:p>
        </w:tc>
        <w:tc>
          <w:tcPr>
            <w:tcW w:w="264" w:type="pct"/>
            <w:tcBorders>
              <w:top w:val="nil"/>
              <w:left w:val="nil"/>
              <w:bottom w:val="nil"/>
              <w:right w:val="nil"/>
            </w:tcBorders>
            <w:shd w:val="clear" w:color="000000" w:fill="DDEBF7"/>
            <w:vAlign w:val="center"/>
            <w:hideMark/>
          </w:tcPr>
          <w:p w14:paraId="42555276"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CPC (UE)</w:t>
            </w:r>
          </w:p>
        </w:tc>
        <w:tc>
          <w:tcPr>
            <w:tcW w:w="670" w:type="pct"/>
            <w:tcBorders>
              <w:top w:val="nil"/>
              <w:left w:val="nil"/>
              <w:bottom w:val="nil"/>
              <w:right w:val="single" w:sz="8" w:space="0" w:color="auto"/>
            </w:tcBorders>
            <w:shd w:val="clear" w:color="000000" w:fill="DDEBF7"/>
            <w:vAlign w:val="center"/>
            <w:hideMark/>
          </w:tcPr>
          <w:p w14:paraId="5E495B3F"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Contribution de l'UE (2021, 2022, 2023) + contribution de l'UE (2025-2026)</w:t>
            </w:r>
          </w:p>
        </w:tc>
      </w:tr>
      <w:tr w:rsidR="006B109C" w:rsidRPr="00A13D16" w14:paraId="1525DAEC" w14:textId="77777777" w:rsidTr="00A13D16">
        <w:trPr>
          <w:trHeight w:val="290"/>
        </w:trPr>
        <w:tc>
          <w:tcPr>
            <w:tcW w:w="234" w:type="pct"/>
            <w:tcBorders>
              <w:top w:val="nil"/>
              <w:left w:val="single" w:sz="8" w:space="0" w:color="auto"/>
              <w:bottom w:val="nil"/>
              <w:right w:val="nil"/>
            </w:tcBorders>
            <w:vAlign w:val="center"/>
            <w:hideMark/>
          </w:tcPr>
          <w:p w14:paraId="58DC4586"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2</w:t>
            </w:r>
          </w:p>
        </w:tc>
        <w:tc>
          <w:tcPr>
            <w:tcW w:w="285" w:type="pct"/>
            <w:tcBorders>
              <w:top w:val="nil"/>
              <w:left w:val="nil"/>
              <w:bottom w:val="nil"/>
              <w:right w:val="nil"/>
            </w:tcBorders>
            <w:vAlign w:val="center"/>
            <w:hideMark/>
          </w:tcPr>
          <w:p w14:paraId="1563F841"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2</w:t>
            </w:r>
          </w:p>
        </w:tc>
        <w:tc>
          <w:tcPr>
            <w:tcW w:w="462" w:type="pct"/>
            <w:tcBorders>
              <w:top w:val="nil"/>
              <w:left w:val="nil"/>
              <w:bottom w:val="nil"/>
              <w:right w:val="nil"/>
            </w:tcBorders>
            <w:vAlign w:val="center"/>
            <w:hideMark/>
          </w:tcPr>
          <w:p w14:paraId="37378F89"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Module</w:t>
            </w:r>
          </w:p>
        </w:tc>
        <w:tc>
          <w:tcPr>
            <w:tcW w:w="616" w:type="pct"/>
            <w:tcBorders>
              <w:top w:val="nil"/>
              <w:left w:val="nil"/>
              <w:bottom w:val="nil"/>
              <w:right w:val="nil"/>
            </w:tcBorders>
            <w:vAlign w:val="center"/>
            <w:hideMark/>
          </w:tcPr>
          <w:p w14:paraId="698A3DE7"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Amélioration du système dynamique d'aide (généralisation)</w:t>
            </w:r>
          </w:p>
        </w:tc>
        <w:tc>
          <w:tcPr>
            <w:tcW w:w="946" w:type="pct"/>
            <w:tcBorders>
              <w:top w:val="nil"/>
              <w:left w:val="nil"/>
              <w:bottom w:val="nil"/>
              <w:right w:val="nil"/>
            </w:tcBorders>
            <w:vAlign w:val="center"/>
            <w:hideMark/>
          </w:tcPr>
          <w:p w14:paraId="7775BD87"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n</w:t>
            </w:r>
            <w:proofErr w:type="gramEnd"/>
            <w:r w:rsidRPr="00A13D16">
              <w:rPr>
                <w:rFonts w:asciiTheme="minorHAnsi" w:hAnsiTheme="minorHAnsi"/>
                <w:color w:val="auto"/>
                <w:sz w:val="16"/>
                <w:szCs w:val="16"/>
              </w:rPr>
              <w:t>/a</w:t>
            </w:r>
          </w:p>
        </w:tc>
        <w:tc>
          <w:tcPr>
            <w:tcW w:w="413" w:type="pct"/>
            <w:tcBorders>
              <w:top w:val="nil"/>
              <w:left w:val="nil"/>
              <w:bottom w:val="nil"/>
              <w:right w:val="nil"/>
            </w:tcBorders>
            <w:vAlign w:val="center"/>
            <w:hideMark/>
          </w:tcPr>
          <w:p w14:paraId="7AF4D27C"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COMPLET</w:t>
            </w:r>
          </w:p>
        </w:tc>
        <w:tc>
          <w:tcPr>
            <w:tcW w:w="359" w:type="pct"/>
            <w:tcBorders>
              <w:top w:val="nil"/>
              <w:left w:val="nil"/>
              <w:bottom w:val="nil"/>
              <w:right w:val="nil"/>
            </w:tcBorders>
            <w:vAlign w:val="center"/>
            <w:hideMark/>
          </w:tcPr>
          <w:p w14:paraId="1D3BD55C"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1er avril 2022</w:t>
            </w:r>
          </w:p>
        </w:tc>
        <w:tc>
          <w:tcPr>
            <w:tcW w:w="347" w:type="pct"/>
            <w:tcBorders>
              <w:top w:val="nil"/>
              <w:left w:val="nil"/>
              <w:bottom w:val="nil"/>
              <w:right w:val="nil"/>
            </w:tcBorders>
            <w:vAlign w:val="center"/>
            <w:hideMark/>
          </w:tcPr>
          <w:p w14:paraId="1B74FD12"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31 mars 2023</w:t>
            </w:r>
          </w:p>
        </w:tc>
        <w:tc>
          <w:tcPr>
            <w:tcW w:w="407" w:type="pct"/>
            <w:tcBorders>
              <w:top w:val="nil"/>
              <w:left w:val="nil"/>
              <w:bottom w:val="nil"/>
              <w:right w:val="nil"/>
            </w:tcBorders>
            <w:vAlign w:val="center"/>
            <w:hideMark/>
          </w:tcPr>
          <w:p w14:paraId="721D5C6D"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3</w:t>
            </w:r>
          </w:p>
        </w:tc>
        <w:tc>
          <w:tcPr>
            <w:tcW w:w="264" w:type="pct"/>
            <w:tcBorders>
              <w:top w:val="nil"/>
              <w:left w:val="nil"/>
              <w:bottom w:val="nil"/>
              <w:right w:val="nil"/>
            </w:tcBorders>
            <w:vAlign w:val="center"/>
            <w:hideMark/>
          </w:tcPr>
          <w:p w14:paraId="6B6FA6F9"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CPC (UE)</w:t>
            </w:r>
          </w:p>
        </w:tc>
        <w:tc>
          <w:tcPr>
            <w:tcW w:w="670" w:type="pct"/>
            <w:tcBorders>
              <w:top w:val="nil"/>
              <w:left w:val="nil"/>
              <w:bottom w:val="nil"/>
              <w:right w:val="single" w:sz="8" w:space="0" w:color="auto"/>
            </w:tcBorders>
            <w:vAlign w:val="center"/>
            <w:hideMark/>
          </w:tcPr>
          <w:p w14:paraId="35659585"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 </w:t>
            </w:r>
          </w:p>
        </w:tc>
      </w:tr>
      <w:tr w:rsidR="006B109C" w:rsidRPr="00A13D16" w14:paraId="2E878338" w14:textId="77777777" w:rsidTr="00A13D16">
        <w:trPr>
          <w:trHeight w:val="290"/>
        </w:trPr>
        <w:tc>
          <w:tcPr>
            <w:tcW w:w="234" w:type="pct"/>
            <w:tcBorders>
              <w:top w:val="nil"/>
              <w:left w:val="single" w:sz="8" w:space="0" w:color="auto"/>
              <w:bottom w:val="nil"/>
              <w:right w:val="nil"/>
            </w:tcBorders>
            <w:vAlign w:val="center"/>
            <w:hideMark/>
          </w:tcPr>
          <w:p w14:paraId="684C4DC6"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lastRenderedPageBreak/>
              <w:t>2</w:t>
            </w:r>
          </w:p>
        </w:tc>
        <w:tc>
          <w:tcPr>
            <w:tcW w:w="285" w:type="pct"/>
            <w:tcBorders>
              <w:top w:val="nil"/>
              <w:left w:val="nil"/>
              <w:bottom w:val="nil"/>
              <w:right w:val="nil"/>
            </w:tcBorders>
            <w:vAlign w:val="center"/>
            <w:hideMark/>
          </w:tcPr>
          <w:p w14:paraId="52508E0E"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462" w:type="pct"/>
            <w:tcBorders>
              <w:top w:val="nil"/>
              <w:left w:val="nil"/>
              <w:bottom w:val="nil"/>
              <w:right w:val="nil"/>
            </w:tcBorders>
            <w:vAlign w:val="center"/>
            <w:hideMark/>
          </w:tcPr>
          <w:p w14:paraId="776682DA"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Tâche</w:t>
            </w:r>
          </w:p>
        </w:tc>
        <w:tc>
          <w:tcPr>
            <w:tcW w:w="616" w:type="pct"/>
            <w:tcBorders>
              <w:top w:val="nil"/>
              <w:left w:val="nil"/>
              <w:bottom w:val="nil"/>
              <w:right w:val="nil"/>
            </w:tcBorders>
            <w:vAlign w:val="center"/>
            <w:hideMark/>
          </w:tcPr>
          <w:p w14:paraId="32B6E83F"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Séance de formation/atelier sur les navires (1ère session)</w:t>
            </w:r>
          </w:p>
        </w:tc>
        <w:tc>
          <w:tcPr>
            <w:tcW w:w="946" w:type="pct"/>
            <w:tcBorders>
              <w:top w:val="nil"/>
              <w:left w:val="nil"/>
              <w:bottom w:val="nil"/>
              <w:right w:val="nil"/>
            </w:tcBorders>
            <w:vAlign w:val="center"/>
            <w:hideMark/>
          </w:tcPr>
          <w:p w14:paraId="2DF886E3"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n</w:t>
            </w:r>
            <w:proofErr w:type="gramEnd"/>
            <w:r w:rsidRPr="00A13D16">
              <w:rPr>
                <w:rFonts w:asciiTheme="minorHAnsi" w:hAnsiTheme="minorHAnsi"/>
                <w:color w:val="auto"/>
                <w:sz w:val="16"/>
                <w:szCs w:val="16"/>
              </w:rPr>
              <w:t>/a</w:t>
            </w:r>
          </w:p>
        </w:tc>
        <w:tc>
          <w:tcPr>
            <w:tcW w:w="413" w:type="pct"/>
            <w:tcBorders>
              <w:top w:val="nil"/>
              <w:left w:val="nil"/>
              <w:bottom w:val="nil"/>
              <w:right w:val="nil"/>
            </w:tcBorders>
            <w:vAlign w:val="center"/>
            <w:hideMark/>
          </w:tcPr>
          <w:p w14:paraId="325B8FAD"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COMPLET</w:t>
            </w:r>
          </w:p>
        </w:tc>
        <w:tc>
          <w:tcPr>
            <w:tcW w:w="359" w:type="pct"/>
            <w:tcBorders>
              <w:top w:val="nil"/>
              <w:left w:val="nil"/>
              <w:bottom w:val="nil"/>
              <w:right w:val="nil"/>
            </w:tcBorders>
            <w:vAlign w:val="center"/>
            <w:hideMark/>
          </w:tcPr>
          <w:p w14:paraId="7DA3B82F"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29 avril 2024</w:t>
            </w:r>
          </w:p>
        </w:tc>
        <w:tc>
          <w:tcPr>
            <w:tcW w:w="347" w:type="pct"/>
            <w:tcBorders>
              <w:top w:val="nil"/>
              <w:left w:val="nil"/>
              <w:bottom w:val="nil"/>
              <w:right w:val="nil"/>
            </w:tcBorders>
            <w:vAlign w:val="center"/>
            <w:hideMark/>
          </w:tcPr>
          <w:p w14:paraId="0CDDE933"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lang w:eastAsia="en-GB"/>
              </w:rPr>
            </w:pPr>
          </w:p>
        </w:tc>
        <w:tc>
          <w:tcPr>
            <w:tcW w:w="407" w:type="pct"/>
            <w:tcBorders>
              <w:top w:val="nil"/>
              <w:left w:val="nil"/>
              <w:bottom w:val="nil"/>
              <w:right w:val="nil"/>
            </w:tcBorders>
            <w:vAlign w:val="center"/>
            <w:hideMark/>
          </w:tcPr>
          <w:p w14:paraId="38480266"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4</w:t>
            </w:r>
          </w:p>
        </w:tc>
        <w:tc>
          <w:tcPr>
            <w:tcW w:w="264" w:type="pct"/>
            <w:tcBorders>
              <w:top w:val="nil"/>
              <w:left w:val="nil"/>
              <w:bottom w:val="nil"/>
              <w:right w:val="nil"/>
            </w:tcBorders>
            <w:vAlign w:val="center"/>
            <w:hideMark/>
          </w:tcPr>
          <w:p w14:paraId="3D90D7B9"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COM-19</w:t>
            </w:r>
          </w:p>
        </w:tc>
        <w:tc>
          <w:tcPr>
            <w:tcW w:w="670" w:type="pct"/>
            <w:tcBorders>
              <w:top w:val="nil"/>
              <w:left w:val="nil"/>
              <w:bottom w:val="nil"/>
              <w:right w:val="single" w:sz="8" w:space="0" w:color="auto"/>
            </w:tcBorders>
            <w:vAlign w:val="center"/>
            <w:hideMark/>
          </w:tcPr>
          <w:p w14:paraId="78B0B7C9"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Tests préliminaires des utilisateurs de l'IOMS sur le module de navires</w:t>
            </w:r>
          </w:p>
        </w:tc>
      </w:tr>
      <w:tr w:rsidR="006B109C" w:rsidRPr="00A13D16" w14:paraId="6E8A0303" w14:textId="77777777" w:rsidTr="00A13D16">
        <w:trPr>
          <w:trHeight w:val="290"/>
        </w:trPr>
        <w:tc>
          <w:tcPr>
            <w:tcW w:w="234" w:type="pct"/>
            <w:tcBorders>
              <w:top w:val="nil"/>
              <w:left w:val="single" w:sz="8" w:space="0" w:color="auto"/>
              <w:bottom w:val="nil"/>
              <w:right w:val="nil"/>
            </w:tcBorders>
            <w:vAlign w:val="center"/>
            <w:hideMark/>
          </w:tcPr>
          <w:p w14:paraId="1FC1D616"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2</w:t>
            </w:r>
          </w:p>
        </w:tc>
        <w:tc>
          <w:tcPr>
            <w:tcW w:w="285" w:type="pct"/>
            <w:tcBorders>
              <w:top w:val="nil"/>
              <w:left w:val="nil"/>
              <w:bottom w:val="nil"/>
              <w:right w:val="nil"/>
            </w:tcBorders>
            <w:vAlign w:val="center"/>
            <w:hideMark/>
          </w:tcPr>
          <w:p w14:paraId="6A3EBC31"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462" w:type="pct"/>
            <w:tcBorders>
              <w:top w:val="nil"/>
              <w:left w:val="nil"/>
              <w:bottom w:val="nil"/>
              <w:right w:val="nil"/>
            </w:tcBorders>
            <w:vAlign w:val="center"/>
            <w:hideMark/>
          </w:tcPr>
          <w:p w14:paraId="03C69878"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Tâche</w:t>
            </w:r>
          </w:p>
        </w:tc>
        <w:tc>
          <w:tcPr>
            <w:tcW w:w="616" w:type="pct"/>
            <w:tcBorders>
              <w:top w:val="nil"/>
              <w:left w:val="nil"/>
              <w:bottom w:val="nil"/>
              <w:right w:val="nil"/>
            </w:tcBorders>
            <w:vAlign w:val="center"/>
            <w:hideMark/>
          </w:tcPr>
          <w:p w14:paraId="74D3DFF3"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Séance de formation/atelier sur les navires (2e session)</w:t>
            </w:r>
          </w:p>
        </w:tc>
        <w:tc>
          <w:tcPr>
            <w:tcW w:w="946" w:type="pct"/>
            <w:tcBorders>
              <w:top w:val="nil"/>
              <w:left w:val="nil"/>
              <w:bottom w:val="nil"/>
              <w:right w:val="nil"/>
            </w:tcBorders>
            <w:vAlign w:val="center"/>
            <w:hideMark/>
          </w:tcPr>
          <w:p w14:paraId="7F435B7E"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n</w:t>
            </w:r>
            <w:proofErr w:type="gramEnd"/>
            <w:r w:rsidRPr="00A13D16">
              <w:rPr>
                <w:rFonts w:asciiTheme="minorHAnsi" w:hAnsiTheme="minorHAnsi"/>
                <w:color w:val="auto"/>
                <w:sz w:val="16"/>
                <w:szCs w:val="16"/>
              </w:rPr>
              <w:t>/a</w:t>
            </w:r>
          </w:p>
        </w:tc>
        <w:tc>
          <w:tcPr>
            <w:tcW w:w="413" w:type="pct"/>
            <w:tcBorders>
              <w:top w:val="nil"/>
              <w:left w:val="nil"/>
              <w:bottom w:val="nil"/>
              <w:right w:val="nil"/>
            </w:tcBorders>
            <w:vAlign w:val="center"/>
            <w:hideMark/>
          </w:tcPr>
          <w:p w14:paraId="5619F878"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COMPLET</w:t>
            </w:r>
          </w:p>
        </w:tc>
        <w:tc>
          <w:tcPr>
            <w:tcW w:w="359" w:type="pct"/>
            <w:tcBorders>
              <w:top w:val="nil"/>
              <w:left w:val="nil"/>
              <w:bottom w:val="nil"/>
              <w:right w:val="nil"/>
            </w:tcBorders>
            <w:vAlign w:val="center"/>
            <w:hideMark/>
          </w:tcPr>
          <w:p w14:paraId="3D5DEBA3"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9 octobre 2024</w:t>
            </w:r>
          </w:p>
        </w:tc>
        <w:tc>
          <w:tcPr>
            <w:tcW w:w="347" w:type="pct"/>
            <w:tcBorders>
              <w:top w:val="nil"/>
              <w:left w:val="nil"/>
              <w:bottom w:val="nil"/>
              <w:right w:val="nil"/>
            </w:tcBorders>
            <w:vAlign w:val="center"/>
            <w:hideMark/>
          </w:tcPr>
          <w:p w14:paraId="57259019"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lang w:eastAsia="en-GB"/>
              </w:rPr>
            </w:pPr>
          </w:p>
        </w:tc>
        <w:tc>
          <w:tcPr>
            <w:tcW w:w="407" w:type="pct"/>
            <w:tcBorders>
              <w:top w:val="nil"/>
              <w:left w:val="nil"/>
              <w:bottom w:val="nil"/>
              <w:right w:val="nil"/>
            </w:tcBorders>
            <w:vAlign w:val="center"/>
            <w:hideMark/>
          </w:tcPr>
          <w:p w14:paraId="5715FEA6"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4</w:t>
            </w:r>
          </w:p>
        </w:tc>
        <w:tc>
          <w:tcPr>
            <w:tcW w:w="264" w:type="pct"/>
            <w:tcBorders>
              <w:top w:val="nil"/>
              <w:left w:val="nil"/>
              <w:bottom w:val="nil"/>
              <w:right w:val="nil"/>
            </w:tcBorders>
            <w:vAlign w:val="center"/>
            <w:hideMark/>
          </w:tcPr>
          <w:p w14:paraId="01D711E8"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COM-19</w:t>
            </w:r>
          </w:p>
        </w:tc>
        <w:tc>
          <w:tcPr>
            <w:tcW w:w="670" w:type="pct"/>
            <w:tcBorders>
              <w:top w:val="nil"/>
              <w:left w:val="nil"/>
              <w:bottom w:val="nil"/>
              <w:right w:val="single" w:sz="8" w:space="0" w:color="auto"/>
            </w:tcBorders>
            <w:vAlign w:val="center"/>
            <w:hideMark/>
          </w:tcPr>
          <w:p w14:paraId="32D69E77"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Tests de continuité des utilisateurs de l'IOMS sur le module de navires</w:t>
            </w:r>
          </w:p>
        </w:tc>
      </w:tr>
      <w:tr w:rsidR="006B109C" w:rsidRPr="00A13D16" w14:paraId="7381BB0D" w14:textId="77777777" w:rsidTr="00A13D16">
        <w:trPr>
          <w:trHeight w:val="300"/>
        </w:trPr>
        <w:tc>
          <w:tcPr>
            <w:tcW w:w="234" w:type="pct"/>
            <w:tcBorders>
              <w:top w:val="nil"/>
              <w:left w:val="single" w:sz="8" w:space="0" w:color="auto"/>
              <w:bottom w:val="single" w:sz="8" w:space="0" w:color="auto"/>
              <w:right w:val="nil"/>
            </w:tcBorders>
            <w:shd w:val="clear" w:color="000000" w:fill="DDEBF7"/>
            <w:vAlign w:val="center"/>
            <w:hideMark/>
          </w:tcPr>
          <w:p w14:paraId="3FA27B62"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2</w:t>
            </w:r>
          </w:p>
        </w:tc>
        <w:tc>
          <w:tcPr>
            <w:tcW w:w="285" w:type="pct"/>
            <w:tcBorders>
              <w:top w:val="nil"/>
              <w:left w:val="nil"/>
              <w:bottom w:val="single" w:sz="8" w:space="0" w:color="auto"/>
              <w:right w:val="nil"/>
            </w:tcBorders>
            <w:shd w:val="clear" w:color="000000" w:fill="DDEBF7"/>
            <w:vAlign w:val="center"/>
            <w:hideMark/>
          </w:tcPr>
          <w:p w14:paraId="57642AA7"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462" w:type="pct"/>
            <w:tcBorders>
              <w:top w:val="nil"/>
              <w:left w:val="nil"/>
              <w:bottom w:val="single" w:sz="8" w:space="0" w:color="auto"/>
              <w:right w:val="nil"/>
            </w:tcBorders>
            <w:shd w:val="clear" w:color="000000" w:fill="DDEBF7"/>
            <w:vAlign w:val="center"/>
            <w:hideMark/>
          </w:tcPr>
          <w:p w14:paraId="38C53085"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Tâche</w:t>
            </w:r>
          </w:p>
        </w:tc>
        <w:tc>
          <w:tcPr>
            <w:tcW w:w="616" w:type="pct"/>
            <w:tcBorders>
              <w:top w:val="nil"/>
              <w:left w:val="nil"/>
              <w:bottom w:val="single" w:sz="8" w:space="0" w:color="auto"/>
              <w:right w:val="nil"/>
            </w:tcBorders>
            <w:shd w:val="clear" w:color="000000" w:fill="DDEBF7"/>
            <w:vAlign w:val="center"/>
            <w:hideMark/>
          </w:tcPr>
          <w:p w14:paraId="7FE32EB6"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Maintenance (y compris les améliorations et la correction des erreurs)</w:t>
            </w:r>
          </w:p>
        </w:tc>
        <w:tc>
          <w:tcPr>
            <w:tcW w:w="946" w:type="pct"/>
            <w:tcBorders>
              <w:top w:val="nil"/>
              <w:left w:val="nil"/>
              <w:bottom w:val="single" w:sz="8" w:space="0" w:color="auto"/>
              <w:right w:val="nil"/>
            </w:tcBorders>
            <w:shd w:val="clear" w:color="000000" w:fill="DDEBF7"/>
            <w:vAlign w:val="center"/>
            <w:hideMark/>
          </w:tcPr>
          <w:p w14:paraId="4983F87F"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n</w:t>
            </w:r>
            <w:proofErr w:type="gramEnd"/>
            <w:r w:rsidRPr="00A13D16">
              <w:rPr>
                <w:rFonts w:asciiTheme="minorHAnsi" w:hAnsiTheme="minorHAnsi"/>
                <w:color w:val="auto"/>
                <w:sz w:val="16"/>
                <w:szCs w:val="16"/>
              </w:rPr>
              <w:t>/a</w:t>
            </w:r>
          </w:p>
        </w:tc>
        <w:tc>
          <w:tcPr>
            <w:tcW w:w="413" w:type="pct"/>
            <w:tcBorders>
              <w:top w:val="nil"/>
              <w:left w:val="nil"/>
              <w:bottom w:val="single" w:sz="8" w:space="0" w:color="auto"/>
              <w:right w:val="nil"/>
            </w:tcBorders>
            <w:shd w:val="clear" w:color="000000" w:fill="DDEBF7"/>
            <w:vAlign w:val="center"/>
            <w:hideMark/>
          </w:tcPr>
          <w:p w14:paraId="66E10E0E"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Suite</w:t>
            </w:r>
          </w:p>
        </w:tc>
        <w:tc>
          <w:tcPr>
            <w:tcW w:w="359" w:type="pct"/>
            <w:tcBorders>
              <w:top w:val="nil"/>
              <w:left w:val="nil"/>
              <w:bottom w:val="single" w:sz="8" w:space="0" w:color="auto"/>
              <w:right w:val="nil"/>
            </w:tcBorders>
            <w:shd w:val="clear" w:color="000000" w:fill="DDEBF7"/>
            <w:vAlign w:val="center"/>
            <w:hideMark/>
          </w:tcPr>
          <w:p w14:paraId="62E51AD5"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1er juin 2020</w:t>
            </w:r>
          </w:p>
        </w:tc>
        <w:tc>
          <w:tcPr>
            <w:tcW w:w="347" w:type="pct"/>
            <w:tcBorders>
              <w:top w:val="nil"/>
              <w:left w:val="nil"/>
              <w:bottom w:val="single" w:sz="8" w:space="0" w:color="auto"/>
              <w:right w:val="nil"/>
            </w:tcBorders>
            <w:shd w:val="clear" w:color="000000" w:fill="DDEBF7"/>
            <w:vAlign w:val="center"/>
            <w:hideMark/>
          </w:tcPr>
          <w:p w14:paraId="0A433EDD"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n</w:t>
            </w:r>
            <w:proofErr w:type="gramEnd"/>
            <w:r w:rsidRPr="00A13D16">
              <w:rPr>
                <w:rFonts w:asciiTheme="minorHAnsi" w:hAnsiTheme="minorHAnsi"/>
                <w:color w:val="auto"/>
                <w:sz w:val="16"/>
                <w:szCs w:val="16"/>
              </w:rPr>
              <w:t>/a</w:t>
            </w:r>
          </w:p>
        </w:tc>
        <w:tc>
          <w:tcPr>
            <w:tcW w:w="407" w:type="pct"/>
            <w:tcBorders>
              <w:top w:val="nil"/>
              <w:left w:val="nil"/>
              <w:bottom w:val="single" w:sz="8" w:space="0" w:color="auto"/>
              <w:right w:val="nil"/>
            </w:tcBorders>
            <w:shd w:val="clear" w:color="000000" w:fill="DDEBF7"/>
            <w:vAlign w:val="center"/>
            <w:hideMark/>
          </w:tcPr>
          <w:p w14:paraId="50CF63D3"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n</w:t>
            </w:r>
            <w:proofErr w:type="gramEnd"/>
            <w:r w:rsidRPr="00A13D16">
              <w:rPr>
                <w:rFonts w:asciiTheme="minorHAnsi" w:hAnsiTheme="minorHAnsi"/>
                <w:color w:val="auto"/>
                <w:sz w:val="16"/>
                <w:szCs w:val="16"/>
              </w:rPr>
              <w:t>/a</w:t>
            </w:r>
          </w:p>
        </w:tc>
        <w:tc>
          <w:tcPr>
            <w:tcW w:w="264" w:type="pct"/>
            <w:tcBorders>
              <w:top w:val="nil"/>
              <w:left w:val="nil"/>
              <w:bottom w:val="single" w:sz="8" w:space="0" w:color="auto"/>
              <w:right w:val="nil"/>
            </w:tcBorders>
            <w:shd w:val="clear" w:color="000000" w:fill="DDEBF7"/>
            <w:vAlign w:val="center"/>
            <w:hideMark/>
          </w:tcPr>
          <w:p w14:paraId="3F3570B1"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COM-19</w:t>
            </w:r>
          </w:p>
        </w:tc>
        <w:tc>
          <w:tcPr>
            <w:tcW w:w="670" w:type="pct"/>
            <w:tcBorders>
              <w:top w:val="nil"/>
              <w:left w:val="nil"/>
              <w:bottom w:val="single" w:sz="8" w:space="0" w:color="auto"/>
              <w:right w:val="single" w:sz="8" w:space="0" w:color="auto"/>
            </w:tcBorders>
            <w:shd w:val="clear" w:color="000000" w:fill="DDEBF7"/>
            <w:vAlign w:val="center"/>
            <w:hideMark/>
          </w:tcPr>
          <w:p w14:paraId="00310461"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Tâche de maintenance</w:t>
            </w:r>
          </w:p>
        </w:tc>
      </w:tr>
      <w:tr w:rsidR="006B109C" w:rsidRPr="00A13D16" w14:paraId="2B2AB0D9" w14:textId="77777777" w:rsidTr="00A13D16">
        <w:trPr>
          <w:trHeight w:val="290"/>
        </w:trPr>
        <w:tc>
          <w:tcPr>
            <w:tcW w:w="234" w:type="pct"/>
            <w:tcBorders>
              <w:top w:val="nil"/>
              <w:left w:val="single" w:sz="8" w:space="0" w:color="auto"/>
              <w:bottom w:val="nil"/>
              <w:right w:val="nil"/>
            </w:tcBorders>
            <w:vAlign w:val="center"/>
            <w:hideMark/>
          </w:tcPr>
          <w:p w14:paraId="52F1DC4E"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3</w:t>
            </w:r>
          </w:p>
        </w:tc>
        <w:tc>
          <w:tcPr>
            <w:tcW w:w="285" w:type="pct"/>
            <w:tcBorders>
              <w:top w:val="nil"/>
              <w:left w:val="nil"/>
              <w:bottom w:val="nil"/>
              <w:right w:val="nil"/>
            </w:tcBorders>
            <w:vAlign w:val="center"/>
            <w:hideMark/>
          </w:tcPr>
          <w:p w14:paraId="239D8ADB"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462" w:type="pct"/>
            <w:tcBorders>
              <w:top w:val="nil"/>
              <w:left w:val="nil"/>
              <w:bottom w:val="nil"/>
              <w:right w:val="nil"/>
            </w:tcBorders>
            <w:vAlign w:val="center"/>
            <w:hideMark/>
          </w:tcPr>
          <w:p w14:paraId="6DE4CA53"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Module</w:t>
            </w:r>
          </w:p>
        </w:tc>
        <w:tc>
          <w:tcPr>
            <w:tcW w:w="616" w:type="pct"/>
            <w:tcBorders>
              <w:top w:val="nil"/>
              <w:left w:val="nil"/>
              <w:bottom w:val="nil"/>
              <w:right w:val="nil"/>
            </w:tcBorders>
            <w:vAlign w:val="center"/>
            <w:hideMark/>
          </w:tcPr>
          <w:p w14:paraId="7D32B907"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Gestionnaire de formulaires</w:t>
            </w:r>
          </w:p>
        </w:tc>
        <w:tc>
          <w:tcPr>
            <w:tcW w:w="946" w:type="pct"/>
            <w:tcBorders>
              <w:top w:val="nil"/>
              <w:left w:val="nil"/>
              <w:bottom w:val="nil"/>
              <w:right w:val="nil"/>
            </w:tcBorders>
            <w:vAlign w:val="center"/>
            <w:hideMark/>
          </w:tcPr>
          <w:p w14:paraId="1DF12A85"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Module pour télécharger et gérer tous les formulaires ICCAT (ST, CP, TG)</w:t>
            </w:r>
          </w:p>
        </w:tc>
        <w:tc>
          <w:tcPr>
            <w:tcW w:w="413" w:type="pct"/>
            <w:tcBorders>
              <w:top w:val="nil"/>
              <w:left w:val="nil"/>
              <w:bottom w:val="nil"/>
              <w:right w:val="nil"/>
            </w:tcBorders>
            <w:vAlign w:val="center"/>
            <w:hideMark/>
          </w:tcPr>
          <w:p w14:paraId="47F8F639"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COMPLET</w:t>
            </w:r>
          </w:p>
        </w:tc>
        <w:tc>
          <w:tcPr>
            <w:tcW w:w="359" w:type="pct"/>
            <w:tcBorders>
              <w:top w:val="nil"/>
              <w:left w:val="nil"/>
              <w:bottom w:val="nil"/>
              <w:right w:val="nil"/>
            </w:tcBorders>
            <w:vAlign w:val="center"/>
            <w:hideMark/>
          </w:tcPr>
          <w:p w14:paraId="350AD49B"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1er juillet 2023</w:t>
            </w:r>
          </w:p>
        </w:tc>
        <w:tc>
          <w:tcPr>
            <w:tcW w:w="347" w:type="pct"/>
            <w:tcBorders>
              <w:top w:val="nil"/>
              <w:left w:val="nil"/>
              <w:bottom w:val="nil"/>
              <w:right w:val="nil"/>
            </w:tcBorders>
            <w:vAlign w:val="center"/>
            <w:hideMark/>
          </w:tcPr>
          <w:p w14:paraId="7B8B075C"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1er août 2025</w:t>
            </w:r>
          </w:p>
        </w:tc>
        <w:tc>
          <w:tcPr>
            <w:tcW w:w="407" w:type="pct"/>
            <w:tcBorders>
              <w:top w:val="nil"/>
              <w:left w:val="nil"/>
              <w:bottom w:val="nil"/>
              <w:right w:val="nil"/>
            </w:tcBorders>
            <w:vAlign w:val="center"/>
            <w:hideMark/>
          </w:tcPr>
          <w:p w14:paraId="1FA65873"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4</w:t>
            </w:r>
          </w:p>
        </w:tc>
        <w:tc>
          <w:tcPr>
            <w:tcW w:w="264" w:type="pct"/>
            <w:tcBorders>
              <w:top w:val="nil"/>
              <w:left w:val="nil"/>
              <w:bottom w:val="nil"/>
              <w:right w:val="nil"/>
            </w:tcBorders>
            <w:vAlign w:val="center"/>
            <w:hideMark/>
          </w:tcPr>
          <w:p w14:paraId="4B9BE95A"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COM-21</w:t>
            </w:r>
          </w:p>
        </w:tc>
        <w:tc>
          <w:tcPr>
            <w:tcW w:w="670" w:type="pct"/>
            <w:tcBorders>
              <w:top w:val="nil"/>
              <w:left w:val="nil"/>
              <w:bottom w:val="nil"/>
              <w:right w:val="single" w:sz="8" w:space="0" w:color="auto"/>
            </w:tcBorders>
            <w:vAlign w:val="center"/>
            <w:hideMark/>
          </w:tcPr>
          <w:p w14:paraId="3753F6AA"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Inclut les améliorations proposées pendant les ateliers</w:t>
            </w:r>
          </w:p>
        </w:tc>
      </w:tr>
      <w:tr w:rsidR="006B109C" w:rsidRPr="00A13D16" w14:paraId="3B0994DC" w14:textId="77777777" w:rsidTr="00A13D16">
        <w:trPr>
          <w:trHeight w:val="290"/>
        </w:trPr>
        <w:tc>
          <w:tcPr>
            <w:tcW w:w="234" w:type="pct"/>
            <w:tcBorders>
              <w:top w:val="nil"/>
              <w:left w:val="single" w:sz="8" w:space="0" w:color="auto"/>
              <w:bottom w:val="nil"/>
              <w:right w:val="nil"/>
            </w:tcBorders>
            <w:vAlign w:val="center"/>
            <w:hideMark/>
          </w:tcPr>
          <w:p w14:paraId="1FCF4D8D"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3</w:t>
            </w:r>
          </w:p>
        </w:tc>
        <w:tc>
          <w:tcPr>
            <w:tcW w:w="285" w:type="pct"/>
            <w:tcBorders>
              <w:top w:val="nil"/>
              <w:left w:val="nil"/>
              <w:bottom w:val="nil"/>
              <w:right w:val="nil"/>
            </w:tcBorders>
            <w:vAlign w:val="center"/>
            <w:hideMark/>
          </w:tcPr>
          <w:p w14:paraId="6EDED018"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462" w:type="pct"/>
            <w:tcBorders>
              <w:top w:val="nil"/>
              <w:left w:val="nil"/>
              <w:bottom w:val="nil"/>
              <w:right w:val="nil"/>
            </w:tcBorders>
            <w:vAlign w:val="center"/>
            <w:hideMark/>
          </w:tcPr>
          <w:p w14:paraId="74E2198F"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Tâche</w:t>
            </w:r>
          </w:p>
        </w:tc>
        <w:tc>
          <w:tcPr>
            <w:tcW w:w="616" w:type="pct"/>
            <w:tcBorders>
              <w:top w:val="nil"/>
              <w:left w:val="nil"/>
              <w:bottom w:val="nil"/>
              <w:right w:val="nil"/>
            </w:tcBorders>
            <w:vAlign w:val="center"/>
            <w:hideMark/>
          </w:tcPr>
          <w:p w14:paraId="20FB7212"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Sessions d’atelier pour les Gestionnaires de formulaires (1ère session)</w:t>
            </w:r>
          </w:p>
        </w:tc>
        <w:tc>
          <w:tcPr>
            <w:tcW w:w="946" w:type="pct"/>
            <w:tcBorders>
              <w:top w:val="nil"/>
              <w:left w:val="nil"/>
              <w:bottom w:val="nil"/>
              <w:right w:val="nil"/>
            </w:tcBorders>
            <w:vAlign w:val="center"/>
            <w:hideMark/>
          </w:tcPr>
          <w:p w14:paraId="6953DE66"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n</w:t>
            </w:r>
            <w:proofErr w:type="gramEnd"/>
            <w:r w:rsidRPr="00A13D16">
              <w:rPr>
                <w:rFonts w:asciiTheme="minorHAnsi" w:hAnsiTheme="minorHAnsi"/>
                <w:color w:val="auto"/>
                <w:sz w:val="16"/>
                <w:szCs w:val="16"/>
              </w:rPr>
              <w:t>/a</w:t>
            </w:r>
          </w:p>
        </w:tc>
        <w:tc>
          <w:tcPr>
            <w:tcW w:w="413" w:type="pct"/>
            <w:tcBorders>
              <w:top w:val="nil"/>
              <w:left w:val="nil"/>
              <w:bottom w:val="nil"/>
              <w:right w:val="nil"/>
            </w:tcBorders>
            <w:vAlign w:val="center"/>
            <w:hideMark/>
          </w:tcPr>
          <w:p w14:paraId="5187E24B"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COMPLET</w:t>
            </w:r>
          </w:p>
        </w:tc>
        <w:tc>
          <w:tcPr>
            <w:tcW w:w="359" w:type="pct"/>
            <w:tcBorders>
              <w:top w:val="nil"/>
              <w:left w:val="nil"/>
              <w:bottom w:val="nil"/>
              <w:right w:val="nil"/>
            </w:tcBorders>
            <w:vAlign w:val="center"/>
            <w:hideMark/>
          </w:tcPr>
          <w:p w14:paraId="65013F05"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4 juillet 2024</w:t>
            </w:r>
          </w:p>
        </w:tc>
        <w:tc>
          <w:tcPr>
            <w:tcW w:w="347" w:type="pct"/>
            <w:tcBorders>
              <w:top w:val="nil"/>
              <w:left w:val="nil"/>
              <w:bottom w:val="nil"/>
              <w:right w:val="nil"/>
            </w:tcBorders>
            <w:vAlign w:val="center"/>
            <w:hideMark/>
          </w:tcPr>
          <w:p w14:paraId="7BDB929B"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TBD</w:t>
            </w:r>
          </w:p>
        </w:tc>
        <w:tc>
          <w:tcPr>
            <w:tcW w:w="407" w:type="pct"/>
            <w:tcBorders>
              <w:top w:val="nil"/>
              <w:left w:val="nil"/>
              <w:bottom w:val="nil"/>
              <w:right w:val="nil"/>
            </w:tcBorders>
            <w:vAlign w:val="center"/>
            <w:hideMark/>
          </w:tcPr>
          <w:p w14:paraId="319444D0"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4</w:t>
            </w:r>
          </w:p>
        </w:tc>
        <w:tc>
          <w:tcPr>
            <w:tcW w:w="264" w:type="pct"/>
            <w:tcBorders>
              <w:top w:val="nil"/>
              <w:left w:val="nil"/>
              <w:bottom w:val="nil"/>
              <w:right w:val="nil"/>
            </w:tcBorders>
            <w:vAlign w:val="center"/>
            <w:hideMark/>
          </w:tcPr>
          <w:p w14:paraId="2020A6D2"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COM-21</w:t>
            </w:r>
          </w:p>
        </w:tc>
        <w:tc>
          <w:tcPr>
            <w:tcW w:w="670" w:type="pct"/>
            <w:tcBorders>
              <w:top w:val="nil"/>
              <w:left w:val="nil"/>
              <w:bottom w:val="nil"/>
              <w:right w:val="single" w:sz="8" w:space="0" w:color="auto"/>
            </w:tcBorders>
            <w:vAlign w:val="center"/>
            <w:hideMark/>
          </w:tcPr>
          <w:p w14:paraId="1FAC962A"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 </w:t>
            </w:r>
          </w:p>
        </w:tc>
      </w:tr>
      <w:tr w:rsidR="006B109C" w:rsidRPr="00A13D16" w14:paraId="12EC97BF" w14:textId="77777777" w:rsidTr="00A13D16">
        <w:trPr>
          <w:trHeight w:val="290"/>
        </w:trPr>
        <w:tc>
          <w:tcPr>
            <w:tcW w:w="234" w:type="pct"/>
            <w:tcBorders>
              <w:top w:val="nil"/>
              <w:left w:val="single" w:sz="8" w:space="0" w:color="auto"/>
              <w:bottom w:val="nil"/>
              <w:right w:val="nil"/>
            </w:tcBorders>
            <w:vAlign w:val="center"/>
            <w:hideMark/>
          </w:tcPr>
          <w:p w14:paraId="79A0A053"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3</w:t>
            </w:r>
          </w:p>
        </w:tc>
        <w:tc>
          <w:tcPr>
            <w:tcW w:w="285" w:type="pct"/>
            <w:tcBorders>
              <w:top w:val="nil"/>
              <w:left w:val="nil"/>
              <w:bottom w:val="nil"/>
              <w:right w:val="nil"/>
            </w:tcBorders>
            <w:vAlign w:val="center"/>
            <w:hideMark/>
          </w:tcPr>
          <w:p w14:paraId="22337947"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462" w:type="pct"/>
            <w:tcBorders>
              <w:top w:val="nil"/>
              <w:left w:val="nil"/>
              <w:bottom w:val="nil"/>
              <w:right w:val="nil"/>
            </w:tcBorders>
            <w:vAlign w:val="center"/>
            <w:hideMark/>
          </w:tcPr>
          <w:p w14:paraId="2BC06CA4"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Tâche</w:t>
            </w:r>
          </w:p>
        </w:tc>
        <w:tc>
          <w:tcPr>
            <w:tcW w:w="616" w:type="pct"/>
            <w:tcBorders>
              <w:top w:val="nil"/>
              <w:left w:val="nil"/>
              <w:bottom w:val="nil"/>
              <w:right w:val="nil"/>
            </w:tcBorders>
            <w:vAlign w:val="center"/>
            <w:hideMark/>
          </w:tcPr>
          <w:p w14:paraId="10148CDF"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Sessions d’atelier pour les gestionnaires de formulaires (2e session)</w:t>
            </w:r>
          </w:p>
        </w:tc>
        <w:tc>
          <w:tcPr>
            <w:tcW w:w="946" w:type="pct"/>
            <w:tcBorders>
              <w:top w:val="nil"/>
              <w:left w:val="nil"/>
              <w:bottom w:val="nil"/>
              <w:right w:val="nil"/>
            </w:tcBorders>
            <w:vAlign w:val="center"/>
            <w:hideMark/>
          </w:tcPr>
          <w:p w14:paraId="7F6D10D0"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n</w:t>
            </w:r>
            <w:proofErr w:type="gramEnd"/>
            <w:r w:rsidRPr="00A13D16">
              <w:rPr>
                <w:rFonts w:asciiTheme="minorHAnsi" w:hAnsiTheme="minorHAnsi"/>
                <w:color w:val="auto"/>
                <w:sz w:val="16"/>
                <w:szCs w:val="16"/>
              </w:rPr>
              <w:t>/a</w:t>
            </w:r>
          </w:p>
        </w:tc>
        <w:tc>
          <w:tcPr>
            <w:tcW w:w="413" w:type="pct"/>
            <w:tcBorders>
              <w:top w:val="nil"/>
              <w:left w:val="nil"/>
              <w:bottom w:val="nil"/>
              <w:right w:val="nil"/>
            </w:tcBorders>
            <w:vAlign w:val="center"/>
            <w:hideMark/>
          </w:tcPr>
          <w:p w14:paraId="162AF88C"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COMPLET</w:t>
            </w:r>
          </w:p>
        </w:tc>
        <w:tc>
          <w:tcPr>
            <w:tcW w:w="359" w:type="pct"/>
            <w:tcBorders>
              <w:top w:val="nil"/>
              <w:left w:val="nil"/>
              <w:bottom w:val="nil"/>
              <w:right w:val="nil"/>
            </w:tcBorders>
            <w:vAlign w:val="center"/>
            <w:hideMark/>
          </w:tcPr>
          <w:p w14:paraId="098DC571"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6 mai 2025</w:t>
            </w:r>
          </w:p>
        </w:tc>
        <w:tc>
          <w:tcPr>
            <w:tcW w:w="347" w:type="pct"/>
            <w:tcBorders>
              <w:top w:val="nil"/>
              <w:left w:val="nil"/>
              <w:bottom w:val="nil"/>
              <w:right w:val="nil"/>
            </w:tcBorders>
            <w:vAlign w:val="center"/>
            <w:hideMark/>
          </w:tcPr>
          <w:p w14:paraId="1EDC2478"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lang w:eastAsia="en-GB"/>
              </w:rPr>
            </w:pPr>
          </w:p>
        </w:tc>
        <w:tc>
          <w:tcPr>
            <w:tcW w:w="407" w:type="pct"/>
            <w:tcBorders>
              <w:top w:val="nil"/>
              <w:left w:val="nil"/>
              <w:bottom w:val="nil"/>
              <w:right w:val="nil"/>
            </w:tcBorders>
            <w:vAlign w:val="center"/>
            <w:hideMark/>
          </w:tcPr>
          <w:p w14:paraId="7E6FCDB5"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4</w:t>
            </w:r>
          </w:p>
        </w:tc>
        <w:tc>
          <w:tcPr>
            <w:tcW w:w="264" w:type="pct"/>
            <w:tcBorders>
              <w:top w:val="nil"/>
              <w:left w:val="nil"/>
              <w:bottom w:val="nil"/>
              <w:right w:val="nil"/>
            </w:tcBorders>
            <w:vAlign w:val="center"/>
            <w:hideMark/>
          </w:tcPr>
          <w:p w14:paraId="223388D9"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COM-23</w:t>
            </w:r>
          </w:p>
        </w:tc>
        <w:tc>
          <w:tcPr>
            <w:tcW w:w="670" w:type="pct"/>
            <w:tcBorders>
              <w:top w:val="nil"/>
              <w:left w:val="nil"/>
              <w:bottom w:val="nil"/>
              <w:right w:val="single" w:sz="8" w:space="0" w:color="auto"/>
            </w:tcBorders>
            <w:vAlign w:val="center"/>
            <w:hideMark/>
          </w:tcPr>
          <w:p w14:paraId="2E15BC7B"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 </w:t>
            </w:r>
          </w:p>
        </w:tc>
      </w:tr>
      <w:tr w:rsidR="006B109C" w:rsidRPr="00A13D16" w14:paraId="34EABE61" w14:textId="77777777" w:rsidTr="00A13D16">
        <w:trPr>
          <w:trHeight w:val="290"/>
        </w:trPr>
        <w:tc>
          <w:tcPr>
            <w:tcW w:w="234" w:type="pct"/>
            <w:tcBorders>
              <w:top w:val="nil"/>
              <w:left w:val="single" w:sz="8" w:space="0" w:color="auto"/>
              <w:bottom w:val="nil"/>
              <w:right w:val="nil"/>
            </w:tcBorders>
            <w:vAlign w:val="center"/>
            <w:hideMark/>
          </w:tcPr>
          <w:p w14:paraId="198644CB"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3</w:t>
            </w:r>
          </w:p>
        </w:tc>
        <w:tc>
          <w:tcPr>
            <w:tcW w:w="285" w:type="pct"/>
            <w:tcBorders>
              <w:top w:val="nil"/>
              <w:left w:val="nil"/>
              <w:bottom w:val="nil"/>
              <w:right w:val="nil"/>
            </w:tcBorders>
            <w:vAlign w:val="center"/>
            <w:hideMark/>
          </w:tcPr>
          <w:p w14:paraId="4F09E162"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462" w:type="pct"/>
            <w:tcBorders>
              <w:top w:val="nil"/>
              <w:left w:val="nil"/>
              <w:bottom w:val="nil"/>
              <w:right w:val="nil"/>
            </w:tcBorders>
            <w:vAlign w:val="center"/>
            <w:hideMark/>
          </w:tcPr>
          <w:p w14:paraId="49184AF0"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Tâche</w:t>
            </w:r>
          </w:p>
        </w:tc>
        <w:tc>
          <w:tcPr>
            <w:tcW w:w="616" w:type="pct"/>
            <w:tcBorders>
              <w:top w:val="nil"/>
              <w:left w:val="nil"/>
              <w:bottom w:val="nil"/>
              <w:right w:val="nil"/>
            </w:tcBorders>
            <w:vAlign w:val="center"/>
            <w:hideMark/>
          </w:tcPr>
          <w:p w14:paraId="43FFA6F7"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Session de formation/atelier sur les navires (3e session)</w:t>
            </w:r>
          </w:p>
        </w:tc>
        <w:tc>
          <w:tcPr>
            <w:tcW w:w="946" w:type="pct"/>
            <w:tcBorders>
              <w:top w:val="nil"/>
              <w:left w:val="nil"/>
              <w:bottom w:val="nil"/>
              <w:right w:val="nil"/>
            </w:tcBorders>
            <w:vAlign w:val="center"/>
            <w:hideMark/>
          </w:tcPr>
          <w:p w14:paraId="41B51A09"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n</w:t>
            </w:r>
            <w:proofErr w:type="gramEnd"/>
            <w:r w:rsidRPr="00A13D16">
              <w:rPr>
                <w:rFonts w:asciiTheme="minorHAnsi" w:hAnsiTheme="minorHAnsi"/>
                <w:color w:val="auto"/>
                <w:sz w:val="16"/>
                <w:szCs w:val="16"/>
              </w:rPr>
              <w:t>/a</w:t>
            </w:r>
          </w:p>
        </w:tc>
        <w:tc>
          <w:tcPr>
            <w:tcW w:w="413" w:type="pct"/>
            <w:tcBorders>
              <w:top w:val="nil"/>
              <w:left w:val="nil"/>
              <w:bottom w:val="nil"/>
              <w:right w:val="nil"/>
            </w:tcBorders>
            <w:vAlign w:val="center"/>
            <w:hideMark/>
          </w:tcPr>
          <w:p w14:paraId="5BB4AFF9"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COMPLET</w:t>
            </w:r>
          </w:p>
        </w:tc>
        <w:tc>
          <w:tcPr>
            <w:tcW w:w="359" w:type="pct"/>
            <w:tcBorders>
              <w:top w:val="nil"/>
              <w:left w:val="nil"/>
              <w:bottom w:val="nil"/>
              <w:right w:val="nil"/>
            </w:tcBorders>
            <w:vAlign w:val="center"/>
            <w:hideMark/>
          </w:tcPr>
          <w:p w14:paraId="3DCFC218"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30 juin 2025</w:t>
            </w:r>
          </w:p>
        </w:tc>
        <w:tc>
          <w:tcPr>
            <w:tcW w:w="347" w:type="pct"/>
            <w:tcBorders>
              <w:top w:val="nil"/>
              <w:left w:val="nil"/>
              <w:bottom w:val="nil"/>
              <w:right w:val="nil"/>
            </w:tcBorders>
            <w:vAlign w:val="center"/>
            <w:hideMark/>
          </w:tcPr>
          <w:p w14:paraId="6655D601"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lang w:eastAsia="en-GB"/>
              </w:rPr>
            </w:pPr>
          </w:p>
        </w:tc>
        <w:tc>
          <w:tcPr>
            <w:tcW w:w="407" w:type="pct"/>
            <w:tcBorders>
              <w:top w:val="nil"/>
              <w:left w:val="nil"/>
              <w:bottom w:val="nil"/>
              <w:right w:val="nil"/>
            </w:tcBorders>
            <w:vAlign w:val="center"/>
            <w:hideMark/>
          </w:tcPr>
          <w:p w14:paraId="05FFC28D"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4</w:t>
            </w:r>
          </w:p>
        </w:tc>
        <w:tc>
          <w:tcPr>
            <w:tcW w:w="264" w:type="pct"/>
            <w:tcBorders>
              <w:top w:val="nil"/>
              <w:left w:val="nil"/>
              <w:bottom w:val="nil"/>
              <w:right w:val="nil"/>
            </w:tcBorders>
            <w:vAlign w:val="center"/>
            <w:hideMark/>
          </w:tcPr>
          <w:p w14:paraId="3FD75B10"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COM-23</w:t>
            </w:r>
          </w:p>
        </w:tc>
        <w:tc>
          <w:tcPr>
            <w:tcW w:w="670" w:type="pct"/>
            <w:tcBorders>
              <w:top w:val="nil"/>
              <w:left w:val="nil"/>
              <w:bottom w:val="nil"/>
              <w:right w:val="single" w:sz="8" w:space="0" w:color="auto"/>
            </w:tcBorders>
            <w:vAlign w:val="center"/>
            <w:hideMark/>
          </w:tcPr>
          <w:p w14:paraId="43CD455C"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 </w:t>
            </w:r>
          </w:p>
        </w:tc>
      </w:tr>
      <w:tr w:rsidR="006B109C" w:rsidRPr="00A13D16" w14:paraId="5899244C" w14:textId="77777777" w:rsidTr="00A13D16">
        <w:trPr>
          <w:trHeight w:val="300"/>
        </w:trPr>
        <w:tc>
          <w:tcPr>
            <w:tcW w:w="234" w:type="pct"/>
            <w:tcBorders>
              <w:top w:val="nil"/>
              <w:left w:val="single" w:sz="8" w:space="0" w:color="auto"/>
              <w:bottom w:val="nil"/>
              <w:right w:val="nil"/>
            </w:tcBorders>
            <w:shd w:val="clear" w:color="000000" w:fill="DDEBF7"/>
            <w:vAlign w:val="center"/>
            <w:hideMark/>
          </w:tcPr>
          <w:p w14:paraId="2C964E8E"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3</w:t>
            </w:r>
          </w:p>
        </w:tc>
        <w:tc>
          <w:tcPr>
            <w:tcW w:w="285" w:type="pct"/>
            <w:tcBorders>
              <w:top w:val="nil"/>
              <w:left w:val="nil"/>
              <w:bottom w:val="nil"/>
              <w:right w:val="nil"/>
            </w:tcBorders>
            <w:shd w:val="clear" w:color="000000" w:fill="DDEBF7"/>
            <w:vAlign w:val="center"/>
            <w:hideMark/>
          </w:tcPr>
          <w:p w14:paraId="1D5063B9"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462" w:type="pct"/>
            <w:tcBorders>
              <w:top w:val="nil"/>
              <w:left w:val="nil"/>
              <w:bottom w:val="nil"/>
              <w:right w:val="nil"/>
            </w:tcBorders>
            <w:shd w:val="clear" w:color="000000" w:fill="DDEBF7"/>
            <w:vAlign w:val="center"/>
            <w:hideMark/>
          </w:tcPr>
          <w:p w14:paraId="300E6449"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Tâche</w:t>
            </w:r>
          </w:p>
        </w:tc>
        <w:tc>
          <w:tcPr>
            <w:tcW w:w="616" w:type="pct"/>
            <w:tcBorders>
              <w:top w:val="nil"/>
              <w:left w:val="nil"/>
              <w:bottom w:val="nil"/>
              <w:right w:val="nil"/>
            </w:tcBorders>
            <w:shd w:val="clear" w:color="000000" w:fill="DDEBF7"/>
            <w:vAlign w:val="center"/>
            <w:hideMark/>
          </w:tcPr>
          <w:p w14:paraId="332A0136"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Maintenance (y compris les améliorations et la correction des erreurs)</w:t>
            </w:r>
          </w:p>
        </w:tc>
        <w:tc>
          <w:tcPr>
            <w:tcW w:w="946" w:type="pct"/>
            <w:tcBorders>
              <w:top w:val="nil"/>
              <w:left w:val="nil"/>
              <w:bottom w:val="nil"/>
              <w:right w:val="nil"/>
            </w:tcBorders>
            <w:vAlign w:val="center"/>
            <w:hideMark/>
          </w:tcPr>
          <w:p w14:paraId="6D7D5366"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n</w:t>
            </w:r>
            <w:proofErr w:type="gramEnd"/>
            <w:r w:rsidRPr="00A13D16">
              <w:rPr>
                <w:rFonts w:asciiTheme="minorHAnsi" w:hAnsiTheme="minorHAnsi"/>
                <w:color w:val="auto"/>
                <w:sz w:val="16"/>
                <w:szCs w:val="16"/>
              </w:rPr>
              <w:t>/a</w:t>
            </w:r>
          </w:p>
        </w:tc>
        <w:tc>
          <w:tcPr>
            <w:tcW w:w="413" w:type="pct"/>
            <w:tcBorders>
              <w:top w:val="nil"/>
              <w:left w:val="nil"/>
              <w:bottom w:val="nil"/>
              <w:right w:val="nil"/>
            </w:tcBorders>
            <w:shd w:val="clear" w:color="000000" w:fill="DDEBF7"/>
            <w:vAlign w:val="center"/>
            <w:hideMark/>
          </w:tcPr>
          <w:p w14:paraId="7BF567A3"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Suite</w:t>
            </w:r>
          </w:p>
        </w:tc>
        <w:tc>
          <w:tcPr>
            <w:tcW w:w="359" w:type="pct"/>
            <w:tcBorders>
              <w:top w:val="nil"/>
              <w:left w:val="nil"/>
              <w:bottom w:val="nil"/>
              <w:right w:val="nil"/>
            </w:tcBorders>
            <w:shd w:val="clear" w:color="000000" w:fill="DDEBF7"/>
            <w:vAlign w:val="center"/>
            <w:hideMark/>
          </w:tcPr>
          <w:p w14:paraId="1095D486"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1er juin 2022</w:t>
            </w:r>
          </w:p>
        </w:tc>
        <w:tc>
          <w:tcPr>
            <w:tcW w:w="347" w:type="pct"/>
            <w:tcBorders>
              <w:top w:val="nil"/>
              <w:left w:val="nil"/>
              <w:bottom w:val="nil"/>
              <w:right w:val="nil"/>
            </w:tcBorders>
            <w:shd w:val="clear" w:color="000000" w:fill="DDEBF7"/>
            <w:vAlign w:val="center"/>
            <w:hideMark/>
          </w:tcPr>
          <w:p w14:paraId="5F06D957"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n</w:t>
            </w:r>
            <w:proofErr w:type="gramEnd"/>
            <w:r w:rsidRPr="00A13D16">
              <w:rPr>
                <w:rFonts w:asciiTheme="minorHAnsi" w:hAnsiTheme="minorHAnsi"/>
                <w:color w:val="auto"/>
                <w:sz w:val="16"/>
                <w:szCs w:val="16"/>
              </w:rPr>
              <w:t>/a</w:t>
            </w:r>
          </w:p>
        </w:tc>
        <w:tc>
          <w:tcPr>
            <w:tcW w:w="407" w:type="pct"/>
            <w:tcBorders>
              <w:top w:val="nil"/>
              <w:left w:val="nil"/>
              <w:bottom w:val="nil"/>
              <w:right w:val="nil"/>
            </w:tcBorders>
            <w:shd w:val="clear" w:color="000000" w:fill="DDEBF7"/>
            <w:vAlign w:val="center"/>
            <w:hideMark/>
          </w:tcPr>
          <w:p w14:paraId="24CCD572"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n</w:t>
            </w:r>
            <w:proofErr w:type="gramEnd"/>
            <w:r w:rsidRPr="00A13D16">
              <w:rPr>
                <w:rFonts w:asciiTheme="minorHAnsi" w:hAnsiTheme="minorHAnsi"/>
                <w:color w:val="auto"/>
                <w:sz w:val="16"/>
                <w:szCs w:val="16"/>
              </w:rPr>
              <w:t>/a</w:t>
            </w:r>
          </w:p>
        </w:tc>
        <w:tc>
          <w:tcPr>
            <w:tcW w:w="264" w:type="pct"/>
            <w:tcBorders>
              <w:top w:val="nil"/>
              <w:left w:val="nil"/>
              <w:bottom w:val="nil"/>
              <w:right w:val="nil"/>
            </w:tcBorders>
            <w:shd w:val="clear" w:color="000000" w:fill="DDEBF7"/>
            <w:vAlign w:val="center"/>
            <w:hideMark/>
          </w:tcPr>
          <w:p w14:paraId="61252D09"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COM-21</w:t>
            </w:r>
          </w:p>
        </w:tc>
        <w:tc>
          <w:tcPr>
            <w:tcW w:w="670" w:type="pct"/>
            <w:tcBorders>
              <w:top w:val="nil"/>
              <w:left w:val="nil"/>
              <w:bottom w:val="nil"/>
              <w:right w:val="single" w:sz="8" w:space="0" w:color="auto"/>
            </w:tcBorders>
            <w:shd w:val="clear" w:color="000000" w:fill="DDEBF7"/>
            <w:vAlign w:val="center"/>
            <w:hideMark/>
          </w:tcPr>
          <w:p w14:paraId="6A3D9C11"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Tâche de maintenance</w:t>
            </w:r>
          </w:p>
        </w:tc>
      </w:tr>
      <w:tr w:rsidR="006B109C" w:rsidRPr="00A13D16" w14:paraId="74CEAAE1" w14:textId="77777777" w:rsidTr="00A13D16">
        <w:trPr>
          <w:trHeight w:val="290"/>
        </w:trPr>
        <w:tc>
          <w:tcPr>
            <w:tcW w:w="234" w:type="pct"/>
            <w:tcBorders>
              <w:top w:val="single" w:sz="8" w:space="0" w:color="auto"/>
              <w:left w:val="single" w:sz="8" w:space="0" w:color="auto"/>
              <w:bottom w:val="nil"/>
              <w:right w:val="nil"/>
            </w:tcBorders>
            <w:shd w:val="clear" w:color="000000" w:fill="DDEBF7"/>
            <w:vAlign w:val="center"/>
            <w:hideMark/>
          </w:tcPr>
          <w:p w14:paraId="06125593"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4</w:t>
            </w:r>
          </w:p>
        </w:tc>
        <w:tc>
          <w:tcPr>
            <w:tcW w:w="285" w:type="pct"/>
            <w:tcBorders>
              <w:top w:val="single" w:sz="8" w:space="0" w:color="auto"/>
              <w:left w:val="nil"/>
              <w:bottom w:val="nil"/>
              <w:right w:val="nil"/>
            </w:tcBorders>
            <w:shd w:val="clear" w:color="000000" w:fill="DDEBF7"/>
            <w:vAlign w:val="center"/>
            <w:hideMark/>
          </w:tcPr>
          <w:p w14:paraId="08699357"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462" w:type="pct"/>
            <w:tcBorders>
              <w:top w:val="single" w:sz="8" w:space="0" w:color="auto"/>
              <w:left w:val="nil"/>
              <w:bottom w:val="nil"/>
              <w:right w:val="nil"/>
            </w:tcBorders>
            <w:shd w:val="clear" w:color="000000" w:fill="DDEBF7"/>
            <w:vAlign w:val="center"/>
            <w:hideMark/>
          </w:tcPr>
          <w:p w14:paraId="55462727"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Module</w:t>
            </w:r>
          </w:p>
        </w:tc>
        <w:tc>
          <w:tcPr>
            <w:tcW w:w="616" w:type="pct"/>
            <w:tcBorders>
              <w:top w:val="single" w:sz="8" w:space="0" w:color="auto"/>
              <w:left w:val="nil"/>
              <w:bottom w:val="nil"/>
              <w:right w:val="nil"/>
            </w:tcBorders>
            <w:shd w:val="clear" w:color="000000" w:fill="DDEBF7"/>
            <w:vAlign w:val="center"/>
            <w:hideMark/>
          </w:tcPr>
          <w:p w14:paraId="7F58E5FF"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Gestionnaire de ports</w:t>
            </w:r>
          </w:p>
        </w:tc>
        <w:tc>
          <w:tcPr>
            <w:tcW w:w="946" w:type="pct"/>
            <w:tcBorders>
              <w:top w:val="single" w:sz="8" w:space="0" w:color="auto"/>
              <w:left w:val="nil"/>
              <w:bottom w:val="nil"/>
              <w:right w:val="nil"/>
            </w:tcBorders>
            <w:shd w:val="clear" w:color="000000" w:fill="DDEBF7"/>
            <w:vAlign w:val="center"/>
            <w:hideMark/>
          </w:tcPr>
          <w:p w14:paraId="107C57E2"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lang w:val="en-US"/>
              </w:rPr>
            </w:pPr>
            <w:proofErr w:type="gramStart"/>
            <w:r w:rsidRPr="00A13D16">
              <w:rPr>
                <w:rFonts w:asciiTheme="minorHAnsi" w:hAnsiTheme="minorHAnsi"/>
                <w:color w:val="auto"/>
                <w:sz w:val="16"/>
                <w:szCs w:val="16"/>
                <w:lang w:val="en-US"/>
              </w:rPr>
              <w:t>M:GEN</w:t>
            </w:r>
            <w:proofErr w:type="gramEnd"/>
            <w:r w:rsidRPr="00A13D16">
              <w:rPr>
                <w:rFonts w:asciiTheme="minorHAnsi" w:hAnsiTheme="minorHAnsi"/>
                <w:color w:val="auto"/>
                <w:sz w:val="16"/>
                <w:szCs w:val="16"/>
                <w:lang w:val="en-US"/>
              </w:rPr>
              <w:t xml:space="preserve">11, </w:t>
            </w:r>
            <w:proofErr w:type="gramStart"/>
            <w:r w:rsidRPr="00A13D16">
              <w:rPr>
                <w:rFonts w:asciiTheme="minorHAnsi" w:hAnsiTheme="minorHAnsi"/>
                <w:color w:val="auto"/>
                <w:sz w:val="16"/>
                <w:szCs w:val="16"/>
                <w:lang w:val="en-US"/>
              </w:rPr>
              <w:t>M:GEN</w:t>
            </w:r>
            <w:proofErr w:type="gramEnd"/>
            <w:r w:rsidRPr="00A13D16">
              <w:rPr>
                <w:rFonts w:asciiTheme="minorHAnsi" w:hAnsiTheme="minorHAnsi"/>
                <w:color w:val="auto"/>
                <w:sz w:val="16"/>
                <w:szCs w:val="16"/>
                <w:lang w:val="en-US"/>
              </w:rPr>
              <w:t xml:space="preserve">12, </w:t>
            </w:r>
            <w:proofErr w:type="gramStart"/>
            <w:r w:rsidRPr="00A13D16">
              <w:rPr>
                <w:rFonts w:asciiTheme="minorHAnsi" w:hAnsiTheme="minorHAnsi"/>
                <w:color w:val="auto"/>
                <w:sz w:val="16"/>
                <w:szCs w:val="16"/>
                <w:lang w:val="en-US"/>
              </w:rPr>
              <w:t>M:BFT</w:t>
            </w:r>
            <w:proofErr w:type="gramEnd"/>
            <w:r w:rsidRPr="00A13D16">
              <w:rPr>
                <w:rFonts w:asciiTheme="minorHAnsi" w:hAnsiTheme="minorHAnsi"/>
                <w:color w:val="auto"/>
                <w:sz w:val="16"/>
                <w:szCs w:val="16"/>
                <w:lang w:val="en-US"/>
              </w:rPr>
              <w:t xml:space="preserve">20, </w:t>
            </w:r>
            <w:proofErr w:type="gramStart"/>
            <w:r w:rsidRPr="00A13D16">
              <w:rPr>
                <w:rFonts w:asciiTheme="minorHAnsi" w:hAnsiTheme="minorHAnsi"/>
                <w:color w:val="auto"/>
                <w:sz w:val="16"/>
                <w:szCs w:val="16"/>
                <w:lang w:val="en-US"/>
              </w:rPr>
              <w:t>M:BFT</w:t>
            </w:r>
            <w:proofErr w:type="gramEnd"/>
            <w:r w:rsidRPr="00A13D16">
              <w:rPr>
                <w:rFonts w:asciiTheme="minorHAnsi" w:hAnsiTheme="minorHAnsi"/>
                <w:color w:val="auto"/>
                <w:sz w:val="16"/>
                <w:szCs w:val="16"/>
                <w:lang w:val="en-US"/>
              </w:rPr>
              <w:t xml:space="preserve">21, </w:t>
            </w:r>
            <w:proofErr w:type="gramStart"/>
            <w:r w:rsidRPr="00A13D16">
              <w:rPr>
                <w:rFonts w:asciiTheme="minorHAnsi" w:hAnsiTheme="minorHAnsi"/>
                <w:color w:val="auto"/>
                <w:sz w:val="16"/>
                <w:szCs w:val="16"/>
                <w:lang w:val="en-US"/>
              </w:rPr>
              <w:t>M:SWO</w:t>
            </w:r>
            <w:proofErr w:type="gramEnd"/>
            <w:r w:rsidRPr="00A13D16">
              <w:rPr>
                <w:rFonts w:asciiTheme="minorHAnsi" w:hAnsiTheme="minorHAnsi"/>
                <w:color w:val="auto"/>
                <w:sz w:val="16"/>
                <w:szCs w:val="16"/>
                <w:lang w:val="en-US"/>
              </w:rPr>
              <w:t>10</w:t>
            </w:r>
          </w:p>
        </w:tc>
        <w:tc>
          <w:tcPr>
            <w:tcW w:w="413" w:type="pct"/>
            <w:tcBorders>
              <w:top w:val="single" w:sz="8" w:space="0" w:color="auto"/>
              <w:left w:val="nil"/>
              <w:bottom w:val="nil"/>
              <w:right w:val="nil"/>
            </w:tcBorders>
            <w:shd w:val="clear" w:color="000000" w:fill="DDEBF7"/>
            <w:vAlign w:val="center"/>
            <w:hideMark/>
          </w:tcPr>
          <w:p w14:paraId="0D44307A"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En cours</w:t>
            </w:r>
          </w:p>
        </w:tc>
        <w:tc>
          <w:tcPr>
            <w:tcW w:w="359" w:type="pct"/>
            <w:tcBorders>
              <w:top w:val="single" w:sz="8" w:space="0" w:color="auto"/>
              <w:left w:val="nil"/>
              <w:bottom w:val="nil"/>
              <w:right w:val="nil"/>
            </w:tcBorders>
            <w:shd w:val="clear" w:color="000000" w:fill="DDEBF7"/>
            <w:vAlign w:val="center"/>
            <w:hideMark/>
          </w:tcPr>
          <w:p w14:paraId="0C0474B7"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1er novembre 2024</w:t>
            </w:r>
          </w:p>
        </w:tc>
        <w:tc>
          <w:tcPr>
            <w:tcW w:w="347" w:type="pct"/>
            <w:tcBorders>
              <w:top w:val="single" w:sz="8" w:space="0" w:color="auto"/>
              <w:left w:val="nil"/>
              <w:bottom w:val="nil"/>
              <w:right w:val="nil"/>
            </w:tcBorders>
            <w:shd w:val="clear" w:color="000000" w:fill="DDEBF7"/>
            <w:vAlign w:val="center"/>
            <w:hideMark/>
          </w:tcPr>
          <w:p w14:paraId="21FE5365"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1er août 2026</w:t>
            </w:r>
          </w:p>
        </w:tc>
        <w:tc>
          <w:tcPr>
            <w:tcW w:w="407" w:type="pct"/>
            <w:tcBorders>
              <w:top w:val="single" w:sz="8" w:space="0" w:color="auto"/>
              <w:left w:val="nil"/>
              <w:bottom w:val="nil"/>
              <w:right w:val="nil"/>
            </w:tcBorders>
            <w:shd w:val="clear" w:color="000000" w:fill="DDEBF7"/>
            <w:vAlign w:val="center"/>
            <w:hideMark/>
          </w:tcPr>
          <w:p w14:paraId="34D20509"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5</w:t>
            </w:r>
          </w:p>
        </w:tc>
        <w:tc>
          <w:tcPr>
            <w:tcW w:w="264" w:type="pct"/>
            <w:tcBorders>
              <w:top w:val="single" w:sz="8" w:space="0" w:color="auto"/>
              <w:left w:val="nil"/>
              <w:bottom w:val="nil"/>
              <w:right w:val="nil"/>
            </w:tcBorders>
            <w:shd w:val="clear" w:color="000000" w:fill="DDEBF7"/>
            <w:vAlign w:val="center"/>
            <w:hideMark/>
          </w:tcPr>
          <w:p w14:paraId="7817FEB6"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COM-21</w:t>
            </w:r>
          </w:p>
        </w:tc>
        <w:tc>
          <w:tcPr>
            <w:tcW w:w="670" w:type="pct"/>
            <w:tcBorders>
              <w:top w:val="single" w:sz="8" w:space="0" w:color="auto"/>
              <w:left w:val="nil"/>
              <w:bottom w:val="nil"/>
              <w:right w:val="single" w:sz="8" w:space="0" w:color="auto"/>
            </w:tcBorders>
            <w:shd w:val="clear" w:color="000000" w:fill="DDEBF7"/>
            <w:vAlign w:val="center"/>
            <w:hideMark/>
          </w:tcPr>
          <w:p w14:paraId="4B938128"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Le développement sera bientôt terminé. Des tests sont nécessaires.</w:t>
            </w:r>
          </w:p>
        </w:tc>
      </w:tr>
      <w:tr w:rsidR="006B109C" w:rsidRPr="00A13D16" w14:paraId="456936D0" w14:textId="77777777" w:rsidTr="00A13D16">
        <w:trPr>
          <w:trHeight w:val="290"/>
        </w:trPr>
        <w:tc>
          <w:tcPr>
            <w:tcW w:w="234" w:type="pct"/>
            <w:tcBorders>
              <w:top w:val="nil"/>
              <w:left w:val="single" w:sz="8" w:space="0" w:color="auto"/>
              <w:bottom w:val="nil"/>
              <w:right w:val="nil"/>
            </w:tcBorders>
            <w:shd w:val="clear" w:color="000000" w:fill="DDEBF7"/>
            <w:vAlign w:val="center"/>
            <w:hideMark/>
          </w:tcPr>
          <w:p w14:paraId="377E614A"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4</w:t>
            </w:r>
          </w:p>
        </w:tc>
        <w:tc>
          <w:tcPr>
            <w:tcW w:w="285" w:type="pct"/>
            <w:tcBorders>
              <w:top w:val="nil"/>
              <w:left w:val="nil"/>
              <w:bottom w:val="nil"/>
              <w:right w:val="nil"/>
            </w:tcBorders>
            <w:shd w:val="clear" w:color="000000" w:fill="DDEBF7"/>
            <w:vAlign w:val="center"/>
            <w:hideMark/>
          </w:tcPr>
          <w:p w14:paraId="06672EED"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462" w:type="pct"/>
            <w:tcBorders>
              <w:top w:val="nil"/>
              <w:left w:val="nil"/>
              <w:bottom w:val="nil"/>
              <w:right w:val="nil"/>
            </w:tcBorders>
            <w:shd w:val="clear" w:color="000000" w:fill="DDEBF7"/>
            <w:vAlign w:val="center"/>
            <w:hideMark/>
          </w:tcPr>
          <w:p w14:paraId="3F7FE1CF"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Module</w:t>
            </w:r>
          </w:p>
        </w:tc>
        <w:tc>
          <w:tcPr>
            <w:tcW w:w="616" w:type="pct"/>
            <w:tcBorders>
              <w:top w:val="nil"/>
              <w:left w:val="nil"/>
              <w:bottom w:val="nil"/>
              <w:right w:val="nil"/>
            </w:tcBorders>
            <w:shd w:val="clear" w:color="000000" w:fill="DDEBF7"/>
            <w:vAlign w:val="center"/>
            <w:hideMark/>
          </w:tcPr>
          <w:p w14:paraId="2806A661"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Gestionnaire de T1NC (prises nominales de la tâche 1)</w:t>
            </w:r>
          </w:p>
        </w:tc>
        <w:tc>
          <w:tcPr>
            <w:tcW w:w="946" w:type="pct"/>
            <w:tcBorders>
              <w:top w:val="nil"/>
              <w:left w:val="nil"/>
              <w:bottom w:val="nil"/>
              <w:right w:val="nil"/>
            </w:tcBorders>
            <w:shd w:val="clear" w:color="000000" w:fill="DDEBF7"/>
            <w:vAlign w:val="center"/>
            <w:hideMark/>
          </w:tcPr>
          <w:p w14:paraId="2229AB76"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S:GEN</w:t>
            </w:r>
            <w:proofErr w:type="gramEnd"/>
            <w:r w:rsidRPr="00A13D16">
              <w:rPr>
                <w:rFonts w:asciiTheme="minorHAnsi" w:hAnsiTheme="minorHAnsi"/>
                <w:color w:val="auto"/>
                <w:sz w:val="16"/>
                <w:szCs w:val="16"/>
              </w:rPr>
              <w:t>03</w:t>
            </w:r>
          </w:p>
        </w:tc>
        <w:tc>
          <w:tcPr>
            <w:tcW w:w="413" w:type="pct"/>
            <w:tcBorders>
              <w:top w:val="nil"/>
              <w:left w:val="nil"/>
              <w:bottom w:val="nil"/>
              <w:right w:val="nil"/>
            </w:tcBorders>
            <w:shd w:val="clear" w:color="000000" w:fill="DDEBF7"/>
            <w:vAlign w:val="center"/>
            <w:hideMark/>
          </w:tcPr>
          <w:p w14:paraId="33A387A3"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En cours</w:t>
            </w:r>
          </w:p>
        </w:tc>
        <w:tc>
          <w:tcPr>
            <w:tcW w:w="359" w:type="pct"/>
            <w:tcBorders>
              <w:top w:val="nil"/>
              <w:left w:val="nil"/>
              <w:bottom w:val="nil"/>
              <w:right w:val="nil"/>
            </w:tcBorders>
            <w:shd w:val="clear" w:color="000000" w:fill="DDEBF7"/>
            <w:vAlign w:val="center"/>
            <w:hideMark/>
          </w:tcPr>
          <w:p w14:paraId="239753C7"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15 janvier 2025</w:t>
            </w:r>
          </w:p>
        </w:tc>
        <w:tc>
          <w:tcPr>
            <w:tcW w:w="347" w:type="pct"/>
            <w:tcBorders>
              <w:top w:val="nil"/>
              <w:left w:val="nil"/>
              <w:bottom w:val="nil"/>
              <w:right w:val="nil"/>
            </w:tcBorders>
            <w:shd w:val="clear" w:color="000000" w:fill="DDEBF7"/>
            <w:vAlign w:val="center"/>
            <w:hideMark/>
          </w:tcPr>
          <w:p w14:paraId="7F75D1C8"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1er mai 2027</w:t>
            </w:r>
          </w:p>
        </w:tc>
        <w:tc>
          <w:tcPr>
            <w:tcW w:w="407" w:type="pct"/>
            <w:tcBorders>
              <w:top w:val="nil"/>
              <w:left w:val="nil"/>
              <w:bottom w:val="nil"/>
              <w:right w:val="nil"/>
            </w:tcBorders>
            <w:shd w:val="clear" w:color="000000" w:fill="DDEBF7"/>
            <w:hideMark/>
          </w:tcPr>
          <w:p w14:paraId="65FDD359"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5</w:t>
            </w:r>
          </w:p>
        </w:tc>
        <w:tc>
          <w:tcPr>
            <w:tcW w:w="264" w:type="pct"/>
            <w:tcBorders>
              <w:top w:val="nil"/>
              <w:left w:val="nil"/>
              <w:bottom w:val="nil"/>
              <w:right w:val="nil"/>
            </w:tcBorders>
            <w:shd w:val="clear" w:color="000000" w:fill="DDEBF7"/>
            <w:vAlign w:val="center"/>
            <w:hideMark/>
          </w:tcPr>
          <w:p w14:paraId="55A1FA89"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COM-23</w:t>
            </w:r>
          </w:p>
        </w:tc>
        <w:tc>
          <w:tcPr>
            <w:tcW w:w="670" w:type="pct"/>
            <w:tcBorders>
              <w:top w:val="nil"/>
              <w:left w:val="nil"/>
              <w:bottom w:val="nil"/>
              <w:right w:val="single" w:sz="8" w:space="0" w:color="auto"/>
            </w:tcBorders>
            <w:shd w:val="clear" w:color="000000" w:fill="DDEBF7"/>
            <w:vAlign w:val="center"/>
            <w:hideMark/>
          </w:tcPr>
          <w:p w14:paraId="4215479D"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Refonte de la base de données. Conception de flux de données et de tableaux de bord.</w:t>
            </w:r>
          </w:p>
        </w:tc>
      </w:tr>
      <w:tr w:rsidR="006B109C" w:rsidRPr="00A13D16" w14:paraId="503D7752" w14:textId="77777777" w:rsidTr="00A13D16">
        <w:trPr>
          <w:trHeight w:val="290"/>
        </w:trPr>
        <w:tc>
          <w:tcPr>
            <w:tcW w:w="234" w:type="pct"/>
            <w:tcBorders>
              <w:top w:val="nil"/>
              <w:left w:val="single" w:sz="8" w:space="0" w:color="auto"/>
              <w:bottom w:val="nil"/>
              <w:right w:val="nil"/>
            </w:tcBorders>
            <w:shd w:val="clear" w:color="000000" w:fill="DDEBF7"/>
            <w:vAlign w:val="center"/>
            <w:hideMark/>
          </w:tcPr>
          <w:p w14:paraId="7068AF2A"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4</w:t>
            </w:r>
          </w:p>
        </w:tc>
        <w:tc>
          <w:tcPr>
            <w:tcW w:w="285" w:type="pct"/>
            <w:tcBorders>
              <w:top w:val="nil"/>
              <w:left w:val="nil"/>
              <w:bottom w:val="nil"/>
              <w:right w:val="nil"/>
            </w:tcBorders>
            <w:shd w:val="clear" w:color="000000" w:fill="DDEBF7"/>
            <w:vAlign w:val="center"/>
            <w:hideMark/>
          </w:tcPr>
          <w:p w14:paraId="7B14C3C8"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462" w:type="pct"/>
            <w:tcBorders>
              <w:top w:val="nil"/>
              <w:left w:val="nil"/>
              <w:bottom w:val="nil"/>
              <w:right w:val="nil"/>
            </w:tcBorders>
            <w:shd w:val="clear" w:color="000000" w:fill="DDEBF7"/>
            <w:vAlign w:val="center"/>
            <w:hideMark/>
          </w:tcPr>
          <w:p w14:paraId="66A7D4A7"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Module</w:t>
            </w:r>
          </w:p>
        </w:tc>
        <w:tc>
          <w:tcPr>
            <w:tcW w:w="616" w:type="pct"/>
            <w:tcBorders>
              <w:top w:val="nil"/>
              <w:left w:val="nil"/>
              <w:bottom w:val="nil"/>
              <w:right w:val="nil"/>
            </w:tcBorders>
            <w:shd w:val="clear" w:color="000000" w:fill="DDEBF7"/>
            <w:vAlign w:val="center"/>
            <w:hideMark/>
          </w:tcPr>
          <w:p w14:paraId="4F95F464"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Gestionnaire des tableaux d’application (COCT)</w:t>
            </w:r>
          </w:p>
        </w:tc>
        <w:tc>
          <w:tcPr>
            <w:tcW w:w="946" w:type="pct"/>
            <w:tcBorders>
              <w:top w:val="nil"/>
              <w:left w:val="nil"/>
              <w:bottom w:val="nil"/>
              <w:right w:val="nil"/>
            </w:tcBorders>
            <w:shd w:val="clear" w:color="000000" w:fill="DDEBF7"/>
            <w:vAlign w:val="center"/>
            <w:hideMark/>
          </w:tcPr>
          <w:p w14:paraId="46CD857B"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M:GEN</w:t>
            </w:r>
            <w:proofErr w:type="gramEnd"/>
            <w:r w:rsidRPr="00A13D16">
              <w:rPr>
                <w:rFonts w:asciiTheme="minorHAnsi" w:hAnsiTheme="minorHAnsi"/>
                <w:color w:val="auto"/>
                <w:sz w:val="16"/>
                <w:szCs w:val="16"/>
              </w:rPr>
              <w:t>03</w:t>
            </w:r>
          </w:p>
        </w:tc>
        <w:tc>
          <w:tcPr>
            <w:tcW w:w="413" w:type="pct"/>
            <w:tcBorders>
              <w:top w:val="nil"/>
              <w:left w:val="nil"/>
              <w:bottom w:val="nil"/>
              <w:right w:val="nil"/>
            </w:tcBorders>
            <w:shd w:val="clear" w:color="000000" w:fill="DDEBF7"/>
            <w:vAlign w:val="center"/>
            <w:hideMark/>
          </w:tcPr>
          <w:p w14:paraId="5586A1C4"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En cours</w:t>
            </w:r>
          </w:p>
        </w:tc>
        <w:tc>
          <w:tcPr>
            <w:tcW w:w="359" w:type="pct"/>
            <w:tcBorders>
              <w:top w:val="nil"/>
              <w:left w:val="nil"/>
              <w:bottom w:val="nil"/>
              <w:right w:val="nil"/>
            </w:tcBorders>
            <w:shd w:val="clear" w:color="000000" w:fill="DDEBF7"/>
            <w:vAlign w:val="center"/>
            <w:hideMark/>
          </w:tcPr>
          <w:p w14:paraId="28F8AD21"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15 janvier 2025</w:t>
            </w:r>
          </w:p>
        </w:tc>
        <w:tc>
          <w:tcPr>
            <w:tcW w:w="347" w:type="pct"/>
            <w:tcBorders>
              <w:top w:val="nil"/>
              <w:left w:val="nil"/>
              <w:bottom w:val="nil"/>
              <w:right w:val="nil"/>
            </w:tcBorders>
            <w:shd w:val="clear" w:color="000000" w:fill="DDEBF7"/>
            <w:vAlign w:val="center"/>
            <w:hideMark/>
          </w:tcPr>
          <w:p w14:paraId="6716850E"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1er mai 2027</w:t>
            </w:r>
          </w:p>
        </w:tc>
        <w:tc>
          <w:tcPr>
            <w:tcW w:w="407" w:type="pct"/>
            <w:tcBorders>
              <w:top w:val="nil"/>
              <w:left w:val="nil"/>
              <w:bottom w:val="nil"/>
              <w:right w:val="nil"/>
            </w:tcBorders>
            <w:shd w:val="clear" w:color="000000" w:fill="DDEBF7"/>
            <w:hideMark/>
          </w:tcPr>
          <w:p w14:paraId="65FB6185"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5</w:t>
            </w:r>
          </w:p>
        </w:tc>
        <w:tc>
          <w:tcPr>
            <w:tcW w:w="264" w:type="pct"/>
            <w:tcBorders>
              <w:top w:val="nil"/>
              <w:left w:val="nil"/>
              <w:bottom w:val="nil"/>
              <w:right w:val="nil"/>
            </w:tcBorders>
            <w:shd w:val="clear" w:color="000000" w:fill="DDEBF7"/>
            <w:vAlign w:val="center"/>
            <w:hideMark/>
          </w:tcPr>
          <w:p w14:paraId="77D919AF"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COM-23</w:t>
            </w:r>
          </w:p>
        </w:tc>
        <w:tc>
          <w:tcPr>
            <w:tcW w:w="670" w:type="pct"/>
            <w:tcBorders>
              <w:top w:val="nil"/>
              <w:left w:val="nil"/>
              <w:bottom w:val="nil"/>
              <w:right w:val="single" w:sz="8" w:space="0" w:color="auto"/>
            </w:tcBorders>
            <w:shd w:val="clear" w:color="000000" w:fill="DDEBF7"/>
            <w:vAlign w:val="center"/>
            <w:hideMark/>
          </w:tcPr>
          <w:p w14:paraId="5EBB3DC4"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Refonte de la base de données. Conception de flux de données et de tableaux de bord.</w:t>
            </w:r>
          </w:p>
        </w:tc>
      </w:tr>
      <w:tr w:rsidR="006B109C" w:rsidRPr="00A13D16" w14:paraId="3CA79CBB" w14:textId="77777777" w:rsidTr="00A13D16">
        <w:trPr>
          <w:trHeight w:val="290"/>
        </w:trPr>
        <w:tc>
          <w:tcPr>
            <w:tcW w:w="234" w:type="pct"/>
            <w:tcBorders>
              <w:top w:val="nil"/>
              <w:left w:val="single" w:sz="8" w:space="0" w:color="auto"/>
              <w:bottom w:val="nil"/>
              <w:right w:val="nil"/>
            </w:tcBorders>
            <w:shd w:val="clear" w:color="000000" w:fill="DDEBF7"/>
            <w:vAlign w:val="center"/>
            <w:hideMark/>
          </w:tcPr>
          <w:p w14:paraId="61176CF0"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4</w:t>
            </w:r>
          </w:p>
        </w:tc>
        <w:tc>
          <w:tcPr>
            <w:tcW w:w="285" w:type="pct"/>
            <w:tcBorders>
              <w:top w:val="nil"/>
              <w:left w:val="nil"/>
              <w:bottom w:val="nil"/>
              <w:right w:val="nil"/>
            </w:tcBorders>
            <w:shd w:val="clear" w:color="000000" w:fill="DDEBF7"/>
            <w:vAlign w:val="center"/>
            <w:hideMark/>
          </w:tcPr>
          <w:p w14:paraId="5ABB1F75"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2</w:t>
            </w:r>
          </w:p>
        </w:tc>
        <w:tc>
          <w:tcPr>
            <w:tcW w:w="462" w:type="pct"/>
            <w:tcBorders>
              <w:top w:val="nil"/>
              <w:left w:val="nil"/>
              <w:bottom w:val="nil"/>
              <w:right w:val="nil"/>
            </w:tcBorders>
            <w:shd w:val="clear" w:color="000000" w:fill="DDEBF7"/>
            <w:vAlign w:val="center"/>
            <w:hideMark/>
          </w:tcPr>
          <w:p w14:paraId="57B2B766"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Module</w:t>
            </w:r>
          </w:p>
        </w:tc>
        <w:tc>
          <w:tcPr>
            <w:tcW w:w="616" w:type="pct"/>
            <w:tcBorders>
              <w:top w:val="nil"/>
              <w:left w:val="nil"/>
              <w:bottom w:val="nil"/>
              <w:right w:val="nil"/>
            </w:tcBorders>
            <w:shd w:val="clear" w:color="000000" w:fill="DDEBF7"/>
            <w:vAlign w:val="center"/>
            <w:hideMark/>
          </w:tcPr>
          <w:p w14:paraId="7E32B378"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 xml:space="preserve">Gestionnaire </w:t>
            </w:r>
            <w:proofErr w:type="gramStart"/>
            <w:r w:rsidRPr="00A13D16">
              <w:rPr>
                <w:rFonts w:asciiTheme="minorHAnsi" w:hAnsiTheme="minorHAnsi"/>
                <w:color w:val="auto"/>
                <w:sz w:val="16"/>
                <w:szCs w:val="16"/>
              </w:rPr>
              <w:t>des  feuilles</w:t>
            </w:r>
            <w:proofErr w:type="gramEnd"/>
            <w:r w:rsidRPr="00A13D16">
              <w:rPr>
                <w:rFonts w:asciiTheme="minorHAnsi" w:hAnsiTheme="minorHAnsi"/>
                <w:color w:val="auto"/>
                <w:sz w:val="16"/>
                <w:szCs w:val="16"/>
              </w:rPr>
              <w:t xml:space="preserve"> de contrôle requins/istiophoridés</w:t>
            </w:r>
          </w:p>
        </w:tc>
        <w:tc>
          <w:tcPr>
            <w:tcW w:w="946" w:type="pct"/>
            <w:tcBorders>
              <w:top w:val="nil"/>
              <w:left w:val="nil"/>
              <w:bottom w:val="nil"/>
              <w:right w:val="nil"/>
            </w:tcBorders>
            <w:shd w:val="clear" w:color="000000" w:fill="DDEBF7"/>
            <w:vAlign w:val="center"/>
            <w:hideMark/>
          </w:tcPr>
          <w:p w14:paraId="7A1C069D"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M:SHK</w:t>
            </w:r>
            <w:proofErr w:type="gramEnd"/>
            <w:r w:rsidRPr="00A13D16">
              <w:rPr>
                <w:rFonts w:asciiTheme="minorHAnsi" w:hAnsiTheme="minorHAnsi"/>
                <w:color w:val="auto"/>
                <w:sz w:val="16"/>
                <w:szCs w:val="16"/>
              </w:rPr>
              <w:t xml:space="preserve">05, </w:t>
            </w:r>
            <w:proofErr w:type="gramStart"/>
            <w:r w:rsidRPr="00A13D16">
              <w:rPr>
                <w:rFonts w:asciiTheme="minorHAnsi" w:hAnsiTheme="minorHAnsi"/>
                <w:color w:val="auto"/>
                <w:sz w:val="16"/>
                <w:szCs w:val="16"/>
              </w:rPr>
              <w:t>M:BIL</w:t>
            </w:r>
            <w:proofErr w:type="gramEnd"/>
            <w:r w:rsidRPr="00A13D16">
              <w:rPr>
                <w:rFonts w:asciiTheme="minorHAnsi" w:hAnsiTheme="minorHAnsi"/>
                <w:color w:val="auto"/>
                <w:sz w:val="16"/>
                <w:szCs w:val="16"/>
              </w:rPr>
              <w:t>01</w:t>
            </w:r>
          </w:p>
        </w:tc>
        <w:tc>
          <w:tcPr>
            <w:tcW w:w="413" w:type="pct"/>
            <w:tcBorders>
              <w:top w:val="nil"/>
              <w:left w:val="nil"/>
              <w:bottom w:val="nil"/>
              <w:right w:val="nil"/>
            </w:tcBorders>
            <w:shd w:val="clear" w:color="000000" w:fill="DDEBF7"/>
            <w:vAlign w:val="center"/>
            <w:hideMark/>
          </w:tcPr>
          <w:p w14:paraId="2036B756"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En cours</w:t>
            </w:r>
          </w:p>
        </w:tc>
        <w:tc>
          <w:tcPr>
            <w:tcW w:w="359" w:type="pct"/>
            <w:tcBorders>
              <w:top w:val="nil"/>
              <w:left w:val="nil"/>
              <w:bottom w:val="nil"/>
              <w:right w:val="nil"/>
            </w:tcBorders>
            <w:shd w:val="clear" w:color="000000" w:fill="DDEBF7"/>
            <w:vAlign w:val="center"/>
            <w:hideMark/>
          </w:tcPr>
          <w:p w14:paraId="6E243349"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1er décembre 2024</w:t>
            </w:r>
          </w:p>
        </w:tc>
        <w:tc>
          <w:tcPr>
            <w:tcW w:w="347" w:type="pct"/>
            <w:tcBorders>
              <w:top w:val="nil"/>
              <w:left w:val="nil"/>
              <w:bottom w:val="nil"/>
              <w:right w:val="nil"/>
            </w:tcBorders>
            <w:shd w:val="clear" w:color="000000" w:fill="DDEBF7"/>
            <w:vAlign w:val="center"/>
            <w:hideMark/>
          </w:tcPr>
          <w:p w14:paraId="7DD05793"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1er août 2027</w:t>
            </w:r>
          </w:p>
        </w:tc>
        <w:tc>
          <w:tcPr>
            <w:tcW w:w="407" w:type="pct"/>
            <w:tcBorders>
              <w:top w:val="nil"/>
              <w:left w:val="nil"/>
              <w:bottom w:val="nil"/>
              <w:right w:val="nil"/>
            </w:tcBorders>
            <w:shd w:val="clear" w:color="000000" w:fill="DDEBF7"/>
            <w:vAlign w:val="center"/>
            <w:hideMark/>
          </w:tcPr>
          <w:p w14:paraId="3CBC9D83"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5</w:t>
            </w:r>
          </w:p>
        </w:tc>
        <w:tc>
          <w:tcPr>
            <w:tcW w:w="264" w:type="pct"/>
            <w:tcBorders>
              <w:top w:val="nil"/>
              <w:left w:val="nil"/>
              <w:bottom w:val="nil"/>
              <w:right w:val="nil"/>
            </w:tcBorders>
            <w:shd w:val="clear" w:color="000000" w:fill="DDEBF7"/>
            <w:vAlign w:val="center"/>
            <w:hideMark/>
          </w:tcPr>
          <w:p w14:paraId="2AF36EDA"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COM-21</w:t>
            </w:r>
          </w:p>
        </w:tc>
        <w:tc>
          <w:tcPr>
            <w:tcW w:w="670" w:type="pct"/>
            <w:tcBorders>
              <w:top w:val="nil"/>
              <w:left w:val="nil"/>
              <w:bottom w:val="nil"/>
              <w:right w:val="single" w:sz="8" w:space="0" w:color="auto"/>
            </w:tcBorders>
            <w:shd w:val="clear" w:color="000000" w:fill="DDEBF7"/>
            <w:vAlign w:val="center"/>
            <w:hideMark/>
          </w:tcPr>
          <w:p w14:paraId="57F066E1"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 xml:space="preserve">Créer un nouveau modèle Excel, une nouvelle base de </w:t>
            </w:r>
            <w:r w:rsidRPr="00A13D16">
              <w:rPr>
                <w:rFonts w:asciiTheme="minorHAnsi" w:hAnsiTheme="minorHAnsi"/>
                <w:b/>
                <w:color w:val="FF0000"/>
                <w:sz w:val="16"/>
                <w:szCs w:val="16"/>
              </w:rPr>
              <w:lastRenderedPageBreak/>
              <w:t>données, intégrer les données (rapports des deux dernières années ?)</w:t>
            </w:r>
          </w:p>
        </w:tc>
      </w:tr>
      <w:tr w:rsidR="006B109C" w:rsidRPr="00A13D16" w14:paraId="5561882C" w14:textId="77777777" w:rsidTr="00A13D16">
        <w:trPr>
          <w:trHeight w:val="290"/>
        </w:trPr>
        <w:tc>
          <w:tcPr>
            <w:tcW w:w="234" w:type="pct"/>
            <w:tcBorders>
              <w:top w:val="nil"/>
              <w:left w:val="single" w:sz="8" w:space="0" w:color="auto"/>
              <w:bottom w:val="nil"/>
              <w:right w:val="nil"/>
            </w:tcBorders>
            <w:shd w:val="clear" w:color="000000" w:fill="DDEBF7"/>
            <w:vAlign w:val="center"/>
            <w:hideMark/>
          </w:tcPr>
          <w:p w14:paraId="0534875B"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lastRenderedPageBreak/>
              <w:t>4</w:t>
            </w:r>
          </w:p>
        </w:tc>
        <w:tc>
          <w:tcPr>
            <w:tcW w:w="285" w:type="pct"/>
            <w:tcBorders>
              <w:top w:val="nil"/>
              <w:left w:val="nil"/>
              <w:bottom w:val="nil"/>
              <w:right w:val="nil"/>
            </w:tcBorders>
            <w:shd w:val="clear" w:color="000000" w:fill="DDEBF7"/>
            <w:vAlign w:val="center"/>
            <w:hideMark/>
          </w:tcPr>
          <w:p w14:paraId="4B39643B"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1</w:t>
            </w:r>
          </w:p>
        </w:tc>
        <w:tc>
          <w:tcPr>
            <w:tcW w:w="462" w:type="pct"/>
            <w:tcBorders>
              <w:top w:val="nil"/>
              <w:left w:val="nil"/>
              <w:bottom w:val="nil"/>
              <w:right w:val="nil"/>
            </w:tcBorders>
            <w:shd w:val="clear" w:color="000000" w:fill="DDEBF7"/>
            <w:vAlign w:val="center"/>
            <w:hideMark/>
          </w:tcPr>
          <w:p w14:paraId="73C711C8"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Tâche</w:t>
            </w:r>
          </w:p>
        </w:tc>
        <w:tc>
          <w:tcPr>
            <w:tcW w:w="616" w:type="pct"/>
            <w:tcBorders>
              <w:top w:val="nil"/>
              <w:left w:val="nil"/>
              <w:bottom w:val="nil"/>
              <w:right w:val="nil"/>
            </w:tcBorders>
            <w:shd w:val="clear" w:color="000000" w:fill="DDEBF7"/>
            <w:vAlign w:val="center"/>
            <w:hideMark/>
          </w:tcPr>
          <w:p w14:paraId="02192573" w14:textId="77777777" w:rsidR="00250EDE"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hAnsiTheme="minorHAnsi"/>
                <w:b/>
                <w:color w:val="FF0000"/>
                <w:sz w:val="16"/>
                <w:szCs w:val="16"/>
              </w:rPr>
            </w:pPr>
            <w:r w:rsidRPr="00A13D16">
              <w:rPr>
                <w:rFonts w:asciiTheme="minorHAnsi" w:hAnsiTheme="minorHAnsi"/>
                <w:b/>
                <w:color w:val="FF0000"/>
                <w:sz w:val="16"/>
                <w:szCs w:val="16"/>
              </w:rPr>
              <w:t>Séance de formation/</w:t>
            </w:r>
            <w:r w:rsidR="00250EDE">
              <w:rPr>
                <w:rFonts w:asciiTheme="minorHAnsi" w:hAnsiTheme="minorHAnsi"/>
                <w:b/>
                <w:color w:val="FF0000"/>
                <w:sz w:val="16"/>
                <w:szCs w:val="16"/>
              </w:rPr>
              <w:t xml:space="preserve"> </w:t>
            </w:r>
          </w:p>
          <w:p w14:paraId="37022A81" w14:textId="07DB4600"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b/>
                <w:bCs/>
                <w:color w:val="FF0000"/>
                <w:sz w:val="16"/>
                <w:szCs w:val="16"/>
              </w:rPr>
            </w:pPr>
            <w:proofErr w:type="gramStart"/>
            <w:r w:rsidRPr="00A13D16">
              <w:rPr>
                <w:rFonts w:asciiTheme="minorHAnsi" w:hAnsiTheme="minorHAnsi"/>
                <w:b/>
                <w:color w:val="FF0000"/>
                <w:sz w:val="16"/>
                <w:szCs w:val="16"/>
              </w:rPr>
              <w:t>atelier</w:t>
            </w:r>
            <w:proofErr w:type="gramEnd"/>
            <w:r w:rsidRPr="00A13D16">
              <w:rPr>
                <w:rFonts w:asciiTheme="minorHAnsi" w:hAnsiTheme="minorHAnsi"/>
                <w:b/>
                <w:color w:val="FF0000"/>
                <w:sz w:val="16"/>
                <w:szCs w:val="16"/>
              </w:rPr>
              <w:t xml:space="preserve"> pour les Gestionnaires de ports</w:t>
            </w:r>
          </w:p>
        </w:tc>
        <w:tc>
          <w:tcPr>
            <w:tcW w:w="946" w:type="pct"/>
            <w:tcBorders>
              <w:top w:val="nil"/>
              <w:left w:val="nil"/>
              <w:bottom w:val="nil"/>
              <w:right w:val="nil"/>
            </w:tcBorders>
            <w:vAlign w:val="center"/>
            <w:hideMark/>
          </w:tcPr>
          <w:p w14:paraId="692572A6"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color w:val="FF0000"/>
                <w:sz w:val="16"/>
                <w:szCs w:val="16"/>
              </w:rPr>
            </w:pPr>
            <w:proofErr w:type="gramStart"/>
            <w:r w:rsidRPr="00A13D16">
              <w:rPr>
                <w:rFonts w:asciiTheme="minorHAnsi" w:hAnsiTheme="minorHAnsi"/>
                <w:b/>
                <w:color w:val="FF0000"/>
                <w:sz w:val="16"/>
                <w:szCs w:val="16"/>
              </w:rPr>
              <w:t>n</w:t>
            </w:r>
            <w:proofErr w:type="gramEnd"/>
            <w:r w:rsidRPr="00A13D16">
              <w:rPr>
                <w:rFonts w:asciiTheme="minorHAnsi" w:hAnsiTheme="minorHAnsi"/>
                <w:b/>
                <w:color w:val="FF0000"/>
                <w:sz w:val="16"/>
                <w:szCs w:val="16"/>
              </w:rPr>
              <w:t>/a</w:t>
            </w:r>
          </w:p>
        </w:tc>
        <w:tc>
          <w:tcPr>
            <w:tcW w:w="413" w:type="pct"/>
            <w:tcBorders>
              <w:top w:val="nil"/>
              <w:left w:val="nil"/>
              <w:bottom w:val="nil"/>
              <w:right w:val="nil"/>
            </w:tcBorders>
            <w:shd w:val="clear" w:color="000000" w:fill="FFFF00"/>
            <w:vAlign w:val="center"/>
            <w:hideMark/>
          </w:tcPr>
          <w:p w14:paraId="5CAC37B3"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Planifié</w:t>
            </w:r>
          </w:p>
        </w:tc>
        <w:tc>
          <w:tcPr>
            <w:tcW w:w="359" w:type="pct"/>
            <w:tcBorders>
              <w:top w:val="nil"/>
              <w:left w:val="nil"/>
              <w:bottom w:val="nil"/>
              <w:right w:val="nil"/>
            </w:tcBorders>
            <w:shd w:val="clear" w:color="000000" w:fill="FFFF00"/>
            <w:vAlign w:val="center"/>
            <w:hideMark/>
          </w:tcPr>
          <w:p w14:paraId="55E1AF5C"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TBD</w:t>
            </w:r>
          </w:p>
        </w:tc>
        <w:tc>
          <w:tcPr>
            <w:tcW w:w="347" w:type="pct"/>
            <w:tcBorders>
              <w:top w:val="nil"/>
              <w:left w:val="nil"/>
              <w:bottom w:val="nil"/>
              <w:right w:val="nil"/>
            </w:tcBorders>
            <w:shd w:val="clear" w:color="000000" w:fill="FFFF00"/>
            <w:vAlign w:val="center"/>
            <w:hideMark/>
          </w:tcPr>
          <w:p w14:paraId="4E113463"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 </w:t>
            </w:r>
          </w:p>
        </w:tc>
        <w:tc>
          <w:tcPr>
            <w:tcW w:w="407" w:type="pct"/>
            <w:tcBorders>
              <w:top w:val="nil"/>
              <w:left w:val="nil"/>
              <w:bottom w:val="nil"/>
              <w:right w:val="nil"/>
            </w:tcBorders>
            <w:shd w:val="clear" w:color="000000" w:fill="DDEBF7"/>
            <w:vAlign w:val="center"/>
            <w:hideMark/>
          </w:tcPr>
          <w:p w14:paraId="05139D40"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5</w:t>
            </w:r>
          </w:p>
        </w:tc>
        <w:tc>
          <w:tcPr>
            <w:tcW w:w="264" w:type="pct"/>
            <w:tcBorders>
              <w:top w:val="nil"/>
              <w:left w:val="nil"/>
              <w:bottom w:val="nil"/>
              <w:right w:val="nil"/>
            </w:tcBorders>
            <w:shd w:val="clear" w:color="000000" w:fill="DDEBF7"/>
            <w:vAlign w:val="center"/>
            <w:hideMark/>
          </w:tcPr>
          <w:p w14:paraId="5C844736"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COM-25</w:t>
            </w:r>
          </w:p>
        </w:tc>
        <w:tc>
          <w:tcPr>
            <w:tcW w:w="670" w:type="pct"/>
            <w:tcBorders>
              <w:top w:val="nil"/>
              <w:left w:val="nil"/>
              <w:bottom w:val="nil"/>
              <w:right w:val="single" w:sz="8" w:space="0" w:color="auto"/>
            </w:tcBorders>
            <w:shd w:val="clear" w:color="000000" w:fill="DDEBF7"/>
            <w:vAlign w:val="center"/>
            <w:hideMark/>
          </w:tcPr>
          <w:p w14:paraId="59ACCDD7"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 </w:t>
            </w:r>
          </w:p>
        </w:tc>
      </w:tr>
      <w:tr w:rsidR="006B109C" w:rsidRPr="00A13D16" w14:paraId="207C03A9" w14:textId="77777777" w:rsidTr="00A13D16">
        <w:trPr>
          <w:trHeight w:val="290"/>
        </w:trPr>
        <w:tc>
          <w:tcPr>
            <w:tcW w:w="234" w:type="pct"/>
            <w:tcBorders>
              <w:top w:val="nil"/>
              <w:left w:val="single" w:sz="8" w:space="0" w:color="auto"/>
              <w:bottom w:val="nil"/>
              <w:right w:val="nil"/>
            </w:tcBorders>
            <w:shd w:val="clear" w:color="000000" w:fill="DDEBF7"/>
            <w:vAlign w:val="center"/>
            <w:hideMark/>
          </w:tcPr>
          <w:p w14:paraId="19B1DC60"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4</w:t>
            </w:r>
          </w:p>
        </w:tc>
        <w:tc>
          <w:tcPr>
            <w:tcW w:w="285" w:type="pct"/>
            <w:tcBorders>
              <w:top w:val="nil"/>
              <w:left w:val="nil"/>
              <w:bottom w:val="nil"/>
              <w:right w:val="nil"/>
            </w:tcBorders>
            <w:shd w:val="clear" w:color="000000" w:fill="DDEBF7"/>
            <w:vAlign w:val="center"/>
            <w:hideMark/>
          </w:tcPr>
          <w:p w14:paraId="576000ED"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1</w:t>
            </w:r>
          </w:p>
        </w:tc>
        <w:tc>
          <w:tcPr>
            <w:tcW w:w="462" w:type="pct"/>
            <w:tcBorders>
              <w:top w:val="nil"/>
              <w:left w:val="nil"/>
              <w:bottom w:val="nil"/>
              <w:right w:val="nil"/>
            </w:tcBorders>
            <w:shd w:val="clear" w:color="000000" w:fill="DDEBF7"/>
            <w:vAlign w:val="center"/>
            <w:hideMark/>
          </w:tcPr>
          <w:p w14:paraId="19106AD4"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Tâche</w:t>
            </w:r>
          </w:p>
        </w:tc>
        <w:tc>
          <w:tcPr>
            <w:tcW w:w="616" w:type="pct"/>
            <w:tcBorders>
              <w:top w:val="nil"/>
              <w:left w:val="nil"/>
              <w:bottom w:val="nil"/>
              <w:right w:val="nil"/>
            </w:tcBorders>
            <w:shd w:val="clear" w:color="000000" w:fill="DDEBF7"/>
            <w:vAlign w:val="center"/>
            <w:hideMark/>
          </w:tcPr>
          <w:p w14:paraId="25DEFB9E"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Séance de formation sur les difficultés rencontrées dans le cadre de l'IOMS</w:t>
            </w:r>
          </w:p>
        </w:tc>
        <w:tc>
          <w:tcPr>
            <w:tcW w:w="946" w:type="pct"/>
            <w:tcBorders>
              <w:top w:val="nil"/>
              <w:left w:val="nil"/>
              <w:bottom w:val="nil"/>
              <w:right w:val="nil"/>
            </w:tcBorders>
            <w:vAlign w:val="center"/>
            <w:hideMark/>
          </w:tcPr>
          <w:p w14:paraId="7667A381"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color w:val="FF0000"/>
                <w:sz w:val="16"/>
                <w:szCs w:val="16"/>
              </w:rPr>
            </w:pPr>
            <w:proofErr w:type="gramStart"/>
            <w:r w:rsidRPr="00A13D16">
              <w:rPr>
                <w:rFonts w:asciiTheme="minorHAnsi" w:hAnsiTheme="minorHAnsi"/>
                <w:b/>
                <w:color w:val="FF0000"/>
                <w:sz w:val="16"/>
                <w:szCs w:val="16"/>
              </w:rPr>
              <w:t>n</w:t>
            </w:r>
            <w:proofErr w:type="gramEnd"/>
            <w:r w:rsidRPr="00A13D16">
              <w:rPr>
                <w:rFonts w:asciiTheme="minorHAnsi" w:hAnsiTheme="minorHAnsi"/>
                <w:b/>
                <w:color w:val="FF0000"/>
                <w:sz w:val="16"/>
                <w:szCs w:val="16"/>
              </w:rPr>
              <w:t>/a</w:t>
            </w:r>
          </w:p>
        </w:tc>
        <w:tc>
          <w:tcPr>
            <w:tcW w:w="413" w:type="pct"/>
            <w:tcBorders>
              <w:top w:val="nil"/>
              <w:left w:val="nil"/>
              <w:bottom w:val="nil"/>
              <w:right w:val="nil"/>
            </w:tcBorders>
            <w:shd w:val="clear" w:color="000000" w:fill="FFFF00"/>
            <w:vAlign w:val="center"/>
            <w:hideMark/>
          </w:tcPr>
          <w:p w14:paraId="00F8742B"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Planification</w:t>
            </w:r>
          </w:p>
        </w:tc>
        <w:tc>
          <w:tcPr>
            <w:tcW w:w="359" w:type="pct"/>
            <w:tcBorders>
              <w:top w:val="nil"/>
              <w:left w:val="nil"/>
              <w:bottom w:val="nil"/>
              <w:right w:val="nil"/>
            </w:tcBorders>
            <w:shd w:val="clear" w:color="000000" w:fill="FFFF00"/>
            <w:vAlign w:val="center"/>
            <w:hideMark/>
          </w:tcPr>
          <w:p w14:paraId="568D431A"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TBD</w:t>
            </w:r>
          </w:p>
        </w:tc>
        <w:tc>
          <w:tcPr>
            <w:tcW w:w="347" w:type="pct"/>
            <w:tcBorders>
              <w:top w:val="nil"/>
              <w:left w:val="nil"/>
              <w:bottom w:val="nil"/>
              <w:right w:val="nil"/>
            </w:tcBorders>
            <w:shd w:val="clear" w:color="000000" w:fill="FFFF00"/>
            <w:vAlign w:val="center"/>
            <w:hideMark/>
          </w:tcPr>
          <w:p w14:paraId="0454201B"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 </w:t>
            </w:r>
          </w:p>
        </w:tc>
        <w:tc>
          <w:tcPr>
            <w:tcW w:w="407" w:type="pct"/>
            <w:tcBorders>
              <w:top w:val="nil"/>
              <w:left w:val="nil"/>
              <w:bottom w:val="nil"/>
              <w:right w:val="nil"/>
            </w:tcBorders>
            <w:shd w:val="clear" w:color="000000" w:fill="DDEBF7"/>
            <w:vAlign w:val="center"/>
            <w:hideMark/>
          </w:tcPr>
          <w:p w14:paraId="2A605AB7"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5</w:t>
            </w:r>
          </w:p>
        </w:tc>
        <w:tc>
          <w:tcPr>
            <w:tcW w:w="264" w:type="pct"/>
            <w:tcBorders>
              <w:top w:val="nil"/>
              <w:left w:val="nil"/>
              <w:bottom w:val="nil"/>
              <w:right w:val="nil"/>
            </w:tcBorders>
            <w:shd w:val="clear" w:color="000000" w:fill="DDEBF7"/>
            <w:vAlign w:val="center"/>
            <w:hideMark/>
          </w:tcPr>
          <w:p w14:paraId="4D84ED14"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COM-25</w:t>
            </w:r>
          </w:p>
        </w:tc>
        <w:tc>
          <w:tcPr>
            <w:tcW w:w="670" w:type="pct"/>
            <w:tcBorders>
              <w:top w:val="nil"/>
              <w:left w:val="nil"/>
              <w:bottom w:val="nil"/>
              <w:right w:val="single" w:sz="8" w:space="0" w:color="auto"/>
            </w:tcBorders>
            <w:shd w:val="clear" w:color="000000" w:fill="DDEBF7"/>
            <w:vAlign w:val="center"/>
            <w:hideMark/>
          </w:tcPr>
          <w:p w14:paraId="7F8806DB"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 </w:t>
            </w:r>
          </w:p>
        </w:tc>
      </w:tr>
      <w:tr w:rsidR="006B109C" w:rsidRPr="00A13D16" w14:paraId="55F8C573" w14:textId="77777777" w:rsidTr="00A13D16">
        <w:trPr>
          <w:trHeight w:val="290"/>
        </w:trPr>
        <w:tc>
          <w:tcPr>
            <w:tcW w:w="234" w:type="pct"/>
            <w:tcBorders>
              <w:top w:val="nil"/>
              <w:left w:val="single" w:sz="8" w:space="0" w:color="auto"/>
              <w:bottom w:val="nil"/>
              <w:right w:val="nil"/>
            </w:tcBorders>
            <w:vAlign w:val="center"/>
            <w:hideMark/>
          </w:tcPr>
          <w:p w14:paraId="50A526DC"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4</w:t>
            </w:r>
          </w:p>
        </w:tc>
        <w:tc>
          <w:tcPr>
            <w:tcW w:w="285" w:type="pct"/>
            <w:tcBorders>
              <w:top w:val="nil"/>
              <w:left w:val="nil"/>
              <w:bottom w:val="nil"/>
              <w:right w:val="nil"/>
            </w:tcBorders>
            <w:vAlign w:val="center"/>
            <w:hideMark/>
          </w:tcPr>
          <w:p w14:paraId="6AD0B62A"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2</w:t>
            </w:r>
          </w:p>
        </w:tc>
        <w:tc>
          <w:tcPr>
            <w:tcW w:w="462" w:type="pct"/>
            <w:tcBorders>
              <w:top w:val="nil"/>
              <w:left w:val="nil"/>
              <w:bottom w:val="nil"/>
              <w:right w:val="nil"/>
            </w:tcBorders>
            <w:shd w:val="clear" w:color="000000" w:fill="FFFFFF"/>
            <w:vAlign w:val="center"/>
            <w:hideMark/>
          </w:tcPr>
          <w:p w14:paraId="63E946D7"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Tâche</w:t>
            </w:r>
          </w:p>
        </w:tc>
        <w:tc>
          <w:tcPr>
            <w:tcW w:w="616" w:type="pct"/>
            <w:tcBorders>
              <w:top w:val="nil"/>
              <w:left w:val="nil"/>
              <w:bottom w:val="nil"/>
              <w:right w:val="nil"/>
            </w:tcBorders>
            <w:shd w:val="clear" w:color="000000" w:fill="FFFFFF"/>
            <w:vAlign w:val="center"/>
            <w:hideMark/>
          </w:tcPr>
          <w:p w14:paraId="074FA15E"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Séances de formation/ateliers sur les feuilles de contrôle requins/istiophoridés</w:t>
            </w:r>
          </w:p>
        </w:tc>
        <w:tc>
          <w:tcPr>
            <w:tcW w:w="946" w:type="pct"/>
            <w:tcBorders>
              <w:top w:val="nil"/>
              <w:left w:val="nil"/>
              <w:bottom w:val="nil"/>
              <w:right w:val="nil"/>
            </w:tcBorders>
            <w:shd w:val="clear" w:color="000000" w:fill="FFFFFF"/>
            <w:vAlign w:val="center"/>
            <w:hideMark/>
          </w:tcPr>
          <w:p w14:paraId="14EE3EE9"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n</w:t>
            </w:r>
            <w:proofErr w:type="gramEnd"/>
            <w:r w:rsidRPr="00A13D16">
              <w:rPr>
                <w:rFonts w:asciiTheme="minorHAnsi" w:hAnsiTheme="minorHAnsi"/>
                <w:color w:val="auto"/>
                <w:sz w:val="16"/>
                <w:szCs w:val="16"/>
              </w:rPr>
              <w:t>/a</w:t>
            </w:r>
          </w:p>
        </w:tc>
        <w:tc>
          <w:tcPr>
            <w:tcW w:w="413" w:type="pct"/>
            <w:tcBorders>
              <w:top w:val="nil"/>
              <w:left w:val="nil"/>
              <w:bottom w:val="nil"/>
              <w:right w:val="nil"/>
            </w:tcBorders>
            <w:shd w:val="clear" w:color="000000" w:fill="FFFF00"/>
            <w:vAlign w:val="center"/>
            <w:hideMark/>
          </w:tcPr>
          <w:p w14:paraId="12F0271F"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Planifié</w:t>
            </w:r>
          </w:p>
        </w:tc>
        <w:tc>
          <w:tcPr>
            <w:tcW w:w="359" w:type="pct"/>
            <w:tcBorders>
              <w:top w:val="nil"/>
              <w:left w:val="nil"/>
              <w:bottom w:val="nil"/>
              <w:right w:val="nil"/>
            </w:tcBorders>
            <w:shd w:val="clear" w:color="000000" w:fill="FFFF00"/>
            <w:vAlign w:val="center"/>
            <w:hideMark/>
          </w:tcPr>
          <w:p w14:paraId="221985C3"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TBD</w:t>
            </w:r>
          </w:p>
        </w:tc>
        <w:tc>
          <w:tcPr>
            <w:tcW w:w="347" w:type="pct"/>
            <w:tcBorders>
              <w:top w:val="nil"/>
              <w:left w:val="nil"/>
              <w:bottom w:val="nil"/>
              <w:right w:val="nil"/>
            </w:tcBorders>
            <w:shd w:val="clear" w:color="000000" w:fill="FFFF00"/>
            <w:vAlign w:val="center"/>
            <w:hideMark/>
          </w:tcPr>
          <w:p w14:paraId="482D57D7"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TBD</w:t>
            </w:r>
          </w:p>
        </w:tc>
        <w:tc>
          <w:tcPr>
            <w:tcW w:w="407" w:type="pct"/>
            <w:tcBorders>
              <w:top w:val="nil"/>
              <w:left w:val="nil"/>
              <w:bottom w:val="nil"/>
              <w:right w:val="nil"/>
            </w:tcBorders>
            <w:shd w:val="clear" w:color="000000" w:fill="FFFF00"/>
            <w:vAlign w:val="center"/>
            <w:hideMark/>
          </w:tcPr>
          <w:p w14:paraId="0E8FB052"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5</w:t>
            </w:r>
          </w:p>
        </w:tc>
        <w:tc>
          <w:tcPr>
            <w:tcW w:w="264" w:type="pct"/>
            <w:tcBorders>
              <w:top w:val="nil"/>
              <w:left w:val="nil"/>
              <w:bottom w:val="nil"/>
              <w:right w:val="nil"/>
            </w:tcBorders>
            <w:shd w:val="clear" w:color="000000" w:fill="FFFF00"/>
            <w:vAlign w:val="center"/>
            <w:hideMark/>
          </w:tcPr>
          <w:p w14:paraId="396BEBC4"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COM-21</w:t>
            </w:r>
          </w:p>
        </w:tc>
        <w:tc>
          <w:tcPr>
            <w:tcW w:w="670" w:type="pct"/>
            <w:tcBorders>
              <w:top w:val="nil"/>
              <w:left w:val="nil"/>
              <w:bottom w:val="nil"/>
              <w:right w:val="single" w:sz="8" w:space="0" w:color="auto"/>
            </w:tcBorders>
            <w:shd w:val="clear" w:color="000000" w:fill="FFFFFF"/>
            <w:vAlign w:val="center"/>
            <w:hideMark/>
          </w:tcPr>
          <w:p w14:paraId="7C409DF5"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FF0000"/>
                <w:sz w:val="16"/>
                <w:szCs w:val="16"/>
              </w:rPr>
            </w:pPr>
            <w:r w:rsidRPr="00A13D16">
              <w:rPr>
                <w:rFonts w:asciiTheme="minorHAnsi" w:hAnsiTheme="minorHAnsi"/>
                <w:color w:val="FF0000"/>
                <w:sz w:val="16"/>
                <w:szCs w:val="16"/>
              </w:rPr>
              <w:t>Plus d'un atelier peut être nécessaire</w:t>
            </w:r>
          </w:p>
        </w:tc>
      </w:tr>
      <w:tr w:rsidR="006B109C" w:rsidRPr="00A13D16" w14:paraId="61B6360A" w14:textId="77777777" w:rsidTr="00A13D16">
        <w:trPr>
          <w:trHeight w:val="290"/>
        </w:trPr>
        <w:tc>
          <w:tcPr>
            <w:tcW w:w="234" w:type="pct"/>
            <w:tcBorders>
              <w:top w:val="nil"/>
              <w:left w:val="single" w:sz="8" w:space="0" w:color="auto"/>
              <w:bottom w:val="nil"/>
              <w:right w:val="nil"/>
            </w:tcBorders>
            <w:vAlign w:val="center"/>
            <w:hideMark/>
          </w:tcPr>
          <w:p w14:paraId="43BBB9F3"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4</w:t>
            </w:r>
          </w:p>
        </w:tc>
        <w:tc>
          <w:tcPr>
            <w:tcW w:w="285" w:type="pct"/>
            <w:tcBorders>
              <w:top w:val="nil"/>
              <w:left w:val="nil"/>
              <w:bottom w:val="nil"/>
              <w:right w:val="nil"/>
            </w:tcBorders>
            <w:vAlign w:val="center"/>
            <w:hideMark/>
          </w:tcPr>
          <w:p w14:paraId="13D96BB5"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462" w:type="pct"/>
            <w:tcBorders>
              <w:top w:val="nil"/>
              <w:left w:val="nil"/>
              <w:bottom w:val="nil"/>
              <w:right w:val="nil"/>
            </w:tcBorders>
            <w:vAlign w:val="center"/>
            <w:hideMark/>
          </w:tcPr>
          <w:p w14:paraId="1705BCB9"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Tâche</w:t>
            </w:r>
          </w:p>
        </w:tc>
        <w:tc>
          <w:tcPr>
            <w:tcW w:w="616" w:type="pct"/>
            <w:tcBorders>
              <w:top w:val="nil"/>
              <w:left w:val="nil"/>
              <w:bottom w:val="nil"/>
              <w:right w:val="nil"/>
            </w:tcBorders>
            <w:vAlign w:val="center"/>
            <w:hideMark/>
          </w:tcPr>
          <w:p w14:paraId="5225C100"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Sessions d’ateliers de formation T1NC/COCT</w:t>
            </w:r>
          </w:p>
        </w:tc>
        <w:tc>
          <w:tcPr>
            <w:tcW w:w="946" w:type="pct"/>
            <w:tcBorders>
              <w:top w:val="nil"/>
              <w:left w:val="nil"/>
              <w:bottom w:val="nil"/>
              <w:right w:val="nil"/>
            </w:tcBorders>
            <w:vAlign w:val="center"/>
            <w:hideMark/>
          </w:tcPr>
          <w:p w14:paraId="0D69F4E5"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n</w:t>
            </w:r>
            <w:proofErr w:type="gramEnd"/>
            <w:r w:rsidRPr="00A13D16">
              <w:rPr>
                <w:rFonts w:asciiTheme="minorHAnsi" w:hAnsiTheme="minorHAnsi"/>
                <w:color w:val="auto"/>
                <w:sz w:val="16"/>
                <w:szCs w:val="16"/>
              </w:rPr>
              <w:t>/a</w:t>
            </w:r>
          </w:p>
        </w:tc>
        <w:tc>
          <w:tcPr>
            <w:tcW w:w="413" w:type="pct"/>
            <w:tcBorders>
              <w:top w:val="nil"/>
              <w:left w:val="nil"/>
              <w:bottom w:val="nil"/>
              <w:right w:val="nil"/>
            </w:tcBorders>
            <w:shd w:val="clear" w:color="000000" w:fill="FFFF00"/>
            <w:vAlign w:val="center"/>
            <w:hideMark/>
          </w:tcPr>
          <w:p w14:paraId="34E4AB24"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Planifié</w:t>
            </w:r>
          </w:p>
        </w:tc>
        <w:tc>
          <w:tcPr>
            <w:tcW w:w="359" w:type="pct"/>
            <w:tcBorders>
              <w:top w:val="nil"/>
              <w:left w:val="nil"/>
              <w:bottom w:val="nil"/>
              <w:right w:val="nil"/>
            </w:tcBorders>
            <w:shd w:val="clear" w:color="000000" w:fill="FFFF00"/>
            <w:vAlign w:val="center"/>
            <w:hideMark/>
          </w:tcPr>
          <w:p w14:paraId="43865586"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TBD</w:t>
            </w:r>
          </w:p>
        </w:tc>
        <w:tc>
          <w:tcPr>
            <w:tcW w:w="347" w:type="pct"/>
            <w:tcBorders>
              <w:top w:val="nil"/>
              <w:left w:val="nil"/>
              <w:bottom w:val="nil"/>
              <w:right w:val="nil"/>
            </w:tcBorders>
            <w:shd w:val="clear" w:color="000000" w:fill="FFFF00"/>
            <w:vAlign w:val="center"/>
            <w:hideMark/>
          </w:tcPr>
          <w:p w14:paraId="138BE088"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TBD</w:t>
            </w:r>
          </w:p>
        </w:tc>
        <w:tc>
          <w:tcPr>
            <w:tcW w:w="407" w:type="pct"/>
            <w:tcBorders>
              <w:top w:val="nil"/>
              <w:left w:val="nil"/>
              <w:bottom w:val="nil"/>
              <w:right w:val="nil"/>
            </w:tcBorders>
            <w:shd w:val="clear" w:color="000000" w:fill="FFFF00"/>
            <w:hideMark/>
          </w:tcPr>
          <w:p w14:paraId="783175A1"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5</w:t>
            </w:r>
          </w:p>
        </w:tc>
        <w:tc>
          <w:tcPr>
            <w:tcW w:w="264" w:type="pct"/>
            <w:tcBorders>
              <w:top w:val="nil"/>
              <w:left w:val="nil"/>
              <w:bottom w:val="nil"/>
              <w:right w:val="nil"/>
            </w:tcBorders>
            <w:shd w:val="clear" w:color="000000" w:fill="FFFF00"/>
            <w:vAlign w:val="center"/>
            <w:hideMark/>
          </w:tcPr>
          <w:p w14:paraId="1C7A927C"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COM-23</w:t>
            </w:r>
          </w:p>
        </w:tc>
        <w:tc>
          <w:tcPr>
            <w:tcW w:w="670" w:type="pct"/>
            <w:tcBorders>
              <w:top w:val="nil"/>
              <w:left w:val="nil"/>
              <w:bottom w:val="nil"/>
              <w:right w:val="single" w:sz="8" w:space="0" w:color="auto"/>
            </w:tcBorders>
            <w:vAlign w:val="center"/>
            <w:hideMark/>
          </w:tcPr>
          <w:p w14:paraId="25524F3A"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 </w:t>
            </w:r>
          </w:p>
        </w:tc>
      </w:tr>
      <w:tr w:rsidR="006B109C" w:rsidRPr="00A13D16" w14:paraId="601BC4F5" w14:textId="77777777" w:rsidTr="00A13D16">
        <w:trPr>
          <w:trHeight w:val="300"/>
        </w:trPr>
        <w:tc>
          <w:tcPr>
            <w:tcW w:w="234" w:type="pct"/>
            <w:tcBorders>
              <w:top w:val="nil"/>
              <w:left w:val="single" w:sz="8" w:space="0" w:color="auto"/>
              <w:bottom w:val="single" w:sz="8" w:space="0" w:color="auto"/>
              <w:right w:val="nil"/>
            </w:tcBorders>
            <w:shd w:val="clear" w:color="000000" w:fill="DDEBF7"/>
            <w:vAlign w:val="center"/>
            <w:hideMark/>
          </w:tcPr>
          <w:p w14:paraId="264412E6"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4</w:t>
            </w:r>
          </w:p>
        </w:tc>
        <w:tc>
          <w:tcPr>
            <w:tcW w:w="285" w:type="pct"/>
            <w:tcBorders>
              <w:top w:val="nil"/>
              <w:left w:val="nil"/>
              <w:bottom w:val="single" w:sz="8" w:space="0" w:color="auto"/>
              <w:right w:val="nil"/>
            </w:tcBorders>
            <w:shd w:val="clear" w:color="000000" w:fill="DDEBF7"/>
            <w:vAlign w:val="center"/>
            <w:hideMark/>
          </w:tcPr>
          <w:p w14:paraId="1C95BF4C"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462" w:type="pct"/>
            <w:tcBorders>
              <w:top w:val="nil"/>
              <w:left w:val="nil"/>
              <w:bottom w:val="single" w:sz="8" w:space="0" w:color="auto"/>
              <w:right w:val="nil"/>
            </w:tcBorders>
            <w:shd w:val="clear" w:color="000000" w:fill="DDEBF7"/>
            <w:vAlign w:val="center"/>
            <w:hideMark/>
          </w:tcPr>
          <w:p w14:paraId="37D893DC"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Tâche</w:t>
            </w:r>
          </w:p>
        </w:tc>
        <w:tc>
          <w:tcPr>
            <w:tcW w:w="616" w:type="pct"/>
            <w:tcBorders>
              <w:top w:val="nil"/>
              <w:left w:val="nil"/>
              <w:bottom w:val="single" w:sz="8" w:space="0" w:color="auto"/>
              <w:right w:val="nil"/>
            </w:tcBorders>
            <w:shd w:val="clear" w:color="000000" w:fill="DDEBF7"/>
            <w:vAlign w:val="center"/>
            <w:hideMark/>
          </w:tcPr>
          <w:p w14:paraId="0AAD432E"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Maintenance (y compris les améliorations et la correction des erreurs)</w:t>
            </w:r>
          </w:p>
        </w:tc>
        <w:tc>
          <w:tcPr>
            <w:tcW w:w="946" w:type="pct"/>
            <w:tcBorders>
              <w:top w:val="nil"/>
              <w:left w:val="nil"/>
              <w:bottom w:val="single" w:sz="8" w:space="0" w:color="auto"/>
              <w:right w:val="nil"/>
            </w:tcBorders>
            <w:shd w:val="clear" w:color="000000" w:fill="DDEBF7"/>
            <w:vAlign w:val="center"/>
            <w:hideMark/>
          </w:tcPr>
          <w:p w14:paraId="33F6F089"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n</w:t>
            </w:r>
            <w:proofErr w:type="gramEnd"/>
            <w:r w:rsidRPr="00A13D16">
              <w:rPr>
                <w:rFonts w:asciiTheme="minorHAnsi" w:hAnsiTheme="minorHAnsi"/>
                <w:color w:val="auto"/>
                <w:sz w:val="16"/>
                <w:szCs w:val="16"/>
              </w:rPr>
              <w:t>/a</w:t>
            </w:r>
          </w:p>
        </w:tc>
        <w:tc>
          <w:tcPr>
            <w:tcW w:w="413" w:type="pct"/>
            <w:tcBorders>
              <w:top w:val="nil"/>
              <w:left w:val="nil"/>
              <w:bottom w:val="single" w:sz="8" w:space="0" w:color="auto"/>
              <w:right w:val="nil"/>
            </w:tcBorders>
            <w:shd w:val="clear" w:color="000000" w:fill="DDEBF7"/>
            <w:vAlign w:val="center"/>
            <w:hideMark/>
          </w:tcPr>
          <w:p w14:paraId="237693C9"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Planifié</w:t>
            </w:r>
          </w:p>
        </w:tc>
        <w:tc>
          <w:tcPr>
            <w:tcW w:w="359" w:type="pct"/>
            <w:tcBorders>
              <w:top w:val="nil"/>
              <w:left w:val="nil"/>
              <w:bottom w:val="single" w:sz="8" w:space="0" w:color="auto"/>
              <w:right w:val="nil"/>
            </w:tcBorders>
            <w:shd w:val="clear" w:color="000000" w:fill="DDEBF7"/>
            <w:vAlign w:val="center"/>
            <w:hideMark/>
          </w:tcPr>
          <w:p w14:paraId="17103B99"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TBD</w:t>
            </w:r>
          </w:p>
        </w:tc>
        <w:tc>
          <w:tcPr>
            <w:tcW w:w="347" w:type="pct"/>
            <w:tcBorders>
              <w:top w:val="nil"/>
              <w:left w:val="nil"/>
              <w:bottom w:val="single" w:sz="8" w:space="0" w:color="auto"/>
              <w:right w:val="nil"/>
            </w:tcBorders>
            <w:shd w:val="clear" w:color="000000" w:fill="DDEBF7"/>
            <w:vAlign w:val="center"/>
            <w:hideMark/>
          </w:tcPr>
          <w:p w14:paraId="64CB0B2F"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TBD</w:t>
            </w:r>
          </w:p>
        </w:tc>
        <w:tc>
          <w:tcPr>
            <w:tcW w:w="407" w:type="pct"/>
            <w:tcBorders>
              <w:top w:val="nil"/>
              <w:left w:val="nil"/>
              <w:bottom w:val="single" w:sz="8" w:space="0" w:color="auto"/>
              <w:right w:val="nil"/>
            </w:tcBorders>
            <w:shd w:val="clear" w:color="000000" w:fill="DDEBF7"/>
            <w:vAlign w:val="center"/>
            <w:hideMark/>
          </w:tcPr>
          <w:p w14:paraId="5C790987"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5</w:t>
            </w:r>
          </w:p>
        </w:tc>
        <w:tc>
          <w:tcPr>
            <w:tcW w:w="264" w:type="pct"/>
            <w:tcBorders>
              <w:top w:val="nil"/>
              <w:left w:val="nil"/>
              <w:bottom w:val="single" w:sz="8" w:space="0" w:color="auto"/>
              <w:right w:val="nil"/>
            </w:tcBorders>
            <w:shd w:val="clear" w:color="000000" w:fill="DDEBF7"/>
            <w:vAlign w:val="center"/>
            <w:hideMark/>
          </w:tcPr>
          <w:p w14:paraId="2A6F58C2"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COM-23</w:t>
            </w:r>
          </w:p>
        </w:tc>
        <w:tc>
          <w:tcPr>
            <w:tcW w:w="670" w:type="pct"/>
            <w:tcBorders>
              <w:top w:val="nil"/>
              <w:left w:val="nil"/>
              <w:bottom w:val="single" w:sz="8" w:space="0" w:color="auto"/>
              <w:right w:val="single" w:sz="8" w:space="0" w:color="auto"/>
            </w:tcBorders>
            <w:shd w:val="clear" w:color="000000" w:fill="DDEBF7"/>
            <w:vAlign w:val="center"/>
            <w:hideMark/>
          </w:tcPr>
          <w:p w14:paraId="0CACE6B7"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 </w:t>
            </w:r>
          </w:p>
        </w:tc>
      </w:tr>
      <w:tr w:rsidR="006B109C" w:rsidRPr="00A13D16" w14:paraId="5953DE9F" w14:textId="77777777" w:rsidTr="00A13D16">
        <w:trPr>
          <w:trHeight w:val="290"/>
        </w:trPr>
        <w:tc>
          <w:tcPr>
            <w:tcW w:w="234" w:type="pct"/>
            <w:tcBorders>
              <w:top w:val="nil"/>
              <w:left w:val="single" w:sz="8" w:space="0" w:color="auto"/>
              <w:bottom w:val="nil"/>
              <w:right w:val="nil"/>
            </w:tcBorders>
            <w:vAlign w:val="center"/>
            <w:hideMark/>
          </w:tcPr>
          <w:p w14:paraId="245FD9FA"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5</w:t>
            </w:r>
          </w:p>
        </w:tc>
        <w:tc>
          <w:tcPr>
            <w:tcW w:w="285" w:type="pct"/>
            <w:tcBorders>
              <w:top w:val="nil"/>
              <w:left w:val="nil"/>
              <w:bottom w:val="nil"/>
              <w:right w:val="nil"/>
            </w:tcBorders>
            <w:vAlign w:val="center"/>
            <w:hideMark/>
          </w:tcPr>
          <w:p w14:paraId="0C39FFAD"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462" w:type="pct"/>
            <w:tcBorders>
              <w:top w:val="nil"/>
              <w:left w:val="nil"/>
              <w:bottom w:val="nil"/>
              <w:right w:val="nil"/>
            </w:tcBorders>
            <w:vAlign w:val="center"/>
            <w:hideMark/>
          </w:tcPr>
          <w:p w14:paraId="281237A3"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Module</w:t>
            </w:r>
          </w:p>
        </w:tc>
        <w:tc>
          <w:tcPr>
            <w:tcW w:w="616" w:type="pct"/>
            <w:tcBorders>
              <w:top w:val="nil"/>
              <w:left w:val="nil"/>
              <w:bottom w:val="nil"/>
              <w:right w:val="nil"/>
            </w:tcBorders>
            <w:vAlign w:val="center"/>
            <w:hideMark/>
          </w:tcPr>
          <w:p w14:paraId="5DED2CFF"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Tâche 2 - Prise et effort</w:t>
            </w:r>
          </w:p>
        </w:tc>
        <w:tc>
          <w:tcPr>
            <w:tcW w:w="946" w:type="pct"/>
            <w:tcBorders>
              <w:top w:val="nil"/>
              <w:left w:val="nil"/>
              <w:bottom w:val="nil"/>
              <w:right w:val="nil"/>
            </w:tcBorders>
            <w:vAlign w:val="center"/>
            <w:hideMark/>
          </w:tcPr>
          <w:p w14:paraId="6EE42919"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S:GEN</w:t>
            </w:r>
            <w:proofErr w:type="gramEnd"/>
            <w:r w:rsidRPr="00A13D16">
              <w:rPr>
                <w:rFonts w:asciiTheme="minorHAnsi" w:hAnsiTheme="minorHAnsi"/>
                <w:color w:val="auto"/>
                <w:sz w:val="16"/>
                <w:szCs w:val="16"/>
              </w:rPr>
              <w:t>04</w:t>
            </w:r>
          </w:p>
        </w:tc>
        <w:tc>
          <w:tcPr>
            <w:tcW w:w="413" w:type="pct"/>
            <w:tcBorders>
              <w:top w:val="nil"/>
              <w:left w:val="nil"/>
              <w:bottom w:val="nil"/>
              <w:right w:val="nil"/>
            </w:tcBorders>
            <w:vAlign w:val="center"/>
            <w:hideMark/>
          </w:tcPr>
          <w:p w14:paraId="42098497"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Planifié</w:t>
            </w:r>
          </w:p>
        </w:tc>
        <w:tc>
          <w:tcPr>
            <w:tcW w:w="359" w:type="pct"/>
            <w:tcBorders>
              <w:top w:val="nil"/>
              <w:left w:val="nil"/>
              <w:bottom w:val="nil"/>
              <w:right w:val="nil"/>
            </w:tcBorders>
            <w:hideMark/>
          </w:tcPr>
          <w:p w14:paraId="02306CE6"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2 août 2026</w:t>
            </w:r>
          </w:p>
        </w:tc>
        <w:tc>
          <w:tcPr>
            <w:tcW w:w="347" w:type="pct"/>
            <w:tcBorders>
              <w:top w:val="nil"/>
              <w:left w:val="nil"/>
              <w:bottom w:val="nil"/>
              <w:right w:val="nil"/>
            </w:tcBorders>
            <w:hideMark/>
          </w:tcPr>
          <w:p w14:paraId="16CE7771"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 </w:t>
            </w:r>
          </w:p>
        </w:tc>
        <w:tc>
          <w:tcPr>
            <w:tcW w:w="407" w:type="pct"/>
            <w:tcBorders>
              <w:top w:val="nil"/>
              <w:left w:val="nil"/>
              <w:bottom w:val="nil"/>
              <w:right w:val="nil"/>
            </w:tcBorders>
            <w:hideMark/>
          </w:tcPr>
          <w:p w14:paraId="09C8F343" w14:textId="6D670BE5"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
        </w:tc>
        <w:tc>
          <w:tcPr>
            <w:tcW w:w="264" w:type="pct"/>
            <w:tcBorders>
              <w:top w:val="nil"/>
              <w:left w:val="nil"/>
              <w:bottom w:val="nil"/>
              <w:right w:val="nil"/>
            </w:tcBorders>
            <w:vAlign w:val="center"/>
            <w:hideMark/>
          </w:tcPr>
          <w:p w14:paraId="7D290736"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COM-25</w:t>
            </w:r>
          </w:p>
        </w:tc>
        <w:tc>
          <w:tcPr>
            <w:tcW w:w="670" w:type="pct"/>
            <w:tcBorders>
              <w:top w:val="nil"/>
              <w:left w:val="nil"/>
              <w:bottom w:val="nil"/>
              <w:right w:val="single" w:sz="8" w:space="0" w:color="auto"/>
            </w:tcBorders>
            <w:vAlign w:val="center"/>
            <w:hideMark/>
          </w:tcPr>
          <w:p w14:paraId="2A069376"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 </w:t>
            </w:r>
          </w:p>
        </w:tc>
      </w:tr>
      <w:tr w:rsidR="006B109C" w:rsidRPr="00A13D16" w14:paraId="31F0CE1A" w14:textId="77777777" w:rsidTr="00A13D16">
        <w:trPr>
          <w:trHeight w:val="290"/>
        </w:trPr>
        <w:tc>
          <w:tcPr>
            <w:tcW w:w="234" w:type="pct"/>
            <w:tcBorders>
              <w:top w:val="nil"/>
              <w:left w:val="single" w:sz="8" w:space="0" w:color="auto"/>
              <w:bottom w:val="nil"/>
              <w:right w:val="nil"/>
            </w:tcBorders>
            <w:vAlign w:val="center"/>
            <w:hideMark/>
          </w:tcPr>
          <w:p w14:paraId="019061EB"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5</w:t>
            </w:r>
          </w:p>
        </w:tc>
        <w:tc>
          <w:tcPr>
            <w:tcW w:w="285" w:type="pct"/>
            <w:tcBorders>
              <w:top w:val="nil"/>
              <w:left w:val="nil"/>
              <w:bottom w:val="nil"/>
              <w:right w:val="nil"/>
            </w:tcBorders>
            <w:vAlign w:val="center"/>
            <w:hideMark/>
          </w:tcPr>
          <w:p w14:paraId="1B0913EB"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2</w:t>
            </w:r>
          </w:p>
        </w:tc>
        <w:tc>
          <w:tcPr>
            <w:tcW w:w="462" w:type="pct"/>
            <w:tcBorders>
              <w:top w:val="nil"/>
              <w:left w:val="nil"/>
              <w:bottom w:val="nil"/>
              <w:right w:val="nil"/>
            </w:tcBorders>
            <w:vAlign w:val="center"/>
            <w:hideMark/>
          </w:tcPr>
          <w:p w14:paraId="464DE3E8"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Module</w:t>
            </w:r>
          </w:p>
        </w:tc>
        <w:tc>
          <w:tcPr>
            <w:tcW w:w="616" w:type="pct"/>
            <w:tcBorders>
              <w:top w:val="nil"/>
              <w:left w:val="nil"/>
              <w:bottom w:val="nil"/>
              <w:right w:val="nil"/>
            </w:tcBorders>
            <w:vAlign w:val="center"/>
            <w:hideMark/>
          </w:tcPr>
          <w:p w14:paraId="352D0FD7"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Programmes SDP (SWO, BET)</w:t>
            </w:r>
          </w:p>
        </w:tc>
        <w:tc>
          <w:tcPr>
            <w:tcW w:w="946" w:type="pct"/>
            <w:tcBorders>
              <w:top w:val="nil"/>
              <w:left w:val="nil"/>
              <w:bottom w:val="nil"/>
              <w:right w:val="nil"/>
            </w:tcBorders>
            <w:vAlign w:val="center"/>
            <w:hideMark/>
          </w:tcPr>
          <w:p w14:paraId="1CC57117"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roofErr w:type="gramStart"/>
            <w:r w:rsidRPr="00A13D16">
              <w:rPr>
                <w:rFonts w:asciiTheme="minorHAnsi" w:hAnsiTheme="minorHAnsi"/>
                <w:color w:val="auto"/>
                <w:sz w:val="16"/>
                <w:szCs w:val="16"/>
              </w:rPr>
              <w:t>M:TRO</w:t>
            </w:r>
            <w:proofErr w:type="gramEnd"/>
            <w:r w:rsidRPr="00A13D16">
              <w:rPr>
                <w:rFonts w:asciiTheme="minorHAnsi" w:hAnsiTheme="minorHAnsi"/>
                <w:color w:val="auto"/>
                <w:sz w:val="16"/>
                <w:szCs w:val="16"/>
              </w:rPr>
              <w:t xml:space="preserve">06, </w:t>
            </w:r>
            <w:proofErr w:type="gramStart"/>
            <w:r w:rsidRPr="00A13D16">
              <w:rPr>
                <w:rFonts w:asciiTheme="minorHAnsi" w:hAnsiTheme="minorHAnsi"/>
                <w:color w:val="auto"/>
                <w:sz w:val="16"/>
                <w:szCs w:val="16"/>
              </w:rPr>
              <w:t>M:SWO</w:t>
            </w:r>
            <w:proofErr w:type="gramEnd"/>
            <w:r w:rsidRPr="00A13D16">
              <w:rPr>
                <w:rFonts w:asciiTheme="minorHAnsi" w:hAnsiTheme="minorHAnsi"/>
                <w:color w:val="auto"/>
                <w:sz w:val="16"/>
                <w:szCs w:val="16"/>
              </w:rPr>
              <w:t>01</w:t>
            </w:r>
          </w:p>
        </w:tc>
        <w:tc>
          <w:tcPr>
            <w:tcW w:w="413" w:type="pct"/>
            <w:tcBorders>
              <w:top w:val="nil"/>
              <w:left w:val="nil"/>
              <w:bottom w:val="nil"/>
              <w:right w:val="nil"/>
            </w:tcBorders>
            <w:vAlign w:val="center"/>
            <w:hideMark/>
          </w:tcPr>
          <w:p w14:paraId="5D904BDB"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Planification</w:t>
            </w:r>
          </w:p>
        </w:tc>
        <w:tc>
          <w:tcPr>
            <w:tcW w:w="359" w:type="pct"/>
            <w:tcBorders>
              <w:top w:val="nil"/>
              <w:left w:val="nil"/>
              <w:bottom w:val="nil"/>
              <w:right w:val="nil"/>
            </w:tcBorders>
            <w:hideMark/>
          </w:tcPr>
          <w:p w14:paraId="03BAFBDC"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TBD</w:t>
            </w:r>
          </w:p>
        </w:tc>
        <w:tc>
          <w:tcPr>
            <w:tcW w:w="347" w:type="pct"/>
            <w:tcBorders>
              <w:top w:val="nil"/>
              <w:left w:val="nil"/>
              <w:bottom w:val="nil"/>
              <w:right w:val="nil"/>
            </w:tcBorders>
            <w:hideMark/>
          </w:tcPr>
          <w:p w14:paraId="375CDE98"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lang w:eastAsia="en-GB"/>
              </w:rPr>
            </w:pPr>
          </w:p>
        </w:tc>
        <w:tc>
          <w:tcPr>
            <w:tcW w:w="407" w:type="pct"/>
            <w:tcBorders>
              <w:top w:val="nil"/>
              <w:left w:val="nil"/>
              <w:bottom w:val="nil"/>
              <w:right w:val="nil"/>
            </w:tcBorders>
            <w:hideMark/>
          </w:tcPr>
          <w:p w14:paraId="00D4457D"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imes New Roman"/>
                <w:color w:val="auto"/>
                <w:sz w:val="16"/>
                <w:szCs w:val="16"/>
                <w:lang w:eastAsia="en-GB"/>
              </w:rPr>
            </w:pPr>
          </w:p>
        </w:tc>
        <w:tc>
          <w:tcPr>
            <w:tcW w:w="264" w:type="pct"/>
            <w:tcBorders>
              <w:top w:val="nil"/>
              <w:left w:val="nil"/>
              <w:bottom w:val="nil"/>
              <w:right w:val="nil"/>
            </w:tcBorders>
            <w:vAlign w:val="center"/>
            <w:hideMark/>
          </w:tcPr>
          <w:p w14:paraId="6A7A7ED6"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COM-25</w:t>
            </w:r>
          </w:p>
        </w:tc>
        <w:tc>
          <w:tcPr>
            <w:tcW w:w="670" w:type="pct"/>
            <w:tcBorders>
              <w:top w:val="nil"/>
              <w:left w:val="nil"/>
              <w:bottom w:val="nil"/>
              <w:right w:val="single" w:sz="8" w:space="0" w:color="auto"/>
            </w:tcBorders>
            <w:vAlign w:val="center"/>
            <w:hideMark/>
          </w:tcPr>
          <w:p w14:paraId="7860BAF2"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b/>
                <w:bCs/>
                <w:color w:val="FF0000"/>
                <w:sz w:val="16"/>
                <w:szCs w:val="16"/>
              </w:rPr>
            </w:pPr>
            <w:r w:rsidRPr="00A13D16">
              <w:rPr>
                <w:rFonts w:asciiTheme="minorHAnsi" w:hAnsiTheme="minorHAnsi"/>
                <w:b/>
                <w:color w:val="FF0000"/>
                <w:sz w:val="16"/>
                <w:szCs w:val="16"/>
              </w:rPr>
              <w:t>Y compris sceaux et signatures de validation pour les SDP</w:t>
            </w:r>
          </w:p>
        </w:tc>
      </w:tr>
      <w:tr w:rsidR="006B109C" w:rsidRPr="00A13D16" w14:paraId="70AC96BB" w14:textId="77777777" w:rsidTr="00A13D16">
        <w:trPr>
          <w:trHeight w:val="290"/>
        </w:trPr>
        <w:tc>
          <w:tcPr>
            <w:tcW w:w="234" w:type="pct"/>
            <w:tcBorders>
              <w:top w:val="nil"/>
              <w:left w:val="single" w:sz="8" w:space="0" w:color="auto"/>
              <w:bottom w:val="nil"/>
              <w:right w:val="nil"/>
            </w:tcBorders>
            <w:vAlign w:val="center"/>
            <w:hideMark/>
          </w:tcPr>
          <w:p w14:paraId="7E1F7C68"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5</w:t>
            </w:r>
          </w:p>
        </w:tc>
        <w:tc>
          <w:tcPr>
            <w:tcW w:w="285" w:type="pct"/>
            <w:tcBorders>
              <w:top w:val="nil"/>
              <w:left w:val="nil"/>
              <w:bottom w:val="nil"/>
              <w:right w:val="nil"/>
            </w:tcBorders>
            <w:vAlign w:val="center"/>
            <w:hideMark/>
          </w:tcPr>
          <w:p w14:paraId="18F48E21"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3</w:t>
            </w:r>
          </w:p>
        </w:tc>
        <w:tc>
          <w:tcPr>
            <w:tcW w:w="462" w:type="pct"/>
            <w:tcBorders>
              <w:top w:val="nil"/>
              <w:left w:val="nil"/>
              <w:bottom w:val="nil"/>
              <w:right w:val="nil"/>
            </w:tcBorders>
            <w:vAlign w:val="center"/>
            <w:hideMark/>
          </w:tcPr>
          <w:p w14:paraId="78FD54A3"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Module</w:t>
            </w:r>
          </w:p>
        </w:tc>
        <w:tc>
          <w:tcPr>
            <w:tcW w:w="616" w:type="pct"/>
            <w:tcBorders>
              <w:top w:val="nil"/>
              <w:left w:val="nil"/>
              <w:bottom w:val="nil"/>
              <w:right w:val="nil"/>
            </w:tcBorders>
            <w:vAlign w:val="center"/>
            <w:hideMark/>
          </w:tcPr>
          <w:p w14:paraId="29A4EA73"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Gestionnaire des rapports hebdomadaires et mensuels sur le thon rouge (BFT)</w:t>
            </w:r>
          </w:p>
        </w:tc>
        <w:tc>
          <w:tcPr>
            <w:tcW w:w="946" w:type="pct"/>
            <w:tcBorders>
              <w:top w:val="nil"/>
              <w:left w:val="nil"/>
              <w:bottom w:val="nil"/>
              <w:right w:val="nil"/>
            </w:tcBorders>
            <w:vAlign w:val="center"/>
            <w:hideMark/>
          </w:tcPr>
          <w:p w14:paraId="36C313B9"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lang w:val="en-US"/>
              </w:rPr>
            </w:pPr>
            <w:proofErr w:type="gramStart"/>
            <w:r w:rsidRPr="00A13D16">
              <w:rPr>
                <w:rFonts w:asciiTheme="minorHAnsi" w:hAnsiTheme="minorHAnsi"/>
                <w:color w:val="auto"/>
                <w:sz w:val="16"/>
                <w:szCs w:val="16"/>
                <w:lang w:val="en-US"/>
              </w:rPr>
              <w:t>M:BFT</w:t>
            </w:r>
            <w:proofErr w:type="gramEnd"/>
            <w:r w:rsidRPr="00A13D16">
              <w:rPr>
                <w:rFonts w:asciiTheme="minorHAnsi" w:hAnsiTheme="minorHAnsi"/>
                <w:color w:val="auto"/>
                <w:sz w:val="16"/>
                <w:szCs w:val="16"/>
                <w:lang w:val="en-US"/>
              </w:rPr>
              <w:t xml:space="preserve">22, </w:t>
            </w:r>
            <w:proofErr w:type="gramStart"/>
            <w:r w:rsidRPr="00A13D16">
              <w:rPr>
                <w:rFonts w:asciiTheme="minorHAnsi" w:hAnsiTheme="minorHAnsi"/>
                <w:color w:val="auto"/>
                <w:sz w:val="16"/>
                <w:szCs w:val="16"/>
                <w:lang w:val="en-US"/>
              </w:rPr>
              <w:t>M:BFT</w:t>
            </w:r>
            <w:proofErr w:type="gramEnd"/>
            <w:r w:rsidRPr="00A13D16">
              <w:rPr>
                <w:rFonts w:asciiTheme="minorHAnsi" w:hAnsiTheme="minorHAnsi"/>
                <w:color w:val="auto"/>
                <w:sz w:val="16"/>
                <w:szCs w:val="16"/>
                <w:lang w:val="en-US"/>
              </w:rPr>
              <w:t xml:space="preserve">23, </w:t>
            </w:r>
            <w:proofErr w:type="gramStart"/>
            <w:r w:rsidRPr="00A13D16">
              <w:rPr>
                <w:rFonts w:asciiTheme="minorHAnsi" w:hAnsiTheme="minorHAnsi"/>
                <w:color w:val="auto"/>
                <w:sz w:val="16"/>
                <w:szCs w:val="16"/>
                <w:lang w:val="en-US"/>
              </w:rPr>
              <w:t>M:TRO</w:t>
            </w:r>
            <w:proofErr w:type="gramEnd"/>
            <w:r w:rsidRPr="00A13D16">
              <w:rPr>
                <w:rFonts w:asciiTheme="minorHAnsi" w:hAnsiTheme="minorHAnsi"/>
                <w:color w:val="auto"/>
                <w:sz w:val="16"/>
                <w:szCs w:val="16"/>
                <w:lang w:val="en-US"/>
              </w:rPr>
              <w:t xml:space="preserve">14 </w:t>
            </w:r>
            <w:proofErr w:type="spellStart"/>
            <w:r w:rsidRPr="00A13D16">
              <w:rPr>
                <w:rFonts w:asciiTheme="minorHAnsi" w:hAnsiTheme="minorHAnsi"/>
                <w:color w:val="auto"/>
                <w:sz w:val="16"/>
                <w:szCs w:val="16"/>
                <w:lang w:val="en-US"/>
              </w:rPr>
              <w:t>hebdomadaire</w:t>
            </w:r>
            <w:proofErr w:type="spellEnd"/>
            <w:r w:rsidRPr="00A13D16">
              <w:rPr>
                <w:rFonts w:asciiTheme="minorHAnsi" w:hAnsiTheme="minorHAnsi"/>
                <w:color w:val="auto"/>
                <w:sz w:val="16"/>
                <w:szCs w:val="16"/>
                <w:lang w:val="en-US"/>
              </w:rPr>
              <w:t xml:space="preserve"> BET</w:t>
            </w:r>
          </w:p>
        </w:tc>
        <w:tc>
          <w:tcPr>
            <w:tcW w:w="413" w:type="pct"/>
            <w:tcBorders>
              <w:top w:val="nil"/>
              <w:left w:val="nil"/>
              <w:bottom w:val="nil"/>
              <w:right w:val="nil"/>
            </w:tcBorders>
            <w:vAlign w:val="center"/>
            <w:hideMark/>
          </w:tcPr>
          <w:p w14:paraId="74D860CB"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Planification</w:t>
            </w:r>
          </w:p>
        </w:tc>
        <w:tc>
          <w:tcPr>
            <w:tcW w:w="359" w:type="pct"/>
            <w:tcBorders>
              <w:top w:val="nil"/>
              <w:left w:val="nil"/>
              <w:bottom w:val="nil"/>
              <w:right w:val="nil"/>
            </w:tcBorders>
            <w:hideMark/>
          </w:tcPr>
          <w:p w14:paraId="2C063B9E"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TBD</w:t>
            </w:r>
          </w:p>
        </w:tc>
        <w:tc>
          <w:tcPr>
            <w:tcW w:w="347" w:type="pct"/>
            <w:tcBorders>
              <w:top w:val="nil"/>
              <w:left w:val="nil"/>
              <w:bottom w:val="nil"/>
              <w:right w:val="nil"/>
            </w:tcBorders>
            <w:hideMark/>
          </w:tcPr>
          <w:p w14:paraId="0629D739"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lang w:eastAsia="en-GB"/>
              </w:rPr>
            </w:pPr>
          </w:p>
        </w:tc>
        <w:tc>
          <w:tcPr>
            <w:tcW w:w="407" w:type="pct"/>
            <w:tcBorders>
              <w:top w:val="nil"/>
              <w:left w:val="nil"/>
              <w:bottom w:val="nil"/>
              <w:right w:val="nil"/>
            </w:tcBorders>
            <w:hideMark/>
          </w:tcPr>
          <w:p w14:paraId="0E324960" w14:textId="77777777"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Times New Roman"/>
                <w:color w:val="auto"/>
                <w:sz w:val="16"/>
                <w:szCs w:val="16"/>
                <w:lang w:eastAsia="en-GB"/>
              </w:rPr>
            </w:pPr>
          </w:p>
        </w:tc>
        <w:tc>
          <w:tcPr>
            <w:tcW w:w="264" w:type="pct"/>
            <w:tcBorders>
              <w:top w:val="nil"/>
              <w:left w:val="nil"/>
              <w:bottom w:val="nil"/>
              <w:right w:val="nil"/>
            </w:tcBorders>
            <w:vAlign w:val="center"/>
            <w:hideMark/>
          </w:tcPr>
          <w:p w14:paraId="3A35AD09"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COM-25</w:t>
            </w:r>
          </w:p>
        </w:tc>
        <w:tc>
          <w:tcPr>
            <w:tcW w:w="670" w:type="pct"/>
            <w:tcBorders>
              <w:top w:val="nil"/>
              <w:left w:val="nil"/>
              <w:bottom w:val="nil"/>
              <w:right w:val="single" w:sz="8" w:space="0" w:color="auto"/>
            </w:tcBorders>
            <w:vAlign w:val="center"/>
            <w:hideMark/>
          </w:tcPr>
          <w:p w14:paraId="383BFED9"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 </w:t>
            </w:r>
          </w:p>
        </w:tc>
      </w:tr>
      <w:tr w:rsidR="006B109C" w:rsidRPr="00A13D16" w14:paraId="222F29A3" w14:textId="77777777" w:rsidTr="00A13D16">
        <w:trPr>
          <w:trHeight w:val="300"/>
        </w:trPr>
        <w:tc>
          <w:tcPr>
            <w:tcW w:w="234" w:type="pct"/>
            <w:tcBorders>
              <w:top w:val="nil"/>
              <w:left w:val="single" w:sz="8" w:space="0" w:color="auto"/>
              <w:bottom w:val="single" w:sz="8" w:space="0" w:color="auto"/>
              <w:right w:val="nil"/>
            </w:tcBorders>
            <w:vAlign w:val="center"/>
            <w:hideMark/>
          </w:tcPr>
          <w:p w14:paraId="281F8436"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5</w:t>
            </w:r>
          </w:p>
        </w:tc>
        <w:tc>
          <w:tcPr>
            <w:tcW w:w="285" w:type="pct"/>
            <w:tcBorders>
              <w:top w:val="nil"/>
              <w:left w:val="nil"/>
              <w:bottom w:val="single" w:sz="8" w:space="0" w:color="auto"/>
              <w:right w:val="nil"/>
            </w:tcBorders>
            <w:vAlign w:val="center"/>
            <w:hideMark/>
          </w:tcPr>
          <w:p w14:paraId="5C1FE442"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color w:val="auto"/>
                <w:sz w:val="16"/>
                <w:szCs w:val="16"/>
              </w:rPr>
            </w:pPr>
            <w:r w:rsidRPr="00A13D16">
              <w:rPr>
                <w:rFonts w:asciiTheme="minorHAnsi" w:hAnsiTheme="minorHAnsi"/>
                <w:color w:val="auto"/>
                <w:sz w:val="16"/>
                <w:szCs w:val="16"/>
              </w:rPr>
              <w:t>1</w:t>
            </w:r>
          </w:p>
        </w:tc>
        <w:tc>
          <w:tcPr>
            <w:tcW w:w="462" w:type="pct"/>
            <w:tcBorders>
              <w:top w:val="nil"/>
              <w:left w:val="nil"/>
              <w:bottom w:val="single" w:sz="8" w:space="0" w:color="auto"/>
              <w:right w:val="nil"/>
            </w:tcBorders>
            <w:vAlign w:val="center"/>
            <w:hideMark/>
          </w:tcPr>
          <w:p w14:paraId="4E848D3F"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Tâche</w:t>
            </w:r>
          </w:p>
        </w:tc>
        <w:tc>
          <w:tcPr>
            <w:tcW w:w="616" w:type="pct"/>
            <w:tcBorders>
              <w:top w:val="nil"/>
              <w:left w:val="nil"/>
              <w:bottom w:val="single" w:sz="8" w:space="0" w:color="auto"/>
              <w:right w:val="nil"/>
            </w:tcBorders>
            <w:vAlign w:val="center"/>
            <w:hideMark/>
          </w:tcPr>
          <w:p w14:paraId="4E2B787C" w14:textId="77777777"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ind w:right="-29"/>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Maintenance (y compris les améliorations et la correction des erreurs)</w:t>
            </w:r>
          </w:p>
        </w:tc>
        <w:tc>
          <w:tcPr>
            <w:tcW w:w="946" w:type="pct"/>
            <w:tcBorders>
              <w:top w:val="nil"/>
              <w:left w:val="nil"/>
              <w:bottom w:val="single" w:sz="8" w:space="0" w:color="auto"/>
              <w:right w:val="nil"/>
            </w:tcBorders>
            <w:vAlign w:val="center"/>
            <w:hideMark/>
          </w:tcPr>
          <w:p w14:paraId="74BA1BA3" w14:textId="4D0B5D3E" w:rsidR="007162C1" w:rsidRPr="00A13D16" w:rsidRDefault="007162C1" w:rsidP="00A13D16">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
        </w:tc>
        <w:tc>
          <w:tcPr>
            <w:tcW w:w="413" w:type="pct"/>
            <w:tcBorders>
              <w:top w:val="nil"/>
              <w:left w:val="nil"/>
              <w:bottom w:val="single" w:sz="8" w:space="0" w:color="auto"/>
              <w:right w:val="nil"/>
            </w:tcBorders>
            <w:vAlign w:val="center"/>
            <w:hideMark/>
          </w:tcPr>
          <w:p w14:paraId="22C34051"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Planification</w:t>
            </w:r>
          </w:p>
        </w:tc>
        <w:tc>
          <w:tcPr>
            <w:tcW w:w="359" w:type="pct"/>
            <w:tcBorders>
              <w:top w:val="nil"/>
              <w:left w:val="nil"/>
              <w:bottom w:val="single" w:sz="8" w:space="0" w:color="auto"/>
              <w:right w:val="nil"/>
            </w:tcBorders>
            <w:vAlign w:val="center"/>
            <w:hideMark/>
          </w:tcPr>
          <w:p w14:paraId="37871FE5"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r w:rsidRPr="00A13D16">
              <w:rPr>
                <w:rFonts w:asciiTheme="minorHAnsi" w:hAnsiTheme="minorHAnsi"/>
                <w:color w:val="auto"/>
                <w:sz w:val="16"/>
                <w:szCs w:val="16"/>
              </w:rPr>
              <w:t>TBD</w:t>
            </w:r>
          </w:p>
        </w:tc>
        <w:tc>
          <w:tcPr>
            <w:tcW w:w="347" w:type="pct"/>
            <w:tcBorders>
              <w:top w:val="nil"/>
              <w:left w:val="nil"/>
              <w:bottom w:val="single" w:sz="8" w:space="0" w:color="auto"/>
              <w:right w:val="nil"/>
            </w:tcBorders>
            <w:vAlign w:val="center"/>
            <w:hideMark/>
          </w:tcPr>
          <w:p w14:paraId="55DF5E12"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 </w:t>
            </w:r>
          </w:p>
        </w:tc>
        <w:tc>
          <w:tcPr>
            <w:tcW w:w="407" w:type="pct"/>
            <w:tcBorders>
              <w:top w:val="nil"/>
              <w:left w:val="nil"/>
              <w:bottom w:val="single" w:sz="8" w:space="0" w:color="auto"/>
              <w:right w:val="nil"/>
            </w:tcBorders>
            <w:vAlign w:val="center"/>
            <w:hideMark/>
          </w:tcPr>
          <w:p w14:paraId="7528B61F" w14:textId="25404D79" w:rsidR="007162C1" w:rsidRPr="00A13D16" w:rsidRDefault="007162C1" w:rsidP="00CA3FF4">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color w:val="auto"/>
                <w:sz w:val="16"/>
                <w:szCs w:val="16"/>
              </w:rPr>
            </w:pPr>
          </w:p>
        </w:tc>
        <w:tc>
          <w:tcPr>
            <w:tcW w:w="264" w:type="pct"/>
            <w:tcBorders>
              <w:top w:val="nil"/>
              <w:left w:val="nil"/>
              <w:bottom w:val="single" w:sz="8" w:space="0" w:color="auto"/>
              <w:right w:val="nil"/>
            </w:tcBorders>
            <w:vAlign w:val="center"/>
            <w:hideMark/>
          </w:tcPr>
          <w:p w14:paraId="35DFBE72"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COM-25</w:t>
            </w:r>
          </w:p>
        </w:tc>
        <w:tc>
          <w:tcPr>
            <w:tcW w:w="670" w:type="pct"/>
            <w:tcBorders>
              <w:top w:val="nil"/>
              <w:left w:val="nil"/>
              <w:bottom w:val="single" w:sz="8" w:space="0" w:color="auto"/>
              <w:right w:val="single" w:sz="8" w:space="0" w:color="auto"/>
            </w:tcBorders>
            <w:vAlign w:val="center"/>
            <w:hideMark/>
          </w:tcPr>
          <w:p w14:paraId="6399E691" w14:textId="77777777" w:rsidR="007162C1" w:rsidRPr="00A13D16" w:rsidRDefault="007162C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color w:val="auto"/>
                <w:sz w:val="16"/>
                <w:szCs w:val="16"/>
              </w:rPr>
            </w:pPr>
            <w:r w:rsidRPr="00A13D16">
              <w:rPr>
                <w:rFonts w:asciiTheme="minorHAnsi" w:hAnsiTheme="minorHAnsi"/>
                <w:color w:val="auto"/>
                <w:sz w:val="16"/>
                <w:szCs w:val="16"/>
              </w:rPr>
              <w:t> </w:t>
            </w:r>
          </w:p>
        </w:tc>
      </w:tr>
    </w:tbl>
    <w:p w14:paraId="0DD51676" w14:textId="03156BDE" w:rsidR="0016536E" w:rsidRPr="00A13D16" w:rsidRDefault="0016536E" w:rsidP="00A66378">
      <w:pPr>
        <w:rPr>
          <w:rFonts w:asciiTheme="minorHAnsi" w:hAnsiTheme="minorHAnsi"/>
          <w:sz w:val="16"/>
          <w:szCs w:val="16"/>
        </w:rPr>
      </w:pPr>
    </w:p>
    <w:p w14:paraId="202989C6" w14:textId="77777777" w:rsidR="006339FA" w:rsidRPr="00A13D16" w:rsidRDefault="006339FA" w:rsidP="00A66378">
      <w:pPr>
        <w:rPr>
          <w:rFonts w:asciiTheme="minorHAnsi" w:hAnsiTheme="minorHAnsi"/>
          <w:sz w:val="16"/>
          <w:szCs w:val="16"/>
        </w:rPr>
      </w:pPr>
    </w:p>
    <w:p w14:paraId="6ECB2F67" w14:textId="77777777" w:rsidR="001463E2" w:rsidRDefault="001463E2">
      <w:pPr>
        <w:pBdr>
          <w:top w:val="none" w:sz="0" w:space="0" w:color="auto"/>
          <w:left w:val="none" w:sz="0" w:space="0" w:color="auto"/>
          <w:bottom w:val="none" w:sz="0" w:space="0" w:color="auto"/>
          <w:right w:val="none" w:sz="0" w:space="0" w:color="auto"/>
          <w:between w:val="none" w:sz="0" w:space="0" w:color="auto"/>
        </w:pBdr>
        <w:spacing w:after="160" w:line="257" w:lineRule="auto"/>
        <w:jc w:val="left"/>
        <w:rPr>
          <w:rFonts w:asciiTheme="minorHAnsi" w:eastAsia="Calibri" w:hAnsiTheme="minorHAnsi" w:cs="Calibri"/>
          <w:color w:val="auto"/>
        </w:rPr>
      </w:pPr>
      <w:r>
        <w:rPr>
          <w:rFonts w:asciiTheme="minorHAnsi" w:hAnsiTheme="minorHAnsi"/>
        </w:rPr>
        <w:br w:type="page"/>
      </w:r>
    </w:p>
    <w:p w14:paraId="4079C1F5" w14:textId="160C3EA0" w:rsidR="00407293" w:rsidRPr="001463E2" w:rsidRDefault="00407293" w:rsidP="00A66378">
      <w:pPr>
        <w:pStyle w:val="NoSpacing"/>
        <w:rPr>
          <w:rFonts w:asciiTheme="minorHAnsi" w:hAnsiTheme="minorHAnsi"/>
          <w:sz w:val="20"/>
          <w:szCs w:val="20"/>
        </w:rPr>
      </w:pPr>
      <w:r w:rsidRPr="001463E2">
        <w:rPr>
          <w:rFonts w:asciiTheme="minorHAnsi" w:hAnsiTheme="minorHAnsi"/>
          <w:sz w:val="20"/>
          <w:szCs w:val="20"/>
        </w:rPr>
        <w:lastRenderedPageBreak/>
        <w:t>Informations complémentaires sur les phases de l'IOMS :</w:t>
      </w:r>
    </w:p>
    <w:p w14:paraId="7C13FA59" w14:textId="77777777" w:rsidR="009D55E7" w:rsidRPr="00A13D16" w:rsidRDefault="009D55E7" w:rsidP="00A66378">
      <w:pPr>
        <w:pStyle w:val="NoSpacing"/>
        <w:rPr>
          <w:rFonts w:asciiTheme="minorHAnsi" w:hAnsiTheme="minorHAnsi"/>
          <w:sz w:val="16"/>
          <w:szCs w:val="16"/>
        </w:rPr>
      </w:pPr>
    </w:p>
    <w:tbl>
      <w:tblPr>
        <w:tblW w:w="5000" w:type="pct"/>
        <w:tblCellMar>
          <w:left w:w="28" w:type="dxa"/>
          <w:right w:w="28" w:type="dxa"/>
        </w:tblCellMar>
        <w:tblLook w:val="04A0" w:firstRow="1" w:lastRow="0" w:firstColumn="1" w:lastColumn="0" w:noHBand="0" w:noVBand="1"/>
      </w:tblPr>
      <w:tblGrid>
        <w:gridCol w:w="1210"/>
        <w:gridCol w:w="2041"/>
        <w:gridCol w:w="1906"/>
        <w:gridCol w:w="2301"/>
        <w:gridCol w:w="1195"/>
        <w:gridCol w:w="2858"/>
        <w:gridCol w:w="2483"/>
      </w:tblGrid>
      <w:tr w:rsidR="004F70B8" w:rsidRPr="00A66378" w14:paraId="5A720AD3" w14:textId="77777777" w:rsidTr="001463E2">
        <w:trPr>
          <w:trHeight w:val="20"/>
        </w:trPr>
        <w:tc>
          <w:tcPr>
            <w:tcW w:w="432" w:type="pct"/>
            <w:tcBorders>
              <w:top w:val="single" w:sz="4" w:space="0" w:color="auto"/>
              <w:left w:val="single" w:sz="4" w:space="0" w:color="auto"/>
              <w:bottom w:val="single" w:sz="4" w:space="0" w:color="auto"/>
              <w:right w:val="nil"/>
            </w:tcBorders>
            <w:shd w:val="clear" w:color="000000" w:fill="D9D9D9"/>
            <w:noWrap/>
            <w:vAlign w:val="center"/>
            <w:hideMark/>
          </w:tcPr>
          <w:p w14:paraId="6707E1E0" w14:textId="77777777" w:rsidR="004F70B8" w:rsidRPr="00A66378" w:rsidRDefault="004F70B8" w:rsidP="008C340C">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rPr>
            </w:pPr>
            <w:r w:rsidRPr="00A66378">
              <w:rPr>
                <w:rFonts w:asciiTheme="minorHAnsi" w:hAnsiTheme="minorHAnsi"/>
                <w:b/>
              </w:rPr>
              <w:t>Phase</w:t>
            </w:r>
          </w:p>
        </w:tc>
        <w:tc>
          <w:tcPr>
            <w:tcW w:w="729" w:type="pct"/>
            <w:tcBorders>
              <w:top w:val="single" w:sz="4" w:space="0" w:color="auto"/>
              <w:left w:val="nil"/>
              <w:bottom w:val="single" w:sz="4" w:space="0" w:color="auto"/>
              <w:right w:val="nil"/>
            </w:tcBorders>
            <w:shd w:val="clear" w:color="000000" w:fill="D9D9D9"/>
            <w:noWrap/>
            <w:vAlign w:val="center"/>
            <w:hideMark/>
          </w:tcPr>
          <w:p w14:paraId="34713268" w14:textId="77777777" w:rsidR="004F70B8" w:rsidRPr="00A66378" w:rsidRDefault="004F70B8" w:rsidP="008C340C">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rPr>
            </w:pPr>
            <w:r w:rsidRPr="00A66378">
              <w:rPr>
                <w:rFonts w:asciiTheme="minorHAnsi" w:hAnsiTheme="minorHAnsi"/>
                <w:b/>
              </w:rPr>
              <w:t>Début</w:t>
            </w:r>
          </w:p>
        </w:tc>
        <w:tc>
          <w:tcPr>
            <w:tcW w:w="681" w:type="pct"/>
            <w:tcBorders>
              <w:top w:val="single" w:sz="4" w:space="0" w:color="auto"/>
              <w:left w:val="nil"/>
              <w:bottom w:val="single" w:sz="4" w:space="0" w:color="auto"/>
              <w:right w:val="nil"/>
            </w:tcBorders>
            <w:shd w:val="clear" w:color="000000" w:fill="D9D9D9"/>
            <w:noWrap/>
            <w:vAlign w:val="center"/>
            <w:hideMark/>
          </w:tcPr>
          <w:p w14:paraId="75A78610" w14:textId="77777777" w:rsidR="004F70B8" w:rsidRPr="00A66378" w:rsidRDefault="004F70B8" w:rsidP="008C340C">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rPr>
            </w:pPr>
            <w:r w:rsidRPr="00A66378">
              <w:rPr>
                <w:rFonts w:asciiTheme="minorHAnsi" w:hAnsiTheme="minorHAnsi"/>
                <w:b/>
              </w:rPr>
              <w:t>Fin</w:t>
            </w:r>
          </w:p>
        </w:tc>
        <w:tc>
          <w:tcPr>
            <w:tcW w:w="822" w:type="pct"/>
            <w:tcBorders>
              <w:top w:val="single" w:sz="4" w:space="0" w:color="auto"/>
              <w:left w:val="nil"/>
              <w:bottom w:val="single" w:sz="4" w:space="0" w:color="auto"/>
              <w:right w:val="nil"/>
            </w:tcBorders>
            <w:shd w:val="clear" w:color="000000" w:fill="D9D9D9"/>
            <w:vAlign w:val="center"/>
            <w:hideMark/>
          </w:tcPr>
          <w:p w14:paraId="36CEFC30" w14:textId="77777777" w:rsidR="004F70B8" w:rsidRPr="00A66378" w:rsidRDefault="004F70B8" w:rsidP="008C340C">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rPr>
            </w:pPr>
            <w:r w:rsidRPr="00A66378">
              <w:rPr>
                <w:rFonts w:asciiTheme="minorHAnsi" w:hAnsiTheme="minorHAnsi"/>
                <w:b/>
              </w:rPr>
              <w:t>Budget (mois)</w:t>
            </w:r>
          </w:p>
        </w:tc>
        <w:tc>
          <w:tcPr>
            <w:tcW w:w="427" w:type="pct"/>
            <w:tcBorders>
              <w:top w:val="single" w:sz="4" w:space="0" w:color="auto"/>
              <w:left w:val="nil"/>
              <w:bottom w:val="single" w:sz="4" w:space="0" w:color="auto"/>
              <w:right w:val="nil"/>
            </w:tcBorders>
            <w:shd w:val="clear" w:color="000000" w:fill="D9D9D9"/>
            <w:noWrap/>
            <w:vAlign w:val="center"/>
            <w:hideMark/>
          </w:tcPr>
          <w:p w14:paraId="3DAD9853" w14:textId="77777777" w:rsidR="004F70B8" w:rsidRPr="00A66378" w:rsidRDefault="004F70B8" w:rsidP="008C340C">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rPr>
            </w:pPr>
            <w:r w:rsidRPr="00A66378">
              <w:rPr>
                <w:rFonts w:asciiTheme="minorHAnsi" w:hAnsiTheme="minorHAnsi"/>
                <w:b/>
              </w:rPr>
              <w:t>COM</w:t>
            </w:r>
          </w:p>
        </w:tc>
        <w:tc>
          <w:tcPr>
            <w:tcW w:w="1021" w:type="pct"/>
            <w:tcBorders>
              <w:top w:val="single" w:sz="4" w:space="0" w:color="auto"/>
              <w:left w:val="nil"/>
              <w:bottom w:val="single" w:sz="4" w:space="0" w:color="auto"/>
              <w:right w:val="nil"/>
            </w:tcBorders>
            <w:shd w:val="clear" w:color="000000" w:fill="D9D9D9"/>
            <w:vAlign w:val="center"/>
            <w:hideMark/>
          </w:tcPr>
          <w:p w14:paraId="47B98EA7" w14:textId="77777777" w:rsidR="004F70B8" w:rsidRPr="00A66378" w:rsidRDefault="004F70B8" w:rsidP="008C340C">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rPr>
            </w:pPr>
            <w:r w:rsidRPr="00A66378">
              <w:rPr>
                <w:rFonts w:asciiTheme="minorHAnsi" w:hAnsiTheme="minorHAnsi"/>
                <w:b/>
              </w:rPr>
              <w:t>Année budgétaire</w:t>
            </w:r>
          </w:p>
        </w:tc>
        <w:tc>
          <w:tcPr>
            <w:tcW w:w="887" w:type="pct"/>
            <w:tcBorders>
              <w:top w:val="single" w:sz="4" w:space="0" w:color="auto"/>
              <w:left w:val="nil"/>
              <w:bottom w:val="single" w:sz="4" w:space="0" w:color="auto"/>
              <w:right w:val="single" w:sz="4" w:space="0" w:color="auto"/>
            </w:tcBorders>
            <w:shd w:val="clear" w:color="000000" w:fill="D9D9D9"/>
            <w:vAlign w:val="center"/>
            <w:hideMark/>
          </w:tcPr>
          <w:p w14:paraId="34A28917" w14:textId="77777777" w:rsidR="004F70B8" w:rsidRPr="00A66378" w:rsidRDefault="004F70B8" w:rsidP="008C340C">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b/>
                <w:bCs/>
              </w:rPr>
            </w:pPr>
            <w:r w:rsidRPr="00A66378">
              <w:rPr>
                <w:rFonts w:asciiTheme="minorHAnsi" w:hAnsiTheme="minorHAnsi"/>
                <w:b/>
              </w:rPr>
              <w:t>Type de budget</w:t>
            </w:r>
          </w:p>
        </w:tc>
      </w:tr>
      <w:tr w:rsidR="004F70B8" w:rsidRPr="00A66378" w14:paraId="7FD3780D" w14:textId="77777777" w:rsidTr="001463E2">
        <w:trPr>
          <w:trHeight w:val="20"/>
        </w:trPr>
        <w:tc>
          <w:tcPr>
            <w:tcW w:w="432" w:type="pct"/>
            <w:tcBorders>
              <w:top w:val="nil"/>
              <w:left w:val="single" w:sz="4" w:space="0" w:color="auto"/>
              <w:bottom w:val="nil"/>
              <w:right w:val="nil"/>
            </w:tcBorders>
            <w:noWrap/>
            <w:vAlign w:val="bottom"/>
            <w:hideMark/>
          </w:tcPr>
          <w:p w14:paraId="641627D4"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rPr>
            </w:pPr>
            <w:r w:rsidRPr="00A66378">
              <w:rPr>
                <w:rFonts w:asciiTheme="minorHAnsi" w:hAnsiTheme="minorHAnsi"/>
              </w:rPr>
              <w:t>Phase 1</w:t>
            </w:r>
          </w:p>
        </w:tc>
        <w:tc>
          <w:tcPr>
            <w:tcW w:w="729" w:type="pct"/>
            <w:tcBorders>
              <w:top w:val="nil"/>
              <w:left w:val="nil"/>
              <w:bottom w:val="nil"/>
              <w:right w:val="nil"/>
            </w:tcBorders>
            <w:noWrap/>
            <w:vAlign w:val="bottom"/>
            <w:hideMark/>
          </w:tcPr>
          <w:p w14:paraId="4102CE6D"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rPr>
            </w:pPr>
            <w:r w:rsidRPr="00A66378">
              <w:rPr>
                <w:rFonts w:asciiTheme="minorHAnsi" w:hAnsiTheme="minorHAnsi"/>
              </w:rPr>
              <w:t>1er juin 2019</w:t>
            </w:r>
          </w:p>
        </w:tc>
        <w:tc>
          <w:tcPr>
            <w:tcW w:w="681" w:type="pct"/>
            <w:tcBorders>
              <w:top w:val="nil"/>
              <w:left w:val="nil"/>
              <w:bottom w:val="nil"/>
              <w:right w:val="nil"/>
            </w:tcBorders>
            <w:noWrap/>
            <w:vAlign w:val="bottom"/>
            <w:hideMark/>
          </w:tcPr>
          <w:p w14:paraId="23B60058"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rPr>
            </w:pPr>
            <w:r w:rsidRPr="00A66378">
              <w:rPr>
                <w:rFonts w:asciiTheme="minorHAnsi" w:hAnsiTheme="minorHAnsi"/>
              </w:rPr>
              <w:t>31 mai 2020</w:t>
            </w:r>
          </w:p>
        </w:tc>
        <w:tc>
          <w:tcPr>
            <w:tcW w:w="822" w:type="pct"/>
            <w:tcBorders>
              <w:top w:val="nil"/>
              <w:left w:val="nil"/>
              <w:bottom w:val="nil"/>
              <w:right w:val="nil"/>
            </w:tcBorders>
            <w:noWrap/>
            <w:vAlign w:val="bottom"/>
            <w:hideMark/>
          </w:tcPr>
          <w:p w14:paraId="1837F428"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rPr>
            </w:pPr>
            <w:r w:rsidRPr="00A66378">
              <w:rPr>
                <w:rFonts w:asciiTheme="minorHAnsi" w:hAnsiTheme="minorHAnsi"/>
              </w:rPr>
              <w:t>12</w:t>
            </w:r>
          </w:p>
        </w:tc>
        <w:tc>
          <w:tcPr>
            <w:tcW w:w="427" w:type="pct"/>
            <w:tcBorders>
              <w:top w:val="nil"/>
              <w:left w:val="nil"/>
              <w:bottom w:val="nil"/>
              <w:right w:val="nil"/>
            </w:tcBorders>
            <w:noWrap/>
            <w:vAlign w:val="bottom"/>
            <w:hideMark/>
          </w:tcPr>
          <w:p w14:paraId="359E613F"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rPr>
            </w:pPr>
            <w:r w:rsidRPr="00A66378">
              <w:rPr>
                <w:rFonts w:asciiTheme="minorHAnsi" w:hAnsiTheme="minorHAnsi"/>
              </w:rPr>
              <w:t>Annuel</w:t>
            </w:r>
          </w:p>
        </w:tc>
        <w:tc>
          <w:tcPr>
            <w:tcW w:w="1021" w:type="pct"/>
            <w:tcBorders>
              <w:top w:val="nil"/>
              <w:left w:val="nil"/>
              <w:bottom w:val="nil"/>
              <w:right w:val="nil"/>
            </w:tcBorders>
            <w:noWrap/>
            <w:vAlign w:val="bottom"/>
            <w:hideMark/>
          </w:tcPr>
          <w:p w14:paraId="18058901"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rPr>
            </w:pPr>
            <w:r w:rsidRPr="00A66378">
              <w:rPr>
                <w:rFonts w:asciiTheme="minorHAnsi" w:hAnsiTheme="minorHAnsi"/>
              </w:rPr>
              <w:t>2018</w:t>
            </w:r>
          </w:p>
        </w:tc>
        <w:tc>
          <w:tcPr>
            <w:tcW w:w="887" w:type="pct"/>
            <w:tcBorders>
              <w:top w:val="nil"/>
              <w:left w:val="nil"/>
              <w:bottom w:val="nil"/>
              <w:right w:val="single" w:sz="4" w:space="0" w:color="auto"/>
            </w:tcBorders>
            <w:noWrap/>
            <w:vAlign w:val="bottom"/>
            <w:hideMark/>
          </w:tcPr>
          <w:p w14:paraId="27659A0C"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rPr>
            </w:pPr>
            <w:r w:rsidRPr="00A66378">
              <w:rPr>
                <w:rFonts w:asciiTheme="minorHAnsi" w:hAnsiTheme="minorHAnsi"/>
              </w:rPr>
              <w:t>Extraordinaire</w:t>
            </w:r>
          </w:p>
        </w:tc>
      </w:tr>
      <w:tr w:rsidR="004F70B8" w:rsidRPr="00A66378" w14:paraId="6111704A" w14:textId="77777777" w:rsidTr="001463E2">
        <w:trPr>
          <w:trHeight w:val="20"/>
        </w:trPr>
        <w:tc>
          <w:tcPr>
            <w:tcW w:w="432" w:type="pct"/>
            <w:tcBorders>
              <w:top w:val="nil"/>
              <w:left w:val="single" w:sz="4" w:space="0" w:color="auto"/>
              <w:bottom w:val="nil"/>
              <w:right w:val="nil"/>
            </w:tcBorders>
            <w:noWrap/>
            <w:vAlign w:val="bottom"/>
            <w:hideMark/>
          </w:tcPr>
          <w:p w14:paraId="6EB185AD"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rPr>
            </w:pPr>
            <w:r w:rsidRPr="00A66378">
              <w:rPr>
                <w:rFonts w:asciiTheme="minorHAnsi" w:hAnsiTheme="minorHAnsi"/>
              </w:rPr>
              <w:t>Phase 2</w:t>
            </w:r>
          </w:p>
        </w:tc>
        <w:tc>
          <w:tcPr>
            <w:tcW w:w="729" w:type="pct"/>
            <w:tcBorders>
              <w:top w:val="nil"/>
              <w:left w:val="nil"/>
              <w:bottom w:val="nil"/>
              <w:right w:val="nil"/>
            </w:tcBorders>
            <w:noWrap/>
            <w:vAlign w:val="bottom"/>
            <w:hideMark/>
          </w:tcPr>
          <w:p w14:paraId="2B6240E6"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rPr>
            </w:pPr>
            <w:r w:rsidRPr="00A66378">
              <w:rPr>
                <w:rFonts w:asciiTheme="minorHAnsi" w:hAnsiTheme="minorHAnsi"/>
              </w:rPr>
              <w:t>1er juin 2020</w:t>
            </w:r>
          </w:p>
        </w:tc>
        <w:tc>
          <w:tcPr>
            <w:tcW w:w="681" w:type="pct"/>
            <w:tcBorders>
              <w:top w:val="nil"/>
              <w:left w:val="nil"/>
              <w:bottom w:val="nil"/>
              <w:right w:val="nil"/>
            </w:tcBorders>
            <w:noWrap/>
            <w:vAlign w:val="bottom"/>
            <w:hideMark/>
          </w:tcPr>
          <w:p w14:paraId="7360858D"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rPr>
            </w:pPr>
            <w:r w:rsidRPr="00A66378">
              <w:rPr>
                <w:rFonts w:asciiTheme="minorHAnsi" w:hAnsiTheme="minorHAnsi"/>
              </w:rPr>
              <w:t>31 mai 2022</w:t>
            </w:r>
          </w:p>
        </w:tc>
        <w:tc>
          <w:tcPr>
            <w:tcW w:w="822" w:type="pct"/>
            <w:tcBorders>
              <w:top w:val="nil"/>
              <w:left w:val="nil"/>
              <w:bottom w:val="nil"/>
              <w:right w:val="nil"/>
            </w:tcBorders>
            <w:noWrap/>
            <w:vAlign w:val="bottom"/>
            <w:hideMark/>
          </w:tcPr>
          <w:p w14:paraId="58F075CC"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rPr>
            </w:pPr>
            <w:r w:rsidRPr="00A66378">
              <w:rPr>
                <w:rFonts w:asciiTheme="minorHAnsi" w:hAnsiTheme="minorHAnsi"/>
              </w:rPr>
              <w:t>24</w:t>
            </w:r>
          </w:p>
        </w:tc>
        <w:tc>
          <w:tcPr>
            <w:tcW w:w="427" w:type="pct"/>
            <w:tcBorders>
              <w:top w:val="nil"/>
              <w:left w:val="nil"/>
              <w:bottom w:val="nil"/>
              <w:right w:val="nil"/>
            </w:tcBorders>
            <w:noWrap/>
            <w:vAlign w:val="bottom"/>
            <w:hideMark/>
          </w:tcPr>
          <w:p w14:paraId="1BE3EB74"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rPr>
            </w:pPr>
            <w:r w:rsidRPr="00A66378">
              <w:rPr>
                <w:rFonts w:asciiTheme="minorHAnsi" w:hAnsiTheme="minorHAnsi"/>
              </w:rPr>
              <w:t>Biennal</w:t>
            </w:r>
          </w:p>
        </w:tc>
        <w:tc>
          <w:tcPr>
            <w:tcW w:w="1021" w:type="pct"/>
            <w:tcBorders>
              <w:top w:val="nil"/>
              <w:left w:val="nil"/>
              <w:bottom w:val="nil"/>
              <w:right w:val="nil"/>
            </w:tcBorders>
            <w:noWrap/>
            <w:vAlign w:val="bottom"/>
            <w:hideMark/>
          </w:tcPr>
          <w:p w14:paraId="11CC7A8A"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rPr>
            </w:pPr>
            <w:r w:rsidRPr="00A66378">
              <w:rPr>
                <w:rFonts w:asciiTheme="minorHAnsi" w:hAnsiTheme="minorHAnsi"/>
              </w:rPr>
              <w:t>2019</w:t>
            </w:r>
          </w:p>
        </w:tc>
        <w:tc>
          <w:tcPr>
            <w:tcW w:w="887" w:type="pct"/>
            <w:tcBorders>
              <w:top w:val="nil"/>
              <w:left w:val="nil"/>
              <w:bottom w:val="nil"/>
              <w:right w:val="single" w:sz="4" w:space="0" w:color="auto"/>
            </w:tcBorders>
            <w:noWrap/>
            <w:vAlign w:val="bottom"/>
            <w:hideMark/>
          </w:tcPr>
          <w:p w14:paraId="6C85B8DA"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rPr>
            </w:pPr>
            <w:r w:rsidRPr="00A66378">
              <w:rPr>
                <w:rFonts w:asciiTheme="minorHAnsi" w:hAnsiTheme="minorHAnsi"/>
              </w:rPr>
              <w:t>Ordinaire</w:t>
            </w:r>
          </w:p>
        </w:tc>
      </w:tr>
      <w:tr w:rsidR="004F70B8" w:rsidRPr="00A66378" w14:paraId="175F5321" w14:textId="77777777" w:rsidTr="001463E2">
        <w:trPr>
          <w:trHeight w:val="20"/>
        </w:trPr>
        <w:tc>
          <w:tcPr>
            <w:tcW w:w="432" w:type="pct"/>
            <w:tcBorders>
              <w:top w:val="nil"/>
              <w:left w:val="single" w:sz="4" w:space="0" w:color="auto"/>
              <w:bottom w:val="nil"/>
              <w:right w:val="nil"/>
            </w:tcBorders>
            <w:noWrap/>
            <w:vAlign w:val="bottom"/>
            <w:hideMark/>
          </w:tcPr>
          <w:p w14:paraId="750DB2B4"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rPr>
            </w:pPr>
            <w:r w:rsidRPr="00A66378">
              <w:rPr>
                <w:rFonts w:asciiTheme="minorHAnsi" w:hAnsiTheme="minorHAnsi"/>
              </w:rPr>
              <w:t>Phase 3</w:t>
            </w:r>
          </w:p>
        </w:tc>
        <w:tc>
          <w:tcPr>
            <w:tcW w:w="729" w:type="pct"/>
            <w:tcBorders>
              <w:top w:val="nil"/>
              <w:left w:val="nil"/>
              <w:bottom w:val="nil"/>
              <w:right w:val="nil"/>
            </w:tcBorders>
            <w:noWrap/>
            <w:vAlign w:val="bottom"/>
            <w:hideMark/>
          </w:tcPr>
          <w:p w14:paraId="298D8BD8"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rPr>
            </w:pPr>
            <w:r w:rsidRPr="00A66378">
              <w:rPr>
                <w:rFonts w:asciiTheme="minorHAnsi" w:hAnsiTheme="minorHAnsi"/>
              </w:rPr>
              <w:t>1er juin 2022</w:t>
            </w:r>
          </w:p>
        </w:tc>
        <w:tc>
          <w:tcPr>
            <w:tcW w:w="681" w:type="pct"/>
            <w:tcBorders>
              <w:top w:val="nil"/>
              <w:left w:val="nil"/>
              <w:bottom w:val="nil"/>
              <w:right w:val="nil"/>
            </w:tcBorders>
            <w:noWrap/>
            <w:vAlign w:val="bottom"/>
            <w:hideMark/>
          </w:tcPr>
          <w:p w14:paraId="363A990A"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rPr>
            </w:pPr>
            <w:r w:rsidRPr="00A66378">
              <w:rPr>
                <w:rFonts w:asciiTheme="minorHAnsi" w:hAnsiTheme="minorHAnsi"/>
              </w:rPr>
              <w:t>31 mai 2024</w:t>
            </w:r>
          </w:p>
        </w:tc>
        <w:tc>
          <w:tcPr>
            <w:tcW w:w="822" w:type="pct"/>
            <w:tcBorders>
              <w:top w:val="nil"/>
              <w:left w:val="nil"/>
              <w:bottom w:val="nil"/>
              <w:right w:val="nil"/>
            </w:tcBorders>
            <w:noWrap/>
            <w:vAlign w:val="bottom"/>
            <w:hideMark/>
          </w:tcPr>
          <w:p w14:paraId="010DD79F"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rPr>
            </w:pPr>
            <w:r w:rsidRPr="00A66378">
              <w:rPr>
                <w:rFonts w:asciiTheme="minorHAnsi" w:hAnsiTheme="minorHAnsi"/>
              </w:rPr>
              <w:t>24</w:t>
            </w:r>
          </w:p>
        </w:tc>
        <w:tc>
          <w:tcPr>
            <w:tcW w:w="427" w:type="pct"/>
            <w:tcBorders>
              <w:top w:val="nil"/>
              <w:left w:val="nil"/>
              <w:bottom w:val="nil"/>
              <w:right w:val="nil"/>
            </w:tcBorders>
            <w:noWrap/>
            <w:vAlign w:val="bottom"/>
            <w:hideMark/>
          </w:tcPr>
          <w:p w14:paraId="0B15B114"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rPr>
            </w:pPr>
            <w:r w:rsidRPr="00A66378">
              <w:rPr>
                <w:rFonts w:asciiTheme="minorHAnsi" w:hAnsiTheme="minorHAnsi"/>
              </w:rPr>
              <w:t>Biennal</w:t>
            </w:r>
          </w:p>
        </w:tc>
        <w:tc>
          <w:tcPr>
            <w:tcW w:w="1021" w:type="pct"/>
            <w:tcBorders>
              <w:top w:val="nil"/>
              <w:left w:val="nil"/>
              <w:bottom w:val="nil"/>
              <w:right w:val="nil"/>
            </w:tcBorders>
            <w:noWrap/>
            <w:vAlign w:val="bottom"/>
            <w:hideMark/>
          </w:tcPr>
          <w:p w14:paraId="5A36F63A"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rPr>
            </w:pPr>
            <w:r w:rsidRPr="00A66378">
              <w:rPr>
                <w:rFonts w:asciiTheme="minorHAnsi" w:hAnsiTheme="minorHAnsi"/>
              </w:rPr>
              <w:t>2021</w:t>
            </w:r>
          </w:p>
        </w:tc>
        <w:tc>
          <w:tcPr>
            <w:tcW w:w="887" w:type="pct"/>
            <w:tcBorders>
              <w:top w:val="nil"/>
              <w:left w:val="nil"/>
              <w:bottom w:val="nil"/>
              <w:right w:val="single" w:sz="4" w:space="0" w:color="auto"/>
            </w:tcBorders>
            <w:noWrap/>
            <w:vAlign w:val="bottom"/>
            <w:hideMark/>
          </w:tcPr>
          <w:p w14:paraId="0990E9A0"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rPr>
            </w:pPr>
            <w:r w:rsidRPr="00A66378">
              <w:rPr>
                <w:rFonts w:asciiTheme="minorHAnsi" w:hAnsiTheme="minorHAnsi"/>
              </w:rPr>
              <w:t>Ordinaire</w:t>
            </w:r>
          </w:p>
        </w:tc>
      </w:tr>
      <w:tr w:rsidR="004F70B8" w:rsidRPr="00A66378" w14:paraId="16C3EFDD" w14:textId="77777777" w:rsidTr="001463E2">
        <w:trPr>
          <w:trHeight w:val="20"/>
        </w:trPr>
        <w:tc>
          <w:tcPr>
            <w:tcW w:w="432" w:type="pct"/>
            <w:tcBorders>
              <w:top w:val="nil"/>
              <w:left w:val="single" w:sz="4" w:space="0" w:color="auto"/>
              <w:bottom w:val="nil"/>
              <w:right w:val="nil"/>
            </w:tcBorders>
            <w:noWrap/>
            <w:vAlign w:val="bottom"/>
            <w:hideMark/>
          </w:tcPr>
          <w:p w14:paraId="3F04CEB6"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rPr>
            </w:pPr>
            <w:r w:rsidRPr="00A66378">
              <w:rPr>
                <w:rFonts w:asciiTheme="minorHAnsi" w:hAnsiTheme="minorHAnsi"/>
              </w:rPr>
              <w:t>Phase 4</w:t>
            </w:r>
          </w:p>
        </w:tc>
        <w:tc>
          <w:tcPr>
            <w:tcW w:w="729" w:type="pct"/>
            <w:tcBorders>
              <w:top w:val="nil"/>
              <w:left w:val="nil"/>
              <w:bottom w:val="nil"/>
              <w:right w:val="nil"/>
            </w:tcBorders>
            <w:noWrap/>
            <w:vAlign w:val="bottom"/>
            <w:hideMark/>
          </w:tcPr>
          <w:p w14:paraId="367AFF06"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rPr>
            </w:pPr>
            <w:r w:rsidRPr="00A66378">
              <w:rPr>
                <w:rFonts w:asciiTheme="minorHAnsi" w:hAnsiTheme="minorHAnsi"/>
              </w:rPr>
              <w:t>1er juin 2024</w:t>
            </w:r>
          </w:p>
        </w:tc>
        <w:tc>
          <w:tcPr>
            <w:tcW w:w="681" w:type="pct"/>
            <w:tcBorders>
              <w:top w:val="nil"/>
              <w:left w:val="nil"/>
              <w:bottom w:val="nil"/>
              <w:right w:val="nil"/>
            </w:tcBorders>
            <w:noWrap/>
            <w:vAlign w:val="bottom"/>
            <w:hideMark/>
          </w:tcPr>
          <w:p w14:paraId="27965A07"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rPr>
            </w:pPr>
            <w:r w:rsidRPr="00A66378">
              <w:rPr>
                <w:rFonts w:asciiTheme="minorHAnsi" w:hAnsiTheme="minorHAnsi"/>
              </w:rPr>
              <w:t>31 mai 2026</w:t>
            </w:r>
          </w:p>
        </w:tc>
        <w:tc>
          <w:tcPr>
            <w:tcW w:w="822" w:type="pct"/>
            <w:tcBorders>
              <w:top w:val="nil"/>
              <w:left w:val="nil"/>
              <w:bottom w:val="nil"/>
              <w:right w:val="nil"/>
            </w:tcBorders>
            <w:noWrap/>
            <w:vAlign w:val="bottom"/>
            <w:hideMark/>
          </w:tcPr>
          <w:p w14:paraId="4E089802"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rPr>
            </w:pPr>
            <w:r w:rsidRPr="00A66378">
              <w:rPr>
                <w:rFonts w:asciiTheme="minorHAnsi" w:hAnsiTheme="minorHAnsi"/>
              </w:rPr>
              <w:t>24</w:t>
            </w:r>
          </w:p>
        </w:tc>
        <w:tc>
          <w:tcPr>
            <w:tcW w:w="427" w:type="pct"/>
            <w:tcBorders>
              <w:top w:val="nil"/>
              <w:left w:val="nil"/>
              <w:bottom w:val="nil"/>
              <w:right w:val="nil"/>
            </w:tcBorders>
            <w:noWrap/>
            <w:vAlign w:val="bottom"/>
            <w:hideMark/>
          </w:tcPr>
          <w:p w14:paraId="3ABC59EC"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rPr>
            </w:pPr>
            <w:r w:rsidRPr="00A66378">
              <w:rPr>
                <w:rFonts w:asciiTheme="minorHAnsi" w:hAnsiTheme="minorHAnsi"/>
              </w:rPr>
              <w:t>Biennal</w:t>
            </w:r>
          </w:p>
        </w:tc>
        <w:tc>
          <w:tcPr>
            <w:tcW w:w="1021" w:type="pct"/>
            <w:tcBorders>
              <w:top w:val="nil"/>
              <w:left w:val="nil"/>
              <w:bottom w:val="nil"/>
              <w:right w:val="nil"/>
            </w:tcBorders>
            <w:noWrap/>
            <w:vAlign w:val="bottom"/>
            <w:hideMark/>
          </w:tcPr>
          <w:p w14:paraId="66D27A5D"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rPr>
            </w:pPr>
            <w:r w:rsidRPr="00A66378">
              <w:rPr>
                <w:rFonts w:asciiTheme="minorHAnsi" w:hAnsiTheme="minorHAnsi"/>
              </w:rPr>
              <w:t>2023</w:t>
            </w:r>
          </w:p>
        </w:tc>
        <w:tc>
          <w:tcPr>
            <w:tcW w:w="887" w:type="pct"/>
            <w:tcBorders>
              <w:top w:val="nil"/>
              <w:left w:val="nil"/>
              <w:bottom w:val="nil"/>
              <w:right w:val="single" w:sz="4" w:space="0" w:color="auto"/>
            </w:tcBorders>
            <w:noWrap/>
            <w:vAlign w:val="bottom"/>
            <w:hideMark/>
          </w:tcPr>
          <w:p w14:paraId="33AD3480"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rPr>
            </w:pPr>
            <w:r w:rsidRPr="00A66378">
              <w:rPr>
                <w:rFonts w:asciiTheme="minorHAnsi" w:hAnsiTheme="minorHAnsi"/>
              </w:rPr>
              <w:t>Ordinaire</w:t>
            </w:r>
          </w:p>
        </w:tc>
      </w:tr>
      <w:tr w:rsidR="004F70B8" w:rsidRPr="00A66378" w14:paraId="3AF8FFA3" w14:textId="77777777" w:rsidTr="001463E2">
        <w:trPr>
          <w:trHeight w:val="20"/>
        </w:trPr>
        <w:tc>
          <w:tcPr>
            <w:tcW w:w="432" w:type="pct"/>
            <w:tcBorders>
              <w:top w:val="nil"/>
              <w:left w:val="single" w:sz="4" w:space="0" w:color="auto"/>
              <w:bottom w:val="single" w:sz="4" w:space="0" w:color="auto"/>
              <w:right w:val="nil"/>
            </w:tcBorders>
            <w:noWrap/>
            <w:vAlign w:val="bottom"/>
            <w:hideMark/>
          </w:tcPr>
          <w:p w14:paraId="75D5B132"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Calibri"/>
              </w:rPr>
            </w:pPr>
            <w:r w:rsidRPr="00A66378">
              <w:rPr>
                <w:rFonts w:asciiTheme="minorHAnsi" w:hAnsiTheme="minorHAnsi"/>
              </w:rPr>
              <w:t>Phase 5</w:t>
            </w:r>
          </w:p>
        </w:tc>
        <w:tc>
          <w:tcPr>
            <w:tcW w:w="729" w:type="pct"/>
            <w:tcBorders>
              <w:top w:val="nil"/>
              <w:left w:val="nil"/>
              <w:bottom w:val="single" w:sz="4" w:space="0" w:color="auto"/>
              <w:right w:val="nil"/>
            </w:tcBorders>
            <w:noWrap/>
            <w:vAlign w:val="bottom"/>
            <w:hideMark/>
          </w:tcPr>
          <w:p w14:paraId="21FBC90C"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rPr>
            </w:pPr>
            <w:r w:rsidRPr="00A66378">
              <w:rPr>
                <w:rFonts w:asciiTheme="minorHAnsi" w:hAnsiTheme="minorHAnsi"/>
              </w:rPr>
              <w:t>1er juin 2026</w:t>
            </w:r>
          </w:p>
        </w:tc>
        <w:tc>
          <w:tcPr>
            <w:tcW w:w="681" w:type="pct"/>
            <w:tcBorders>
              <w:top w:val="nil"/>
              <w:left w:val="nil"/>
              <w:bottom w:val="single" w:sz="4" w:space="0" w:color="auto"/>
              <w:right w:val="nil"/>
            </w:tcBorders>
            <w:noWrap/>
            <w:vAlign w:val="bottom"/>
            <w:hideMark/>
          </w:tcPr>
          <w:p w14:paraId="535C8AD4"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eastAsia="Times New Roman" w:hAnsiTheme="minorHAnsi" w:cs="Calibri"/>
              </w:rPr>
            </w:pPr>
            <w:r w:rsidRPr="00A66378">
              <w:rPr>
                <w:rFonts w:asciiTheme="minorHAnsi" w:hAnsiTheme="minorHAnsi"/>
              </w:rPr>
              <w:t>31 mai 2028</w:t>
            </w:r>
          </w:p>
        </w:tc>
        <w:tc>
          <w:tcPr>
            <w:tcW w:w="822" w:type="pct"/>
            <w:tcBorders>
              <w:top w:val="nil"/>
              <w:left w:val="nil"/>
              <w:bottom w:val="single" w:sz="4" w:space="0" w:color="auto"/>
              <w:right w:val="nil"/>
            </w:tcBorders>
            <w:noWrap/>
            <w:vAlign w:val="bottom"/>
            <w:hideMark/>
          </w:tcPr>
          <w:p w14:paraId="2046CD12"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rPr>
            </w:pPr>
            <w:r w:rsidRPr="00A66378">
              <w:rPr>
                <w:rFonts w:asciiTheme="minorHAnsi" w:hAnsiTheme="minorHAnsi"/>
              </w:rPr>
              <w:t>24</w:t>
            </w:r>
          </w:p>
        </w:tc>
        <w:tc>
          <w:tcPr>
            <w:tcW w:w="427" w:type="pct"/>
            <w:tcBorders>
              <w:top w:val="nil"/>
              <w:left w:val="nil"/>
              <w:bottom w:val="single" w:sz="4" w:space="0" w:color="auto"/>
              <w:right w:val="nil"/>
            </w:tcBorders>
            <w:noWrap/>
            <w:vAlign w:val="bottom"/>
            <w:hideMark/>
          </w:tcPr>
          <w:p w14:paraId="5735EE26"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rPr>
            </w:pPr>
            <w:r w:rsidRPr="00A66378">
              <w:rPr>
                <w:rFonts w:asciiTheme="minorHAnsi" w:hAnsiTheme="minorHAnsi"/>
              </w:rPr>
              <w:t>Biennal</w:t>
            </w:r>
          </w:p>
        </w:tc>
        <w:tc>
          <w:tcPr>
            <w:tcW w:w="1021" w:type="pct"/>
            <w:tcBorders>
              <w:top w:val="nil"/>
              <w:left w:val="nil"/>
              <w:bottom w:val="single" w:sz="4" w:space="0" w:color="auto"/>
              <w:right w:val="nil"/>
            </w:tcBorders>
            <w:noWrap/>
            <w:vAlign w:val="bottom"/>
            <w:hideMark/>
          </w:tcPr>
          <w:p w14:paraId="4AFE1400"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rPr>
            </w:pPr>
            <w:r w:rsidRPr="00A66378">
              <w:rPr>
                <w:rFonts w:asciiTheme="minorHAnsi" w:hAnsiTheme="minorHAnsi"/>
              </w:rPr>
              <w:t>2025</w:t>
            </w:r>
          </w:p>
        </w:tc>
        <w:tc>
          <w:tcPr>
            <w:tcW w:w="887" w:type="pct"/>
            <w:tcBorders>
              <w:top w:val="nil"/>
              <w:left w:val="nil"/>
              <w:bottom w:val="single" w:sz="4" w:space="0" w:color="auto"/>
              <w:right w:val="single" w:sz="4" w:space="0" w:color="auto"/>
            </w:tcBorders>
            <w:noWrap/>
            <w:vAlign w:val="bottom"/>
            <w:hideMark/>
          </w:tcPr>
          <w:p w14:paraId="105228EF" w14:textId="77777777" w:rsidR="004F70B8" w:rsidRPr="00A66378" w:rsidRDefault="004F70B8"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eastAsia="Times New Roman" w:hAnsiTheme="minorHAnsi" w:cs="Calibri"/>
              </w:rPr>
            </w:pPr>
            <w:r w:rsidRPr="00A66378">
              <w:rPr>
                <w:rFonts w:asciiTheme="minorHAnsi" w:hAnsiTheme="minorHAnsi"/>
              </w:rPr>
              <w:t>Ordinaire</w:t>
            </w:r>
          </w:p>
        </w:tc>
      </w:tr>
    </w:tbl>
    <w:p w14:paraId="5E821DB7" w14:textId="77777777" w:rsidR="004F70B8" w:rsidRPr="00A66378" w:rsidRDefault="004F70B8" w:rsidP="00A66378">
      <w:pPr>
        <w:pStyle w:val="NoSpacing"/>
        <w:rPr>
          <w:rFonts w:asciiTheme="minorHAnsi" w:hAnsiTheme="minorHAnsi"/>
          <w:sz w:val="20"/>
          <w:szCs w:val="20"/>
        </w:rPr>
      </w:pPr>
    </w:p>
    <w:p w14:paraId="0BC8744A" w14:textId="77777777" w:rsidR="00407293" w:rsidRPr="00A66378" w:rsidRDefault="00407293" w:rsidP="00A66378">
      <w:pPr>
        <w:rPr>
          <w:rFonts w:asciiTheme="minorHAnsi" w:hAnsiTheme="minorHAnsi"/>
        </w:rPr>
      </w:pPr>
    </w:p>
    <w:p w14:paraId="28240309" w14:textId="77777777" w:rsidR="00407293" w:rsidRPr="00A66378" w:rsidRDefault="00407293" w:rsidP="00A66378">
      <w:pPr>
        <w:rPr>
          <w:rFonts w:asciiTheme="minorHAnsi" w:hAnsiTheme="minorHAnsi"/>
        </w:rPr>
        <w:sectPr w:rsidR="00407293" w:rsidRPr="00A66378" w:rsidSect="006A3C9C">
          <w:pgSz w:w="16840" w:h="11907" w:orient="landscape" w:code="9"/>
          <w:pgMar w:top="1418" w:right="1418" w:bottom="1418" w:left="1418" w:header="851" w:footer="1134" w:gutter="0"/>
          <w:cols w:space="720"/>
        </w:sectPr>
      </w:pPr>
    </w:p>
    <w:p w14:paraId="2F768F2E" w14:textId="77777777" w:rsidR="007876F1" w:rsidRPr="00A66378" w:rsidRDefault="007876F1"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hAnsiTheme="minorHAnsi"/>
          <w:b/>
          <w:color w:val="auto"/>
        </w:rPr>
      </w:pPr>
      <w:r w:rsidRPr="00A66378">
        <w:rPr>
          <w:rFonts w:asciiTheme="minorHAnsi" w:hAnsiTheme="minorHAnsi"/>
          <w:b/>
          <w:color w:val="auto"/>
        </w:rPr>
        <w:lastRenderedPageBreak/>
        <w:t>Appendice 1</w:t>
      </w:r>
    </w:p>
    <w:p w14:paraId="725FA9D4" w14:textId="77777777" w:rsidR="007876F1" w:rsidRPr="00A66378" w:rsidRDefault="007876F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hAnsiTheme="minorHAnsi"/>
          <w:b/>
          <w:bCs/>
          <w:color w:val="auto"/>
        </w:rPr>
      </w:pPr>
    </w:p>
    <w:p w14:paraId="5B032D37" w14:textId="3AD2EC75" w:rsidR="007876F1" w:rsidRPr="00A66378" w:rsidRDefault="007876F1" w:rsidP="00A66378">
      <w:pPr>
        <w:pBdr>
          <w:top w:val="none" w:sz="0" w:space="0" w:color="auto"/>
          <w:left w:val="none" w:sz="0" w:space="0" w:color="auto"/>
          <w:bottom w:val="none" w:sz="0" w:space="0" w:color="auto"/>
          <w:right w:val="none" w:sz="0" w:space="0" w:color="auto"/>
          <w:between w:val="none" w:sz="0" w:space="0" w:color="auto"/>
        </w:pBdr>
        <w:jc w:val="center"/>
        <w:rPr>
          <w:rFonts w:asciiTheme="minorHAnsi" w:hAnsiTheme="minorHAnsi"/>
          <w:b/>
          <w:bCs/>
          <w:color w:val="auto"/>
        </w:rPr>
      </w:pPr>
      <w:r w:rsidRPr="00A66378">
        <w:rPr>
          <w:rFonts w:asciiTheme="minorHAnsi" w:hAnsiTheme="minorHAnsi"/>
          <w:b/>
          <w:bCs/>
          <w:color w:val="auto"/>
        </w:rPr>
        <w:t>Ordre du jour</w:t>
      </w:r>
      <w:r w:rsidRPr="00A66378">
        <w:rPr>
          <w:rFonts w:asciiTheme="minorHAnsi" w:hAnsiTheme="minorHAnsi"/>
          <w:color w:val="auto"/>
        </w:rPr>
        <w:t xml:space="preserve"> </w:t>
      </w:r>
    </w:p>
    <w:p w14:paraId="148EDD42" w14:textId="77777777" w:rsidR="0016536E" w:rsidRPr="00A66378" w:rsidRDefault="0016536E" w:rsidP="00A66378">
      <w:pPr>
        <w:rPr>
          <w:rFonts w:asciiTheme="minorHAnsi" w:hAnsiTheme="minorHAnsi"/>
        </w:rPr>
      </w:pPr>
    </w:p>
    <w:p w14:paraId="066533FF" w14:textId="77777777" w:rsidR="007876F1" w:rsidRPr="00A66378" w:rsidRDefault="007876F1" w:rsidP="00A66378">
      <w:pPr>
        <w:rPr>
          <w:rFonts w:asciiTheme="minorHAnsi" w:hAnsiTheme="minorHAnsi"/>
        </w:rPr>
      </w:pPr>
    </w:p>
    <w:p w14:paraId="517DB00C" w14:textId="77777777" w:rsidR="00F50640" w:rsidRPr="00CC51ED" w:rsidRDefault="00F50640" w:rsidP="00F50640">
      <w:pPr>
        <w:widowControl w:val="0"/>
        <w:numPr>
          <w:ilvl w:val="0"/>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hanging="477"/>
        <w:jc w:val="left"/>
        <w:rPr>
          <w:rFonts w:eastAsia="Times New Roman" w:cs="Times New Roman"/>
          <w:bCs/>
          <w:iCs/>
        </w:rPr>
      </w:pPr>
      <w:r w:rsidRPr="00CC51ED">
        <w:rPr>
          <w:rFonts w:eastAsia="Times New Roman" w:cs="Times New Roman"/>
          <w:bCs/>
          <w:iCs/>
        </w:rPr>
        <w:t>Ouverture de la réunion</w:t>
      </w:r>
    </w:p>
    <w:p w14:paraId="5DD78D6E" w14:textId="77777777" w:rsidR="00F50640" w:rsidRPr="00CC51ED" w:rsidRDefault="00F50640" w:rsidP="00F50640">
      <w:pPr>
        <w:widowControl w:val="0"/>
        <w:numPr>
          <w:ilvl w:val="0"/>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hanging="477"/>
        <w:jc w:val="left"/>
        <w:rPr>
          <w:rFonts w:eastAsia="Times New Roman" w:cs="Times New Roman"/>
          <w:bCs/>
          <w:iCs/>
        </w:rPr>
      </w:pPr>
      <w:r w:rsidRPr="00CC51ED">
        <w:rPr>
          <w:rFonts w:eastAsia="Times New Roman" w:cs="Times New Roman"/>
          <w:bCs/>
          <w:iCs/>
        </w:rPr>
        <w:t>Désignation du rapporteur</w:t>
      </w:r>
    </w:p>
    <w:p w14:paraId="3159A355" w14:textId="77777777" w:rsidR="00F50640" w:rsidRPr="00CC51ED" w:rsidRDefault="00F50640" w:rsidP="00F50640">
      <w:pPr>
        <w:widowControl w:val="0"/>
        <w:numPr>
          <w:ilvl w:val="0"/>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hanging="477"/>
        <w:jc w:val="left"/>
        <w:rPr>
          <w:rFonts w:eastAsia="Times New Roman" w:cs="Times New Roman"/>
          <w:bCs/>
          <w:iCs/>
        </w:rPr>
      </w:pPr>
      <w:r w:rsidRPr="00CC51ED">
        <w:rPr>
          <w:rFonts w:eastAsia="Times New Roman" w:cs="Times New Roman"/>
          <w:bCs/>
          <w:iCs/>
        </w:rPr>
        <w:t>Adoption de l’ordre du jour et organisation des sessions</w:t>
      </w:r>
    </w:p>
    <w:p w14:paraId="56DBBCB5" w14:textId="77777777" w:rsidR="00F50640" w:rsidRPr="00CC51ED" w:rsidRDefault="00F50640" w:rsidP="00F50640">
      <w:pPr>
        <w:widowControl w:val="0"/>
        <w:numPr>
          <w:ilvl w:val="0"/>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hanging="477"/>
        <w:jc w:val="left"/>
        <w:rPr>
          <w:rFonts w:eastAsia="Times New Roman" w:cs="Times New Roman"/>
          <w:bCs/>
          <w:iCs/>
        </w:rPr>
      </w:pPr>
      <w:r w:rsidRPr="00CC51ED">
        <w:rPr>
          <w:rFonts w:eastAsia="Times New Roman" w:cs="Times New Roman"/>
          <w:bCs/>
          <w:iCs/>
        </w:rPr>
        <w:t>Examen de la réglementation de l'ICCAT ayant des implications sur le mandat du Groupe de travail</w:t>
      </w:r>
    </w:p>
    <w:p w14:paraId="46E35ADF" w14:textId="77777777" w:rsidR="00F50640" w:rsidRPr="00CC51ED" w:rsidRDefault="00F50640" w:rsidP="00F50640">
      <w:pPr>
        <w:widowControl w:val="0"/>
        <w:numPr>
          <w:ilvl w:val="0"/>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hanging="477"/>
        <w:jc w:val="left"/>
        <w:rPr>
          <w:rFonts w:eastAsia="Times New Roman" w:cs="Times New Roman"/>
          <w:bCs/>
          <w:iCs/>
        </w:rPr>
      </w:pPr>
      <w:r w:rsidRPr="00CC51ED">
        <w:rPr>
          <w:rFonts w:eastAsia="Times New Roman" w:cs="Times New Roman"/>
          <w:bCs/>
          <w:iCs/>
        </w:rPr>
        <w:t>État d'avancement du Système intégré de gestion en ligne (IOMS)</w:t>
      </w:r>
    </w:p>
    <w:p w14:paraId="1B22052A" w14:textId="77777777" w:rsidR="00F50640" w:rsidRPr="00CC51ED" w:rsidRDefault="00F50640" w:rsidP="00F50640">
      <w:pPr>
        <w:widowControl w:val="0"/>
        <w:numPr>
          <w:ilvl w:val="1"/>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left="851" w:hanging="425"/>
        <w:jc w:val="left"/>
        <w:rPr>
          <w:rFonts w:eastAsia="Times New Roman" w:cs="Times New Roman"/>
          <w:bCs/>
          <w:iCs/>
        </w:rPr>
      </w:pPr>
      <w:r w:rsidRPr="00CC51ED">
        <w:rPr>
          <w:rFonts w:eastAsia="Times New Roman" w:cs="Times New Roman"/>
          <w:bCs/>
          <w:iCs/>
        </w:rPr>
        <w:t>Examen de la situation actuelle et des progrès réalisés en 2025</w:t>
      </w:r>
    </w:p>
    <w:p w14:paraId="032CE22C" w14:textId="77777777" w:rsidR="00F50640" w:rsidRPr="00CC51ED" w:rsidRDefault="00F50640" w:rsidP="00F50640">
      <w:pPr>
        <w:widowControl w:val="0"/>
        <w:numPr>
          <w:ilvl w:val="2"/>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left="1276" w:hanging="425"/>
        <w:jc w:val="left"/>
        <w:rPr>
          <w:rFonts w:eastAsia="Times New Roman" w:cs="Times New Roman"/>
          <w:bCs/>
          <w:iCs/>
        </w:rPr>
      </w:pPr>
      <w:r w:rsidRPr="00CC51ED">
        <w:rPr>
          <w:rFonts w:eastAsia="Times New Roman" w:cs="Times New Roman"/>
          <w:bCs/>
          <w:iCs/>
        </w:rPr>
        <w:t>Gestionnaire de formulaires</w:t>
      </w:r>
    </w:p>
    <w:p w14:paraId="6BED5127" w14:textId="77777777" w:rsidR="00F50640" w:rsidRPr="00CC51ED" w:rsidRDefault="00F50640" w:rsidP="00F50640">
      <w:pPr>
        <w:widowControl w:val="0"/>
        <w:numPr>
          <w:ilvl w:val="2"/>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left="1276" w:hanging="425"/>
        <w:jc w:val="left"/>
        <w:rPr>
          <w:rFonts w:eastAsia="Times New Roman" w:cs="Times New Roman"/>
          <w:bCs/>
          <w:iCs/>
        </w:rPr>
      </w:pPr>
      <w:r w:rsidRPr="00CC51ED">
        <w:rPr>
          <w:rFonts w:eastAsia="Times New Roman" w:cs="Times New Roman"/>
          <w:bCs/>
          <w:iCs/>
        </w:rPr>
        <w:t>Gestionnaire de navires (y compris FLUX)</w:t>
      </w:r>
    </w:p>
    <w:p w14:paraId="0A4F3498" w14:textId="77777777" w:rsidR="00F50640" w:rsidRPr="00CC51ED" w:rsidRDefault="00F50640" w:rsidP="00F50640">
      <w:pPr>
        <w:widowControl w:val="0"/>
        <w:numPr>
          <w:ilvl w:val="2"/>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left="1276" w:hanging="425"/>
        <w:jc w:val="left"/>
        <w:rPr>
          <w:rFonts w:eastAsia="Times New Roman" w:cs="Times New Roman"/>
          <w:bCs/>
          <w:iCs/>
        </w:rPr>
      </w:pPr>
      <w:r w:rsidRPr="00CC51ED">
        <w:rPr>
          <w:rFonts w:eastAsia="Times New Roman" w:cs="Times New Roman"/>
          <w:bCs/>
          <w:iCs/>
        </w:rPr>
        <w:t>Gestionnaire de ports</w:t>
      </w:r>
    </w:p>
    <w:p w14:paraId="1BA15328" w14:textId="77777777" w:rsidR="00F50640" w:rsidRPr="00CC51ED" w:rsidRDefault="00F50640" w:rsidP="00F50640">
      <w:pPr>
        <w:widowControl w:val="0"/>
        <w:numPr>
          <w:ilvl w:val="2"/>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left="1276" w:hanging="425"/>
        <w:jc w:val="left"/>
        <w:rPr>
          <w:rFonts w:eastAsia="Times New Roman" w:cs="Times New Roman"/>
          <w:bCs/>
          <w:iCs/>
        </w:rPr>
      </w:pPr>
      <w:r w:rsidRPr="00CC51ED">
        <w:rPr>
          <w:rFonts w:eastAsia="Times New Roman" w:cs="Times New Roman"/>
          <w:bCs/>
          <w:iCs/>
        </w:rPr>
        <w:t>Module des prises nominales de la tâche 1/ des tableaux d'application</w:t>
      </w:r>
    </w:p>
    <w:p w14:paraId="16FFF841" w14:textId="77777777" w:rsidR="00F50640" w:rsidRPr="00CC51ED" w:rsidRDefault="00F50640" w:rsidP="00F50640">
      <w:pPr>
        <w:widowControl w:val="0"/>
        <w:numPr>
          <w:ilvl w:val="2"/>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left="1276" w:hanging="425"/>
        <w:jc w:val="left"/>
        <w:rPr>
          <w:rFonts w:eastAsia="Times New Roman" w:cs="Times New Roman"/>
          <w:bCs/>
          <w:iCs/>
        </w:rPr>
      </w:pPr>
      <w:r w:rsidRPr="00CC51ED">
        <w:rPr>
          <w:rFonts w:eastAsia="Times New Roman" w:cs="Times New Roman"/>
          <w:bCs/>
          <w:iCs/>
        </w:rPr>
        <w:t>Feuilles de contrôle pour les requins et les istiophoridés</w:t>
      </w:r>
    </w:p>
    <w:p w14:paraId="74E39D77" w14:textId="77777777" w:rsidR="00F50640" w:rsidRPr="00CC51ED" w:rsidRDefault="00F50640" w:rsidP="00F50640">
      <w:pPr>
        <w:widowControl w:val="0"/>
        <w:numPr>
          <w:ilvl w:val="2"/>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left="1276" w:hanging="425"/>
        <w:jc w:val="left"/>
        <w:rPr>
          <w:rFonts w:eastAsia="Times New Roman" w:cs="Times New Roman"/>
          <w:bCs/>
          <w:iCs/>
        </w:rPr>
      </w:pPr>
      <w:r w:rsidRPr="00CC51ED">
        <w:rPr>
          <w:rFonts w:eastAsia="Times New Roman" w:cs="Times New Roman"/>
          <w:bCs/>
          <w:iCs/>
        </w:rPr>
        <w:t>Améliorations apportées à l'architecture IOMS</w:t>
      </w:r>
    </w:p>
    <w:p w14:paraId="5B1CE5D9" w14:textId="77777777" w:rsidR="00F50640" w:rsidRPr="00CC51ED" w:rsidRDefault="00F50640" w:rsidP="00F50640">
      <w:pPr>
        <w:widowControl w:val="0"/>
        <w:numPr>
          <w:ilvl w:val="1"/>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left="851" w:hanging="425"/>
        <w:jc w:val="left"/>
        <w:rPr>
          <w:rFonts w:eastAsia="Times New Roman" w:cs="Times New Roman"/>
          <w:bCs/>
          <w:iCs/>
        </w:rPr>
      </w:pPr>
      <w:r w:rsidRPr="00CC51ED">
        <w:rPr>
          <w:rFonts w:eastAsia="Times New Roman" w:cs="Times New Roman"/>
          <w:bCs/>
          <w:iCs/>
        </w:rPr>
        <w:t>Améliorations potentielles</w:t>
      </w:r>
    </w:p>
    <w:p w14:paraId="7EAAAD57" w14:textId="77777777" w:rsidR="00F50640" w:rsidRPr="00CC51ED" w:rsidRDefault="00F50640" w:rsidP="00F50640">
      <w:pPr>
        <w:widowControl w:val="0"/>
        <w:numPr>
          <w:ilvl w:val="1"/>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left="851" w:hanging="425"/>
        <w:jc w:val="left"/>
        <w:rPr>
          <w:rFonts w:eastAsia="Times New Roman" w:cs="Times New Roman"/>
          <w:bCs/>
          <w:iCs/>
        </w:rPr>
      </w:pPr>
      <w:r w:rsidRPr="00CC51ED">
        <w:rPr>
          <w:rFonts w:eastAsia="Times New Roman" w:cs="Times New Roman"/>
          <w:bCs/>
          <w:iCs/>
        </w:rPr>
        <w:t>Examen des nouvelles exigences en matière de données adoptées par la Commission en 2025</w:t>
      </w:r>
    </w:p>
    <w:p w14:paraId="74C8D7F1" w14:textId="77777777" w:rsidR="00F50640" w:rsidRPr="00CC51ED" w:rsidRDefault="00F50640" w:rsidP="00F50640">
      <w:pPr>
        <w:widowControl w:val="0"/>
        <w:numPr>
          <w:ilvl w:val="0"/>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hanging="477"/>
        <w:jc w:val="left"/>
        <w:rPr>
          <w:rFonts w:eastAsia="Times New Roman" w:cs="Times New Roman"/>
          <w:bCs/>
          <w:iCs/>
        </w:rPr>
      </w:pPr>
      <w:r w:rsidRPr="00CC51ED">
        <w:rPr>
          <w:rFonts w:eastAsia="Times New Roman" w:cs="Times New Roman"/>
          <w:bCs/>
          <w:iCs/>
        </w:rPr>
        <w:t>Travail intersessions réalisé en 2025</w:t>
      </w:r>
    </w:p>
    <w:p w14:paraId="581123C6" w14:textId="77777777" w:rsidR="00F50640" w:rsidRPr="00CC51ED" w:rsidRDefault="00F50640" w:rsidP="00F50640">
      <w:pPr>
        <w:widowControl w:val="0"/>
        <w:numPr>
          <w:ilvl w:val="0"/>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hanging="477"/>
        <w:jc w:val="left"/>
        <w:rPr>
          <w:rFonts w:eastAsia="Times New Roman" w:cs="Times New Roman"/>
          <w:bCs/>
          <w:iCs/>
        </w:rPr>
      </w:pPr>
      <w:r w:rsidRPr="00CC51ED">
        <w:rPr>
          <w:rFonts w:eastAsia="Times New Roman" w:cs="Times New Roman"/>
          <w:bCs/>
          <w:iCs/>
        </w:rPr>
        <w:t>Mise à jour sur l'état d'avancement des projets complémentaires de l'IOMS</w:t>
      </w:r>
    </w:p>
    <w:p w14:paraId="24963A13" w14:textId="77777777" w:rsidR="00F50640" w:rsidRPr="00CC51ED" w:rsidRDefault="00F50640" w:rsidP="00F50640">
      <w:pPr>
        <w:widowControl w:val="0"/>
        <w:numPr>
          <w:ilvl w:val="1"/>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left="851" w:hanging="425"/>
        <w:jc w:val="left"/>
        <w:rPr>
          <w:rFonts w:eastAsia="Times New Roman" w:cs="Times New Roman"/>
          <w:bCs/>
          <w:iCs/>
        </w:rPr>
      </w:pPr>
      <w:r w:rsidRPr="00CC51ED">
        <w:rPr>
          <w:rFonts w:eastAsia="Times New Roman" w:cs="Times New Roman"/>
          <w:bCs/>
          <w:iCs/>
        </w:rPr>
        <w:t>Subventions de l'Union européenne liées à l'IOMS (2025-2026)</w:t>
      </w:r>
    </w:p>
    <w:p w14:paraId="323EA7E5" w14:textId="77777777" w:rsidR="00F50640" w:rsidRPr="00CC51ED" w:rsidRDefault="00F50640" w:rsidP="00F50640">
      <w:pPr>
        <w:widowControl w:val="0"/>
        <w:numPr>
          <w:ilvl w:val="1"/>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left="851" w:hanging="425"/>
        <w:jc w:val="left"/>
        <w:rPr>
          <w:rFonts w:eastAsia="Times New Roman" w:cs="Times New Roman"/>
          <w:bCs/>
          <w:iCs/>
        </w:rPr>
      </w:pPr>
      <w:r w:rsidRPr="00CC51ED">
        <w:rPr>
          <w:rFonts w:eastAsia="Times New Roman" w:cs="Times New Roman"/>
          <w:bCs/>
          <w:iCs/>
        </w:rPr>
        <w:t>Projet GEF-ABNJ II concernant l'IOMS (2024-2027)</w:t>
      </w:r>
    </w:p>
    <w:p w14:paraId="28BBD07D" w14:textId="77777777" w:rsidR="00F50640" w:rsidRPr="00CC51ED" w:rsidRDefault="00F50640" w:rsidP="00F50640">
      <w:pPr>
        <w:widowControl w:val="0"/>
        <w:numPr>
          <w:ilvl w:val="0"/>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hanging="477"/>
        <w:jc w:val="left"/>
        <w:rPr>
          <w:rFonts w:eastAsia="Times New Roman" w:cs="Times New Roman"/>
          <w:bCs/>
          <w:iCs/>
        </w:rPr>
      </w:pPr>
      <w:r w:rsidRPr="00CC51ED">
        <w:rPr>
          <w:rFonts w:eastAsia="Times New Roman" w:cs="Times New Roman"/>
          <w:bCs/>
          <w:iCs/>
        </w:rPr>
        <w:t>Activités en vue d'un projet pilote de traduction partielle des rapports annuels</w:t>
      </w:r>
    </w:p>
    <w:p w14:paraId="483A0C26" w14:textId="77777777" w:rsidR="00F50640" w:rsidRPr="00CC51ED" w:rsidRDefault="00F50640" w:rsidP="00F50640">
      <w:pPr>
        <w:widowControl w:val="0"/>
        <w:numPr>
          <w:ilvl w:val="0"/>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hanging="477"/>
        <w:jc w:val="left"/>
        <w:rPr>
          <w:rFonts w:eastAsia="Times New Roman" w:cs="Times New Roman"/>
          <w:bCs/>
          <w:iCs/>
        </w:rPr>
      </w:pPr>
      <w:r w:rsidRPr="00CC51ED">
        <w:rPr>
          <w:rFonts w:eastAsia="Times New Roman" w:cs="Times New Roman"/>
          <w:bCs/>
          <w:iCs/>
        </w:rPr>
        <w:t>Planification des sessions de formation des utilisateurs de l'IOMS de 2026</w:t>
      </w:r>
    </w:p>
    <w:p w14:paraId="75F0E53E" w14:textId="77777777" w:rsidR="00F50640" w:rsidRPr="00CC51ED" w:rsidRDefault="00F50640" w:rsidP="00F50640">
      <w:pPr>
        <w:widowControl w:val="0"/>
        <w:numPr>
          <w:ilvl w:val="0"/>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hanging="477"/>
        <w:jc w:val="left"/>
        <w:rPr>
          <w:rFonts w:eastAsia="Times New Roman" w:cs="Times New Roman"/>
          <w:bCs/>
          <w:iCs/>
        </w:rPr>
      </w:pPr>
      <w:r w:rsidRPr="00CC51ED">
        <w:rPr>
          <w:rFonts w:eastAsia="Times New Roman" w:cs="Times New Roman"/>
          <w:bCs/>
          <w:iCs/>
        </w:rPr>
        <w:t>Examen des activités des groupes de travail ad hoc du WG-ORT</w:t>
      </w:r>
    </w:p>
    <w:p w14:paraId="35977AC1" w14:textId="77777777" w:rsidR="00F50640" w:rsidRPr="00CC51ED" w:rsidRDefault="00F50640" w:rsidP="00F50640">
      <w:pPr>
        <w:widowControl w:val="0"/>
        <w:numPr>
          <w:ilvl w:val="1"/>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left="851" w:hanging="425"/>
        <w:jc w:val="left"/>
        <w:rPr>
          <w:rFonts w:eastAsia="Times New Roman" w:cs="Times New Roman"/>
          <w:bCs/>
          <w:iCs/>
        </w:rPr>
      </w:pPr>
      <w:r w:rsidRPr="00CC51ED">
        <w:rPr>
          <w:rFonts w:eastAsia="Times New Roman" w:cs="Times New Roman"/>
          <w:bCs/>
          <w:iCs/>
        </w:rPr>
        <w:t>Suppression des redondances</w:t>
      </w:r>
    </w:p>
    <w:p w14:paraId="0F4D0214" w14:textId="77777777" w:rsidR="00F50640" w:rsidRPr="00CC51ED" w:rsidRDefault="00F50640" w:rsidP="00F50640">
      <w:pPr>
        <w:widowControl w:val="0"/>
        <w:numPr>
          <w:ilvl w:val="1"/>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left="851" w:hanging="425"/>
        <w:jc w:val="left"/>
        <w:rPr>
          <w:rFonts w:eastAsia="Times New Roman" w:cs="Times New Roman"/>
          <w:bCs/>
          <w:iCs/>
        </w:rPr>
      </w:pPr>
      <w:r w:rsidRPr="00CC51ED">
        <w:rPr>
          <w:rFonts w:eastAsia="Times New Roman" w:cs="Times New Roman"/>
          <w:bCs/>
          <w:iCs/>
        </w:rPr>
        <w:t>Glossaire des termes et définitions de l'IOMS</w:t>
      </w:r>
    </w:p>
    <w:p w14:paraId="18556314" w14:textId="77777777" w:rsidR="00F50640" w:rsidRPr="00CC51ED" w:rsidRDefault="00F50640" w:rsidP="00F50640">
      <w:pPr>
        <w:widowControl w:val="0"/>
        <w:numPr>
          <w:ilvl w:val="0"/>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hanging="477"/>
        <w:jc w:val="left"/>
        <w:rPr>
          <w:rFonts w:eastAsia="Times New Roman" w:cs="Times New Roman"/>
          <w:bCs/>
          <w:iCs/>
        </w:rPr>
      </w:pPr>
      <w:r w:rsidRPr="00CC51ED">
        <w:rPr>
          <w:rFonts w:eastAsia="Times New Roman" w:cs="Times New Roman"/>
          <w:bCs/>
          <w:iCs/>
        </w:rPr>
        <w:t>Mise à jour et approbation du plan de travail de l'IOMS</w:t>
      </w:r>
    </w:p>
    <w:p w14:paraId="1EC6B761" w14:textId="77777777" w:rsidR="00F50640" w:rsidRPr="00CC51ED" w:rsidRDefault="00F50640" w:rsidP="00F50640">
      <w:pPr>
        <w:widowControl w:val="0"/>
        <w:numPr>
          <w:ilvl w:val="0"/>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hanging="477"/>
        <w:jc w:val="left"/>
        <w:rPr>
          <w:rFonts w:eastAsia="Times New Roman" w:cs="Times New Roman"/>
          <w:bCs/>
          <w:iCs/>
        </w:rPr>
      </w:pPr>
      <w:r w:rsidRPr="00CC51ED">
        <w:rPr>
          <w:rFonts w:eastAsia="Times New Roman" w:cs="Times New Roman"/>
          <w:bCs/>
          <w:iCs/>
        </w:rPr>
        <w:t>Travail intersessions nécessaire en 2026</w:t>
      </w:r>
    </w:p>
    <w:p w14:paraId="4875D828" w14:textId="77777777" w:rsidR="00F50640" w:rsidRPr="00CC51ED" w:rsidRDefault="00F50640" w:rsidP="00F50640">
      <w:pPr>
        <w:widowControl w:val="0"/>
        <w:numPr>
          <w:ilvl w:val="0"/>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hanging="477"/>
        <w:jc w:val="left"/>
        <w:rPr>
          <w:rFonts w:eastAsia="Times New Roman" w:cs="Times New Roman"/>
          <w:bCs/>
          <w:iCs/>
        </w:rPr>
      </w:pPr>
      <w:r w:rsidRPr="00CC51ED">
        <w:rPr>
          <w:rFonts w:eastAsia="Times New Roman" w:cs="Times New Roman"/>
          <w:bCs/>
          <w:iCs/>
        </w:rPr>
        <w:t>Autres questions</w:t>
      </w:r>
    </w:p>
    <w:p w14:paraId="6BF26127" w14:textId="77777777" w:rsidR="00F50640" w:rsidRPr="00CC51ED" w:rsidRDefault="00F50640" w:rsidP="00F50640">
      <w:pPr>
        <w:widowControl w:val="0"/>
        <w:numPr>
          <w:ilvl w:val="0"/>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ind w:hanging="477"/>
        <w:jc w:val="left"/>
        <w:rPr>
          <w:rFonts w:eastAsia="Times New Roman" w:cs="Times New Roman"/>
          <w:bCs/>
          <w:iCs/>
        </w:rPr>
      </w:pPr>
      <w:r w:rsidRPr="00CC51ED">
        <w:rPr>
          <w:rFonts w:eastAsia="Times New Roman" w:cs="Times New Roman"/>
          <w:bCs/>
          <w:iCs/>
        </w:rPr>
        <w:t>Adoption du rapport et clôture</w:t>
      </w:r>
    </w:p>
    <w:p w14:paraId="55FAA51A" w14:textId="77777777" w:rsidR="007876F1" w:rsidRPr="00A66378" w:rsidRDefault="007876F1" w:rsidP="00A66378">
      <w:pPr>
        <w:rPr>
          <w:rFonts w:asciiTheme="minorHAnsi" w:hAnsiTheme="minorHAnsi"/>
        </w:rPr>
      </w:pPr>
    </w:p>
    <w:p w14:paraId="14DEB54C" w14:textId="3EDDEDD1" w:rsidR="007876F1" w:rsidRPr="00A66378" w:rsidRDefault="007876F1" w:rsidP="00A66378">
      <w:pPr>
        <w:pBdr>
          <w:top w:val="none" w:sz="0" w:space="0" w:color="auto"/>
          <w:left w:val="none" w:sz="0" w:space="0" w:color="auto"/>
          <w:bottom w:val="none" w:sz="0" w:space="0" w:color="auto"/>
          <w:right w:val="none" w:sz="0" w:space="0" w:color="auto"/>
          <w:between w:val="none" w:sz="0" w:space="0" w:color="auto"/>
        </w:pBdr>
        <w:jc w:val="left"/>
        <w:rPr>
          <w:rFonts w:asciiTheme="minorHAnsi" w:hAnsiTheme="minorHAnsi"/>
        </w:rPr>
      </w:pPr>
      <w:r w:rsidRPr="00A66378">
        <w:rPr>
          <w:rFonts w:asciiTheme="minorHAnsi" w:hAnsiTheme="minorHAnsi"/>
        </w:rPr>
        <w:br w:type="page"/>
      </w:r>
    </w:p>
    <w:p w14:paraId="3EBBAAE6" w14:textId="77777777" w:rsidR="00763BF7" w:rsidRPr="00C34819" w:rsidRDefault="00763BF7" w:rsidP="00763BF7">
      <w:pPr>
        <w:jc w:val="right"/>
        <w:rPr>
          <w:b/>
          <w:lang w:eastAsia="en-GB"/>
        </w:rPr>
      </w:pPr>
      <w:r w:rsidRPr="00C34819">
        <w:rPr>
          <w:b/>
          <w:lang w:eastAsia="en-GB"/>
        </w:rPr>
        <w:lastRenderedPageBreak/>
        <w:t>Appendice 2</w:t>
      </w:r>
    </w:p>
    <w:p w14:paraId="40980336" w14:textId="77777777" w:rsidR="00763BF7" w:rsidRPr="00C34819" w:rsidRDefault="00763BF7" w:rsidP="00763BF7">
      <w:pPr>
        <w:jc w:val="center"/>
        <w:rPr>
          <w:b/>
          <w:lang w:eastAsia="en-GB"/>
        </w:rPr>
      </w:pPr>
    </w:p>
    <w:p w14:paraId="22BFF74D" w14:textId="77777777" w:rsidR="00763BF7" w:rsidRPr="00C34819" w:rsidRDefault="00763BF7" w:rsidP="00763BF7">
      <w:pPr>
        <w:jc w:val="center"/>
        <w:rPr>
          <w:b/>
          <w:lang w:eastAsia="en-GB"/>
        </w:rPr>
      </w:pPr>
      <w:r w:rsidRPr="00C34819">
        <w:rPr>
          <w:b/>
          <w:lang w:eastAsia="en-GB"/>
        </w:rPr>
        <w:t>Liste des participants</w:t>
      </w:r>
      <w:r w:rsidRPr="00C34819">
        <w:rPr>
          <w:b/>
          <w:vertAlign w:val="superscript"/>
          <w:lang w:val="en-GB" w:eastAsia="en-GB"/>
        </w:rPr>
        <w:footnoteReference w:id="2"/>
      </w:r>
    </w:p>
    <w:p w14:paraId="397EFFCB" w14:textId="77777777" w:rsidR="00763BF7" w:rsidRPr="00C34819" w:rsidRDefault="00763BF7" w:rsidP="00763BF7">
      <w:pPr>
        <w:jc w:val="center"/>
        <w:rPr>
          <w:b/>
          <w:sz w:val="8"/>
          <w:szCs w:val="8"/>
          <w:lang w:eastAsia="en-GB"/>
        </w:rPr>
      </w:pPr>
    </w:p>
    <w:p w14:paraId="5827D8C6" w14:textId="77777777" w:rsidR="00763BF7" w:rsidRPr="00C34819" w:rsidRDefault="00763BF7" w:rsidP="00763BF7">
      <w:pPr>
        <w:rPr>
          <w:lang w:eastAsia="en-GB"/>
        </w:rPr>
      </w:pPr>
      <w:r w:rsidRPr="00C34819">
        <w:rPr>
          <w:b/>
          <w:i/>
          <w:lang w:eastAsia="en-GB"/>
        </w:rPr>
        <w:t>PARTIES CONTRACTANTES</w:t>
      </w:r>
    </w:p>
    <w:p w14:paraId="0BB40F75"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b/>
          <w:color w:val="auto"/>
        </w:rPr>
      </w:pPr>
    </w:p>
    <w:p w14:paraId="15C1A1B8"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b/>
          <w:color w:val="auto"/>
          <w:lang w:val="en-US"/>
        </w:rPr>
      </w:pPr>
      <w:r w:rsidRPr="00C34819">
        <w:rPr>
          <w:b/>
          <w:color w:val="auto"/>
          <w:lang w:val="en-US"/>
        </w:rPr>
        <w:t>AFRIQUE DU SUD</w:t>
      </w:r>
    </w:p>
    <w:p w14:paraId="4065DBBF"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proofErr w:type="spellStart"/>
      <w:r w:rsidRPr="00C34819">
        <w:rPr>
          <w:b/>
          <w:color w:val="auto"/>
          <w:sz w:val="18"/>
          <w:lang w:val="en-US"/>
        </w:rPr>
        <w:t>Mqoqi</w:t>
      </w:r>
      <w:proofErr w:type="spellEnd"/>
      <w:r w:rsidRPr="00C34819">
        <w:rPr>
          <w:color w:val="auto"/>
          <w:sz w:val="18"/>
          <w:lang w:val="en-US"/>
        </w:rPr>
        <w:t xml:space="preserve">, </w:t>
      </w:r>
      <w:proofErr w:type="spellStart"/>
      <w:r w:rsidRPr="00C34819">
        <w:rPr>
          <w:color w:val="auto"/>
          <w:sz w:val="18"/>
          <w:lang w:val="en-US"/>
        </w:rPr>
        <w:t>Mandisile</w:t>
      </w:r>
      <w:proofErr w:type="spellEnd"/>
    </w:p>
    <w:p w14:paraId="1EAC084E"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Offshore and High Seas Fisheries Management Department of Forestry, Fisheries and the Environment South Africa, 7 Martin Hammerschlag Way, Building Foreshore, 8000 Cape Town</w:t>
      </w:r>
    </w:p>
    <w:p w14:paraId="48C74A9D"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+27 846 072 921, E-Mail: MMqoqi@dffe.gov.za</w:t>
      </w:r>
    </w:p>
    <w:p w14:paraId="20863E4E"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591104EF"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it-IT"/>
        </w:rPr>
      </w:pPr>
      <w:proofErr w:type="spellStart"/>
      <w:r w:rsidRPr="001E1EF3">
        <w:rPr>
          <w:b/>
          <w:color w:val="auto"/>
          <w:sz w:val="18"/>
          <w:lang w:val="it-IT"/>
        </w:rPr>
        <w:t>Pheeha</w:t>
      </w:r>
      <w:proofErr w:type="spellEnd"/>
      <w:r w:rsidRPr="001E1EF3">
        <w:rPr>
          <w:color w:val="auto"/>
          <w:sz w:val="18"/>
          <w:lang w:val="it-IT"/>
        </w:rPr>
        <w:t xml:space="preserve">, </w:t>
      </w:r>
      <w:proofErr w:type="spellStart"/>
      <w:r w:rsidRPr="001E1EF3">
        <w:rPr>
          <w:color w:val="auto"/>
          <w:sz w:val="18"/>
          <w:lang w:val="it-IT"/>
        </w:rPr>
        <w:t>Saasa</w:t>
      </w:r>
      <w:proofErr w:type="spellEnd"/>
      <w:r w:rsidRPr="001E1EF3">
        <w:rPr>
          <w:color w:val="auto"/>
          <w:sz w:val="18"/>
          <w:lang w:val="it-IT"/>
        </w:rPr>
        <w:t xml:space="preserve"> </w:t>
      </w:r>
      <w:r w:rsidRPr="001E1EF3">
        <w:rPr>
          <w:color w:val="auto"/>
          <w:sz w:val="18"/>
          <w:vertAlign w:val="superscript"/>
          <w:lang w:val="it-IT"/>
        </w:rPr>
        <w:t>1</w:t>
      </w:r>
    </w:p>
    <w:p w14:paraId="7CF7336A"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Chief Director, Marine Resource Management (Acting), Department of Agriculture, Forestry and Fisheries, Cape Town</w:t>
      </w:r>
    </w:p>
    <w:p w14:paraId="327C6D9C"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p>
    <w:p w14:paraId="6A85B623"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proofErr w:type="spellStart"/>
      <w:r w:rsidRPr="00C34819">
        <w:rPr>
          <w:b/>
          <w:color w:val="auto"/>
          <w:sz w:val="18"/>
          <w:lang w:val="en-US"/>
        </w:rPr>
        <w:t>Sigam</w:t>
      </w:r>
      <w:proofErr w:type="spellEnd"/>
      <w:r w:rsidRPr="00C34819">
        <w:rPr>
          <w:color w:val="auto"/>
          <w:sz w:val="18"/>
          <w:lang w:val="en-US"/>
        </w:rPr>
        <w:t>, Sindisa</w:t>
      </w:r>
    </w:p>
    <w:p w14:paraId="26A94CF6"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Deputy Director: Pelagic and High Seas Fisheries Management, Directorate: Offshore and High Seas Fisheries Management, Chief Directorate: Marine Resources Management, Fisheries Branch, Department of Forestry, Fisheries and the Environment, 8001 Cape Town</w:t>
      </w:r>
    </w:p>
    <w:p w14:paraId="47FA3097"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+27 7141 40671, E-Mail: ssigam@dffe.gov.za</w:t>
      </w:r>
    </w:p>
    <w:p w14:paraId="6426E5AC"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4345E900"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b/>
          <w:color w:val="auto"/>
          <w:sz w:val="18"/>
        </w:rPr>
      </w:pPr>
      <w:r w:rsidRPr="00C34819">
        <w:rPr>
          <w:b/>
          <w:lang w:eastAsia="en-GB"/>
        </w:rPr>
        <w:t>ALGÉRIE</w:t>
      </w:r>
    </w:p>
    <w:p w14:paraId="6C0885F4"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r w:rsidRPr="00C34819">
        <w:rPr>
          <w:b/>
          <w:color w:val="auto"/>
          <w:sz w:val="18"/>
        </w:rPr>
        <w:t>Ouchelli</w:t>
      </w:r>
      <w:r w:rsidRPr="00C34819">
        <w:rPr>
          <w:color w:val="auto"/>
          <w:sz w:val="18"/>
        </w:rPr>
        <w:t>, Amar *</w:t>
      </w:r>
    </w:p>
    <w:p w14:paraId="1E07E37E"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r w:rsidRPr="00C34819">
        <w:rPr>
          <w:color w:val="auto"/>
          <w:sz w:val="18"/>
        </w:rPr>
        <w:t>Sous-directeur de la Grande Pêche et de la Pêche Spécialisée, ministère de la Pêche et des Productions Halieutiques, route des Quatre Canons, 16000 Alger</w:t>
      </w:r>
    </w:p>
    <w:p w14:paraId="2FAF2A5F"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proofErr w:type="gramStart"/>
      <w:r w:rsidRPr="00C34819">
        <w:rPr>
          <w:color w:val="auto"/>
          <w:sz w:val="18"/>
        </w:rPr>
        <w:t>Tel:</w:t>
      </w:r>
      <w:proofErr w:type="gramEnd"/>
      <w:r w:rsidRPr="00C34819">
        <w:rPr>
          <w:color w:val="auto"/>
          <w:sz w:val="18"/>
        </w:rPr>
        <w:t xml:space="preserve"> +213 550 386 938, </w:t>
      </w:r>
      <w:proofErr w:type="gramStart"/>
      <w:r w:rsidRPr="00C34819">
        <w:rPr>
          <w:color w:val="auto"/>
          <w:sz w:val="18"/>
        </w:rPr>
        <w:t>Fax:</w:t>
      </w:r>
      <w:proofErr w:type="gramEnd"/>
      <w:r w:rsidRPr="00C34819">
        <w:rPr>
          <w:color w:val="auto"/>
          <w:sz w:val="18"/>
        </w:rPr>
        <w:t xml:space="preserve"> +213 234 95597, </w:t>
      </w:r>
      <w:proofErr w:type="gramStart"/>
      <w:r w:rsidRPr="00C34819">
        <w:rPr>
          <w:color w:val="auto"/>
          <w:sz w:val="18"/>
        </w:rPr>
        <w:t>E-Mail:</w:t>
      </w:r>
      <w:proofErr w:type="gramEnd"/>
      <w:r w:rsidRPr="00C34819">
        <w:rPr>
          <w:color w:val="auto"/>
          <w:sz w:val="18"/>
        </w:rPr>
        <w:t xml:space="preserve"> </w:t>
      </w:r>
      <w:proofErr w:type="gramStart"/>
      <w:r w:rsidRPr="00C34819">
        <w:rPr>
          <w:color w:val="auto"/>
          <w:sz w:val="18"/>
        </w:rPr>
        <w:t>amarouchelli.dz@gmail.com;</w:t>
      </w:r>
      <w:proofErr w:type="gramEnd"/>
      <w:r w:rsidRPr="00C34819">
        <w:rPr>
          <w:color w:val="auto"/>
          <w:sz w:val="18"/>
        </w:rPr>
        <w:t xml:space="preserve"> amar.ouchelli@mpeche.gov.dz</w:t>
      </w:r>
    </w:p>
    <w:p w14:paraId="6DF950EE"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p>
    <w:p w14:paraId="10A2B32C"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proofErr w:type="spellStart"/>
      <w:r w:rsidRPr="00C34819">
        <w:rPr>
          <w:b/>
          <w:color w:val="auto"/>
          <w:sz w:val="18"/>
        </w:rPr>
        <w:t>Tamourt</w:t>
      </w:r>
      <w:proofErr w:type="spellEnd"/>
      <w:r w:rsidRPr="00C34819">
        <w:rPr>
          <w:color w:val="auto"/>
          <w:sz w:val="18"/>
        </w:rPr>
        <w:t xml:space="preserve">, </w:t>
      </w:r>
      <w:proofErr w:type="spellStart"/>
      <w:r w:rsidRPr="00C34819">
        <w:rPr>
          <w:color w:val="auto"/>
          <w:sz w:val="18"/>
        </w:rPr>
        <w:t>Amira</w:t>
      </w:r>
      <w:proofErr w:type="spellEnd"/>
      <w:r w:rsidRPr="00C34819">
        <w:rPr>
          <w:color w:val="auto"/>
          <w:sz w:val="18"/>
        </w:rPr>
        <w:t xml:space="preserve"> </w:t>
      </w:r>
      <w:r w:rsidRPr="00C34819">
        <w:rPr>
          <w:color w:val="auto"/>
          <w:sz w:val="18"/>
          <w:vertAlign w:val="superscript"/>
        </w:rPr>
        <w:t>1</w:t>
      </w:r>
    </w:p>
    <w:p w14:paraId="4CC06A70"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r w:rsidRPr="00C34819">
        <w:rPr>
          <w:color w:val="auto"/>
          <w:sz w:val="18"/>
        </w:rPr>
        <w:t>Ministère de la Pêche et des Ressources Halieutiques, 16100 Alger</w:t>
      </w:r>
    </w:p>
    <w:p w14:paraId="0CC02128"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p>
    <w:p w14:paraId="41C4C689"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1E1EF3">
        <w:rPr>
          <w:b/>
          <w:color w:val="auto"/>
          <w:lang w:val="es-ES"/>
        </w:rPr>
        <w:t>ANGOLA</w:t>
      </w:r>
    </w:p>
    <w:p w14:paraId="350148CB"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1E1EF3">
        <w:rPr>
          <w:b/>
          <w:color w:val="auto"/>
          <w:sz w:val="18"/>
          <w:lang w:val="es-ES"/>
        </w:rPr>
        <w:t>Chilamba</w:t>
      </w:r>
      <w:r w:rsidRPr="001E1EF3">
        <w:rPr>
          <w:color w:val="auto"/>
          <w:sz w:val="18"/>
          <w:lang w:val="es-ES"/>
        </w:rPr>
        <w:t>, Victor Capapelo Julio *</w:t>
      </w:r>
    </w:p>
    <w:p w14:paraId="0D52511E"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1E1EF3">
        <w:rPr>
          <w:color w:val="auto"/>
          <w:sz w:val="18"/>
          <w:lang w:val="en-US"/>
        </w:rPr>
        <w:t xml:space="preserve">Director of the National Directorate of Fisheries, Ministry of Fisheries and Marine Resources of Angola, Complexo </w:t>
      </w:r>
      <w:proofErr w:type="spellStart"/>
      <w:r w:rsidRPr="001E1EF3">
        <w:rPr>
          <w:color w:val="auto"/>
          <w:sz w:val="18"/>
          <w:lang w:val="en-US"/>
        </w:rPr>
        <w:t>Administrativo</w:t>
      </w:r>
      <w:proofErr w:type="spellEnd"/>
      <w:r w:rsidRPr="001E1EF3">
        <w:rPr>
          <w:color w:val="auto"/>
          <w:sz w:val="18"/>
          <w:lang w:val="en-US"/>
        </w:rPr>
        <w:t xml:space="preserve">, </w:t>
      </w:r>
      <w:proofErr w:type="spellStart"/>
      <w:r w:rsidRPr="001E1EF3">
        <w:rPr>
          <w:color w:val="auto"/>
          <w:sz w:val="18"/>
          <w:lang w:val="en-US"/>
        </w:rPr>
        <w:t>Clássicos</w:t>
      </w:r>
      <w:proofErr w:type="spellEnd"/>
      <w:r w:rsidRPr="001E1EF3">
        <w:rPr>
          <w:color w:val="auto"/>
          <w:sz w:val="18"/>
          <w:lang w:val="en-US"/>
        </w:rPr>
        <w:t xml:space="preserve"> do </w:t>
      </w:r>
      <w:proofErr w:type="spellStart"/>
      <w:r w:rsidRPr="001E1EF3">
        <w:rPr>
          <w:color w:val="auto"/>
          <w:sz w:val="18"/>
          <w:lang w:val="en-US"/>
        </w:rPr>
        <w:t>Talatona</w:t>
      </w:r>
      <w:proofErr w:type="spellEnd"/>
      <w:r w:rsidRPr="001E1EF3">
        <w:rPr>
          <w:color w:val="auto"/>
          <w:sz w:val="18"/>
          <w:lang w:val="en-US"/>
        </w:rPr>
        <w:t xml:space="preserve"> Rua da Mat 5º </w:t>
      </w:r>
      <w:proofErr w:type="spellStart"/>
      <w:r w:rsidRPr="001E1EF3">
        <w:rPr>
          <w:color w:val="auto"/>
          <w:sz w:val="18"/>
          <w:lang w:val="en-US"/>
        </w:rPr>
        <w:t>Edifício</w:t>
      </w:r>
      <w:proofErr w:type="spellEnd"/>
      <w:r w:rsidRPr="001E1EF3">
        <w:rPr>
          <w:color w:val="auto"/>
          <w:sz w:val="18"/>
          <w:lang w:val="en-US"/>
        </w:rPr>
        <w:t>, Luanda</w:t>
      </w:r>
    </w:p>
    <w:p w14:paraId="29FE964F"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+244 926 819 251; +244 933 366 328, E-Mail: victorpescas15@gmail.com</w:t>
      </w:r>
    </w:p>
    <w:p w14:paraId="26D92732"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73C1827A"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34819">
        <w:rPr>
          <w:b/>
          <w:color w:val="auto"/>
          <w:sz w:val="18"/>
          <w:lang w:val="pt-PT"/>
        </w:rPr>
        <w:t>Códia</w:t>
      </w:r>
      <w:r w:rsidRPr="00C34819">
        <w:rPr>
          <w:color w:val="auto"/>
          <w:sz w:val="18"/>
          <w:lang w:val="pt-PT"/>
        </w:rPr>
        <w:t>, Vieira Ferreira Nzambi</w:t>
      </w:r>
    </w:p>
    <w:p w14:paraId="61B76FF0"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Ministry of Fisheries and Marine Resources, Complexo Administrativo, Clássicos de Talatona, Rua do Mat 5º Edificio, 3 Andar, Luanda</w:t>
      </w:r>
    </w:p>
    <w:p w14:paraId="554E4080"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+244 933 673 060, E-Mail: vieiracodia@gmail.com; vivasnkodia@gmail.com</w:t>
      </w:r>
    </w:p>
    <w:p w14:paraId="360D4112"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b/>
          <w:color w:val="auto"/>
          <w:lang w:val="pt-PT"/>
        </w:rPr>
      </w:pPr>
    </w:p>
    <w:p w14:paraId="35862FD3"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b/>
          <w:color w:val="auto"/>
          <w:lang w:val="pt-PT"/>
        </w:rPr>
      </w:pPr>
      <w:r w:rsidRPr="00C34819">
        <w:rPr>
          <w:b/>
          <w:color w:val="auto"/>
          <w:lang w:val="pt-PT"/>
        </w:rPr>
        <w:t>BRÉSIL</w:t>
      </w:r>
    </w:p>
    <w:p w14:paraId="77E574C9"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34819">
        <w:rPr>
          <w:b/>
          <w:color w:val="auto"/>
          <w:sz w:val="18"/>
          <w:lang w:val="pt-PT"/>
        </w:rPr>
        <w:t>Souza Lira</w:t>
      </w:r>
      <w:r w:rsidRPr="00C34819">
        <w:rPr>
          <w:color w:val="auto"/>
          <w:sz w:val="18"/>
          <w:lang w:val="pt-PT"/>
        </w:rPr>
        <w:t>, Alex</w:t>
      </w:r>
    </w:p>
    <w:p w14:paraId="38BE39A2"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Registering, Monitoring and Research Secretariat, Esplanada dos Ministérios, Setor de Autarquias Sul Q. 2, 70043-900 Brasília, DF</w:t>
      </w:r>
    </w:p>
    <w:p w14:paraId="74B5C401"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+55 819 855 15243, E-Mail: alex.lira@mpa.gov.br</w:t>
      </w:r>
    </w:p>
    <w:p w14:paraId="7C2D577D"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728263CC"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34819">
        <w:rPr>
          <w:b/>
          <w:color w:val="auto"/>
          <w:lang w:val="en-US"/>
        </w:rPr>
        <w:t>CANADA</w:t>
      </w:r>
    </w:p>
    <w:p w14:paraId="0F3B8006"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34819">
        <w:rPr>
          <w:b/>
          <w:color w:val="auto"/>
          <w:sz w:val="18"/>
          <w:lang w:val="en-US"/>
        </w:rPr>
        <w:t>Cossette</w:t>
      </w:r>
      <w:r w:rsidRPr="00C34819">
        <w:rPr>
          <w:color w:val="auto"/>
          <w:sz w:val="18"/>
          <w:lang w:val="en-US"/>
        </w:rPr>
        <w:t>, Frédéric</w:t>
      </w:r>
    </w:p>
    <w:p w14:paraId="78AB23D8"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Policy Advisor, Fisheries and Oceans Canada, 200 Kent St., Ottawa, Ontario K1A 0E6</w:t>
      </w:r>
    </w:p>
    <w:p w14:paraId="588B021D"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+1 343 541 6921, E-Mail: frederic.cossette@dfo-mpo.gc.ca</w:t>
      </w:r>
    </w:p>
    <w:p w14:paraId="67DCFB0F"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23985733"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1E1EF3">
        <w:rPr>
          <w:b/>
          <w:color w:val="auto"/>
          <w:sz w:val="18"/>
          <w:lang w:val="it-IT"/>
        </w:rPr>
        <w:t>Hamoui</w:t>
      </w:r>
      <w:r w:rsidRPr="001E1EF3">
        <w:rPr>
          <w:color w:val="auto"/>
          <w:sz w:val="18"/>
          <w:lang w:val="it-IT"/>
        </w:rPr>
        <w:t>, Nadia</w:t>
      </w:r>
    </w:p>
    <w:p w14:paraId="265616D2"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Junior Policy Analyst, International Fisheries Policy, Fisheries &amp; Oceans Canada, 200 Kent Street, Ottawa K1AOE6</w:t>
      </w:r>
    </w:p>
    <w:p w14:paraId="4FB64137"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+1 613 302 2835, E-Mail: nadia.hamoui@dfo-mpo.gc.ca</w:t>
      </w:r>
    </w:p>
    <w:p w14:paraId="1DF0CD66"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3A04838B"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1E1EF3">
        <w:rPr>
          <w:b/>
          <w:color w:val="auto"/>
          <w:sz w:val="18"/>
          <w:lang w:val="it-IT"/>
        </w:rPr>
        <w:t>Kerwin</w:t>
      </w:r>
      <w:r w:rsidRPr="001E1EF3">
        <w:rPr>
          <w:color w:val="auto"/>
          <w:sz w:val="18"/>
          <w:lang w:val="it-IT"/>
        </w:rPr>
        <w:t>, Jessica</w:t>
      </w:r>
    </w:p>
    <w:p w14:paraId="5A373BE5"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Large Pelagic Resource Manager, Fisheries and Oceans Canada, 200 Kent Street, Ottawa, ON K1A 0E6</w:t>
      </w:r>
    </w:p>
    <w:p w14:paraId="14019636"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+1 613 291 7480, E-Mail: jessica.kerwin@dfo-mpo.gc.ca</w:t>
      </w:r>
    </w:p>
    <w:p w14:paraId="1BEC5D2D"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spacing w:after="160" w:line="257" w:lineRule="auto"/>
        <w:jc w:val="left"/>
        <w:rPr>
          <w:b/>
          <w:color w:val="auto"/>
          <w:sz w:val="18"/>
          <w:lang w:val="pt-PT"/>
        </w:rPr>
      </w:pPr>
      <w:r w:rsidRPr="00763BF7">
        <w:rPr>
          <w:b/>
          <w:color w:val="auto"/>
          <w:sz w:val="18"/>
          <w:lang w:val="pt-PT"/>
        </w:rPr>
        <w:br w:type="page"/>
      </w:r>
    </w:p>
    <w:p w14:paraId="55BF4CBB"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34819">
        <w:rPr>
          <w:b/>
          <w:color w:val="auto"/>
          <w:sz w:val="18"/>
          <w:lang w:val="en-US"/>
        </w:rPr>
        <w:lastRenderedPageBreak/>
        <w:t>Minch</w:t>
      </w:r>
      <w:r w:rsidRPr="00C34819">
        <w:rPr>
          <w:color w:val="auto"/>
          <w:sz w:val="18"/>
          <w:lang w:val="en-US"/>
        </w:rPr>
        <w:t>, Taryn</w:t>
      </w:r>
    </w:p>
    <w:p w14:paraId="26EF836B"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Fisheries and Oceans Canada, St. Andrews Biological Station, 125 Marine Science Drive, St. Andrews, NB New Brunswick E5B 0E4</w:t>
      </w:r>
    </w:p>
    <w:p w14:paraId="4D915F69"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+1 506 608 0171, E-Mail: taryn.minch@dfo-mpo.gc.ca</w:t>
      </w:r>
    </w:p>
    <w:p w14:paraId="5D061A2E"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4E274B26"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r w:rsidRPr="00C34819">
        <w:rPr>
          <w:b/>
          <w:color w:val="auto"/>
        </w:rPr>
        <w:t>CÔTE D'IVOIRE</w:t>
      </w:r>
    </w:p>
    <w:p w14:paraId="547AD4FC"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r w:rsidRPr="00C34819">
        <w:rPr>
          <w:b/>
          <w:color w:val="auto"/>
          <w:sz w:val="18"/>
        </w:rPr>
        <w:t>Djou</w:t>
      </w:r>
      <w:r w:rsidRPr="00C34819">
        <w:rPr>
          <w:color w:val="auto"/>
          <w:sz w:val="18"/>
        </w:rPr>
        <w:t>, Kouadio Julien</w:t>
      </w:r>
    </w:p>
    <w:p w14:paraId="07499BC5"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r w:rsidRPr="00C34819">
        <w:rPr>
          <w:color w:val="auto"/>
          <w:sz w:val="18"/>
        </w:rPr>
        <w:t xml:space="preserve">Statisticien de la Direction de Pêches, Chef de Service Etudes, Statistiques et Documentation, Direction des Pêches (DP), </w:t>
      </w:r>
      <w:proofErr w:type="gramStart"/>
      <w:r w:rsidRPr="00C34819">
        <w:rPr>
          <w:color w:val="auto"/>
          <w:sz w:val="18"/>
        </w:rPr>
        <w:t>Ministère</w:t>
      </w:r>
      <w:proofErr w:type="gramEnd"/>
      <w:r w:rsidRPr="00C34819">
        <w:rPr>
          <w:color w:val="auto"/>
          <w:sz w:val="18"/>
        </w:rPr>
        <w:t xml:space="preserve"> des Ressources Animales et Halieutiques (MIRAH), 27 rue des Pêcheurs, BP V19, Abidjan 01</w:t>
      </w:r>
    </w:p>
    <w:p w14:paraId="2DE98E56"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763BF7">
        <w:rPr>
          <w:color w:val="auto"/>
          <w:sz w:val="18"/>
          <w:lang w:val="pt-PT"/>
        </w:rPr>
        <w:t>Tel: +225 79 15 96 22, Fax: +225 21 25 67 27, E-Mail: djoujulien225@gmail.com; ko.djou@ressourcesanimales.gouv.ci</w:t>
      </w:r>
    </w:p>
    <w:p w14:paraId="740654CD"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jc w:val="left"/>
        <w:rPr>
          <w:b/>
          <w:color w:val="auto"/>
          <w:lang w:val="pt-PT"/>
        </w:rPr>
      </w:pPr>
    </w:p>
    <w:p w14:paraId="31F03B54"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763BF7">
        <w:rPr>
          <w:b/>
          <w:color w:val="auto"/>
          <w:lang w:val="pt-PT"/>
        </w:rPr>
        <w:t>ÉTATS-UNIS</w:t>
      </w:r>
    </w:p>
    <w:p w14:paraId="6820CCEC"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763BF7">
        <w:rPr>
          <w:b/>
          <w:color w:val="auto"/>
          <w:sz w:val="18"/>
          <w:lang w:val="pt-PT"/>
        </w:rPr>
        <w:t>Bors</w:t>
      </w:r>
      <w:r w:rsidRPr="00763BF7">
        <w:rPr>
          <w:color w:val="auto"/>
          <w:sz w:val="18"/>
          <w:lang w:val="pt-PT"/>
        </w:rPr>
        <w:t>, Eleanor</w:t>
      </w:r>
    </w:p>
    <w:p w14:paraId="4D62578B"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National Marine Fisheries Service Office of International Affairs, Trade, and Commerce, Office 5151, 1315 East-West Highway 5th Floor, Silver Spring, Maryland 20910</w:t>
      </w:r>
    </w:p>
    <w:p w14:paraId="50C55938"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+1 240 429 4461; +1 617 571 1376, E-Mail: eleanor.bors@noaa.gov</w:t>
      </w:r>
    </w:p>
    <w:p w14:paraId="3DFC9E7F"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1F595038"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34819">
        <w:rPr>
          <w:b/>
          <w:color w:val="auto"/>
          <w:sz w:val="18"/>
          <w:lang w:val="en-US"/>
        </w:rPr>
        <w:t>Harris</w:t>
      </w:r>
      <w:r w:rsidRPr="00C34819">
        <w:rPr>
          <w:color w:val="auto"/>
          <w:sz w:val="18"/>
          <w:lang w:val="en-US"/>
        </w:rPr>
        <w:t>, Madison</w:t>
      </w:r>
    </w:p>
    <w:p w14:paraId="40674544"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Foreign Affairs Specialist, Office of International Affairs, Trade, and Commerce (F/IATC), NOAA, National Marine Fisheries Service, National Oceanic and Atmospheric Administration, U.S. Department of Commerce, 1315 East-West Highway, Silver Spring, Maryland 20910</w:t>
      </w:r>
    </w:p>
    <w:p w14:paraId="54D92223"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+1 202 480 4592, E-Mail: madison.harris@noaa.gov</w:t>
      </w:r>
    </w:p>
    <w:p w14:paraId="28FF69CA"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698A3263"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1E1EF3">
        <w:rPr>
          <w:b/>
          <w:color w:val="auto"/>
          <w:lang w:val="it-IT"/>
        </w:rPr>
        <w:t>GHANA</w:t>
      </w:r>
    </w:p>
    <w:p w14:paraId="75BBEF28"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it-IT"/>
        </w:rPr>
      </w:pPr>
      <w:proofErr w:type="spellStart"/>
      <w:r w:rsidRPr="001E1EF3">
        <w:rPr>
          <w:b/>
          <w:color w:val="auto"/>
          <w:sz w:val="18"/>
          <w:lang w:val="it-IT"/>
        </w:rPr>
        <w:t>Ayivi</w:t>
      </w:r>
      <w:proofErr w:type="spellEnd"/>
      <w:r w:rsidRPr="001E1EF3">
        <w:rPr>
          <w:color w:val="auto"/>
          <w:sz w:val="18"/>
          <w:lang w:val="it-IT"/>
        </w:rPr>
        <w:t>, Sylvia Sefakor Awo</w:t>
      </w:r>
    </w:p>
    <w:p w14:paraId="45D2C0A6"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Deputy Director, Fisheries Scientific Survey Division, Fisheries Commission, P.O. Box GP 630 Accra, Tema</w:t>
      </w:r>
    </w:p>
    <w:p w14:paraId="41358888"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sz w:val="18"/>
          <w:lang w:val="pt-PT"/>
        </w:rPr>
      </w:pPr>
      <w:r w:rsidRPr="00C34819">
        <w:rPr>
          <w:color w:val="auto"/>
          <w:sz w:val="18"/>
          <w:lang w:val="pt-PT"/>
        </w:rPr>
        <w:t xml:space="preserve">Tel: +233 2441 76300, Fax: +233 3032 008048, E-Mail: </w:t>
      </w:r>
      <w:r>
        <w:fldChar w:fldCharType="begin"/>
      </w:r>
      <w:r w:rsidRPr="001E1EF3">
        <w:rPr>
          <w:lang w:val="en-US"/>
        </w:rPr>
        <w:instrText>HYPERLINK "mailto:Sylvia.Ayivi@fishcom.gov.gh"</w:instrText>
      </w:r>
      <w:r>
        <w:fldChar w:fldCharType="separate"/>
      </w:r>
      <w:r w:rsidRPr="00C34819">
        <w:rPr>
          <w:rStyle w:val="Hyperlink"/>
          <w:sz w:val="18"/>
          <w:lang w:val="pt-PT"/>
        </w:rPr>
        <w:t>Sylvia.Ayivi@fishcom.gov.gh</w:t>
      </w:r>
      <w:r>
        <w:fldChar w:fldCharType="end"/>
      </w:r>
    </w:p>
    <w:p w14:paraId="3DC39648"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b/>
          <w:color w:val="auto"/>
          <w:sz w:val="18"/>
          <w:lang w:val="pt-PT"/>
        </w:rPr>
      </w:pPr>
    </w:p>
    <w:p w14:paraId="13692FEF"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34819">
        <w:rPr>
          <w:b/>
          <w:color w:val="auto"/>
          <w:sz w:val="18"/>
          <w:lang w:val="pt-PT"/>
        </w:rPr>
        <w:t>Dovlo</w:t>
      </w:r>
      <w:r w:rsidRPr="00C34819">
        <w:rPr>
          <w:color w:val="auto"/>
          <w:sz w:val="18"/>
          <w:lang w:val="pt-PT"/>
        </w:rPr>
        <w:t>, Emmanuel Kwame</w:t>
      </w:r>
    </w:p>
    <w:p w14:paraId="4560AD41"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Fisheries Scientific Survey Division, Fisheries Commission, P.O. Box GP 630, Accra, Tema</w:t>
      </w:r>
    </w:p>
    <w:p w14:paraId="28E370C1"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+233 243 368 091, E-Mail: emmanuel.dovlo@fishcom.gov.gh</w:t>
      </w:r>
    </w:p>
    <w:p w14:paraId="3869634C"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3E132384"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1E1EF3">
        <w:rPr>
          <w:b/>
          <w:color w:val="auto"/>
          <w:lang w:val="it-IT"/>
        </w:rPr>
        <w:t>GUATEMALA</w:t>
      </w:r>
    </w:p>
    <w:p w14:paraId="7F464EAC"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1E1EF3">
        <w:rPr>
          <w:b/>
          <w:color w:val="auto"/>
          <w:sz w:val="18"/>
          <w:lang w:val="it-IT"/>
        </w:rPr>
        <w:t>Chavarría Valverde</w:t>
      </w:r>
      <w:r w:rsidRPr="001E1EF3">
        <w:rPr>
          <w:color w:val="auto"/>
          <w:sz w:val="18"/>
          <w:lang w:val="it-IT"/>
        </w:rPr>
        <w:t>, Bernal Alberto</w:t>
      </w:r>
    </w:p>
    <w:p w14:paraId="474526E0"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s-ES"/>
        </w:rPr>
      </w:pPr>
      <w:r w:rsidRPr="00C34819">
        <w:rPr>
          <w:color w:val="auto"/>
          <w:sz w:val="18"/>
          <w:lang w:val="es-ES"/>
        </w:rPr>
        <w:t>Asesor en Gestión y Política pesquera Internacional, DIPESCA, Bárcena</w:t>
      </w:r>
    </w:p>
    <w:p w14:paraId="42F14C19"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proofErr w:type="gramStart"/>
      <w:r w:rsidRPr="00763BF7">
        <w:rPr>
          <w:color w:val="auto"/>
          <w:sz w:val="18"/>
        </w:rPr>
        <w:t>Tel:</w:t>
      </w:r>
      <w:proofErr w:type="gramEnd"/>
      <w:r w:rsidRPr="00763BF7">
        <w:rPr>
          <w:color w:val="auto"/>
          <w:sz w:val="18"/>
        </w:rPr>
        <w:t xml:space="preserve"> +506 882 24709, </w:t>
      </w:r>
      <w:proofErr w:type="gramStart"/>
      <w:r w:rsidRPr="00763BF7">
        <w:rPr>
          <w:color w:val="auto"/>
          <w:sz w:val="18"/>
        </w:rPr>
        <w:t>Fax:</w:t>
      </w:r>
      <w:proofErr w:type="gramEnd"/>
      <w:r w:rsidRPr="00763BF7">
        <w:rPr>
          <w:color w:val="auto"/>
          <w:sz w:val="18"/>
        </w:rPr>
        <w:t xml:space="preserve"> +506 2232 4651, </w:t>
      </w:r>
      <w:proofErr w:type="gramStart"/>
      <w:r w:rsidRPr="00763BF7">
        <w:rPr>
          <w:color w:val="auto"/>
          <w:sz w:val="18"/>
        </w:rPr>
        <w:t>E-Mail:</w:t>
      </w:r>
      <w:proofErr w:type="gramEnd"/>
      <w:r w:rsidRPr="00763BF7">
        <w:rPr>
          <w:color w:val="auto"/>
          <w:sz w:val="18"/>
        </w:rPr>
        <w:t xml:space="preserve"> bchavarria@lsg-cr.com</w:t>
      </w:r>
    </w:p>
    <w:p w14:paraId="3E012410"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p>
    <w:p w14:paraId="4CD15081" w14:textId="77777777" w:rsidR="00763BF7" w:rsidRPr="00C34819" w:rsidRDefault="00763BF7" w:rsidP="00763BF7">
      <w:r w:rsidRPr="00C34819">
        <w:rPr>
          <w:b/>
        </w:rPr>
        <w:t>RÉP. DE GUINÉE</w:t>
      </w:r>
    </w:p>
    <w:p w14:paraId="150A44C6"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r w:rsidRPr="00763BF7">
        <w:rPr>
          <w:b/>
          <w:color w:val="auto"/>
          <w:sz w:val="18"/>
        </w:rPr>
        <w:t>Barry</w:t>
      </w:r>
      <w:r w:rsidRPr="00763BF7">
        <w:rPr>
          <w:color w:val="auto"/>
          <w:sz w:val="18"/>
        </w:rPr>
        <w:t>, Alhassane</w:t>
      </w:r>
    </w:p>
    <w:p w14:paraId="45FD2696"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r w:rsidRPr="00C34819">
        <w:rPr>
          <w:color w:val="auto"/>
          <w:sz w:val="18"/>
        </w:rPr>
        <w:t xml:space="preserve">Chef section statistiques, Direction Nationale des Pêches Maritimes, </w:t>
      </w:r>
      <w:proofErr w:type="spellStart"/>
      <w:r w:rsidRPr="00C34819">
        <w:rPr>
          <w:color w:val="auto"/>
          <w:sz w:val="18"/>
        </w:rPr>
        <w:t>Kaporo</w:t>
      </w:r>
      <w:proofErr w:type="spellEnd"/>
      <w:r w:rsidRPr="00C34819">
        <w:rPr>
          <w:color w:val="auto"/>
          <w:sz w:val="18"/>
        </w:rPr>
        <w:t xml:space="preserve"> Rail Conakry</w:t>
      </w:r>
    </w:p>
    <w:p w14:paraId="1BBE2D59"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+224 623 244 634, E-Mail: alassb13@gmail.com</w:t>
      </w:r>
    </w:p>
    <w:p w14:paraId="69DE758A"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1650108B"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1E1EF3">
        <w:rPr>
          <w:b/>
          <w:color w:val="auto"/>
          <w:sz w:val="18"/>
          <w:lang w:val="en-US"/>
        </w:rPr>
        <w:t>Soumah</w:t>
      </w:r>
      <w:r w:rsidRPr="001E1EF3">
        <w:rPr>
          <w:color w:val="auto"/>
          <w:sz w:val="18"/>
          <w:lang w:val="en-US"/>
        </w:rPr>
        <w:t>, Mohamed</w:t>
      </w:r>
    </w:p>
    <w:p w14:paraId="18975D12"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r w:rsidRPr="00C34819">
        <w:rPr>
          <w:color w:val="auto"/>
          <w:sz w:val="18"/>
        </w:rPr>
        <w:t xml:space="preserve">Responsable de Système d'Information Halieutique, Chef de Service Informatique du Centre National des Sciences Halieutiques de </w:t>
      </w:r>
      <w:proofErr w:type="spellStart"/>
      <w:r w:rsidRPr="00C34819">
        <w:rPr>
          <w:color w:val="auto"/>
          <w:sz w:val="18"/>
        </w:rPr>
        <w:t>Boussoura</w:t>
      </w:r>
      <w:proofErr w:type="spellEnd"/>
      <w:r w:rsidRPr="00C34819">
        <w:rPr>
          <w:color w:val="auto"/>
          <w:sz w:val="18"/>
        </w:rPr>
        <w:t xml:space="preserve"> (CNSHB), 814, Rue MA 500, Corniche Sud </w:t>
      </w:r>
      <w:proofErr w:type="spellStart"/>
      <w:r w:rsidRPr="00C34819">
        <w:rPr>
          <w:color w:val="auto"/>
          <w:sz w:val="18"/>
        </w:rPr>
        <w:t>Madina</w:t>
      </w:r>
      <w:proofErr w:type="spellEnd"/>
      <w:r w:rsidRPr="00C34819">
        <w:rPr>
          <w:color w:val="auto"/>
          <w:sz w:val="18"/>
        </w:rPr>
        <w:t xml:space="preserve">, </w:t>
      </w:r>
      <w:proofErr w:type="spellStart"/>
      <w:r w:rsidRPr="00C34819">
        <w:rPr>
          <w:color w:val="auto"/>
          <w:sz w:val="18"/>
        </w:rPr>
        <w:t>Boussoura</w:t>
      </w:r>
      <w:proofErr w:type="spellEnd"/>
      <w:r w:rsidRPr="00C34819">
        <w:rPr>
          <w:color w:val="auto"/>
          <w:sz w:val="18"/>
        </w:rPr>
        <w:t xml:space="preserve">, </w:t>
      </w:r>
      <w:proofErr w:type="gramStart"/>
      <w:r w:rsidRPr="00C34819">
        <w:rPr>
          <w:color w:val="auto"/>
          <w:sz w:val="18"/>
        </w:rPr>
        <w:t>BP:</w:t>
      </w:r>
      <w:proofErr w:type="gramEnd"/>
      <w:r w:rsidRPr="00C34819">
        <w:rPr>
          <w:color w:val="auto"/>
          <w:sz w:val="18"/>
        </w:rPr>
        <w:t xml:space="preserve"> 3738 Conakry</w:t>
      </w:r>
    </w:p>
    <w:p w14:paraId="01DA3457"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+224 622 01 70 85, E-Mail: soumahmohamed2009@gmail.com</w:t>
      </w:r>
    </w:p>
    <w:p w14:paraId="2B1694F2"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1C5CC942"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1E1EF3">
        <w:rPr>
          <w:b/>
          <w:lang w:val="it-IT"/>
        </w:rPr>
        <w:t>JAPON</w:t>
      </w:r>
    </w:p>
    <w:p w14:paraId="2EA19C14"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it-IT"/>
        </w:rPr>
      </w:pPr>
      <w:proofErr w:type="spellStart"/>
      <w:r w:rsidRPr="001E1EF3">
        <w:rPr>
          <w:b/>
          <w:color w:val="auto"/>
          <w:sz w:val="18"/>
          <w:lang w:val="it-IT"/>
        </w:rPr>
        <w:t>Fukugama</w:t>
      </w:r>
      <w:proofErr w:type="spellEnd"/>
      <w:r w:rsidRPr="001E1EF3">
        <w:rPr>
          <w:color w:val="auto"/>
          <w:sz w:val="18"/>
          <w:lang w:val="it-IT"/>
        </w:rPr>
        <w:t>, Chika</w:t>
      </w:r>
    </w:p>
    <w:p w14:paraId="08ED8076"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Assistant Director, International Affairs Division, Fisheries Agency of Japan, Ministry of Agriculture, Forestry and Fisheries, 1-2-1, Kasumigaseki, Chiyoda-</w:t>
      </w:r>
      <w:proofErr w:type="spellStart"/>
      <w:r w:rsidRPr="00C34819">
        <w:rPr>
          <w:color w:val="auto"/>
          <w:sz w:val="18"/>
          <w:lang w:val="en-US"/>
        </w:rPr>
        <w:t>ku</w:t>
      </w:r>
      <w:proofErr w:type="spellEnd"/>
      <w:r w:rsidRPr="00C34819">
        <w:rPr>
          <w:color w:val="auto"/>
          <w:sz w:val="18"/>
          <w:lang w:val="en-US"/>
        </w:rPr>
        <w:t>, Tokyo 100-8907</w:t>
      </w:r>
    </w:p>
    <w:p w14:paraId="1A65F680"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it-IT"/>
        </w:rPr>
      </w:pPr>
      <w:r w:rsidRPr="00C34819">
        <w:rPr>
          <w:color w:val="auto"/>
          <w:sz w:val="18"/>
          <w:lang w:val="it-IT"/>
        </w:rPr>
        <w:t>Tel: +81 3 3502 8460, Fax: +81 3 3504 2649, E-Mail: chika_fukugama740@maff.go.jp</w:t>
      </w:r>
    </w:p>
    <w:p w14:paraId="54AE58DA"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it-IT"/>
        </w:rPr>
      </w:pPr>
    </w:p>
    <w:p w14:paraId="3F93808E"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C34819">
        <w:rPr>
          <w:b/>
          <w:color w:val="auto"/>
          <w:sz w:val="18"/>
          <w:lang w:val="it-IT"/>
        </w:rPr>
        <w:t>Kawano</w:t>
      </w:r>
      <w:r w:rsidRPr="00C34819">
        <w:rPr>
          <w:color w:val="auto"/>
          <w:sz w:val="18"/>
          <w:lang w:val="it-IT"/>
        </w:rPr>
        <w:t>, Masataka</w:t>
      </w:r>
    </w:p>
    <w:p w14:paraId="18B7ADDE"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Technical Official, International Affairs Division, Fisheries Agency of Japan, Ministry of Agriculture, Forestry and Fisheries, 1-2-1, Kasumigaseki, Chiyoda-</w:t>
      </w:r>
      <w:proofErr w:type="spellStart"/>
      <w:r w:rsidRPr="00C34819">
        <w:rPr>
          <w:color w:val="auto"/>
          <w:sz w:val="18"/>
          <w:lang w:val="en-US"/>
        </w:rPr>
        <w:t>ku</w:t>
      </w:r>
      <w:proofErr w:type="spellEnd"/>
      <w:r w:rsidRPr="00C34819">
        <w:rPr>
          <w:color w:val="auto"/>
          <w:sz w:val="18"/>
          <w:lang w:val="en-US"/>
        </w:rPr>
        <w:t>, Tokyo 100-8907</w:t>
      </w:r>
    </w:p>
    <w:p w14:paraId="5995CECD"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Tel: +81 3 3502 8460, Fax: +81 3 3504 2649, E-Mail: masataka_kawano320@maff.go.jp</w:t>
      </w:r>
    </w:p>
    <w:p w14:paraId="632B6E4E"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p>
    <w:p w14:paraId="14338C64"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proofErr w:type="spellStart"/>
      <w:r w:rsidRPr="00C34819">
        <w:rPr>
          <w:b/>
          <w:color w:val="auto"/>
          <w:sz w:val="18"/>
          <w:lang w:val="en-US"/>
        </w:rPr>
        <w:t>Masunaka</w:t>
      </w:r>
      <w:proofErr w:type="spellEnd"/>
      <w:r w:rsidRPr="00C34819">
        <w:rPr>
          <w:color w:val="auto"/>
          <w:sz w:val="18"/>
          <w:lang w:val="en-US"/>
        </w:rPr>
        <w:t>, Saki</w:t>
      </w:r>
    </w:p>
    <w:p w14:paraId="189D9AF1"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Technical Official, International Affairs Division, Fisheries Agency of Japan, Ministry of Agriculture, Forestry and Fisheries, 1-2-1, Kasumigaseki, Chiyoda-</w:t>
      </w:r>
      <w:proofErr w:type="spellStart"/>
      <w:r w:rsidRPr="00C34819">
        <w:rPr>
          <w:color w:val="auto"/>
          <w:sz w:val="18"/>
          <w:lang w:val="en-US"/>
        </w:rPr>
        <w:t>ku</w:t>
      </w:r>
      <w:proofErr w:type="spellEnd"/>
      <w:r w:rsidRPr="00C34819">
        <w:rPr>
          <w:color w:val="auto"/>
          <w:sz w:val="18"/>
          <w:lang w:val="en-US"/>
        </w:rPr>
        <w:t>, Tokyo 100-8907</w:t>
      </w:r>
    </w:p>
    <w:p w14:paraId="714DD562"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it-IT"/>
        </w:rPr>
      </w:pPr>
      <w:r w:rsidRPr="00763BF7">
        <w:rPr>
          <w:color w:val="auto"/>
          <w:sz w:val="18"/>
          <w:lang w:val="it-IT"/>
        </w:rPr>
        <w:t>Tel: +81 3 3502 8204, Fax: +81 3 3504 2649, E-Mail: saki_masunaka380@maff.go.jp</w:t>
      </w:r>
    </w:p>
    <w:p w14:paraId="51FFF587"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jc w:val="left"/>
        <w:rPr>
          <w:b/>
          <w:color w:val="auto"/>
          <w:lang w:val="it-IT"/>
        </w:rPr>
      </w:pPr>
    </w:p>
    <w:p w14:paraId="637B2FA8"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spacing w:after="160" w:line="257" w:lineRule="auto"/>
        <w:jc w:val="left"/>
        <w:rPr>
          <w:b/>
          <w:color w:val="auto"/>
          <w:lang w:val="it-IT"/>
        </w:rPr>
      </w:pPr>
      <w:r w:rsidRPr="00763BF7">
        <w:rPr>
          <w:b/>
          <w:color w:val="auto"/>
          <w:lang w:val="it-IT"/>
        </w:rPr>
        <w:br w:type="page"/>
      </w:r>
    </w:p>
    <w:p w14:paraId="07E0244A"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763BF7">
        <w:rPr>
          <w:b/>
          <w:color w:val="auto"/>
          <w:lang w:val="it-IT"/>
        </w:rPr>
        <w:lastRenderedPageBreak/>
        <w:t>MAROC</w:t>
      </w:r>
    </w:p>
    <w:p w14:paraId="3CDCDFB5"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763BF7">
        <w:rPr>
          <w:b/>
          <w:color w:val="auto"/>
          <w:sz w:val="18"/>
          <w:lang w:val="it-IT"/>
        </w:rPr>
        <w:t xml:space="preserve">El </w:t>
      </w:r>
      <w:proofErr w:type="spellStart"/>
      <w:r w:rsidRPr="00763BF7">
        <w:rPr>
          <w:b/>
          <w:color w:val="auto"/>
          <w:sz w:val="18"/>
          <w:lang w:val="it-IT"/>
        </w:rPr>
        <w:t>Fatouani</w:t>
      </w:r>
      <w:proofErr w:type="spellEnd"/>
      <w:r w:rsidRPr="00763BF7">
        <w:rPr>
          <w:color w:val="auto"/>
          <w:sz w:val="18"/>
          <w:lang w:val="it-IT"/>
        </w:rPr>
        <w:t>, Zineb</w:t>
      </w:r>
    </w:p>
    <w:p w14:paraId="007EFEC5"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r w:rsidRPr="00C34819">
        <w:rPr>
          <w:color w:val="auto"/>
          <w:sz w:val="18"/>
        </w:rPr>
        <w:t>Cadre à la Direction de Contrôle des Activités de la Pêche Maritime, Secrétariat d’Etat chargé de la Pêche Maritime, 476 Agdal Rabat</w:t>
      </w:r>
    </w:p>
    <w:p w14:paraId="23008124"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+212 537 688 000, E-Mail: Z.ELFATOUANI@mpm.gov.ma; zineb.elfatouani@hotmail.com</w:t>
      </w:r>
    </w:p>
    <w:p w14:paraId="6567170C"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3EEC0BF3"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r w:rsidRPr="00C34819">
        <w:rPr>
          <w:b/>
          <w:color w:val="auto"/>
          <w:sz w:val="18"/>
        </w:rPr>
        <w:t>Haoujar</w:t>
      </w:r>
      <w:r w:rsidRPr="00C34819">
        <w:rPr>
          <w:color w:val="auto"/>
          <w:sz w:val="18"/>
        </w:rPr>
        <w:t>, Bouchra</w:t>
      </w:r>
    </w:p>
    <w:p w14:paraId="009350AF"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r w:rsidRPr="00C34819">
        <w:rPr>
          <w:color w:val="auto"/>
          <w:sz w:val="18"/>
        </w:rPr>
        <w:t>Cheffe de Service des Espèces Marines Migratrices et des Espaces Protégés, Secrétariat d’Etat chargé de la Pêche Maritime, Nouveau Quartier Administratif, BP 476, 10150 Haut Agdal, Rabat</w:t>
      </w:r>
    </w:p>
    <w:p w14:paraId="2E8AF02A"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763BF7">
        <w:rPr>
          <w:color w:val="auto"/>
          <w:sz w:val="18"/>
          <w:lang w:val="en-US"/>
        </w:rPr>
        <w:t>Tel: +212 253 768 8115, Fax: +212 537 688 089, E-Mail: haoujar@mpm.gov.ma</w:t>
      </w:r>
    </w:p>
    <w:p w14:paraId="232C43A4" w14:textId="77777777" w:rsidR="00763BF7" w:rsidRPr="00C34819" w:rsidRDefault="00763BF7" w:rsidP="00763BF7">
      <w:pPr>
        <w:rPr>
          <w:b/>
          <w:lang w:val="en-US" w:eastAsia="en-GB"/>
        </w:rPr>
      </w:pPr>
    </w:p>
    <w:p w14:paraId="742BBB63" w14:textId="77777777" w:rsidR="00763BF7" w:rsidRPr="00C34819" w:rsidRDefault="00763BF7" w:rsidP="00763BF7">
      <w:pPr>
        <w:rPr>
          <w:lang w:val="en-US" w:eastAsia="en-GB"/>
        </w:rPr>
      </w:pPr>
      <w:r w:rsidRPr="00C34819">
        <w:rPr>
          <w:b/>
          <w:lang w:val="en-US" w:eastAsia="en-GB"/>
        </w:rPr>
        <w:t>MAURITANIE</w:t>
      </w:r>
    </w:p>
    <w:p w14:paraId="4CC0AE20"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34819">
        <w:rPr>
          <w:b/>
          <w:color w:val="auto"/>
          <w:sz w:val="18"/>
          <w:lang w:val="en-US"/>
        </w:rPr>
        <w:t xml:space="preserve">Ould </w:t>
      </w:r>
      <w:proofErr w:type="spellStart"/>
      <w:r w:rsidRPr="00C34819">
        <w:rPr>
          <w:b/>
          <w:color w:val="auto"/>
          <w:sz w:val="18"/>
          <w:lang w:val="en-US"/>
        </w:rPr>
        <w:t>Beibou</w:t>
      </w:r>
      <w:proofErr w:type="spellEnd"/>
      <w:r w:rsidRPr="00C34819">
        <w:rPr>
          <w:color w:val="auto"/>
          <w:sz w:val="18"/>
          <w:lang w:val="en-US"/>
        </w:rPr>
        <w:t>, Ely Ould Sidi</w:t>
      </w:r>
    </w:p>
    <w:p w14:paraId="16E4EC1A"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r w:rsidRPr="00C34819">
        <w:rPr>
          <w:color w:val="auto"/>
          <w:sz w:val="18"/>
        </w:rPr>
        <w:t>Institut mauritanien de recherche océanographique et des pêches (IMROP), B14, Cansado BP 22, Nouadhibou</w:t>
      </w:r>
    </w:p>
    <w:p w14:paraId="67425931"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+222 224 21026, E-Mail: beibou_es@yahoo.fr</w:t>
      </w:r>
    </w:p>
    <w:p w14:paraId="77648C08"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675D09F0" w14:textId="77777777" w:rsidR="00763BF7" w:rsidRPr="001E1EF3" w:rsidRDefault="00763BF7" w:rsidP="00763BF7">
      <w:pPr>
        <w:rPr>
          <w:b/>
          <w:sz w:val="18"/>
          <w:lang w:val="it-IT"/>
        </w:rPr>
      </w:pPr>
      <w:r w:rsidRPr="001E1EF3">
        <w:rPr>
          <w:b/>
          <w:lang w:val="it-IT" w:eastAsia="en-GB"/>
        </w:rPr>
        <w:t>MEXIQUE</w:t>
      </w:r>
    </w:p>
    <w:p w14:paraId="77531FEA"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1E1EF3">
        <w:rPr>
          <w:b/>
          <w:color w:val="auto"/>
          <w:sz w:val="18"/>
          <w:lang w:val="it-IT"/>
        </w:rPr>
        <w:t>Soler Benítez</w:t>
      </w:r>
      <w:r w:rsidRPr="001E1EF3">
        <w:rPr>
          <w:color w:val="auto"/>
          <w:sz w:val="18"/>
          <w:lang w:val="it-IT"/>
        </w:rPr>
        <w:t xml:space="preserve">, Bertha Alicia </w:t>
      </w:r>
      <w:r w:rsidRPr="001E1EF3">
        <w:rPr>
          <w:color w:val="auto"/>
          <w:sz w:val="18"/>
          <w:vertAlign w:val="superscript"/>
          <w:lang w:val="it-IT"/>
        </w:rPr>
        <w:t>1</w:t>
      </w:r>
    </w:p>
    <w:p w14:paraId="4AFC4B25"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s-ES"/>
        </w:rPr>
      </w:pPr>
      <w:r w:rsidRPr="00C34819">
        <w:rPr>
          <w:color w:val="auto"/>
          <w:sz w:val="18"/>
          <w:lang w:val="es-ES"/>
        </w:rPr>
        <w:t>Comisión Nacional de Acuacultura y Pesca (CONAPESCA), 82100 Mazatlán, Sinaloa</w:t>
      </w:r>
    </w:p>
    <w:p w14:paraId="4BDB9D16"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b/>
          <w:color w:val="auto"/>
          <w:lang w:val="es-ES"/>
        </w:rPr>
      </w:pPr>
    </w:p>
    <w:p w14:paraId="43263C3E"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763BF7">
        <w:rPr>
          <w:b/>
          <w:color w:val="auto"/>
          <w:lang w:val="en-US"/>
        </w:rPr>
        <w:t>NAMIBIE</w:t>
      </w:r>
    </w:p>
    <w:p w14:paraId="2CE1FBE7"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763BF7">
        <w:rPr>
          <w:b/>
          <w:color w:val="auto"/>
          <w:sz w:val="18"/>
          <w:lang w:val="en-US"/>
        </w:rPr>
        <w:t>Jagger</w:t>
      </w:r>
      <w:r w:rsidRPr="00763BF7">
        <w:rPr>
          <w:color w:val="auto"/>
          <w:sz w:val="18"/>
          <w:lang w:val="en-US"/>
        </w:rPr>
        <w:t>, Charmaine</w:t>
      </w:r>
    </w:p>
    <w:p w14:paraId="74899D8A"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Fisheries Biologist: Large Pelagic Section, Pelagic Resources, Research Management, Ministry of Agriculture, Fisheries, Water and Land Reform, National Marine Information and Research Centre (</w:t>
      </w:r>
      <w:proofErr w:type="spellStart"/>
      <w:r w:rsidRPr="00C34819">
        <w:rPr>
          <w:color w:val="auto"/>
          <w:sz w:val="18"/>
          <w:lang w:val="en-US"/>
        </w:rPr>
        <w:t>NatMIRC</w:t>
      </w:r>
      <w:proofErr w:type="spellEnd"/>
      <w:r w:rsidRPr="00C34819">
        <w:rPr>
          <w:color w:val="auto"/>
          <w:sz w:val="18"/>
          <w:lang w:val="en-US"/>
        </w:rPr>
        <w:t>), P.O. Box 912 Swakopmund, 1 Strand Street</w:t>
      </w:r>
    </w:p>
    <w:p w14:paraId="5E6DA20E"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+264 64 410 1000; +264 81 801 0960, E-Mail: Charmaine.Jagger@mfmr.gov.na; chajagger2014@gmail.com</w:t>
      </w:r>
    </w:p>
    <w:p w14:paraId="2EEED4B8"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jc w:val="left"/>
        <w:rPr>
          <w:b/>
          <w:color w:val="auto"/>
          <w:lang w:val="pt-PT"/>
        </w:rPr>
      </w:pPr>
    </w:p>
    <w:p w14:paraId="1B636452"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34819">
        <w:rPr>
          <w:b/>
          <w:color w:val="auto"/>
          <w:lang w:val="en-US"/>
        </w:rPr>
        <w:t>NIGERIA</w:t>
      </w:r>
    </w:p>
    <w:p w14:paraId="4F0C7096"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34819">
        <w:rPr>
          <w:b/>
          <w:color w:val="auto"/>
          <w:sz w:val="18"/>
          <w:lang w:val="en-US"/>
        </w:rPr>
        <w:t>Garba</w:t>
      </w:r>
      <w:r w:rsidRPr="00C34819">
        <w:rPr>
          <w:color w:val="auto"/>
          <w:sz w:val="18"/>
          <w:lang w:val="en-US"/>
        </w:rPr>
        <w:t>, Usman *</w:t>
      </w:r>
    </w:p>
    <w:p w14:paraId="2B47F951"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Ministry of Marine and Blue Economy, Department of Fisheries and Aquaculture, 1 Wilmont Point Road, Off Ahmadu Bello Way, 101241 Victoria Island, Lagos</w:t>
      </w:r>
    </w:p>
    <w:p w14:paraId="03347591"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+234 802 086 3461; +234 706 819 6006, E-Mail: garbashafa@gmail.com</w:t>
      </w:r>
    </w:p>
    <w:p w14:paraId="0E8EE6B0"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1B34AB75"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proofErr w:type="spellStart"/>
      <w:r w:rsidRPr="00C34819">
        <w:rPr>
          <w:b/>
          <w:color w:val="auto"/>
          <w:sz w:val="18"/>
          <w:lang w:val="en-US"/>
        </w:rPr>
        <w:t>Hungevu</w:t>
      </w:r>
      <w:proofErr w:type="spellEnd"/>
      <w:r w:rsidRPr="00C34819">
        <w:rPr>
          <w:color w:val="auto"/>
          <w:sz w:val="18"/>
          <w:lang w:val="en-US"/>
        </w:rPr>
        <w:t>, Ruth Funmilola</w:t>
      </w:r>
    </w:p>
    <w:p w14:paraId="4EA276DA"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Data Analyst for Nigeria, Federal Ministry of Marine and Blue Economy, Federal Department of Fisheries &amp; Aquaculture, 1 Wilmot Point, Off Ahmadu Bello, Victoria Island, Lagos, 101241</w:t>
      </w:r>
    </w:p>
    <w:p w14:paraId="49B670BF"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+234 803 071 3503, E-Mail: olufunmiomotade@gmail.com</w:t>
      </w:r>
    </w:p>
    <w:p w14:paraId="77102A46"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4232A5EF"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C34819">
        <w:rPr>
          <w:b/>
          <w:color w:val="auto"/>
          <w:lang w:val="es-ES"/>
        </w:rPr>
        <w:t>PANAMA</w:t>
      </w:r>
    </w:p>
    <w:p w14:paraId="2C1487E2"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C34819">
        <w:rPr>
          <w:b/>
          <w:color w:val="auto"/>
          <w:sz w:val="18"/>
          <w:lang w:val="es-ES"/>
        </w:rPr>
        <w:t>Vergara</w:t>
      </w:r>
      <w:r w:rsidRPr="00C34819">
        <w:rPr>
          <w:color w:val="auto"/>
          <w:sz w:val="18"/>
          <w:lang w:val="es-ES"/>
        </w:rPr>
        <w:t>, Yarkelia</w:t>
      </w:r>
    </w:p>
    <w:p w14:paraId="2AADBC93"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s-ES"/>
        </w:rPr>
      </w:pPr>
      <w:r w:rsidRPr="00C34819">
        <w:rPr>
          <w:color w:val="auto"/>
          <w:sz w:val="18"/>
          <w:lang w:val="es-ES"/>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66281437"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s-ES"/>
        </w:rPr>
      </w:pPr>
      <w:r w:rsidRPr="00C34819">
        <w:rPr>
          <w:color w:val="auto"/>
          <w:sz w:val="18"/>
          <w:lang w:val="es-ES"/>
        </w:rPr>
        <w:t>Tel: +507 511 6008 (ext. 359), E-Mail: yvergara@arap.gob.pa; hsfs@arap.gob.pa</w:t>
      </w:r>
    </w:p>
    <w:p w14:paraId="2A9C6064"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b/>
          <w:color w:val="auto"/>
          <w:sz w:val="18"/>
          <w:lang w:val="es-ES"/>
        </w:rPr>
      </w:pPr>
    </w:p>
    <w:p w14:paraId="4C2AB112"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proofErr w:type="spellStart"/>
      <w:r w:rsidRPr="00C34819">
        <w:rPr>
          <w:b/>
          <w:color w:val="auto"/>
          <w:sz w:val="18"/>
          <w:lang w:val="es-ES"/>
        </w:rPr>
        <w:t>Achón</w:t>
      </w:r>
      <w:proofErr w:type="spellEnd"/>
      <w:r w:rsidRPr="00C34819">
        <w:rPr>
          <w:color w:val="auto"/>
          <w:sz w:val="18"/>
          <w:lang w:val="es-ES"/>
        </w:rPr>
        <w:t>, Giselle</w:t>
      </w:r>
    </w:p>
    <w:p w14:paraId="1CD7EA17"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s-ES"/>
        </w:rPr>
      </w:pPr>
      <w:r w:rsidRPr="00C34819">
        <w:rPr>
          <w:color w:val="auto"/>
          <w:sz w:val="18"/>
          <w:lang w:val="es-ES"/>
        </w:rPr>
        <w:t>Autoridad de los Recursos Acuáticos de Panamá ARAP, Ciudad de Panamá, Edificio La Riviera, Calle 45 Este y Avenida Cuba, 0801</w:t>
      </w:r>
    </w:p>
    <w:p w14:paraId="223C3313"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+507 511 6000, E-Mail: gachon@arap.gob.pa</w:t>
      </w:r>
    </w:p>
    <w:p w14:paraId="7A8014A6"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1EA51FB7"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r w:rsidRPr="001E1EF3">
        <w:rPr>
          <w:b/>
          <w:color w:val="auto"/>
          <w:sz w:val="18"/>
        </w:rPr>
        <w:t>Ellington</w:t>
      </w:r>
      <w:r w:rsidRPr="001E1EF3">
        <w:rPr>
          <w:color w:val="auto"/>
          <w:sz w:val="18"/>
        </w:rPr>
        <w:t>, Christie</w:t>
      </w:r>
    </w:p>
    <w:p w14:paraId="3FBE6940"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s-ES"/>
        </w:rPr>
      </w:pPr>
      <w:r w:rsidRPr="00C34819">
        <w:rPr>
          <w:color w:val="auto"/>
          <w:sz w:val="18"/>
          <w:lang w:val="es-ES"/>
        </w:rPr>
        <w:t>Autoridad de los Recursos Acuáticos de Panamá - ARAP, Edificio Riviera, Ave. Justo Arosemena, Calle 45 Bella Vista, 07096</w:t>
      </w:r>
    </w:p>
    <w:p w14:paraId="06D897D1"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+507 674 90271; +507 511 6019, E-Mail: cellington@arap.gob.pa</w:t>
      </w:r>
    </w:p>
    <w:p w14:paraId="3E44DF0E"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732DE36A"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1E1EF3">
        <w:rPr>
          <w:b/>
          <w:color w:val="auto"/>
          <w:sz w:val="18"/>
          <w:lang w:val="it-IT"/>
        </w:rPr>
        <w:t>Madrid</w:t>
      </w:r>
      <w:r w:rsidRPr="001E1EF3">
        <w:rPr>
          <w:color w:val="auto"/>
          <w:sz w:val="18"/>
          <w:lang w:val="it-IT"/>
        </w:rPr>
        <w:t>, Yessica</w:t>
      </w:r>
    </w:p>
    <w:p w14:paraId="427A56B7"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s-ES"/>
        </w:rPr>
      </w:pPr>
      <w:r w:rsidRPr="00C34819">
        <w:rPr>
          <w:color w:val="auto"/>
          <w:sz w:val="18"/>
          <w:lang w:val="es-ES"/>
        </w:rPr>
        <w:t>Autoridad de los Recursos Acuáticos de Panamá ARAP, Ciudad de Panamá, Edificio La Riviera, Calle 45 Este y Avenida Cuba, 0801</w:t>
      </w:r>
    </w:p>
    <w:p w14:paraId="6A5D7209"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+507 511 6000, E-Mail: ymadrid@arap.gob.pa</w:t>
      </w:r>
    </w:p>
    <w:p w14:paraId="1DECAF05"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1C030DF0"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b/>
          <w:color w:val="auto"/>
          <w:sz w:val="18"/>
        </w:rPr>
      </w:pPr>
      <w:r w:rsidRPr="00C34819">
        <w:rPr>
          <w:b/>
          <w:lang w:eastAsia="en-GB"/>
        </w:rPr>
        <w:t>ROYAUME-UNI DE GRANDE-BRETAGNE ET D'IRLANDE DU NORD</w:t>
      </w:r>
    </w:p>
    <w:p w14:paraId="3C3A6FBA"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34819">
        <w:rPr>
          <w:b/>
          <w:color w:val="auto"/>
          <w:sz w:val="18"/>
          <w:lang w:val="en-US"/>
        </w:rPr>
        <w:t>Maraj</w:t>
      </w:r>
      <w:r w:rsidRPr="00C34819">
        <w:rPr>
          <w:color w:val="auto"/>
          <w:sz w:val="18"/>
          <w:lang w:val="en-US"/>
        </w:rPr>
        <w:t>, Aude</w:t>
      </w:r>
    </w:p>
    <w:p w14:paraId="28DD0D9C"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 xml:space="preserve">Seacole Building 2 </w:t>
      </w:r>
      <w:proofErr w:type="spellStart"/>
      <w:r w:rsidRPr="00C34819">
        <w:rPr>
          <w:color w:val="auto"/>
          <w:sz w:val="18"/>
          <w:lang w:val="en-US"/>
        </w:rPr>
        <w:t>Marsham</w:t>
      </w:r>
      <w:proofErr w:type="spellEnd"/>
      <w:r w:rsidRPr="00C34819">
        <w:rPr>
          <w:color w:val="auto"/>
          <w:sz w:val="18"/>
          <w:lang w:val="en-US"/>
        </w:rPr>
        <w:t xml:space="preserve"> Street, London SW1P 4DF</w:t>
      </w:r>
    </w:p>
    <w:p w14:paraId="435FE7BF"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rPr>
          <w:b/>
          <w:color w:val="auto"/>
          <w:sz w:val="18"/>
          <w:lang w:val="pt-PT"/>
        </w:rPr>
      </w:pPr>
      <w:r w:rsidRPr="00C34819">
        <w:rPr>
          <w:color w:val="auto"/>
          <w:sz w:val="18"/>
          <w:lang w:val="pt-PT"/>
        </w:rPr>
        <w:t>Tel: +44 738 522 5291, E-Mail: Aude.Maraj@marinemanagement.org.uk</w:t>
      </w:r>
      <w:r w:rsidRPr="00763BF7">
        <w:rPr>
          <w:b/>
          <w:color w:val="auto"/>
          <w:sz w:val="18"/>
          <w:lang w:val="pt-PT"/>
        </w:rPr>
        <w:br w:type="page"/>
      </w:r>
    </w:p>
    <w:p w14:paraId="514A6E91"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34819">
        <w:rPr>
          <w:b/>
          <w:color w:val="auto"/>
          <w:sz w:val="18"/>
          <w:lang w:val="en-US"/>
        </w:rPr>
        <w:lastRenderedPageBreak/>
        <w:t>O’Shaughnessy</w:t>
      </w:r>
      <w:r w:rsidRPr="00C34819">
        <w:rPr>
          <w:color w:val="auto"/>
          <w:sz w:val="18"/>
          <w:lang w:val="en-US"/>
        </w:rPr>
        <w:t>, Andrea</w:t>
      </w:r>
    </w:p>
    <w:p w14:paraId="2F8084E6"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 xml:space="preserve">Marine Management </w:t>
      </w:r>
      <w:proofErr w:type="spellStart"/>
      <w:r w:rsidRPr="00C34819">
        <w:rPr>
          <w:color w:val="auto"/>
          <w:sz w:val="18"/>
          <w:lang w:val="en-US"/>
        </w:rPr>
        <w:t>Organisation</w:t>
      </w:r>
      <w:proofErr w:type="spellEnd"/>
      <w:r w:rsidRPr="00C34819">
        <w:rPr>
          <w:color w:val="auto"/>
          <w:sz w:val="18"/>
          <w:lang w:val="en-US"/>
        </w:rPr>
        <w:t xml:space="preserve"> (MMO), Lancaster House, Hampshire, Newcastle upon Tyne NE4 7YH</w:t>
      </w:r>
    </w:p>
    <w:p w14:paraId="70772552"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+44 208 225 8972, E-Mail: andrea.o'shaughnessy@marinemanagement.org.uk</w:t>
      </w:r>
    </w:p>
    <w:p w14:paraId="25DFBCB7"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b/>
          <w:color w:val="auto"/>
          <w:sz w:val="18"/>
          <w:lang w:val="pt-PT"/>
        </w:rPr>
      </w:pPr>
    </w:p>
    <w:p w14:paraId="13579120"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34819">
        <w:rPr>
          <w:b/>
          <w:color w:val="auto"/>
          <w:sz w:val="18"/>
          <w:lang w:val="en-US"/>
        </w:rPr>
        <w:t>Peel</w:t>
      </w:r>
      <w:r w:rsidRPr="00C34819">
        <w:rPr>
          <w:color w:val="auto"/>
          <w:sz w:val="18"/>
          <w:lang w:val="en-US"/>
        </w:rPr>
        <w:t>, Michael</w:t>
      </w:r>
    </w:p>
    <w:p w14:paraId="21672788"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 xml:space="preserve">Department for Environment, Food and Rural Affairs - Defra, 2 </w:t>
      </w:r>
      <w:proofErr w:type="spellStart"/>
      <w:r w:rsidRPr="00C34819">
        <w:rPr>
          <w:color w:val="auto"/>
          <w:sz w:val="18"/>
          <w:lang w:val="en-US"/>
        </w:rPr>
        <w:t>Marsham</w:t>
      </w:r>
      <w:proofErr w:type="spellEnd"/>
      <w:r w:rsidRPr="00C34819">
        <w:rPr>
          <w:color w:val="auto"/>
          <w:sz w:val="18"/>
          <w:lang w:val="en-US"/>
        </w:rPr>
        <w:t xml:space="preserve"> Street, London SW1P 4DF</w:t>
      </w:r>
    </w:p>
    <w:p w14:paraId="0D645B02"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+44 798 418 9608, E-Mail: michael.peel@defra.gov.uk</w:t>
      </w:r>
    </w:p>
    <w:p w14:paraId="5E0423F5"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jc w:val="left"/>
        <w:rPr>
          <w:b/>
          <w:color w:val="auto"/>
          <w:lang w:val="pt-PT"/>
        </w:rPr>
      </w:pPr>
    </w:p>
    <w:p w14:paraId="5FE44BBD"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1E1EF3">
        <w:rPr>
          <w:b/>
          <w:color w:val="auto"/>
          <w:lang w:val="it-IT"/>
        </w:rPr>
        <w:t>SAINT-VINCENT-ET-LES GRENADINES</w:t>
      </w:r>
    </w:p>
    <w:p w14:paraId="543A746A"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1E1EF3">
        <w:rPr>
          <w:b/>
          <w:color w:val="auto"/>
          <w:sz w:val="18"/>
          <w:lang w:val="en-US"/>
        </w:rPr>
        <w:t>Connell</w:t>
      </w:r>
      <w:r w:rsidRPr="001E1EF3">
        <w:rPr>
          <w:color w:val="auto"/>
          <w:sz w:val="18"/>
          <w:lang w:val="en-US"/>
        </w:rPr>
        <w:t>, Shamal</w:t>
      </w:r>
    </w:p>
    <w:p w14:paraId="6190EFC8"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 xml:space="preserve">Fisheries Officer, Fisheries Division, Ministry of Agriculture, Forestry, Fisheries, Rural Transformation, Industry and </w:t>
      </w:r>
      <w:proofErr w:type="spellStart"/>
      <w:r w:rsidRPr="00C34819">
        <w:rPr>
          <w:color w:val="auto"/>
          <w:sz w:val="18"/>
          <w:lang w:val="en-US"/>
        </w:rPr>
        <w:t>Labour</w:t>
      </w:r>
      <w:proofErr w:type="spellEnd"/>
      <w:r w:rsidRPr="00C34819">
        <w:rPr>
          <w:color w:val="auto"/>
          <w:sz w:val="18"/>
          <w:lang w:val="en-US"/>
        </w:rPr>
        <w:t>, Government of St Vincent and the Grenadines, VC0100 Kingstown</w:t>
      </w:r>
    </w:p>
    <w:p w14:paraId="104BAD5E"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p>
    <w:p w14:paraId="42469D3B"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34819">
        <w:rPr>
          <w:b/>
          <w:color w:val="auto"/>
          <w:sz w:val="18"/>
          <w:lang w:val="en-US"/>
        </w:rPr>
        <w:t>Thomas</w:t>
      </w:r>
      <w:r w:rsidRPr="00C34819">
        <w:rPr>
          <w:color w:val="auto"/>
          <w:sz w:val="18"/>
          <w:lang w:val="en-US"/>
        </w:rPr>
        <w:t>, Allison</w:t>
      </w:r>
    </w:p>
    <w:p w14:paraId="2A0AAF1C"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Fisheries Division Kingstown St Vincent &amp; The Grenadines, VC0100 Kingstown</w:t>
      </w:r>
    </w:p>
    <w:p w14:paraId="76EC945E"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+1 784 456 2738, E-Mail: allithomas294@gmail.com</w:t>
      </w:r>
    </w:p>
    <w:p w14:paraId="6D04DA20" w14:textId="77777777" w:rsidR="00763BF7" w:rsidRPr="00763BF7" w:rsidRDefault="00763BF7" w:rsidP="00763BF7">
      <w:pPr>
        <w:rPr>
          <w:b/>
          <w:lang w:val="pt-PT" w:eastAsia="en-GB"/>
        </w:rPr>
      </w:pPr>
    </w:p>
    <w:p w14:paraId="6E30E0C1" w14:textId="77777777" w:rsidR="00763BF7" w:rsidRPr="00C34819" w:rsidRDefault="00763BF7" w:rsidP="00763BF7">
      <w:pPr>
        <w:rPr>
          <w:lang w:eastAsia="en-GB"/>
        </w:rPr>
      </w:pPr>
      <w:r w:rsidRPr="00C34819">
        <w:rPr>
          <w:b/>
          <w:lang w:eastAsia="en-GB"/>
        </w:rPr>
        <w:t>SÉNÉGAL</w:t>
      </w:r>
    </w:p>
    <w:p w14:paraId="642B31F0"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r w:rsidRPr="00C34819">
        <w:rPr>
          <w:b/>
          <w:color w:val="auto"/>
          <w:sz w:val="18"/>
        </w:rPr>
        <w:t>Diouf</w:t>
      </w:r>
      <w:r w:rsidRPr="00C34819">
        <w:rPr>
          <w:color w:val="auto"/>
          <w:sz w:val="18"/>
        </w:rPr>
        <w:t>, Ibrahima</w:t>
      </w:r>
    </w:p>
    <w:p w14:paraId="6827BEB1"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r w:rsidRPr="00C34819">
        <w:rPr>
          <w:color w:val="auto"/>
          <w:sz w:val="18"/>
        </w:rPr>
        <w:t>Ingénieur des Pêches, Direction des Pêches Maritimes, Chef de la Division de la pêche industrielle, Sphère ministérielle Ousmane Tanor DIENG, Immeuble D, 2e étage, Diamniadio, BP 289 Dakar</w:t>
      </w:r>
    </w:p>
    <w:p w14:paraId="57CB8BD4"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+221 541 4764, Fax: +221 338 602 465, E-Mail: ivesdiouf@gmail.com</w:t>
      </w:r>
    </w:p>
    <w:p w14:paraId="36C023B3"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04266226"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34819">
        <w:rPr>
          <w:b/>
          <w:color w:val="auto"/>
          <w:sz w:val="18"/>
          <w:lang w:val="pt-PT"/>
        </w:rPr>
        <w:t>Gueye</w:t>
      </w:r>
      <w:r w:rsidRPr="00C34819">
        <w:rPr>
          <w:color w:val="auto"/>
          <w:sz w:val="18"/>
          <w:lang w:val="pt-PT"/>
        </w:rPr>
        <w:t>, Assane</w:t>
      </w:r>
    </w:p>
    <w:p w14:paraId="4F8FF04B"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r w:rsidRPr="00C34819">
        <w:rPr>
          <w:color w:val="auto"/>
          <w:sz w:val="18"/>
        </w:rPr>
        <w:t xml:space="preserve">Conseiller Technique auprès du Directeur, Direction de la Protection et de la Surveillance des Pêches (DPSP), Cité Fenêtres Mermoz – Dakar – Corniche Ouest, </w:t>
      </w:r>
      <w:proofErr w:type="gramStart"/>
      <w:r w:rsidRPr="00C34819">
        <w:rPr>
          <w:color w:val="auto"/>
          <w:sz w:val="18"/>
        </w:rPr>
        <w:t>BP:</w:t>
      </w:r>
      <w:proofErr w:type="gramEnd"/>
      <w:r w:rsidRPr="00C34819">
        <w:rPr>
          <w:color w:val="auto"/>
          <w:sz w:val="18"/>
        </w:rPr>
        <w:t xml:space="preserve"> 3656</w:t>
      </w:r>
    </w:p>
    <w:p w14:paraId="600258B1"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+221 776 342 953; +221 338 602 465, E-Mail: assaneg@hotmail.fr</w:t>
      </w:r>
    </w:p>
    <w:p w14:paraId="55116A46"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b/>
          <w:color w:val="auto"/>
          <w:sz w:val="18"/>
          <w:lang w:val="pt-PT"/>
        </w:rPr>
      </w:pPr>
    </w:p>
    <w:p w14:paraId="1826CF75"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1E1EF3">
        <w:rPr>
          <w:b/>
          <w:color w:val="auto"/>
          <w:sz w:val="18"/>
          <w:lang w:val="it-IT"/>
        </w:rPr>
        <w:t>Niang</w:t>
      </w:r>
      <w:r w:rsidRPr="001E1EF3">
        <w:rPr>
          <w:color w:val="auto"/>
          <w:sz w:val="18"/>
          <w:lang w:val="it-IT"/>
        </w:rPr>
        <w:t xml:space="preserve">, </w:t>
      </w:r>
      <w:proofErr w:type="spellStart"/>
      <w:r w:rsidRPr="001E1EF3">
        <w:rPr>
          <w:color w:val="auto"/>
          <w:sz w:val="18"/>
          <w:lang w:val="it-IT"/>
        </w:rPr>
        <w:t>Magatte</w:t>
      </w:r>
      <w:proofErr w:type="spellEnd"/>
    </w:p>
    <w:p w14:paraId="23F16EAF"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r w:rsidRPr="00C34819">
        <w:rPr>
          <w:color w:val="auto"/>
          <w:sz w:val="18"/>
        </w:rPr>
        <w:t xml:space="preserve">Chef du Bureau des Observateurs de la Direction de la Protection et de Ia Surveillance des Pêches (DPSP), Fenêtre Mermoz, Corniche Ouest, </w:t>
      </w:r>
      <w:proofErr w:type="gramStart"/>
      <w:r w:rsidRPr="00C34819">
        <w:rPr>
          <w:color w:val="auto"/>
          <w:sz w:val="18"/>
        </w:rPr>
        <w:t>BP:</w:t>
      </w:r>
      <w:proofErr w:type="gramEnd"/>
      <w:r w:rsidRPr="00C34819">
        <w:rPr>
          <w:color w:val="auto"/>
          <w:sz w:val="18"/>
        </w:rPr>
        <w:t xml:space="preserve"> 3656 Dakar</w:t>
      </w:r>
    </w:p>
    <w:p w14:paraId="002FE561"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sz w:val="18"/>
          <w:lang w:val="pt-PT"/>
        </w:rPr>
      </w:pPr>
      <w:r w:rsidRPr="00C34819">
        <w:rPr>
          <w:color w:val="auto"/>
          <w:sz w:val="18"/>
          <w:lang w:val="pt-PT"/>
        </w:rPr>
        <w:t xml:space="preserve">Tel: +221 775 854 440, E-Mail: </w:t>
      </w:r>
      <w:r>
        <w:fldChar w:fldCharType="begin"/>
      </w:r>
      <w:r w:rsidRPr="001E1EF3">
        <w:rPr>
          <w:lang w:val="es-ES"/>
        </w:rPr>
        <w:instrText>HYPERLINK "mailto:niangmagatte966@gmail.com"</w:instrText>
      </w:r>
      <w:r>
        <w:fldChar w:fldCharType="separate"/>
      </w:r>
      <w:r w:rsidRPr="00C34819">
        <w:rPr>
          <w:rStyle w:val="Hyperlink"/>
          <w:sz w:val="18"/>
          <w:lang w:val="pt-PT"/>
        </w:rPr>
        <w:t>niangmagatte966@gmail.com</w:t>
      </w:r>
      <w:r>
        <w:fldChar w:fldCharType="end"/>
      </w:r>
    </w:p>
    <w:p w14:paraId="487F5763"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b/>
          <w:color w:val="auto"/>
          <w:sz w:val="18"/>
          <w:lang w:val="pt-PT"/>
        </w:rPr>
      </w:pPr>
    </w:p>
    <w:p w14:paraId="58483DB1"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proofErr w:type="spellStart"/>
      <w:r w:rsidRPr="001E1EF3">
        <w:rPr>
          <w:b/>
          <w:color w:val="auto"/>
          <w:sz w:val="18"/>
          <w:lang w:val="es-ES"/>
        </w:rPr>
        <w:t>Sèye</w:t>
      </w:r>
      <w:proofErr w:type="spellEnd"/>
      <w:r w:rsidRPr="001E1EF3">
        <w:rPr>
          <w:color w:val="auto"/>
          <w:sz w:val="18"/>
          <w:lang w:val="es-ES"/>
        </w:rPr>
        <w:t>, Mamadou</w:t>
      </w:r>
    </w:p>
    <w:p w14:paraId="66739786"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r w:rsidRPr="00C34819">
        <w:rPr>
          <w:color w:val="auto"/>
          <w:sz w:val="18"/>
        </w:rPr>
        <w:t>Ingénieur des Pêches, Chef de la Division Gestion et Aménagement des Pêcheries, Direction des Pêches Maritimes, Sphère Ministérielle Ousmane Tanor Dieng, Bâtiment D, 2è étage, Diamniadio, BP 289 Dakar</w:t>
      </w:r>
    </w:p>
    <w:p w14:paraId="7B88E2EB"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proofErr w:type="gramStart"/>
      <w:r w:rsidRPr="00763BF7">
        <w:rPr>
          <w:color w:val="auto"/>
          <w:sz w:val="18"/>
        </w:rPr>
        <w:t>Tel:</w:t>
      </w:r>
      <w:proofErr w:type="gramEnd"/>
      <w:r w:rsidRPr="00763BF7">
        <w:rPr>
          <w:color w:val="auto"/>
          <w:sz w:val="18"/>
        </w:rPr>
        <w:t xml:space="preserve"> +221 77 841 83 94, </w:t>
      </w:r>
      <w:proofErr w:type="gramStart"/>
      <w:r w:rsidRPr="00763BF7">
        <w:rPr>
          <w:color w:val="auto"/>
          <w:sz w:val="18"/>
        </w:rPr>
        <w:t>Fax:</w:t>
      </w:r>
      <w:proofErr w:type="gramEnd"/>
      <w:r w:rsidRPr="00763BF7">
        <w:rPr>
          <w:color w:val="auto"/>
          <w:sz w:val="18"/>
        </w:rPr>
        <w:t xml:space="preserve"> +221 821 47 58, </w:t>
      </w:r>
      <w:proofErr w:type="gramStart"/>
      <w:r w:rsidRPr="00763BF7">
        <w:rPr>
          <w:color w:val="auto"/>
          <w:sz w:val="18"/>
        </w:rPr>
        <w:t>E-Mail:</w:t>
      </w:r>
      <w:proofErr w:type="gramEnd"/>
      <w:r w:rsidRPr="00763BF7">
        <w:rPr>
          <w:color w:val="auto"/>
          <w:sz w:val="18"/>
        </w:rPr>
        <w:t xml:space="preserve"> </w:t>
      </w:r>
      <w:proofErr w:type="gramStart"/>
      <w:r w:rsidRPr="00763BF7">
        <w:rPr>
          <w:color w:val="auto"/>
          <w:sz w:val="18"/>
        </w:rPr>
        <w:t>mdseye@gmail.com;</w:t>
      </w:r>
      <w:proofErr w:type="gramEnd"/>
      <w:r w:rsidRPr="00763BF7">
        <w:rPr>
          <w:color w:val="auto"/>
          <w:sz w:val="18"/>
        </w:rPr>
        <w:t xml:space="preserve"> </w:t>
      </w:r>
      <w:proofErr w:type="gramStart"/>
      <w:r w:rsidRPr="00763BF7">
        <w:rPr>
          <w:color w:val="auto"/>
          <w:sz w:val="18"/>
        </w:rPr>
        <w:t>mdseye1@gmail.com;</w:t>
      </w:r>
      <w:proofErr w:type="gramEnd"/>
      <w:r w:rsidRPr="00763BF7">
        <w:rPr>
          <w:color w:val="auto"/>
          <w:sz w:val="18"/>
        </w:rPr>
        <w:t xml:space="preserve"> mdouseye@yahoo.fr</w:t>
      </w:r>
    </w:p>
    <w:p w14:paraId="4D763925"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p>
    <w:p w14:paraId="4B7B304F"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r w:rsidRPr="00763BF7">
        <w:rPr>
          <w:b/>
          <w:color w:val="auto"/>
        </w:rPr>
        <w:t>RÉPUBLIQUE ARABE SYRIENNE</w:t>
      </w:r>
    </w:p>
    <w:p w14:paraId="4FF927CE"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proofErr w:type="spellStart"/>
      <w:r w:rsidRPr="001E1EF3">
        <w:rPr>
          <w:b/>
          <w:color w:val="auto"/>
          <w:sz w:val="18"/>
          <w:lang w:val="en-US"/>
        </w:rPr>
        <w:t>Gharqan</w:t>
      </w:r>
      <w:proofErr w:type="spellEnd"/>
      <w:r w:rsidRPr="001E1EF3">
        <w:rPr>
          <w:color w:val="auto"/>
          <w:sz w:val="18"/>
          <w:lang w:val="en-US"/>
        </w:rPr>
        <w:t>, Ziyad</w:t>
      </w:r>
    </w:p>
    <w:p w14:paraId="2478F343"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 xml:space="preserve">Representative of the Director General, Director of International Cooperation, Al Salam ST, </w:t>
      </w:r>
      <w:proofErr w:type="spellStart"/>
      <w:r w:rsidRPr="00C34819">
        <w:rPr>
          <w:color w:val="auto"/>
          <w:sz w:val="18"/>
          <w:lang w:val="en-US"/>
        </w:rPr>
        <w:t>Binnish</w:t>
      </w:r>
      <w:proofErr w:type="spellEnd"/>
      <w:r w:rsidRPr="00C34819">
        <w:rPr>
          <w:color w:val="auto"/>
          <w:sz w:val="18"/>
          <w:lang w:val="en-US"/>
        </w:rPr>
        <w:t>, Idleb</w:t>
      </w:r>
    </w:p>
    <w:p w14:paraId="4F191A9E"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+963 968 059 005, E-Mail: ziadgharqan@gmail.com</w:t>
      </w:r>
    </w:p>
    <w:p w14:paraId="111F11F8"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70010027"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34819">
        <w:rPr>
          <w:b/>
          <w:color w:val="auto"/>
          <w:lang w:val="en-US"/>
        </w:rPr>
        <w:t>TÜRKIYE</w:t>
      </w:r>
    </w:p>
    <w:p w14:paraId="716FC6AF"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34819">
        <w:rPr>
          <w:b/>
          <w:color w:val="auto"/>
          <w:sz w:val="18"/>
          <w:lang w:val="en-US"/>
        </w:rPr>
        <w:t>Erdem</w:t>
      </w:r>
      <w:r w:rsidRPr="00C34819">
        <w:rPr>
          <w:color w:val="auto"/>
          <w:sz w:val="18"/>
          <w:lang w:val="en-US"/>
        </w:rPr>
        <w:t>, Ercan</w:t>
      </w:r>
    </w:p>
    <w:p w14:paraId="682624C7"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en-US"/>
        </w:rPr>
        <w:t xml:space="preserve">Senior Fisheries Officer, Ministry of Agriculture and Forestry (MoAF), General Directorate of Fisheries and Aquaculture, </w:t>
      </w:r>
      <w:proofErr w:type="spellStart"/>
      <w:r w:rsidRPr="00C34819">
        <w:rPr>
          <w:color w:val="auto"/>
          <w:sz w:val="18"/>
          <w:lang w:val="en-US"/>
        </w:rPr>
        <w:t>Üniversiteler</w:t>
      </w:r>
      <w:proofErr w:type="spellEnd"/>
      <w:r w:rsidRPr="00C34819">
        <w:rPr>
          <w:color w:val="auto"/>
          <w:sz w:val="18"/>
          <w:lang w:val="en-US"/>
        </w:rPr>
        <w:t xml:space="preserve"> Mah. </w:t>
      </w:r>
      <w:r w:rsidRPr="00C34819">
        <w:rPr>
          <w:color w:val="auto"/>
          <w:sz w:val="18"/>
          <w:lang w:val="pt-PT"/>
        </w:rPr>
        <w:t>Dumlupınar Bulvarı, No: 161 / 1-0, 06800 Ankara</w:t>
      </w:r>
    </w:p>
    <w:p w14:paraId="1A5DD437"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+90 312 258 3162, Fax: +90 312 258 3039, E-Mail: ercan.erdem@tarimorman.gov.tr</w:t>
      </w:r>
    </w:p>
    <w:p w14:paraId="1CA3075E"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355E5C45"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34819">
        <w:rPr>
          <w:b/>
          <w:color w:val="auto"/>
          <w:sz w:val="18"/>
          <w:lang w:val="en-US"/>
        </w:rPr>
        <w:t>Topçu</w:t>
      </w:r>
      <w:r w:rsidRPr="00C34819">
        <w:rPr>
          <w:color w:val="auto"/>
          <w:sz w:val="18"/>
          <w:lang w:val="en-US"/>
        </w:rPr>
        <w:t>, Burcu Bilgin</w:t>
      </w:r>
    </w:p>
    <w:p w14:paraId="0006829C"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en-US"/>
        </w:rPr>
        <w:t xml:space="preserve">Senior Fisheries Officer, Ministry of Agriculture and Forestry, General Directorate of Fisheries and Aquaculture, </w:t>
      </w:r>
      <w:proofErr w:type="spellStart"/>
      <w:r w:rsidRPr="00C34819">
        <w:rPr>
          <w:color w:val="auto"/>
          <w:sz w:val="18"/>
          <w:lang w:val="en-US"/>
        </w:rPr>
        <w:t>Üniversiteler</w:t>
      </w:r>
      <w:proofErr w:type="spellEnd"/>
      <w:r w:rsidRPr="00C34819">
        <w:rPr>
          <w:color w:val="auto"/>
          <w:sz w:val="18"/>
          <w:lang w:val="en-US"/>
        </w:rPr>
        <w:t xml:space="preserve"> Mah. </w:t>
      </w:r>
      <w:r w:rsidRPr="00C34819">
        <w:rPr>
          <w:color w:val="auto"/>
          <w:sz w:val="18"/>
          <w:lang w:val="pt-PT"/>
        </w:rPr>
        <w:t>Dumlupınar Bulvarı, No: 161 / 1-6, 06800 Lodumlu, Ankara</w:t>
      </w:r>
    </w:p>
    <w:p w14:paraId="14CD4F59"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+90 532 207 0632; +90 312 258 3077, Fax: +90 312 258 30 39, E-Mail: burcu.bilgin@tarimorman.gov.tr; bilginburcu@gmail.com</w:t>
      </w:r>
    </w:p>
    <w:p w14:paraId="2369D769"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2E79A29E"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b/>
          <w:color w:val="auto"/>
          <w:lang w:val="pt-PT"/>
        </w:rPr>
      </w:pPr>
      <w:r w:rsidRPr="00C34819">
        <w:rPr>
          <w:b/>
          <w:color w:val="auto"/>
          <w:lang w:val="pt-PT"/>
        </w:rPr>
        <w:t>UNION EUROPÉENNE</w:t>
      </w:r>
    </w:p>
    <w:p w14:paraId="0B605600"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34819">
        <w:rPr>
          <w:b/>
          <w:color w:val="auto"/>
          <w:sz w:val="18"/>
          <w:lang w:val="pt-PT"/>
        </w:rPr>
        <w:t>Howard</w:t>
      </w:r>
      <w:r w:rsidRPr="00C34819">
        <w:rPr>
          <w:color w:val="auto"/>
          <w:sz w:val="18"/>
          <w:lang w:val="pt-PT"/>
        </w:rPr>
        <w:t>, Séamus</w:t>
      </w:r>
    </w:p>
    <w:p w14:paraId="09D0063C"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European Commission, DG MARE, Rue Joseph II 99, 1000 Brussels, Belgium</w:t>
      </w:r>
    </w:p>
    <w:p w14:paraId="0C8BE32C"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+32 229 50083; +32 488 258 038, E-Mail: seamus.howard@ec.europa.eu</w:t>
      </w:r>
    </w:p>
    <w:p w14:paraId="6D96CB60"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b/>
          <w:color w:val="auto"/>
          <w:sz w:val="18"/>
          <w:lang w:val="pt-PT"/>
        </w:rPr>
      </w:pPr>
    </w:p>
    <w:p w14:paraId="4D050B26"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34819">
        <w:rPr>
          <w:b/>
          <w:color w:val="auto"/>
          <w:sz w:val="18"/>
          <w:lang w:val="pt-PT"/>
        </w:rPr>
        <w:t>Berzins</w:t>
      </w:r>
      <w:r w:rsidRPr="00C34819">
        <w:rPr>
          <w:color w:val="auto"/>
          <w:sz w:val="18"/>
          <w:lang w:val="pt-PT"/>
        </w:rPr>
        <w:t>, Maris</w:t>
      </w:r>
    </w:p>
    <w:p w14:paraId="55899296"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Policy Officer, European Commission, DG MARE Unit C.4, Data Management, J II-99, 00/041, B-1049 Brussels, Belgium</w:t>
      </w:r>
    </w:p>
    <w:p w14:paraId="19C95FE8"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+322 299 5524, E-Mail: Maris.BERZINS@ec.europa.eu</w:t>
      </w:r>
    </w:p>
    <w:p w14:paraId="5D7111D5"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spacing w:after="160" w:line="257" w:lineRule="auto"/>
        <w:jc w:val="left"/>
        <w:rPr>
          <w:b/>
          <w:color w:val="auto"/>
          <w:sz w:val="18"/>
          <w:lang w:val="pt-PT"/>
        </w:rPr>
      </w:pPr>
      <w:r w:rsidRPr="00763BF7">
        <w:rPr>
          <w:b/>
          <w:color w:val="auto"/>
          <w:sz w:val="18"/>
          <w:lang w:val="pt-PT"/>
        </w:rPr>
        <w:br w:type="page"/>
      </w:r>
    </w:p>
    <w:p w14:paraId="55C60E51"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it-IT"/>
        </w:rPr>
      </w:pPr>
      <w:proofErr w:type="spellStart"/>
      <w:r w:rsidRPr="001E1EF3">
        <w:rPr>
          <w:b/>
          <w:color w:val="auto"/>
          <w:sz w:val="18"/>
          <w:lang w:val="it-IT"/>
        </w:rPr>
        <w:lastRenderedPageBreak/>
        <w:t>Bintoudi</w:t>
      </w:r>
      <w:proofErr w:type="spellEnd"/>
      <w:r w:rsidRPr="001E1EF3">
        <w:rPr>
          <w:color w:val="auto"/>
          <w:sz w:val="18"/>
          <w:lang w:val="it-IT"/>
        </w:rPr>
        <w:t>, Eleni</w:t>
      </w:r>
    </w:p>
    <w:p w14:paraId="2A200F85"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European Commission Directorate General for Maritime Affairs &amp; Fisheries (DG MARE) European Commission Directorate General for Maritime Affairs &amp; Fisheries (DG MARE), J 99-00/33 Rue Joseph II 99 1000, 1049 Brussels, Belgium</w:t>
      </w:r>
    </w:p>
    <w:p w14:paraId="2B002FD8"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+32 229 94403, E-Mail: eleni.bintoudi@ec.europa.eu</w:t>
      </w:r>
    </w:p>
    <w:p w14:paraId="413832BB"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b/>
          <w:color w:val="auto"/>
          <w:sz w:val="18"/>
          <w:lang w:val="pt-PT"/>
        </w:rPr>
      </w:pPr>
    </w:p>
    <w:p w14:paraId="23FF11CB"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34819">
        <w:rPr>
          <w:b/>
          <w:color w:val="auto"/>
          <w:sz w:val="18"/>
          <w:lang w:val="en-US"/>
        </w:rPr>
        <w:t>Khalil</w:t>
      </w:r>
      <w:r w:rsidRPr="00C34819">
        <w:rPr>
          <w:color w:val="auto"/>
          <w:sz w:val="18"/>
          <w:lang w:val="en-US"/>
        </w:rPr>
        <w:t>, Samira</w:t>
      </w:r>
    </w:p>
    <w:p w14:paraId="0B5A54C4"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European Commission, DG Maritime Affairs and Fisheries, Unit B-1 "International Affairs, Law of the Sea and RFOs", Joseph II - 99 3/74, 1049 Brussels, Belgium</w:t>
      </w:r>
    </w:p>
    <w:p w14:paraId="2372A9A3"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+32 2 298 03 39; +32 229 11111, E-Mail: samira.khalil@ec.europa.eu</w:t>
      </w:r>
    </w:p>
    <w:p w14:paraId="00E2A22B"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b/>
          <w:color w:val="auto"/>
          <w:sz w:val="18"/>
          <w:lang w:val="pt-PT"/>
        </w:rPr>
      </w:pPr>
    </w:p>
    <w:p w14:paraId="1173F7D5"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34819">
        <w:rPr>
          <w:b/>
          <w:color w:val="auto"/>
          <w:sz w:val="18"/>
          <w:lang w:val="en-US"/>
        </w:rPr>
        <w:t>Pavlou</w:t>
      </w:r>
      <w:r w:rsidRPr="00C34819">
        <w:rPr>
          <w:color w:val="auto"/>
          <w:sz w:val="18"/>
          <w:lang w:val="en-US"/>
        </w:rPr>
        <w:t>, Georgia</w:t>
      </w:r>
    </w:p>
    <w:p w14:paraId="28F7604D"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Statistical Agent, European Commission, DG Maritime Affairs and Fisheries, Unit C.4 - Data Management, J99 00/023, B-1049 Brussels, Belgium</w:t>
      </w:r>
    </w:p>
    <w:p w14:paraId="3536389C"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+32 2 29 84998, Fax: +32 2 29 86121, E-Mail: georgia.pavlou@ec.europa.eu</w:t>
      </w:r>
    </w:p>
    <w:p w14:paraId="7C269791"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6F918488"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34819">
        <w:rPr>
          <w:b/>
          <w:color w:val="auto"/>
          <w:sz w:val="18"/>
          <w:lang w:val="pt-PT"/>
        </w:rPr>
        <w:t>Schulz</w:t>
      </w:r>
      <w:r w:rsidRPr="00C34819">
        <w:rPr>
          <w:color w:val="auto"/>
          <w:sz w:val="18"/>
          <w:lang w:val="pt-PT"/>
        </w:rPr>
        <w:t>, Oliver</w:t>
      </w:r>
    </w:p>
    <w:p w14:paraId="3C963863"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r w:rsidRPr="00C34819">
        <w:rPr>
          <w:color w:val="auto"/>
          <w:sz w:val="18"/>
        </w:rPr>
        <w:t xml:space="preserve">DG MARE, Rue de la Loi 200 Office J99 00/045, 1049 Brussels, </w:t>
      </w:r>
      <w:proofErr w:type="spellStart"/>
      <w:r w:rsidRPr="00C34819">
        <w:rPr>
          <w:color w:val="auto"/>
          <w:sz w:val="18"/>
        </w:rPr>
        <w:t>Belgium</w:t>
      </w:r>
      <w:proofErr w:type="spellEnd"/>
    </w:p>
    <w:p w14:paraId="69FE05DA"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+32 229 60195, E-Mail: oliver.schulz@ec.europa.eu</w:t>
      </w:r>
    </w:p>
    <w:p w14:paraId="51337EDF"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b/>
          <w:color w:val="auto"/>
          <w:sz w:val="18"/>
          <w:lang w:val="pt-PT"/>
        </w:rPr>
      </w:pPr>
    </w:p>
    <w:p w14:paraId="3F970276"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r w:rsidRPr="00C34819">
        <w:rPr>
          <w:b/>
          <w:color w:val="auto"/>
          <w:sz w:val="18"/>
        </w:rPr>
        <w:t>Avignon</w:t>
      </w:r>
      <w:r w:rsidRPr="00C34819">
        <w:rPr>
          <w:color w:val="auto"/>
          <w:sz w:val="18"/>
        </w:rPr>
        <w:t>, Frédérique</w:t>
      </w:r>
    </w:p>
    <w:p w14:paraId="1F462D5B"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r w:rsidRPr="00C34819">
        <w:rPr>
          <w:color w:val="auto"/>
          <w:sz w:val="18"/>
        </w:rPr>
        <w:t>Direction générale des affaires maritimes, de la pêche et de l'aquaculture, 1 place Carpeaux, 92800 Île de France, France</w:t>
      </w:r>
    </w:p>
    <w:p w14:paraId="6246B048"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+33 660 883 604, E-Mail: frederique.avignon@mer.gouv.fr</w:t>
      </w:r>
    </w:p>
    <w:p w14:paraId="4CE5AB26"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b/>
          <w:color w:val="auto"/>
          <w:sz w:val="18"/>
          <w:lang w:val="pt-PT"/>
        </w:rPr>
      </w:pPr>
    </w:p>
    <w:p w14:paraId="21E3A759"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it-IT"/>
        </w:rPr>
      </w:pPr>
      <w:proofErr w:type="spellStart"/>
      <w:r w:rsidRPr="001E1EF3">
        <w:rPr>
          <w:b/>
          <w:color w:val="auto"/>
          <w:sz w:val="18"/>
          <w:lang w:val="it-IT"/>
        </w:rPr>
        <w:t>Heracleous</w:t>
      </w:r>
      <w:proofErr w:type="spellEnd"/>
      <w:r w:rsidRPr="001E1EF3">
        <w:rPr>
          <w:color w:val="auto"/>
          <w:sz w:val="18"/>
          <w:lang w:val="it-IT"/>
        </w:rPr>
        <w:t>, Andri</w:t>
      </w:r>
    </w:p>
    <w:p w14:paraId="3597D34E"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Fisheries Officer, Department of Fisheries and Marine Research, Cyprus</w:t>
      </w:r>
    </w:p>
    <w:p w14:paraId="1C92263D"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it-IT"/>
        </w:rPr>
      </w:pPr>
      <w:r w:rsidRPr="00C34819">
        <w:rPr>
          <w:color w:val="auto"/>
          <w:sz w:val="18"/>
          <w:lang w:val="it-IT"/>
        </w:rPr>
        <w:t>E-Mail: aheracleous@dfmr.moa.gov.cy</w:t>
      </w:r>
    </w:p>
    <w:p w14:paraId="2DD1AFE7"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it-IT"/>
        </w:rPr>
      </w:pPr>
    </w:p>
    <w:p w14:paraId="6055FE2B"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r w:rsidRPr="001E1EF3">
        <w:rPr>
          <w:b/>
          <w:color w:val="auto"/>
          <w:sz w:val="18"/>
        </w:rPr>
        <w:t>Orozco</w:t>
      </w:r>
      <w:r w:rsidRPr="001E1EF3">
        <w:rPr>
          <w:color w:val="auto"/>
          <w:sz w:val="18"/>
        </w:rPr>
        <w:t>, Lucie</w:t>
      </w:r>
    </w:p>
    <w:p w14:paraId="5E049BE0"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r w:rsidRPr="00C34819">
        <w:rPr>
          <w:color w:val="auto"/>
          <w:sz w:val="18"/>
        </w:rPr>
        <w:t>Chargée de mission affaires thonières, Direction générale de affaires maritimes, de la pêche et de l'aquaculture (DGAMPA), Bureau des Affaires Européennes et Internationales (BAEI), 92055 La Défense, Île de France, France</w:t>
      </w:r>
    </w:p>
    <w:p w14:paraId="71DCBB8F"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p>
    <w:p w14:paraId="3C145F53"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34819">
        <w:rPr>
          <w:b/>
          <w:color w:val="auto"/>
          <w:sz w:val="18"/>
          <w:lang w:val="en-US"/>
        </w:rPr>
        <w:t>Papadatos</w:t>
      </w:r>
      <w:r w:rsidRPr="00C34819">
        <w:rPr>
          <w:color w:val="auto"/>
          <w:sz w:val="18"/>
          <w:lang w:val="en-US"/>
        </w:rPr>
        <w:t>, Sotirios</w:t>
      </w:r>
    </w:p>
    <w:p w14:paraId="7499CF16"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Fisheries Officer, Department of Fisheries and Marine Research, Cyprus</w:t>
      </w:r>
    </w:p>
    <w:p w14:paraId="4BAA7A53"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it-IT"/>
        </w:rPr>
      </w:pPr>
      <w:r w:rsidRPr="001E1EF3">
        <w:rPr>
          <w:color w:val="auto"/>
          <w:sz w:val="18"/>
          <w:lang w:val="it-IT"/>
        </w:rPr>
        <w:t>E-Mail: spapadatos@dfmr.moa.gov.cy</w:t>
      </w:r>
    </w:p>
    <w:p w14:paraId="66239B64"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it-IT"/>
        </w:rPr>
      </w:pPr>
    </w:p>
    <w:p w14:paraId="7F0D31FA"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1E1EF3">
        <w:rPr>
          <w:b/>
          <w:color w:val="auto"/>
          <w:lang w:val="es-ES"/>
        </w:rPr>
        <w:t>VENEZUELA</w:t>
      </w:r>
    </w:p>
    <w:p w14:paraId="38433E2E"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1E1EF3">
        <w:rPr>
          <w:b/>
          <w:color w:val="auto"/>
          <w:sz w:val="18"/>
          <w:lang w:val="es-ES"/>
        </w:rPr>
        <w:t>Galicia Tremont</w:t>
      </w:r>
      <w:r w:rsidRPr="001E1EF3">
        <w:rPr>
          <w:color w:val="auto"/>
          <w:sz w:val="18"/>
          <w:lang w:val="es-ES"/>
        </w:rPr>
        <w:t>, Jeiris Nathaly</w:t>
      </w:r>
    </w:p>
    <w:p w14:paraId="06B53605"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1E1EF3">
        <w:rPr>
          <w:color w:val="auto"/>
          <w:sz w:val="18"/>
          <w:lang w:val="es-ES"/>
        </w:rPr>
        <w:t xml:space="preserve">Directora General de Pesca Industrial, Viceministerio de Producción Primaria Pesquera y Acuícola, Ministerio del Poder Popular de Pesca y Acuicultura, Av. </w:t>
      </w:r>
      <w:r w:rsidRPr="00C34819">
        <w:rPr>
          <w:color w:val="auto"/>
          <w:sz w:val="18"/>
          <w:lang w:val="pt-PT"/>
        </w:rPr>
        <w:t>Lecuna, Torre Este, Parque central, piso 17</w:t>
      </w:r>
    </w:p>
    <w:p w14:paraId="70E5FFFB"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+58 0414 970 3064, E-Mail: ing.jeirisgalicia@gmail.com; dgpi.minpesca@gmail.com; jgalicia.minpesca@gmail.com</w:t>
      </w:r>
    </w:p>
    <w:p w14:paraId="429A39CB"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31A7F318"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C34819">
        <w:rPr>
          <w:b/>
          <w:color w:val="auto"/>
          <w:sz w:val="18"/>
          <w:lang w:val="es-ES"/>
        </w:rPr>
        <w:t>Vivas Jiménez</w:t>
      </w:r>
      <w:r w:rsidRPr="00C34819">
        <w:rPr>
          <w:color w:val="auto"/>
          <w:sz w:val="18"/>
          <w:lang w:val="es-ES"/>
        </w:rPr>
        <w:t>, María Daniela</w:t>
      </w:r>
    </w:p>
    <w:p w14:paraId="1325AB1A"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s-ES"/>
        </w:rPr>
      </w:pPr>
      <w:r w:rsidRPr="00C34819">
        <w:rPr>
          <w:color w:val="auto"/>
          <w:sz w:val="18"/>
          <w:lang w:val="es-ES"/>
        </w:rPr>
        <w:t>Analista de Asuntos Multilaterales de la Oficina de Integración y Asuntos Internacionales, Ministerio del Poder Popular de Pesca y Acuicultura, Parque Central, piso 17, 1040 Caracas</w:t>
      </w:r>
    </w:p>
    <w:p w14:paraId="2721AD95"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04242808103, E-Mail: minpescaven@gmail.com</w:t>
      </w:r>
    </w:p>
    <w:p w14:paraId="520CFC41"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57361C42"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51E6F73A" w14:textId="77777777" w:rsidR="00763BF7" w:rsidRPr="00C34819" w:rsidRDefault="00763BF7" w:rsidP="00763BF7">
      <w:pPr>
        <w:rPr>
          <w:lang w:eastAsia="en-GB"/>
        </w:rPr>
      </w:pPr>
      <w:r w:rsidRPr="00C34819">
        <w:rPr>
          <w:b/>
          <w:i/>
          <w:lang w:eastAsia="en-GB"/>
        </w:rPr>
        <w:t>OBSERVATEURS DE PARTIES, ENTITÉS, ENTITÉS DE PÊCHE NON CONTRACTANTES COOPÉRANTES</w:t>
      </w:r>
    </w:p>
    <w:p w14:paraId="24A75173"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b/>
          <w:color w:val="auto"/>
        </w:rPr>
      </w:pPr>
    </w:p>
    <w:p w14:paraId="41EC7967"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C34819">
        <w:rPr>
          <w:b/>
          <w:color w:val="auto"/>
          <w:lang w:val="es-ES"/>
        </w:rPr>
        <w:t>BOLIVIE</w:t>
      </w:r>
    </w:p>
    <w:p w14:paraId="27FA28FB"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C34819">
        <w:rPr>
          <w:b/>
          <w:color w:val="auto"/>
          <w:sz w:val="18"/>
          <w:lang w:val="es-ES"/>
        </w:rPr>
        <w:t>Cortez Franco</w:t>
      </w:r>
      <w:r w:rsidRPr="00C34819">
        <w:rPr>
          <w:color w:val="auto"/>
          <w:sz w:val="18"/>
          <w:lang w:val="es-ES"/>
        </w:rPr>
        <w:t>, Limbert Ismael</w:t>
      </w:r>
    </w:p>
    <w:p w14:paraId="4302E061"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r w:rsidRPr="00C34819">
        <w:rPr>
          <w:color w:val="auto"/>
          <w:sz w:val="18"/>
          <w:lang w:val="es-ES"/>
        </w:rPr>
        <w:t xml:space="preserve">Jefe de Unidad, Unidad Boliviana de Pesca Marítima (UBPM), calle 20 de </w:t>
      </w:r>
      <w:proofErr w:type="gramStart"/>
      <w:r w:rsidRPr="00C34819">
        <w:rPr>
          <w:color w:val="auto"/>
          <w:sz w:val="18"/>
          <w:lang w:val="es-ES"/>
        </w:rPr>
        <w:t>Octubre</w:t>
      </w:r>
      <w:proofErr w:type="gramEnd"/>
      <w:r w:rsidRPr="00C34819">
        <w:rPr>
          <w:color w:val="auto"/>
          <w:sz w:val="18"/>
          <w:lang w:val="es-ES"/>
        </w:rPr>
        <w:t xml:space="preserve"> 2502, esq. </w:t>
      </w:r>
      <w:r w:rsidRPr="00763BF7">
        <w:rPr>
          <w:color w:val="auto"/>
          <w:sz w:val="18"/>
        </w:rPr>
        <w:t>Pedro Salazar, La Paz</w:t>
      </w:r>
    </w:p>
    <w:p w14:paraId="6066AFBF"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proofErr w:type="gramStart"/>
      <w:r w:rsidRPr="00763BF7">
        <w:rPr>
          <w:color w:val="auto"/>
          <w:sz w:val="18"/>
        </w:rPr>
        <w:t>Tel:</w:t>
      </w:r>
      <w:proofErr w:type="gramEnd"/>
      <w:r w:rsidRPr="00763BF7">
        <w:rPr>
          <w:color w:val="auto"/>
          <w:sz w:val="18"/>
        </w:rPr>
        <w:t xml:space="preserve"> +591 6 700 9787, </w:t>
      </w:r>
      <w:proofErr w:type="gramStart"/>
      <w:r w:rsidRPr="00763BF7">
        <w:rPr>
          <w:color w:val="auto"/>
          <w:sz w:val="18"/>
        </w:rPr>
        <w:t>Fax:</w:t>
      </w:r>
      <w:proofErr w:type="gramEnd"/>
      <w:r w:rsidRPr="00763BF7">
        <w:rPr>
          <w:color w:val="auto"/>
          <w:sz w:val="18"/>
        </w:rPr>
        <w:t xml:space="preserve"> +591 2 291 4069, </w:t>
      </w:r>
      <w:proofErr w:type="gramStart"/>
      <w:r w:rsidRPr="00763BF7">
        <w:rPr>
          <w:color w:val="auto"/>
          <w:sz w:val="18"/>
        </w:rPr>
        <w:t>E-Mail:</w:t>
      </w:r>
      <w:proofErr w:type="gramEnd"/>
      <w:r w:rsidRPr="00763BF7">
        <w:rPr>
          <w:color w:val="auto"/>
          <w:sz w:val="18"/>
        </w:rPr>
        <w:t xml:space="preserve"> </w:t>
      </w:r>
      <w:proofErr w:type="gramStart"/>
      <w:r w:rsidRPr="00763BF7">
        <w:rPr>
          <w:color w:val="auto"/>
          <w:sz w:val="18"/>
        </w:rPr>
        <w:t>limbert.cortez@protonmail.ch;</w:t>
      </w:r>
      <w:proofErr w:type="gramEnd"/>
      <w:r w:rsidRPr="00763BF7">
        <w:rPr>
          <w:color w:val="auto"/>
          <w:sz w:val="18"/>
        </w:rPr>
        <w:t xml:space="preserve"> </w:t>
      </w:r>
      <w:proofErr w:type="gramStart"/>
      <w:r w:rsidRPr="00763BF7">
        <w:rPr>
          <w:color w:val="auto"/>
          <w:sz w:val="18"/>
        </w:rPr>
        <w:t>limbert.cortez@mindef.gob.bo;</w:t>
      </w:r>
      <w:proofErr w:type="gramEnd"/>
      <w:r w:rsidRPr="00763BF7">
        <w:rPr>
          <w:color w:val="auto"/>
          <w:sz w:val="18"/>
        </w:rPr>
        <w:t xml:space="preserve"> licor779704@gmail.com</w:t>
      </w:r>
    </w:p>
    <w:p w14:paraId="5E71094D"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p>
    <w:p w14:paraId="317EC3C9" w14:textId="77777777" w:rsidR="00763BF7" w:rsidRPr="00C34819" w:rsidRDefault="00763BF7" w:rsidP="00763BF7">
      <w:pPr>
        <w:rPr>
          <w:lang w:eastAsia="en-GB"/>
        </w:rPr>
      </w:pPr>
      <w:r w:rsidRPr="00C34819">
        <w:rPr>
          <w:b/>
          <w:i/>
          <w:lang w:eastAsia="en-GB"/>
        </w:rPr>
        <w:t>OBSERVATEURS D’ORGANISATIONS INTERGOUVERNEMENTALES</w:t>
      </w:r>
    </w:p>
    <w:p w14:paraId="6729D6AD"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p>
    <w:p w14:paraId="4B1D90D3"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r w:rsidRPr="00C34819">
        <w:rPr>
          <w:b/>
          <w:color w:val="auto"/>
        </w:rPr>
        <w:t xml:space="preserve">CONFERENCE MINISTERIELLE SUR LA COOPÉRATION HALIEUTIQUE ENTRE LES ÉTATS AFRICAINS RIVERAINS DE L'OCEAN ATLANTIQUE </w:t>
      </w:r>
      <w:proofErr w:type="gramStart"/>
      <w:r w:rsidRPr="00C34819">
        <w:rPr>
          <w:b/>
          <w:color w:val="auto"/>
        </w:rPr>
        <w:t>-  COMHAFAT</w:t>
      </w:r>
      <w:proofErr w:type="gramEnd"/>
    </w:p>
    <w:p w14:paraId="4849D0A9"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r w:rsidRPr="00C34819">
        <w:rPr>
          <w:b/>
          <w:color w:val="auto"/>
          <w:sz w:val="18"/>
        </w:rPr>
        <w:t>Regragui</w:t>
      </w:r>
      <w:r w:rsidRPr="00C34819">
        <w:rPr>
          <w:color w:val="auto"/>
          <w:sz w:val="18"/>
        </w:rPr>
        <w:t>, Rachid</w:t>
      </w:r>
    </w:p>
    <w:p w14:paraId="52D6AD59"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r w:rsidRPr="00C34819">
        <w:rPr>
          <w:color w:val="auto"/>
          <w:sz w:val="18"/>
        </w:rPr>
        <w:t>Chef de projet, Conférence Ministérielle sur la Coopération Halieutique entre les États Africains Riverains de l'Océan Atlantique/COMHAFAT, 2, rue Beni Darkoul, Souissi, 10220 Rabat, Morocco</w:t>
      </w:r>
    </w:p>
    <w:p w14:paraId="10C513E4"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rPr>
          <w:b/>
          <w:i/>
          <w:lang w:val="pt-PT" w:eastAsia="en-GB"/>
        </w:rPr>
      </w:pPr>
      <w:r w:rsidRPr="00C34819">
        <w:rPr>
          <w:color w:val="auto"/>
          <w:sz w:val="18"/>
          <w:lang w:val="pt-PT"/>
        </w:rPr>
        <w:t>Tel: +212 674 906 822, E-Mail: regragui.comhafat@gmail.com</w:t>
      </w:r>
      <w:r w:rsidRPr="00763BF7">
        <w:rPr>
          <w:b/>
          <w:i/>
          <w:lang w:val="pt-PT" w:eastAsia="en-GB"/>
        </w:rPr>
        <w:br w:type="page"/>
      </w:r>
    </w:p>
    <w:p w14:paraId="7398BC29" w14:textId="77777777" w:rsidR="00763BF7" w:rsidRPr="00C34819" w:rsidRDefault="00763BF7" w:rsidP="00763BF7">
      <w:pPr>
        <w:rPr>
          <w:lang w:eastAsia="en-GB"/>
        </w:rPr>
      </w:pPr>
      <w:r w:rsidRPr="00C34819">
        <w:rPr>
          <w:b/>
          <w:i/>
          <w:lang w:eastAsia="en-GB"/>
        </w:rPr>
        <w:lastRenderedPageBreak/>
        <w:t>OBSERVATEURS D’ORGANISATIONS NON GOUVERNEMENTALES</w:t>
      </w:r>
    </w:p>
    <w:p w14:paraId="457762C9"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p>
    <w:p w14:paraId="10159675"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1E1EF3">
        <w:rPr>
          <w:b/>
          <w:color w:val="auto"/>
          <w:lang w:val="en-US"/>
        </w:rPr>
        <w:t>BIRDLIFE INTERNATIONAL - BI</w:t>
      </w:r>
    </w:p>
    <w:p w14:paraId="2739CD63"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34819">
        <w:rPr>
          <w:b/>
          <w:color w:val="auto"/>
          <w:sz w:val="18"/>
          <w:lang w:val="en-US"/>
        </w:rPr>
        <w:t>Wade</w:t>
      </w:r>
      <w:r w:rsidRPr="00C34819">
        <w:rPr>
          <w:color w:val="auto"/>
          <w:sz w:val="18"/>
          <w:lang w:val="en-US"/>
        </w:rPr>
        <w:t>, Helen</w:t>
      </w:r>
    </w:p>
    <w:p w14:paraId="6F89225C"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Birdlife International - RSPB, The Lodge, Sandy, Bedfordshire, SG19 2DL, United Kingdom</w:t>
      </w:r>
    </w:p>
    <w:p w14:paraId="7AF803A0"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+44 7896 758 995, E-Mail: Helen.Wade@rspb.org.uk</w:t>
      </w:r>
    </w:p>
    <w:p w14:paraId="17B01A06"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59E30642"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r w:rsidRPr="001E1EF3">
        <w:rPr>
          <w:b/>
          <w:color w:val="auto"/>
        </w:rPr>
        <w:t>ECOLOGY ACTION CENTRE - EAC</w:t>
      </w:r>
    </w:p>
    <w:p w14:paraId="75740703"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r w:rsidRPr="001E1EF3">
        <w:rPr>
          <w:b/>
          <w:color w:val="auto"/>
          <w:sz w:val="18"/>
        </w:rPr>
        <w:t>Arnold</w:t>
      </w:r>
      <w:r w:rsidRPr="001E1EF3">
        <w:rPr>
          <w:color w:val="auto"/>
          <w:sz w:val="18"/>
        </w:rPr>
        <w:t>, Shannon</w:t>
      </w:r>
    </w:p>
    <w:p w14:paraId="7F3DF3A6"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r w:rsidRPr="001E1EF3">
        <w:rPr>
          <w:color w:val="auto"/>
          <w:sz w:val="18"/>
        </w:rPr>
        <w:t xml:space="preserve">Marine </w:t>
      </w:r>
      <w:proofErr w:type="spellStart"/>
      <w:r w:rsidRPr="001E1EF3">
        <w:rPr>
          <w:color w:val="auto"/>
          <w:sz w:val="18"/>
        </w:rPr>
        <w:t>Coordinator</w:t>
      </w:r>
      <w:proofErr w:type="spellEnd"/>
      <w:r w:rsidRPr="001E1EF3">
        <w:rPr>
          <w:color w:val="auto"/>
          <w:sz w:val="18"/>
        </w:rPr>
        <w:t xml:space="preserve">, </w:t>
      </w:r>
      <w:proofErr w:type="spellStart"/>
      <w:r w:rsidRPr="001E1EF3">
        <w:rPr>
          <w:color w:val="auto"/>
          <w:sz w:val="18"/>
        </w:rPr>
        <w:t>Ecology</w:t>
      </w:r>
      <w:proofErr w:type="spellEnd"/>
      <w:r w:rsidRPr="001E1EF3">
        <w:rPr>
          <w:color w:val="auto"/>
          <w:sz w:val="18"/>
        </w:rPr>
        <w:t xml:space="preserve"> Action Centre, 2705 Fern Lane, Halifax, Nova Scotia B3K 4L3, Canada</w:t>
      </w:r>
    </w:p>
    <w:p w14:paraId="06B9275C"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proofErr w:type="gramStart"/>
      <w:r w:rsidRPr="001E1EF3">
        <w:rPr>
          <w:color w:val="auto"/>
          <w:sz w:val="18"/>
        </w:rPr>
        <w:t>Tel:</w:t>
      </w:r>
      <w:proofErr w:type="gramEnd"/>
      <w:r w:rsidRPr="001E1EF3">
        <w:rPr>
          <w:color w:val="auto"/>
          <w:sz w:val="18"/>
        </w:rPr>
        <w:t xml:space="preserve"> +1 902 329 4668, </w:t>
      </w:r>
      <w:proofErr w:type="gramStart"/>
      <w:r w:rsidRPr="001E1EF3">
        <w:rPr>
          <w:color w:val="auto"/>
          <w:sz w:val="18"/>
        </w:rPr>
        <w:t>E-Mail:</w:t>
      </w:r>
      <w:proofErr w:type="gramEnd"/>
      <w:r w:rsidRPr="001E1EF3">
        <w:rPr>
          <w:color w:val="auto"/>
          <w:sz w:val="18"/>
        </w:rPr>
        <w:t xml:space="preserve"> sarnold@ecologyaction.ca</w:t>
      </w:r>
    </w:p>
    <w:p w14:paraId="0827B83C"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p>
    <w:p w14:paraId="76D39808"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proofErr w:type="spellStart"/>
      <w:r w:rsidRPr="00C34819">
        <w:rPr>
          <w:b/>
          <w:color w:val="auto"/>
          <w:sz w:val="18"/>
          <w:lang w:val="en-US"/>
        </w:rPr>
        <w:t>Isnor</w:t>
      </w:r>
      <w:proofErr w:type="spellEnd"/>
      <w:r w:rsidRPr="00C34819">
        <w:rPr>
          <w:color w:val="auto"/>
          <w:sz w:val="18"/>
          <w:lang w:val="en-US"/>
        </w:rPr>
        <w:t>, Holly</w:t>
      </w:r>
    </w:p>
    <w:p w14:paraId="2E7C5AA0"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Ecology Action Centre - EAC, 2705 Fern Lane, Halifax Nova Scotia B3K 4L3, Canada</w:t>
      </w:r>
    </w:p>
    <w:p w14:paraId="73AD7F5E"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+1 902 580 0600, E-Mail: hollyisnor@ecologyaction.ca</w:t>
      </w:r>
    </w:p>
    <w:p w14:paraId="61FC31C8"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230EB095"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34819">
        <w:rPr>
          <w:b/>
          <w:color w:val="auto"/>
          <w:lang w:val="en-US"/>
        </w:rPr>
        <w:t>GLOBAL FISHING WATCH</w:t>
      </w:r>
    </w:p>
    <w:p w14:paraId="0598FF53"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34819">
        <w:rPr>
          <w:b/>
          <w:color w:val="auto"/>
          <w:sz w:val="18"/>
          <w:lang w:val="en-US"/>
        </w:rPr>
        <w:t>Bartra</w:t>
      </w:r>
      <w:r w:rsidRPr="00C34819">
        <w:rPr>
          <w:color w:val="auto"/>
          <w:sz w:val="18"/>
          <w:lang w:val="en-US"/>
        </w:rPr>
        <w:t>, Ariadna</w:t>
      </w:r>
    </w:p>
    <w:p w14:paraId="5987D9A9"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Global Fishing Watch, 2051BB North Holland, Netherlands</w:t>
      </w:r>
    </w:p>
    <w:p w14:paraId="4BB5FF50"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+31 643 281 665, E-Mail: ariadna.bartra-baron@globalfishingwatch.org</w:t>
      </w:r>
    </w:p>
    <w:p w14:paraId="20106E84"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316C7840"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34819">
        <w:rPr>
          <w:b/>
          <w:color w:val="auto"/>
          <w:sz w:val="18"/>
          <w:lang w:val="pt-PT"/>
        </w:rPr>
        <w:t>Blanco</w:t>
      </w:r>
      <w:r w:rsidRPr="00C34819">
        <w:rPr>
          <w:color w:val="auto"/>
          <w:sz w:val="18"/>
          <w:lang w:val="pt-PT"/>
        </w:rPr>
        <w:t>, Mariana</w:t>
      </w:r>
    </w:p>
    <w:p w14:paraId="294DEEDE"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Globala Fishing Watch, San José, Costa Rica</w:t>
      </w:r>
    </w:p>
    <w:p w14:paraId="2DD1764B"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+506 886 18610, E-Mail: mariana.blanco@globalfishingwatch.org</w:t>
      </w:r>
    </w:p>
    <w:p w14:paraId="57B3E533"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2B6CBA15"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34819">
        <w:rPr>
          <w:b/>
          <w:color w:val="auto"/>
          <w:sz w:val="18"/>
          <w:lang w:val="pt-PT"/>
        </w:rPr>
        <w:t>Kenton</w:t>
      </w:r>
      <w:r w:rsidRPr="00C34819">
        <w:rPr>
          <w:color w:val="auto"/>
          <w:sz w:val="18"/>
          <w:lang w:val="pt-PT"/>
        </w:rPr>
        <w:t>, Maya</w:t>
      </w:r>
    </w:p>
    <w:p w14:paraId="052B8855"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Product Manager, Global Fishing Watch, 3 Carrer de Tagamanent 2,2, 08012 Barcelona, Spain</w:t>
      </w:r>
    </w:p>
    <w:p w14:paraId="7219CA0A"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+34 637 430 277, E-Mail: maya.kenton@globalfishingwatch.org</w:t>
      </w:r>
    </w:p>
    <w:p w14:paraId="6268E56E"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6D369A47"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62C99685" w14:textId="77777777" w:rsidR="00763BF7" w:rsidRPr="001E1EF3" w:rsidRDefault="00763BF7" w:rsidP="00763BF7">
      <w:pPr>
        <w:rPr>
          <w:lang w:eastAsia="en-GB"/>
        </w:rPr>
      </w:pPr>
      <w:r w:rsidRPr="001E1EF3">
        <w:rPr>
          <w:b/>
          <w:i/>
          <w:lang w:eastAsia="en-GB"/>
        </w:rPr>
        <w:t>AUTRES PARTICIPANTS</w:t>
      </w:r>
    </w:p>
    <w:p w14:paraId="6AA0488D"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rPr>
          <w:b/>
          <w:i/>
          <w:color w:val="auto"/>
        </w:rPr>
      </w:pPr>
    </w:p>
    <w:p w14:paraId="220C3A11"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rPr>
          <w:iCs/>
          <w:color w:val="auto"/>
        </w:rPr>
      </w:pPr>
      <w:r w:rsidRPr="001E1EF3">
        <w:rPr>
          <w:b/>
          <w:iCs/>
          <w:color w:val="auto"/>
        </w:rPr>
        <w:t>EXPERT EXTERNE</w:t>
      </w:r>
    </w:p>
    <w:p w14:paraId="4A1C66C8"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763BF7">
        <w:rPr>
          <w:b/>
          <w:color w:val="auto"/>
          <w:sz w:val="18"/>
          <w:lang w:val="es-ES"/>
        </w:rPr>
        <w:t>Palma</w:t>
      </w:r>
      <w:r w:rsidRPr="00763BF7">
        <w:rPr>
          <w:color w:val="auto"/>
          <w:sz w:val="18"/>
          <w:lang w:val="es-ES"/>
        </w:rPr>
        <w:t>, Carlos</w:t>
      </w:r>
    </w:p>
    <w:p w14:paraId="3E9FE0DF"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s-ES"/>
        </w:rPr>
      </w:pPr>
      <w:r w:rsidRPr="00763BF7">
        <w:rPr>
          <w:color w:val="auto"/>
          <w:sz w:val="18"/>
          <w:lang w:val="es-ES"/>
        </w:rPr>
        <w:t xml:space="preserve">ICCAT </w:t>
      </w:r>
      <w:proofErr w:type="spellStart"/>
      <w:r w:rsidRPr="00763BF7">
        <w:rPr>
          <w:color w:val="auto"/>
          <w:sz w:val="18"/>
          <w:lang w:val="es-ES"/>
        </w:rPr>
        <w:t>Secretariat</w:t>
      </w:r>
      <w:proofErr w:type="spellEnd"/>
      <w:r w:rsidRPr="00763BF7">
        <w:rPr>
          <w:color w:val="auto"/>
          <w:sz w:val="18"/>
          <w:lang w:val="es-ES"/>
        </w:rPr>
        <w:t>, C/ Corazón de María, 8 - 6 Planta, 28002 Madrid, Spain</w:t>
      </w:r>
    </w:p>
    <w:p w14:paraId="1682992A"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proofErr w:type="gramStart"/>
      <w:r w:rsidRPr="00763BF7">
        <w:rPr>
          <w:color w:val="auto"/>
          <w:sz w:val="18"/>
        </w:rPr>
        <w:t>Tel:</w:t>
      </w:r>
      <w:proofErr w:type="gramEnd"/>
      <w:r w:rsidRPr="00763BF7">
        <w:rPr>
          <w:color w:val="auto"/>
          <w:sz w:val="18"/>
        </w:rPr>
        <w:t xml:space="preserve"> + 34 91 416 5600, </w:t>
      </w:r>
      <w:proofErr w:type="gramStart"/>
      <w:r w:rsidRPr="00763BF7">
        <w:rPr>
          <w:color w:val="auto"/>
          <w:sz w:val="18"/>
        </w:rPr>
        <w:t>Fax:</w:t>
      </w:r>
      <w:proofErr w:type="gramEnd"/>
      <w:r w:rsidRPr="00763BF7">
        <w:rPr>
          <w:color w:val="auto"/>
          <w:sz w:val="18"/>
        </w:rPr>
        <w:t xml:space="preserve"> +34 91 415 2612, </w:t>
      </w:r>
      <w:proofErr w:type="gramStart"/>
      <w:r w:rsidRPr="00763BF7">
        <w:rPr>
          <w:color w:val="auto"/>
          <w:sz w:val="18"/>
        </w:rPr>
        <w:t>E-Mail:</w:t>
      </w:r>
      <w:proofErr w:type="gramEnd"/>
      <w:r w:rsidRPr="00763BF7">
        <w:rPr>
          <w:color w:val="auto"/>
          <w:sz w:val="18"/>
        </w:rPr>
        <w:t xml:space="preserve"> carlos.palma@iccat.int</w:t>
      </w:r>
    </w:p>
    <w:p w14:paraId="2B3AA50B"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eastAsia="en-GB"/>
        </w:rPr>
      </w:pPr>
    </w:p>
    <w:p w14:paraId="03DA6719"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b/>
          <w:bCs/>
          <w:color w:val="auto"/>
        </w:rPr>
      </w:pPr>
      <w:r w:rsidRPr="00C34819">
        <w:rPr>
          <w:rFonts w:cs="Arial"/>
          <w:b/>
          <w:bCs/>
          <w:color w:val="auto"/>
        </w:rPr>
        <w:t xml:space="preserve">PRÉSIDENT </w:t>
      </w:r>
      <w:r w:rsidRPr="00C34819">
        <w:rPr>
          <w:b/>
          <w:bCs/>
          <w:color w:val="auto"/>
        </w:rPr>
        <w:t xml:space="preserve">DU </w:t>
      </w:r>
      <w:r w:rsidRPr="00C34819">
        <w:rPr>
          <w:b/>
        </w:rPr>
        <w:t>GROUPE DE TRAVAIL SUR LES TECHNOLOGIES DE DECLARATION EN LIGNE (WG-ORT)</w:t>
      </w:r>
    </w:p>
    <w:p w14:paraId="6CB1E439"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763BF7">
        <w:rPr>
          <w:b/>
          <w:color w:val="auto"/>
          <w:sz w:val="18"/>
          <w:lang w:val="en-US"/>
        </w:rPr>
        <w:t>Keller</w:t>
      </w:r>
      <w:r w:rsidRPr="00763BF7">
        <w:rPr>
          <w:color w:val="auto"/>
          <w:sz w:val="18"/>
          <w:lang w:val="en-US"/>
        </w:rPr>
        <w:t>, Bryan</w:t>
      </w:r>
    </w:p>
    <w:p w14:paraId="7F8D5D1C"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Foreign Affairs Specialist, Office of International Affairs, Trade and Commerce (F/IATC), NOAA, National Marine Fisheries Service, 1315 East-West Highway, Silver Spring, Maryland 20910, United States</w:t>
      </w:r>
    </w:p>
    <w:p w14:paraId="6D39E57E"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b/>
          <w:i/>
          <w:color w:val="auto"/>
          <w:lang w:val="pt-PT"/>
        </w:rPr>
      </w:pPr>
      <w:r w:rsidRPr="00C34819">
        <w:rPr>
          <w:color w:val="auto"/>
          <w:sz w:val="18"/>
          <w:lang w:val="pt-PT"/>
        </w:rPr>
        <w:t>Tel: +1 202 897 9208; +1 301 427 7725, E-Mail: bryan.keller@noaa.gov</w:t>
      </w:r>
    </w:p>
    <w:p w14:paraId="61260962"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rFonts w:cs="Arial"/>
          <w:b/>
          <w:bCs/>
          <w:color w:val="auto"/>
          <w:lang w:val="pt-PT"/>
        </w:rPr>
      </w:pPr>
    </w:p>
    <w:p w14:paraId="0B42E320"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b/>
          <w:bCs/>
          <w:color w:val="auto"/>
        </w:rPr>
      </w:pPr>
      <w:r w:rsidRPr="00C34819">
        <w:rPr>
          <w:rFonts w:cs="Arial"/>
          <w:b/>
          <w:bCs/>
          <w:color w:val="auto"/>
        </w:rPr>
        <w:t>PRÉSIDENT DU SOUS-COMITÉ DES STATISTIQUES</w:t>
      </w:r>
    </w:p>
    <w:p w14:paraId="200FF308"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763BF7">
        <w:rPr>
          <w:b/>
          <w:color w:val="auto"/>
          <w:sz w:val="18"/>
          <w:lang w:val="pt-PT"/>
        </w:rPr>
        <w:t>Lino</w:t>
      </w:r>
      <w:r w:rsidRPr="00763BF7">
        <w:rPr>
          <w:color w:val="auto"/>
          <w:sz w:val="18"/>
          <w:lang w:val="pt-PT"/>
        </w:rPr>
        <w:t>, Pedro Gil</w:t>
      </w:r>
    </w:p>
    <w:p w14:paraId="1EEB3A6C"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Research Assistant, Instituto Português do Mar e da Atmosfera - I.P./IPMA, Avenida 5 Outubro s/n, 8700-305 Olhão, Faro, Portugal</w:t>
      </w:r>
    </w:p>
    <w:p w14:paraId="412D03C5"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pt-PT"/>
        </w:rPr>
      </w:pPr>
      <w:r w:rsidRPr="00C34819">
        <w:rPr>
          <w:color w:val="auto"/>
          <w:sz w:val="18"/>
          <w:lang w:val="pt-PT"/>
        </w:rPr>
        <w:t>Tel: +351 289 700508, E-Mail: plino@ipma.pt</w:t>
      </w:r>
    </w:p>
    <w:p w14:paraId="76F681CB"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b/>
          <w:i/>
          <w:color w:val="auto"/>
          <w:lang w:val="pt-PT"/>
        </w:rPr>
      </w:pPr>
    </w:p>
    <w:p w14:paraId="69DE31CB"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rPr>
          <w:b/>
          <w:iCs/>
          <w:color w:val="auto"/>
        </w:rPr>
      </w:pPr>
      <w:r w:rsidRPr="00763BF7">
        <w:rPr>
          <w:b/>
          <w:iCs/>
          <w:color w:val="auto"/>
        </w:rPr>
        <w:t>PRESIDENT DU COMITÉ D’APPLICATION</w:t>
      </w:r>
    </w:p>
    <w:p w14:paraId="0C292C10"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r w:rsidRPr="00763BF7">
        <w:rPr>
          <w:b/>
          <w:color w:val="auto"/>
          <w:sz w:val="18"/>
        </w:rPr>
        <w:t>Campbell</w:t>
      </w:r>
      <w:r w:rsidRPr="00763BF7">
        <w:rPr>
          <w:color w:val="auto"/>
          <w:sz w:val="18"/>
        </w:rPr>
        <w:t>, Derek</w:t>
      </w:r>
    </w:p>
    <w:p w14:paraId="228C2A32"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rPr>
          <w:color w:val="auto"/>
          <w:lang w:val="en-US"/>
        </w:rPr>
      </w:pPr>
      <w:r w:rsidRPr="00C34819">
        <w:rPr>
          <w:color w:val="auto"/>
          <w:sz w:val="18"/>
          <w:lang w:val="en-US"/>
        </w:rPr>
        <w:t>Attorney-Advisor International Section, Office of General Counsel - International Law, National Oceanic and Atmospheric Administration, U.S. Department of Commerce, 1401 Constitution Avenue, N.W. HCHB Room 48026, Washington, D.C. 20230, United States</w:t>
      </w:r>
    </w:p>
    <w:p w14:paraId="763B8578"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rPr>
          <w:color w:val="auto"/>
        </w:rPr>
      </w:pPr>
      <w:proofErr w:type="gramStart"/>
      <w:r w:rsidRPr="001E1EF3">
        <w:rPr>
          <w:color w:val="auto"/>
          <w:sz w:val="18"/>
        </w:rPr>
        <w:t>Tel:</w:t>
      </w:r>
      <w:proofErr w:type="gramEnd"/>
      <w:r w:rsidRPr="001E1EF3">
        <w:rPr>
          <w:color w:val="auto"/>
          <w:sz w:val="18"/>
        </w:rPr>
        <w:t xml:space="preserve"> +1 202 482 0031, </w:t>
      </w:r>
      <w:proofErr w:type="gramStart"/>
      <w:r w:rsidRPr="001E1EF3">
        <w:rPr>
          <w:color w:val="auto"/>
          <w:sz w:val="18"/>
        </w:rPr>
        <w:t>Fax:</w:t>
      </w:r>
      <w:proofErr w:type="gramEnd"/>
      <w:r w:rsidRPr="001E1EF3">
        <w:rPr>
          <w:color w:val="auto"/>
          <w:sz w:val="18"/>
        </w:rPr>
        <w:t xml:space="preserve"> +1 202 371 0926, </w:t>
      </w:r>
      <w:proofErr w:type="gramStart"/>
      <w:r w:rsidRPr="001E1EF3">
        <w:rPr>
          <w:color w:val="auto"/>
          <w:sz w:val="18"/>
        </w:rPr>
        <w:t>E-Mail:</w:t>
      </w:r>
      <w:proofErr w:type="gramEnd"/>
      <w:r w:rsidRPr="001E1EF3">
        <w:rPr>
          <w:color w:val="auto"/>
          <w:sz w:val="18"/>
        </w:rPr>
        <w:t xml:space="preserve"> derek.campbell@noaa.gov</w:t>
      </w:r>
    </w:p>
    <w:p w14:paraId="647C4D78"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eastAsia="en-GB"/>
        </w:rPr>
      </w:pPr>
    </w:p>
    <w:p w14:paraId="0FB4DE9F"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spacing w:after="160" w:line="257" w:lineRule="auto"/>
        <w:jc w:val="left"/>
        <w:rPr>
          <w:b/>
          <w:bCs/>
          <w:color w:val="auto"/>
        </w:rPr>
      </w:pPr>
      <w:r w:rsidRPr="001E1EF3">
        <w:rPr>
          <w:b/>
          <w:bCs/>
          <w:color w:val="auto"/>
        </w:rPr>
        <w:br w:type="page"/>
      </w:r>
    </w:p>
    <w:p w14:paraId="28CD2E10" w14:textId="77777777" w:rsidR="00763BF7" w:rsidRPr="001E1EF3" w:rsidRDefault="00763BF7" w:rsidP="00763BF7">
      <w:pPr>
        <w:widowControl w:val="0"/>
        <w:pBdr>
          <w:top w:val="none" w:sz="0" w:space="0" w:color="auto"/>
          <w:left w:val="none" w:sz="0" w:space="0" w:color="auto"/>
          <w:bottom w:val="none" w:sz="0" w:space="0" w:color="auto"/>
          <w:right w:val="none" w:sz="0" w:space="0" w:color="auto"/>
          <w:between w:val="none" w:sz="0" w:space="0" w:color="auto"/>
        </w:pBdr>
        <w:tabs>
          <w:tab w:val="left" w:pos="90"/>
        </w:tabs>
        <w:autoSpaceDE w:val="0"/>
        <w:autoSpaceDN w:val="0"/>
        <w:adjustRightInd w:val="0"/>
        <w:jc w:val="center"/>
        <w:rPr>
          <w:b/>
          <w:bCs/>
          <w:color w:val="auto"/>
        </w:rPr>
      </w:pPr>
      <w:r w:rsidRPr="001E1EF3">
        <w:rPr>
          <w:b/>
          <w:bCs/>
          <w:color w:val="auto"/>
        </w:rPr>
        <w:lastRenderedPageBreak/>
        <w:t>*****</w:t>
      </w:r>
    </w:p>
    <w:p w14:paraId="626CED68" w14:textId="77777777" w:rsidR="00763BF7" w:rsidRPr="001E1EF3" w:rsidRDefault="00763BF7" w:rsidP="00763BF7">
      <w:pPr>
        <w:widowControl w:val="0"/>
        <w:pBdr>
          <w:top w:val="none" w:sz="0" w:space="0" w:color="auto"/>
          <w:left w:val="none" w:sz="0" w:space="0" w:color="auto"/>
          <w:bottom w:val="none" w:sz="0" w:space="0" w:color="auto"/>
          <w:right w:val="none" w:sz="0" w:space="0" w:color="auto"/>
          <w:between w:val="none" w:sz="0" w:space="0" w:color="auto"/>
        </w:pBdr>
        <w:tabs>
          <w:tab w:val="left" w:pos="90"/>
        </w:tabs>
        <w:autoSpaceDE w:val="0"/>
        <w:autoSpaceDN w:val="0"/>
        <w:adjustRightInd w:val="0"/>
        <w:jc w:val="center"/>
        <w:rPr>
          <w:b/>
          <w:bCs/>
          <w:color w:val="auto"/>
        </w:rPr>
      </w:pPr>
    </w:p>
    <w:p w14:paraId="07DCA792" w14:textId="77777777" w:rsidR="00763BF7" w:rsidRPr="001E1EF3" w:rsidRDefault="00763BF7" w:rsidP="00763BF7">
      <w:pPr>
        <w:widowControl w:val="0"/>
        <w:pBdr>
          <w:top w:val="none" w:sz="0" w:space="0" w:color="auto"/>
          <w:left w:val="none" w:sz="0" w:space="0" w:color="auto"/>
          <w:bottom w:val="none" w:sz="0" w:space="0" w:color="auto"/>
          <w:right w:val="none" w:sz="0" w:space="0" w:color="auto"/>
          <w:between w:val="none" w:sz="0" w:space="0" w:color="auto"/>
        </w:pBdr>
        <w:tabs>
          <w:tab w:val="left" w:pos="90"/>
        </w:tabs>
        <w:autoSpaceDE w:val="0"/>
        <w:autoSpaceDN w:val="0"/>
        <w:adjustRightInd w:val="0"/>
        <w:jc w:val="center"/>
        <w:rPr>
          <w:b/>
          <w:bCs/>
          <w:color w:val="auto"/>
        </w:rPr>
      </w:pPr>
      <w:r w:rsidRPr="001E1EF3">
        <w:rPr>
          <w:b/>
          <w:bCs/>
          <w:color w:val="auto"/>
        </w:rPr>
        <w:t>Secrétariat de l’ICCAT</w:t>
      </w:r>
    </w:p>
    <w:p w14:paraId="37153806" w14:textId="77777777" w:rsidR="00763BF7" w:rsidRPr="001E1EF3" w:rsidRDefault="00763BF7" w:rsidP="00763BF7">
      <w:pPr>
        <w:widowControl w:val="0"/>
        <w:tabs>
          <w:tab w:val="left" w:pos="90"/>
        </w:tabs>
        <w:autoSpaceDE w:val="0"/>
        <w:autoSpaceDN w:val="0"/>
        <w:adjustRightInd w:val="0"/>
        <w:jc w:val="center"/>
        <w:rPr>
          <w:bCs/>
          <w:lang w:eastAsia="en-GB"/>
        </w:rPr>
      </w:pPr>
      <w:r w:rsidRPr="001E1EF3">
        <w:rPr>
          <w:bCs/>
          <w:lang w:eastAsia="en-GB"/>
        </w:rPr>
        <w:t>C/ Corazón de María 8 – 6e étage, 28002 Madrid – Espagne</w:t>
      </w:r>
    </w:p>
    <w:p w14:paraId="4413098F" w14:textId="77777777" w:rsidR="00763BF7" w:rsidRPr="00763BF7" w:rsidRDefault="00763BF7" w:rsidP="00763BF7">
      <w:pPr>
        <w:widowControl w:val="0"/>
        <w:pBdr>
          <w:top w:val="none" w:sz="0" w:space="0" w:color="auto"/>
          <w:left w:val="none" w:sz="0" w:space="0" w:color="auto"/>
          <w:bottom w:val="none" w:sz="0" w:space="0" w:color="auto"/>
          <w:right w:val="none" w:sz="0" w:space="0" w:color="auto"/>
          <w:between w:val="none" w:sz="0" w:space="0" w:color="auto"/>
        </w:pBdr>
        <w:tabs>
          <w:tab w:val="left" w:pos="90"/>
        </w:tabs>
        <w:autoSpaceDE w:val="0"/>
        <w:autoSpaceDN w:val="0"/>
        <w:adjustRightInd w:val="0"/>
        <w:jc w:val="center"/>
        <w:rPr>
          <w:bCs/>
          <w:color w:val="auto"/>
        </w:rPr>
      </w:pPr>
      <w:proofErr w:type="gramStart"/>
      <w:r w:rsidRPr="00763BF7">
        <w:rPr>
          <w:bCs/>
          <w:color w:val="auto"/>
        </w:rPr>
        <w:t>Tel:</w:t>
      </w:r>
      <w:proofErr w:type="gramEnd"/>
      <w:r w:rsidRPr="00763BF7">
        <w:rPr>
          <w:bCs/>
          <w:color w:val="auto"/>
        </w:rPr>
        <w:t xml:space="preserve"> +34 91 416 56 </w:t>
      </w:r>
      <w:proofErr w:type="gramStart"/>
      <w:r w:rsidRPr="00763BF7">
        <w:rPr>
          <w:bCs/>
          <w:color w:val="auto"/>
        </w:rPr>
        <w:t>00;</w:t>
      </w:r>
      <w:proofErr w:type="gramEnd"/>
      <w:r w:rsidRPr="00763BF7">
        <w:rPr>
          <w:bCs/>
          <w:color w:val="auto"/>
        </w:rPr>
        <w:t xml:space="preserve"> </w:t>
      </w:r>
      <w:proofErr w:type="gramStart"/>
      <w:r w:rsidRPr="00763BF7">
        <w:rPr>
          <w:bCs/>
          <w:color w:val="auto"/>
        </w:rPr>
        <w:t>Fax:</w:t>
      </w:r>
      <w:proofErr w:type="gramEnd"/>
      <w:r w:rsidRPr="00763BF7">
        <w:rPr>
          <w:bCs/>
          <w:color w:val="auto"/>
        </w:rPr>
        <w:t xml:space="preserve"> +34 91 415 26 </w:t>
      </w:r>
      <w:proofErr w:type="gramStart"/>
      <w:r w:rsidRPr="00763BF7">
        <w:rPr>
          <w:bCs/>
          <w:color w:val="auto"/>
        </w:rPr>
        <w:t>12;</w:t>
      </w:r>
      <w:proofErr w:type="gramEnd"/>
      <w:r w:rsidRPr="00763BF7">
        <w:rPr>
          <w:bCs/>
          <w:color w:val="auto"/>
        </w:rPr>
        <w:t xml:space="preserve"> </w:t>
      </w:r>
      <w:proofErr w:type="gramStart"/>
      <w:r w:rsidRPr="00763BF7">
        <w:rPr>
          <w:bCs/>
          <w:color w:val="auto"/>
        </w:rPr>
        <w:t>E-mail:</w:t>
      </w:r>
      <w:proofErr w:type="gramEnd"/>
      <w:r w:rsidRPr="00763BF7">
        <w:rPr>
          <w:bCs/>
          <w:color w:val="auto"/>
        </w:rPr>
        <w:t xml:space="preserve"> info@iccat.int</w:t>
      </w:r>
    </w:p>
    <w:p w14:paraId="29628273"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p>
    <w:p w14:paraId="433344E7" w14:textId="77777777" w:rsidR="00763BF7" w:rsidRPr="00763BF7" w:rsidRDefault="00763BF7" w:rsidP="00763BF7">
      <w:pPr>
        <w:pBdr>
          <w:top w:val="none" w:sz="0" w:space="0" w:color="auto"/>
          <w:left w:val="none" w:sz="0" w:space="0" w:color="auto"/>
          <w:bottom w:val="none" w:sz="0" w:space="0" w:color="auto"/>
          <w:right w:val="none" w:sz="0" w:space="0" w:color="auto"/>
          <w:between w:val="none" w:sz="0" w:space="0" w:color="auto"/>
        </w:pBdr>
        <w:jc w:val="left"/>
        <w:rPr>
          <w:b/>
          <w:color w:val="auto"/>
          <w:sz w:val="18"/>
        </w:rPr>
      </w:pPr>
    </w:p>
    <w:p w14:paraId="20E72491" w14:textId="77777777" w:rsidR="00763BF7" w:rsidRPr="008D4FE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r w:rsidRPr="008D4FE9">
        <w:rPr>
          <w:b/>
          <w:color w:val="auto"/>
          <w:sz w:val="18"/>
        </w:rPr>
        <w:t>Manel</w:t>
      </w:r>
      <w:r w:rsidRPr="008D4FE9">
        <w:rPr>
          <w:color w:val="auto"/>
          <w:sz w:val="18"/>
        </w:rPr>
        <w:t>, Camille Jean Pierre</w:t>
      </w:r>
    </w:p>
    <w:p w14:paraId="5E728F90" w14:textId="77777777" w:rsidR="00763BF7" w:rsidRPr="008D4FE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8D4FE9">
        <w:rPr>
          <w:b/>
          <w:color w:val="auto"/>
          <w:sz w:val="18"/>
          <w:lang w:val="pt-PT"/>
        </w:rPr>
        <w:t>Neves dos Santos</w:t>
      </w:r>
      <w:r w:rsidRPr="008D4FE9">
        <w:rPr>
          <w:color w:val="auto"/>
          <w:sz w:val="18"/>
          <w:lang w:val="pt-PT"/>
        </w:rPr>
        <w:t>, Miguel</w:t>
      </w:r>
    </w:p>
    <w:p w14:paraId="6BFA6CB0" w14:textId="77777777" w:rsidR="00763BF7" w:rsidRPr="008D4FE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8D4FE9">
        <w:rPr>
          <w:b/>
          <w:color w:val="auto"/>
          <w:sz w:val="18"/>
          <w:lang w:val="pt-PT"/>
        </w:rPr>
        <w:t>Bonacasa</w:t>
      </w:r>
      <w:r w:rsidRPr="008D4FE9">
        <w:rPr>
          <w:color w:val="auto"/>
          <w:sz w:val="18"/>
          <w:lang w:val="pt-PT"/>
        </w:rPr>
        <w:t>, María</w:t>
      </w:r>
    </w:p>
    <w:p w14:paraId="012892EE"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C34819">
        <w:rPr>
          <w:b/>
          <w:color w:val="auto"/>
          <w:sz w:val="18"/>
          <w:lang w:val="es-ES"/>
        </w:rPr>
        <w:t>Mayor</w:t>
      </w:r>
      <w:r w:rsidRPr="00C34819">
        <w:rPr>
          <w:color w:val="auto"/>
          <w:sz w:val="18"/>
          <w:lang w:val="es-ES"/>
        </w:rPr>
        <w:t>, Carlos</w:t>
      </w:r>
    </w:p>
    <w:p w14:paraId="0C9952A9" w14:textId="77777777" w:rsidR="00763BF7" w:rsidRPr="008D4FE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8D4FE9">
        <w:rPr>
          <w:b/>
          <w:color w:val="auto"/>
          <w:sz w:val="18"/>
          <w:lang w:val="es-ES"/>
        </w:rPr>
        <w:t>Parrilla Moruno</w:t>
      </w:r>
      <w:r w:rsidRPr="008D4FE9">
        <w:rPr>
          <w:color w:val="auto"/>
          <w:sz w:val="18"/>
          <w:lang w:val="es-ES"/>
        </w:rPr>
        <w:t>, Alberto Thais</w:t>
      </w:r>
    </w:p>
    <w:p w14:paraId="7104D896" w14:textId="77777777" w:rsidR="00763BF7" w:rsidRPr="008D4FE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8D4FE9">
        <w:rPr>
          <w:b/>
          <w:color w:val="auto"/>
          <w:sz w:val="18"/>
          <w:lang w:val="es-ES"/>
        </w:rPr>
        <w:t>De Andrés</w:t>
      </w:r>
      <w:r w:rsidRPr="008D4FE9">
        <w:rPr>
          <w:color w:val="auto"/>
          <w:sz w:val="18"/>
          <w:lang w:val="es-ES"/>
        </w:rPr>
        <w:t>, Marisa</w:t>
      </w:r>
    </w:p>
    <w:p w14:paraId="61F5EADD"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C34819">
        <w:rPr>
          <w:b/>
          <w:color w:val="auto"/>
          <w:sz w:val="18"/>
          <w:lang w:val="es-ES"/>
        </w:rPr>
        <w:t>Acuña</w:t>
      </w:r>
      <w:r w:rsidRPr="00C34819">
        <w:rPr>
          <w:color w:val="auto"/>
          <w:sz w:val="18"/>
          <w:lang w:val="es-ES"/>
        </w:rPr>
        <w:t>, Jose Antonio</w:t>
      </w:r>
    </w:p>
    <w:p w14:paraId="324005F7"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C34819">
        <w:rPr>
          <w:b/>
          <w:color w:val="auto"/>
          <w:sz w:val="18"/>
          <w:lang w:val="es-ES"/>
        </w:rPr>
        <w:t>Baity</w:t>
      </w:r>
      <w:r w:rsidRPr="00C34819">
        <w:rPr>
          <w:color w:val="auto"/>
          <w:sz w:val="18"/>
          <w:lang w:val="es-ES"/>
        </w:rPr>
        <w:t>, Dawn</w:t>
      </w:r>
    </w:p>
    <w:p w14:paraId="5D319ADD"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C34819">
        <w:rPr>
          <w:b/>
          <w:color w:val="auto"/>
          <w:sz w:val="18"/>
          <w:lang w:val="es-ES"/>
        </w:rPr>
        <w:t>Deprez</w:t>
      </w:r>
      <w:r w:rsidRPr="00C34819">
        <w:rPr>
          <w:color w:val="auto"/>
          <w:sz w:val="18"/>
          <w:lang w:val="es-ES"/>
        </w:rPr>
        <w:t>, Bruno</w:t>
      </w:r>
    </w:p>
    <w:p w14:paraId="530EEAB9"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C34819">
        <w:rPr>
          <w:b/>
          <w:color w:val="auto"/>
          <w:sz w:val="18"/>
          <w:lang w:val="es-ES"/>
        </w:rPr>
        <w:t>Elorriaga</w:t>
      </w:r>
      <w:r w:rsidRPr="00C34819">
        <w:rPr>
          <w:color w:val="auto"/>
          <w:sz w:val="18"/>
          <w:lang w:val="es-ES"/>
        </w:rPr>
        <w:t>, Aitor</w:t>
      </w:r>
    </w:p>
    <w:p w14:paraId="7E4F9E42"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C34819">
        <w:rPr>
          <w:b/>
          <w:color w:val="auto"/>
          <w:sz w:val="18"/>
          <w:lang w:val="es-ES"/>
        </w:rPr>
        <w:t>Gallego Sanz</w:t>
      </w:r>
      <w:r w:rsidRPr="00C34819">
        <w:rPr>
          <w:color w:val="auto"/>
          <w:sz w:val="18"/>
          <w:lang w:val="es-ES"/>
        </w:rPr>
        <w:t>, Juan Luis</w:t>
      </w:r>
    </w:p>
    <w:p w14:paraId="4F774F20"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34819">
        <w:rPr>
          <w:b/>
          <w:color w:val="auto"/>
          <w:sz w:val="18"/>
          <w:lang w:val="pt-PT"/>
        </w:rPr>
        <w:t>García</w:t>
      </w:r>
      <w:r w:rsidRPr="00C34819">
        <w:rPr>
          <w:color w:val="auto"/>
          <w:sz w:val="18"/>
          <w:lang w:val="pt-PT"/>
        </w:rPr>
        <w:t>, Jesús</w:t>
      </w:r>
    </w:p>
    <w:p w14:paraId="2F234FEC"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34819">
        <w:rPr>
          <w:b/>
          <w:color w:val="auto"/>
          <w:sz w:val="18"/>
          <w:lang w:val="pt-PT"/>
        </w:rPr>
        <w:t>Jaiteh</w:t>
      </w:r>
      <w:r w:rsidRPr="00C34819">
        <w:rPr>
          <w:color w:val="auto"/>
          <w:sz w:val="18"/>
          <w:lang w:val="pt-PT"/>
        </w:rPr>
        <w:t>, Ousainou</w:t>
      </w:r>
    </w:p>
    <w:p w14:paraId="78BDEDA4"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34819">
        <w:rPr>
          <w:b/>
          <w:color w:val="auto"/>
          <w:sz w:val="18"/>
          <w:lang w:val="pt-PT"/>
        </w:rPr>
        <w:t>Maestre</w:t>
      </w:r>
      <w:r w:rsidRPr="00C34819">
        <w:rPr>
          <w:color w:val="auto"/>
          <w:sz w:val="18"/>
          <w:lang w:val="pt-PT"/>
        </w:rPr>
        <w:t>, Manuel</w:t>
      </w:r>
    </w:p>
    <w:p w14:paraId="2952B5C6"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C34819">
        <w:rPr>
          <w:b/>
          <w:color w:val="auto"/>
          <w:sz w:val="18"/>
          <w:lang w:val="es-ES"/>
        </w:rPr>
        <w:t>Martínez Herranz</w:t>
      </w:r>
      <w:r w:rsidRPr="00C34819">
        <w:rPr>
          <w:color w:val="auto"/>
          <w:sz w:val="18"/>
          <w:lang w:val="es-ES"/>
        </w:rPr>
        <w:t>, Javier</w:t>
      </w:r>
    </w:p>
    <w:p w14:paraId="651436E2"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C34819">
        <w:rPr>
          <w:b/>
          <w:color w:val="auto"/>
          <w:sz w:val="18"/>
          <w:lang w:val="es-ES"/>
        </w:rPr>
        <w:t>Mergarejo Dremov</w:t>
      </w:r>
      <w:r w:rsidRPr="00C34819">
        <w:rPr>
          <w:color w:val="auto"/>
          <w:sz w:val="18"/>
          <w:lang w:val="es-ES"/>
        </w:rPr>
        <w:t xml:space="preserve">, Félix </w:t>
      </w:r>
    </w:p>
    <w:p w14:paraId="538A60A8"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C34819">
        <w:rPr>
          <w:b/>
          <w:color w:val="auto"/>
          <w:sz w:val="18"/>
          <w:lang w:val="es-ES"/>
        </w:rPr>
        <w:t>Muñoz</w:t>
      </w:r>
      <w:r w:rsidRPr="00C34819">
        <w:rPr>
          <w:color w:val="auto"/>
          <w:sz w:val="18"/>
          <w:lang w:val="es-ES"/>
        </w:rPr>
        <w:t>, Juan Carlos</w:t>
      </w:r>
    </w:p>
    <w:p w14:paraId="7EAADDBA"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C34819">
        <w:rPr>
          <w:b/>
          <w:color w:val="auto"/>
          <w:sz w:val="18"/>
          <w:lang w:val="es-ES"/>
        </w:rPr>
        <w:t>Pagá</w:t>
      </w:r>
      <w:r w:rsidRPr="00C34819">
        <w:rPr>
          <w:color w:val="auto"/>
          <w:sz w:val="18"/>
          <w:lang w:val="es-ES"/>
        </w:rPr>
        <w:t>, Alfonso</w:t>
      </w:r>
    </w:p>
    <w:p w14:paraId="7C091A75"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C34819">
        <w:rPr>
          <w:b/>
          <w:color w:val="auto"/>
          <w:sz w:val="18"/>
          <w:lang w:val="es-ES"/>
        </w:rPr>
        <w:t>Portel</w:t>
      </w:r>
      <w:r w:rsidRPr="00C34819">
        <w:rPr>
          <w:color w:val="auto"/>
          <w:sz w:val="18"/>
          <w:lang w:val="es-ES"/>
        </w:rPr>
        <w:t>, Dashiel</w:t>
      </w:r>
    </w:p>
    <w:p w14:paraId="0448FE4F"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C34819">
        <w:rPr>
          <w:b/>
          <w:color w:val="auto"/>
          <w:sz w:val="18"/>
          <w:lang w:val="es-ES"/>
        </w:rPr>
        <w:t>Samedy</w:t>
      </w:r>
      <w:r w:rsidRPr="00C34819">
        <w:rPr>
          <w:color w:val="auto"/>
          <w:sz w:val="18"/>
          <w:lang w:val="es-ES"/>
        </w:rPr>
        <w:t>, Valérie</w:t>
      </w:r>
    </w:p>
    <w:p w14:paraId="7F50BD4A"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C34819">
        <w:rPr>
          <w:b/>
          <w:color w:val="auto"/>
          <w:sz w:val="18"/>
          <w:lang w:val="es-ES"/>
        </w:rPr>
        <w:t>Sanz</w:t>
      </w:r>
      <w:r w:rsidRPr="00C34819">
        <w:rPr>
          <w:color w:val="auto"/>
          <w:sz w:val="18"/>
          <w:lang w:val="es-ES"/>
        </w:rPr>
        <w:t>, José</w:t>
      </w:r>
    </w:p>
    <w:p w14:paraId="577AC09C"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C34819">
        <w:rPr>
          <w:b/>
          <w:color w:val="auto"/>
          <w:sz w:val="18"/>
          <w:lang w:val="es-ES"/>
        </w:rPr>
        <w:t>Vieito</w:t>
      </w:r>
      <w:r w:rsidRPr="00C34819">
        <w:rPr>
          <w:color w:val="auto"/>
          <w:sz w:val="18"/>
          <w:lang w:val="es-ES"/>
        </w:rPr>
        <w:t>, Aldana</w:t>
      </w:r>
    </w:p>
    <w:p w14:paraId="1B3BFCE9"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b/>
          <w:color w:val="auto"/>
          <w:lang w:val="es-ES"/>
        </w:rPr>
      </w:pPr>
    </w:p>
    <w:p w14:paraId="6762411F" w14:textId="77777777" w:rsidR="00763BF7" w:rsidRPr="00C34819" w:rsidRDefault="00763BF7" w:rsidP="00763BF7">
      <w:pPr>
        <w:rPr>
          <w:lang w:val="es-ES" w:eastAsia="en-GB"/>
        </w:rPr>
      </w:pPr>
      <w:r w:rsidRPr="00C34819">
        <w:rPr>
          <w:b/>
          <w:lang w:val="es-ES" w:eastAsia="en-GB"/>
        </w:rPr>
        <w:t>INTERPRÈTES DE L’ICCAT</w:t>
      </w:r>
    </w:p>
    <w:p w14:paraId="3F69313B"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C34819">
        <w:rPr>
          <w:b/>
          <w:color w:val="auto"/>
          <w:sz w:val="18"/>
          <w:lang w:val="es-ES"/>
        </w:rPr>
        <w:t>Baena Jiménez</w:t>
      </w:r>
      <w:r w:rsidRPr="00C34819">
        <w:rPr>
          <w:color w:val="auto"/>
          <w:sz w:val="18"/>
          <w:lang w:val="es-ES"/>
        </w:rPr>
        <w:t>, Eva J.</w:t>
      </w:r>
    </w:p>
    <w:p w14:paraId="41927EA6"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proofErr w:type="spellStart"/>
      <w:r w:rsidRPr="001E1EF3">
        <w:rPr>
          <w:b/>
          <w:color w:val="auto"/>
          <w:sz w:val="18"/>
          <w:lang w:val="es-ES"/>
        </w:rPr>
        <w:t>Calmels</w:t>
      </w:r>
      <w:proofErr w:type="spellEnd"/>
      <w:r w:rsidRPr="001E1EF3">
        <w:rPr>
          <w:color w:val="auto"/>
          <w:sz w:val="18"/>
          <w:lang w:val="es-ES"/>
        </w:rPr>
        <w:t>, Ellie</w:t>
      </w:r>
    </w:p>
    <w:p w14:paraId="2C117475" w14:textId="77777777" w:rsidR="00763BF7" w:rsidRPr="001E1EF3"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1E1EF3">
        <w:rPr>
          <w:b/>
          <w:color w:val="auto"/>
          <w:sz w:val="18"/>
          <w:lang w:val="es-ES"/>
        </w:rPr>
        <w:t>Gelb Cohen</w:t>
      </w:r>
      <w:r w:rsidRPr="001E1EF3">
        <w:rPr>
          <w:color w:val="auto"/>
          <w:sz w:val="18"/>
          <w:lang w:val="es-ES"/>
        </w:rPr>
        <w:t>, Beth</w:t>
      </w:r>
    </w:p>
    <w:p w14:paraId="34AD714A"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proofErr w:type="spellStart"/>
      <w:r w:rsidRPr="00C34819">
        <w:rPr>
          <w:b/>
          <w:color w:val="auto"/>
          <w:sz w:val="18"/>
        </w:rPr>
        <w:t>Liberas</w:t>
      </w:r>
      <w:proofErr w:type="spellEnd"/>
      <w:r w:rsidRPr="00C34819">
        <w:rPr>
          <w:color w:val="auto"/>
          <w:sz w:val="18"/>
        </w:rPr>
        <w:t>, Christine</w:t>
      </w:r>
    </w:p>
    <w:p w14:paraId="7CDFF3FA" w14:textId="77777777" w:rsidR="00763BF7" w:rsidRPr="00C3481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proofErr w:type="spellStart"/>
      <w:r w:rsidRPr="00C34819">
        <w:rPr>
          <w:b/>
          <w:color w:val="auto"/>
          <w:sz w:val="18"/>
        </w:rPr>
        <w:t>Linaae</w:t>
      </w:r>
      <w:proofErr w:type="spellEnd"/>
      <w:r w:rsidRPr="00C34819">
        <w:rPr>
          <w:color w:val="auto"/>
          <w:sz w:val="18"/>
        </w:rPr>
        <w:t>, Cristina</w:t>
      </w:r>
    </w:p>
    <w:p w14:paraId="369FC4B1" w14:textId="77777777" w:rsidR="00763BF7" w:rsidRPr="00B66139"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rPr>
      </w:pPr>
      <w:r w:rsidRPr="00C34819">
        <w:rPr>
          <w:b/>
          <w:color w:val="auto"/>
          <w:sz w:val="18"/>
        </w:rPr>
        <w:t>Pinzon</w:t>
      </w:r>
      <w:r w:rsidRPr="00C34819">
        <w:rPr>
          <w:color w:val="auto"/>
          <w:sz w:val="18"/>
        </w:rPr>
        <w:t>, Aurélie</w:t>
      </w:r>
    </w:p>
    <w:p w14:paraId="2A499258" w14:textId="77777777" w:rsidR="00763BF7" w:rsidRPr="003B0C90" w:rsidRDefault="00763BF7" w:rsidP="00763BF7">
      <w:pPr>
        <w:pBdr>
          <w:top w:val="none" w:sz="0" w:space="0" w:color="auto"/>
          <w:left w:val="none" w:sz="0" w:space="0" w:color="auto"/>
          <w:bottom w:val="none" w:sz="0" w:space="0" w:color="auto"/>
          <w:right w:val="none" w:sz="0" w:space="0" w:color="auto"/>
          <w:between w:val="none" w:sz="0" w:space="0" w:color="auto"/>
        </w:pBdr>
        <w:jc w:val="left"/>
        <w:rPr>
          <w:color w:val="auto"/>
          <w:lang w:eastAsia="en-GB"/>
        </w:rPr>
      </w:pPr>
    </w:p>
    <w:p w14:paraId="16ED628B" w14:textId="77777777" w:rsidR="00BA0A76" w:rsidRPr="00A66378" w:rsidRDefault="00BA0A76" w:rsidP="00A66378">
      <w:pPr>
        <w:pBdr>
          <w:top w:val="none" w:sz="0" w:space="0" w:color="auto"/>
          <w:left w:val="none" w:sz="0" w:space="0" w:color="auto"/>
          <w:bottom w:val="none" w:sz="0" w:space="0" w:color="auto"/>
          <w:right w:val="none" w:sz="0" w:space="0" w:color="auto"/>
          <w:between w:val="none" w:sz="0" w:space="0" w:color="auto"/>
        </w:pBdr>
        <w:jc w:val="right"/>
        <w:rPr>
          <w:rFonts w:asciiTheme="minorHAnsi" w:hAnsiTheme="minorHAnsi"/>
          <w:b/>
          <w:color w:val="auto"/>
        </w:rPr>
      </w:pPr>
    </w:p>
    <w:sectPr w:rsidR="00BA0A76" w:rsidRPr="00A66378" w:rsidSect="006A3C9C">
      <w:headerReference w:type="default" r:id="rId49"/>
      <w:pgSz w:w="11907" w:h="16840" w:code="9"/>
      <w:pgMar w:top="1418" w:right="1418" w:bottom="1418" w:left="1418" w:header="851" w:footer="113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B860C" w14:textId="77777777" w:rsidR="00117ACA" w:rsidRDefault="00117ACA" w:rsidP="00B1595B">
      <w:r>
        <w:separator/>
      </w:r>
    </w:p>
  </w:endnote>
  <w:endnote w:type="continuationSeparator" w:id="0">
    <w:p w14:paraId="3AE7A428" w14:textId="77777777" w:rsidR="00117ACA" w:rsidRDefault="00117ACA" w:rsidP="00B1595B">
      <w:r>
        <w:continuationSeparator/>
      </w:r>
    </w:p>
  </w:endnote>
  <w:endnote w:type="continuationNotice" w:id="1">
    <w:p w14:paraId="5E7598FB" w14:textId="77777777" w:rsidR="00117ACA" w:rsidRDefault="00117A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1662798"/>
      <w:docPartObj>
        <w:docPartGallery w:val="Page Numbers (Bottom of Page)"/>
        <w:docPartUnique/>
      </w:docPartObj>
    </w:sdtPr>
    <w:sdtEndPr>
      <w:rPr>
        <w:noProof/>
      </w:rPr>
    </w:sdtEndPr>
    <w:sdtContent>
      <w:p w14:paraId="2882A0A7" w14:textId="25074F98" w:rsidR="00DA3AEB" w:rsidRPr="00827B0A" w:rsidRDefault="00816865" w:rsidP="00816865">
        <w:pPr>
          <w:pStyle w:val="Footer"/>
          <w:jc w:val="center"/>
        </w:pPr>
        <w:sdt>
          <w:sdtPr>
            <w:rPr>
              <w:rFonts w:ascii="Calibri" w:eastAsia="Calibri" w:hAnsi="Calibri" w:cs="Calibri"/>
              <w:lang w:val="en-US"/>
            </w:rPr>
            <w:id w:val="810910487"/>
            <w:docPartObj>
              <w:docPartGallery w:val="Page Numbers (Top of Page)"/>
              <w:docPartUnique/>
            </w:docPartObj>
          </w:sdtPr>
          <w:sdtContent>
            <w:r w:rsidRPr="00713AD4">
              <w:rPr>
                <w:rFonts w:eastAsia="Calibri" w:cs="Calibri"/>
                <w:lang w:val="en-US"/>
              </w:rPr>
              <w:fldChar w:fldCharType="begin"/>
            </w:r>
            <w:r w:rsidRPr="00713AD4">
              <w:rPr>
                <w:rFonts w:eastAsia="Calibri" w:cs="Calibri"/>
                <w:lang w:val="en-US"/>
              </w:rPr>
              <w:instrText xml:space="preserve"> PAGE </w:instrText>
            </w:r>
            <w:r w:rsidRPr="00713AD4">
              <w:rPr>
                <w:rFonts w:eastAsia="Calibri" w:cs="Calibri"/>
                <w:lang w:val="en-US"/>
              </w:rPr>
              <w:fldChar w:fldCharType="separate"/>
            </w:r>
            <w:r>
              <w:rPr>
                <w:rFonts w:eastAsia="Calibri" w:cs="Calibri"/>
                <w:lang w:val="en-US"/>
              </w:rPr>
              <w:t>1</w:t>
            </w:r>
            <w:r w:rsidRPr="00713AD4">
              <w:rPr>
                <w:rFonts w:eastAsia="Calibri" w:cs="Calibri"/>
                <w:lang w:val="en-US"/>
              </w:rPr>
              <w:fldChar w:fldCharType="end"/>
            </w:r>
            <w:r w:rsidRPr="00713AD4">
              <w:rPr>
                <w:rFonts w:eastAsia="Calibri" w:cs="Calibri"/>
                <w:lang w:val="en-US"/>
              </w:rPr>
              <w:t xml:space="preserve"> / </w:t>
            </w:r>
            <w:r w:rsidRPr="00713AD4">
              <w:rPr>
                <w:rFonts w:eastAsia="Calibri" w:cs="Calibri"/>
                <w:lang w:val="en-US"/>
              </w:rPr>
              <w:fldChar w:fldCharType="begin"/>
            </w:r>
            <w:r w:rsidRPr="00713AD4">
              <w:rPr>
                <w:rFonts w:eastAsia="Calibri" w:cs="Calibri"/>
                <w:lang w:val="en-US"/>
              </w:rPr>
              <w:instrText xml:space="preserve"> NUMPAGES  </w:instrText>
            </w:r>
            <w:r w:rsidRPr="00713AD4">
              <w:rPr>
                <w:rFonts w:eastAsia="Calibri" w:cs="Calibri"/>
                <w:lang w:val="en-US"/>
              </w:rPr>
              <w:fldChar w:fldCharType="separate"/>
            </w:r>
            <w:r>
              <w:rPr>
                <w:rFonts w:eastAsia="Calibri" w:cs="Calibri"/>
                <w:lang w:val="en-US"/>
              </w:rPr>
              <w:t>33</w:t>
            </w:r>
            <w:r w:rsidRPr="00713AD4">
              <w:rPr>
                <w:rFonts w:eastAsia="Calibri" w:cs="Calibri"/>
                <w:lang w:val="en-US"/>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42341" w14:textId="77777777" w:rsidR="00117ACA" w:rsidRDefault="00117ACA" w:rsidP="00B1595B">
      <w:r>
        <w:separator/>
      </w:r>
    </w:p>
  </w:footnote>
  <w:footnote w:type="continuationSeparator" w:id="0">
    <w:p w14:paraId="58967429" w14:textId="77777777" w:rsidR="00117ACA" w:rsidRDefault="00117ACA" w:rsidP="00B1595B">
      <w:r>
        <w:continuationSeparator/>
      </w:r>
    </w:p>
  </w:footnote>
  <w:footnote w:type="continuationNotice" w:id="1">
    <w:p w14:paraId="713D6FD2" w14:textId="77777777" w:rsidR="00117ACA" w:rsidRDefault="00117ACA"/>
  </w:footnote>
  <w:footnote w:id="2">
    <w:p w14:paraId="637FFDDA" w14:textId="77777777" w:rsidR="00763BF7" w:rsidRPr="00311A5A" w:rsidRDefault="00763BF7" w:rsidP="00763BF7">
      <w:pPr>
        <w:pStyle w:val="FootnoteText"/>
        <w:contextualSpacing/>
        <w:rPr>
          <w:sz w:val="16"/>
          <w:szCs w:val="16"/>
        </w:rPr>
      </w:pPr>
      <w:r w:rsidRPr="00311A5A">
        <w:rPr>
          <w:rStyle w:val="FootnoteReference"/>
          <w:sz w:val="16"/>
          <w:szCs w:val="16"/>
        </w:rPr>
        <w:footnoteRef/>
      </w:r>
      <w:r w:rsidRPr="00311A5A">
        <w:rPr>
          <w:sz w:val="16"/>
          <w:szCs w:val="16"/>
        </w:rPr>
        <w:t xml:space="preserve"> En raison de la demande de protection des données émise par quelques délégués, les coordonnées complètes ne sont pas mentionnées dans certains cas.</w:t>
      </w:r>
    </w:p>
    <w:p w14:paraId="403A83C4" w14:textId="77777777" w:rsidR="00763BF7" w:rsidRPr="003248E6" w:rsidRDefault="00763BF7" w:rsidP="00763BF7">
      <w:pPr>
        <w:contextualSpacing/>
        <w:rPr>
          <w:sz w:val="18"/>
          <w:szCs w:val="18"/>
        </w:rPr>
      </w:pPr>
      <w:r w:rsidRPr="00311A5A">
        <w:rPr>
          <w:rStyle w:val="FootnoteReference"/>
          <w:sz w:val="16"/>
          <w:szCs w:val="16"/>
        </w:rPr>
        <w:sym w:font="Symbol" w:char="F02A"/>
      </w:r>
      <w:r w:rsidRPr="003248E6">
        <w:rPr>
          <w:sz w:val="16"/>
          <w:szCs w:val="16"/>
        </w:rPr>
        <w:t xml:space="preserve"> Chef de délégation.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78C6" w14:textId="77777777" w:rsidR="00816865" w:rsidRPr="003B7606" w:rsidRDefault="00816865" w:rsidP="00816865">
    <w:pPr>
      <w:tabs>
        <w:tab w:val="center" w:pos="4680"/>
        <w:tab w:val="left" w:pos="6520"/>
        <w:tab w:val="right" w:pos="9360"/>
        <w:tab w:val="right" w:pos="14240"/>
      </w:tabs>
      <w:jc w:val="right"/>
      <w:rPr>
        <w:rFonts w:eastAsia="Calibri" w:cs="Times New Roman"/>
        <w:b/>
        <w:bCs/>
        <w:lang w:val="en-US"/>
      </w:rPr>
    </w:pPr>
    <w:bookmarkStart w:id="1" w:name="_Hlk107908354"/>
    <w:bookmarkStart w:id="2" w:name="_Hlk107908355"/>
    <w:bookmarkStart w:id="3" w:name="_Hlk107908359"/>
    <w:bookmarkStart w:id="4" w:name="_Hlk107908360"/>
    <w:bookmarkStart w:id="5" w:name="_Hlk107908361"/>
    <w:bookmarkStart w:id="6" w:name="_Hlk107908362"/>
    <w:r>
      <w:rPr>
        <w:rFonts w:eastAsia="Calibri" w:cs="Times New Roman"/>
        <w:b/>
        <w:bCs/>
      </w:rPr>
      <w:t>COC</w:t>
    </w:r>
    <w:r>
      <w:rPr>
        <w:rFonts w:eastAsia="Calibri" w:cs="Times New Roman"/>
        <w:b/>
        <w:bCs/>
        <w:lang w:val="en-US"/>
      </w:rPr>
      <w:t>_302</w:t>
    </w:r>
    <w:r w:rsidRPr="003B7606">
      <w:rPr>
        <w:rFonts w:eastAsia="Calibri" w:cs="Times New Roman"/>
        <w:b/>
        <w:bCs/>
        <w:lang w:val="en-US"/>
      </w:rPr>
      <w:t>/2026</w:t>
    </w:r>
  </w:p>
  <w:p w14:paraId="0F880739" w14:textId="438AD601" w:rsidR="001C14AB" w:rsidRPr="00816865" w:rsidRDefault="00816865" w:rsidP="00816865">
    <w:pPr>
      <w:tabs>
        <w:tab w:val="left" w:pos="7320"/>
      </w:tabs>
      <w:spacing w:line="240" w:lineRule="exact"/>
      <w:jc w:val="right"/>
      <w:rPr>
        <w:rFonts w:cs="Times New Roman"/>
        <w:b/>
        <w:bCs/>
        <w:sz w:val="16"/>
        <w:szCs w:val="16"/>
        <w:lang w:val="es-ES_tradnl"/>
      </w:rPr>
    </w:pPr>
    <w:r w:rsidRPr="003B7606">
      <w:rPr>
        <w:rFonts w:eastAsia="Times New Roman" w:cs="Times New Roman"/>
        <w:b/>
        <w:bCs/>
        <w:sz w:val="16"/>
        <w:szCs w:val="16"/>
        <w:lang w:val="es-ES_tradnl"/>
      </w:rPr>
      <w:fldChar w:fldCharType="begin"/>
    </w:r>
    <w:r w:rsidRPr="003B7606">
      <w:rPr>
        <w:rFonts w:eastAsia="Times New Roman" w:cs="Times New Roman"/>
        <w:b/>
        <w:bCs/>
        <w:sz w:val="16"/>
        <w:szCs w:val="16"/>
        <w:lang w:val="es-ES_tradnl"/>
      </w:rPr>
      <w:instrText xml:space="preserve"> TIME \@ "dd/MM/yyyy H:mm" </w:instrText>
    </w:r>
    <w:r w:rsidRPr="003B7606">
      <w:rPr>
        <w:rFonts w:eastAsia="Times New Roman" w:cs="Times New Roman"/>
        <w:b/>
        <w:bCs/>
        <w:sz w:val="16"/>
        <w:szCs w:val="16"/>
        <w:lang w:val="es-ES_tradnl"/>
      </w:rPr>
      <w:fldChar w:fldCharType="separate"/>
    </w:r>
    <w:r w:rsidRPr="003B7606">
      <w:rPr>
        <w:rFonts w:eastAsia="Times New Roman" w:cs="Times New Roman"/>
        <w:b/>
        <w:bCs/>
        <w:noProof/>
        <w:sz w:val="16"/>
        <w:szCs w:val="16"/>
        <w:lang w:val="es-ES_tradnl"/>
      </w:rPr>
      <w:t>29/09/2026 11:21</w:t>
    </w:r>
    <w:r w:rsidRPr="003B7606">
      <w:rPr>
        <w:rFonts w:eastAsia="Times New Roman" w:cs="Times New Roman"/>
        <w:b/>
        <w:bCs/>
        <w:sz w:val="16"/>
        <w:szCs w:val="16"/>
        <w:lang w:val="es-ES_tradnl"/>
      </w:rPr>
      <w:fldChar w:fldCharType="end"/>
    </w:r>
    <w:bookmarkEnd w:id="1"/>
    <w:bookmarkEnd w:id="2"/>
    <w:bookmarkEnd w:id="3"/>
    <w:bookmarkEnd w:id="4"/>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F71CA" w14:textId="77777777" w:rsidR="00BA0A76" w:rsidRPr="001C14AB" w:rsidRDefault="00BA0A76" w:rsidP="00BA0A76">
    <w:pPr>
      <w:pBdr>
        <w:top w:val="none" w:sz="0" w:space="0" w:color="auto"/>
        <w:left w:val="none" w:sz="0" w:space="0" w:color="auto"/>
        <w:bottom w:val="none" w:sz="0" w:space="0" w:color="auto"/>
        <w:right w:val="none" w:sz="0" w:space="0" w:color="auto"/>
        <w:between w:val="none" w:sz="0" w:space="0" w:color="auto"/>
      </w:pBdr>
      <w:tabs>
        <w:tab w:val="center" w:pos="4680"/>
        <w:tab w:val="right" w:pos="9360"/>
      </w:tabs>
      <w:jc w:val="center"/>
      <w:rPr>
        <w:rFonts w:ascii="Arial" w:eastAsia="Calibri" w:hAnsi="Arial" w:cs="Arial"/>
        <w:color w:val="auto"/>
        <w:sz w:val="16"/>
        <w:szCs w:val="16"/>
      </w:rPr>
    </w:pPr>
    <w:r>
      <w:rPr>
        <w:rFonts w:ascii="Arial" w:hAnsi="Arial"/>
        <w:color w:val="auto"/>
        <w:sz w:val="16"/>
      </w:rPr>
      <w:t>WG-ORT, EN LIGNE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028"/>
    <w:multiLevelType w:val="multilevel"/>
    <w:tmpl w:val="C488512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1EC566F"/>
    <w:multiLevelType w:val="hybridMultilevel"/>
    <w:tmpl w:val="40383576"/>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E43BEA"/>
    <w:multiLevelType w:val="hybridMultilevel"/>
    <w:tmpl w:val="E1647646"/>
    <w:lvl w:ilvl="0" w:tplc="FFFFFFFF">
      <w:start w:val="1"/>
      <w:numFmt w:val="bullet"/>
      <w:lvlText w:val="-"/>
      <w:lvlJc w:val="left"/>
      <w:pPr>
        <w:ind w:left="-66" w:hanging="360"/>
      </w:pPr>
      <w:rPr>
        <w:rFonts w:ascii="Cambria" w:hAnsi="Cambria" w:hint="default"/>
      </w:rPr>
    </w:lvl>
    <w:lvl w:ilvl="1" w:tplc="002AA744">
      <w:start w:val="5"/>
      <w:numFmt w:val="bullet"/>
      <w:lvlText w:val="-"/>
      <w:lvlJc w:val="left"/>
      <w:pPr>
        <w:ind w:left="654" w:hanging="360"/>
      </w:pPr>
      <w:rPr>
        <w:rFonts w:ascii="Cambria" w:eastAsia="Cambria" w:hAnsi="Cambria" w:cs="Cambria" w:hint="default"/>
      </w:rPr>
    </w:lvl>
    <w:lvl w:ilvl="2" w:tplc="FFFFFFFF" w:tentative="1">
      <w:start w:val="1"/>
      <w:numFmt w:val="bullet"/>
      <w:lvlText w:val=""/>
      <w:lvlJc w:val="left"/>
      <w:pPr>
        <w:ind w:left="1374" w:hanging="360"/>
      </w:pPr>
      <w:rPr>
        <w:rFonts w:ascii="Wingdings" w:hAnsi="Wingdings" w:hint="default"/>
      </w:rPr>
    </w:lvl>
    <w:lvl w:ilvl="3" w:tplc="FFFFFFFF" w:tentative="1">
      <w:start w:val="1"/>
      <w:numFmt w:val="bullet"/>
      <w:lvlText w:val=""/>
      <w:lvlJc w:val="left"/>
      <w:pPr>
        <w:ind w:left="2094" w:hanging="360"/>
      </w:pPr>
      <w:rPr>
        <w:rFonts w:ascii="Symbol" w:hAnsi="Symbol" w:hint="default"/>
      </w:rPr>
    </w:lvl>
    <w:lvl w:ilvl="4" w:tplc="FFFFFFFF" w:tentative="1">
      <w:start w:val="1"/>
      <w:numFmt w:val="bullet"/>
      <w:lvlText w:val="o"/>
      <w:lvlJc w:val="left"/>
      <w:pPr>
        <w:ind w:left="2814" w:hanging="360"/>
      </w:pPr>
      <w:rPr>
        <w:rFonts w:ascii="Courier New" w:hAnsi="Courier New" w:cs="Courier New" w:hint="default"/>
      </w:rPr>
    </w:lvl>
    <w:lvl w:ilvl="5" w:tplc="FFFFFFFF" w:tentative="1">
      <w:start w:val="1"/>
      <w:numFmt w:val="bullet"/>
      <w:lvlText w:val=""/>
      <w:lvlJc w:val="left"/>
      <w:pPr>
        <w:ind w:left="3534" w:hanging="360"/>
      </w:pPr>
      <w:rPr>
        <w:rFonts w:ascii="Wingdings" w:hAnsi="Wingdings" w:hint="default"/>
      </w:rPr>
    </w:lvl>
    <w:lvl w:ilvl="6" w:tplc="FFFFFFFF" w:tentative="1">
      <w:start w:val="1"/>
      <w:numFmt w:val="bullet"/>
      <w:lvlText w:val=""/>
      <w:lvlJc w:val="left"/>
      <w:pPr>
        <w:ind w:left="4254" w:hanging="360"/>
      </w:pPr>
      <w:rPr>
        <w:rFonts w:ascii="Symbol" w:hAnsi="Symbol" w:hint="default"/>
      </w:rPr>
    </w:lvl>
    <w:lvl w:ilvl="7" w:tplc="FFFFFFFF" w:tentative="1">
      <w:start w:val="1"/>
      <w:numFmt w:val="bullet"/>
      <w:lvlText w:val="o"/>
      <w:lvlJc w:val="left"/>
      <w:pPr>
        <w:ind w:left="4974" w:hanging="360"/>
      </w:pPr>
      <w:rPr>
        <w:rFonts w:ascii="Courier New" w:hAnsi="Courier New" w:cs="Courier New" w:hint="default"/>
      </w:rPr>
    </w:lvl>
    <w:lvl w:ilvl="8" w:tplc="FFFFFFFF" w:tentative="1">
      <w:start w:val="1"/>
      <w:numFmt w:val="bullet"/>
      <w:lvlText w:val=""/>
      <w:lvlJc w:val="left"/>
      <w:pPr>
        <w:ind w:left="5694" w:hanging="360"/>
      </w:pPr>
      <w:rPr>
        <w:rFonts w:ascii="Wingdings" w:hAnsi="Wingdings" w:hint="default"/>
      </w:rPr>
    </w:lvl>
  </w:abstractNum>
  <w:abstractNum w:abstractNumId="3" w15:restartNumberingAfterBreak="0">
    <w:nsid w:val="0ED12321"/>
    <w:multiLevelType w:val="hybridMultilevel"/>
    <w:tmpl w:val="D7521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F37B7B"/>
    <w:multiLevelType w:val="hybridMultilevel"/>
    <w:tmpl w:val="C19C37CA"/>
    <w:lvl w:ilvl="0" w:tplc="002AA744">
      <w:start w:val="5"/>
      <w:numFmt w:val="bullet"/>
      <w:lvlText w:val="-"/>
      <w:lvlJc w:val="left"/>
      <w:pPr>
        <w:ind w:left="360" w:hanging="360"/>
      </w:pPr>
      <w:rPr>
        <w:rFonts w:ascii="Cambria" w:eastAsia="Cambria" w:hAnsi="Cambria" w:cs="Cambria" w:hint="default"/>
      </w:rPr>
    </w:lvl>
    <w:lvl w:ilvl="1" w:tplc="04090001">
      <w:start w:val="1"/>
      <w:numFmt w:val="bullet"/>
      <w:lvlText w:val=""/>
      <w:lvlJc w:val="left"/>
      <w:pPr>
        <w:ind w:left="1080" w:hanging="360"/>
      </w:pPr>
      <w:rPr>
        <w:rFonts w:ascii="Symbol" w:hAnsi="Symbol" w:hint="default"/>
      </w:rPr>
    </w:lvl>
    <w:lvl w:ilvl="2" w:tplc="FFFFFFFF">
      <w:start w:val="5"/>
      <w:numFmt w:val="bullet"/>
      <w:lvlText w:val="-"/>
      <w:lvlJc w:val="left"/>
      <w:pPr>
        <w:ind w:left="1800" w:hanging="360"/>
      </w:pPr>
      <w:rPr>
        <w:rFonts w:ascii="Cambria" w:eastAsia="Cambria" w:hAnsi="Cambria" w:cs="Cambria"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6AE4C24"/>
    <w:multiLevelType w:val="multilevel"/>
    <w:tmpl w:val="73A85E36"/>
    <w:lvl w:ilvl="0">
      <w:start w:val="10"/>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99E7CDB"/>
    <w:multiLevelType w:val="multilevel"/>
    <w:tmpl w:val="D0A04876"/>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9651"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7" w15:restartNumberingAfterBreak="0">
    <w:nsid w:val="1F8E4076"/>
    <w:multiLevelType w:val="hybridMultilevel"/>
    <w:tmpl w:val="E494A94A"/>
    <w:lvl w:ilvl="0" w:tplc="0809001B">
      <w:start w:val="1"/>
      <w:numFmt w:val="lowerRoman"/>
      <w:lvlText w:val="%1."/>
      <w:lvlJc w:val="right"/>
      <w:pPr>
        <w:ind w:left="360" w:hanging="360"/>
      </w:pPr>
    </w:lvl>
    <w:lvl w:ilvl="1" w:tplc="002AA744">
      <w:start w:val="5"/>
      <w:numFmt w:val="bullet"/>
      <w:lvlText w:val="-"/>
      <w:lvlJc w:val="left"/>
      <w:pPr>
        <w:ind w:left="786" w:hanging="360"/>
      </w:pPr>
      <w:rPr>
        <w:rFonts w:ascii="Cambria" w:eastAsia="Cambria" w:hAnsi="Cambria" w:cs="Cambria"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20550FA"/>
    <w:multiLevelType w:val="hybridMultilevel"/>
    <w:tmpl w:val="BC8AA3EE"/>
    <w:lvl w:ilvl="0" w:tplc="002AA744">
      <w:start w:val="5"/>
      <w:numFmt w:val="bullet"/>
      <w:lvlText w:val="-"/>
      <w:lvlJc w:val="left"/>
      <w:pPr>
        <w:ind w:left="720" w:hanging="360"/>
      </w:pPr>
      <w:rPr>
        <w:rFonts w:ascii="Cambria" w:eastAsia="Cambria" w:hAnsi="Cambria" w:cs="Cambr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A52DC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B6F72D1"/>
    <w:multiLevelType w:val="hybridMultilevel"/>
    <w:tmpl w:val="21B09FCA"/>
    <w:lvl w:ilvl="0" w:tplc="002AA744">
      <w:start w:val="5"/>
      <w:numFmt w:val="bullet"/>
      <w:lvlText w:val="-"/>
      <w:lvlJc w:val="left"/>
      <w:pPr>
        <w:ind w:left="720" w:hanging="360"/>
      </w:pPr>
      <w:rPr>
        <w:rFonts w:ascii="Cambria" w:eastAsia="Cambria" w:hAnsi="Cambria" w:cs="Cambr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C66BD0"/>
    <w:multiLevelType w:val="multilevel"/>
    <w:tmpl w:val="BC5CC8E2"/>
    <w:lvl w:ilvl="0">
      <w:start w:val="1"/>
      <w:numFmt w:val="decimal"/>
      <w:lvlText w:val="%1."/>
      <w:lvlJc w:val="left"/>
      <w:pPr>
        <w:ind w:left="477" w:hanging="361"/>
      </w:pPr>
      <w:rPr>
        <w:rFonts w:ascii="Cambria" w:eastAsia="Cambria" w:hAnsi="Cambria" w:cs="Cambria" w:hint="default"/>
        <w:b w:val="0"/>
        <w:bCs w:val="0"/>
        <w:i w:val="0"/>
        <w:iCs w:val="0"/>
        <w:spacing w:val="-4"/>
        <w:w w:val="102"/>
        <w:sz w:val="19"/>
        <w:szCs w:val="19"/>
        <w:lang w:val="en-US" w:eastAsia="en-US" w:bidi="ar-SA"/>
      </w:rPr>
    </w:lvl>
    <w:lvl w:ilvl="1">
      <w:start w:val="1"/>
      <w:numFmt w:val="decimal"/>
      <w:lvlText w:val="%1.%2"/>
      <w:lvlJc w:val="left"/>
      <w:pPr>
        <w:ind w:left="837" w:hanging="361"/>
      </w:pPr>
      <w:rPr>
        <w:rFonts w:ascii="Cambria" w:eastAsia="Cambria" w:hAnsi="Cambria" w:cs="Cambria" w:hint="default"/>
        <w:b w:val="0"/>
        <w:bCs w:val="0"/>
        <w:i w:val="0"/>
        <w:iCs w:val="0"/>
        <w:spacing w:val="-4"/>
        <w:w w:val="102"/>
        <w:sz w:val="19"/>
        <w:szCs w:val="19"/>
        <w:lang w:val="en-US" w:eastAsia="en-US" w:bidi="ar-SA"/>
      </w:rPr>
    </w:lvl>
    <w:lvl w:ilvl="2">
      <w:start w:val="1"/>
      <w:numFmt w:val="decimal"/>
      <w:lvlText w:val="%1.%2.%3"/>
      <w:lvlJc w:val="left"/>
      <w:pPr>
        <w:ind w:left="1393" w:hanging="556"/>
      </w:pPr>
      <w:rPr>
        <w:rFonts w:ascii="Cambria" w:eastAsia="Cambria" w:hAnsi="Cambria" w:cs="Cambria" w:hint="default"/>
        <w:b w:val="0"/>
        <w:bCs w:val="0"/>
        <w:i w:val="0"/>
        <w:iCs w:val="0"/>
        <w:spacing w:val="-4"/>
        <w:w w:val="102"/>
        <w:sz w:val="19"/>
        <w:szCs w:val="19"/>
        <w:lang w:val="en-US" w:eastAsia="en-US" w:bidi="ar-SA"/>
      </w:rPr>
    </w:lvl>
    <w:lvl w:ilvl="3">
      <w:numFmt w:val="bullet"/>
      <w:lvlText w:val="•"/>
      <w:lvlJc w:val="left"/>
      <w:pPr>
        <w:ind w:left="1400" w:hanging="556"/>
      </w:pPr>
      <w:rPr>
        <w:rFonts w:hint="default"/>
        <w:lang w:val="en-US" w:eastAsia="en-US" w:bidi="ar-SA"/>
      </w:rPr>
    </w:lvl>
    <w:lvl w:ilvl="4">
      <w:numFmt w:val="bullet"/>
      <w:lvlText w:val="•"/>
      <w:lvlJc w:val="left"/>
      <w:pPr>
        <w:ind w:left="2544" w:hanging="556"/>
      </w:pPr>
      <w:rPr>
        <w:rFonts w:hint="default"/>
        <w:lang w:val="en-US" w:eastAsia="en-US" w:bidi="ar-SA"/>
      </w:rPr>
    </w:lvl>
    <w:lvl w:ilvl="5">
      <w:numFmt w:val="bullet"/>
      <w:lvlText w:val="•"/>
      <w:lvlJc w:val="left"/>
      <w:pPr>
        <w:ind w:left="3688" w:hanging="556"/>
      </w:pPr>
      <w:rPr>
        <w:rFonts w:hint="default"/>
        <w:lang w:val="en-US" w:eastAsia="en-US" w:bidi="ar-SA"/>
      </w:rPr>
    </w:lvl>
    <w:lvl w:ilvl="6">
      <w:numFmt w:val="bullet"/>
      <w:lvlText w:val="•"/>
      <w:lvlJc w:val="left"/>
      <w:pPr>
        <w:ind w:left="4832" w:hanging="556"/>
      </w:pPr>
      <w:rPr>
        <w:rFonts w:hint="default"/>
        <w:lang w:val="en-US" w:eastAsia="en-US" w:bidi="ar-SA"/>
      </w:rPr>
    </w:lvl>
    <w:lvl w:ilvl="7">
      <w:numFmt w:val="bullet"/>
      <w:lvlText w:val="•"/>
      <w:lvlJc w:val="left"/>
      <w:pPr>
        <w:ind w:left="5977" w:hanging="556"/>
      </w:pPr>
      <w:rPr>
        <w:rFonts w:hint="default"/>
        <w:lang w:val="en-US" w:eastAsia="en-US" w:bidi="ar-SA"/>
      </w:rPr>
    </w:lvl>
    <w:lvl w:ilvl="8">
      <w:numFmt w:val="bullet"/>
      <w:lvlText w:val="•"/>
      <w:lvlJc w:val="left"/>
      <w:pPr>
        <w:ind w:left="7121" w:hanging="556"/>
      </w:pPr>
      <w:rPr>
        <w:rFonts w:hint="default"/>
        <w:lang w:val="en-US" w:eastAsia="en-US" w:bidi="ar-SA"/>
      </w:rPr>
    </w:lvl>
  </w:abstractNum>
  <w:abstractNum w:abstractNumId="12" w15:restartNumberingAfterBreak="0">
    <w:nsid w:val="3CD57DE5"/>
    <w:multiLevelType w:val="hybridMultilevel"/>
    <w:tmpl w:val="0EDA3A84"/>
    <w:lvl w:ilvl="0" w:tplc="FFFFFFFF">
      <w:start w:val="1"/>
      <w:numFmt w:val="bullet"/>
      <w:lvlText w:val=""/>
      <w:lvlJc w:val="left"/>
      <w:pPr>
        <w:ind w:left="-66" w:hanging="360"/>
      </w:pPr>
      <w:rPr>
        <w:rFonts w:ascii="Wingdings" w:hAnsi="Wingdings" w:hint="default"/>
      </w:rPr>
    </w:lvl>
    <w:lvl w:ilvl="1" w:tplc="FFFFFFFF">
      <w:start w:val="5"/>
      <w:numFmt w:val="bullet"/>
      <w:lvlText w:val="-"/>
      <w:lvlJc w:val="left"/>
      <w:pPr>
        <w:ind w:left="654" w:hanging="360"/>
      </w:pPr>
      <w:rPr>
        <w:rFonts w:ascii="Cambria" w:eastAsiaTheme="minorHAnsi" w:hAnsi="Cambria" w:cstheme="minorBidi" w:hint="default"/>
      </w:rPr>
    </w:lvl>
    <w:lvl w:ilvl="2" w:tplc="FFFFFFFF">
      <w:start w:val="1"/>
      <w:numFmt w:val="bullet"/>
      <w:lvlText w:val="-"/>
      <w:lvlJc w:val="left"/>
      <w:pPr>
        <w:ind w:left="720" w:hanging="360"/>
      </w:pPr>
      <w:rPr>
        <w:rFonts w:ascii="Cambria" w:hAnsi="Cambria" w:hint="default"/>
      </w:rPr>
    </w:lvl>
    <w:lvl w:ilvl="3" w:tplc="FFFFFFFF" w:tentative="1">
      <w:start w:val="1"/>
      <w:numFmt w:val="bullet"/>
      <w:lvlText w:val=""/>
      <w:lvlJc w:val="left"/>
      <w:pPr>
        <w:ind w:left="2094" w:hanging="360"/>
      </w:pPr>
      <w:rPr>
        <w:rFonts w:ascii="Symbol" w:hAnsi="Symbol" w:hint="default"/>
      </w:rPr>
    </w:lvl>
    <w:lvl w:ilvl="4" w:tplc="FFFFFFFF" w:tentative="1">
      <w:start w:val="1"/>
      <w:numFmt w:val="bullet"/>
      <w:lvlText w:val="o"/>
      <w:lvlJc w:val="left"/>
      <w:pPr>
        <w:ind w:left="2814" w:hanging="360"/>
      </w:pPr>
      <w:rPr>
        <w:rFonts w:ascii="Courier New" w:hAnsi="Courier New" w:cs="Courier New" w:hint="default"/>
      </w:rPr>
    </w:lvl>
    <w:lvl w:ilvl="5" w:tplc="FFFFFFFF" w:tentative="1">
      <w:start w:val="1"/>
      <w:numFmt w:val="bullet"/>
      <w:lvlText w:val=""/>
      <w:lvlJc w:val="left"/>
      <w:pPr>
        <w:ind w:left="3534" w:hanging="360"/>
      </w:pPr>
      <w:rPr>
        <w:rFonts w:ascii="Wingdings" w:hAnsi="Wingdings" w:hint="default"/>
      </w:rPr>
    </w:lvl>
    <w:lvl w:ilvl="6" w:tplc="FFFFFFFF" w:tentative="1">
      <w:start w:val="1"/>
      <w:numFmt w:val="bullet"/>
      <w:lvlText w:val=""/>
      <w:lvlJc w:val="left"/>
      <w:pPr>
        <w:ind w:left="4254" w:hanging="360"/>
      </w:pPr>
      <w:rPr>
        <w:rFonts w:ascii="Symbol" w:hAnsi="Symbol" w:hint="default"/>
      </w:rPr>
    </w:lvl>
    <w:lvl w:ilvl="7" w:tplc="FFFFFFFF" w:tentative="1">
      <w:start w:val="1"/>
      <w:numFmt w:val="bullet"/>
      <w:lvlText w:val="o"/>
      <w:lvlJc w:val="left"/>
      <w:pPr>
        <w:ind w:left="4974" w:hanging="360"/>
      </w:pPr>
      <w:rPr>
        <w:rFonts w:ascii="Courier New" w:hAnsi="Courier New" w:cs="Courier New" w:hint="default"/>
      </w:rPr>
    </w:lvl>
    <w:lvl w:ilvl="8" w:tplc="FFFFFFFF" w:tentative="1">
      <w:start w:val="1"/>
      <w:numFmt w:val="bullet"/>
      <w:lvlText w:val=""/>
      <w:lvlJc w:val="left"/>
      <w:pPr>
        <w:ind w:left="5694" w:hanging="360"/>
      </w:pPr>
      <w:rPr>
        <w:rFonts w:ascii="Wingdings" w:hAnsi="Wingdings" w:hint="default"/>
      </w:rPr>
    </w:lvl>
  </w:abstractNum>
  <w:abstractNum w:abstractNumId="13" w15:restartNumberingAfterBreak="0">
    <w:nsid w:val="3D885C19"/>
    <w:multiLevelType w:val="hybridMultilevel"/>
    <w:tmpl w:val="9FC6E552"/>
    <w:lvl w:ilvl="0" w:tplc="FFFFFFFF">
      <w:start w:val="5"/>
      <w:numFmt w:val="bullet"/>
      <w:lvlText w:val="-"/>
      <w:lvlJc w:val="left"/>
      <w:pPr>
        <w:ind w:left="360" w:hanging="360"/>
      </w:pPr>
      <w:rPr>
        <w:rFonts w:ascii="Cambria" w:eastAsia="Cambria" w:hAnsi="Cambria" w:cs="Cambria" w:hint="default"/>
      </w:rPr>
    </w:lvl>
    <w:lvl w:ilvl="1" w:tplc="BCF80CC8">
      <w:start w:val="1"/>
      <w:numFmt w:val="bullet"/>
      <w:lvlText w:val=""/>
      <w:lvlJc w:val="left"/>
      <w:pPr>
        <w:ind w:left="1080" w:hanging="360"/>
      </w:pPr>
      <w:rPr>
        <w:rFonts w:ascii="Symbol" w:hAnsi="Symbol" w:hint="default"/>
      </w:rPr>
    </w:lvl>
    <w:lvl w:ilvl="2" w:tplc="FFFFFFFF">
      <w:start w:val="5"/>
      <w:numFmt w:val="bullet"/>
      <w:lvlText w:val="-"/>
      <w:lvlJc w:val="left"/>
      <w:pPr>
        <w:ind w:left="1800" w:hanging="360"/>
      </w:pPr>
      <w:rPr>
        <w:rFonts w:ascii="Cambria" w:eastAsia="Cambria" w:hAnsi="Cambria" w:cs="Cambria"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4AF264A5"/>
    <w:multiLevelType w:val="hybridMultilevel"/>
    <w:tmpl w:val="1F26761C"/>
    <w:lvl w:ilvl="0" w:tplc="002AA744">
      <w:start w:val="5"/>
      <w:numFmt w:val="bullet"/>
      <w:lvlText w:val="-"/>
      <w:lvlJc w:val="left"/>
      <w:pPr>
        <w:ind w:left="720" w:hanging="360"/>
      </w:pPr>
      <w:rPr>
        <w:rFonts w:ascii="Cambria" w:eastAsia="Cambria" w:hAnsi="Cambria" w:cs="Cambri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B94295D"/>
    <w:multiLevelType w:val="hybridMultilevel"/>
    <w:tmpl w:val="182CA22A"/>
    <w:lvl w:ilvl="0" w:tplc="08090017">
      <w:start w:val="1"/>
      <w:numFmt w:val="lowerLetter"/>
      <w:lvlText w:val="%1)"/>
      <w:lvlJc w:val="left"/>
      <w:pPr>
        <w:ind w:left="360" w:hanging="360"/>
      </w:pPr>
      <w:rPr>
        <w:rFonts w:hint="default"/>
      </w:rPr>
    </w:lvl>
    <w:lvl w:ilvl="1" w:tplc="002AA744">
      <w:start w:val="5"/>
      <w:numFmt w:val="bullet"/>
      <w:lvlText w:val="-"/>
      <w:lvlJc w:val="left"/>
      <w:pPr>
        <w:ind w:left="786" w:hanging="360"/>
      </w:pPr>
      <w:rPr>
        <w:rFonts w:ascii="Cambria" w:eastAsia="Cambria" w:hAnsi="Cambria" w:cs="Cambria" w:hint="default"/>
      </w:rPr>
    </w:lvl>
    <w:lvl w:ilvl="2" w:tplc="002AA744">
      <w:start w:val="5"/>
      <w:numFmt w:val="bullet"/>
      <w:lvlText w:val="-"/>
      <w:lvlJc w:val="left"/>
      <w:pPr>
        <w:ind w:left="1800" w:hanging="360"/>
      </w:pPr>
      <w:rPr>
        <w:rFonts w:ascii="Cambria" w:eastAsia="Cambria" w:hAnsi="Cambria" w:cs="Cambria"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FDD16FA"/>
    <w:multiLevelType w:val="hybridMultilevel"/>
    <w:tmpl w:val="6534DEE6"/>
    <w:lvl w:ilvl="0" w:tplc="FFFFFFFF">
      <w:start w:val="1"/>
      <w:numFmt w:val="bullet"/>
      <w:lvlText w:val="-"/>
      <w:lvlJc w:val="left"/>
      <w:pPr>
        <w:ind w:left="720" w:hanging="360"/>
      </w:pPr>
      <w:rPr>
        <w:rFonts w:ascii="Cambria" w:hAnsi="Cambr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0478D6"/>
    <w:multiLevelType w:val="multilevel"/>
    <w:tmpl w:val="FD880988"/>
    <w:lvl w:ilvl="0">
      <w:start w:val="1"/>
      <w:numFmt w:val="lowerLetter"/>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8" w15:restartNumberingAfterBreak="0">
    <w:nsid w:val="58190662"/>
    <w:multiLevelType w:val="hybridMultilevel"/>
    <w:tmpl w:val="AABA1A22"/>
    <w:lvl w:ilvl="0" w:tplc="002AA744">
      <w:start w:val="5"/>
      <w:numFmt w:val="bullet"/>
      <w:lvlText w:val="-"/>
      <w:lvlJc w:val="left"/>
      <w:pPr>
        <w:ind w:left="720" w:hanging="360"/>
      </w:pPr>
      <w:rPr>
        <w:rFonts w:ascii="Cambria" w:eastAsia="Cambria" w:hAnsi="Cambria" w:cs="Cambria" w:hint="default"/>
      </w:rPr>
    </w:lvl>
    <w:lvl w:ilvl="1" w:tplc="BB3A1F52">
      <w:start w:val="1"/>
      <w:numFmt w:val="bullet"/>
      <w:lvlText w:val="-"/>
      <w:lvlJc w:val="left"/>
      <w:pPr>
        <w:ind w:left="1440" w:hanging="360"/>
      </w:pPr>
      <w:rPr>
        <w:rFonts w:ascii="Cambria" w:eastAsia="Cambria" w:hAnsi="Cambria" w:cs="Cambri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843EC4"/>
    <w:multiLevelType w:val="hybridMultilevel"/>
    <w:tmpl w:val="63123838"/>
    <w:lvl w:ilvl="0" w:tplc="002AA744">
      <w:start w:val="5"/>
      <w:numFmt w:val="bullet"/>
      <w:lvlText w:val="-"/>
      <w:lvlJc w:val="left"/>
      <w:pPr>
        <w:ind w:left="786" w:hanging="360"/>
      </w:pPr>
      <w:rPr>
        <w:rFonts w:ascii="Cambria" w:eastAsia="Cambria" w:hAnsi="Cambria" w:cs="Cambria" w:hint="default"/>
      </w:rPr>
    </w:lvl>
    <w:lvl w:ilvl="1" w:tplc="08090003">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0" w15:restartNumberingAfterBreak="0">
    <w:nsid w:val="5D5C6F85"/>
    <w:multiLevelType w:val="hybridMultilevel"/>
    <w:tmpl w:val="7A7A0E5C"/>
    <w:lvl w:ilvl="0" w:tplc="FFFFFFFF">
      <w:start w:val="5"/>
      <w:numFmt w:val="bullet"/>
      <w:lvlText w:val="-"/>
      <w:lvlJc w:val="left"/>
      <w:pPr>
        <w:ind w:left="786" w:hanging="360"/>
      </w:pPr>
      <w:rPr>
        <w:rFonts w:ascii="Cambria" w:eastAsia="Cambria" w:hAnsi="Cambria" w:cs="Cambria" w:hint="default"/>
      </w:rPr>
    </w:lvl>
    <w:lvl w:ilvl="1" w:tplc="002AA744">
      <w:start w:val="5"/>
      <w:numFmt w:val="bullet"/>
      <w:lvlText w:val="-"/>
      <w:lvlJc w:val="left"/>
      <w:pPr>
        <w:ind w:left="1506" w:hanging="360"/>
      </w:pPr>
      <w:rPr>
        <w:rFonts w:ascii="Cambria" w:eastAsia="Cambria" w:hAnsi="Cambria" w:cs="Cambria"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21" w15:restartNumberingAfterBreak="0">
    <w:nsid w:val="5E7041C3"/>
    <w:multiLevelType w:val="hybridMultilevel"/>
    <w:tmpl w:val="A78C327E"/>
    <w:lvl w:ilvl="0" w:tplc="FFFFFFFF">
      <w:start w:val="1"/>
      <w:numFmt w:val="bullet"/>
      <w:lvlText w:val=""/>
      <w:lvlJc w:val="left"/>
      <w:pPr>
        <w:ind w:left="-66" w:hanging="360"/>
      </w:pPr>
      <w:rPr>
        <w:rFonts w:ascii="Wingdings" w:hAnsi="Wingdings" w:hint="default"/>
      </w:rPr>
    </w:lvl>
    <w:lvl w:ilvl="1" w:tplc="FFFFFFFF">
      <w:start w:val="5"/>
      <w:numFmt w:val="bullet"/>
      <w:lvlText w:val="-"/>
      <w:lvlJc w:val="left"/>
      <w:pPr>
        <w:ind w:left="654" w:hanging="360"/>
      </w:pPr>
      <w:rPr>
        <w:rFonts w:ascii="Cambria" w:eastAsiaTheme="minorHAnsi" w:hAnsi="Cambria" w:cstheme="minorBidi" w:hint="default"/>
      </w:rPr>
    </w:lvl>
    <w:lvl w:ilvl="2" w:tplc="002AA744">
      <w:start w:val="5"/>
      <w:numFmt w:val="bullet"/>
      <w:lvlText w:val="-"/>
      <w:lvlJc w:val="left"/>
      <w:pPr>
        <w:ind w:left="1440" w:hanging="360"/>
      </w:pPr>
      <w:rPr>
        <w:rFonts w:ascii="Cambria" w:eastAsia="Cambria" w:hAnsi="Cambria" w:cs="Cambria" w:hint="default"/>
      </w:rPr>
    </w:lvl>
    <w:lvl w:ilvl="3" w:tplc="FFFFFFFF" w:tentative="1">
      <w:start w:val="1"/>
      <w:numFmt w:val="bullet"/>
      <w:lvlText w:val=""/>
      <w:lvlJc w:val="left"/>
      <w:pPr>
        <w:ind w:left="2094" w:hanging="360"/>
      </w:pPr>
      <w:rPr>
        <w:rFonts w:ascii="Symbol" w:hAnsi="Symbol" w:hint="default"/>
      </w:rPr>
    </w:lvl>
    <w:lvl w:ilvl="4" w:tplc="FFFFFFFF" w:tentative="1">
      <w:start w:val="1"/>
      <w:numFmt w:val="bullet"/>
      <w:lvlText w:val="o"/>
      <w:lvlJc w:val="left"/>
      <w:pPr>
        <w:ind w:left="2814" w:hanging="360"/>
      </w:pPr>
      <w:rPr>
        <w:rFonts w:ascii="Courier New" w:hAnsi="Courier New" w:cs="Courier New" w:hint="default"/>
      </w:rPr>
    </w:lvl>
    <w:lvl w:ilvl="5" w:tplc="FFFFFFFF" w:tentative="1">
      <w:start w:val="1"/>
      <w:numFmt w:val="bullet"/>
      <w:lvlText w:val=""/>
      <w:lvlJc w:val="left"/>
      <w:pPr>
        <w:ind w:left="3534" w:hanging="360"/>
      </w:pPr>
      <w:rPr>
        <w:rFonts w:ascii="Wingdings" w:hAnsi="Wingdings" w:hint="default"/>
      </w:rPr>
    </w:lvl>
    <w:lvl w:ilvl="6" w:tplc="FFFFFFFF" w:tentative="1">
      <w:start w:val="1"/>
      <w:numFmt w:val="bullet"/>
      <w:lvlText w:val=""/>
      <w:lvlJc w:val="left"/>
      <w:pPr>
        <w:ind w:left="4254" w:hanging="360"/>
      </w:pPr>
      <w:rPr>
        <w:rFonts w:ascii="Symbol" w:hAnsi="Symbol" w:hint="default"/>
      </w:rPr>
    </w:lvl>
    <w:lvl w:ilvl="7" w:tplc="FFFFFFFF" w:tentative="1">
      <w:start w:val="1"/>
      <w:numFmt w:val="bullet"/>
      <w:lvlText w:val="o"/>
      <w:lvlJc w:val="left"/>
      <w:pPr>
        <w:ind w:left="4974" w:hanging="360"/>
      </w:pPr>
      <w:rPr>
        <w:rFonts w:ascii="Courier New" w:hAnsi="Courier New" w:cs="Courier New" w:hint="default"/>
      </w:rPr>
    </w:lvl>
    <w:lvl w:ilvl="8" w:tplc="FFFFFFFF" w:tentative="1">
      <w:start w:val="1"/>
      <w:numFmt w:val="bullet"/>
      <w:lvlText w:val=""/>
      <w:lvlJc w:val="left"/>
      <w:pPr>
        <w:ind w:left="5694" w:hanging="360"/>
      </w:pPr>
      <w:rPr>
        <w:rFonts w:ascii="Wingdings" w:hAnsi="Wingdings" w:hint="default"/>
      </w:rPr>
    </w:lvl>
  </w:abstractNum>
  <w:abstractNum w:abstractNumId="22" w15:restartNumberingAfterBreak="0">
    <w:nsid w:val="5EFF34DB"/>
    <w:multiLevelType w:val="hybridMultilevel"/>
    <w:tmpl w:val="99783FB6"/>
    <w:lvl w:ilvl="0" w:tplc="FFFFFFFF">
      <w:start w:val="1"/>
      <w:numFmt w:val="bullet"/>
      <w:lvlText w:val=""/>
      <w:lvlJc w:val="left"/>
      <w:pPr>
        <w:ind w:left="-66" w:hanging="360"/>
      </w:pPr>
      <w:rPr>
        <w:rFonts w:ascii="Wingdings" w:hAnsi="Wingdings" w:hint="default"/>
      </w:rPr>
    </w:lvl>
    <w:lvl w:ilvl="1" w:tplc="FFFFFFFF">
      <w:start w:val="5"/>
      <w:numFmt w:val="bullet"/>
      <w:lvlText w:val="-"/>
      <w:lvlJc w:val="left"/>
      <w:pPr>
        <w:ind w:left="654" w:hanging="360"/>
      </w:pPr>
      <w:rPr>
        <w:rFonts w:ascii="Cambria" w:eastAsiaTheme="minorHAnsi" w:hAnsi="Cambria" w:cstheme="minorBidi" w:hint="default"/>
      </w:rPr>
    </w:lvl>
    <w:lvl w:ilvl="2" w:tplc="002AA744">
      <w:start w:val="5"/>
      <w:numFmt w:val="bullet"/>
      <w:lvlText w:val="-"/>
      <w:lvlJc w:val="left"/>
      <w:pPr>
        <w:ind w:left="1440" w:hanging="360"/>
      </w:pPr>
      <w:rPr>
        <w:rFonts w:ascii="Cambria" w:eastAsia="Cambria" w:hAnsi="Cambria" w:cs="Cambria" w:hint="default"/>
      </w:rPr>
    </w:lvl>
    <w:lvl w:ilvl="3" w:tplc="FFFFFFFF" w:tentative="1">
      <w:start w:val="1"/>
      <w:numFmt w:val="bullet"/>
      <w:lvlText w:val=""/>
      <w:lvlJc w:val="left"/>
      <w:pPr>
        <w:ind w:left="2094" w:hanging="360"/>
      </w:pPr>
      <w:rPr>
        <w:rFonts w:ascii="Symbol" w:hAnsi="Symbol" w:hint="default"/>
      </w:rPr>
    </w:lvl>
    <w:lvl w:ilvl="4" w:tplc="FFFFFFFF" w:tentative="1">
      <w:start w:val="1"/>
      <w:numFmt w:val="bullet"/>
      <w:lvlText w:val="o"/>
      <w:lvlJc w:val="left"/>
      <w:pPr>
        <w:ind w:left="2814" w:hanging="360"/>
      </w:pPr>
      <w:rPr>
        <w:rFonts w:ascii="Courier New" w:hAnsi="Courier New" w:cs="Courier New" w:hint="default"/>
      </w:rPr>
    </w:lvl>
    <w:lvl w:ilvl="5" w:tplc="FFFFFFFF" w:tentative="1">
      <w:start w:val="1"/>
      <w:numFmt w:val="bullet"/>
      <w:lvlText w:val=""/>
      <w:lvlJc w:val="left"/>
      <w:pPr>
        <w:ind w:left="3534" w:hanging="360"/>
      </w:pPr>
      <w:rPr>
        <w:rFonts w:ascii="Wingdings" w:hAnsi="Wingdings" w:hint="default"/>
      </w:rPr>
    </w:lvl>
    <w:lvl w:ilvl="6" w:tplc="FFFFFFFF" w:tentative="1">
      <w:start w:val="1"/>
      <w:numFmt w:val="bullet"/>
      <w:lvlText w:val=""/>
      <w:lvlJc w:val="left"/>
      <w:pPr>
        <w:ind w:left="4254" w:hanging="360"/>
      </w:pPr>
      <w:rPr>
        <w:rFonts w:ascii="Symbol" w:hAnsi="Symbol" w:hint="default"/>
      </w:rPr>
    </w:lvl>
    <w:lvl w:ilvl="7" w:tplc="FFFFFFFF" w:tentative="1">
      <w:start w:val="1"/>
      <w:numFmt w:val="bullet"/>
      <w:lvlText w:val="o"/>
      <w:lvlJc w:val="left"/>
      <w:pPr>
        <w:ind w:left="4974" w:hanging="360"/>
      </w:pPr>
      <w:rPr>
        <w:rFonts w:ascii="Courier New" w:hAnsi="Courier New" w:cs="Courier New" w:hint="default"/>
      </w:rPr>
    </w:lvl>
    <w:lvl w:ilvl="8" w:tplc="FFFFFFFF" w:tentative="1">
      <w:start w:val="1"/>
      <w:numFmt w:val="bullet"/>
      <w:lvlText w:val=""/>
      <w:lvlJc w:val="left"/>
      <w:pPr>
        <w:ind w:left="5694" w:hanging="360"/>
      </w:pPr>
      <w:rPr>
        <w:rFonts w:ascii="Wingdings" w:hAnsi="Wingdings" w:hint="default"/>
      </w:rPr>
    </w:lvl>
  </w:abstractNum>
  <w:abstractNum w:abstractNumId="23" w15:restartNumberingAfterBreak="0">
    <w:nsid w:val="64B4130E"/>
    <w:multiLevelType w:val="hybridMultilevel"/>
    <w:tmpl w:val="61520DA4"/>
    <w:lvl w:ilvl="0" w:tplc="002AA744">
      <w:start w:val="5"/>
      <w:numFmt w:val="bullet"/>
      <w:lvlText w:val="-"/>
      <w:lvlJc w:val="left"/>
      <w:pPr>
        <w:ind w:left="720" w:hanging="360"/>
      </w:pPr>
      <w:rPr>
        <w:rFonts w:ascii="Cambria" w:eastAsia="Cambria" w:hAnsi="Cambria" w:cs="Cambri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92F7296"/>
    <w:multiLevelType w:val="hybridMultilevel"/>
    <w:tmpl w:val="8200C95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353933"/>
    <w:multiLevelType w:val="multilevel"/>
    <w:tmpl w:val="3ADEB19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74972428"/>
    <w:multiLevelType w:val="hybridMultilevel"/>
    <w:tmpl w:val="4DAE9592"/>
    <w:lvl w:ilvl="0" w:tplc="6102F218">
      <w:start w:val="1"/>
      <w:numFmt w:val="decimal"/>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27" w15:restartNumberingAfterBreak="0">
    <w:nsid w:val="75CD7BB6"/>
    <w:multiLevelType w:val="hybridMultilevel"/>
    <w:tmpl w:val="D1B82018"/>
    <w:lvl w:ilvl="0" w:tplc="BCF80CC8">
      <w:start w:val="1"/>
      <w:numFmt w:val="bullet"/>
      <w:lvlText w:val=""/>
      <w:lvlJc w:val="left"/>
      <w:pPr>
        <w:ind w:left="-66"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8090005">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28" w15:restartNumberingAfterBreak="0">
    <w:nsid w:val="7B57050A"/>
    <w:multiLevelType w:val="hybridMultilevel"/>
    <w:tmpl w:val="1F1E0898"/>
    <w:lvl w:ilvl="0" w:tplc="0409000F">
      <w:start w:val="1"/>
      <w:numFmt w:val="decimal"/>
      <w:lvlText w:val="%1."/>
      <w:lvlJc w:val="lef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9" w15:restartNumberingAfterBreak="0">
    <w:nsid w:val="7C285FD3"/>
    <w:multiLevelType w:val="hybridMultilevel"/>
    <w:tmpl w:val="97B2F3E6"/>
    <w:lvl w:ilvl="0" w:tplc="FFFFFFFF">
      <w:start w:val="5"/>
      <w:numFmt w:val="bullet"/>
      <w:lvlText w:val="-"/>
      <w:lvlJc w:val="left"/>
      <w:pPr>
        <w:ind w:left="720" w:hanging="360"/>
      </w:pPr>
      <w:rPr>
        <w:rFonts w:ascii="Cambria" w:eastAsia="Cambria" w:hAnsi="Cambria" w:cs="Cambria" w:hint="default"/>
      </w:rPr>
    </w:lvl>
    <w:lvl w:ilvl="1" w:tplc="002AA744">
      <w:start w:val="5"/>
      <w:numFmt w:val="bullet"/>
      <w:lvlText w:val="-"/>
      <w:lvlJc w:val="left"/>
      <w:pPr>
        <w:ind w:left="1440" w:hanging="360"/>
      </w:pPr>
      <w:rPr>
        <w:rFonts w:ascii="Cambria" w:eastAsia="Cambria" w:hAnsi="Cambria" w:cs="Cambria"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12829827">
    <w:abstractNumId w:val="27"/>
  </w:num>
  <w:num w:numId="2" w16cid:durableId="120849532">
    <w:abstractNumId w:val="15"/>
  </w:num>
  <w:num w:numId="3" w16cid:durableId="1472091696">
    <w:abstractNumId w:val="14"/>
  </w:num>
  <w:num w:numId="4" w16cid:durableId="1738355802">
    <w:abstractNumId w:val="8"/>
  </w:num>
  <w:num w:numId="5" w16cid:durableId="1087772482">
    <w:abstractNumId w:val="17"/>
  </w:num>
  <w:num w:numId="6" w16cid:durableId="948780209">
    <w:abstractNumId w:val="6"/>
  </w:num>
  <w:num w:numId="7" w16cid:durableId="1217162156">
    <w:abstractNumId w:val="7"/>
  </w:num>
  <w:num w:numId="8" w16cid:durableId="504976607">
    <w:abstractNumId w:val="29"/>
  </w:num>
  <w:num w:numId="9" w16cid:durableId="1861581038">
    <w:abstractNumId w:val="19"/>
  </w:num>
  <w:num w:numId="10" w16cid:durableId="1226722006">
    <w:abstractNumId w:val="20"/>
  </w:num>
  <w:num w:numId="11" w16cid:durableId="1320844230">
    <w:abstractNumId w:val="1"/>
  </w:num>
  <w:num w:numId="12" w16cid:durableId="193154149">
    <w:abstractNumId w:val="23"/>
  </w:num>
  <w:num w:numId="13" w16cid:durableId="17481920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62073800">
    <w:abstractNumId w:val="10"/>
  </w:num>
  <w:num w:numId="15" w16cid:durableId="1482309111">
    <w:abstractNumId w:val="4"/>
  </w:num>
  <w:num w:numId="16" w16cid:durableId="397755054">
    <w:abstractNumId w:val="26"/>
  </w:num>
  <w:num w:numId="17" w16cid:durableId="1214582312">
    <w:abstractNumId w:val="18"/>
  </w:num>
  <w:num w:numId="18" w16cid:durableId="1652364061">
    <w:abstractNumId w:val="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41239796">
    <w:abstractNumId w:val="6"/>
  </w:num>
  <w:num w:numId="20" w16cid:durableId="1003162645">
    <w:abstractNumId w:val="6"/>
  </w:num>
  <w:num w:numId="21" w16cid:durableId="1620140543">
    <w:abstractNumId w:val="6"/>
  </w:num>
  <w:num w:numId="22" w16cid:durableId="1525940683">
    <w:abstractNumId w:val="6"/>
  </w:num>
  <w:num w:numId="23" w16cid:durableId="1134636143">
    <w:abstractNumId w:val="6"/>
  </w:num>
  <w:num w:numId="24" w16cid:durableId="157969087">
    <w:abstractNumId w:val="6"/>
  </w:num>
  <w:num w:numId="25" w16cid:durableId="1004628958">
    <w:abstractNumId w:val="9"/>
  </w:num>
  <w:num w:numId="26" w16cid:durableId="904070390">
    <w:abstractNumId w:val="25"/>
  </w:num>
  <w:num w:numId="27" w16cid:durableId="901672610">
    <w:abstractNumId w:val="0"/>
  </w:num>
  <w:num w:numId="28" w16cid:durableId="1340040371">
    <w:abstractNumId w:val="5"/>
  </w:num>
  <w:num w:numId="29" w16cid:durableId="901987719">
    <w:abstractNumId w:val="6"/>
  </w:num>
  <w:num w:numId="30" w16cid:durableId="1244728362">
    <w:abstractNumId w:val="11"/>
  </w:num>
  <w:num w:numId="31" w16cid:durableId="406195853">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22509085">
    <w:abstractNumId w:val="2"/>
  </w:num>
  <w:num w:numId="33" w16cid:durableId="215624279">
    <w:abstractNumId w:val="12"/>
  </w:num>
  <w:num w:numId="34" w16cid:durableId="221453959">
    <w:abstractNumId w:val="21"/>
  </w:num>
  <w:num w:numId="35" w16cid:durableId="1848322776">
    <w:abstractNumId w:val="22"/>
  </w:num>
  <w:num w:numId="36" w16cid:durableId="2135520739">
    <w:abstractNumId w:val="16"/>
  </w:num>
  <w:num w:numId="37" w16cid:durableId="1248927720">
    <w:abstractNumId w:val="28"/>
  </w:num>
  <w:num w:numId="38" w16cid:durableId="112746520">
    <w:abstractNumId w:val="13"/>
  </w:num>
  <w:num w:numId="39" w16cid:durableId="1406879501">
    <w:abstractNumId w:val="1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0" w16cid:durableId="387531216">
    <w:abstractNumId w:val="3"/>
  </w:num>
  <w:num w:numId="41" w16cid:durableId="779186676">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s-ES" w:vendorID="64" w:dllVersion="6" w:nlCheck="1" w:checkStyle="0"/>
  <w:activeWritingStyle w:appName="MSWord" w:lang="en-GB" w:vendorID="64" w:dllVersion="6" w:nlCheck="1" w:checkStyle="1"/>
  <w:activeWritingStyle w:appName="MSWord" w:lang="fr-FR" w:vendorID="64" w:dllVersion="6" w:nlCheck="1" w:checkStyle="0"/>
  <w:activeWritingStyle w:appName="MSWord" w:lang="en-US" w:vendorID="64" w:dllVersion="6" w:nlCheck="1" w:checkStyle="1"/>
  <w:activeWritingStyle w:appName="MSWord" w:lang="en-GB" w:vendorID="64" w:dllVersion="0" w:nlCheck="1" w:checkStyle="0"/>
  <w:activeWritingStyle w:appName="MSWord" w:lang="es-ES" w:vendorID="64" w:dllVersion="0" w:nlCheck="1" w:checkStyle="0"/>
  <w:activeWritingStyle w:appName="MSWord" w:lang="fr-FR" w:vendorID="64" w:dllVersion="0" w:nlCheck="1" w:checkStyle="0"/>
  <w:activeWritingStyle w:appName="MSWord" w:lang="en-US" w:vendorID="64" w:dllVersion="0" w:nlCheck="1" w:checkStyle="0"/>
  <w:activeWritingStyle w:appName="MSWord" w:lang="en-IE" w:vendorID="64" w:dllVersion="0" w:nlCheck="1" w:checkStyle="0"/>
  <w:activeWritingStyle w:appName="MSWord" w:lang="pt-PT" w:vendorID="64" w:dllVersion="0" w:nlCheck="1" w:checkStyle="0"/>
  <w:activeWritingStyle w:appName="MSWord" w:lang="it-IT" w:vendorID="64" w:dllVersion="0" w:nlCheck="1" w:checkStyle="0"/>
  <w:activeWritingStyle w:appName="MSWord" w:lang="es-ES_tradnl" w:vendorID="64" w:dllVersion="0" w:nlCheck="1" w:checkStyle="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729"/>
    <w:rsid w:val="000004EE"/>
    <w:rsid w:val="000007D2"/>
    <w:rsid w:val="00000D09"/>
    <w:rsid w:val="0000130A"/>
    <w:rsid w:val="000013F1"/>
    <w:rsid w:val="00001767"/>
    <w:rsid w:val="00001A3F"/>
    <w:rsid w:val="000024BF"/>
    <w:rsid w:val="0000267F"/>
    <w:rsid w:val="00002795"/>
    <w:rsid w:val="00002ACF"/>
    <w:rsid w:val="0000306F"/>
    <w:rsid w:val="00003818"/>
    <w:rsid w:val="00003DA9"/>
    <w:rsid w:val="00003DC4"/>
    <w:rsid w:val="000048F3"/>
    <w:rsid w:val="00005306"/>
    <w:rsid w:val="00005598"/>
    <w:rsid w:val="0000578D"/>
    <w:rsid w:val="00005AC2"/>
    <w:rsid w:val="00005B4E"/>
    <w:rsid w:val="000061A3"/>
    <w:rsid w:val="000062C3"/>
    <w:rsid w:val="00006BCF"/>
    <w:rsid w:val="000070DC"/>
    <w:rsid w:val="00007419"/>
    <w:rsid w:val="00007614"/>
    <w:rsid w:val="0000779C"/>
    <w:rsid w:val="00007908"/>
    <w:rsid w:val="00007A13"/>
    <w:rsid w:val="00007ECF"/>
    <w:rsid w:val="00010239"/>
    <w:rsid w:val="000103D9"/>
    <w:rsid w:val="00010607"/>
    <w:rsid w:val="00010B81"/>
    <w:rsid w:val="00010F91"/>
    <w:rsid w:val="00011445"/>
    <w:rsid w:val="00011A05"/>
    <w:rsid w:val="00011BA3"/>
    <w:rsid w:val="00011CA1"/>
    <w:rsid w:val="00011FEF"/>
    <w:rsid w:val="00012023"/>
    <w:rsid w:val="00012105"/>
    <w:rsid w:val="0001236A"/>
    <w:rsid w:val="00012386"/>
    <w:rsid w:val="00012DA6"/>
    <w:rsid w:val="00013ADD"/>
    <w:rsid w:val="00013D04"/>
    <w:rsid w:val="0001409C"/>
    <w:rsid w:val="0001475C"/>
    <w:rsid w:val="000147BA"/>
    <w:rsid w:val="00014BAD"/>
    <w:rsid w:val="00014BDD"/>
    <w:rsid w:val="00014C77"/>
    <w:rsid w:val="00015206"/>
    <w:rsid w:val="00015398"/>
    <w:rsid w:val="000158E5"/>
    <w:rsid w:val="000159CB"/>
    <w:rsid w:val="0001606F"/>
    <w:rsid w:val="0001641A"/>
    <w:rsid w:val="000164D6"/>
    <w:rsid w:val="000167D0"/>
    <w:rsid w:val="00016829"/>
    <w:rsid w:val="00016EE2"/>
    <w:rsid w:val="000202AE"/>
    <w:rsid w:val="000205BC"/>
    <w:rsid w:val="00020652"/>
    <w:rsid w:val="00020C41"/>
    <w:rsid w:val="00021060"/>
    <w:rsid w:val="000212D8"/>
    <w:rsid w:val="00021512"/>
    <w:rsid w:val="00022064"/>
    <w:rsid w:val="0002212B"/>
    <w:rsid w:val="0002237C"/>
    <w:rsid w:val="0002251B"/>
    <w:rsid w:val="0002254E"/>
    <w:rsid w:val="00022653"/>
    <w:rsid w:val="000229CC"/>
    <w:rsid w:val="00022CC4"/>
    <w:rsid w:val="00022E76"/>
    <w:rsid w:val="00023140"/>
    <w:rsid w:val="000236E2"/>
    <w:rsid w:val="00023A83"/>
    <w:rsid w:val="00023DDA"/>
    <w:rsid w:val="00023E4E"/>
    <w:rsid w:val="00023F24"/>
    <w:rsid w:val="00023FCA"/>
    <w:rsid w:val="000243D9"/>
    <w:rsid w:val="00024651"/>
    <w:rsid w:val="00024D07"/>
    <w:rsid w:val="00024F5A"/>
    <w:rsid w:val="00025308"/>
    <w:rsid w:val="0002562D"/>
    <w:rsid w:val="000257B7"/>
    <w:rsid w:val="00025BF1"/>
    <w:rsid w:val="00025C6C"/>
    <w:rsid w:val="00025CE4"/>
    <w:rsid w:val="00025FD1"/>
    <w:rsid w:val="00026188"/>
    <w:rsid w:val="00026220"/>
    <w:rsid w:val="000264F8"/>
    <w:rsid w:val="00026531"/>
    <w:rsid w:val="00026934"/>
    <w:rsid w:val="00026A58"/>
    <w:rsid w:val="000271E0"/>
    <w:rsid w:val="00027333"/>
    <w:rsid w:val="000279FA"/>
    <w:rsid w:val="00027BB7"/>
    <w:rsid w:val="0003076F"/>
    <w:rsid w:val="000307BE"/>
    <w:rsid w:val="00030A59"/>
    <w:rsid w:val="00030ACC"/>
    <w:rsid w:val="00030DD7"/>
    <w:rsid w:val="00031530"/>
    <w:rsid w:val="000317D6"/>
    <w:rsid w:val="0003182A"/>
    <w:rsid w:val="00031DB0"/>
    <w:rsid w:val="00031E0F"/>
    <w:rsid w:val="00031F67"/>
    <w:rsid w:val="0003278A"/>
    <w:rsid w:val="00032A64"/>
    <w:rsid w:val="00032AAA"/>
    <w:rsid w:val="00032B23"/>
    <w:rsid w:val="00032C50"/>
    <w:rsid w:val="00032F6F"/>
    <w:rsid w:val="00033157"/>
    <w:rsid w:val="0003322F"/>
    <w:rsid w:val="0003330A"/>
    <w:rsid w:val="000334DA"/>
    <w:rsid w:val="00033682"/>
    <w:rsid w:val="00033BFE"/>
    <w:rsid w:val="000340CC"/>
    <w:rsid w:val="0003485F"/>
    <w:rsid w:val="00034B24"/>
    <w:rsid w:val="00034DBD"/>
    <w:rsid w:val="0003529F"/>
    <w:rsid w:val="00035675"/>
    <w:rsid w:val="0003574B"/>
    <w:rsid w:val="0003602D"/>
    <w:rsid w:val="000360B3"/>
    <w:rsid w:val="000360D1"/>
    <w:rsid w:val="00036240"/>
    <w:rsid w:val="00036575"/>
    <w:rsid w:val="00036A9C"/>
    <w:rsid w:val="00036C0C"/>
    <w:rsid w:val="000371C1"/>
    <w:rsid w:val="000372F4"/>
    <w:rsid w:val="0003730B"/>
    <w:rsid w:val="00037971"/>
    <w:rsid w:val="000379D0"/>
    <w:rsid w:val="00037BB9"/>
    <w:rsid w:val="00040042"/>
    <w:rsid w:val="000409F0"/>
    <w:rsid w:val="00041615"/>
    <w:rsid w:val="00041EFE"/>
    <w:rsid w:val="000420F0"/>
    <w:rsid w:val="0004219B"/>
    <w:rsid w:val="00042371"/>
    <w:rsid w:val="00042995"/>
    <w:rsid w:val="0004368A"/>
    <w:rsid w:val="000436A9"/>
    <w:rsid w:val="0004460E"/>
    <w:rsid w:val="00044690"/>
    <w:rsid w:val="00044894"/>
    <w:rsid w:val="00044D1D"/>
    <w:rsid w:val="00045453"/>
    <w:rsid w:val="000455D2"/>
    <w:rsid w:val="00045710"/>
    <w:rsid w:val="00045ABD"/>
    <w:rsid w:val="00046663"/>
    <w:rsid w:val="00046D72"/>
    <w:rsid w:val="00046EAB"/>
    <w:rsid w:val="000476B6"/>
    <w:rsid w:val="000476B8"/>
    <w:rsid w:val="000477E0"/>
    <w:rsid w:val="000477E6"/>
    <w:rsid w:val="00047B5E"/>
    <w:rsid w:val="00047E68"/>
    <w:rsid w:val="00050181"/>
    <w:rsid w:val="00050210"/>
    <w:rsid w:val="00050527"/>
    <w:rsid w:val="0005059F"/>
    <w:rsid w:val="0005069C"/>
    <w:rsid w:val="000509FB"/>
    <w:rsid w:val="00050B03"/>
    <w:rsid w:val="0005103F"/>
    <w:rsid w:val="0005147E"/>
    <w:rsid w:val="0005183C"/>
    <w:rsid w:val="00051EE0"/>
    <w:rsid w:val="000521A6"/>
    <w:rsid w:val="00052470"/>
    <w:rsid w:val="000524E4"/>
    <w:rsid w:val="00052568"/>
    <w:rsid w:val="00053955"/>
    <w:rsid w:val="000539A1"/>
    <w:rsid w:val="00053DCA"/>
    <w:rsid w:val="0005422A"/>
    <w:rsid w:val="000542AC"/>
    <w:rsid w:val="0005443E"/>
    <w:rsid w:val="000547C5"/>
    <w:rsid w:val="00054C1F"/>
    <w:rsid w:val="00054FCC"/>
    <w:rsid w:val="000554BE"/>
    <w:rsid w:val="000558DB"/>
    <w:rsid w:val="00055F82"/>
    <w:rsid w:val="00056270"/>
    <w:rsid w:val="000562D9"/>
    <w:rsid w:val="0005644B"/>
    <w:rsid w:val="000567D3"/>
    <w:rsid w:val="00056D68"/>
    <w:rsid w:val="00056DAA"/>
    <w:rsid w:val="00056E38"/>
    <w:rsid w:val="000574F7"/>
    <w:rsid w:val="00057A77"/>
    <w:rsid w:val="00057EA1"/>
    <w:rsid w:val="00060676"/>
    <w:rsid w:val="000606B5"/>
    <w:rsid w:val="000608F8"/>
    <w:rsid w:val="00060973"/>
    <w:rsid w:val="00061276"/>
    <w:rsid w:val="0006141A"/>
    <w:rsid w:val="0006187C"/>
    <w:rsid w:val="00061DAE"/>
    <w:rsid w:val="00061F98"/>
    <w:rsid w:val="000620E3"/>
    <w:rsid w:val="0006220D"/>
    <w:rsid w:val="00062B59"/>
    <w:rsid w:val="00062F28"/>
    <w:rsid w:val="000630DB"/>
    <w:rsid w:val="000632FC"/>
    <w:rsid w:val="00063332"/>
    <w:rsid w:val="0006349E"/>
    <w:rsid w:val="00063543"/>
    <w:rsid w:val="00063563"/>
    <w:rsid w:val="00063886"/>
    <w:rsid w:val="00063A73"/>
    <w:rsid w:val="00063D7F"/>
    <w:rsid w:val="00063F19"/>
    <w:rsid w:val="0006459C"/>
    <w:rsid w:val="00064E45"/>
    <w:rsid w:val="0006506B"/>
    <w:rsid w:val="00065599"/>
    <w:rsid w:val="000656CF"/>
    <w:rsid w:val="00065A61"/>
    <w:rsid w:val="00065A82"/>
    <w:rsid w:val="00065AF8"/>
    <w:rsid w:val="00065F9B"/>
    <w:rsid w:val="0006614E"/>
    <w:rsid w:val="000661F0"/>
    <w:rsid w:val="00066621"/>
    <w:rsid w:val="00066813"/>
    <w:rsid w:val="00066A47"/>
    <w:rsid w:val="00066BB6"/>
    <w:rsid w:val="00066F1F"/>
    <w:rsid w:val="000671AB"/>
    <w:rsid w:val="00067923"/>
    <w:rsid w:val="000700A8"/>
    <w:rsid w:val="00070105"/>
    <w:rsid w:val="00070114"/>
    <w:rsid w:val="00070786"/>
    <w:rsid w:val="000708B5"/>
    <w:rsid w:val="00070906"/>
    <w:rsid w:val="00070981"/>
    <w:rsid w:val="000709F9"/>
    <w:rsid w:val="00071150"/>
    <w:rsid w:val="000715D9"/>
    <w:rsid w:val="000715E8"/>
    <w:rsid w:val="00071DB3"/>
    <w:rsid w:val="000725AF"/>
    <w:rsid w:val="0007285F"/>
    <w:rsid w:val="0007295D"/>
    <w:rsid w:val="00072BD2"/>
    <w:rsid w:val="00072EA2"/>
    <w:rsid w:val="000730C0"/>
    <w:rsid w:val="0007314F"/>
    <w:rsid w:val="0007339A"/>
    <w:rsid w:val="000734E6"/>
    <w:rsid w:val="000737A7"/>
    <w:rsid w:val="000737D2"/>
    <w:rsid w:val="000738EB"/>
    <w:rsid w:val="00073920"/>
    <w:rsid w:val="00073CD9"/>
    <w:rsid w:val="00074023"/>
    <w:rsid w:val="00074890"/>
    <w:rsid w:val="00074FB9"/>
    <w:rsid w:val="000755B3"/>
    <w:rsid w:val="00075B28"/>
    <w:rsid w:val="00075C50"/>
    <w:rsid w:val="00075F5D"/>
    <w:rsid w:val="0007634C"/>
    <w:rsid w:val="0007781C"/>
    <w:rsid w:val="00077C27"/>
    <w:rsid w:val="00077DA3"/>
    <w:rsid w:val="00077DF1"/>
    <w:rsid w:val="0008081D"/>
    <w:rsid w:val="00080E00"/>
    <w:rsid w:val="000812EF"/>
    <w:rsid w:val="0008138B"/>
    <w:rsid w:val="0008168D"/>
    <w:rsid w:val="000816D9"/>
    <w:rsid w:val="000817FA"/>
    <w:rsid w:val="00081916"/>
    <w:rsid w:val="000822A2"/>
    <w:rsid w:val="00082492"/>
    <w:rsid w:val="0008270C"/>
    <w:rsid w:val="00082FD8"/>
    <w:rsid w:val="0008316C"/>
    <w:rsid w:val="0008335B"/>
    <w:rsid w:val="000836F6"/>
    <w:rsid w:val="00083C78"/>
    <w:rsid w:val="00083CD0"/>
    <w:rsid w:val="00083CF7"/>
    <w:rsid w:val="00083CFB"/>
    <w:rsid w:val="00083E9C"/>
    <w:rsid w:val="000842E6"/>
    <w:rsid w:val="0008434B"/>
    <w:rsid w:val="000854A7"/>
    <w:rsid w:val="000854DA"/>
    <w:rsid w:val="00085959"/>
    <w:rsid w:val="00085A54"/>
    <w:rsid w:val="00085E0D"/>
    <w:rsid w:val="0008756C"/>
    <w:rsid w:val="00087BD5"/>
    <w:rsid w:val="00087CCA"/>
    <w:rsid w:val="00090249"/>
    <w:rsid w:val="0009035D"/>
    <w:rsid w:val="000904B4"/>
    <w:rsid w:val="0009061E"/>
    <w:rsid w:val="0009073F"/>
    <w:rsid w:val="000909E1"/>
    <w:rsid w:val="000909F4"/>
    <w:rsid w:val="000909FE"/>
    <w:rsid w:val="00090B47"/>
    <w:rsid w:val="00090C39"/>
    <w:rsid w:val="00090DCE"/>
    <w:rsid w:val="00090F35"/>
    <w:rsid w:val="000913FD"/>
    <w:rsid w:val="00091640"/>
    <w:rsid w:val="000918FB"/>
    <w:rsid w:val="0009225C"/>
    <w:rsid w:val="00092511"/>
    <w:rsid w:val="000925AB"/>
    <w:rsid w:val="00093466"/>
    <w:rsid w:val="00093791"/>
    <w:rsid w:val="00093DE7"/>
    <w:rsid w:val="00093F30"/>
    <w:rsid w:val="000942E4"/>
    <w:rsid w:val="0009442E"/>
    <w:rsid w:val="00094595"/>
    <w:rsid w:val="00094852"/>
    <w:rsid w:val="000955E4"/>
    <w:rsid w:val="00095952"/>
    <w:rsid w:val="00095A43"/>
    <w:rsid w:val="00095D1E"/>
    <w:rsid w:val="0009615A"/>
    <w:rsid w:val="00096B11"/>
    <w:rsid w:val="0009700A"/>
    <w:rsid w:val="00097C1A"/>
    <w:rsid w:val="00097F89"/>
    <w:rsid w:val="000A0922"/>
    <w:rsid w:val="000A119B"/>
    <w:rsid w:val="000A1465"/>
    <w:rsid w:val="000A1E36"/>
    <w:rsid w:val="000A220E"/>
    <w:rsid w:val="000A24C5"/>
    <w:rsid w:val="000A25EC"/>
    <w:rsid w:val="000A2719"/>
    <w:rsid w:val="000A2E90"/>
    <w:rsid w:val="000A2EE6"/>
    <w:rsid w:val="000A37D0"/>
    <w:rsid w:val="000A3F4A"/>
    <w:rsid w:val="000A4862"/>
    <w:rsid w:val="000A4EEB"/>
    <w:rsid w:val="000A529C"/>
    <w:rsid w:val="000A586D"/>
    <w:rsid w:val="000A5A86"/>
    <w:rsid w:val="000A60EF"/>
    <w:rsid w:val="000A660B"/>
    <w:rsid w:val="000A6790"/>
    <w:rsid w:val="000A6B6B"/>
    <w:rsid w:val="000A6D3E"/>
    <w:rsid w:val="000A6D8D"/>
    <w:rsid w:val="000A7189"/>
    <w:rsid w:val="000A72B3"/>
    <w:rsid w:val="000A7703"/>
    <w:rsid w:val="000A7BB4"/>
    <w:rsid w:val="000A7C37"/>
    <w:rsid w:val="000A7E14"/>
    <w:rsid w:val="000B0A5C"/>
    <w:rsid w:val="000B0B78"/>
    <w:rsid w:val="000B0EBB"/>
    <w:rsid w:val="000B0FA5"/>
    <w:rsid w:val="000B13D6"/>
    <w:rsid w:val="000B146E"/>
    <w:rsid w:val="000B16D4"/>
    <w:rsid w:val="000B1B96"/>
    <w:rsid w:val="000B1C5F"/>
    <w:rsid w:val="000B211A"/>
    <w:rsid w:val="000B214F"/>
    <w:rsid w:val="000B22BC"/>
    <w:rsid w:val="000B29BD"/>
    <w:rsid w:val="000B2BBE"/>
    <w:rsid w:val="000B2FCE"/>
    <w:rsid w:val="000B3455"/>
    <w:rsid w:val="000B34F5"/>
    <w:rsid w:val="000B360B"/>
    <w:rsid w:val="000B376D"/>
    <w:rsid w:val="000B399A"/>
    <w:rsid w:val="000B3C77"/>
    <w:rsid w:val="000B3E66"/>
    <w:rsid w:val="000B4162"/>
    <w:rsid w:val="000B4AFF"/>
    <w:rsid w:val="000B4B8A"/>
    <w:rsid w:val="000B4EB4"/>
    <w:rsid w:val="000B50B1"/>
    <w:rsid w:val="000B58DD"/>
    <w:rsid w:val="000B5C26"/>
    <w:rsid w:val="000B614A"/>
    <w:rsid w:val="000B64D7"/>
    <w:rsid w:val="000B6504"/>
    <w:rsid w:val="000B7891"/>
    <w:rsid w:val="000B7B9F"/>
    <w:rsid w:val="000B7E1D"/>
    <w:rsid w:val="000B7F95"/>
    <w:rsid w:val="000C0255"/>
    <w:rsid w:val="000C0324"/>
    <w:rsid w:val="000C03AF"/>
    <w:rsid w:val="000C0E33"/>
    <w:rsid w:val="000C0FA9"/>
    <w:rsid w:val="000C158D"/>
    <w:rsid w:val="000C17ED"/>
    <w:rsid w:val="000C1A6E"/>
    <w:rsid w:val="000C1F3D"/>
    <w:rsid w:val="000C2099"/>
    <w:rsid w:val="000C21F0"/>
    <w:rsid w:val="000C2897"/>
    <w:rsid w:val="000C2AA5"/>
    <w:rsid w:val="000C30DA"/>
    <w:rsid w:val="000C325D"/>
    <w:rsid w:val="000C3658"/>
    <w:rsid w:val="000C4407"/>
    <w:rsid w:val="000C48EA"/>
    <w:rsid w:val="000C499C"/>
    <w:rsid w:val="000C4B58"/>
    <w:rsid w:val="000C515E"/>
    <w:rsid w:val="000C51DF"/>
    <w:rsid w:val="000C5253"/>
    <w:rsid w:val="000C546E"/>
    <w:rsid w:val="000C593E"/>
    <w:rsid w:val="000C5AF0"/>
    <w:rsid w:val="000C5E93"/>
    <w:rsid w:val="000C632D"/>
    <w:rsid w:val="000C69C7"/>
    <w:rsid w:val="000C6C4E"/>
    <w:rsid w:val="000C6CF5"/>
    <w:rsid w:val="000C6EFC"/>
    <w:rsid w:val="000C6F1A"/>
    <w:rsid w:val="000C6F5E"/>
    <w:rsid w:val="000C752E"/>
    <w:rsid w:val="000C7536"/>
    <w:rsid w:val="000C78A6"/>
    <w:rsid w:val="000C7BDB"/>
    <w:rsid w:val="000C7EAE"/>
    <w:rsid w:val="000C7EF1"/>
    <w:rsid w:val="000D01AF"/>
    <w:rsid w:val="000D02F2"/>
    <w:rsid w:val="000D0401"/>
    <w:rsid w:val="000D0851"/>
    <w:rsid w:val="000D0E20"/>
    <w:rsid w:val="000D0EC4"/>
    <w:rsid w:val="000D0F7E"/>
    <w:rsid w:val="000D112F"/>
    <w:rsid w:val="000D1B1E"/>
    <w:rsid w:val="000D1D6A"/>
    <w:rsid w:val="000D1EBF"/>
    <w:rsid w:val="000D1FBD"/>
    <w:rsid w:val="000D21D0"/>
    <w:rsid w:val="000D230C"/>
    <w:rsid w:val="000D231E"/>
    <w:rsid w:val="000D24C9"/>
    <w:rsid w:val="000D25A8"/>
    <w:rsid w:val="000D2C42"/>
    <w:rsid w:val="000D2E4C"/>
    <w:rsid w:val="000D2F9E"/>
    <w:rsid w:val="000D30A4"/>
    <w:rsid w:val="000D30E7"/>
    <w:rsid w:val="000D33B7"/>
    <w:rsid w:val="000D356A"/>
    <w:rsid w:val="000D3C8B"/>
    <w:rsid w:val="000D4112"/>
    <w:rsid w:val="000D4470"/>
    <w:rsid w:val="000D489A"/>
    <w:rsid w:val="000D4C8A"/>
    <w:rsid w:val="000D4FD5"/>
    <w:rsid w:val="000D561E"/>
    <w:rsid w:val="000D56B9"/>
    <w:rsid w:val="000D5C49"/>
    <w:rsid w:val="000D6003"/>
    <w:rsid w:val="000D6609"/>
    <w:rsid w:val="000D692A"/>
    <w:rsid w:val="000D69D0"/>
    <w:rsid w:val="000D6AF3"/>
    <w:rsid w:val="000D6DA1"/>
    <w:rsid w:val="000E02EA"/>
    <w:rsid w:val="000E033F"/>
    <w:rsid w:val="000E0AA7"/>
    <w:rsid w:val="000E0E80"/>
    <w:rsid w:val="000E13F3"/>
    <w:rsid w:val="000E1617"/>
    <w:rsid w:val="000E1681"/>
    <w:rsid w:val="000E18A1"/>
    <w:rsid w:val="000E1AA6"/>
    <w:rsid w:val="000E1D9F"/>
    <w:rsid w:val="000E1E24"/>
    <w:rsid w:val="000E21FB"/>
    <w:rsid w:val="000E32C6"/>
    <w:rsid w:val="000E35C9"/>
    <w:rsid w:val="000E37EC"/>
    <w:rsid w:val="000E3C34"/>
    <w:rsid w:val="000E4448"/>
    <w:rsid w:val="000E4889"/>
    <w:rsid w:val="000E5080"/>
    <w:rsid w:val="000E50B9"/>
    <w:rsid w:val="000E5864"/>
    <w:rsid w:val="000E5906"/>
    <w:rsid w:val="000E5F86"/>
    <w:rsid w:val="000E67BC"/>
    <w:rsid w:val="000E6A7D"/>
    <w:rsid w:val="000E6BD7"/>
    <w:rsid w:val="000E6F7F"/>
    <w:rsid w:val="000E7268"/>
    <w:rsid w:val="000E75F0"/>
    <w:rsid w:val="000E769B"/>
    <w:rsid w:val="000E7A17"/>
    <w:rsid w:val="000E7C35"/>
    <w:rsid w:val="000F0137"/>
    <w:rsid w:val="000F05DF"/>
    <w:rsid w:val="000F0D76"/>
    <w:rsid w:val="000F0FEB"/>
    <w:rsid w:val="000F1BB8"/>
    <w:rsid w:val="000F1CD1"/>
    <w:rsid w:val="000F1D86"/>
    <w:rsid w:val="000F20F9"/>
    <w:rsid w:val="000F21B0"/>
    <w:rsid w:val="000F256F"/>
    <w:rsid w:val="000F2EA0"/>
    <w:rsid w:val="000F3397"/>
    <w:rsid w:val="000F3400"/>
    <w:rsid w:val="000F357F"/>
    <w:rsid w:val="000F4040"/>
    <w:rsid w:val="000F472D"/>
    <w:rsid w:val="000F48A5"/>
    <w:rsid w:val="000F493F"/>
    <w:rsid w:val="000F4EC0"/>
    <w:rsid w:val="000F5225"/>
    <w:rsid w:val="000F5243"/>
    <w:rsid w:val="000F548F"/>
    <w:rsid w:val="000F5AE7"/>
    <w:rsid w:val="000F5B00"/>
    <w:rsid w:val="000F5BFF"/>
    <w:rsid w:val="000F5D0F"/>
    <w:rsid w:val="000F5D44"/>
    <w:rsid w:val="000F6593"/>
    <w:rsid w:val="000F6931"/>
    <w:rsid w:val="000F6CC9"/>
    <w:rsid w:val="000F73AB"/>
    <w:rsid w:val="000F7C4E"/>
    <w:rsid w:val="000F7E17"/>
    <w:rsid w:val="00100295"/>
    <w:rsid w:val="0010076E"/>
    <w:rsid w:val="0010089E"/>
    <w:rsid w:val="00100AD4"/>
    <w:rsid w:val="00100BB0"/>
    <w:rsid w:val="00101052"/>
    <w:rsid w:val="00101414"/>
    <w:rsid w:val="00101FF4"/>
    <w:rsid w:val="001028F0"/>
    <w:rsid w:val="00102962"/>
    <w:rsid w:val="00102C10"/>
    <w:rsid w:val="00102D4D"/>
    <w:rsid w:val="00102EAC"/>
    <w:rsid w:val="00103278"/>
    <w:rsid w:val="001034B3"/>
    <w:rsid w:val="00103585"/>
    <w:rsid w:val="00103C9B"/>
    <w:rsid w:val="00103F2F"/>
    <w:rsid w:val="00104115"/>
    <w:rsid w:val="0010429D"/>
    <w:rsid w:val="001042B1"/>
    <w:rsid w:val="001042F4"/>
    <w:rsid w:val="001044F7"/>
    <w:rsid w:val="00104658"/>
    <w:rsid w:val="001048FE"/>
    <w:rsid w:val="00104BF1"/>
    <w:rsid w:val="00105520"/>
    <w:rsid w:val="00105686"/>
    <w:rsid w:val="0010568D"/>
    <w:rsid w:val="001057E9"/>
    <w:rsid w:val="00105B59"/>
    <w:rsid w:val="00106106"/>
    <w:rsid w:val="001062D6"/>
    <w:rsid w:val="001068C4"/>
    <w:rsid w:val="00106ACD"/>
    <w:rsid w:val="00106D73"/>
    <w:rsid w:val="0010753C"/>
    <w:rsid w:val="001105B4"/>
    <w:rsid w:val="00110EAA"/>
    <w:rsid w:val="00111870"/>
    <w:rsid w:val="0011190F"/>
    <w:rsid w:val="00111BF3"/>
    <w:rsid w:val="00111C57"/>
    <w:rsid w:val="00111D92"/>
    <w:rsid w:val="00111E13"/>
    <w:rsid w:val="001123F4"/>
    <w:rsid w:val="00112682"/>
    <w:rsid w:val="00112A2F"/>
    <w:rsid w:val="00112A6C"/>
    <w:rsid w:val="00112C70"/>
    <w:rsid w:val="0011355B"/>
    <w:rsid w:val="00113681"/>
    <w:rsid w:val="00113B21"/>
    <w:rsid w:val="00113B87"/>
    <w:rsid w:val="0011430D"/>
    <w:rsid w:val="001144FA"/>
    <w:rsid w:val="00114A46"/>
    <w:rsid w:val="001152EE"/>
    <w:rsid w:val="00115312"/>
    <w:rsid w:val="00115708"/>
    <w:rsid w:val="00115729"/>
    <w:rsid w:val="00115933"/>
    <w:rsid w:val="00115DA6"/>
    <w:rsid w:val="00115F43"/>
    <w:rsid w:val="00116467"/>
    <w:rsid w:val="0011685B"/>
    <w:rsid w:val="00116937"/>
    <w:rsid w:val="00116F52"/>
    <w:rsid w:val="001172F4"/>
    <w:rsid w:val="00117ACA"/>
    <w:rsid w:val="00117F9D"/>
    <w:rsid w:val="00120213"/>
    <w:rsid w:val="001202D0"/>
    <w:rsid w:val="0012038F"/>
    <w:rsid w:val="0012064E"/>
    <w:rsid w:val="00120A9C"/>
    <w:rsid w:val="00120B65"/>
    <w:rsid w:val="00120F7D"/>
    <w:rsid w:val="00120FD1"/>
    <w:rsid w:val="00121335"/>
    <w:rsid w:val="0012141C"/>
    <w:rsid w:val="00121778"/>
    <w:rsid w:val="001218AE"/>
    <w:rsid w:val="00122115"/>
    <w:rsid w:val="0012215B"/>
    <w:rsid w:val="0012247D"/>
    <w:rsid w:val="001224CA"/>
    <w:rsid w:val="001235BC"/>
    <w:rsid w:val="0012397B"/>
    <w:rsid w:val="00123A15"/>
    <w:rsid w:val="00123C4B"/>
    <w:rsid w:val="00123EC6"/>
    <w:rsid w:val="001244EC"/>
    <w:rsid w:val="0012451E"/>
    <w:rsid w:val="001246F7"/>
    <w:rsid w:val="0012476F"/>
    <w:rsid w:val="00124951"/>
    <w:rsid w:val="00124C01"/>
    <w:rsid w:val="00124C56"/>
    <w:rsid w:val="00124C7C"/>
    <w:rsid w:val="001252EF"/>
    <w:rsid w:val="00125455"/>
    <w:rsid w:val="00125776"/>
    <w:rsid w:val="001257C2"/>
    <w:rsid w:val="001257F4"/>
    <w:rsid w:val="00125B21"/>
    <w:rsid w:val="0012613D"/>
    <w:rsid w:val="001265BD"/>
    <w:rsid w:val="00126B4E"/>
    <w:rsid w:val="00126E1D"/>
    <w:rsid w:val="00126FD1"/>
    <w:rsid w:val="00127174"/>
    <w:rsid w:val="00127B52"/>
    <w:rsid w:val="00130107"/>
    <w:rsid w:val="00130329"/>
    <w:rsid w:val="0013042F"/>
    <w:rsid w:val="00130817"/>
    <w:rsid w:val="00131334"/>
    <w:rsid w:val="00131415"/>
    <w:rsid w:val="0013172A"/>
    <w:rsid w:val="001317AD"/>
    <w:rsid w:val="00131A33"/>
    <w:rsid w:val="00131B5E"/>
    <w:rsid w:val="00131F33"/>
    <w:rsid w:val="0013234F"/>
    <w:rsid w:val="0013244B"/>
    <w:rsid w:val="0013254F"/>
    <w:rsid w:val="0013275B"/>
    <w:rsid w:val="00132A7A"/>
    <w:rsid w:val="00132AF8"/>
    <w:rsid w:val="001330BB"/>
    <w:rsid w:val="001330F0"/>
    <w:rsid w:val="001330F2"/>
    <w:rsid w:val="00133217"/>
    <w:rsid w:val="00133674"/>
    <w:rsid w:val="00133861"/>
    <w:rsid w:val="00133BF4"/>
    <w:rsid w:val="00134307"/>
    <w:rsid w:val="00134DF2"/>
    <w:rsid w:val="00134FE6"/>
    <w:rsid w:val="00135052"/>
    <w:rsid w:val="001356C5"/>
    <w:rsid w:val="00135BD6"/>
    <w:rsid w:val="00135C38"/>
    <w:rsid w:val="00135D02"/>
    <w:rsid w:val="00135FAC"/>
    <w:rsid w:val="00136781"/>
    <w:rsid w:val="00136E83"/>
    <w:rsid w:val="001370F6"/>
    <w:rsid w:val="00137456"/>
    <w:rsid w:val="001376FF"/>
    <w:rsid w:val="00137BCC"/>
    <w:rsid w:val="0014029F"/>
    <w:rsid w:val="001403DE"/>
    <w:rsid w:val="00140590"/>
    <w:rsid w:val="0014062E"/>
    <w:rsid w:val="00140659"/>
    <w:rsid w:val="001406E4"/>
    <w:rsid w:val="00140C36"/>
    <w:rsid w:val="0014106E"/>
    <w:rsid w:val="00141516"/>
    <w:rsid w:val="0014185A"/>
    <w:rsid w:val="00141DEF"/>
    <w:rsid w:val="00141E04"/>
    <w:rsid w:val="0014208B"/>
    <w:rsid w:val="001422BA"/>
    <w:rsid w:val="001425DB"/>
    <w:rsid w:val="0014260E"/>
    <w:rsid w:val="00142879"/>
    <w:rsid w:val="00142D4B"/>
    <w:rsid w:val="001432A9"/>
    <w:rsid w:val="00143460"/>
    <w:rsid w:val="00143516"/>
    <w:rsid w:val="00143555"/>
    <w:rsid w:val="00143818"/>
    <w:rsid w:val="001439D9"/>
    <w:rsid w:val="00143E7F"/>
    <w:rsid w:val="0014411D"/>
    <w:rsid w:val="001441A1"/>
    <w:rsid w:val="00144208"/>
    <w:rsid w:val="00144381"/>
    <w:rsid w:val="001447B7"/>
    <w:rsid w:val="00144A6A"/>
    <w:rsid w:val="0014512F"/>
    <w:rsid w:val="001452A9"/>
    <w:rsid w:val="001452DE"/>
    <w:rsid w:val="00145831"/>
    <w:rsid w:val="00145FCF"/>
    <w:rsid w:val="001463E2"/>
    <w:rsid w:val="001466C2"/>
    <w:rsid w:val="00146D60"/>
    <w:rsid w:val="00147440"/>
    <w:rsid w:val="001478A8"/>
    <w:rsid w:val="00147AF4"/>
    <w:rsid w:val="00147B10"/>
    <w:rsid w:val="00147D7E"/>
    <w:rsid w:val="00147DC7"/>
    <w:rsid w:val="0015019A"/>
    <w:rsid w:val="00150519"/>
    <w:rsid w:val="00150589"/>
    <w:rsid w:val="001508DA"/>
    <w:rsid w:val="001509E0"/>
    <w:rsid w:val="00150A89"/>
    <w:rsid w:val="00150BD0"/>
    <w:rsid w:val="0015161E"/>
    <w:rsid w:val="00151A13"/>
    <w:rsid w:val="00151DC6"/>
    <w:rsid w:val="001527B9"/>
    <w:rsid w:val="00152822"/>
    <w:rsid w:val="00152AFB"/>
    <w:rsid w:val="00152B61"/>
    <w:rsid w:val="00152BCA"/>
    <w:rsid w:val="00152D70"/>
    <w:rsid w:val="00152DBF"/>
    <w:rsid w:val="00153275"/>
    <w:rsid w:val="001535B8"/>
    <w:rsid w:val="001535D0"/>
    <w:rsid w:val="001536BC"/>
    <w:rsid w:val="001537E6"/>
    <w:rsid w:val="001538B4"/>
    <w:rsid w:val="0015399D"/>
    <w:rsid w:val="00153A83"/>
    <w:rsid w:val="00153FBE"/>
    <w:rsid w:val="00154363"/>
    <w:rsid w:val="001549CB"/>
    <w:rsid w:val="00154A57"/>
    <w:rsid w:val="00154DDF"/>
    <w:rsid w:val="00154FA3"/>
    <w:rsid w:val="001551EF"/>
    <w:rsid w:val="00155212"/>
    <w:rsid w:val="00155635"/>
    <w:rsid w:val="0015582E"/>
    <w:rsid w:val="00155B81"/>
    <w:rsid w:val="00155C20"/>
    <w:rsid w:val="001560BC"/>
    <w:rsid w:val="001561AD"/>
    <w:rsid w:val="00156542"/>
    <w:rsid w:val="001567F3"/>
    <w:rsid w:val="0015748C"/>
    <w:rsid w:val="0015761C"/>
    <w:rsid w:val="00157672"/>
    <w:rsid w:val="00157809"/>
    <w:rsid w:val="00157A80"/>
    <w:rsid w:val="00157CDF"/>
    <w:rsid w:val="00157CEC"/>
    <w:rsid w:val="00157E8D"/>
    <w:rsid w:val="001601D9"/>
    <w:rsid w:val="00160464"/>
    <w:rsid w:val="00160C80"/>
    <w:rsid w:val="00160D20"/>
    <w:rsid w:val="00160EE6"/>
    <w:rsid w:val="00160F03"/>
    <w:rsid w:val="001615FB"/>
    <w:rsid w:val="00161724"/>
    <w:rsid w:val="00161B35"/>
    <w:rsid w:val="00161BBC"/>
    <w:rsid w:val="00161F81"/>
    <w:rsid w:val="00162660"/>
    <w:rsid w:val="00162EBA"/>
    <w:rsid w:val="00162EE1"/>
    <w:rsid w:val="001631AF"/>
    <w:rsid w:val="001633A5"/>
    <w:rsid w:val="0016364A"/>
    <w:rsid w:val="00163A62"/>
    <w:rsid w:val="00163CC6"/>
    <w:rsid w:val="00163EB6"/>
    <w:rsid w:val="00163F27"/>
    <w:rsid w:val="00164002"/>
    <w:rsid w:val="001641C4"/>
    <w:rsid w:val="001641F6"/>
    <w:rsid w:val="00164A88"/>
    <w:rsid w:val="0016536E"/>
    <w:rsid w:val="0016557E"/>
    <w:rsid w:val="001659F1"/>
    <w:rsid w:val="00165A9D"/>
    <w:rsid w:val="00165B90"/>
    <w:rsid w:val="00166152"/>
    <w:rsid w:val="00166336"/>
    <w:rsid w:val="001664B0"/>
    <w:rsid w:val="00166527"/>
    <w:rsid w:val="00166602"/>
    <w:rsid w:val="00166635"/>
    <w:rsid w:val="001668DB"/>
    <w:rsid w:val="00166940"/>
    <w:rsid w:val="001669A8"/>
    <w:rsid w:val="00166B0A"/>
    <w:rsid w:val="00166BDE"/>
    <w:rsid w:val="00167096"/>
    <w:rsid w:val="00167CB8"/>
    <w:rsid w:val="00167E20"/>
    <w:rsid w:val="00167F1E"/>
    <w:rsid w:val="0017037B"/>
    <w:rsid w:val="00170509"/>
    <w:rsid w:val="00171411"/>
    <w:rsid w:val="001714EA"/>
    <w:rsid w:val="00171895"/>
    <w:rsid w:val="00171E84"/>
    <w:rsid w:val="00171F83"/>
    <w:rsid w:val="00172C4F"/>
    <w:rsid w:val="00172CC1"/>
    <w:rsid w:val="001731F6"/>
    <w:rsid w:val="001738DA"/>
    <w:rsid w:val="001742BB"/>
    <w:rsid w:val="00174501"/>
    <w:rsid w:val="00174A00"/>
    <w:rsid w:val="0017502A"/>
    <w:rsid w:val="00175308"/>
    <w:rsid w:val="00175474"/>
    <w:rsid w:val="001759EA"/>
    <w:rsid w:val="00175E6E"/>
    <w:rsid w:val="00175F8A"/>
    <w:rsid w:val="001761B6"/>
    <w:rsid w:val="00176303"/>
    <w:rsid w:val="00176406"/>
    <w:rsid w:val="00176502"/>
    <w:rsid w:val="00176777"/>
    <w:rsid w:val="0017709D"/>
    <w:rsid w:val="00177813"/>
    <w:rsid w:val="001778B7"/>
    <w:rsid w:val="00177BA4"/>
    <w:rsid w:val="00177CEB"/>
    <w:rsid w:val="00180982"/>
    <w:rsid w:val="00180B8D"/>
    <w:rsid w:val="001824F8"/>
    <w:rsid w:val="00182687"/>
    <w:rsid w:val="0018297D"/>
    <w:rsid w:val="00182BD1"/>
    <w:rsid w:val="00182CBA"/>
    <w:rsid w:val="001833D7"/>
    <w:rsid w:val="001834D4"/>
    <w:rsid w:val="00183B0D"/>
    <w:rsid w:val="0018410B"/>
    <w:rsid w:val="0018471A"/>
    <w:rsid w:val="0018488B"/>
    <w:rsid w:val="001849C9"/>
    <w:rsid w:val="00184CCE"/>
    <w:rsid w:val="001850FD"/>
    <w:rsid w:val="00185163"/>
    <w:rsid w:val="0018535A"/>
    <w:rsid w:val="0018539A"/>
    <w:rsid w:val="00185504"/>
    <w:rsid w:val="00185643"/>
    <w:rsid w:val="00185645"/>
    <w:rsid w:val="00185A18"/>
    <w:rsid w:val="00185E69"/>
    <w:rsid w:val="001862D2"/>
    <w:rsid w:val="00186FC8"/>
    <w:rsid w:val="00187241"/>
    <w:rsid w:val="0018727E"/>
    <w:rsid w:val="00187A17"/>
    <w:rsid w:val="00187A6E"/>
    <w:rsid w:val="00187AD2"/>
    <w:rsid w:val="00187D05"/>
    <w:rsid w:val="00190169"/>
    <w:rsid w:val="001901BB"/>
    <w:rsid w:val="00190539"/>
    <w:rsid w:val="00190666"/>
    <w:rsid w:val="00190C78"/>
    <w:rsid w:val="00190F38"/>
    <w:rsid w:val="00191243"/>
    <w:rsid w:val="00191289"/>
    <w:rsid w:val="0019133C"/>
    <w:rsid w:val="00191477"/>
    <w:rsid w:val="001918D7"/>
    <w:rsid w:val="00191B06"/>
    <w:rsid w:val="00191BEE"/>
    <w:rsid w:val="00191E43"/>
    <w:rsid w:val="0019262D"/>
    <w:rsid w:val="00192DEA"/>
    <w:rsid w:val="00193328"/>
    <w:rsid w:val="00193676"/>
    <w:rsid w:val="0019407D"/>
    <w:rsid w:val="001942B9"/>
    <w:rsid w:val="0019434D"/>
    <w:rsid w:val="00194652"/>
    <w:rsid w:val="00194A68"/>
    <w:rsid w:val="00194DE6"/>
    <w:rsid w:val="00195331"/>
    <w:rsid w:val="001953D2"/>
    <w:rsid w:val="001957ED"/>
    <w:rsid w:val="00195856"/>
    <w:rsid w:val="001959BE"/>
    <w:rsid w:val="00195D00"/>
    <w:rsid w:val="00195DFD"/>
    <w:rsid w:val="00195FF0"/>
    <w:rsid w:val="001960A9"/>
    <w:rsid w:val="00196481"/>
    <w:rsid w:val="00196685"/>
    <w:rsid w:val="00196819"/>
    <w:rsid w:val="00197208"/>
    <w:rsid w:val="00197341"/>
    <w:rsid w:val="001974A8"/>
    <w:rsid w:val="001975F6"/>
    <w:rsid w:val="00197884"/>
    <w:rsid w:val="00197A2A"/>
    <w:rsid w:val="001A011F"/>
    <w:rsid w:val="001A01F5"/>
    <w:rsid w:val="001A07A7"/>
    <w:rsid w:val="001A0978"/>
    <w:rsid w:val="001A117A"/>
    <w:rsid w:val="001A14B4"/>
    <w:rsid w:val="001A1567"/>
    <w:rsid w:val="001A1675"/>
    <w:rsid w:val="001A182F"/>
    <w:rsid w:val="001A1AE4"/>
    <w:rsid w:val="001A1C14"/>
    <w:rsid w:val="001A1F85"/>
    <w:rsid w:val="001A2A6C"/>
    <w:rsid w:val="001A2F8B"/>
    <w:rsid w:val="001A327F"/>
    <w:rsid w:val="001A3295"/>
    <w:rsid w:val="001A3577"/>
    <w:rsid w:val="001A35C9"/>
    <w:rsid w:val="001A36B0"/>
    <w:rsid w:val="001A36EE"/>
    <w:rsid w:val="001A3A04"/>
    <w:rsid w:val="001A3D46"/>
    <w:rsid w:val="001A42EA"/>
    <w:rsid w:val="001A43E5"/>
    <w:rsid w:val="001A486C"/>
    <w:rsid w:val="001A4886"/>
    <w:rsid w:val="001A48C7"/>
    <w:rsid w:val="001A4D95"/>
    <w:rsid w:val="001A50DE"/>
    <w:rsid w:val="001A5384"/>
    <w:rsid w:val="001A557F"/>
    <w:rsid w:val="001A58F0"/>
    <w:rsid w:val="001A625C"/>
    <w:rsid w:val="001A66B2"/>
    <w:rsid w:val="001A66C1"/>
    <w:rsid w:val="001A66D1"/>
    <w:rsid w:val="001A6B33"/>
    <w:rsid w:val="001A6D97"/>
    <w:rsid w:val="001A6E4F"/>
    <w:rsid w:val="001A6F9A"/>
    <w:rsid w:val="001A72E4"/>
    <w:rsid w:val="001A738D"/>
    <w:rsid w:val="001A7B16"/>
    <w:rsid w:val="001B0123"/>
    <w:rsid w:val="001B037C"/>
    <w:rsid w:val="001B0FB4"/>
    <w:rsid w:val="001B11F1"/>
    <w:rsid w:val="001B128A"/>
    <w:rsid w:val="001B1304"/>
    <w:rsid w:val="001B24A3"/>
    <w:rsid w:val="001B24F6"/>
    <w:rsid w:val="001B2B43"/>
    <w:rsid w:val="001B2ED6"/>
    <w:rsid w:val="001B2EEC"/>
    <w:rsid w:val="001B2F77"/>
    <w:rsid w:val="001B3D97"/>
    <w:rsid w:val="001B3EEE"/>
    <w:rsid w:val="001B4A92"/>
    <w:rsid w:val="001B4DDF"/>
    <w:rsid w:val="001B503D"/>
    <w:rsid w:val="001B5090"/>
    <w:rsid w:val="001B51D8"/>
    <w:rsid w:val="001B52AB"/>
    <w:rsid w:val="001B532E"/>
    <w:rsid w:val="001B549E"/>
    <w:rsid w:val="001B5DE8"/>
    <w:rsid w:val="001B6019"/>
    <w:rsid w:val="001B63F0"/>
    <w:rsid w:val="001B6760"/>
    <w:rsid w:val="001B6E1D"/>
    <w:rsid w:val="001B72D6"/>
    <w:rsid w:val="001B74D5"/>
    <w:rsid w:val="001B7DDD"/>
    <w:rsid w:val="001B7F25"/>
    <w:rsid w:val="001B7FF4"/>
    <w:rsid w:val="001C096F"/>
    <w:rsid w:val="001C0C79"/>
    <w:rsid w:val="001C1316"/>
    <w:rsid w:val="001C14AB"/>
    <w:rsid w:val="001C15E7"/>
    <w:rsid w:val="001C1781"/>
    <w:rsid w:val="001C196E"/>
    <w:rsid w:val="001C1C54"/>
    <w:rsid w:val="001C1DA7"/>
    <w:rsid w:val="001C1ED1"/>
    <w:rsid w:val="001C1F61"/>
    <w:rsid w:val="001C237E"/>
    <w:rsid w:val="001C2411"/>
    <w:rsid w:val="001C2B14"/>
    <w:rsid w:val="001C2CD0"/>
    <w:rsid w:val="001C2DAB"/>
    <w:rsid w:val="001C2E11"/>
    <w:rsid w:val="001C2E4A"/>
    <w:rsid w:val="001C2F69"/>
    <w:rsid w:val="001C30F5"/>
    <w:rsid w:val="001C3117"/>
    <w:rsid w:val="001C3830"/>
    <w:rsid w:val="001C4F27"/>
    <w:rsid w:val="001C500D"/>
    <w:rsid w:val="001C51F3"/>
    <w:rsid w:val="001C5865"/>
    <w:rsid w:val="001C5EF5"/>
    <w:rsid w:val="001C633D"/>
    <w:rsid w:val="001C6346"/>
    <w:rsid w:val="001C663E"/>
    <w:rsid w:val="001C68C3"/>
    <w:rsid w:val="001C7417"/>
    <w:rsid w:val="001C7615"/>
    <w:rsid w:val="001C78B8"/>
    <w:rsid w:val="001C7F10"/>
    <w:rsid w:val="001D0A18"/>
    <w:rsid w:val="001D0CA4"/>
    <w:rsid w:val="001D0F73"/>
    <w:rsid w:val="001D13A8"/>
    <w:rsid w:val="001D1747"/>
    <w:rsid w:val="001D1952"/>
    <w:rsid w:val="001D19D1"/>
    <w:rsid w:val="001D20CB"/>
    <w:rsid w:val="001D2296"/>
    <w:rsid w:val="001D2828"/>
    <w:rsid w:val="001D2E29"/>
    <w:rsid w:val="001D33C1"/>
    <w:rsid w:val="001D33D9"/>
    <w:rsid w:val="001D39C5"/>
    <w:rsid w:val="001D3A1F"/>
    <w:rsid w:val="001D3B4F"/>
    <w:rsid w:val="001D3BA6"/>
    <w:rsid w:val="001D4025"/>
    <w:rsid w:val="001D4112"/>
    <w:rsid w:val="001D417C"/>
    <w:rsid w:val="001D522E"/>
    <w:rsid w:val="001D5458"/>
    <w:rsid w:val="001D59AA"/>
    <w:rsid w:val="001D630A"/>
    <w:rsid w:val="001D64F0"/>
    <w:rsid w:val="001D6A5B"/>
    <w:rsid w:val="001D6B3A"/>
    <w:rsid w:val="001D6C5E"/>
    <w:rsid w:val="001D7298"/>
    <w:rsid w:val="001D72EA"/>
    <w:rsid w:val="001D737C"/>
    <w:rsid w:val="001D772D"/>
    <w:rsid w:val="001D77BC"/>
    <w:rsid w:val="001D7EAC"/>
    <w:rsid w:val="001E0662"/>
    <w:rsid w:val="001E086A"/>
    <w:rsid w:val="001E0C43"/>
    <w:rsid w:val="001E0D3F"/>
    <w:rsid w:val="001E0D8F"/>
    <w:rsid w:val="001E0E12"/>
    <w:rsid w:val="001E163B"/>
    <w:rsid w:val="001E1670"/>
    <w:rsid w:val="001E1A07"/>
    <w:rsid w:val="001E1CC5"/>
    <w:rsid w:val="001E1E73"/>
    <w:rsid w:val="001E1EF3"/>
    <w:rsid w:val="001E2455"/>
    <w:rsid w:val="001E2C4E"/>
    <w:rsid w:val="001E307A"/>
    <w:rsid w:val="001E351C"/>
    <w:rsid w:val="001E3C28"/>
    <w:rsid w:val="001E3F9F"/>
    <w:rsid w:val="001E4226"/>
    <w:rsid w:val="001E4470"/>
    <w:rsid w:val="001E51CE"/>
    <w:rsid w:val="001E524D"/>
    <w:rsid w:val="001E5A40"/>
    <w:rsid w:val="001E614F"/>
    <w:rsid w:val="001E64FF"/>
    <w:rsid w:val="001E6A94"/>
    <w:rsid w:val="001E6B0D"/>
    <w:rsid w:val="001E6B7F"/>
    <w:rsid w:val="001E6D46"/>
    <w:rsid w:val="001E6FB5"/>
    <w:rsid w:val="001E7013"/>
    <w:rsid w:val="001E7223"/>
    <w:rsid w:val="001E7607"/>
    <w:rsid w:val="001E771D"/>
    <w:rsid w:val="001E7C81"/>
    <w:rsid w:val="001E7D70"/>
    <w:rsid w:val="001E7F33"/>
    <w:rsid w:val="001F0252"/>
    <w:rsid w:val="001F08B8"/>
    <w:rsid w:val="001F0A16"/>
    <w:rsid w:val="001F10A2"/>
    <w:rsid w:val="001F10E6"/>
    <w:rsid w:val="001F11D1"/>
    <w:rsid w:val="001F11FA"/>
    <w:rsid w:val="001F122D"/>
    <w:rsid w:val="001F13C3"/>
    <w:rsid w:val="001F1465"/>
    <w:rsid w:val="001F189D"/>
    <w:rsid w:val="001F190D"/>
    <w:rsid w:val="001F22A3"/>
    <w:rsid w:val="001F259A"/>
    <w:rsid w:val="001F282E"/>
    <w:rsid w:val="001F2DE8"/>
    <w:rsid w:val="001F34DF"/>
    <w:rsid w:val="001F3874"/>
    <w:rsid w:val="001F3956"/>
    <w:rsid w:val="001F39ED"/>
    <w:rsid w:val="001F3BF4"/>
    <w:rsid w:val="001F3D43"/>
    <w:rsid w:val="001F43A1"/>
    <w:rsid w:val="001F461B"/>
    <w:rsid w:val="001F48E5"/>
    <w:rsid w:val="001F49A8"/>
    <w:rsid w:val="001F4D78"/>
    <w:rsid w:val="001F4E59"/>
    <w:rsid w:val="001F52D4"/>
    <w:rsid w:val="001F5803"/>
    <w:rsid w:val="001F5B27"/>
    <w:rsid w:val="001F5C3D"/>
    <w:rsid w:val="001F5EB3"/>
    <w:rsid w:val="001F6021"/>
    <w:rsid w:val="001F65E1"/>
    <w:rsid w:val="001F6624"/>
    <w:rsid w:val="001F6A11"/>
    <w:rsid w:val="001F6C6B"/>
    <w:rsid w:val="001F7C75"/>
    <w:rsid w:val="002001D5"/>
    <w:rsid w:val="00200385"/>
    <w:rsid w:val="00200591"/>
    <w:rsid w:val="00200838"/>
    <w:rsid w:val="00200BCB"/>
    <w:rsid w:val="002013B9"/>
    <w:rsid w:val="002016E9"/>
    <w:rsid w:val="002018C4"/>
    <w:rsid w:val="002020C5"/>
    <w:rsid w:val="002024F0"/>
    <w:rsid w:val="0020296D"/>
    <w:rsid w:val="002029CB"/>
    <w:rsid w:val="002029CD"/>
    <w:rsid w:val="00202DC6"/>
    <w:rsid w:val="00202F57"/>
    <w:rsid w:val="00203474"/>
    <w:rsid w:val="002036B4"/>
    <w:rsid w:val="002036E6"/>
    <w:rsid w:val="002037D3"/>
    <w:rsid w:val="00203C8C"/>
    <w:rsid w:val="002045DF"/>
    <w:rsid w:val="002046CA"/>
    <w:rsid w:val="002047D8"/>
    <w:rsid w:val="00204A6E"/>
    <w:rsid w:val="00204A81"/>
    <w:rsid w:val="00204E4D"/>
    <w:rsid w:val="002053B4"/>
    <w:rsid w:val="00205433"/>
    <w:rsid w:val="002054B5"/>
    <w:rsid w:val="0020564D"/>
    <w:rsid w:val="00205DFE"/>
    <w:rsid w:val="00206230"/>
    <w:rsid w:val="002063BB"/>
    <w:rsid w:val="00206978"/>
    <w:rsid w:val="002069B9"/>
    <w:rsid w:val="00206F45"/>
    <w:rsid w:val="00207018"/>
    <w:rsid w:val="0020763F"/>
    <w:rsid w:val="002077A4"/>
    <w:rsid w:val="0020783E"/>
    <w:rsid w:val="00207A3F"/>
    <w:rsid w:val="00210964"/>
    <w:rsid w:val="00210D62"/>
    <w:rsid w:val="002113A5"/>
    <w:rsid w:val="00211C2D"/>
    <w:rsid w:val="00211CC2"/>
    <w:rsid w:val="00212143"/>
    <w:rsid w:val="0021276E"/>
    <w:rsid w:val="00213B0F"/>
    <w:rsid w:val="00213B4E"/>
    <w:rsid w:val="00213CF2"/>
    <w:rsid w:val="0021434C"/>
    <w:rsid w:val="002143E4"/>
    <w:rsid w:val="00214549"/>
    <w:rsid w:val="00214DD2"/>
    <w:rsid w:val="00214F27"/>
    <w:rsid w:val="00215198"/>
    <w:rsid w:val="002152AF"/>
    <w:rsid w:val="00215613"/>
    <w:rsid w:val="002156AC"/>
    <w:rsid w:val="00215759"/>
    <w:rsid w:val="00215810"/>
    <w:rsid w:val="00215BED"/>
    <w:rsid w:val="002165A9"/>
    <w:rsid w:val="00216B22"/>
    <w:rsid w:val="00216BB3"/>
    <w:rsid w:val="00216EAC"/>
    <w:rsid w:val="00217FC2"/>
    <w:rsid w:val="002200EC"/>
    <w:rsid w:val="00220894"/>
    <w:rsid w:val="0022104E"/>
    <w:rsid w:val="002211F0"/>
    <w:rsid w:val="0022126D"/>
    <w:rsid w:val="00221360"/>
    <w:rsid w:val="002213DB"/>
    <w:rsid w:val="00221A48"/>
    <w:rsid w:val="00221C19"/>
    <w:rsid w:val="00221C97"/>
    <w:rsid w:val="002226C5"/>
    <w:rsid w:val="002228FD"/>
    <w:rsid w:val="00222D5F"/>
    <w:rsid w:val="00222EE5"/>
    <w:rsid w:val="002234F7"/>
    <w:rsid w:val="002236F5"/>
    <w:rsid w:val="002238C1"/>
    <w:rsid w:val="00223973"/>
    <w:rsid w:val="00223D59"/>
    <w:rsid w:val="00223EFA"/>
    <w:rsid w:val="00224142"/>
    <w:rsid w:val="00225B62"/>
    <w:rsid w:val="00225D48"/>
    <w:rsid w:val="00226780"/>
    <w:rsid w:val="00226B64"/>
    <w:rsid w:val="0022787C"/>
    <w:rsid w:val="002278CA"/>
    <w:rsid w:val="00227903"/>
    <w:rsid w:val="00227DB2"/>
    <w:rsid w:val="00227E32"/>
    <w:rsid w:val="00230DF8"/>
    <w:rsid w:val="00231752"/>
    <w:rsid w:val="00231E9E"/>
    <w:rsid w:val="00232974"/>
    <w:rsid w:val="00232C00"/>
    <w:rsid w:val="00232D14"/>
    <w:rsid w:val="00233105"/>
    <w:rsid w:val="002331F5"/>
    <w:rsid w:val="0023385D"/>
    <w:rsid w:val="00233B78"/>
    <w:rsid w:val="00233D46"/>
    <w:rsid w:val="00234273"/>
    <w:rsid w:val="0023439F"/>
    <w:rsid w:val="00234E04"/>
    <w:rsid w:val="00235141"/>
    <w:rsid w:val="002359E0"/>
    <w:rsid w:val="00236878"/>
    <w:rsid w:val="0023691B"/>
    <w:rsid w:val="00236925"/>
    <w:rsid w:val="00236B71"/>
    <w:rsid w:val="002379D9"/>
    <w:rsid w:val="00237DFE"/>
    <w:rsid w:val="00237F63"/>
    <w:rsid w:val="00240255"/>
    <w:rsid w:val="00240646"/>
    <w:rsid w:val="00240B2F"/>
    <w:rsid w:val="00240CA1"/>
    <w:rsid w:val="002410D1"/>
    <w:rsid w:val="0024111A"/>
    <w:rsid w:val="00241469"/>
    <w:rsid w:val="002414A8"/>
    <w:rsid w:val="0024158B"/>
    <w:rsid w:val="002415D8"/>
    <w:rsid w:val="0024199A"/>
    <w:rsid w:val="00241ADF"/>
    <w:rsid w:val="00241CFA"/>
    <w:rsid w:val="00242202"/>
    <w:rsid w:val="002422F0"/>
    <w:rsid w:val="0024277C"/>
    <w:rsid w:val="00242C3A"/>
    <w:rsid w:val="00242DD0"/>
    <w:rsid w:val="0024300D"/>
    <w:rsid w:val="002433DE"/>
    <w:rsid w:val="002433F2"/>
    <w:rsid w:val="0024345E"/>
    <w:rsid w:val="002436CD"/>
    <w:rsid w:val="00243784"/>
    <w:rsid w:val="0024381F"/>
    <w:rsid w:val="00243977"/>
    <w:rsid w:val="00243BAF"/>
    <w:rsid w:val="002440D2"/>
    <w:rsid w:val="002442EB"/>
    <w:rsid w:val="002446B8"/>
    <w:rsid w:val="0024495E"/>
    <w:rsid w:val="00244ABF"/>
    <w:rsid w:val="00244B99"/>
    <w:rsid w:val="00244D6C"/>
    <w:rsid w:val="00244DFB"/>
    <w:rsid w:val="00245503"/>
    <w:rsid w:val="00245633"/>
    <w:rsid w:val="00245755"/>
    <w:rsid w:val="002457ED"/>
    <w:rsid w:val="00245BB0"/>
    <w:rsid w:val="00245CDC"/>
    <w:rsid w:val="00245EB3"/>
    <w:rsid w:val="00246119"/>
    <w:rsid w:val="0024619E"/>
    <w:rsid w:val="002467A8"/>
    <w:rsid w:val="00246864"/>
    <w:rsid w:val="00246B10"/>
    <w:rsid w:val="00246DF8"/>
    <w:rsid w:val="00246FBB"/>
    <w:rsid w:val="00247042"/>
    <w:rsid w:val="00247640"/>
    <w:rsid w:val="0024783C"/>
    <w:rsid w:val="00247C22"/>
    <w:rsid w:val="00247C2B"/>
    <w:rsid w:val="00247EC7"/>
    <w:rsid w:val="002503D9"/>
    <w:rsid w:val="00250859"/>
    <w:rsid w:val="00250A6F"/>
    <w:rsid w:val="00250CD2"/>
    <w:rsid w:val="00250EDE"/>
    <w:rsid w:val="002512F2"/>
    <w:rsid w:val="00251478"/>
    <w:rsid w:val="0025150A"/>
    <w:rsid w:val="00251C46"/>
    <w:rsid w:val="00251EEB"/>
    <w:rsid w:val="0025218B"/>
    <w:rsid w:val="00252308"/>
    <w:rsid w:val="002526C0"/>
    <w:rsid w:val="0025411B"/>
    <w:rsid w:val="00254473"/>
    <w:rsid w:val="00254487"/>
    <w:rsid w:val="0025486E"/>
    <w:rsid w:val="00254DE0"/>
    <w:rsid w:val="00255AC5"/>
    <w:rsid w:val="00255C50"/>
    <w:rsid w:val="00255DF1"/>
    <w:rsid w:val="00256316"/>
    <w:rsid w:val="0025650C"/>
    <w:rsid w:val="00256B08"/>
    <w:rsid w:val="00256B8F"/>
    <w:rsid w:val="00256DAC"/>
    <w:rsid w:val="002573F3"/>
    <w:rsid w:val="002577CE"/>
    <w:rsid w:val="002578DA"/>
    <w:rsid w:val="00257949"/>
    <w:rsid w:val="00257AE5"/>
    <w:rsid w:val="00260090"/>
    <w:rsid w:val="002600D0"/>
    <w:rsid w:val="00260530"/>
    <w:rsid w:val="00260EC6"/>
    <w:rsid w:val="00261794"/>
    <w:rsid w:val="00261919"/>
    <w:rsid w:val="00261D6E"/>
    <w:rsid w:val="00261D70"/>
    <w:rsid w:val="00261E9B"/>
    <w:rsid w:val="00262129"/>
    <w:rsid w:val="00262680"/>
    <w:rsid w:val="002627AD"/>
    <w:rsid w:val="00262B13"/>
    <w:rsid w:val="00262C2D"/>
    <w:rsid w:val="00262F8A"/>
    <w:rsid w:val="0026309D"/>
    <w:rsid w:val="0026316D"/>
    <w:rsid w:val="0026317F"/>
    <w:rsid w:val="002634F2"/>
    <w:rsid w:val="00263570"/>
    <w:rsid w:val="0026383F"/>
    <w:rsid w:val="00263D43"/>
    <w:rsid w:val="0026440F"/>
    <w:rsid w:val="00264528"/>
    <w:rsid w:val="00264596"/>
    <w:rsid w:val="002648F5"/>
    <w:rsid w:val="00264A0B"/>
    <w:rsid w:val="00264A7B"/>
    <w:rsid w:val="00264FB3"/>
    <w:rsid w:val="00265332"/>
    <w:rsid w:val="002654A0"/>
    <w:rsid w:val="00265CD2"/>
    <w:rsid w:val="00265E54"/>
    <w:rsid w:val="00266100"/>
    <w:rsid w:val="00266143"/>
    <w:rsid w:val="002661D8"/>
    <w:rsid w:val="00266648"/>
    <w:rsid w:val="00266DD8"/>
    <w:rsid w:val="002672B7"/>
    <w:rsid w:val="0026761E"/>
    <w:rsid w:val="00267631"/>
    <w:rsid w:val="0027008A"/>
    <w:rsid w:val="00270370"/>
    <w:rsid w:val="0027057C"/>
    <w:rsid w:val="00270925"/>
    <w:rsid w:val="00271287"/>
    <w:rsid w:val="002716D8"/>
    <w:rsid w:val="0027175C"/>
    <w:rsid w:val="00272032"/>
    <w:rsid w:val="002725D4"/>
    <w:rsid w:val="00272845"/>
    <w:rsid w:val="00272C77"/>
    <w:rsid w:val="00272EE9"/>
    <w:rsid w:val="002730C6"/>
    <w:rsid w:val="002738C5"/>
    <w:rsid w:val="0027392B"/>
    <w:rsid w:val="00273D92"/>
    <w:rsid w:val="0027474C"/>
    <w:rsid w:val="00274DA0"/>
    <w:rsid w:val="00275638"/>
    <w:rsid w:val="0027581B"/>
    <w:rsid w:val="0027581C"/>
    <w:rsid w:val="00275BFE"/>
    <w:rsid w:val="00275CB6"/>
    <w:rsid w:val="00276072"/>
    <w:rsid w:val="002762FD"/>
    <w:rsid w:val="00277C9E"/>
    <w:rsid w:val="00280152"/>
    <w:rsid w:val="00280479"/>
    <w:rsid w:val="002805DC"/>
    <w:rsid w:val="00280808"/>
    <w:rsid w:val="00280959"/>
    <w:rsid w:val="00280B49"/>
    <w:rsid w:val="00280C60"/>
    <w:rsid w:val="00281135"/>
    <w:rsid w:val="002811B5"/>
    <w:rsid w:val="002816E5"/>
    <w:rsid w:val="002817CA"/>
    <w:rsid w:val="00281F13"/>
    <w:rsid w:val="00281F9C"/>
    <w:rsid w:val="00282084"/>
    <w:rsid w:val="00282086"/>
    <w:rsid w:val="00282155"/>
    <w:rsid w:val="00282309"/>
    <w:rsid w:val="00282AD9"/>
    <w:rsid w:val="00282B00"/>
    <w:rsid w:val="00282FB0"/>
    <w:rsid w:val="00283797"/>
    <w:rsid w:val="00283885"/>
    <w:rsid w:val="00283A84"/>
    <w:rsid w:val="00283E49"/>
    <w:rsid w:val="002841D2"/>
    <w:rsid w:val="002842EF"/>
    <w:rsid w:val="002848F3"/>
    <w:rsid w:val="00284BC6"/>
    <w:rsid w:val="00284DD9"/>
    <w:rsid w:val="00284EE9"/>
    <w:rsid w:val="00284F07"/>
    <w:rsid w:val="00285045"/>
    <w:rsid w:val="0028510F"/>
    <w:rsid w:val="00285714"/>
    <w:rsid w:val="00285E7C"/>
    <w:rsid w:val="00285F18"/>
    <w:rsid w:val="002861BA"/>
    <w:rsid w:val="00286361"/>
    <w:rsid w:val="0028637D"/>
    <w:rsid w:val="002865D5"/>
    <w:rsid w:val="00286CE7"/>
    <w:rsid w:val="0028759D"/>
    <w:rsid w:val="0028764A"/>
    <w:rsid w:val="002876F0"/>
    <w:rsid w:val="002878B2"/>
    <w:rsid w:val="00287B5D"/>
    <w:rsid w:val="00287BE8"/>
    <w:rsid w:val="00287F9A"/>
    <w:rsid w:val="002906D6"/>
    <w:rsid w:val="00290712"/>
    <w:rsid w:val="0029073B"/>
    <w:rsid w:val="00290DF9"/>
    <w:rsid w:val="0029101F"/>
    <w:rsid w:val="0029167F"/>
    <w:rsid w:val="00291D36"/>
    <w:rsid w:val="00292722"/>
    <w:rsid w:val="00292B3F"/>
    <w:rsid w:val="00292B96"/>
    <w:rsid w:val="00292E45"/>
    <w:rsid w:val="00292EF4"/>
    <w:rsid w:val="00293008"/>
    <w:rsid w:val="002931AA"/>
    <w:rsid w:val="00293EF0"/>
    <w:rsid w:val="00294305"/>
    <w:rsid w:val="00294402"/>
    <w:rsid w:val="002944AF"/>
    <w:rsid w:val="00294639"/>
    <w:rsid w:val="002955E8"/>
    <w:rsid w:val="002958C4"/>
    <w:rsid w:val="00295A83"/>
    <w:rsid w:val="00295A97"/>
    <w:rsid w:val="00295AF6"/>
    <w:rsid w:val="00295B74"/>
    <w:rsid w:val="00295C25"/>
    <w:rsid w:val="002967E7"/>
    <w:rsid w:val="0029716A"/>
    <w:rsid w:val="00297969"/>
    <w:rsid w:val="00297F9D"/>
    <w:rsid w:val="002A0483"/>
    <w:rsid w:val="002A04CF"/>
    <w:rsid w:val="002A0773"/>
    <w:rsid w:val="002A1251"/>
    <w:rsid w:val="002A1611"/>
    <w:rsid w:val="002A182B"/>
    <w:rsid w:val="002A1B75"/>
    <w:rsid w:val="002A20CF"/>
    <w:rsid w:val="002A20DA"/>
    <w:rsid w:val="002A228D"/>
    <w:rsid w:val="002A24F1"/>
    <w:rsid w:val="002A2A74"/>
    <w:rsid w:val="002A2AB9"/>
    <w:rsid w:val="002A2B0D"/>
    <w:rsid w:val="002A325C"/>
    <w:rsid w:val="002A4460"/>
    <w:rsid w:val="002A461F"/>
    <w:rsid w:val="002A4D61"/>
    <w:rsid w:val="002A4FBC"/>
    <w:rsid w:val="002A5A8C"/>
    <w:rsid w:val="002A5CBB"/>
    <w:rsid w:val="002A5E17"/>
    <w:rsid w:val="002A6276"/>
    <w:rsid w:val="002A62D6"/>
    <w:rsid w:val="002A68EC"/>
    <w:rsid w:val="002A6A87"/>
    <w:rsid w:val="002A6B00"/>
    <w:rsid w:val="002A715D"/>
    <w:rsid w:val="002A771C"/>
    <w:rsid w:val="002A7810"/>
    <w:rsid w:val="002A7833"/>
    <w:rsid w:val="002B0405"/>
    <w:rsid w:val="002B041E"/>
    <w:rsid w:val="002B04CD"/>
    <w:rsid w:val="002B071D"/>
    <w:rsid w:val="002B10B1"/>
    <w:rsid w:val="002B1138"/>
    <w:rsid w:val="002B117F"/>
    <w:rsid w:val="002B1279"/>
    <w:rsid w:val="002B1522"/>
    <w:rsid w:val="002B178A"/>
    <w:rsid w:val="002B1A1E"/>
    <w:rsid w:val="002B1DA0"/>
    <w:rsid w:val="002B1F23"/>
    <w:rsid w:val="002B203A"/>
    <w:rsid w:val="002B2442"/>
    <w:rsid w:val="002B252D"/>
    <w:rsid w:val="002B2613"/>
    <w:rsid w:val="002B268E"/>
    <w:rsid w:val="002B279B"/>
    <w:rsid w:val="002B2A57"/>
    <w:rsid w:val="002B2D9B"/>
    <w:rsid w:val="002B2E11"/>
    <w:rsid w:val="002B2E2F"/>
    <w:rsid w:val="002B338A"/>
    <w:rsid w:val="002B3A97"/>
    <w:rsid w:val="002B3FF1"/>
    <w:rsid w:val="002B4550"/>
    <w:rsid w:val="002B457F"/>
    <w:rsid w:val="002B4B1D"/>
    <w:rsid w:val="002B4C80"/>
    <w:rsid w:val="002B4F5A"/>
    <w:rsid w:val="002B561F"/>
    <w:rsid w:val="002B57DE"/>
    <w:rsid w:val="002B5892"/>
    <w:rsid w:val="002B5D91"/>
    <w:rsid w:val="002B5EE7"/>
    <w:rsid w:val="002B603F"/>
    <w:rsid w:val="002B618C"/>
    <w:rsid w:val="002B63B9"/>
    <w:rsid w:val="002B66C3"/>
    <w:rsid w:val="002B69B3"/>
    <w:rsid w:val="002B6B3F"/>
    <w:rsid w:val="002B6CD5"/>
    <w:rsid w:val="002B708C"/>
    <w:rsid w:val="002B71DE"/>
    <w:rsid w:val="002B7406"/>
    <w:rsid w:val="002B7458"/>
    <w:rsid w:val="002B7BD6"/>
    <w:rsid w:val="002B7D32"/>
    <w:rsid w:val="002B7E05"/>
    <w:rsid w:val="002C0048"/>
    <w:rsid w:val="002C0729"/>
    <w:rsid w:val="002C181D"/>
    <w:rsid w:val="002C1AA6"/>
    <w:rsid w:val="002C20B5"/>
    <w:rsid w:val="002C2223"/>
    <w:rsid w:val="002C2287"/>
    <w:rsid w:val="002C24CB"/>
    <w:rsid w:val="002C271D"/>
    <w:rsid w:val="002C2844"/>
    <w:rsid w:val="002C2A53"/>
    <w:rsid w:val="002C2CDD"/>
    <w:rsid w:val="002C2CFD"/>
    <w:rsid w:val="002C2DCF"/>
    <w:rsid w:val="002C3247"/>
    <w:rsid w:val="002C3772"/>
    <w:rsid w:val="002C3792"/>
    <w:rsid w:val="002C4B39"/>
    <w:rsid w:val="002C4DA4"/>
    <w:rsid w:val="002C4E39"/>
    <w:rsid w:val="002C4E82"/>
    <w:rsid w:val="002C5163"/>
    <w:rsid w:val="002C564C"/>
    <w:rsid w:val="002C572D"/>
    <w:rsid w:val="002C584F"/>
    <w:rsid w:val="002C5E50"/>
    <w:rsid w:val="002C601C"/>
    <w:rsid w:val="002C62E4"/>
    <w:rsid w:val="002C69CC"/>
    <w:rsid w:val="002C6E5C"/>
    <w:rsid w:val="002C7BE4"/>
    <w:rsid w:val="002C7E32"/>
    <w:rsid w:val="002D044C"/>
    <w:rsid w:val="002D0587"/>
    <w:rsid w:val="002D0AF9"/>
    <w:rsid w:val="002D0DAF"/>
    <w:rsid w:val="002D1073"/>
    <w:rsid w:val="002D140E"/>
    <w:rsid w:val="002D1937"/>
    <w:rsid w:val="002D23FA"/>
    <w:rsid w:val="002D2B55"/>
    <w:rsid w:val="002D2DF4"/>
    <w:rsid w:val="002D312F"/>
    <w:rsid w:val="002D3273"/>
    <w:rsid w:val="002D344D"/>
    <w:rsid w:val="002D36F0"/>
    <w:rsid w:val="002D385B"/>
    <w:rsid w:val="002D39A7"/>
    <w:rsid w:val="002D3F44"/>
    <w:rsid w:val="002D4254"/>
    <w:rsid w:val="002D4ABF"/>
    <w:rsid w:val="002D4BAA"/>
    <w:rsid w:val="002D5134"/>
    <w:rsid w:val="002D5576"/>
    <w:rsid w:val="002D5B45"/>
    <w:rsid w:val="002D5DF0"/>
    <w:rsid w:val="002D6155"/>
    <w:rsid w:val="002D6714"/>
    <w:rsid w:val="002D684A"/>
    <w:rsid w:val="002D6C5D"/>
    <w:rsid w:val="002D7777"/>
    <w:rsid w:val="002D7842"/>
    <w:rsid w:val="002D7A82"/>
    <w:rsid w:val="002D7ADF"/>
    <w:rsid w:val="002D7C0F"/>
    <w:rsid w:val="002D7D9D"/>
    <w:rsid w:val="002D7F7A"/>
    <w:rsid w:val="002E08C9"/>
    <w:rsid w:val="002E0C88"/>
    <w:rsid w:val="002E0F9F"/>
    <w:rsid w:val="002E14AB"/>
    <w:rsid w:val="002E193F"/>
    <w:rsid w:val="002E1A6D"/>
    <w:rsid w:val="002E1E56"/>
    <w:rsid w:val="002E1F13"/>
    <w:rsid w:val="002E1FC1"/>
    <w:rsid w:val="002E24A7"/>
    <w:rsid w:val="002E253A"/>
    <w:rsid w:val="002E273F"/>
    <w:rsid w:val="002E2E32"/>
    <w:rsid w:val="002E309C"/>
    <w:rsid w:val="002E3509"/>
    <w:rsid w:val="002E3EDD"/>
    <w:rsid w:val="002E3F62"/>
    <w:rsid w:val="002E478B"/>
    <w:rsid w:val="002E4A98"/>
    <w:rsid w:val="002E4B0B"/>
    <w:rsid w:val="002E4C12"/>
    <w:rsid w:val="002E4E55"/>
    <w:rsid w:val="002E52B7"/>
    <w:rsid w:val="002E53E1"/>
    <w:rsid w:val="002E5BEF"/>
    <w:rsid w:val="002E5DA0"/>
    <w:rsid w:val="002E612B"/>
    <w:rsid w:val="002E67D6"/>
    <w:rsid w:val="002E698E"/>
    <w:rsid w:val="002E6E74"/>
    <w:rsid w:val="002E7406"/>
    <w:rsid w:val="002E7825"/>
    <w:rsid w:val="002E7C22"/>
    <w:rsid w:val="002F0022"/>
    <w:rsid w:val="002F0264"/>
    <w:rsid w:val="002F053F"/>
    <w:rsid w:val="002F05B1"/>
    <w:rsid w:val="002F0908"/>
    <w:rsid w:val="002F09FE"/>
    <w:rsid w:val="002F0A2F"/>
    <w:rsid w:val="002F0EAA"/>
    <w:rsid w:val="002F0F93"/>
    <w:rsid w:val="002F161C"/>
    <w:rsid w:val="002F1C65"/>
    <w:rsid w:val="002F1D4B"/>
    <w:rsid w:val="002F1F16"/>
    <w:rsid w:val="002F2199"/>
    <w:rsid w:val="002F2EAC"/>
    <w:rsid w:val="002F3909"/>
    <w:rsid w:val="002F3914"/>
    <w:rsid w:val="002F42B2"/>
    <w:rsid w:val="002F4350"/>
    <w:rsid w:val="002F461A"/>
    <w:rsid w:val="002F467C"/>
    <w:rsid w:val="002F47F7"/>
    <w:rsid w:val="002F495E"/>
    <w:rsid w:val="002F4D71"/>
    <w:rsid w:val="002F509B"/>
    <w:rsid w:val="002F51EA"/>
    <w:rsid w:val="002F5751"/>
    <w:rsid w:val="002F57E9"/>
    <w:rsid w:val="002F5800"/>
    <w:rsid w:val="002F5D0A"/>
    <w:rsid w:val="002F5E50"/>
    <w:rsid w:val="002F5EF1"/>
    <w:rsid w:val="002F5F1B"/>
    <w:rsid w:val="002F6444"/>
    <w:rsid w:val="002F65DC"/>
    <w:rsid w:val="002F677B"/>
    <w:rsid w:val="002F7D63"/>
    <w:rsid w:val="003001D1"/>
    <w:rsid w:val="003001FA"/>
    <w:rsid w:val="00300636"/>
    <w:rsid w:val="00300F1D"/>
    <w:rsid w:val="00301022"/>
    <w:rsid w:val="00301287"/>
    <w:rsid w:val="00301365"/>
    <w:rsid w:val="00301368"/>
    <w:rsid w:val="003013B6"/>
    <w:rsid w:val="00301E65"/>
    <w:rsid w:val="00302D6F"/>
    <w:rsid w:val="003035B6"/>
    <w:rsid w:val="00303A60"/>
    <w:rsid w:val="00303D53"/>
    <w:rsid w:val="00303F3C"/>
    <w:rsid w:val="0030442A"/>
    <w:rsid w:val="0030448E"/>
    <w:rsid w:val="0030496B"/>
    <w:rsid w:val="00304D4B"/>
    <w:rsid w:val="00304E28"/>
    <w:rsid w:val="00304FF4"/>
    <w:rsid w:val="003052B0"/>
    <w:rsid w:val="003053D2"/>
    <w:rsid w:val="00305755"/>
    <w:rsid w:val="0030577C"/>
    <w:rsid w:val="003057E3"/>
    <w:rsid w:val="00305B5A"/>
    <w:rsid w:val="00305F2D"/>
    <w:rsid w:val="0030680D"/>
    <w:rsid w:val="00306915"/>
    <w:rsid w:val="00306BAE"/>
    <w:rsid w:val="00307017"/>
    <w:rsid w:val="003072B8"/>
    <w:rsid w:val="003074B6"/>
    <w:rsid w:val="0030755B"/>
    <w:rsid w:val="00310188"/>
    <w:rsid w:val="0031029E"/>
    <w:rsid w:val="00310DA5"/>
    <w:rsid w:val="00310E79"/>
    <w:rsid w:val="00310E88"/>
    <w:rsid w:val="00311123"/>
    <w:rsid w:val="003116A7"/>
    <w:rsid w:val="0031238F"/>
    <w:rsid w:val="003125DF"/>
    <w:rsid w:val="00312614"/>
    <w:rsid w:val="00312DEB"/>
    <w:rsid w:val="00313076"/>
    <w:rsid w:val="00313087"/>
    <w:rsid w:val="0031314D"/>
    <w:rsid w:val="003131A9"/>
    <w:rsid w:val="003133C5"/>
    <w:rsid w:val="00313470"/>
    <w:rsid w:val="00313489"/>
    <w:rsid w:val="003137A7"/>
    <w:rsid w:val="003137C2"/>
    <w:rsid w:val="00313823"/>
    <w:rsid w:val="00313C3F"/>
    <w:rsid w:val="00314121"/>
    <w:rsid w:val="003146B7"/>
    <w:rsid w:val="00314778"/>
    <w:rsid w:val="003147D9"/>
    <w:rsid w:val="00314A46"/>
    <w:rsid w:val="00314DC1"/>
    <w:rsid w:val="00314F75"/>
    <w:rsid w:val="00315007"/>
    <w:rsid w:val="00315241"/>
    <w:rsid w:val="00315322"/>
    <w:rsid w:val="003155BB"/>
    <w:rsid w:val="00315707"/>
    <w:rsid w:val="0031588B"/>
    <w:rsid w:val="00315FDD"/>
    <w:rsid w:val="00316139"/>
    <w:rsid w:val="0031655A"/>
    <w:rsid w:val="00316801"/>
    <w:rsid w:val="0031683E"/>
    <w:rsid w:val="003169A5"/>
    <w:rsid w:val="00316D39"/>
    <w:rsid w:val="00316E91"/>
    <w:rsid w:val="00317035"/>
    <w:rsid w:val="00317585"/>
    <w:rsid w:val="00317705"/>
    <w:rsid w:val="003178F2"/>
    <w:rsid w:val="00317967"/>
    <w:rsid w:val="00317C61"/>
    <w:rsid w:val="0032049F"/>
    <w:rsid w:val="003204B0"/>
    <w:rsid w:val="00320787"/>
    <w:rsid w:val="00320848"/>
    <w:rsid w:val="003208F9"/>
    <w:rsid w:val="00320908"/>
    <w:rsid w:val="003209D0"/>
    <w:rsid w:val="00320A1D"/>
    <w:rsid w:val="00320DB1"/>
    <w:rsid w:val="00321937"/>
    <w:rsid w:val="00321C4E"/>
    <w:rsid w:val="00322A67"/>
    <w:rsid w:val="00322D42"/>
    <w:rsid w:val="00322F26"/>
    <w:rsid w:val="00323193"/>
    <w:rsid w:val="0032334D"/>
    <w:rsid w:val="003233B8"/>
    <w:rsid w:val="00323531"/>
    <w:rsid w:val="00323554"/>
    <w:rsid w:val="00323DAF"/>
    <w:rsid w:val="00323F01"/>
    <w:rsid w:val="00324147"/>
    <w:rsid w:val="003241EC"/>
    <w:rsid w:val="00324386"/>
    <w:rsid w:val="00324631"/>
    <w:rsid w:val="003246F6"/>
    <w:rsid w:val="003248BB"/>
    <w:rsid w:val="00324C82"/>
    <w:rsid w:val="00324C88"/>
    <w:rsid w:val="003251C1"/>
    <w:rsid w:val="0032534E"/>
    <w:rsid w:val="003256F5"/>
    <w:rsid w:val="0032588F"/>
    <w:rsid w:val="0032614F"/>
    <w:rsid w:val="00326346"/>
    <w:rsid w:val="0032651B"/>
    <w:rsid w:val="003269C5"/>
    <w:rsid w:val="003276E4"/>
    <w:rsid w:val="00327A6D"/>
    <w:rsid w:val="00327D89"/>
    <w:rsid w:val="0033035D"/>
    <w:rsid w:val="003312FF"/>
    <w:rsid w:val="00331964"/>
    <w:rsid w:val="003319F4"/>
    <w:rsid w:val="00331C9E"/>
    <w:rsid w:val="00331E7A"/>
    <w:rsid w:val="003322D2"/>
    <w:rsid w:val="0033264E"/>
    <w:rsid w:val="00332744"/>
    <w:rsid w:val="003330AC"/>
    <w:rsid w:val="00333985"/>
    <w:rsid w:val="00334031"/>
    <w:rsid w:val="00334297"/>
    <w:rsid w:val="003343B3"/>
    <w:rsid w:val="00334A1C"/>
    <w:rsid w:val="00334D09"/>
    <w:rsid w:val="00334D9B"/>
    <w:rsid w:val="0033514F"/>
    <w:rsid w:val="0033518D"/>
    <w:rsid w:val="003352CF"/>
    <w:rsid w:val="00335631"/>
    <w:rsid w:val="003356D0"/>
    <w:rsid w:val="00335C89"/>
    <w:rsid w:val="00335DD1"/>
    <w:rsid w:val="00335E24"/>
    <w:rsid w:val="00335F0B"/>
    <w:rsid w:val="003360D9"/>
    <w:rsid w:val="003363DE"/>
    <w:rsid w:val="00336874"/>
    <w:rsid w:val="00336989"/>
    <w:rsid w:val="00336D42"/>
    <w:rsid w:val="003371E2"/>
    <w:rsid w:val="00337453"/>
    <w:rsid w:val="00337CB0"/>
    <w:rsid w:val="0034020C"/>
    <w:rsid w:val="003404C9"/>
    <w:rsid w:val="00340CBE"/>
    <w:rsid w:val="00340DD7"/>
    <w:rsid w:val="00341210"/>
    <w:rsid w:val="00341394"/>
    <w:rsid w:val="0034141A"/>
    <w:rsid w:val="003414A8"/>
    <w:rsid w:val="00341586"/>
    <w:rsid w:val="00341606"/>
    <w:rsid w:val="003417C5"/>
    <w:rsid w:val="00341805"/>
    <w:rsid w:val="00341A86"/>
    <w:rsid w:val="0034221F"/>
    <w:rsid w:val="0034271D"/>
    <w:rsid w:val="00342A72"/>
    <w:rsid w:val="00342C5C"/>
    <w:rsid w:val="00342DE6"/>
    <w:rsid w:val="00342DFD"/>
    <w:rsid w:val="0034312B"/>
    <w:rsid w:val="0034397C"/>
    <w:rsid w:val="00343B40"/>
    <w:rsid w:val="0034405D"/>
    <w:rsid w:val="003444EE"/>
    <w:rsid w:val="00344B97"/>
    <w:rsid w:val="00344C0E"/>
    <w:rsid w:val="00344DAB"/>
    <w:rsid w:val="00345205"/>
    <w:rsid w:val="003454D6"/>
    <w:rsid w:val="00345744"/>
    <w:rsid w:val="0034593D"/>
    <w:rsid w:val="00347210"/>
    <w:rsid w:val="003473A2"/>
    <w:rsid w:val="003479FF"/>
    <w:rsid w:val="00347C58"/>
    <w:rsid w:val="00347DEA"/>
    <w:rsid w:val="00347EAF"/>
    <w:rsid w:val="00347FEB"/>
    <w:rsid w:val="0035009A"/>
    <w:rsid w:val="0035031E"/>
    <w:rsid w:val="00350484"/>
    <w:rsid w:val="00350A39"/>
    <w:rsid w:val="00350EFE"/>
    <w:rsid w:val="003511C6"/>
    <w:rsid w:val="003513D8"/>
    <w:rsid w:val="00351499"/>
    <w:rsid w:val="0035157B"/>
    <w:rsid w:val="00351692"/>
    <w:rsid w:val="003517F0"/>
    <w:rsid w:val="00351CA8"/>
    <w:rsid w:val="00351F7C"/>
    <w:rsid w:val="00351FCC"/>
    <w:rsid w:val="00352033"/>
    <w:rsid w:val="00352171"/>
    <w:rsid w:val="003522D3"/>
    <w:rsid w:val="00353240"/>
    <w:rsid w:val="00353B13"/>
    <w:rsid w:val="00353B8D"/>
    <w:rsid w:val="00353BAC"/>
    <w:rsid w:val="00354397"/>
    <w:rsid w:val="00354464"/>
    <w:rsid w:val="00354847"/>
    <w:rsid w:val="00354C6D"/>
    <w:rsid w:val="003556AE"/>
    <w:rsid w:val="003558DE"/>
    <w:rsid w:val="00355B4F"/>
    <w:rsid w:val="00356319"/>
    <w:rsid w:val="00356370"/>
    <w:rsid w:val="003567E9"/>
    <w:rsid w:val="00357238"/>
    <w:rsid w:val="003574B6"/>
    <w:rsid w:val="00357753"/>
    <w:rsid w:val="003577DA"/>
    <w:rsid w:val="0035796A"/>
    <w:rsid w:val="00357A0F"/>
    <w:rsid w:val="00357F20"/>
    <w:rsid w:val="003604DC"/>
    <w:rsid w:val="00360575"/>
    <w:rsid w:val="003606B5"/>
    <w:rsid w:val="00362049"/>
    <w:rsid w:val="00362460"/>
    <w:rsid w:val="00362BAA"/>
    <w:rsid w:val="00362D0B"/>
    <w:rsid w:val="00362DC1"/>
    <w:rsid w:val="00362FEB"/>
    <w:rsid w:val="003632D6"/>
    <w:rsid w:val="00363611"/>
    <w:rsid w:val="0036367F"/>
    <w:rsid w:val="003637E3"/>
    <w:rsid w:val="00363B0F"/>
    <w:rsid w:val="00363C63"/>
    <w:rsid w:val="00363EBC"/>
    <w:rsid w:val="00364324"/>
    <w:rsid w:val="003648B5"/>
    <w:rsid w:val="00365054"/>
    <w:rsid w:val="0036524B"/>
    <w:rsid w:val="00365585"/>
    <w:rsid w:val="00365FC7"/>
    <w:rsid w:val="00366390"/>
    <w:rsid w:val="00366407"/>
    <w:rsid w:val="00366413"/>
    <w:rsid w:val="003665CA"/>
    <w:rsid w:val="00366F23"/>
    <w:rsid w:val="003675B1"/>
    <w:rsid w:val="003675DA"/>
    <w:rsid w:val="003676DF"/>
    <w:rsid w:val="00367936"/>
    <w:rsid w:val="00367E48"/>
    <w:rsid w:val="00367FF3"/>
    <w:rsid w:val="00370C33"/>
    <w:rsid w:val="00370F41"/>
    <w:rsid w:val="00371024"/>
    <w:rsid w:val="00371116"/>
    <w:rsid w:val="003711F3"/>
    <w:rsid w:val="003713FB"/>
    <w:rsid w:val="00371475"/>
    <w:rsid w:val="0037162F"/>
    <w:rsid w:val="00371E5A"/>
    <w:rsid w:val="00372442"/>
    <w:rsid w:val="003728D0"/>
    <w:rsid w:val="00372915"/>
    <w:rsid w:val="00372972"/>
    <w:rsid w:val="003729D8"/>
    <w:rsid w:val="0037306B"/>
    <w:rsid w:val="00373329"/>
    <w:rsid w:val="00373432"/>
    <w:rsid w:val="0037364D"/>
    <w:rsid w:val="00373982"/>
    <w:rsid w:val="00373B19"/>
    <w:rsid w:val="00373BDA"/>
    <w:rsid w:val="00373FFD"/>
    <w:rsid w:val="00374288"/>
    <w:rsid w:val="003743CF"/>
    <w:rsid w:val="0037476E"/>
    <w:rsid w:val="00374940"/>
    <w:rsid w:val="00374FE5"/>
    <w:rsid w:val="0037515B"/>
    <w:rsid w:val="0037521E"/>
    <w:rsid w:val="00375716"/>
    <w:rsid w:val="0037573B"/>
    <w:rsid w:val="00375B04"/>
    <w:rsid w:val="00375B31"/>
    <w:rsid w:val="00375B7A"/>
    <w:rsid w:val="00375C3F"/>
    <w:rsid w:val="003763F0"/>
    <w:rsid w:val="00376C5E"/>
    <w:rsid w:val="00376FE9"/>
    <w:rsid w:val="00377747"/>
    <w:rsid w:val="0037795A"/>
    <w:rsid w:val="00377BB0"/>
    <w:rsid w:val="00377BBB"/>
    <w:rsid w:val="003802CA"/>
    <w:rsid w:val="0038053F"/>
    <w:rsid w:val="00380837"/>
    <w:rsid w:val="00380D6F"/>
    <w:rsid w:val="0038133C"/>
    <w:rsid w:val="0038138C"/>
    <w:rsid w:val="0038184B"/>
    <w:rsid w:val="00381A04"/>
    <w:rsid w:val="00382339"/>
    <w:rsid w:val="00382681"/>
    <w:rsid w:val="00382A2E"/>
    <w:rsid w:val="00382DAC"/>
    <w:rsid w:val="0038319A"/>
    <w:rsid w:val="0038322C"/>
    <w:rsid w:val="00383B69"/>
    <w:rsid w:val="00384140"/>
    <w:rsid w:val="00384764"/>
    <w:rsid w:val="00384BA3"/>
    <w:rsid w:val="00384FE2"/>
    <w:rsid w:val="00385231"/>
    <w:rsid w:val="00385941"/>
    <w:rsid w:val="00385AAA"/>
    <w:rsid w:val="00385D19"/>
    <w:rsid w:val="00385F6F"/>
    <w:rsid w:val="00386308"/>
    <w:rsid w:val="00386465"/>
    <w:rsid w:val="003866B7"/>
    <w:rsid w:val="003866E5"/>
    <w:rsid w:val="00386791"/>
    <w:rsid w:val="0038684F"/>
    <w:rsid w:val="00386E70"/>
    <w:rsid w:val="0038710D"/>
    <w:rsid w:val="0038791C"/>
    <w:rsid w:val="00387A22"/>
    <w:rsid w:val="00387A62"/>
    <w:rsid w:val="00387DD5"/>
    <w:rsid w:val="00387F76"/>
    <w:rsid w:val="0039001F"/>
    <w:rsid w:val="00390103"/>
    <w:rsid w:val="00390277"/>
    <w:rsid w:val="00390546"/>
    <w:rsid w:val="00390921"/>
    <w:rsid w:val="00390C28"/>
    <w:rsid w:val="0039128D"/>
    <w:rsid w:val="00391434"/>
    <w:rsid w:val="00391C59"/>
    <w:rsid w:val="00391D4D"/>
    <w:rsid w:val="003922CB"/>
    <w:rsid w:val="00392544"/>
    <w:rsid w:val="00392E3C"/>
    <w:rsid w:val="0039317A"/>
    <w:rsid w:val="0039319F"/>
    <w:rsid w:val="003932A5"/>
    <w:rsid w:val="003939B8"/>
    <w:rsid w:val="00393DC6"/>
    <w:rsid w:val="003942DF"/>
    <w:rsid w:val="00394628"/>
    <w:rsid w:val="00394DAC"/>
    <w:rsid w:val="0039516E"/>
    <w:rsid w:val="00395379"/>
    <w:rsid w:val="003956DB"/>
    <w:rsid w:val="003957CC"/>
    <w:rsid w:val="003958FA"/>
    <w:rsid w:val="003959CE"/>
    <w:rsid w:val="00395BCD"/>
    <w:rsid w:val="00395E8E"/>
    <w:rsid w:val="00395F5C"/>
    <w:rsid w:val="00396859"/>
    <w:rsid w:val="003968C1"/>
    <w:rsid w:val="00396A43"/>
    <w:rsid w:val="00396AD0"/>
    <w:rsid w:val="00396C75"/>
    <w:rsid w:val="00396D54"/>
    <w:rsid w:val="00396E90"/>
    <w:rsid w:val="00396FC8"/>
    <w:rsid w:val="003971F1"/>
    <w:rsid w:val="00397340"/>
    <w:rsid w:val="003978B7"/>
    <w:rsid w:val="00397C5A"/>
    <w:rsid w:val="003A0065"/>
    <w:rsid w:val="003A00BD"/>
    <w:rsid w:val="003A01F3"/>
    <w:rsid w:val="003A024C"/>
    <w:rsid w:val="003A04BE"/>
    <w:rsid w:val="003A059E"/>
    <w:rsid w:val="003A05CF"/>
    <w:rsid w:val="003A0C68"/>
    <w:rsid w:val="003A0EAF"/>
    <w:rsid w:val="003A1993"/>
    <w:rsid w:val="003A1D74"/>
    <w:rsid w:val="003A1FF0"/>
    <w:rsid w:val="003A28BB"/>
    <w:rsid w:val="003A2B49"/>
    <w:rsid w:val="003A2C8F"/>
    <w:rsid w:val="003A2D6D"/>
    <w:rsid w:val="003A3250"/>
    <w:rsid w:val="003A369F"/>
    <w:rsid w:val="003A378E"/>
    <w:rsid w:val="003A3A85"/>
    <w:rsid w:val="003A3AFA"/>
    <w:rsid w:val="003A4261"/>
    <w:rsid w:val="003A45FE"/>
    <w:rsid w:val="003A498B"/>
    <w:rsid w:val="003A50B5"/>
    <w:rsid w:val="003A52FD"/>
    <w:rsid w:val="003A57C2"/>
    <w:rsid w:val="003A6331"/>
    <w:rsid w:val="003A6647"/>
    <w:rsid w:val="003A6652"/>
    <w:rsid w:val="003A66EA"/>
    <w:rsid w:val="003A690C"/>
    <w:rsid w:val="003A6999"/>
    <w:rsid w:val="003A6CDC"/>
    <w:rsid w:val="003A6E9B"/>
    <w:rsid w:val="003A7008"/>
    <w:rsid w:val="003A74D9"/>
    <w:rsid w:val="003A7729"/>
    <w:rsid w:val="003A7A43"/>
    <w:rsid w:val="003A7B45"/>
    <w:rsid w:val="003A7C09"/>
    <w:rsid w:val="003B01AC"/>
    <w:rsid w:val="003B02FB"/>
    <w:rsid w:val="003B08B0"/>
    <w:rsid w:val="003B0C90"/>
    <w:rsid w:val="003B0CF5"/>
    <w:rsid w:val="003B0ED5"/>
    <w:rsid w:val="003B1057"/>
    <w:rsid w:val="003B16C2"/>
    <w:rsid w:val="003B19EC"/>
    <w:rsid w:val="003B1C58"/>
    <w:rsid w:val="003B1EE6"/>
    <w:rsid w:val="003B2023"/>
    <w:rsid w:val="003B20A5"/>
    <w:rsid w:val="003B21A2"/>
    <w:rsid w:val="003B2730"/>
    <w:rsid w:val="003B283A"/>
    <w:rsid w:val="003B3904"/>
    <w:rsid w:val="003B3942"/>
    <w:rsid w:val="003B3A92"/>
    <w:rsid w:val="003B3C02"/>
    <w:rsid w:val="003B3F22"/>
    <w:rsid w:val="003B3F7D"/>
    <w:rsid w:val="003B43FB"/>
    <w:rsid w:val="003B4769"/>
    <w:rsid w:val="003B4923"/>
    <w:rsid w:val="003B4FF0"/>
    <w:rsid w:val="003B5069"/>
    <w:rsid w:val="003B52AF"/>
    <w:rsid w:val="003B54A6"/>
    <w:rsid w:val="003B5696"/>
    <w:rsid w:val="003B57C6"/>
    <w:rsid w:val="003B5C25"/>
    <w:rsid w:val="003B5C9B"/>
    <w:rsid w:val="003B5E53"/>
    <w:rsid w:val="003B6169"/>
    <w:rsid w:val="003B6248"/>
    <w:rsid w:val="003B659D"/>
    <w:rsid w:val="003B65CB"/>
    <w:rsid w:val="003B6877"/>
    <w:rsid w:val="003B688B"/>
    <w:rsid w:val="003B69B3"/>
    <w:rsid w:val="003B6E03"/>
    <w:rsid w:val="003B71CB"/>
    <w:rsid w:val="003B73D3"/>
    <w:rsid w:val="003B7676"/>
    <w:rsid w:val="003B7A3C"/>
    <w:rsid w:val="003B7FAE"/>
    <w:rsid w:val="003C00DF"/>
    <w:rsid w:val="003C037A"/>
    <w:rsid w:val="003C071C"/>
    <w:rsid w:val="003C0F14"/>
    <w:rsid w:val="003C15C1"/>
    <w:rsid w:val="003C1A61"/>
    <w:rsid w:val="003C1CE3"/>
    <w:rsid w:val="003C2695"/>
    <w:rsid w:val="003C2916"/>
    <w:rsid w:val="003C3128"/>
    <w:rsid w:val="003C363A"/>
    <w:rsid w:val="003C3683"/>
    <w:rsid w:val="003C3853"/>
    <w:rsid w:val="003C3F45"/>
    <w:rsid w:val="003C40E9"/>
    <w:rsid w:val="003C4552"/>
    <w:rsid w:val="003C4631"/>
    <w:rsid w:val="003C468E"/>
    <w:rsid w:val="003C49CF"/>
    <w:rsid w:val="003C4FED"/>
    <w:rsid w:val="003C50B5"/>
    <w:rsid w:val="003C51DE"/>
    <w:rsid w:val="003C5293"/>
    <w:rsid w:val="003C547C"/>
    <w:rsid w:val="003C55AE"/>
    <w:rsid w:val="003C5DD8"/>
    <w:rsid w:val="003C5FEF"/>
    <w:rsid w:val="003C6026"/>
    <w:rsid w:val="003C65C3"/>
    <w:rsid w:val="003C70AD"/>
    <w:rsid w:val="003C7503"/>
    <w:rsid w:val="003C78EE"/>
    <w:rsid w:val="003C7B02"/>
    <w:rsid w:val="003C7F2C"/>
    <w:rsid w:val="003D005D"/>
    <w:rsid w:val="003D00B1"/>
    <w:rsid w:val="003D02B6"/>
    <w:rsid w:val="003D03A7"/>
    <w:rsid w:val="003D067F"/>
    <w:rsid w:val="003D070C"/>
    <w:rsid w:val="003D120C"/>
    <w:rsid w:val="003D1235"/>
    <w:rsid w:val="003D1592"/>
    <w:rsid w:val="003D1629"/>
    <w:rsid w:val="003D1816"/>
    <w:rsid w:val="003D1D01"/>
    <w:rsid w:val="003D1E5D"/>
    <w:rsid w:val="003D1E6E"/>
    <w:rsid w:val="003D2021"/>
    <w:rsid w:val="003D20AC"/>
    <w:rsid w:val="003D29A2"/>
    <w:rsid w:val="003D2CB1"/>
    <w:rsid w:val="003D30BD"/>
    <w:rsid w:val="003D37CA"/>
    <w:rsid w:val="003D3AC0"/>
    <w:rsid w:val="003D3B04"/>
    <w:rsid w:val="003D3C5B"/>
    <w:rsid w:val="003D3FED"/>
    <w:rsid w:val="003D42D3"/>
    <w:rsid w:val="003D4423"/>
    <w:rsid w:val="003D483A"/>
    <w:rsid w:val="003D49DF"/>
    <w:rsid w:val="003D4B4E"/>
    <w:rsid w:val="003D4FB3"/>
    <w:rsid w:val="003D542C"/>
    <w:rsid w:val="003D5893"/>
    <w:rsid w:val="003D5A28"/>
    <w:rsid w:val="003D5B21"/>
    <w:rsid w:val="003D5BF9"/>
    <w:rsid w:val="003D5C3F"/>
    <w:rsid w:val="003D60CB"/>
    <w:rsid w:val="003D67C1"/>
    <w:rsid w:val="003D6A0E"/>
    <w:rsid w:val="003D6C80"/>
    <w:rsid w:val="003D6D8E"/>
    <w:rsid w:val="003D6DB6"/>
    <w:rsid w:val="003D6E49"/>
    <w:rsid w:val="003D7512"/>
    <w:rsid w:val="003D75B8"/>
    <w:rsid w:val="003D77AE"/>
    <w:rsid w:val="003D7BA1"/>
    <w:rsid w:val="003D7D05"/>
    <w:rsid w:val="003D7DE1"/>
    <w:rsid w:val="003E01ED"/>
    <w:rsid w:val="003E0201"/>
    <w:rsid w:val="003E07FB"/>
    <w:rsid w:val="003E0927"/>
    <w:rsid w:val="003E096B"/>
    <w:rsid w:val="003E0D2B"/>
    <w:rsid w:val="003E1362"/>
    <w:rsid w:val="003E14B8"/>
    <w:rsid w:val="003E164B"/>
    <w:rsid w:val="003E17EA"/>
    <w:rsid w:val="003E1A6F"/>
    <w:rsid w:val="003E1FCF"/>
    <w:rsid w:val="003E217A"/>
    <w:rsid w:val="003E270A"/>
    <w:rsid w:val="003E27CF"/>
    <w:rsid w:val="003E2866"/>
    <w:rsid w:val="003E28C2"/>
    <w:rsid w:val="003E2C03"/>
    <w:rsid w:val="003E2CE7"/>
    <w:rsid w:val="003E2DF7"/>
    <w:rsid w:val="003E36E4"/>
    <w:rsid w:val="003E38CE"/>
    <w:rsid w:val="003E397E"/>
    <w:rsid w:val="003E4094"/>
    <w:rsid w:val="003E4211"/>
    <w:rsid w:val="003E4523"/>
    <w:rsid w:val="003E4C56"/>
    <w:rsid w:val="003E5472"/>
    <w:rsid w:val="003E6337"/>
    <w:rsid w:val="003E67C4"/>
    <w:rsid w:val="003E68AD"/>
    <w:rsid w:val="003E6949"/>
    <w:rsid w:val="003E7445"/>
    <w:rsid w:val="003F02FA"/>
    <w:rsid w:val="003F058C"/>
    <w:rsid w:val="003F0A72"/>
    <w:rsid w:val="003F0CA1"/>
    <w:rsid w:val="003F14AF"/>
    <w:rsid w:val="003F1E94"/>
    <w:rsid w:val="003F1F96"/>
    <w:rsid w:val="003F26C8"/>
    <w:rsid w:val="003F2DDC"/>
    <w:rsid w:val="003F3002"/>
    <w:rsid w:val="003F338B"/>
    <w:rsid w:val="003F41AB"/>
    <w:rsid w:val="003F423B"/>
    <w:rsid w:val="003F449D"/>
    <w:rsid w:val="003F4578"/>
    <w:rsid w:val="003F462D"/>
    <w:rsid w:val="003F49EC"/>
    <w:rsid w:val="003F4A58"/>
    <w:rsid w:val="003F4B7E"/>
    <w:rsid w:val="003F55D8"/>
    <w:rsid w:val="003F592C"/>
    <w:rsid w:val="003F5C09"/>
    <w:rsid w:val="003F5FE7"/>
    <w:rsid w:val="003F6093"/>
    <w:rsid w:val="003F65C5"/>
    <w:rsid w:val="003F71CB"/>
    <w:rsid w:val="003F74BB"/>
    <w:rsid w:val="003F77C0"/>
    <w:rsid w:val="003F7862"/>
    <w:rsid w:val="003F7D0E"/>
    <w:rsid w:val="003F7F3B"/>
    <w:rsid w:val="0040006A"/>
    <w:rsid w:val="004002F4"/>
    <w:rsid w:val="004002F9"/>
    <w:rsid w:val="00400576"/>
    <w:rsid w:val="0040071C"/>
    <w:rsid w:val="004009ED"/>
    <w:rsid w:val="00400C7C"/>
    <w:rsid w:val="00400D58"/>
    <w:rsid w:val="004011AA"/>
    <w:rsid w:val="00401530"/>
    <w:rsid w:val="0040191B"/>
    <w:rsid w:val="00401FB8"/>
    <w:rsid w:val="00402686"/>
    <w:rsid w:val="00402C48"/>
    <w:rsid w:val="00402C51"/>
    <w:rsid w:val="004030E6"/>
    <w:rsid w:val="004036A1"/>
    <w:rsid w:val="00403A52"/>
    <w:rsid w:val="00403AF3"/>
    <w:rsid w:val="00403F4F"/>
    <w:rsid w:val="00404137"/>
    <w:rsid w:val="00404275"/>
    <w:rsid w:val="004043DA"/>
    <w:rsid w:val="00404456"/>
    <w:rsid w:val="0040474F"/>
    <w:rsid w:val="00404D17"/>
    <w:rsid w:val="004051DE"/>
    <w:rsid w:val="00405662"/>
    <w:rsid w:val="00405A73"/>
    <w:rsid w:val="0040617B"/>
    <w:rsid w:val="00406837"/>
    <w:rsid w:val="00406BA2"/>
    <w:rsid w:val="00406D02"/>
    <w:rsid w:val="00406E74"/>
    <w:rsid w:val="00407080"/>
    <w:rsid w:val="00407293"/>
    <w:rsid w:val="00407450"/>
    <w:rsid w:val="0040767E"/>
    <w:rsid w:val="0040788B"/>
    <w:rsid w:val="00407991"/>
    <w:rsid w:val="0041025D"/>
    <w:rsid w:val="004102B2"/>
    <w:rsid w:val="00410DA9"/>
    <w:rsid w:val="00411066"/>
    <w:rsid w:val="00411424"/>
    <w:rsid w:val="00411502"/>
    <w:rsid w:val="004116D5"/>
    <w:rsid w:val="00411A90"/>
    <w:rsid w:val="00412098"/>
    <w:rsid w:val="004124BB"/>
    <w:rsid w:val="004124CD"/>
    <w:rsid w:val="00412655"/>
    <w:rsid w:val="004131FB"/>
    <w:rsid w:val="004134D2"/>
    <w:rsid w:val="00413731"/>
    <w:rsid w:val="00413913"/>
    <w:rsid w:val="0041398F"/>
    <w:rsid w:val="00413B58"/>
    <w:rsid w:val="0041418D"/>
    <w:rsid w:val="0041439F"/>
    <w:rsid w:val="0041453C"/>
    <w:rsid w:val="00414580"/>
    <w:rsid w:val="004145A9"/>
    <w:rsid w:val="00414A17"/>
    <w:rsid w:val="004150C3"/>
    <w:rsid w:val="00415216"/>
    <w:rsid w:val="0041524F"/>
    <w:rsid w:val="00415643"/>
    <w:rsid w:val="0041565A"/>
    <w:rsid w:val="0041582B"/>
    <w:rsid w:val="00415873"/>
    <w:rsid w:val="00415AFD"/>
    <w:rsid w:val="00415DB0"/>
    <w:rsid w:val="004162E6"/>
    <w:rsid w:val="00416986"/>
    <w:rsid w:val="00416B77"/>
    <w:rsid w:val="00416E54"/>
    <w:rsid w:val="00416F31"/>
    <w:rsid w:val="00416FC0"/>
    <w:rsid w:val="00417191"/>
    <w:rsid w:val="0041737D"/>
    <w:rsid w:val="00417874"/>
    <w:rsid w:val="00417959"/>
    <w:rsid w:val="0042044C"/>
    <w:rsid w:val="00420A93"/>
    <w:rsid w:val="00420CA7"/>
    <w:rsid w:val="00420DB1"/>
    <w:rsid w:val="0042157D"/>
    <w:rsid w:val="00421724"/>
    <w:rsid w:val="00421BFA"/>
    <w:rsid w:val="00421CA3"/>
    <w:rsid w:val="0042234A"/>
    <w:rsid w:val="00422630"/>
    <w:rsid w:val="00422705"/>
    <w:rsid w:val="00422A52"/>
    <w:rsid w:val="00423157"/>
    <w:rsid w:val="004235C1"/>
    <w:rsid w:val="00423772"/>
    <w:rsid w:val="00423860"/>
    <w:rsid w:val="004238C9"/>
    <w:rsid w:val="00424189"/>
    <w:rsid w:val="00424425"/>
    <w:rsid w:val="004244EB"/>
    <w:rsid w:val="00424508"/>
    <w:rsid w:val="0042537C"/>
    <w:rsid w:val="004253EA"/>
    <w:rsid w:val="00425412"/>
    <w:rsid w:val="0042567F"/>
    <w:rsid w:val="00425690"/>
    <w:rsid w:val="00425C1C"/>
    <w:rsid w:val="00425F4E"/>
    <w:rsid w:val="0042600A"/>
    <w:rsid w:val="00426065"/>
    <w:rsid w:val="00426E2C"/>
    <w:rsid w:val="00427000"/>
    <w:rsid w:val="00427163"/>
    <w:rsid w:val="004271A9"/>
    <w:rsid w:val="00427265"/>
    <w:rsid w:val="0042752F"/>
    <w:rsid w:val="00427575"/>
    <w:rsid w:val="004275BF"/>
    <w:rsid w:val="00427AFC"/>
    <w:rsid w:val="00427D63"/>
    <w:rsid w:val="00430013"/>
    <w:rsid w:val="0043010B"/>
    <w:rsid w:val="004309D0"/>
    <w:rsid w:val="00431813"/>
    <w:rsid w:val="00431BE2"/>
    <w:rsid w:val="0043277A"/>
    <w:rsid w:val="00432780"/>
    <w:rsid w:val="00432CB5"/>
    <w:rsid w:val="004333CB"/>
    <w:rsid w:val="004335BA"/>
    <w:rsid w:val="0043379E"/>
    <w:rsid w:val="004338CA"/>
    <w:rsid w:val="00433A94"/>
    <w:rsid w:val="00433B50"/>
    <w:rsid w:val="00433E1A"/>
    <w:rsid w:val="00433E96"/>
    <w:rsid w:val="00434132"/>
    <w:rsid w:val="0043455D"/>
    <w:rsid w:val="00434758"/>
    <w:rsid w:val="00434B9E"/>
    <w:rsid w:val="00434C17"/>
    <w:rsid w:val="0043522B"/>
    <w:rsid w:val="004352F8"/>
    <w:rsid w:val="0043531C"/>
    <w:rsid w:val="00435A82"/>
    <w:rsid w:val="00435F6E"/>
    <w:rsid w:val="00435F7A"/>
    <w:rsid w:val="00435FCA"/>
    <w:rsid w:val="00436465"/>
    <w:rsid w:val="00436B5D"/>
    <w:rsid w:val="00436C3F"/>
    <w:rsid w:val="00436D1C"/>
    <w:rsid w:val="00437200"/>
    <w:rsid w:val="004373EC"/>
    <w:rsid w:val="00437A5A"/>
    <w:rsid w:val="0044015E"/>
    <w:rsid w:val="004403A7"/>
    <w:rsid w:val="004406DF"/>
    <w:rsid w:val="00440894"/>
    <w:rsid w:val="004409B8"/>
    <w:rsid w:val="00440A14"/>
    <w:rsid w:val="00440CB0"/>
    <w:rsid w:val="00441730"/>
    <w:rsid w:val="00442622"/>
    <w:rsid w:val="0044270E"/>
    <w:rsid w:val="00443561"/>
    <w:rsid w:val="0044376B"/>
    <w:rsid w:val="00443AA7"/>
    <w:rsid w:val="00443F02"/>
    <w:rsid w:val="00444080"/>
    <w:rsid w:val="0044493F"/>
    <w:rsid w:val="00444A90"/>
    <w:rsid w:val="00444B7A"/>
    <w:rsid w:val="00444E9A"/>
    <w:rsid w:val="0044545F"/>
    <w:rsid w:val="0044589E"/>
    <w:rsid w:val="0044617B"/>
    <w:rsid w:val="004461B9"/>
    <w:rsid w:val="00446260"/>
    <w:rsid w:val="004463F7"/>
    <w:rsid w:val="004465E8"/>
    <w:rsid w:val="004467D7"/>
    <w:rsid w:val="0044681D"/>
    <w:rsid w:val="00446897"/>
    <w:rsid w:val="00446905"/>
    <w:rsid w:val="00446DAD"/>
    <w:rsid w:val="00446E80"/>
    <w:rsid w:val="00447863"/>
    <w:rsid w:val="00447F3E"/>
    <w:rsid w:val="004500D5"/>
    <w:rsid w:val="004501F7"/>
    <w:rsid w:val="0045030A"/>
    <w:rsid w:val="0045070C"/>
    <w:rsid w:val="004507FC"/>
    <w:rsid w:val="004508A5"/>
    <w:rsid w:val="004509FA"/>
    <w:rsid w:val="00450AE6"/>
    <w:rsid w:val="00450E36"/>
    <w:rsid w:val="00451634"/>
    <w:rsid w:val="00451DB2"/>
    <w:rsid w:val="004528BD"/>
    <w:rsid w:val="00453536"/>
    <w:rsid w:val="0045437B"/>
    <w:rsid w:val="0045448B"/>
    <w:rsid w:val="00454948"/>
    <w:rsid w:val="00454BF1"/>
    <w:rsid w:val="00455487"/>
    <w:rsid w:val="0045590F"/>
    <w:rsid w:val="00455945"/>
    <w:rsid w:val="00455C51"/>
    <w:rsid w:val="00455CC2"/>
    <w:rsid w:val="00455E76"/>
    <w:rsid w:val="004560E6"/>
    <w:rsid w:val="00456332"/>
    <w:rsid w:val="00456A83"/>
    <w:rsid w:val="00456FDD"/>
    <w:rsid w:val="00457277"/>
    <w:rsid w:val="0045729B"/>
    <w:rsid w:val="0045739A"/>
    <w:rsid w:val="004576A1"/>
    <w:rsid w:val="00457A1F"/>
    <w:rsid w:val="004600A2"/>
    <w:rsid w:val="00460117"/>
    <w:rsid w:val="004604CF"/>
    <w:rsid w:val="004604F8"/>
    <w:rsid w:val="0046063B"/>
    <w:rsid w:val="0046116A"/>
    <w:rsid w:val="004612D4"/>
    <w:rsid w:val="00461403"/>
    <w:rsid w:val="0046173B"/>
    <w:rsid w:val="00461755"/>
    <w:rsid w:val="00461961"/>
    <w:rsid w:val="00461ACC"/>
    <w:rsid w:val="00461BE6"/>
    <w:rsid w:val="00461CF4"/>
    <w:rsid w:val="004622B7"/>
    <w:rsid w:val="00462311"/>
    <w:rsid w:val="00462510"/>
    <w:rsid w:val="00462886"/>
    <w:rsid w:val="00462B20"/>
    <w:rsid w:val="00463CD9"/>
    <w:rsid w:val="00463DB3"/>
    <w:rsid w:val="00464AE3"/>
    <w:rsid w:val="00464B3D"/>
    <w:rsid w:val="004653FB"/>
    <w:rsid w:val="00465522"/>
    <w:rsid w:val="0046567F"/>
    <w:rsid w:val="00465864"/>
    <w:rsid w:val="00465999"/>
    <w:rsid w:val="004659AE"/>
    <w:rsid w:val="00465BDB"/>
    <w:rsid w:val="0046602F"/>
    <w:rsid w:val="00466607"/>
    <w:rsid w:val="0046697B"/>
    <w:rsid w:val="00466C36"/>
    <w:rsid w:val="00466EA0"/>
    <w:rsid w:val="0046705F"/>
    <w:rsid w:val="0046758D"/>
    <w:rsid w:val="004678B7"/>
    <w:rsid w:val="00467D79"/>
    <w:rsid w:val="00467DF4"/>
    <w:rsid w:val="004703D4"/>
    <w:rsid w:val="004704AA"/>
    <w:rsid w:val="0047078D"/>
    <w:rsid w:val="00470CB3"/>
    <w:rsid w:val="00470E7B"/>
    <w:rsid w:val="004711E4"/>
    <w:rsid w:val="0047124F"/>
    <w:rsid w:val="00471256"/>
    <w:rsid w:val="00471E7A"/>
    <w:rsid w:val="00472513"/>
    <w:rsid w:val="0047256E"/>
    <w:rsid w:val="004727D2"/>
    <w:rsid w:val="00472B53"/>
    <w:rsid w:val="00472BAD"/>
    <w:rsid w:val="00473514"/>
    <w:rsid w:val="00473673"/>
    <w:rsid w:val="00473B1F"/>
    <w:rsid w:val="00473C2B"/>
    <w:rsid w:val="00473DC5"/>
    <w:rsid w:val="00474001"/>
    <w:rsid w:val="004747BF"/>
    <w:rsid w:val="00474CF0"/>
    <w:rsid w:val="00474E92"/>
    <w:rsid w:val="00475323"/>
    <w:rsid w:val="0047584F"/>
    <w:rsid w:val="00475AAF"/>
    <w:rsid w:val="00476846"/>
    <w:rsid w:val="00476AD5"/>
    <w:rsid w:val="00476B9D"/>
    <w:rsid w:val="004778A9"/>
    <w:rsid w:val="00477B5D"/>
    <w:rsid w:val="00477BDB"/>
    <w:rsid w:val="00477C44"/>
    <w:rsid w:val="00477FB7"/>
    <w:rsid w:val="00480681"/>
    <w:rsid w:val="00480980"/>
    <w:rsid w:val="00480ACA"/>
    <w:rsid w:val="00480BF3"/>
    <w:rsid w:val="00480F69"/>
    <w:rsid w:val="0048105F"/>
    <w:rsid w:val="0048135C"/>
    <w:rsid w:val="004815C6"/>
    <w:rsid w:val="00481753"/>
    <w:rsid w:val="00481B0D"/>
    <w:rsid w:val="00481BEF"/>
    <w:rsid w:val="00482460"/>
    <w:rsid w:val="00482DC9"/>
    <w:rsid w:val="00482F74"/>
    <w:rsid w:val="00483623"/>
    <w:rsid w:val="0048411F"/>
    <w:rsid w:val="00484A2E"/>
    <w:rsid w:val="00484EAD"/>
    <w:rsid w:val="00484EBF"/>
    <w:rsid w:val="0048518B"/>
    <w:rsid w:val="0048575C"/>
    <w:rsid w:val="00485947"/>
    <w:rsid w:val="004859B8"/>
    <w:rsid w:val="004859BC"/>
    <w:rsid w:val="00485A03"/>
    <w:rsid w:val="00485AEC"/>
    <w:rsid w:val="00485F13"/>
    <w:rsid w:val="004861BD"/>
    <w:rsid w:val="0048646D"/>
    <w:rsid w:val="004864E3"/>
    <w:rsid w:val="00486776"/>
    <w:rsid w:val="0048684E"/>
    <w:rsid w:val="00486A8B"/>
    <w:rsid w:val="00486DF9"/>
    <w:rsid w:val="00486E01"/>
    <w:rsid w:val="00487367"/>
    <w:rsid w:val="00487441"/>
    <w:rsid w:val="00487583"/>
    <w:rsid w:val="00487978"/>
    <w:rsid w:val="00490032"/>
    <w:rsid w:val="00490164"/>
    <w:rsid w:val="0049084F"/>
    <w:rsid w:val="00490945"/>
    <w:rsid w:val="00490A0C"/>
    <w:rsid w:val="004915C2"/>
    <w:rsid w:val="0049170D"/>
    <w:rsid w:val="004919B5"/>
    <w:rsid w:val="00491A95"/>
    <w:rsid w:val="004920F3"/>
    <w:rsid w:val="00492252"/>
    <w:rsid w:val="00492717"/>
    <w:rsid w:val="0049271D"/>
    <w:rsid w:val="00492884"/>
    <w:rsid w:val="004928E0"/>
    <w:rsid w:val="00492ADB"/>
    <w:rsid w:val="00493029"/>
    <w:rsid w:val="0049340F"/>
    <w:rsid w:val="00493797"/>
    <w:rsid w:val="00493B5F"/>
    <w:rsid w:val="00493DAD"/>
    <w:rsid w:val="00493E01"/>
    <w:rsid w:val="0049463C"/>
    <w:rsid w:val="00494F0C"/>
    <w:rsid w:val="00495182"/>
    <w:rsid w:val="00495284"/>
    <w:rsid w:val="004952DE"/>
    <w:rsid w:val="004954A8"/>
    <w:rsid w:val="004956FE"/>
    <w:rsid w:val="004958B0"/>
    <w:rsid w:val="004959E4"/>
    <w:rsid w:val="00495ACA"/>
    <w:rsid w:val="00495B35"/>
    <w:rsid w:val="00495D5B"/>
    <w:rsid w:val="00495E3B"/>
    <w:rsid w:val="0049648D"/>
    <w:rsid w:val="00496FEB"/>
    <w:rsid w:val="00497943"/>
    <w:rsid w:val="00497D6C"/>
    <w:rsid w:val="004A011E"/>
    <w:rsid w:val="004A034C"/>
    <w:rsid w:val="004A0425"/>
    <w:rsid w:val="004A0937"/>
    <w:rsid w:val="004A09F8"/>
    <w:rsid w:val="004A0A3D"/>
    <w:rsid w:val="004A0CDF"/>
    <w:rsid w:val="004A0F47"/>
    <w:rsid w:val="004A1135"/>
    <w:rsid w:val="004A168F"/>
    <w:rsid w:val="004A16CA"/>
    <w:rsid w:val="004A19D4"/>
    <w:rsid w:val="004A1E72"/>
    <w:rsid w:val="004A217D"/>
    <w:rsid w:val="004A2593"/>
    <w:rsid w:val="004A2637"/>
    <w:rsid w:val="004A2A54"/>
    <w:rsid w:val="004A37EF"/>
    <w:rsid w:val="004A3EBF"/>
    <w:rsid w:val="004A3FDE"/>
    <w:rsid w:val="004A412B"/>
    <w:rsid w:val="004A43B2"/>
    <w:rsid w:val="004A448D"/>
    <w:rsid w:val="004A4943"/>
    <w:rsid w:val="004A4E83"/>
    <w:rsid w:val="004A50D3"/>
    <w:rsid w:val="004A51B6"/>
    <w:rsid w:val="004A5B39"/>
    <w:rsid w:val="004A5EE8"/>
    <w:rsid w:val="004A6031"/>
    <w:rsid w:val="004A692B"/>
    <w:rsid w:val="004A6A3A"/>
    <w:rsid w:val="004A6C35"/>
    <w:rsid w:val="004A6E1B"/>
    <w:rsid w:val="004A70B9"/>
    <w:rsid w:val="004A7852"/>
    <w:rsid w:val="004B0148"/>
    <w:rsid w:val="004B112C"/>
    <w:rsid w:val="004B1770"/>
    <w:rsid w:val="004B178D"/>
    <w:rsid w:val="004B1868"/>
    <w:rsid w:val="004B1D9F"/>
    <w:rsid w:val="004B1E68"/>
    <w:rsid w:val="004B2779"/>
    <w:rsid w:val="004B28CD"/>
    <w:rsid w:val="004B3173"/>
    <w:rsid w:val="004B33E9"/>
    <w:rsid w:val="004B3C70"/>
    <w:rsid w:val="004B3E9D"/>
    <w:rsid w:val="004B4220"/>
    <w:rsid w:val="004B430F"/>
    <w:rsid w:val="004B4377"/>
    <w:rsid w:val="004B473F"/>
    <w:rsid w:val="004B47EB"/>
    <w:rsid w:val="004B4C40"/>
    <w:rsid w:val="004B4CA9"/>
    <w:rsid w:val="004B50E5"/>
    <w:rsid w:val="004B52E6"/>
    <w:rsid w:val="004B572A"/>
    <w:rsid w:val="004B5A0F"/>
    <w:rsid w:val="004B5B4A"/>
    <w:rsid w:val="004B5ECE"/>
    <w:rsid w:val="004B5ED7"/>
    <w:rsid w:val="004B6299"/>
    <w:rsid w:val="004B6E6D"/>
    <w:rsid w:val="004B6E86"/>
    <w:rsid w:val="004B7034"/>
    <w:rsid w:val="004B78D2"/>
    <w:rsid w:val="004C0A1B"/>
    <w:rsid w:val="004C0A1D"/>
    <w:rsid w:val="004C0C79"/>
    <w:rsid w:val="004C0E3D"/>
    <w:rsid w:val="004C0E76"/>
    <w:rsid w:val="004C172E"/>
    <w:rsid w:val="004C187B"/>
    <w:rsid w:val="004C1A6C"/>
    <w:rsid w:val="004C1BA4"/>
    <w:rsid w:val="004C1BB3"/>
    <w:rsid w:val="004C1E42"/>
    <w:rsid w:val="004C1F3E"/>
    <w:rsid w:val="004C2A05"/>
    <w:rsid w:val="004C307E"/>
    <w:rsid w:val="004C363B"/>
    <w:rsid w:val="004C369B"/>
    <w:rsid w:val="004C38BD"/>
    <w:rsid w:val="004C3C03"/>
    <w:rsid w:val="004C3E5B"/>
    <w:rsid w:val="004C4107"/>
    <w:rsid w:val="004C4811"/>
    <w:rsid w:val="004C4D62"/>
    <w:rsid w:val="004C4DA2"/>
    <w:rsid w:val="004C4FF4"/>
    <w:rsid w:val="004C528B"/>
    <w:rsid w:val="004C52B9"/>
    <w:rsid w:val="004C57FC"/>
    <w:rsid w:val="004C5828"/>
    <w:rsid w:val="004C583C"/>
    <w:rsid w:val="004C59BE"/>
    <w:rsid w:val="004C5B16"/>
    <w:rsid w:val="004C5DBD"/>
    <w:rsid w:val="004C5EEB"/>
    <w:rsid w:val="004C6162"/>
    <w:rsid w:val="004C6276"/>
    <w:rsid w:val="004C64CB"/>
    <w:rsid w:val="004C66DA"/>
    <w:rsid w:val="004C70F1"/>
    <w:rsid w:val="004C73FD"/>
    <w:rsid w:val="004C764F"/>
    <w:rsid w:val="004C789A"/>
    <w:rsid w:val="004C7A67"/>
    <w:rsid w:val="004D04EF"/>
    <w:rsid w:val="004D087C"/>
    <w:rsid w:val="004D1192"/>
    <w:rsid w:val="004D12FA"/>
    <w:rsid w:val="004D1351"/>
    <w:rsid w:val="004D1808"/>
    <w:rsid w:val="004D1821"/>
    <w:rsid w:val="004D1D4D"/>
    <w:rsid w:val="004D2081"/>
    <w:rsid w:val="004D28FE"/>
    <w:rsid w:val="004D2AC2"/>
    <w:rsid w:val="004D2C1E"/>
    <w:rsid w:val="004D2CAC"/>
    <w:rsid w:val="004D30BA"/>
    <w:rsid w:val="004D32ED"/>
    <w:rsid w:val="004D346D"/>
    <w:rsid w:val="004D4147"/>
    <w:rsid w:val="004D432E"/>
    <w:rsid w:val="004D448D"/>
    <w:rsid w:val="004D4716"/>
    <w:rsid w:val="004D4937"/>
    <w:rsid w:val="004D54F6"/>
    <w:rsid w:val="004D5518"/>
    <w:rsid w:val="004D5A9C"/>
    <w:rsid w:val="004D5F78"/>
    <w:rsid w:val="004D6062"/>
    <w:rsid w:val="004D616C"/>
    <w:rsid w:val="004D63CA"/>
    <w:rsid w:val="004D6570"/>
    <w:rsid w:val="004D6A1B"/>
    <w:rsid w:val="004D6AAB"/>
    <w:rsid w:val="004D6AE9"/>
    <w:rsid w:val="004D6BCF"/>
    <w:rsid w:val="004D6C21"/>
    <w:rsid w:val="004D6D1C"/>
    <w:rsid w:val="004D6FD9"/>
    <w:rsid w:val="004D7637"/>
    <w:rsid w:val="004D7CD5"/>
    <w:rsid w:val="004D7F31"/>
    <w:rsid w:val="004D7FB5"/>
    <w:rsid w:val="004E0344"/>
    <w:rsid w:val="004E08E3"/>
    <w:rsid w:val="004E0C4C"/>
    <w:rsid w:val="004E0DDA"/>
    <w:rsid w:val="004E1123"/>
    <w:rsid w:val="004E13DB"/>
    <w:rsid w:val="004E1894"/>
    <w:rsid w:val="004E19BC"/>
    <w:rsid w:val="004E19FF"/>
    <w:rsid w:val="004E1B85"/>
    <w:rsid w:val="004E2177"/>
    <w:rsid w:val="004E259A"/>
    <w:rsid w:val="004E27D7"/>
    <w:rsid w:val="004E2C0A"/>
    <w:rsid w:val="004E32AE"/>
    <w:rsid w:val="004E34E4"/>
    <w:rsid w:val="004E3536"/>
    <w:rsid w:val="004E3BA7"/>
    <w:rsid w:val="004E3E5F"/>
    <w:rsid w:val="004E4096"/>
    <w:rsid w:val="004E445A"/>
    <w:rsid w:val="004E49E2"/>
    <w:rsid w:val="004E4C22"/>
    <w:rsid w:val="004E50D5"/>
    <w:rsid w:val="004E5529"/>
    <w:rsid w:val="004E59D2"/>
    <w:rsid w:val="004E6007"/>
    <w:rsid w:val="004E6782"/>
    <w:rsid w:val="004E68AE"/>
    <w:rsid w:val="004E69B1"/>
    <w:rsid w:val="004E6B30"/>
    <w:rsid w:val="004E6C43"/>
    <w:rsid w:val="004E731A"/>
    <w:rsid w:val="004E73F9"/>
    <w:rsid w:val="004E7574"/>
    <w:rsid w:val="004E7636"/>
    <w:rsid w:val="004E78F0"/>
    <w:rsid w:val="004E7DDF"/>
    <w:rsid w:val="004E7F91"/>
    <w:rsid w:val="004F04B3"/>
    <w:rsid w:val="004F0921"/>
    <w:rsid w:val="004F0F33"/>
    <w:rsid w:val="004F0FCE"/>
    <w:rsid w:val="004F0FE8"/>
    <w:rsid w:val="004F136E"/>
    <w:rsid w:val="004F145F"/>
    <w:rsid w:val="004F1596"/>
    <w:rsid w:val="004F167A"/>
    <w:rsid w:val="004F1914"/>
    <w:rsid w:val="004F1E17"/>
    <w:rsid w:val="004F21FE"/>
    <w:rsid w:val="004F295C"/>
    <w:rsid w:val="004F2F80"/>
    <w:rsid w:val="004F3145"/>
    <w:rsid w:val="004F3449"/>
    <w:rsid w:val="004F349C"/>
    <w:rsid w:val="004F3F44"/>
    <w:rsid w:val="004F45CD"/>
    <w:rsid w:val="004F49AA"/>
    <w:rsid w:val="004F4DEF"/>
    <w:rsid w:val="004F4FE0"/>
    <w:rsid w:val="004F553D"/>
    <w:rsid w:val="004F6179"/>
    <w:rsid w:val="004F626E"/>
    <w:rsid w:val="004F63A2"/>
    <w:rsid w:val="004F66CD"/>
    <w:rsid w:val="004F68E6"/>
    <w:rsid w:val="004F6980"/>
    <w:rsid w:val="004F69B2"/>
    <w:rsid w:val="004F6D32"/>
    <w:rsid w:val="004F70B8"/>
    <w:rsid w:val="004F76C6"/>
    <w:rsid w:val="004F7F66"/>
    <w:rsid w:val="00500189"/>
    <w:rsid w:val="0050032E"/>
    <w:rsid w:val="00500337"/>
    <w:rsid w:val="005005BF"/>
    <w:rsid w:val="00500625"/>
    <w:rsid w:val="00500951"/>
    <w:rsid w:val="00500B21"/>
    <w:rsid w:val="00500E5B"/>
    <w:rsid w:val="0050135B"/>
    <w:rsid w:val="00501597"/>
    <w:rsid w:val="00501847"/>
    <w:rsid w:val="00501900"/>
    <w:rsid w:val="005019E7"/>
    <w:rsid w:val="00501AEF"/>
    <w:rsid w:val="00501BFF"/>
    <w:rsid w:val="00501C8D"/>
    <w:rsid w:val="00501CD3"/>
    <w:rsid w:val="00501DC3"/>
    <w:rsid w:val="005024B3"/>
    <w:rsid w:val="0050275C"/>
    <w:rsid w:val="00502BD1"/>
    <w:rsid w:val="00502C54"/>
    <w:rsid w:val="00502DC1"/>
    <w:rsid w:val="00502E19"/>
    <w:rsid w:val="00502FFA"/>
    <w:rsid w:val="005039FA"/>
    <w:rsid w:val="00503CC4"/>
    <w:rsid w:val="00503FB8"/>
    <w:rsid w:val="0050411B"/>
    <w:rsid w:val="005042D7"/>
    <w:rsid w:val="0050460E"/>
    <w:rsid w:val="005049CA"/>
    <w:rsid w:val="0050590D"/>
    <w:rsid w:val="00505998"/>
    <w:rsid w:val="00505BA1"/>
    <w:rsid w:val="00505CD7"/>
    <w:rsid w:val="00505F65"/>
    <w:rsid w:val="0050607E"/>
    <w:rsid w:val="00506098"/>
    <w:rsid w:val="0050644F"/>
    <w:rsid w:val="00506D4C"/>
    <w:rsid w:val="005070D1"/>
    <w:rsid w:val="00507404"/>
    <w:rsid w:val="0050799E"/>
    <w:rsid w:val="005079C3"/>
    <w:rsid w:val="00507C49"/>
    <w:rsid w:val="0051020D"/>
    <w:rsid w:val="005102BD"/>
    <w:rsid w:val="005108F7"/>
    <w:rsid w:val="00510BE8"/>
    <w:rsid w:val="00510CC2"/>
    <w:rsid w:val="005112B1"/>
    <w:rsid w:val="005116F0"/>
    <w:rsid w:val="00511957"/>
    <w:rsid w:val="00511E56"/>
    <w:rsid w:val="005122A9"/>
    <w:rsid w:val="005129EE"/>
    <w:rsid w:val="00512C07"/>
    <w:rsid w:val="005133A7"/>
    <w:rsid w:val="005137B8"/>
    <w:rsid w:val="00513D2C"/>
    <w:rsid w:val="0051463E"/>
    <w:rsid w:val="0051464A"/>
    <w:rsid w:val="005149BA"/>
    <w:rsid w:val="00514A5F"/>
    <w:rsid w:val="00514AD8"/>
    <w:rsid w:val="00514D46"/>
    <w:rsid w:val="00514E3D"/>
    <w:rsid w:val="00515067"/>
    <w:rsid w:val="005153AE"/>
    <w:rsid w:val="00515683"/>
    <w:rsid w:val="00515AFB"/>
    <w:rsid w:val="00515D77"/>
    <w:rsid w:val="00516160"/>
    <w:rsid w:val="0051617A"/>
    <w:rsid w:val="005167BD"/>
    <w:rsid w:val="005168D2"/>
    <w:rsid w:val="00517318"/>
    <w:rsid w:val="00517A11"/>
    <w:rsid w:val="00517A12"/>
    <w:rsid w:val="00517AC6"/>
    <w:rsid w:val="00517F4D"/>
    <w:rsid w:val="00520029"/>
    <w:rsid w:val="00520359"/>
    <w:rsid w:val="00520531"/>
    <w:rsid w:val="005209A2"/>
    <w:rsid w:val="00520A76"/>
    <w:rsid w:val="00520C95"/>
    <w:rsid w:val="00520CB6"/>
    <w:rsid w:val="00520FAA"/>
    <w:rsid w:val="00521023"/>
    <w:rsid w:val="00521201"/>
    <w:rsid w:val="00521C46"/>
    <w:rsid w:val="00522457"/>
    <w:rsid w:val="005228B1"/>
    <w:rsid w:val="00522932"/>
    <w:rsid w:val="0052298E"/>
    <w:rsid w:val="005233DE"/>
    <w:rsid w:val="00523CB8"/>
    <w:rsid w:val="005241C2"/>
    <w:rsid w:val="00524E50"/>
    <w:rsid w:val="00524F8A"/>
    <w:rsid w:val="005259EA"/>
    <w:rsid w:val="00525E0B"/>
    <w:rsid w:val="00525EA4"/>
    <w:rsid w:val="00525F9D"/>
    <w:rsid w:val="005260A4"/>
    <w:rsid w:val="005265D0"/>
    <w:rsid w:val="0052706A"/>
    <w:rsid w:val="005270A0"/>
    <w:rsid w:val="005276A4"/>
    <w:rsid w:val="00527EA0"/>
    <w:rsid w:val="005301A1"/>
    <w:rsid w:val="005309A1"/>
    <w:rsid w:val="00531643"/>
    <w:rsid w:val="005318B3"/>
    <w:rsid w:val="00531E43"/>
    <w:rsid w:val="00531ED9"/>
    <w:rsid w:val="00531EF1"/>
    <w:rsid w:val="0053212E"/>
    <w:rsid w:val="00532250"/>
    <w:rsid w:val="00532C2F"/>
    <w:rsid w:val="0053358B"/>
    <w:rsid w:val="005336ED"/>
    <w:rsid w:val="0053387A"/>
    <w:rsid w:val="005339F5"/>
    <w:rsid w:val="005339F7"/>
    <w:rsid w:val="0053414D"/>
    <w:rsid w:val="0053440C"/>
    <w:rsid w:val="00534922"/>
    <w:rsid w:val="00534A36"/>
    <w:rsid w:val="00534B41"/>
    <w:rsid w:val="00534C89"/>
    <w:rsid w:val="00534E3F"/>
    <w:rsid w:val="00535572"/>
    <w:rsid w:val="0053570C"/>
    <w:rsid w:val="00535778"/>
    <w:rsid w:val="0053578A"/>
    <w:rsid w:val="00535C13"/>
    <w:rsid w:val="00536002"/>
    <w:rsid w:val="00536783"/>
    <w:rsid w:val="00536B1E"/>
    <w:rsid w:val="00536D5F"/>
    <w:rsid w:val="0053759C"/>
    <w:rsid w:val="00537906"/>
    <w:rsid w:val="00540314"/>
    <w:rsid w:val="00540334"/>
    <w:rsid w:val="00540DBD"/>
    <w:rsid w:val="005411B5"/>
    <w:rsid w:val="00541509"/>
    <w:rsid w:val="00541B08"/>
    <w:rsid w:val="00541B81"/>
    <w:rsid w:val="0054216A"/>
    <w:rsid w:val="00542241"/>
    <w:rsid w:val="0054282B"/>
    <w:rsid w:val="00542C90"/>
    <w:rsid w:val="00542CDB"/>
    <w:rsid w:val="00543583"/>
    <w:rsid w:val="00543604"/>
    <w:rsid w:val="005438C7"/>
    <w:rsid w:val="00543AB7"/>
    <w:rsid w:val="00543BB0"/>
    <w:rsid w:val="00543D43"/>
    <w:rsid w:val="00543E4C"/>
    <w:rsid w:val="00543F32"/>
    <w:rsid w:val="00544061"/>
    <w:rsid w:val="005440D9"/>
    <w:rsid w:val="00544102"/>
    <w:rsid w:val="00544C98"/>
    <w:rsid w:val="00544D55"/>
    <w:rsid w:val="00544F97"/>
    <w:rsid w:val="00545120"/>
    <w:rsid w:val="00545876"/>
    <w:rsid w:val="00545957"/>
    <w:rsid w:val="00545AC2"/>
    <w:rsid w:val="00545E10"/>
    <w:rsid w:val="00545F79"/>
    <w:rsid w:val="0054624B"/>
    <w:rsid w:val="005465BF"/>
    <w:rsid w:val="00546606"/>
    <w:rsid w:val="00546950"/>
    <w:rsid w:val="005474A1"/>
    <w:rsid w:val="0054756B"/>
    <w:rsid w:val="00547716"/>
    <w:rsid w:val="00547885"/>
    <w:rsid w:val="00547A61"/>
    <w:rsid w:val="00547C24"/>
    <w:rsid w:val="00547C7D"/>
    <w:rsid w:val="005500FE"/>
    <w:rsid w:val="005501C1"/>
    <w:rsid w:val="0055059A"/>
    <w:rsid w:val="00550749"/>
    <w:rsid w:val="005509D5"/>
    <w:rsid w:val="00550C85"/>
    <w:rsid w:val="00551341"/>
    <w:rsid w:val="00551815"/>
    <w:rsid w:val="00551A70"/>
    <w:rsid w:val="00551E72"/>
    <w:rsid w:val="005522BA"/>
    <w:rsid w:val="0055251D"/>
    <w:rsid w:val="005528ED"/>
    <w:rsid w:val="00552B7D"/>
    <w:rsid w:val="00553039"/>
    <w:rsid w:val="00553327"/>
    <w:rsid w:val="005536D3"/>
    <w:rsid w:val="005538FC"/>
    <w:rsid w:val="00553B5F"/>
    <w:rsid w:val="005540C0"/>
    <w:rsid w:val="00554AE5"/>
    <w:rsid w:val="00554B79"/>
    <w:rsid w:val="00554C21"/>
    <w:rsid w:val="00554DA9"/>
    <w:rsid w:val="00554DC4"/>
    <w:rsid w:val="00555264"/>
    <w:rsid w:val="005554EB"/>
    <w:rsid w:val="00555862"/>
    <w:rsid w:val="00555EAA"/>
    <w:rsid w:val="0055684E"/>
    <w:rsid w:val="00556D7C"/>
    <w:rsid w:val="00556F69"/>
    <w:rsid w:val="00556FF5"/>
    <w:rsid w:val="00557F02"/>
    <w:rsid w:val="005601C5"/>
    <w:rsid w:val="00560350"/>
    <w:rsid w:val="005605DE"/>
    <w:rsid w:val="00560729"/>
    <w:rsid w:val="00560DE6"/>
    <w:rsid w:val="00561520"/>
    <w:rsid w:val="00561593"/>
    <w:rsid w:val="00561640"/>
    <w:rsid w:val="00561836"/>
    <w:rsid w:val="00561915"/>
    <w:rsid w:val="00561943"/>
    <w:rsid w:val="00562701"/>
    <w:rsid w:val="00562856"/>
    <w:rsid w:val="005629B6"/>
    <w:rsid w:val="00562EA6"/>
    <w:rsid w:val="00562F32"/>
    <w:rsid w:val="00562F9B"/>
    <w:rsid w:val="0056325E"/>
    <w:rsid w:val="0056361D"/>
    <w:rsid w:val="00563CC0"/>
    <w:rsid w:val="005641A2"/>
    <w:rsid w:val="0056453F"/>
    <w:rsid w:val="005648E9"/>
    <w:rsid w:val="00564F6B"/>
    <w:rsid w:val="00565155"/>
    <w:rsid w:val="00565170"/>
    <w:rsid w:val="005653B4"/>
    <w:rsid w:val="005654CC"/>
    <w:rsid w:val="00565967"/>
    <w:rsid w:val="0056598D"/>
    <w:rsid w:val="005659F6"/>
    <w:rsid w:val="00566700"/>
    <w:rsid w:val="005669FA"/>
    <w:rsid w:val="00566B3A"/>
    <w:rsid w:val="00566CB5"/>
    <w:rsid w:val="00566FCF"/>
    <w:rsid w:val="0056716D"/>
    <w:rsid w:val="005673BF"/>
    <w:rsid w:val="005675E4"/>
    <w:rsid w:val="005702B8"/>
    <w:rsid w:val="005707E5"/>
    <w:rsid w:val="00570811"/>
    <w:rsid w:val="00570A3C"/>
    <w:rsid w:val="00571213"/>
    <w:rsid w:val="00571415"/>
    <w:rsid w:val="00571804"/>
    <w:rsid w:val="00571B96"/>
    <w:rsid w:val="00572BF9"/>
    <w:rsid w:val="00573337"/>
    <w:rsid w:val="00573744"/>
    <w:rsid w:val="005737B2"/>
    <w:rsid w:val="00573930"/>
    <w:rsid w:val="0057395F"/>
    <w:rsid w:val="00573E5D"/>
    <w:rsid w:val="005740E7"/>
    <w:rsid w:val="0057433E"/>
    <w:rsid w:val="00574343"/>
    <w:rsid w:val="00574B3E"/>
    <w:rsid w:val="00574F41"/>
    <w:rsid w:val="00574F51"/>
    <w:rsid w:val="00575340"/>
    <w:rsid w:val="005755A1"/>
    <w:rsid w:val="00575A28"/>
    <w:rsid w:val="00575ECF"/>
    <w:rsid w:val="005761F5"/>
    <w:rsid w:val="005762EB"/>
    <w:rsid w:val="00576694"/>
    <w:rsid w:val="00576BDD"/>
    <w:rsid w:val="00576D15"/>
    <w:rsid w:val="005774D5"/>
    <w:rsid w:val="005776D4"/>
    <w:rsid w:val="0057772A"/>
    <w:rsid w:val="00577A10"/>
    <w:rsid w:val="00577C78"/>
    <w:rsid w:val="00577F75"/>
    <w:rsid w:val="00580242"/>
    <w:rsid w:val="0058076B"/>
    <w:rsid w:val="00580A2B"/>
    <w:rsid w:val="005815B4"/>
    <w:rsid w:val="00581622"/>
    <w:rsid w:val="00581677"/>
    <w:rsid w:val="00581A9D"/>
    <w:rsid w:val="00581F56"/>
    <w:rsid w:val="005821B8"/>
    <w:rsid w:val="0058224E"/>
    <w:rsid w:val="0058241B"/>
    <w:rsid w:val="005826FB"/>
    <w:rsid w:val="00582E9D"/>
    <w:rsid w:val="00582F29"/>
    <w:rsid w:val="0058301B"/>
    <w:rsid w:val="00583478"/>
    <w:rsid w:val="005838F9"/>
    <w:rsid w:val="00583C8D"/>
    <w:rsid w:val="00583FAB"/>
    <w:rsid w:val="005840F7"/>
    <w:rsid w:val="005846D1"/>
    <w:rsid w:val="0058474F"/>
    <w:rsid w:val="0058546D"/>
    <w:rsid w:val="005857FD"/>
    <w:rsid w:val="00585951"/>
    <w:rsid w:val="00585BE7"/>
    <w:rsid w:val="00585C9B"/>
    <w:rsid w:val="00585D8D"/>
    <w:rsid w:val="00585ECB"/>
    <w:rsid w:val="00586517"/>
    <w:rsid w:val="005865BA"/>
    <w:rsid w:val="00586832"/>
    <w:rsid w:val="00586B5C"/>
    <w:rsid w:val="00586D06"/>
    <w:rsid w:val="00586DCE"/>
    <w:rsid w:val="00586E73"/>
    <w:rsid w:val="00587160"/>
    <w:rsid w:val="00587A3A"/>
    <w:rsid w:val="00587D2C"/>
    <w:rsid w:val="00590104"/>
    <w:rsid w:val="00590588"/>
    <w:rsid w:val="00590E86"/>
    <w:rsid w:val="00591125"/>
    <w:rsid w:val="0059147A"/>
    <w:rsid w:val="00591655"/>
    <w:rsid w:val="00591749"/>
    <w:rsid w:val="00591ACA"/>
    <w:rsid w:val="0059216C"/>
    <w:rsid w:val="005922BF"/>
    <w:rsid w:val="005924BF"/>
    <w:rsid w:val="00592559"/>
    <w:rsid w:val="00592581"/>
    <w:rsid w:val="00592645"/>
    <w:rsid w:val="0059287B"/>
    <w:rsid w:val="00592CFC"/>
    <w:rsid w:val="00592F65"/>
    <w:rsid w:val="0059303B"/>
    <w:rsid w:val="0059348D"/>
    <w:rsid w:val="00593BB4"/>
    <w:rsid w:val="00593FA8"/>
    <w:rsid w:val="005940CC"/>
    <w:rsid w:val="00594120"/>
    <w:rsid w:val="0059460C"/>
    <w:rsid w:val="005946C0"/>
    <w:rsid w:val="0059472A"/>
    <w:rsid w:val="005947A1"/>
    <w:rsid w:val="00595347"/>
    <w:rsid w:val="00595878"/>
    <w:rsid w:val="00595BA4"/>
    <w:rsid w:val="00595DB8"/>
    <w:rsid w:val="005960C1"/>
    <w:rsid w:val="005960C3"/>
    <w:rsid w:val="0059617D"/>
    <w:rsid w:val="005961A1"/>
    <w:rsid w:val="00596234"/>
    <w:rsid w:val="0059660D"/>
    <w:rsid w:val="00596E34"/>
    <w:rsid w:val="005973B1"/>
    <w:rsid w:val="005975AA"/>
    <w:rsid w:val="0059773E"/>
    <w:rsid w:val="00597982"/>
    <w:rsid w:val="00597A1E"/>
    <w:rsid w:val="00597A73"/>
    <w:rsid w:val="00597D21"/>
    <w:rsid w:val="005A0C6E"/>
    <w:rsid w:val="005A0DCE"/>
    <w:rsid w:val="005A0ED3"/>
    <w:rsid w:val="005A15D9"/>
    <w:rsid w:val="005A192A"/>
    <w:rsid w:val="005A1E0C"/>
    <w:rsid w:val="005A3085"/>
    <w:rsid w:val="005A32AC"/>
    <w:rsid w:val="005A3714"/>
    <w:rsid w:val="005A3AFF"/>
    <w:rsid w:val="005A3E62"/>
    <w:rsid w:val="005A41B9"/>
    <w:rsid w:val="005A41D7"/>
    <w:rsid w:val="005A467D"/>
    <w:rsid w:val="005A505F"/>
    <w:rsid w:val="005A521A"/>
    <w:rsid w:val="005A5C45"/>
    <w:rsid w:val="005A5FB5"/>
    <w:rsid w:val="005A6158"/>
    <w:rsid w:val="005A647F"/>
    <w:rsid w:val="005A6AFB"/>
    <w:rsid w:val="005A7659"/>
    <w:rsid w:val="005A7D9E"/>
    <w:rsid w:val="005A7E85"/>
    <w:rsid w:val="005A7FF6"/>
    <w:rsid w:val="005B0256"/>
    <w:rsid w:val="005B0262"/>
    <w:rsid w:val="005B034A"/>
    <w:rsid w:val="005B0B4B"/>
    <w:rsid w:val="005B1051"/>
    <w:rsid w:val="005B122F"/>
    <w:rsid w:val="005B13BE"/>
    <w:rsid w:val="005B13CA"/>
    <w:rsid w:val="005B1430"/>
    <w:rsid w:val="005B14C6"/>
    <w:rsid w:val="005B1C55"/>
    <w:rsid w:val="005B1FC7"/>
    <w:rsid w:val="005B2156"/>
    <w:rsid w:val="005B2D84"/>
    <w:rsid w:val="005B327A"/>
    <w:rsid w:val="005B3526"/>
    <w:rsid w:val="005B36D5"/>
    <w:rsid w:val="005B3AD4"/>
    <w:rsid w:val="005B46DB"/>
    <w:rsid w:val="005B4894"/>
    <w:rsid w:val="005B4A5D"/>
    <w:rsid w:val="005B4C0F"/>
    <w:rsid w:val="005B5104"/>
    <w:rsid w:val="005B5154"/>
    <w:rsid w:val="005B564A"/>
    <w:rsid w:val="005B5FE3"/>
    <w:rsid w:val="005B6BF5"/>
    <w:rsid w:val="005B6E33"/>
    <w:rsid w:val="005B731B"/>
    <w:rsid w:val="005B740B"/>
    <w:rsid w:val="005B7B1E"/>
    <w:rsid w:val="005B7B24"/>
    <w:rsid w:val="005B7B51"/>
    <w:rsid w:val="005B7CAE"/>
    <w:rsid w:val="005B7D7E"/>
    <w:rsid w:val="005C0626"/>
    <w:rsid w:val="005C0D96"/>
    <w:rsid w:val="005C0E96"/>
    <w:rsid w:val="005C0F92"/>
    <w:rsid w:val="005C1A51"/>
    <w:rsid w:val="005C21EF"/>
    <w:rsid w:val="005C2576"/>
    <w:rsid w:val="005C2940"/>
    <w:rsid w:val="005C2DB0"/>
    <w:rsid w:val="005C2E52"/>
    <w:rsid w:val="005C2E99"/>
    <w:rsid w:val="005C2F33"/>
    <w:rsid w:val="005C3257"/>
    <w:rsid w:val="005C3B12"/>
    <w:rsid w:val="005C3C69"/>
    <w:rsid w:val="005C4256"/>
    <w:rsid w:val="005C4798"/>
    <w:rsid w:val="005C4834"/>
    <w:rsid w:val="005C4867"/>
    <w:rsid w:val="005C4899"/>
    <w:rsid w:val="005C4A24"/>
    <w:rsid w:val="005C4CC0"/>
    <w:rsid w:val="005C4EC5"/>
    <w:rsid w:val="005C50B2"/>
    <w:rsid w:val="005C527B"/>
    <w:rsid w:val="005C54CD"/>
    <w:rsid w:val="005C552C"/>
    <w:rsid w:val="005C56C8"/>
    <w:rsid w:val="005C59BA"/>
    <w:rsid w:val="005C5C57"/>
    <w:rsid w:val="005C5E46"/>
    <w:rsid w:val="005C64DC"/>
    <w:rsid w:val="005C66C8"/>
    <w:rsid w:val="005C70B2"/>
    <w:rsid w:val="005C731C"/>
    <w:rsid w:val="005C75FC"/>
    <w:rsid w:val="005C7A84"/>
    <w:rsid w:val="005C7A9C"/>
    <w:rsid w:val="005C7F08"/>
    <w:rsid w:val="005D0095"/>
    <w:rsid w:val="005D0427"/>
    <w:rsid w:val="005D09EB"/>
    <w:rsid w:val="005D0A2A"/>
    <w:rsid w:val="005D0DC4"/>
    <w:rsid w:val="005D0E02"/>
    <w:rsid w:val="005D0FA4"/>
    <w:rsid w:val="005D12F8"/>
    <w:rsid w:val="005D1446"/>
    <w:rsid w:val="005D1F4D"/>
    <w:rsid w:val="005D24CD"/>
    <w:rsid w:val="005D25CB"/>
    <w:rsid w:val="005D30FF"/>
    <w:rsid w:val="005D3158"/>
    <w:rsid w:val="005D33CE"/>
    <w:rsid w:val="005D385E"/>
    <w:rsid w:val="005D3FE6"/>
    <w:rsid w:val="005D4048"/>
    <w:rsid w:val="005D42FD"/>
    <w:rsid w:val="005D4540"/>
    <w:rsid w:val="005D4A42"/>
    <w:rsid w:val="005D4BDB"/>
    <w:rsid w:val="005D4D5A"/>
    <w:rsid w:val="005D4D6C"/>
    <w:rsid w:val="005D4EEE"/>
    <w:rsid w:val="005D54B2"/>
    <w:rsid w:val="005D56E4"/>
    <w:rsid w:val="005D575E"/>
    <w:rsid w:val="005D5D24"/>
    <w:rsid w:val="005D5F96"/>
    <w:rsid w:val="005D61B8"/>
    <w:rsid w:val="005D6309"/>
    <w:rsid w:val="005D64DC"/>
    <w:rsid w:val="005D67E2"/>
    <w:rsid w:val="005D7807"/>
    <w:rsid w:val="005D7E46"/>
    <w:rsid w:val="005D7EAB"/>
    <w:rsid w:val="005E03AA"/>
    <w:rsid w:val="005E07CE"/>
    <w:rsid w:val="005E0DE4"/>
    <w:rsid w:val="005E0E4E"/>
    <w:rsid w:val="005E12DE"/>
    <w:rsid w:val="005E16C7"/>
    <w:rsid w:val="005E1872"/>
    <w:rsid w:val="005E1874"/>
    <w:rsid w:val="005E1967"/>
    <w:rsid w:val="005E1F94"/>
    <w:rsid w:val="005E24B1"/>
    <w:rsid w:val="005E263A"/>
    <w:rsid w:val="005E2944"/>
    <w:rsid w:val="005E3465"/>
    <w:rsid w:val="005E3AF6"/>
    <w:rsid w:val="005E3DA7"/>
    <w:rsid w:val="005E3F49"/>
    <w:rsid w:val="005E4157"/>
    <w:rsid w:val="005E42C5"/>
    <w:rsid w:val="005E4390"/>
    <w:rsid w:val="005E4E2E"/>
    <w:rsid w:val="005E4E69"/>
    <w:rsid w:val="005E4FE0"/>
    <w:rsid w:val="005E51DD"/>
    <w:rsid w:val="005E51F3"/>
    <w:rsid w:val="005E529D"/>
    <w:rsid w:val="005E5B85"/>
    <w:rsid w:val="005E61CE"/>
    <w:rsid w:val="005E62B2"/>
    <w:rsid w:val="005E642A"/>
    <w:rsid w:val="005E699B"/>
    <w:rsid w:val="005E6C75"/>
    <w:rsid w:val="005E7DE3"/>
    <w:rsid w:val="005E7E65"/>
    <w:rsid w:val="005E7EB8"/>
    <w:rsid w:val="005F01B3"/>
    <w:rsid w:val="005F0248"/>
    <w:rsid w:val="005F0587"/>
    <w:rsid w:val="005F1946"/>
    <w:rsid w:val="005F1AF0"/>
    <w:rsid w:val="005F1CFA"/>
    <w:rsid w:val="005F1F1D"/>
    <w:rsid w:val="005F1FBB"/>
    <w:rsid w:val="005F202F"/>
    <w:rsid w:val="005F20B2"/>
    <w:rsid w:val="005F22C8"/>
    <w:rsid w:val="005F2662"/>
    <w:rsid w:val="005F284F"/>
    <w:rsid w:val="005F289B"/>
    <w:rsid w:val="005F2C67"/>
    <w:rsid w:val="005F339D"/>
    <w:rsid w:val="005F3510"/>
    <w:rsid w:val="005F39F8"/>
    <w:rsid w:val="005F3B9C"/>
    <w:rsid w:val="005F3DE1"/>
    <w:rsid w:val="005F43B1"/>
    <w:rsid w:val="005F46C3"/>
    <w:rsid w:val="005F46E0"/>
    <w:rsid w:val="005F4D8E"/>
    <w:rsid w:val="005F503E"/>
    <w:rsid w:val="005F5390"/>
    <w:rsid w:val="005F53F7"/>
    <w:rsid w:val="005F5BB7"/>
    <w:rsid w:val="005F5C0E"/>
    <w:rsid w:val="005F5D49"/>
    <w:rsid w:val="005F5DD2"/>
    <w:rsid w:val="005F6022"/>
    <w:rsid w:val="005F6276"/>
    <w:rsid w:val="005F6508"/>
    <w:rsid w:val="005F6634"/>
    <w:rsid w:val="005F66F4"/>
    <w:rsid w:val="005F6898"/>
    <w:rsid w:val="005F6AF6"/>
    <w:rsid w:val="005F6BD7"/>
    <w:rsid w:val="005F727C"/>
    <w:rsid w:val="005F777A"/>
    <w:rsid w:val="005F7904"/>
    <w:rsid w:val="005F7BED"/>
    <w:rsid w:val="005F7C99"/>
    <w:rsid w:val="005F7EFF"/>
    <w:rsid w:val="006000CC"/>
    <w:rsid w:val="0060023C"/>
    <w:rsid w:val="00600505"/>
    <w:rsid w:val="0060060C"/>
    <w:rsid w:val="00600B1C"/>
    <w:rsid w:val="00600C04"/>
    <w:rsid w:val="0060146A"/>
    <w:rsid w:val="00601721"/>
    <w:rsid w:val="00601878"/>
    <w:rsid w:val="00601A78"/>
    <w:rsid w:val="00601F59"/>
    <w:rsid w:val="006021D8"/>
    <w:rsid w:val="0060253F"/>
    <w:rsid w:val="00602ABC"/>
    <w:rsid w:val="00602B85"/>
    <w:rsid w:val="0060319D"/>
    <w:rsid w:val="006039FF"/>
    <w:rsid w:val="00603D0D"/>
    <w:rsid w:val="0060403B"/>
    <w:rsid w:val="00604335"/>
    <w:rsid w:val="00604896"/>
    <w:rsid w:val="00605173"/>
    <w:rsid w:val="00605743"/>
    <w:rsid w:val="0060591D"/>
    <w:rsid w:val="00605A3A"/>
    <w:rsid w:val="00605EBB"/>
    <w:rsid w:val="00606137"/>
    <w:rsid w:val="00606386"/>
    <w:rsid w:val="00606549"/>
    <w:rsid w:val="006067A4"/>
    <w:rsid w:val="00606B7D"/>
    <w:rsid w:val="00606C5E"/>
    <w:rsid w:val="00606D13"/>
    <w:rsid w:val="006071A1"/>
    <w:rsid w:val="006072D1"/>
    <w:rsid w:val="00607400"/>
    <w:rsid w:val="0060788B"/>
    <w:rsid w:val="00607974"/>
    <w:rsid w:val="0060798F"/>
    <w:rsid w:val="00610014"/>
    <w:rsid w:val="00610250"/>
    <w:rsid w:val="0061027B"/>
    <w:rsid w:val="00610460"/>
    <w:rsid w:val="00610DDE"/>
    <w:rsid w:val="00611185"/>
    <w:rsid w:val="00611248"/>
    <w:rsid w:val="00611AED"/>
    <w:rsid w:val="00611BDA"/>
    <w:rsid w:val="006120ED"/>
    <w:rsid w:val="00612266"/>
    <w:rsid w:val="00612593"/>
    <w:rsid w:val="00612A04"/>
    <w:rsid w:val="00612A84"/>
    <w:rsid w:val="00612E47"/>
    <w:rsid w:val="00612FE0"/>
    <w:rsid w:val="00613965"/>
    <w:rsid w:val="00613C9D"/>
    <w:rsid w:val="00613D23"/>
    <w:rsid w:val="00614015"/>
    <w:rsid w:val="0061438B"/>
    <w:rsid w:val="00614446"/>
    <w:rsid w:val="006147EA"/>
    <w:rsid w:val="00614822"/>
    <w:rsid w:val="00614D9F"/>
    <w:rsid w:val="00614ED9"/>
    <w:rsid w:val="00614F22"/>
    <w:rsid w:val="0061543F"/>
    <w:rsid w:val="0061570D"/>
    <w:rsid w:val="00616440"/>
    <w:rsid w:val="006168EE"/>
    <w:rsid w:val="00616B95"/>
    <w:rsid w:val="00616C80"/>
    <w:rsid w:val="00616FBC"/>
    <w:rsid w:val="00617142"/>
    <w:rsid w:val="00617254"/>
    <w:rsid w:val="006174BF"/>
    <w:rsid w:val="006174C0"/>
    <w:rsid w:val="006174FF"/>
    <w:rsid w:val="0061756A"/>
    <w:rsid w:val="0061791F"/>
    <w:rsid w:val="00617A2D"/>
    <w:rsid w:val="006206A6"/>
    <w:rsid w:val="00620B2B"/>
    <w:rsid w:val="0062115B"/>
    <w:rsid w:val="006212DB"/>
    <w:rsid w:val="00621308"/>
    <w:rsid w:val="00621600"/>
    <w:rsid w:val="00621623"/>
    <w:rsid w:val="00621986"/>
    <w:rsid w:val="00621F02"/>
    <w:rsid w:val="00622113"/>
    <w:rsid w:val="00622255"/>
    <w:rsid w:val="006223D5"/>
    <w:rsid w:val="006225C6"/>
    <w:rsid w:val="006228E1"/>
    <w:rsid w:val="00622D5B"/>
    <w:rsid w:val="0062343C"/>
    <w:rsid w:val="006238EE"/>
    <w:rsid w:val="00623AEF"/>
    <w:rsid w:val="00623B0C"/>
    <w:rsid w:val="00623E9D"/>
    <w:rsid w:val="00624699"/>
    <w:rsid w:val="00624EE8"/>
    <w:rsid w:val="006251A7"/>
    <w:rsid w:val="006266B8"/>
    <w:rsid w:val="0062687D"/>
    <w:rsid w:val="006269A7"/>
    <w:rsid w:val="00626A05"/>
    <w:rsid w:val="00626A09"/>
    <w:rsid w:val="00626AEC"/>
    <w:rsid w:val="00626F59"/>
    <w:rsid w:val="00627127"/>
    <w:rsid w:val="00627172"/>
    <w:rsid w:val="0062781E"/>
    <w:rsid w:val="00627BAB"/>
    <w:rsid w:val="00627C4D"/>
    <w:rsid w:val="00627F0F"/>
    <w:rsid w:val="0063002F"/>
    <w:rsid w:val="006301BC"/>
    <w:rsid w:val="0063020B"/>
    <w:rsid w:val="00630312"/>
    <w:rsid w:val="0063048E"/>
    <w:rsid w:val="00630524"/>
    <w:rsid w:val="006307B0"/>
    <w:rsid w:val="00630A86"/>
    <w:rsid w:val="00630B2A"/>
    <w:rsid w:val="00630C66"/>
    <w:rsid w:val="00630D51"/>
    <w:rsid w:val="00630D87"/>
    <w:rsid w:val="00630DD6"/>
    <w:rsid w:val="00630DE4"/>
    <w:rsid w:val="006316BA"/>
    <w:rsid w:val="00631846"/>
    <w:rsid w:val="006319BA"/>
    <w:rsid w:val="006319F3"/>
    <w:rsid w:val="00631A72"/>
    <w:rsid w:val="00631ACD"/>
    <w:rsid w:val="00631EFA"/>
    <w:rsid w:val="00631F92"/>
    <w:rsid w:val="006323AF"/>
    <w:rsid w:val="006326F6"/>
    <w:rsid w:val="006328BB"/>
    <w:rsid w:val="00632B98"/>
    <w:rsid w:val="00633365"/>
    <w:rsid w:val="006333B7"/>
    <w:rsid w:val="006339FA"/>
    <w:rsid w:val="00633D52"/>
    <w:rsid w:val="00634AA2"/>
    <w:rsid w:val="006351DB"/>
    <w:rsid w:val="0063522B"/>
    <w:rsid w:val="00635282"/>
    <w:rsid w:val="0063529D"/>
    <w:rsid w:val="00635D7C"/>
    <w:rsid w:val="00635E28"/>
    <w:rsid w:val="00635EED"/>
    <w:rsid w:val="00635FA9"/>
    <w:rsid w:val="00635FAA"/>
    <w:rsid w:val="00636315"/>
    <w:rsid w:val="00636C0E"/>
    <w:rsid w:val="0063729E"/>
    <w:rsid w:val="006372F0"/>
    <w:rsid w:val="006372F9"/>
    <w:rsid w:val="00637438"/>
    <w:rsid w:val="00637B05"/>
    <w:rsid w:val="00637C2D"/>
    <w:rsid w:val="00640071"/>
    <w:rsid w:val="00640420"/>
    <w:rsid w:val="00640473"/>
    <w:rsid w:val="00640538"/>
    <w:rsid w:val="00640C61"/>
    <w:rsid w:val="00641153"/>
    <w:rsid w:val="00641283"/>
    <w:rsid w:val="006418E1"/>
    <w:rsid w:val="0064238D"/>
    <w:rsid w:val="00642558"/>
    <w:rsid w:val="006428CF"/>
    <w:rsid w:val="00642D41"/>
    <w:rsid w:val="00642F94"/>
    <w:rsid w:val="006431AA"/>
    <w:rsid w:val="00643F31"/>
    <w:rsid w:val="00643F6E"/>
    <w:rsid w:val="006443A6"/>
    <w:rsid w:val="006447E0"/>
    <w:rsid w:val="006448B9"/>
    <w:rsid w:val="00644E69"/>
    <w:rsid w:val="00644F28"/>
    <w:rsid w:val="00645224"/>
    <w:rsid w:val="00645485"/>
    <w:rsid w:val="0064585C"/>
    <w:rsid w:val="006461B7"/>
    <w:rsid w:val="006466C8"/>
    <w:rsid w:val="006467AC"/>
    <w:rsid w:val="00646D8F"/>
    <w:rsid w:val="00646ED4"/>
    <w:rsid w:val="00646F4D"/>
    <w:rsid w:val="00646F99"/>
    <w:rsid w:val="00646FE5"/>
    <w:rsid w:val="00646FFA"/>
    <w:rsid w:val="00647329"/>
    <w:rsid w:val="00647539"/>
    <w:rsid w:val="006476C8"/>
    <w:rsid w:val="00650A05"/>
    <w:rsid w:val="00650BDE"/>
    <w:rsid w:val="00650E73"/>
    <w:rsid w:val="00650ECB"/>
    <w:rsid w:val="00651449"/>
    <w:rsid w:val="0065169D"/>
    <w:rsid w:val="006519D5"/>
    <w:rsid w:val="00651B28"/>
    <w:rsid w:val="00651D78"/>
    <w:rsid w:val="00651E0E"/>
    <w:rsid w:val="00652152"/>
    <w:rsid w:val="00652260"/>
    <w:rsid w:val="006522A9"/>
    <w:rsid w:val="0065274A"/>
    <w:rsid w:val="006529F6"/>
    <w:rsid w:val="00652A58"/>
    <w:rsid w:val="00652C05"/>
    <w:rsid w:val="00652DD3"/>
    <w:rsid w:val="006535B5"/>
    <w:rsid w:val="00653BE0"/>
    <w:rsid w:val="00653CBC"/>
    <w:rsid w:val="00653D03"/>
    <w:rsid w:val="00653DDB"/>
    <w:rsid w:val="00654232"/>
    <w:rsid w:val="00654683"/>
    <w:rsid w:val="0065554B"/>
    <w:rsid w:val="006556F7"/>
    <w:rsid w:val="00655E47"/>
    <w:rsid w:val="00655F17"/>
    <w:rsid w:val="00656729"/>
    <w:rsid w:val="00656967"/>
    <w:rsid w:val="00656BC6"/>
    <w:rsid w:val="00656C21"/>
    <w:rsid w:val="00656E5B"/>
    <w:rsid w:val="00656F78"/>
    <w:rsid w:val="006574D3"/>
    <w:rsid w:val="006577D0"/>
    <w:rsid w:val="00657D71"/>
    <w:rsid w:val="00657E09"/>
    <w:rsid w:val="00657F72"/>
    <w:rsid w:val="0066031C"/>
    <w:rsid w:val="0066088E"/>
    <w:rsid w:val="00660A86"/>
    <w:rsid w:val="00660EB1"/>
    <w:rsid w:val="0066189C"/>
    <w:rsid w:val="00661D8E"/>
    <w:rsid w:val="00662005"/>
    <w:rsid w:val="006620AB"/>
    <w:rsid w:val="00662510"/>
    <w:rsid w:val="00662735"/>
    <w:rsid w:val="006628A9"/>
    <w:rsid w:val="00662AFF"/>
    <w:rsid w:val="00662C6E"/>
    <w:rsid w:val="00662DC4"/>
    <w:rsid w:val="00662E7B"/>
    <w:rsid w:val="00662FFD"/>
    <w:rsid w:val="006632E0"/>
    <w:rsid w:val="0066344D"/>
    <w:rsid w:val="006639B9"/>
    <w:rsid w:val="00663B15"/>
    <w:rsid w:val="00663D34"/>
    <w:rsid w:val="0066431A"/>
    <w:rsid w:val="006643E6"/>
    <w:rsid w:val="00665346"/>
    <w:rsid w:val="00665650"/>
    <w:rsid w:val="006656E4"/>
    <w:rsid w:val="0066570D"/>
    <w:rsid w:val="00665B7E"/>
    <w:rsid w:val="00665D34"/>
    <w:rsid w:val="00665D75"/>
    <w:rsid w:val="006661A8"/>
    <w:rsid w:val="0066635A"/>
    <w:rsid w:val="006664DE"/>
    <w:rsid w:val="0066669D"/>
    <w:rsid w:val="00666B7F"/>
    <w:rsid w:val="00666E3E"/>
    <w:rsid w:val="00666EA9"/>
    <w:rsid w:val="00667187"/>
    <w:rsid w:val="006672F5"/>
    <w:rsid w:val="0066731A"/>
    <w:rsid w:val="006673B4"/>
    <w:rsid w:val="006673F6"/>
    <w:rsid w:val="00667410"/>
    <w:rsid w:val="00667517"/>
    <w:rsid w:val="00667866"/>
    <w:rsid w:val="00667B46"/>
    <w:rsid w:val="00670253"/>
    <w:rsid w:val="00670384"/>
    <w:rsid w:val="00670617"/>
    <w:rsid w:val="00670745"/>
    <w:rsid w:val="00670975"/>
    <w:rsid w:val="00670D75"/>
    <w:rsid w:val="006711C6"/>
    <w:rsid w:val="006715CE"/>
    <w:rsid w:val="00671809"/>
    <w:rsid w:val="00671821"/>
    <w:rsid w:val="00671A7A"/>
    <w:rsid w:val="00671F1E"/>
    <w:rsid w:val="00671F97"/>
    <w:rsid w:val="00672011"/>
    <w:rsid w:val="00672084"/>
    <w:rsid w:val="00672086"/>
    <w:rsid w:val="0067225A"/>
    <w:rsid w:val="00672457"/>
    <w:rsid w:val="0067272E"/>
    <w:rsid w:val="0067277E"/>
    <w:rsid w:val="006728A8"/>
    <w:rsid w:val="006728C6"/>
    <w:rsid w:val="006729EE"/>
    <w:rsid w:val="00672CDE"/>
    <w:rsid w:val="006740B6"/>
    <w:rsid w:val="006741C6"/>
    <w:rsid w:val="00674A60"/>
    <w:rsid w:val="00674B45"/>
    <w:rsid w:val="006752F3"/>
    <w:rsid w:val="00675791"/>
    <w:rsid w:val="006758A8"/>
    <w:rsid w:val="00675EDC"/>
    <w:rsid w:val="00676352"/>
    <w:rsid w:val="00676899"/>
    <w:rsid w:val="00676BB2"/>
    <w:rsid w:val="00676CF0"/>
    <w:rsid w:val="00676E03"/>
    <w:rsid w:val="00676FD2"/>
    <w:rsid w:val="00677092"/>
    <w:rsid w:val="00677BCB"/>
    <w:rsid w:val="006802B6"/>
    <w:rsid w:val="00680366"/>
    <w:rsid w:val="006807E1"/>
    <w:rsid w:val="00680A3A"/>
    <w:rsid w:val="00680AEE"/>
    <w:rsid w:val="00680FB6"/>
    <w:rsid w:val="006810A2"/>
    <w:rsid w:val="00681817"/>
    <w:rsid w:val="006819AB"/>
    <w:rsid w:val="006820AB"/>
    <w:rsid w:val="006824D4"/>
    <w:rsid w:val="006828A6"/>
    <w:rsid w:val="0068299F"/>
    <w:rsid w:val="00682B36"/>
    <w:rsid w:val="00683472"/>
    <w:rsid w:val="00683B48"/>
    <w:rsid w:val="006848BB"/>
    <w:rsid w:val="006849B5"/>
    <w:rsid w:val="00685063"/>
    <w:rsid w:val="0068568A"/>
    <w:rsid w:val="00685AFA"/>
    <w:rsid w:val="00685E38"/>
    <w:rsid w:val="0068605D"/>
    <w:rsid w:val="006860AC"/>
    <w:rsid w:val="00686420"/>
    <w:rsid w:val="00686681"/>
    <w:rsid w:val="0068670C"/>
    <w:rsid w:val="0068725A"/>
    <w:rsid w:val="006874E0"/>
    <w:rsid w:val="006876D4"/>
    <w:rsid w:val="00687B5F"/>
    <w:rsid w:val="00687BAF"/>
    <w:rsid w:val="0069037D"/>
    <w:rsid w:val="00690A51"/>
    <w:rsid w:val="00691008"/>
    <w:rsid w:val="00691068"/>
    <w:rsid w:val="006910F8"/>
    <w:rsid w:val="006916EB"/>
    <w:rsid w:val="006917D7"/>
    <w:rsid w:val="00691D5E"/>
    <w:rsid w:val="00691F43"/>
    <w:rsid w:val="00691F65"/>
    <w:rsid w:val="006921E6"/>
    <w:rsid w:val="00692958"/>
    <w:rsid w:val="00692E7A"/>
    <w:rsid w:val="006934E2"/>
    <w:rsid w:val="00693879"/>
    <w:rsid w:val="00693AC6"/>
    <w:rsid w:val="0069440D"/>
    <w:rsid w:val="006950CD"/>
    <w:rsid w:val="00695305"/>
    <w:rsid w:val="006953C4"/>
    <w:rsid w:val="00695418"/>
    <w:rsid w:val="00695758"/>
    <w:rsid w:val="00695AB1"/>
    <w:rsid w:val="0069631C"/>
    <w:rsid w:val="0069678C"/>
    <w:rsid w:val="00696CB6"/>
    <w:rsid w:val="00696FE4"/>
    <w:rsid w:val="00697019"/>
    <w:rsid w:val="0069758B"/>
    <w:rsid w:val="006976BF"/>
    <w:rsid w:val="006979CD"/>
    <w:rsid w:val="006979E6"/>
    <w:rsid w:val="006A00DB"/>
    <w:rsid w:val="006A02D2"/>
    <w:rsid w:val="006A0464"/>
    <w:rsid w:val="006A082A"/>
    <w:rsid w:val="006A0D7A"/>
    <w:rsid w:val="006A0E1D"/>
    <w:rsid w:val="006A1169"/>
    <w:rsid w:val="006A132C"/>
    <w:rsid w:val="006A13AA"/>
    <w:rsid w:val="006A16FF"/>
    <w:rsid w:val="006A1818"/>
    <w:rsid w:val="006A1E2E"/>
    <w:rsid w:val="006A1F96"/>
    <w:rsid w:val="006A2394"/>
    <w:rsid w:val="006A27A9"/>
    <w:rsid w:val="006A2934"/>
    <w:rsid w:val="006A2C62"/>
    <w:rsid w:val="006A2FEB"/>
    <w:rsid w:val="006A340E"/>
    <w:rsid w:val="006A3A0A"/>
    <w:rsid w:val="006A3C9C"/>
    <w:rsid w:val="006A42D3"/>
    <w:rsid w:val="006A4511"/>
    <w:rsid w:val="006A46C2"/>
    <w:rsid w:val="006A542E"/>
    <w:rsid w:val="006A55C4"/>
    <w:rsid w:val="006A577E"/>
    <w:rsid w:val="006A57A9"/>
    <w:rsid w:val="006A5984"/>
    <w:rsid w:val="006A5BD9"/>
    <w:rsid w:val="006A610D"/>
    <w:rsid w:val="006A6B1C"/>
    <w:rsid w:val="006A6C22"/>
    <w:rsid w:val="006A74F9"/>
    <w:rsid w:val="006A781C"/>
    <w:rsid w:val="006A7B9F"/>
    <w:rsid w:val="006A7D13"/>
    <w:rsid w:val="006A7E77"/>
    <w:rsid w:val="006A7F09"/>
    <w:rsid w:val="006B01B0"/>
    <w:rsid w:val="006B0200"/>
    <w:rsid w:val="006B0228"/>
    <w:rsid w:val="006B04D6"/>
    <w:rsid w:val="006B04F8"/>
    <w:rsid w:val="006B0A2C"/>
    <w:rsid w:val="006B0BD4"/>
    <w:rsid w:val="006B0C57"/>
    <w:rsid w:val="006B0CED"/>
    <w:rsid w:val="006B0FC3"/>
    <w:rsid w:val="006B109C"/>
    <w:rsid w:val="006B113B"/>
    <w:rsid w:val="006B1C81"/>
    <w:rsid w:val="006B1F53"/>
    <w:rsid w:val="006B21ED"/>
    <w:rsid w:val="006B22DD"/>
    <w:rsid w:val="006B259B"/>
    <w:rsid w:val="006B2751"/>
    <w:rsid w:val="006B2C8C"/>
    <w:rsid w:val="006B32F2"/>
    <w:rsid w:val="006B35BC"/>
    <w:rsid w:val="006B38E8"/>
    <w:rsid w:val="006B3C45"/>
    <w:rsid w:val="006B4140"/>
    <w:rsid w:val="006B4423"/>
    <w:rsid w:val="006B4873"/>
    <w:rsid w:val="006B49E2"/>
    <w:rsid w:val="006B52E0"/>
    <w:rsid w:val="006B5A3A"/>
    <w:rsid w:val="006B5E66"/>
    <w:rsid w:val="006B62CA"/>
    <w:rsid w:val="006B656B"/>
    <w:rsid w:val="006B6843"/>
    <w:rsid w:val="006B6ABE"/>
    <w:rsid w:val="006B6AFE"/>
    <w:rsid w:val="006B7AE9"/>
    <w:rsid w:val="006B7AF9"/>
    <w:rsid w:val="006B7BE3"/>
    <w:rsid w:val="006B7E55"/>
    <w:rsid w:val="006B7F22"/>
    <w:rsid w:val="006C00FB"/>
    <w:rsid w:val="006C01C7"/>
    <w:rsid w:val="006C04FC"/>
    <w:rsid w:val="006C0946"/>
    <w:rsid w:val="006C0AEA"/>
    <w:rsid w:val="006C0C63"/>
    <w:rsid w:val="006C0C77"/>
    <w:rsid w:val="006C14FE"/>
    <w:rsid w:val="006C1715"/>
    <w:rsid w:val="006C1A85"/>
    <w:rsid w:val="006C1E5F"/>
    <w:rsid w:val="006C1FFD"/>
    <w:rsid w:val="006C226F"/>
    <w:rsid w:val="006C3032"/>
    <w:rsid w:val="006C3452"/>
    <w:rsid w:val="006C361F"/>
    <w:rsid w:val="006C3B6C"/>
    <w:rsid w:val="006C3FAB"/>
    <w:rsid w:val="006C4529"/>
    <w:rsid w:val="006C461D"/>
    <w:rsid w:val="006C499F"/>
    <w:rsid w:val="006C4C05"/>
    <w:rsid w:val="006C4F24"/>
    <w:rsid w:val="006C5143"/>
    <w:rsid w:val="006C5337"/>
    <w:rsid w:val="006C536D"/>
    <w:rsid w:val="006C56F0"/>
    <w:rsid w:val="006C6358"/>
    <w:rsid w:val="006C7882"/>
    <w:rsid w:val="006C793D"/>
    <w:rsid w:val="006D01DC"/>
    <w:rsid w:val="006D0289"/>
    <w:rsid w:val="006D059C"/>
    <w:rsid w:val="006D07BA"/>
    <w:rsid w:val="006D0AA3"/>
    <w:rsid w:val="006D0CAD"/>
    <w:rsid w:val="006D1524"/>
    <w:rsid w:val="006D1548"/>
    <w:rsid w:val="006D201B"/>
    <w:rsid w:val="006D207F"/>
    <w:rsid w:val="006D23A7"/>
    <w:rsid w:val="006D2461"/>
    <w:rsid w:val="006D25DF"/>
    <w:rsid w:val="006D2D86"/>
    <w:rsid w:val="006D307D"/>
    <w:rsid w:val="006D33A0"/>
    <w:rsid w:val="006D37FC"/>
    <w:rsid w:val="006D3840"/>
    <w:rsid w:val="006D386D"/>
    <w:rsid w:val="006D3C68"/>
    <w:rsid w:val="006D43D6"/>
    <w:rsid w:val="006D4A73"/>
    <w:rsid w:val="006D4B2D"/>
    <w:rsid w:val="006D4BE4"/>
    <w:rsid w:val="006D4F00"/>
    <w:rsid w:val="006D5052"/>
    <w:rsid w:val="006D5159"/>
    <w:rsid w:val="006D51E7"/>
    <w:rsid w:val="006D541A"/>
    <w:rsid w:val="006D5FDD"/>
    <w:rsid w:val="006D610C"/>
    <w:rsid w:val="006D61D6"/>
    <w:rsid w:val="006D61E8"/>
    <w:rsid w:val="006D6243"/>
    <w:rsid w:val="006D62DB"/>
    <w:rsid w:val="006D678E"/>
    <w:rsid w:val="006D6963"/>
    <w:rsid w:val="006D6B35"/>
    <w:rsid w:val="006D7372"/>
    <w:rsid w:val="006D739A"/>
    <w:rsid w:val="006D75E1"/>
    <w:rsid w:val="006D7820"/>
    <w:rsid w:val="006D7CC5"/>
    <w:rsid w:val="006E0638"/>
    <w:rsid w:val="006E0845"/>
    <w:rsid w:val="006E099C"/>
    <w:rsid w:val="006E133E"/>
    <w:rsid w:val="006E14CA"/>
    <w:rsid w:val="006E1732"/>
    <w:rsid w:val="006E24DD"/>
    <w:rsid w:val="006E2814"/>
    <w:rsid w:val="006E282E"/>
    <w:rsid w:val="006E2A54"/>
    <w:rsid w:val="006E2DED"/>
    <w:rsid w:val="006E2EEE"/>
    <w:rsid w:val="006E2FA8"/>
    <w:rsid w:val="006E313F"/>
    <w:rsid w:val="006E34C4"/>
    <w:rsid w:val="006E3922"/>
    <w:rsid w:val="006E3A97"/>
    <w:rsid w:val="006E3AB8"/>
    <w:rsid w:val="006E4189"/>
    <w:rsid w:val="006E43B3"/>
    <w:rsid w:val="006E4473"/>
    <w:rsid w:val="006E466B"/>
    <w:rsid w:val="006E4794"/>
    <w:rsid w:val="006E4ABF"/>
    <w:rsid w:val="006E5186"/>
    <w:rsid w:val="006E5349"/>
    <w:rsid w:val="006E5574"/>
    <w:rsid w:val="006E57EF"/>
    <w:rsid w:val="006E59B0"/>
    <w:rsid w:val="006E59E5"/>
    <w:rsid w:val="006E5A68"/>
    <w:rsid w:val="006E5CED"/>
    <w:rsid w:val="006E604E"/>
    <w:rsid w:val="006E613D"/>
    <w:rsid w:val="006E66A6"/>
    <w:rsid w:val="006E67F4"/>
    <w:rsid w:val="006E6AF1"/>
    <w:rsid w:val="006E6E6C"/>
    <w:rsid w:val="006E747F"/>
    <w:rsid w:val="006E7652"/>
    <w:rsid w:val="006E7770"/>
    <w:rsid w:val="006E78B3"/>
    <w:rsid w:val="006E7D37"/>
    <w:rsid w:val="006E7D3E"/>
    <w:rsid w:val="006E7E91"/>
    <w:rsid w:val="006E7F41"/>
    <w:rsid w:val="006E7FAD"/>
    <w:rsid w:val="006F011F"/>
    <w:rsid w:val="006F051B"/>
    <w:rsid w:val="006F07AA"/>
    <w:rsid w:val="006F098A"/>
    <w:rsid w:val="006F0FBF"/>
    <w:rsid w:val="006F1429"/>
    <w:rsid w:val="006F1852"/>
    <w:rsid w:val="006F18D4"/>
    <w:rsid w:val="006F1A62"/>
    <w:rsid w:val="006F20C4"/>
    <w:rsid w:val="006F23FD"/>
    <w:rsid w:val="006F242F"/>
    <w:rsid w:val="006F2438"/>
    <w:rsid w:val="006F250D"/>
    <w:rsid w:val="006F28DA"/>
    <w:rsid w:val="006F2D33"/>
    <w:rsid w:val="006F307A"/>
    <w:rsid w:val="006F3281"/>
    <w:rsid w:val="006F357E"/>
    <w:rsid w:val="006F36F7"/>
    <w:rsid w:val="006F3CC9"/>
    <w:rsid w:val="006F3D8C"/>
    <w:rsid w:val="006F3DD2"/>
    <w:rsid w:val="006F40B8"/>
    <w:rsid w:val="006F421C"/>
    <w:rsid w:val="006F4DBB"/>
    <w:rsid w:val="006F5143"/>
    <w:rsid w:val="006F5478"/>
    <w:rsid w:val="006F58A8"/>
    <w:rsid w:val="006F5A16"/>
    <w:rsid w:val="006F5A9B"/>
    <w:rsid w:val="006F5DFA"/>
    <w:rsid w:val="006F5F0C"/>
    <w:rsid w:val="006F64E9"/>
    <w:rsid w:val="006F66EF"/>
    <w:rsid w:val="006F670E"/>
    <w:rsid w:val="006F682F"/>
    <w:rsid w:val="006F6E47"/>
    <w:rsid w:val="006F7156"/>
    <w:rsid w:val="006F76B6"/>
    <w:rsid w:val="006F781D"/>
    <w:rsid w:val="006F7CDB"/>
    <w:rsid w:val="007004F4"/>
    <w:rsid w:val="00700862"/>
    <w:rsid w:val="00700B22"/>
    <w:rsid w:val="00700BEA"/>
    <w:rsid w:val="00700D76"/>
    <w:rsid w:val="00701158"/>
    <w:rsid w:val="00701E3D"/>
    <w:rsid w:val="00701F36"/>
    <w:rsid w:val="00702232"/>
    <w:rsid w:val="00702CDC"/>
    <w:rsid w:val="00702FDB"/>
    <w:rsid w:val="00703054"/>
    <w:rsid w:val="007030CC"/>
    <w:rsid w:val="00703208"/>
    <w:rsid w:val="007032F7"/>
    <w:rsid w:val="007034D8"/>
    <w:rsid w:val="0070351D"/>
    <w:rsid w:val="00703A5A"/>
    <w:rsid w:val="00703F94"/>
    <w:rsid w:val="00704158"/>
    <w:rsid w:val="00704214"/>
    <w:rsid w:val="00704226"/>
    <w:rsid w:val="00704437"/>
    <w:rsid w:val="007044AF"/>
    <w:rsid w:val="0070477B"/>
    <w:rsid w:val="007048A8"/>
    <w:rsid w:val="00704C8D"/>
    <w:rsid w:val="00704CE4"/>
    <w:rsid w:val="00704EE9"/>
    <w:rsid w:val="007056C5"/>
    <w:rsid w:val="007064C3"/>
    <w:rsid w:val="007064F5"/>
    <w:rsid w:val="00706576"/>
    <w:rsid w:val="0070664D"/>
    <w:rsid w:val="00707F6C"/>
    <w:rsid w:val="00710039"/>
    <w:rsid w:val="00710760"/>
    <w:rsid w:val="00710C04"/>
    <w:rsid w:val="007114A0"/>
    <w:rsid w:val="0071221B"/>
    <w:rsid w:val="00712409"/>
    <w:rsid w:val="0071281A"/>
    <w:rsid w:val="00712912"/>
    <w:rsid w:val="007129AD"/>
    <w:rsid w:val="00712ACE"/>
    <w:rsid w:val="00712C17"/>
    <w:rsid w:val="00712DDD"/>
    <w:rsid w:val="0071345C"/>
    <w:rsid w:val="007135BF"/>
    <w:rsid w:val="007139F9"/>
    <w:rsid w:val="00713A90"/>
    <w:rsid w:val="00713D32"/>
    <w:rsid w:val="00713E72"/>
    <w:rsid w:val="00713F55"/>
    <w:rsid w:val="00713F98"/>
    <w:rsid w:val="007140A5"/>
    <w:rsid w:val="007143C8"/>
    <w:rsid w:val="00714491"/>
    <w:rsid w:val="007146D3"/>
    <w:rsid w:val="00714BBA"/>
    <w:rsid w:val="00714D97"/>
    <w:rsid w:val="00714EFD"/>
    <w:rsid w:val="00714FED"/>
    <w:rsid w:val="007157C3"/>
    <w:rsid w:val="00715832"/>
    <w:rsid w:val="007162C1"/>
    <w:rsid w:val="00716452"/>
    <w:rsid w:val="0071650F"/>
    <w:rsid w:val="0071687A"/>
    <w:rsid w:val="007168A8"/>
    <w:rsid w:val="007169DA"/>
    <w:rsid w:val="00716A84"/>
    <w:rsid w:val="007171A0"/>
    <w:rsid w:val="00717502"/>
    <w:rsid w:val="007176B8"/>
    <w:rsid w:val="00717C1F"/>
    <w:rsid w:val="00717FE7"/>
    <w:rsid w:val="007200B4"/>
    <w:rsid w:val="007203CC"/>
    <w:rsid w:val="007205A8"/>
    <w:rsid w:val="007205FC"/>
    <w:rsid w:val="0072084A"/>
    <w:rsid w:val="00720ED2"/>
    <w:rsid w:val="007210E0"/>
    <w:rsid w:val="00721110"/>
    <w:rsid w:val="00721185"/>
    <w:rsid w:val="0072165C"/>
    <w:rsid w:val="00721764"/>
    <w:rsid w:val="00721D56"/>
    <w:rsid w:val="00721D66"/>
    <w:rsid w:val="00722053"/>
    <w:rsid w:val="007222F9"/>
    <w:rsid w:val="007224AE"/>
    <w:rsid w:val="007224F5"/>
    <w:rsid w:val="00722AB5"/>
    <w:rsid w:val="00722DBB"/>
    <w:rsid w:val="0072364F"/>
    <w:rsid w:val="0072396C"/>
    <w:rsid w:val="00723C08"/>
    <w:rsid w:val="00723F31"/>
    <w:rsid w:val="00724136"/>
    <w:rsid w:val="0072436F"/>
    <w:rsid w:val="00724376"/>
    <w:rsid w:val="0072447D"/>
    <w:rsid w:val="007247EA"/>
    <w:rsid w:val="007249C5"/>
    <w:rsid w:val="00724E48"/>
    <w:rsid w:val="00724E65"/>
    <w:rsid w:val="00724ECA"/>
    <w:rsid w:val="00724EEF"/>
    <w:rsid w:val="0072521D"/>
    <w:rsid w:val="00725785"/>
    <w:rsid w:val="0072686B"/>
    <w:rsid w:val="007268A4"/>
    <w:rsid w:val="00726F6A"/>
    <w:rsid w:val="00727313"/>
    <w:rsid w:val="007275FB"/>
    <w:rsid w:val="00727748"/>
    <w:rsid w:val="00727A1F"/>
    <w:rsid w:val="00727D66"/>
    <w:rsid w:val="007303E2"/>
    <w:rsid w:val="00730B4D"/>
    <w:rsid w:val="00730BA1"/>
    <w:rsid w:val="007317CD"/>
    <w:rsid w:val="00731A09"/>
    <w:rsid w:val="00731CC4"/>
    <w:rsid w:val="00731E73"/>
    <w:rsid w:val="00731FD3"/>
    <w:rsid w:val="00731FEF"/>
    <w:rsid w:val="00732184"/>
    <w:rsid w:val="00732292"/>
    <w:rsid w:val="007323D7"/>
    <w:rsid w:val="00732A06"/>
    <w:rsid w:val="00732A80"/>
    <w:rsid w:val="00732F2D"/>
    <w:rsid w:val="007339EF"/>
    <w:rsid w:val="00733DE0"/>
    <w:rsid w:val="00733E02"/>
    <w:rsid w:val="0073407B"/>
    <w:rsid w:val="00734844"/>
    <w:rsid w:val="0073496E"/>
    <w:rsid w:val="00734C06"/>
    <w:rsid w:val="00734C17"/>
    <w:rsid w:val="00734F8E"/>
    <w:rsid w:val="007350B7"/>
    <w:rsid w:val="007352E2"/>
    <w:rsid w:val="00735828"/>
    <w:rsid w:val="00735C17"/>
    <w:rsid w:val="0073613C"/>
    <w:rsid w:val="00736352"/>
    <w:rsid w:val="00736441"/>
    <w:rsid w:val="00736609"/>
    <w:rsid w:val="00736A99"/>
    <w:rsid w:val="00736D64"/>
    <w:rsid w:val="00736FBC"/>
    <w:rsid w:val="0073724E"/>
    <w:rsid w:val="007377FA"/>
    <w:rsid w:val="00737B0C"/>
    <w:rsid w:val="00737E3F"/>
    <w:rsid w:val="007400A0"/>
    <w:rsid w:val="00740441"/>
    <w:rsid w:val="00740474"/>
    <w:rsid w:val="0074070D"/>
    <w:rsid w:val="00740A53"/>
    <w:rsid w:val="00740FE2"/>
    <w:rsid w:val="0074131F"/>
    <w:rsid w:val="007413E2"/>
    <w:rsid w:val="007414A5"/>
    <w:rsid w:val="00741EFB"/>
    <w:rsid w:val="00741FFC"/>
    <w:rsid w:val="007429EA"/>
    <w:rsid w:val="00742A57"/>
    <w:rsid w:val="00742AEC"/>
    <w:rsid w:val="00742B1A"/>
    <w:rsid w:val="0074315A"/>
    <w:rsid w:val="00743301"/>
    <w:rsid w:val="00743BCC"/>
    <w:rsid w:val="00743CA1"/>
    <w:rsid w:val="00744040"/>
    <w:rsid w:val="0074478F"/>
    <w:rsid w:val="007447A4"/>
    <w:rsid w:val="00744829"/>
    <w:rsid w:val="00744D6C"/>
    <w:rsid w:val="0074585B"/>
    <w:rsid w:val="0074586C"/>
    <w:rsid w:val="007458C3"/>
    <w:rsid w:val="00745959"/>
    <w:rsid w:val="00745BE4"/>
    <w:rsid w:val="007461A4"/>
    <w:rsid w:val="007461C2"/>
    <w:rsid w:val="007467AF"/>
    <w:rsid w:val="00746ACB"/>
    <w:rsid w:val="00746F58"/>
    <w:rsid w:val="00747075"/>
    <w:rsid w:val="007471C2"/>
    <w:rsid w:val="00747266"/>
    <w:rsid w:val="007474D5"/>
    <w:rsid w:val="00747D14"/>
    <w:rsid w:val="00750197"/>
    <w:rsid w:val="007505B2"/>
    <w:rsid w:val="007506B0"/>
    <w:rsid w:val="0075095B"/>
    <w:rsid w:val="00750AD6"/>
    <w:rsid w:val="00750EBA"/>
    <w:rsid w:val="007510E6"/>
    <w:rsid w:val="00751259"/>
    <w:rsid w:val="00751330"/>
    <w:rsid w:val="007513F2"/>
    <w:rsid w:val="00751475"/>
    <w:rsid w:val="007516C9"/>
    <w:rsid w:val="007518E1"/>
    <w:rsid w:val="007520BD"/>
    <w:rsid w:val="0075213B"/>
    <w:rsid w:val="007521E5"/>
    <w:rsid w:val="0075247A"/>
    <w:rsid w:val="007528C0"/>
    <w:rsid w:val="00752AB6"/>
    <w:rsid w:val="00752C1F"/>
    <w:rsid w:val="00752CF1"/>
    <w:rsid w:val="00752D77"/>
    <w:rsid w:val="00753057"/>
    <w:rsid w:val="007530EE"/>
    <w:rsid w:val="00753156"/>
    <w:rsid w:val="007536B7"/>
    <w:rsid w:val="00753853"/>
    <w:rsid w:val="007538B9"/>
    <w:rsid w:val="007539BC"/>
    <w:rsid w:val="00753B56"/>
    <w:rsid w:val="00753C46"/>
    <w:rsid w:val="00753E40"/>
    <w:rsid w:val="00754253"/>
    <w:rsid w:val="00754959"/>
    <w:rsid w:val="00754ECC"/>
    <w:rsid w:val="007553F8"/>
    <w:rsid w:val="0075546A"/>
    <w:rsid w:val="007554B9"/>
    <w:rsid w:val="00755E39"/>
    <w:rsid w:val="00756241"/>
    <w:rsid w:val="007567DC"/>
    <w:rsid w:val="00756AA2"/>
    <w:rsid w:val="00756F65"/>
    <w:rsid w:val="00757408"/>
    <w:rsid w:val="00757AA9"/>
    <w:rsid w:val="00757AB7"/>
    <w:rsid w:val="00757CC8"/>
    <w:rsid w:val="00757EC0"/>
    <w:rsid w:val="007603D1"/>
    <w:rsid w:val="00760999"/>
    <w:rsid w:val="00760D3A"/>
    <w:rsid w:val="00760F71"/>
    <w:rsid w:val="00761284"/>
    <w:rsid w:val="0076134D"/>
    <w:rsid w:val="007619B7"/>
    <w:rsid w:val="00761DE1"/>
    <w:rsid w:val="00761EC4"/>
    <w:rsid w:val="00761EF6"/>
    <w:rsid w:val="00762309"/>
    <w:rsid w:val="00762947"/>
    <w:rsid w:val="00762948"/>
    <w:rsid w:val="00762A3E"/>
    <w:rsid w:val="00762E2F"/>
    <w:rsid w:val="0076303A"/>
    <w:rsid w:val="00763061"/>
    <w:rsid w:val="00763161"/>
    <w:rsid w:val="00763643"/>
    <w:rsid w:val="00763667"/>
    <w:rsid w:val="00763877"/>
    <w:rsid w:val="00763BF7"/>
    <w:rsid w:val="00763F3D"/>
    <w:rsid w:val="00763F9E"/>
    <w:rsid w:val="00764776"/>
    <w:rsid w:val="007649A8"/>
    <w:rsid w:val="00764B10"/>
    <w:rsid w:val="00764B85"/>
    <w:rsid w:val="00764C92"/>
    <w:rsid w:val="007650E6"/>
    <w:rsid w:val="0076531E"/>
    <w:rsid w:val="00765468"/>
    <w:rsid w:val="00765B27"/>
    <w:rsid w:val="0076629E"/>
    <w:rsid w:val="0076642C"/>
    <w:rsid w:val="007665BB"/>
    <w:rsid w:val="00766CF5"/>
    <w:rsid w:val="00766DF3"/>
    <w:rsid w:val="0076755D"/>
    <w:rsid w:val="00767572"/>
    <w:rsid w:val="00767767"/>
    <w:rsid w:val="007677F7"/>
    <w:rsid w:val="0076798E"/>
    <w:rsid w:val="00767BAE"/>
    <w:rsid w:val="0077054F"/>
    <w:rsid w:val="007707D5"/>
    <w:rsid w:val="00770A27"/>
    <w:rsid w:val="00770D77"/>
    <w:rsid w:val="00770EC6"/>
    <w:rsid w:val="00771437"/>
    <w:rsid w:val="0077152C"/>
    <w:rsid w:val="00771532"/>
    <w:rsid w:val="007716EC"/>
    <w:rsid w:val="0077206F"/>
    <w:rsid w:val="007723A1"/>
    <w:rsid w:val="00772478"/>
    <w:rsid w:val="00772839"/>
    <w:rsid w:val="007737C6"/>
    <w:rsid w:val="00773B2A"/>
    <w:rsid w:val="00773C89"/>
    <w:rsid w:val="00773F9D"/>
    <w:rsid w:val="00774561"/>
    <w:rsid w:val="007748A1"/>
    <w:rsid w:val="007748B1"/>
    <w:rsid w:val="0077500C"/>
    <w:rsid w:val="00775988"/>
    <w:rsid w:val="00775C77"/>
    <w:rsid w:val="0077685F"/>
    <w:rsid w:val="007769C2"/>
    <w:rsid w:val="00776AB1"/>
    <w:rsid w:val="007771BB"/>
    <w:rsid w:val="00777301"/>
    <w:rsid w:val="0077790B"/>
    <w:rsid w:val="00780220"/>
    <w:rsid w:val="00780951"/>
    <w:rsid w:val="00780CED"/>
    <w:rsid w:val="00780F4B"/>
    <w:rsid w:val="00780F71"/>
    <w:rsid w:val="00781176"/>
    <w:rsid w:val="00781862"/>
    <w:rsid w:val="00781879"/>
    <w:rsid w:val="007818A7"/>
    <w:rsid w:val="00781C84"/>
    <w:rsid w:val="007825F8"/>
    <w:rsid w:val="0078295C"/>
    <w:rsid w:val="00782AA4"/>
    <w:rsid w:val="00782F31"/>
    <w:rsid w:val="0078344C"/>
    <w:rsid w:val="007839B2"/>
    <w:rsid w:val="00783CA1"/>
    <w:rsid w:val="00783E78"/>
    <w:rsid w:val="0078412F"/>
    <w:rsid w:val="00784CCD"/>
    <w:rsid w:val="00784EAA"/>
    <w:rsid w:val="007853EE"/>
    <w:rsid w:val="007855F8"/>
    <w:rsid w:val="007857AB"/>
    <w:rsid w:val="00785A32"/>
    <w:rsid w:val="00785F76"/>
    <w:rsid w:val="007864A6"/>
    <w:rsid w:val="00786864"/>
    <w:rsid w:val="00786941"/>
    <w:rsid w:val="00786B16"/>
    <w:rsid w:val="007872F0"/>
    <w:rsid w:val="0078732E"/>
    <w:rsid w:val="007873C2"/>
    <w:rsid w:val="007876F1"/>
    <w:rsid w:val="00787AFD"/>
    <w:rsid w:val="007906F4"/>
    <w:rsid w:val="00790792"/>
    <w:rsid w:val="007907CA"/>
    <w:rsid w:val="00790A0C"/>
    <w:rsid w:val="00790B68"/>
    <w:rsid w:val="00791823"/>
    <w:rsid w:val="00791BD9"/>
    <w:rsid w:val="00791C8C"/>
    <w:rsid w:val="007921D3"/>
    <w:rsid w:val="0079226A"/>
    <w:rsid w:val="007922CF"/>
    <w:rsid w:val="00792D1B"/>
    <w:rsid w:val="00792F63"/>
    <w:rsid w:val="0079309C"/>
    <w:rsid w:val="007932E7"/>
    <w:rsid w:val="007933AE"/>
    <w:rsid w:val="00793508"/>
    <w:rsid w:val="00793799"/>
    <w:rsid w:val="0079380E"/>
    <w:rsid w:val="007938CF"/>
    <w:rsid w:val="00793F74"/>
    <w:rsid w:val="00793F99"/>
    <w:rsid w:val="0079404F"/>
    <w:rsid w:val="0079410B"/>
    <w:rsid w:val="00794165"/>
    <w:rsid w:val="007947D7"/>
    <w:rsid w:val="00794C34"/>
    <w:rsid w:val="00795151"/>
    <w:rsid w:val="007954AC"/>
    <w:rsid w:val="007954AE"/>
    <w:rsid w:val="00795528"/>
    <w:rsid w:val="00795F5D"/>
    <w:rsid w:val="00795FB4"/>
    <w:rsid w:val="0079633C"/>
    <w:rsid w:val="007970D6"/>
    <w:rsid w:val="00797165"/>
    <w:rsid w:val="007976FA"/>
    <w:rsid w:val="007978FD"/>
    <w:rsid w:val="00797B92"/>
    <w:rsid w:val="00797C33"/>
    <w:rsid w:val="00797C88"/>
    <w:rsid w:val="007A0131"/>
    <w:rsid w:val="007A01B7"/>
    <w:rsid w:val="007A01F8"/>
    <w:rsid w:val="007A023E"/>
    <w:rsid w:val="007A0519"/>
    <w:rsid w:val="007A05ED"/>
    <w:rsid w:val="007A0756"/>
    <w:rsid w:val="007A077B"/>
    <w:rsid w:val="007A092E"/>
    <w:rsid w:val="007A0E1B"/>
    <w:rsid w:val="007A0EF6"/>
    <w:rsid w:val="007A1889"/>
    <w:rsid w:val="007A189D"/>
    <w:rsid w:val="007A1934"/>
    <w:rsid w:val="007A19D8"/>
    <w:rsid w:val="007A2255"/>
    <w:rsid w:val="007A2A00"/>
    <w:rsid w:val="007A2C98"/>
    <w:rsid w:val="007A2E00"/>
    <w:rsid w:val="007A3129"/>
    <w:rsid w:val="007A3135"/>
    <w:rsid w:val="007A34F4"/>
    <w:rsid w:val="007A447E"/>
    <w:rsid w:val="007A45F6"/>
    <w:rsid w:val="007A4B91"/>
    <w:rsid w:val="007A4F90"/>
    <w:rsid w:val="007A5256"/>
    <w:rsid w:val="007A5331"/>
    <w:rsid w:val="007A5483"/>
    <w:rsid w:val="007A6340"/>
    <w:rsid w:val="007A6593"/>
    <w:rsid w:val="007A6959"/>
    <w:rsid w:val="007A6A05"/>
    <w:rsid w:val="007A6AA4"/>
    <w:rsid w:val="007A72E9"/>
    <w:rsid w:val="007A76DC"/>
    <w:rsid w:val="007A7C9C"/>
    <w:rsid w:val="007A7DA3"/>
    <w:rsid w:val="007B0142"/>
    <w:rsid w:val="007B03E5"/>
    <w:rsid w:val="007B0D99"/>
    <w:rsid w:val="007B10AD"/>
    <w:rsid w:val="007B10F6"/>
    <w:rsid w:val="007B167D"/>
    <w:rsid w:val="007B191F"/>
    <w:rsid w:val="007B1AC3"/>
    <w:rsid w:val="007B1E3A"/>
    <w:rsid w:val="007B255B"/>
    <w:rsid w:val="007B3A6C"/>
    <w:rsid w:val="007B3BBB"/>
    <w:rsid w:val="007B3E8B"/>
    <w:rsid w:val="007B4234"/>
    <w:rsid w:val="007B42FC"/>
    <w:rsid w:val="007B4B52"/>
    <w:rsid w:val="007B4F3A"/>
    <w:rsid w:val="007B54FD"/>
    <w:rsid w:val="007B5946"/>
    <w:rsid w:val="007B5A77"/>
    <w:rsid w:val="007B5BE4"/>
    <w:rsid w:val="007B5C25"/>
    <w:rsid w:val="007B5CFF"/>
    <w:rsid w:val="007B6226"/>
    <w:rsid w:val="007B676C"/>
    <w:rsid w:val="007B6C78"/>
    <w:rsid w:val="007B75D8"/>
    <w:rsid w:val="007B7893"/>
    <w:rsid w:val="007B7957"/>
    <w:rsid w:val="007B79BC"/>
    <w:rsid w:val="007B7E44"/>
    <w:rsid w:val="007C1631"/>
    <w:rsid w:val="007C17C9"/>
    <w:rsid w:val="007C1C16"/>
    <w:rsid w:val="007C1CDA"/>
    <w:rsid w:val="007C1E4E"/>
    <w:rsid w:val="007C202B"/>
    <w:rsid w:val="007C2445"/>
    <w:rsid w:val="007C27E3"/>
    <w:rsid w:val="007C286C"/>
    <w:rsid w:val="007C2ADE"/>
    <w:rsid w:val="007C2CDF"/>
    <w:rsid w:val="007C3112"/>
    <w:rsid w:val="007C35CB"/>
    <w:rsid w:val="007C3627"/>
    <w:rsid w:val="007C3858"/>
    <w:rsid w:val="007C39B3"/>
    <w:rsid w:val="007C3ACF"/>
    <w:rsid w:val="007C3BA5"/>
    <w:rsid w:val="007C3DA0"/>
    <w:rsid w:val="007C4648"/>
    <w:rsid w:val="007C46FD"/>
    <w:rsid w:val="007C490F"/>
    <w:rsid w:val="007C4C1B"/>
    <w:rsid w:val="007C4C91"/>
    <w:rsid w:val="007C503E"/>
    <w:rsid w:val="007C56A5"/>
    <w:rsid w:val="007C5823"/>
    <w:rsid w:val="007C58E7"/>
    <w:rsid w:val="007C5F48"/>
    <w:rsid w:val="007C5FA6"/>
    <w:rsid w:val="007C602E"/>
    <w:rsid w:val="007C6407"/>
    <w:rsid w:val="007C65EB"/>
    <w:rsid w:val="007C675A"/>
    <w:rsid w:val="007C685E"/>
    <w:rsid w:val="007C6A49"/>
    <w:rsid w:val="007C6DC1"/>
    <w:rsid w:val="007C7739"/>
    <w:rsid w:val="007C7A84"/>
    <w:rsid w:val="007D0559"/>
    <w:rsid w:val="007D0907"/>
    <w:rsid w:val="007D0CD4"/>
    <w:rsid w:val="007D0D62"/>
    <w:rsid w:val="007D17EB"/>
    <w:rsid w:val="007D259E"/>
    <w:rsid w:val="007D29AD"/>
    <w:rsid w:val="007D3161"/>
    <w:rsid w:val="007D374D"/>
    <w:rsid w:val="007D3D55"/>
    <w:rsid w:val="007D3D6F"/>
    <w:rsid w:val="007D40BB"/>
    <w:rsid w:val="007D41CA"/>
    <w:rsid w:val="007D44BA"/>
    <w:rsid w:val="007D4A27"/>
    <w:rsid w:val="007D4A4F"/>
    <w:rsid w:val="007D4FE0"/>
    <w:rsid w:val="007D5397"/>
    <w:rsid w:val="007D551D"/>
    <w:rsid w:val="007D55A9"/>
    <w:rsid w:val="007D56E5"/>
    <w:rsid w:val="007D57BB"/>
    <w:rsid w:val="007D5D2C"/>
    <w:rsid w:val="007D639E"/>
    <w:rsid w:val="007D6AD8"/>
    <w:rsid w:val="007D724D"/>
    <w:rsid w:val="007D74DC"/>
    <w:rsid w:val="007D7873"/>
    <w:rsid w:val="007D7932"/>
    <w:rsid w:val="007D7A50"/>
    <w:rsid w:val="007D7EBB"/>
    <w:rsid w:val="007E088E"/>
    <w:rsid w:val="007E0B10"/>
    <w:rsid w:val="007E0CC6"/>
    <w:rsid w:val="007E1569"/>
    <w:rsid w:val="007E2002"/>
    <w:rsid w:val="007E2252"/>
    <w:rsid w:val="007E2385"/>
    <w:rsid w:val="007E23DA"/>
    <w:rsid w:val="007E25E6"/>
    <w:rsid w:val="007E2898"/>
    <w:rsid w:val="007E28A3"/>
    <w:rsid w:val="007E2B60"/>
    <w:rsid w:val="007E2E40"/>
    <w:rsid w:val="007E32B4"/>
    <w:rsid w:val="007E3337"/>
    <w:rsid w:val="007E365A"/>
    <w:rsid w:val="007E3918"/>
    <w:rsid w:val="007E3AFD"/>
    <w:rsid w:val="007E3C88"/>
    <w:rsid w:val="007E3DB4"/>
    <w:rsid w:val="007E3E88"/>
    <w:rsid w:val="007E3EA6"/>
    <w:rsid w:val="007E4DDC"/>
    <w:rsid w:val="007E57FC"/>
    <w:rsid w:val="007E5A11"/>
    <w:rsid w:val="007E5FC8"/>
    <w:rsid w:val="007E6809"/>
    <w:rsid w:val="007E72A9"/>
    <w:rsid w:val="007E7C0A"/>
    <w:rsid w:val="007E7DBE"/>
    <w:rsid w:val="007F0544"/>
    <w:rsid w:val="007F0584"/>
    <w:rsid w:val="007F0DE4"/>
    <w:rsid w:val="007F10D9"/>
    <w:rsid w:val="007F1448"/>
    <w:rsid w:val="007F1759"/>
    <w:rsid w:val="007F19DC"/>
    <w:rsid w:val="007F1CBB"/>
    <w:rsid w:val="007F1DD7"/>
    <w:rsid w:val="007F1E29"/>
    <w:rsid w:val="007F1F19"/>
    <w:rsid w:val="007F1F5D"/>
    <w:rsid w:val="007F211F"/>
    <w:rsid w:val="007F24D6"/>
    <w:rsid w:val="007F25E5"/>
    <w:rsid w:val="007F2EAD"/>
    <w:rsid w:val="007F35FD"/>
    <w:rsid w:val="007F3D08"/>
    <w:rsid w:val="007F456A"/>
    <w:rsid w:val="007F4840"/>
    <w:rsid w:val="007F4A54"/>
    <w:rsid w:val="007F4C04"/>
    <w:rsid w:val="007F4D75"/>
    <w:rsid w:val="007F546E"/>
    <w:rsid w:val="007F56C3"/>
    <w:rsid w:val="007F59F1"/>
    <w:rsid w:val="007F5D05"/>
    <w:rsid w:val="007F6367"/>
    <w:rsid w:val="007F6398"/>
    <w:rsid w:val="007F6963"/>
    <w:rsid w:val="007F6ABD"/>
    <w:rsid w:val="007F6BED"/>
    <w:rsid w:val="007F6C40"/>
    <w:rsid w:val="007F70C0"/>
    <w:rsid w:val="007F73EF"/>
    <w:rsid w:val="007F7699"/>
    <w:rsid w:val="007F7A10"/>
    <w:rsid w:val="007F7A38"/>
    <w:rsid w:val="007F7E76"/>
    <w:rsid w:val="008001D2"/>
    <w:rsid w:val="0080024C"/>
    <w:rsid w:val="008006A4"/>
    <w:rsid w:val="00800F36"/>
    <w:rsid w:val="008011A1"/>
    <w:rsid w:val="00801392"/>
    <w:rsid w:val="00801E22"/>
    <w:rsid w:val="00801F92"/>
    <w:rsid w:val="008021FB"/>
    <w:rsid w:val="00802649"/>
    <w:rsid w:val="00802BEB"/>
    <w:rsid w:val="00802E69"/>
    <w:rsid w:val="0080332B"/>
    <w:rsid w:val="008036AF"/>
    <w:rsid w:val="00803A7E"/>
    <w:rsid w:val="00804397"/>
    <w:rsid w:val="008043EE"/>
    <w:rsid w:val="0080497E"/>
    <w:rsid w:val="00804E44"/>
    <w:rsid w:val="0080502C"/>
    <w:rsid w:val="0080530F"/>
    <w:rsid w:val="0080539B"/>
    <w:rsid w:val="0080542A"/>
    <w:rsid w:val="00806295"/>
    <w:rsid w:val="0080671D"/>
    <w:rsid w:val="00806AEA"/>
    <w:rsid w:val="00806E4B"/>
    <w:rsid w:val="00807803"/>
    <w:rsid w:val="008079D1"/>
    <w:rsid w:val="00807E4A"/>
    <w:rsid w:val="00807EF8"/>
    <w:rsid w:val="008106D9"/>
    <w:rsid w:val="008107F6"/>
    <w:rsid w:val="008108B1"/>
    <w:rsid w:val="00810BEC"/>
    <w:rsid w:val="0081108C"/>
    <w:rsid w:val="00811562"/>
    <w:rsid w:val="00811625"/>
    <w:rsid w:val="008116A7"/>
    <w:rsid w:val="008118EE"/>
    <w:rsid w:val="00811C2B"/>
    <w:rsid w:val="00811FA9"/>
    <w:rsid w:val="0081255B"/>
    <w:rsid w:val="00812C1A"/>
    <w:rsid w:val="00812C59"/>
    <w:rsid w:val="00812D19"/>
    <w:rsid w:val="00812DEF"/>
    <w:rsid w:val="00813031"/>
    <w:rsid w:val="00813A1F"/>
    <w:rsid w:val="00813D98"/>
    <w:rsid w:val="00813E43"/>
    <w:rsid w:val="00813EB6"/>
    <w:rsid w:val="00813F63"/>
    <w:rsid w:val="00813FB9"/>
    <w:rsid w:val="00814208"/>
    <w:rsid w:val="008142E9"/>
    <w:rsid w:val="008149FC"/>
    <w:rsid w:val="00814C8A"/>
    <w:rsid w:val="00814DE9"/>
    <w:rsid w:val="008150CF"/>
    <w:rsid w:val="00815451"/>
    <w:rsid w:val="008154BA"/>
    <w:rsid w:val="00815CCF"/>
    <w:rsid w:val="008162CE"/>
    <w:rsid w:val="008165D0"/>
    <w:rsid w:val="00816865"/>
    <w:rsid w:val="008174D4"/>
    <w:rsid w:val="0081751E"/>
    <w:rsid w:val="008178B4"/>
    <w:rsid w:val="0081797D"/>
    <w:rsid w:val="008205C8"/>
    <w:rsid w:val="00820615"/>
    <w:rsid w:val="0082068E"/>
    <w:rsid w:val="008209C0"/>
    <w:rsid w:val="00820A40"/>
    <w:rsid w:val="00820E0B"/>
    <w:rsid w:val="00821522"/>
    <w:rsid w:val="00821863"/>
    <w:rsid w:val="00821B05"/>
    <w:rsid w:val="00821B6C"/>
    <w:rsid w:val="00821C2D"/>
    <w:rsid w:val="00821E95"/>
    <w:rsid w:val="008222E4"/>
    <w:rsid w:val="008226DD"/>
    <w:rsid w:val="00822FDC"/>
    <w:rsid w:val="008232D5"/>
    <w:rsid w:val="00824372"/>
    <w:rsid w:val="00824967"/>
    <w:rsid w:val="00824F80"/>
    <w:rsid w:val="0082507C"/>
    <w:rsid w:val="0082581E"/>
    <w:rsid w:val="0082588F"/>
    <w:rsid w:val="00825B19"/>
    <w:rsid w:val="00825DC1"/>
    <w:rsid w:val="00826060"/>
    <w:rsid w:val="008260F7"/>
    <w:rsid w:val="00826323"/>
    <w:rsid w:val="00826451"/>
    <w:rsid w:val="00826702"/>
    <w:rsid w:val="00826B09"/>
    <w:rsid w:val="00826B97"/>
    <w:rsid w:val="00826E17"/>
    <w:rsid w:val="00826F06"/>
    <w:rsid w:val="00827253"/>
    <w:rsid w:val="008275F8"/>
    <w:rsid w:val="00827757"/>
    <w:rsid w:val="00827854"/>
    <w:rsid w:val="008278B9"/>
    <w:rsid w:val="00827B0A"/>
    <w:rsid w:val="00827BD6"/>
    <w:rsid w:val="00827C28"/>
    <w:rsid w:val="00830256"/>
    <w:rsid w:val="00830298"/>
    <w:rsid w:val="008304C3"/>
    <w:rsid w:val="0083068F"/>
    <w:rsid w:val="00830882"/>
    <w:rsid w:val="00830971"/>
    <w:rsid w:val="00831011"/>
    <w:rsid w:val="00831200"/>
    <w:rsid w:val="00831208"/>
    <w:rsid w:val="008317F4"/>
    <w:rsid w:val="00831AEF"/>
    <w:rsid w:val="00831FA5"/>
    <w:rsid w:val="0083227B"/>
    <w:rsid w:val="008322FC"/>
    <w:rsid w:val="008328C6"/>
    <w:rsid w:val="00832987"/>
    <w:rsid w:val="00832CC4"/>
    <w:rsid w:val="00832D9C"/>
    <w:rsid w:val="00832E6F"/>
    <w:rsid w:val="0083323C"/>
    <w:rsid w:val="00833450"/>
    <w:rsid w:val="00833A2A"/>
    <w:rsid w:val="00833CFE"/>
    <w:rsid w:val="00833FA3"/>
    <w:rsid w:val="008342DE"/>
    <w:rsid w:val="00834869"/>
    <w:rsid w:val="00834A96"/>
    <w:rsid w:val="008350EF"/>
    <w:rsid w:val="0083595C"/>
    <w:rsid w:val="00835A4E"/>
    <w:rsid w:val="00835A6A"/>
    <w:rsid w:val="00835FDE"/>
    <w:rsid w:val="0083638A"/>
    <w:rsid w:val="0083669B"/>
    <w:rsid w:val="008366EC"/>
    <w:rsid w:val="00836ABC"/>
    <w:rsid w:val="00836EE4"/>
    <w:rsid w:val="008372F8"/>
    <w:rsid w:val="00837781"/>
    <w:rsid w:val="00837C0B"/>
    <w:rsid w:val="00837C43"/>
    <w:rsid w:val="00841C79"/>
    <w:rsid w:val="00841E42"/>
    <w:rsid w:val="008425F3"/>
    <w:rsid w:val="008427B0"/>
    <w:rsid w:val="008428A6"/>
    <w:rsid w:val="00842AF1"/>
    <w:rsid w:val="00842C6B"/>
    <w:rsid w:val="00842CB5"/>
    <w:rsid w:val="00842F0D"/>
    <w:rsid w:val="00842FCC"/>
    <w:rsid w:val="0084303E"/>
    <w:rsid w:val="00843354"/>
    <w:rsid w:val="00843496"/>
    <w:rsid w:val="00843606"/>
    <w:rsid w:val="008444F0"/>
    <w:rsid w:val="0084470F"/>
    <w:rsid w:val="008448D8"/>
    <w:rsid w:val="00844980"/>
    <w:rsid w:val="00844A2A"/>
    <w:rsid w:val="00844A4F"/>
    <w:rsid w:val="0084515D"/>
    <w:rsid w:val="00845537"/>
    <w:rsid w:val="008455C5"/>
    <w:rsid w:val="00845672"/>
    <w:rsid w:val="00845708"/>
    <w:rsid w:val="0084583C"/>
    <w:rsid w:val="0084584D"/>
    <w:rsid w:val="008461D8"/>
    <w:rsid w:val="008463DC"/>
    <w:rsid w:val="00846514"/>
    <w:rsid w:val="00847302"/>
    <w:rsid w:val="00847841"/>
    <w:rsid w:val="00847EF1"/>
    <w:rsid w:val="008504AA"/>
    <w:rsid w:val="008508BF"/>
    <w:rsid w:val="00851089"/>
    <w:rsid w:val="008511AA"/>
    <w:rsid w:val="0085129A"/>
    <w:rsid w:val="00851317"/>
    <w:rsid w:val="008517FF"/>
    <w:rsid w:val="008518F5"/>
    <w:rsid w:val="00851BF4"/>
    <w:rsid w:val="00851FAF"/>
    <w:rsid w:val="00852295"/>
    <w:rsid w:val="0085229F"/>
    <w:rsid w:val="008524E9"/>
    <w:rsid w:val="00852614"/>
    <w:rsid w:val="008526AC"/>
    <w:rsid w:val="0085311E"/>
    <w:rsid w:val="008532F9"/>
    <w:rsid w:val="0085374D"/>
    <w:rsid w:val="00853779"/>
    <w:rsid w:val="00853919"/>
    <w:rsid w:val="008542BB"/>
    <w:rsid w:val="008545B1"/>
    <w:rsid w:val="008548C0"/>
    <w:rsid w:val="00854B72"/>
    <w:rsid w:val="00854C98"/>
    <w:rsid w:val="00854D4E"/>
    <w:rsid w:val="00854E4D"/>
    <w:rsid w:val="00854F12"/>
    <w:rsid w:val="008550B5"/>
    <w:rsid w:val="0085541D"/>
    <w:rsid w:val="00855680"/>
    <w:rsid w:val="00855716"/>
    <w:rsid w:val="008557D9"/>
    <w:rsid w:val="00855B04"/>
    <w:rsid w:val="00855C61"/>
    <w:rsid w:val="00855D43"/>
    <w:rsid w:val="008560C3"/>
    <w:rsid w:val="0085633C"/>
    <w:rsid w:val="00856941"/>
    <w:rsid w:val="00856B3B"/>
    <w:rsid w:val="00856F70"/>
    <w:rsid w:val="008571CE"/>
    <w:rsid w:val="008577C3"/>
    <w:rsid w:val="00857A3D"/>
    <w:rsid w:val="00860784"/>
    <w:rsid w:val="008609F8"/>
    <w:rsid w:val="00860C98"/>
    <w:rsid w:val="00861077"/>
    <w:rsid w:val="008611F4"/>
    <w:rsid w:val="008615E1"/>
    <w:rsid w:val="00861666"/>
    <w:rsid w:val="00861AD5"/>
    <w:rsid w:val="00861CB7"/>
    <w:rsid w:val="00861E7C"/>
    <w:rsid w:val="00861FC6"/>
    <w:rsid w:val="00862764"/>
    <w:rsid w:val="0086299E"/>
    <w:rsid w:val="00862A3D"/>
    <w:rsid w:val="00862D47"/>
    <w:rsid w:val="00862F53"/>
    <w:rsid w:val="0086343F"/>
    <w:rsid w:val="008639BF"/>
    <w:rsid w:val="00863BD1"/>
    <w:rsid w:val="008640B5"/>
    <w:rsid w:val="0086416D"/>
    <w:rsid w:val="0086483C"/>
    <w:rsid w:val="00864FCA"/>
    <w:rsid w:val="008652D9"/>
    <w:rsid w:val="00865DF2"/>
    <w:rsid w:val="008661BA"/>
    <w:rsid w:val="008662E0"/>
    <w:rsid w:val="0086633B"/>
    <w:rsid w:val="008663FA"/>
    <w:rsid w:val="00866542"/>
    <w:rsid w:val="008665C3"/>
    <w:rsid w:val="00866795"/>
    <w:rsid w:val="008669ED"/>
    <w:rsid w:val="00866D43"/>
    <w:rsid w:val="00866DFA"/>
    <w:rsid w:val="00866E88"/>
    <w:rsid w:val="00866FB6"/>
    <w:rsid w:val="0086736B"/>
    <w:rsid w:val="00867A1B"/>
    <w:rsid w:val="00867B64"/>
    <w:rsid w:val="0087061B"/>
    <w:rsid w:val="008708FE"/>
    <w:rsid w:val="008712B5"/>
    <w:rsid w:val="008719C7"/>
    <w:rsid w:val="008719FA"/>
    <w:rsid w:val="00872A7E"/>
    <w:rsid w:val="00872B02"/>
    <w:rsid w:val="00872C68"/>
    <w:rsid w:val="00872D14"/>
    <w:rsid w:val="00872F4D"/>
    <w:rsid w:val="00873543"/>
    <w:rsid w:val="00873700"/>
    <w:rsid w:val="0087444A"/>
    <w:rsid w:val="00874C93"/>
    <w:rsid w:val="00875033"/>
    <w:rsid w:val="0087558E"/>
    <w:rsid w:val="00875818"/>
    <w:rsid w:val="00875A6F"/>
    <w:rsid w:val="00875DB9"/>
    <w:rsid w:val="0087629B"/>
    <w:rsid w:val="00876467"/>
    <w:rsid w:val="0087677E"/>
    <w:rsid w:val="008769E3"/>
    <w:rsid w:val="00876C41"/>
    <w:rsid w:val="00876C42"/>
    <w:rsid w:val="00876F45"/>
    <w:rsid w:val="0087734D"/>
    <w:rsid w:val="00877B61"/>
    <w:rsid w:val="0088050E"/>
    <w:rsid w:val="0088097E"/>
    <w:rsid w:val="008811B8"/>
    <w:rsid w:val="008818FB"/>
    <w:rsid w:val="0088191E"/>
    <w:rsid w:val="00881F13"/>
    <w:rsid w:val="00882266"/>
    <w:rsid w:val="008823E0"/>
    <w:rsid w:val="008824E9"/>
    <w:rsid w:val="00882604"/>
    <w:rsid w:val="0088282D"/>
    <w:rsid w:val="00882ADF"/>
    <w:rsid w:val="00882F5B"/>
    <w:rsid w:val="00882FB7"/>
    <w:rsid w:val="008837F8"/>
    <w:rsid w:val="00883870"/>
    <w:rsid w:val="0088388C"/>
    <w:rsid w:val="00883A72"/>
    <w:rsid w:val="008843F6"/>
    <w:rsid w:val="00884CE9"/>
    <w:rsid w:val="00885F35"/>
    <w:rsid w:val="00886262"/>
    <w:rsid w:val="00886498"/>
    <w:rsid w:val="008866FE"/>
    <w:rsid w:val="008869B1"/>
    <w:rsid w:val="00886BBD"/>
    <w:rsid w:val="00886D7F"/>
    <w:rsid w:val="0088703D"/>
    <w:rsid w:val="0088715C"/>
    <w:rsid w:val="008872C3"/>
    <w:rsid w:val="00887514"/>
    <w:rsid w:val="00887709"/>
    <w:rsid w:val="00887BD3"/>
    <w:rsid w:val="00887DD7"/>
    <w:rsid w:val="00890297"/>
    <w:rsid w:val="00890C63"/>
    <w:rsid w:val="00890EF0"/>
    <w:rsid w:val="008910E2"/>
    <w:rsid w:val="0089125A"/>
    <w:rsid w:val="00891613"/>
    <w:rsid w:val="00891E34"/>
    <w:rsid w:val="00891F85"/>
    <w:rsid w:val="00891FBA"/>
    <w:rsid w:val="0089236C"/>
    <w:rsid w:val="00892521"/>
    <w:rsid w:val="008925E4"/>
    <w:rsid w:val="0089278A"/>
    <w:rsid w:val="00892B5C"/>
    <w:rsid w:val="00892F17"/>
    <w:rsid w:val="0089398A"/>
    <w:rsid w:val="0089404F"/>
    <w:rsid w:val="00895969"/>
    <w:rsid w:val="008959B8"/>
    <w:rsid w:val="0089632F"/>
    <w:rsid w:val="00896757"/>
    <w:rsid w:val="00896B34"/>
    <w:rsid w:val="0089714C"/>
    <w:rsid w:val="00897272"/>
    <w:rsid w:val="008972D5"/>
    <w:rsid w:val="00897491"/>
    <w:rsid w:val="008977A6"/>
    <w:rsid w:val="008A07DF"/>
    <w:rsid w:val="008A0AF7"/>
    <w:rsid w:val="008A15BC"/>
    <w:rsid w:val="008A15D7"/>
    <w:rsid w:val="008A18CF"/>
    <w:rsid w:val="008A1BA9"/>
    <w:rsid w:val="008A1ED3"/>
    <w:rsid w:val="008A2963"/>
    <w:rsid w:val="008A2A10"/>
    <w:rsid w:val="008A2D3D"/>
    <w:rsid w:val="008A3181"/>
    <w:rsid w:val="008A3450"/>
    <w:rsid w:val="008A36F8"/>
    <w:rsid w:val="008A38B8"/>
    <w:rsid w:val="008A461E"/>
    <w:rsid w:val="008A4BE7"/>
    <w:rsid w:val="008A4D98"/>
    <w:rsid w:val="008A5057"/>
    <w:rsid w:val="008A5124"/>
    <w:rsid w:val="008A52AF"/>
    <w:rsid w:val="008A5327"/>
    <w:rsid w:val="008A5445"/>
    <w:rsid w:val="008A5A07"/>
    <w:rsid w:val="008A5BE3"/>
    <w:rsid w:val="008A60AF"/>
    <w:rsid w:val="008A63F0"/>
    <w:rsid w:val="008A675E"/>
    <w:rsid w:val="008A6B27"/>
    <w:rsid w:val="008A6E3A"/>
    <w:rsid w:val="008A700D"/>
    <w:rsid w:val="008A7294"/>
    <w:rsid w:val="008A79F1"/>
    <w:rsid w:val="008A7F48"/>
    <w:rsid w:val="008B0262"/>
    <w:rsid w:val="008B0463"/>
    <w:rsid w:val="008B0539"/>
    <w:rsid w:val="008B072B"/>
    <w:rsid w:val="008B08C8"/>
    <w:rsid w:val="008B0A53"/>
    <w:rsid w:val="008B0AA5"/>
    <w:rsid w:val="008B1071"/>
    <w:rsid w:val="008B14F9"/>
    <w:rsid w:val="008B167E"/>
    <w:rsid w:val="008B1683"/>
    <w:rsid w:val="008B175A"/>
    <w:rsid w:val="008B1B47"/>
    <w:rsid w:val="008B1DA0"/>
    <w:rsid w:val="008B3865"/>
    <w:rsid w:val="008B38FA"/>
    <w:rsid w:val="008B41B8"/>
    <w:rsid w:val="008B43CB"/>
    <w:rsid w:val="008B47AE"/>
    <w:rsid w:val="008B493A"/>
    <w:rsid w:val="008B540B"/>
    <w:rsid w:val="008B549E"/>
    <w:rsid w:val="008B5512"/>
    <w:rsid w:val="008B5602"/>
    <w:rsid w:val="008B6B53"/>
    <w:rsid w:val="008B6DC5"/>
    <w:rsid w:val="008B6E0C"/>
    <w:rsid w:val="008B7298"/>
    <w:rsid w:val="008B7354"/>
    <w:rsid w:val="008B756A"/>
    <w:rsid w:val="008B7587"/>
    <w:rsid w:val="008B784F"/>
    <w:rsid w:val="008B78A3"/>
    <w:rsid w:val="008B7D1F"/>
    <w:rsid w:val="008C061C"/>
    <w:rsid w:val="008C0C89"/>
    <w:rsid w:val="008C0EC0"/>
    <w:rsid w:val="008C1375"/>
    <w:rsid w:val="008C1A9D"/>
    <w:rsid w:val="008C1B81"/>
    <w:rsid w:val="008C1F74"/>
    <w:rsid w:val="008C2305"/>
    <w:rsid w:val="008C24A2"/>
    <w:rsid w:val="008C24D7"/>
    <w:rsid w:val="008C2A5C"/>
    <w:rsid w:val="008C30AF"/>
    <w:rsid w:val="008C340C"/>
    <w:rsid w:val="008C347F"/>
    <w:rsid w:val="008C3586"/>
    <w:rsid w:val="008C3C97"/>
    <w:rsid w:val="008C45B4"/>
    <w:rsid w:val="008C4ACA"/>
    <w:rsid w:val="008C4F73"/>
    <w:rsid w:val="008C5C43"/>
    <w:rsid w:val="008C65F5"/>
    <w:rsid w:val="008C6B50"/>
    <w:rsid w:val="008C6C76"/>
    <w:rsid w:val="008C6D1E"/>
    <w:rsid w:val="008C6D8D"/>
    <w:rsid w:val="008C6E24"/>
    <w:rsid w:val="008C6F84"/>
    <w:rsid w:val="008C73EC"/>
    <w:rsid w:val="008C780F"/>
    <w:rsid w:val="008C785A"/>
    <w:rsid w:val="008C78FA"/>
    <w:rsid w:val="008C7971"/>
    <w:rsid w:val="008C7C03"/>
    <w:rsid w:val="008C7DF3"/>
    <w:rsid w:val="008D03F4"/>
    <w:rsid w:val="008D0F48"/>
    <w:rsid w:val="008D15A2"/>
    <w:rsid w:val="008D1661"/>
    <w:rsid w:val="008D1E93"/>
    <w:rsid w:val="008D1F3A"/>
    <w:rsid w:val="008D2110"/>
    <w:rsid w:val="008D24F8"/>
    <w:rsid w:val="008D26D6"/>
    <w:rsid w:val="008D296E"/>
    <w:rsid w:val="008D2BC8"/>
    <w:rsid w:val="008D2E9B"/>
    <w:rsid w:val="008D3075"/>
    <w:rsid w:val="008D32D9"/>
    <w:rsid w:val="008D3615"/>
    <w:rsid w:val="008D38AF"/>
    <w:rsid w:val="008D3B3A"/>
    <w:rsid w:val="008D3B58"/>
    <w:rsid w:val="008D4024"/>
    <w:rsid w:val="008D403F"/>
    <w:rsid w:val="008D408F"/>
    <w:rsid w:val="008D41E4"/>
    <w:rsid w:val="008D41FF"/>
    <w:rsid w:val="008D42B3"/>
    <w:rsid w:val="008D4448"/>
    <w:rsid w:val="008D4AA7"/>
    <w:rsid w:val="008D4AA8"/>
    <w:rsid w:val="008D4B71"/>
    <w:rsid w:val="008D4FE9"/>
    <w:rsid w:val="008D5724"/>
    <w:rsid w:val="008D5DAD"/>
    <w:rsid w:val="008D6056"/>
    <w:rsid w:val="008D65DD"/>
    <w:rsid w:val="008D6641"/>
    <w:rsid w:val="008D674D"/>
    <w:rsid w:val="008D6D0F"/>
    <w:rsid w:val="008D6E4B"/>
    <w:rsid w:val="008D6F38"/>
    <w:rsid w:val="008D79A3"/>
    <w:rsid w:val="008D7AD2"/>
    <w:rsid w:val="008D7CC5"/>
    <w:rsid w:val="008D7CFB"/>
    <w:rsid w:val="008D7D71"/>
    <w:rsid w:val="008E0907"/>
    <w:rsid w:val="008E0922"/>
    <w:rsid w:val="008E0E81"/>
    <w:rsid w:val="008E0FC5"/>
    <w:rsid w:val="008E1591"/>
    <w:rsid w:val="008E1AEE"/>
    <w:rsid w:val="008E1FAF"/>
    <w:rsid w:val="008E1FD5"/>
    <w:rsid w:val="008E202A"/>
    <w:rsid w:val="008E20AC"/>
    <w:rsid w:val="008E240C"/>
    <w:rsid w:val="008E24BF"/>
    <w:rsid w:val="008E27FD"/>
    <w:rsid w:val="008E2834"/>
    <w:rsid w:val="008E29C2"/>
    <w:rsid w:val="008E2E19"/>
    <w:rsid w:val="008E3320"/>
    <w:rsid w:val="008E34B3"/>
    <w:rsid w:val="008E36B1"/>
    <w:rsid w:val="008E380D"/>
    <w:rsid w:val="008E3B69"/>
    <w:rsid w:val="008E3D89"/>
    <w:rsid w:val="008E42BF"/>
    <w:rsid w:val="008E4481"/>
    <w:rsid w:val="008E4911"/>
    <w:rsid w:val="008E4D8C"/>
    <w:rsid w:val="008E528A"/>
    <w:rsid w:val="008E539E"/>
    <w:rsid w:val="008E55A2"/>
    <w:rsid w:val="008E5685"/>
    <w:rsid w:val="008E636C"/>
    <w:rsid w:val="008E6370"/>
    <w:rsid w:val="008E6609"/>
    <w:rsid w:val="008E682E"/>
    <w:rsid w:val="008E6B4F"/>
    <w:rsid w:val="008E6E61"/>
    <w:rsid w:val="008E72AB"/>
    <w:rsid w:val="008E7389"/>
    <w:rsid w:val="008F059D"/>
    <w:rsid w:val="008F0E5D"/>
    <w:rsid w:val="008F0F3A"/>
    <w:rsid w:val="008F1312"/>
    <w:rsid w:val="008F13B9"/>
    <w:rsid w:val="008F1B14"/>
    <w:rsid w:val="008F1DCD"/>
    <w:rsid w:val="008F1EFD"/>
    <w:rsid w:val="008F268E"/>
    <w:rsid w:val="008F28F0"/>
    <w:rsid w:val="008F3229"/>
    <w:rsid w:val="008F3910"/>
    <w:rsid w:val="008F3975"/>
    <w:rsid w:val="008F3E11"/>
    <w:rsid w:val="008F40A8"/>
    <w:rsid w:val="008F4268"/>
    <w:rsid w:val="008F4476"/>
    <w:rsid w:val="008F4689"/>
    <w:rsid w:val="008F4D49"/>
    <w:rsid w:val="008F557C"/>
    <w:rsid w:val="008F65B5"/>
    <w:rsid w:val="008F6628"/>
    <w:rsid w:val="008F6C59"/>
    <w:rsid w:val="008F6C6D"/>
    <w:rsid w:val="008F6D0F"/>
    <w:rsid w:val="008F6E78"/>
    <w:rsid w:val="008F6EBA"/>
    <w:rsid w:val="008F7128"/>
    <w:rsid w:val="008F7693"/>
    <w:rsid w:val="008F7B06"/>
    <w:rsid w:val="008F7D4B"/>
    <w:rsid w:val="009004E4"/>
    <w:rsid w:val="009013CD"/>
    <w:rsid w:val="009014A2"/>
    <w:rsid w:val="009014C0"/>
    <w:rsid w:val="00901CE7"/>
    <w:rsid w:val="00902D80"/>
    <w:rsid w:val="00902F40"/>
    <w:rsid w:val="00903365"/>
    <w:rsid w:val="00903606"/>
    <w:rsid w:val="00903986"/>
    <w:rsid w:val="00903A39"/>
    <w:rsid w:val="00903FD4"/>
    <w:rsid w:val="00904355"/>
    <w:rsid w:val="00904565"/>
    <w:rsid w:val="00904653"/>
    <w:rsid w:val="009049BE"/>
    <w:rsid w:val="00904AE4"/>
    <w:rsid w:val="00904F9B"/>
    <w:rsid w:val="00905080"/>
    <w:rsid w:val="0090592F"/>
    <w:rsid w:val="009059E7"/>
    <w:rsid w:val="00905C42"/>
    <w:rsid w:val="00905D50"/>
    <w:rsid w:val="00906163"/>
    <w:rsid w:val="00906253"/>
    <w:rsid w:val="00906276"/>
    <w:rsid w:val="00906CB6"/>
    <w:rsid w:val="00906E83"/>
    <w:rsid w:val="009075E0"/>
    <w:rsid w:val="0090764D"/>
    <w:rsid w:val="009076D8"/>
    <w:rsid w:val="009078B2"/>
    <w:rsid w:val="009079A7"/>
    <w:rsid w:val="00907BE8"/>
    <w:rsid w:val="00907C21"/>
    <w:rsid w:val="00907D13"/>
    <w:rsid w:val="00907F62"/>
    <w:rsid w:val="00910938"/>
    <w:rsid w:val="00910940"/>
    <w:rsid w:val="00910A01"/>
    <w:rsid w:val="009114D8"/>
    <w:rsid w:val="009114E8"/>
    <w:rsid w:val="009115AF"/>
    <w:rsid w:val="00911643"/>
    <w:rsid w:val="00911738"/>
    <w:rsid w:val="00911807"/>
    <w:rsid w:val="00911AE4"/>
    <w:rsid w:val="00911EFC"/>
    <w:rsid w:val="009120D3"/>
    <w:rsid w:val="00912343"/>
    <w:rsid w:val="009131CD"/>
    <w:rsid w:val="00913574"/>
    <w:rsid w:val="00913749"/>
    <w:rsid w:val="00913ABC"/>
    <w:rsid w:val="00913FFB"/>
    <w:rsid w:val="009140C8"/>
    <w:rsid w:val="009143D5"/>
    <w:rsid w:val="00915293"/>
    <w:rsid w:val="00915306"/>
    <w:rsid w:val="00915598"/>
    <w:rsid w:val="009155F2"/>
    <w:rsid w:val="00915AE6"/>
    <w:rsid w:val="00915F56"/>
    <w:rsid w:val="0091633F"/>
    <w:rsid w:val="009165F5"/>
    <w:rsid w:val="00916696"/>
    <w:rsid w:val="0091694F"/>
    <w:rsid w:val="00916B4B"/>
    <w:rsid w:val="00916B9D"/>
    <w:rsid w:val="00916CAD"/>
    <w:rsid w:val="00916FED"/>
    <w:rsid w:val="00917AC4"/>
    <w:rsid w:val="00917B3A"/>
    <w:rsid w:val="00917BA7"/>
    <w:rsid w:val="00917D8A"/>
    <w:rsid w:val="00917F69"/>
    <w:rsid w:val="009202EF"/>
    <w:rsid w:val="009203E9"/>
    <w:rsid w:val="009206DF"/>
    <w:rsid w:val="00920A64"/>
    <w:rsid w:val="00920C19"/>
    <w:rsid w:val="00920D7B"/>
    <w:rsid w:val="009210A6"/>
    <w:rsid w:val="00921414"/>
    <w:rsid w:val="0092162E"/>
    <w:rsid w:val="009217F3"/>
    <w:rsid w:val="00921FA1"/>
    <w:rsid w:val="00922B3D"/>
    <w:rsid w:val="00922CB5"/>
    <w:rsid w:val="00922D1F"/>
    <w:rsid w:val="00922D39"/>
    <w:rsid w:val="00922FFA"/>
    <w:rsid w:val="0092305A"/>
    <w:rsid w:val="00923380"/>
    <w:rsid w:val="00923670"/>
    <w:rsid w:val="009247D8"/>
    <w:rsid w:val="009248BE"/>
    <w:rsid w:val="00924B57"/>
    <w:rsid w:val="00924C21"/>
    <w:rsid w:val="00924F53"/>
    <w:rsid w:val="00925D9B"/>
    <w:rsid w:val="00925F6B"/>
    <w:rsid w:val="00925FF5"/>
    <w:rsid w:val="0092626D"/>
    <w:rsid w:val="00926290"/>
    <w:rsid w:val="00926553"/>
    <w:rsid w:val="00926B89"/>
    <w:rsid w:val="0092703D"/>
    <w:rsid w:val="009273C6"/>
    <w:rsid w:val="009275C3"/>
    <w:rsid w:val="00927663"/>
    <w:rsid w:val="00927807"/>
    <w:rsid w:val="00927B05"/>
    <w:rsid w:val="00927B23"/>
    <w:rsid w:val="00927DA8"/>
    <w:rsid w:val="009300B2"/>
    <w:rsid w:val="009302A4"/>
    <w:rsid w:val="00930712"/>
    <w:rsid w:val="009310E4"/>
    <w:rsid w:val="0093137A"/>
    <w:rsid w:val="0093175F"/>
    <w:rsid w:val="009321CA"/>
    <w:rsid w:val="009321E8"/>
    <w:rsid w:val="00932721"/>
    <w:rsid w:val="009328DA"/>
    <w:rsid w:val="00932BDF"/>
    <w:rsid w:val="00932BF6"/>
    <w:rsid w:val="00932D97"/>
    <w:rsid w:val="00933026"/>
    <w:rsid w:val="009333A5"/>
    <w:rsid w:val="009333F4"/>
    <w:rsid w:val="009335EB"/>
    <w:rsid w:val="00933875"/>
    <w:rsid w:val="00934015"/>
    <w:rsid w:val="009340F1"/>
    <w:rsid w:val="00934BC4"/>
    <w:rsid w:val="00934DFC"/>
    <w:rsid w:val="00934EC1"/>
    <w:rsid w:val="0093554D"/>
    <w:rsid w:val="0093578E"/>
    <w:rsid w:val="0093655A"/>
    <w:rsid w:val="0093658E"/>
    <w:rsid w:val="009365B7"/>
    <w:rsid w:val="009367F1"/>
    <w:rsid w:val="009369A3"/>
    <w:rsid w:val="00936CFE"/>
    <w:rsid w:val="009370BC"/>
    <w:rsid w:val="00937300"/>
    <w:rsid w:val="009376AE"/>
    <w:rsid w:val="00937778"/>
    <w:rsid w:val="0093777F"/>
    <w:rsid w:val="0093785D"/>
    <w:rsid w:val="00937A82"/>
    <w:rsid w:val="00937AF0"/>
    <w:rsid w:val="00937D85"/>
    <w:rsid w:val="00940005"/>
    <w:rsid w:val="0094012F"/>
    <w:rsid w:val="00940328"/>
    <w:rsid w:val="0094076B"/>
    <w:rsid w:val="009408BD"/>
    <w:rsid w:val="00940AC9"/>
    <w:rsid w:val="00940C16"/>
    <w:rsid w:val="00940FF6"/>
    <w:rsid w:val="00941266"/>
    <w:rsid w:val="00941350"/>
    <w:rsid w:val="00941616"/>
    <w:rsid w:val="00941D0D"/>
    <w:rsid w:val="00942155"/>
    <w:rsid w:val="00942EAD"/>
    <w:rsid w:val="0094366C"/>
    <w:rsid w:val="00943962"/>
    <w:rsid w:val="00943E02"/>
    <w:rsid w:val="009440A5"/>
    <w:rsid w:val="0094419C"/>
    <w:rsid w:val="0094434A"/>
    <w:rsid w:val="0094486E"/>
    <w:rsid w:val="00944AFB"/>
    <w:rsid w:val="00944D45"/>
    <w:rsid w:val="00945199"/>
    <w:rsid w:val="009453AC"/>
    <w:rsid w:val="009456C1"/>
    <w:rsid w:val="00945AF5"/>
    <w:rsid w:val="00945D58"/>
    <w:rsid w:val="00945E2F"/>
    <w:rsid w:val="009462D0"/>
    <w:rsid w:val="0094633E"/>
    <w:rsid w:val="009463DD"/>
    <w:rsid w:val="00946EA7"/>
    <w:rsid w:val="00947229"/>
    <w:rsid w:val="00947D5F"/>
    <w:rsid w:val="009500EC"/>
    <w:rsid w:val="0095018D"/>
    <w:rsid w:val="009505EB"/>
    <w:rsid w:val="0095080B"/>
    <w:rsid w:val="00950947"/>
    <w:rsid w:val="009510E4"/>
    <w:rsid w:val="00951122"/>
    <w:rsid w:val="009515B8"/>
    <w:rsid w:val="00951DA9"/>
    <w:rsid w:val="0095217F"/>
    <w:rsid w:val="009521A8"/>
    <w:rsid w:val="0095247C"/>
    <w:rsid w:val="00952927"/>
    <w:rsid w:val="00952D24"/>
    <w:rsid w:val="00952DF2"/>
    <w:rsid w:val="00952EBE"/>
    <w:rsid w:val="00953275"/>
    <w:rsid w:val="009546E2"/>
    <w:rsid w:val="00954B8B"/>
    <w:rsid w:val="00954C2D"/>
    <w:rsid w:val="0095522B"/>
    <w:rsid w:val="00955372"/>
    <w:rsid w:val="009553B5"/>
    <w:rsid w:val="009554C7"/>
    <w:rsid w:val="0095599E"/>
    <w:rsid w:val="00955A59"/>
    <w:rsid w:val="00955C9D"/>
    <w:rsid w:val="00955F85"/>
    <w:rsid w:val="00956315"/>
    <w:rsid w:val="00956440"/>
    <w:rsid w:val="009566AD"/>
    <w:rsid w:val="00956D01"/>
    <w:rsid w:val="0095750E"/>
    <w:rsid w:val="009576F8"/>
    <w:rsid w:val="009578DC"/>
    <w:rsid w:val="00957B11"/>
    <w:rsid w:val="00957B3D"/>
    <w:rsid w:val="00957CBC"/>
    <w:rsid w:val="00960015"/>
    <w:rsid w:val="0096013D"/>
    <w:rsid w:val="009601F6"/>
    <w:rsid w:val="00960B4B"/>
    <w:rsid w:val="00960D5E"/>
    <w:rsid w:val="00960E28"/>
    <w:rsid w:val="009616C0"/>
    <w:rsid w:val="00961909"/>
    <w:rsid w:val="009629FE"/>
    <w:rsid w:val="00962B7D"/>
    <w:rsid w:val="0096303A"/>
    <w:rsid w:val="00963852"/>
    <w:rsid w:val="00963AEE"/>
    <w:rsid w:val="0096500D"/>
    <w:rsid w:val="009652B1"/>
    <w:rsid w:val="00965539"/>
    <w:rsid w:val="0096584C"/>
    <w:rsid w:val="00965ACB"/>
    <w:rsid w:val="00965E7F"/>
    <w:rsid w:val="00966027"/>
    <w:rsid w:val="00966EBB"/>
    <w:rsid w:val="009674BC"/>
    <w:rsid w:val="00967819"/>
    <w:rsid w:val="00967C3D"/>
    <w:rsid w:val="00970698"/>
    <w:rsid w:val="00970C57"/>
    <w:rsid w:val="00970D22"/>
    <w:rsid w:val="00971079"/>
    <w:rsid w:val="00971263"/>
    <w:rsid w:val="009713CB"/>
    <w:rsid w:val="00971413"/>
    <w:rsid w:val="009714B4"/>
    <w:rsid w:val="0097175E"/>
    <w:rsid w:val="00971799"/>
    <w:rsid w:val="009718BF"/>
    <w:rsid w:val="0097219B"/>
    <w:rsid w:val="00972473"/>
    <w:rsid w:val="0097250A"/>
    <w:rsid w:val="00972EFD"/>
    <w:rsid w:val="009731F1"/>
    <w:rsid w:val="00973504"/>
    <w:rsid w:val="00973B83"/>
    <w:rsid w:val="00973DF8"/>
    <w:rsid w:val="0097409F"/>
    <w:rsid w:val="009742FC"/>
    <w:rsid w:val="0097444D"/>
    <w:rsid w:val="0097485A"/>
    <w:rsid w:val="00974A42"/>
    <w:rsid w:val="00974B2E"/>
    <w:rsid w:val="00974CEC"/>
    <w:rsid w:val="0097518F"/>
    <w:rsid w:val="009754DF"/>
    <w:rsid w:val="00975BE9"/>
    <w:rsid w:val="009767D6"/>
    <w:rsid w:val="009769B2"/>
    <w:rsid w:val="00977206"/>
    <w:rsid w:val="009777DA"/>
    <w:rsid w:val="00980489"/>
    <w:rsid w:val="009806D0"/>
    <w:rsid w:val="009808B8"/>
    <w:rsid w:val="00980E22"/>
    <w:rsid w:val="00980E31"/>
    <w:rsid w:val="00980EAA"/>
    <w:rsid w:val="00980F8C"/>
    <w:rsid w:val="009813AA"/>
    <w:rsid w:val="0098152F"/>
    <w:rsid w:val="009816E7"/>
    <w:rsid w:val="009817FE"/>
    <w:rsid w:val="00981A28"/>
    <w:rsid w:val="00981CF9"/>
    <w:rsid w:val="009824B7"/>
    <w:rsid w:val="00982DFA"/>
    <w:rsid w:val="00982E22"/>
    <w:rsid w:val="009833F7"/>
    <w:rsid w:val="00984235"/>
    <w:rsid w:val="0098463E"/>
    <w:rsid w:val="00984D69"/>
    <w:rsid w:val="009855A7"/>
    <w:rsid w:val="0098592D"/>
    <w:rsid w:val="00985B15"/>
    <w:rsid w:val="00985E4E"/>
    <w:rsid w:val="009861DA"/>
    <w:rsid w:val="00986581"/>
    <w:rsid w:val="00986F4C"/>
    <w:rsid w:val="00987000"/>
    <w:rsid w:val="00987E05"/>
    <w:rsid w:val="0099023F"/>
    <w:rsid w:val="00990260"/>
    <w:rsid w:val="009908B6"/>
    <w:rsid w:val="009908E6"/>
    <w:rsid w:val="00990BA9"/>
    <w:rsid w:val="00991010"/>
    <w:rsid w:val="00991812"/>
    <w:rsid w:val="00991CD9"/>
    <w:rsid w:val="00991DA1"/>
    <w:rsid w:val="00991DCD"/>
    <w:rsid w:val="00992049"/>
    <w:rsid w:val="00992125"/>
    <w:rsid w:val="009922E4"/>
    <w:rsid w:val="00992688"/>
    <w:rsid w:val="00992787"/>
    <w:rsid w:val="0099285B"/>
    <w:rsid w:val="009929DD"/>
    <w:rsid w:val="00992CCC"/>
    <w:rsid w:val="00992D48"/>
    <w:rsid w:val="00992E6C"/>
    <w:rsid w:val="0099386A"/>
    <w:rsid w:val="00993B55"/>
    <w:rsid w:val="00993BE1"/>
    <w:rsid w:val="00993C94"/>
    <w:rsid w:val="00993D3E"/>
    <w:rsid w:val="00993D6F"/>
    <w:rsid w:val="00993DF7"/>
    <w:rsid w:val="009940DD"/>
    <w:rsid w:val="00994514"/>
    <w:rsid w:val="0099480C"/>
    <w:rsid w:val="00994FD6"/>
    <w:rsid w:val="0099503C"/>
    <w:rsid w:val="00995180"/>
    <w:rsid w:val="00995245"/>
    <w:rsid w:val="009955DC"/>
    <w:rsid w:val="009959D9"/>
    <w:rsid w:val="00995B0E"/>
    <w:rsid w:val="00995D75"/>
    <w:rsid w:val="00995EFC"/>
    <w:rsid w:val="00995F08"/>
    <w:rsid w:val="00995FEF"/>
    <w:rsid w:val="00996598"/>
    <w:rsid w:val="00996732"/>
    <w:rsid w:val="00996B72"/>
    <w:rsid w:val="00996C37"/>
    <w:rsid w:val="00996F1F"/>
    <w:rsid w:val="009973A1"/>
    <w:rsid w:val="00997B17"/>
    <w:rsid w:val="00997BF0"/>
    <w:rsid w:val="00997F67"/>
    <w:rsid w:val="009A006A"/>
    <w:rsid w:val="009A00D8"/>
    <w:rsid w:val="009A0AAC"/>
    <w:rsid w:val="009A0B66"/>
    <w:rsid w:val="009A0E85"/>
    <w:rsid w:val="009A0EB9"/>
    <w:rsid w:val="009A1015"/>
    <w:rsid w:val="009A11B8"/>
    <w:rsid w:val="009A1483"/>
    <w:rsid w:val="009A1588"/>
    <w:rsid w:val="009A1900"/>
    <w:rsid w:val="009A1F93"/>
    <w:rsid w:val="009A2135"/>
    <w:rsid w:val="009A28BE"/>
    <w:rsid w:val="009A2907"/>
    <w:rsid w:val="009A2C5C"/>
    <w:rsid w:val="009A2D1A"/>
    <w:rsid w:val="009A349F"/>
    <w:rsid w:val="009A34A8"/>
    <w:rsid w:val="009A3701"/>
    <w:rsid w:val="009A3848"/>
    <w:rsid w:val="009A39A9"/>
    <w:rsid w:val="009A3AAD"/>
    <w:rsid w:val="009A40B1"/>
    <w:rsid w:val="009A4130"/>
    <w:rsid w:val="009A4399"/>
    <w:rsid w:val="009A4492"/>
    <w:rsid w:val="009A44BE"/>
    <w:rsid w:val="009A4752"/>
    <w:rsid w:val="009A4C9C"/>
    <w:rsid w:val="009A4D59"/>
    <w:rsid w:val="009A5131"/>
    <w:rsid w:val="009A55F6"/>
    <w:rsid w:val="009A5B2A"/>
    <w:rsid w:val="009A615B"/>
    <w:rsid w:val="009A6389"/>
    <w:rsid w:val="009A676B"/>
    <w:rsid w:val="009A6804"/>
    <w:rsid w:val="009A69E8"/>
    <w:rsid w:val="009A734A"/>
    <w:rsid w:val="009A74F5"/>
    <w:rsid w:val="009A75B0"/>
    <w:rsid w:val="009A769B"/>
    <w:rsid w:val="009A7807"/>
    <w:rsid w:val="009A7AB2"/>
    <w:rsid w:val="009A7DC3"/>
    <w:rsid w:val="009B05FF"/>
    <w:rsid w:val="009B0D37"/>
    <w:rsid w:val="009B0FF8"/>
    <w:rsid w:val="009B1011"/>
    <w:rsid w:val="009B11C9"/>
    <w:rsid w:val="009B13FA"/>
    <w:rsid w:val="009B1625"/>
    <w:rsid w:val="009B1BF0"/>
    <w:rsid w:val="009B1DEE"/>
    <w:rsid w:val="009B2183"/>
    <w:rsid w:val="009B267E"/>
    <w:rsid w:val="009B2743"/>
    <w:rsid w:val="009B2744"/>
    <w:rsid w:val="009B295B"/>
    <w:rsid w:val="009B2B80"/>
    <w:rsid w:val="009B2D9C"/>
    <w:rsid w:val="009B3893"/>
    <w:rsid w:val="009B39A3"/>
    <w:rsid w:val="009B43CD"/>
    <w:rsid w:val="009B465E"/>
    <w:rsid w:val="009B4E9C"/>
    <w:rsid w:val="009B50B7"/>
    <w:rsid w:val="009B5EBB"/>
    <w:rsid w:val="009B6BE5"/>
    <w:rsid w:val="009B7053"/>
    <w:rsid w:val="009B7FF6"/>
    <w:rsid w:val="009C0073"/>
    <w:rsid w:val="009C0AB6"/>
    <w:rsid w:val="009C12AB"/>
    <w:rsid w:val="009C12CF"/>
    <w:rsid w:val="009C12F7"/>
    <w:rsid w:val="009C1473"/>
    <w:rsid w:val="009C1802"/>
    <w:rsid w:val="009C184C"/>
    <w:rsid w:val="009C1B21"/>
    <w:rsid w:val="009C23E6"/>
    <w:rsid w:val="009C24D5"/>
    <w:rsid w:val="009C3250"/>
    <w:rsid w:val="009C34CB"/>
    <w:rsid w:val="009C392F"/>
    <w:rsid w:val="009C39B8"/>
    <w:rsid w:val="009C3C83"/>
    <w:rsid w:val="009C3E99"/>
    <w:rsid w:val="009C4700"/>
    <w:rsid w:val="009C49AE"/>
    <w:rsid w:val="009C49BB"/>
    <w:rsid w:val="009C5645"/>
    <w:rsid w:val="009C567A"/>
    <w:rsid w:val="009C56D5"/>
    <w:rsid w:val="009C5B94"/>
    <w:rsid w:val="009C5C05"/>
    <w:rsid w:val="009C5D28"/>
    <w:rsid w:val="009C5E3F"/>
    <w:rsid w:val="009C61F7"/>
    <w:rsid w:val="009C658E"/>
    <w:rsid w:val="009C6620"/>
    <w:rsid w:val="009C6A43"/>
    <w:rsid w:val="009C6B39"/>
    <w:rsid w:val="009C6F71"/>
    <w:rsid w:val="009C719C"/>
    <w:rsid w:val="009C71B3"/>
    <w:rsid w:val="009C757F"/>
    <w:rsid w:val="009C76A6"/>
    <w:rsid w:val="009C7856"/>
    <w:rsid w:val="009C7BB7"/>
    <w:rsid w:val="009C7BDD"/>
    <w:rsid w:val="009C7D54"/>
    <w:rsid w:val="009C7F5A"/>
    <w:rsid w:val="009D0EFD"/>
    <w:rsid w:val="009D11F3"/>
    <w:rsid w:val="009D1438"/>
    <w:rsid w:val="009D15A7"/>
    <w:rsid w:val="009D16DE"/>
    <w:rsid w:val="009D1762"/>
    <w:rsid w:val="009D1D59"/>
    <w:rsid w:val="009D1DEE"/>
    <w:rsid w:val="009D1E33"/>
    <w:rsid w:val="009D2CD0"/>
    <w:rsid w:val="009D3663"/>
    <w:rsid w:val="009D3B49"/>
    <w:rsid w:val="009D3BD9"/>
    <w:rsid w:val="009D3DBB"/>
    <w:rsid w:val="009D3F65"/>
    <w:rsid w:val="009D5061"/>
    <w:rsid w:val="009D5306"/>
    <w:rsid w:val="009D55E7"/>
    <w:rsid w:val="009D5801"/>
    <w:rsid w:val="009D5C97"/>
    <w:rsid w:val="009D5CEC"/>
    <w:rsid w:val="009D5D61"/>
    <w:rsid w:val="009D6094"/>
    <w:rsid w:val="009D60CE"/>
    <w:rsid w:val="009D646E"/>
    <w:rsid w:val="009D6BB2"/>
    <w:rsid w:val="009D6D4E"/>
    <w:rsid w:val="009D7472"/>
    <w:rsid w:val="009E0146"/>
    <w:rsid w:val="009E0511"/>
    <w:rsid w:val="009E0604"/>
    <w:rsid w:val="009E064C"/>
    <w:rsid w:val="009E0B4F"/>
    <w:rsid w:val="009E0FEF"/>
    <w:rsid w:val="009E11B7"/>
    <w:rsid w:val="009E1790"/>
    <w:rsid w:val="009E19E5"/>
    <w:rsid w:val="009E1D20"/>
    <w:rsid w:val="009E218B"/>
    <w:rsid w:val="009E2497"/>
    <w:rsid w:val="009E2F20"/>
    <w:rsid w:val="009E305D"/>
    <w:rsid w:val="009E33F1"/>
    <w:rsid w:val="009E3892"/>
    <w:rsid w:val="009E40AA"/>
    <w:rsid w:val="009E4458"/>
    <w:rsid w:val="009E4488"/>
    <w:rsid w:val="009E450E"/>
    <w:rsid w:val="009E4554"/>
    <w:rsid w:val="009E4C10"/>
    <w:rsid w:val="009E5107"/>
    <w:rsid w:val="009E5756"/>
    <w:rsid w:val="009E57B7"/>
    <w:rsid w:val="009E66A5"/>
    <w:rsid w:val="009E6E97"/>
    <w:rsid w:val="009E6F5A"/>
    <w:rsid w:val="009E7D84"/>
    <w:rsid w:val="009F0341"/>
    <w:rsid w:val="009F111E"/>
    <w:rsid w:val="009F118E"/>
    <w:rsid w:val="009F1C2E"/>
    <w:rsid w:val="009F1C4C"/>
    <w:rsid w:val="009F1E0E"/>
    <w:rsid w:val="009F225B"/>
    <w:rsid w:val="009F22F5"/>
    <w:rsid w:val="009F2363"/>
    <w:rsid w:val="009F242C"/>
    <w:rsid w:val="009F275B"/>
    <w:rsid w:val="009F2EB2"/>
    <w:rsid w:val="009F2F8B"/>
    <w:rsid w:val="009F3081"/>
    <w:rsid w:val="009F3173"/>
    <w:rsid w:val="009F3C24"/>
    <w:rsid w:val="009F4435"/>
    <w:rsid w:val="009F44A8"/>
    <w:rsid w:val="009F4A60"/>
    <w:rsid w:val="009F4B27"/>
    <w:rsid w:val="009F4DC1"/>
    <w:rsid w:val="009F51A8"/>
    <w:rsid w:val="009F5238"/>
    <w:rsid w:val="009F57F1"/>
    <w:rsid w:val="009F586F"/>
    <w:rsid w:val="009F5C0B"/>
    <w:rsid w:val="009F6217"/>
    <w:rsid w:val="009F6BF8"/>
    <w:rsid w:val="009F6E74"/>
    <w:rsid w:val="009F73D0"/>
    <w:rsid w:val="009F7FF9"/>
    <w:rsid w:val="00A001DD"/>
    <w:rsid w:val="00A0024D"/>
    <w:rsid w:val="00A00277"/>
    <w:rsid w:val="00A00F46"/>
    <w:rsid w:val="00A01421"/>
    <w:rsid w:val="00A01B1B"/>
    <w:rsid w:val="00A01F23"/>
    <w:rsid w:val="00A02136"/>
    <w:rsid w:val="00A02B62"/>
    <w:rsid w:val="00A02C06"/>
    <w:rsid w:val="00A03165"/>
    <w:rsid w:val="00A031C7"/>
    <w:rsid w:val="00A0335B"/>
    <w:rsid w:val="00A035F4"/>
    <w:rsid w:val="00A036F2"/>
    <w:rsid w:val="00A03783"/>
    <w:rsid w:val="00A03F10"/>
    <w:rsid w:val="00A03FA7"/>
    <w:rsid w:val="00A043FA"/>
    <w:rsid w:val="00A0466A"/>
    <w:rsid w:val="00A04729"/>
    <w:rsid w:val="00A063B3"/>
    <w:rsid w:val="00A06810"/>
    <w:rsid w:val="00A06921"/>
    <w:rsid w:val="00A07005"/>
    <w:rsid w:val="00A07504"/>
    <w:rsid w:val="00A07FF2"/>
    <w:rsid w:val="00A100AE"/>
    <w:rsid w:val="00A10445"/>
    <w:rsid w:val="00A10579"/>
    <w:rsid w:val="00A11023"/>
    <w:rsid w:val="00A117BA"/>
    <w:rsid w:val="00A1185A"/>
    <w:rsid w:val="00A1206D"/>
    <w:rsid w:val="00A122A4"/>
    <w:rsid w:val="00A1291E"/>
    <w:rsid w:val="00A12A8F"/>
    <w:rsid w:val="00A12D44"/>
    <w:rsid w:val="00A12DA9"/>
    <w:rsid w:val="00A12FB2"/>
    <w:rsid w:val="00A13267"/>
    <w:rsid w:val="00A13353"/>
    <w:rsid w:val="00A13731"/>
    <w:rsid w:val="00A1388F"/>
    <w:rsid w:val="00A13C03"/>
    <w:rsid w:val="00A13D16"/>
    <w:rsid w:val="00A13DB3"/>
    <w:rsid w:val="00A13DB5"/>
    <w:rsid w:val="00A14B16"/>
    <w:rsid w:val="00A14D0A"/>
    <w:rsid w:val="00A150A9"/>
    <w:rsid w:val="00A154D2"/>
    <w:rsid w:val="00A15A82"/>
    <w:rsid w:val="00A15D57"/>
    <w:rsid w:val="00A15EFA"/>
    <w:rsid w:val="00A162BA"/>
    <w:rsid w:val="00A16613"/>
    <w:rsid w:val="00A16D15"/>
    <w:rsid w:val="00A16EDF"/>
    <w:rsid w:val="00A16F97"/>
    <w:rsid w:val="00A16FD5"/>
    <w:rsid w:val="00A17015"/>
    <w:rsid w:val="00A1745B"/>
    <w:rsid w:val="00A2001D"/>
    <w:rsid w:val="00A20030"/>
    <w:rsid w:val="00A20122"/>
    <w:rsid w:val="00A2039F"/>
    <w:rsid w:val="00A20630"/>
    <w:rsid w:val="00A20799"/>
    <w:rsid w:val="00A20A6C"/>
    <w:rsid w:val="00A20BD2"/>
    <w:rsid w:val="00A21136"/>
    <w:rsid w:val="00A2137C"/>
    <w:rsid w:val="00A21550"/>
    <w:rsid w:val="00A21C38"/>
    <w:rsid w:val="00A21E6E"/>
    <w:rsid w:val="00A22124"/>
    <w:rsid w:val="00A226B6"/>
    <w:rsid w:val="00A22AA8"/>
    <w:rsid w:val="00A22C55"/>
    <w:rsid w:val="00A22C82"/>
    <w:rsid w:val="00A2354F"/>
    <w:rsid w:val="00A23CB9"/>
    <w:rsid w:val="00A23E92"/>
    <w:rsid w:val="00A23F33"/>
    <w:rsid w:val="00A24398"/>
    <w:rsid w:val="00A244D2"/>
    <w:rsid w:val="00A24595"/>
    <w:rsid w:val="00A2511A"/>
    <w:rsid w:val="00A2520A"/>
    <w:rsid w:val="00A254C0"/>
    <w:rsid w:val="00A256AA"/>
    <w:rsid w:val="00A25B4B"/>
    <w:rsid w:val="00A25DEA"/>
    <w:rsid w:val="00A26372"/>
    <w:rsid w:val="00A263FD"/>
    <w:rsid w:val="00A2654B"/>
    <w:rsid w:val="00A266E1"/>
    <w:rsid w:val="00A26C49"/>
    <w:rsid w:val="00A271AA"/>
    <w:rsid w:val="00A27247"/>
    <w:rsid w:val="00A275AA"/>
    <w:rsid w:val="00A2794A"/>
    <w:rsid w:val="00A27984"/>
    <w:rsid w:val="00A2798D"/>
    <w:rsid w:val="00A27D56"/>
    <w:rsid w:val="00A305E5"/>
    <w:rsid w:val="00A306C3"/>
    <w:rsid w:val="00A316A6"/>
    <w:rsid w:val="00A31D7A"/>
    <w:rsid w:val="00A31FB8"/>
    <w:rsid w:val="00A32041"/>
    <w:rsid w:val="00A3225A"/>
    <w:rsid w:val="00A323FE"/>
    <w:rsid w:val="00A3242E"/>
    <w:rsid w:val="00A327A9"/>
    <w:rsid w:val="00A32C35"/>
    <w:rsid w:val="00A32C75"/>
    <w:rsid w:val="00A32C90"/>
    <w:rsid w:val="00A32EB9"/>
    <w:rsid w:val="00A3306C"/>
    <w:rsid w:val="00A33D13"/>
    <w:rsid w:val="00A33F49"/>
    <w:rsid w:val="00A34050"/>
    <w:rsid w:val="00A34147"/>
    <w:rsid w:val="00A34725"/>
    <w:rsid w:val="00A34942"/>
    <w:rsid w:val="00A3494F"/>
    <w:rsid w:val="00A35397"/>
    <w:rsid w:val="00A35425"/>
    <w:rsid w:val="00A3575B"/>
    <w:rsid w:val="00A3591F"/>
    <w:rsid w:val="00A35A8A"/>
    <w:rsid w:val="00A35CC2"/>
    <w:rsid w:val="00A35D4B"/>
    <w:rsid w:val="00A35EBA"/>
    <w:rsid w:val="00A36025"/>
    <w:rsid w:val="00A36079"/>
    <w:rsid w:val="00A360EC"/>
    <w:rsid w:val="00A361D4"/>
    <w:rsid w:val="00A362F9"/>
    <w:rsid w:val="00A3635F"/>
    <w:rsid w:val="00A36391"/>
    <w:rsid w:val="00A36DF0"/>
    <w:rsid w:val="00A371BD"/>
    <w:rsid w:val="00A371ED"/>
    <w:rsid w:val="00A37438"/>
    <w:rsid w:val="00A37B91"/>
    <w:rsid w:val="00A403F6"/>
    <w:rsid w:val="00A415F6"/>
    <w:rsid w:val="00A4173B"/>
    <w:rsid w:val="00A419CC"/>
    <w:rsid w:val="00A41A0D"/>
    <w:rsid w:val="00A41FE3"/>
    <w:rsid w:val="00A423D1"/>
    <w:rsid w:val="00A42E5A"/>
    <w:rsid w:val="00A4322E"/>
    <w:rsid w:val="00A4370B"/>
    <w:rsid w:val="00A4391E"/>
    <w:rsid w:val="00A44786"/>
    <w:rsid w:val="00A4499D"/>
    <w:rsid w:val="00A449AB"/>
    <w:rsid w:val="00A44C80"/>
    <w:rsid w:val="00A44ED7"/>
    <w:rsid w:val="00A45034"/>
    <w:rsid w:val="00A45043"/>
    <w:rsid w:val="00A45164"/>
    <w:rsid w:val="00A454F4"/>
    <w:rsid w:val="00A45794"/>
    <w:rsid w:val="00A45C1A"/>
    <w:rsid w:val="00A45E7A"/>
    <w:rsid w:val="00A463E8"/>
    <w:rsid w:val="00A464B9"/>
    <w:rsid w:val="00A4660C"/>
    <w:rsid w:val="00A46644"/>
    <w:rsid w:val="00A46712"/>
    <w:rsid w:val="00A4702C"/>
    <w:rsid w:val="00A475AE"/>
    <w:rsid w:val="00A47848"/>
    <w:rsid w:val="00A50966"/>
    <w:rsid w:val="00A510E4"/>
    <w:rsid w:val="00A511B9"/>
    <w:rsid w:val="00A51626"/>
    <w:rsid w:val="00A516F2"/>
    <w:rsid w:val="00A51BFA"/>
    <w:rsid w:val="00A51CAB"/>
    <w:rsid w:val="00A52189"/>
    <w:rsid w:val="00A523AB"/>
    <w:rsid w:val="00A52B52"/>
    <w:rsid w:val="00A52FC6"/>
    <w:rsid w:val="00A53267"/>
    <w:rsid w:val="00A5338F"/>
    <w:rsid w:val="00A533F9"/>
    <w:rsid w:val="00A53721"/>
    <w:rsid w:val="00A53854"/>
    <w:rsid w:val="00A5385A"/>
    <w:rsid w:val="00A539B3"/>
    <w:rsid w:val="00A539E8"/>
    <w:rsid w:val="00A53BE0"/>
    <w:rsid w:val="00A540C4"/>
    <w:rsid w:val="00A5443D"/>
    <w:rsid w:val="00A5471B"/>
    <w:rsid w:val="00A54799"/>
    <w:rsid w:val="00A550E5"/>
    <w:rsid w:val="00A550F4"/>
    <w:rsid w:val="00A5541C"/>
    <w:rsid w:val="00A556EA"/>
    <w:rsid w:val="00A5591C"/>
    <w:rsid w:val="00A55D3A"/>
    <w:rsid w:val="00A56028"/>
    <w:rsid w:val="00A563C0"/>
    <w:rsid w:val="00A565D7"/>
    <w:rsid w:val="00A56680"/>
    <w:rsid w:val="00A56788"/>
    <w:rsid w:val="00A56A81"/>
    <w:rsid w:val="00A56ABC"/>
    <w:rsid w:val="00A572DA"/>
    <w:rsid w:val="00A5734F"/>
    <w:rsid w:val="00A5743F"/>
    <w:rsid w:val="00A577A6"/>
    <w:rsid w:val="00A57B88"/>
    <w:rsid w:val="00A57C32"/>
    <w:rsid w:val="00A57C7D"/>
    <w:rsid w:val="00A605E8"/>
    <w:rsid w:val="00A6064D"/>
    <w:rsid w:val="00A60764"/>
    <w:rsid w:val="00A60A44"/>
    <w:rsid w:val="00A60DFD"/>
    <w:rsid w:val="00A61205"/>
    <w:rsid w:val="00A617F6"/>
    <w:rsid w:val="00A61817"/>
    <w:rsid w:val="00A61840"/>
    <w:rsid w:val="00A62116"/>
    <w:rsid w:val="00A62139"/>
    <w:rsid w:val="00A62282"/>
    <w:rsid w:val="00A6248C"/>
    <w:rsid w:val="00A624B2"/>
    <w:rsid w:val="00A626AA"/>
    <w:rsid w:val="00A62D1F"/>
    <w:rsid w:val="00A6334B"/>
    <w:rsid w:val="00A63CB5"/>
    <w:rsid w:val="00A63F3A"/>
    <w:rsid w:val="00A64020"/>
    <w:rsid w:val="00A64118"/>
    <w:rsid w:val="00A6412B"/>
    <w:rsid w:val="00A64338"/>
    <w:rsid w:val="00A64950"/>
    <w:rsid w:val="00A64B59"/>
    <w:rsid w:val="00A65C0F"/>
    <w:rsid w:val="00A65CE9"/>
    <w:rsid w:val="00A65FA6"/>
    <w:rsid w:val="00A660C0"/>
    <w:rsid w:val="00A66378"/>
    <w:rsid w:val="00A66925"/>
    <w:rsid w:val="00A66CCA"/>
    <w:rsid w:val="00A66DB8"/>
    <w:rsid w:val="00A66F59"/>
    <w:rsid w:val="00A66F7E"/>
    <w:rsid w:val="00A674E1"/>
    <w:rsid w:val="00A675C6"/>
    <w:rsid w:val="00A67762"/>
    <w:rsid w:val="00A67EF4"/>
    <w:rsid w:val="00A67F1D"/>
    <w:rsid w:val="00A70249"/>
    <w:rsid w:val="00A70657"/>
    <w:rsid w:val="00A70DAB"/>
    <w:rsid w:val="00A70FEF"/>
    <w:rsid w:val="00A713CE"/>
    <w:rsid w:val="00A71597"/>
    <w:rsid w:val="00A7225E"/>
    <w:rsid w:val="00A72327"/>
    <w:rsid w:val="00A723C5"/>
    <w:rsid w:val="00A72678"/>
    <w:rsid w:val="00A733B8"/>
    <w:rsid w:val="00A73761"/>
    <w:rsid w:val="00A73864"/>
    <w:rsid w:val="00A73E59"/>
    <w:rsid w:val="00A74076"/>
    <w:rsid w:val="00A74258"/>
    <w:rsid w:val="00A746F3"/>
    <w:rsid w:val="00A74790"/>
    <w:rsid w:val="00A74828"/>
    <w:rsid w:val="00A74F1B"/>
    <w:rsid w:val="00A7503D"/>
    <w:rsid w:val="00A7516A"/>
    <w:rsid w:val="00A754AA"/>
    <w:rsid w:val="00A754BC"/>
    <w:rsid w:val="00A7559E"/>
    <w:rsid w:val="00A75809"/>
    <w:rsid w:val="00A7595C"/>
    <w:rsid w:val="00A75F21"/>
    <w:rsid w:val="00A75F62"/>
    <w:rsid w:val="00A76096"/>
    <w:rsid w:val="00A7623E"/>
    <w:rsid w:val="00A765E3"/>
    <w:rsid w:val="00A765EA"/>
    <w:rsid w:val="00A76AB1"/>
    <w:rsid w:val="00A772FC"/>
    <w:rsid w:val="00A77E41"/>
    <w:rsid w:val="00A807A7"/>
    <w:rsid w:val="00A807DF"/>
    <w:rsid w:val="00A80879"/>
    <w:rsid w:val="00A808E9"/>
    <w:rsid w:val="00A80DBC"/>
    <w:rsid w:val="00A80DE3"/>
    <w:rsid w:val="00A813BB"/>
    <w:rsid w:val="00A81528"/>
    <w:rsid w:val="00A8154C"/>
    <w:rsid w:val="00A81ACF"/>
    <w:rsid w:val="00A81E17"/>
    <w:rsid w:val="00A81F3C"/>
    <w:rsid w:val="00A8258D"/>
    <w:rsid w:val="00A82679"/>
    <w:rsid w:val="00A82B77"/>
    <w:rsid w:val="00A82BE3"/>
    <w:rsid w:val="00A82DCE"/>
    <w:rsid w:val="00A83056"/>
    <w:rsid w:val="00A83101"/>
    <w:rsid w:val="00A8312D"/>
    <w:rsid w:val="00A83194"/>
    <w:rsid w:val="00A833FD"/>
    <w:rsid w:val="00A83652"/>
    <w:rsid w:val="00A83699"/>
    <w:rsid w:val="00A83D57"/>
    <w:rsid w:val="00A83D8B"/>
    <w:rsid w:val="00A83EDF"/>
    <w:rsid w:val="00A83F97"/>
    <w:rsid w:val="00A83F9B"/>
    <w:rsid w:val="00A84526"/>
    <w:rsid w:val="00A84805"/>
    <w:rsid w:val="00A84A20"/>
    <w:rsid w:val="00A84A9D"/>
    <w:rsid w:val="00A85406"/>
    <w:rsid w:val="00A8547F"/>
    <w:rsid w:val="00A854C9"/>
    <w:rsid w:val="00A85511"/>
    <w:rsid w:val="00A85570"/>
    <w:rsid w:val="00A8578E"/>
    <w:rsid w:val="00A85F65"/>
    <w:rsid w:val="00A861FE"/>
    <w:rsid w:val="00A86483"/>
    <w:rsid w:val="00A87132"/>
    <w:rsid w:val="00A872D8"/>
    <w:rsid w:val="00A87424"/>
    <w:rsid w:val="00A87721"/>
    <w:rsid w:val="00A87CB0"/>
    <w:rsid w:val="00A900E5"/>
    <w:rsid w:val="00A904C1"/>
    <w:rsid w:val="00A9056E"/>
    <w:rsid w:val="00A90A24"/>
    <w:rsid w:val="00A90F5B"/>
    <w:rsid w:val="00A90FDF"/>
    <w:rsid w:val="00A91064"/>
    <w:rsid w:val="00A91113"/>
    <w:rsid w:val="00A91651"/>
    <w:rsid w:val="00A918CB"/>
    <w:rsid w:val="00A9270F"/>
    <w:rsid w:val="00A92FE5"/>
    <w:rsid w:val="00A930B4"/>
    <w:rsid w:val="00A93397"/>
    <w:rsid w:val="00A93436"/>
    <w:rsid w:val="00A93780"/>
    <w:rsid w:val="00A93A83"/>
    <w:rsid w:val="00A93DE5"/>
    <w:rsid w:val="00A93F6D"/>
    <w:rsid w:val="00A9404D"/>
    <w:rsid w:val="00A9432F"/>
    <w:rsid w:val="00A94506"/>
    <w:rsid w:val="00A945E7"/>
    <w:rsid w:val="00A94641"/>
    <w:rsid w:val="00A94B4B"/>
    <w:rsid w:val="00A94CBD"/>
    <w:rsid w:val="00A95158"/>
    <w:rsid w:val="00A951BF"/>
    <w:rsid w:val="00A954EB"/>
    <w:rsid w:val="00A95573"/>
    <w:rsid w:val="00A956D2"/>
    <w:rsid w:val="00A95711"/>
    <w:rsid w:val="00A95C46"/>
    <w:rsid w:val="00A963C8"/>
    <w:rsid w:val="00A964B5"/>
    <w:rsid w:val="00A96BF7"/>
    <w:rsid w:val="00A97186"/>
    <w:rsid w:val="00A973A1"/>
    <w:rsid w:val="00A974F5"/>
    <w:rsid w:val="00A97662"/>
    <w:rsid w:val="00A9774C"/>
    <w:rsid w:val="00A97979"/>
    <w:rsid w:val="00A97AD7"/>
    <w:rsid w:val="00AA0174"/>
    <w:rsid w:val="00AA0625"/>
    <w:rsid w:val="00AA06C1"/>
    <w:rsid w:val="00AA09BC"/>
    <w:rsid w:val="00AA0BE1"/>
    <w:rsid w:val="00AA0C83"/>
    <w:rsid w:val="00AA135A"/>
    <w:rsid w:val="00AA143C"/>
    <w:rsid w:val="00AA169C"/>
    <w:rsid w:val="00AA1789"/>
    <w:rsid w:val="00AA1975"/>
    <w:rsid w:val="00AA1BCE"/>
    <w:rsid w:val="00AA1C55"/>
    <w:rsid w:val="00AA20C4"/>
    <w:rsid w:val="00AA22E2"/>
    <w:rsid w:val="00AA2483"/>
    <w:rsid w:val="00AA2500"/>
    <w:rsid w:val="00AA27E5"/>
    <w:rsid w:val="00AA299C"/>
    <w:rsid w:val="00AA2A80"/>
    <w:rsid w:val="00AA2AF0"/>
    <w:rsid w:val="00AA36A3"/>
    <w:rsid w:val="00AA36E2"/>
    <w:rsid w:val="00AA3825"/>
    <w:rsid w:val="00AA395D"/>
    <w:rsid w:val="00AA3CC7"/>
    <w:rsid w:val="00AA3F65"/>
    <w:rsid w:val="00AA3FD4"/>
    <w:rsid w:val="00AA424E"/>
    <w:rsid w:val="00AA49E4"/>
    <w:rsid w:val="00AA4DB6"/>
    <w:rsid w:val="00AA5011"/>
    <w:rsid w:val="00AA5C41"/>
    <w:rsid w:val="00AA5C99"/>
    <w:rsid w:val="00AA5D33"/>
    <w:rsid w:val="00AA63A1"/>
    <w:rsid w:val="00AA678D"/>
    <w:rsid w:val="00AA6D97"/>
    <w:rsid w:val="00AA731B"/>
    <w:rsid w:val="00AA737A"/>
    <w:rsid w:val="00AA7553"/>
    <w:rsid w:val="00AA7B03"/>
    <w:rsid w:val="00AA7B15"/>
    <w:rsid w:val="00AA7B37"/>
    <w:rsid w:val="00AA7C27"/>
    <w:rsid w:val="00AB003B"/>
    <w:rsid w:val="00AB09B3"/>
    <w:rsid w:val="00AB0E47"/>
    <w:rsid w:val="00AB0F53"/>
    <w:rsid w:val="00AB108B"/>
    <w:rsid w:val="00AB120A"/>
    <w:rsid w:val="00AB173A"/>
    <w:rsid w:val="00AB1748"/>
    <w:rsid w:val="00AB187A"/>
    <w:rsid w:val="00AB1A78"/>
    <w:rsid w:val="00AB1B5E"/>
    <w:rsid w:val="00AB1FCE"/>
    <w:rsid w:val="00AB2508"/>
    <w:rsid w:val="00AB2E5A"/>
    <w:rsid w:val="00AB31F9"/>
    <w:rsid w:val="00AB32B5"/>
    <w:rsid w:val="00AB33F6"/>
    <w:rsid w:val="00AB3DF7"/>
    <w:rsid w:val="00AB4426"/>
    <w:rsid w:val="00AB45E8"/>
    <w:rsid w:val="00AB465C"/>
    <w:rsid w:val="00AB47E4"/>
    <w:rsid w:val="00AB4DC4"/>
    <w:rsid w:val="00AB513D"/>
    <w:rsid w:val="00AB521B"/>
    <w:rsid w:val="00AB58E8"/>
    <w:rsid w:val="00AB59B9"/>
    <w:rsid w:val="00AB5C7B"/>
    <w:rsid w:val="00AB6C94"/>
    <w:rsid w:val="00AB6D2D"/>
    <w:rsid w:val="00AB76C2"/>
    <w:rsid w:val="00AB7BE5"/>
    <w:rsid w:val="00AB7EB6"/>
    <w:rsid w:val="00AC0047"/>
    <w:rsid w:val="00AC00E6"/>
    <w:rsid w:val="00AC0344"/>
    <w:rsid w:val="00AC0375"/>
    <w:rsid w:val="00AC04B0"/>
    <w:rsid w:val="00AC0CDC"/>
    <w:rsid w:val="00AC12A9"/>
    <w:rsid w:val="00AC1685"/>
    <w:rsid w:val="00AC18F0"/>
    <w:rsid w:val="00AC194C"/>
    <w:rsid w:val="00AC1B32"/>
    <w:rsid w:val="00AC1BCC"/>
    <w:rsid w:val="00AC1E18"/>
    <w:rsid w:val="00AC2244"/>
    <w:rsid w:val="00AC246F"/>
    <w:rsid w:val="00AC28BA"/>
    <w:rsid w:val="00AC2BA8"/>
    <w:rsid w:val="00AC2CA0"/>
    <w:rsid w:val="00AC2CEF"/>
    <w:rsid w:val="00AC2EBE"/>
    <w:rsid w:val="00AC34F4"/>
    <w:rsid w:val="00AC3A38"/>
    <w:rsid w:val="00AC3D79"/>
    <w:rsid w:val="00AC3EC9"/>
    <w:rsid w:val="00AC4518"/>
    <w:rsid w:val="00AC45D4"/>
    <w:rsid w:val="00AC50BA"/>
    <w:rsid w:val="00AC54C0"/>
    <w:rsid w:val="00AC573F"/>
    <w:rsid w:val="00AC5948"/>
    <w:rsid w:val="00AC5BAC"/>
    <w:rsid w:val="00AC5C98"/>
    <w:rsid w:val="00AC631C"/>
    <w:rsid w:val="00AC6321"/>
    <w:rsid w:val="00AC6345"/>
    <w:rsid w:val="00AC673D"/>
    <w:rsid w:val="00AC6AF5"/>
    <w:rsid w:val="00AC6F11"/>
    <w:rsid w:val="00AC70D3"/>
    <w:rsid w:val="00AC719D"/>
    <w:rsid w:val="00AC71F4"/>
    <w:rsid w:val="00AC7732"/>
    <w:rsid w:val="00AC7D0C"/>
    <w:rsid w:val="00AC7DAF"/>
    <w:rsid w:val="00AD0469"/>
    <w:rsid w:val="00AD06A9"/>
    <w:rsid w:val="00AD098B"/>
    <w:rsid w:val="00AD0AA3"/>
    <w:rsid w:val="00AD0BB1"/>
    <w:rsid w:val="00AD0D5E"/>
    <w:rsid w:val="00AD11F2"/>
    <w:rsid w:val="00AD16EC"/>
    <w:rsid w:val="00AD18AB"/>
    <w:rsid w:val="00AD1990"/>
    <w:rsid w:val="00AD1A7A"/>
    <w:rsid w:val="00AD1B69"/>
    <w:rsid w:val="00AD1D83"/>
    <w:rsid w:val="00AD1F76"/>
    <w:rsid w:val="00AD2ABB"/>
    <w:rsid w:val="00AD2CA6"/>
    <w:rsid w:val="00AD347B"/>
    <w:rsid w:val="00AD3655"/>
    <w:rsid w:val="00AD378B"/>
    <w:rsid w:val="00AD3C8B"/>
    <w:rsid w:val="00AD59A7"/>
    <w:rsid w:val="00AD5AD7"/>
    <w:rsid w:val="00AD5AE1"/>
    <w:rsid w:val="00AD5FFE"/>
    <w:rsid w:val="00AD63E4"/>
    <w:rsid w:val="00AD64EE"/>
    <w:rsid w:val="00AD66A4"/>
    <w:rsid w:val="00AD66D3"/>
    <w:rsid w:val="00AD72F7"/>
    <w:rsid w:val="00AD77A3"/>
    <w:rsid w:val="00AD7965"/>
    <w:rsid w:val="00AD7BFF"/>
    <w:rsid w:val="00AD7D28"/>
    <w:rsid w:val="00AD7E0D"/>
    <w:rsid w:val="00AE00D6"/>
    <w:rsid w:val="00AE0E3E"/>
    <w:rsid w:val="00AE1431"/>
    <w:rsid w:val="00AE153D"/>
    <w:rsid w:val="00AE15A2"/>
    <w:rsid w:val="00AE1B54"/>
    <w:rsid w:val="00AE1EEA"/>
    <w:rsid w:val="00AE2494"/>
    <w:rsid w:val="00AE262F"/>
    <w:rsid w:val="00AE2E7E"/>
    <w:rsid w:val="00AE34F4"/>
    <w:rsid w:val="00AE3AC7"/>
    <w:rsid w:val="00AE3AF8"/>
    <w:rsid w:val="00AE3F6A"/>
    <w:rsid w:val="00AE4549"/>
    <w:rsid w:val="00AE49B8"/>
    <w:rsid w:val="00AE5337"/>
    <w:rsid w:val="00AE58B5"/>
    <w:rsid w:val="00AE5BB7"/>
    <w:rsid w:val="00AE5E18"/>
    <w:rsid w:val="00AE6541"/>
    <w:rsid w:val="00AE661F"/>
    <w:rsid w:val="00AE684E"/>
    <w:rsid w:val="00AE689A"/>
    <w:rsid w:val="00AE6B1E"/>
    <w:rsid w:val="00AE6BF4"/>
    <w:rsid w:val="00AE77A8"/>
    <w:rsid w:val="00AE78DE"/>
    <w:rsid w:val="00AE7911"/>
    <w:rsid w:val="00AE7A5C"/>
    <w:rsid w:val="00AE7F87"/>
    <w:rsid w:val="00AF03BE"/>
    <w:rsid w:val="00AF053B"/>
    <w:rsid w:val="00AF068F"/>
    <w:rsid w:val="00AF0AA7"/>
    <w:rsid w:val="00AF0BDC"/>
    <w:rsid w:val="00AF0F01"/>
    <w:rsid w:val="00AF1288"/>
    <w:rsid w:val="00AF138E"/>
    <w:rsid w:val="00AF16B4"/>
    <w:rsid w:val="00AF1A7D"/>
    <w:rsid w:val="00AF2361"/>
    <w:rsid w:val="00AF2462"/>
    <w:rsid w:val="00AF2477"/>
    <w:rsid w:val="00AF265E"/>
    <w:rsid w:val="00AF2812"/>
    <w:rsid w:val="00AF2A47"/>
    <w:rsid w:val="00AF30F6"/>
    <w:rsid w:val="00AF324E"/>
    <w:rsid w:val="00AF38BF"/>
    <w:rsid w:val="00AF3A27"/>
    <w:rsid w:val="00AF3A43"/>
    <w:rsid w:val="00AF3BA7"/>
    <w:rsid w:val="00AF3BFD"/>
    <w:rsid w:val="00AF3CCF"/>
    <w:rsid w:val="00AF3E93"/>
    <w:rsid w:val="00AF401C"/>
    <w:rsid w:val="00AF43C8"/>
    <w:rsid w:val="00AF450D"/>
    <w:rsid w:val="00AF4592"/>
    <w:rsid w:val="00AF468C"/>
    <w:rsid w:val="00AF4760"/>
    <w:rsid w:val="00AF476F"/>
    <w:rsid w:val="00AF4898"/>
    <w:rsid w:val="00AF4E48"/>
    <w:rsid w:val="00AF52BE"/>
    <w:rsid w:val="00AF5EC9"/>
    <w:rsid w:val="00AF5ECC"/>
    <w:rsid w:val="00AF61EF"/>
    <w:rsid w:val="00AF61FB"/>
    <w:rsid w:val="00AF6B65"/>
    <w:rsid w:val="00AF6D8C"/>
    <w:rsid w:val="00AF6FC8"/>
    <w:rsid w:val="00AF6FE3"/>
    <w:rsid w:val="00AF760D"/>
    <w:rsid w:val="00AF785F"/>
    <w:rsid w:val="00AF7931"/>
    <w:rsid w:val="00AF7EA3"/>
    <w:rsid w:val="00AF7F6F"/>
    <w:rsid w:val="00B007BA"/>
    <w:rsid w:val="00B007E9"/>
    <w:rsid w:val="00B00FE5"/>
    <w:rsid w:val="00B0144E"/>
    <w:rsid w:val="00B0157F"/>
    <w:rsid w:val="00B016C6"/>
    <w:rsid w:val="00B018E5"/>
    <w:rsid w:val="00B026EF"/>
    <w:rsid w:val="00B02891"/>
    <w:rsid w:val="00B034BA"/>
    <w:rsid w:val="00B03A60"/>
    <w:rsid w:val="00B03A7E"/>
    <w:rsid w:val="00B03A91"/>
    <w:rsid w:val="00B03F33"/>
    <w:rsid w:val="00B03F4D"/>
    <w:rsid w:val="00B03F84"/>
    <w:rsid w:val="00B04AEF"/>
    <w:rsid w:val="00B04B60"/>
    <w:rsid w:val="00B04CC7"/>
    <w:rsid w:val="00B056C8"/>
    <w:rsid w:val="00B0570F"/>
    <w:rsid w:val="00B05750"/>
    <w:rsid w:val="00B058B1"/>
    <w:rsid w:val="00B05D72"/>
    <w:rsid w:val="00B0621B"/>
    <w:rsid w:val="00B0637F"/>
    <w:rsid w:val="00B06455"/>
    <w:rsid w:val="00B066FC"/>
    <w:rsid w:val="00B067AF"/>
    <w:rsid w:val="00B06827"/>
    <w:rsid w:val="00B0691F"/>
    <w:rsid w:val="00B06994"/>
    <w:rsid w:val="00B06D2D"/>
    <w:rsid w:val="00B06E74"/>
    <w:rsid w:val="00B06F59"/>
    <w:rsid w:val="00B0743D"/>
    <w:rsid w:val="00B07E79"/>
    <w:rsid w:val="00B07EF5"/>
    <w:rsid w:val="00B10582"/>
    <w:rsid w:val="00B10EEE"/>
    <w:rsid w:val="00B10F12"/>
    <w:rsid w:val="00B110C5"/>
    <w:rsid w:val="00B11402"/>
    <w:rsid w:val="00B114F5"/>
    <w:rsid w:val="00B115CC"/>
    <w:rsid w:val="00B11F32"/>
    <w:rsid w:val="00B1213D"/>
    <w:rsid w:val="00B121CA"/>
    <w:rsid w:val="00B121FE"/>
    <w:rsid w:val="00B12BEA"/>
    <w:rsid w:val="00B12CA8"/>
    <w:rsid w:val="00B12CB1"/>
    <w:rsid w:val="00B12D9E"/>
    <w:rsid w:val="00B13017"/>
    <w:rsid w:val="00B13050"/>
    <w:rsid w:val="00B133D6"/>
    <w:rsid w:val="00B134FD"/>
    <w:rsid w:val="00B136FC"/>
    <w:rsid w:val="00B13E27"/>
    <w:rsid w:val="00B14255"/>
    <w:rsid w:val="00B14A65"/>
    <w:rsid w:val="00B14CCF"/>
    <w:rsid w:val="00B151AA"/>
    <w:rsid w:val="00B155A7"/>
    <w:rsid w:val="00B1595B"/>
    <w:rsid w:val="00B15B5F"/>
    <w:rsid w:val="00B15CC9"/>
    <w:rsid w:val="00B15F75"/>
    <w:rsid w:val="00B15F99"/>
    <w:rsid w:val="00B1621D"/>
    <w:rsid w:val="00B16795"/>
    <w:rsid w:val="00B16E84"/>
    <w:rsid w:val="00B16F7C"/>
    <w:rsid w:val="00B16F9A"/>
    <w:rsid w:val="00B17100"/>
    <w:rsid w:val="00B17282"/>
    <w:rsid w:val="00B1736B"/>
    <w:rsid w:val="00B17490"/>
    <w:rsid w:val="00B17670"/>
    <w:rsid w:val="00B17685"/>
    <w:rsid w:val="00B17C82"/>
    <w:rsid w:val="00B20259"/>
    <w:rsid w:val="00B20CFC"/>
    <w:rsid w:val="00B21015"/>
    <w:rsid w:val="00B21346"/>
    <w:rsid w:val="00B2157C"/>
    <w:rsid w:val="00B217A0"/>
    <w:rsid w:val="00B21925"/>
    <w:rsid w:val="00B219E5"/>
    <w:rsid w:val="00B21EB1"/>
    <w:rsid w:val="00B21F8B"/>
    <w:rsid w:val="00B22188"/>
    <w:rsid w:val="00B22519"/>
    <w:rsid w:val="00B22702"/>
    <w:rsid w:val="00B2273B"/>
    <w:rsid w:val="00B228CC"/>
    <w:rsid w:val="00B22AEE"/>
    <w:rsid w:val="00B22E63"/>
    <w:rsid w:val="00B231CD"/>
    <w:rsid w:val="00B23253"/>
    <w:rsid w:val="00B234A3"/>
    <w:rsid w:val="00B23E25"/>
    <w:rsid w:val="00B240DE"/>
    <w:rsid w:val="00B2469B"/>
    <w:rsid w:val="00B24D28"/>
    <w:rsid w:val="00B250CD"/>
    <w:rsid w:val="00B255EF"/>
    <w:rsid w:val="00B258B8"/>
    <w:rsid w:val="00B25B27"/>
    <w:rsid w:val="00B25C98"/>
    <w:rsid w:val="00B25EF5"/>
    <w:rsid w:val="00B261AE"/>
    <w:rsid w:val="00B26B90"/>
    <w:rsid w:val="00B26B97"/>
    <w:rsid w:val="00B270B8"/>
    <w:rsid w:val="00B275C5"/>
    <w:rsid w:val="00B27FD4"/>
    <w:rsid w:val="00B30888"/>
    <w:rsid w:val="00B30B0E"/>
    <w:rsid w:val="00B30C34"/>
    <w:rsid w:val="00B30D2E"/>
    <w:rsid w:val="00B3104F"/>
    <w:rsid w:val="00B31524"/>
    <w:rsid w:val="00B319B2"/>
    <w:rsid w:val="00B31D8E"/>
    <w:rsid w:val="00B31EEA"/>
    <w:rsid w:val="00B32851"/>
    <w:rsid w:val="00B32AD8"/>
    <w:rsid w:val="00B3346B"/>
    <w:rsid w:val="00B33C6E"/>
    <w:rsid w:val="00B33E23"/>
    <w:rsid w:val="00B3437B"/>
    <w:rsid w:val="00B347A5"/>
    <w:rsid w:val="00B34A5F"/>
    <w:rsid w:val="00B34AFF"/>
    <w:rsid w:val="00B350EA"/>
    <w:rsid w:val="00B352B0"/>
    <w:rsid w:val="00B358F4"/>
    <w:rsid w:val="00B35F4B"/>
    <w:rsid w:val="00B35FC0"/>
    <w:rsid w:val="00B364E3"/>
    <w:rsid w:val="00B36537"/>
    <w:rsid w:val="00B365BF"/>
    <w:rsid w:val="00B36934"/>
    <w:rsid w:val="00B36A9C"/>
    <w:rsid w:val="00B36BDC"/>
    <w:rsid w:val="00B36C83"/>
    <w:rsid w:val="00B36D7A"/>
    <w:rsid w:val="00B372EB"/>
    <w:rsid w:val="00B37945"/>
    <w:rsid w:val="00B4022A"/>
    <w:rsid w:val="00B4028D"/>
    <w:rsid w:val="00B402DF"/>
    <w:rsid w:val="00B40CCC"/>
    <w:rsid w:val="00B40FA5"/>
    <w:rsid w:val="00B41076"/>
    <w:rsid w:val="00B41C3B"/>
    <w:rsid w:val="00B41D18"/>
    <w:rsid w:val="00B4212E"/>
    <w:rsid w:val="00B42639"/>
    <w:rsid w:val="00B42C3E"/>
    <w:rsid w:val="00B42E27"/>
    <w:rsid w:val="00B43223"/>
    <w:rsid w:val="00B43A72"/>
    <w:rsid w:val="00B43B06"/>
    <w:rsid w:val="00B43D12"/>
    <w:rsid w:val="00B43F38"/>
    <w:rsid w:val="00B44023"/>
    <w:rsid w:val="00B44459"/>
    <w:rsid w:val="00B448C8"/>
    <w:rsid w:val="00B448EA"/>
    <w:rsid w:val="00B4491C"/>
    <w:rsid w:val="00B4558A"/>
    <w:rsid w:val="00B459C9"/>
    <w:rsid w:val="00B45ABE"/>
    <w:rsid w:val="00B45D51"/>
    <w:rsid w:val="00B45ED3"/>
    <w:rsid w:val="00B45EDE"/>
    <w:rsid w:val="00B464F8"/>
    <w:rsid w:val="00B46528"/>
    <w:rsid w:val="00B468DD"/>
    <w:rsid w:val="00B46EDA"/>
    <w:rsid w:val="00B472E8"/>
    <w:rsid w:val="00B47365"/>
    <w:rsid w:val="00B47459"/>
    <w:rsid w:val="00B4754A"/>
    <w:rsid w:val="00B476E9"/>
    <w:rsid w:val="00B47796"/>
    <w:rsid w:val="00B5021B"/>
    <w:rsid w:val="00B50C65"/>
    <w:rsid w:val="00B51095"/>
    <w:rsid w:val="00B5109E"/>
    <w:rsid w:val="00B5163A"/>
    <w:rsid w:val="00B51CC7"/>
    <w:rsid w:val="00B51CF2"/>
    <w:rsid w:val="00B51EEB"/>
    <w:rsid w:val="00B5217B"/>
    <w:rsid w:val="00B52546"/>
    <w:rsid w:val="00B52BF8"/>
    <w:rsid w:val="00B52E8B"/>
    <w:rsid w:val="00B535E5"/>
    <w:rsid w:val="00B53676"/>
    <w:rsid w:val="00B538A3"/>
    <w:rsid w:val="00B53ED8"/>
    <w:rsid w:val="00B54046"/>
    <w:rsid w:val="00B54298"/>
    <w:rsid w:val="00B542C1"/>
    <w:rsid w:val="00B5436E"/>
    <w:rsid w:val="00B546E7"/>
    <w:rsid w:val="00B54CF6"/>
    <w:rsid w:val="00B54F91"/>
    <w:rsid w:val="00B55260"/>
    <w:rsid w:val="00B555C1"/>
    <w:rsid w:val="00B5592A"/>
    <w:rsid w:val="00B55BF1"/>
    <w:rsid w:val="00B55C13"/>
    <w:rsid w:val="00B55C21"/>
    <w:rsid w:val="00B5642A"/>
    <w:rsid w:val="00B5672A"/>
    <w:rsid w:val="00B56898"/>
    <w:rsid w:val="00B56AEB"/>
    <w:rsid w:val="00B56BBB"/>
    <w:rsid w:val="00B56E28"/>
    <w:rsid w:val="00B56EEE"/>
    <w:rsid w:val="00B5705D"/>
    <w:rsid w:val="00B5746D"/>
    <w:rsid w:val="00B57795"/>
    <w:rsid w:val="00B57D88"/>
    <w:rsid w:val="00B57D90"/>
    <w:rsid w:val="00B57E18"/>
    <w:rsid w:val="00B601FC"/>
    <w:rsid w:val="00B60497"/>
    <w:rsid w:val="00B60DC0"/>
    <w:rsid w:val="00B60FF5"/>
    <w:rsid w:val="00B613BE"/>
    <w:rsid w:val="00B6171C"/>
    <w:rsid w:val="00B62068"/>
    <w:rsid w:val="00B6242C"/>
    <w:rsid w:val="00B62A68"/>
    <w:rsid w:val="00B62EB8"/>
    <w:rsid w:val="00B631E7"/>
    <w:rsid w:val="00B63CC7"/>
    <w:rsid w:val="00B63F9C"/>
    <w:rsid w:val="00B63FBB"/>
    <w:rsid w:val="00B64141"/>
    <w:rsid w:val="00B649EF"/>
    <w:rsid w:val="00B64B61"/>
    <w:rsid w:val="00B64D5F"/>
    <w:rsid w:val="00B65229"/>
    <w:rsid w:val="00B658BA"/>
    <w:rsid w:val="00B65951"/>
    <w:rsid w:val="00B65B03"/>
    <w:rsid w:val="00B65E0C"/>
    <w:rsid w:val="00B66402"/>
    <w:rsid w:val="00B670D4"/>
    <w:rsid w:val="00B671BC"/>
    <w:rsid w:val="00B671D6"/>
    <w:rsid w:val="00B67347"/>
    <w:rsid w:val="00B67BB0"/>
    <w:rsid w:val="00B67BF5"/>
    <w:rsid w:val="00B67E67"/>
    <w:rsid w:val="00B7038C"/>
    <w:rsid w:val="00B705A7"/>
    <w:rsid w:val="00B70852"/>
    <w:rsid w:val="00B70EC4"/>
    <w:rsid w:val="00B7160F"/>
    <w:rsid w:val="00B71A72"/>
    <w:rsid w:val="00B71B71"/>
    <w:rsid w:val="00B71D4D"/>
    <w:rsid w:val="00B724A6"/>
    <w:rsid w:val="00B7270F"/>
    <w:rsid w:val="00B72AA6"/>
    <w:rsid w:val="00B72B28"/>
    <w:rsid w:val="00B73718"/>
    <w:rsid w:val="00B73B48"/>
    <w:rsid w:val="00B73C92"/>
    <w:rsid w:val="00B73DA8"/>
    <w:rsid w:val="00B73E38"/>
    <w:rsid w:val="00B740DD"/>
    <w:rsid w:val="00B74155"/>
    <w:rsid w:val="00B74B13"/>
    <w:rsid w:val="00B74FA6"/>
    <w:rsid w:val="00B75293"/>
    <w:rsid w:val="00B75B15"/>
    <w:rsid w:val="00B75BD7"/>
    <w:rsid w:val="00B75C80"/>
    <w:rsid w:val="00B75D78"/>
    <w:rsid w:val="00B7607C"/>
    <w:rsid w:val="00B76081"/>
    <w:rsid w:val="00B7615C"/>
    <w:rsid w:val="00B7651B"/>
    <w:rsid w:val="00B769CA"/>
    <w:rsid w:val="00B76D36"/>
    <w:rsid w:val="00B7707B"/>
    <w:rsid w:val="00B7724B"/>
    <w:rsid w:val="00B772C4"/>
    <w:rsid w:val="00B7770D"/>
    <w:rsid w:val="00B77D16"/>
    <w:rsid w:val="00B77D81"/>
    <w:rsid w:val="00B77E90"/>
    <w:rsid w:val="00B8038C"/>
    <w:rsid w:val="00B803BC"/>
    <w:rsid w:val="00B8072A"/>
    <w:rsid w:val="00B8074D"/>
    <w:rsid w:val="00B8092E"/>
    <w:rsid w:val="00B80B2F"/>
    <w:rsid w:val="00B80D10"/>
    <w:rsid w:val="00B80E36"/>
    <w:rsid w:val="00B8117A"/>
    <w:rsid w:val="00B811ED"/>
    <w:rsid w:val="00B81E4C"/>
    <w:rsid w:val="00B81F5E"/>
    <w:rsid w:val="00B822FA"/>
    <w:rsid w:val="00B82333"/>
    <w:rsid w:val="00B82771"/>
    <w:rsid w:val="00B82C75"/>
    <w:rsid w:val="00B83209"/>
    <w:rsid w:val="00B83354"/>
    <w:rsid w:val="00B83900"/>
    <w:rsid w:val="00B83AB8"/>
    <w:rsid w:val="00B83BFA"/>
    <w:rsid w:val="00B83C30"/>
    <w:rsid w:val="00B840F5"/>
    <w:rsid w:val="00B84258"/>
    <w:rsid w:val="00B8426F"/>
    <w:rsid w:val="00B84651"/>
    <w:rsid w:val="00B8499A"/>
    <w:rsid w:val="00B84FEA"/>
    <w:rsid w:val="00B8550C"/>
    <w:rsid w:val="00B8582D"/>
    <w:rsid w:val="00B86044"/>
    <w:rsid w:val="00B86162"/>
    <w:rsid w:val="00B86C20"/>
    <w:rsid w:val="00B86CDA"/>
    <w:rsid w:val="00B87253"/>
    <w:rsid w:val="00B87292"/>
    <w:rsid w:val="00B87353"/>
    <w:rsid w:val="00B87AF2"/>
    <w:rsid w:val="00B87B6D"/>
    <w:rsid w:val="00B9048F"/>
    <w:rsid w:val="00B907A9"/>
    <w:rsid w:val="00B9083E"/>
    <w:rsid w:val="00B90E37"/>
    <w:rsid w:val="00B91FB3"/>
    <w:rsid w:val="00B91FD4"/>
    <w:rsid w:val="00B92036"/>
    <w:rsid w:val="00B92223"/>
    <w:rsid w:val="00B923E2"/>
    <w:rsid w:val="00B924BD"/>
    <w:rsid w:val="00B92D34"/>
    <w:rsid w:val="00B9339E"/>
    <w:rsid w:val="00B93E1E"/>
    <w:rsid w:val="00B941D2"/>
    <w:rsid w:val="00B9440D"/>
    <w:rsid w:val="00B945D0"/>
    <w:rsid w:val="00B9533F"/>
    <w:rsid w:val="00B9555F"/>
    <w:rsid w:val="00B95561"/>
    <w:rsid w:val="00B956BE"/>
    <w:rsid w:val="00B95922"/>
    <w:rsid w:val="00B95EE3"/>
    <w:rsid w:val="00B975AC"/>
    <w:rsid w:val="00B9780E"/>
    <w:rsid w:val="00B979B4"/>
    <w:rsid w:val="00B97A68"/>
    <w:rsid w:val="00B97C22"/>
    <w:rsid w:val="00B97CCD"/>
    <w:rsid w:val="00B97E37"/>
    <w:rsid w:val="00B97ED7"/>
    <w:rsid w:val="00BA02D0"/>
    <w:rsid w:val="00BA0342"/>
    <w:rsid w:val="00BA0A76"/>
    <w:rsid w:val="00BA0B05"/>
    <w:rsid w:val="00BA0C6D"/>
    <w:rsid w:val="00BA0D0A"/>
    <w:rsid w:val="00BA0FEA"/>
    <w:rsid w:val="00BA1015"/>
    <w:rsid w:val="00BA182A"/>
    <w:rsid w:val="00BA1934"/>
    <w:rsid w:val="00BA1AB0"/>
    <w:rsid w:val="00BA1C79"/>
    <w:rsid w:val="00BA1E9C"/>
    <w:rsid w:val="00BA1E9D"/>
    <w:rsid w:val="00BA2400"/>
    <w:rsid w:val="00BA2ACD"/>
    <w:rsid w:val="00BA2AD7"/>
    <w:rsid w:val="00BA2B7E"/>
    <w:rsid w:val="00BA2F43"/>
    <w:rsid w:val="00BA345A"/>
    <w:rsid w:val="00BA3560"/>
    <w:rsid w:val="00BA427F"/>
    <w:rsid w:val="00BA47DD"/>
    <w:rsid w:val="00BA518E"/>
    <w:rsid w:val="00BA52AF"/>
    <w:rsid w:val="00BA56BC"/>
    <w:rsid w:val="00BA5BF9"/>
    <w:rsid w:val="00BA63E8"/>
    <w:rsid w:val="00BA65D9"/>
    <w:rsid w:val="00BA689E"/>
    <w:rsid w:val="00BA6A2A"/>
    <w:rsid w:val="00BA6A99"/>
    <w:rsid w:val="00BA6F11"/>
    <w:rsid w:val="00BA711D"/>
    <w:rsid w:val="00BA74A1"/>
    <w:rsid w:val="00BA755E"/>
    <w:rsid w:val="00BA7652"/>
    <w:rsid w:val="00BA7C9C"/>
    <w:rsid w:val="00BA7E1E"/>
    <w:rsid w:val="00BA7E45"/>
    <w:rsid w:val="00BB0052"/>
    <w:rsid w:val="00BB072B"/>
    <w:rsid w:val="00BB0F0A"/>
    <w:rsid w:val="00BB191F"/>
    <w:rsid w:val="00BB195B"/>
    <w:rsid w:val="00BB1A29"/>
    <w:rsid w:val="00BB1C2D"/>
    <w:rsid w:val="00BB1FA5"/>
    <w:rsid w:val="00BB22E7"/>
    <w:rsid w:val="00BB23B3"/>
    <w:rsid w:val="00BB26E5"/>
    <w:rsid w:val="00BB27FA"/>
    <w:rsid w:val="00BB2E09"/>
    <w:rsid w:val="00BB2E8F"/>
    <w:rsid w:val="00BB2FB0"/>
    <w:rsid w:val="00BB2FCC"/>
    <w:rsid w:val="00BB3016"/>
    <w:rsid w:val="00BB347D"/>
    <w:rsid w:val="00BB36F2"/>
    <w:rsid w:val="00BB3846"/>
    <w:rsid w:val="00BB3A51"/>
    <w:rsid w:val="00BB3C7B"/>
    <w:rsid w:val="00BB3F92"/>
    <w:rsid w:val="00BB42BF"/>
    <w:rsid w:val="00BB455E"/>
    <w:rsid w:val="00BB4729"/>
    <w:rsid w:val="00BB47B1"/>
    <w:rsid w:val="00BB507C"/>
    <w:rsid w:val="00BB5279"/>
    <w:rsid w:val="00BB5609"/>
    <w:rsid w:val="00BB5AE2"/>
    <w:rsid w:val="00BB5D4D"/>
    <w:rsid w:val="00BB5D64"/>
    <w:rsid w:val="00BB5EDF"/>
    <w:rsid w:val="00BB607E"/>
    <w:rsid w:val="00BB60A9"/>
    <w:rsid w:val="00BB657D"/>
    <w:rsid w:val="00BB65A2"/>
    <w:rsid w:val="00BB66E1"/>
    <w:rsid w:val="00BB725B"/>
    <w:rsid w:val="00BB738B"/>
    <w:rsid w:val="00BB79A2"/>
    <w:rsid w:val="00BB7EA2"/>
    <w:rsid w:val="00BB7F21"/>
    <w:rsid w:val="00BC00D6"/>
    <w:rsid w:val="00BC0324"/>
    <w:rsid w:val="00BC04F6"/>
    <w:rsid w:val="00BC0505"/>
    <w:rsid w:val="00BC1495"/>
    <w:rsid w:val="00BC1B0E"/>
    <w:rsid w:val="00BC1FE5"/>
    <w:rsid w:val="00BC2A3F"/>
    <w:rsid w:val="00BC2A69"/>
    <w:rsid w:val="00BC2CB1"/>
    <w:rsid w:val="00BC3302"/>
    <w:rsid w:val="00BC3478"/>
    <w:rsid w:val="00BC370C"/>
    <w:rsid w:val="00BC3DC7"/>
    <w:rsid w:val="00BC3E74"/>
    <w:rsid w:val="00BC3EBF"/>
    <w:rsid w:val="00BC3FFC"/>
    <w:rsid w:val="00BC4057"/>
    <w:rsid w:val="00BC4193"/>
    <w:rsid w:val="00BC44C6"/>
    <w:rsid w:val="00BC46E6"/>
    <w:rsid w:val="00BC46FD"/>
    <w:rsid w:val="00BC4797"/>
    <w:rsid w:val="00BC4859"/>
    <w:rsid w:val="00BC491B"/>
    <w:rsid w:val="00BC4998"/>
    <w:rsid w:val="00BC4A9A"/>
    <w:rsid w:val="00BC4BDE"/>
    <w:rsid w:val="00BC4DA6"/>
    <w:rsid w:val="00BC4E04"/>
    <w:rsid w:val="00BC4EA2"/>
    <w:rsid w:val="00BC51F4"/>
    <w:rsid w:val="00BC561A"/>
    <w:rsid w:val="00BC5627"/>
    <w:rsid w:val="00BC5D79"/>
    <w:rsid w:val="00BC5DA7"/>
    <w:rsid w:val="00BC5F05"/>
    <w:rsid w:val="00BC608B"/>
    <w:rsid w:val="00BC620F"/>
    <w:rsid w:val="00BC637D"/>
    <w:rsid w:val="00BC638E"/>
    <w:rsid w:val="00BC6F10"/>
    <w:rsid w:val="00BC713A"/>
    <w:rsid w:val="00BC74EE"/>
    <w:rsid w:val="00BC751B"/>
    <w:rsid w:val="00BC7BDD"/>
    <w:rsid w:val="00BC7C0B"/>
    <w:rsid w:val="00BC7D48"/>
    <w:rsid w:val="00BC7D7C"/>
    <w:rsid w:val="00BC7DA5"/>
    <w:rsid w:val="00BD005E"/>
    <w:rsid w:val="00BD00A0"/>
    <w:rsid w:val="00BD057B"/>
    <w:rsid w:val="00BD094C"/>
    <w:rsid w:val="00BD0A5E"/>
    <w:rsid w:val="00BD1292"/>
    <w:rsid w:val="00BD16F3"/>
    <w:rsid w:val="00BD188C"/>
    <w:rsid w:val="00BD197C"/>
    <w:rsid w:val="00BD1B05"/>
    <w:rsid w:val="00BD1F74"/>
    <w:rsid w:val="00BD25C8"/>
    <w:rsid w:val="00BD2850"/>
    <w:rsid w:val="00BD2C5A"/>
    <w:rsid w:val="00BD2FCF"/>
    <w:rsid w:val="00BD3B3B"/>
    <w:rsid w:val="00BD3BCB"/>
    <w:rsid w:val="00BD3E33"/>
    <w:rsid w:val="00BD477A"/>
    <w:rsid w:val="00BD47D7"/>
    <w:rsid w:val="00BD4B4A"/>
    <w:rsid w:val="00BD4E36"/>
    <w:rsid w:val="00BD5115"/>
    <w:rsid w:val="00BD5475"/>
    <w:rsid w:val="00BD5A7D"/>
    <w:rsid w:val="00BD5AED"/>
    <w:rsid w:val="00BD5B8B"/>
    <w:rsid w:val="00BD5CA5"/>
    <w:rsid w:val="00BD62CB"/>
    <w:rsid w:val="00BD6403"/>
    <w:rsid w:val="00BD644D"/>
    <w:rsid w:val="00BD68C0"/>
    <w:rsid w:val="00BD69BF"/>
    <w:rsid w:val="00BD6B7D"/>
    <w:rsid w:val="00BD7176"/>
    <w:rsid w:val="00BD7191"/>
    <w:rsid w:val="00BD7686"/>
    <w:rsid w:val="00BD76F0"/>
    <w:rsid w:val="00BD7C10"/>
    <w:rsid w:val="00BE0305"/>
    <w:rsid w:val="00BE08EB"/>
    <w:rsid w:val="00BE0A0D"/>
    <w:rsid w:val="00BE0AA9"/>
    <w:rsid w:val="00BE0BD4"/>
    <w:rsid w:val="00BE0FAC"/>
    <w:rsid w:val="00BE13ED"/>
    <w:rsid w:val="00BE1491"/>
    <w:rsid w:val="00BE1C1B"/>
    <w:rsid w:val="00BE1E23"/>
    <w:rsid w:val="00BE202A"/>
    <w:rsid w:val="00BE2478"/>
    <w:rsid w:val="00BE2871"/>
    <w:rsid w:val="00BE2AAD"/>
    <w:rsid w:val="00BE2AE1"/>
    <w:rsid w:val="00BE3099"/>
    <w:rsid w:val="00BE3125"/>
    <w:rsid w:val="00BE3435"/>
    <w:rsid w:val="00BE37BE"/>
    <w:rsid w:val="00BE3B5D"/>
    <w:rsid w:val="00BE40E5"/>
    <w:rsid w:val="00BE491D"/>
    <w:rsid w:val="00BE4C1C"/>
    <w:rsid w:val="00BE4C67"/>
    <w:rsid w:val="00BE514E"/>
    <w:rsid w:val="00BE554C"/>
    <w:rsid w:val="00BE55AE"/>
    <w:rsid w:val="00BE55E1"/>
    <w:rsid w:val="00BE5767"/>
    <w:rsid w:val="00BE5BD4"/>
    <w:rsid w:val="00BE5C9D"/>
    <w:rsid w:val="00BE5F0D"/>
    <w:rsid w:val="00BE636B"/>
    <w:rsid w:val="00BE6414"/>
    <w:rsid w:val="00BE65BC"/>
    <w:rsid w:val="00BE65D9"/>
    <w:rsid w:val="00BE694F"/>
    <w:rsid w:val="00BE6A3A"/>
    <w:rsid w:val="00BE6CDD"/>
    <w:rsid w:val="00BE7049"/>
    <w:rsid w:val="00BE742C"/>
    <w:rsid w:val="00BE74BD"/>
    <w:rsid w:val="00BE772B"/>
    <w:rsid w:val="00BE77CC"/>
    <w:rsid w:val="00BE7B58"/>
    <w:rsid w:val="00BE7D10"/>
    <w:rsid w:val="00BE7F68"/>
    <w:rsid w:val="00BE7FCE"/>
    <w:rsid w:val="00BE7FE3"/>
    <w:rsid w:val="00BE7FF1"/>
    <w:rsid w:val="00BF0558"/>
    <w:rsid w:val="00BF0C24"/>
    <w:rsid w:val="00BF0ED4"/>
    <w:rsid w:val="00BF0FCB"/>
    <w:rsid w:val="00BF130B"/>
    <w:rsid w:val="00BF1521"/>
    <w:rsid w:val="00BF1675"/>
    <w:rsid w:val="00BF188C"/>
    <w:rsid w:val="00BF1BB7"/>
    <w:rsid w:val="00BF1D5A"/>
    <w:rsid w:val="00BF1D63"/>
    <w:rsid w:val="00BF1EFF"/>
    <w:rsid w:val="00BF1F9C"/>
    <w:rsid w:val="00BF20D9"/>
    <w:rsid w:val="00BF245D"/>
    <w:rsid w:val="00BF2AD2"/>
    <w:rsid w:val="00BF2CA8"/>
    <w:rsid w:val="00BF33BF"/>
    <w:rsid w:val="00BF3462"/>
    <w:rsid w:val="00BF354B"/>
    <w:rsid w:val="00BF35FC"/>
    <w:rsid w:val="00BF3C69"/>
    <w:rsid w:val="00BF4189"/>
    <w:rsid w:val="00BF4466"/>
    <w:rsid w:val="00BF47DA"/>
    <w:rsid w:val="00BF49D8"/>
    <w:rsid w:val="00BF4A89"/>
    <w:rsid w:val="00BF4E0F"/>
    <w:rsid w:val="00BF54A5"/>
    <w:rsid w:val="00BF567B"/>
    <w:rsid w:val="00BF5EDE"/>
    <w:rsid w:val="00BF6009"/>
    <w:rsid w:val="00BF60CC"/>
    <w:rsid w:val="00BF6493"/>
    <w:rsid w:val="00BF6673"/>
    <w:rsid w:val="00BF6AAE"/>
    <w:rsid w:val="00BF6AB7"/>
    <w:rsid w:val="00BF7131"/>
    <w:rsid w:val="00BF749E"/>
    <w:rsid w:val="00BF7805"/>
    <w:rsid w:val="00BF7906"/>
    <w:rsid w:val="00BF793D"/>
    <w:rsid w:val="00C00819"/>
    <w:rsid w:val="00C00C03"/>
    <w:rsid w:val="00C00C35"/>
    <w:rsid w:val="00C01113"/>
    <w:rsid w:val="00C018DF"/>
    <w:rsid w:val="00C01B3F"/>
    <w:rsid w:val="00C02D85"/>
    <w:rsid w:val="00C02E74"/>
    <w:rsid w:val="00C02E8A"/>
    <w:rsid w:val="00C02ED4"/>
    <w:rsid w:val="00C02FA9"/>
    <w:rsid w:val="00C034AE"/>
    <w:rsid w:val="00C037CA"/>
    <w:rsid w:val="00C03B89"/>
    <w:rsid w:val="00C03CE8"/>
    <w:rsid w:val="00C03FD6"/>
    <w:rsid w:val="00C04265"/>
    <w:rsid w:val="00C04413"/>
    <w:rsid w:val="00C049F5"/>
    <w:rsid w:val="00C04A03"/>
    <w:rsid w:val="00C052DD"/>
    <w:rsid w:val="00C05303"/>
    <w:rsid w:val="00C05359"/>
    <w:rsid w:val="00C0578F"/>
    <w:rsid w:val="00C05B50"/>
    <w:rsid w:val="00C05BBB"/>
    <w:rsid w:val="00C05C0B"/>
    <w:rsid w:val="00C05CA2"/>
    <w:rsid w:val="00C0611A"/>
    <w:rsid w:val="00C06724"/>
    <w:rsid w:val="00C06B1A"/>
    <w:rsid w:val="00C06BFE"/>
    <w:rsid w:val="00C06EA6"/>
    <w:rsid w:val="00C070F8"/>
    <w:rsid w:val="00C078B3"/>
    <w:rsid w:val="00C07F92"/>
    <w:rsid w:val="00C103B5"/>
    <w:rsid w:val="00C10B23"/>
    <w:rsid w:val="00C10FF3"/>
    <w:rsid w:val="00C11C4F"/>
    <w:rsid w:val="00C11CE0"/>
    <w:rsid w:val="00C124EE"/>
    <w:rsid w:val="00C1262B"/>
    <w:rsid w:val="00C12794"/>
    <w:rsid w:val="00C1297A"/>
    <w:rsid w:val="00C13670"/>
    <w:rsid w:val="00C13759"/>
    <w:rsid w:val="00C13A42"/>
    <w:rsid w:val="00C13BE6"/>
    <w:rsid w:val="00C13C0E"/>
    <w:rsid w:val="00C13F20"/>
    <w:rsid w:val="00C1444F"/>
    <w:rsid w:val="00C14825"/>
    <w:rsid w:val="00C14E6B"/>
    <w:rsid w:val="00C15816"/>
    <w:rsid w:val="00C15ED3"/>
    <w:rsid w:val="00C16124"/>
    <w:rsid w:val="00C161CC"/>
    <w:rsid w:val="00C16438"/>
    <w:rsid w:val="00C164C4"/>
    <w:rsid w:val="00C1660C"/>
    <w:rsid w:val="00C16656"/>
    <w:rsid w:val="00C168EF"/>
    <w:rsid w:val="00C16E12"/>
    <w:rsid w:val="00C174E2"/>
    <w:rsid w:val="00C17A1F"/>
    <w:rsid w:val="00C17CB6"/>
    <w:rsid w:val="00C17DBA"/>
    <w:rsid w:val="00C2013B"/>
    <w:rsid w:val="00C203F8"/>
    <w:rsid w:val="00C20587"/>
    <w:rsid w:val="00C205A1"/>
    <w:rsid w:val="00C2080D"/>
    <w:rsid w:val="00C2089D"/>
    <w:rsid w:val="00C209C7"/>
    <w:rsid w:val="00C20AD5"/>
    <w:rsid w:val="00C20C14"/>
    <w:rsid w:val="00C20C3C"/>
    <w:rsid w:val="00C20D31"/>
    <w:rsid w:val="00C21094"/>
    <w:rsid w:val="00C21396"/>
    <w:rsid w:val="00C215C5"/>
    <w:rsid w:val="00C21788"/>
    <w:rsid w:val="00C219AE"/>
    <w:rsid w:val="00C21F4F"/>
    <w:rsid w:val="00C22445"/>
    <w:rsid w:val="00C23562"/>
    <w:rsid w:val="00C237B3"/>
    <w:rsid w:val="00C23BAA"/>
    <w:rsid w:val="00C24824"/>
    <w:rsid w:val="00C248B9"/>
    <w:rsid w:val="00C249F7"/>
    <w:rsid w:val="00C24ECF"/>
    <w:rsid w:val="00C24F36"/>
    <w:rsid w:val="00C24F83"/>
    <w:rsid w:val="00C25387"/>
    <w:rsid w:val="00C25459"/>
    <w:rsid w:val="00C2552B"/>
    <w:rsid w:val="00C2586D"/>
    <w:rsid w:val="00C26045"/>
    <w:rsid w:val="00C26341"/>
    <w:rsid w:val="00C268C3"/>
    <w:rsid w:val="00C268D4"/>
    <w:rsid w:val="00C26FCC"/>
    <w:rsid w:val="00C27192"/>
    <w:rsid w:val="00C271BA"/>
    <w:rsid w:val="00C273F5"/>
    <w:rsid w:val="00C275A4"/>
    <w:rsid w:val="00C27701"/>
    <w:rsid w:val="00C27777"/>
    <w:rsid w:val="00C2794C"/>
    <w:rsid w:val="00C2799C"/>
    <w:rsid w:val="00C27BBA"/>
    <w:rsid w:val="00C27D89"/>
    <w:rsid w:val="00C30187"/>
    <w:rsid w:val="00C306B3"/>
    <w:rsid w:val="00C3070C"/>
    <w:rsid w:val="00C307CF"/>
    <w:rsid w:val="00C30AA9"/>
    <w:rsid w:val="00C30E70"/>
    <w:rsid w:val="00C3121D"/>
    <w:rsid w:val="00C31231"/>
    <w:rsid w:val="00C31491"/>
    <w:rsid w:val="00C31671"/>
    <w:rsid w:val="00C316FB"/>
    <w:rsid w:val="00C3187F"/>
    <w:rsid w:val="00C31C1D"/>
    <w:rsid w:val="00C31C8F"/>
    <w:rsid w:val="00C31DD0"/>
    <w:rsid w:val="00C31EEE"/>
    <w:rsid w:val="00C323BA"/>
    <w:rsid w:val="00C32517"/>
    <w:rsid w:val="00C3288D"/>
    <w:rsid w:val="00C32BB0"/>
    <w:rsid w:val="00C32C53"/>
    <w:rsid w:val="00C32F8D"/>
    <w:rsid w:val="00C33149"/>
    <w:rsid w:val="00C3330D"/>
    <w:rsid w:val="00C33B26"/>
    <w:rsid w:val="00C33BD6"/>
    <w:rsid w:val="00C33EBE"/>
    <w:rsid w:val="00C33ED7"/>
    <w:rsid w:val="00C3413E"/>
    <w:rsid w:val="00C3478E"/>
    <w:rsid w:val="00C34EE9"/>
    <w:rsid w:val="00C35100"/>
    <w:rsid w:val="00C355A2"/>
    <w:rsid w:val="00C35919"/>
    <w:rsid w:val="00C35B19"/>
    <w:rsid w:val="00C3629F"/>
    <w:rsid w:val="00C362E3"/>
    <w:rsid w:val="00C36933"/>
    <w:rsid w:val="00C36ED4"/>
    <w:rsid w:val="00C371E5"/>
    <w:rsid w:val="00C37540"/>
    <w:rsid w:val="00C37548"/>
    <w:rsid w:val="00C3760A"/>
    <w:rsid w:val="00C37785"/>
    <w:rsid w:val="00C37AC6"/>
    <w:rsid w:val="00C37CC6"/>
    <w:rsid w:val="00C40178"/>
    <w:rsid w:val="00C40917"/>
    <w:rsid w:val="00C40B5C"/>
    <w:rsid w:val="00C40FDA"/>
    <w:rsid w:val="00C4170A"/>
    <w:rsid w:val="00C41BD2"/>
    <w:rsid w:val="00C41C17"/>
    <w:rsid w:val="00C41CAE"/>
    <w:rsid w:val="00C41F4F"/>
    <w:rsid w:val="00C4256D"/>
    <w:rsid w:val="00C42729"/>
    <w:rsid w:val="00C4288A"/>
    <w:rsid w:val="00C42D58"/>
    <w:rsid w:val="00C435E9"/>
    <w:rsid w:val="00C43637"/>
    <w:rsid w:val="00C43A69"/>
    <w:rsid w:val="00C43B9B"/>
    <w:rsid w:val="00C43F8B"/>
    <w:rsid w:val="00C44211"/>
    <w:rsid w:val="00C443D5"/>
    <w:rsid w:val="00C44647"/>
    <w:rsid w:val="00C4483A"/>
    <w:rsid w:val="00C449C6"/>
    <w:rsid w:val="00C44DE5"/>
    <w:rsid w:val="00C4500C"/>
    <w:rsid w:val="00C4510D"/>
    <w:rsid w:val="00C4564E"/>
    <w:rsid w:val="00C462F2"/>
    <w:rsid w:val="00C466BC"/>
    <w:rsid w:val="00C4691D"/>
    <w:rsid w:val="00C46B18"/>
    <w:rsid w:val="00C46E26"/>
    <w:rsid w:val="00C471FB"/>
    <w:rsid w:val="00C47E06"/>
    <w:rsid w:val="00C47F96"/>
    <w:rsid w:val="00C50E13"/>
    <w:rsid w:val="00C50F17"/>
    <w:rsid w:val="00C5102D"/>
    <w:rsid w:val="00C514CB"/>
    <w:rsid w:val="00C51D83"/>
    <w:rsid w:val="00C51E9F"/>
    <w:rsid w:val="00C522B5"/>
    <w:rsid w:val="00C522CA"/>
    <w:rsid w:val="00C522F0"/>
    <w:rsid w:val="00C52351"/>
    <w:rsid w:val="00C523DF"/>
    <w:rsid w:val="00C52668"/>
    <w:rsid w:val="00C527ED"/>
    <w:rsid w:val="00C528A4"/>
    <w:rsid w:val="00C528E0"/>
    <w:rsid w:val="00C52A1E"/>
    <w:rsid w:val="00C52DA5"/>
    <w:rsid w:val="00C52DA7"/>
    <w:rsid w:val="00C53631"/>
    <w:rsid w:val="00C536E5"/>
    <w:rsid w:val="00C53ADC"/>
    <w:rsid w:val="00C541EC"/>
    <w:rsid w:val="00C54698"/>
    <w:rsid w:val="00C54709"/>
    <w:rsid w:val="00C54A0B"/>
    <w:rsid w:val="00C54A1A"/>
    <w:rsid w:val="00C54A8D"/>
    <w:rsid w:val="00C54B76"/>
    <w:rsid w:val="00C54CE2"/>
    <w:rsid w:val="00C55575"/>
    <w:rsid w:val="00C555A3"/>
    <w:rsid w:val="00C55C44"/>
    <w:rsid w:val="00C55EBD"/>
    <w:rsid w:val="00C56800"/>
    <w:rsid w:val="00C56B28"/>
    <w:rsid w:val="00C56CBD"/>
    <w:rsid w:val="00C56CD6"/>
    <w:rsid w:val="00C56CFF"/>
    <w:rsid w:val="00C571BF"/>
    <w:rsid w:val="00C5724C"/>
    <w:rsid w:val="00C57808"/>
    <w:rsid w:val="00C57827"/>
    <w:rsid w:val="00C57E3E"/>
    <w:rsid w:val="00C57E74"/>
    <w:rsid w:val="00C6002F"/>
    <w:rsid w:val="00C604FC"/>
    <w:rsid w:val="00C60AFF"/>
    <w:rsid w:val="00C60DCD"/>
    <w:rsid w:val="00C60F77"/>
    <w:rsid w:val="00C612BF"/>
    <w:rsid w:val="00C61388"/>
    <w:rsid w:val="00C61603"/>
    <w:rsid w:val="00C6163A"/>
    <w:rsid w:val="00C61B7E"/>
    <w:rsid w:val="00C61E3C"/>
    <w:rsid w:val="00C61EC2"/>
    <w:rsid w:val="00C62508"/>
    <w:rsid w:val="00C62EF1"/>
    <w:rsid w:val="00C63176"/>
    <w:rsid w:val="00C634E1"/>
    <w:rsid w:val="00C63BBC"/>
    <w:rsid w:val="00C6448E"/>
    <w:rsid w:val="00C6486A"/>
    <w:rsid w:val="00C64A0E"/>
    <w:rsid w:val="00C653F5"/>
    <w:rsid w:val="00C6563D"/>
    <w:rsid w:val="00C6672C"/>
    <w:rsid w:val="00C66751"/>
    <w:rsid w:val="00C6720D"/>
    <w:rsid w:val="00C67800"/>
    <w:rsid w:val="00C7063F"/>
    <w:rsid w:val="00C706F8"/>
    <w:rsid w:val="00C70953"/>
    <w:rsid w:val="00C70A6A"/>
    <w:rsid w:val="00C70B16"/>
    <w:rsid w:val="00C70C59"/>
    <w:rsid w:val="00C70D35"/>
    <w:rsid w:val="00C70F84"/>
    <w:rsid w:val="00C71323"/>
    <w:rsid w:val="00C71D2A"/>
    <w:rsid w:val="00C71DE5"/>
    <w:rsid w:val="00C71E8A"/>
    <w:rsid w:val="00C720B3"/>
    <w:rsid w:val="00C7228B"/>
    <w:rsid w:val="00C72442"/>
    <w:rsid w:val="00C72BA6"/>
    <w:rsid w:val="00C73163"/>
    <w:rsid w:val="00C732A5"/>
    <w:rsid w:val="00C73567"/>
    <w:rsid w:val="00C73618"/>
    <w:rsid w:val="00C73630"/>
    <w:rsid w:val="00C7393A"/>
    <w:rsid w:val="00C745D5"/>
    <w:rsid w:val="00C74728"/>
    <w:rsid w:val="00C74996"/>
    <w:rsid w:val="00C74B64"/>
    <w:rsid w:val="00C74F4D"/>
    <w:rsid w:val="00C75ABF"/>
    <w:rsid w:val="00C75D7C"/>
    <w:rsid w:val="00C75EEC"/>
    <w:rsid w:val="00C765ED"/>
    <w:rsid w:val="00C76625"/>
    <w:rsid w:val="00C766DB"/>
    <w:rsid w:val="00C7678C"/>
    <w:rsid w:val="00C76ABA"/>
    <w:rsid w:val="00C76D3D"/>
    <w:rsid w:val="00C76E18"/>
    <w:rsid w:val="00C76EAF"/>
    <w:rsid w:val="00C77020"/>
    <w:rsid w:val="00C774AA"/>
    <w:rsid w:val="00C77604"/>
    <w:rsid w:val="00C776D9"/>
    <w:rsid w:val="00C77716"/>
    <w:rsid w:val="00C77AD3"/>
    <w:rsid w:val="00C77C38"/>
    <w:rsid w:val="00C77E52"/>
    <w:rsid w:val="00C802A0"/>
    <w:rsid w:val="00C80760"/>
    <w:rsid w:val="00C80B88"/>
    <w:rsid w:val="00C81078"/>
    <w:rsid w:val="00C8169F"/>
    <w:rsid w:val="00C823E7"/>
    <w:rsid w:val="00C8258B"/>
    <w:rsid w:val="00C829DB"/>
    <w:rsid w:val="00C829DC"/>
    <w:rsid w:val="00C82DBE"/>
    <w:rsid w:val="00C8315A"/>
    <w:rsid w:val="00C836A9"/>
    <w:rsid w:val="00C83F3D"/>
    <w:rsid w:val="00C842AB"/>
    <w:rsid w:val="00C8467A"/>
    <w:rsid w:val="00C84715"/>
    <w:rsid w:val="00C847AE"/>
    <w:rsid w:val="00C847EF"/>
    <w:rsid w:val="00C84C5A"/>
    <w:rsid w:val="00C84CA5"/>
    <w:rsid w:val="00C85681"/>
    <w:rsid w:val="00C86016"/>
    <w:rsid w:val="00C86095"/>
    <w:rsid w:val="00C86113"/>
    <w:rsid w:val="00C861F0"/>
    <w:rsid w:val="00C8629A"/>
    <w:rsid w:val="00C862F0"/>
    <w:rsid w:val="00C8644E"/>
    <w:rsid w:val="00C86E22"/>
    <w:rsid w:val="00C86ECC"/>
    <w:rsid w:val="00C87CBC"/>
    <w:rsid w:val="00C87D7C"/>
    <w:rsid w:val="00C87E38"/>
    <w:rsid w:val="00C90162"/>
    <w:rsid w:val="00C90645"/>
    <w:rsid w:val="00C91682"/>
    <w:rsid w:val="00C91DBB"/>
    <w:rsid w:val="00C920EE"/>
    <w:rsid w:val="00C921F2"/>
    <w:rsid w:val="00C92297"/>
    <w:rsid w:val="00C92482"/>
    <w:rsid w:val="00C925BD"/>
    <w:rsid w:val="00C92B29"/>
    <w:rsid w:val="00C9301F"/>
    <w:rsid w:val="00C93101"/>
    <w:rsid w:val="00C93215"/>
    <w:rsid w:val="00C932EA"/>
    <w:rsid w:val="00C93571"/>
    <w:rsid w:val="00C94235"/>
    <w:rsid w:val="00C942D7"/>
    <w:rsid w:val="00C94F24"/>
    <w:rsid w:val="00C950F6"/>
    <w:rsid w:val="00C95275"/>
    <w:rsid w:val="00C9539E"/>
    <w:rsid w:val="00C95707"/>
    <w:rsid w:val="00C95F0A"/>
    <w:rsid w:val="00C95FB2"/>
    <w:rsid w:val="00C95FF0"/>
    <w:rsid w:val="00C9643F"/>
    <w:rsid w:val="00C96AF9"/>
    <w:rsid w:val="00C96ED5"/>
    <w:rsid w:val="00C96EEF"/>
    <w:rsid w:val="00C97192"/>
    <w:rsid w:val="00C973F5"/>
    <w:rsid w:val="00C97AD0"/>
    <w:rsid w:val="00C97C43"/>
    <w:rsid w:val="00C97CF8"/>
    <w:rsid w:val="00CA04B4"/>
    <w:rsid w:val="00CA081F"/>
    <w:rsid w:val="00CA0A76"/>
    <w:rsid w:val="00CA0B17"/>
    <w:rsid w:val="00CA0B3D"/>
    <w:rsid w:val="00CA0B43"/>
    <w:rsid w:val="00CA1111"/>
    <w:rsid w:val="00CA12F6"/>
    <w:rsid w:val="00CA1454"/>
    <w:rsid w:val="00CA16B0"/>
    <w:rsid w:val="00CA1982"/>
    <w:rsid w:val="00CA1B36"/>
    <w:rsid w:val="00CA1C0A"/>
    <w:rsid w:val="00CA207C"/>
    <w:rsid w:val="00CA21EF"/>
    <w:rsid w:val="00CA2A99"/>
    <w:rsid w:val="00CA2D11"/>
    <w:rsid w:val="00CA30F9"/>
    <w:rsid w:val="00CA36C4"/>
    <w:rsid w:val="00CA37B7"/>
    <w:rsid w:val="00CA3FF4"/>
    <w:rsid w:val="00CA46C3"/>
    <w:rsid w:val="00CA4AC9"/>
    <w:rsid w:val="00CA4CC4"/>
    <w:rsid w:val="00CA52B8"/>
    <w:rsid w:val="00CA5736"/>
    <w:rsid w:val="00CA5747"/>
    <w:rsid w:val="00CA5C5F"/>
    <w:rsid w:val="00CA6271"/>
    <w:rsid w:val="00CA65A0"/>
    <w:rsid w:val="00CA65F0"/>
    <w:rsid w:val="00CA66EA"/>
    <w:rsid w:val="00CA678A"/>
    <w:rsid w:val="00CA6B79"/>
    <w:rsid w:val="00CA7302"/>
    <w:rsid w:val="00CB011A"/>
    <w:rsid w:val="00CB0799"/>
    <w:rsid w:val="00CB08CD"/>
    <w:rsid w:val="00CB1821"/>
    <w:rsid w:val="00CB18D0"/>
    <w:rsid w:val="00CB1C46"/>
    <w:rsid w:val="00CB1EB8"/>
    <w:rsid w:val="00CB1F3A"/>
    <w:rsid w:val="00CB2148"/>
    <w:rsid w:val="00CB2371"/>
    <w:rsid w:val="00CB2674"/>
    <w:rsid w:val="00CB2CA5"/>
    <w:rsid w:val="00CB3EC8"/>
    <w:rsid w:val="00CB3FDC"/>
    <w:rsid w:val="00CB4197"/>
    <w:rsid w:val="00CB42DD"/>
    <w:rsid w:val="00CB42EF"/>
    <w:rsid w:val="00CB49F7"/>
    <w:rsid w:val="00CB4D5C"/>
    <w:rsid w:val="00CB5177"/>
    <w:rsid w:val="00CB5218"/>
    <w:rsid w:val="00CB52ED"/>
    <w:rsid w:val="00CB543E"/>
    <w:rsid w:val="00CB5447"/>
    <w:rsid w:val="00CB54D3"/>
    <w:rsid w:val="00CB55F3"/>
    <w:rsid w:val="00CB5811"/>
    <w:rsid w:val="00CB61B7"/>
    <w:rsid w:val="00CB621B"/>
    <w:rsid w:val="00CB66A1"/>
    <w:rsid w:val="00CB67D1"/>
    <w:rsid w:val="00CB72AE"/>
    <w:rsid w:val="00CB7C61"/>
    <w:rsid w:val="00CB7D12"/>
    <w:rsid w:val="00CC099A"/>
    <w:rsid w:val="00CC0EAF"/>
    <w:rsid w:val="00CC0FE7"/>
    <w:rsid w:val="00CC11D8"/>
    <w:rsid w:val="00CC1264"/>
    <w:rsid w:val="00CC12B1"/>
    <w:rsid w:val="00CC12CE"/>
    <w:rsid w:val="00CC197E"/>
    <w:rsid w:val="00CC19FD"/>
    <w:rsid w:val="00CC1AB1"/>
    <w:rsid w:val="00CC1FDB"/>
    <w:rsid w:val="00CC2B27"/>
    <w:rsid w:val="00CC31AD"/>
    <w:rsid w:val="00CC3931"/>
    <w:rsid w:val="00CC3F5D"/>
    <w:rsid w:val="00CC47DF"/>
    <w:rsid w:val="00CC4B9D"/>
    <w:rsid w:val="00CC4DD8"/>
    <w:rsid w:val="00CC6119"/>
    <w:rsid w:val="00CC61F4"/>
    <w:rsid w:val="00CC662F"/>
    <w:rsid w:val="00CC66A1"/>
    <w:rsid w:val="00CC6A61"/>
    <w:rsid w:val="00CC6D8E"/>
    <w:rsid w:val="00CC707C"/>
    <w:rsid w:val="00CC78BD"/>
    <w:rsid w:val="00CC7B2C"/>
    <w:rsid w:val="00CC7DDD"/>
    <w:rsid w:val="00CD0617"/>
    <w:rsid w:val="00CD0790"/>
    <w:rsid w:val="00CD0CCF"/>
    <w:rsid w:val="00CD0DCC"/>
    <w:rsid w:val="00CD0E95"/>
    <w:rsid w:val="00CD141F"/>
    <w:rsid w:val="00CD1A2B"/>
    <w:rsid w:val="00CD2138"/>
    <w:rsid w:val="00CD2771"/>
    <w:rsid w:val="00CD27D1"/>
    <w:rsid w:val="00CD27F1"/>
    <w:rsid w:val="00CD28DE"/>
    <w:rsid w:val="00CD2B1F"/>
    <w:rsid w:val="00CD2C43"/>
    <w:rsid w:val="00CD2E24"/>
    <w:rsid w:val="00CD2F57"/>
    <w:rsid w:val="00CD366F"/>
    <w:rsid w:val="00CD394A"/>
    <w:rsid w:val="00CD3BC9"/>
    <w:rsid w:val="00CD3BF2"/>
    <w:rsid w:val="00CD3D7C"/>
    <w:rsid w:val="00CD4598"/>
    <w:rsid w:val="00CD4A69"/>
    <w:rsid w:val="00CD4BC2"/>
    <w:rsid w:val="00CD4C76"/>
    <w:rsid w:val="00CD5101"/>
    <w:rsid w:val="00CD555A"/>
    <w:rsid w:val="00CD57A3"/>
    <w:rsid w:val="00CD5C69"/>
    <w:rsid w:val="00CD5E54"/>
    <w:rsid w:val="00CD6005"/>
    <w:rsid w:val="00CD63D9"/>
    <w:rsid w:val="00CD644E"/>
    <w:rsid w:val="00CD6486"/>
    <w:rsid w:val="00CD6C24"/>
    <w:rsid w:val="00CD7254"/>
    <w:rsid w:val="00CD7783"/>
    <w:rsid w:val="00CD780A"/>
    <w:rsid w:val="00CD7953"/>
    <w:rsid w:val="00CD79B6"/>
    <w:rsid w:val="00CD79D7"/>
    <w:rsid w:val="00CD7EF1"/>
    <w:rsid w:val="00CE001A"/>
    <w:rsid w:val="00CE003E"/>
    <w:rsid w:val="00CE0052"/>
    <w:rsid w:val="00CE0194"/>
    <w:rsid w:val="00CE0374"/>
    <w:rsid w:val="00CE03CE"/>
    <w:rsid w:val="00CE0525"/>
    <w:rsid w:val="00CE0727"/>
    <w:rsid w:val="00CE0AC7"/>
    <w:rsid w:val="00CE0AD5"/>
    <w:rsid w:val="00CE0E98"/>
    <w:rsid w:val="00CE1376"/>
    <w:rsid w:val="00CE16FC"/>
    <w:rsid w:val="00CE184E"/>
    <w:rsid w:val="00CE1E13"/>
    <w:rsid w:val="00CE2131"/>
    <w:rsid w:val="00CE2859"/>
    <w:rsid w:val="00CE2891"/>
    <w:rsid w:val="00CE2B59"/>
    <w:rsid w:val="00CE2FD6"/>
    <w:rsid w:val="00CE3F70"/>
    <w:rsid w:val="00CE4012"/>
    <w:rsid w:val="00CE41D6"/>
    <w:rsid w:val="00CE4538"/>
    <w:rsid w:val="00CE45BC"/>
    <w:rsid w:val="00CE46E5"/>
    <w:rsid w:val="00CE4A0D"/>
    <w:rsid w:val="00CE4B45"/>
    <w:rsid w:val="00CE5096"/>
    <w:rsid w:val="00CE5188"/>
    <w:rsid w:val="00CE57FF"/>
    <w:rsid w:val="00CE62A2"/>
    <w:rsid w:val="00CE62F7"/>
    <w:rsid w:val="00CE6427"/>
    <w:rsid w:val="00CE6527"/>
    <w:rsid w:val="00CE6C30"/>
    <w:rsid w:val="00CE6D46"/>
    <w:rsid w:val="00CE6E77"/>
    <w:rsid w:val="00CE7189"/>
    <w:rsid w:val="00CE71F7"/>
    <w:rsid w:val="00CE7376"/>
    <w:rsid w:val="00CE74F0"/>
    <w:rsid w:val="00CE761E"/>
    <w:rsid w:val="00CE7938"/>
    <w:rsid w:val="00CE7AB6"/>
    <w:rsid w:val="00CE7ABB"/>
    <w:rsid w:val="00CF0544"/>
    <w:rsid w:val="00CF0787"/>
    <w:rsid w:val="00CF09E3"/>
    <w:rsid w:val="00CF0DC6"/>
    <w:rsid w:val="00CF1173"/>
    <w:rsid w:val="00CF2018"/>
    <w:rsid w:val="00CF2AC3"/>
    <w:rsid w:val="00CF2CB9"/>
    <w:rsid w:val="00CF2F4A"/>
    <w:rsid w:val="00CF2FD2"/>
    <w:rsid w:val="00CF311D"/>
    <w:rsid w:val="00CF3447"/>
    <w:rsid w:val="00CF3F98"/>
    <w:rsid w:val="00CF4229"/>
    <w:rsid w:val="00CF430C"/>
    <w:rsid w:val="00CF4469"/>
    <w:rsid w:val="00CF4789"/>
    <w:rsid w:val="00CF49AD"/>
    <w:rsid w:val="00CF4CB6"/>
    <w:rsid w:val="00CF4F6B"/>
    <w:rsid w:val="00CF5124"/>
    <w:rsid w:val="00CF51A6"/>
    <w:rsid w:val="00CF5F76"/>
    <w:rsid w:val="00CF64B7"/>
    <w:rsid w:val="00CF6613"/>
    <w:rsid w:val="00CF6A0A"/>
    <w:rsid w:val="00CF6B85"/>
    <w:rsid w:val="00CF6E85"/>
    <w:rsid w:val="00CF6F0D"/>
    <w:rsid w:val="00CF7378"/>
    <w:rsid w:val="00CF76FB"/>
    <w:rsid w:val="00CF77A1"/>
    <w:rsid w:val="00CF77A2"/>
    <w:rsid w:val="00CF7A2D"/>
    <w:rsid w:val="00CF7DD5"/>
    <w:rsid w:val="00D0066E"/>
    <w:rsid w:val="00D00873"/>
    <w:rsid w:val="00D00E48"/>
    <w:rsid w:val="00D00E7D"/>
    <w:rsid w:val="00D0104D"/>
    <w:rsid w:val="00D013A4"/>
    <w:rsid w:val="00D01493"/>
    <w:rsid w:val="00D01657"/>
    <w:rsid w:val="00D01A1B"/>
    <w:rsid w:val="00D01C20"/>
    <w:rsid w:val="00D020B0"/>
    <w:rsid w:val="00D0210A"/>
    <w:rsid w:val="00D02365"/>
    <w:rsid w:val="00D02786"/>
    <w:rsid w:val="00D02E3A"/>
    <w:rsid w:val="00D02E3E"/>
    <w:rsid w:val="00D032D7"/>
    <w:rsid w:val="00D0352E"/>
    <w:rsid w:val="00D03E64"/>
    <w:rsid w:val="00D04163"/>
    <w:rsid w:val="00D046DD"/>
    <w:rsid w:val="00D04D3F"/>
    <w:rsid w:val="00D04E9B"/>
    <w:rsid w:val="00D05041"/>
    <w:rsid w:val="00D05132"/>
    <w:rsid w:val="00D05134"/>
    <w:rsid w:val="00D051CC"/>
    <w:rsid w:val="00D0525A"/>
    <w:rsid w:val="00D05624"/>
    <w:rsid w:val="00D05956"/>
    <w:rsid w:val="00D05A79"/>
    <w:rsid w:val="00D05B98"/>
    <w:rsid w:val="00D05D59"/>
    <w:rsid w:val="00D05FBE"/>
    <w:rsid w:val="00D06396"/>
    <w:rsid w:val="00D06599"/>
    <w:rsid w:val="00D0667D"/>
    <w:rsid w:val="00D07047"/>
    <w:rsid w:val="00D0740F"/>
    <w:rsid w:val="00D077B8"/>
    <w:rsid w:val="00D07879"/>
    <w:rsid w:val="00D1032D"/>
    <w:rsid w:val="00D108EB"/>
    <w:rsid w:val="00D10D77"/>
    <w:rsid w:val="00D10E54"/>
    <w:rsid w:val="00D10F43"/>
    <w:rsid w:val="00D117FF"/>
    <w:rsid w:val="00D11BC7"/>
    <w:rsid w:val="00D1216B"/>
    <w:rsid w:val="00D1231C"/>
    <w:rsid w:val="00D1279A"/>
    <w:rsid w:val="00D12BCD"/>
    <w:rsid w:val="00D12BD7"/>
    <w:rsid w:val="00D131F1"/>
    <w:rsid w:val="00D13249"/>
    <w:rsid w:val="00D132A5"/>
    <w:rsid w:val="00D132F6"/>
    <w:rsid w:val="00D13430"/>
    <w:rsid w:val="00D134C6"/>
    <w:rsid w:val="00D136C5"/>
    <w:rsid w:val="00D13823"/>
    <w:rsid w:val="00D13DC0"/>
    <w:rsid w:val="00D13E24"/>
    <w:rsid w:val="00D14209"/>
    <w:rsid w:val="00D14514"/>
    <w:rsid w:val="00D14811"/>
    <w:rsid w:val="00D14FF4"/>
    <w:rsid w:val="00D15585"/>
    <w:rsid w:val="00D15593"/>
    <w:rsid w:val="00D1559A"/>
    <w:rsid w:val="00D1564B"/>
    <w:rsid w:val="00D15955"/>
    <w:rsid w:val="00D159BC"/>
    <w:rsid w:val="00D15A32"/>
    <w:rsid w:val="00D166D5"/>
    <w:rsid w:val="00D16D08"/>
    <w:rsid w:val="00D16E1C"/>
    <w:rsid w:val="00D17138"/>
    <w:rsid w:val="00D17417"/>
    <w:rsid w:val="00D17554"/>
    <w:rsid w:val="00D179E7"/>
    <w:rsid w:val="00D17C81"/>
    <w:rsid w:val="00D17DFE"/>
    <w:rsid w:val="00D17F86"/>
    <w:rsid w:val="00D20195"/>
    <w:rsid w:val="00D205A3"/>
    <w:rsid w:val="00D20DAA"/>
    <w:rsid w:val="00D214B5"/>
    <w:rsid w:val="00D21530"/>
    <w:rsid w:val="00D21696"/>
    <w:rsid w:val="00D21C30"/>
    <w:rsid w:val="00D21D54"/>
    <w:rsid w:val="00D2261A"/>
    <w:rsid w:val="00D2273B"/>
    <w:rsid w:val="00D22AC0"/>
    <w:rsid w:val="00D23233"/>
    <w:rsid w:val="00D23317"/>
    <w:rsid w:val="00D239F9"/>
    <w:rsid w:val="00D2435E"/>
    <w:rsid w:val="00D243FA"/>
    <w:rsid w:val="00D244EA"/>
    <w:rsid w:val="00D24606"/>
    <w:rsid w:val="00D24AE5"/>
    <w:rsid w:val="00D24E5D"/>
    <w:rsid w:val="00D24E74"/>
    <w:rsid w:val="00D24F44"/>
    <w:rsid w:val="00D25092"/>
    <w:rsid w:val="00D25120"/>
    <w:rsid w:val="00D25139"/>
    <w:rsid w:val="00D25372"/>
    <w:rsid w:val="00D25407"/>
    <w:rsid w:val="00D25423"/>
    <w:rsid w:val="00D255EC"/>
    <w:rsid w:val="00D25CCD"/>
    <w:rsid w:val="00D26046"/>
    <w:rsid w:val="00D261D7"/>
    <w:rsid w:val="00D26311"/>
    <w:rsid w:val="00D263AE"/>
    <w:rsid w:val="00D263DA"/>
    <w:rsid w:val="00D26B11"/>
    <w:rsid w:val="00D27555"/>
    <w:rsid w:val="00D2771C"/>
    <w:rsid w:val="00D277F4"/>
    <w:rsid w:val="00D278C0"/>
    <w:rsid w:val="00D27B85"/>
    <w:rsid w:val="00D27FDC"/>
    <w:rsid w:val="00D301ED"/>
    <w:rsid w:val="00D30553"/>
    <w:rsid w:val="00D3063A"/>
    <w:rsid w:val="00D30F5A"/>
    <w:rsid w:val="00D3115B"/>
    <w:rsid w:val="00D319E5"/>
    <w:rsid w:val="00D31EED"/>
    <w:rsid w:val="00D32573"/>
    <w:rsid w:val="00D32EE7"/>
    <w:rsid w:val="00D33162"/>
    <w:rsid w:val="00D332B0"/>
    <w:rsid w:val="00D33C75"/>
    <w:rsid w:val="00D33CCA"/>
    <w:rsid w:val="00D33DD3"/>
    <w:rsid w:val="00D34125"/>
    <w:rsid w:val="00D34A48"/>
    <w:rsid w:val="00D34A9A"/>
    <w:rsid w:val="00D354BB"/>
    <w:rsid w:val="00D359D5"/>
    <w:rsid w:val="00D35BFC"/>
    <w:rsid w:val="00D35DC8"/>
    <w:rsid w:val="00D35F51"/>
    <w:rsid w:val="00D369B4"/>
    <w:rsid w:val="00D37727"/>
    <w:rsid w:val="00D3790E"/>
    <w:rsid w:val="00D37A67"/>
    <w:rsid w:val="00D37E10"/>
    <w:rsid w:val="00D37EE8"/>
    <w:rsid w:val="00D37EFC"/>
    <w:rsid w:val="00D40369"/>
    <w:rsid w:val="00D4048A"/>
    <w:rsid w:val="00D40764"/>
    <w:rsid w:val="00D41044"/>
    <w:rsid w:val="00D42139"/>
    <w:rsid w:val="00D42283"/>
    <w:rsid w:val="00D42555"/>
    <w:rsid w:val="00D4299F"/>
    <w:rsid w:val="00D42BDD"/>
    <w:rsid w:val="00D42D12"/>
    <w:rsid w:val="00D432A2"/>
    <w:rsid w:val="00D43A8D"/>
    <w:rsid w:val="00D43AF6"/>
    <w:rsid w:val="00D440E3"/>
    <w:rsid w:val="00D44448"/>
    <w:rsid w:val="00D44A00"/>
    <w:rsid w:val="00D44BF5"/>
    <w:rsid w:val="00D44F20"/>
    <w:rsid w:val="00D4530F"/>
    <w:rsid w:val="00D45830"/>
    <w:rsid w:val="00D45EEC"/>
    <w:rsid w:val="00D46028"/>
    <w:rsid w:val="00D46118"/>
    <w:rsid w:val="00D464D1"/>
    <w:rsid w:val="00D46BAC"/>
    <w:rsid w:val="00D46C87"/>
    <w:rsid w:val="00D471FC"/>
    <w:rsid w:val="00D474C1"/>
    <w:rsid w:val="00D47998"/>
    <w:rsid w:val="00D47DF0"/>
    <w:rsid w:val="00D50091"/>
    <w:rsid w:val="00D50184"/>
    <w:rsid w:val="00D50451"/>
    <w:rsid w:val="00D504A2"/>
    <w:rsid w:val="00D509C1"/>
    <w:rsid w:val="00D50AA6"/>
    <w:rsid w:val="00D50D9A"/>
    <w:rsid w:val="00D50DCC"/>
    <w:rsid w:val="00D510C6"/>
    <w:rsid w:val="00D51563"/>
    <w:rsid w:val="00D51761"/>
    <w:rsid w:val="00D51D0E"/>
    <w:rsid w:val="00D51D1D"/>
    <w:rsid w:val="00D520DB"/>
    <w:rsid w:val="00D521AD"/>
    <w:rsid w:val="00D526FE"/>
    <w:rsid w:val="00D52AE9"/>
    <w:rsid w:val="00D52B2E"/>
    <w:rsid w:val="00D52DF0"/>
    <w:rsid w:val="00D530E9"/>
    <w:rsid w:val="00D53632"/>
    <w:rsid w:val="00D53685"/>
    <w:rsid w:val="00D538D7"/>
    <w:rsid w:val="00D54943"/>
    <w:rsid w:val="00D54B7B"/>
    <w:rsid w:val="00D54CF7"/>
    <w:rsid w:val="00D55290"/>
    <w:rsid w:val="00D553F3"/>
    <w:rsid w:val="00D55526"/>
    <w:rsid w:val="00D556F8"/>
    <w:rsid w:val="00D55E22"/>
    <w:rsid w:val="00D561AF"/>
    <w:rsid w:val="00D56523"/>
    <w:rsid w:val="00D56C98"/>
    <w:rsid w:val="00D57332"/>
    <w:rsid w:val="00D57547"/>
    <w:rsid w:val="00D575D7"/>
    <w:rsid w:val="00D576CE"/>
    <w:rsid w:val="00D6020F"/>
    <w:rsid w:val="00D6026F"/>
    <w:rsid w:val="00D606BA"/>
    <w:rsid w:val="00D607CC"/>
    <w:rsid w:val="00D618EE"/>
    <w:rsid w:val="00D61B36"/>
    <w:rsid w:val="00D61D6E"/>
    <w:rsid w:val="00D61DAB"/>
    <w:rsid w:val="00D6298A"/>
    <w:rsid w:val="00D62DD2"/>
    <w:rsid w:val="00D63210"/>
    <w:rsid w:val="00D63300"/>
    <w:rsid w:val="00D637CB"/>
    <w:rsid w:val="00D63B3C"/>
    <w:rsid w:val="00D63D1D"/>
    <w:rsid w:val="00D63E85"/>
    <w:rsid w:val="00D64A58"/>
    <w:rsid w:val="00D64E59"/>
    <w:rsid w:val="00D64EE7"/>
    <w:rsid w:val="00D64F2F"/>
    <w:rsid w:val="00D65091"/>
    <w:rsid w:val="00D657FB"/>
    <w:rsid w:val="00D669C0"/>
    <w:rsid w:val="00D66A83"/>
    <w:rsid w:val="00D66AA0"/>
    <w:rsid w:val="00D66BBD"/>
    <w:rsid w:val="00D6738F"/>
    <w:rsid w:val="00D675B0"/>
    <w:rsid w:val="00D679D8"/>
    <w:rsid w:val="00D67F63"/>
    <w:rsid w:val="00D67FEB"/>
    <w:rsid w:val="00D7037D"/>
    <w:rsid w:val="00D70E03"/>
    <w:rsid w:val="00D7116C"/>
    <w:rsid w:val="00D715FC"/>
    <w:rsid w:val="00D71DB2"/>
    <w:rsid w:val="00D71FAB"/>
    <w:rsid w:val="00D72042"/>
    <w:rsid w:val="00D732B0"/>
    <w:rsid w:val="00D736FC"/>
    <w:rsid w:val="00D7379E"/>
    <w:rsid w:val="00D738F4"/>
    <w:rsid w:val="00D74FDC"/>
    <w:rsid w:val="00D7549C"/>
    <w:rsid w:val="00D75AEF"/>
    <w:rsid w:val="00D75B57"/>
    <w:rsid w:val="00D75BF2"/>
    <w:rsid w:val="00D75EC6"/>
    <w:rsid w:val="00D76240"/>
    <w:rsid w:val="00D7634C"/>
    <w:rsid w:val="00D76988"/>
    <w:rsid w:val="00D76A28"/>
    <w:rsid w:val="00D76BF7"/>
    <w:rsid w:val="00D7748B"/>
    <w:rsid w:val="00D77986"/>
    <w:rsid w:val="00D77B35"/>
    <w:rsid w:val="00D77CEA"/>
    <w:rsid w:val="00D77D01"/>
    <w:rsid w:val="00D77E01"/>
    <w:rsid w:val="00D77EB6"/>
    <w:rsid w:val="00D8067C"/>
    <w:rsid w:val="00D808FC"/>
    <w:rsid w:val="00D80B41"/>
    <w:rsid w:val="00D80F7F"/>
    <w:rsid w:val="00D811B3"/>
    <w:rsid w:val="00D815BD"/>
    <w:rsid w:val="00D817A0"/>
    <w:rsid w:val="00D81973"/>
    <w:rsid w:val="00D81AF5"/>
    <w:rsid w:val="00D82067"/>
    <w:rsid w:val="00D82840"/>
    <w:rsid w:val="00D82AD4"/>
    <w:rsid w:val="00D83159"/>
    <w:rsid w:val="00D8371B"/>
    <w:rsid w:val="00D83762"/>
    <w:rsid w:val="00D83820"/>
    <w:rsid w:val="00D838E1"/>
    <w:rsid w:val="00D83FCB"/>
    <w:rsid w:val="00D8428D"/>
    <w:rsid w:val="00D8453C"/>
    <w:rsid w:val="00D846DA"/>
    <w:rsid w:val="00D8470E"/>
    <w:rsid w:val="00D848E4"/>
    <w:rsid w:val="00D84A40"/>
    <w:rsid w:val="00D84D54"/>
    <w:rsid w:val="00D84EC6"/>
    <w:rsid w:val="00D84FC4"/>
    <w:rsid w:val="00D85007"/>
    <w:rsid w:val="00D8600B"/>
    <w:rsid w:val="00D86847"/>
    <w:rsid w:val="00D86C04"/>
    <w:rsid w:val="00D8714F"/>
    <w:rsid w:val="00D873E9"/>
    <w:rsid w:val="00D87520"/>
    <w:rsid w:val="00D87570"/>
    <w:rsid w:val="00D87667"/>
    <w:rsid w:val="00D876EF"/>
    <w:rsid w:val="00D87935"/>
    <w:rsid w:val="00D879ED"/>
    <w:rsid w:val="00D87F2E"/>
    <w:rsid w:val="00D90197"/>
    <w:rsid w:val="00D9085D"/>
    <w:rsid w:val="00D90F1B"/>
    <w:rsid w:val="00D9104B"/>
    <w:rsid w:val="00D910A5"/>
    <w:rsid w:val="00D91443"/>
    <w:rsid w:val="00D915C4"/>
    <w:rsid w:val="00D91D33"/>
    <w:rsid w:val="00D920BF"/>
    <w:rsid w:val="00D92146"/>
    <w:rsid w:val="00D922BF"/>
    <w:rsid w:val="00D9236A"/>
    <w:rsid w:val="00D92552"/>
    <w:rsid w:val="00D925BE"/>
    <w:rsid w:val="00D92ADD"/>
    <w:rsid w:val="00D92CE9"/>
    <w:rsid w:val="00D93102"/>
    <w:rsid w:val="00D9329F"/>
    <w:rsid w:val="00D932EB"/>
    <w:rsid w:val="00D93EEC"/>
    <w:rsid w:val="00D944B2"/>
    <w:rsid w:val="00D94738"/>
    <w:rsid w:val="00D9494D"/>
    <w:rsid w:val="00D94F57"/>
    <w:rsid w:val="00D951B6"/>
    <w:rsid w:val="00D95996"/>
    <w:rsid w:val="00D95B51"/>
    <w:rsid w:val="00D95BEF"/>
    <w:rsid w:val="00D95CAF"/>
    <w:rsid w:val="00D96817"/>
    <w:rsid w:val="00D96DC7"/>
    <w:rsid w:val="00D9724B"/>
    <w:rsid w:val="00D97483"/>
    <w:rsid w:val="00D975FA"/>
    <w:rsid w:val="00D97806"/>
    <w:rsid w:val="00D97B46"/>
    <w:rsid w:val="00D97EC9"/>
    <w:rsid w:val="00DA0718"/>
    <w:rsid w:val="00DA0C75"/>
    <w:rsid w:val="00DA1205"/>
    <w:rsid w:val="00DA16AA"/>
    <w:rsid w:val="00DA16D5"/>
    <w:rsid w:val="00DA195B"/>
    <w:rsid w:val="00DA1C8F"/>
    <w:rsid w:val="00DA2D1A"/>
    <w:rsid w:val="00DA34A0"/>
    <w:rsid w:val="00DA3AEB"/>
    <w:rsid w:val="00DA3D2D"/>
    <w:rsid w:val="00DA3D83"/>
    <w:rsid w:val="00DA403D"/>
    <w:rsid w:val="00DA46CF"/>
    <w:rsid w:val="00DA57A0"/>
    <w:rsid w:val="00DA5A81"/>
    <w:rsid w:val="00DA5DD4"/>
    <w:rsid w:val="00DA5F0B"/>
    <w:rsid w:val="00DA606F"/>
    <w:rsid w:val="00DA6122"/>
    <w:rsid w:val="00DA6706"/>
    <w:rsid w:val="00DA6A5B"/>
    <w:rsid w:val="00DA6C1A"/>
    <w:rsid w:val="00DA6DDE"/>
    <w:rsid w:val="00DA6E96"/>
    <w:rsid w:val="00DA6F2C"/>
    <w:rsid w:val="00DA72CE"/>
    <w:rsid w:val="00DA744A"/>
    <w:rsid w:val="00DA79CB"/>
    <w:rsid w:val="00DA7B9D"/>
    <w:rsid w:val="00DA7BE1"/>
    <w:rsid w:val="00DA7EC8"/>
    <w:rsid w:val="00DB0136"/>
    <w:rsid w:val="00DB0141"/>
    <w:rsid w:val="00DB0714"/>
    <w:rsid w:val="00DB0A89"/>
    <w:rsid w:val="00DB0B12"/>
    <w:rsid w:val="00DB0C5A"/>
    <w:rsid w:val="00DB0D9D"/>
    <w:rsid w:val="00DB111A"/>
    <w:rsid w:val="00DB146D"/>
    <w:rsid w:val="00DB14C0"/>
    <w:rsid w:val="00DB15C7"/>
    <w:rsid w:val="00DB15CE"/>
    <w:rsid w:val="00DB1812"/>
    <w:rsid w:val="00DB1B82"/>
    <w:rsid w:val="00DB1EC9"/>
    <w:rsid w:val="00DB1F5A"/>
    <w:rsid w:val="00DB2D32"/>
    <w:rsid w:val="00DB2FAB"/>
    <w:rsid w:val="00DB323E"/>
    <w:rsid w:val="00DB356B"/>
    <w:rsid w:val="00DB3802"/>
    <w:rsid w:val="00DB3834"/>
    <w:rsid w:val="00DB3954"/>
    <w:rsid w:val="00DB3B54"/>
    <w:rsid w:val="00DB3FDD"/>
    <w:rsid w:val="00DB4658"/>
    <w:rsid w:val="00DB5496"/>
    <w:rsid w:val="00DB55CE"/>
    <w:rsid w:val="00DB6606"/>
    <w:rsid w:val="00DB668C"/>
    <w:rsid w:val="00DB6916"/>
    <w:rsid w:val="00DB6C70"/>
    <w:rsid w:val="00DB6E6D"/>
    <w:rsid w:val="00DB718B"/>
    <w:rsid w:val="00DB7557"/>
    <w:rsid w:val="00DC0145"/>
    <w:rsid w:val="00DC10EE"/>
    <w:rsid w:val="00DC11A5"/>
    <w:rsid w:val="00DC159E"/>
    <w:rsid w:val="00DC19C6"/>
    <w:rsid w:val="00DC1C77"/>
    <w:rsid w:val="00DC20AE"/>
    <w:rsid w:val="00DC213B"/>
    <w:rsid w:val="00DC214A"/>
    <w:rsid w:val="00DC23E9"/>
    <w:rsid w:val="00DC2444"/>
    <w:rsid w:val="00DC2930"/>
    <w:rsid w:val="00DC30A3"/>
    <w:rsid w:val="00DC331F"/>
    <w:rsid w:val="00DC33EA"/>
    <w:rsid w:val="00DC3A49"/>
    <w:rsid w:val="00DC3A62"/>
    <w:rsid w:val="00DC3DF7"/>
    <w:rsid w:val="00DC3E1E"/>
    <w:rsid w:val="00DC43F0"/>
    <w:rsid w:val="00DC4448"/>
    <w:rsid w:val="00DC445B"/>
    <w:rsid w:val="00DC486A"/>
    <w:rsid w:val="00DC491A"/>
    <w:rsid w:val="00DC4AB8"/>
    <w:rsid w:val="00DC4C8C"/>
    <w:rsid w:val="00DC4E26"/>
    <w:rsid w:val="00DC50C5"/>
    <w:rsid w:val="00DC54A5"/>
    <w:rsid w:val="00DC579F"/>
    <w:rsid w:val="00DC5902"/>
    <w:rsid w:val="00DC599F"/>
    <w:rsid w:val="00DC5BCB"/>
    <w:rsid w:val="00DC603D"/>
    <w:rsid w:val="00DC61C1"/>
    <w:rsid w:val="00DC65AB"/>
    <w:rsid w:val="00DC6D50"/>
    <w:rsid w:val="00DC72BE"/>
    <w:rsid w:val="00DC7648"/>
    <w:rsid w:val="00DC7B00"/>
    <w:rsid w:val="00DC7B0E"/>
    <w:rsid w:val="00DC7BCA"/>
    <w:rsid w:val="00DC7DCE"/>
    <w:rsid w:val="00DC7E38"/>
    <w:rsid w:val="00DD0090"/>
    <w:rsid w:val="00DD0691"/>
    <w:rsid w:val="00DD0869"/>
    <w:rsid w:val="00DD0A9D"/>
    <w:rsid w:val="00DD0AF1"/>
    <w:rsid w:val="00DD0E8B"/>
    <w:rsid w:val="00DD135B"/>
    <w:rsid w:val="00DD13B7"/>
    <w:rsid w:val="00DD1982"/>
    <w:rsid w:val="00DD1DBD"/>
    <w:rsid w:val="00DD1E28"/>
    <w:rsid w:val="00DD222D"/>
    <w:rsid w:val="00DD2459"/>
    <w:rsid w:val="00DD2F91"/>
    <w:rsid w:val="00DD308B"/>
    <w:rsid w:val="00DD3568"/>
    <w:rsid w:val="00DD3C32"/>
    <w:rsid w:val="00DD3D57"/>
    <w:rsid w:val="00DD3ED7"/>
    <w:rsid w:val="00DD3F55"/>
    <w:rsid w:val="00DD4048"/>
    <w:rsid w:val="00DD40EB"/>
    <w:rsid w:val="00DD460B"/>
    <w:rsid w:val="00DD48CD"/>
    <w:rsid w:val="00DD4A09"/>
    <w:rsid w:val="00DD5365"/>
    <w:rsid w:val="00DD5425"/>
    <w:rsid w:val="00DD5C42"/>
    <w:rsid w:val="00DD5DA0"/>
    <w:rsid w:val="00DD665F"/>
    <w:rsid w:val="00DD67ED"/>
    <w:rsid w:val="00DD69B3"/>
    <w:rsid w:val="00DD74C6"/>
    <w:rsid w:val="00DD7688"/>
    <w:rsid w:val="00DD7897"/>
    <w:rsid w:val="00DD79DD"/>
    <w:rsid w:val="00DD7A8D"/>
    <w:rsid w:val="00DD7ECD"/>
    <w:rsid w:val="00DD7F99"/>
    <w:rsid w:val="00DE0606"/>
    <w:rsid w:val="00DE0A98"/>
    <w:rsid w:val="00DE0AF4"/>
    <w:rsid w:val="00DE0C3E"/>
    <w:rsid w:val="00DE0F27"/>
    <w:rsid w:val="00DE1388"/>
    <w:rsid w:val="00DE14B7"/>
    <w:rsid w:val="00DE1B3C"/>
    <w:rsid w:val="00DE1B5E"/>
    <w:rsid w:val="00DE1B6D"/>
    <w:rsid w:val="00DE1BAF"/>
    <w:rsid w:val="00DE2013"/>
    <w:rsid w:val="00DE201A"/>
    <w:rsid w:val="00DE2058"/>
    <w:rsid w:val="00DE2140"/>
    <w:rsid w:val="00DE220F"/>
    <w:rsid w:val="00DE2688"/>
    <w:rsid w:val="00DE27DD"/>
    <w:rsid w:val="00DE2D79"/>
    <w:rsid w:val="00DE2F8C"/>
    <w:rsid w:val="00DE324C"/>
    <w:rsid w:val="00DE39B4"/>
    <w:rsid w:val="00DE3BC0"/>
    <w:rsid w:val="00DE3E0F"/>
    <w:rsid w:val="00DE41BD"/>
    <w:rsid w:val="00DE4BEF"/>
    <w:rsid w:val="00DE50D4"/>
    <w:rsid w:val="00DE550D"/>
    <w:rsid w:val="00DE59B4"/>
    <w:rsid w:val="00DE5EA0"/>
    <w:rsid w:val="00DE67F6"/>
    <w:rsid w:val="00DE6B89"/>
    <w:rsid w:val="00DE6CA6"/>
    <w:rsid w:val="00DE6D12"/>
    <w:rsid w:val="00DE6EE6"/>
    <w:rsid w:val="00DE76E9"/>
    <w:rsid w:val="00DE77D3"/>
    <w:rsid w:val="00DE7A63"/>
    <w:rsid w:val="00DE7A93"/>
    <w:rsid w:val="00DE7C8F"/>
    <w:rsid w:val="00DF02ED"/>
    <w:rsid w:val="00DF039E"/>
    <w:rsid w:val="00DF15E6"/>
    <w:rsid w:val="00DF1789"/>
    <w:rsid w:val="00DF1A15"/>
    <w:rsid w:val="00DF1DBF"/>
    <w:rsid w:val="00DF26EC"/>
    <w:rsid w:val="00DF284F"/>
    <w:rsid w:val="00DF2AF8"/>
    <w:rsid w:val="00DF2CAB"/>
    <w:rsid w:val="00DF32A0"/>
    <w:rsid w:val="00DF3910"/>
    <w:rsid w:val="00DF4B8F"/>
    <w:rsid w:val="00DF5803"/>
    <w:rsid w:val="00DF5B77"/>
    <w:rsid w:val="00DF6083"/>
    <w:rsid w:val="00DF61E0"/>
    <w:rsid w:val="00DF632E"/>
    <w:rsid w:val="00DF7095"/>
    <w:rsid w:val="00DF7393"/>
    <w:rsid w:val="00DF753E"/>
    <w:rsid w:val="00DF75EF"/>
    <w:rsid w:val="00DF7EE5"/>
    <w:rsid w:val="00E001EA"/>
    <w:rsid w:val="00E00636"/>
    <w:rsid w:val="00E00ACC"/>
    <w:rsid w:val="00E00C30"/>
    <w:rsid w:val="00E010E4"/>
    <w:rsid w:val="00E01406"/>
    <w:rsid w:val="00E01C87"/>
    <w:rsid w:val="00E02080"/>
    <w:rsid w:val="00E0223F"/>
    <w:rsid w:val="00E02311"/>
    <w:rsid w:val="00E02B7C"/>
    <w:rsid w:val="00E02D15"/>
    <w:rsid w:val="00E03EAC"/>
    <w:rsid w:val="00E03FE4"/>
    <w:rsid w:val="00E042BA"/>
    <w:rsid w:val="00E042E1"/>
    <w:rsid w:val="00E04602"/>
    <w:rsid w:val="00E04814"/>
    <w:rsid w:val="00E04AC9"/>
    <w:rsid w:val="00E04F13"/>
    <w:rsid w:val="00E05264"/>
    <w:rsid w:val="00E05613"/>
    <w:rsid w:val="00E05718"/>
    <w:rsid w:val="00E05969"/>
    <w:rsid w:val="00E06811"/>
    <w:rsid w:val="00E06E26"/>
    <w:rsid w:val="00E07233"/>
    <w:rsid w:val="00E07A08"/>
    <w:rsid w:val="00E07CAC"/>
    <w:rsid w:val="00E102A8"/>
    <w:rsid w:val="00E106FE"/>
    <w:rsid w:val="00E1085F"/>
    <w:rsid w:val="00E10A8D"/>
    <w:rsid w:val="00E10DA2"/>
    <w:rsid w:val="00E11005"/>
    <w:rsid w:val="00E11D2C"/>
    <w:rsid w:val="00E11DC0"/>
    <w:rsid w:val="00E12273"/>
    <w:rsid w:val="00E123D0"/>
    <w:rsid w:val="00E12571"/>
    <w:rsid w:val="00E12619"/>
    <w:rsid w:val="00E12829"/>
    <w:rsid w:val="00E1331D"/>
    <w:rsid w:val="00E13633"/>
    <w:rsid w:val="00E13EE9"/>
    <w:rsid w:val="00E1403F"/>
    <w:rsid w:val="00E14286"/>
    <w:rsid w:val="00E1428D"/>
    <w:rsid w:val="00E14311"/>
    <w:rsid w:val="00E14398"/>
    <w:rsid w:val="00E15182"/>
    <w:rsid w:val="00E15671"/>
    <w:rsid w:val="00E157EB"/>
    <w:rsid w:val="00E15946"/>
    <w:rsid w:val="00E15980"/>
    <w:rsid w:val="00E15A21"/>
    <w:rsid w:val="00E15AF5"/>
    <w:rsid w:val="00E15D0D"/>
    <w:rsid w:val="00E15FDD"/>
    <w:rsid w:val="00E16033"/>
    <w:rsid w:val="00E16110"/>
    <w:rsid w:val="00E16DD2"/>
    <w:rsid w:val="00E1701C"/>
    <w:rsid w:val="00E1746A"/>
    <w:rsid w:val="00E175CD"/>
    <w:rsid w:val="00E17D91"/>
    <w:rsid w:val="00E17FAD"/>
    <w:rsid w:val="00E204E8"/>
    <w:rsid w:val="00E206B0"/>
    <w:rsid w:val="00E20815"/>
    <w:rsid w:val="00E20A7A"/>
    <w:rsid w:val="00E20C72"/>
    <w:rsid w:val="00E2144F"/>
    <w:rsid w:val="00E214DB"/>
    <w:rsid w:val="00E21894"/>
    <w:rsid w:val="00E21BC8"/>
    <w:rsid w:val="00E220EF"/>
    <w:rsid w:val="00E226CE"/>
    <w:rsid w:val="00E22D9A"/>
    <w:rsid w:val="00E22E25"/>
    <w:rsid w:val="00E2308A"/>
    <w:rsid w:val="00E234F0"/>
    <w:rsid w:val="00E237BA"/>
    <w:rsid w:val="00E239D2"/>
    <w:rsid w:val="00E23E23"/>
    <w:rsid w:val="00E23EF7"/>
    <w:rsid w:val="00E24316"/>
    <w:rsid w:val="00E245FA"/>
    <w:rsid w:val="00E24F57"/>
    <w:rsid w:val="00E253A4"/>
    <w:rsid w:val="00E25502"/>
    <w:rsid w:val="00E25521"/>
    <w:rsid w:val="00E25684"/>
    <w:rsid w:val="00E25C63"/>
    <w:rsid w:val="00E25C89"/>
    <w:rsid w:val="00E25F04"/>
    <w:rsid w:val="00E2631A"/>
    <w:rsid w:val="00E26418"/>
    <w:rsid w:val="00E26429"/>
    <w:rsid w:val="00E264CC"/>
    <w:rsid w:val="00E2750F"/>
    <w:rsid w:val="00E27740"/>
    <w:rsid w:val="00E2780A"/>
    <w:rsid w:val="00E27D0D"/>
    <w:rsid w:val="00E30205"/>
    <w:rsid w:val="00E30556"/>
    <w:rsid w:val="00E30ACF"/>
    <w:rsid w:val="00E31195"/>
    <w:rsid w:val="00E313C1"/>
    <w:rsid w:val="00E31A01"/>
    <w:rsid w:val="00E31E9A"/>
    <w:rsid w:val="00E3216F"/>
    <w:rsid w:val="00E32741"/>
    <w:rsid w:val="00E328E4"/>
    <w:rsid w:val="00E32AA0"/>
    <w:rsid w:val="00E32F12"/>
    <w:rsid w:val="00E33162"/>
    <w:rsid w:val="00E33634"/>
    <w:rsid w:val="00E33798"/>
    <w:rsid w:val="00E33FDA"/>
    <w:rsid w:val="00E34192"/>
    <w:rsid w:val="00E348BB"/>
    <w:rsid w:val="00E34D23"/>
    <w:rsid w:val="00E353ED"/>
    <w:rsid w:val="00E354F8"/>
    <w:rsid w:val="00E3568E"/>
    <w:rsid w:val="00E356AD"/>
    <w:rsid w:val="00E357B7"/>
    <w:rsid w:val="00E35D72"/>
    <w:rsid w:val="00E3698A"/>
    <w:rsid w:val="00E36DC4"/>
    <w:rsid w:val="00E37B28"/>
    <w:rsid w:val="00E37B9C"/>
    <w:rsid w:val="00E37C34"/>
    <w:rsid w:val="00E37D37"/>
    <w:rsid w:val="00E409E6"/>
    <w:rsid w:val="00E40EA0"/>
    <w:rsid w:val="00E4112B"/>
    <w:rsid w:val="00E4139F"/>
    <w:rsid w:val="00E41573"/>
    <w:rsid w:val="00E415CF"/>
    <w:rsid w:val="00E41EE0"/>
    <w:rsid w:val="00E424A0"/>
    <w:rsid w:val="00E42CD5"/>
    <w:rsid w:val="00E42F89"/>
    <w:rsid w:val="00E43A63"/>
    <w:rsid w:val="00E43DED"/>
    <w:rsid w:val="00E447C5"/>
    <w:rsid w:val="00E44902"/>
    <w:rsid w:val="00E44B17"/>
    <w:rsid w:val="00E44B4A"/>
    <w:rsid w:val="00E44B69"/>
    <w:rsid w:val="00E44B7A"/>
    <w:rsid w:val="00E450E8"/>
    <w:rsid w:val="00E4664F"/>
    <w:rsid w:val="00E46AD5"/>
    <w:rsid w:val="00E46AEA"/>
    <w:rsid w:val="00E46B29"/>
    <w:rsid w:val="00E47118"/>
    <w:rsid w:val="00E47664"/>
    <w:rsid w:val="00E47AA5"/>
    <w:rsid w:val="00E47EDC"/>
    <w:rsid w:val="00E47FC4"/>
    <w:rsid w:val="00E50598"/>
    <w:rsid w:val="00E50723"/>
    <w:rsid w:val="00E50B8D"/>
    <w:rsid w:val="00E5118E"/>
    <w:rsid w:val="00E5140A"/>
    <w:rsid w:val="00E51EA0"/>
    <w:rsid w:val="00E51F1F"/>
    <w:rsid w:val="00E51F9A"/>
    <w:rsid w:val="00E522BB"/>
    <w:rsid w:val="00E52745"/>
    <w:rsid w:val="00E52CBA"/>
    <w:rsid w:val="00E52D36"/>
    <w:rsid w:val="00E53766"/>
    <w:rsid w:val="00E5379D"/>
    <w:rsid w:val="00E5397B"/>
    <w:rsid w:val="00E53A30"/>
    <w:rsid w:val="00E54504"/>
    <w:rsid w:val="00E54966"/>
    <w:rsid w:val="00E54A0B"/>
    <w:rsid w:val="00E54C42"/>
    <w:rsid w:val="00E55631"/>
    <w:rsid w:val="00E556C7"/>
    <w:rsid w:val="00E562B6"/>
    <w:rsid w:val="00E56C25"/>
    <w:rsid w:val="00E56CCE"/>
    <w:rsid w:val="00E56DE0"/>
    <w:rsid w:val="00E56FA0"/>
    <w:rsid w:val="00E575A7"/>
    <w:rsid w:val="00E579FF"/>
    <w:rsid w:val="00E601E4"/>
    <w:rsid w:val="00E6030C"/>
    <w:rsid w:val="00E605F8"/>
    <w:rsid w:val="00E606C2"/>
    <w:rsid w:val="00E607B8"/>
    <w:rsid w:val="00E60BC1"/>
    <w:rsid w:val="00E60C66"/>
    <w:rsid w:val="00E60E3A"/>
    <w:rsid w:val="00E60FF6"/>
    <w:rsid w:val="00E6139E"/>
    <w:rsid w:val="00E6206D"/>
    <w:rsid w:val="00E624A3"/>
    <w:rsid w:val="00E62612"/>
    <w:rsid w:val="00E635C7"/>
    <w:rsid w:val="00E635FA"/>
    <w:rsid w:val="00E639CD"/>
    <w:rsid w:val="00E63F74"/>
    <w:rsid w:val="00E6433C"/>
    <w:rsid w:val="00E64BCC"/>
    <w:rsid w:val="00E64BED"/>
    <w:rsid w:val="00E65350"/>
    <w:rsid w:val="00E653F8"/>
    <w:rsid w:val="00E65504"/>
    <w:rsid w:val="00E65F10"/>
    <w:rsid w:val="00E6628C"/>
    <w:rsid w:val="00E66320"/>
    <w:rsid w:val="00E665FE"/>
    <w:rsid w:val="00E66C1A"/>
    <w:rsid w:val="00E66C37"/>
    <w:rsid w:val="00E66F33"/>
    <w:rsid w:val="00E67411"/>
    <w:rsid w:val="00E67ED6"/>
    <w:rsid w:val="00E70738"/>
    <w:rsid w:val="00E70992"/>
    <w:rsid w:val="00E70AA1"/>
    <w:rsid w:val="00E71296"/>
    <w:rsid w:val="00E71732"/>
    <w:rsid w:val="00E71BA2"/>
    <w:rsid w:val="00E71D03"/>
    <w:rsid w:val="00E71E9E"/>
    <w:rsid w:val="00E71F8D"/>
    <w:rsid w:val="00E721F7"/>
    <w:rsid w:val="00E724AA"/>
    <w:rsid w:val="00E727D1"/>
    <w:rsid w:val="00E72983"/>
    <w:rsid w:val="00E731DD"/>
    <w:rsid w:val="00E735D5"/>
    <w:rsid w:val="00E737BD"/>
    <w:rsid w:val="00E74725"/>
    <w:rsid w:val="00E74799"/>
    <w:rsid w:val="00E75AE5"/>
    <w:rsid w:val="00E761C4"/>
    <w:rsid w:val="00E764B8"/>
    <w:rsid w:val="00E769D2"/>
    <w:rsid w:val="00E76CDA"/>
    <w:rsid w:val="00E76EE6"/>
    <w:rsid w:val="00E770B8"/>
    <w:rsid w:val="00E775DE"/>
    <w:rsid w:val="00E7763E"/>
    <w:rsid w:val="00E77983"/>
    <w:rsid w:val="00E77B01"/>
    <w:rsid w:val="00E80724"/>
    <w:rsid w:val="00E80A19"/>
    <w:rsid w:val="00E80CFB"/>
    <w:rsid w:val="00E80D7E"/>
    <w:rsid w:val="00E80F81"/>
    <w:rsid w:val="00E810CE"/>
    <w:rsid w:val="00E810D7"/>
    <w:rsid w:val="00E8112E"/>
    <w:rsid w:val="00E811C2"/>
    <w:rsid w:val="00E81309"/>
    <w:rsid w:val="00E81576"/>
    <w:rsid w:val="00E82033"/>
    <w:rsid w:val="00E82479"/>
    <w:rsid w:val="00E824FB"/>
    <w:rsid w:val="00E829C9"/>
    <w:rsid w:val="00E82BC8"/>
    <w:rsid w:val="00E832AA"/>
    <w:rsid w:val="00E836CA"/>
    <w:rsid w:val="00E8402A"/>
    <w:rsid w:val="00E84403"/>
    <w:rsid w:val="00E84518"/>
    <w:rsid w:val="00E847B1"/>
    <w:rsid w:val="00E848BC"/>
    <w:rsid w:val="00E84937"/>
    <w:rsid w:val="00E84A14"/>
    <w:rsid w:val="00E84E14"/>
    <w:rsid w:val="00E850F1"/>
    <w:rsid w:val="00E859A9"/>
    <w:rsid w:val="00E85B41"/>
    <w:rsid w:val="00E85B8C"/>
    <w:rsid w:val="00E85BFD"/>
    <w:rsid w:val="00E85D40"/>
    <w:rsid w:val="00E865F9"/>
    <w:rsid w:val="00E86711"/>
    <w:rsid w:val="00E86A4A"/>
    <w:rsid w:val="00E86B78"/>
    <w:rsid w:val="00E87108"/>
    <w:rsid w:val="00E872CF"/>
    <w:rsid w:val="00E87881"/>
    <w:rsid w:val="00E87A27"/>
    <w:rsid w:val="00E87AC9"/>
    <w:rsid w:val="00E87DCD"/>
    <w:rsid w:val="00E87E1A"/>
    <w:rsid w:val="00E9092D"/>
    <w:rsid w:val="00E90C3A"/>
    <w:rsid w:val="00E90DE6"/>
    <w:rsid w:val="00E91D90"/>
    <w:rsid w:val="00E9204A"/>
    <w:rsid w:val="00E92440"/>
    <w:rsid w:val="00E9283B"/>
    <w:rsid w:val="00E92921"/>
    <w:rsid w:val="00E92E40"/>
    <w:rsid w:val="00E93106"/>
    <w:rsid w:val="00E931F8"/>
    <w:rsid w:val="00E932C9"/>
    <w:rsid w:val="00E934FF"/>
    <w:rsid w:val="00E93EE3"/>
    <w:rsid w:val="00E94158"/>
    <w:rsid w:val="00E948DA"/>
    <w:rsid w:val="00E94E0B"/>
    <w:rsid w:val="00E94F39"/>
    <w:rsid w:val="00E952CA"/>
    <w:rsid w:val="00E95430"/>
    <w:rsid w:val="00E95EF7"/>
    <w:rsid w:val="00E9662F"/>
    <w:rsid w:val="00E968A7"/>
    <w:rsid w:val="00E969E7"/>
    <w:rsid w:val="00E9749B"/>
    <w:rsid w:val="00E977AA"/>
    <w:rsid w:val="00E97BD3"/>
    <w:rsid w:val="00E97C14"/>
    <w:rsid w:val="00E97EC6"/>
    <w:rsid w:val="00EA02B6"/>
    <w:rsid w:val="00EA0654"/>
    <w:rsid w:val="00EA0856"/>
    <w:rsid w:val="00EA094B"/>
    <w:rsid w:val="00EA0CF3"/>
    <w:rsid w:val="00EA0D2F"/>
    <w:rsid w:val="00EA0DFA"/>
    <w:rsid w:val="00EA1153"/>
    <w:rsid w:val="00EA1494"/>
    <w:rsid w:val="00EA1968"/>
    <w:rsid w:val="00EA1ABB"/>
    <w:rsid w:val="00EA1BD5"/>
    <w:rsid w:val="00EA205E"/>
    <w:rsid w:val="00EA2E01"/>
    <w:rsid w:val="00EA31AA"/>
    <w:rsid w:val="00EA3398"/>
    <w:rsid w:val="00EA352C"/>
    <w:rsid w:val="00EA3680"/>
    <w:rsid w:val="00EA3877"/>
    <w:rsid w:val="00EA3AC4"/>
    <w:rsid w:val="00EA3B83"/>
    <w:rsid w:val="00EA3C85"/>
    <w:rsid w:val="00EA401B"/>
    <w:rsid w:val="00EA416A"/>
    <w:rsid w:val="00EA44CD"/>
    <w:rsid w:val="00EA4834"/>
    <w:rsid w:val="00EA4887"/>
    <w:rsid w:val="00EA4D2D"/>
    <w:rsid w:val="00EA5C0C"/>
    <w:rsid w:val="00EA5DC4"/>
    <w:rsid w:val="00EA6208"/>
    <w:rsid w:val="00EA62E1"/>
    <w:rsid w:val="00EA632E"/>
    <w:rsid w:val="00EA67E0"/>
    <w:rsid w:val="00EA67F5"/>
    <w:rsid w:val="00EA6875"/>
    <w:rsid w:val="00EA725B"/>
    <w:rsid w:val="00EA73E5"/>
    <w:rsid w:val="00EA7898"/>
    <w:rsid w:val="00EA7BF3"/>
    <w:rsid w:val="00EB0097"/>
    <w:rsid w:val="00EB02FC"/>
    <w:rsid w:val="00EB0919"/>
    <w:rsid w:val="00EB0A87"/>
    <w:rsid w:val="00EB1271"/>
    <w:rsid w:val="00EB15E1"/>
    <w:rsid w:val="00EB19E5"/>
    <w:rsid w:val="00EB1B9B"/>
    <w:rsid w:val="00EB1DD4"/>
    <w:rsid w:val="00EB1EBB"/>
    <w:rsid w:val="00EB225C"/>
    <w:rsid w:val="00EB242A"/>
    <w:rsid w:val="00EB2597"/>
    <w:rsid w:val="00EB2CE0"/>
    <w:rsid w:val="00EB30BF"/>
    <w:rsid w:val="00EB3306"/>
    <w:rsid w:val="00EB3767"/>
    <w:rsid w:val="00EB3A6D"/>
    <w:rsid w:val="00EB3CAF"/>
    <w:rsid w:val="00EB3F47"/>
    <w:rsid w:val="00EB4077"/>
    <w:rsid w:val="00EB480F"/>
    <w:rsid w:val="00EB4C89"/>
    <w:rsid w:val="00EB4D4F"/>
    <w:rsid w:val="00EB4E16"/>
    <w:rsid w:val="00EB4EFD"/>
    <w:rsid w:val="00EB505D"/>
    <w:rsid w:val="00EB65A3"/>
    <w:rsid w:val="00EB6F93"/>
    <w:rsid w:val="00EB7891"/>
    <w:rsid w:val="00EB7B70"/>
    <w:rsid w:val="00EB7EF7"/>
    <w:rsid w:val="00EC025A"/>
    <w:rsid w:val="00EC0312"/>
    <w:rsid w:val="00EC0428"/>
    <w:rsid w:val="00EC0712"/>
    <w:rsid w:val="00EC08D2"/>
    <w:rsid w:val="00EC0AB4"/>
    <w:rsid w:val="00EC0F56"/>
    <w:rsid w:val="00EC1784"/>
    <w:rsid w:val="00EC18E8"/>
    <w:rsid w:val="00EC19A0"/>
    <w:rsid w:val="00EC1ABC"/>
    <w:rsid w:val="00EC1CFD"/>
    <w:rsid w:val="00EC27DF"/>
    <w:rsid w:val="00EC28B6"/>
    <w:rsid w:val="00EC2972"/>
    <w:rsid w:val="00EC29A8"/>
    <w:rsid w:val="00EC2A86"/>
    <w:rsid w:val="00EC2E5E"/>
    <w:rsid w:val="00EC357A"/>
    <w:rsid w:val="00EC35C1"/>
    <w:rsid w:val="00EC37AD"/>
    <w:rsid w:val="00EC3F71"/>
    <w:rsid w:val="00EC4164"/>
    <w:rsid w:val="00EC4285"/>
    <w:rsid w:val="00EC4363"/>
    <w:rsid w:val="00EC4564"/>
    <w:rsid w:val="00EC5111"/>
    <w:rsid w:val="00EC520A"/>
    <w:rsid w:val="00EC53DD"/>
    <w:rsid w:val="00EC5722"/>
    <w:rsid w:val="00EC58F0"/>
    <w:rsid w:val="00EC5FFD"/>
    <w:rsid w:val="00EC618B"/>
    <w:rsid w:val="00EC65E4"/>
    <w:rsid w:val="00EC6667"/>
    <w:rsid w:val="00EC669D"/>
    <w:rsid w:val="00EC6C09"/>
    <w:rsid w:val="00EC766D"/>
    <w:rsid w:val="00EC7962"/>
    <w:rsid w:val="00EC79B9"/>
    <w:rsid w:val="00EC7BA4"/>
    <w:rsid w:val="00EC7ED4"/>
    <w:rsid w:val="00ED0187"/>
    <w:rsid w:val="00ED02EA"/>
    <w:rsid w:val="00ED04F6"/>
    <w:rsid w:val="00ED0B42"/>
    <w:rsid w:val="00ED0B54"/>
    <w:rsid w:val="00ED128C"/>
    <w:rsid w:val="00ED1921"/>
    <w:rsid w:val="00ED270A"/>
    <w:rsid w:val="00ED28F6"/>
    <w:rsid w:val="00ED2B75"/>
    <w:rsid w:val="00ED2FDD"/>
    <w:rsid w:val="00ED3124"/>
    <w:rsid w:val="00ED37C7"/>
    <w:rsid w:val="00ED3E83"/>
    <w:rsid w:val="00ED415C"/>
    <w:rsid w:val="00ED4638"/>
    <w:rsid w:val="00ED471A"/>
    <w:rsid w:val="00ED48EA"/>
    <w:rsid w:val="00ED578B"/>
    <w:rsid w:val="00ED5EE8"/>
    <w:rsid w:val="00ED6504"/>
    <w:rsid w:val="00ED6723"/>
    <w:rsid w:val="00ED698B"/>
    <w:rsid w:val="00ED6DC6"/>
    <w:rsid w:val="00ED708C"/>
    <w:rsid w:val="00ED7425"/>
    <w:rsid w:val="00ED753F"/>
    <w:rsid w:val="00ED75C6"/>
    <w:rsid w:val="00EE025A"/>
    <w:rsid w:val="00EE0387"/>
    <w:rsid w:val="00EE04DB"/>
    <w:rsid w:val="00EE081B"/>
    <w:rsid w:val="00EE0BDB"/>
    <w:rsid w:val="00EE0FB5"/>
    <w:rsid w:val="00EE11B1"/>
    <w:rsid w:val="00EE12DC"/>
    <w:rsid w:val="00EE18DF"/>
    <w:rsid w:val="00EE1B17"/>
    <w:rsid w:val="00EE1E63"/>
    <w:rsid w:val="00EE20F3"/>
    <w:rsid w:val="00EE227D"/>
    <w:rsid w:val="00EE2335"/>
    <w:rsid w:val="00EE2336"/>
    <w:rsid w:val="00EE24A4"/>
    <w:rsid w:val="00EE29F2"/>
    <w:rsid w:val="00EE2C2D"/>
    <w:rsid w:val="00EE313E"/>
    <w:rsid w:val="00EE3646"/>
    <w:rsid w:val="00EE3932"/>
    <w:rsid w:val="00EE3AEC"/>
    <w:rsid w:val="00EE3B69"/>
    <w:rsid w:val="00EE3C52"/>
    <w:rsid w:val="00EE3DD9"/>
    <w:rsid w:val="00EE40A6"/>
    <w:rsid w:val="00EE40D4"/>
    <w:rsid w:val="00EE421D"/>
    <w:rsid w:val="00EE4585"/>
    <w:rsid w:val="00EE45B8"/>
    <w:rsid w:val="00EE4B68"/>
    <w:rsid w:val="00EE4FD8"/>
    <w:rsid w:val="00EE5047"/>
    <w:rsid w:val="00EE5278"/>
    <w:rsid w:val="00EE5459"/>
    <w:rsid w:val="00EE5482"/>
    <w:rsid w:val="00EE5576"/>
    <w:rsid w:val="00EE57B8"/>
    <w:rsid w:val="00EE58EB"/>
    <w:rsid w:val="00EE59EC"/>
    <w:rsid w:val="00EE5DE1"/>
    <w:rsid w:val="00EE5E8C"/>
    <w:rsid w:val="00EE5FFD"/>
    <w:rsid w:val="00EE6243"/>
    <w:rsid w:val="00EE6840"/>
    <w:rsid w:val="00EE6A8B"/>
    <w:rsid w:val="00EE6AE0"/>
    <w:rsid w:val="00EE6B33"/>
    <w:rsid w:val="00EE6D11"/>
    <w:rsid w:val="00EE711D"/>
    <w:rsid w:val="00EE7252"/>
    <w:rsid w:val="00EE745F"/>
    <w:rsid w:val="00EE78A5"/>
    <w:rsid w:val="00EE7B27"/>
    <w:rsid w:val="00EE7D6C"/>
    <w:rsid w:val="00EF0048"/>
    <w:rsid w:val="00EF0140"/>
    <w:rsid w:val="00EF0176"/>
    <w:rsid w:val="00EF0262"/>
    <w:rsid w:val="00EF051C"/>
    <w:rsid w:val="00EF0BE6"/>
    <w:rsid w:val="00EF1124"/>
    <w:rsid w:val="00EF11D4"/>
    <w:rsid w:val="00EF12CC"/>
    <w:rsid w:val="00EF1D9A"/>
    <w:rsid w:val="00EF1F9C"/>
    <w:rsid w:val="00EF227C"/>
    <w:rsid w:val="00EF272A"/>
    <w:rsid w:val="00EF2E6A"/>
    <w:rsid w:val="00EF304B"/>
    <w:rsid w:val="00EF3426"/>
    <w:rsid w:val="00EF4D8A"/>
    <w:rsid w:val="00EF588A"/>
    <w:rsid w:val="00EF5A62"/>
    <w:rsid w:val="00EF5F1B"/>
    <w:rsid w:val="00EF627A"/>
    <w:rsid w:val="00EF64B5"/>
    <w:rsid w:val="00EF676B"/>
    <w:rsid w:val="00EF6A4B"/>
    <w:rsid w:val="00EF6A51"/>
    <w:rsid w:val="00EF6B25"/>
    <w:rsid w:val="00EF7035"/>
    <w:rsid w:val="00EF70E5"/>
    <w:rsid w:val="00EF77E5"/>
    <w:rsid w:val="00EF789D"/>
    <w:rsid w:val="00EF7955"/>
    <w:rsid w:val="00F00609"/>
    <w:rsid w:val="00F006BC"/>
    <w:rsid w:val="00F00844"/>
    <w:rsid w:val="00F00ACB"/>
    <w:rsid w:val="00F00D92"/>
    <w:rsid w:val="00F00F72"/>
    <w:rsid w:val="00F0101F"/>
    <w:rsid w:val="00F01224"/>
    <w:rsid w:val="00F012E0"/>
    <w:rsid w:val="00F01469"/>
    <w:rsid w:val="00F01A53"/>
    <w:rsid w:val="00F01E5E"/>
    <w:rsid w:val="00F02145"/>
    <w:rsid w:val="00F029F0"/>
    <w:rsid w:val="00F02C8A"/>
    <w:rsid w:val="00F02D44"/>
    <w:rsid w:val="00F02FAE"/>
    <w:rsid w:val="00F0300B"/>
    <w:rsid w:val="00F03370"/>
    <w:rsid w:val="00F03530"/>
    <w:rsid w:val="00F035C0"/>
    <w:rsid w:val="00F036C0"/>
    <w:rsid w:val="00F03780"/>
    <w:rsid w:val="00F037DA"/>
    <w:rsid w:val="00F03953"/>
    <w:rsid w:val="00F0419E"/>
    <w:rsid w:val="00F0424F"/>
    <w:rsid w:val="00F04260"/>
    <w:rsid w:val="00F045F1"/>
    <w:rsid w:val="00F04C30"/>
    <w:rsid w:val="00F04EB4"/>
    <w:rsid w:val="00F04F11"/>
    <w:rsid w:val="00F051AD"/>
    <w:rsid w:val="00F059CA"/>
    <w:rsid w:val="00F05A90"/>
    <w:rsid w:val="00F05B32"/>
    <w:rsid w:val="00F05EE0"/>
    <w:rsid w:val="00F0604D"/>
    <w:rsid w:val="00F06172"/>
    <w:rsid w:val="00F061CF"/>
    <w:rsid w:val="00F0621C"/>
    <w:rsid w:val="00F0649B"/>
    <w:rsid w:val="00F066C6"/>
    <w:rsid w:val="00F06A2C"/>
    <w:rsid w:val="00F06C74"/>
    <w:rsid w:val="00F06FC3"/>
    <w:rsid w:val="00F0751A"/>
    <w:rsid w:val="00F07728"/>
    <w:rsid w:val="00F079B9"/>
    <w:rsid w:val="00F07BB8"/>
    <w:rsid w:val="00F07C21"/>
    <w:rsid w:val="00F07C38"/>
    <w:rsid w:val="00F07D75"/>
    <w:rsid w:val="00F07E2D"/>
    <w:rsid w:val="00F07FA3"/>
    <w:rsid w:val="00F102BC"/>
    <w:rsid w:val="00F102D5"/>
    <w:rsid w:val="00F10967"/>
    <w:rsid w:val="00F109C4"/>
    <w:rsid w:val="00F10A83"/>
    <w:rsid w:val="00F10FD9"/>
    <w:rsid w:val="00F11257"/>
    <w:rsid w:val="00F11543"/>
    <w:rsid w:val="00F11B20"/>
    <w:rsid w:val="00F11CF2"/>
    <w:rsid w:val="00F11D87"/>
    <w:rsid w:val="00F11E7A"/>
    <w:rsid w:val="00F12A0E"/>
    <w:rsid w:val="00F12B14"/>
    <w:rsid w:val="00F12BC0"/>
    <w:rsid w:val="00F1346D"/>
    <w:rsid w:val="00F137C1"/>
    <w:rsid w:val="00F1397B"/>
    <w:rsid w:val="00F13FCB"/>
    <w:rsid w:val="00F143AD"/>
    <w:rsid w:val="00F1501E"/>
    <w:rsid w:val="00F15439"/>
    <w:rsid w:val="00F156F6"/>
    <w:rsid w:val="00F15F59"/>
    <w:rsid w:val="00F15F62"/>
    <w:rsid w:val="00F16596"/>
    <w:rsid w:val="00F1666C"/>
    <w:rsid w:val="00F16A40"/>
    <w:rsid w:val="00F16A9D"/>
    <w:rsid w:val="00F16E1B"/>
    <w:rsid w:val="00F173B2"/>
    <w:rsid w:val="00F17B21"/>
    <w:rsid w:val="00F20065"/>
    <w:rsid w:val="00F201B6"/>
    <w:rsid w:val="00F20304"/>
    <w:rsid w:val="00F203E3"/>
    <w:rsid w:val="00F20A66"/>
    <w:rsid w:val="00F20E02"/>
    <w:rsid w:val="00F20EAB"/>
    <w:rsid w:val="00F211AD"/>
    <w:rsid w:val="00F217E3"/>
    <w:rsid w:val="00F21848"/>
    <w:rsid w:val="00F21D21"/>
    <w:rsid w:val="00F22141"/>
    <w:rsid w:val="00F22229"/>
    <w:rsid w:val="00F227FB"/>
    <w:rsid w:val="00F229D7"/>
    <w:rsid w:val="00F22A67"/>
    <w:rsid w:val="00F232CD"/>
    <w:rsid w:val="00F23627"/>
    <w:rsid w:val="00F23786"/>
    <w:rsid w:val="00F23B72"/>
    <w:rsid w:val="00F23C05"/>
    <w:rsid w:val="00F24382"/>
    <w:rsid w:val="00F24498"/>
    <w:rsid w:val="00F24A6E"/>
    <w:rsid w:val="00F24DFA"/>
    <w:rsid w:val="00F24EAC"/>
    <w:rsid w:val="00F24EEF"/>
    <w:rsid w:val="00F24FF7"/>
    <w:rsid w:val="00F25059"/>
    <w:rsid w:val="00F2523D"/>
    <w:rsid w:val="00F25C22"/>
    <w:rsid w:val="00F2687A"/>
    <w:rsid w:val="00F2697D"/>
    <w:rsid w:val="00F269F1"/>
    <w:rsid w:val="00F26A0C"/>
    <w:rsid w:val="00F26DD9"/>
    <w:rsid w:val="00F26F46"/>
    <w:rsid w:val="00F273DB"/>
    <w:rsid w:val="00F2754C"/>
    <w:rsid w:val="00F2762D"/>
    <w:rsid w:val="00F27F7B"/>
    <w:rsid w:val="00F27FF2"/>
    <w:rsid w:val="00F27FFC"/>
    <w:rsid w:val="00F30071"/>
    <w:rsid w:val="00F300DA"/>
    <w:rsid w:val="00F30D94"/>
    <w:rsid w:val="00F30E26"/>
    <w:rsid w:val="00F31063"/>
    <w:rsid w:val="00F311A0"/>
    <w:rsid w:val="00F31519"/>
    <w:rsid w:val="00F31950"/>
    <w:rsid w:val="00F32189"/>
    <w:rsid w:val="00F321D5"/>
    <w:rsid w:val="00F3272E"/>
    <w:rsid w:val="00F3279F"/>
    <w:rsid w:val="00F32D1D"/>
    <w:rsid w:val="00F32D99"/>
    <w:rsid w:val="00F32FD4"/>
    <w:rsid w:val="00F33223"/>
    <w:rsid w:val="00F335D6"/>
    <w:rsid w:val="00F33818"/>
    <w:rsid w:val="00F33C0F"/>
    <w:rsid w:val="00F3434C"/>
    <w:rsid w:val="00F3441A"/>
    <w:rsid w:val="00F34474"/>
    <w:rsid w:val="00F344F3"/>
    <w:rsid w:val="00F34727"/>
    <w:rsid w:val="00F34840"/>
    <w:rsid w:val="00F34B22"/>
    <w:rsid w:val="00F34FC6"/>
    <w:rsid w:val="00F352EE"/>
    <w:rsid w:val="00F35387"/>
    <w:rsid w:val="00F35D0D"/>
    <w:rsid w:val="00F3679A"/>
    <w:rsid w:val="00F36FE1"/>
    <w:rsid w:val="00F36FEB"/>
    <w:rsid w:val="00F374BB"/>
    <w:rsid w:val="00F375AF"/>
    <w:rsid w:val="00F37AE4"/>
    <w:rsid w:val="00F37B37"/>
    <w:rsid w:val="00F37EEE"/>
    <w:rsid w:val="00F408D9"/>
    <w:rsid w:val="00F40A6D"/>
    <w:rsid w:val="00F40B9C"/>
    <w:rsid w:val="00F4106D"/>
    <w:rsid w:val="00F410D5"/>
    <w:rsid w:val="00F41444"/>
    <w:rsid w:val="00F4149C"/>
    <w:rsid w:val="00F41971"/>
    <w:rsid w:val="00F41B20"/>
    <w:rsid w:val="00F4248A"/>
    <w:rsid w:val="00F428B9"/>
    <w:rsid w:val="00F43434"/>
    <w:rsid w:val="00F4357B"/>
    <w:rsid w:val="00F43BA0"/>
    <w:rsid w:val="00F43BC3"/>
    <w:rsid w:val="00F43F63"/>
    <w:rsid w:val="00F442EE"/>
    <w:rsid w:val="00F44345"/>
    <w:rsid w:val="00F44A9F"/>
    <w:rsid w:val="00F4503B"/>
    <w:rsid w:val="00F45270"/>
    <w:rsid w:val="00F452BE"/>
    <w:rsid w:val="00F4540D"/>
    <w:rsid w:val="00F454F3"/>
    <w:rsid w:val="00F45AF5"/>
    <w:rsid w:val="00F45BF3"/>
    <w:rsid w:val="00F46430"/>
    <w:rsid w:val="00F46918"/>
    <w:rsid w:val="00F46E60"/>
    <w:rsid w:val="00F471E0"/>
    <w:rsid w:val="00F478FF"/>
    <w:rsid w:val="00F47EA4"/>
    <w:rsid w:val="00F50640"/>
    <w:rsid w:val="00F5085D"/>
    <w:rsid w:val="00F509E4"/>
    <w:rsid w:val="00F50BB3"/>
    <w:rsid w:val="00F50FDA"/>
    <w:rsid w:val="00F51868"/>
    <w:rsid w:val="00F51D0A"/>
    <w:rsid w:val="00F51D68"/>
    <w:rsid w:val="00F51EFC"/>
    <w:rsid w:val="00F521F8"/>
    <w:rsid w:val="00F5272C"/>
    <w:rsid w:val="00F528D3"/>
    <w:rsid w:val="00F52968"/>
    <w:rsid w:val="00F52CEE"/>
    <w:rsid w:val="00F52DC1"/>
    <w:rsid w:val="00F53488"/>
    <w:rsid w:val="00F53759"/>
    <w:rsid w:val="00F53C26"/>
    <w:rsid w:val="00F53DA7"/>
    <w:rsid w:val="00F54745"/>
    <w:rsid w:val="00F547DB"/>
    <w:rsid w:val="00F547DC"/>
    <w:rsid w:val="00F54CAA"/>
    <w:rsid w:val="00F54E6F"/>
    <w:rsid w:val="00F5502B"/>
    <w:rsid w:val="00F55391"/>
    <w:rsid w:val="00F55438"/>
    <w:rsid w:val="00F55446"/>
    <w:rsid w:val="00F560BA"/>
    <w:rsid w:val="00F561B5"/>
    <w:rsid w:val="00F56382"/>
    <w:rsid w:val="00F563CA"/>
    <w:rsid w:val="00F5643B"/>
    <w:rsid w:val="00F56499"/>
    <w:rsid w:val="00F5677E"/>
    <w:rsid w:val="00F56A6F"/>
    <w:rsid w:val="00F56F10"/>
    <w:rsid w:val="00F5719B"/>
    <w:rsid w:val="00F57256"/>
    <w:rsid w:val="00F576B4"/>
    <w:rsid w:val="00F577CE"/>
    <w:rsid w:val="00F57C20"/>
    <w:rsid w:val="00F57D75"/>
    <w:rsid w:val="00F60C81"/>
    <w:rsid w:val="00F60D5F"/>
    <w:rsid w:val="00F610E7"/>
    <w:rsid w:val="00F61518"/>
    <w:rsid w:val="00F6155D"/>
    <w:rsid w:val="00F61584"/>
    <w:rsid w:val="00F61CBF"/>
    <w:rsid w:val="00F61D69"/>
    <w:rsid w:val="00F62D2D"/>
    <w:rsid w:val="00F63398"/>
    <w:rsid w:val="00F637BC"/>
    <w:rsid w:val="00F63CC2"/>
    <w:rsid w:val="00F63EA2"/>
    <w:rsid w:val="00F640D6"/>
    <w:rsid w:val="00F64CCD"/>
    <w:rsid w:val="00F64CFC"/>
    <w:rsid w:val="00F65304"/>
    <w:rsid w:val="00F65417"/>
    <w:rsid w:val="00F65857"/>
    <w:rsid w:val="00F6598C"/>
    <w:rsid w:val="00F659DD"/>
    <w:rsid w:val="00F661DB"/>
    <w:rsid w:val="00F66423"/>
    <w:rsid w:val="00F665E5"/>
    <w:rsid w:val="00F66758"/>
    <w:rsid w:val="00F66A3B"/>
    <w:rsid w:val="00F66E88"/>
    <w:rsid w:val="00F67700"/>
    <w:rsid w:val="00F6787E"/>
    <w:rsid w:val="00F678CE"/>
    <w:rsid w:val="00F6792B"/>
    <w:rsid w:val="00F67D7A"/>
    <w:rsid w:val="00F67E30"/>
    <w:rsid w:val="00F7014B"/>
    <w:rsid w:val="00F70380"/>
    <w:rsid w:val="00F705C3"/>
    <w:rsid w:val="00F70725"/>
    <w:rsid w:val="00F7115B"/>
    <w:rsid w:val="00F715AD"/>
    <w:rsid w:val="00F7169D"/>
    <w:rsid w:val="00F718C0"/>
    <w:rsid w:val="00F71958"/>
    <w:rsid w:val="00F72098"/>
    <w:rsid w:val="00F720D4"/>
    <w:rsid w:val="00F7211F"/>
    <w:rsid w:val="00F72140"/>
    <w:rsid w:val="00F7248D"/>
    <w:rsid w:val="00F72A27"/>
    <w:rsid w:val="00F72C4E"/>
    <w:rsid w:val="00F72E47"/>
    <w:rsid w:val="00F732B5"/>
    <w:rsid w:val="00F7335C"/>
    <w:rsid w:val="00F733CE"/>
    <w:rsid w:val="00F73515"/>
    <w:rsid w:val="00F73673"/>
    <w:rsid w:val="00F73EB7"/>
    <w:rsid w:val="00F7431A"/>
    <w:rsid w:val="00F748A9"/>
    <w:rsid w:val="00F748DC"/>
    <w:rsid w:val="00F748E6"/>
    <w:rsid w:val="00F74A76"/>
    <w:rsid w:val="00F74F02"/>
    <w:rsid w:val="00F75828"/>
    <w:rsid w:val="00F75C53"/>
    <w:rsid w:val="00F7619A"/>
    <w:rsid w:val="00F761A9"/>
    <w:rsid w:val="00F764B7"/>
    <w:rsid w:val="00F7667B"/>
    <w:rsid w:val="00F7668A"/>
    <w:rsid w:val="00F767B1"/>
    <w:rsid w:val="00F76C57"/>
    <w:rsid w:val="00F77242"/>
    <w:rsid w:val="00F772CD"/>
    <w:rsid w:val="00F77388"/>
    <w:rsid w:val="00F77425"/>
    <w:rsid w:val="00F77B2D"/>
    <w:rsid w:val="00F77CD6"/>
    <w:rsid w:val="00F77F91"/>
    <w:rsid w:val="00F800EC"/>
    <w:rsid w:val="00F802DC"/>
    <w:rsid w:val="00F8057A"/>
    <w:rsid w:val="00F806B7"/>
    <w:rsid w:val="00F806DD"/>
    <w:rsid w:val="00F80BE2"/>
    <w:rsid w:val="00F80CD0"/>
    <w:rsid w:val="00F80FEF"/>
    <w:rsid w:val="00F812E6"/>
    <w:rsid w:val="00F81375"/>
    <w:rsid w:val="00F813F5"/>
    <w:rsid w:val="00F814CD"/>
    <w:rsid w:val="00F81704"/>
    <w:rsid w:val="00F8198B"/>
    <w:rsid w:val="00F82934"/>
    <w:rsid w:val="00F83117"/>
    <w:rsid w:val="00F83722"/>
    <w:rsid w:val="00F837E8"/>
    <w:rsid w:val="00F83D2F"/>
    <w:rsid w:val="00F83D44"/>
    <w:rsid w:val="00F83F9D"/>
    <w:rsid w:val="00F84592"/>
    <w:rsid w:val="00F851A4"/>
    <w:rsid w:val="00F85512"/>
    <w:rsid w:val="00F855ED"/>
    <w:rsid w:val="00F8583A"/>
    <w:rsid w:val="00F85948"/>
    <w:rsid w:val="00F85EF2"/>
    <w:rsid w:val="00F8627C"/>
    <w:rsid w:val="00F867BE"/>
    <w:rsid w:val="00F86A4B"/>
    <w:rsid w:val="00F86AA3"/>
    <w:rsid w:val="00F86D57"/>
    <w:rsid w:val="00F872E9"/>
    <w:rsid w:val="00F87410"/>
    <w:rsid w:val="00F87600"/>
    <w:rsid w:val="00F876D4"/>
    <w:rsid w:val="00F879C4"/>
    <w:rsid w:val="00F87A58"/>
    <w:rsid w:val="00F87ABC"/>
    <w:rsid w:val="00F87CAB"/>
    <w:rsid w:val="00F87D1E"/>
    <w:rsid w:val="00F87DDE"/>
    <w:rsid w:val="00F87EB2"/>
    <w:rsid w:val="00F901F7"/>
    <w:rsid w:val="00F90962"/>
    <w:rsid w:val="00F90C18"/>
    <w:rsid w:val="00F90E11"/>
    <w:rsid w:val="00F913D0"/>
    <w:rsid w:val="00F91AA2"/>
    <w:rsid w:val="00F91D5E"/>
    <w:rsid w:val="00F920A7"/>
    <w:rsid w:val="00F92214"/>
    <w:rsid w:val="00F924EB"/>
    <w:rsid w:val="00F929CD"/>
    <w:rsid w:val="00F92D2F"/>
    <w:rsid w:val="00F9313A"/>
    <w:rsid w:val="00F93240"/>
    <w:rsid w:val="00F93350"/>
    <w:rsid w:val="00F939AB"/>
    <w:rsid w:val="00F93E04"/>
    <w:rsid w:val="00F94272"/>
    <w:rsid w:val="00F94362"/>
    <w:rsid w:val="00F94430"/>
    <w:rsid w:val="00F94761"/>
    <w:rsid w:val="00F9495F"/>
    <w:rsid w:val="00F94F6B"/>
    <w:rsid w:val="00F951E8"/>
    <w:rsid w:val="00F952B4"/>
    <w:rsid w:val="00F952EA"/>
    <w:rsid w:val="00F95399"/>
    <w:rsid w:val="00F953CC"/>
    <w:rsid w:val="00F953F9"/>
    <w:rsid w:val="00F95979"/>
    <w:rsid w:val="00F95DAB"/>
    <w:rsid w:val="00F95F68"/>
    <w:rsid w:val="00F969A9"/>
    <w:rsid w:val="00F96B0F"/>
    <w:rsid w:val="00F96E33"/>
    <w:rsid w:val="00F96EAC"/>
    <w:rsid w:val="00F9739D"/>
    <w:rsid w:val="00F974FE"/>
    <w:rsid w:val="00F97675"/>
    <w:rsid w:val="00F97953"/>
    <w:rsid w:val="00F97BB1"/>
    <w:rsid w:val="00F97DC4"/>
    <w:rsid w:val="00FA0651"/>
    <w:rsid w:val="00FA17F1"/>
    <w:rsid w:val="00FA1860"/>
    <w:rsid w:val="00FA1DFA"/>
    <w:rsid w:val="00FA206B"/>
    <w:rsid w:val="00FA2366"/>
    <w:rsid w:val="00FA23B3"/>
    <w:rsid w:val="00FA282C"/>
    <w:rsid w:val="00FA2AB7"/>
    <w:rsid w:val="00FA2CAF"/>
    <w:rsid w:val="00FA2ED1"/>
    <w:rsid w:val="00FA35D0"/>
    <w:rsid w:val="00FA36F6"/>
    <w:rsid w:val="00FA3ADC"/>
    <w:rsid w:val="00FA3EF4"/>
    <w:rsid w:val="00FA42F6"/>
    <w:rsid w:val="00FA43F7"/>
    <w:rsid w:val="00FA470B"/>
    <w:rsid w:val="00FA48F9"/>
    <w:rsid w:val="00FA4CCB"/>
    <w:rsid w:val="00FA52A8"/>
    <w:rsid w:val="00FA542C"/>
    <w:rsid w:val="00FA5528"/>
    <w:rsid w:val="00FA5742"/>
    <w:rsid w:val="00FA5B93"/>
    <w:rsid w:val="00FA5F95"/>
    <w:rsid w:val="00FA6259"/>
    <w:rsid w:val="00FA6A73"/>
    <w:rsid w:val="00FA7CFB"/>
    <w:rsid w:val="00FB002B"/>
    <w:rsid w:val="00FB0158"/>
    <w:rsid w:val="00FB01B2"/>
    <w:rsid w:val="00FB0340"/>
    <w:rsid w:val="00FB0601"/>
    <w:rsid w:val="00FB070E"/>
    <w:rsid w:val="00FB079E"/>
    <w:rsid w:val="00FB10C2"/>
    <w:rsid w:val="00FB1302"/>
    <w:rsid w:val="00FB1781"/>
    <w:rsid w:val="00FB1D44"/>
    <w:rsid w:val="00FB20D0"/>
    <w:rsid w:val="00FB2462"/>
    <w:rsid w:val="00FB251E"/>
    <w:rsid w:val="00FB2844"/>
    <w:rsid w:val="00FB3085"/>
    <w:rsid w:val="00FB317C"/>
    <w:rsid w:val="00FB3483"/>
    <w:rsid w:val="00FB34E9"/>
    <w:rsid w:val="00FB394E"/>
    <w:rsid w:val="00FB41F9"/>
    <w:rsid w:val="00FB4826"/>
    <w:rsid w:val="00FB4AEB"/>
    <w:rsid w:val="00FB4CB3"/>
    <w:rsid w:val="00FB4D1B"/>
    <w:rsid w:val="00FB5572"/>
    <w:rsid w:val="00FB58FB"/>
    <w:rsid w:val="00FB594A"/>
    <w:rsid w:val="00FB688F"/>
    <w:rsid w:val="00FB6950"/>
    <w:rsid w:val="00FB69DE"/>
    <w:rsid w:val="00FB6C55"/>
    <w:rsid w:val="00FB70D2"/>
    <w:rsid w:val="00FB745B"/>
    <w:rsid w:val="00FB770F"/>
    <w:rsid w:val="00FB7CF7"/>
    <w:rsid w:val="00FC02EF"/>
    <w:rsid w:val="00FC0A95"/>
    <w:rsid w:val="00FC0EDB"/>
    <w:rsid w:val="00FC0EFC"/>
    <w:rsid w:val="00FC1856"/>
    <w:rsid w:val="00FC1ECA"/>
    <w:rsid w:val="00FC1FD0"/>
    <w:rsid w:val="00FC2088"/>
    <w:rsid w:val="00FC20DB"/>
    <w:rsid w:val="00FC2454"/>
    <w:rsid w:val="00FC2630"/>
    <w:rsid w:val="00FC2A21"/>
    <w:rsid w:val="00FC2AAC"/>
    <w:rsid w:val="00FC2B15"/>
    <w:rsid w:val="00FC3193"/>
    <w:rsid w:val="00FC33D7"/>
    <w:rsid w:val="00FC3679"/>
    <w:rsid w:val="00FC3FD0"/>
    <w:rsid w:val="00FC418F"/>
    <w:rsid w:val="00FC41BD"/>
    <w:rsid w:val="00FC45D7"/>
    <w:rsid w:val="00FC48A0"/>
    <w:rsid w:val="00FC54CC"/>
    <w:rsid w:val="00FC57F2"/>
    <w:rsid w:val="00FC593C"/>
    <w:rsid w:val="00FC5948"/>
    <w:rsid w:val="00FC5FF6"/>
    <w:rsid w:val="00FC60A7"/>
    <w:rsid w:val="00FC66FE"/>
    <w:rsid w:val="00FC6810"/>
    <w:rsid w:val="00FC6972"/>
    <w:rsid w:val="00FC6B9A"/>
    <w:rsid w:val="00FC6DAE"/>
    <w:rsid w:val="00FC7060"/>
    <w:rsid w:val="00FC758B"/>
    <w:rsid w:val="00FC78B2"/>
    <w:rsid w:val="00FC7917"/>
    <w:rsid w:val="00FC7BA9"/>
    <w:rsid w:val="00FD0030"/>
    <w:rsid w:val="00FD01DC"/>
    <w:rsid w:val="00FD0AAA"/>
    <w:rsid w:val="00FD0AB2"/>
    <w:rsid w:val="00FD0F6B"/>
    <w:rsid w:val="00FD17C6"/>
    <w:rsid w:val="00FD1868"/>
    <w:rsid w:val="00FD1A07"/>
    <w:rsid w:val="00FD1A14"/>
    <w:rsid w:val="00FD1C12"/>
    <w:rsid w:val="00FD2301"/>
    <w:rsid w:val="00FD25EE"/>
    <w:rsid w:val="00FD2792"/>
    <w:rsid w:val="00FD288B"/>
    <w:rsid w:val="00FD2BC5"/>
    <w:rsid w:val="00FD2C21"/>
    <w:rsid w:val="00FD30B9"/>
    <w:rsid w:val="00FD38CB"/>
    <w:rsid w:val="00FD3B1D"/>
    <w:rsid w:val="00FD3BF6"/>
    <w:rsid w:val="00FD3F3C"/>
    <w:rsid w:val="00FD429D"/>
    <w:rsid w:val="00FD4316"/>
    <w:rsid w:val="00FD46C6"/>
    <w:rsid w:val="00FD495A"/>
    <w:rsid w:val="00FD4A0E"/>
    <w:rsid w:val="00FD5073"/>
    <w:rsid w:val="00FD5253"/>
    <w:rsid w:val="00FD56AF"/>
    <w:rsid w:val="00FD58E1"/>
    <w:rsid w:val="00FD62D4"/>
    <w:rsid w:val="00FD63AB"/>
    <w:rsid w:val="00FD6697"/>
    <w:rsid w:val="00FD6CBB"/>
    <w:rsid w:val="00FD7167"/>
    <w:rsid w:val="00FD73E0"/>
    <w:rsid w:val="00FD7507"/>
    <w:rsid w:val="00FD7B93"/>
    <w:rsid w:val="00FE0565"/>
    <w:rsid w:val="00FE0B17"/>
    <w:rsid w:val="00FE0CD4"/>
    <w:rsid w:val="00FE11EB"/>
    <w:rsid w:val="00FE11FA"/>
    <w:rsid w:val="00FE1238"/>
    <w:rsid w:val="00FE1727"/>
    <w:rsid w:val="00FE1F8C"/>
    <w:rsid w:val="00FE241D"/>
    <w:rsid w:val="00FE24B8"/>
    <w:rsid w:val="00FE2792"/>
    <w:rsid w:val="00FE27C4"/>
    <w:rsid w:val="00FE3139"/>
    <w:rsid w:val="00FE31EC"/>
    <w:rsid w:val="00FE334F"/>
    <w:rsid w:val="00FE3437"/>
    <w:rsid w:val="00FE3DC9"/>
    <w:rsid w:val="00FE3EBD"/>
    <w:rsid w:val="00FE4430"/>
    <w:rsid w:val="00FE4657"/>
    <w:rsid w:val="00FE4A2F"/>
    <w:rsid w:val="00FE4B42"/>
    <w:rsid w:val="00FE4F6F"/>
    <w:rsid w:val="00FE50CD"/>
    <w:rsid w:val="00FE50D3"/>
    <w:rsid w:val="00FE51D7"/>
    <w:rsid w:val="00FE5612"/>
    <w:rsid w:val="00FE579F"/>
    <w:rsid w:val="00FE5888"/>
    <w:rsid w:val="00FE5FA8"/>
    <w:rsid w:val="00FE63D2"/>
    <w:rsid w:val="00FE6AC9"/>
    <w:rsid w:val="00FE6B29"/>
    <w:rsid w:val="00FE6F21"/>
    <w:rsid w:val="00FE7094"/>
    <w:rsid w:val="00FE7567"/>
    <w:rsid w:val="00FE7696"/>
    <w:rsid w:val="00FE77F8"/>
    <w:rsid w:val="00FE7809"/>
    <w:rsid w:val="00FF037F"/>
    <w:rsid w:val="00FF04F5"/>
    <w:rsid w:val="00FF0A8C"/>
    <w:rsid w:val="00FF10BF"/>
    <w:rsid w:val="00FF10EE"/>
    <w:rsid w:val="00FF1DC8"/>
    <w:rsid w:val="00FF257B"/>
    <w:rsid w:val="00FF2BC2"/>
    <w:rsid w:val="00FF2D86"/>
    <w:rsid w:val="00FF2D8C"/>
    <w:rsid w:val="00FF2E10"/>
    <w:rsid w:val="00FF339A"/>
    <w:rsid w:val="00FF3A93"/>
    <w:rsid w:val="00FF3F87"/>
    <w:rsid w:val="00FF3FC5"/>
    <w:rsid w:val="00FF4A9D"/>
    <w:rsid w:val="00FF4E0D"/>
    <w:rsid w:val="00FF533D"/>
    <w:rsid w:val="00FF587D"/>
    <w:rsid w:val="00FF5891"/>
    <w:rsid w:val="00FF5C4D"/>
    <w:rsid w:val="00FF612A"/>
    <w:rsid w:val="00FF62BF"/>
    <w:rsid w:val="00FF63FE"/>
    <w:rsid w:val="00FF65B2"/>
    <w:rsid w:val="00FF67F2"/>
    <w:rsid w:val="00FF6C31"/>
    <w:rsid w:val="00FF71C1"/>
    <w:rsid w:val="00FF758D"/>
    <w:rsid w:val="00FF75A4"/>
    <w:rsid w:val="00FF7723"/>
    <w:rsid w:val="00FF7814"/>
    <w:rsid w:val="00FF7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1DCD4"/>
  <w15:docId w15:val="{3DC015B5-D94C-4064-A12C-76504BBE7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en-US" w:bidi="ar-SA"/>
      </w:rPr>
    </w:rPrDefault>
    <w:pPrDefault>
      <w:pPr>
        <w:spacing w:after="160" w:line="25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B3834"/>
    <w:pPr>
      <w:pBdr>
        <w:top w:val="nil"/>
        <w:left w:val="nil"/>
        <w:bottom w:val="nil"/>
        <w:right w:val="nil"/>
        <w:between w:val="nil"/>
      </w:pBdr>
      <w:spacing w:after="0" w:line="240" w:lineRule="auto"/>
      <w:jc w:val="both"/>
    </w:pPr>
    <w:rPr>
      <w:rFonts w:ascii="Cambria" w:eastAsia="Cambria" w:hAnsi="Cambria" w:cs="Cambria"/>
      <w:color w:val="000000"/>
      <w:sz w:val="20"/>
      <w:szCs w:val="20"/>
    </w:rPr>
  </w:style>
  <w:style w:type="paragraph" w:styleId="Heading1">
    <w:name w:val="heading 1"/>
    <w:basedOn w:val="Normal"/>
    <w:next w:val="Normal"/>
    <w:link w:val="Heading1Char"/>
    <w:rsid w:val="00E859A9"/>
    <w:pPr>
      <w:keepNext/>
      <w:keepLines/>
      <w:widowControl w:val="0"/>
      <w:numPr>
        <w:numId w:val="6"/>
      </w:numPr>
      <w:spacing w:before="240" w:after="120"/>
      <w:outlineLvl w:val="0"/>
    </w:pPr>
    <w:rPr>
      <w:b/>
      <w:bCs/>
    </w:rPr>
  </w:style>
  <w:style w:type="paragraph" w:styleId="Heading2">
    <w:name w:val="heading 2"/>
    <w:basedOn w:val="Normal"/>
    <w:next w:val="Normal"/>
    <w:link w:val="Heading2Char"/>
    <w:rsid w:val="00B1595B"/>
    <w:pPr>
      <w:keepNext/>
      <w:keepLines/>
      <w:widowControl w:val="0"/>
      <w:numPr>
        <w:ilvl w:val="1"/>
        <w:numId w:val="6"/>
      </w:numPr>
      <w:spacing w:before="240" w:after="120"/>
      <w:outlineLvl w:val="1"/>
    </w:pPr>
    <w:rPr>
      <w:b/>
      <w:bCs/>
      <w:i/>
      <w:iCs/>
    </w:rPr>
  </w:style>
  <w:style w:type="paragraph" w:styleId="Heading3">
    <w:name w:val="heading 3"/>
    <w:basedOn w:val="Normal"/>
    <w:next w:val="Normal"/>
    <w:link w:val="Heading3Char"/>
    <w:rsid w:val="00821B05"/>
    <w:pPr>
      <w:keepNext/>
      <w:keepLines/>
      <w:widowControl w:val="0"/>
      <w:numPr>
        <w:ilvl w:val="2"/>
        <w:numId w:val="6"/>
      </w:numPr>
      <w:spacing w:before="40"/>
      <w:ind w:left="851"/>
      <w:outlineLvl w:val="2"/>
    </w:pPr>
    <w:rPr>
      <w:rFonts w:asciiTheme="minorHAnsi" w:hAnsiTheme="minorHAnsi"/>
      <w:b/>
      <w:bCs/>
      <w:i/>
      <w:iCs/>
    </w:rPr>
  </w:style>
  <w:style w:type="paragraph" w:styleId="Heading4">
    <w:name w:val="heading 4"/>
    <w:basedOn w:val="Normal"/>
    <w:next w:val="Normal"/>
    <w:pPr>
      <w:keepNext/>
      <w:keepLines/>
      <w:widowControl w:val="0"/>
      <w:numPr>
        <w:ilvl w:val="3"/>
        <w:numId w:val="6"/>
      </w:numPr>
      <w:tabs>
        <w:tab w:val="left" w:pos="426"/>
      </w:tabs>
      <w:spacing w:before="40"/>
      <w:outlineLvl w:val="3"/>
    </w:pPr>
    <w:rPr>
      <w:i/>
      <w:color w:val="2F5496"/>
    </w:rPr>
  </w:style>
  <w:style w:type="paragraph" w:styleId="Heading5">
    <w:name w:val="heading 5"/>
    <w:basedOn w:val="Normal"/>
    <w:next w:val="Normal"/>
    <w:pPr>
      <w:keepNext/>
      <w:keepLines/>
      <w:widowControl w:val="0"/>
      <w:numPr>
        <w:ilvl w:val="4"/>
        <w:numId w:val="6"/>
      </w:numPr>
      <w:tabs>
        <w:tab w:val="left" w:pos="426"/>
      </w:tabs>
      <w:spacing w:before="40"/>
      <w:outlineLvl w:val="4"/>
    </w:pPr>
    <w:rPr>
      <w:color w:val="2F5496"/>
    </w:rPr>
  </w:style>
  <w:style w:type="paragraph" w:styleId="Heading6">
    <w:name w:val="heading 6"/>
    <w:basedOn w:val="Normal"/>
    <w:next w:val="Normal"/>
    <w:pPr>
      <w:keepNext/>
      <w:keepLines/>
      <w:widowControl w:val="0"/>
      <w:numPr>
        <w:ilvl w:val="5"/>
        <w:numId w:val="6"/>
      </w:numPr>
      <w:tabs>
        <w:tab w:val="left" w:pos="426"/>
      </w:tabs>
      <w:spacing w:before="40"/>
      <w:outlineLvl w:val="5"/>
    </w:pPr>
    <w:rPr>
      <w:color w:val="1F3863"/>
    </w:rPr>
  </w:style>
  <w:style w:type="paragraph" w:styleId="Heading7">
    <w:name w:val="heading 7"/>
    <w:basedOn w:val="Normal"/>
    <w:next w:val="Normal"/>
    <w:link w:val="Heading7Char"/>
    <w:uiPriority w:val="9"/>
    <w:semiHidden/>
    <w:unhideWhenUsed/>
    <w:qFormat/>
    <w:rsid w:val="00FA5F95"/>
    <w:pPr>
      <w:keepNext/>
      <w:keepLines/>
      <w:numPr>
        <w:ilvl w:val="6"/>
        <w:numId w:val="6"/>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A5F95"/>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A5F95"/>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2">
    <w:name w:val="12"/>
    <w:basedOn w:val="TableNormal"/>
    <w:tblPr>
      <w:tblStyleRowBandSize w:val="1"/>
      <w:tblStyleColBandSize w:val="1"/>
      <w:tblCellMar>
        <w:left w:w="57" w:type="dxa"/>
        <w:right w:w="57" w:type="dxa"/>
      </w:tblCellMar>
    </w:tblPr>
  </w:style>
  <w:style w:type="table" w:customStyle="1" w:styleId="11">
    <w:name w:val="11"/>
    <w:basedOn w:val="TableNormal"/>
    <w:tblPr>
      <w:tblStyleRowBandSize w:val="1"/>
      <w:tblStyleColBandSize w:val="1"/>
      <w:tblCellMar>
        <w:left w:w="57" w:type="dxa"/>
        <w:right w:w="57" w:type="dxa"/>
      </w:tblCellMar>
    </w:tblPr>
  </w:style>
  <w:style w:type="table" w:customStyle="1" w:styleId="10">
    <w:name w:val="10"/>
    <w:basedOn w:val="TableNormal"/>
    <w:tblPr>
      <w:tblStyleRowBandSize w:val="1"/>
      <w:tblStyleColBandSize w:val="1"/>
      <w:tblCellMar>
        <w:left w:w="28" w:type="dxa"/>
        <w:right w:w="28" w:type="dxa"/>
      </w:tblCellMar>
    </w:tblPr>
  </w:style>
  <w:style w:type="table" w:customStyle="1" w:styleId="9">
    <w:name w:val="9"/>
    <w:basedOn w:val="TableNormal"/>
    <w:tblPr>
      <w:tblStyleRowBandSize w:val="1"/>
      <w:tblStyleColBandSize w:val="1"/>
      <w:tblCellMar>
        <w:left w:w="57" w:type="dxa"/>
        <w:right w:w="57" w:type="dxa"/>
      </w:tblCellMar>
    </w:tblPr>
  </w:style>
  <w:style w:type="table" w:customStyle="1" w:styleId="8">
    <w:name w:val="8"/>
    <w:basedOn w:val="TableNormal"/>
    <w:tblPr>
      <w:tblStyleRowBandSize w:val="1"/>
      <w:tblStyleColBandSize w:val="1"/>
      <w:tblCellMar>
        <w:left w:w="28" w:type="dxa"/>
        <w:right w:w="28" w:type="dxa"/>
      </w:tblCellMar>
    </w:tblPr>
  </w:style>
  <w:style w:type="table" w:customStyle="1" w:styleId="7">
    <w:name w:val="7"/>
    <w:basedOn w:val="TableNormal"/>
    <w:tblPr>
      <w:tblStyleRowBandSize w:val="1"/>
      <w:tblStyleColBandSize w:val="1"/>
      <w:tblCellMar>
        <w:left w:w="57" w:type="dxa"/>
        <w:right w:w="57" w:type="dxa"/>
      </w:tblCellMar>
    </w:tbl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B5C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5C1E"/>
    <w:rPr>
      <w:rFonts w:ascii="Segoe UI" w:hAnsi="Segoe UI" w:cs="Segoe UI"/>
      <w:sz w:val="18"/>
      <w:szCs w:val="18"/>
    </w:rPr>
  </w:style>
  <w:style w:type="paragraph" w:styleId="Header">
    <w:name w:val="header"/>
    <w:basedOn w:val="Normal"/>
    <w:link w:val="HeaderChar"/>
    <w:uiPriority w:val="99"/>
    <w:unhideWhenUsed/>
    <w:rsid w:val="005B5C1E"/>
    <w:pPr>
      <w:tabs>
        <w:tab w:val="center" w:pos="4680"/>
        <w:tab w:val="right" w:pos="9360"/>
      </w:tabs>
    </w:pPr>
  </w:style>
  <w:style w:type="character" w:customStyle="1" w:styleId="HeaderChar">
    <w:name w:val="Header Char"/>
    <w:basedOn w:val="DefaultParagraphFont"/>
    <w:link w:val="Header"/>
    <w:uiPriority w:val="99"/>
    <w:rsid w:val="005B5C1E"/>
  </w:style>
  <w:style w:type="paragraph" w:styleId="Footer">
    <w:name w:val="footer"/>
    <w:basedOn w:val="Normal"/>
    <w:link w:val="FooterChar"/>
    <w:uiPriority w:val="99"/>
    <w:unhideWhenUsed/>
    <w:rsid w:val="005B5C1E"/>
    <w:pPr>
      <w:tabs>
        <w:tab w:val="center" w:pos="4680"/>
        <w:tab w:val="right" w:pos="9360"/>
      </w:tabs>
    </w:pPr>
  </w:style>
  <w:style w:type="character" w:customStyle="1" w:styleId="FooterChar">
    <w:name w:val="Footer Char"/>
    <w:basedOn w:val="DefaultParagraphFont"/>
    <w:link w:val="Footer"/>
    <w:uiPriority w:val="99"/>
    <w:rsid w:val="005B5C1E"/>
  </w:style>
  <w:style w:type="paragraph" w:styleId="Revision">
    <w:name w:val="Revision"/>
    <w:hidden/>
    <w:uiPriority w:val="99"/>
    <w:semiHidden/>
    <w:rsid w:val="005B5C1E"/>
    <w:pPr>
      <w:spacing w:after="0" w:line="240" w:lineRule="auto"/>
    </w:pPr>
  </w:style>
  <w:style w:type="table" w:customStyle="1" w:styleId="6">
    <w:name w:val="6"/>
    <w:basedOn w:val="TableNormal"/>
    <w:tblPr>
      <w:tblStyleRowBandSize w:val="1"/>
      <w:tblStyleColBandSize w:val="1"/>
      <w:tblCellMar>
        <w:left w:w="57" w:type="dxa"/>
        <w:right w:w="57" w:type="dxa"/>
      </w:tblCellMar>
    </w:tblPr>
  </w:style>
  <w:style w:type="table" w:customStyle="1" w:styleId="5">
    <w:name w:val="5"/>
    <w:basedOn w:val="TableNormal"/>
    <w:tblPr>
      <w:tblStyleRowBandSize w:val="1"/>
      <w:tblStyleColBandSize w:val="1"/>
      <w:tblCellMar>
        <w:left w:w="57" w:type="dxa"/>
        <w:right w:w="57" w:type="dxa"/>
      </w:tblCellMar>
    </w:tblPr>
  </w:style>
  <w:style w:type="table" w:customStyle="1" w:styleId="4">
    <w:name w:val="4"/>
    <w:basedOn w:val="TableNormal"/>
    <w:tblPr>
      <w:tblStyleRowBandSize w:val="1"/>
      <w:tblStyleColBandSize w:val="1"/>
      <w:tblCellMar>
        <w:left w:w="57" w:type="dxa"/>
        <w:right w:w="57" w:type="dxa"/>
      </w:tblCellMar>
    </w:tblPr>
  </w:style>
  <w:style w:type="table" w:customStyle="1" w:styleId="3">
    <w:name w:val="3"/>
    <w:basedOn w:val="TableNormal"/>
    <w:tblPr>
      <w:tblStyleRowBandSize w:val="1"/>
      <w:tblStyleColBandSize w:val="1"/>
      <w:tblCellMar>
        <w:left w:w="57" w:type="dxa"/>
        <w:right w:w="57" w:type="dxa"/>
      </w:tblCellMar>
    </w:tblPr>
  </w:style>
  <w:style w:type="table" w:customStyle="1" w:styleId="2">
    <w:name w:val="2"/>
    <w:basedOn w:val="TableNormal"/>
    <w:tblPr>
      <w:tblStyleRowBandSize w:val="1"/>
      <w:tblStyleColBandSize w:val="1"/>
      <w:tblCellMar>
        <w:left w:w="57" w:type="dxa"/>
        <w:right w:w="57" w:type="dxa"/>
      </w:tblCellMar>
    </w:tblPr>
  </w:style>
  <w:style w:type="table" w:customStyle="1" w:styleId="1">
    <w:name w:val="1"/>
    <w:basedOn w:val="TableNormal"/>
    <w:tblPr>
      <w:tblStyleRowBandSize w:val="1"/>
      <w:tblStyleColBandSize w:val="1"/>
      <w:tblCellMar>
        <w:left w:w="57" w:type="dxa"/>
        <w:right w:w="57" w:type="dxa"/>
      </w:tblCellMar>
    </w:tblPr>
  </w:style>
  <w:style w:type="paragraph" w:styleId="CommentSubject">
    <w:name w:val="annotation subject"/>
    <w:basedOn w:val="CommentText"/>
    <w:next w:val="CommentText"/>
    <w:link w:val="CommentSubjectChar"/>
    <w:uiPriority w:val="99"/>
    <w:semiHidden/>
    <w:unhideWhenUsed/>
    <w:rsid w:val="00C237B3"/>
    <w:rPr>
      <w:b/>
      <w:bCs/>
    </w:rPr>
  </w:style>
  <w:style w:type="character" w:customStyle="1" w:styleId="CommentSubjectChar">
    <w:name w:val="Comment Subject Char"/>
    <w:basedOn w:val="CommentTextChar"/>
    <w:link w:val="CommentSubject"/>
    <w:uiPriority w:val="99"/>
    <w:semiHidden/>
    <w:rsid w:val="00C237B3"/>
    <w:rPr>
      <w:b/>
      <w:bCs/>
      <w:sz w:val="20"/>
      <w:szCs w:val="20"/>
    </w:rPr>
  </w:style>
  <w:style w:type="character" w:styleId="PlaceholderText">
    <w:name w:val="Placeholder Text"/>
    <w:basedOn w:val="DefaultParagraphFont"/>
    <w:uiPriority w:val="99"/>
    <w:semiHidden/>
    <w:rsid w:val="006B0228"/>
    <w:rPr>
      <w:color w:val="808080"/>
    </w:rPr>
  </w:style>
  <w:style w:type="paragraph" w:styleId="NoSpacing">
    <w:name w:val="No Spacing"/>
    <w:uiPriority w:val="1"/>
    <w:qFormat/>
    <w:rsid w:val="008108B1"/>
    <w:pPr>
      <w:spacing w:after="0" w:line="240" w:lineRule="auto"/>
    </w:pPr>
  </w:style>
  <w:style w:type="paragraph" w:styleId="ListParagraph">
    <w:name w:val="List Paragraph"/>
    <w:basedOn w:val="Normal"/>
    <w:uiPriority w:val="34"/>
    <w:qFormat/>
    <w:rsid w:val="003675DA"/>
    <w:pPr>
      <w:ind w:left="720"/>
      <w:contextualSpacing/>
    </w:pPr>
  </w:style>
  <w:style w:type="paragraph" w:styleId="FootnoteText">
    <w:name w:val="footnote text"/>
    <w:basedOn w:val="Normal"/>
    <w:link w:val="FootnoteTextChar"/>
    <w:uiPriority w:val="99"/>
    <w:unhideWhenUsed/>
    <w:rsid w:val="008B784F"/>
  </w:style>
  <w:style w:type="character" w:customStyle="1" w:styleId="FootnoteTextChar">
    <w:name w:val="Footnote Text Char"/>
    <w:basedOn w:val="DefaultParagraphFont"/>
    <w:link w:val="FootnoteText"/>
    <w:uiPriority w:val="99"/>
    <w:rsid w:val="008B784F"/>
    <w:rPr>
      <w:sz w:val="20"/>
      <w:szCs w:val="20"/>
    </w:rPr>
  </w:style>
  <w:style w:type="character" w:styleId="FootnoteReference">
    <w:name w:val="footnote reference"/>
    <w:basedOn w:val="DefaultParagraphFont"/>
    <w:uiPriority w:val="99"/>
    <w:semiHidden/>
    <w:unhideWhenUsed/>
    <w:rsid w:val="008B784F"/>
    <w:rPr>
      <w:vertAlign w:val="superscript"/>
    </w:rPr>
  </w:style>
  <w:style w:type="character" w:styleId="Hyperlink">
    <w:name w:val="Hyperlink"/>
    <w:basedOn w:val="DefaultParagraphFont"/>
    <w:uiPriority w:val="99"/>
    <w:unhideWhenUsed/>
    <w:rsid w:val="00E71296"/>
    <w:rPr>
      <w:color w:val="0000FF" w:themeColor="hyperlink"/>
      <w:u w:val="single"/>
    </w:rPr>
  </w:style>
  <w:style w:type="character" w:customStyle="1" w:styleId="UnresolvedMention1">
    <w:name w:val="Unresolved Mention1"/>
    <w:basedOn w:val="DefaultParagraphFont"/>
    <w:uiPriority w:val="99"/>
    <w:semiHidden/>
    <w:unhideWhenUsed/>
    <w:rsid w:val="00E71296"/>
    <w:rPr>
      <w:color w:val="605E5C"/>
      <w:shd w:val="clear" w:color="auto" w:fill="E1DFDD"/>
    </w:rPr>
  </w:style>
  <w:style w:type="character" w:styleId="FollowedHyperlink">
    <w:name w:val="FollowedHyperlink"/>
    <w:basedOn w:val="DefaultParagraphFont"/>
    <w:uiPriority w:val="99"/>
    <w:semiHidden/>
    <w:unhideWhenUsed/>
    <w:rsid w:val="00AE4549"/>
    <w:rPr>
      <w:color w:val="800080" w:themeColor="followedHyperlink"/>
      <w:u w:val="single"/>
    </w:rPr>
  </w:style>
  <w:style w:type="paragraph" w:customStyle="1" w:styleId="Text2">
    <w:name w:val="Text 2"/>
    <w:basedOn w:val="Normal"/>
    <w:rsid w:val="00485A03"/>
    <w:pPr>
      <w:tabs>
        <w:tab w:val="left" w:pos="2160"/>
      </w:tabs>
      <w:spacing w:after="240"/>
      <w:ind w:left="1077"/>
    </w:pPr>
    <w:rPr>
      <w:rFonts w:ascii="Times New Roman" w:eastAsia="Batang" w:hAnsi="Times New Roman" w:cs="Times New Roman"/>
      <w:sz w:val="24"/>
    </w:rPr>
  </w:style>
  <w:style w:type="paragraph" w:styleId="NormalWeb">
    <w:name w:val="Normal (Web)"/>
    <w:basedOn w:val="Normal"/>
    <w:uiPriority w:val="99"/>
    <w:unhideWhenUsed/>
    <w:rsid w:val="00EC19A0"/>
    <w:pPr>
      <w:spacing w:before="100" w:beforeAutospacing="1" w:after="100" w:afterAutospacing="1"/>
    </w:pPr>
    <w:rPr>
      <w:rFonts w:ascii="Aptos" w:eastAsiaTheme="minorHAnsi" w:hAnsi="Aptos" w:cs="Aptos"/>
      <w:sz w:val="24"/>
      <w:szCs w:val="24"/>
      <w:lang w:eastAsia="en-GB"/>
    </w:rPr>
  </w:style>
  <w:style w:type="paragraph" w:styleId="HTMLPreformatted">
    <w:name w:val="HTML Preformatted"/>
    <w:basedOn w:val="Normal"/>
    <w:link w:val="HTMLPreformattedChar"/>
    <w:uiPriority w:val="99"/>
    <w:semiHidden/>
    <w:unhideWhenUsed/>
    <w:rsid w:val="00952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lang w:eastAsia="en-GB"/>
    </w:rPr>
  </w:style>
  <w:style w:type="character" w:customStyle="1" w:styleId="HTMLPreformattedChar">
    <w:name w:val="HTML Preformatted Char"/>
    <w:basedOn w:val="DefaultParagraphFont"/>
    <w:link w:val="HTMLPreformatted"/>
    <w:uiPriority w:val="99"/>
    <w:semiHidden/>
    <w:rsid w:val="00952D24"/>
    <w:rPr>
      <w:rFonts w:ascii="Courier New" w:eastAsia="Times New Roman" w:hAnsi="Courier New" w:cs="Courier New"/>
      <w:sz w:val="20"/>
      <w:szCs w:val="20"/>
      <w:lang w:eastAsia="en-GB"/>
    </w:rPr>
  </w:style>
  <w:style w:type="character" w:customStyle="1" w:styleId="hljs-comment">
    <w:name w:val="hljs-comment"/>
    <w:basedOn w:val="DefaultParagraphFont"/>
    <w:rsid w:val="00952D24"/>
  </w:style>
  <w:style w:type="table" w:styleId="TableGrid">
    <w:name w:val="Table Grid"/>
    <w:basedOn w:val="TableNormal"/>
    <w:uiPriority w:val="39"/>
    <w:rsid w:val="00D838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DF5B7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badge">
    <w:name w:val="badge"/>
    <w:basedOn w:val="DefaultParagraphFont"/>
    <w:rsid w:val="00AF2A47"/>
  </w:style>
  <w:style w:type="character" w:customStyle="1" w:styleId="ui-provider">
    <w:name w:val="ui-provider"/>
    <w:basedOn w:val="DefaultParagraphFont"/>
    <w:rsid w:val="003146B7"/>
  </w:style>
  <w:style w:type="paragraph" w:customStyle="1" w:styleId="msonormal0">
    <w:name w:val="msonormal"/>
    <w:basedOn w:val="Normal"/>
    <w:rsid w:val="00BA0D0A"/>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xl66">
    <w:name w:val="xl66"/>
    <w:basedOn w:val="Normal"/>
    <w:rsid w:val="00BA0D0A"/>
    <w:pPr>
      <w:pBdr>
        <w:left w:val="single" w:sz="4" w:space="0" w:color="auto"/>
      </w:pBdr>
      <w:shd w:val="clear" w:color="000000" w:fill="BFBFBF"/>
      <w:spacing w:before="100" w:beforeAutospacing="1" w:after="100" w:afterAutospacing="1"/>
      <w:jc w:val="center"/>
      <w:textAlignment w:val="center"/>
    </w:pPr>
    <w:rPr>
      <w:rFonts w:ascii="Segoe UI" w:eastAsia="Times New Roman" w:hAnsi="Segoe UI" w:cs="Segoe UI"/>
      <w:b/>
      <w:bCs/>
      <w:sz w:val="24"/>
      <w:szCs w:val="24"/>
      <w:lang w:eastAsia="en-GB"/>
    </w:rPr>
  </w:style>
  <w:style w:type="paragraph" w:customStyle="1" w:styleId="xl67">
    <w:name w:val="xl67"/>
    <w:basedOn w:val="Normal"/>
    <w:rsid w:val="00BA0D0A"/>
    <w:pPr>
      <w:pBdr>
        <w:right w:val="single" w:sz="4" w:space="0" w:color="auto"/>
      </w:pBdr>
      <w:shd w:val="clear" w:color="000000" w:fill="BFBFBF"/>
      <w:spacing w:before="100" w:beforeAutospacing="1" w:after="100" w:afterAutospacing="1"/>
      <w:jc w:val="center"/>
      <w:textAlignment w:val="center"/>
    </w:pPr>
    <w:rPr>
      <w:rFonts w:ascii="Segoe UI" w:eastAsia="Times New Roman" w:hAnsi="Segoe UI" w:cs="Segoe UI"/>
      <w:b/>
      <w:bCs/>
      <w:sz w:val="24"/>
      <w:szCs w:val="24"/>
      <w:lang w:eastAsia="en-GB"/>
    </w:rPr>
  </w:style>
  <w:style w:type="paragraph" w:customStyle="1" w:styleId="xl68">
    <w:name w:val="xl68"/>
    <w:basedOn w:val="Normal"/>
    <w:rsid w:val="00BA0D0A"/>
    <w:pPr>
      <w:pBdr>
        <w:top w:val="single" w:sz="4" w:space="0" w:color="auto"/>
        <w:left w:val="single" w:sz="4" w:space="0" w:color="auto"/>
      </w:pBdr>
      <w:spacing w:before="100" w:beforeAutospacing="1" w:after="100" w:afterAutospacing="1"/>
      <w:jc w:val="center"/>
      <w:textAlignment w:val="center"/>
    </w:pPr>
    <w:rPr>
      <w:rFonts w:ascii="Segoe UI" w:eastAsia="Times New Roman" w:hAnsi="Segoe UI" w:cs="Segoe UI"/>
      <w:sz w:val="24"/>
      <w:szCs w:val="24"/>
      <w:lang w:eastAsia="en-GB"/>
    </w:rPr>
  </w:style>
  <w:style w:type="paragraph" w:customStyle="1" w:styleId="xl69">
    <w:name w:val="xl69"/>
    <w:basedOn w:val="Normal"/>
    <w:rsid w:val="00BA0D0A"/>
    <w:pPr>
      <w:pBdr>
        <w:top w:val="single" w:sz="4" w:space="0" w:color="auto"/>
      </w:pBdr>
      <w:spacing w:before="100" w:beforeAutospacing="1" w:after="100" w:afterAutospacing="1"/>
    </w:pPr>
    <w:rPr>
      <w:rFonts w:ascii="Segoe UI" w:eastAsia="Times New Roman" w:hAnsi="Segoe UI" w:cs="Segoe UI"/>
      <w:sz w:val="24"/>
      <w:szCs w:val="24"/>
      <w:lang w:eastAsia="en-GB"/>
    </w:rPr>
  </w:style>
  <w:style w:type="paragraph" w:customStyle="1" w:styleId="xl70">
    <w:name w:val="xl70"/>
    <w:basedOn w:val="Normal"/>
    <w:rsid w:val="00BA0D0A"/>
    <w:pPr>
      <w:pBdr>
        <w:top w:val="single" w:sz="4" w:space="0" w:color="auto"/>
        <w:left w:val="single" w:sz="4" w:space="0" w:color="auto"/>
      </w:pBdr>
      <w:spacing w:before="100" w:beforeAutospacing="1" w:after="100" w:afterAutospacing="1"/>
      <w:jc w:val="center"/>
    </w:pPr>
    <w:rPr>
      <w:rFonts w:ascii="Segoe UI" w:eastAsia="Times New Roman" w:hAnsi="Segoe UI" w:cs="Segoe UI"/>
      <w:sz w:val="24"/>
      <w:szCs w:val="24"/>
      <w:lang w:eastAsia="en-GB"/>
    </w:rPr>
  </w:style>
  <w:style w:type="paragraph" w:customStyle="1" w:styleId="xl71">
    <w:name w:val="xl71"/>
    <w:basedOn w:val="Normal"/>
    <w:rsid w:val="00BA0D0A"/>
    <w:pPr>
      <w:pBdr>
        <w:top w:val="single" w:sz="4" w:space="0" w:color="auto"/>
      </w:pBdr>
      <w:spacing w:before="100" w:beforeAutospacing="1" w:after="100" w:afterAutospacing="1"/>
      <w:jc w:val="center"/>
    </w:pPr>
    <w:rPr>
      <w:rFonts w:ascii="Segoe UI" w:eastAsia="Times New Roman" w:hAnsi="Segoe UI" w:cs="Segoe UI"/>
      <w:sz w:val="24"/>
      <w:szCs w:val="24"/>
      <w:lang w:eastAsia="en-GB"/>
    </w:rPr>
  </w:style>
  <w:style w:type="paragraph" w:customStyle="1" w:styleId="xl72">
    <w:name w:val="xl72"/>
    <w:basedOn w:val="Normal"/>
    <w:rsid w:val="00BA0D0A"/>
    <w:pPr>
      <w:pBdr>
        <w:top w:val="single" w:sz="4" w:space="0" w:color="auto"/>
        <w:right w:val="single" w:sz="4" w:space="0" w:color="auto"/>
      </w:pBdr>
      <w:spacing w:before="100" w:beforeAutospacing="1" w:after="100" w:afterAutospacing="1"/>
      <w:jc w:val="center"/>
    </w:pPr>
    <w:rPr>
      <w:rFonts w:ascii="Segoe UI" w:eastAsia="Times New Roman" w:hAnsi="Segoe UI" w:cs="Segoe UI"/>
      <w:sz w:val="24"/>
      <w:szCs w:val="24"/>
      <w:lang w:eastAsia="en-GB"/>
    </w:rPr>
  </w:style>
  <w:style w:type="paragraph" w:customStyle="1" w:styleId="xl73">
    <w:name w:val="xl73"/>
    <w:basedOn w:val="Normal"/>
    <w:rsid w:val="00BA0D0A"/>
    <w:pPr>
      <w:pBdr>
        <w:left w:val="single" w:sz="4" w:space="0" w:color="auto"/>
      </w:pBdr>
      <w:spacing w:before="100" w:beforeAutospacing="1" w:after="100" w:afterAutospacing="1"/>
      <w:jc w:val="center"/>
      <w:textAlignment w:val="center"/>
    </w:pPr>
    <w:rPr>
      <w:rFonts w:ascii="Segoe UI" w:eastAsia="Times New Roman" w:hAnsi="Segoe UI" w:cs="Segoe UI"/>
      <w:sz w:val="24"/>
      <w:szCs w:val="24"/>
      <w:lang w:eastAsia="en-GB"/>
    </w:rPr>
  </w:style>
  <w:style w:type="paragraph" w:customStyle="1" w:styleId="xl74">
    <w:name w:val="xl74"/>
    <w:basedOn w:val="Normal"/>
    <w:rsid w:val="00BA0D0A"/>
    <w:pPr>
      <w:spacing w:before="100" w:beforeAutospacing="1" w:after="100" w:afterAutospacing="1"/>
      <w:jc w:val="center"/>
    </w:pPr>
    <w:rPr>
      <w:rFonts w:ascii="Segoe UI" w:eastAsia="Times New Roman" w:hAnsi="Segoe UI" w:cs="Segoe UI"/>
      <w:sz w:val="24"/>
      <w:szCs w:val="24"/>
      <w:lang w:eastAsia="en-GB"/>
    </w:rPr>
  </w:style>
  <w:style w:type="paragraph" w:customStyle="1" w:styleId="xl75">
    <w:name w:val="xl75"/>
    <w:basedOn w:val="Normal"/>
    <w:rsid w:val="00BA0D0A"/>
    <w:pPr>
      <w:pBdr>
        <w:left w:val="single" w:sz="4" w:space="0" w:color="auto"/>
      </w:pBdr>
      <w:spacing w:before="100" w:beforeAutospacing="1" w:after="100" w:afterAutospacing="1"/>
      <w:jc w:val="center"/>
    </w:pPr>
    <w:rPr>
      <w:rFonts w:ascii="Segoe UI" w:eastAsia="Times New Roman" w:hAnsi="Segoe UI" w:cs="Segoe UI"/>
      <w:sz w:val="24"/>
      <w:szCs w:val="24"/>
      <w:lang w:eastAsia="en-GB"/>
    </w:rPr>
  </w:style>
  <w:style w:type="paragraph" w:customStyle="1" w:styleId="xl76">
    <w:name w:val="xl76"/>
    <w:basedOn w:val="Normal"/>
    <w:rsid w:val="00BA0D0A"/>
    <w:pPr>
      <w:pBdr>
        <w:right w:val="single" w:sz="4" w:space="0" w:color="auto"/>
      </w:pBdr>
      <w:spacing w:before="100" w:beforeAutospacing="1" w:after="100" w:afterAutospacing="1"/>
      <w:jc w:val="center"/>
    </w:pPr>
    <w:rPr>
      <w:rFonts w:ascii="Segoe UI" w:eastAsia="Times New Roman" w:hAnsi="Segoe UI" w:cs="Segoe UI"/>
      <w:sz w:val="24"/>
      <w:szCs w:val="24"/>
      <w:lang w:eastAsia="en-GB"/>
    </w:rPr>
  </w:style>
  <w:style w:type="paragraph" w:customStyle="1" w:styleId="xl77">
    <w:name w:val="xl77"/>
    <w:basedOn w:val="Normal"/>
    <w:rsid w:val="00BA0D0A"/>
    <w:pPr>
      <w:pBdr>
        <w:left w:val="single" w:sz="4" w:space="0" w:color="auto"/>
        <w:bottom w:val="single" w:sz="4" w:space="0" w:color="auto"/>
      </w:pBdr>
      <w:spacing w:before="100" w:beforeAutospacing="1" w:after="100" w:afterAutospacing="1"/>
      <w:jc w:val="center"/>
      <w:textAlignment w:val="center"/>
    </w:pPr>
    <w:rPr>
      <w:rFonts w:ascii="Segoe UI" w:eastAsia="Times New Roman" w:hAnsi="Segoe UI" w:cs="Segoe UI"/>
      <w:sz w:val="24"/>
      <w:szCs w:val="24"/>
      <w:lang w:eastAsia="en-GB"/>
    </w:rPr>
  </w:style>
  <w:style w:type="paragraph" w:customStyle="1" w:styleId="xl78">
    <w:name w:val="xl78"/>
    <w:basedOn w:val="Normal"/>
    <w:rsid w:val="00BA0D0A"/>
    <w:pPr>
      <w:pBdr>
        <w:bottom w:val="single" w:sz="4" w:space="0" w:color="auto"/>
      </w:pBdr>
      <w:spacing w:before="100" w:beforeAutospacing="1" w:after="100" w:afterAutospacing="1"/>
    </w:pPr>
    <w:rPr>
      <w:rFonts w:ascii="Segoe UI" w:eastAsia="Times New Roman" w:hAnsi="Segoe UI" w:cs="Segoe UI"/>
      <w:sz w:val="24"/>
      <w:szCs w:val="24"/>
      <w:lang w:eastAsia="en-GB"/>
    </w:rPr>
  </w:style>
  <w:style w:type="paragraph" w:customStyle="1" w:styleId="xl79">
    <w:name w:val="xl79"/>
    <w:basedOn w:val="Normal"/>
    <w:rsid w:val="00BA0D0A"/>
    <w:pPr>
      <w:pBdr>
        <w:left w:val="single" w:sz="4" w:space="0" w:color="auto"/>
        <w:bottom w:val="single" w:sz="4" w:space="0" w:color="auto"/>
      </w:pBdr>
      <w:spacing w:before="100" w:beforeAutospacing="1" w:after="100" w:afterAutospacing="1"/>
      <w:jc w:val="center"/>
    </w:pPr>
    <w:rPr>
      <w:rFonts w:ascii="Segoe UI" w:eastAsia="Times New Roman" w:hAnsi="Segoe UI" w:cs="Segoe UI"/>
      <w:sz w:val="24"/>
      <w:szCs w:val="24"/>
      <w:lang w:eastAsia="en-GB"/>
    </w:rPr>
  </w:style>
  <w:style w:type="paragraph" w:customStyle="1" w:styleId="xl80">
    <w:name w:val="xl80"/>
    <w:basedOn w:val="Normal"/>
    <w:rsid w:val="00BA0D0A"/>
    <w:pPr>
      <w:pBdr>
        <w:bottom w:val="single" w:sz="4" w:space="0" w:color="auto"/>
      </w:pBdr>
      <w:spacing w:before="100" w:beforeAutospacing="1" w:after="100" w:afterAutospacing="1"/>
      <w:jc w:val="center"/>
    </w:pPr>
    <w:rPr>
      <w:rFonts w:ascii="Segoe UI" w:eastAsia="Times New Roman" w:hAnsi="Segoe UI" w:cs="Segoe UI"/>
      <w:sz w:val="24"/>
      <w:szCs w:val="24"/>
      <w:lang w:eastAsia="en-GB"/>
    </w:rPr>
  </w:style>
  <w:style w:type="paragraph" w:customStyle="1" w:styleId="xl81">
    <w:name w:val="xl81"/>
    <w:basedOn w:val="Normal"/>
    <w:rsid w:val="00BA0D0A"/>
    <w:pPr>
      <w:pBdr>
        <w:bottom w:val="single" w:sz="4" w:space="0" w:color="auto"/>
        <w:right w:val="single" w:sz="4" w:space="0" w:color="auto"/>
      </w:pBdr>
      <w:spacing w:before="100" w:beforeAutospacing="1" w:after="100" w:afterAutospacing="1"/>
      <w:jc w:val="center"/>
    </w:pPr>
    <w:rPr>
      <w:rFonts w:ascii="Segoe UI" w:eastAsia="Times New Roman" w:hAnsi="Segoe UI" w:cs="Segoe UI"/>
      <w:sz w:val="24"/>
      <w:szCs w:val="24"/>
      <w:lang w:eastAsia="en-GB"/>
    </w:rPr>
  </w:style>
  <w:style w:type="paragraph" w:customStyle="1" w:styleId="xl82">
    <w:name w:val="xl82"/>
    <w:basedOn w:val="Normal"/>
    <w:rsid w:val="00BA0D0A"/>
    <w:pPr>
      <w:pBdr>
        <w:top w:val="single" w:sz="4" w:space="0" w:color="auto"/>
        <w:right w:val="single" w:sz="4" w:space="0" w:color="auto"/>
      </w:pBdr>
      <w:spacing w:before="100" w:beforeAutospacing="1" w:after="100" w:afterAutospacing="1"/>
    </w:pPr>
    <w:rPr>
      <w:rFonts w:ascii="Segoe UI" w:eastAsia="Times New Roman" w:hAnsi="Segoe UI" w:cs="Segoe UI"/>
      <w:sz w:val="24"/>
      <w:szCs w:val="24"/>
      <w:lang w:eastAsia="en-GB"/>
    </w:rPr>
  </w:style>
  <w:style w:type="paragraph" w:customStyle="1" w:styleId="xl83">
    <w:name w:val="xl83"/>
    <w:basedOn w:val="Normal"/>
    <w:rsid w:val="00BA0D0A"/>
    <w:pPr>
      <w:pBdr>
        <w:right w:val="single" w:sz="4" w:space="0" w:color="auto"/>
      </w:pBdr>
      <w:spacing w:before="100" w:beforeAutospacing="1" w:after="100" w:afterAutospacing="1"/>
    </w:pPr>
    <w:rPr>
      <w:rFonts w:ascii="Segoe UI" w:eastAsia="Times New Roman" w:hAnsi="Segoe UI" w:cs="Segoe UI"/>
      <w:sz w:val="24"/>
      <w:szCs w:val="24"/>
      <w:lang w:eastAsia="en-GB"/>
    </w:rPr>
  </w:style>
  <w:style w:type="paragraph" w:customStyle="1" w:styleId="xl84">
    <w:name w:val="xl84"/>
    <w:basedOn w:val="Normal"/>
    <w:rsid w:val="00BA0D0A"/>
    <w:pPr>
      <w:pBdr>
        <w:bottom w:val="single" w:sz="4" w:space="0" w:color="auto"/>
        <w:right w:val="single" w:sz="4" w:space="0" w:color="auto"/>
      </w:pBdr>
      <w:spacing w:before="100" w:beforeAutospacing="1" w:after="100" w:afterAutospacing="1"/>
    </w:pPr>
    <w:rPr>
      <w:rFonts w:ascii="Segoe UI" w:eastAsia="Times New Roman" w:hAnsi="Segoe UI" w:cs="Segoe UI"/>
      <w:sz w:val="24"/>
      <w:szCs w:val="24"/>
      <w:lang w:eastAsia="en-GB"/>
    </w:rPr>
  </w:style>
  <w:style w:type="paragraph" w:customStyle="1" w:styleId="xl85">
    <w:name w:val="xl85"/>
    <w:basedOn w:val="Normal"/>
    <w:rsid w:val="00BA0D0A"/>
    <w:pPr>
      <w:spacing w:before="100" w:beforeAutospacing="1" w:after="100" w:afterAutospacing="1"/>
      <w:textAlignment w:val="center"/>
    </w:pPr>
    <w:rPr>
      <w:rFonts w:ascii="Segoe UI" w:eastAsia="Times New Roman" w:hAnsi="Segoe UI" w:cs="Segoe UI"/>
      <w:sz w:val="24"/>
      <w:szCs w:val="24"/>
      <w:lang w:eastAsia="en-GB"/>
    </w:rPr>
  </w:style>
  <w:style w:type="paragraph" w:customStyle="1" w:styleId="xl86">
    <w:name w:val="xl86"/>
    <w:basedOn w:val="Normal"/>
    <w:rsid w:val="00BA0D0A"/>
    <w:pPr>
      <w:pBdr>
        <w:top w:val="single" w:sz="4" w:space="0" w:color="auto"/>
      </w:pBdr>
      <w:spacing w:before="100" w:beforeAutospacing="1" w:after="100" w:afterAutospacing="1"/>
      <w:textAlignment w:val="center"/>
    </w:pPr>
    <w:rPr>
      <w:rFonts w:ascii="Segoe UI" w:eastAsia="Times New Roman" w:hAnsi="Segoe UI" w:cs="Segoe UI"/>
      <w:sz w:val="24"/>
      <w:szCs w:val="24"/>
      <w:lang w:eastAsia="en-GB"/>
    </w:rPr>
  </w:style>
  <w:style w:type="paragraph" w:customStyle="1" w:styleId="xl87">
    <w:name w:val="xl87"/>
    <w:basedOn w:val="Normal"/>
    <w:rsid w:val="00BA0D0A"/>
    <w:pPr>
      <w:pBdr>
        <w:bottom w:val="single" w:sz="4" w:space="0" w:color="auto"/>
      </w:pBdr>
      <w:spacing w:before="100" w:beforeAutospacing="1" w:after="100" w:afterAutospacing="1"/>
      <w:textAlignment w:val="center"/>
    </w:pPr>
    <w:rPr>
      <w:rFonts w:ascii="Segoe UI" w:eastAsia="Times New Roman" w:hAnsi="Segoe UI" w:cs="Segoe UI"/>
      <w:sz w:val="24"/>
      <w:szCs w:val="24"/>
      <w:lang w:eastAsia="en-GB"/>
    </w:rPr>
  </w:style>
  <w:style w:type="paragraph" w:customStyle="1" w:styleId="xl88">
    <w:name w:val="xl88"/>
    <w:basedOn w:val="Normal"/>
    <w:rsid w:val="00BA0D0A"/>
    <w:pPr>
      <w:pBdr>
        <w:top w:val="single" w:sz="4" w:space="0" w:color="auto"/>
      </w:pBdr>
      <w:shd w:val="clear" w:color="000000" w:fill="4472C4"/>
      <w:spacing w:before="100" w:beforeAutospacing="1" w:after="100" w:afterAutospacing="1"/>
      <w:jc w:val="center"/>
      <w:textAlignment w:val="center"/>
    </w:pPr>
    <w:rPr>
      <w:rFonts w:ascii="Segoe UI" w:eastAsia="Times New Roman" w:hAnsi="Segoe UI" w:cs="Segoe UI"/>
      <w:b/>
      <w:bCs/>
      <w:color w:val="FFFFFF"/>
      <w:sz w:val="24"/>
      <w:szCs w:val="24"/>
      <w:lang w:eastAsia="en-GB"/>
    </w:rPr>
  </w:style>
  <w:style w:type="paragraph" w:customStyle="1" w:styleId="xl89">
    <w:name w:val="xl89"/>
    <w:basedOn w:val="Normal"/>
    <w:rsid w:val="00BA0D0A"/>
    <w:pPr>
      <w:pBdr>
        <w:top w:val="single" w:sz="4" w:space="0" w:color="auto"/>
        <w:left w:val="single" w:sz="4" w:space="0" w:color="auto"/>
      </w:pBdr>
      <w:shd w:val="clear" w:color="000000" w:fill="4472C4"/>
      <w:spacing w:before="100" w:beforeAutospacing="1" w:after="100" w:afterAutospacing="1"/>
      <w:jc w:val="center"/>
      <w:textAlignment w:val="center"/>
    </w:pPr>
    <w:rPr>
      <w:rFonts w:ascii="Segoe UI" w:eastAsia="Times New Roman" w:hAnsi="Segoe UI" w:cs="Segoe UI"/>
      <w:b/>
      <w:bCs/>
      <w:color w:val="FFFFFF"/>
      <w:sz w:val="24"/>
      <w:szCs w:val="24"/>
      <w:lang w:eastAsia="en-GB"/>
    </w:rPr>
  </w:style>
  <w:style w:type="paragraph" w:customStyle="1" w:styleId="xl90">
    <w:name w:val="xl90"/>
    <w:basedOn w:val="Normal"/>
    <w:rsid w:val="00BA0D0A"/>
    <w:pPr>
      <w:pBdr>
        <w:top w:val="single" w:sz="4" w:space="0" w:color="auto"/>
        <w:right w:val="single" w:sz="4" w:space="0" w:color="auto"/>
      </w:pBdr>
      <w:shd w:val="clear" w:color="000000" w:fill="4472C4"/>
      <w:spacing w:before="100" w:beforeAutospacing="1" w:after="100" w:afterAutospacing="1"/>
      <w:jc w:val="center"/>
      <w:textAlignment w:val="center"/>
    </w:pPr>
    <w:rPr>
      <w:rFonts w:ascii="Segoe UI" w:eastAsia="Times New Roman" w:hAnsi="Segoe UI" w:cs="Segoe UI"/>
      <w:b/>
      <w:bCs/>
      <w:color w:val="FFFFFF"/>
      <w:sz w:val="24"/>
      <w:szCs w:val="24"/>
      <w:lang w:eastAsia="en-GB"/>
    </w:rPr>
  </w:style>
  <w:style w:type="paragraph" w:customStyle="1" w:styleId="pf0">
    <w:name w:val="pf0"/>
    <w:basedOn w:val="Normal"/>
    <w:rsid w:val="004E445A"/>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cf11">
    <w:name w:val="cf11"/>
    <w:basedOn w:val="DefaultParagraphFont"/>
    <w:rsid w:val="004E445A"/>
    <w:rPr>
      <w:rFonts w:ascii="Segoe UI" w:hAnsi="Segoe UI" w:cs="Segoe UI" w:hint="default"/>
      <w:sz w:val="18"/>
      <w:szCs w:val="18"/>
    </w:rPr>
  </w:style>
  <w:style w:type="character" w:customStyle="1" w:styleId="cf01">
    <w:name w:val="cf01"/>
    <w:basedOn w:val="DefaultParagraphFont"/>
    <w:rsid w:val="004E445A"/>
    <w:rPr>
      <w:rFonts w:ascii="Segoe UI" w:hAnsi="Segoe UI" w:cs="Segoe UI" w:hint="default"/>
      <w:sz w:val="18"/>
      <w:szCs w:val="18"/>
    </w:rPr>
  </w:style>
  <w:style w:type="character" w:customStyle="1" w:styleId="cf31">
    <w:name w:val="cf31"/>
    <w:basedOn w:val="DefaultParagraphFont"/>
    <w:rsid w:val="004E445A"/>
    <w:rPr>
      <w:rFonts w:ascii="Segoe UI" w:hAnsi="Segoe UI" w:cs="Segoe UI" w:hint="default"/>
      <w:sz w:val="18"/>
      <w:szCs w:val="18"/>
      <w:u w:val="single"/>
    </w:rPr>
  </w:style>
  <w:style w:type="character" w:customStyle="1" w:styleId="UnresolvedMention2">
    <w:name w:val="Unresolved Mention2"/>
    <w:basedOn w:val="DefaultParagraphFont"/>
    <w:uiPriority w:val="99"/>
    <w:semiHidden/>
    <w:unhideWhenUsed/>
    <w:rsid w:val="00AF265E"/>
    <w:rPr>
      <w:color w:val="605E5C"/>
      <w:shd w:val="clear" w:color="auto" w:fill="E1DFDD"/>
    </w:rPr>
  </w:style>
  <w:style w:type="character" w:styleId="Strong">
    <w:name w:val="Strong"/>
    <w:basedOn w:val="DefaultParagraphFont"/>
    <w:uiPriority w:val="22"/>
    <w:qFormat/>
    <w:rsid w:val="00232D14"/>
    <w:rPr>
      <w:b/>
      <w:bCs/>
    </w:rPr>
  </w:style>
  <w:style w:type="character" w:styleId="BookTitle">
    <w:name w:val="Book Title"/>
    <w:basedOn w:val="DefaultParagraphFont"/>
    <w:uiPriority w:val="33"/>
    <w:qFormat/>
    <w:rsid w:val="00B1595B"/>
    <w:rPr>
      <w:b/>
      <w:bCs/>
      <w:spacing w:val="5"/>
      <w:sz w:val="22"/>
      <w:szCs w:val="22"/>
    </w:rPr>
  </w:style>
  <w:style w:type="character" w:customStyle="1" w:styleId="Heading7Char">
    <w:name w:val="Heading 7 Char"/>
    <w:basedOn w:val="DefaultParagraphFont"/>
    <w:link w:val="Heading7"/>
    <w:uiPriority w:val="9"/>
    <w:semiHidden/>
    <w:rsid w:val="00FA5F95"/>
    <w:rPr>
      <w:rFonts w:asciiTheme="majorHAnsi" w:eastAsiaTheme="majorEastAsia" w:hAnsiTheme="majorHAnsi" w:cstheme="majorBidi"/>
      <w:i/>
      <w:iCs/>
      <w:color w:val="243F60" w:themeColor="accent1" w:themeShade="7F"/>
      <w:sz w:val="20"/>
      <w:szCs w:val="20"/>
    </w:rPr>
  </w:style>
  <w:style w:type="character" w:customStyle="1" w:styleId="Heading8Char">
    <w:name w:val="Heading 8 Char"/>
    <w:basedOn w:val="DefaultParagraphFont"/>
    <w:link w:val="Heading8"/>
    <w:uiPriority w:val="9"/>
    <w:semiHidden/>
    <w:rsid w:val="00FA5F9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A5F95"/>
    <w:rPr>
      <w:rFonts w:asciiTheme="majorHAnsi" w:eastAsiaTheme="majorEastAsia" w:hAnsiTheme="majorHAnsi" w:cstheme="majorBidi"/>
      <w:i/>
      <w:iCs/>
      <w:color w:val="272727" w:themeColor="text1" w:themeTint="D8"/>
      <w:sz w:val="21"/>
      <w:szCs w:val="21"/>
    </w:rPr>
  </w:style>
  <w:style w:type="character" w:customStyle="1" w:styleId="Heading3Char">
    <w:name w:val="Heading 3 Char"/>
    <w:basedOn w:val="DefaultParagraphFont"/>
    <w:link w:val="Heading3"/>
    <w:rsid w:val="00821B05"/>
    <w:rPr>
      <w:rFonts w:asciiTheme="minorHAnsi" w:eastAsia="Cambria" w:hAnsiTheme="minorHAnsi" w:cs="Cambria"/>
      <w:b/>
      <w:bCs/>
      <w:i/>
      <w:iCs/>
      <w:color w:val="000000"/>
      <w:sz w:val="20"/>
      <w:szCs w:val="20"/>
    </w:rPr>
  </w:style>
  <w:style w:type="paragraph" w:styleId="Caption">
    <w:name w:val="caption"/>
    <w:basedOn w:val="Normal"/>
    <w:next w:val="Normal"/>
    <w:uiPriority w:val="35"/>
    <w:semiHidden/>
    <w:unhideWhenUsed/>
    <w:qFormat/>
    <w:rsid w:val="00FB4CB3"/>
    <w:pPr>
      <w:spacing w:after="200"/>
    </w:pPr>
    <w:rPr>
      <w:i/>
      <w:iCs/>
      <w:color w:val="1F497D" w:themeColor="text2"/>
      <w:sz w:val="18"/>
      <w:szCs w:val="18"/>
    </w:rPr>
  </w:style>
  <w:style w:type="character" w:customStyle="1" w:styleId="Heading2Char">
    <w:name w:val="Heading 2 Char"/>
    <w:basedOn w:val="DefaultParagraphFont"/>
    <w:link w:val="Heading2"/>
    <w:rsid w:val="009F4A60"/>
    <w:rPr>
      <w:rFonts w:ascii="Cambria" w:eastAsia="Cambria" w:hAnsi="Cambria" w:cs="Cambria"/>
      <w:b/>
      <w:bCs/>
      <w:i/>
      <w:iCs/>
      <w:color w:val="000000"/>
      <w:sz w:val="20"/>
      <w:szCs w:val="20"/>
    </w:rPr>
  </w:style>
  <w:style w:type="table" w:styleId="GridTable3">
    <w:name w:val="Grid Table 3"/>
    <w:basedOn w:val="TableNormal"/>
    <w:uiPriority w:val="48"/>
    <w:rsid w:val="002F0F9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PlainTable1">
    <w:name w:val="Plain Table 1"/>
    <w:basedOn w:val="TableNormal"/>
    <w:uiPriority w:val="41"/>
    <w:rsid w:val="002F0F9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2F0F9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3">
    <w:name w:val="Unresolved Mention3"/>
    <w:basedOn w:val="DefaultParagraphFont"/>
    <w:uiPriority w:val="99"/>
    <w:semiHidden/>
    <w:unhideWhenUsed/>
    <w:rsid w:val="0042537C"/>
    <w:rPr>
      <w:color w:val="605E5C"/>
      <w:shd w:val="clear" w:color="auto" w:fill="E1DFDD"/>
    </w:rPr>
  </w:style>
  <w:style w:type="character" w:styleId="UnresolvedMention">
    <w:name w:val="Unresolved Mention"/>
    <w:basedOn w:val="DefaultParagraphFont"/>
    <w:uiPriority w:val="99"/>
    <w:semiHidden/>
    <w:unhideWhenUsed/>
    <w:rsid w:val="0061027B"/>
    <w:rPr>
      <w:color w:val="605E5C"/>
      <w:shd w:val="clear" w:color="auto" w:fill="E1DFDD"/>
    </w:rPr>
  </w:style>
  <w:style w:type="character" w:customStyle="1" w:styleId="Heading1Char">
    <w:name w:val="Heading 1 Char"/>
    <w:basedOn w:val="DefaultParagraphFont"/>
    <w:link w:val="Heading1"/>
    <w:rsid w:val="00114A46"/>
    <w:rPr>
      <w:rFonts w:ascii="Cambria" w:eastAsia="Cambria" w:hAnsi="Cambria" w:cs="Cambria"/>
      <w:b/>
      <w:bCs/>
      <w:color w:val="000000"/>
      <w:sz w:val="20"/>
      <w:szCs w:val="20"/>
    </w:rPr>
  </w:style>
  <w:style w:type="paragraph" w:styleId="Quote">
    <w:name w:val="Quote"/>
    <w:basedOn w:val="Normal"/>
    <w:next w:val="Normal"/>
    <w:link w:val="QuoteChar"/>
    <w:uiPriority w:val="29"/>
    <w:qFormat/>
    <w:rsid w:val="007F6C4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F6C40"/>
    <w:rPr>
      <w:rFonts w:ascii="Cambria" w:eastAsia="Cambria" w:hAnsi="Cambria" w:cs="Cambria"/>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0748">
      <w:bodyDiv w:val="1"/>
      <w:marLeft w:val="0"/>
      <w:marRight w:val="0"/>
      <w:marTop w:val="0"/>
      <w:marBottom w:val="0"/>
      <w:divBdr>
        <w:top w:val="none" w:sz="0" w:space="0" w:color="auto"/>
        <w:left w:val="none" w:sz="0" w:space="0" w:color="auto"/>
        <w:bottom w:val="none" w:sz="0" w:space="0" w:color="auto"/>
        <w:right w:val="none" w:sz="0" w:space="0" w:color="auto"/>
      </w:divBdr>
    </w:div>
    <w:div w:id="101609104">
      <w:bodyDiv w:val="1"/>
      <w:marLeft w:val="0"/>
      <w:marRight w:val="0"/>
      <w:marTop w:val="0"/>
      <w:marBottom w:val="0"/>
      <w:divBdr>
        <w:top w:val="none" w:sz="0" w:space="0" w:color="auto"/>
        <w:left w:val="none" w:sz="0" w:space="0" w:color="auto"/>
        <w:bottom w:val="none" w:sz="0" w:space="0" w:color="auto"/>
        <w:right w:val="none" w:sz="0" w:space="0" w:color="auto"/>
      </w:divBdr>
    </w:div>
    <w:div w:id="113595820">
      <w:bodyDiv w:val="1"/>
      <w:marLeft w:val="0"/>
      <w:marRight w:val="0"/>
      <w:marTop w:val="0"/>
      <w:marBottom w:val="0"/>
      <w:divBdr>
        <w:top w:val="none" w:sz="0" w:space="0" w:color="auto"/>
        <w:left w:val="none" w:sz="0" w:space="0" w:color="auto"/>
        <w:bottom w:val="none" w:sz="0" w:space="0" w:color="auto"/>
        <w:right w:val="none" w:sz="0" w:space="0" w:color="auto"/>
      </w:divBdr>
    </w:div>
    <w:div w:id="222260938">
      <w:bodyDiv w:val="1"/>
      <w:marLeft w:val="0"/>
      <w:marRight w:val="0"/>
      <w:marTop w:val="0"/>
      <w:marBottom w:val="0"/>
      <w:divBdr>
        <w:top w:val="none" w:sz="0" w:space="0" w:color="auto"/>
        <w:left w:val="none" w:sz="0" w:space="0" w:color="auto"/>
        <w:bottom w:val="none" w:sz="0" w:space="0" w:color="auto"/>
        <w:right w:val="none" w:sz="0" w:space="0" w:color="auto"/>
      </w:divBdr>
    </w:div>
    <w:div w:id="351995149">
      <w:bodyDiv w:val="1"/>
      <w:marLeft w:val="0"/>
      <w:marRight w:val="0"/>
      <w:marTop w:val="0"/>
      <w:marBottom w:val="0"/>
      <w:divBdr>
        <w:top w:val="none" w:sz="0" w:space="0" w:color="auto"/>
        <w:left w:val="none" w:sz="0" w:space="0" w:color="auto"/>
        <w:bottom w:val="none" w:sz="0" w:space="0" w:color="auto"/>
        <w:right w:val="none" w:sz="0" w:space="0" w:color="auto"/>
      </w:divBdr>
    </w:div>
    <w:div w:id="398093021">
      <w:bodyDiv w:val="1"/>
      <w:marLeft w:val="0"/>
      <w:marRight w:val="0"/>
      <w:marTop w:val="0"/>
      <w:marBottom w:val="0"/>
      <w:divBdr>
        <w:top w:val="none" w:sz="0" w:space="0" w:color="auto"/>
        <w:left w:val="none" w:sz="0" w:space="0" w:color="auto"/>
        <w:bottom w:val="none" w:sz="0" w:space="0" w:color="auto"/>
        <w:right w:val="none" w:sz="0" w:space="0" w:color="auto"/>
      </w:divBdr>
      <w:divsChild>
        <w:div w:id="65542528">
          <w:marLeft w:val="1267"/>
          <w:marRight w:val="0"/>
          <w:marTop w:val="0"/>
          <w:marBottom w:val="0"/>
          <w:divBdr>
            <w:top w:val="none" w:sz="0" w:space="0" w:color="auto"/>
            <w:left w:val="none" w:sz="0" w:space="0" w:color="auto"/>
            <w:bottom w:val="none" w:sz="0" w:space="0" w:color="auto"/>
            <w:right w:val="none" w:sz="0" w:space="0" w:color="auto"/>
          </w:divBdr>
        </w:div>
        <w:div w:id="285082482">
          <w:marLeft w:val="1166"/>
          <w:marRight w:val="0"/>
          <w:marTop w:val="0"/>
          <w:marBottom w:val="0"/>
          <w:divBdr>
            <w:top w:val="none" w:sz="0" w:space="0" w:color="auto"/>
            <w:left w:val="none" w:sz="0" w:space="0" w:color="auto"/>
            <w:bottom w:val="none" w:sz="0" w:space="0" w:color="auto"/>
            <w:right w:val="none" w:sz="0" w:space="0" w:color="auto"/>
          </w:divBdr>
        </w:div>
        <w:div w:id="797450416">
          <w:marLeft w:val="1267"/>
          <w:marRight w:val="0"/>
          <w:marTop w:val="0"/>
          <w:marBottom w:val="0"/>
          <w:divBdr>
            <w:top w:val="none" w:sz="0" w:space="0" w:color="auto"/>
            <w:left w:val="none" w:sz="0" w:space="0" w:color="auto"/>
            <w:bottom w:val="none" w:sz="0" w:space="0" w:color="auto"/>
            <w:right w:val="none" w:sz="0" w:space="0" w:color="auto"/>
          </w:divBdr>
        </w:div>
        <w:div w:id="1444231813">
          <w:marLeft w:val="1166"/>
          <w:marRight w:val="0"/>
          <w:marTop w:val="0"/>
          <w:marBottom w:val="0"/>
          <w:divBdr>
            <w:top w:val="none" w:sz="0" w:space="0" w:color="auto"/>
            <w:left w:val="none" w:sz="0" w:space="0" w:color="auto"/>
            <w:bottom w:val="none" w:sz="0" w:space="0" w:color="auto"/>
            <w:right w:val="none" w:sz="0" w:space="0" w:color="auto"/>
          </w:divBdr>
        </w:div>
        <w:div w:id="1527717343">
          <w:marLeft w:val="1166"/>
          <w:marRight w:val="0"/>
          <w:marTop w:val="0"/>
          <w:marBottom w:val="0"/>
          <w:divBdr>
            <w:top w:val="none" w:sz="0" w:space="0" w:color="auto"/>
            <w:left w:val="none" w:sz="0" w:space="0" w:color="auto"/>
            <w:bottom w:val="none" w:sz="0" w:space="0" w:color="auto"/>
            <w:right w:val="none" w:sz="0" w:space="0" w:color="auto"/>
          </w:divBdr>
        </w:div>
        <w:div w:id="1979533422">
          <w:marLeft w:val="1166"/>
          <w:marRight w:val="0"/>
          <w:marTop w:val="0"/>
          <w:marBottom w:val="0"/>
          <w:divBdr>
            <w:top w:val="none" w:sz="0" w:space="0" w:color="auto"/>
            <w:left w:val="none" w:sz="0" w:space="0" w:color="auto"/>
            <w:bottom w:val="none" w:sz="0" w:space="0" w:color="auto"/>
            <w:right w:val="none" w:sz="0" w:space="0" w:color="auto"/>
          </w:divBdr>
        </w:div>
      </w:divsChild>
    </w:div>
    <w:div w:id="454524222">
      <w:bodyDiv w:val="1"/>
      <w:marLeft w:val="0"/>
      <w:marRight w:val="0"/>
      <w:marTop w:val="0"/>
      <w:marBottom w:val="0"/>
      <w:divBdr>
        <w:top w:val="none" w:sz="0" w:space="0" w:color="auto"/>
        <w:left w:val="none" w:sz="0" w:space="0" w:color="auto"/>
        <w:bottom w:val="none" w:sz="0" w:space="0" w:color="auto"/>
        <w:right w:val="none" w:sz="0" w:space="0" w:color="auto"/>
      </w:divBdr>
    </w:div>
    <w:div w:id="573273055">
      <w:bodyDiv w:val="1"/>
      <w:marLeft w:val="0"/>
      <w:marRight w:val="0"/>
      <w:marTop w:val="0"/>
      <w:marBottom w:val="0"/>
      <w:divBdr>
        <w:top w:val="none" w:sz="0" w:space="0" w:color="auto"/>
        <w:left w:val="none" w:sz="0" w:space="0" w:color="auto"/>
        <w:bottom w:val="none" w:sz="0" w:space="0" w:color="auto"/>
        <w:right w:val="none" w:sz="0" w:space="0" w:color="auto"/>
      </w:divBdr>
    </w:div>
    <w:div w:id="580140337">
      <w:bodyDiv w:val="1"/>
      <w:marLeft w:val="0"/>
      <w:marRight w:val="0"/>
      <w:marTop w:val="0"/>
      <w:marBottom w:val="0"/>
      <w:divBdr>
        <w:top w:val="none" w:sz="0" w:space="0" w:color="auto"/>
        <w:left w:val="none" w:sz="0" w:space="0" w:color="auto"/>
        <w:bottom w:val="none" w:sz="0" w:space="0" w:color="auto"/>
        <w:right w:val="none" w:sz="0" w:space="0" w:color="auto"/>
      </w:divBdr>
    </w:div>
    <w:div w:id="588393343">
      <w:bodyDiv w:val="1"/>
      <w:marLeft w:val="0"/>
      <w:marRight w:val="0"/>
      <w:marTop w:val="0"/>
      <w:marBottom w:val="0"/>
      <w:divBdr>
        <w:top w:val="none" w:sz="0" w:space="0" w:color="auto"/>
        <w:left w:val="none" w:sz="0" w:space="0" w:color="auto"/>
        <w:bottom w:val="none" w:sz="0" w:space="0" w:color="auto"/>
        <w:right w:val="none" w:sz="0" w:space="0" w:color="auto"/>
      </w:divBdr>
    </w:div>
    <w:div w:id="618725679">
      <w:bodyDiv w:val="1"/>
      <w:marLeft w:val="0"/>
      <w:marRight w:val="0"/>
      <w:marTop w:val="0"/>
      <w:marBottom w:val="0"/>
      <w:divBdr>
        <w:top w:val="none" w:sz="0" w:space="0" w:color="auto"/>
        <w:left w:val="none" w:sz="0" w:space="0" w:color="auto"/>
        <w:bottom w:val="none" w:sz="0" w:space="0" w:color="auto"/>
        <w:right w:val="none" w:sz="0" w:space="0" w:color="auto"/>
      </w:divBdr>
    </w:div>
    <w:div w:id="695887523">
      <w:bodyDiv w:val="1"/>
      <w:marLeft w:val="0"/>
      <w:marRight w:val="0"/>
      <w:marTop w:val="0"/>
      <w:marBottom w:val="0"/>
      <w:divBdr>
        <w:top w:val="none" w:sz="0" w:space="0" w:color="auto"/>
        <w:left w:val="none" w:sz="0" w:space="0" w:color="auto"/>
        <w:bottom w:val="none" w:sz="0" w:space="0" w:color="auto"/>
        <w:right w:val="none" w:sz="0" w:space="0" w:color="auto"/>
      </w:divBdr>
    </w:div>
    <w:div w:id="791829439">
      <w:bodyDiv w:val="1"/>
      <w:marLeft w:val="0"/>
      <w:marRight w:val="0"/>
      <w:marTop w:val="0"/>
      <w:marBottom w:val="0"/>
      <w:divBdr>
        <w:top w:val="none" w:sz="0" w:space="0" w:color="auto"/>
        <w:left w:val="none" w:sz="0" w:space="0" w:color="auto"/>
        <w:bottom w:val="none" w:sz="0" w:space="0" w:color="auto"/>
        <w:right w:val="none" w:sz="0" w:space="0" w:color="auto"/>
      </w:divBdr>
    </w:div>
    <w:div w:id="810445881">
      <w:bodyDiv w:val="1"/>
      <w:marLeft w:val="0"/>
      <w:marRight w:val="0"/>
      <w:marTop w:val="0"/>
      <w:marBottom w:val="0"/>
      <w:divBdr>
        <w:top w:val="none" w:sz="0" w:space="0" w:color="auto"/>
        <w:left w:val="none" w:sz="0" w:space="0" w:color="auto"/>
        <w:bottom w:val="none" w:sz="0" w:space="0" w:color="auto"/>
        <w:right w:val="none" w:sz="0" w:space="0" w:color="auto"/>
      </w:divBdr>
    </w:div>
    <w:div w:id="1036464042">
      <w:bodyDiv w:val="1"/>
      <w:marLeft w:val="0"/>
      <w:marRight w:val="0"/>
      <w:marTop w:val="0"/>
      <w:marBottom w:val="0"/>
      <w:divBdr>
        <w:top w:val="none" w:sz="0" w:space="0" w:color="auto"/>
        <w:left w:val="none" w:sz="0" w:space="0" w:color="auto"/>
        <w:bottom w:val="none" w:sz="0" w:space="0" w:color="auto"/>
        <w:right w:val="none" w:sz="0" w:space="0" w:color="auto"/>
      </w:divBdr>
    </w:div>
    <w:div w:id="1057968834">
      <w:bodyDiv w:val="1"/>
      <w:marLeft w:val="0"/>
      <w:marRight w:val="0"/>
      <w:marTop w:val="0"/>
      <w:marBottom w:val="0"/>
      <w:divBdr>
        <w:top w:val="none" w:sz="0" w:space="0" w:color="auto"/>
        <w:left w:val="none" w:sz="0" w:space="0" w:color="auto"/>
        <w:bottom w:val="none" w:sz="0" w:space="0" w:color="auto"/>
        <w:right w:val="none" w:sz="0" w:space="0" w:color="auto"/>
      </w:divBdr>
    </w:div>
    <w:div w:id="1103841977">
      <w:bodyDiv w:val="1"/>
      <w:marLeft w:val="0"/>
      <w:marRight w:val="0"/>
      <w:marTop w:val="0"/>
      <w:marBottom w:val="0"/>
      <w:divBdr>
        <w:top w:val="none" w:sz="0" w:space="0" w:color="auto"/>
        <w:left w:val="none" w:sz="0" w:space="0" w:color="auto"/>
        <w:bottom w:val="none" w:sz="0" w:space="0" w:color="auto"/>
        <w:right w:val="none" w:sz="0" w:space="0" w:color="auto"/>
      </w:divBdr>
    </w:div>
    <w:div w:id="1111782075">
      <w:bodyDiv w:val="1"/>
      <w:marLeft w:val="0"/>
      <w:marRight w:val="0"/>
      <w:marTop w:val="0"/>
      <w:marBottom w:val="0"/>
      <w:divBdr>
        <w:top w:val="none" w:sz="0" w:space="0" w:color="auto"/>
        <w:left w:val="none" w:sz="0" w:space="0" w:color="auto"/>
        <w:bottom w:val="none" w:sz="0" w:space="0" w:color="auto"/>
        <w:right w:val="none" w:sz="0" w:space="0" w:color="auto"/>
      </w:divBdr>
    </w:div>
    <w:div w:id="1119374964">
      <w:bodyDiv w:val="1"/>
      <w:marLeft w:val="0"/>
      <w:marRight w:val="0"/>
      <w:marTop w:val="0"/>
      <w:marBottom w:val="0"/>
      <w:divBdr>
        <w:top w:val="none" w:sz="0" w:space="0" w:color="auto"/>
        <w:left w:val="none" w:sz="0" w:space="0" w:color="auto"/>
        <w:bottom w:val="none" w:sz="0" w:space="0" w:color="auto"/>
        <w:right w:val="none" w:sz="0" w:space="0" w:color="auto"/>
      </w:divBdr>
    </w:div>
    <w:div w:id="1201825340">
      <w:bodyDiv w:val="1"/>
      <w:marLeft w:val="0"/>
      <w:marRight w:val="0"/>
      <w:marTop w:val="0"/>
      <w:marBottom w:val="0"/>
      <w:divBdr>
        <w:top w:val="none" w:sz="0" w:space="0" w:color="auto"/>
        <w:left w:val="none" w:sz="0" w:space="0" w:color="auto"/>
        <w:bottom w:val="none" w:sz="0" w:space="0" w:color="auto"/>
        <w:right w:val="none" w:sz="0" w:space="0" w:color="auto"/>
      </w:divBdr>
    </w:div>
    <w:div w:id="1266378039">
      <w:bodyDiv w:val="1"/>
      <w:marLeft w:val="0"/>
      <w:marRight w:val="0"/>
      <w:marTop w:val="0"/>
      <w:marBottom w:val="0"/>
      <w:divBdr>
        <w:top w:val="none" w:sz="0" w:space="0" w:color="auto"/>
        <w:left w:val="none" w:sz="0" w:space="0" w:color="auto"/>
        <w:bottom w:val="none" w:sz="0" w:space="0" w:color="auto"/>
        <w:right w:val="none" w:sz="0" w:space="0" w:color="auto"/>
      </w:divBdr>
    </w:div>
    <w:div w:id="1486044070">
      <w:bodyDiv w:val="1"/>
      <w:marLeft w:val="0"/>
      <w:marRight w:val="0"/>
      <w:marTop w:val="0"/>
      <w:marBottom w:val="0"/>
      <w:divBdr>
        <w:top w:val="none" w:sz="0" w:space="0" w:color="auto"/>
        <w:left w:val="none" w:sz="0" w:space="0" w:color="auto"/>
        <w:bottom w:val="none" w:sz="0" w:space="0" w:color="auto"/>
        <w:right w:val="none" w:sz="0" w:space="0" w:color="auto"/>
      </w:divBdr>
    </w:div>
    <w:div w:id="1507213111">
      <w:bodyDiv w:val="1"/>
      <w:marLeft w:val="0"/>
      <w:marRight w:val="0"/>
      <w:marTop w:val="0"/>
      <w:marBottom w:val="0"/>
      <w:divBdr>
        <w:top w:val="none" w:sz="0" w:space="0" w:color="auto"/>
        <w:left w:val="none" w:sz="0" w:space="0" w:color="auto"/>
        <w:bottom w:val="none" w:sz="0" w:space="0" w:color="auto"/>
        <w:right w:val="none" w:sz="0" w:space="0" w:color="auto"/>
      </w:divBdr>
    </w:div>
    <w:div w:id="1580679288">
      <w:bodyDiv w:val="1"/>
      <w:marLeft w:val="0"/>
      <w:marRight w:val="0"/>
      <w:marTop w:val="0"/>
      <w:marBottom w:val="0"/>
      <w:divBdr>
        <w:top w:val="none" w:sz="0" w:space="0" w:color="auto"/>
        <w:left w:val="none" w:sz="0" w:space="0" w:color="auto"/>
        <w:bottom w:val="none" w:sz="0" w:space="0" w:color="auto"/>
        <w:right w:val="none" w:sz="0" w:space="0" w:color="auto"/>
      </w:divBdr>
    </w:div>
    <w:div w:id="1591087301">
      <w:bodyDiv w:val="1"/>
      <w:marLeft w:val="0"/>
      <w:marRight w:val="0"/>
      <w:marTop w:val="0"/>
      <w:marBottom w:val="0"/>
      <w:divBdr>
        <w:top w:val="none" w:sz="0" w:space="0" w:color="auto"/>
        <w:left w:val="none" w:sz="0" w:space="0" w:color="auto"/>
        <w:bottom w:val="none" w:sz="0" w:space="0" w:color="auto"/>
        <w:right w:val="none" w:sz="0" w:space="0" w:color="auto"/>
      </w:divBdr>
    </w:div>
    <w:div w:id="1686982136">
      <w:bodyDiv w:val="1"/>
      <w:marLeft w:val="0"/>
      <w:marRight w:val="0"/>
      <w:marTop w:val="0"/>
      <w:marBottom w:val="0"/>
      <w:divBdr>
        <w:top w:val="none" w:sz="0" w:space="0" w:color="auto"/>
        <w:left w:val="none" w:sz="0" w:space="0" w:color="auto"/>
        <w:bottom w:val="none" w:sz="0" w:space="0" w:color="auto"/>
        <w:right w:val="none" w:sz="0" w:space="0" w:color="auto"/>
      </w:divBdr>
    </w:div>
    <w:div w:id="1690065787">
      <w:bodyDiv w:val="1"/>
      <w:marLeft w:val="0"/>
      <w:marRight w:val="0"/>
      <w:marTop w:val="0"/>
      <w:marBottom w:val="0"/>
      <w:divBdr>
        <w:top w:val="none" w:sz="0" w:space="0" w:color="auto"/>
        <w:left w:val="none" w:sz="0" w:space="0" w:color="auto"/>
        <w:bottom w:val="none" w:sz="0" w:space="0" w:color="auto"/>
        <w:right w:val="none" w:sz="0" w:space="0" w:color="auto"/>
      </w:divBdr>
    </w:div>
    <w:div w:id="1717775872">
      <w:bodyDiv w:val="1"/>
      <w:marLeft w:val="0"/>
      <w:marRight w:val="0"/>
      <w:marTop w:val="0"/>
      <w:marBottom w:val="0"/>
      <w:divBdr>
        <w:top w:val="none" w:sz="0" w:space="0" w:color="auto"/>
        <w:left w:val="none" w:sz="0" w:space="0" w:color="auto"/>
        <w:bottom w:val="none" w:sz="0" w:space="0" w:color="auto"/>
        <w:right w:val="none" w:sz="0" w:space="0" w:color="auto"/>
      </w:divBdr>
    </w:div>
    <w:div w:id="1908107238">
      <w:bodyDiv w:val="1"/>
      <w:marLeft w:val="0"/>
      <w:marRight w:val="0"/>
      <w:marTop w:val="0"/>
      <w:marBottom w:val="0"/>
      <w:divBdr>
        <w:top w:val="none" w:sz="0" w:space="0" w:color="auto"/>
        <w:left w:val="none" w:sz="0" w:space="0" w:color="auto"/>
        <w:bottom w:val="none" w:sz="0" w:space="0" w:color="auto"/>
        <w:right w:val="none" w:sz="0" w:space="0" w:color="auto"/>
      </w:divBdr>
    </w:div>
    <w:div w:id="1970283299">
      <w:bodyDiv w:val="1"/>
      <w:marLeft w:val="0"/>
      <w:marRight w:val="0"/>
      <w:marTop w:val="0"/>
      <w:marBottom w:val="0"/>
      <w:divBdr>
        <w:top w:val="none" w:sz="0" w:space="0" w:color="auto"/>
        <w:left w:val="none" w:sz="0" w:space="0" w:color="auto"/>
        <w:bottom w:val="none" w:sz="0" w:space="0" w:color="auto"/>
        <w:right w:val="none" w:sz="0" w:space="0" w:color="auto"/>
      </w:divBdr>
    </w:div>
    <w:div w:id="2009092560">
      <w:bodyDiv w:val="1"/>
      <w:marLeft w:val="0"/>
      <w:marRight w:val="0"/>
      <w:marTop w:val="0"/>
      <w:marBottom w:val="0"/>
      <w:divBdr>
        <w:top w:val="none" w:sz="0" w:space="0" w:color="auto"/>
        <w:left w:val="none" w:sz="0" w:space="0" w:color="auto"/>
        <w:bottom w:val="none" w:sz="0" w:space="0" w:color="auto"/>
        <w:right w:val="none" w:sz="0" w:space="0" w:color="auto"/>
      </w:divBdr>
    </w:div>
    <w:div w:id="2016224841">
      <w:bodyDiv w:val="1"/>
      <w:marLeft w:val="0"/>
      <w:marRight w:val="0"/>
      <w:marTop w:val="0"/>
      <w:marBottom w:val="0"/>
      <w:divBdr>
        <w:top w:val="none" w:sz="0" w:space="0" w:color="auto"/>
        <w:left w:val="none" w:sz="0" w:space="0" w:color="auto"/>
        <w:bottom w:val="none" w:sz="0" w:space="0" w:color="auto"/>
        <w:right w:val="none" w:sz="0" w:space="0" w:color="auto"/>
      </w:divBdr>
    </w:div>
    <w:div w:id="2030982632">
      <w:bodyDiv w:val="1"/>
      <w:marLeft w:val="0"/>
      <w:marRight w:val="0"/>
      <w:marTop w:val="0"/>
      <w:marBottom w:val="0"/>
      <w:divBdr>
        <w:top w:val="none" w:sz="0" w:space="0" w:color="auto"/>
        <w:left w:val="none" w:sz="0" w:space="0" w:color="auto"/>
        <w:bottom w:val="none" w:sz="0" w:space="0" w:color="auto"/>
        <w:right w:val="none" w:sz="0" w:space="0" w:color="auto"/>
      </w:divBdr>
    </w:div>
    <w:div w:id="2095978685">
      <w:bodyDiv w:val="1"/>
      <w:marLeft w:val="0"/>
      <w:marRight w:val="0"/>
      <w:marTop w:val="0"/>
      <w:marBottom w:val="0"/>
      <w:divBdr>
        <w:top w:val="none" w:sz="0" w:space="0" w:color="auto"/>
        <w:left w:val="none" w:sz="0" w:space="0" w:color="auto"/>
        <w:bottom w:val="none" w:sz="0" w:space="0" w:color="auto"/>
        <w:right w:val="none" w:sz="0" w:space="0" w:color="auto"/>
      </w:divBdr>
    </w:div>
    <w:div w:id="21310440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ccat.int/Documents/Recs/compendiopdf-f/2024-17-f.pdf" TargetMode="External"/><Relationship Id="rId18" Type="http://schemas.openxmlformats.org/officeDocument/2006/relationships/hyperlink" Target="https://www.iccat.int/fr/IOMS.html" TargetMode="External"/><Relationship Id="rId26" Type="http://schemas.openxmlformats.org/officeDocument/2006/relationships/hyperlink" Target="https://www.iccat.int/fr/VesselsRecord.asp" TargetMode="External"/><Relationship Id="rId39" Type="http://schemas.openxmlformats.org/officeDocument/2006/relationships/hyperlink" Target="https://www.iccat.int/Documents/BienRep/REP_fr_24-25-II-1.pdf" TargetMode="External"/><Relationship Id="rId21" Type="http://schemas.openxmlformats.org/officeDocument/2006/relationships/hyperlink" Target="mailto:general@ioms.iccat.int" TargetMode="External"/><Relationship Id="rId34" Type="http://schemas.openxmlformats.org/officeDocument/2006/relationships/hyperlink" Target="https://www.iccat.int/DocsComm/uploads/2025/COC_321_FRA_20251113105059.docx" TargetMode="External"/><Relationship Id="rId42" Type="http://schemas.openxmlformats.org/officeDocument/2006/relationships/hyperlink" Target="http://www.iccat.int/" TargetMode="External"/><Relationship Id="rId47" Type="http://schemas.openxmlformats.org/officeDocument/2006/relationships/header" Target="header1.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oms.iccat.int/" TargetMode="External"/><Relationship Id="rId29" Type="http://schemas.openxmlformats.org/officeDocument/2006/relationships/hyperlink" Target="https://www.iccat.int/Documents/Recs/compendiopdf-f/2024-15-f.pdf" TargetMode="External"/><Relationship Id="rId11" Type="http://schemas.openxmlformats.org/officeDocument/2006/relationships/hyperlink" Target="https://www.iccat.int/Documents/Recs/compendiopdf-f/2021-20-f.pdf" TargetMode="External"/><Relationship Id="rId24" Type="http://schemas.openxmlformats.org/officeDocument/2006/relationships/hyperlink" Target="https://iccat.int/Forms/CP46-VessTrans_TRI.xlsx" TargetMode="External"/><Relationship Id="rId32" Type="http://schemas.openxmlformats.org/officeDocument/2006/relationships/hyperlink" Target="https://www.iccat.int/fr/Ports.asp" TargetMode="External"/><Relationship Id="rId37" Type="http://schemas.openxmlformats.org/officeDocument/2006/relationships/hyperlink" Target="https://www.iccat.int/fr/SubmitCOMP.html" TargetMode="External"/><Relationship Id="rId40" Type="http://schemas.openxmlformats.org/officeDocument/2006/relationships/hyperlink" Target="https://www.iccat.int/Data/Data_protection_FRA.pdf" TargetMode="External"/><Relationship Id="rId45" Type="http://schemas.openxmlformats.org/officeDocument/2006/relationships/hyperlink" Target="https://www.iccat.int/Documents/Meetings/Docs/2024/Reports/2024_IMM_FRA.pdf" TargetMode="External"/><Relationship Id="rId5" Type="http://schemas.openxmlformats.org/officeDocument/2006/relationships/webSettings" Target="webSettings.xml"/><Relationship Id="rId15" Type="http://schemas.openxmlformats.org/officeDocument/2006/relationships/hyperlink" Target="https://sandbox-ioms.iccat.int" TargetMode="External"/><Relationship Id="rId23" Type="http://schemas.openxmlformats.org/officeDocument/2006/relationships/hyperlink" Target="https://iccat.int/Forms/CP01-VessLst.xlsx" TargetMode="External"/><Relationship Id="rId28" Type="http://schemas.openxmlformats.org/officeDocument/2006/relationships/hyperlink" Target="https://www.iccat.int/Documents/Recs/compendiopdf-f/2003-20-f.pdf" TargetMode="External"/><Relationship Id="rId36" Type="http://schemas.openxmlformats.org/officeDocument/2006/relationships/hyperlink" Target="https://www.iccat.int/DocsComm/uploads/2025/COC_321_FRA_20251113105059.docx" TargetMode="External"/><Relationship Id="rId49" Type="http://schemas.openxmlformats.org/officeDocument/2006/relationships/header" Target="header2.xml"/><Relationship Id="rId10" Type="http://schemas.openxmlformats.org/officeDocument/2006/relationships/hyperlink" Target="https://www.iccat.int/Documents/Recs/compendiopdf-f/2016-19-f.pdf" TargetMode="External"/><Relationship Id="rId19" Type="http://schemas.openxmlformats.org/officeDocument/2006/relationships/hyperlink" Target="https://www.iccat.int/Documents/Recs/compendiopdf-f/2022-17-f.pdf" TargetMode="External"/><Relationship Id="rId31" Type="http://schemas.openxmlformats.org/officeDocument/2006/relationships/hyperlink" Target="https://www.iccat.int/Documents/Comply/Guidelines_FRA.pdf" TargetMode="External"/><Relationship Id="rId44" Type="http://schemas.openxmlformats.org/officeDocument/2006/relationships/hyperlink" Target="https://www.iccat.int/DocsComm/uploads/2025/COC_319_ENG_20251113153343.docx" TargetMode="External"/><Relationship Id="rId4" Type="http://schemas.openxmlformats.org/officeDocument/2006/relationships/settings" Target="settings.xml"/><Relationship Id="rId9" Type="http://schemas.openxmlformats.org/officeDocument/2006/relationships/hyperlink" Target="https://secretariat.iccat.online/index.php/s/LyFdcxncqaA8fps" TargetMode="External"/><Relationship Id="rId14" Type="http://schemas.openxmlformats.org/officeDocument/2006/relationships/hyperlink" Target="https://www.iccat.int/Documents/BienRep/REP_FR_24-25-II-1.pdf" TargetMode="External"/><Relationship Id="rId22" Type="http://schemas.openxmlformats.org/officeDocument/2006/relationships/hyperlink" Target="https://www.iccat.int/Documents/Comply/Guidelines_FRA.pdf" TargetMode="External"/><Relationship Id="rId27" Type="http://schemas.openxmlformats.org/officeDocument/2006/relationships/hyperlink" Target="https://www.iccat.int/fr/VesselsRecord.asp" TargetMode="External"/><Relationship Id="rId30" Type="http://schemas.openxmlformats.org/officeDocument/2006/relationships/hyperlink" Target="https://iccat.int/Forms/CP24-AuthPorts_TRI.xlsx" TargetMode="External"/><Relationship Id="rId35" Type="http://schemas.openxmlformats.org/officeDocument/2006/relationships/hyperlink" Target="https://www.iccat.int/Documents/Meetings/Docs/2025/Reports/2025_WG-ORT_FRA.pdf" TargetMode="External"/><Relationship Id="rId43" Type="http://schemas.openxmlformats.org/officeDocument/2006/relationships/hyperlink" Target="http://www.tuna-org.org" TargetMode="External"/><Relationship Id="rId48" Type="http://schemas.openxmlformats.org/officeDocument/2006/relationships/footer" Target="footer1.xml"/><Relationship Id="rId8" Type="http://schemas.openxmlformats.org/officeDocument/2006/relationships/hyperlink" Target="https://www.iccat.int/Documents/Meetings/Docs/2026/00309-26_FRA.pdf"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iccat.int/Documents/Recs/compendiopdf-f/2022-17-f.pdf" TargetMode="External"/><Relationship Id="rId17" Type="http://schemas.openxmlformats.org/officeDocument/2006/relationships/hyperlink" Target="https://www.iccat.int/Documents/Recs/compendiopdf-f/2016-19-f.pdf" TargetMode="External"/><Relationship Id="rId25" Type="http://schemas.openxmlformats.org/officeDocument/2006/relationships/hyperlink" Target="https://iccat.int/Forms/CP53-ChartrCP_FS.xlsx" TargetMode="External"/><Relationship Id="rId33" Type="http://schemas.openxmlformats.org/officeDocument/2006/relationships/hyperlink" Target="https://www.iccat.int/Data/Data_protection_FRA.pdf" TargetMode="External"/><Relationship Id="rId38" Type="http://schemas.openxmlformats.org/officeDocument/2006/relationships/hyperlink" Target="https://www.iccat.int/fr/submitSTAT.html" TargetMode="External"/><Relationship Id="rId46" Type="http://schemas.openxmlformats.org/officeDocument/2006/relationships/image" Target="media/image1.emf"/><Relationship Id="rId20" Type="http://schemas.openxmlformats.org/officeDocument/2006/relationships/hyperlink" Target="https://kubernetes.io/" TargetMode="External"/><Relationship Id="rId41" Type="http://schemas.openxmlformats.org/officeDocument/2006/relationships/hyperlink" Target="https://iccat.int/Forms/CP01-VessLst.xlsx"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2D760-2669-4135-83FB-36C2858F2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19204</Words>
  <Characters>109467</Characters>
  <Application>Microsoft Office Word</Application>
  <DocSecurity>0</DocSecurity>
  <Lines>912</Lines>
  <Paragraphs>256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128415</CharactersWithSpaces>
  <SharedDoc>false</SharedDoc>
  <HLinks>
    <vt:vector size="216" baseType="variant">
      <vt:variant>
        <vt:i4>7012461</vt:i4>
      </vt:variant>
      <vt:variant>
        <vt:i4>111</vt:i4>
      </vt:variant>
      <vt:variant>
        <vt:i4>0</vt:i4>
      </vt:variant>
      <vt:variant>
        <vt:i4>5</vt:i4>
      </vt:variant>
      <vt:variant>
        <vt:lpwstr>https://www.iccat.int/Documents/Meetings/Docs/2024/Reports/2024_IMM_ENG.pdf</vt:lpwstr>
      </vt:variant>
      <vt:variant>
        <vt:lpwstr/>
      </vt:variant>
      <vt:variant>
        <vt:i4>4522027</vt:i4>
      </vt:variant>
      <vt:variant>
        <vt:i4>108</vt:i4>
      </vt:variant>
      <vt:variant>
        <vt:i4>0</vt:i4>
      </vt:variant>
      <vt:variant>
        <vt:i4>5</vt:i4>
      </vt:variant>
      <vt:variant>
        <vt:lpwstr>https://www.iccat.int/DocsComm/uploads/2025/COC_319_ENG_20251113153343.docx</vt:lpwstr>
      </vt:variant>
      <vt:variant>
        <vt:lpwstr/>
      </vt:variant>
      <vt:variant>
        <vt:i4>1900612</vt:i4>
      </vt:variant>
      <vt:variant>
        <vt:i4>105</vt:i4>
      </vt:variant>
      <vt:variant>
        <vt:i4>0</vt:i4>
      </vt:variant>
      <vt:variant>
        <vt:i4>5</vt:i4>
      </vt:variant>
      <vt:variant>
        <vt:lpwstr>http://www.tuna-org.org/</vt:lpwstr>
      </vt:variant>
      <vt:variant>
        <vt:lpwstr/>
      </vt:variant>
      <vt:variant>
        <vt:i4>4718610</vt:i4>
      </vt:variant>
      <vt:variant>
        <vt:i4>102</vt:i4>
      </vt:variant>
      <vt:variant>
        <vt:i4>0</vt:i4>
      </vt:variant>
      <vt:variant>
        <vt:i4>5</vt:i4>
      </vt:variant>
      <vt:variant>
        <vt:lpwstr>http://www.iccat.int/</vt:lpwstr>
      </vt:variant>
      <vt:variant>
        <vt:lpwstr/>
      </vt:variant>
      <vt:variant>
        <vt:i4>393245</vt:i4>
      </vt:variant>
      <vt:variant>
        <vt:i4>99</vt:i4>
      </vt:variant>
      <vt:variant>
        <vt:i4>0</vt:i4>
      </vt:variant>
      <vt:variant>
        <vt:i4>5</vt:i4>
      </vt:variant>
      <vt:variant>
        <vt:lpwstr>https://iccat.int/Forms/CP01-VessLst.xlsx</vt:lpwstr>
      </vt:variant>
      <vt:variant>
        <vt:lpwstr/>
      </vt:variant>
      <vt:variant>
        <vt:i4>1835014</vt:i4>
      </vt:variant>
      <vt:variant>
        <vt:i4>96</vt:i4>
      </vt:variant>
      <vt:variant>
        <vt:i4>0</vt:i4>
      </vt:variant>
      <vt:variant>
        <vt:i4>5</vt:i4>
      </vt:variant>
      <vt:variant>
        <vt:lpwstr>https://www.iccat.int/Data/Data_protection_ENG.pdf</vt:lpwstr>
      </vt:variant>
      <vt:variant>
        <vt:lpwstr/>
      </vt:variant>
      <vt:variant>
        <vt:i4>4325408</vt:i4>
      </vt:variant>
      <vt:variant>
        <vt:i4>93</vt:i4>
      </vt:variant>
      <vt:variant>
        <vt:i4>0</vt:i4>
      </vt:variant>
      <vt:variant>
        <vt:i4>5</vt:i4>
      </vt:variant>
      <vt:variant>
        <vt:lpwstr>https://www.iccat.int/DocsComm/uploads/2025/COC_316_ENG_20251115100236.docx</vt:lpwstr>
      </vt:variant>
      <vt:variant>
        <vt:lpwstr/>
      </vt:variant>
      <vt:variant>
        <vt:i4>1507328</vt:i4>
      </vt:variant>
      <vt:variant>
        <vt:i4>90</vt:i4>
      </vt:variant>
      <vt:variant>
        <vt:i4>0</vt:i4>
      </vt:variant>
      <vt:variant>
        <vt:i4>5</vt:i4>
      </vt:variant>
      <vt:variant>
        <vt:lpwstr>https://www.iccat.int/en/submitSTAT.html</vt:lpwstr>
      </vt:variant>
      <vt:variant>
        <vt:lpwstr/>
      </vt:variant>
      <vt:variant>
        <vt:i4>720927</vt:i4>
      </vt:variant>
      <vt:variant>
        <vt:i4>87</vt:i4>
      </vt:variant>
      <vt:variant>
        <vt:i4>0</vt:i4>
      </vt:variant>
      <vt:variant>
        <vt:i4>5</vt:i4>
      </vt:variant>
      <vt:variant>
        <vt:lpwstr>https://www.iccat.int/en/SubmitCOMP.html</vt:lpwstr>
      </vt:variant>
      <vt:variant>
        <vt:lpwstr/>
      </vt:variant>
      <vt:variant>
        <vt:i4>4849700</vt:i4>
      </vt:variant>
      <vt:variant>
        <vt:i4>81</vt:i4>
      </vt:variant>
      <vt:variant>
        <vt:i4>0</vt:i4>
      </vt:variant>
      <vt:variant>
        <vt:i4>5</vt:i4>
      </vt:variant>
      <vt:variant>
        <vt:lpwstr>https://www.iccat.int/DocsComm/uploads/2025/COC_321_ENG_20251113105059.docx</vt:lpwstr>
      </vt:variant>
      <vt:variant>
        <vt:lpwstr/>
      </vt:variant>
      <vt:variant>
        <vt:i4>1310793</vt:i4>
      </vt:variant>
      <vt:variant>
        <vt:i4>78</vt:i4>
      </vt:variant>
      <vt:variant>
        <vt:i4>0</vt:i4>
      </vt:variant>
      <vt:variant>
        <vt:i4>5</vt:i4>
      </vt:variant>
      <vt:variant>
        <vt:lpwstr>https://www.iccat.int/Documents/Meetings/Docs/2025/Reports/2025_WG-ORT_ENG.pdf</vt:lpwstr>
      </vt:variant>
      <vt:variant>
        <vt:lpwstr/>
      </vt:variant>
      <vt:variant>
        <vt:i4>4849700</vt:i4>
      </vt:variant>
      <vt:variant>
        <vt:i4>75</vt:i4>
      </vt:variant>
      <vt:variant>
        <vt:i4>0</vt:i4>
      </vt:variant>
      <vt:variant>
        <vt:i4>5</vt:i4>
      </vt:variant>
      <vt:variant>
        <vt:lpwstr>https://www.iccat.int/DocsComm/uploads/2025/COC_321_ENG_20251113105059.docx</vt:lpwstr>
      </vt:variant>
      <vt:variant>
        <vt:lpwstr/>
      </vt:variant>
      <vt:variant>
        <vt:i4>1835014</vt:i4>
      </vt:variant>
      <vt:variant>
        <vt:i4>72</vt:i4>
      </vt:variant>
      <vt:variant>
        <vt:i4>0</vt:i4>
      </vt:variant>
      <vt:variant>
        <vt:i4>5</vt:i4>
      </vt:variant>
      <vt:variant>
        <vt:lpwstr>https://www.iccat.int/Data/Data_protection_ENG.pdf</vt:lpwstr>
      </vt:variant>
      <vt:variant>
        <vt:lpwstr/>
      </vt:variant>
      <vt:variant>
        <vt:i4>2818095</vt:i4>
      </vt:variant>
      <vt:variant>
        <vt:i4>69</vt:i4>
      </vt:variant>
      <vt:variant>
        <vt:i4>0</vt:i4>
      </vt:variant>
      <vt:variant>
        <vt:i4>5</vt:i4>
      </vt:variant>
      <vt:variant>
        <vt:lpwstr>https://www.iccat.int/en/Ports.asp</vt:lpwstr>
      </vt:variant>
      <vt:variant>
        <vt:lpwstr/>
      </vt:variant>
      <vt:variant>
        <vt:i4>8060939</vt:i4>
      </vt:variant>
      <vt:variant>
        <vt:i4>66</vt:i4>
      </vt:variant>
      <vt:variant>
        <vt:i4>0</vt:i4>
      </vt:variant>
      <vt:variant>
        <vt:i4>5</vt:i4>
      </vt:variant>
      <vt:variant>
        <vt:lpwstr>https://www.iccat.int/Documents/Comply/Guidelines_ENG.pdf</vt:lpwstr>
      </vt:variant>
      <vt:variant>
        <vt:lpwstr/>
      </vt:variant>
      <vt:variant>
        <vt:i4>6750289</vt:i4>
      </vt:variant>
      <vt:variant>
        <vt:i4>63</vt:i4>
      </vt:variant>
      <vt:variant>
        <vt:i4>0</vt:i4>
      </vt:variant>
      <vt:variant>
        <vt:i4>5</vt:i4>
      </vt:variant>
      <vt:variant>
        <vt:lpwstr>https://iccat.int/Forms/CP24-AuthPorts_TRI.xlsx</vt:lpwstr>
      </vt:variant>
      <vt:variant>
        <vt:lpwstr/>
      </vt:variant>
      <vt:variant>
        <vt:i4>4653067</vt:i4>
      </vt:variant>
      <vt:variant>
        <vt:i4>60</vt:i4>
      </vt:variant>
      <vt:variant>
        <vt:i4>0</vt:i4>
      </vt:variant>
      <vt:variant>
        <vt:i4>5</vt:i4>
      </vt:variant>
      <vt:variant>
        <vt:lpwstr>https://www.iccat.int/Documents/Recs/compendiopdf-e/2003-20-e.pdf</vt:lpwstr>
      </vt:variant>
      <vt:variant>
        <vt:lpwstr/>
      </vt:variant>
      <vt:variant>
        <vt:i4>2555949</vt:i4>
      </vt:variant>
      <vt:variant>
        <vt:i4>57</vt:i4>
      </vt:variant>
      <vt:variant>
        <vt:i4>0</vt:i4>
      </vt:variant>
      <vt:variant>
        <vt:i4>5</vt:i4>
      </vt:variant>
      <vt:variant>
        <vt:lpwstr>https://www.iccat.int/en/VesselsRecord.asp</vt:lpwstr>
      </vt:variant>
      <vt:variant>
        <vt:lpwstr/>
      </vt:variant>
      <vt:variant>
        <vt:i4>2097155</vt:i4>
      </vt:variant>
      <vt:variant>
        <vt:i4>54</vt:i4>
      </vt:variant>
      <vt:variant>
        <vt:i4>0</vt:i4>
      </vt:variant>
      <vt:variant>
        <vt:i4>5</vt:i4>
      </vt:variant>
      <vt:variant>
        <vt:lpwstr>https://iccat.int/Forms/CP53-ChartrCP_FS.xlsx</vt:lpwstr>
      </vt:variant>
      <vt:variant>
        <vt:lpwstr/>
      </vt:variant>
      <vt:variant>
        <vt:i4>6422619</vt:i4>
      </vt:variant>
      <vt:variant>
        <vt:i4>51</vt:i4>
      </vt:variant>
      <vt:variant>
        <vt:i4>0</vt:i4>
      </vt:variant>
      <vt:variant>
        <vt:i4>5</vt:i4>
      </vt:variant>
      <vt:variant>
        <vt:lpwstr>https://iccat.int/Forms/CP46-VessTrans_TRI.xlsx</vt:lpwstr>
      </vt:variant>
      <vt:variant>
        <vt:lpwstr/>
      </vt:variant>
      <vt:variant>
        <vt:i4>393245</vt:i4>
      </vt:variant>
      <vt:variant>
        <vt:i4>48</vt:i4>
      </vt:variant>
      <vt:variant>
        <vt:i4>0</vt:i4>
      </vt:variant>
      <vt:variant>
        <vt:i4>5</vt:i4>
      </vt:variant>
      <vt:variant>
        <vt:lpwstr>https://iccat.int/Forms/CP01-VessLst.xlsx</vt:lpwstr>
      </vt:variant>
      <vt:variant>
        <vt:lpwstr/>
      </vt:variant>
      <vt:variant>
        <vt:i4>8060939</vt:i4>
      </vt:variant>
      <vt:variant>
        <vt:i4>45</vt:i4>
      </vt:variant>
      <vt:variant>
        <vt:i4>0</vt:i4>
      </vt:variant>
      <vt:variant>
        <vt:i4>5</vt:i4>
      </vt:variant>
      <vt:variant>
        <vt:lpwstr>https://www.iccat.int/Documents/Comply/Guidelines_ENG.pdf</vt:lpwstr>
      </vt:variant>
      <vt:variant>
        <vt:lpwstr/>
      </vt:variant>
      <vt:variant>
        <vt:i4>1900640</vt:i4>
      </vt:variant>
      <vt:variant>
        <vt:i4>42</vt:i4>
      </vt:variant>
      <vt:variant>
        <vt:i4>0</vt:i4>
      </vt:variant>
      <vt:variant>
        <vt:i4>5</vt:i4>
      </vt:variant>
      <vt:variant>
        <vt:lpwstr>mailto:general@ioms.iccat.int</vt:lpwstr>
      </vt:variant>
      <vt:variant>
        <vt:lpwstr/>
      </vt:variant>
      <vt:variant>
        <vt:i4>3014778</vt:i4>
      </vt:variant>
      <vt:variant>
        <vt:i4>39</vt:i4>
      </vt:variant>
      <vt:variant>
        <vt:i4>0</vt:i4>
      </vt:variant>
      <vt:variant>
        <vt:i4>5</vt:i4>
      </vt:variant>
      <vt:variant>
        <vt:lpwstr>https://kubernetes.io/</vt:lpwstr>
      </vt:variant>
      <vt:variant>
        <vt:lpwstr/>
      </vt:variant>
      <vt:variant>
        <vt:i4>4521998</vt:i4>
      </vt:variant>
      <vt:variant>
        <vt:i4>33</vt:i4>
      </vt:variant>
      <vt:variant>
        <vt:i4>0</vt:i4>
      </vt:variant>
      <vt:variant>
        <vt:i4>5</vt:i4>
      </vt:variant>
      <vt:variant>
        <vt:lpwstr>https://www.iccat.int/Documents/Recs/compendiopdf-e/2022-17-e.pdf</vt:lpwstr>
      </vt:variant>
      <vt:variant>
        <vt:lpwstr/>
      </vt:variant>
      <vt:variant>
        <vt:i4>7929968</vt:i4>
      </vt:variant>
      <vt:variant>
        <vt:i4>30</vt:i4>
      </vt:variant>
      <vt:variant>
        <vt:i4>0</vt:i4>
      </vt:variant>
      <vt:variant>
        <vt:i4>5</vt:i4>
      </vt:variant>
      <vt:variant>
        <vt:lpwstr>https://www.iccat.int/en/IOMS.html</vt:lpwstr>
      </vt:variant>
      <vt:variant>
        <vt:lpwstr/>
      </vt:variant>
      <vt:variant>
        <vt:i4>4259843</vt:i4>
      </vt:variant>
      <vt:variant>
        <vt:i4>27</vt:i4>
      </vt:variant>
      <vt:variant>
        <vt:i4>0</vt:i4>
      </vt:variant>
      <vt:variant>
        <vt:i4>5</vt:i4>
      </vt:variant>
      <vt:variant>
        <vt:lpwstr>https://www.iccat.int/Documents/Recs/compendiopdf-e/2016-19-e.pdf</vt:lpwstr>
      </vt:variant>
      <vt:variant>
        <vt:lpwstr/>
      </vt:variant>
      <vt:variant>
        <vt:i4>7209000</vt:i4>
      </vt:variant>
      <vt:variant>
        <vt:i4>24</vt:i4>
      </vt:variant>
      <vt:variant>
        <vt:i4>0</vt:i4>
      </vt:variant>
      <vt:variant>
        <vt:i4>5</vt:i4>
      </vt:variant>
      <vt:variant>
        <vt:lpwstr>https://ioms.iccat.int/</vt:lpwstr>
      </vt:variant>
      <vt:variant>
        <vt:lpwstr/>
      </vt:variant>
      <vt:variant>
        <vt:i4>2687023</vt:i4>
      </vt:variant>
      <vt:variant>
        <vt:i4>21</vt:i4>
      </vt:variant>
      <vt:variant>
        <vt:i4>0</vt:i4>
      </vt:variant>
      <vt:variant>
        <vt:i4>5</vt:i4>
      </vt:variant>
      <vt:variant>
        <vt:lpwstr>https://sandbox-ioms.iccat.int/</vt:lpwstr>
      </vt:variant>
      <vt:variant>
        <vt:lpwstr/>
      </vt:variant>
      <vt:variant>
        <vt:i4>8126501</vt:i4>
      </vt:variant>
      <vt:variant>
        <vt:i4>18</vt:i4>
      </vt:variant>
      <vt:variant>
        <vt:i4>0</vt:i4>
      </vt:variant>
      <vt:variant>
        <vt:i4>5</vt:i4>
      </vt:variant>
      <vt:variant>
        <vt:lpwstr>https://www.iccat.int/Documents/BienRep/REP_EN_24-25-I-1.pdf</vt:lpwstr>
      </vt:variant>
      <vt:variant>
        <vt:lpwstr/>
      </vt:variant>
      <vt:variant>
        <vt:i4>4390926</vt:i4>
      </vt:variant>
      <vt:variant>
        <vt:i4>15</vt:i4>
      </vt:variant>
      <vt:variant>
        <vt:i4>0</vt:i4>
      </vt:variant>
      <vt:variant>
        <vt:i4>5</vt:i4>
      </vt:variant>
      <vt:variant>
        <vt:lpwstr>https://www.iccat.int/Documents/Recs/compendiopdf-e/2024-17-e.pdf</vt:lpwstr>
      </vt:variant>
      <vt:variant>
        <vt:lpwstr/>
      </vt:variant>
      <vt:variant>
        <vt:i4>4521998</vt:i4>
      </vt:variant>
      <vt:variant>
        <vt:i4>12</vt:i4>
      </vt:variant>
      <vt:variant>
        <vt:i4>0</vt:i4>
      </vt:variant>
      <vt:variant>
        <vt:i4>5</vt:i4>
      </vt:variant>
      <vt:variant>
        <vt:lpwstr>https://www.iccat.int/Documents/Recs/compendiopdf-e/2022-17-e.pdf</vt:lpwstr>
      </vt:variant>
      <vt:variant>
        <vt:lpwstr/>
      </vt:variant>
      <vt:variant>
        <vt:i4>4521993</vt:i4>
      </vt:variant>
      <vt:variant>
        <vt:i4>9</vt:i4>
      </vt:variant>
      <vt:variant>
        <vt:i4>0</vt:i4>
      </vt:variant>
      <vt:variant>
        <vt:i4>5</vt:i4>
      </vt:variant>
      <vt:variant>
        <vt:lpwstr>https://www.iccat.int/Documents/Recs/compendiopdf-e/2021-20-e.pdf</vt:lpwstr>
      </vt:variant>
      <vt:variant>
        <vt:lpwstr/>
      </vt:variant>
      <vt:variant>
        <vt:i4>4259843</vt:i4>
      </vt:variant>
      <vt:variant>
        <vt:i4>6</vt:i4>
      </vt:variant>
      <vt:variant>
        <vt:i4>0</vt:i4>
      </vt:variant>
      <vt:variant>
        <vt:i4>5</vt:i4>
      </vt:variant>
      <vt:variant>
        <vt:lpwstr>https://www.iccat.int/Documents/Recs/compendiopdf-e/2016-19-e.pdf</vt:lpwstr>
      </vt:variant>
      <vt:variant>
        <vt:lpwstr/>
      </vt:variant>
      <vt:variant>
        <vt:i4>327703</vt:i4>
      </vt:variant>
      <vt:variant>
        <vt:i4>3</vt:i4>
      </vt:variant>
      <vt:variant>
        <vt:i4>0</vt:i4>
      </vt:variant>
      <vt:variant>
        <vt:i4>5</vt:i4>
      </vt:variant>
      <vt:variant>
        <vt:lpwstr>https://secretariat.iccat.online/index.php/s/LyFdcxncqaA8fps</vt:lpwstr>
      </vt:variant>
      <vt:variant>
        <vt:lpwstr/>
      </vt:variant>
      <vt:variant>
        <vt:i4>5242919</vt:i4>
      </vt:variant>
      <vt:variant>
        <vt:i4>0</vt:i4>
      </vt:variant>
      <vt:variant>
        <vt:i4>0</vt:i4>
      </vt:variant>
      <vt:variant>
        <vt:i4>5</vt:i4>
      </vt:variant>
      <vt:variant>
        <vt:lpwstr>https://www.iccat.int/Documents/Meetings/Docs/2026/00309-26_ENG.pdf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Palma</dc:creator>
  <cp:keywords/>
  <dc:description/>
  <cp:lastModifiedBy>Marisa de Andrés</cp:lastModifiedBy>
  <cp:revision>3</cp:revision>
  <cp:lastPrinted>2024-05-15T11:32:00Z</cp:lastPrinted>
  <dcterms:created xsi:type="dcterms:W3CDTF">2026-09-29T12:35:00Z</dcterms:created>
  <dcterms:modified xsi:type="dcterms:W3CDTF">2026-09-29T12:35:00Z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2024-05-14T08:33:55Z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afb3bb4b-30af-497c-a208-49e56c0b88e0</vt:lpwstr>
  </property>
  <property fmtid="{D5CDD505-2E9C-101B-9397-08002B2CF9AE}" pid="8" name="MSIP_Label_6bd9ddd1-4d20-43f6-abfa-fc3c07406f94_ContentBits">
    <vt:lpwstr>0</vt:lpwstr>
  </property>
</Properties>
</file>