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3583" w14:textId="77777777" w:rsidR="005672F2" w:rsidRDefault="005672F2" w:rsidP="00AC04A1">
      <w:pPr>
        <w:jc w:val="center"/>
        <w:rPr>
          <w:rFonts w:asciiTheme="majorHAnsi" w:hAnsiTheme="majorHAnsi"/>
          <w:b/>
          <w:iCs/>
        </w:rPr>
      </w:pPr>
    </w:p>
    <w:p w14:paraId="06F31F32" w14:textId="7C1CE947" w:rsidR="00990117" w:rsidRPr="00660F6B" w:rsidRDefault="00990117" w:rsidP="00AC04A1">
      <w:pPr>
        <w:jc w:val="center"/>
        <w:rPr>
          <w:rFonts w:asciiTheme="majorHAnsi" w:hAnsiTheme="majorHAnsi"/>
          <w:b/>
          <w:iCs/>
        </w:rPr>
      </w:pPr>
      <w:r w:rsidRPr="00660F6B">
        <w:rPr>
          <w:rFonts w:asciiTheme="majorHAnsi" w:hAnsiTheme="majorHAnsi"/>
          <w:b/>
          <w:iCs/>
        </w:rPr>
        <w:t>Page de garde accompagnant les nouvelles propositions</w:t>
      </w:r>
    </w:p>
    <w:p w14:paraId="3800881F" w14:textId="77777777" w:rsidR="00990117" w:rsidRPr="00660F6B" w:rsidRDefault="00990117" w:rsidP="00AC04A1">
      <w:pPr>
        <w:jc w:val="center"/>
        <w:rPr>
          <w:rFonts w:asciiTheme="majorHAnsi" w:hAnsiTheme="majorHAnsi"/>
          <w:b/>
          <w:bCs/>
          <w:i/>
          <w:iCs/>
        </w:rPr>
      </w:pPr>
    </w:p>
    <w:p w14:paraId="3EB1864F" w14:textId="22F1B246" w:rsidR="00824C2D" w:rsidRPr="00660F6B" w:rsidRDefault="00C54FF8" w:rsidP="00AC04A1">
      <w:pPr>
        <w:tabs>
          <w:tab w:val="left" w:pos="0"/>
        </w:tabs>
        <w:adjustRightInd w:val="0"/>
        <w:ind w:firstLine="426"/>
        <w:jc w:val="center"/>
        <w:rPr>
          <w:rFonts w:asciiTheme="majorHAnsi" w:hAnsiTheme="majorHAnsi" w:cs="Segoe UI"/>
          <w:i/>
          <w:iCs/>
          <w:color w:val="242424"/>
          <w:shd w:val="clear" w:color="auto" w:fill="FFFFFF"/>
        </w:rPr>
      </w:pPr>
      <w:r w:rsidRPr="00660F6B">
        <w:rPr>
          <w:rFonts w:ascii="Cambria" w:eastAsia="Calibri" w:hAnsi="Cambria" w:cs="Arial"/>
          <w:i/>
          <w:iCs/>
          <w:lang w:eastAsia="en-US"/>
        </w:rPr>
        <w:t>(soumis par l'Égypte avec les commentaires du Belize, du Costa Rica, du Salvador, du Guatemala, du Honduras, du Nicaragua et du Panama)</w:t>
      </w:r>
    </w:p>
    <w:p w14:paraId="5D9E476E" w14:textId="77777777" w:rsidR="00824C2D" w:rsidRPr="00660F6B" w:rsidRDefault="00824C2D" w:rsidP="00AC04A1">
      <w:pPr>
        <w:pStyle w:val="BodyText"/>
        <w:rPr>
          <w:rFonts w:asciiTheme="majorHAnsi" w:hAnsiTheme="majorHAnsi"/>
          <w:b/>
        </w:rPr>
      </w:pPr>
    </w:p>
    <w:p w14:paraId="441A95AC" w14:textId="1992389D" w:rsidR="00C45D8E" w:rsidRPr="00660F6B" w:rsidRDefault="00824C2D" w:rsidP="00C45D8E">
      <w:pPr>
        <w:pStyle w:val="ListParagraph"/>
        <w:widowControl w:val="0"/>
        <w:autoSpaceDE w:val="0"/>
        <w:autoSpaceDN w:val="0"/>
        <w:ind w:left="0" w:hanging="11"/>
        <w:rPr>
          <w:rFonts w:asciiTheme="majorHAnsi" w:hAnsiTheme="majorHAnsi"/>
          <w:color w:val="EE0000"/>
        </w:rPr>
      </w:pPr>
      <w:r w:rsidRPr="00660F6B">
        <w:rPr>
          <w:rFonts w:asciiTheme="majorHAnsi" w:hAnsiTheme="majorHAnsi"/>
          <w:b/>
        </w:rPr>
        <w:t>Titre de la proposition de projet de Recommandation/Résolution</w:t>
      </w:r>
      <w:r w:rsidR="004B3022" w:rsidRPr="00660F6B">
        <w:rPr>
          <w:rFonts w:asciiTheme="majorHAnsi" w:hAnsiTheme="majorHAnsi"/>
          <w:b/>
        </w:rPr>
        <w:t xml:space="preserve"> : </w:t>
      </w:r>
      <w:r w:rsidR="00EC3775" w:rsidRPr="00660F6B">
        <w:rPr>
          <w:rFonts w:asciiTheme="majorHAnsi" w:hAnsiTheme="majorHAnsi"/>
          <w:bCs/>
          <w:color w:val="EE0000"/>
        </w:rPr>
        <w:t>Projet de</w:t>
      </w:r>
      <w:r w:rsidR="00EC3775" w:rsidRPr="00660F6B">
        <w:rPr>
          <w:rFonts w:asciiTheme="majorHAnsi" w:hAnsiTheme="majorHAnsi"/>
          <w:b/>
          <w:color w:val="EE0000"/>
        </w:rPr>
        <w:t xml:space="preserve"> </w:t>
      </w:r>
      <w:r w:rsidR="00EC3775" w:rsidRPr="00660F6B">
        <w:rPr>
          <w:rFonts w:asciiTheme="majorHAnsi" w:hAnsiTheme="majorHAnsi"/>
          <w:color w:val="EE0000"/>
        </w:rPr>
        <w:t>Recommandation de l’ICCAT amendant la Recommandation 20-09 sur l’établissement d’un fonds de participation aux réunions destiné aux Parties contractantes en développement de l’ICCAT</w:t>
      </w:r>
    </w:p>
    <w:p w14:paraId="37E563FA" w14:textId="4AECC465" w:rsidR="00AC04A1" w:rsidRPr="00660F6B" w:rsidRDefault="00AC04A1" w:rsidP="00AC04A1">
      <w:pPr>
        <w:rPr>
          <w:rFonts w:asciiTheme="majorHAnsi" w:hAnsiTheme="majorHAnsi"/>
          <w:bCs/>
          <w:i/>
          <w:iCs/>
          <w:color w:val="EE0000"/>
        </w:rPr>
      </w:pPr>
    </w:p>
    <w:p w14:paraId="213AE4B9" w14:textId="53C35242" w:rsidR="00824C2D" w:rsidRPr="00660F6B" w:rsidRDefault="00824C2D" w:rsidP="00EC3775">
      <w:pPr>
        <w:rPr>
          <w:rFonts w:asciiTheme="majorHAnsi" w:hAnsiTheme="majorHAnsi"/>
          <w:color w:val="EE0000"/>
        </w:rPr>
      </w:pPr>
      <w:r w:rsidRPr="00660F6B">
        <w:rPr>
          <w:rFonts w:asciiTheme="majorHAnsi" w:hAnsiTheme="majorHAnsi"/>
          <w:b/>
        </w:rPr>
        <w:t>Titre de la ou des Recommandations ou Résolutions en vigueur traitant des mêmes questions ou de questions connexes :</w:t>
      </w:r>
      <w:r w:rsidR="00EC3775" w:rsidRPr="00660F6B">
        <w:rPr>
          <w:rFonts w:asciiTheme="majorHAnsi" w:hAnsiTheme="majorHAnsi"/>
          <w:b/>
        </w:rPr>
        <w:t xml:space="preserve"> </w:t>
      </w:r>
      <w:r w:rsidRPr="00660F6B">
        <w:rPr>
          <w:rFonts w:asciiTheme="majorHAnsi" w:hAnsiTheme="majorHAnsi"/>
          <w:i/>
          <w:iCs/>
          <w:color w:val="EE0000"/>
        </w:rPr>
        <w:t>Recommandation de l’ICCAT amendant l</w:t>
      </w:r>
      <w:r w:rsidR="009D28C1" w:rsidRPr="00660F6B">
        <w:rPr>
          <w:rFonts w:asciiTheme="majorHAnsi" w:hAnsiTheme="majorHAnsi"/>
          <w:i/>
          <w:iCs/>
          <w:color w:val="EE0000"/>
        </w:rPr>
        <w:t>a</w:t>
      </w:r>
      <w:r w:rsidRPr="00660F6B">
        <w:rPr>
          <w:rFonts w:asciiTheme="majorHAnsi" w:hAnsiTheme="majorHAnsi"/>
          <w:i/>
          <w:iCs/>
          <w:color w:val="EE0000"/>
        </w:rPr>
        <w:t xml:space="preserve"> </w:t>
      </w:r>
      <w:r w:rsidR="009D28C1" w:rsidRPr="00660F6B">
        <w:rPr>
          <w:rFonts w:asciiTheme="majorHAnsi" w:hAnsiTheme="majorHAnsi"/>
          <w:i/>
          <w:iCs/>
          <w:color w:val="EE0000"/>
        </w:rPr>
        <w:t>R</w:t>
      </w:r>
      <w:r w:rsidRPr="00660F6B">
        <w:rPr>
          <w:rFonts w:asciiTheme="majorHAnsi" w:hAnsiTheme="majorHAnsi"/>
          <w:i/>
          <w:iCs/>
          <w:color w:val="EE0000"/>
        </w:rPr>
        <w:t xml:space="preserve">ecommandation 14-14 sur l’établissement d’un fonds de participation aux réunions destiné aux </w:t>
      </w:r>
      <w:r w:rsidR="006F35B5" w:rsidRPr="00660F6B">
        <w:rPr>
          <w:rFonts w:asciiTheme="majorHAnsi" w:hAnsiTheme="majorHAnsi"/>
          <w:i/>
          <w:iCs/>
          <w:color w:val="EE0000"/>
        </w:rPr>
        <w:t>P</w:t>
      </w:r>
      <w:r w:rsidRPr="00660F6B">
        <w:rPr>
          <w:rFonts w:asciiTheme="majorHAnsi" w:hAnsiTheme="majorHAnsi"/>
          <w:i/>
          <w:iCs/>
          <w:color w:val="EE0000"/>
        </w:rPr>
        <w:t>arties contractantes en développement de l’ICCAT</w:t>
      </w:r>
      <w:r w:rsidR="006F35B5" w:rsidRPr="00660F6B">
        <w:rPr>
          <w:rFonts w:asciiTheme="majorHAnsi" w:hAnsiTheme="majorHAnsi"/>
          <w:color w:val="EE0000"/>
        </w:rPr>
        <w:t xml:space="preserve"> (Rec.</w:t>
      </w:r>
      <w:r w:rsidR="00EC3775" w:rsidRPr="00660F6B">
        <w:rPr>
          <w:rFonts w:asciiTheme="majorHAnsi" w:hAnsiTheme="majorHAnsi"/>
          <w:color w:val="EE0000"/>
        </w:rPr>
        <w:t> </w:t>
      </w:r>
      <w:r w:rsidR="006F35B5" w:rsidRPr="00660F6B">
        <w:rPr>
          <w:rFonts w:asciiTheme="majorHAnsi" w:hAnsiTheme="majorHAnsi"/>
          <w:color w:val="EE0000"/>
        </w:rPr>
        <w:t>20-09)</w:t>
      </w:r>
    </w:p>
    <w:p w14:paraId="745DB531" w14:textId="77777777" w:rsidR="004E010F" w:rsidRPr="00660F6B" w:rsidRDefault="004E010F" w:rsidP="004E010F">
      <w:pPr>
        <w:pStyle w:val="ListParagraph"/>
        <w:widowControl w:val="0"/>
        <w:autoSpaceDE w:val="0"/>
        <w:autoSpaceDN w:val="0"/>
        <w:ind w:left="360"/>
        <w:rPr>
          <w:rFonts w:asciiTheme="majorHAnsi" w:hAnsiTheme="majorHAnsi"/>
        </w:rPr>
      </w:pPr>
    </w:p>
    <w:p w14:paraId="2732C274" w14:textId="1AABDA51" w:rsidR="00824C2D" w:rsidRPr="00660F6B" w:rsidRDefault="00824C2D" w:rsidP="00AC04A1">
      <w:pPr>
        <w:pStyle w:val="ListParagraph"/>
        <w:widowControl w:val="0"/>
        <w:numPr>
          <w:ilvl w:val="0"/>
          <w:numId w:val="6"/>
        </w:numPr>
        <w:autoSpaceDE w:val="0"/>
        <w:autoSpaceDN w:val="0"/>
        <w:ind w:left="360"/>
        <w:rPr>
          <w:rFonts w:asciiTheme="majorHAnsi" w:hAnsiTheme="majorHAnsi"/>
        </w:rPr>
      </w:pPr>
      <w:r w:rsidRPr="00660F6B">
        <w:rPr>
          <w:rFonts w:asciiTheme="majorHAnsi" w:hAnsiTheme="majorHAnsi"/>
        </w:rPr>
        <w:t xml:space="preserve">Cela crée-t-il de nouvelles </w:t>
      </w:r>
      <w:r w:rsidRPr="00660F6B">
        <w:rPr>
          <w:rFonts w:asciiTheme="majorHAnsi" w:hAnsiTheme="majorHAnsi"/>
          <w:b/>
        </w:rPr>
        <w:t xml:space="preserve">obligations de déclaration </w:t>
      </w:r>
      <w:r w:rsidRPr="00660F6B">
        <w:rPr>
          <w:rFonts w:asciiTheme="majorHAnsi" w:hAnsiTheme="majorHAnsi"/>
        </w:rPr>
        <w:t xml:space="preserve">pour les CPC ?     </w:t>
      </w:r>
      <w:r w:rsidR="009D114F" w:rsidRPr="00660F6B">
        <w:rPr>
          <w:rFonts w:asciiTheme="majorHAnsi" w:hAnsiTheme="majorHAnsi"/>
        </w:rPr>
        <w:t xml:space="preserve">Oui </w:t>
      </w:r>
      <w:r w:rsidR="009D114F" w:rsidRPr="00660F6B">
        <w:rPr>
          <w:rFonts w:ascii="Segoe UI Symbol" w:eastAsia="MS Gothic" w:hAnsi="Segoe UI Symbol" w:cs="Segoe UI Symbol"/>
        </w:rPr>
        <w:t>☐</w:t>
      </w:r>
      <w:r w:rsidR="009D114F" w:rsidRPr="00660F6B">
        <w:rPr>
          <w:rFonts w:asciiTheme="majorHAnsi" w:hAnsiTheme="majorHAnsi"/>
        </w:rPr>
        <w:t xml:space="preserve"> </w:t>
      </w:r>
      <w:r w:rsidR="009D114F" w:rsidRPr="00660F6B">
        <w:rPr>
          <w:rFonts w:asciiTheme="majorHAnsi" w:hAnsiTheme="majorHAnsi"/>
          <w:color w:val="FF0000"/>
        </w:rPr>
        <w:t xml:space="preserve">Non </w:t>
      </w:r>
      <w:r w:rsidR="009D114F" w:rsidRPr="00660F6B">
        <w:rPr>
          <w:rFonts w:ascii="Segoe UI Symbol" w:eastAsia="MS Gothic" w:hAnsi="Segoe UI Symbol" w:cs="Segoe UI Symbol"/>
          <w:color w:val="FF0000"/>
        </w:rPr>
        <w:t>☒</w:t>
      </w:r>
      <w:r w:rsidR="009D114F" w:rsidRPr="00660F6B">
        <w:rPr>
          <w:rFonts w:asciiTheme="majorHAnsi" w:hAnsiTheme="majorHAnsi"/>
          <w:color w:val="FF0000"/>
        </w:rPr>
        <w:t xml:space="preserve"> </w:t>
      </w:r>
      <w:r w:rsidRPr="00660F6B">
        <w:rPr>
          <w:rFonts w:asciiTheme="majorHAnsi" w:hAnsiTheme="majorHAnsi"/>
          <w:color w:val="EE0000"/>
        </w:rPr>
        <w:t xml:space="preserve"> </w:t>
      </w:r>
    </w:p>
    <w:p w14:paraId="55EFABCD" w14:textId="77777777" w:rsidR="004E010F" w:rsidRPr="00660F6B" w:rsidRDefault="004E010F" w:rsidP="004E010F">
      <w:pPr>
        <w:pStyle w:val="ListParagraph"/>
        <w:widowControl w:val="0"/>
        <w:autoSpaceDE w:val="0"/>
        <w:autoSpaceDN w:val="0"/>
        <w:ind w:left="360"/>
        <w:rPr>
          <w:rFonts w:asciiTheme="majorHAnsi" w:hAnsiTheme="majorHAnsi"/>
        </w:rPr>
      </w:pPr>
    </w:p>
    <w:p w14:paraId="5DE09F3F" w14:textId="72FA67F9" w:rsidR="00773A1E" w:rsidRPr="00660F6B" w:rsidRDefault="0018330F" w:rsidP="004E010F">
      <w:pPr>
        <w:pStyle w:val="ListParagraph"/>
        <w:widowControl w:val="0"/>
        <w:autoSpaceDE w:val="0"/>
        <w:autoSpaceDN w:val="0"/>
        <w:ind w:left="360"/>
        <w:rPr>
          <w:rFonts w:asciiTheme="majorHAnsi" w:hAnsiTheme="majorHAnsi"/>
        </w:rPr>
      </w:pPr>
      <w:r w:rsidRPr="00660F6B">
        <w:rPr>
          <w:rFonts w:asciiTheme="majorHAnsi" w:hAnsiTheme="majorHAnsi"/>
        </w:rPr>
        <w:t xml:space="preserve">Brève description de la ou des nouvelle(s) obligation(s) de déclaration : </w:t>
      </w:r>
      <w:r w:rsidR="00394C70" w:rsidRPr="00660F6B">
        <w:rPr>
          <w:rFonts w:asciiTheme="majorHAnsi" w:hAnsiTheme="majorHAnsi"/>
          <w:color w:val="EE0000"/>
        </w:rPr>
        <w:t>Néant</w:t>
      </w:r>
    </w:p>
    <w:p w14:paraId="6FEDAB6B" w14:textId="77777777" w:rsidR="00394C70" w:rsidRPr="00660F6B" w:rsidRDefault="00394C70" w:rsidP="004E010F">
      <w:pPr>
        <w:pStyle w:val="ListParagraph"/>
        <w:widowControl w:val="0"/>
        <w:autoSpaceDE w:val="0"/>
        <w:autoSpaceDN w:val="0"/>
        <w:ind w:left="360"/>
        <w:rPr>
          <w:rFonts w:asciiTheme="majorHAnsi" w:hAnsiTheme="majorHAnsi"/>
        </w:rPr>
      </w:pPr>
    </w:p>
    <w:p w14:paraId="54446916" w14:textId="0DA897CE" w:rsidR="009368DB" w:rsidRPr="00660F6B" w:rsidRDefault="00824C2D" w:rsidP="00AC04A1">
      <w:pPr>
        <w:pStyle w:val="ListParagraph"/>
        <w:widowControl w:val="0"/>
        <w:numPr>
          <w:ilvl w:val="0"/>
          <w:numId w:val="6"/>
        </w:numPr>
        <w:autoSpaceDE w:val="0"/>
        <w:autoSpaceDN w:val="0"/>
        <w:ind w:left="360"/>
        <w:rPr>
          <w:rFonts w:asciiTheme="majorHAnsi" w:hAnsiTheme="majorHAnsi"/>
          <w:color w:val="EE0000"/>
        </w:rPr>
      </w:pPr>
      <w:r w:rsidRPr="00660F6B">
        <w:rPr>
          <w:rFonts w:asciiTheme="majorHAnsi" w:hAnsiTheme="majorHAnsi"/>
        </w:rPr>
        <w:t xml:space="preserve">Cela nécessite-t-il une contribution ou un </w:t>
      </w:r>
      <w:r w:rsidRPr="00660F6B">
        <w:rPr>
          <w:rFonts w:asciiTheme="majorHAnsi" w:hAnsiTheme="majorHAnsi"/>
          <w:b/>
        </w:rPr>
        <w:t>travail</w:t>
      </w:r>
      <w:r w:rsidRPr="00660F6B">
        <w:rPr>
          <w:rFonts w:asciiTheme="majorHAnsi" w:hAnsiTheme="majorHAnsi"/>
        </w:rPr>
        <w:t xml:space="preserve"> supplémentaire </w:t>
      </w:r>
      <w:r w:rsidRPr="00660F6B">
        <w:rPr>
          <w:rFonts w:asciiTheme="majorHAnsi" w:hAnsiTheme="majorHAnsi"/>
          <w:b/>
        </w:rPr>
        <w:t>de la part du SCRS</w:t>
      </w:r>
      <w:r w:rsidRPr="00660F6B">
        <w:rPr>
          <w:rFonts w:asciiTheme="majorHAnsi" w:hAnsiTheme="majorHAnsi"/>
        </w:rPr>
        <w:t xml:space="preserve"> ? </w:t>
      </w:r>
      <w:r w:rsidR="007D5393" w:rsidRPr="00660F6B">
        <w:rPr>
          <w:rFonts w:asciiTheme="majorHAnsi" w:hAnsiTheme="majorHAnsi"/>
        </w:rPr>
        <w:t xml:space="preserve">Oui </w:t>
      </w:r>
      <w:r w:rsidR="007D5393" w:rsidRPr="00660F6B">
        <w:rPr>
          <w:rFonts w:ascii="Segoe UI Symbol" w:eastAsia="MS Gothic" w:hAnsi="Segoe UI Symbol" w:cs="Segoe UI Symbol"/>
        </w:rPr>
        <w:t>☐</w:t>
      </w:r>
      <w:r w:rsidR="007D5393" w:rsidRPr="00660F6B">
        <w:rPr>
          <w:rFonts w:asciiTheme="majorHAnsi" w:hAnsiTheme="majorHAnsi"/>
        </w:rPr>
        <w:t xml:space="preserve"> </w:t>
      </w:r>
      <w:r w:rsidR="007D5393" w:rsidRPr="00660F6B">
        <w:rPr>
          <w:rFonts w:asciiTheme="majorHAnsi" w:hAnsiTheme="majorHAnsi"/>
          <w:color w:val="FF0000"/>
        </w:rPr>
        <w:t xml:space="preserve">Non </w:t>
      </w:r>
      <w:r w:rsidR="007D5393" w:rsidRPr="00660F6B">
        <w:rPr>
          <w:rFonts w:ascii="Segoe UI Symbol" w:eastAsia="MS Gothic" w:hAnsi="Segoe UI Symbol" w:cs="Segoe UI Symbol"/>
          <w:color w:val="FF0000"/>
        </w:rPr>
        <w:t>☒</w:t>
      </w:r>
      <w:r w:rsidR="007D5393" w:rsidRPr="00660F6B">
        <w:rPr>
          <w:rFonts w:asciiTheme="majorHAnsi" w:hAnsiTheme="majorHAnsi"/>
          <w:color w:val="FF0000"/>
        </w:rPr>
        <w:t xml:space="preserve"> </w:t>
      </w:r>
      <w:r w:rsidR="007D5393" w:rsidRPr="00660F6B">
        <w:rPr>
          <w:rFonts w:asciiTheme="majorHAnsi" w:hAnsiTheme="majorHAnsi"/>
          <w:color w:val="EE0000"/>
        </w:rPr>
        <w:t xml:space="preserve"> </w:t>
      </w:r>
    </w:p>
    <w:p w14:paraId="4C4CDDE8" w14:textId="77777777" w:rsidR="007D5393" w:rsidRPr="00660F6B" w:rsidRDefault="007D5393" w:rsidP="00AC04A1">
      <w:pPr>
        <w:ind w:left="360"/>
        <w:rPr>
          <w:rFonts w:asciiTheme="majorHAnsi" w:hAnsiTheme="majorHAnsi"/>
        </w:rPr>
      </w:pPr>
    </w:p>
    <w:p w14:paraId="6E38448C" w14:textId="0AADC15C" w:rsidR="00824C2D" w:rsidRPr="00660F6B" w:rsidRDefault="00824C2D" w:rsidP="00AC04A1">
      <w:pPr>
        <w:ind w:left="360"/>
        <w:rPr>
          <w:rFonts w:asciiTheme="majorHAnsi" w:hAnsiTheme="majorHAnsi"/>
        </w:rPr>
      </w:pPr>
      <w:r w:rsidRPr="00660F6B">
        <w:rPr>
          <w:rFonts w:asciiTheme="majorHAnsi" w:hAnsiTheme="majorHAnsi"/>
        </w:rPr>
        <w:t xml:space="preserve">Ce travail est-il déjà inclus dans le plan de travail actuel du SCRS ? </w:t>
      </w:r>
      <w:r w:rsidR="00AF03D0" w:rsidRPr="00660F6B">
        <w:rPr>
          <w:rFonts w:asciiTheme="majorHAnsi" w:hAnsiTheme="majorHAnsi"/>
        </w:rPr>
        <w:t xml:space="preserve">Oui </w:t>
      </w:r>
      <w:r w:rsidR="00AF03D0" w:rsidRPr="00660F6B">
        <w:rPr>
          <w:rFonts w:ascii="Segoe UI Symbol" w:eastAsia="MS Gothic" w:hAnsi="Segoe UI Symbol" w:cs="Segoe UI Symbol"/>
        </w:rPr>
        <w:t>☐</w:t>
      </w:r>
      <w:r w:rsidR="00AF03D0" w:rsidRPr="00660F6B">
        <w:rPr>
          <w:rFonts w:asciiTheme="majorHAnsi" w:hAnsiTheme="majorHAnsi"/>
        </w:rPr>
        <w:t xml:space="preserve"> </w:t>
      </w:r>
      <w:r w:rsidR="00AF03D0" w:rsidRPr="00660F6B">
        <w:rPr>
          <w:rFonts w:asciiTheme="majorHAnsi" w:hAnsiTheme="majorHAnsi"/>
          <w:color w:val="FF0000"/>
        </w:rPr>
        <w:t xml:space="preserve">Non </w:t>
      </w:r>
      <w:r w:rsidR="00AF03D0" w:rsidRPr="00660F6B">
        <w:rPr>
          <w:rFonts w:ascii="Segoe UI Symbol" w:eastAsia="MS Gothic" w:hAnsi="Segoe UI Symbol" w:cs="Segoe UI Symbol"/>
          <w:color w:val="FF0000"/>
        </w:rPr>
        <w:t>☒</w:t>
      </w:r>
      <w:r w:rsidR="00AF03D0" w:rsidRPr="00660F6B">
        <w:rPr>
          <w:rFonts w:asciiTheme="majorHAnsi" w:hAnsiTheme="majorHAnsi"/>
          <w:color w:val="FF0000"/>
        </w:rPr>
        <w:t xml:space="preserve"> </w:t>
      </w:r>
      <w:r w:rsidR="00AF03D0" w:rsidRPr="00660F6B">
        <w:rPr>
          <w:rFonts w:asciiTheme="majorHAnsi" w:hAnsiTheme="majorHAnsi"/>
          <w:color w:val="EE0000"/>
        </w:rPr>
        <w:t xml:space="preserve"> </w:t>
      </w:r>
    </w:p>
    <w:p w14:paraId="0D928EAA" w14:textId="77777777" w:rsidR="004E010F" w:rsidRPr="00660F6B" w:rsidRDefault="004E010F" w:rsidP="00AC04A1">
      <w:pPr>
        <w:ind w:left="360"/>
        <w:rPr>
          <w:rFonts w:asciiTheme="majorHAnsi" w:hAnsiTheme="majorHAnsi"/>
        </w:rPr>
      </w:pPr>
    </w:p>
    <w:p w14:paraId="134AA640" w14:textId="021FDBBF" w:rsidR="007B7EE9" w:rsidRPr="00660F6B" w:rsidRDefault="007B7EE9" w:rsidP="00AC04A1">
      <w:pPr>
        <w:ind w:left="360"/>
        <w:rPr>
          <w:rFonts w:asciiTheme="majorHAnsi" w:hAnsiTheme="majorHAnsi"/>
        </w:rPr>
      </w:pPr>
      <w:r w:rsidRPr="00660F6B">
        <w:rPr>
          <w:rFonts w:asciiTheme="majorHAnsi" w:hAnsiTheme="majorHAnsi"/>
        </w:rPr>
        <w:t xml:space="preserve">Brève description des nouveaux travaux scientifiques requis (évaluation des stocks, analyse, consultant externe) : </w:t>
      </w:r>
      <w:r w:rsidRPr="00660F6B">
        <w:rPr>
          <w:rFonts w:asciiTheme="majorHAnsi" w:hAnsiTheme="majorHAnsi"/>
          <w:color w:val="EE0000"/>
        </w:rPr>
        <w:t>Néant</w:t>
      </w:r>
      <w:r w:rsidRPr="00660F6B">
        <w:rPr>
          <w:rFonts w:asciiTheme="majorHAnsi" w:hAnsiTheme="majorHAnsi"/>
        </w:rPr>
        <w:t>.</w:t>
      </w:r>
    </w:p>
    <w:p w14:paraId="63CDEA1B" w14:textId="77777777" w:rsidR="00F652D9" w:rsidRPr="00660F6B" w:rsidRDefault="00F652D9" w:rsidP="00AC04A1">
      <w:pPr>
        <w:ind w:left="360"/>
        <w:rPr>
          <w:rFonts w:asciiTheme="majorHAnsi" w:hAnsiTheme="majorHAnsi"/>
        </w:rPr>
      </w:pPr>
    </w:p>
    <w:p w14:paraId="42F04006" w14:textId="77777777" w:rsidR="00F652D9" w:rsidRPr="00660F6B" w:rsidRDefault="00824C2D" w:rsidP="00BD5DA1">
      <w:pPr>
        <w:pStyle w:val="ListParagraph"/>
        <w:widowControl w:val="0"/>
        <w:numPr>
          <w:ilvl w:val="0"/>
          <w:numId w:val="6"/>
        </w:numPr>
        <w:autoSpaceDE w:val="0"/>
        <w:autoSpaceDN w:val="0"/>
        <w:ind w:left="360"/>
        <w:rPr>
          <w:rFonts w:asciiTheme="majorHAnsi" w:hAnsiTheme="majorHAnsi"/>
          <w:color w:val="EE0000"/>
        </w:rPr>
      </w:pPr>
      <w:r w:rsidRPr="00660F6B">
        <w:rPr>
          <w:rFonts w:asciiTheme="majorHAnsi" w:hAnsiTheme="majorHAnsi"/>
        </w:rPr>
        <w:t xml:space="preserve">Cela implique-t-il la création d'un </w:t>
      </w:r>
      <w:r w:rsidRPr="00660F6B">
        <w:rPr>
          <w:rFonts w:asciiTheme="majorHAnsi" w:hAnsiTheme="majorHAnsi"/>
          <w:b/>
        </w:rPr>
        <w:t xml:space="preserve">nouveau groupe de travail ou d'un processus intersessions </w:t>
      </w:r>
      <w:r w:rsidRPr="00660F6B">
        <w:rPr>
          <w:rFonts w:asciiTheme="majorHAnsi" w:hAnsiTheme="majorHAnsi"/>
        </w:rPr>
        <w:t xml:space="preserve">?  </w:t>
      </w:r>
    </w:p>
    <w:p w14:paraId="722D2813" w14:textId="30A4F24D" w:rsidR="004E010F" w:rsidRPr="00660F6B" w:rsidRDefault="00F652D9" w:rsidP="00F652D9">
      <w:pPr>
        <w:pStyle w:val="ListParagraph"/>
        <w:widowControl w:val="0"/>
        <w:autoSpaceDE w:val="0"/>
        <w:autoSpaceDN w:val="0"/>
        <w:ind w:left="360"/>
        <w:rPr>
          <w:rFonts w:asciiTheme="majorHAnsi" w:hAnsiTheme="majorHAnsi"/>
        </w:rPr>
      </w:pPr>
      <w:r w:rsidRPr="00660F6B">
        <w:rPr>
          <w:rFonts w:asciiTheme="majorHAnsi" w:hAnsiTheme="majorHAnsi"/>
        </w:rPr>
        <w:t xml:space="preserve">Oui </w:t>
      </w:r>
      <w:r w:rsidRPr="00660F6B">
        <w:rPr>
          <w:rFonts w:ascii="Segoe UI Symbol" w:eastAsia="MS Gothic" w:hAnsi="Segoe UI Symbol" w:cs="Segoe UI Symbol"/>
        </w:rPr>
        <w:t>☐</w:t>
      </w:r>
      <w:r w:rsidRPr="00660F6B">
        <w:rPr>
          <w:rFonts w:asciiTheme="majorHAnsi" w:hAnsiTheme="majorHAnsi"/>
        </w:rPr>
        <w:t xml:space="preserve"> </w:t>
      </w:r>
      <w:r w:rsidRPr="00660F6B">
        <w:rPr>
          <w:rFonts w:asciiTheme="majorHAnsi" w:hAnsiTheme="majorHAnsi"/>
          <w:color w:val="FF0000"/>
        </w:rPr>
        <w:t xml:space="preserve">Non </w:t>
      </w:r>
      <w:r w:rsidRPr="00660F6B">
        <w:rPr>
          <w:rFonts w:ascii="Segoe UI Symbol" w:eastAsia="MS Gothic" w:hAnsi="Segoe UI Symbol" w:cs="Segoe UI Symbol"/>
          <w:color w:val="FF0000"/>
        </w:rPr>
        <w:t>☒</w:t>
      </w:r>
      <w:r w:rsidRPr="00660F6B">
        <w:rPr>
          <w:rFonts w:asciiTheme="majorHAnsi" w:hAnsiTheme="majorHAnsi"/>
          <w:color w:val="FF0000"/>
        </w:rPr>
        <w:t xml:space="preserve"> </w:t>
      </w:r>
      <w:r w:rsidRPr="00660F6B">
        <w:rPr>
          <w:rFonts w:asciiTheme="majorHAnsi" w:hAnsiTheme="majorHAnsi"/>
          <w:color w:val="EE0000"/>
        </w:rPr>
        <w:t xml:space="preserve"> </w:t>
      </w:r>
      <w:r w:rsidR="00824C2D" w:rsidRPr="00660F6B">
        <w:rPr>
          <w:rFonts w:asciiTheme="majorHAnsi" w:hAnsiTheme="majorHAnsi"/>
        </w:rPr>
        <w:t xml:space="preserve"> </w:t>
      </w:r>
    </w:p>
    <w:p w14:paraId="50964284" w14:textId="77777777" w:rsidR="00CB0FE2" w:rsidRPr="00660F6B" w:rsidRDefault="00CB0FE2" w:rsidP="00F652D9">
      <w:pPr>
        <w:pStyle w:val="ListParagraph"/>
        <w:widowControl w:val="0"/>
        <w:autoSpaceDE w:val="0"/>
        <w:autoSpaceDN w:val="0"/>
        <w:ind w:left="360"/>
        <w:rPr>
          <w:rFonts w:asciiTheme="majorHAnsi" w:hAnsiTheme="majorHAnsi"/>
          <w:color w:val="EE0000"/>
        </w:rPr>
      </w:pPr>
    </w:p>
    <w:p w14:paraId="22601898" w14:textId="77777777" w:rsidR="00DC6334" w:rsidRPr="00660F6B" w:rsidRDefault="00824C2D" w:rsidP="00BB625F">
      <w:pPr>
        <w:pStyle w:val="ListParagraph"/>
        <w:widowControl w:val="0"/>
        <w:numPr>
          <w:ilvl w:val="0"/>
          <w:numId w:val="6"/>
        </w:numPr>
        <w:autoSpaceDE w:val="0"/>
        <w:autoSpaceDN w:val="0"/>
        <w:ind w:left="360"/>
        <w:rPr>
          <w:rFonts w:asciiTheme="majorHAnsi" w:hAnsiTheme="majorHAnsi"/>
        </w:rPr>
      </w:pPr>
      <w:r w:rsidRPr="00660F6B">
        <w:rPr>
          <w:rFonts w:asciiTheme="majorHAnsi" w:hAnsiTheme="majorHAnsi"/>
        </w:rPr>
        <w:t xml:space="preserve">Cela nécessite-t-il un nouveau </w:t>
      </w:r>
      <w:r w:rsidRPr="00660F6B">
        <w:rPr>
          <w:rFonts w:asciiTheme="majorHAnsi" w:hAnsiTheme="majorHAnsi"/>
          <w:b/>
        </w:rPr>
        <w:t xml:space="preserve">programme ou des activités supplémentaires à gérer par le Secrétariat </w:t>
      </w:r>
      <w:r w:rsidRPr="00660F6B">
        <w:rPr>
          <w:rFonts w:asciiTheme="majorHAnsi" w:hAnsiTheme="majorHAnsi"/>
        </w:rPr>
        <w:t xml:space="preserve">?  </w:t>
      </w:r>
      <w:r w:rsidR="00DC6334" w:rsidRPr="00660F6B">
        <w:rPr>
          <w:rFonts w:asciiTheme="majorHAnsi" w:hAnsiTheme="majorHAnsi"/>
        </w:rPr>
        <w:t xml:space="preserve">Oui </w:t>
      </w:r>
      <w:r w:rsidR="00DC6334" w:rsidRPr="00660F6B">
        <w:rPr>
          <w:rFonts w:ascii="Segoe UI Symbol" w:eastAsia="MS Gothic" w:hAnsi="Segoe UI Symbol" w:cs="Segoe UI Symbol"/>
        </w:rPr>
        <w:t>☐</w:t>
      </w:r>
      <w:r w:rsidR="00DC6334" w:rsidRPr="00660F6B">
        <w:rPr>
          <w:rFonts w:asciiTheme="majorHAnsi" w:hAnsiTheme="majorHAnsi"/>
        </w:rPr>
        <w:t xml:space="preserve"> </w:t>
      </w:r>
      <w:r w:rsidR="00DC6334" w:rsidRPr="00660F6B">
        <w:rPr>
          <w:rFonts w:asciiTheme="majorHAnsi" w:hAnsiTheme="majorHAnsi"/>
          <w:color w:val="FF0000"/>
        </w:rPr>
        <w:t xml:space="preserve">Non </w:t>
      </w:r>
      <w:r w:rsidR="00DC6334" w:rsidRPr="00660F6B">
        <w:rPr>
          <w:rFonts w:ascii="Segoe UI Symbol" w:eastAsia="MS Gothic" w:hAnsi="Segoe UI Symbol" w:cs="Segoe UI Symbol"/>
          <w:color w:val="FF0000"/>
        </w:rPr>
        <w:t>☒</w:t>
      </w:r>
      <w:r w:rsidR="00DC6334" w:rsidRPr="00660F6B">
        <w:rPr>
          <w:rFonts w:asciiTheme="majorHAnsi" w:hAnsiTheme="majorHAnsi"/>
          <w:color w:val="FF0000"/>
        </w:rPr>
        <w:t xml:space="preserve"> </w:t>
      </w:r>
      <w:r w:rsidR="00DC6334" w:rsidRPr="00660F6B">
        <w:rPr>
          <w:rFonts w:asciiTheme="majorHAnsi" w:hAnsiTheme="majorHAnsi"/>
          <w:color w:val="EE0000"/>
        </w:rPr>
        <w:t xml:space="preserve"> </w:t>
      </w:r>
      <w:r w:rsidR="00DC6334" w:rsidRPr="00660F6B">
        <w:rPr>
          <w:rFonts w:asciiTheme="majorHAnsi" w:hAnsiTheme="majorHAnsi"/>
        </w:rPr>
        <w:t xml:space="preserve"> </w:t>
      </w:r>
    </w:p>
    <w:p w14:paraId="3AF72286" w14:textId="77777777" w:rsidR="00824C2D" w:rsidRPr="00660F6B" w:rsidRDefault="00824C2D" w:rsidP="00AC04A1">
      <w:pPr>
        <w:ind w:left="318"/>
        <w:rPr>
          <w:rFonts w:asciiTheme="majorHAnsi" w:hAnsiTheme="majorHAnsi"/>
        </w:rPr>
      </w:pPr>
    </w:p>
    <w:p w14:paraId="35F43B1C" w14:textId="1BC7263C" w:rsidR="00824C2D" w:rsidRPr="00660F6B" w:rsidRDefault="00824C2D" w:rsidP="00AC04A1">
      <w:pPr>
        <w:ind w:left="360"/>
        <w:rPr>
          <w:rFonts w:asciiTheme="majorHAnsi" w:hAnsiTheme="majorHAnsi"/>
          <w:spacing w:val="-2"/>
        </w:rPr>
      </w:pPr>
      <w:r w:rsidRPr="00660F6B">
        <w:rPr>
          <w:rFonts w:asciiTheme="majorHAnsi" w:hAnsiTheme="majorHAnsi"/>
        </w:rPr>
        <w:t xml:space="preserve">Brève description du nouveau travail requis pour le Secrétariat : </w:t>
      </w:r>
      <w:r w:rsidR="00A95140" w:rsidRPr="00660F6B">
        <w:rPr>
          <w:rFonts w:asciiTheme="majorHAnsi" w:hAnsiTheme="majorHAnsi"/>
          <w:color w:val="EE0000"/>
        </w:rPr>
        <w:t>Néant</w:t>
      </w:r>
    </w:p>
    <w:p w14:paraId="758C5F22" w14:textId="77777777" w:rsidR="00824C2D" w:rsidRPr="00660F6B" w:rsidRDefault="00824C2D" w:rsidP="00AC04A1">
      <w:pPr>
        <w:rPr>
          <w:rFonts w:asciiTheme="majorHAnsi" w:hAnsiTheme="majorHAnsi"/>
          <w:spacing w:val="-2"/>
        </w:rPr>
      </w:pPr>
    </w:p>
    <w:p w14:paraId="252AA3DF" w14:textId="77777777" w:rsidR="00824C2D" w:rsidRPr="00660F6B" w:rsidRDefault="00824C2D" w:rsidP="00AC04A1">
      <w:pPr>
        <w:pStyle w:val="ListParagraph"/>
        <w:widowControl w:val="0"/>
        <w:numPr>
          <w:ilvl w:val="0"/>
          <w:numId w:val="6"/>
        </w:numPr>
        <w:autoSpaceDE w:val="0"/>
        <w:autoSpaceDN w:val="0"/>
        <w:ind w:left="360"/>
        <w:rPr>
          <w:rFonts w:asciiTheme="majorHAnsi" w:hAnsiTheme="majorHAnsi"/>
          <w:spacing w:val="-2"/>
        </w:rPr>
      </w:pPr>
      <w:r w:rsidRPr="00660F6B">
        <w:rPr>
          <w:rFonts w:asciiTheme="majorHAnsi" w:hAnsiTheme="majorHAnsi"/>
        </w:rPr>
        <w:t>Quel est le calendrier proposé pour la mise en œuvre, et existe-t-il des calendriers spécifiques différents pour certaines CPC, pêcheries, régions, etc. ?</w:t>
      </w:r>
    </w:p>
    <w:p w14:paraId="1C8C8B6D" w14:textId="77777777" w:rsidR="004E010F" w:rsidRPr="00660F6B" w:rsidRDefault="004E010F" w:rsidP="004E010F">
      <w:pPr>
        <w:pStyle w:val="ListParagraph"/>
        <w:widowControl w:val="0"/>
        <w:autoSpaceDE w:val="0"/>
        <w:autoSpaceDN w:val="0"/>
        <w:ind w:left="360"/>
        <w:rPr>
          <w:rFonts w:asciiTheme="majorHAnsi" w:hAnsiTheme="majorHAnsi"/>
          <w:spacing w:val="-2"/>
        </w:rPr>
      </w:pPr>
    </w:p>
    <w:p w14:paraId="1EA02EF9" w14:textId="5105C83D" w:rsidR="00824C2D" w:rsidRPr="00660F6B" w:rsidRDefault="00DE5E1C" w:rsidP="00DE5E1C">
      <w:pPr>
        <w:ind w:firstLine="360"/>
        <w:rPr>
          <w:rFonts w:asciiTheme="majorHAnsi" w:hAnsiTheme="majorHAnsi"/>
          <w:color w:val="EE0000"/>
        </w:rPr>
      </w:pPr>
      <w:r w:rsidRPr="00660F6B">
        <w:rPr>
          <w:rFonts w:asciiTheme="majorHAnsi" w:hAnsiTheme="majorHAnsi"/>
          <w:color w:val="EE0000"/>
        </w:rPr>
        <w:t>Dès que la proposition aura fait l'objet d'un consensus entre les CPC.</w:t>
      </w:r>
    </w:p>
    <w:p w14:paraId="49001DC1" w14:textId="77777777" w:rsidR="001622D1" w:rsidRPr="00660F6B" w:rsidRDefault="001622D1" w:rsidP="00DE5E1C">
      <w:pPr>
        <w:ind w:firstLine="360"/>
        <w:rPr>
          <w:rFonts w:asciiTheme="majorHAnsi" w:hAnsiTheme="majorHAnsi"/>
          <w:spacing w:val="-2"/>
        </w:rPr>
      </w:pPr>
    </w:p>
    <w:p w14:paraId="0236CFD1" w14:textId="77777777" w:rsidR="00824C2D" w:rsidRPr="00660F6B" w:rsidRDefault="00824C2D" w:rsidP="00AC04A1">
      <w:pPr>
        <w:pStyle w:val="ListParagraph"/>
        <w:widowControl w:val="0"/>
        <w:numPr>
          <w:ilvl w:val="0"/>
          <w:numId w:val="6"/>
        </w:numPr>
        <w:autoSpaceDE w:val="0"/>
        <w:autoSpaceDN w:val="0"/>
        <w:ind w:left="360"/>
        <w:rPr>
          <w:rFonts w:asciiTheme="majorHAnsi" w:hAnsiTheme="majorHAnsi"/>
          <w:spacing w:val="-2"/>
        </w:rPr>
      </w:pPr>
      <w:r w:rsidRPr="00660F6B">
        <w:rPr>
          <w:rFonts w:asciiTheme="majorHAnsi" w:hAnsiTheme="majorHAnsi"/>
        </w:rPr>
        <w:t>Existe-t-il d'autres informations pertinentes concernant les implications de la proposition en termes de ressources et de charge de travail ?</w:t>
      </w:r>
    </w:p>
    <w:p w14:paraId="0BCF31BD" w14:textId="77777777" w:rsidR="00824C2D" w:rsidRPr="00660F6B" w:rsidRDefault="00824C2D" w:rsidP="00AC04A1">
      <w:pPr>
        <w:pStyle w:val="ListParagraph"/>
        <w:ind w:left="360"/>
        <w:rPr>
          <w:rFonts w:asciiTheme="majorHAnsi" w:hAnsiTheme="majorHAnsi"/>
          <w:spacing w:val="-2"/>
        </w:rPr>
      </w:pPr>
    </w:p>
    <w:p w14:paraId="26B3C49B" w14:textId="32F354C3" w:rsidR="00824C2D" w:rsidRPr="00660F6B" w:rsidRDefault="001622D1" w:rsidP="00AC04A1">
      <w:pPr>
        <w:ind w:left="360"/>
        <w:rPr>
          <w:rFonts w:asciiTheme="majorHAnsi" w:hAnsiTheme="majorHAnsi"/>
          <w:iCs/>
          <w:color w:val="EE0000"/>
        </w:rPr>
      </w:pPr>
      <w:r w:rsidRPr="00660F6B">
        <w:rPr>
          <w:rFonts w:asciiTheme="majorHAnsi" w:hAnsiTheme="majorHAnsi"/>
          <w:iCs/>
          <w:color w:val="EE0000"/>
        </w:rPr>
        <w:t>Néant</w:t>
      </w:r>
      <w:r w:rsidR="00824C2D" w:rsidRPr="00660F6B">
        <w:rPr>
          <w:rFonts w:asciiTheme="majorHAnsi" w:hAnsiTheme="majorHAnsi"/>
          <w:iCs/>
          <w:color w:val="EE0000"/>
        </w:rPr>
        <w:br w:type="page"/>
      </w:r>
    </w:p>
    <w:p w14:paraId="1BC884CD" w14:textId="77777777" w:rsidR="00DD3FBE" w:rsidRPr="00660F6B" w:rsidRDefault="00DD3FBE" w:rsidP="00234F4D">
      <w:pPr>
        <w:jc w:val="right"/>
        <w:outlineLvl w:val="2"/>
        <w:rPr>
          <w:rFonts w:asciiTheme="majorHAnsi" w:eastAsia="Times New Roman" w:hAnsiTheme="majorHAnsi"/>
          <w:b/>
          <w:bCs/>
          <w:lang w:eastAsia="fr-FR"/>
        </w:rPr>
      </w:pPr>
    </w:p>
    <w:p w14:paraId="75F19B25" w14:textId="2F31925B" w:rsidR="00234F4D" w:rsidRPr="00660F6B" w:rsidRDefault="00234F4D" w:rsidP="00234F4D">
      <w:pPr>
        <w:jc w:val="right"/>
        <w:outlineLvl w:val="2"/>
        <w:rPr>
          <w:rFonts w:asciiTheme="majorHAnsi" w:eastAsia="Times New Roman" w:hAnsiTheme="majorHAnsi"/>
          <w:b/>
          <w:bCs/>
          <w:lang w:eastAsia="fr-FR"/>
        </w:rPr>
      </w:pPr>
      <w:r w:rsidRPr="00660F6B">
        <w:rPr>
          <w:rFonts w:asciiTheme="majorHAnsi" w:eastAsia="Times New Roman" w:hAnsiTheme="majorHAnsi"/>
          <w:b/>
          <w:bCs/>
          <w:lang w:eastAsia="fr-FR"/>
        </w:rPr>
        <w:t xml:space="preserve">Original : </w:t>
      </w:r>
      <w:r w:rsidR="006C714F" w:rsidRPr="00660F6B">
        <w:rPr>
          <w:rFonts w:asciiTheme="majorHAnsi" w:eastAsia="Times New Roman" w:hAnsiTheme="majorHAnsi"/>
          <w:b/>
          <w:bCs/>
          <w:lang w:eastAsia="fr-FR"/>
        </w:rPr>
        <w:t>anglais</w:t>
      </w:r>
      <w:r w:rsidR="00DD3FBE" w:rsidRPr="00660F6B">
        <w:rPr>
          <w:rFonts w:asciiTheme="majorHAnsi" w:eastAsia="Times New Roman" w:hAnsiTheme="majorHAnsi"/>
          <w:b/>
          <w:bCs/>
          <w:lang w:eastAsia="fr-FR"/>
        </w:rPr>
        <w:t>/espagnol</w:t>
      </w:r>
    </w:p>
    <w:p w14:paraId="72E8C9E0" w14:textId="77777777" w:rsidR="00E82C4F" w:rsidRPr="00660F6B" w:rsidRDefault="00E82C4F" w:rsidP="00AC04A1">
      <w:pPr>
        <w:pStyle w:val="Header"/>
        <w:jc w:val="right"/>
        <w:rPr>
          <w:rFonts w:asciiTheme="majorHAnsi" w:hAnsiTheme="majorHAnsi"/>
          <w:b/>
          <w:bCs/>
        </w:rPr>
      </w:pPr>
    </w:p>
    <w:p w14:paraId="64144EC3" w14:textId="77777777" w:rsidR="00C54FF8" w:rsidRPr="00660F6B" w:rsidRDefault="00C54FF8" w:rsidP="00C54FF8">
      <w:pPr>
        <w:pStyle w:val="Header"/>
        <w:jc w:val="center"/>
        <w:rPr>
          <w:rFonts w:asciiTheme="majorHAnsi" w:hAnsiTheme="majorHAnsi"/>
          <w:b/>
          <w:bCs/>
        </w:rPr>
      </w:pPr>
      <w:r w:rsidRPr="00660F6B">
        <w:rPr>
          <w:rFonts w:asciiTheme="majorHAnsi" w:hAnsiTheme="majorHAnsi"/>
          <w:b/>
          <w:bCs/>
        </w:rPr>
        <w:t xml:space="preserve">Note explicative concernant le </w:t>
      </w:r>
    </w:p>
    <w:p w14:paraId="3C0B81F1" w14:textId="56285366" w:rsidR="00C54FF8" w:rsidRPr="00660F6B" w:rsidRDefault="00C54FF8" w:rsidP="00C54FF8">
      <w:pPr>
        <w:pStyle w:val="Header"/>
        <w:jc w:val="center"/>
        <w:rPr>
          <w:rFonts w:asciiTheme="majorHAnsi" w:hAnsiTheme="majorHAnsi"/>
          <w:b/>
          <w:bCs/>
        </w:rPr>
      </w:pPr>
      <w:r w:rsidRPr="00660F6B">
        <w:rPr>
          <w:rFonts w:asciiTheme="majorHAnsi" w:hAnsiTheme="majorHAnsi"/>
          <w:b/>
          <w:bCs/>
        </w:rPr>
        <w:t>Projet de Recommandation de l’ICCAT amendant la Recommandation 20-09 sur l’établissement d’un fonds de participation aux réunions destiné aux Parties contractantes en développement de l’ICCAT</w:t>
      </w:r>
    </w:p>
    <w:p w14:paraId="5459BB0F" w14:textId="77777777" w:rsidR="00C54FF8" w:rsidRPr="00660F6B" w:rsidRDefault="00C54FF8" w:rsidP="00C54FF8">
      <w:pPr>
        <w:tabs>
          <w:tab w:val="left" w:pos="0"/>
        </w:tabs>
        <w:adjustRightInd w:val="0"/>
        <w:ind w:firstLine="426"/>
        <w:jc w:val="center"/>
        <w:rPr>
          <w:rFonts w:ascii="Cambria" w:eastAsia="Calibri" w:hAnsi="Cambria" w:cs="Arial"/>
          <w:i/>
          <w:iCs/>
          <w:lang w:eastAsia="en-US"/>
        </w:rPr>
      </w:pPr>
    </w:p>
    <w:p w14:paraId="1DE9520F" w14:textId="4D97D1D5" w:rsidR="00C54FF8" w:rsidRPr="00660F6B" w:rsidRDefault="00C54FF8" w:rsidP="00C54FF8">
      <w:pPr>
        <w:tabs>
          <w:tab w:val="left" w:pos="0"/>
        </w:tabs>
        <w:adjustRightInd w:val="0"/>
        <w:ind w:firstLine="426"/>
        <w:jc w:val="center"/>
        <w:rPr>
          <w:rFonts w:asciiTheme="majorHAnsi" w:hAnsiTheme="majorHAnsi" w:cs="Segoe UI"/>
          <w:i/>
          <w:iCs/>
          <w:color w:val="242424"/>
          <w:shd w:val="clear" w:color="auto" w:fill="FFFFFF"/>
        </w:rPr>
      </w:pPr>
      <w:r w:rsidRPr="00660F6B">
        <w:rPr>
          <w:rFonts w:ascii="Cambria" w:eastAsia="Calibri" w:hAnsi="Cambria" w:cs="Arial"/>
          <w:i/>
          <w:iCs/>
          <w:lang w:eastAsia="en-US"/>
        </w:rPr>
        <w:t>(soumis par l'Égypte avec les commentaires du Belize, du Costa Rica, du Salvador, du Guatemala, du Honduras, du Nicaragua et du Panama)</w:t>
      </w:r>
    </w:p>
    <w:p w14:paraId="6374B318" w14:textId="77777777" w:rsidR="003266AD" w:rsidRPr="003266AD" w:rsidRDefault="003266AD" w:rsidP="003266AD">
      <w:pPr>
        <w:jc w:val="left"/>
        <w:rPr>
          <w:rFonts w:asciiTheme="majorHAnsi" w:hAnsiTheme="majorHAnsi"/>
          <w:b/>
          <w:bCs/>
        </w:rPr>
      </w:pPr>
    </w:p>
    <w:p w14:paraId="0F0781CE" w14:textId="77777777" w:rsidR="003266AD" w:rsidRPr="003266AD" w:rsidRDefault="003266AD" w:rsidP="00336513">
      <w:pPr>
        <w:rPr>
          <w:rFonts w:asciiTheme="majorHAnsi" w:hAnsiTheme="majorHAnsi"/>
        </w:rPr>
      </w:pPr>
      <w:r w:rsidRPr="003266AD">
        <w:rPr>
          <w:rFonts w:asciiTheme="majorHAnsi" w:hAnsiTheme="majorHAnsi"/>
        </w:rPr>
        <w:t xml:space="preserve">Les CPC d'Amérique centrale apprécient la proposition soumise par l’Égypte visant à amender la Recommandation 20-09. Bien que nos délégations soutiennent la proposition égyptienne, nous estimons essentiel d'ajouter une proposition visant à modifier les paragraphes 6 et 7 afin de garantir que les délégués désignés par les CPC en développement aient le droit de bénéficier du fonds de participation aux réunions sans autre critère de qualification. </w:t>
      </w:r>
    </w:p>
    <w:p w14:paraId="2E0B6666" w14:textId="77777777" w:rsidR="003266AD" w:rsidRPr="003266AD" w:rsidRDefault="003266AD" w:rsidP="00336513">
      <w:pPr>
        <w:rPr>
          <w:rFonts w:asciiTheme="majorHAnsi" w:hAnsiTheme="majorHAnsi"/>
        </w:rPr>
      </w:pPr>
    </w:p>
    <w:p w14:paraId="06641121" w14:textId="050153CC" w:rsidR="003266AD" w:rsidRPr="003266AD" w:rsidRDefault="003266AD" w:rsidP="00336513">
      <w:pPr>
        <w:rPr>
          <w:rFonts w:asciiTheme="majorHAnsi" w:hAnsiTheme="majorHAnsi"/>
        </w:rPr>
      </w:pPr>
      <w:r w:rsidRPr="003266AD">
        <w:rPr>
          <w:rFonts w:asciiTheme="majorHAnsi" w:hAnsiTheme="majorHAnsi"/>
        </w:rPr>
        <w:t xml:space="preserve">Le processus actuel de participation des CPC aux réunions scientifiques des Groupes d'espèces et aux réunions intersessions, dans le cadre duquel les rapporteurs ou le Secrétariat sont chargés de filtrer leur participation, est devenu une pratique discriminatoire. Nous estimons que, dans le cadre de l’ICCAT, la participation des scientifiques aux réunions est cruciale, et que réduire ou ne pas favoriser cette participation compromet l'objectif d'une participation pleine, continue et stable de toutes les CPC, qui justifie la </w:t>
      </w:r>
      <w:r w:rsidR="00C45A7A" w:rsidRPr="00660F6B">
        <w:rPr>
          <w:rFonts w:asciiTheme="majorHAnsi" w:hAnsiTheme="majorHAnsi"/>
        </w:rPr>
        <w:t>raison d’être</w:t>
      </w:r>
      <w:r w:rsidRPr="003266AD">
        <w:rPr>
          <w:rFonts w:asciiTheme="majorHAnsi" w:hAnsiTheme="majorHAnsi"/>
        </w:rPr>
        <w:t xml:space="preserve"> de la Recommandation 20-09. Cet ajout garantira que la Recommandation 20-09 respecte l'esprit de la Convention et de la Commission.</w:t>
      </w:r>
    </w:p>
    <w:p w14:paraId="55B281A7" w14:textId="77777777" w:rsidR="007B4BD8" w:rsidRPr="00660F6B" w:rsidRDefault="007B4BD8">
      <w:pPr>
        <w:jc w:val="left"/>
        <w:rPr>
          <w:rFonts w:asciiTheme="majorHAnsi" w:hAnsiTheme="majorHAnsi"/>
          <w:b/>
          <w:bCs/>
        </w:rPr>
      </w:pPr>
      <w:r w:rsidRPr="00660F6B">
        <w:rPr>
          <w:rFonts w:asciiTheme="majorHAnsi" w:hAnsiTheme="majorHAnsi"/>
          <w:b/>
          <w:bCs/>
        </w:rPr>
        <w:br w:type="page"/>
      </w:r>
    </w:p>
    <w:p w14:paraId="0ED0E38E" w14:textId="77777777" w:rsidR="008A50C3" w:rsidRPr="00660F6B" w:rsidRDefault="008A50C3" w:rsidP="008A50C3">
      <w:pPr>
        <w:jc w:val="right"/>
        <w:outlineLvl w:val="2"/>
        <w:rPr>
          <w:rFonts w:asciiTheme="majorHAnsi" w:eastAsia="Times New Roman" w:hAnsiTheme="majorHAnsi"/>
          <w:b/>
          <w:bCs/>
          <w:lang w:eastAsia="fr-FR"/>
        </w:rPr>
      </w:pPr>
      <w:r w:rsidRPr="00660F6B">
        <w:rPr>
          <w:rFonts w:asciiTheme="majorHAnsi" w:eastAsia="Times New Roman" w:hAnsiTheme="majorHAnsi"/>
          <w:b/>
          <w:bCs/>
          <w:lang w:eastAsia="fr-FR"/>
        </w:rPr>
        <w:lastRenderedPageBreak/>
        <w:t>Original : anglais/espagnol</w:t>
      </w:r>
    </w:p>
    <w:p w14:paraId="4CCDD0D2" w14:textId="77777777" w:rsidR="008A50C3" w:rsidRPr="00660F6B" w:rsidRDefault="008A50C3" w:rsidP="00E82C4F">
      <w:pPr>
        <w:pStyle w:val="Header"/>
        <w:jc w:val="center"/>
        <w:rPr>
          <w:rFonts w:asciiTheme="majorHAnsi" w:hAnsiTheme="majorHAnsi"/>
          <w:b/>
          <w:bCs/>
          <w:u w:val="single"/>
        </w:rPr>
      </w:pPr>
    </w:p>
    <w:p w14:paraId="21E04603" w14:textId="3B7684B4" w:rsidR="001D4E0A" w:rsidRPr="00660F6B" w:rsidRDefault="00A630AA" w:rsidP="00E82C4F">
      <w:pPr>
        <w:pStyle w:val="Header"/>
        <w:jc w:val="center"/>
        <w:rPr>
          <w:rFonts w:asciiTheme="majorHAnsi" w:hAnsiTheme="majorHAnsi"/>
          <w:b/>
          <w:bCs/>
        </w:rPr>
      </w:pPr>
      <w:r w:rsidRPr="00660F6B">
        <w:rPr>
          <w:rFonts w:asciiTheme="majorHAnsi" w:hAnsiTheme="majorHAnsi"/>
          <w:b/>
          <w:bCs/>
          <w:u w:val="single"/>
        </w:rPr>
        <w:t xml:space="preserve">Projet de </w:t>
      </w:r>
      <w:r w:rsidRPr="00660F6B">
        <w:rPr>
          <w:rFonts w:asciiTheme="majorHAnsi" w:hAnsiTheme="majorHAnsi"/>
          <w:b/>
          <w:bCs/>
        </w:rPr>
        <w:t xml:space="preserve">Recommandation de l’ICCAT amendant la Recommandation </w:t>
      </w:r>
      <w:r w:rsidRPr="00660F6B">
        <w:rPr>
          <w:rFonts w:asciiTheme="majorHAnsi" w:hAnsiTheme="majorHAnsi"/>
          <w:b/>
          <w:bCs/>
          <w:u w:val="single"/>
        </w:rPr>
        <w:t>20-09</w:t>
      </w:r>
      <w:r w:rsidRPr="00660F6B">
        <w:rPr>
          <w:rFonts w:asciiTheme="majorHAnsi" w:hAnsiTheme="majorHAnsi"/>
          <w:b/>
          <w:bCs/>
        </w:rPr>
        <w:t xml:space="preserve"> sur l’établissement d’un fonds de participation aux réunions destiné aux Parties contractantes en développement de l’ICCAT</w:t>
      </w:r>
    </w:p>
    <w:p w14:paraId="7DEFD2DC" w14:textId="77777777" w:rsidR="00A630AA" w:rsidRPr="00660F6B" w:rsidRDefault="00A630AA" w:rsidP="00E82C4F">
      <w:pPr>
        <w:pStyle w:val="Header"/>
        <w:jc w:val="center"/>
        <w:rPr>
          <w:rFonts w:asciiTheme="majorHAnsi" w:hAnsiTheme="majorHAnsi"/>
          <w:b/>
          <w:bCs/>
        </w:rPr>
      </w:pPr>
    </w:p>
    <w:p w14:paraId="187E6EA0" w14:textId="77777777" w:rsidR="00C54FF8" w:rsidRPr="00660F6B" w:rsidRDefault="00C54FF8" w:rsidP="00C54FF8">
      <w:pPr>
        <w:tabs>
          <w:tab w:val="left" w:pos="0"/>
        </w:tabs>
        <w:adjustRightInd w:val="0"/>
        <w:ind w:firstLine="426"/>
        <w:jc w:val="center"/>
        <w:rPr>
          <w:rFonts w:asciiTheme="majorHAnsi" w:hAnsiTheme="majorHAnsi" w:cs="Segoe UI"/>
          <w:i/>
          <w:iCs/>
          <w:color w:val="242424"/>
          <w:shd w:val="clear" w:color="auto" w:fill="FFFFFF"/>
        </w:rPr>
      </w:pPr>
      <w:r w:rsidRPr="00660F6B">
        <w:rPr>
          <w:rFonts w:ascii="Cambria" w:eastAsia="Calibri" w:hAnsi="Cambria" w:cs="Arial"/>
          <w:i/>
          <w:iCs/>
          <w:lang w:eastAsia="en-US"/>
        </w:rPr>
        <w:t>(soumis par l'Égypte avec les commentaires du Belize, du Costa Rica, du Salvador, du Guatemala, du Honduras, du Nicaragua et du Panama)</w:t>
      </w:r>
    </w:p>
    <w:p w14:paraId="4EB8F224" w14:textId="77777777" w:rsidR="001D4E0A" w:rsidRPr="00660F6B" w:rsidRDefault="001D4E0A" w:rsidP="00585503">
      <w:pPr>
        <w:pStyle w:val="Header"/>
        <w:rPr>
          <w:rFonts w:asciiTheme="majorHAnsi" w:hAnsiTheme="majorHAnsi"/>
          <w:b/>
          <w:bCs/>
        </w:rPr>
      </w:pPr>
    </w:p>
    <w:p w14:paraId="4C13BED6" w14:textId="77777777" w:rsidR="00596C3E" w:rsidRPr="00660F6B" w:rsidRDefault="00596C3E" w:rsidP="00596C3E">
      <w:pPr>
        <w:ind w:left="-15" w:firstLine="441"/>
        <w:rPr>
          <w:rFonts w:ascii="Cambria" w:hAnsi="Cambria"/>
        </w:rPr>
      </w:pPr>
      <w:r w:rsidRPr="00660F6B">
        <w:rPr>
          <w:rFonts w:ascii="Cambria" w:hAnsi="Cambria"/>
          <w:i/>
          <w:iCs/>
        </w:rPr>
        <w:t>RECONNAISSANT</w:t>
      </w:r>
      <w:r w:rsidRPr="00660F6B">
        <w:rPr>
          <w:rFonts w:ascii="Cambria" w:hAnsi="Cambria"/>
        </w:rPr>
        <w:t xml:space="preserve"> que le Fonds pour la participation aux réunions de l'ICCAT (MPF) établi par la Recommandation 11-26 a contribué à améliorer la participation des représentants des États en développement aux réunions de la Commission et de ses organes subsidiaires ; </w:t>
      </w:r>
    </w:p>
    <w:p w14:paraId="2C8CFF5F" w14:textId="77777777" w:rsidR="00596C3E" w:rsidRPr="00660F6B" w:rsidRDefault="00596C3E" w:rsidP="00596C3E">
      <w:pPr>
        <w:ind w:firstLine="441"/>
        <w:jc w:val="left"/>
        <w:rPr>
          <w:rFonts w:ascii="Cambria" w:hAnsi="Cambria"/>
        </w:rPr>
      </w:pPr>
    </w:p>
    <w:p w14:paraId="382D9B01" w14:textId="77777777" w:rsidR="00596C3E" w:rsidRPr="00660F6B" w:rsidRDefault="00596C3E" w:rsidP="00596C3E">
      <w:pPr>
        <w:ind w:left="-15" w:firstLine="441"/>
        <w:rPr>
          <w:rFonts w:ascii="Cambria" w:hAnsi="Cambria"/>
        </w:rPr>
      </w:pPr>
      <w:r w:rsidRPr="00660F6B">
        <w:rPr>
          <w:rFonts w:ascii="Cambria" w:hAnsi="Cambria"/>
          <w:i/>
          <w:iCs/>
        </w:rPr>
        <w:t>RAPPELANT</w:t>
      </w:r>
      <w:r w:rsidRPr="00660F6B">
        <w:rPr>
          <w:rFonts w:ascii="Cambria" w:hAnsi="Cambria"/>
        </w:rPr>
        <w:t xml:space="preserve"> que des préoccupations concernant le manque de participation des États en développement avaient été exprimées par le Comité d’évaluation des performances de l’ICCAT en 2008 ;  </w:t>
      </w:r>
    </w:p>
    <w:p w14:paraId="48A057BE" w14:textId="77777777" w:rsidR="00596C3E" w:rsidRPr="00660F6B" w:rsidRDefault="00596C3E" w:rsidP="00596C3E">
      <w:pPr>
        <w:ind w:firstLine="441"/>
        <w:jc w:val="left"/>
        <w:rPr>
          <w:rFonts w:ascii="Cambria" w:hAnsi="Cambria"/>
        </w:rPr>
      </w:pPr>
    </w:p>
    <w:p w14:paraId="4A5300D2" w14:textId="77777777" w:rsidR="00596C3E" w:rsidRPr="00660F6B" w:rsidRDefault="00596C3E" w:rsidP="00596C3E">
      <w:pPr>
        <w:ind w:left="-15" w:firstLine="441"/>
        <w:rPr>
          <w:rFonts w:ascii="Cambria" w:hAnsi="Cambria"/>
        </w:rPr>
      </w:pPr>
      <w:r w:rsidRPr="00660F6B">
        <w:rPr>
          <w:rFonts w:ascii="Cambria" w:hAnsi="Cambria"/>
          <w:i/>
          <w:iCs/>
        </w:rPr>
        <w:t>NOTANT</w:t>
      </w:r>
      <w:r w:rsidRPr="00660F6B">
        <w:rPr>
          <w:rFonts w:ascii="Cambria" w:hAnsi="Cambria"/>
        </w:rPr>
        <w:t xml:space="preserve"> que l’article 25, alinéa 3 de l’Accord pour l’application des dispositions de la Convention des Nations Unies sur le droit de la mer de décembre 1982 relatif à la conservation et à la gestion des stocks de poissons chevauchants et des stocks de poissons grands migrateurs (UNFSA) identifie, entre autres, des formes de coopération avec les États en développement et la nécessité de leur apporter une assistance en matière de collecte, déclaration, vérification, échange et analyse des données halieutiques et autres informations associées, ainsi que l’évaluation des stocks et la recherche scientifique ; </w:t>
      </w:r>
    </w:p>
    <w:p w14:paraId="6D53483C" w14:textId="77777777" w:rsidR="00596C3E" w:rsidRPr="00660F6B" w:rsidRDefault="00596C3E" w:rsidP="00596C3E">
      <w:pPr>
        <w:ind w:firstLine="441"/>
        <w:jc w:val="left"/>
        <w:rPr>
          <w:rFonts w:ascii="Cambria" w:hAnsi="Cambria"/>
        </w:rPr>
      </w:pPr>
    </w:p>
    <w:p w14:paraId="2F071EBC" w14:textId="77777777" w:rsidR="00596C3E" w:rsidRPr="00660F6B" w:rsidRDefault="00596C3E" w:rsidP="00596C3E">
      <w:pPr>
        <w:ind w:left="-15" w:firstLine="441"/>
        <w:rPr>
          <w:rFonts w:ascii="Cambria" w:hAnsi="Cambria"/>
        </w:rPr>
      </w:pPr>
      <w:r w:rsidRPr="00660F6B">
        <w:rPr>
          <w:rFonts w:ascii="Cambria" w:hAnsi="Cambria"/>
          <w:i/>
          <w:iCs/>
        </w:rPr>
        <w:t>RAPPELANT EN OUTRE</w:t>
      </w:r>
      <w:r w:rsidRPr="00660F6B">
        <w:rPr>
          <w:rFonts w:ascii="Cambria" w:hAnsi="Cambria"/>
        </w:rPr>
        <w:t xml:space="preserve"> que lors de la première réunion du Groupe de travail permanent dédié au dialogue entre halieutes et gestionnaires des pêcheries (SWGSM), il a été recommandé que, pour les futures réunions du SWGSM, la Commission envisage de fournir des fonds à deux membres par délégation (un gestionnaire et un scientifique) aux CPC qui ont besoin d'une assistance ; </w:t>
      </w:r>
    </w:p>
    <w:p w14:paraId="3F32CC5E" w14:textId="77777777" w:rsidR="00596C3E" w:rsidRPr="00660F6B" w:rsidRDefault="00596C3E" w:rsidP="00596C3E">
      <w:pPr>
        <w:ind w:firstLine="441"/>
        <w:jc w:val="left"/>
        <w:rPr>
          <w:rFonts w:ascii="Cambria" w:hAnsi="Cambria"/>
        </w:rPr>
      </w:pPr>
    </w:p>
    <w:p w14:paraId="1AD70339" w14:textId="77777777" w:rsidR="00596C3E" w:rsidRPr="00660F6B" w:rsidRDefault="00596C3E" w:rsidP="00596C3E">
      <w:pPr>
        <w:ind w:left="-15" w:firstLine="441"/>
        <w:rPr>
          <w:rFonts w:ascii="Cambria" w:hAnsi="Cambria"/>
        </w:rPr>
      </w:pPr>
      <w:r w:rsidRPr="00660F6B">
        <w:rPr>
          <w:rFonts w:ascii="Cambria" w:hAnsi="Cambria"/>
          <w:i/>
          <w:iCs/>
        </w:rPr>
        <w:t>RECONNAISSANT</w:t>
      </w:r>
      <w:r w:rsidRPr="00660F6B">
        <w:rPr>
          <w:rFonts w:ascii="Cambria" w:hAnsi="Cambria"/>
        </w:rPr>
        <w:t xml:space="preserve"> qu'il y </w:t>
      </w:r>
      <w:proofErr w:type="gramStart"/>
      <w:r w:rsidRPr="00660F6B">
        <w:rPr>
          <w:rFonts w:ascii="Cambria" w:hAnsi="Cambria"/>
        </w:rPr>
        <w:t>a</w:t>
      </w:r>
      <w:proofErr w:type="gramEnd"/>
      <w:r w:rsidRPr="00660F6B">
        <w:rPr>
          <w:rFonts w:ascii="Cambria" w:hAnsi="Cambria"/>
        </w:rPr>
        <w:t xml:space="preserve"> lieu d'amender la Recommandation 11-26 afin de mettre en œuvre la recommandation du SWGSM d'assurer une participation suffisante et équilibrée de représentants d'États en développement à ses réunions ;</w:t>
      </w:r>
    </w:p>
    <w:p w14:paraId="45A369B7" w14:textId="77777777" w:rsidR="00596C3E" w:rsidRPr="00660F6B" w:rsidRDefault="00596C3E" w:rsidP="00596C3E">
      <w:pPr>
        <w:ind w:firstLine="441"/>
        <w:rPr>
          <w:rFonts w:ascii="Cambria" w:hAnsi="Cambria"/>
          <w:i/>
        </w:rPr>
      </w:pPr>
    </w:p>
    <w:p w14:paraId="291B5A50" w14:textId="77777777" w:rsidR="00596C3E" w:rsidRPr="00660F6B" w:rsidRDefault="00596C3E" w:rsidP="00596C3E">
      <w:pPr>
        <w:ind w:left="-15" w:firstLine="441"/>
        <w:rPr>
          <w:rFonts w:ascii="Cambria" w:hAnsi="Cambria"/>
          <w:i/>
        </w:rPr>
      </w:pPr>
      <w:r w:rsidRPr="00660F6B">
        <w:rPr>
          <w:rFonts w:ascii="Cambria" w:hAnsi="Cambria"/>
          <w:i/>
        </w:rPr>
        <w:t xml:space="preserve">RECONNAISSANT </w:t>
      </w:r>
      <w:r w:rsidRPr="00660F6B">
        <w:rPr>
          <w:rFonts w:ascii="Cambria" w:hAnsi="Cambria"/>
        </w:rPr>
        <w:t>la nécessité de prendre des mesures immédiates pour optimiser l'utilisation du MPF en faveur d’une plus large participation des représentants des États en développement en accordant une attention particulière à ceux qui en ont le plus besoin et afin d’éviter toute future situation précaire qui pourrait restreindre et empêcher une participation plus vaste des États en développement en raison des ressources limitées ;</w:t>
      </w:r>
    </w:p>
    <w:p w14:paraId="196477D2" w14:textId="77777777" w:rsidR="00596C3E" w:rsidRPr="00660F6B" w:rsidRDefault="00596C3E" w:rsidP="00596C3E">
      <w:pPr>
        <w:jc w:val="left"/>
        <w:rPr>
          <w:rFonts w:ascii="Cambria" w:hAnsi="Cambria"/>
        </w:rPr>
      </w:pPr>
    </w:p>
    <w:p w14:paraId="3E557514" w14:textId="77777777" w:rsidR="00596C3E" w:rsidRPr="00660F6B" w:rsidRDefault="00596C3E" w:rsidP="00596C3E">
      <w:pPr>
        <w:jc w:val="left"/>
        <w:rPr>
          <w:rFonts w:ascii="Cambria" w:hAnsi="Cambria"/>
        </w:rPr>
      </w:pPr>
    </w:p>
    <w:p w14:paraId="6F79462C" w14:textId="77777777" w:rsidR="00596C3E" w:rsidRPr="00660F6B" w:rsidRDefault="00596C3E" w:rsidP="00596C3E">
      <w:pPr>
        <w:ind w:left="1326" w:right="1315" w:hanging="11"/>
        <w:jc w:val="center"/>
        <w:rPr>
          <w:rFonts w:ascii="Cambria" w:hAnsi="Cambria"/>
        </w:rPr>
      </w:pPr>
      <w:r w:rsidRPr="00660F6B">
        <w:rPr>
          <w:rFonts w:ascii="Cambria" w:hAnsi="Cambria"/>
        </w:rPr>
        <w:t xml:space="preserve">LA COMMISSION INTERNATIONALE POUR LA CONSERVATION DES THONIDÉS DE L’ATLANTIQUE (ICCAT) RECOMMANDE CE QUI SUIT : </w:t>
      </w:r>
    </w:p>
    <w:p w14:paraId="1A85F1E2" w14:textId="77777777" w:rsidR="00596C3E" w:rsidRPr="00660F6B" w:rsidRDefault="00596C3E" w:rsidP="00596C3E">
      <w:pPr>
        <w:jc w:val="left"/>
        <w:rPr>
          <w:rFonts w:ascii="Cambria" w:hAnsi="Cambria"/>
        </w:rPr>
      </w:pPr>
    </w:p>
    <w:p w14:paraId="1F9D3429" w14:textId="77777777" w:rsidR="00596C3E" w:rsidRPr="00660F6B" w:rsidRDefault="00596C3E" w:rsidP="00596C3E">
      <w:pPr>
        <w:jc w:val="left"/>
        <w:rPr>
          <w:rFonts w:ascii="Cambria" w:hAnsi="Cambria"/>
        </w:rPr>
      </w:pPr>
    </w:p>
    <w:p w14:paraId="6CE6C030" w14:textId="77777777" w:rsidR="00596C3E" w:rsidRPr="00660F6B" w:rsidRDefault="00596C3E" w:rsidP="00596C3E">
      <w:pPr>
        <w:ind w:left="426" w:hanging="426"/>
        <w:rPr>
          <w:rFonts w:ascii="Cambria" w:hAnsi="Cambria"/>
        </w:rPr>
      </w:pPr>
      <w:r w:rsidRPr="00660F6B">
        <w:rPr>
          <w:rFonts w:ascii="Cambria" w:hAnsi="Cambria"/>
        </w:rPr>
        <w:t xml:space="preserve">1. </w:t>
      </w:r>
      <w:r w:rsidRPr="00660F6B">
        <w:rPr>
          <w:rFonts w:ascii="Cambria" w:hAnsi="Cambria"/>
        </w:rPr>
        <w:tab/>
        <w:t xml:space="preserve">Un Fonds extraordinaire de participation aux réunions (MPF) devra être mis en place dans le but d’aider les représentants des Parties contractantes de l’ICCAT qui sont des Etats en développement à participer et/ou à contribuer aux travaux de la Commission et de ses organes subsidiaires, y compris le Comité permanent pour la recherche et les statistiques (SCRS). </w:t>
      </w:r>
    </w:p>
    <w:p w14:paraId="6B67F396" w14:textId="77777777" w:rsidR="00596C3E" w:rsidRPr="00660F6B" w:rsidRDefault="00596C3E" w:rsidP="00596C3E">
      <w:pPr>
        <w:ind w:left="426" w:hanging="426"/>
        <w:jc w:val="left"/>
        <w:rPr>
          <w:rFonts w:ascii="Cambria" w:hAnsi="Cambria"/>
        </w:rPr>
      </w:pPr>
    </w:p>
    <w:p w14:paraId="0DF8AEF7" w14:textId="77777777" w:rsidR="00596C3E" w:rsidRPr="00660F6B" w:rsidRDefault="00596C3E" w:rsidP="00596C3E">
      <w:pPr>
        <w:ind w:left="426" w:hanging="426"/>
        <w:rPr>
          <w:rFonts w:ascii="Cambria" w:hAnsi="Cambria"/>
        </w:rPr>
      </w:pPr>
      <w:bookmarkStart w:id="0" w:name="_Hlk53765340"/>
      <w:r w:rsidRPr="00660F6B">
        <w:rPr>
          <w:rFonts w:ascii="Cambria" w:hAnsi="Cambria"/>
        </w:rPr>
        <w:t>2.</w:t>
      </w:r>
      <w:r w:rsidRPr="00660F6B">
        <w:rPr>
          <w:rFonts w:ascii="Cambria" w:hAnsi="Cambria"/>
        </w:rPr>
        <w:tab/>
        <w:t>Le MPF devra être financé dans un premier temps par une allocation de 60.000 € provenant du Fonds de roulement cumulé de l’ICCAT, puis par des contributions volontaires des Parties contractantes et par toute autre source que la Commission identifiera. Les Parties contractantes et les Parties, Entités ou Entités de pêche non contractantes coopérantes (CPC) sont exhortées à verser des contributions volontaires au MPF afin que les pays en développement soient bien représentés lors des travaux de la Commission et de ses organes subsidiaires.</w:t>
      </w:r>
    </w:p>
    <w:bookmarkEnd w:id="0"/>
    <w:p w14:paraId="185CFBBF" w14:textId="77777777" w:rsidR="00596C3E" w:rsidRPr="00660F6B" w:rsidRDefault="00596C3E" w:rsidP="00596C3E">
      <w:pPr>
        <w:ind w:left="426" w:hanging="426"/>
        <w:jc w:val="left"/>
        <w:rPr>
          <w:rFonts w:ascii="Cambria" w:hAnsi="Cambria"/>
        </w:rPr>
      </w:pPr>
    </w:p>
    <w:p w14:paraId="423282D6" w14:textId="77777777" w:rsidR="00596C3E" w:rsidRPr="00660F6B" w:rsidRDefault="00596C3E" w:rsidP="00596C3E">
      <w:pPr>
        <w:ind w:left="426" w:hanging="426"/>
        <w:rPr>
          <w:rFonts w:ascii="Cambria" w:hAnsi="Cambria"/>
        </w:rPr>
      </w:pPr>
      <w:r w:rsidRPr="00660F6B">
        <w:rPr>
          <w:rFonts w:ascii="Cambria" w:hAnsi="Cambria"/>
        </w:rPr>
        <w:t>3.</w:t>
      </w:r>
      <w:r w:rsidRPr="00660F6B">
        <w:rPr>
          <w:rFonts w:ascii="Cambria" w:hAnsi="Cambria"/>
        </w:rPr>
        <w:tab/>
        <w:t>Le MPF devra être administré par le Secrétariat de l’ICCAT, en appliquant les mêmes contrôles financiers que ceux appliqués aux allocations budgétaires ordinaires. Les contributions volontaires au MPF pourraient comporter des directives spécifiques quant à leur utilisation.</w:t>
      </w:r>
    </w:p>
    <w:p w14:paraId="26D22B47" w14:textId="77777777" w:rsidR="00596C3E" w:rsidRPr="00660F6B" w:rsidRDefault="00596C3E" w:rsidP="00596C3E">
      <w:pPr>
        <w:pStyle w:val="ListParagraph"/>
        <w:ind w:left="426" w:hanging="426"/>
        <w:rPr>
          <w:rFonts w:ascii="Cambria" w:hAnsi="Cambria"/>
        </w:rPr>
      </w:pPr>
    </w:p>
    <w:p w14:paraId="67D30CF8" w14:textId="77777777" w:rsidR="00596C3E" w:rsidRPr="00660F6B" w:rsidRDefault="00596C3E" w:rsidP="00596C3E">
      <w:pPr>
        <w:spacing w:after="200" w:line="276" w:lineRule="auto"/>
        <w:ind w:left="426" w:hanging="426"/>
        <w:jc w:val="left"/>
        <w:rPr>
          <w:rFonts w:ascii="Cambria" w:hAnsi="Cambria"/>
        </w:rPr>
      </w:pPr>
      <w:r w:rsidRPr="00660F6B">
        <w:rPr>
          <w:rFonts w:ascii="Cambria" w:hAnsi="Cambria"/>
        </w:rPr>
        <w:br w:type="page"/>
      </w:r>
    </w:p>
    <w:p w14:paraId="26A57F8E" w14:textId="77777777" w:rsidR="00596C3E" w:rsidRPr="00660F6B" w:rsidRDefault="00596C3E" w:rsidP="00596C3E">
      <w:pPr>
        <w:ind w:left="426" w:hanging="426"/>
        <w:rPr>
          <w:rFonts w:ascii="Cambria" w:hAnsi="Cambria"/>
        </w:rPr>
      </w:pPr>
      <w:r w:rsidRPr="00660F6B">
        <w:rPr>
          <w:rFonts w:ascii="Cambria" w:hAnsi="Cambria"/>
        </w:rPr>
        <w:lastRenderedPageBreak/>
        <w:t>4.</w:t>
      </w:r>
      <w:r w:rsidRPr="00660F6B">
        <w:rPr>
          <w:rFonts w:ascii="Cambria" w:hAnsi="Cambria"/>
        </w:rPr>
        <w:tab/>
        <w:t xml:space="preserve">Le Secrétaire exécutif de l’ICCAT devra établir un processus permettant d’informer chaque année les Parties contractantes du niveau des fonds disponibles dans le MPF et fournir un calendrier et un formulaire aux fins de la soumission des demandes d’assistance, ainsi que les détails de l’aide à fournir. Pour pouvoir bénéficier d'une aide </w:t>
      </w:r>
      <w:r w:rsidRPr="00660F6B">
        <w:rPr>
          <w:rFonts w:asciiTheme="majorHAnsi" w:hAnsiTheme="majorHAnsi"/>
        </w:rPr>
        <w:t xml:space="preserve">par le biais </w:t>
      </w:r>
      <w:r w:rsidRPr="00660F6B">
        <w:rPr>
          <w:rFonts w:ascii="Cambria" w:hAnsi="Cambria"/>
        </w:rPr>
        <w:t>du MPF, les critères minimaux suivants devront être remplis afin de contrôler les coûts et de minimiser la charge administrative tout en tenant compte des besoins et des intérêts de la Commission en ce qui concerne la participation du demandeur :</w:t>
      </w:r>
    </w:p>
    <w:p w14:paraId="361B2EEC" w14:textId="77777777" w:rsidR="00596C3E" w:rsidRPr="00660F6B" w:rsidRDefault="00596C3E" w:rsidP="00596C3E">
      <w:pPr>
        <w:pStyle w:val="ListParagraph"/>
        <w:rPr>
          <w:rFonts w:ascii="Cambria" w:hAnsi="Cambria"/>
        </w:rPr>
      </w:pPr>
    </w:p>
    <w:p w14:paraId="4BE3E063" w14:textId="77777777" w:rsidR="00596C3E" w:rsidRPr="00660F6B" w:rsidRDefault="00596C3E" w:rsidP="00596C3E">
      <w:pPr>
        <w:ind w:left="851" w:hanging="425"/>
        <w:rPr>
          <w:rFonts w:ascii="Cambria" w:hAnsi="Cambria"/>
        </w:rPr>
      </w:pPr>
      <w:r w:rsidRPr="00660F6B">
        <w:rPr>
          <w:rFonts w:ascii="Cambria" w:hAnsi="Cambria"/>
        </w:rPr>
        <w:t>a)</w:t>
      </w:r>
      <w:r w:rsidRPr="00660F6B">
        <w:rPr>
          <w:rFonts w:ascii="Cambria" w:hAnsi="Cambria"/>
        </w:rPr>
        <w:tab/>
        <w:t xml:space="preserve">Une Partie contractante </w:t>
      </w:r>
      <w:bookmarkStart w:id="1" w:name="_Hlk55574115"/>
      <w:r w:rsidRPr="00660F6B">
        <w:rPr>
          <w:rFonts w:ascii="Cambria" w:hAnsi="Cambria"/>
        </w:rPr>
        <w:t xml:space="preserve">en développement </w:t>
      </w:r>
      <w:bookmarkEnd w:id="1"/>
      <w:r w:rsidRPr="00660F6B">
        <w:rPr>
          <w:rFonts w:ascii="Cambria" w:hAnsi="Cambria"/>
        </w:rPr>
        <w:t>qui envoie plus de six délégués officiels à une réunion de la Commission ou plus de quatre à une réunion d’un de ses organismes subsidiaires en utilisant ses propres moyens ou sources financières (à l’exception du MPF) n’est pas habilitée à recevoir un soutien financier du MPF pour couvrir les frais de voyage de cette réunion.</w:t>
      </w:r>
    </w:p>
    <w:p w14:paraId="002408D7" w14:textId="77777777" w:rsidR="00596C3E" w:rsidRPr="00660F6B" w:rsidRDefault="00596C3E" w:rsidP="00596C3E">
      <w:pPr>
        <w:ind w:left="851" w:hanging="425"/>
        <w:rPr>
          <w:rFonts w:ascii="Cambria" w:hAnsi="Cambria"/>
          <w:u w:val="single"/>
        </w:rPr>
      </w:pPr>
    </w:p>
    <w:p w14:paraId="0173CF8A" w14:textId="77777777" w:rsidR="00596C3E" w:rsidRPr="00660F6B" w:rsidRDefault="00596C3E" w:rsidP="00596C3E">
      <w:pPr>
        <w:ind w:left="851" w:hanging="425"/>
        <w:rPr>
          <w:rFonts w:ascii="Cambria" w:hAnsi="Cambria"/>
        </w:rPr>
      </w:pPr>
      <w:r w:rsidRPr="00660F6B">
        <w:rPr>
          <w:rFonts w:ascii="Cambria" w:hAnsi="Cambria"/>
        </w:rPr>
        <w:t>b)</w:t>
      </w:r>
      <w:r w:rsidRPr="00660F6B">
        <w:rPr>
          <w:rFonts w:ascii="Cambria" w:hAnsi="Cambria"/>
        </w:rPr>
        <w:tab/>
        <w:t xml:space="preserve">Les </w:t>
      </w:r>
      <w:r w:rsidRPr="00660F6B">
        <w:rPr>
          <w:rFonts w:asciiTheme="majorHAnsi" w:hAnsiTheme="majorHAnsi"/>
        </w:rPr>
        <w:t xml:space="preserve">demandeurs </w:t>
      </w:r>
      <w:r w:rsidRPr="00660F6B">
        <w:rPr>
          <w:rFonts w:ascii="Cambria" w:hAnsi="Cambria"/>
        </w:rPr>
        <w:t>devront :</w:t>
      </w:r>
    </w:p>
    <w:p w14:paraId="52ED93C9" w14:textId="77777777" w:rsidR="00596C3E" w:rsidRPr="00660F6B" w:rsidRDefault="00596C3E" w:rsidP="00596C3E">
      <w:pPr>
        <w:pStyle w:val="ListParagraph"/>
        <w:rPr>
          <w:rFonts w:ascii="Cambria" w:hAnsi="Cambria"/>
        </w:rPr>
      </w:pPr>
    </w:p>
    <w:p w14:paraId="7F4B6623" w14:textId="77777777" w:rsidR="00596C3E" w:rsidRPr="00660F6B" w:rsidRDefault="00596C3E" w:rsidP="00596C3E">
      <w:pPr>
        <w:ind w:left="1276" w:hanging="425"/>
        <w:rPr>
          <w:rFonts w:ascii="Cambria" w:hAnsi="Cambria"/>
        </w:rPr>
      </w:pPr>
      <w:r w:rsidRPr="00660F6B">
        <w:rPr>
          <w:rFonts w:ascii="Cambria" w:hAnsi="Cambria"/>
        </w:rPr>
        <w:t xml:space="preserve">i. </w:t>
      </w:r>
      <w:r w:rsidRPr="00660F6B">
        <w:rPr>
          <w:rFonts w:ascii="Cambria" w:hAnsi="Cambria"/>
        </w:rPr>
        <w:tab/>
        <w:t xml:space="preserve">voyager en utilisant le tarif le plus </w:t>
      </w:r>
      <w:bookmarkStart w:id="2" w:name="_Hlk62572222"/>
      <w:r w:rsidRPr="00660F6B">
        <w:rPr>
          <w:rFonts w:ascii="Cambria" w:hAnsi="Cambria"/>
        </w:rPr>
        <w:t xml:space="preserve">bas </w:t>
      </w:r>
      <w:bookmarkEnd w:id="2"/>
      <w:r w:rsidRPr="00660F6B">
        <w:rPr>
          <w:rFonts w:ascii="Cambria" w:hAnsi="Cambria"/>
        </w:rPr>
        <w:t xml:space="preserve">de la classe économique, </w:t>
      </w:r>
      <w:r w:rsidRPr="00660F6B">
        <w:rPr>
          <w:rFonts w:asciiTheme="majorHAnsi" w:hAnsiTheme="majorHAnsi"/>
        </w:rPr>
        <w:t>à moins qu'une autre classe tarifaire ne soit disponible à un coût inférieur ;</w:t>
      </w:r>
      <w:r w:rsidRPr="00660F6B">
        <w:rPr>
          <w:rFonts w:ascii="Cambria" w:hAnsi="Cambria"/>
        </w:rPr>
        <w:t xml:space="preserve"> et </w:t>
      </w:r>
    </w:p>
    <w:p w14:paraId="0A9A4341" w14:textId="77777777" w:rsidR="00596C3E" w:rsidRPr="00660F6B" w:rsidRDefault="00596C3E" w:rsidP="00596C3E">
      <w:pPr>
        <w:ind w:left="1276" w:hanging="425"/>
        <w:rPr>
          <w:rFonts w:ascii="Cambria" w:hAnsi="Cambria"/>
        </w:rPr>
      </w:pPr>
      <w:r w:rsidRPr="00660F6B">
        <w:rPr>
          <w:rFonts w:ascii="Cambria" w:hAnsi="Cambria"/>
        </w:rPr>
        <w:t xml:space="preserve">ii. </w:t>
      </w:r>
      <w:r w:rsidRPr="00660F6B">
        <w:rPr>
          <w:rFonts w:ascii="Cambria" w:hAnsi="Cambria"/>
        </w:rPr>
        <w:tab/>
        <w:t xml:space="preserve">définir leur itinéraire de vol au moins 30 jours avant le début de la réunion. </w:t>
      </w:r>
    </w:p>
    <w:p w14:paraId="5B12D5E0" w14:textId="77777777" w:rsidR="00596C3E" w:rsidRPr="00660F6B" w:rsidRDefault="00596C3E" w:rsidP="00596C3E">
      <w:pPr>
        <w:ind w:left="1080"/>
        <w:rPr>
          <w:rFonts w:ascii="Cambria" w:hAnsi="Cambria"/>
        </w:rPr>
      </w:pPr>
    </w:p>
    <w:p w14:paraId="7CA3D43A" w14:textId="77777777" w:rsidR="00596C3E" w:rsidRPr="00660F6B" w:rsidRDefault="00596C3E" w:rsidP="00596C3E">
      <w:pPr>
        <w:ind w:left="426" w:hanging="426"/>
        <w:rPr>
          <w:rFonts w:ascii="Cambria" w:hAnsi="Cambria"/>
        </w:rPr>
      </w:pPr>
      <w:r w:rsidRPr="00660F6B">
        <w:rPr>
          <w:rFonts w:ascii="Cambria" w:hAnsi="Cambria"/>
        </w:rPr>
        <w:t>5.</w:t>
      </w:r>
      <w:r w:rsidRPr="00660F6B">
        <w:rPr>
          <w:rFonts w:ascii="Cambria" w:hAnsi="Cambria"/>
        </w:rPr>
        <w:tab/>
        <w:t xml:space="preserve">Le Secrétaire exécutif de l'ICCAT devra soumettre un rapport annuel à la Commission sur l’état du Fonds, qui inclura un état financier des contributions et des dépenses relatives au Fonds. </w:t>
      </w:r>
    </w:p>
    <w:p w14:paraId="3411BDD1" w14:textId="77777777" w:rsidR="00596C3E" w:rsidRPr="00660F6B" w:rsidRDefault="00596C3E" w:rsidP="00596C3E">
      <w:pPr>
        <w:ind w:left="426" w:hanging="426"/>
        <w:rPr>
          <w:rFonts w:ascii="Cambria" w:hAnsi="Cambria"/>
        </w:rPr>
      </w:pPr>
    </w:p>
    <w:p w14:paraId="15A44B06" w14:textId="6493420C" w:rsidR="000B65BB" w:rsidRPr="00660F6B" w:rsidRDefault="00596C3E" w:rsidP="002D6561">
      <w:pPr>
        <w:ind w:left="426" w:hanging="426"/>
        <w:rPr>
          <w:rFonts w:ascii="Cambria" w:hAnsi="Cambria"/>
          <w:lang w:val="en-GB"/>
        </w:rPr>
      </w:pPr>
      <w:r w:rsidRPr="00660F6B">
        <w:rPr>
          <w:rFonts w:ascii="Cambria" w:hAnsi="Cambria"/>
        </w:rPr>
        <w:t>6.</w:t>
      </w:r>
      <w:r w:rsidRPr="00660F6B">
        <w:rPr>
          <w:rFonts w:ascii="Cambria" w:hAnsi="Cambria"/>
        </w:rPr>
        <w:tab/>
        <w:t>En ce qui concerne la participation aux réunions scientifiques de l’ICCAT, dont les réunions des groupes d’espèces du SCRS et d’autres réunions</w:t>
      </w:r>
      <w:r w:rsidR="002232A9" w:rsidRPr="00660F6B">
        <w:rPr>
          <w:rFonts w:ascii="Cambria" w:hAnsi="Cambria"/>
        </w:rPr>
        <w:t xml:space="preserve"> intersessions</w:t>
      </w:r>
      <w:r w:rsidR="00E23AC2" w:rsidRPr="00660F6B">
        <w:rPr>
          <w:rFonts w:ascii="Cambria" w:hAnsi="Cambria"/>
        </w:rPr>
        <w:t>, les</w:t>
      </w:r>
      <w:r w:rsidRPr="00660F6B">
        <w:rPr>
          <w:rFonts w:ascii="Cambria" w:hAnsi="Cambria"/>
        </w:rPr>
        <w:t xml:space="preserve"> </w:t>
      </w:r>
      <w:r w:rsidR="00EE76CB" w:rsidRPr="00660F6B">
        <w:rPr>
          <w:rFonts w:ascii="Cambria" w:hAnsi="Cambria"/>
        </w:rPr>
        <w:t>s</w:t>
      </w:r>
      <w:r w:rsidRPr="00660F6B">
        <w:rPr>
          <w:rFonts w:ascii="Cambria" w:hAnsi="Cambria"/>
        </w:rPr>
        <w:t xml:space="preserve">cientifiques </w:t>
      </w:r>
      <w:r w:rsidR="00E7273D" w:rsidRPr="00660F6B">
        <w:rPr>
          <w:rFonts w:ascii="-webkit-standard" w:hAnsi="-webkit-standard"/>
          <w:u w:val="single"/>
        </w:rPr>
        <w:t>accrédité</w:t>
      </w:r>
      <w:r w:rsidR="00E7273D" w:rsidRPr="00660F6B">
        <w:rPr>
          <w:rFonts w:ascii="-webkit-standard" w:hAnsi="-webkit-standard"/>
          <w:u w:val="single"/>
        </w:rPr>
        <w:t>s</w:t>
      </w:r>
      <w:r w:rsidR="00E7273D" w:rsidRPr="00660F6B">
        <w:rPr>
          <w:rFonts w:ascii="-webkit-standard" w:hAnsi="-webkit-standard"/>
          <w:u w:val="single"/>
        </w:rPr>
        <w:t xml:space="preserve"> comme tel par </w:t>
      </w:r>
      <w:r w:rsidR="00E7273D" w:rsidRPr="00660F6B">
        <w:rPr>
          <w:rFonts w:ascii="-webkit-standard" w:hAnsi="-webkit-standard"/>
          <w:u w:val="single"/>
        </w:rPr>
        <w:t xml:space="preserve">les </w:t>
      </w:r>
      <w:r w:rsidR="00E7273D" w:rsidRPr="00660F6B">
        <w:rPr>
          <w:rFonts w:ascii="-webkit-standard" w:hAnsi="-webkit-standard"/>
          <w:u w:val="single"/>
        </w:rPr>
        <w:t>CPC</w:t>
      </w:r>
      <w:r w:rsidR="00E7273D" w:rsidRPr="00660F6B">
        <w:rPr>
          <w:rFonts w:ascii="-webkit-standard" w:hAnsi="-webkit-standard"/>
          <w:u w:val="single"/>
        </w:rPr>
        <w:t xml:space="preserve"> en développement</w:t>
      </w:r>
      <w:r w:rsidR="00E7273D" w:rsidRPr="00660F6B">
        <w:rPr>
          <w:rFonts w:ascii="-webkit-standard" w:hAnsi="-webkit-standard"/>
        </w:rPr>
        <w:t xml:space="preserve"> </w:t>
      </w:r>
      <w:r w:rsidRPr="00660F6B">
        <w:rPr>
          <w:rFonts w:ascii="Cambria" w:hAnsi="Cambria"/>
        </w:rPr>
        <w:t xml:space="preserve">pourront solliciter une aide auprès du MPF, ou le cas échéant, des autres fonds existants alimentés par les contributions volontaires des CPC. </w:t>
      </w:r>
      <w:r w:rsidR="003266AD" w:rsidRPr="00660F6B">
        <w:rPr>
          <w:rFonts w:ascii="-webkit-standard" w:hAnsi="-webkit-standard"/>
          <w:u w:val="single"/>
        </w:rPr>
        <w:t>Afin d'assurer la participation constante, dynamique et efficace des scientifiques et, le cas échéant, des gestionnaires des CPC en développement, le Secrétariat devra faciliter l'utilisation du MPF ou des contributions volontaires disponibles, sans qu'il soit nécessaire de procéder à un examen supplémentaire par le Secrétariat ou les mandataires de la Commission.</w:t>
      </w:r>
    </w:p>
    <w:p w14:paraId="0328963F" w14:textId="77777777" w:rsidR="00596C3E" w:rsidRPr="00660F6B" w:rsidRDefault="00596C3E" w:rsidP="002D6561">
      <w:pPr>
        <w:pStyle w:val="ListParagraph"/>
        <w:ind w:left="426" w:hanging="426"/>
        <w:rPr>
          <w:rFonts w:ascii="Cambria" w:hAnsi="Cambria"/>
        </w:rPr>
      </w:pPr>
    </w:p>
    <w:p w14:paraId="044F0AD3" w14:textId="77777777" w:rsidR="001F5952" w:rsidRPr="00660F6B" w:rsidRDefault="00596C3E" w:rsidP="002D6561">
      <w:pPr>
        <w:ind w:left="426" w:hanging="426"/>
        <w:rPr>
          <w:rFonts w:ascii="Cambria" w:hAnsi="Cambria"/>
          <w:u w:val="single"/>
        </w:rPr>
      </w:pPr>
      <w:r w:rsidRPr="00660F6B">
        <w:rPr>
          <w:rFonts w:ascii="Cambria" w:hAnsi="Cambria"/>
          <w:u w:val="single"/>
        </w:rPr>
        <w:t>7.</w:t>
      </w:r>
      <w:r w:rsidRPr="00660F6B">
        <w:rPr>
          <w:rFonts w:ascii="Cambria" w:hAnsi="Cambria"/>
          <w:u w:val="single"/>
        </w:rPr>
        <w:tab/>
      </w:r>
      <w:r w:rsidR="001F5952" w:rsidRPr="00660F6B">
        <w:rPr>
          <w:rFonts w:ascii="Cambria" w:hAnsi="Cambria"/>
          <w:u w:val="single"/>
        </w:rPr>
        <w:t>Il devra financer la participation de deux participants seulement par Partie contractante à toute réunion, en gardant à l'esprit que, dans le cas du SWGSM, un gestionnaire et un scientifique peuvent bénéficier de l’assistance. Pour la participation à des réunions non scientifiques, les fonds seront alloués dans l'ordre dans lequel les demandes sont reçues.</w:t>
      </w:r>
    </w:p>
    <w:p w14:paraId="1564AF1F" w14:textId="77777777" w:rsidR="00596C3E" w:rsidRPr="00660F6B" w:rsidRDefault="00596C3E" w:rsidP="00596C3E">
      <w:pPr>
        <w:ind w:left="426" w:hanging="426"/>
        <w:jc w:val="left"/>
        <w:rPr>
          <w:rFonts w:ascii="Cambria" w:hAnsi="Cambria"/>
        </w:rPr>
      </w:pPr>
    </w:p>
    <w:p w14:paraId="529EE884" w14:textId="77777777" w:rsidR="00596C3E" w:rsidRPr="00660F6B" w:rsidRDefault="00596C3E" w:rsidP="00596C3E">
      <w:pPr>
        <w:ind w:left="426" w:hanging="426"/>
        <w:rPr>
          <w:rFonts w:ascii="Cambria" w:hAnsi="Cambria"/>
        </w:rPr>
      </w:pPr>
      <w:r w:rsidRPr="00660F6B">
        <w:rPr>
          <w:rFonts w:ascii="Cambria" w:hAnsi="Cambria"/>
        </w:rPr>
        <w:t>8.</w:t>
      </w:r>
      <w:r w:rsidRPr="00660F6B">
        <w:rPr>
          <w:rFonts w:ascii="Cambria" w:hAnsi="Cambria"/>
        </w:rPr>
        <w:tab/>
        <w:t xml:space="preserve">Les fonds placés dans le MPF devront être utilisés de manière à faire en sorte que la distribution soit équilibrée entre les réunions qui revêtent un caractère scientifique et celles qui ne le revêtent pas. </w:t>
      </w:r>
    </w:p>
    <w:p w14:paraId="354AE8E5" w14:textId="77777777" w:rsidR="00596C3E" w:rsidRPr="00660F6B" w:rsidRDefault="00596C3E" w:rsidP="00596C3E">
      <w:pPr>
        <w:ind w:left="426" w:hanging="426"/>
        <w:jc w:val="left"/>
        <w:rPr>
          <w:rFonts w:ascii="Cambria" w:hAnsi="Cambria"/>
        </w:rPr>
      </w:pPr>
    </w:p>
    <w:p w14:paraId="15D563F9" w14:textId="77777777" w:rsidR="00596C3E" w:rsidRPr="00660F6B" w:rsidRDefault="00596C3E" w:rsidP="00596C3E">
      <w:pPr>
        <w:ind w:left="426" w:hanging="426"/>
        <w:rPr>
          <w:rFonts w:ascii="Cambria" w:hAnsi="Cambria"/>
        </w:rPr>
      </w:pPr>
      <w:r w:rsidRPr="00660F6B">
        <w:rPr>
          <w:rFonts w:ascii="Cambria" w:hAnsi="Cambria"/>
        </w:rPr>
        <w:t>9.</w:t>
      </w:r>
      <w:r w:rsidRPr="00660F6B">
        <w:rPr>
          <w:rFonts w:ascii="Cambria" w:hAnsi="Cambria"/>
        </w:rPr>
        <w:tab/>
        <w:t xml:space="preserve">Tous les potentiels </w:t>
      </w:r>
      <w:r w:rsidRPr="00660F6B">
        <w:rPr>
          <w:rFonts w:asciiTheme="majorHAnsi" w:hAnsiTheme="majorHAnsi"/>
        </w:rPr>
        <w:t xml:space="preserve">demandeurs </w:t>
      </w:r>
      <w:r w:rsidRPr="00660F6B">
        <w:rPr>
          <w:rFonts w:ascii="Cambria" w:hAnsi="Cambria"/>
        </w:rPr>
        <w:t xml:space="preserve">éligibles sont encouragés à explorer des possibilités alternatives de financement dont peuvent disposer les Parties contractantes qui sont des Etats en développement avant de solliciter une aide auprès du MPF ou d’autres fonds volontaires pertinents de l’ICCAT. </w:t>
      </w:r>
    </w:p>
    <w:p w14:paraId="36690593" w14:textId="77777777" w:rsidR="00596C3E" w:rsidRPr="00660F6B" w:rsidRDefault="00596C3E" w:rsidP="00596C3E">
      <w:pPr>
        <w:ind w:left="426" w:hanging="426"/>
        <w:jc w:val="left"/>
        <w:rPr>
          <w:rFonts w:ascii="Cambria" w:hAnsi="Cambria"/>
        </w:rPr>
      </w:pPr>
    </w:p>
    <w:p w14:paraId="2E93FE0A" w14:textId="3AF8CBB1" w:rsidR="00585503" w:rsidRPr="002D6561" w:rsidRDefault="00596C3E" w:rsidP="002D6561">
      <w:pPr>
        <w:ind w:left="426" w:hanging="426"/>
        <w:rPr>
          <w:rFonts w:ascii="Cambria" w:hAnsi="Cambria"/>
        </w:rPr>
      </w:pPr>
      <w:r w:rsidRPr="00660F6B">
        <w:rPr>
          <w:rFonts w:ascii="Cambria" w:hAnsi="Cambria"/>
        </w:rPr>
        <w:t>10.</w:t>
      </w:r>
      <w:r w:rsidRPr="00660F6B">
        <w:rPr>
          <w:rFonts w:ascii="Cambria" w:hAnsi="Cambria"/>
        </w:rPr>
        <w:tab/>
        <w:t xml:space="preserve">La présente Recommandation remplace et abroge la Recommandation </w:t>
      </w:r>
      <w:r w:rsidR="000B035C" w:rsidRPr="00660F6B">
        <w:rPr>
          <w:rFonts w:ascii="Cambria" w:hAnsi="Cambria"/>
          <w:u w:val="single"/>
        </w:rPr>
        <w:t>20-09</w:t>
      </w:r>
      <w:r w:rsidRPr="00660F6B">
        <w:rPr>
          <w:rFonts w:ascii="Cambria" w:hAnsi="Cambria"/>
        </w:rPr>
        <w:t>dans son intégralité</w:t>
      </w:r>
      <w:r w:rsidR="002D6561" w:rsidRPr="00660F6B">
        <w:rPr>
          <w:rFonts w:ascii="Cambria" w:hAnsi="Cambria"/>
        </w:rPr>
        <w:t>.</w:t>
      </w:r>
    </w:p>
    <w:p w14:paraId="43864079" w14:textId="77777777" w:rsidR="00E82C4F" w:rsidRPr="00824C2D" w:rsidRDefault="00E82C4F" w:rsidP="002D6561">
      <w:pPr>
        <w:pStyle w:val="Header"/>
        <w:rPr>
          <w:rFonts w:asciiTheme="majorHAnsi" w:hAnsiTheme="majorHAnsi"/>
          <w:b/>
          <w:bCs/>
        </w:rPr>
      </w:pPr>
    </w:p>
    <w:sectPr w:rsidR="00E82C4F" w:rsidRPr="00824C2D" w:rsidSect="00333C63">
      <w:headerReference w:type="default" r:id="rId8"/>
      <w:footerReference w:type="default" r:id="rId9"/>
      <w:pgSz w:w="11907" w:h="16840" w:code="9"/>
      <w:pgMar w:top="1134" w:right="1418" w:bottom="851" w:left="1418" w:header="851"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3873B" w14:textId="77777777" w:rsidR="00394FE1" w:rsidRDefault="00394FE1">
      <w:r>
        <w:separator/>
      </w:r>
    </w:p>
  </w:endnote>
  <w:endnote w:type="continuationSeparator" w:id="0">
    <w:p w14:paraId="654403D2" w14:textId="77777777" w:rsidR="00394FE1" w:rsidRDefault="0039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66DF" w14:textId="777AAADC" w:rsidR="000B7D8E" w:rsidRPr="005C164A" w:rsidRDefault="005868BD" w:rsidP="00C227DE">
    <w:pPr>
      <w:pStyle w:val="Footer"/>
      <w:jc w:val="center"/>
      <w:rPr>
        <w:rFonts w:asciiTheme="majorHAnsi" w:hAnsiTheme="majorHAnsi"/>
      </w:rPr>
    </w:pPr>
    <w:r w:rsidRPr="005C164A">
      <w:rPr>
        <w:rFonts w:asciiTheme="majorHAnsi" w:hAnsiTheme="majorHAnsi"/>
      </w:rPr>
      <w:fldChar w:fldCharType="begin"/>
    </w:r>
    <w:r w:rsidR="00FF0D12" w:rsidRPr="005C164A">
      <w:rPr>
        <w:rFonts w:asciiTheme="majorHAnsi" w:hAnsiTheme="majorHAnsi"/>
      </w:rPr>
      <w:instrText xml:space="preserve"> PAGE </w:instrText>
    </w:r>
    <w:r w:rsidRPr="005C164A">
      <w:rPr>
        <w:rFonts w:asciiTheme="majorHAnsi" w:hAnsiTheme="majorHAnsi"/>
      </w:rPr>
      <w:fldChar w:fldCharType="separate"/>
    </w:r>
    <w:r w:rsidR="00FF6F08">
      <w:rPr>
        <w:rFonts w:asciiTheme="majorHAnsi" w:hAnsiTheme="majorHAnsi"/>
      </w:rPr>
      <w:t>1</w:t>
    </w:r>
    <w:r w:rsidRPr="005C164A">
      <w:rPr>
        <w:rFonts w:asciiTheme="majorHAnsi" w:hAnsiTheme="majorHAnsi"/>
      </w:rPr>
      <w:fldChar w:fldCharType="end"/>
    </w:r>
    <w:r>
      <w:rPr>
        <w:rFonts w:asciiTheme="majorHAnsi" w:hAnsiTheme="majorHAnsi"/>
      </w:rPr>
      <w:t>/</w:t>
    </w:r>
    <w:r w:rsidRPr="005C164A">
      <w:rPr>
        <w:rFonts w:asciiTheme="majorHAnsi" w:hAnsiTheme="majorHAnsi"/>
      </w:rPr>
      <w:fldChar w:fldCharType="begin"/>
    </w:r>
    <w:r w:rsidR="00FF0D12" w:rsidRPr="005C164A">
      <w:rPr>
        <w:rFonts w:asciiTheme="majorHAnsi" w:hAnsiTheme="majorHAnsi"/>
      </w:rPr>
      <w:instrText xml:space="preserve"> NUMPAGES </w:instrText>
    </w:r>
    <w:r w:rsidRPr="005C164A">
      <w:rPr>
        <w:rFonts w:asciiTheme="majorHAnsi" w:hAnsiTheme="majorHAnsi"/>
      </w:rPr>
      <w:fldChar w:fldCharType="separate"/>
    </w:r>
    <w:r w:rsidR="00FF6F08">
      <w:rPr>
        <w:rFonts w:asciiTheme="majorHAnsi" w:hAnsiTheme="majorHAnsi"/>
      </w:rPr>
      <w:t>2</w:t>
    </w:r>
    <w:r w:rsidRPr="005C164A">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DB76A" w14:textId="77777777" w:rsidR="00394FE1" w:rsidRDefault="00394FE1">
      <w:r>
        <w:separator/>
      </w:r>
    </w:p>
  </w:footnote>
  <w:footnote w:type="continuationSeparator" w:id="0">
    <w:p w14:paraId="411456BC" w14:textId="77777777" w:rsidR="00394FE1" w:rsidRDefault="00394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1C0A" w14:textId="2608F997" w:rsidR="007A0C7A" w:rsidRPr="00776E69" w:rsidRDefault="007A0C7A" w:rsidP="007A0C7A">
    <w:pPr>
      <w:tabs>
        <w:tab w:val="center" w:pos="4680"/>
        <w:tab w:val="left" w:pos="6520"/>
        <w:tab w:val="right" w:pos="9360"/>
        <w:tab w:val="right" w:pos="14240"/>
      </w:tabs>
      <w:jc w:val="right"/>
      <w:rPr>
        <w:rFonts w:ascii="Cambria" w:eastAsia="Calibri" w:hAnsi="Cambria"/>
        <w:b/>
        <w:bCs/>
      </w:rPr>
    </w:pPr>
    <w:r>
      <w:rPr>
        <w:rFonts w:ascii="Cambria" w:hAnsi="Cambria"/>
        <w:b/>
      </w:rPr>
      <w:t>STF_</w:t>
    </w:r>
    <w:r w:rsidR="00A57A2E">
      <w:rPr>
        <w:rFonts w:ascii="Cambria" w:hAnsi="Cambria"/>
        <w:b/>
      </w:rPr>
      <w:t>221</w:t>
    </w:r>
    <w:r>
      <w:rPr>
        <w:rFonts w:ascii="Cambria" w:hAnsi="Cambria"/>
        <w:b/>
      </w:rPr>
      <w:t>/202</w:t>
    </w:r>
    <w:r w:rsidR="00B34E9D">
      <w:rPr>
        <w:rFonts w:ascii="Cambria" w:hAnsi="Cambria"/>
        <w:b/>
      </w:rPr>
      <w:t>5</w:t>
    </w:r>
  </w:p>
  <w:p w14:paraId="707C55AA" w14:textId="10D2045A" w:rsidR="007A0C7A" w:rsidRDefault="007A0C7A" w:rsidP="007A0C7A">
    <w:pPr>
      <w:tabs>
        <w:tab w:val="left" w:pos="7320"/>
      </w:tabs>
      <w:spacing w:line="240" w:lineRule="exact"/>
      <w:jc w:val="right"/>
      <w:rPr>
        <w:rFonts w:ascii="Cambria" w:eastAsia="Times New Roman" w:hAnsi="Cambria"/>
        <w:b/>
        <w:bCs/>
        <w:sz w:val="16"/>
        <w:szCs w:val="16"/>
        <w:lang w:val="es-ES_tradnl" w:eastAsia="en-US"/>
      </w:rPr>
    </w:pPr>
    <w:r w:rsidRPr="00776E69">
      <w:rPr>
        <w:rFonts w:ascii="Cambria" w:eastAsia="Times New Roman" w:hAnsi="Cambria"/>
        <w:b/>
        <w:sz w:val="16"/>
      </w:rPr>
      <w:fldChar w:fldCharType="begin"/>
    </w:r>
    <w:r w:rsidRPr="00776E69">
      <w:rPr>
        <w:rFonts w:ascii="Cambria" w:eastAsia="Times New Roman" w:hAnsi="Cambria"/>
        <w:b/>
        <w:sz w:val="16"/>
      </w:rPr>
      <w:instrText xml:space="preserve"> TIME \@ "dd/MM/yyyy H:mm" </w:instrText>
    </w:r>
    <w:r w:rsidRPr="00776E69">
      <w:rPr>
        <w:rFonts w:ascii="Cambria" w:eastAsia="Times New Roman" w:hAnsi="Cambria"/>
        <w:b/>
        <w:sz w:val="16"/>
      </w:rPr>
      <w:fldChar w:fldCharType="separate"/>
    </w:r>
    <w:r w:rsidR="00A57A2E">
      <w:rPr>
        <w:rFonts w:ascii="Cambria" w:eastAsia="Times New Roman" w:hAnsi="Cambria"/>
        <w:b/>
        <w:noProof/>
        <w:sz w:val="16"/>
      </w:rPr>
      <w:t>21/11/2025 17:11</w:t>
    </w:r>
    <w:r w:rsidRPr="00776E69">
      <w:rPr>
        <w:rFonts w:ascii="Cambria" w:eastAsia="Times New Roman" w:hAnsi="Cambria"/>
        <w:b/>
        <w:bCs/>
        <w:sz w:val="16"/>
        <w:szCs w:val="16"/>
        <w:lang w:val="es-ES_tradnl"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6F3"/>
    <w:multiLevelType w:val="hybridMultilevel"/>
    <w:tmpl w:val="E5C2DE34"/>
    <w:lvl w:ilvl="0" w:tplc="4712EC5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73C4A79"/>
    <w:multiLevelType w:val="hybridMultilevel"/>
    <w:tmpl w:val="C6FC2E9E"/>
    <w:lvl w:ilvl="0" w:tplc="CFCEC47E">
      <w:numFmt w:val="bullet"/>
      <w:lvlText w:val="-"/>
      <w:lvlJc w:val="left"/>
      <w:pPr>
        <w:tabs>
          <w:tab w:val="num" w:pos="720"/>
        </w:tabs>
        <w:ind w:left="720" w:hanging="360"/>
      </w:pPr>
      <w:rPr>
        <w:rFonts w:ascii="Times New Roman" w:eastAsia="Batang"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46C3A"/>
    <w:multiLevelType w:val="hybridMultilevel"/>
    <w:tmpl w:val="FB70C1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8427098"/>
    <w:multiLevelType w:val="hybridMultilevel"/>
    <w:tmpl w:val="7C985972"/>
    <w:lvl w:ilvl="0" w:tplc="CFE07FEA">
      <w:start w:val="1"/>
      <w:numFmt w:val="decimal"/>
      <w:lvlText w:val="%1."/>
      <w:lvlJc w:val="left"/>
      <w:pPr>
        <w:ind w:left="428" w:hanging="428"/>
      </w:pPr>
      <w:rPr>
        <w:rFonts w:ascii="Cambria" w:eastAsia="Cambria" w:hAnsi="Cambria" w:cs="Cambria" w:hint="default"/>
        <w:b/>
        <w:bCs/>
        <w:i w:val="0"/>
        <w:iCs w:val="0"/>
        <w:spacing w:val="-1"/>
        <w:w w:val="99"/>
        <w:sz w:val="20"/>
        <w:szCs w:val="20"/>
        <w:lang w:val="fr-FR" w:eastAsia="en-US" w:bidi="ar-SA"/>
      </w:rPr>
    </w:lvl>
    <w:lvl w:ilvl="1" w:tplc="CA3025B6">
      <w:start w:val="1"/>
      <w:numFmt w:val="lowerLetter"/>
      <w:lvlText w:val="%2."/>
      <w:lvlJc w:val="left"/>
      <w:pPr>
        <w:ind w:left="852" w:hanging="425"/>
      </w:pPr>
      <w:rPr>
        <w:rFonts w:ascii="Cambria" w:eastAsia="Cambria" w:hAnsi="Cambria" w:cs="Cambria" w:hint="default"/>
        <w:b w:val="0"/>
        <w:bCs w:val="0"/>
        <w:i w:val="0"/>
        <w:iCs w:val="0"/>
        <w:spacing w:val="0"/>
        <w:w w:val="99"/>
        <w:sz w:val="20"/>
        <w:szCs w:val="20"/>
        <w:lang w:val="fr-FR" w:eastAsia="en-US" w:bidi="ar-SA"/>
      </w:rPr>
    </w:lvl>
    <w:lvl w:ilvl="2" w:tplc="1D16441E">
      <w:start w:val="1"/>
      <w:numFmt w:val="lowerRoman"/>
      <w:lvlText w:val="%3"/>
      <w:lvlJc w:val="left"/>
      <w:pPr>
        <w:ind w:left="1277" w:hanging="425"/>
      </w:pPr>
      <w:rPr>
        <w:rFonts w:ascii="Times New Roman" w:eastAsia="Times New Roman" w:hAnsi="Times New Roman" w:cs="Times New Roman" w:hint="default"/>
        <w:b w:val="0"/>
        <w:bCs w:val="0"/>
        <w:i w:val="0"/>
        <w:iCs w:val="0"/>
        <w:spacing w:val="0"/>
        <w:w w:val="99"/>
        <w:sz w:val="20"/>
        <w:szCs w:val="20"/>
        <w:lang w:val="fr-FR" w:eastAsia="en-US" w:bidi="ar-SA"/>
      </w:rPr>
    </w:lvl>
    <w:lvl w:ilvl="3" w:tplc="7E9CC354">
      <w:numFmt w:val="bullet"/>
      <w:lvlText w:val="•"/>
      <w:lvlJc w:val="left"/>
      <w:pPr>
        <w:ind w:left="2271" w:hanging="425"/>
      </w:pPr>
      <w:rPr>
        <w:rFonts w:hint="default"/>
        <w:lang w:val="fr-FR" w:eastAsia="en-US" w:bidi="ar-SA"/>
      </w:rPr>
    </w:lvl>
    <w:lvl w:ilvl="4" w:tplc="F64A26B0">
      <w:numFmt w:val="bullet"/>
      <w:lvlText w:val="•"/>
      <w:lvlJc w:val="left"/>
      <w:pPr>
        <w:ind w:left="3263" w:hanging="425"/>
      </w:pPr>
      <w:rPr>
        <w:rFonts w:hint="default"/>
        <w:lang w:val="fr-FR" w:eastAsia="en-US" w:bidi="ar-SA"/>
      </w:rPr>
    </w:lvl>
    <w:lvl w:ilvl="5" w:tplc="AEA6AE34">
      <w:numFmt w:val="bullet"/>
      <w:lvlText w:val="•"/>
      <w:lvlJc w:val="left"/>
      <w:pPr>
        <w:ind w:left="4255" w:hanging="425"/>
      </w:pPr>
      <w:rPr>
        <w:rFonts w:hint="default"/>
        <w:lang w:val="fr-FR" w:eastAsia="en-US" w:bidi="ar-SA"/>
      </w:rPr>
    </w:lvl>
    <w:lvl w:ilvl="6" w:tplc="A2F88AB4">
      <w:numFmt w:val="bullet"/>
      <w:lvlText w:val="•"/>
      <w:lvlJc w:val="left"/>
      <w:pPr>
        <w:ind w:left="5247" w:hanging="425"/>
      </w:pPr>
      <w:rPr>
        <w:rFonts w:hint="default"/>
        <w:lang w:val="fr-FR" w:eastAsia="en-US" w:bidi="ar-SA"/>
      </w:rPr>
    </w:lvl>
    <w:lvl w:ilvl="7" w:tplc="906E708C">
      <w:numFmt w:val="bullet"/>
      <w:lvlText w:val="•"/>
      <w:lvlJc w:val="left"/>
      <w:pPr>
        <w:ind w:left="6239" w:hanging="425"/>
      </w:pPr>
      <w:rPr>
        <w:rFonts w:hint="default"/>
        <w:lang w:val="fr-FR" w:eastAsia="en-US" w:bidi="ar-SA"/>
      </w:rPr>
    </w:lvl>
    <w:lvl w:ilvl="8" w:tplc="418E573A">
      <w:numFmt w:val="bullet"/>
      <w:lvlText w:val="•"/>
      <w:lvlJc w:val="left"/>
      <w:pPr>
        <w:ind w:left="7230" w:hanging="425"/>
      </w:pPr>
      <w:rPr>
        <w:rFonts w:hint="default"/>
        <w:lang w:val="fr-FR" w:eastAsia="en-US" w:bidi="ar-SA"/>
      </w:rPr>
    </w:lvl>
  </w:abstractNum>
  <w:abstractNum w:abstractNumId="4" w15:restartNumberingAfterBreak="0">
    <w:nsid w:val="0BE16728"/>
    <w:multiLevelType w:val="hybridMultilevel"/>
    <w:tmpl w:val="A48877D8"/>
    <w:lvl w:ilvl="0" w:tplc="F2622974">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5" w15:restartNumberingAfterBreak="0">
    <w:nsid w:val="1185425E"/>
    <w:multiLevelType w:val="hybridMultilevel"/>
    <w:tmpl w:val="D2F82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387650"/>
    <w:multiLevelType w:val="hybridMultilevel"/>
    <w:tmpl w:val="2DDEEB84"/>
    <w:lvl w:ilvl="0" w:tplc="B8148BE8">
      <w:start w:val="1"/>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E807ACE"/>
    <w:multiLevelType w:val="hybridMultilevel"/>
    <w:tmpl w:val="3DB477FA"/>
    <w:lvl w:ilvl="0" w:tplc="FFFFFFFF">
      <w:start w:val="1"/>
      <w:numFmt w:val="lowerLetter"/>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A61935"/>
    <w:multiLevelType w:val="hybridMultilevel"/>
    <w:tmpl w:val="721E5320"/>
    <w:lvl w:ilvl="0" w:tplc="B83AF768">
      <w:start w:val="1"/>
      <w:numFmt w:val="decimal"/>
      <w:lvlText w:val="%1."/>
      <w:lvlJc w:val="left"/>
      <w:pPr>
        <w:ind w:left="30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pPr>
      <w:rPr>
        <w:rFonts w:hint="default"/>
        <w:b w:val="0"/>
        <w:i w:val="0"/>
        <w:strike w:val="0"/>
        <w:dstrike w:val="0"/>
        <w:color w:val="000000"/>
        <w:sz w:val="20"/>
        <w:szCs w:val="20"/>
        <w:u w:val="none" w:color="000000"/>
        <w:bdr w:val="none" w:sz="0" w:space="0" w:color="auto"/>
        <w:shd w:val="clear" w:color="auto" w:fill="auto"/>
        <w:vertAlign w:val="baseline"/>
        <w:lang w:val="es-ES_tradnl"/>
      </w:rPr>
    </w:lvl>
    <w:lvl w:ilvl="2" w:tplc="6ECCF8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DC6D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EE83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C61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BAFC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F239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8CD7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965772A"/>
    <w:multiLevelType w:val="hybridMultilevel"/>
    <w:tmpl w:val="938CCC84"/>
    <w:lvl w:ilvl="0" w:tplc="77A6B04A">
      <w:start w:val="1"/>
      <w:numFmt w:val="decimal"/>
      <w:lvlText w:val="%1."/>
      <w:lvlJc w:val="left"/>
      <w:pPr>
        <w:ind w:left="428" w:hanging="428"/>
      </w:pPr>
      <w:rPr>
        <w:rFonts w:ascii="Cambria" w:eastAsia="Cambria" w:hAnsi="Cambria" w:cs="Cambria" w:hint="default"/>
        <w:b w:val="0"/>
        <w:bCs w:val="0"/>
        <w:i w:val="0"/>
        <w:iCs w:val="0"/>
        <w:spacing w:val="0"/>
        <w:w w:val="99"/>
        <w:sz w:val="20"/>
        <w:szCs w:val="20"/>
        <w:lang w:val="fr-FR" w:eastAsia="en-US" w:bidi="ar-SA"/>
      </w:rPr>
    </w:lvl>
    <w:lvl w:ilvl="1" w:tplc="97783BD0">
      <w:start w:val="1"/>
      <w:numFmt w:val="lowerLetter"/>
      <w:lvlText w:val="%2."/>
      <w:lvlJc w:val="left"/>
      <w:pPr>
        <w:ind w:left="853" w:hanging="425"/>
      </w:pPr>
      <w:rPr>
        <w:rFonts w:ascii="Cambria" w:eastAsia="Cambria" w:hAnsi="Cambria" w:cs="Cambria" w:hint="default"/>
        <w:b w:val="0"/>
        <w:bCs w:val="0"/>
        <w:i w:val="0"/>
        <w:iCs w:val="0"/>
        <w:spacing w:val="0"/>
        <w:w w:val="99"/>
        <w:sz w:val="20"/>
        <w:szCs w:val="20"/>
        <w:lang w:val="fr-FR" w:eastAsia="en-US" w:bidi="ar-SA"/>
      </w:rPr>
    </w:lvl>
    <w:lvl w:ilvl="2" w:tplc="198EB8B0">
      <w:numFmt w:val="bullet"/>
      <w:lvlText w:val="•"/>
      <w:lvlJc w:val="left"/>
      <w:pPr>
        <w:ind w:left="1788" w:hanging="425"/>
      </w:pPr>
      <w:rPr>
        <w:rFonts w:hint="default"/>
        <w:lang w:val="fr-FR" w:eastAsia="en-US" w:bidi="ar-SA"/>
      </w:rPr>
    </w:lvl>
    <w:lvl w:ilvl="3" w:tplc="AEFCAF0A">
      <w:numFmt w:val="bullet"/>
      <w:lvlText w:val="•"/>
      <w:lvlJc w:val="left"/>
      <w:pPr>
        <w:ind w:left="2716" w:hanging="425"/>
      </w:pPr>
      <w:rPr>
        <w:rFonts w:hint="default"/>
        <w:lang w:val="fr-FR" w:eastAsia="en-US" w:bidi="ar-SA"/>
      </w:rPr>
    </w:lvl>
    <w:lvl w:ilvl="4" w:tplc="8F8A45BC">
      <w:numFmt w:val="bullet"/>
      <w:lvlText w:val="•"/>
      <w:lvlJc w:val="left"/>
      <w:pPr>
        <w:ind w:left="3644" w:hanging="425"/>
      </w:pPr>
      <w:rPr>
        <w:rFonts w:hint="default"/>
        <w:lang w:val="fr-FR" w:eastAsia="en-US" w:bidi="ar-SA"/>
      </w:rPr>
    </w:lvl>
    <w:lvl w:ilvl="5" w:tplc="9E165564">
      <w:numFmt w:val="bullet"/>
      <w:lvlText w:val="•"/>
      <w:lvlJc w:val="left"/>
      <w:pPr>
        <w:ind w:left="4573" w:hanging="425"/>
      </w:pPr>
      <w:rPr>
        <w:rFonts w:hint="default"/>
        <w:lang w:val="fr-FR" w:eastAsia="en-US" w:bidi="ar-SA"/>
      </w:rPr>
    </w:lvl>
    <w:lvl w:ilvl="6" w:tplc="6EC61BD0">
      <w:numFmt w:val="bullet"/>
      <w:lvlText w:val="•"/>
      <w:lvlJc w:val="left"/>
      <w:pPr>
        <w:ind w:left="5501" w:hanging="425"/>
      </w:pPr>
      <w:rPr>
        <w:rFonts w:hint="default"/>
        <w:lang w:val="fr-FR" w:eastAsia="en-US" w:bidi="ar-SA"/>
      </w:rPr>
    </w:lvl>
    <w:lvl w:ilvl="7" w:tplc="4D7E5BFA">
      <w:numFmt w:val="bullet"/>
      <w:lvlText w:val="•"/>
      <w:lvlJc w:val="left"/>
      <w:pPr>
        <w:ind w:left="6429" w:hanging="425"/>
      </w:pPr>
      <w:rPr>
        <w:rFonts w:hint="default"/>
        <w:lang w:val="fr-FR" w:eastAsia="en-US" w:bidi="ar-SA"/>
      </w:rPr>
    </w:lvl>
    <w:lvl w:ilvl="8" w:tplc="D8BC4B4C">
      <w:numFmt w:val="bullet"/>
      <w:lvlText w:val="•"/>
      <w:lvlJc w:val="left"/>
      <w:pPr>
        <w:ind w:left="7357" w:hanging="425"/>
      </w:pPr>
      <w:rPr>
        <w:rFonts w:hint="default"/>
        <w:lang w:val="fr-FR" w:eastAsia="en-US" w:bidi="ar-SA"/>
      </w:rPr>
    </w:lvl>
  </w:abstractNum>
  <w:abstractNum w:abstractNumId="10" w15:restartNumberingAfterBreak="0">
    <w:nsid w:val="52E8627C"/>
    <w:multiLevelType w:val="hybridMultilevel"/>
    <w:tmpl w:val="3EC2EA92"/>
    <w:lvl w:ilvl="0" w:tplc="D6B43316">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74EF4E59"/>
    <w:multiLevelType w:val="hybridMultilevel"/>
    <w:tmpl w:val="3DB477FA"/>
    <w:lvl w:ilvl="0" w:tplc="D71043AA">
      <w:start w:val="1"/>
      <w:numFmt w:val="lowerLetter"/>
      <w:lvlText w:val="%1)"/>
      <w:lvlJc w:val="left"/>
      <w:pPr>
        <w:ind w:left="720" w:hanging="36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ABE2167"/>
    <w:multiLevelType w:val="hybridMultilevel"/>
    <w:tmpl w:val="CB809076"/>
    <w:lvl w:ilvl="0" w:tplc="7DD26A4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4" w15:restartNumberingAfterBreak="0">
    <w:nsid w:val="7DC965EF"/>
    <w:multiLevelType w:val="hybridMultilevel"/>
    <w:tmpl w:val="1952B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61453505">
    <w:abstractNumId w:val="6"/>
  </w:num>
  <w:num w:numId="2" w16cid:durableId="3213467">
    <w:abstractNumId w:val="2"/>
  </w:num>
  <w:num w:numId="3" w16cid:durableId="1112213205">
    <w:abstractNumId w:val="0"/>
  </w:num>
  <w:num w:numId="4" w16cid:durableId="780495985">
    <w:abstractNumId w:val="1"/>
  </w:num>
  <w:num w:numId="5" w16cid:durableId="1963612034">
    <w:abstractNumId w:val="5"/>
  </w:num>
  <w:num w:numId="6" w16cid:durableId="608976197">
    <w:abstractNumId w:val="13"/>
  </w:num>
  <w:num w:numId="7" w16cid:durableId="1410618514">
    <w:abstractNumId w:val="9"/>
  </w:num>
  <w:num w:numId="8" w16cid:durableId="365257995">
    <w:abstractNumId w:val="3"/>
  </w:num>
  <w:num w:numId="9" w16cid:durableId="12265900">
    <w:abstractNumId w:val="12"/>
  </w:num>
  <w:num w:numId="10" w16cid:durableId="1349062802">
    <w:abstractNumId w:val="4"/>
  </w:num>
  <w:num w:numId="11" w16cid:durableId="2043556117">
    <w:abstractNumId w:val="7"/>
  </w:num>
  <w:num w:numId="12" w16cid:durableId="215749468">
    <w:abstractNumId w:val="10"/>
  </w:num>
  <w:num w:numId="13" w16cid:durableId="1317687232">
    <w:abstractNumId w:val="14"/>
  </w:num>
  <w:num w:numId="14" w16cid:durableId="1145508772">
    <w:abstractNumId w:val="11"/>
  </w:num>
  <w:num w:numId="15" w16cid:durableId="1212156635">
    <w:abstractNumId w:val="8"/>
  </w:num>
  <w:num w:numId="16" w16cid:durableId="499545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DE"/>
    <w:rsid w:val="00003AD7"/>
    <w:rsid w:val="0000505D"/>
    <w:rsid w:val="00006C99"/>
    <w:rsid w:val="00010002"/>
    <w:rsid w:val="00011EC9"/>
    <w:rsid w:val="000132B1"/>
    <w:rsid w:val="000162C1"/>
    <w:rsid w:val="0002727F"/>
    <w:rsid w:val="000303A6"/>
    <w:rsid w:val="000303DA"/>
    <w:rsid w:val="0003577C"/>
    <w:rsid w:val="0003598E"/>
    <w:rsid w:val="00036873"/>
    <w:rsid w:val="00036D10"/>
    <w:rsid w:val="00037111"/>
    <w:rsid w:val="00040E79"/>
    <w:rsid w:val="000415FB"/>
    <w:rsid w:val="000424C9"/>
    <w:rsid w:val="00044C56"/>
    <w:rsid w:val="00044C68"/>
    <w:rsid w:val="000451E8"/>
    <w:rsid w:val="0004662A"/>
    <w:rsid w:val="00047691"/>
    <w:rsid w:val="00050BEA"/>
    <w:rsid w:val="00053E50"/>
    <w:rsid w:val="000542B2"/>
    <w:rsid w:val="00054702"/>
    <w:rsid w:val="00060717"/>
    <w:rsid w:val="00061F23"/>
    <w:rsid w:val="00062541"/>
    <w:rsid w:val="000655B1"/>
    <w:rsid w:val="00067269"/>
    <w:rsid w:val="000708DD"/>
    <w:rsid w:val="00072288"/>
    <w:rsid w:val="000733E1"/>
    <w:rsid w:val="00076D9F"/>
    <w:rsid w:val="0007773C"/>
    <w:rsid w:val="00083252"/>
    <w:rsid w:val="00084E0D"/>
    <w:rsid w:val="00086C8D"/>
    <w:rsid w:val="000978F4"/>
    <w:rsid w:val="00097FB5"/>
    <w:rsid w:val="000A1C69"/>
    <w:rsid w:val="000A279B"/>
    <w:rsid w:val="000A36E7"/>
    <w:rsid w:val="000B035C"/>
    <w:rsid w:val="000B1EC1"/>
    <w:rsid w:val="000B65BB"/>
    <w:rsid w:val="000B7D8E"/>
    <w:rsid w:val="000C0DF0"/>
    <w:rsid w:val="000C6CA0"/>
    <w:rsid w:val="000D235E"/>
    <w:rsid w:val="000D4F2D"/>
    <w:rsid w:val="000D5ED8"/>
    <w:rsid w:val="000D79BB"/>
    <w:rsid w:val="000D7D19"/>
    <w:rsid w:val="000E1A3F"/>
    <w:rsid w:val="000E1A65"/>
    <w:rsid w:val="000F259A"/>
    <w:rsid w:val="000F4DA4"/>
    <w:rsid w:val="000F5369"/>
    <w:rsid w:val="000F647D"/>
    <w:rsid w:val="00100F69"/>
    <w:rsid w:val="001030C2"/>
    <w:rsid w:val="001042E9"/>
    <w:rsid w:val="00110494"/>
    <w:rsid w:val="001137F5"/>
    <w:rsid w:val="00116EC7"/>
    <w:rsid w:val="00117B4E"/>
    <w:rsid w:val="001225E4"/>
    <w:rsid w:val="0013085B"/>
    <w:rsid w:val="00131EEF"/>
    <w:rsid w:val="00133269"/>
    <w:rsid w:val="00135F96"/>
    <w:rsid w:val="00141B58"/>
    <w:rsid w:val="0014262E"/>
    <w:rsid w:val="00142A32"/>
    <w:rsid w:val="001432A5"/>
    <w:rsid w:val="001436FC"/>
    <w:rsid w:val="00147AFC"/>
    <w:rsid w:val="0015018D"/>
    <w:rsid w:val="00155A8C"/>
    <w:rsid w:val="001622D1"/>
    <w:rsid w:val="0016514B"/>
    <w:rsid w:val="00166B1D"/>
    <w:rsid w:val="00170CAA"/>
    <w:rsid w:val="001759E8"/>
    <w:rsid w:val="00175DAB"/>
    <w:rsid w:val="00176528"/>
    <w:rsid w:val="0017754B"/>
    <w:rsid w:val="00182D0A"/>
    <w:rsid w:val="0018330F"/>
    <w:rsid w:val="0018688B"/>
    <w:rsid w:val="001909D2"/>
    <w:rsid w:val="00190B89"/>
    <w:rsid w:val="00192263"/>
    <w:rsid w:val="00196382"/>
    <w:rsid w:val="00196C52"/>
    <w:rsid w:val="00197A6B"/>
    <w:rsid w:val="001A071B"/>
    <w:rsid w:val="001A33A5"/>
    <w:rsid w:val="001A62B3"/>
    <w:rsid w:val="001B1D24"/>
    <w:rsid w:val="001B43A6"/>
    <w:rsid w:val="001B4705"/>
    <w:rsid w:val="001C2F57"/>
    <w:rsid w:val="001C387E"/>
    <w:rsid w:val="001C3E20"/>
    <w:rsid w:val="001C45F0"/>
    <w:rsid w:val="001C57BC"/>
    <w:rsid w:val="001C7350"/>
    <w:rsid w:val="001D4E0A"/>
    <w:rsid w:val="001D5DA8"/>
    <w:rsid w:val="001D649A"/>
    <w:rsid w:val="001D6F41"/>
    <w:rsid w:val="001E05D4"/>
    <w:rsid w:val="001E6B8E"/>
    <w:rsid w:val="001F09B8"/>
    <w:rsid w:val="001F5014"/>
    <w:rsid w:val="001F5952"/>
    <w:rsid w:val="001F5B05"/>
    <w:rsid w:val="00200DF9"/>
    <w:rsid w:val="00201C40"/>
    <w:rsid w:val="00201D3F"/>
    <w:rsid w:val="00201EFC"/>
    <w:rsid w:val="00202B90"/>
    <w:rsid w:val="00205532"/>
    <w:rsid w:val="00206084"/>
    <w:rsid w:val="002111F8"/>
    <w:rsid w:val="00211AE4"/>
    <w:rsid w:val="002232A9"/>
    <w:rsid w:val="002340B8"/>
    <w:rsid w:val="00234B75"/>
    <w:rsid w:val="00234F4D"/>
    <w:rsid w:val="002354AC"/>
    <w:rsid w:val="002405C9"/>
    <w:rsid w:val="002436DA"/>
    <w:rsid w:val="002519DF"/>
    <w:rsid w:val="00253104"/>
    <w:rsid w:val="00255D6A"/>
    <w:rsid w:val="002577EC"/>
    <w:rsid w:val="00261B76"/>
    <w:rsid w:val="00262B2B"/>
    <w:rsid w:val="00265815"/>
    <w:rsid w:val="0027189D"/>
    <w:rsid w:val="00271FAE"/>
    <w:rsid w:val="00272445"/>
    <w:rsid w:val="00274C4D"/>
    <w:rsid w:val="00281636"/>
    <w:rsid w:val="00284998"/>
    <w:rsid w:val="00284C59"/>
    <w:rsid w:val="002907B3"/>
    <w:rsid w:val="00296353"/>
    <w:rsid w:val="002A314D"/>
    <w:rsid w:val="002A3C93"/>
    <w:rsid w:val="002A6028"/>
    <w:rsid w:val="002A617D"/>
    <w:rsid w:val="002A7ABE"/>
    <w:rsid w:val="002A7FEE"/>
    <w:rsid w:val="002B2056"/>
    <w:rsid w:val="002B332E"/>
    <w:rsid w:val="002B72F0"/>
    <w:rsid w:val="002C12E9"/>
    <w:rsid w:val="002C2E06"/>
    <w:rsid w:val="002C624C"/>
    <w:rsid w:val="002D2F0A"/>
    <w:rsid w:val="002D2FB4"/>
    <w:rsid w:val="002D39F6"/>
    <w:rsid w:val="002D4E84"/>
    <w:rsid w:val="002D6561"/>
    <w:rsid w:val="002E0477"/>
    <w:rsid w:val="002E0779"/>
    <w:rsid w:val="002E2C45"/>
    <w:rsid w:val="002E347E"/>
    <w:rsid w:val="002E41A9"/>
    <w:rsid w:val="002E4C1F"/>
    <w:rsid w:val="002F1489"/>
    <w:rsid w:val="002F2A4E"/>
    <w:rsid w:val="002F2E74"/>
    <w:rsid w:val="002F57A7"/>
    <w:rsid w:val="002F6783"/>
    <w:rsid w:val="00302AB5"/>
    <w:rsid w:val="0030400C"/>
    <w:rsid w:val="00304D59"/>
    <w:rsid w:val="00305093"/>
    <w:rsid w:val="003068CF"/>
    <w:rsid w:val="00306F48"/>
    <w:rsid w:val="00310248"/>
    <w:rsid w:val="00310A0F"/>
    <w:rsid w:val="00313EFE"/>
    <w:rsid w:val="00313F14"/>
    <w:rsid w:val="00317129"/>
    <w:rsid w:val="003171E3"/>
    <w:rsid w:val="0032225A"/>
    <w:rsid w:val="00324095"/>
    <w:rsid w:val="0032530E"/>
    <w:rsid w:val="003257E0"/>
    <w:rsid w:val="00325D77"/>
    <w:rsid w:val="003266AD"/>
    <w:rsid w:val="00326FA4"/>
    <w:rsid w:val="00330BE3"/>
    <w:rsid w:val="00333C63"/>
    <w:rsid w:val="00334470"/>
    <w:rsid w:val="00336513"/>
    <w:rsid w:val="003414C8"/>
    <w:rsid w:val="0034395E"/>
    <w:rsid w:val="003526D8"/>
    <w:rsid w:val="00355D87"/>
    <w:rsid w:val="00356DF6"/>
    <w:rsid w:val="00361AA7"/>
    <w:rsid w:val="00362CC2"/>
    <w:rsid w:val="00373FE5"/>
    <w:rsid w:val="0037453F"/>
    <w:rsid w:val="0037678E"/>
    <w:rsid w:val="003778EC"/>
    <w:rsid w:val="00382104"/>
    <w:rsid w:val="00382D6A"/>
    <w:rsid w:val="003844D6"/>
    <w:rsid w:val="00387E5A"/>
    <w:rsid w:val="00393CBF"/>
    <w:rsid w:val="00393E45"/>
    <w:rsid w:val="00394029"/>
    <w:rsid w:val="00394150"/>
    <w:rsid w:val="003946F3"/>
    <w:rsid w:val="00394C70"/>
    <w:rsid w:val="00394FE1"/>
    <w:rsid w:val="0039683B"/>
    <w:rsid w:val="00397174"/>
    <w:rsid w:val="003A1432"/>
    <w:rsid w:val="003B03C8"/>
    <w:rsid w:val="003B0F82"/>
    <w:rsid w:val="003B2976"/>
    <w:rsid w:val="003B6B5A"/>
    <w:rsid w:val="003C2371"/>
    <w:rsid w:val="003C2F16"/>
    <w:rsid w:val="003C3A46"/>
    <w:rsid w:val="003C5137"/>
    <w:rsid w:val="003C612A"/>
    <w:rsid w:val="003C6610"/>
    <w:rsid w:val="003D252A"/>
    <w:rsid w:val="003E0997"/>
    <w:rsid w:val="003E3F5B"/>
    <w:rsid w:val="003E5BF0"/>
    <w:rsid w:val="003E6617"/>
    <w:rsid w:val="003F120C"/>
    <w:rsid w:val="003F18A3"/>
    <w:rsid w:val="003F25C5"/>
    <w:rsid w:val="003F2E5C"/>
    <w:rsid w:val="003F3246"/>
    <w:rsid w:val="003F7E94"/>
    <w:rsid w:val="00400570"/>
    <w:rsid w:val="004016A0"/>
    <w:rsid w:val="00404943"/>
    <w:rsid w:val="004068F8"/>
    <w:rsid w:val="00407290"/>
    <w:rsid w:val="0041704C"/>
    <w:rsid w:val="00421304"/>
    <w:rsid w:val="00423CDE"/>
    <w:rsid w:val="00426F4F"/>
    <w:rsid w:val="00443B7F"/>
    <w:rsid w:val="00444794"/>
    <w:rsid w:val="0044488B"/>
    <w:rsid w:val="004458F3"/>
    <w:rsid w:val="004465B8"/>
    <w:rsid w:val="00447428"/>
    <w:rsid w:val="0045185B"/>
    <w:rsid w:val="004545D5"/>
    <w:rsid w:val="004557D4"/>
    <w:rsid w:val="00456496"/>
    <w:rsid w:val="00456F10"/>
    <w:rsid w:val="0046265A"/>
    <w:rsid w:val="004706CF"/>
    <w:rsid w:val="0047174A"/>
    <w:rsid w:val="004717B0"/>
    <w:rsid w:val="004728DE"/>
    <w:rsid w:val="00473653"/>
    <w:rsid w:val="004743A4"/>
    <w:rsid w:val="00477D48"/>
    <w:rsid w:val="00480ED7"/>
    <w:rsid w:val="00482C89"/>
    <w:rsid w:val="00485080"/>
    <w:rsid w:val="0048564D"/>
    <w:rsid w:val="00486DEF"/>
    <w:rsid w:val="00487A7D"/>
    <w:rsid w:val="0049031E"/>
    <w:rsid w:val="004932A2"/>
    <w:rsid w:val="004946FC"/>
    <w:rsid w:val="004A0D4B"/>
    <w:rsid w:val="004A2241"/>
    <w:rsid w:val="004A7476"/>
    <w:rsid w:val="004B3022"/>
    <w:rsid w:val="004B3CDB"/>
    <w:rsid w:val="004B3F68"/>
    <w:rsid w:val="004B6FC0"/>
    <w:rsid w:val="004D008B"/>
    <w:rsid w:val="004D0F45"/>
    <w:rsid w:val="004D338E"/>
    <w:rsid w:val="004D40B8"/>
    <w:rsid w:val="004D4EFA"/>
    <w:rsid w:val="004D60F0"/>
    <w:rsid w:val="004D7E25"/>
    <w:rsid w:val="004E0021"/>
    <w:rsid w:val="004E010F"/>
    <w:rsid w:val="004E16D8"/>
    <w:rsid w:val="004E1D41"/>
    <w:rsid w:val="004F1296"/>
    <w:rsid w:val="004F12BC"/>
    <w:rsid w:val="004F2A80"/>
    <w:rsid w:val="004F50B8"/>
    <w:rsid w:val="004F637E"/>
    <w:rsid w:val="004F6924"/>
    <w:rsid w:val="004F7235"/>
    <w:rsid w:val="005011AA"/>
    <w:rsid w:val="00501E34"/>
    <w:rsid w:val="005022B1"/>
    <w:rsid w:val="005026FB"/>
    <w:rsid w:val="005073BC"/>
    <w:rsid w:val="00510217"/>
    <w:rsid w:val="00510B5C"/>
    <w:rsid w:val="00511332"/>
    <w:rsid w:val="00512157"/>
    <w:rsid w:val="00512A36"/>
    <w:rsid w:val="00515126"/>
    <w:rsid w:val="0051752A"/>
    <w:rsid w:val="005178D8"/>
    <w:rsid w:val="00520929"/>
    <w:rsid w:val="00520D49"/>
    <w:rsid w:val="00523129"/>
    <w:rsid w:val="00523E3E"/>
    <w:rsid w:val="00524CDE"/>
    <w:rsid w:val="00525C49"/>
    <w:rsid w:val="005260B7"/>
    <w:rsid w:val="00526C8B"/>
    <w:rsid w:val="005303F7"/>
    <w:rsid w:val="00534B99"/>
    <w:rsid w:val="00536311"/>
    <w:rsid w:val="0053697B"/>
    <w:rsid w:val="00536F3D"/>
    <w:rsid w:val="005427FB"/>
    <w:rsid w:val="005445E1"/>
    <w:rsid w:val="0054584B"/>
    <w:rsid w:val="0055046C"/>
    <w:rsid w:val="0055325F"/>
    <w:rsid w:val="0055712C"/>
    <w:rsid w:val="005571E9"/>
    <w:rsid w:val="00560194"/>
    <w:rsid w:val="005608C4"/>
    <w:rsid w:val="00560951"/>
    <w:rsid w:val="00564950"/>
    <w:rsid w:val="00565D83"/>
    <w:rsid w:val="00565EE8"/>
    <w:rsid w:val="005672F2"/>
    <w:rsid w:val="005676E8"/>
    <w:rsid w:val="00570E32"/>
    <w:rsid w:val="00571E6B"/>
    <w:rsid w:val="005748E3"/>
    <w:rsid w:val="00574BA7"/>
    <w:rsid w:val="005840F2"/>
    <w:rsid w:val="00585425"/>
    <w:rsid w:val="00585503"/>
    <w:rsid w:val="005868BD"/>
    <w:rsid w:val="0059449B"/>
    <w:rsid w:val="00596C3E"/>
    <w:rsid w:val="005A112C"/>
    <w:rsid w:val="005A124D"/>
    <w:rsid w:val="005A4BD9"/>
    <w:rsid w:val="005A4DC5"/>
    <w:rsid w:val="005A5A1C"/>
    <w:rsid w:val="005B0D03"/>
    <w:rsid w:val="005B0E3B"/>
    <w:rsid w:val="005B3095"/>
    <w:rsid w:val="005B3B37"/>
    <w:rsid w:val="005C0209"/>
    <w:rsid w:val="005C0A54"/>
    <w:rsid w:val="005C164A"/>
    <w:rsid w:val="005C7F5D"/>
    <w:rsid w:val="005D0809"/>
    <w:rsid w:val="005D0BF9"/>
    <w:rsid w:val="005D1CED"/>
    <w:rsid w:val="005D20C1"/>
    <w:rsid w:val="005D2AC7"/>
    <w:rsid w:val="005D4F85"/>
    <w:rsid w:val="005D5D99"/>
    <w:rsid w:val="005D61CB"/>
    <w:rsid w:val="005E1737"/>
    <w:rsid w:val="005E24AB"/>
    <w:rsid w:val="005E428D"/>
    <w:rsid w:val="005F2C71"/>
    <w:rsid w:val="005F616F"/>
    <w:rsid w:val="00600DEA"/>
    <w:rsid w:val="0060456C"/>
    <w:rsid w:val="00607AD2"/>
    <w:rsid w:val="0061130B"/>
    <w:rsid w:val="00612405"/>
    <w:rsid w:val="0062074F"/>
    <w:rsid w:val="00620A92"/>
    <w:rsid w:val="00621437"/>
    <w:rsid w:val="00627344"/>
    <w:rsid w:val="006343EA"/>
    <w:rsid w:val="00636030"/>
    <w:rsid w:val="00637BCA"/>
    <w:rsid w:val="00641971"/>
    <w:rsid w:val="0064716B"/>
    <w:rsid w:val="00647748"/>
    <w:rsid w:val="0065075A"/>
    <w:rsid w:val="00651FDA"/>
    <w:rsid w:val="00652E03"/>
    <w:rsid w:val="00653B30"/>
    <w:rsid w:val="0065756F"/>
    <w:rsid w:val="0066040C"/>
    <w:rsid w:val="0066053E"/>
    <w:rsid w:val="00660F6B"/>
    <w:rsid w:val="0066222A"/>
    <w:rsid w:val="00662F68"/>
    <w:rsid w:val="00664752"/>
    <w:rsid w:val="006653B6"/>
    <w:rsid w:val="006724F0"/>
    <w:rsid w:val="00674435"/>
    <w:rsid w:val="006748E8"/>
    <w:rsid w:val="006754C0"/>
    <w:rsid w:val="00675F11"/>
    <w:rsid w:val="006861A9"/>
    <w:rsid w:val="0068644E"/>
    <w:rsid w:val="00691080"/>
    <w:rsid w:val="00691C50"/>
    <w:rsid w:val="006969F9"/>
    <w:rsid w:val="006A1717"/>
    <w:rsid w:val="006A245D"/>
    <w:rsid w:val="006A2AD5"/>
    <w:rsid w:val="006A3787"/>
    <w:rsid w:val="006A3BA3"/>
    <w:rsid w:val="006A5067"/>
    <w:rsid w:val="006A6218"/>
    <w:rsid w:val="006A7681"/>
    <w:rsid w:val="006B0F67"/>
    <w:rsid w:val="006C18FD"/>
    <w:rsid w:val="006C1B4B"/>
    <w:rsid w:val="006C3253"/>
    <w:rsid w:val="006C536A"/>
    <w:rsid w:val="006C6D57"/>
    <w:rsid w:val="006C714F"/>
    <w:rsid w:val="006D0252"/>
    <w:rsid w:val="006D2668"/>
    <w:rsid w:val="006D396D"/>
    <w:rsid w:val="006D451A"/>
    <w:rsid w:val="006D5D82"/>
    <w:rsid w:val="006D5E98"/>
    <w:rsid w:val="006D5F39"/>
    <w:rsid w:val="006D6AEE"/>
    <w:rsid w:val="006D7779"/>
    <w:rsid w:val="006E2BAF"/>
    <w:rsid w:val="006E2C12"/>
    <w:rsid w:val="006E4141"/>
    <w:rsid w:val="006E43A3"/>
    <w:rsid w:val="006F04FA"/>
    <w:rsid w:val="006F0DAD"/>
    <w:rsid w:val="006F308A"/>
    <w:rsid w:val="006F35B5"/>
    <w:rsid w:val="006F4818"/>
    <w:rsid w:val="006F538B"/>
    <w:rsid w:val="006F62A1"/>
    <w:rsid w:val="006F7255"/>
    <w:rsid w:val="0070000A"/>
    <w:rsid w:val="00700496"/>
    <w:rsid w:val="00702B6C"/>
    <w:rsid w:val="00704873"/>
    <w:rsid w:val="007054A8"/>
    <w:rsid w:val="00706FE0"/>
    <w:rsid w:val="007074DE"/>
    <w:rsid w:val="00707AB9"/>
    <w:rsid w:val="00707C72"/>
    <w:rsid w:val="00712396"/>
    <w:rsid w:val="00713CF7"/>
    <w:rsid w:val="0071589E"/>
    <w:rsid w:val="00717C95"/>
    <w:rsid w:val="0072173C"/>
    <w:rsid w:val="0072254D"/>
    <w:rsid w:val="00724E0F"/>
    <w:rsid w:val="00725519"/>
    <w:rsid w:val="00725A85"/>
    <w:rsid w:val="00725CDE"/>
    <w:rsid w:val="00734130"/>
    <w:rsid w:val="007416AA"/>
    <w:rsid w:val="00741ABF"/>
    <w:rsid w:val="00746FCD"/>
    <w:rsid w:val="0074750F"/>
    <w:rsid w:val="007534D7"/>
    <w:rsid w:val="00754445"/>
    <w:rsid w:val="00754A9F"/>
    <w:rsid w:val="007555FE"/>
    <w:rsid w:val="00755813"/>
    <w:rsid w:val="00764AAA"/>
    <w:rsid w:val="00773A1E"/>
    <w:rsid w:val="00776E69"/>
    <w:rsid w:val="00777DE3"/>
    <w:rsid w:val="007800D0"/>
    <w:rsid w:val="00783097"/>
    <w:rsid w:val="00786B51"/>
    <w:rsid w:val="00786BDF"/>
    <w:rsid w:val="0079193A"/>
    <w:rsid w:val="00793363"/>
    <w:rsid w:val="0079742F"/>
    <w:rsid w:val="007977DA"/>
    <w:rsid w:val="007A0C7A"/>
    <w:rsid w:val="007A2F59"/>
    <w:rsid w:val="007A62AB"/>
    <w:rsid w:val="007A68F7"/>
    <w:rsid w:val="007B0CA3"/>
    <w:rsid w:val="007B1EC8"/>
    <w:rsid w:val="007B20CA"/>
    <w:rsid w:val="007B4BD8"/>
    <w:rsid w:val="007B7EE9"/>
    <w:rsid w:val="007C045E"/>
    <w:rsid w:val="007C5B9B"/>
    <w:rsid w:val="007C6187"/>
    <w:rsid w:val="007D06F9"/>
    <w:rsid w:val="007D3004"/>
    <w:rsid w:val="007D3227"/>
    <w:rsid w:val="007D5393"/>
    <w:rsid w:val="007D6619"/>
    <w:rsid w:val="007E0F37"/>
    <w:rsid w:val="007F1891"/>
    <w:rsid w:val="007F3FA6"/>
    <w:rsid w:val="0080099D"/>
    <w:rsid w:val="0080149B"/>
    <w:rsid w:val="00805DB5"/>
    <w:rsid w:val="00816D9B"/>
    <w:rsid w:val="00817A3B"/>
    <w:rsid w:val="00823D7A"/>
    <w:rsid w:val="0082438C"/>
    <w:rsid w:val="00824C2D"/>
    <w:rsid w:val="00830144"/>
    <w:rsid w:val="00831990"/>
    <w:rsid w:val="0083230C"/>
    <w:rsid w:val="00833B46"/>
    <w:rsid w:val="00836E49"/>
    <w:rsid w:val="00837C36"/>
    <w:rsid w:val="0084097B"/>
    <w:rsid w:val="00841562"/>
    <w:rsid w:val="00841DC8"/>
    <w:rsid w:val="00843236"/>
    <w:rsid w:val="00844404"/>
    <w:rsid w:val="008449EA"/>
    <w:rsid w:val="00847E37"/>
    <w:rsid w:val="008606F9"/>
    <w:rsid w:val="008627CD"/>
    <w:rsid w:val="00862F7D"/>
    <w:rsid w:val="00864742"/>
    <w:rsid w:val="00865C94"/>
    <w:rsid w:val="0087007C"/>
    <w:rsid w:val="00870490"/>
    <w:rsid w:val="0087049C"/>
    <w:rsid w:val="00875115"/>
    <w:rsid w:val="00877543"/>
    <w:rsid w:val="00877FC2"/>
    <w:rsid w:val="00882539"/>
    <w:rsid w:val="00885016"/>
    <w:rsid w:val="0088585D"/>
    <w:rsid w:val="008860FA"/>
    <w:rsid w:val="0088777A"/>
    <w:rsid w:val="008877EA"/>
    <w:rsid w:val="008914F4"/>
    <w:rsid w:val="00892B94"/>
    <w:rsid w:val="0089548D"/>
    <w:rsid w:val="008A387F"/>
    <w:rsid w:val="008A50C3"/>
    <w:rsid w:val="008A5162"/>
    <w:rsid w:val="008A57F3"/>
    <w:rsid w:val="008B0686"/>
    <w:rsid w:val="008B3112"/>
    <w:rsid w:val="008B3FB4"/>
    <w:rsid w:val="008B49B6"/>
    <w:rsid w:val="008C08D4"/>
    <w:rsid w:val="008C383B"/>
    <w:rsid w:val="008C54A0"/>
    <w:rsid w:val="008C7601"/>
    <w:rsid w:val="008D2EC0"/>
    <w:rsid w:val="008E260D"/>
    <w:rsid w:val="008E299C"/>
    <w:rsid w:val="008E48AD"/>
    <w:rsid w:val="008E55CA"/>
    <w:rsid w:val="008E577A"/>
    <w:rsid w:val="008E6FF2"/>
    <w:rsid w:val="008E7DE1"/>
    <w:rsid w:val="008E7E2A"/>
    <w:rsid w:val="008F0FA7"/>
    <w:rsid w:val="008F5454"/>
    <w:rsid w:val="008F5F47"/>
    <w:rsid w:val="008F7407"/>
    <w:rsid w:val="00900072"/>
    <w:rsid w:val="0090111D"/>
    <w:rsid w:val="00901128"/>
    <w:rsid w:val="00901D4B"/>
    <w:rsid w:val="00905A80"/>
    <w:rsid w:val="00910066"/>
    <w:rsid w:val="00910468"/>
    <w:rsid w:val="0091114E"/>
    <w:rsid w:val="00911CFA"/>
    <w:rsid w:val="00912D0D"/>
    <w:rsid w:val="00914395"/>
    <w:rsid w:val="009151E1"/>
    <w:rsid w:val="00915603"/>
    <w:rsid w:val="009252C1"/>
    <w:rsid w:val="0093099C"/>
    <w:rsid w:val="00932154"/>
    <w:rsid w:val="00934404"/>
    <w:rsid w:val="00934637"/>
    <w:rsid w:val="0093520F"/>
    <w:rsid w:val="009368DB"/>
    <w:rsid w:val="0094085B"/>
    <w:rsid w:val="00941788"/>
    <w:rsid w:val="00941B68"/>
    <w:rsid w:val="009432E9"/>
    <w:rsid w:val="00944249"/>
    <w:rsid w:val="0094526F"/>
    <w:rsid w:val="00945CAC"/>
    <w:rsid w:val="00945EC1"/>
    <w:rsid w:val="009463C3"/>
    <w:rsid w:val="00946711"/>
    <w:rsid w:val="00953727"/>
    <w:rsid w:val="009579BC"/>
    <w:rsid w:val="00960539"/>
    <w:rsid w:val="009616CE"/>
    <w:rsid w:val="00963FC6"/>
    <w:rsid w:val="00965DA8"/>
    <w:rsid w:val="00972334"/>
    <w:rsid w:val="009747E0"/>
    <w:rsid w:val="0098037C"/>
    <w:rsid w:val="00981C29"/>
    <w:rsid w:val="009876C1"/>
    <w:rsid w:val="00987CC9"/>
    <w:rsid w:val="00990117"/>
    <w:rsid w:val="00990E24"/>
    <w:rsid w:val="009927E4"/>
    <w:rsid w:val="00992B02"/>
    <w:rsid w:val="009A023A"/>
    <w:rsid w:val="009A06CB"/>
    <w:rsid w:val="009A2C78"/>
    <w:rsid w:val="009A3269"/>
    <w:rsid w:val="009A3341"/>
    <w:rsid w:val="009A45B1"/>
    <w:rsid w:val="009A4B76"/>
    <w:rsid w:val="009B0E69"/>
    <w:rsid w:val="009B2C8B"/>
    <w:rsid w:val="009B3103"/>
    <w:rsid w:val="009B403A"/>
    <w:rsid w:val="009C16D5"/>
    <w:rsid w:val="009C3504"/>
    <w:rsid w:val="009C3C08"/>
    <w:rsid w:val="009C4862"/>
    <w:rsid w:val="009C6F57"/>
    <w:rsid w:val="009D04C1"/>
    <w:rsid w:val="009D114F"/>
    <w:rsid w:val="009D28C1"/>
    <w:rsid w:val="009D373E"/>
    <w:rsid w:val="009D6D44"/>
    <w:rsid w:val="009D7854"/>
    <w:rsid w:val="009E02BA"/>
    <w:rsid w:val="009E1B19"/>
    <w:rsid w:val="009E7A97"/>
    <w:rsid w:val="009F35D3"/>
    <w:rsid w:val="009F78EB"/>
    <w:rsid w:val="009F7A6D"/>
    <w:rsid w:val="00A0016B"/>
    <w:rsid w:val="00A0383E"/>
    <w:rsid w:val="00A06381"/>
    <w:rsid w:val="00A07492"/>
    <w:rsid w:val="00A12095"/>
    <w:rsid w:val="00A1353A"/>
    <w:rsid w:val="00A136DB"/>
    <w:rsid w:val="00A1425B"/>
    <w:rsid w:val="00A15843"/>
    <w:rsid w:val="00A2435C"/>
    <w:rsid w:val="00A25380"/>
    <w:rsid w:val="00A26926"/>
    <w:rsid w:val="00A26963"/>
    <w:rsid w:val="00A27FAC"/>
    <w:rsid w:val="00A31226"/>
    <w:rsid w:val="00A32C13"/>
    <w:rsid w:val="00A33416"/>
    <w:rsid w:val="00A36D35"/>
    <w:rsid w:val="00A44486"/>
    <w:rsid w:val="00A46190"/>
    <w:rsid w:val="00A47D15"/>
    <w:rsid w:val="00A5025E"/>
    <w:rsid w:val="00A50A05"/>
    <w:rsid w:val="00A53A3A"/>
    <w:rsid w:val="00A53BE3"/>
    <w:rsid w:val="00A54152"/>
    <w:rsid w:val="00A54EBF"/>
    <w:rsid w:val="00A56976"/>
    <w:rsid w:val="00A579E5"/>
    <w:rsid w:val="00A57A2E"/>
    <w:rsid w:val="00A630AA"/>
    <w:rsid w:val="00A63F9E"/>
    <w:rsid w:val="00A648A9"/>
    <w:rsid w:val="00A64EA9"/>
    <w:rsid w:val="00A65548"/>
    <w:rsid w:val="00A72FC4"/>
    <w:rsid w:val="00A77CC5"/>
    <w:rsid w:val="00A81B15"/>
    <w:rsid w:val="00A8722E"/>
    <w:rsid w:val="00A9103B"/>
    <w:rsid w:val="00A91EF7"/>
    <w:rsid w:val="00A92447"/>
    <w:rsid w:val="00A93268"/>
    <w:rsid w:val="00A93283"/>
    <w:rsid w:val="00A95140"/>
    <w:rsid w:val="00A9544A"/>
    <w:rsid w:val="00A95B9F"/>
    <w:rsid w:val="00AA1B43"/>
    <w:rsid w:val="00AA2ADA"/>
    <w:rsid w:val="00AA653B"/>
    <w:rsid w:val="00AB0283"/>
    <w:rsid w:val="00AB1DEE"/>
    <w:rsid w:val="00AB323B"/>
    <w:rsid w:val="00AB39C0"/>
    <w:rsid w:val="00AB4746"/>
    <w:rsid w:val="00AB692C"/>
    <w:rsid w:val="00AB69FE"/>
    <w:rsid w:val="00AC04A1"/>
    <w:rsid w:val="00AC0589"/>
    <w:rsid w:val="00AC0AB5"/>
    <w:rsid w:val="00AC3864"/>
    <w:rsid w:val="00AC55AC"/>
    <w:rsid w:val="00AC60F5"/>
    <w:rsid w:val="00AC6856"/>
    <w:rsid w:val="00AC7242"/>
    <w:rsid w:val="00AC7B37"/>
    <w:rsid w:val="00AD15AE"/>
    <w:rsid w:val="00AD236E"/>
    <w:rsid w:val="00AD43E4"/>
    <w:rsid w:val="00AD4B67"/>
    <w:rsid w:val="00AD5487"/>
    <w:rsid w:val="00AD5F60"/>
    <w:rsid w:val="00AE0D41"/>
    <w:rsid w:val="00AE10B2"/>
    <w:rsid w:val="00AE2068"/>
    <w:rsid w:val="00AE3E00"/>
    <w:rsid w:val="00AE3EEB"/>
    <w:rsid w:val="00AF011F"/>
    <w:rsid w:val="00AF03D0"/>
    <w:rsid w:val="00AF3AC5"/>
    <w:rsid w:val="00AF5579"/>
    <w:rsid w:val="00AF7515"/>
    <w:rsid w:val="00B01391"/>
    <w:rsid w:val="00B01A8D"/>
    <w:rsid w:val="00B03E52"/>
    <w:rsid w:val="00B03F55"/>
    <w:rsid w:val="00B061DE"/>
    <w:rsid w:val="00B071E8"/>
    <w:rsid w:val="00B07422"/>
    <w:rsid w:val="00B109AB"/>
    <w:rsid w:val="00B11C73"/>
    <w:rsid w:val="00B122C8"/>
    <w:rsid w:val="00B15E23"/>
    <w:rsid w:val="00B1790B"/>
    <w:rsid w:val="00B24394"/>
    <w:rsid w:val="00B27A60"/>
    <w:rsid w:val="00B32EBE"/>
    <w:rsid w:val="00B34E9D"/>
    <w:rsid w:val="00B35489"/>
    <w:rsid w:val="00B3549F"/>
    <w:rsid w:val="00B432CA"/>
    <w:rsid w:val="00B45320"/>
    <w:rsid w:val="00B45A58"/>
    <w:rsid w:val="00B568C0"/>
    <w:rsid w:val="00B56F7F"/>
    <w:rsid w:val="00B6062F"/>
    <w:rsid w:val="00B65249"/>
    <w:rsid w:val="00B732F3"/>
    <w:rsid w:val="00B74403"/>
    <w:rsid w:val="00B75D95"/>
    <w:rsid w:val="00B81A3C"/>
    <w:rsid w:val="00B837F4"/>
    <w:rsid w:val="00B87C89"/>
    <w:rsid w:val="00BA73EE"/>
    <w:rsid w:val="00BB0C33"/>
    <w:rsid w:val="00BB20CB"/>
    <w:rsid w:val="00BB2565"/>
    <w:rsid w:val="00BB460E"/>
    <w:rsid w:val="00BB5B4A"/>
    <w:rsid w:val="00BB625F"/>
    <w:rsid w:val="00BC0212"/>
    <w:rsid w:val="00BC177E"/>
    <w:rsid w:val="00BD007A"/>
    <w:rsid w:val="00BD1F97"/>
    <w:rsid w:val="00BD2404"/>
    <w:rsid w:val="00BD2DD0"/>
    <w:rsid w:val="00BD3C8C"/>
    <w:rsid w:val="00BD454D"/>
    <w:rsid w:val="00BD647A"/>
    <w:rsid w:val="00BD70E4"/>
    <w:rsid w:val="00BD7DCC"/>
    <w:rsid w:val="00BE14ED"/>
    <w:rsid w:val="00BE192F"/>
    <w:rsid w:val="00BE20B4"/>
    <w:rsid w:val="00BF0E23"/>
    <w:rsid w:val="00BF339C"/>
    <w:rsid w:val="00BF4D54"/>
    <w:rsid w:val="00BF4D96"/>
    <w:rsid w:val="00BF626A"/>
    <w:rsid w:val="00BF62FE"/>
    <w:rsid w:val="00C00A18"/>
    <w:rsid w:val="00C00E4E"/>
    <w:rsid w:val="00C1634F"/>
    <w:rsid w:val="00C227DE"/>
    <w:rsid w:val="00C26DAF"/>
    <w:rsid w:val="00C31913"/>
    <w:rsid w:val="00C32052"/>
    <w:rsid w:val="00C33819"/>
    <w:rsid w:val="00C378F5"/>
    <w:rsid w:val="00C37FA1"/>
    <w:rsid w:val="00C40711"/>
    <w:rsid w:val="00C41288"/>
    <w:rsid w:val="00C41640"/>
    <w:rsid w:val="00C44391"/>
    <w:rsid w:val="00C45A7A"/>
    <w:rsid w:val="00C45D8E"/>
    <w:rsid w:val="00C46652"/>
    <w:rsid w:val="00C532D4"/>
    <w:rsid w:val="00C53957"/>
    <w:rsid w:val="00C54248"/>
    <w:rsid w:val="00C54FF8"/>
    <w:rsid w:val="00C57FD4"/>
    <w:rsid w:val="00C60371"/>
    <w:rsid w:val="00C63CA0"/>
    <w:rsid w:val="00C67407"/>
    <w:rsid w:val="00C7180C"/>
    <w:rsid w:val="00C73B38"/>
    <w:rsid w:val="00C757C5"/>
    <w:rsid w:val="00C75B0F"/>
    <w:rsid w:val="00C76450"/>
    <w:rsid w:val="00C86251"/>
    <w:rsid w:val="00C877F4"/>
    <w:rsid w:val="00C90D49"/>
    <w:rsid w:val="00C9122A"/>
    <w:rsid w:val="00C92674"/>
    <w:rsid w:val="00C94653"/>
    <w:rsid w:val="00C94E77"/>
    <w:rsid w:val="00CA3590"/>
    <w:rsid w:val="00CA5484"/>
    <w:rsid w:val="00CA7FF2"/>
    <w:rsid w:val="00CB0FE2"/>
    <w:rsid w:val="00CB153B"/>
    <w:rsid w:val="00CB1BC3"/>
    <w:rsid w:val="00CB3265"/>
    <w:rsid w:val="00CB41C2"/>
    <w:rsid w:val="00CB44E3"/>
    <w:rsid w:val="00CB740B"/>
    <w:rsid w:val="00CB7842"/>
    <w:rsid w:val="00CC628A"/>
    <w:rsid w:val="00CD0166"/>
    <w:rsid w:val="00CD06C2"/>
    <w:rsid w:val="00CD21A7"/>
    <w:rsid w:val="00CD262A"/>
    <w:rsid w:val="00CD2685"/>
    <w:rsid w:val="00CD6D53"/>
    <w:rsid w:val="00CD72C2"/>
    <w:rsid w:val="00CD72CE"/>
    <w:rsid w:val="00CE169C"/>
    <w:rsid w:val="00CE2EBD"/>
    <w:rsid w:val="00CE4C93"/>
    <w:rsid w:val="00CE541E"/>
    <w:rsid w:val="00CE6AD4"/>
    <w:rsid w:val="00CF02C7"/>
    <w:rsid w:val="00CF1FB0"/>
    <w:rsid w:val="00D03769"/>
    <w:rsid w:val="00D0506F"/>
    <w:rsid w:val="00D1046E"/>
    <w:rsid w:val="00D11C53"/>
    <w:rsid w:val="00D12635"/>
    <w:rsid w:val="00D2590B"/>
    <w:rsid w:val="00D26682"/>
    <w:rsid w:val="00D30D75"/>
    <w:rsid w:val="00D310C6"/>
    <w:rsid w:val="00D31659"/>
    <w:rsid w:val="00D368B3"/>
    <w:rsid w:val="00D379CB"/>
    <w:rsid w:val="00D40221"/>
    <w:rsid w:val="00D41125"/>
    <w:rsid w:val="00D41AA5"/>
    <w:rsid w:val="00D438AD"/>
    <w:rsid w:val="00D45C57"/>
    <w:rsid w:val="00D51F1F"/>
    <w:rsid w:val="00D53CE7"/>
    <w:rsid w:val="00D55C39"/>
    <w:rsid w:val="00D5617E"/>
    <w:rsid w:val="00D56AA3"/>
    <w:rsid w:val="00D62BFE"/>
    <w:rsid w:val="00D62E0D"/>
    <w:rsid w:val="00D655DC"/>
    <w:rsid w:val="00D66BE9"/>
    <w:rsid w:val="00D7451D"/>
    <w:rsid w:val="00D74833"/>
    <w:rsid w:val="00D7707B"/>
    <w:rsid w:val="00D77E1D"/>
    <w:rsid w:val="00D80AA1"/>
    <w:rsid w:val="00D820E3"/>
    <w:rsid w:val="00D83593"/>
    <w:rsid w:val="00D859D1"/>
    <w:rsid w:val="00D85B83"/>
    <w:rsid w:val="00D86BEF"/>
    <w:rsid w:val="00D90B44"/>
    <w:rsid w:val="00D91DE0"/>
    <w:rsid w:val="00D937AC"/>
    <w:rsid w:val="00D95FD3"/>
    <w:rsid w:val="00D97753"/>
    <w:rsid w:val="00DA4530"/>
    <w:rsid w:val="00DA496E"/>
    <w:rsid w:val="00DB1964"/>
    <w:rsid w:val="00DB3831"/>
    <w:rsid w:val="00DB5A8B"/>
    <w:rsid w:val="00DB71BD"/>
    <w:rsid w:val="00DC4838"/>
    <w:rsid w:val="00DC5C9B"/>
    <w:rsid w:val="00DC6334"/>
    <w:rsid w:val="00DD0B4F"/>
    <w:rsid w:val="00DD17B8"/>
    <w:rsid w:val="00DD3FBE"/>
    <w:rsid w:val="00DD64B7"/>
    <w:rsid w:val="00DD6E59"/>
    <w:rsid w:val="00DD7F0F"/>
    <w:rsid w:val="00DE0434"/>
    <w:rsid w:val="00DE127A"/>
    <w:rsid w:val="00DE33F0"/>
    <w:rsid w:val="00DE37FD"/>
    <w:rsid w:val="00DE5AA6"/>
    <w:rsid w:val="00DE5E1C"/>
    <w:rsid w:val="00DE7BF9"/>
    <w:rsid w:val="00DF0A64"/>
    <w:rsid w:val="00DF2B8D"/>
    <w:rsid w:val="00DF2E11"/>
    <w:rsid w:val="00DF3669"/>
    <w:rsid w:val="00E0242B"/>
    <w:rsid w:val="00E06CE1"/>
    <w:rsid w:val="00E104D9"/>
    <w:rsid w:val="00E115C5"/>
    <w:rsid w:val="00E12961"/>
    <w:rsid w:val="00E13D55"/>
    <w:rsid w:val="00E21D2E"/>
    <w:rsid w:val="00E222B6"/>
    <w:rsid w:val="00E2244D"/>
    <w:rsid w:val="00E2297C"/>
    <w:rsid w:val="00E22D2F"/>
    <w:rsid w:val="00E230B1"/>
    <w:rsid w:val="00E23AC2"/>
    <w:rsid w:val="00E266D9"/>
    <w:rsid w:val="00E3118C"/>
    <w:rsid w:val="00E32D7B"/>
    <w:rsid w:val="00E33E6B"/>
    <w:rsid w:val="00E36C37"/>
    <w:rsid w:val="00E41552"/>
    <w:rsid w:val="00E44DA8"/>
    <w:rsid w:val="00E451E2"/>
    <w:rsid w:val="00E465C7"/>
    <w:rsid w:val="00E510F5"/>
    <w:rsid w:val="00E53F16"/>
    <w:rsid w:val="00E61652"/>
    <w:rsid w:val="00E67107"/>
    <w:rsid w:val="00E7273D"/>
    <w:rsid w:val="00E80A5B"/>
    <w:rsid w:val="00E80EF0"/>
    <w:rsid w:val="00E82C4F"/>
    <w:rsid w:val="00E8370C"/>
    <w:rsid w:val="00E85B0E"/>
    <w:rsid w:val="00E85D42"/>
    <w:rsid w:val="00E8689B"/>
    <w:rsid w:val="00E87C2E"/>
    <w:rsid w:val="00E90127"/>
    <w:rsid w:val="00E914DA"/>
    <w:rsid w:val="00E95E0D"/>
    <w:rsid w:val="00E9611E"/>
    <w:rsid w:val="00E961A2"/>
    <w:rsid w:val="00E962DF"/>
    <w:rsid w:val="00E968BF"/>
    <w:rsid w:val="00E97726"/>
    <w:rsid w:val="00E97BAD"/>
    <w:rsid w:val="00E97DB1"/>
    <w:rsid w:val="00EA0499"/>
    <w:rsid w:val="00EA17DC"/>
    <w:rsid w:val="00EA3450"/>
    <w:rsid w:val="00EA4019"/>
    <w:rsid w:val="00EA601F"/>
    <w:rsid w:val="00EB030B"/>
    <w:rsid w:val="00EB22DC"/>
    <w:rsid w:val="00EB4E59"/>
    <w:rsid w:val="00EB5D42"/>
    <w:rsid w:val="00EC08F7"/>
    <w:rsid w:val="00EC2137"/>
    <w:rsid w:val="00EC3775"/>
    <w:rsid w:val="00EC5B31"/>
    <w:rsid w:val="00EC633A"/>
    <w:rsid w:val="00EC7B0C"/>
    <w:rsid w:val="00ED66EB"/>
    <w:rsid w:val="00ED7EAE"/>
    <w:rsid w:val="00EE094D"/>
    <w:rsid w:val="00EE172A"/>
    <w:rsid w:val="00EE5149"/>
    <w:rsid w:val="00EE6E1A"/>
    <w:rsid w:val="00EE74B2"/>
    <w:rsid w:val="00EE76CB"/>
    <w:rsid w:val="00EF6075"/>
    <w:rsid w:val="00EF64A0"/>
    <w:rsid w:val="00F01BE7"/>
    <w:rsid w:val="00F06BE3"/>
    <w:rsid w:val="00F06D2A"/>
    <w:rsid w:val="00F06DFC"/>
    <w:rsid w:val="00F113C5"/>
    <w:rsid w:val="00F12902"/>
    <w:rsid w:val="00F143AA"/>
    <w:rsid w:val="00F14869"/>
    <w:rsid w:val="00F15BB5"/>
    <w:rsid w:val="00F16FD9"/>
    <w:rsid w:val="00F217E9"/>
    <w:rsid w:val="00F21FBD"/>
    <w:rsid w:val="00F2431E"/>
    <w:rsid w:val="00F2474F"/>
    <w:rsid w:val="00F255D7"/>
    <w:rsid w:val="00F261B3"/>
    <w:rsid w:val="00F27171"/>
    <w:rsid w:val="00F30C3B"/>
    <w:rsid w:val="00F31A4F"/>
    <w:rsid w:val="00F32613"/>
    <w:rsid w:val="00F36133"/>
    <w:rsid w:val="00F40697"/>
    <w:rsid w:val="00F408D4"/>
    <w:rsid w:val="00F41EC4"/>
    <w:rsid w:val="00F43B03"/>
    <w:rsid w:val="00F455E9"/>
    <w:rsid w:val="00F46B11"/>
    <w:rsid w:val="00F506B4"/>
    <w:rsid w:val="00F57835"/>
    <w:rsid w:val="00F652D9"/>
    <w:rsid w:val="00F65F53"/>
    <w:rsid w:val="00F67FCC"/>
    <w:rsid w:val="00F72722"/>
    <w:rsid w:val="00F7390D"/>
    <w:rsid w:val="00F766BB"/>
    <w:rsid w:val="00F7690A"/>
    <w:rsid w:val="00F866BD"/>
    <w:rsid w:val="00F87FB4"/>
    <w:rsid w:val="00F908B6"/>
    <w:rsid w:val="00F93310"/>
    <w:rsid w:val="00F94482"/>
    <w:rsid w:val="00F951A1"/>
    <w:rsid w:val="00F97E90"/>
    <w:rsid w:val="00FA0D97"/>
    <w:rsid w:val="00FA10B8"/>
    <w:rsid w:val="00FA2E20"/>
    <w:rsid w:val="00FA3419"/>
    <w:rsid w:val="00FA4766"/>
    <w:rsid w:val="00FA5BB9"/>
    <w:rsid w:val="00FA73BB"/>
    <w:rsid w:val="00FA7AC4"/>
    <w:rsid w:val="00FB08A9"/>
    <w:rsid w:val="00FB34FB"/>
    <w:rsid w:val="00FB40C4"/>
    <w:rsid w:val="00FB41AE"/>
    <w:rsid w:val="00FB54B1"/>
    <w:rsid w:val="00FB5B86"/>
    <w:rsid w:val="00FC5AB8"/>
    <w:rsid w:val="00FC77BB"/>
    <w:rsid w:val="00FD1857"/>
    <w:rsid w:val="00FD3F63"/>
    <w:rsid w:val="00FD497C"/>
    <w:rsid w:val="00FE076B"/>
    <w:rsid w:val="00FE07AA"/>
    <w:rsid w:val="00FE347D"/>
    <w:rsid w:val="00FE5EFA"/>
    <w:rsid w:val="00FE79BD"/>
    <w:rsid w:val="00FF0D12"/>
    <w:rsid w:val="00FF44AD"/>
    <w:rsid w:val="00FF53AF"/>
    <w:rsid w:val="00FF578B"/>
    <w:rsid w:val="00FF6F0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7B8D54"/>
  <w15:docId w15:val="{FF409D90-65B5-4C30-98DA-95C03629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47D"/>
    <w:pPr>
      <w:jc w:val="both"/>
    </w:pPr>
    <w:rPr>
      <w:sz w:val="20"/>
      <w:szCs w:val="20"/>
      <w:lang w:eastAsia="ja-JP"/>
    </w:rPr>
  </w:style>
  <w:style w:type="paragraph" w:styleId="Heading6">
    <w:name w:val="heading 6"/>
    <w:basedOn w:val="Normal"/>
    <w:next w:val="Normal"/>
    <w:link w:val="Heading6Char"/>
    <w:qFormat/>
    <w:locked/>
    <w:rsid w:val="00AC7242"/>
    <w:pPr>
      <w:keepNext/>
      <w:tabs>
        <w:tab w:val="left" w:pos="340"/>
      </w:tabs>
      <w:outlineLvl w:val="5"/>
    </w:pPr>
    <w:rPr>
      <w:rFonts w:eastAsia="Batang"/>
      <w:b/>
      <w:bCs/>
      <w:szCs w:val="24"/>
      <w:u w:val="single"/>
      <w:lang w:eastAsia="en-US"/>
    </w:rPr>
  </w:style>
  <w:style w:type="paragraph" w:styleId="Heading8">
    <w:name w:val="heading 8"/>
    <w:basedOn w:val="Normal"/>
    <w:next w:val="Normal"/>
    <w:link w:val="Heading8Char"/>
    <w:qFormat/>
    <w:locked/>
    <w:rsid w:val="00AC7242"/>
    <w:pPr>
      <w:spacing w:before="240" w:after="60"/>
      <w:outlineLvl w:val="7"/>
    </w:pPr>
    <w:rPr>
      <w:rFonts w:eastAsia="Times New Roman"/>
      <w:i/>
      <w:iCs/>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rmal"/>
    <w:uiPriority w:val="99"/>
    <w:rsid w:val="000F647D"/>
  </w:style>
  <w:style w:type="paragraph" w:styleId="Header">
    <w:name w:val="header"/>
    <w:basedOn w:val="Normal"/>
    <w:link w:val="HeaderChar"/>
    <w:uiPriority w:val="99"/>
    <w:rsid w:val="00C227DE"/>
    <w:pPr>
      <w:tabs>
        <w:tab w:val="center" w:pos="4320"/>
        <w:tab w:val="right" w:pos="8640"/>
      </w:tabs>
    </w:pPr>
  </w:style>
  <w:style w:type="character" w:customStyle="1" w:styleId="HeaderChar">
    <w:name w:val="Header Char"/>
    <w:basedOn w:val="DefaultParagraphFont"/>
    <w:link w:val="Header"/>
    <w:uiPriority w:val="99"/>
    <w:locked/>
    <w:rsid w:val="00BE14ED"/>
    <w:rPr>
      <w:sz w:val="20"/>
      <w:szCs w:val="20"/>
      <w:lang w:val="fr-FR" w:eastAsia="ja-JP"/>
    </w:rPr>
  </w:style>
  <w:style w:type="paragraph" w:styleId="Footer">
    <w:name w:val="footer"/>
    <w:basedOn w:val="Normal"/>
    <w:link w:val="FooterChar"/>
    <w:uiPriority w:val="99"/>
    <w:rsid w:val="00C227DE"/>
    <w:pPr>
      <w:tabs>
        <w:tab w:val="center" w:pos="4320"/>
        <w:tab w:val="right" w:pos="8640"/>
      </w:tabs>
    </w:pPr>
  </w:style>
  <w:style w:type="character" w:customStyle="1" w:styleId="FooterChar">
    <w:name w:val="Footer Char"/>
    <w:basedOn w:val="DefaultParagraphFont"/>
    <w:link w:val="Footer"/>
    <w:uiPriority w:val="99"/>
    <w:semiHidden/>
    <w:locked/>
    <w:rsid w:val="00BE14ED"/>
    <w:rPr>
      <w:sz w:val="20"/>
      <w:szCs w:val="20"/>
      <w:lang w:val="fr-FR" w:eastAsia="ja-JP"/>
    </w:rPr>
  </w:style>
  <w:style w:type="paragraph" w:styleId="FootnoteText">
    <w:name w:val="footnote text"/>
    <w:basedOn w:val="Normal"/>
    <w:link w:val="FootnoteTextChar"/>
    <w:uiPriority w:val="99"/>
    <w:semiHidden/>
    <w:rsid w:val="003257E0"/>
  </w:style>
  <w:style w:type="character" w:customStyle="1" w:styleId="FootnoteTextChar">
    <w:name w:val="Footnote Text Char"/>
    <w:basedOn w:val="DefaultParagraphFont"/>
    <w:link w:val="FootnoteText"/>
    <w:uiPriority w:val="99"/>
    <w:semiHidden/>
    <w:locked/>
    <w:rsid w:val="00BE14ED"/>
    <w:rPr>
      <w:sz w:val="20"/>
      <w:szCs w:val="20"/>
      <w:lang w:val="fr-FR" w:eastAsia="ja-JP"/>
    </w:rPr>
  </w:style>
  <w:style w:type="character" w:styleId="FootnoteReference">
    <w:name w:val="footnote reference"/>
    <w:basedOn w:val="DefaultParagraphFont"/>
    <w:uiPriority w:val="99"/>
    <w:semiHidden/>
    <w:rsid w:val="003257E0"/>
    <w:rPr>
      <w:vertAlign w:val="superscript"/>
    </w:rPr>
  </w:style>
  <w:style w:type="table" w:styleId="TableGrid">
    <w:name w:val="Table Grid"/>
    <w:basedOn w:val="TableNormal"/>
    <w:uiPriority w:val="99"/>
    <w:rsid w:val="00D55C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C16D5"/>
    <w:rPr>
      <w:rFonts w:ascii="Tahoma" w:hAnsi="Tahoma" w:cs="Tahoma"/>
      <w:sz w:val="16"/>
      <w:szCs w:val="16"/>
    </w:rPr>
  </w:style>
  <w:style w:type="character" w:customStyle="1" w:styleId="BalloonTextChar">
    <w:name w:val="Balloon Text Char"/>
    <w:basedOn w:val="DefaultParagraphFont"/>
    <w:link w:val="BalloonText"/>
    <w:uiPriority w:val="99"/>
    <w:locked/>
    <w:rsid w:val="009C16D5"/>
    <w:rPr>
      <w:rFonts w:ascii="Tahoma" w:hAnsi="Tahoma" w:cs="Tahoma"/>
      <w:sz w:val="16"/>
      <w:szCs w:val="16"/>
      <w:lang w:val="fr-FR" w:eastAsia="ja-JP"/>
    </w:rPr>
  </w:style>
  <w:style w:type="paragraph" w:styleId="ListParagraph">
    <w:name w:val="List Paragraph"/>
    <w:basedOn w:val="Normal"/>
    <w:uiPriority w:val="34"/>
    <w:qFormat/>
    <w:rsid w:val="00EE094D"/>
    <w:pPr>
      <w:ind w:left="720"/>
    </w:pPr>
  </w:style>
  <w:style w:type="character" w:styleId="CommentReference">
    <w:name w:val="annotation reference"/>
    <w:basedOn w:val="DefaultParagraphFont"/>
    <w:uiPriority w:val="99"/>
    <w:semiHidden/>
    <w:rsid w:val="0066040C"/>
    <w:rPr>
      <w:sz w:val="16"/>
      <w:szCs w:val="16"/>
    </w:rPr>
  </w:style>
  <w:style w:type="paragraph" w:styleId="CommentText">
    <w:name w:val="annotation text"/>
    <w:basedOn w:val="Normal"/>
    <w:link w:val="CommentTextChar"/>
    <w:uiPriority w:val="99"/>
    <w:semiHidden/>
    <w:rsid w:val="0066040C"/>
  </w:style>
  <w:style w:type="character" w:customStyle="1" w:styleId="CommentTextChar">
    <w:name w:val="Comment Text Char"/>
    <w:basedOn w:val="DefaultParagraphFont"/>
    <w:link w:val="CommentText"/>
    <w:uiPriority w:val="99"/>
    <w:locked/>
    <w:rsid w:val="0066040C"/>
    <w:rPr>
      <w:lang w:val="fr-FR" w:eastAsia="ja-JP"/>
    </w:rPr>
  </w:style>
  <w:style w:type="paragraph" w:styleId="CommentSubject">
    <w:name w:val="annotation subject"/>
    <w:basedOn w:val="CommentText"/>
    <w:next w:val="CommentText"/>
    <w:link w:val="CommentSubjectChar"/>
    <w:uiPriority w:val="99"/>
    <w:semiHidden/>
    <w:rsid w:val="0066040C"/>
    <w:rPr>
      <w:b/>
      <w:bCs/>
    </w:rPr>
  </w:style>
  <w:style w:type="character" w:customStyle="1" w:styleId="CommentSubjectChar">
    <w:name w:val="Comment Subject Char"/>
    <w:basedOn w:val="CommentTextChar"/>
    <w:link w:val="CommentSubject"/>
    <w:uiPriority w:val="99"/>
    <w:locked/>
    <w:rsid w:val="0066040C"/>
    <w:rPr>
      <w:b/>
      <w:bCs/>
      <w:lang w:val="fr-FR" w:eastAsia="ja-JP"/>
    </w:rPr>
  </w:style>
  <w:style w:type="paragraph" w:customStyle="1" w:styleId="ListParagraph1">
    <w:name w:val="List Paragraph1"/>
    <w:basedOn w:val="Normal"/>
    <w:uiPriority w:val="99"/>
    <w:rsid w:val="005B0E3B"/>
    <w:pPr>
      <w:ind w:left="720"/>
    </w:pPr>
  </w:style>
  <w:style w:type="character" w:customStyle="1" w:styleId="Heading6Char">
    <w:name w:val="Heading 6 Char"/>
    <w:basedOn w:val="DefaultParagraphFont"/>
    <w:link w:val="Heading6"/>
    <w:rsid w:val="00AC7242"/>
    <w:rPr>
      <w:rFonts w:eastAsia="Batang"/>
      <w:b/>
      <w:bCs/>
      <w:sz w:val="20"/>
      <w:szCs w:val="24"/>
      <w:u w:val="single"/>
      <w:lang w:val="fr-FR"/>
    </w:rPr>
  </w:style>
  <w:style w:type="character" w:customStyle="1" w:styleId="Heading8Char">
    <w:name w:val="Heading 8 Char"/>
    <w:basedOn w:val="DefaultParagraphFont"/>
    <w:link w:val="Heading8"/>
    <w:rsid w:val="00AC7242"/>
    <w:rPr>
      <w:rFonts w:eastAsia="Times New Roman"/>
      <w:i/>
      <w:iCs/>
      <w:sz w:val="24"/>
      <w:szCs w:val="24"/>
    </w:rPr>
  </w:style>
  <w:style w:type="character" w:styleId="Emphasis">
    <w:name w:val="Emphasis"/>
    <w:basedOn w:val="DefaultParagraphFont"/>
    <w:qFormat/>
    <w:locked/>
    <w:rsid w:val="000303A6"/>
    <w:rPr>
      <w:i/>
      <w:iCs/>
    </w:rPr>
  </w:style>
  <w:style w:type="paragraph" w:styleId="Revision">
    <w:name w:val="Revision"/>
    <w:hidden/>
    <w:uiPriority w:val="99"/>
    <w:semiHidden/>
    <w:rsid w:val="00B07422"/>
    <w:rPr>
      <w:sz w:val="20"/>
      <w:szCs w:val="20"/>
      <w:lang w:eastAsia="ja-JP"/>
    </w:rPr>
  </w:style>
  <w:style w:type="character" w:styleId="Hyperlink">
    <w:name w:val="Hyperlink"/>
    <w:basedOn w:val="DefaultParagraphFont"/>
    <w:rsid w:val="009A3341"/>
    <w:rPr>
      <w:color w:val="0000FF"/>
      <w:u w:val="single"/>
    </w:rPr>
  </w:style>
  <w:style w:type="paragraph" w:styleId="BodyText">
    <w:name w:val="Body Text"/>
    <w:basedOn w:val="Normal"/>
    <w:link w:val="BodyTextChar"/>
    <w:uiPriority w:val="1"/>
    <w:qFormat/>
    <w:rsid w:val="00824C2D"/>
    <w:pPr>
      <w:widowControl w:val="0"/>
      <w:autoSpaceDE w:val="0"/>
      <w:autoSpaceDN w:val="0"/>
      <w:jc w:val="left"/>
    </w:pPr>
    <w:rPr>
      <w:rFonts w:ascii="Cambria" w:eastAsia="Cambria" w:hAnsi="Cambria" w:cs="Cambria"/>
      <w:lang w:eastAsia="en-US"/>
    </w:rPr>
  </w:style>
  <w:style w:type="character" w:customStyle="1" w:styleId="BodyTextChar">
    <w:name w:val="Body Text Char"/>
    <w:basedOn w:val="DefaultParagraphFont"/>
    <w:link w:val="BodyText"/>
    <w:uiPriority w:val="1"/>
    <w:rsid w:val="00824C2D"/>
    <w:rPr>
      <w:rFonts w:ascii="Cambria" w:eastAsia="Cambria" w:hAnsi="Cambria" w:cs="Cambria"/>
      <w:sz w:val="20"/>
      <w:szCs w:val="20"/>
    </w:rPr>
  </w:style>
  <w:style w:type="paragraph" w:styleId="NormalWeb">
    <w:name w:val="Normal (Web)"/>
    <w:basedOn w:val="Normal"/>
    <w:uiPriority w:val="99"/>
    <w:unhideWhenUsed/>
    <w:rsid w:val="00824C2D"/>
    <w:pPr>
      <w:spacing w:before="100" w:beforeAutospacing="1" w:after="100" w:afterAutospacing="1"/>
      <w:jc w:val="left"/>
    </w:pPr>
    <w:rPr>
      <w:rFonts w:eastAsia="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90290">
      <w:bodyDiv w:val="1"/>
      <w:marLeft w:val="0"/>
      <w:marRight w:val="0"/>
      <w:marTop w:val="0"/>
      <w:marBottom w:val="0"/>
      <w:divBdr>
        <w:top w:val="none" w:sz="0" w:space="0" w:color="auto"/>
        <w:left w:val="none" w:sz="0" w:space="0" w:color="auto"/>
        <w:bottom w:val="none" w:sz="0" w:space="0" w:color="auto"/>
        <w:right w:val="none" w:sz="0" w:space="0" w:color="auto"/>
      </w:divBdr>
    </w:div>
    <w:div w:id="421803230">
      <w:bodyDiv w:val="1"/>
      <w:marLeft w:val="0"/>
      <w:marRight w:val="0"/>
      <w:marTop w:val="0"/>
      <w:marBottom w:val="0"/>
      <w:divBdr>
        <w:top w:val="none" w:sz="0" w:space="0" w:color="auto"/>
        <w:left w:val="none" w:sz="0" w:space="0" w:color="auto"/>
        <w:bottom w:val="none" w:sz="0" w:space="0" w:color="auto"/>
        <w:right w:val="none" w:sz="0" w:space="0" w:color="auto"/>
      </w:divBdr>
    </w:div>
    <w:div w:id="900866309">
      <w:bodyDiv w:val="1"/>
      <w:marLeft w:val="0"/>
      <w:marRight w:val="0"/>
      <w:marTop w:val="0"/>
      <w:marBottom w:val="0"/>
      <w:divBdr>
        <w:top w:val="none" w:sz="0" w:space="0" w:color="auto"/>
        <w:left w:val="none" w:sz="0" w:space="0" w:color="auto"/>
        <w:bottom w:val="none" w:sz="0" w:space="0" w:color="auto"/>
        <w:right w:val="none" w:sz="0" w:space="0" w:color="auto"/>
      </w:divBdr>
    </w:div>
    <w:div w:id="934023381">
      <w:bodyDiv w:val="1"/>
      <w:marLeft w:val="0"/>
      <w:marRight w:val="0"/>
      <w:marTop w:val="0"/>
      <w:marBottom w:val="0"/>
      <w:divBdr>
        <w:top w:val="none" w:sz="0" w:space="0" w:color="auto"/>
        <w:left w:val="none" w:sz="0" w:space="0" w:color="auto"/>
        <w:bottom w:val="none" w:sz="0" w:space="0" w:color="auto"/>
        <w:right w:val="none" w:sz="0" w:space="0" w:color="auto"/>
      </w:divBdr>
    </w:div>
    <w:div w:id="1460606228">
      <w:bodyDiv w:val="1"/>
      <w:marLeft w:val="0"/>
      <w:marRight w:val="0"/>
      <w:marTop w:val="0"/>
      <w:marBottom w:val="0"/>
      <w:divBdr>
        <w:top w:val="none" w:sz="0" w:space="0" w:color="auto"/>
        <w:left w:val="none" w:sz="0" w:space="0" w:color="auto"/>
        <w:bottom w:val="none" w:sz="0" w:space="0" w:color="auto"/>
        <w:right w:val="none" w:sz="0" w:space="0" w:color="auto"/>
      </w:divBdr>
    </w:div>
    <w:div w:id="1869104637">
      <w:bodyDiv w:val="1"/>
      <w:marLeft w:val="0"/>
      <w:marRight w:val="0"/>
      <w:marTop w:val="0"/>
      <w:marBottom w:val="0"/>
      <w:divBdr>
        <w:top w:val="none" w:sz="0" w:space="0" w:color="auto"/>
        <w:left w:val="none" w:sz="0" w:space="0" w:color="auto"/>
        <w:bottom w:val="none" w:sz="0" w:space="0" w:color="auto"/>
        <w:right w:val="none" w:sz="0" w:space="0" w:color="auto"/>
      </w:divBdr>
    </w:div>
    <w:div w:id="209246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37325-4D61-41C9-85C6-4F38CA69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1548</Words>
  <Characters>8828</Characters>
  <Application>Microsoft Office Word</Application>
  <DocSecurity>0</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Africa Martín</dc:creator>
  <cp:lastModifiedBy>Dorothee Pinet</cp:lastModifiedBy>
  <cp:revision>34</cp:revision>
  <dcterms:created xsi:type="dcterms:W3CDTF">2025-11-21T15:38:00Z</dcterms:created>
  <dcterms:modified xsi:type="dcterms:W3CDTF">2025-11-21T17:14:00Z</dcterms:modified>
</cp:coreProperties>
</file>