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49FE" w14:textId="77777777" w:rsidR="00D576BD" w:rsidRPr="00736165" w:rsidRDefault="00D576BD" w:rsidP="00D576BD">
      <w:pPr>
        <w:pStyle w:val="NormalWeb"/>
        <w:widowControl w:val="0"/>
        <w:spacing w:before="0" w:beforeAutospacing="0" w:after="0" w:afterAutospacing="0"/>
        <w:jc w:val="center"/>
        <w:rPr>
          <w:rFonts w:ascii="Cambria" w:hAnsi="Cambria" w:cs="Times New Roman"/>
          <w:b/>
          <w:sz w:val="20"/>
          <w:szCs w:val="20"/>
        </w:rPr>
      </w:pPr>
      <w:r w:rsidRPr="00736165">
        <w:rPr>
          <w:rFonts w:ascii="Cambria" w:hAnsi="Cambria" w:cs="Times New Roman"/>
          <w:b/>
          <w:sz w:val="20"/>
          <w:szCs w:val="20"/>
        </w:rPr>
        <w:t>APPROCHE DE LA DEUXIÈME ÉVALUATION</w:t>
      </w:r>
    </w:p>
    <w:p w14:paraId="687E5C75" w14:textId="77777777" w:rsidR="00D576BD" w:rsidRPr="00736165" w:rsidRDefault="00D576BD" w:rsidP="00D576BD">
      <w:pPr>
        <w:pStyle w:val="NormalWeb"/>
        <w:widowControl w:val="0"/>
        <w:spacing w:before="0" w:beforeAutospacing="0" w:after="0" w:afterAutospacing="0"/>
        <w:jc w:val="center"/>
        <w:rPr>
          <w:rFonts w:ascii="Cambria" w:hAnsi="Cambria" w:cs="Times New Roman"/>
          <w:b/>
          <w:sz w:val="20"/>
          <w:szCs w:val="20"/>
        </w:rPr>
      </w:pPr>
      <w:r w:rsidRPr="00736165">
        <w:rPr>
          <w:rFonts w:ascii="Cambria" w:hAnsi="Cambria" w:cs="Times New Roman"/>
          <w:b/>
          <w:sz w:val="20"/>
          <w:szCs w:val="20"/>
        </w:rPr>
        <w:t>DES PERFORMANCES DE L’ICCAT</w:t>
      </w:r>
    </w:p>
    <w:p w14:paraId="52ADD469" w14:textId="77777777" w:rsidR="00D576BD" w:rsidRPr="00736165" w:rsidRDefault="00D576BD" w:rsidP="00D576BD">
      <w:pPr>
        <w:pStyle w:val="NormalWeb"/>
        <w:widowControl w:val="0"/>
        <w:spacing w:before="0" w:beforeAutospacing="0" w:after="0" w:afterAutospacing="0"/>
        <w:jc w:val="center"/>
        <w:rPr>
          <w:rFonts w:ascii="Cambria" w:hAnsi="Cambria" w:cs="Times New Roman"/>
          <w:b/>
          <w:sz w:val="20"/>
          <w:szCs w:val="20"/>
        </w:rPr>
      </w:pPr>
    </w:p>
    <w:p w14:paraId="71BAAD2A" w14:textId="77777777" w:rsidR="00D576BD" w:rsidRPr="00736165" w:rsidRDefault="00D576BD" w:rsidP="00D576BD">
      <w:pPr>
        <w:pStyle w:val="NormalWeb"/>
        <w:widowControl w:val="0"/>
        <w:spacing w:before="0" w:beforeAutospacing="0" w:after="0" w:afterAutospacing="0"/>
        <w:jc w:val="center"/>
        <w:rPr>
          <w:rFonts w:ascii="Cambria" w:hAnsi="Cambria" w:cs="Times New Roman"/>
          <w:b/>
          <w:sz w:val="20"/>
          <w:szCs w:val="20"/>
        </w:rPr>
      </w:pPr>
    </w:p>
    <w:p w14:paraId="2192091D" w14:textId="77777777" w:rsidR="00D576BD" w:rsidRPr="00736165" w:rsidRDefault="00D576BD" w:rsidP="00D576BD">
      <w:pPr>
        <w:pStyle w:val="NormalWeb"/>
        <w:spacing w:before="0" w:beforeAutospacing="0" w:after="0" w:afterAutospacing="0"/>
        <w:jc w:val="both"/>
        <w:rPr>
          <w:rFonts w:ascii="Cambria" w:hAnsi="Cambria" w:cs="Times New Roman"/>
          <w:sz w:val="20"/>
          <w:szCs w:val="20"/>
        </w:rPr>
      </w:pPr>
      <w:r w:rsidRPr="00736165">
        <w:rPr>
          <w:rFonts w:ascii="Cambria" w:hAnsi="Cambria" w:cs="Times New Roman"/>
          <w:sz w:val="20"/>
          <w:szCs w:val="20"/>
        </w:rPr>
        <w:t>Ce document a pour objectif de présenter une approche concernant la façon dont la deuxième évaluation des performances de l'ICCAT devrait être réalisée.</w:t>
      </w:r>
    </w:p>
    <w:p w14:paraId="7A7463E4" w14:textId="77777777" w:rsidR="00D576BD" w:rsidRPr="00736165" w:rsidRDefault="00D576BD" w:rsidP="00D576BD">
      <w:pPr>
        <w:pStyle w:val="NormalWeb"/>
        <w:widowControl w:val="0"/>
        <w:spacing w:before="0" w:beforeAutospacing="0" w:after="0" w:afterAutospacing="0"/>
        <w:jc w:val="both"/>
        <w:rPr>
          <w:rFonts w:ascii="Cambria" w:hAnsi="Cambria" w:cs="Times New Roman"/>
          <w:b/>
          <w:sz w:val="20"/>
          <w:szCs w:val="20"/>
        </w:rPr>
      </w:pPr>
    </w:p>
    <w:p w14:paraId="5E29112C" w14:textId="77777777" w:rsidR="00D576BD" w:rsidRPr="00736165" w:rsidRDefault="00D576BD" w:rsidP="00D576BD">
      <w:pPr>
        <w:jc w:val="both"/>
        <w:rPr>
          <w:rFonts w:ascii="Cambria" w:hAnsi="Cambria"/>
          <w:b/>
          <w:sz w:val="20"/>
          <w:szCs w:val="20"/>
          <w:lang w:val="fr-FR"/>
        </w:rPr>
      </w:pPr>
      <w:r w:rsidRPr="00736165">
        <w:rPr>
          <w:rFonts w:ascii="Cambria" w:hAnsi="Cambria"/>
          <w:b/>
          <w:sz w:val="20"/>
          <w:szCs w:val="20"/>
          <w:lang w:val="fr-FR"/>
        </w:rPr>
        <w:t>1. La première évaluation des performances</w:t>
      </w:r>
    </w:p>
    <w:p w14:paraId="68849BD3" w14:textId="77777777" w:rsidR="00D576BD" w:rsidRPr="00736165" w:rsidRDefault="00D576BD" w:rsidP="00D576BD">
      <w:pPr>
        <w:pStyle w:val="NormalWeb"/>
        <w:widowControl w:val="0"/>
        <w:spacing w:before="0" w:beforeAutospacing="0" w:after="0" w:afterAutospacing="0"/>
        <w:jc w:val="center"/>
        <w:rPr>
          <w:rFonts w:ascii="Cambria" w:hAnsi="Cambria" w:cs="Times New Roman"/>
          <w:b/>
          <w:i/>
          <w:sz w:val="20"/>
          <w:szCs w:val="20"/>
        </w:rPr>
      </w:pPr>
    </w:p>
    <w:p w14:paraId="425ADB7F" w14:textId="77777777" w:rsidR="00D576BD" w:rsidRPr="00736165" w:rsidRDefault="00D576BD" w:rsidP="00D576BD">
      <w:pPr>
        <w:jc w:val="both"/>
        <w:rPr>
          <w:rFonts w:ascii="Cambria" w:hAnsi="Cambria"/>
          <w:sz w:val="20"/>
          <w:szCs w:val="20"/>
          <w:lang w:val="fr-FR"/>
        </w:rPr>
      </w:pPr>
      <w:r w:rsidRPr="00736165">
        <w:rPr>
          <w:rFonts w:ascii="Cambria" w:hAnsi="Cambria"/>
          <w:sz w:val="20"/>
          <w:szCs w:val="20"/>
          <w:lang w:val="fr-FR"/>
        </w:rPr>
        <w:t xml:space="preserve">L'ICCAT a procédé à la première évaluation des performances en 2008, en ayant recours aux critères communs adoptés à la </w:t>
      </w:r>
      <w:r w:rsidRPr="00736165">
        <w:rPr>
          <w:rFonts w:ascii="Cambria" w:hAnsi="Cambria"/>
          <w:i/>
          <w:sz w:val="20"/>
          <w:szCs w:val="20"/>
          <w:lang w:val="fr-FR"/>
        </w:rPr>
        <w:t>Sixième série de consultations informelles des États parties à l'Accord aux fins de l’application des dispositions de la Convention des Nations unies sur le Droit de la mer du 10 décembre 1982 relatives à la conservation et à la gestion des stocks de poissons chevauchants et des stocks de poissons grands migrateurs (l'Accord).</w:t>
      </w:r>
      <w:r w:rsidRPr="00736165">
        <w:rPr>
          <w:rFonts w:ascii="Cambria" w:hAnsi="Cambria"/>
          <w:sz w:val="20"/>
          <w:szCs w:val="20"/>
          <w:lang w:val="fr-FR"/>
        </w:rPr>
        <w:t xml:space="preserve"> Ces critères énonçaient « ce qui » (au moins) devrait être évalué dans l'évaluation des performances.</w:t>
      </w:r>
    </w:p>
    <w:p w14:paraId="32A37BEB" w14:textId="77777777" w:rsidR="00D576BD" w:rsidRPr="00736165" w:rsidRDefault="00D576BD" w:rsidP="00D576BD">
      <w:pPr>
        <w:jc w:val="both"/>
        <w:rPr>
          <w:rFonts w:ascii="Cambria" w:hAnsi="Cambria"/>
          <w:sz w:val="20"/>
          <w:szCs w:val="20"/>
          <w:lang w:val="fr-FR"/>
        </w:rPr>
      </w:pPr>
    </w:p>
    <w:p w14:paraId="44D5A59C" w14:textId="77777777" w:rsidR="00D576BD" w:rsidRPr="00736165" w:rsidRDefault="00D576BD" w:rsidP="00D576BD">
      <w:pPr>
        <w:pStyle w:val="NormalWeb"/>
        <w:spacing w:before="0" w:beforeAutospacing="0" w:after="0" w:afterAutospacing="0"/>
        <w:jc w:val="both"/>
        <w:rPr>
          <w:rFonts w:ascii="Cambria" w:hAnsi="Cambria" w:cs="Times New Roman"/>
          <w:sz w:val="20"/>
          <w:szCs w:val="20"/>
        </w:rPr>
      </w:pPr>
      <w:r w:rsidRPr="00736165">
        <w:rPr>
          <w:rFonts w:ascii="Cambria" w:hAnsi="Cambria" w:cs="Times New Roman"/>
          <w:sz w:val="20"/>
          <w:szCs w:val="20"/>
        </w:rPr>
        <w:t>L'évaluation était axée sur l'examen des objectifs de la Commission, comme le stipule la Convention de l’ICCAT, et des mesures en place en vue d'atteindre ces objectifs. Plus particulièrement, l'évaluation portait sur les points suivants :</w:t>
      </w:r>
    </w:p>
    <w:p w14:paraId="533F3733" w14:textId="77777777" w:rsidR="00D576BD" w:rsidRPr="00736165" w:rsidRDefault="00D576BD" w:rsidP="00D576BD">
      <w:pPr>
        <w:pStyle w:val="NormalWeb"/>
        <w:spacing w:before="0" w:beforeAutospacing="0" w:after="0" w:afterAutospacing="0"/>
        <w:jc w:val="both"/>
        <w:rPr>
          <w:rFonts w:ascii="Cambria" w:hAnsi="Cambria" w:cs="Times New Roman"/>
          <w:sz w:val="20"/>
          <w:szCs w:val="20"/>
        </w:rPr>
      </w:pPr>
    </w:p>
    <w:p w14:paraId="3B357E16" w14:textId="77777777" w:rsidR="00D576BD" w:rsidRPr="00736165" w:rsidRDefault="00D576BD" w:rsidP="00D576BD">
      <w:pPr>
        <w:spacing w:line="240" w:lineRule="atLeast"/>
        <w:ind w:left="709" w:right="432" w:hanging="283"/>
        <w:jc w:val="both"/>
        <w:rPr>
          <w:rFonts w:ascii="Cambria" w:hAnsi="Cambria"/>
          <w:sz w:val="20"/>
          <w:szCs w:val="20"/>
          <w:lang w:val="fr-FR"/>
        </w:rPr>
      </w:pPr>
      <w:r w:rsidRPr="00736165">
        <w:rPr>
          <w:rFonts w:ascii="Cambria" w:hAnsi="Cambria"/>
          <w:sz w:val="20"/>
          <w:szCs w:val="20"/>
          <w:lang w:val="fr-FR"/>
        </w:rPr>
        <w:t>a)</w:t>
      </w:r>
      <w:r w:rsidRPr="00736165">
        <w:rPr>
          <w:rFonts w:ascii="Cambria" w:hAnsi="Cambria"/>
          <w:sz w:val="20"/>
          <w:szCs w:val="20"/>
          <w:lang w:val="fr-FR"/>
        </w:rPr>
        <w:tab/>
        <w:t>Évaluation du texte de la Convention et sa capacité d'assimiler les exigences des instruments internationaux relatifs à la pêche.</w:t>
      </w:r>
    </w:p>
    <w:p w14:paraId="0E32F4AD" w14:textId="77777777" w:rsidR="00D576BD" w:rsidRPr="00736165" w:rsidRDefault="00D576BD" w:rsidP="00D576BD">
      <w:pPr>
        <w:spacing w:line="240" w:lineRule="atLeast"/>
        <w:ind w:left="709" w:right="432" w:hanging="283"/>
        <w:jc w:val="both"/>
        <w:rPr>
          <w:rFonts w:ascii="Cambria" w:hAnsi="Cambria"/>
          <w:sz w:val="20"/>
          <w:szCs w:val="20"/>
          <w:lang w:val="fr-FR"/>
        </w:rPr>
      </w:pPr>
      <w:r w:rsidRPr="00736165">
        <w:rPr>
          <w:rFonts w:ascii="Cambria" w:hAnsi="Cambria"/>
          <w:sz w:val="20"/>
          <w:szCs w:val="20"/>
          <w:lang w:val="fr-FR"/>
        </w:rPr>
        <w:t>b)</w:t>
      </w:r>
      <w:r w:rsidRPr="00736165">
        <w:rPr>
          <w:rFonts w:ascii="Cambria" w:hAnsi="Cambria"/>
          <w:sz w:val="20"/>
          <w:szCs w:val="20"/>
          <w:lang w:val="fr-FR"/>
        </w:rPr>
        <w:tab/>
        <w:t>Évaluation de la mesure dans laquelle les mesures adoptées remplissent les objectifs de la Commission et les objectifs des instruments internationaux.</w:t>
      </w:r>
    </w:p>
    <w:p w14:paraId="53E14CCA" w14:textId="77777777" w:rsidR="00D576BD" w:rsidRPr="00736165" w:rsidRDefault="00D576BD" w:rsidP="00D576BD">
      <w:pPr>
        <w:spacing w:line="240" w:lineRule="atLeast"/>
        <w:ind w:left="709" w:right="432" w:hanging="283"/>
        <w:jc w:val="both"/>
        <w:rPr>
          <w:rFonts w:ascii="Cambria" w:hAnsi="Cambria"/>
          <w:sz w:val="20"/>
          <w:szCs w:val="20"/>
          <w:lang w:val="fr-FR"/>
        </w:rPr>
      </w:pPr>
      <w:r w:rsidRPr="00736165">
        <w:rPr>
          <w:rFonts w:ascii="Cambria" w:hAnsi="Cambria"/>
          <w:sz w:val="20"/>
          <w:szCs w:val="20"/>
          <w:lang w:val="fr-FR"/>
        </w:rPr>
        <w:t>c)</w:t>
      </w:r>
      <w:r w:rsidRPr="00736165">
        <w:rPr>
          <w:rFonts w:ascii="Cambria" w:hAnsi="Cambria"/>
          <w:sz w:val="20"/>
          <w:szCs w:val="20"/>
          <w:lang w:val="fr-FR"/>
        </w:rPr>
        <w:tab/>
        <w:t>Recommandations sur la façon dont l'organisation pourrait être améliorée.</w:t>
      </w:r>
    </w:p>
    <w:p w14:paraId="054BC737" w14:textId="77777777" w:rsidR="00D576BD" w:rsidRPr="00736165" w:rsidRDefault="00D576BD" w:rsidP="00D576BD">
      <w:pPr>
        <w:tabs>
          <w:tab w:val="left" w:pos="360"/>
          <w:tab w:val="left" w:pos="600"/>
        </w:tabs>
        <w:spacing w:line="240" w:lineRule="atLeast"/>
        <w:jc w:val="both"/>
        <w:rPr>
          <w:rFonts w:ascii="Cambria" w:hAnsi="Cambria"/>
          <w:sz w:val="20"/>
          <w:szCs w:val="20"/>
          <w:lang w:val="fr-FR"/>
        </w:rPr>
      </w:pPr>
    </w:p>
    <w:p w14:paraId="472636B0" w14:textId="77777777" w:rsidR="00D576BD" w:rsidRPr="00736165" w:rsidRDefault="00D576BD" w:rsidP="00D576BD">
      <w:pPr>
        <w:jc w:val="both"/>
        <w:rPr>
          <w:rFonts w:ascii="Cambria" w:hAnsi="Cambria"/>
          <w:sz w:val="20"/>
          <w:szCs w:val="20"/>
          <w:lang w:val="fr-FR"/>
        </w:rPr>
      </w:pPr>
      <w:r w:rsidRPr="00736165">
        <w:rPr>
          <w:rFonts w:ascii="Cambria" w:hAnsi="Cambria"/>
          <w:sz w:val="20"/>
          <w:szCs w:val="20"/>
          <w:lang w:val="fr-FR"/>
        </w:rPr>
        <w:t>À l’issue de cette évaluation, le Comité d’évaluation a tiré les principales conclusions suivantes :</w:t>
      </w:r>
    </w:p>
    <w:p w14:paraId="200CD023" w14:textId="77777777" w:rsidR="00D576BD" w:rsidRPr="00736165" w:rsidRDefault="00D576BD" w:rsidP="00D576BD">
      <w:pPr>
        <w:jc w:val="both"/>
        <w:rPr>
          <w:rFonts w:ascii="Cambria" w:hAnsi="Cambria"/>
          <w:sz w:val="20"/>
          <w:szCs w:val="20"/>
          <w:lang w:val="fr-FR"/>
        </w:rPr>
      </w:pPr>
    </w:p>
    <w:p w14:paraId="26998C28" w14:textId="77777777" w:rsidR="00D576BD" w:rsidRPr="00736165" w:rsidRDefault="00D576BD" w:rsidP="00D576BD">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L’ICCAT a développé des pratiques de conservation et de gestion des pêcheries relativement solides qui auraient dû permettre de gérer efficacement les pêcheries relevant de son mandat, si elles avaient été mises en œuvre et respectées intégralement par les Parties contractantes et les Parties, Entités ou Entités de pêche non contractantes coopérantes (CPC).</w:t>
      </w:r>
    </w:p>
    <w:p w14:paraId="6BA2B245" w14:textId="77777777" w:rsidR="00D576BD" w:rsidRPr="00736165" w:rsidRDefault="00D576BD" w:rsidP="00D576BD">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La Convention de l’ICCAT devrait être révisée, modernisée ou complétée d’une autre manière, afin de refléter les approches actuelles vis-à-vis de la gestion des pêcheries.</w:t>
      </w:r>
    </w:p>
    <w:p w14:paraId="5B9DF5CE" w14:textId="77777777" w:rsidR="00D576BD" w:rsidRPr="00736165" w:rsidRDefault="00D576BD" w:rsidP="00D576BD">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La structure des Comités permanents et des Sous-commissions est solide et les comités fournissent des avis à l’ICCAT en temps opportun. Toutefois, le Comité d’évaluation a constaté que les performances du Comité d'application suscitent de fortes réserves.</w:t>
      </w:r>
    </w:p>
    <w:p w14:paraId="55EBB9AD" w14:textId="77777777" w:rsidR="00D576BD" w:rsidRPr="00736165" w:rsidRDefault="00D576BD" w:rsidP="00D576BD">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Le Comité permanent pour la recherche et les statistiques (SCRS) fournit des avis solides aux membres de la Commission et rencontre, dans son fonctionnement, des difficultés considérables en grande partie dues au fait que les CPC ne fournissent pas des données exactes dans les délais prévus.</w:t>
      </w:r>
    </w:p>
    <w:p w14:paraId="4F3EF385" w14:textId="77777777" w:rsidR="00D576BD" w:rsidRPr="00736165" w:rsidRDefault="00D576BD" w:rsidP="00D576BD">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Les performances du Secrétariat sont bonnes et bien considérées par les CPC qui les considèrent à la fois efficaces et effectives.</w:t>
      </w:r>
    </w:p>
    <w:p w14:paraId="3D110EB5" w14:textId="77777777" w:rsidR="00D576BD" w:rsidRPr="00736165" w:rsidRDefault="00D576BD" w:rsidP="00D576BD">
      <w:pPr>
        <w:pStyle w:val="ListParagraph"/>
        <w:numPr>
          <w:ilvl w:val="0"/>
          <w:numId w:val="5"/>
        </w:numPr>
        <w:autoSpaceDE w:val="0"/>
        <w:autoSpaceDN w:val="0"/>
        <w:adjustRightInd w:val="0"/>
        <w:spacing w:after="0" w:line="240" w:lineRule="auto"/>
        <w:jc w:val="both"/>
        <w:rPr>
          <w:rFonts w:ascii="Cambria" w:hAnsi="Cambria"/>
          <w:sz w:val="20"/>
          <w:szCs w:val="20"/>
        </w:rPr>
      </w:pPr>
      <w:r w:rsidRPr="00736165">
        <w:rPr>
          <w:rFonts w:ascii="Cambria" w:hAnsi="Cambria"/>
          <w:sz w:val="20"/>
          <w:szCs w:val="20"/>
        </w:rPr>
        <w:t>Les problèmes et défis fondamentaux que rencontre l’ICCAT dans la gestion durable des pêcheries relevant de son mandat ne sont pas uniques à l’ICCAT ; d’autres ORGP thonières y sont aussi confrontées, mais le nombre élevé des membres de l’ICCAT rend la tâche plus complexe.</w:t>
      </w:r>
    </w:p>
    <w:p w14:paraId="526E03FA" w14:textId="77777777" w:rsidR="00D576BD" w:rsidRPr="00736165" w:rsidRDefault="00D576BD" w:rsidP="00D576BD">
      <w:pPr>
        <w:autoSpaceDE w:val="0"/>
        <w:autoSpaceDN w:val="0"/>
        <w:adjustRightInd w:val="0"/>
        <w:jc w:val="both"/>
        <w:rPr>
          <w:rFonts w:ascii="Cambria" w:hAnsi="Cambria"/>
          <w:sz w:val="20"/>
          <w:szCs w:val="20"/>
          <w:lang w:val="fr-FR"/>
        </w:rPr>
      </w:pPr>
    </w:p>
    <w:p w14:paraId="619B7FEF" w14:textId="77777777" w:rsidR="00D576BD" w:rsidRPr="00736165" w:rsidRDefault="00D576BD" w:rsidP="00D576BD">
      <w:pPr>
        <w:autoSpaceDE w:val="0"/>
        <w:autoSpaceDN w:val="0"/>
        <w:adjustRightInd w:val="0"/>
        <w:jc w:val="both"/>
        <w:rPr>
          <w:rFonts w:ascii="Cambria" w:hAnsi="Cambria"/>
          <w:sz w:val="20"/>
          <w:szCs w:val="20"/>
          <w:lang w:val="fr-FR"/>
        </w:rPr>
      </w:pPr>
      <w:r w:rsidRPr="00736165">
        <w:rPr>
          <w:rFonts w:ascii="Cambria" w:hAnsi="Cambria"/>
          <w:sz w:val="20"/>
          <w:szCs w:val="20"/>
          <w:lang w:val="fr-FR"/>
        </w:rPr>
        <w:t>Le Comité d’évaluation a réalisé l’évaluation générale suivante des performances de l’ICCAT :</w:t>
      </w:r>
    </w:p>
    <w:p w14:paraId="2587E62B" w14:textId="77777777" w:rsidR="00D576BD" w:rsidRPr="00736165" w:rsidRDefault="00D576BD" w:rsidP="00D576BD">
      <w:pPr>
        <w:autoSpaceDE w:val="0"/>
        <w:autoSpaceDN w:val="0"/>
        <w:adjustRightInd w:val="0"/>
        <w:jc w:val="both"/>
        <w:rPr>
          <w:rFonts w:ascii="Cambria" w:hAnsi="Cambria"/>
          <w:sz w:val="20"/>
          <w:szCs w:val="20"/>
          <w:lang w:val="fr-FR"/>
        </w:rPr>
      </w:pPr>
    </w:p>
    <w:p w14:paraId="6995BA23" w14:textId="77777777" w:rsidR="00D576BD" w:rsidRPr="00736165" w:rsidRDefault="00D576BD" w:rsidP="00D576BD">
      <w:pPr>
        <w:pStyle w:val="ListParagraph"/>
        <w:numPr>
          <w:ilvl w:val="0"/>
          <w:numId w:val="6"/>
        </w:numPr>
        <w:autoSpaceDE w:val="0"/>
        <w:autoSpaceDN w:val="0"/>
        <w:adjustRightInd w:val="0"/>
        <w:spacing w:after="120" w:line="240" w:lineRule="auto"/>
        <w:contextualSpacing w:val="0"/>
        <w:jc w:val="both"/>
        <w:rPr>
          <w:rFonts w:ascii="Cambria" w:hAnsi="Cambria"/>
          <w:sz w:val="20"/>
          <w:szCs w:val="20"/>
        </w:rPr>
      </w:pPr>
      <w:r w:rsidRPr="00736165">
        <w:rPr>
          <w:rFonts w:ascii="Cambria" w:hAnsi="Cambria"/>
          <w:sz w:val="20"/>
          <w:szCs w:val="20"/>
        </w:rPr>
        <w:t>Fondamentalement, les performances de l’ICCAT jusqu’à ce jour n’ont pas atteint son objectif en ce qui concerne plusieurs espèces relevant de son mandat.</w:t>
      </w:r>
    </w:p>
    <w:p w14:paraId="3012CB99" w14:textId="77777777" w:rsidR="00D576BD" w:rsidRPr="00736165" w:rsidRDefault="00D576BD" w:rsidP="00D576BD">
      <w:pPr>
        <w:pStyle w:val="ListParagraph"/>
        <w:numPr>
          <w:ilvl w:val="0"/>
          <w:numId w:val="6"/>
        </w:numPr>
        <w:autoSpaceDE w:val="0"/>
        <w:autoSpaceDN w:val="0"/>
        <w:adjustRightInd w:val="0"/>
        <w:spacing w:after="120" w:line="240" w:lineRule="auto"/>
        <w:contextualSpacing w:val="0"/>
        <w:jc w:val="both"/>
        <w:rPr>
          <w:rFonts w:ascii="Cambria" w:hAnsi="Cambria"/>
          <w:sz w:val="20"/>
          <w:szCs w:val="20"/>
        </w:rPr>
      </w:pPr>
      <w:r w:rsidRPr="00736165">
        <w:rPr>
          <w:rFonts w:ascii="Cambria" w:hAnsi="Cambria"/>
          <w:sz w:val="20"/>
          <w:szCs w:val="20"/>
        </w:rPr>
        <w:t>La non-application d’un grand nombre de ses CPC empêche dans une grande mesure l’ICCAT de réaliser ses objectifs.</w:t>
      </w:r>
    </w:p>
    <w:p w14:paraId="5C198239" w14:textId="77777777" w:rsidR="00D576BD" w:rsidRPr="00736165" w:rsidRDefault="00D576BD" w:rsidP="00D576BD">
      <w:pPr>
        <w:pStyle w:val="ListParagraph"/>
        <w:numPr>
          <w:ilvl w:val="0"/>
          <w:numId w:val="6"/>
        </w:numPr>
        <w:autoSpaceDE w:val="0"/>
        <w:autoSpaceDN w:val="0"/>
        <w:adjustRightInd w:val="0"/>
        <w:spacing w:after="120" w:line="240" w:lineRule="auto"/>
        <w:contextualSpacing w:val="0"/>
        <w:jc w:val="both"/>
        <w:rPr>
          <w:rFonts w:ascii="Cambria" w:hAnsi="Cambria"/>
          <w:sz w:val="20"/>
          <w:szCs w:val="20"/>
        </w:rPr>
      </w:pPr>
      <w:r w:rsidRPr="00736165">
        <w:rPr>
          <w:rFonts w:ascii="Cambria" w:hAnsi="Cambria"/>
          <w:sz w:val="20"/>
          <w:szCs w:val="20"/>
        </w:rPr>
        <w:t>Les CPC ont invariablement failli à leur obligation de fournir des données exactes et en temps opportun et de mettre en œuvre des mesures de suivi, contrôle et surveillance (MCS) affectant leurs ressortissants et leurs compagnies nationales.</w:t>
      </w:r>
    </w:p>
    <w:p w14:paraId="59A5B626" w14:textId="77777777" w:rsidR="00D576BD" w:rsidRPr="00736165" w:rsidRDefault="00D576BD" w:rsidP="00D576BD">
      <w:pPr>
        <w:pStyle w:val="ListParagraph"/>
        <w:numPr>
          <w:ilvl w:val="0"/>
          <w:numId w:val="6"/>
        </w:numPr>
        <w:autoSpaceDE w:val="0"/>
        <w:autoSpaceDN w:val="0"/>
        <w:adjustRightInd w:val="0"/>
        <w:spacing w:after="120" w:line="240" w:lineRule="auto"/>
        <w:contextualSpacing w:val="0"/>
        <w:jc w:val="both"/>
        <w:rPr>
          <w:rFonts w:ascii="Cambria" w:hAnsi="Cambria"/>
          <w:sz w:val="20"/>
          <w:szCs w:val="20"/>
        </w:rPr>
      </w:pPr>
      <w:r w:rsidRPr="00736165">
        <w:rPr>
          <w:rFonts w:ascii="Cambria" w:hAnsi="Cambria"/>
          <w:sz w:val="20"/>
          <w:szCs w:val="20"/>
        </w:rPr>
        <w:lastRenderedPageBreak/>
        <w:t>Le jugement de la communauté internationale se fondera en grande partie sur la façon dont l’ICCAT gère les pêcheries de thon rouge (BFT). Les performances des CPC de l’ICCAT en matière de gestion des pêcheries de thon rouge, notamment dans l’Atlantique Est et la mer Méditerranée, sont considérées comme une honte internationale, et la communauté internationale qui a confié à l’ICCAT la gestion de cette espèce emblématique mérite de meilleures performances de la part de l’ICCAT que ce qu’elle a reçu jusqu’à présent.</w:t>
      </w:r>
    </w:p>
    <w:p w14:paraId="4549A9CB" w14:textId="77777777" w:rsidR="00D576BD" w:rsidRPr="00736165" w:rsidRDefault="00D576BD" w:rsidP="00D576BD">
      <w:pPr>
        <w:pStyle w:val="ListParagraph"/>
        <w:numPr>
          <w:ilvl w:val="0"/>
          <w:numId w:val="6"/>
        </w:numPr>
        <w:autoSpaceDE w:val="0"/>
        <w:autoSpaceDN w:val="0"/>
        <w:adjustRightInd w:val="0"/>
        <w:spacing w:after="120" w:line="240" w:lineRule="auto"/>
        <w:contextualSpacing w:val="0"/>
        <w:jc w:val="both"/>
        <w:rPr>
          <w:rFonts w:ascii="Cambria" w:hAnsi="Cambria"/>
          <w:sz w:val="20"/>
          <w:szCs w:val="20"/>
        </w:rPr>
      </w:pPr>
      <w:r w:rsidRPr="00736165">
        <w:rPr>
          <w:rFonts w:ascii="Cambria" w:hAnsi="Cambria"/>
          <w:sz w:val="20"/>
          <w:szCs w:val="20"/>
        </w:rPr>
        <w:t>Des préoccupations existent quant à la transparence au sein de l’ICCAT, à la fois au niveau de la prise de décisions et de l’allocation des ressources.</w:t>
      </w:r>
    </w:p>
    <w:p w14:paraId="3603B05B" w14:textId="77777777" w:rsidR="00D576BD" w:rsidRPr="00736165" w:rsidRDefault="00D576BD" w:rsidP="00D576BD">
      <w:pPr>
        <w:pStyle w:val="ListParagraph"/>
        <w:numPr>
          <w:ilvl w:val="0"/>
          <w:numId w:val="6"/>
        </w:numPr>
        <w:autoSpaceDE w:val="0"/>
        <w:autoSpaceDN w:val="0"/>
        <w:adjustRightInd w:val="0"/>
        <w:spacing w:after="0" w:line="240" w:lineRule="auto"/>
        <w:jc w:val="both"/>
        <w:rPr>
          <w:rFonts w:ascii="Cambria" w:hAnsi="Cambria"/>
          <w:sz w:val="20"/>
          <w:szCs w:val="20"/>
        </w:rPr>
      </w:pPr>
      <w:r w:rsidRPr="00736165">
        <w:rPr>
          <w:rFonts w:ascii="Cambria" w:hAnsi="Cambria"/>
          <w:sz w:val="20"/>
          <w:szCs w:val="20"/>
        </w:rPr>
        <w:t>La plupart des problèmes et défis auxquels l’ICCAT est confrontée seraient simples à solutionner si les CPC avaient la volonté politique de mettre intégralement en œuvre et de respecter l’esprit et la lettre des règlementations et des recommandations de l’ICCAT.</w:t>
      </w:r>
    </w:p>
    <w:p w14:paraId="46916435" w14:textId="77777777" w:rsidR="00D576BD" w:rsidRPr="00736165" w:rsidRDefault="00D576BD" w:rsidP="00D576BD">
      <w:pPr>
        <w:pStyle w:val="NormalWeb"/>
        <w:spacing w:before="0" w:beforeAutospacing="0" w:after="0" w:afterAutospacing="0"/>
        <w:jc w:val="both"/>
        <w:rPr>
          <w:rFonts w:ascii="Cambria" w:hAnsi="Cambria" w:cs="Times New Roman"/>
          <w:sz w:val="20"/>
          <w:szCs w:val="20"/>
        </w:rPr>
      </w:pPr>
    </w:p>
    <w:p w14:paraId="52BE143A" w14:textId="77777777" w:rsidR="00D576BD" w:rsidRPr="00736165" w:rsidRDefault="00D576BD" w:rsidP="00D576BD">
      <w:pPr>
        <w:pStyle w:val="NormalWeb"/>
        <w:spacing w:before="0" w:beforeAutospacing="0" w:after="0" w:afterAutospacing="0"/>
        <w:jc w:val="both"/>
        <w:rPr>
          <w:rFonts w:ascii="Cambria" w:hAnsi="Cambria" w:cs="Times New Roman"/>
          <w:b/>
          <w:sz w:val="20"/>
          <w:szCs w:val="20"/>
        </w:rPr>
      </w:pPr>
    </w:p>
    <w:p w14:paraId="611AE024" w14:textId="77777777" w:rsidR="00D576BD" w:rsidRPr="00736165" w:rsidRDefault="00D576BD" w:rsidP="00D576BD">
      <w:pPr>
        <w:pStyle w:val="NormalWeb"/>
        <w:spacing w:before="0" w:beforeAutospacing="0" w:after="0" w:afterAutospacing="0"/>
        <w:jc w:val="both"/>
        <w:rPr>
          <w:rFonts w:ascii="Cambria" w:hAnsi="Cambria" w:cs="Times New Roman"/>
          <w:b/>
          <w:sz w:val="20"/>
          <w:szCs w:val="20"/>
        </w:rPr>
      </w:pPr>
      <w:r w:rsidRPr="00736165">
        <w:rPr>
          <w:rFonts w:ascii="Cambria" w:hAnsi="Cambria" w:cs="Times New Roman"/>
          <w:b/>
          <w:sz w:val="20"/>
          <w:szCs w:val="20"/>
        </w:rPr>
        <w:t>2. Approche pour la deuxième évaluation des performances de l'ICCAT</w:t>
      </w:r>
    </w:p>
    <w:p w14:paraId="5F15B492" w14:textId="77777777" w:rsidR="00D576BD" w:rsidRPr="00736165" w:rsidRDefault="00D576BD" w:rsidP="00D576BD">
      <w:pPr>
        <w:jc w:val="both"/>
        <w:rPr>
          <w:rFonts w:ascii="Cambria" w:hAnsi="Cambria"/>
          <w:i/>
          <w:sz w:val="20"/>
          <w:szCs w:val="20"/>
          <w:lang w:val="fr-FR"/>
        </w:rPr>
      </w:pPr>
    </w:p>
    <w:p w14:paraId="5EBD29AB" w14:textId="77777777" w:rsidR="00D576BD" w:rsidRPr="00736165" w:rsidRDefault="00D576BD" w:rsidP="00D576BD">
      <w:pPr>
        <w:jc w:val="both"/>
        <w:rPr>
          <w:rFonts w:ascii="Cambria" w:hAnsi="Cambria"/>
          <w:b/>
          <w:i/>
          <w:sz w:val="20"/>
          <w:szCs w:val="20"/>
          <w:lang w:val="fr-FR"/>
        </w:rPr>
      </w:pPr>
      <w:r w:rsidRPr="00736165">
        <w:rPr>
          <w:rFonts w:ascii="Cambria" w:hAnsi="Cambria"/>
          <w:b/>
          <w:i/>
          <w:sz w:val="20"/>
          <w:szCs w:val="20"/>
          <w:lang w:val="fr-FR"/>
        </w:rPr>
        <w:t>2 1. Termes de référence</w:t>
      </w:r>
    </w:p>
    <w:p w14:paraId="19F45CCA" w14:textId="77777777" w:rsidR="00D576BD" w:rsidRPr="00736165" w:rsidRDefault="00D576BD" w:rsidP="00D576BD">
      <w:pPr>
        <w:jc w:val="both"/>
        <w:rPr>
          <w:rFonts w:ascii="Cambria" w:hAnsi="Cambria"/>
          <w:sz w:val="20"/>
          <w:szCs w:val="20"/>
          <w:lang w:val="fr-FR"/>
        </w:rPr>
      </w:pPr>
    </w:p>
    <w:p w14:paraId="4E9878CA" w14:textId="77777777" w:rsidR="00D576BD" w:rsidRPr="00736165" w:rsidRDefault="00D576BD" w:rsidP="00D576BD">
      <w:pPr>
        <w:jc w:val="both"/>
        <w:rPr>
          <w:rFonts w:ascii="Cambria" w:hAnsi="Cambria"/>
          <w:sz w:val="20"/>
          <w:szCs w:val="20"/>
          <w:lang w:val="fr-FR"/>
        </w:rPr>
      </w:pPr>
      <w:r w:rsidRPr="00736165">
        <w:rPr>
          <w:rFonts w:ascii="Cambria" w:hAnsi="Cambria"/>
          <w:sz w:val="20"/>
          <w:szCs w:val="20"/>
          <w:lang w:val="fr-FR"/>
        </w:rPr>
        <w:t>Le but de la deuxième évaluation devrait viser à :</w:t>
      </w:r>
    </w:p>
    <w:p w14:paraId="4A5EBB31" w14:textId="77777777" w:rsidR="00D576BD" w:rsidRPr="00736165" w:rsidRDefault="00D576BD" w:rsidP="00D576BD">
      <w:pPr>
        <w:jc w:val="both"/>
        <w:rPr>
          <w:rFonts w:ascii="Cambria" w:hAnsi="Cambria"/>
          <w:sz w:val="20"/>
          <w:szCs w:val="20"/>
          <w:lang w:val="fr-FR"/>
        </w:rPr>
      </w:pPr>
    </w:p>
    <w:p w14:paraId="2F403087" w14:textId="77777777" w:rsidR="00D576BD" w:rsidRPr="00736165" w:rsidRDefault="00D576BD" w:rsidP="00D576BD">
      <w:pPr>
        <w:spacing w:after="120"/>
        <w:ind w:left="644" w:hanging="284"/>
        <w:jc w:val="both"/>
        <w:rPr>
          <w:rFonts w:ascii="Cambria" w:hAnsi="Cambria"/>
          <w:sz w:val="20"/>
          <w:szCs w:val="20"/>
          <w:lang w:val="fr-FR"/>
        </w:rPr>
      </w:pPr>
      <w:r w:rsidRPr="00736165">
        <w:rPr>
          <w:rFonts w:ascii="Cambria" w:hAnsi="Cambria"/>
          <w:sz w:val="20"/>
          <w:szCs w:val="20"/>
          <w:lang w:val="fr-FR"/>
        </w:rPr>
        <w:t>1.</w:t>
      </w:r>
      <w:r w:rsidRPr="00736165">
        <w:rPr>
          <w:rFonts w:ascii="Cambria" w:hAnsi="Cambria"/>
          <w:sz w:val="20"/>
          <w:szCs w:val="20"/>
          <w:lang w:val="fr-FR"/>
        </w:rPr>
        <w:tab/>
        <w:t>Évaluer comment l'ICCAT a réagi aux conclusions de la première évaluation des performances de l'ICCAT, réalisée en 2008, en tenant compte des discussions/recommandations du groupe de travail sur le futur de l'ICCAT, du groupe de travail chargé d'amender la Convention et des décisions et pratiques ultérieures de la Commission et de ses organes subsidiaires.</w:t>
      </w:r>
    </w:p>
    <w:p w14:paraId="4C9269D5" w14:textId="77777777" w:rsidR="00D576BD" w:rsidRPr="00736165" w:rsidRDefault="00D576BD" w:rsidP="00D576BD">
      <w:pPr>
        <w:spacing w:after="120"/>
        <w:ind w:left="644" w:hanging="284"/>
        <w:jc w:val="both"/>
        <w:rPr>
          <w:rFonts w:ascii="Cambria" w:hAnsi="Cambria"/>
          <w:sz w:val="20"/>
          <w:szCs w:val="20"/>
          <w:lang w:val="fr-FR"/>
        </w:rPr>
      </w:pPr>
      <w:r w:rsidRPr="00736165">
        <w:rPr>
          <w:rFonts w:ascii="Cambria" w:hAnsi="Cambria"/>
          <w:sz w:val="20"/>
          <w:szCs w:val="20"/>
          <w:lang w:val="fr-FR"/>
        </w:rPr>
        <w:t>2.</w:t>
      </w:r>
      <w:r w:rsidRPr="00736165">
        <w:rPr>
          <w:rFonts w:ascii="Cambria" w:hAnsi="Cambria"/>
          <w:sz w:val="20"/>
          <w:szCs w:val="20"/>
          <w:lang w:val="fr-FR"/>
        </w:rPr>
        <w:tab/>
        <w:t>Compte tenu de l'évaluation visée au point 1 ci-dessus, évaluer le fonctionnement de la Commission et de ses organes subsidiaires, notamment du Comité d'application et du SCRS.</w:t>
      </w:r>
    </w:p>
    <w:p w14:paraId="27F2F276" w14:textId="77777777" w:rsidR="00D576BD" w:rsidRPr="00736165" w:rsidRDefault="00D576BD" w:rsidP="00D576BD">
      <w:pPr>
        <w:spacing w:after="120"/>
        <w:ind w:left="644" w:hanging="284"/>
        <w:jc w:val="both"/>
        <w:rPr>
          <w:rFonts w:ascii="Cambria" w:hAnsi="Cambria"/>
          <w:sz w:val="20"/>
          <w:szCs w:val="20"/>
          <w:lang w:val="fr-FR"/>
        </w:rPr>
      </w:pPr>
      <w:r w:rsidRPr="00736165">
        <w:rPr>
          <w:rFonts w:ascii="Cambria" w:hAnsi="Cambria"/>
          <w:sz w:val="20"/>
          <w:szCs w:val="20"/>
          <w:lang w:val="fr-FR"/>
        </w:rPr>
        <w:t>3.</w:t>
      </w:r>
      <w:r w:rsidRPr="00736165">
        <w:rPr>
          <w:rFonts w:ascii="Cambria" w:hAnsi="Cambria"/>
          <w:sz w:val="20"/>
          <w:szCs w:val="20"/>
          <w:lang w:val="fr-FR"/>
        </w:rPr>
        <w:tab/>
        <w:t>Comparer, dans la mesure du possible, les performances de l’ICCAT avec les performances d'autr</w:t>
      </w:r>
      <w:r w:rsidR="000A3A0F" w:rsidRPr="00736165">
        <w:rPr>
          <w:rFonts w:ascii="Cambria" w:hAnsi="Cambria"/>
          <w:sz w:val="20"/>
          <w:szCs w:val="20"/>
          <w:lang w:val="fr-FR"/>
        </w:rPr>
        <w:t xml:space="preserve">es ORGP </w:t>
      </w:r>
      <w:r w:rsidRPr="00736165">
        <w:rPr>
          <w:rFonts w:ascii="Cambria" w:hAnsi="Cambria"/>
          <w:sz w:val="20"/>
          <w:szCs w:val="20"/>
          <w:lang w:val="fr-FR"/>
        </w:rPr>
        <w:t>thonières, c’est-à-dire en tenant compte de l’évaluation des performances d’autres ORGP t</w:t>
      </w:r>
      <w:r w:rsidR="000A3A0F" w:rsidRPr="00736165">
        <w:rPr>
          <w:rFonts w:ascii="Cambria" w:hAnsi="Cambria"/>
          <w:sz w:val="20"/>
          <w:szCs w:val="20"/>
          <w:lang w:val="fr-FR"/>
        </w:rPr>
        <w:t>honières</w:t>
      </w:r>
      <w:r w:rsidRPr="00736165">
        <w:rPr>
          <w:rFonts w:ascii="Cambria" w:hAnsi="Cambria"/>
          <w:sz w:val="20"/>
          <w:szCs w:val="20"/>
          <w:lang w:val="fr-FR"/>
        </w:rPr>
        <w:t xml:space="preserve"> et en mettant en évidence les meilleures pratiques adoptées par d'autres ORGP qui pourraient contribuer à renforcer davantage l’ICCAT.</w:t>
      </w:r>
    </w:p>
    <w:p w14:paraId="2E4C69CB" w14:textId="77777777" w:rsidR="00D576BD" w:rsidRPr="00736165" w:rsidRDefault="00D576BD" w:rsidP="00D576BD">
      <w:pPr>
        <w:spacing w:after="120"/>
        <w:ind w:left="644" w:hanging="284"/>
        <w:jc w:val="both"/>
        <w:rPr>
          <w:rFonts w:ascii="Cambria" w:hAnsi="Cambria"/>
          <w:sz w:val="20"/>
          <w:szCs w:val="20"/>
          <w:lang w:val="fr-FR"/>
        </w:rPr>
      </w:pPr>
      <w:r w:rsidRPr="00736165">
        <w:rPr>
          <w:rFonts w:ascii="Cambria" w:hAnsi="Cambria"/>
          <w:sz w:val="20"/>
          <w:szCs w:val="20"/>
          <w:lang w:val="fr-FR"/>
        </w:rPr>
        <w:t>4.</w:t>
      </w:r>
      <w:r w:rsidRPr="00736165">
        <w:rPr>
          <w:rFonts w:ascii="Cambria" w:hAnsi="Cambria"/>
          <w:sz w:val="20"/>
          <w:szCs w:val="20"/>
          <w:lang w:val="fr-FR"/>
        </w:rPr>
        <w:tab/>
        <w:t xml:space="preserve">Identifier les domaines où des améliorations en vue de renforcer davantage l'organisation </w:t>
      </w:r>
      <w:r w:rsidR="00A71D85" w:rsidRPr="00736165">
        <w:rPr>
          <w:rFonts w:ascii="Cambria" w:hAnsi="Cambria"/>
          <w:sz w:val="20"/>
          <w:szCs w:val="20"/>
          <w:lang w:val="fr-FR"/>
        </w:rPr>
        <w:t xml:space="preserve">incluant une analyse des exigences en matière de déclaration en vue de les simplifier </w:t>
      </w:r>
      <w:r w:rsidRPr="00736165">
        <w:rPr>
          <w:rFonts w:ascii="Cambria" w:hAnsi="Cambria"/>
          <w:sz w:val="20"/>
          <w:szCs w:val="20"/>
          <w:lang w:val="fr-FR"/>
        </w:rPr>
        <w:t>et formuler des recommandations à la Commission sur la façon dont les performances pourraient être améliorées, en tenant compte du développement en matière de gestion des pêcheries et des océans qui a eu lieu pendant la période couverte par l’évaluation.</w:t>
      </w:r>
    </w:p>
    <w:p w14:paraId="44834AD1" w14:textId="77777777" w:rsidR="00D576BD" w:rsidRPr="00736165" w:rsidRDefault="00D576BD" w:rsidP="00D576BD">
      <w:pPr>
        <w:tabs>
          <w:tab w:val="left" w:pos="360"/>
          <w:tab w:val="left" w:pos="600"/>
        </w:tabs>
        <w:spacing w:line="240" w:lineRule="atLeast"/>
        <w:jc w:val="both"/>
        <w:rPr>
          <w:rFonts w:ascii="Cambria" w:hAnsi="Cambria"/>
          <w:sz w:val="20"/>
          <w:szCs w:val="20"/>
          <w:lang w:val="fr-FR"/>
        </w:rPr>
      </w:pPr>
    </w:p>
    <w:p w14:paraId="7BDA04FF" w14:textId="77777777" w:rsidR="00D576BD" w:rsidRPr="00736165" w:rsidRDefault="00D576BD" w:rsidP="00D576BD">
      <w:pPr>
        <w:spacing w:line="240" w:lineRule="atLeast"/>
        <w:jc w:val="both"/>
        <w:rPr>
          <w:rFonts w:ascii="Cambria" w:hAnsi="Cambria"/>
          <w:b/>
          <w:i/>
          <w:sz w:val="20"/>
          <w:szCs w:val="20"/>
          <w:lang w:val="fr-FR"/>
        </w:rPr>
      </w:pPr>
      <w:r w:rsidRPr="00736165">
        <w:rPr>
          <w:rFonts w:ascii="Cambria" w:hAnsi="Cambria"/>
          <w:b/>
          <w:i/>
          <w:sz w:val="20"/>
          <w:szCs w:val="20"/>
          <w:lang w:val="fr-FR"/>
        </w:rPr>
        <w:t>2.2. Critères et normes pour l'évaluation des performances</w:t>
      </w:r>
    </w:p>
    <w:p w14:paraId="75FE9901" w14:textId="77777777" w:rsidR="00D576BD" w:rsidRPr="00736165" w:rsidRDefault="00D576BD" w:rsidP="00D576BD">
      <w:pPr>
        <w:spacing w:line="240" w:lineRule="atLeast"/>
        <w:jc w:val="both"/>
        <w:rPr>
          <w:rFonts w:ascii="Cambria" w:hAnsi="Cambria"/>
          <w:sz w:val="20"/>
          <w:szCs w:val="20"/>
          <w:lang w:val="fr-FR"/>
        </w:rPr>
      </w:pPr>
    </w:p>
    <w:p w14:paraId="4340AAA2" w14:textId="77777777" w:rsidR="00D576BD" w:rsidRPr="00736165" w:rsidRDefault="00D576BD" w:rsidP="00D576BD">
      <w:pPr>
        <w:spacing w:line="240" w:lineRule="atLeast"/>
        <w:jc w:val="both"/>
        <w:rPr>
          <w:rFonts w:ascii="Cambria" w:hAnsi="Cambria"/>
          <w:bCs/>
          <w:i/>
          <w:snapToGrid w:val="0"/>
          <w:sz w:val="20"/>
          <w:szCs w:val="20"/>
          <w:lang w:val="fr-FR"/>
        </w:rPr>
      </w:pPr>
      <w:r w:rsidRPr="00736165">
        <w:rPr>
          <w:rFonts w:ascii="Cambria" w:hAnsi="Cambria"/>
          <w:sz w:val="20"/>
          <w:szCs w:val="20"/>
          <w:lang w:val="fr-FR"/>
        </w:rPr>
        <w:t>Il a été suggéré que les critères utilisés pour la première évaluation des performances soient adaptés aux nouveaux termes de référence de la deuxième évaluation des performances, figurant à l'</w:t>
      </w:r>
      <w:r w:rsidRPr="00736165">
        <w:rPr>
          <w:rFonts w:ascii="Cambria" w:hAnsi="Cambria"/>
          <w:b/>
          <w:sz w:val="20"/>
          <w:szCs w:val="20"/>
          <w:lang w:val="fr-FR"/>
        </w:rPr>
        <w:t>Annexe 1</w:t>
      </w:r>
      <w:r w:rsidRPr="00736165">
        <w:rPr>
          <w:rFonts w:ascii="Cambria" w:hAnsi="Cambria"/>
          <w:sz w:val="20"/>
          <w:szCs w:val="20"/>
          <w:lang w:val="fr-FR"/>
        </w:rPr>
        <w:t>.</w:t>
      </w:r>
      <w:r w:rsidRPr="00736165">
        <w:rPr>
          <w:rFonts w:ascii="Cambria" w:hAnsi="Cambria"/>
          <w:b/>
          <w:sz w:val="20"/>
          <w:szCs w:val="20"/>
          <w:lang w:val="fr-FR"/>
        </w:rPr>
        <w:t xml:space="preserve"> </w:t>
      </w:r>
      <w:r w:rsidRPr="00736165">
        <w:rPr>
          <w:rFonts w:ascii="Cambria" w:hAnsi="Cambria"/>
          <w:sz w:val="20"/>
          <w:szCs w:val="20"/>
          <w:lang w:val="fr-FR"/>
        </w:rPr>
        <w:t>Ces critères énoncent « ce qui » (au moins) devrait être évalué dans l'évaluation des performances.</w:t>
      </w:r>
    </w:p>
    <w:p w14:paraId="22DED8A7" w14:textId="77777777" w:rsidR="00BD19B6" w:rsidRPr="00736165" w:rsidRDefault="00BD19B6" w:rsidP="00D576BD">
      <w:pPr>
        <w:pStyle w:val="Default"/>
        <w:jc w:val="both"/>
        <w:rPr>
          <w:rFonts w:ascii="Cambria" w:hAnsi="Cambria" w:cs="Times New Roman"/>
          <w:b/>
          <w:i/>
          <w:color w:val="auto"/>
          <w:sz w:val="20"/>
          <w:szCs w:val="20"/>
        </w:rPr>
      </w:pPr>
    </w:p>
    <w:p w14:paraId="5A2A434D" w14:textId="77777777" w:rsidR="00D576BD" w:rsidRPr="00736165" w:rsidRDefault="00D576BD" w:rsidP="00D576BD">
      <w:pPr>
        <w:pStyle w:val="Default"/>
        <w:jc w:val="both"/>
        <w:rPr>
          <w:rFonts w:ascii="Cambria" w:hAnsi="Cambria" w:cs="Times New Roman"/>
          <w:b/>
          <w:i/>
          <w:color w:val="auto"/>
          <w:sz w:val="20"/>
          <w:szCs w:val="20"/>
        </w:rPr>
      </w:pPr>
      <w:r w:rsidRPr="00736165">
        <w:rPr>
          <w:rFonts w:ascii="Cambria" w:hAnsi="Cambria" w:cs="Times New Roman"/>
          <w:b/>
          <w:i/>
          <w:color w:val="auto"/>
          <w:sz w:val="20"/>
          <w:szCs w:val="20"/>
        </w:rPr>
        <w:t>2.3. Sélection des évaluateurs</w:t>
      </w:r>
    </w:p>
    <w:p w14:paraId="2264C980" w14:textId="77777777" w:rsidR="00D576BD" w:rsidRPr="00736165" w:rsidRDefault="00D576BD" w:rsidP="00D576BD">
      <w:pPr>
        <w:jc w:val="both"/>
        <w:rPr>
          <w:rFonts w:ascii="Cambria" w:hAnsi="Cambria"/>
          <w:sz w:val="20"/>
          <w:szCs w:val="20"/>
          <w:lang w:val="fr-FR"/>
        </w:rPr>
      </w:pPr>
    </w:p>
    <w:p w14:paraId="2E8F766C" w14:textId="77777777" w:rsidR="009477AC" w:rsidRDefault="00D576BD" w:rsidP="009477AC">
      <w:pPr>
        <w:jc w:val="both"/>
        <w:rPr>
          <w:rFonts w:ascii="Cambria" w:hAnsi="Cambria"/>
          <w:sz w:val="20"/>
          <w:szCs w:val="20"/>
          <w:lang w:val="fr-FR"/>
        </w:rPr>
      </w:pPr>
      <w:r w:rsidRPr="00736165">
        <w:rPr>
          <w:rFonts w:ascii="Cambria" w:hAnsi="Cambria"/>
          <w:sz w:val="20"/>
          <w:szCs w:val="20"/>
          <w:lang w:val="fr-FR"/>
        </w:rPr>
        <w:t>La Commission devrait statuer sur la composition et la taille du Comité d’évaluation. Le Comité chargé de la première évaluation des performances était composé d'un expert juridique, un scientifique halieutique et un gestionnaire des pêcheries. Ils étaient tous des experts externes qui n'avaient pas de lien avec l'ICCAT.</w:t>
      </w:r>
    </w:p>
    <w:p w14:paraId="453826A5" w14:textId="77777777" w:rsidR="009477AC" w:rsidRDefault="009477AC" w:rsidP="009477AC">
      <w:pPr>
        <w:jc w:val="both"/>
        <w:rPr>
          <w:rFonts w:ascii="Cambria" w:hAnsi="Cambria"/>
          <w:sz w:val="20"/>
          <w:szCs w:val="20"/>
          <w:lang w:val="fr-FR"/>
        </w:rPr>
      </w:pPr>
    </w:p>
    <w:p w14:paraId="13EFDCC2" w14:textId="50BEDD2F" w:rsidR="00D576BD" w:rsidRPr="00736165" w:rsidRDefault="00D576BD" w:rsidP="009477AC">
      <w:pPr>
        <w:jc w:val="both"/>
        <w:rPr>
          <w:rFonts w:ascii="Cambria" w:hAnsi="Cambria"/>
          <w:sz w:val="20"/>
          <w:szCs w:val="20"/>
          <w:lang w:val="fr-FR"/>
        </w:rPr>
      </w:pPr>
      <w:r w:rsidRPr="00736165">
        <w:rPr>
          <w:rFonts w:ascii="Cambria" w:hAnsi="Cambria"/>
          <w:sz w:val="20"/>
          <w:szCs w:val="20"/>
          <w:lang w:val="fr-FR"/>
        </w:rPr>
        <w:t xml:space="preserve">Pour la deuxième évaluation des performances, </w:t>
      </w:r>
      <w:r w:rsidR="002126AE" w:rsidRPr="00736165">
        <w:rPr>
          <w:rFonts w:ascii="Cambria" w:hAnsi="Cambria"/>
          <w:sz w:val="20"/>
          <w:szCs w:val="20"/>
          <w:lang w:val="fr-FR"/>
        </w:rPr>
        <w:t xml:space="preserve">en ce qui concerne la composition du Comité, </w:t>
      </w:r>
      <w:r w:rsidRPr="00736165">
        <w:rPr>
          <w:rFonts w:ascii="Cambria" w:hAnsi="Cambria"/>
          <w:sz w:val="20"/>
          <w:szCs w:val="20"/>
          <w:lang w:val="fr-FR"/>
        </w:rPr>
        <w:t xml:space="preserve">la Commission devrait envisager </w:t>
      </w:r>
      <w:r w:rsidR="002126AE" w:rsidRPr="00736165">
        <w:rPr>
          <w:rFonts w:ascii="Cambria" w:hAnsi="Cambria"/>
          <w:sz w:val="20"/>
          <w:szCs w:val="20"/>
          <w:lang w:val="fr-FR"/>
        </w:rPr>
        <w:t>trois experts externes, comme lors de la première évaluation des performances.</w:t>
      </w:r>
    </w:p>
    <w:p w14:paraId="73F4C967" w14:textId="77777777" w:rsidR="00D576BD" w:rsidRPr="00736165" w:rsidRDefault="00D576BD" w:rsidP="00D576BD">
      <w:pPr>
        <w:jc w:val="both"/>
        <w:rPr>
          <w:rFonts w:ascii="Cambria" w:hAnsi="Cambria"/>
          <w:sz w:val="20"/>
          <w:szCs w:val="20"/>
          <w:lang w:val="fr-FR"/>
        </w:rPr>
      </w:pPr>
    </w:p>
    <w:p w14:paraId="10DF66D6"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Les évaluateurs devraient être indépendants et désignés à titre individuel pour leur capacité professionnelle. L'un des évaluateurs, qui devrait provenir du groupe d’experts externes, sera chargé de la coordination du Comité.</w:t>
      </w:r>
    </w:p>
    <w:p w14:paraId="6578E14D"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33BE3C35" w14:textId="77777777" w:rsidR="009477AC" w:rsidRDefault="009477AC" w:rsidP="00D576BD">
      <w:pPr>
        <w:autoSpaceDE w:val="0"/>
        <w:autoSpaceDN w:val="0"/>
        <w:adjustRightInd w:val="0"/>
        <w:spacing w:line="240" w:lineRule="atLeast"/>
        <w:jc w:val="both"/>
        <w:rPr>
          <w:rFonts w:ascii="Cambria" w:hAnsi="Cambria"/>
          <w:sz w:val="20"/>
          <w:szCs w:val="20"/>
          <w:lang w:val="fr-FR"/>
        </w:rPr>
      </w:pPr>
    </w:p>
    <w:p w14:paraId="5CF955F1" w14:textId="77777777" w:rsidR="009477AC" w:rsidRDefault="009477AC" w:rsidP="00D576BD">
      <w:pPr>
        <w:autoSpaceDE w:val="0"/>
        <w:autoSpaceDN w:val="0"/>
        <w:adjustRightInd w:val="0"/>
        <w:spacing w:line="240" w:lineRule="atLeast"/>
        <w:jc w:val="both"/>
        <w:rPr>
          <w:rFonts w:ascii="Cambria" w:hAnsi="Cambria"/>
          <w:sz w:val="20"/>
          <w:szCs w:val="20"/>
          <w:lang w:val="fr-FR"/>
        </w:rPr>
      </w:pPr>
    </w:p>
    <w:p w14:paraId="696844B3" w14:textId="24188D81"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lastRenderedPageBreak/>
        <w:t>Qualifications/expérience des évaluateurs :</w:t>
      </w:r>
    </w:p>
    <w:p w14:paraId="60207F49" w14:textId="77777777" w:rsidR="00D576BD" w:rsidRPr="00736165" w:rsidRDefault="00D576BD" w:rsidP="00D576BD">
      <w:pPr>
        <w:autoSpaceDE w:val="0"/>
        <w:autoSpaceDN w:val="0"/>
        <w:adjustRightInd w:val="0"/>
        <w:jc w:val="both"/>
        <w:rPr>
          <w:rFonts w:ascii="Cambria" w:hAnsi="Cambria"/>
          <w:sz w:val="20"/>
          <w:szCs w:val="20"/>
          <w:lang w:val="fr-FR"/>
        </w:rPr>
      </w:pPr>
    </w:p>
    <w:p w14:paraId="59C001D0" w14:textId="77777777" w:rsidR="00D576BD" w:rsidRPr="00736165" w:rsidRDefault="00D576BD" w:rsidP="00777BF7">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proofErr w:type="gramStart"/>
      <w:r w:rsidRPr="00736165">
        <w:rPr>
          <w:rFonts w:ascii="Cambria" w:hAnsi="Cambria"/>
          <w:sz w:val="20"/>
          <w:szCs w:val="20"/>
        </w:rPr>
        <w:t>connaissance</w:t>
      </w:r>
      <w:proofErr w:type="gramEnd"/>
      <w:r w:rsidRPr="00736165">
        <w:rPr>
          <w:rFonts w:ascii="Cambria" w:hAnsi="Cambria"/>
          <w:sz w:val="20"/>
          <w:szCs w:val="20"/>
        </w:rPr>
        <w:t xml:space="preserve"> approfondie des domaines suivants : organisations et instruments internationaux relatifs à la pêche, gestion des pêcheries et sciences halieutiques, en veillant à ce que tous ces domaines soient correctement couverts.</w:t>
      </w:r>
    </w:p>
    <w:p w14:paraId="361270CA" w14:textId="77777777" w:rsidR="00D576BD" w:rsidRPr="00736165" w:rsidRDefault="00D576BD" w:rsidP="00777BF7">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proofErr w:type="gramStart"/>
      <w:r w:rsidRPr="00736165">
        <w:rPr>
          <w:rFonts w:ascii="Cambria" w:hAnsi="Cambria"/>
          <w:sz w:val="20"/>
          <w:szCs w:val="20"/>
        </w:rPr>
        <w:t>un</w:t>
      </w:r>
      <w:proofErr w:type="gramEnd"/>
      <w:r w:rsidRPr="00736165">
        <w:rPr>
          <w:rFonts w:ascii="Cambria" w:hAnsi="Cambria"/>
          <w:sz w:val="20"/>
          <w:szCs w:val="20"/>
        </w:rPr>
        <w:t xml:space="preserve"> niveau adéquat d'études et d'expérience dans leur domaine de travail spécialisé.</w:t>
      </w:r>
    </w:p>
    <w:p w14:paraId="7C7DC242" w14:textId="77777777" w:rsidR="00D576BD" w:rsidRPr="00736165" w:rsidRDefault="00D576BD" w:rsidP="00777BF7">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proofErr w:type="gramStart"/>
      <w:r w:rsidRPr="00736165">
        <w:rPr>
          <w:rFonts w:ascii="Cambria" w:hAnsi="Cambria"/>
          <w:sz w:val="20"/>
          <w:szCs w:val="20"/>
        </w:rPr>
        <w:t>très</w:t>
      </w:r>
      <w:proofErr w:type="gramEnd"/>
      <w:r w:rsidRPr="00736165">
        <w:rPr>
          <w:rFonts w:ascii="Cambria" w:hAnsi="Cambria"/>
          <w:sz w:val="20"/>
          <w:szCs w:val="20"/>
        </w:rPr>
        <w:t xml:space="preserve"> bonne maîtrise de l'anglais écrit et parlé. La connaissance d'une ou plusieurs des autres langues officielles de l’ICCAT serait un avantage.</w:t>
      </w:r>
    </w:p>
    <w:p w14:paraId="7F9245C0"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298AC69F"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Le Secrétariat de l’ICCAT devrait fournir des informations adéquates et d'autres supports aux experts afin de faciliter leur travail, mais le personnel du Secrétariat ne fera pas partie du comité.</w:t>
      </w:r>
    </w:p>
    <w:p w14:paraId="4BF27C94"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30A22A29"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Processus de sélection :</w:t>
      </w:r>
    </w:p>
    <w:p w14:paraId="58382C0D"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7DFEE1A9"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La Commission devrait établir un comité de sélection, afin de soutenir le processus de sélection des évaluateurs, comme spécifié au 6e tiret ci-dessous, composé du Président de la Commission, du Premier et du second Vice-présidents, des Présidents du STACFAD et du SCRS, ainsi que du Secrétaire exécutif.</w:t>
      </w:r>
    </w:p>
    <w:p w14:paraId="362402A9"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Toutes les Parties contractantes seront invitées à désigner des experts qualifiés dans un ou plusieurs des domaines souhaités (p.ex. organisations et instruments internationaux relatifs à la pêche, gestion des pêches et/ou science halieutique).</w:t>
      </w:r>
    </w:p>
    <w:p w14:paraId="1E86E763"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Le Secrétariat dressera des listes de candidats par domaine d’expertise sur la base des désignations réalisées par les Parties contractantes</w:t>
      </w:r>
      <w:r w:rsidR="00BD19B6" w:rsidRPr="00736165">
        <w:rPr>
          <w:rFonts w:ascii="Cambria" w:hAnsi="Cambria"/>
          <w:sz w:val="20"/>
          <w:szCs w:val="20"/>
        </w:rPr>
        <w:t>.</w:t>
      </w:r>
    </w:p>
    <w:p w14:paraId="38677A36"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 xml:space="preserve">Le Président de l’ICCAT distribuera les listes des noms et l’expérience correspondante de tous les candidats par domaine d’expertise et demandera aux CPC de choisir et de classer </w:t>
      </w:r>
      <w:proofErr w:type="gramStart"/>
      <w:r w:rsidRPr="00736165">
        <w:rPr>
          <w:rFonts w:ascii="Cambria" w:hAnsi="Cambria"/>
          <w:sz w:val="20"/>
          <w:szCs w:val="20"/>
        </w:rPr>
        <w:t xml:space="preserve">trois experts </w:t>
      </w:r>
      <w:r w:rsidR="002126AE" w:rsidRPr="00736165">
        <w:rPr>
          <w:rFonts w:ascii="Cambria" w:hAnsi="Cambria"/>
          <w:sz w:val="20"/>
          <w:szCs w:val="20"/>
        </w:rPr>
        <w:t>maximum</w:t>
      </w:r>
      <w:proofErr w:type="gramEnd"/>
      <w:r w:rsidR="002126AE" w:rsidRPr="00736165">
        <w:rPr>
          <w:rFonts w:ascii="Cambria" w:hAnsi="Cambria"/>
          <w:sz w:val="20"/>
          <w:szCs w:val="20"/>
        </w:rPr>
        <w:t xml:space="preserve"> </w:t>
      </w:r>
      <w:r w:rsidRPr="00736165">
        <w:rPr>
          <w:rFonts w:ascii="Cambria" w:hAnsi="Cambria"/>
          <w:sz w:val="20"/>
          <w:szCs w:val="20"/>
        </w:rPr>
        <w:t>par domaine parmi ces candidats par ordre de préférence. Le comité de sélection examinera les contributions des CPC, préparera une liste combinée des candidats en leur attribuant une note par ordre inverse à l'ordre de chaque liste (à savoir : 3 points pour le numéro 1, 2 points pour le numéro 2 et un point pour le numéro 3) et confirmera la sélection du comité d’évaluation par la Commission conformément au résultat du processus de classement.</w:t>
      </w:r>
    </w:p>
    <w:p w14:paraId="74C83AC3"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Le Secrétariat communiquera les résultats de l’analyse du comité de sélection aux CPC et la sélection du comité d’évaluation en découlant.</w:t>
      </w:r>
    </w:p>
    <w:p w14:paraId="4083402E" w14:textId="77777777" w:rsidR="00D576BD" w:rsidRPr="00736165" w:rsidRDefault="00D576BD" w:rsidP="00A94660">
      <w:pPr>
        <w:pStyle w:val="ListParagraph"/>
        <w:numPr>
          <w:ilvl w:val="0"/>
          <w:numId w:val="5"/>
        </w:numPr>
        <w:autoSpaceDE w:val="0"/>
        <w:autoSpaceDN w:val="0"/>
        <w:adjustRightInd w:val="0"/>
        <w:spacing w:after="60" w:line="240" w:lineRule="auto"/>
        <w:ind w:left="697" w:hanging="340"/>
        <w:contextualSpacing w:val="0"/>
        <w:jc w:val="both"/>
        <w:rPr>
          <w:rFonts w:ascii="Cambria" w:hAnsi="Cambria"/>
          <w:sz w:val="20"/>
          <w:szCs w:val="20"/>
        </w:rPr>
      </w:pPr>
      <w:r w:rsidRPr="00736165">
        <w:rPr>
          <w:rFonts w:ascii="Cambria" w:hAnsi="Cambria"/>
          <w:sz w:val="20"/>
          <w:szCs w:val="20"/>
        </w:rPr>
        <w:t xml:space="preserve">Il est envisagé de clôturer le processus de sélection avant </w:t>
      </w:r>
      <w:r w:rsidR="002126AE" w:rsidRPr="00736165">
        <w:rPr>
          <w:rFonts w:ascii="Cambria" w:hAnsi="Cambria"/>
          <w:sz w:val="20"/>
          <w:szCs w:val="20"/>
        </w:rPr>
        <w:t xml:space="preserve">la </w:t>
      </w:r>
      <w:r w:rsidRPr="00736165">
        <w:rPr>
          <w:rFonts w:ascii="Cambria" w:hAnsi="Cambria"/>
          <w:sz w:val="20"/>
          <w:szCs w:val="20"/>
        </w:rPr>
        <w:t xml:space="preserve">mi-février 2016. </w:t>
      </w:r>
    </w:p>
    <w:p w14:paraId="0641E993" w14:textId="77777777" w:rsidR="00D576BD" w:rsidRPr="00736165" w:rsidRDefault="00D576BD" w:rsidP="00D576BD">
      <w:pPr>
        <w:autoSpaceDE w:val="0"/>
        <w:autoSpaceDN w:val="0"/>
        <w:adjustRightInd w:val="0"/>
        <w:contextualSpacing/>
        <w:jc w:val="both"/>
        <w:rPr>
          <w:rFonts w:ascii="Cambria" w:hAnsi="Cambria"/>
          <w:sz w:val="20"/>
          <w:szCs w:val="20"/>
          <w:lang w:val="fr-FR"/>
        </w:rPr>
      </w:pPr>
    </w:p>
    <w:p w14:paraId="29AA5D1C" w14:textId="77777777" w:rsidR="00D576BD" w:rsidRPr="00736165" w:rsidRDefault="00D576BD" w:rsidP="00D576BD">
      <w:pPr>
        <w:autoSpaceDE w:val="0"/>
        <w:autoSpaceDN w:val="0"/>
        <w:adjustRightInd w:val="0"/>
        <w:spacing w:after="120"/>
        <w:contextualSpacing/>
        <w:jc w:val="both"/>
        <w:rPr>
          <w:rFonts w:ascii="Cambria" w:hAnsi="Cambria"/>
          <w:b/>
          <w:i/>
          <w:sz w:val="20"/>
          <w:szCs w:val="20"/>
          <w:lang w:val="fr-FR"/>
        </w:rPr>
      </w:pPr>
      <w:r w:rsidRPr="00736165">
        <w:rPr>
          <w:rFonts w:ascii="Cambria" w:hAnsi="Cambria"/>
          <w:b/>
          <w:i/>
          <w:sz w:val="20"/>
          <w:szCs w:val="20"/>
          <w:lang w:val="fr-FR"/>
        </w:rPr>
        <w:t>2.4. Planification</w:t>
      </w:r>
    </w:p>
    <w:p w14:paraId="07C2B133" w14:textId="77777777" w:rsidR="00D576BD" w:rsidRPr="00736165" w:rsidRDefault="00D576BD" w:rsidP="00D576BD">
      <w:pPr>
        <w:autoSpaceDE w:val="0"/>
        <w:autoSpaceDN w:val="0"/>
        <w:adjustRightInd w:val="0"/>
        <w:spacing w:after="120"/>
        <w:contextualSpacing/>
        <w:jc w:val="both"/>
        <w:rPr>
          <w:rFonts w:ascii="Cambria" w:hAnsi="Cambria"/>
          <w:b/>
          <w:i/>
          <w:sz w:val="20"/>
          <w:szCs w:val="20"/>
          <w:lang w:val="fr-FR"/>
        </w:rPr>
      </w:pPr>
    </w:p>
    <w:p w14:paraId="5314A394" w14:textId="77777777" w:rsidR="00D576BD" w:rsidRPr="00736165" w:rsidRDefault="00D576BD" w:rsidP="00D576BD">
      <w:pPr>
        <w:contextualSpacing/>
        <w:jc w:val="both"/>
        <w:rPr>
          <w:rFonts w:ascii="Cambria" w:hAnsi="Cambria"/>
          <w:i/>
          <w:sz w:val="20"/>
          <w:szCs w:val="20"/>
          <w:lang w:val="fr-FR"/>
        </w:rPr>
      </w:pPr>
      <w:r w:rsidRPr="00736165">
        <w:rPr>
          <w:rFonts w:ascii="Cambria" w:hAnsi="Cambria"/>
          <w:sz w:val="20"/>
          <w:szCs w:val="20"/>
          <w:lang w:val="fr-FR"/>
        </w:rPr>
        <w:t>Les travaux devraient être réalisés dans un délai raisonnable, tel que spécifié par la Commission, et devraient commencer, de préférence, au plus tard en mars 2016</w:t>
      </w:r>
      <w:r w:rsidR="00BD19B6" w:rsidRPr="00736165">
        <w:rPr>
          <w:rFonts w:ascii="Cambria" w:hAnsi="Cambria"/>
          <w:i/>
          <w:sz w:val="20"/>
          <w:szCs w:val="20"/>
          <w:lang w:val="fr-FR"/>
        </w:rPr>
        <w:t xml:space="preserve">. </w:t>
      </w:r>
      <w:r w:rsidRPr="00736165">
        <w:rPr>
          <w:rFonts w:ascii="Cambria" w:hAnsi="Cambria"/>
          <w:sz w:val="20"/>
          <w:szCs w:val="20"/>
          <w:lang w:val="fr-FR"/>
        </w:rPr>
        <w:t>Le rapport final devrait être présenté à la réunion annuelle de l'ICCAT de 2016.</w:t>
      </w:r>
    </w:p>
    <w:p w14:paraId="5BC6A20F" w14:textId="77777777" w:rsidR="009477AC" w:rsidRDefault="009477AC" w:rsidP="00D576BD">
      <w:pPr>
        <w:spacing w:after="120"/>
        <w:contextualSpacing/>
        <w:jc w:val="both"/>
        <w:rPr>
          <w:rFonts w:ascii="Cambria" w:hAnsi="Cambria"/>
          <w:b/>
          <w:i/>
          <w:sz w:val="20"/>
          <w:szCs w:val="20"/>
          <w:lang w:val="fr-FR"/>
        </w:rPr>
      </w:pPr>
    </w:p>
    <w:p w14:paraId="4060FBBD" w14:textId="4352D51D" w:rsidR="00D576BD" w:rsidRPr="00736165" w:rsidRDefault="00D576BD" w:rsidP="00D576BD">
      <w:pPr>
        <w:spacing w:after="120"/>
        <w:contextualSpacing/>
        <w:jc w:val="both"/>
        <w:rPr>
          <w:rFonts w:ascii="Cambria" w:hAnsi="Cambria"/>
          <w:b/>
          <w:sz w:val="20"/>
          <w:szCs w:val="20"/>
          <w:lang w:val="fr-FR"/>
        </w:rPr>
      </w:pPr>
      <w:r w:rsidRPr="00736165">
        <w:rPr>
          <w:rFonts w:ascii="Cambria" w:hAnsi="Cambria"/>
          <w:b/>
          <w:i/>
          <w:sz w:val="20"/>
          <w:szCs w:val="20"/>
          <w:lang w:val="fr-FR"/>
        </w:rPr>
        <w:t>2.5. Procédures d'évaluation</w:t>
      </w:r>
    </w:p>
    <w:p w14:paraId="63A648C4" w14:textId="77777777" w:rsidR="00D576BD" w:rsidRPr="00736165" w:rsidRDefault="00D576BD" w:rsidP="00D576BD">
      <w:pPr>
        <w:spacing w:line="240" w:lineRule="atLeast"/>
        <w:jc w:val="both"/>
        <w:rPr>
          <w:rFonts w:ascii="Cambria" w:hAnsi="Cambria"/>
          <w:sz w:val="20"/>
          <w:szCs w:val="20"/>
          <w:lang w:val="fr-FR"/>
        </w:rPr>
      </w:pPr>
    </w:p>
    <w:p w14:paraId="7D426F80" w14:textId="77777777" w:rsidR="00D576BD" w:rsidRPr="00736165" w:rsidRDefault="00D576BD" w:rsidP="00D576BD">
      <w:pPr>
        <w:spacing w:line="240" w:lineRule="atLeast"/>
        <w:jc w:val="both"/>
        <w:rPr>
          <w:rFonts w:ascii="Cambria" w:hAnsi="Cambria"/>
          <w:sz w:val="20"/>
          <w:szCs w:val="20"/>
          <w:lang w:val="fr-FR"/>
        </w:rPr>
      </w:pPr>
      <w:r w:rsidRPr="00736165">
        <w:rPr>
          <w:rFonts w:ascii="Cambria" w:hAnsi="Cambria"/>
          <w:sz w:val="20"/>
          <w:szCs w:val="20"/>
          <w:lang w:val="fr-FR"/>
        </w:rPr>
        <w:t xml:space="preserve">À la fin de la période spécifiée </w:t>
      </w:r>
      <w:r w:rsidR="002126AE" w:rsidRPr="00736165">
        <w:rPr>
          <w:rFonts w:ascii="Cambria" w:hAnsi="Cambria"/>
          <w:sz w:val="20"/>
          <w:szCs w:val="20"/>
          <w:lang w:val="fr-FR"/>
        </w:rPr>
        <w:t>(</w:t>
      </w:r>
      <w:r w:rsidRPr="00736165">
        <w:rPr>
          <w:rFonts w:ascii="Cambria" w:hAnsi="Cambria"/>
          <w:sz w:val="20"/>
          <w:szCs w:val="20"/>
          <w:lang w:val="fr-FR"/>
        </w:rPr>
        <w:t>15 septembre 2016</w:t>
      </w:r>
      <w:r w:rsidR="002126AE" w:rsidRPr="00736165">
        <w:rPr>
          <w:rFonts w:ascii="Cambria" w:hAnsi="Cambria"/>
          <w:sz w:val="20"/>
          <w:szCs w:val="20"/>
          <w:lang w:val="fr-FR"/>
        </w:rPr>
        <w:t>)</w:t>
      </w:r>
      <w:r w:rsidRPr="00736165">
        <w:rPr>
          <w:rFonts w:ascii="Cambria" w:hAnsi="Cambria"/>
          <w:i/>
          <w:sz w:val="20"/>
          <w:szCs w:val="20"/>
          <w:lang w:val="fr-FR"/>
        </w:rPr>
        <w:t xml:space="preserve">, </w:t>
      </w:r>
      <w:r w:rsidRPr="00736165">
        <w:rPr>
          <w:rFonts w:ascii="Cambria" w:hAnsi="Cambria"/>
          <w:sz w:val="20"/>
          <w:szCs w:val="20"/>
          <w:lang w:val="fr-FR"/>
        </w:rPr>
        <w:t>le groupe d'experts fournirait un rapport provisoire pour examen du comité de sélection dans le seul but d’améliorer la clarté du rapport. Le comité d'évaluation devrait apporter une réponse aux demandes d'éclaircissement formulées par le comité de sélection avant la présentation du rapport final à la Commission.</w:t>
      </w:r>
    </w:p>
    <w:p w14:paraId="78BC7BB4" w14:textId="77777777" w:rsidR="00D576BD" w:rsidRPr="00736165" w:rsidRDefault="00D576BD" w:rsidP="00D576BD">
      <w:pPr>
        <w:spacing w:line="240" w:lineRule="atLeast"/>
        <w:jc w:val="both"/>
        <w:rPr>
          <w:rFonts w:ascii="Cambria" w:hAnsi="Cambria"/>
          <w:sz w:val="20"/>
          <w:szCs w:val="20"/>
          <w:lang w:val="fr-FR"/>
        </w:rPr>
      </w:pPr>
    </w:p>
    <w:p w14:paraId="71E2B27B" w14:textId="77777777" w:rsidR="00D576BD" w:rsidRPr="00736165" w:rsidRDefault="00D576BD" w:rsidP="00D576BD">
      <w:pPr>
        <w:spacing w:line="240" w:lineRule="atLeast"/>
        <w:jc w:val="both"/>
        <w:rPr>
          <w:rFonts w:ascii="Cambria" w:hAnsi="Cambria"/>
          <w:strike/>
          <w:sz w:val="20"/>
          <w:szCs w:val="20"/>
          <w:lang w:val="fr-FR"/>
        </w:rPr>
      </w:pPr>
      <w:r w:rsidRPr="00736165">
        <w:rPr>
          <w:rFonts w:ascii="Cambria" w:hAnsi="Cambria"/>
          <w:sz w:val="20"/>
          <w:szCs w:val="20"/>
          <w:lang w:val="fr-FR"/>
        </w:rPr>
        <w:t xml:space="preserve">Le Secrétariat est chargé de veiller à ce que le comité d’évaluation ait accès à la documentation et aux informations nécessaires pour réaliser ses tâches de manière efficiente et efficace. </w:t>
      </w:r>
    </w:p>
    <w:p w14:paraId="20E60FE6" w14:textId="77777777" w:rsidR="00D576BD" w:rsidRPr="00736165" w:rsidRDefault="00D576BD" w:rsidP="00D576BD">
      <w:pPr>
        <w:spacing w:line="240" w:lineRule="atLeast"/>
        <w:jc w:val="both"/>
        <w:rPr>
          <w:rFonts w:ascii="Cambria" w:hAnsi="Cambria"/>
          <w:sz w:val="20"/>
          <w:szCs w:val="20"/>
          <w:lang w:val="fr-FR"/>
        </w:rPr>
      </w:pPr>
    </w:p>
    <w:p w14:paraId="34FC9DBB" w14:textId="77777777" w:rsidR="00D576BD" w:rsidRPr="00736165" w:rsidRDefault="00D576BD" w:rsidP="00D576BD">
      <w:pPr>
        <w:spacing w:line="240" w:lineRule="atLeast"/>
        <w:jc w:val="both"/>
        <w:rPr>
          <w:rFonts w:ascii="Cambria" w:hAnsi="Cambria"/>
          <w:b/>
          <w:i/>
          <w:sz w:val="20"/>
          <w:szCs w:val="20"/>
          <w:lang w:val="fr-FR"/>
        </w:rPr>
      </w:pPr>
      <w:r w:rsidRPr="00736165">
        <w:rPr>
          <w:rFonts w:ascii="Cambria" w:hAnsi="Cambria"/>
          <w:b/>
          <w:i/>
          <w:sz w:val="20"/>
          <w:szCs w:val="20"/>
          <w:lang w:val="fr-FR"/>
        </w:rPr>
        <w:t>2.6. Diffusion et examen du rapport sur l'évaluation des performances</w:t>
      </w:r>
    </w:p>
    <w:p w14:paraId="5A3BEB18" w14:textId="77777777" w:rsidR="00D576BD" w:rsidRPr="00736165" w:rsidRDefault="00D576BD" w:rsidP="00D576BD">
      <w:pPr>
        <w:spacing w:line="240" w:lineRule="atLeast"/>
        <w:jc w:val="both"/>
        <w:rPr>
          <w:rFonts w:ascii="Cambria" w:hAnsi="Cambria"/>
          <w:sz w:val="20"/>
          <w:szCs w:val="20"/>
          <w:lang w:val="fr-FR"/>
        </w:rPr>
      </w:pPr>
    </w:p>
    <w:p w14:paraId="47B6E198" w14:textId="77777777" w:rsidR="00D576BD" w:rsidRPr="00736165" w:rsidRDefault="00D576BD" w:rsidP="00D576BD">
      <w:pPr>
        <w:spacing w:line="240" w:lineRule="atLeast"/>
        <w:jc w:val="both"/>
        <w:rPr>
          <w:rFonts w:ascii="Cambria" w:hAnsi="Cambria"/>
          <w:strike/>
          <w:sz w:val="20"/>
          <w:szCs w:val="20"/>
          <w:lang w:val="fr-FR"/>
        </w:rPr>
      </w:pPr>
      <w:r w:rsidRPr="00736165">
        <w:rPr>
          <w:rFonts w:ascii="Cambria" w:hAnsi="Cambria"/>
          <w:sz w:val="20"/>
          <w:szCs w:val="20"/>
          <w:lang w:val="fr-FR"/>
        </w:rPr>
        <w:t>Le rapport sur l'évaluation des performances sera distribué aux CPC dès son achèvement et sera également immédiatement publié sur la partie publique du site web de l'ICCAT. La Commission examinera le rapport sur l'évaluation des performances à sa réunion de 2016 et à de futures réunions si nécessaire.</w:t>
      </w:r>
    </w:p>
    <w:p w14:paraId="4DF950F2" w14:textId="77777777" w:rsidR="00D576BD" w:rsidRPr="00736165" w:rsidRDefault="00D576BD" w:rsidP="00D576BD">
      <w:pPr>
        <w:spacing w:line="240" w:lineRule="atLeast"/>
        <w:jc w:val="both"/>
        <w:rPr>
          <w:rFonts w:ascii="Cambria" w:hAnsi="Cambria"/>
          <w:sz w:val="20"/>
          <w:szCs w:val="20"/>
          <w:lang w:val="fr-FR"/>
        </w:rPr>
      </w:pPr>
    </w:p>
    <w:p w14:paraId="70A32DC0" w14:textId="77777777" w:rsidR="00D576BD" w:rsidRPr="00736165" w:rsidRDefault="00D576BD" w:rsidP="00D576BD">
      <w:pPr>
        <w:spacing w:line="240" w:lineRule="atLeast"/>
        <w:jc w:val="both"/>
        <w:rPr>
          <w:rFonts w:ascii="Cambria" w:hAnsi="Cambria"/>
          <w:sz w:val="20"/>
          <w:szCs w:val="20"/>
          <w:lang w:val="fr-FR"/>
        </w:rPr>
      </w:pPr>
    </w:p>
    <w:p w14:paraId="3F1F16C9" w14:textId="77777777" w:rsidR="00D576BD" w:rsidRPr="00736165" w:rsidRDefault="00D576BD" w:rsidP="00D576BD">
      <w:pPr>
        <w:spacing w:line="240" w:lineRule="atLeast"/>
        <w:jc w:val="both"/>
        <w:rPr>
          <w:rFonts w:ascii="Cambria" w:hAnsi="Cambria"/>
          <w:b/>
          <w:sz w:val="20"/>
          <w:szCs w:val="20"/>
          <w:lang w:val="fr-FR"/>
        </w:rPr>
      </w:pPr>
      <w:r w:rsidRPr="00736165">
        <w:rPr>
          <w:rFonts w:ascii="Cambria" w:hAnsi="Cambria"/>
          <w:b/>
          <w:sz w:val="20"/>
          <w:szCs w:val="20"/>
          <w:lang w:val="fr-FR"/>
        </w:rPr>
        <w:t>3. Exigences budgétaires</w:t>
      </w:r>
    </w:p>
    <w:p w14:paraId="26B9F690" w14:textId="77777777" w:rsidR="00D576BD" w:rsidRPr="00736165" w:rsidRDefault="00D576BD" w:rsidP="00D576BD">
      <w:pPr>
        <w:spacing w:line="240" w:lineRule="atLeast"/>
        <w:jc w:val="both"/>
        <w:rPr>
          <w:rFonts w:ascii="Cambria" w:hAnsi="Cambria"/>
          <w:b/>
          <w:i/>
          <w:sz w:val="20"/>
          <w:szCs w:val="20"/>
          <w:lang w:val="fr-FR"/>
        </w:rPr>
      </w:pPr>
    </w:p>
    <w:p w14:paraId="4734A81C" w14:textId="77777777" w:rsidR="00D576BD" w:rsidRPr="00736165" w:rsidRDefault="00D576BD" w:rsidP="00D576BD">
      <w:pPr>
        <w:spacing w:line="240" w:lineRule="atLeast"/>
        <w:jc w:val="both"/>
        <w:rPr>
          <w:rFonts w:ascii="Cambria" w:hAnsi="Cambria"/>
          <w:b/>
          <w:i/>
          <w:sz w:val="20"/>
          <w:szCs w:val="20"/>
          <w:lang w:val="fr-FR"/>
        </w:rPr>
      </w:pPr>
      <w:r w:rsidRPr="00736165">
        <w:rPr>
          <w:rFonts w:ascii="Cambria" w:hAnsi="Cambria"/>
          <w:b/>
          <w:i/>
          <w:sz w:val="20"/>
          <w:szCs w:val="20"/>
          <w:lang w:val="fr-FR"/>
        </w:rPr>
        <w:t>3.1. Règles générales</w:t>
      </w:r>
    </w:p>
    <w:p w14:paraId="4A22240C" w14:textId="77777777" w:rsidR="00D576BD" w:rsidRPr="00736165" w:rsidRDefault="00D576BD" w:rsidP="00D576BD">
      <w:pPr>
        <w:spacing w:line="240" w:lineRule="atLeast"/>
        <w:jc w:val="both"/>
        <w:rPr>
          <w:rFonts w:ascii="Cambria" w:hAnsi="Cambria"/>
          <w:b/>
          <w:sz w:val="20"/>
          <w:szCs w:val="20"/>
          <w:lang w:val="fr-FR"/>
        </w:rPr>
      </w:pPr>
    </w:p>
    <w:p w14:paraId="1ACDAD17" w14:textId="77777777" w:rsidR="00D576BD" w:rsidRPr="00736165" w:rsidRDefault="00D576BD" w:rsidP="00D576BD">
      <w:pPr>
        <w:spacing w:line="240" w:lineRule="atLeast"/>
        <w:jc w:val="both"/>
        <w:rPr>
          <w:rFonts w:ascii="Cambria" w:hAnsi="Cambria"/>
          <w:sz w:val="20"/>
          <w:szCs w:val="20"/>
          <w:lang w:val="fr-FR"/>
        </w:rPr>
      </w:pPr>
      <w:r w:rsidRPr="00736165">
        <w:rPr>
          <w:rFonts w:ascii="Cambria" w:hAnsi="Cambria"/>
          <w:sz w:val="20"/>
          <w:szCs w:val="20"/>
          <w:lang w:val="fr-FR"/>
        </w:rPr>
        <w:t>Seuls les frais de déplacement des évaluateurs internes (à savoir les évaluateurs associés à une CPC</w:t>
      </w:r>
      <w:r w:rsidR="00905E72" w:rsidRPr="00736165">
        <w:rPr>
          <w:rFonts w:ascii="Cambria" w:hAnsi="Cambria"/>
          <w:sz w:val="20"/>
          <w:szCs w:val="20"/>
          <w:lang w:val="fr-FR"/>
        </w:rPr>
        <w:t xml:space="preserve"> en développement</w:t>
      </w:r>
      <w:r w:rsidRPr="00736165">
        <w:rPr>
          <w:rFonts w:ascii="Cambria" w:hAnsi="Cambria"/>
          <w:sz w:val="20"/>
          <w:szCs w:val="20"/>
          <w:lang w:val="fr-FR"/>
        </w:rPr>
        <w:t>) seront remboursés.</w:t>
      </w:r>
    </w:p>
    <w:p w14:paraId="5F75FED4" w14:textId="77777777" w:rsidR="00D576BD" w:rsidRPr="00736165" w:rsidRDefault="00D576BD" w:rsidP="00D576BD">
      <w:pPr>
        <w:spacing w:line="240" w:lineRule="atLeast"/>
        <w:jc w:val="both"/>
        <w:rPr>
          <w:rFonts w:ascii="Cambria" w:hAnsi="Cambria"/>
          <w:sz w:val="20"/>
          <w:szCs w:val="20"/>
          <w:lang w:val="fr-FR"/>
        </w:rPr>
      </w:pPr>
    </w:p>
    <w:p w14:paraId="4CBE030D" w14:textId="77777777" w:rsidR="00D576BD" w:rsidRPr="00736165" w:rsidRDefault="00D576BD" w:rsidP="00D576BD">
      <w:pPr>
        <w:spacing w:line="240" w:lineRule="atLeast"/>
        <w:jc w:val="both"/>
        <w:rPr>
          <w:rFonts w:ascii="Cambria" w:hAnsi="Cambria"/>
          <w:sz w:val="20"/>
          <w:szCs w:val="20"/>
          <w:lang w:val="fr-FR"/>
        </w:rPr>
      </w:pPr>
      <w:r w:rsidRPr="00736165">
        <w:rPr>
          <w:rFonts w:ascii="Cambria" w:hAnsi="Cambria"/>
          <w:sz w:val="20"/>
          <w:szCs w:val="20"/>
          <w:lang w:val="fr-FR"/>
        </w:rPr>
        <w:t>Les honoraires journaliers des experts externes s'élèvent à 600 euros, au maximum, par personne, frais de voyage exclus.</w:t>
      </w:r>
    </w:p>
    <w:p w14:paraId="3087E31D"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68209DC2" w14:textId="77777777" w:rsidR="00D576BD" w:rsidRPr="00736165" w:rsidRDefault="00D576BD" w:rsidP="00D576BD">
      <w:pPr>
        <w:spacing w:line="240" w:lineRule="atLeast"/>
        <w:jc w:val="both"/>
        <w:rPr>
          <w:rFonts w:ascii="Cambria" w:hAnsi="Cambria"/>
          <w:b/>
          <w:i/>
          <w:sz w:val="20"/>
          <w:szCs w:val="20"/>
          <w:lang w:val="fr-FR"/>
        </w:rPr>
      </w:pPr>
      <w:r w:rsidRPr="00736165">
        <w:rPr>
          <w:rFonts w:ascii="Cambria" w:hAnsi="Cambria"/>
          <w:b/>
          <w:i/>
          <w:sz w:val="20"/>
          <w:szCs w:val="20"/>
          <w:lang w:val="fr-FR"/>
        </w:rPr>
        <w:t>3.2. Budget</w:t>
      </w:r>
    </w:p>
    <w:p w14:paraId="46510D98" w14:textId="77777777" w:rsidR="00D576BD" w:rsidRPr="00736165" w:rsidRDefault="00D576BD" w:rsidP="00D576BD">
      <w:pPr>
        <w:spacing w:line="240" w:lineRule="atLeast"/>
        <w:jc w:val="both"/>
        <w:rPr>
          <w:rFonts w:ascii="Cambria" w:hAnsi="Cambria"/>
          <w:i/>
          <w:sz w:val="20"/>
          <w:szCs w:val="20"/>
          <w:lang w:val="fr-FR"/>
        </w:rPr>
      </w:pPr>
    </w:p>
    <w:p w14:paraId="2E834C33"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Sur la base de quatorze semaines de travail</w:t>
      </w:r>
      <w:r w:rsidRPr="00736165">
        <w:rPr>
          <w:rFonts w:ascii="Cambria" w:hAnsi="Cambria"/>
          <w:i/>
          <w:sz w:val="20"/>
          <w:szCs w:val="20"/>
          <w:lang w:val="fr-FR"/>
        </w:rPr>
        <w:t xml:space="preserve"> </w:t>
      </w:r>
      <w:r w:rsidRPr="00736165">
        <w:rPr>
          <w:rFonts w:ascii="Cambria" w:hAnsi="Cambria"/>
          <w:sz w:val="20"/>
          <w:szCs w:val="20"/>
          <w:lang w:val="fr-FR"/>
        </w:rPr>
        <w:t>par trois experts externes, un total de 210 jours de travail</w:t>
      </w:r>
      <w:r w:rsidRPr="00736165">
        <w:rPr>
          <w:rFonts w:ascii="Cambria" w:hAnsi="Cambria"/>
          <w:strike/>
          <w:sz w:val="20"/>
          <w:szCs w:val="20"/>
          <w:lang w:val="fr-FR"/>
        </w:rPr>
        <w:t xml:space="preserve"> </w:t>
      </w:r>
      <w:r w:rsidRPr="00736165">
        <w:rPr>
          <w:rFonts w:ascii="Cambria" w:hAnsi="Cambria"/>
          <w:sz w:val="20"/>
          <w:szCs w:val="20"/>
          <w:lang w:val="fr-FR"/>
        </w:rPr>
        <w:t>serait requis pour procéder à l'évaluation. Les honoraires par jour incluent l'ensemble du matériel et des frais de communication.</w:t>
      </w:r>
    </w:p>
    <w:p w14:paraId="7E0EFB0B"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1FC1CFE1"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En outre, le groupe d'experts serait tenu de voyager pour rencontrer le comité de sélection et, au moins le coordinateur du comité devrait voyager une seconde fois pour présenter le rapport à la Commission. À ce titre, les frais de voyage et les indemnités journalières des experts externes seraient assumés par la Commission, mais aucun honoraire.</w:t>
      </w:r>
    </w:p>
    <w:p w14:paraId="6950C061"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p w14:paraId="59F13AAE"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Les frais pourraient varier en fonction du lieu d'origine des experts et le lieu des réunions, les estimations sont donc fournies à titre indicatif :</w:t>
      </w:r>
    </w:p>
    <w:p w14:paraId="1664FF34" w14:textId="77777777" w:rsidR="00D576BD" w:rsidRPr="00736165" w:rsidRDefault="00D576BD" w:rsidP="00D576BD">
      <w:pPr>
        <w:autoSpaceDE w:val="0"/>
        <w:autoSpaceDN w:val="0"/>
        <w:adjustRightInd w:val="0"/>
        <w:spacing w:line="240" w:lineRule="atLeast"/>
        <w:jc w:val="both"/>
        <w:rPr>
          <w:rFonts w:ascii="Cambria" w:hAnsi="Cambria"/>
          <w:sz w:val="20"/>
          <w:szCs w:val="20"/>
          <w:lang w:val="fr-FR"/>
        </w:rPr>
      </w:pPr>
    </w:p>
    <w:tbl>
      <w:tblPr>
        <w:tblW w:w="0" w:type="auto"/>
        <w:tblInd w:w="588" w:type="dxa"/>
        <w:tblCellMar>
          <w:left w:w="0" w:type="dxa"/>
          <w:right w:w="0" w:type="dxa"/>
        </w:tblCellMar>
        <w:tblLook w:val="01E0" w:firstRow="1" w:lastRow="1" w:firstColumn="1" w:lastColumn="1" w:noHBand="0" w:noVBand="0"/>
      </w:tblPr>
      <w:tblGrid>
        <w:gridCol w:w="1475"/>
        <w:gridCol w:w="2483"/>
        <w:gridCol w:w="2062"/>
        <w:gridCol w:w="2020"/>
      </w:tblGrid>
      <w:tr w:rsidR="00D576BD" w:rsidRPr="00736165" w14:paraId="7CCC25D9" w14:textId="77777777" w:rsidTr="005B7ADD">
        <w:trPr>
          <w:trHeight w:val="340"/>
        </w:trPr>
        <w:tc>
          <w:tcPr>
            <w:tcW w:w="1475" w:type="dxa"/>
            <w:tcBorders>
              <w:top w:val="single" w:sz="4" w:space="0" w:color="auto"/>
              <w:bottom w:val="single" w:sz="4" w:space="0" w:color="auto"/>
            </w:tcBorders>
            <w:vAlign w:val="center"/>
          </w:tcPr>
          <w:p w14:paraId="3B9F2723" w14:textId="77777777" w:rsidR="00D576BD" w:rsidRPr="00736165" w:rsidRDefault="00D576BD" w:rsidP="005B7ADD">
            <w:pPr>
              <w:autoSpaceDE w:val="0"/>
              <w:autoSpaceDN w:val="0"/>
              <w:adjustRightInd w:val="0"/>
              <w:spacing w:line="240" w:lineRule="atLeast"/>
              <w:jc w:val="both"/>
              <w:rPr>
                <w:rFonts w:ascii="Cambria" w:hAnsi="Cambria"/>
                <w:i/>
                <w:sz w:val="20"/>
                <w:szCs w:val="20"/>
                <w:lang w:val="fr-FR"/>
              </w:rPr>
            </w:pPr>
            <w:r w:rsidRPr="00736165">
              <w:rPr>
                <w:rFonts w:ascii="Cambria" w:hAnsi="Cambria"/>
                <w:i/>
                <w:sz w:val="20"/>
                <w:szCs w:val="20"/>
                <w:lang w:val="fr-FR"/>
              </w:rPr>
              <w:t>Rubrique</w:t>
            </w:r>
          </w:p>
        </w:tc>
        <w:tc>
          <w:tcPr>
            <w:tcW w:w="2483" w:type="dxa"/>
            <w:tcBorders>
              <w:top w:val="single" w:sz="4" w:space="0" w:color="auto"/>
              <w:bottom w:val="single" w:sz="4" w:space="0" w:color="auto"/>
            </w:tcBorders>
            <w:vAlign w:val="center"/>
          </w:tcPr>
          <w:p w14:paraId="63AD3ADC" w14:textId="77777777" w:rsidR="00D576BD" w:rsidRPr="00736165" w:rsidRDefault="00D576BD" w:rsidP="005B7ADD">
            <w:pPr>
              <w:autoSpaceDE w:val="0"/>
              <w:autoSpaceDN w:val="0"/>
              <w:adjustRightInd w:val="0"/>
              <w:spacing w:line="240" w:lineRule="atLeast"/>
              <w:jc w:val="center"/>
              <w:rPr>
                <w:rFonts w:ascii="Cambria" w:hAnsi="Cambria"/>
                <w:i/>
                <w:sz w:val="20"/>
                <w:szCs w:val="20"/>
                <w:lang w:val="fr-FR"/>
              </w:rPr>
            </w:pPr>
            <w:r w:rsidRPr="00736165">
              <w:rPr>
                <w:rFonts w:ascii="Cambria" w:hAnsi="Cambria"/>
                <w:i/>
                <w:sz w:val="20"/>
                <w:szCs w:val="20"/>
                <w:lang w:val="fr-FR"/>
              </w:rPr>
              <w:t>Coût estimé (€)</w:t>
            </w:r>
          </w:p>
        </w:tc>
        <w:tc>
          <w:tcPr>
            <w:tcW w:w="2062" w:type="dxa"/>
            <w:tcBorders>
              <w:top w:val="single" w:sz="4" w:space="0" w:color="auto"/>
              <w:bottom w:val="single" w:sz="4" w:space="0" w:color="auto"/>
            </w:tcBorders>
            <w:vAlign w:val="center"/>
          </w:tcPr>
          <w:p w14:paraId="07B7FF43" w14:textId="77777777" w:rsidR="00D576BD" w:rsidRPr="00736165" w:rsidRDefault="00D576BD" w:rsidP="005B7ADD">
            <w:pPr>
              <w:autoSpaceDE w:val="0"/>
              <w:autoSpaceDN w:val="0"/>
              <w:adjustRightInd w:val="0"/>
              <w:spacing w:line="240" w:lineRule="atLeast"/>
              <w:jc w:val="center"/>
              <w:rPr>
                <w:rFonts w:ascii="Cambria" w:hAnsi="Cambria"/>
                <w:i/>
                <w:sz w:val="20"/>
                <w:szCs w:val="20"/>
                <w:lang w:val="fr-FR"/>
              </w:rPr>
            </w:pPr>
            <w:r w:rsidRPr="00736165">
              <w:rPr>
                <w:rFonts w:ascii="Cambria" w:hAnsi="Cambria"/>
                <w:i/>
                <w:sz w:val="20"/>
                <w:szCs w:val="20"/>
                <w:lang w:val="fr-FR"/>
              </w:rPr>
              <w:t>Nombre d'unités</w:t>
            </w:r>
          </w:p>
        </w:tc>
        <w:tc>
          <w:tcPr>
            <w:tcW w:w="2020" w:type="dxa"/>
            <w:tcBorders>
              <w:top w:val="single" w:sz="4" w:space="0" w:color="auto"/>
              <w:bottom w:val="single" w:sz="4" w:space="0" w:color="auto"/>
            </w:tcBorders>
            <w:vAlign w:val="center"/>
          </w:tcPr>
          <w:p w14:paraId="38C8720D" w14:textId="77777777" w:rsidR="00D576BD" w:rsidRPr="00736165" w:rsidRDefault="00D576BD" w:rsidP="005B7ADD">
            <w:pPr>
              <w:autoSpaceDE w:val="0"/>
              <w:autoSpaceDN w:val="0"/>
              <w:adjustRightInd w:val="0"/>
              <w:spacing w:line="240" w:lineRule="atLeast"/>
              <w:jc w:val="right"/>
              <w:rPr>
                <w:rFonts w:ascii="Cambria" w:hAnsi="Cambria"/>
                <w:i/>
                <w:sz w:val="20"/>
                <w:szCs w:val="20"/>
                <w:lang w:val="fr-FR"/>
              </w:rPr>
            </w:pPr>
            <w:r w:rsidRPr="00736165">
              <w:rPr>
                <w:rFonts w:ascii="Cambria" w:hAnsi="Cambria"/>
                <w:i/>
                <w:sz w:val="20"/>
                <w:szCs w:val="20"/>
                <w:lang w:val="fr-FR"/>
              </w:rPr>
              <w:t>Coût total (€)</w:t>
            </w:r>
          </w:p>
        </w:tc>
      </w:tr>
      <w:tr w:rsidR="00D576BD" w:rsidRPr="00736165" w14:paraId="76944061" w14:textId="77777777" w:rsidTr="005B7ADD">
        <w:trPr>
          <w:trHeight w:val="284"/>
        </w:trPr>
        <w:tc>
          <w:tcPr>
            <w:tcW w:w="1475" w:type="dxa"/>
            <w:tcBorders>
              <w:top w:val="single" w:sz="4" w:space="0" w:color="auto"/>
            </w:tcBorders>
            <w:vAlign w:val="bottom"/>
          </w:tcPr>
          <w:p w14:paraId="3ED500D3" w14:textId="77777777" w:rsidR="00D576BD" w:rsidRPr="00736165" w:rsidRDefault="00D576BD" w:rsidP="005B7AD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Jours de travail</w:t>
            </w:r>
          </w:p>
        </w:tc>
        <w:tc>
          <w:tcPr>
            <w:tcW w:w="2483" w:type="dxa"/>
            <w:tcBorders>
              <w:top w:val="single" w:sz="4" w:space="0" w:color="auto"/>
            </w:tcBorders>
            <w:vAlign w:val="bottom"/>
          </w:tcPr>
          <w:p w14:paraId="0C8D7666" w14:textId="77777777" w:rsidR="00D576BD" w:rsidRPr="00736165" w:rsidRDefault="00D576BD" w:rsidP="005B7ADD">
            <w:pPr>
              <w:autoSpaceDE w:val="0"/>
              <w:autoSpaceDN w:val="0"/>
              <w:adjustRightInd w:val="0"/>
              <w:spacing w:line="240" w:lineRule="atLeast"/>
              <w:jc w:val="center"/>
              <w:rPr>
                <w:rFonts w:ascii="Cambria" w:hAnsi="Cambria"/>
                <w:sz w:val="20"/>
                <w:szCs w:val="20"/>
                <w:lang w:val="fr-FR"/>
              </w:rPr>
            </w:pPr>
            <w:r w:rsidRPr="00736165">
              <w:rPr>
                <w:rFonts w:ascii="Cambria" w:hAnsi="Cambria"/>
                <w:sz w:val="20"/>
                <w:szCs w:val="20"/>
                <w:lang w:val="fr-FR"/>
              </w:rPr>
              <w:t>600</w:t>
            </w:r>
          </w:p>
        </w:tc>
        <w:tc>
          <w:tcPr>
            <w:tcW w:w="2062" w:type="dxa"/>
            <w:tcBorders>
              <w:top w:val="single" w:sz="4" w:space="0" w:color="auto"/>
            </w:tcBorders>
            <w:vAlign w:val="bottom"/>
          </w:tcPr>
          <w:p w14:paraId="2A03CF11" w14:textId="77777777" w:rsidR="00D576BD" w:rsidRPr="00736165" w:rsidRDefault="00D576BD" w:rsidP="005B7ADD">
            <w:pPr>
              <w:autoSpaceDE w:val="0"/>
              <w:autoSpaceDN w:val="0"/>
              <w:adjustRightInd w:val="0"/>
              <w:spacing w:line="240" w:lineRule="atLeast"/>
              <w:jc w:val="center"/>
              <w:rPr>
                <w:rFonts w:ascii="Cambria" w:hAnsi="Cambria"/>
                <w:sz w:val="20"/>
                <w:szCs w:val="20"/>
                <w:lang w:val="fr-FR"/>
              </w:rPr>
            </w:pPr>
            <w:r w:rsidRPr="00736165">
              <w:rPr>
                <w:rFonts w:ascii="Cambria" w:hAnsi="Cambria"/>
                <w:sz w:val="20"/>
                <w:szCs w:val="20"/>
                <w:lang w:val="fr-FR"/>
              </w:rPr>
              <w:t>210</w:t>
            </w:r>
          </w:p>
        </w:tc>
        <w:tc>
          <w:tcPr>
            <w:tcW w:w="2020" w:type="dxa"/>
            <w:tcBorders>
              <w:top w:val="single" w:sz="4" w:space="0" w:color="auto"/>
            </w:tcBorders>
            <w:vAlign w:val="bottom"/>
          </w:tcPr>
          <w:p w14:paraId="6F2B98DD" w14:textId="77777777" w:rsidR="00D576BD" w:rsidRPr="00736165" w:rsidRDefault="00D576BD" w:rsidP="005B7ADD">
            <w:pPr>
              <w:autoSpaceDE w:val="0"/>
              <w:autoSpaceDN w:val="0"/>
              <w:adjustRightInd w:val="0"/>
              <w:spacing w:line="240" w:lineRule="atLeast"/>
              <w:jc w:val="right"/>
              <w:rPr>
                <w:rFonts w:ascii="Cambria" w:hAnsi="Cambria"/>
                <w:sz w:val="20"/>
                <w:szCs w:val="20"/>
                <w:lang w:val="fr-FR"/>
              </w:rPr>
            </w:pPr>
            <w:r w:rsidRPr="00736165">
              <w:rPr>
                <w:rFonts w:ascii="Cambria" w:hAnsi="Cambria"/>
                <w:sz w:val="20"/>
                <w:szCs w:val="20"/>
                <w:lang w:val="fr-FR"/>
              </w:rPr>
              <w:t xml:space="preserve"> 126.000</w:t>
            </w:r>
          </w:p>
        </w:tc>
      </w:tr>
      <w:tr w:rsidR="00D576BD" w:rsidRPr="00736165" w14:paraId="2F9F0988" w14:textId="77777777" w:rsidTr="005B7ADD">
        <w:trPr>
          <w:trHeight w:val="284"/>
        </w:trPr>
        <w:tc>
          <w:tcPr>
            <w:tcW w:w="1475" w:type="dxa"/>
            <w:vAlign w:val="bottom"/>
          </w:tcPr>
          <w:p w14:paraId="3076D13C" w14:textId="77777777" w:rsidR="00D576BD" w:rsidRPr="00736165" w:rsidRDefault="00D576BD" w:rsidP="005B7AD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Frais de voyage</w:t>
            </w:r>
          </w:p>
        </w:tc>
        <w:tc>
          <w:tcPr>
            <w:tcW w:w="2483" w:type="dxa"/>
            <w:vAlign w:val="bottom"/>
          </w:tcPr>
          <w:p w14:paraId="5945B859" w14:textId="77777777" w:rsidR="00D576BD" w:rsidRPr="00736165" w:rsidRDefault="00D576BD" w:rsidP="005B7ADD">
            <w:pPr>
              <w:autoSpaceDE w:val="0"/>
              <w:autoSpaceDN w:val="0"/>
              <w:adjustRightInd w:val="0"/>
              <w:spacing w:line="240" w:lineRule="atLeast"/>
              <w:jc w:val="center"/>
              <w:rPr>
                <w:rFonts w:ascii="Cambria" w:hAnsi="Cambria"/>
                <w:sz w:val="20"/>
                <w:szCs w:val="20"/>
                <w:lang w:val="fr-FR"/>
              </w:rPr>
            </w:pPr>
            <w:r w:rsidRPr="00736165">
              <w:rPr>
                <w:rFonts w:ascii="Cambria" w:hAnsi="Cambria"/>
                <w:sz w:val="20"/>
                <w:szCs w:val="20"/>
                <w:lang w:val="fr-FR"/>
              </w:rPr>
              <w:t>3.000</w:t>
            </w:r>
          </w:p>
        </w:tc>
        <w:tc>
          <w:tcPr>
            <w:tcW w:w="2062" w:type="dxa"/>
            <w:vAlign w:val="bottom"/>
          </w:tcPr>
          <w:p w14:paraId="62BE0818" w14:textId="77777777" w:rsidR="00D576BD" w:rsidRPr="00736165" w:rsidRDefault="00D576BD" w:rsidP="005B7ADD">
            <w:pPr>
              <w:autoSpaceDE w:val="0"/>
              <w:autoSpaceDN w:val="0"/>
              <w:adjustRightInd w:val="0"/>
              <w:spacing w:line="240" w:lineRule="atLeast"/>
              <w:jc w:val="center"/>
              <w:rPr>
                <w:rFonts w:ascii="Cambria" w:hAnsi="Cambria"/>
                <w:i/>
                <w:sz w:val="20"/>
                <w:szCs w:val="20"/>
                <w:lang w:val="fr-FR"/>
              </w:rPr>
            </w:pPr>
            <w:r w:rsidRPr="00736165">
              <w:rPr>
                <w:rFonts w:ascii="Cambria" w:hAnsi="Cambria"/>
                <w:i/>
                <w:sz w:val="20"/>
                <w:szCs w:val="20"/>
                <w:lang w:val="fr-FR"/>
              </w:rPr>
              <w:t>7</w:t>
            </w:r>
          </w:p>
        </w:tc>
        <w:tc>
          <w:tcPr>
            <w:tcW w:w="2020" w:type="dxa"/>
            <w:vAlign w:val="bottom"/>
          </w:tcPr>
          <w:p w14:paraId="2F4971C9" w14:textId="77777777" w:rsidR="00D576BD" w:rsidRPr="00736165" w:rsidRDefault="00D576BD" w:rsidP="005B7ADD">
            <w:pPr>
              <w:autoSpaceDE w:val="0"/>
              <w:autoSpaceDN w:val="0"/>
              <w:adjustRightInd w:val="0"/>
              <w:spacing w:line="240" w:lineRule="atLeast"/>
              <w:jc w:val="right"/>
              <w:rPr>
                <w:rFonts w:ascii="Cambria" w:hAnsi="Cambria"/>
                <w:i/>
                <w:sz w:val="20"/>
                <w:szCs w:val="20"/>
                <w:lang w:val="fr-FR"/>
              </w:rPr>
            </w:pPr>
            <w:r w:rsidRPr="00736165">
              <w:rPr>
                <w:rFonts w:ascii="Cambria" w:hAnsi="Cambria"/>
                <w:i/>
                <w:sz w:val="20"/>
                <w:szCs w:val="20"/>
                <w:lang w:val="fr-FR"/>
              </w:rPr>
              <w:t xml:space="preserve"> 21.000</w:t>
            </w:r>
          </w:p>
        </w:tc>
      </w:tr>
      <w:tr w:rsidR="00D576BD" w:rsidRPr="00736165" w14:paraId="726F3863" w14:textId="77777777" w:rsidTr="005B7ADD">
        <w:trPr>
          <w:trHeight w:val="284"/>
        </w:trPr>
        <w:tc>
          <w:tcPr>
            <w:tcW w:w="1475" w:type="dxa"/>
            <w:tcBorders>
              <w:bottom w:val="single" w:sz="4" w:space="0" w:color="auto"/>
            </w:tcBorders>
            <w:vAlign w:val="bottom"/>
          </w:tcPr>
          <w:p w14:paraId="033D7443" w14:textId="77777777" w:rsidR="00D576BD" w:rsidRPr="00736165" w:rsidRDefault="00D576BD" w:rsidP="005B7ADD">
            <w:pPr>
              <w:autoSpaceDE w:val="0"/>
              <w:autoSpaceDN w:val="0"/>
              <w:adjustRightInd w:val="0"/>
              <w:spacing w:line="240" w:lineRule="atLeast"/>
              <w:jc w:val="both"/>
              <w:rPr>
                <w:rFonts w:ascii="Cambria" w:hAnsi="Cambria"/>
                <w:sz w:val="20"/>
                <w:szCs w:val="20"/>
                <w:lang w:val="fr-FR"/>
              </w:rPr>
            </w:pPr>
            <w:r w:rsidRPr="00736165">
              <w:rPr>
                <w:rFonts w:ascii="Cambria" w:hAnsi="Cambria"/>
                <w:sz w:val="20"/>
                <w:szCs w:val="20"/>
                <w:lang w:val="fr-FR"/>
              </w:rPr>
              <w:t>Contingences</w:t>
            </w:r>
          </w:p>
        </w:tc>
        <w:tc>
          <w:tcPr>
            <w:tcW w:w="2483" w:type="dxa"/>
            <w:tcBorders>
              <w:bottom w:val="single" w:sz="4" w:space="0" w:color="auto"/>
            </w:tcBorders>
            <w:vAlign w:val="bottom"/>
          </w:tcPr>
          <w:p w14:paraId="67A1D740" w14:textId="77777777" w:rsidR="00D576BD" w:rsidRPr="00736165" w:rsidRDefault="00D576BD" w:rsidP="005B7ADD">
            <w:pPr>
              <w:autoSpaceDE w:val="0"/>
              <w:autoSpaceDN w:val="0"/>
              <w:adjustRightInd w:val="0"/>
              <w:spacing w:line="240" w:lineRule="atLeast"/>
              <w:jc w:val="center"/>
              <w:rPr>
                <w:rFonts w:ascii="Cambria" w:hAnsi="Cambria"/>
                <w:sz w:val="20"/>
                <w:szCs w:val="20"/>
                <w:lang w:val="fr-FR"/>
              </w:rPr>
            </w:pPr>
            <w:r w:rsidRPr="00736165">
              <w:rPr>
                <w:rFonts w:ascii="Cambria" w:hAnsi="Cambria"/>
                <w:sz w:val="20"/>
                <w:szCs w:val="20"/>
                <w:lang w:val="fr-FR"/>
              </w:rPr>
              <w:t>10% du travail/voyage total</w:t>
            </w:r>
          </w:p>
        </w:tc>
        <w:tc>
          <w:tcPr>
            <w:tcW w:w="2062" w:type="dxa"/>
            <w:tcBorders>
              <w:bottom w:val="single" w:sz="4" w:space="0" w:color="auto"/>
            </w:tcBorders>
            <w:vAlign w:val="bottom"/>
          </w:tcPr>
          <w:p w14:paraId="46CB92D6" w14:textId="77777777" w:rsidR="00D576BD" w:rsidRPr="00736165" w:rsidRDefault="00D576BD" w:rsidP="005B7ADD">
            <w:pPr>
              <w:autoSpaceDE w:val="0"/>
              <w:autoSpaceDN w:val="0"/>
              <w:adjustRightInd w:val="0"/>
              <w:spacing w:line="240" w:lineRule="atLeast"/>
              <w:jc w:val="center"/>
              <w:rPr>
                <w:rFonts w:ascii="Cambria" w:hAnsi="Cambria"/>
                <w:sz w:val="20"/>
                <w:szCs w:val="20"/>
                <w:lang w:val="fr-FR"/>
              </w:rPr>
            </w:pPr>
            <w:r w:rsidRPr="00736165">
              <w:rPr>
                <w:rFonts w:ascii="Cambria" w:hAnsi="Cambria"/>
                <w:sz w:val="20"/>
                <w:szCs w:val="20"/>
                <w:lang w:val="fr-FR"/>
              </w:rPr>
              <w:t>1</w:t>
            </w:r>
          </w:p>
        </w:tc>
        <w:tc>
          <w:tcPr>
            <w:tcW w:w="2020" w:type="dxa"/>
            <w:tcBorders>
              <w:bottom w:val="single" w:sz="4" w:space="0" w:color="auto"/>
            </w:tcBorders>
            <w:vAlign w:val="bottom"/>
          </w:tcPr>
          <w:p w14:paraId="0ACCEB65" w14:textId="77777777" w:rsidR="00D576BD" w:rsidRPr="00736165" w:rsidRDefault="00D576BD" w:rsidP="005B7ADD">
            <w:pPr>
              <w:autoSpaceDE w:val="0"/>
              <w:autoSpaceDN w:val="0"/>
              <w:adjustRightInd w:val="0"/>
              <w:spacing w:line="240" w:lineRule="atLeast"/>
              <w:jc w:val="right"/>
              <w:rPr>
                <w:rFonts w:ascii="Cambria" w:hAnsi="Cambria"/>
                <w:sz w:val="20"/>
                <w:szCs w:val="20"/>
                <w:lang w:val="fr-FR"/>
              </w:rPr>
            </w:pPr>
            <w:r w:rsidRPr="00736165">
              <w:rPr>
                <w:rFonts w:ascii="Cambria" w:hAnsi="Cambria"/>
                <w:sz w:val="20"/>
                <w:szCs w:val="20"/>
                <w:lang w:val="fr-FR"/>
              </w:rPr>
              <w:t xml:space="preserve"> 14.700</w:t>
            </w:r>
          </w:p>
        </w:tc>
      </w:tr>
      <w:tr w:rsidR="00D576BD" w:rsidRPr="00736165" w14:paraId="340F4EFE" w14:textId="77777777" w:rsidTr="005B7ADD">
        <w:trPr>
          <w:trHeight w:val="284"/>
        </w:trPr>
        <w:tc>
          <w:tcPr>
            <w:tcW w:w="1475" w:type="dxa"/>
            <w:tcBorders>
              <w:top w:val="single" w:sz="4" w:space="0" w:color="auto"/>
              <w:bottom w:val="single" w:sz="4" w:space="0" w:color="auto"/>
            </w:tcBorders>
            <w:vAlign w:val="bottom"/>
          </w:tcPr>
          <w:p w14:paraId="2FD31EBC" w14:textId="77777777" w:rsidR="00D576BD" w:rsidRPr="00736165" w:rsidRDefault="00D576BD" w:rsidP="005B7ADD">
            <w:pPr>
              <w:autoSpaceDE w:val="0"/>
              <w:autoSpaceDN w:val="0"/>
              <w:adjustRightInd w:val="0"/>
              <w:spacing w:line="240" w:lineRule="atLeast"/>
              <w:jc w:val="both"/>
              <w:rPr>
                <w:rFonts w:ascii="Cambria" w:hAnsi="Cambria"/>
                <w:b/>
                <w:sz w:val="20"/>
                <w:szCs w:val="20"/>
                <w:lang w:val="fr-FR"/>
              </w:rPr>
            </w:pPr>
            <w:r w:rsidRPr="00736165">
              <w:rPr>
                <w:rFonts w:ascii="Cambria" w:hAnsi="Cambria"/>
                <w:b/>
                <w:sz w:val="20"/>
                <w:szCs w:val="20"/>
                <w:lang w:val="fr-FR"/>
              </w:rPr>
              <w:t>Total</w:t>
            </w:r>
          </w:p>
        </w:tc>
        <w:tc>
          <w:tcPr>
            <w:tcW w:w="2483" w:type="dxa"/>
            <w:tcBorders>
              <w:top w:val="single" w:sz="4" w:space="0" w:color="auto"/>
              <w:bottom w:val="single" w:sz="4" w:space="0" w:color="auto"/>
            </w:tcBorders>
            <w:vAlign w:val="bottom"/>
          </w:tcPr>
          <w:p w14:paraId="514ED402" w14:textId="77777777" w:rsidR="00D576BD" w:rsidRPr="00736165" w:rsidRDefault="00D576BD" w:rsidP="005B7ADD">
            <w:pPr>
              <w:autoSpaceDE w:val="0"/>
              <w:autoSpaceDN w:val="0"/>
              <w:adjustRightInd w:val="0"/>
              <w:spacing w:line="240" w:lineRule="atLeast"/>
              <w:jc w:val="center"/>
              <w:rPr>
                <w:rFonts w:ascii="Cambria" w:hAnsi="Cambria"/>
                <w:b/>
                <w:sz w:val="20"/>
                <w:szCs w:val="20"/>
                <w:lang w:val="fr-FR"/>
              </w:rPr>
            </w:pPr>
          </w:p>
        </w:tc>
        <w:tc>
          <w:tcPr>
            <w:tcW w:w="2062" w:type="dxa"/>
            <w:tcBorders>
              <w:top w:val="single" w:sz="4" w:space="0" w:color="auto"/>
              <w:bottom w:val="single" w:sz="4" w:space="0" w:color="auto"/>
            </w:tcBorders>
            <w:vAlign w:val="bottom"/>
          </w:tcPr>
          <w:p w14:paraId="58283607" w14:textId="77777777" w:rsidR="00D576BD" w:rsidRPr="00736165" w:rsidRDefault="00D576BD" w:rsidP="005B7ADD">
            <w:pPr>
              <w:autoSpaceDE w:val="0"/>
              <w:autoSpaceDN w:val="0"/>
              <w:adjustRightInd w:val="0"/>
              <w:spacing w:line="240" w:lineRule="atLeast"/>
              <w:jc w:val="center"/>
              <w:rPr>
                <w:rFonts w:ascii="Cambria" w:hAnsi="Cambria"/>
                <w:b/>
                <w:sz w:val="20"/>
                <w:szCs w:val="20"/>
                <w:lang w:val="fr-FR"/>
              </w:rPr>
            </w:pPr>
          </w:p>
        </w:tc>
        <w:tc>
          <w:tcPr>
            <w:tcW w:w="2020" w:type="dxa"/>
            <w:tcBorders>
              <w:top w:val="single" w:sz="4" w:space="0" w:color="auto"/>
              <w:bottom w:val="single" w:sz="4" w:space="0" w:color="auto"/>
            </w:tcBorders>
            <w:vAlign w:val="bottom"/>
          </w:tcPr>
          <w:p w14:paraId="19AD9A90" w14:textId="77777777" w:rsidR="00D576BD" w:rsidRPr="00736165" w:rsidRDefault="00D576BD" w:rsidP="005B7ADD">
            <w:pPr>
              <w:autoSpaceDE w:val="0"/>
              <w:autoSpaceDN w:val="0"/>
              <w:adjustRightInd w:val="0"/>
              <w:spacing w:line="240" w:lineRule="atLeast"/>
              <w:jc w:val="right"/>
              <w:rPr>
                <w:rFonts w:ascii="Cambria" w:hAnsi="Cambria"/>
                <w:b/>
                <w:sz w:val="20"/>
                <w:szCs w:val="20"/>
                <w:lang w:val="fr-FR"/>
              </w:rPr>
            </w:pPr>
            <w:r w:rsidRPr="00736165">
              <w:rPr>
                <w:rFonts w:ascii="Cambria" w:hAnsi="Cambria"/>
                <w:b/>
                <w:sz w:val="20"/>
                <w:szCs w:val="20"/>
                <w:lang w:val="fr-FR"/>
              </w:rPr>
              <w:t>161.700</w:t>
            </w:r>
          </w:p>
        </w:tc>
      </w:tr>
    </w:tbl>
    <w:p w14:paraId="4A564775" w14:textId="77777777" w:rsidR="00D576BD" w:rsidRPr="00736165" w:rsidRDefault="00D576BD" w:rsidP="00D576BD">
      <w:pPr>
        <w:autoSpaceDE w:val="0"/>
        <w:autoSpaceDN w:val="0"/>
        <w:adjustRightInd w:val="0"/>
        <w:jc w:val="right"/>
        <w:rPr>
          <w:rFonts w:ascii="Cambria" w:hAnsi="Cambria"/>
          <w:sz w:val="20"/>
          <w:szCs w:val="20"/>
          <w:lang w:val="fr-FR"/>
        </w:rPr>
      </w:pPr>
    </w:p>
    <w:p w14:paraId="6B001D88" w14:textId="77777777" w:rsidR="00D576BD" w:rsidRPr="00736165" w:rsidRDefault="00D576BD" w:rsidP="00D576BD">
      <w:pPr>
        <w:autoSpaceDE w:val="0"/>
        <w:autoSpaceDN w:val="0"/>
        <w:adjustRightInd w:val="0"/>
        <w:jc w:val="right"/>
        <w:rPr>
          <w:rFonts w:ascii="Cambria" w:hAnsi="Cambria"/>
          <w:sz w:val="20"/>
          <w:szCs w:val="20"/>
          <w:lang w:val="fr-FR"/>
        </w:rPr>
        <w:sectPr w:rsidR="00D576BD" w:rsidRPr="00736165" w:rsidSect="00D576BD">
          <w:headerReference w:type="even" r:id="rId8"/>
          <w:headerReference w:type="default" r:id="rId9"/>
          <w:footerReference w:type="even" r:id="rId10"/>
          <w:footerReference w:type="default" r:id="rId11"/>
          <w:footerReference w:type="first" r:id="rId12"/>
          <w:pgSz w:w="11909" w:h="16834" w:code="9"/>
          <w:pgMar w:top="1418" w:right="1418" w:bottom="1418" w:left="1418" w:header="851" w:footer="1134" w:gutter="0"/>
          <w:pgNumType w:start="1"/>
          <w:cols w:space="720"/>
          <w:docGrid w:linePitch="360"/>
        </w:sectPr>
      </w:pPr>
    </w:p>
    <w:p w14:paraId="7E79D5ED" w14:textId="77777777" w:rsidR="00D576BD" w:rsidRPr="00736165" w:rsidRDefault="00D576BD" w:rsidP="00D576BD">
      <w:pPr>
        <w:autoSpaceDE w:val="0"/>
        <w:autoSpaceDN w:val="0"/>
        <w:adjustRightInd w:val="0"/>
        <w:jc w:val="right"/>
        <w:rPr>
          <w:rFonts w:ascii="Cambria" w:hAnsi="Cambria"/>
          <w:b/>
          <w:i/>
          <w:sz w:val="20"/>
          <w:szCs w:val="20"/>
          <w:lang w:val="fr-FR"/>
        </w:rPr>
        <w:sectPr w:rsidR="00D576BD" w:rsidRPr="00736165" w:rsidSect="005B7ADD">
          <w:type w:val="continuous"/>
          <w:pgSz w:w="11909" w:h="16834" w:code="9"/>
          <w:pgMar w:top="1418" w:right="1418" w:bottom="1418" w:left="1418" w:header="851" w:footer="1134" w:gutter="0"/>
          <w:pgNumType w:start="171"/>
          <w:cols w:space="720"/>
          <w:docGrid w:linePitch="360"/>
        </w:sectPr>
      </w:pPr>
    </w:p>
    <w:p w14:paraId="2310D81D" w14:textId="77777777" w:rsidR="00D576BD" w:rsidRPr="00736165" w:rsidRDefault="00D576BD" w:rsidP="00D576BD">
      <w:pPr>
        <w:autoSpaceDE w:val="0"/>
        <w:autoSpaceDN w:val="0"/>
        <w:adjustRightInd w:val="0"/>
        <w:jc w:val="right"/>
        <w:rPr>
          <w:rFonts w:ascii="Cambria" w:hAnsi="Cambria"/>
          <w:b/>
          <w:i/>
          <w:sz w:val="20"/>
          <w:szCs w:val="20"/>
          <w:lang w:val="fr-FR"/>
        </w:rPr>
      </w:pPr>
      <w:r w:rsidRPr="00736165">
        <w:rPr>
          <w:rFonts w:ascii="Cambria" w:hAnsi="Cambria"/>
          <w:b/>
          <w:i/>
          <w:sz w:val="20"/>
          <w:szCs w:val="20"/>
          <w:lang w:val="fr-FR"/>
        </w:rPr>
        <w:lastRenderedPageBreak/>
        <w:t>Annexe I</w:t>
      </w:r>
    </w:p>
    <w:p w14:paraId="583FA37B" w14:textId="77777777" w:rsidR="00D576BD" w:rsidRPr="00736165" w:rsidRDefault="00D576BD" w:rsidP="00D576BD">
      <w:pPr>
        <w:rPr>
          <w:rFonts w:ascii="Cambria" w:hAnsi="Cambria"/>
          <w:sz w:val="20"/>
          <w:szCs w:val="20"/>
          <w:lang w:val="fr-FR"/>
        </w:rPr>
      </w:pPr>
    </w:p>
    <w:p w14:paraId="1C6F8273" w14:textId="77777777" w:rsidR="00D576BD" w:rsidRPr="00736165" w:rsidRDefault="00D576BD" w:rsidP="00D576BD">
      <w:pPr>
        <w:pStyle w:val="Default"/>
        <w:spacing w:after="375" w:line="276" w:lineRule="atLeast"/>
        <w:jc w:val="center"/>
        <w:rPr>
          <w:rFonts w:ascii="Cambria" w:hAnsi="Cambria" w:cs="Times New Roman"/>
          <w:color w:val="auto"/>
          <w:sz w:val="20"/>
          <w:szCs w:val="20"/>
        </w:rPr>
      </w:pPr>
      <w:r w:rsidRPr="00736165">
        <w:rPr>
          <w:rFonts w:ascii="Cambria" w:hAnsi="Cambria" w:cs="Times New Roman"/>
          <w:b/>
          <w:color w:val="auto"/>
          <w:sz w:val="20"/>
          <w:szCs w:val="20"/>
        </w:rPr>
        <w:t>Critères pour la deuxième évaluation des performances de l’ICCAT</w:t>
      </w:r>
    </w:p>
    <w:tbl>
      <w:tblPr>
        <w:tblW w:w="14567" w:type="dxa"/>
        <w:tblLayout w:type="fixed"/>
        <w:tblLook w:val="0000" w:firstRow="0" w:lastRow="0" w:firstColumn="0" w:lastColumn="0" w:noHBand="0" w:noVBand="0"/>
      </w:tblPr>
      <w:tblGrid>
        <w:gridCol w:w="250"/>
        <w:gridCol w:w="1561"/>
        <w:gridCol w:w="1795"/>
        <w:gridCol w:w="6708"/>
        <w:gridCol w:w="4253"/>
      </w:tblGrid>
      <w:tr w:rsidR="00D576BD" w:rsidRPr="00650C0E" w14:paraId="531AA26E" w14:textId="77777777" w:rsidTr="00A71D85">
        <w:trPr>
          <w:trHeight w:val="303"/>
          <w:tblHeader/>
        </w:trPr>
        <w:tc>
          <w:tcPr>
            <w:tcW w:w="250" w:type="dxa"/>
            <w:tcBorders>
              <w:top w:val="single" w:sz="6" w:space="0" w:color="000000"/>
              <w:left w:val="single" w:sz="6" w:space="0" w:color="000000"/>
              <w:bottom w:val="single" w:sz="6" w:space="0" w:color="000000"/>
              <w:right w:val="single" w:sz="6" w:space="0" w:color="000000"/>
            </w:tcBorders>
          </w:tcPr>
          <w:p w14:paraId="7CEC244E"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0A39BCD3" w14:textId="77777777" w:rsidR="00D576BD" w:rsidRPr="00736165" w:rsidRDefault="00D576BD" w:rsidP="005B7ADD">
            <w:pPr>
              <w:pStyle w:val="Default"/>
              <w:jc w:val="center"/>
              <w:rPr>
                <w:rFonts w:ascii="Cambria" w:hAnsi="Cambria" w:cs="Times New Roman"/>
                <w:i/>
                <w:color w:val="auto"/>
                <w:sz w:val="20"/>
                <w:szCs w:val="20"/>
              </w:rPr>
            </w:pPr>
            <w:r w:rsidRPr="00736165">
              <w:rPr>
                <w:rFonts w:ascii="Cambria" w:hAnsi="Cambria" w:cs="Times New Roman"/>
                <w:i/>
                <w:color w:val="auto"/>
                <w:sz w:val="20"/>
                <w:szCs w:val="20"/>
              </w:rPr>
              <w:t>Domaine</w:t>
            </w:r>
          </w:p>
        </w:tc>
        <w:tc>
          <w:tcPr>
            <w:tcW w:w="1795" w:type="dxa"/>
            <w:tcBorders>
              <w:top w:val="single" w:sz="6" w:space="0" w:color="000000"/>
              <w:left w:val="single" w:sz="6" w:space="0" w:color="000000"/>
              <w:bottom w:val="single" w:sz="6" w:space="0" w:color="000000"/>
              <w:right w:val="single" w:sz="6" w:space="0" w:color="000000"/>
            </w:tcBorders>
          </w:tcPr>
          <w:p w14:paraId="640DA120" w14:textId="77777777" w:rsidR="00D576BD" w:rsidRPr="00736165" w:rsidRDefault="00D576BD" w:rsidP="005B7ADD">
            <w:pPr>
              <w:pStyle w:val="Default"/>
              <w:rPr>
                <w:rFonts w:ascii="Cambria" w:hAnsi="Cambria" w:cs="Times New Roman"/>
                <w:i/>
                <w:color w:val="auto"/>
                <w:sz w:val="20"/>
                <w:szCs w:val="20"/>
              </w:rPr>
            </w:pPr>
            <w:r w:rsidRPr="00736165">
              <w:rPr>
                <w:rFonts w:ascii="Cambria" w:hAnsi="Cambria" w:cs="Times New Roman"/>
                <w:i/>
                <w:color w:val="auto"/>
                <w:sz w:val="20"/>
                <w:szCs w:val="20"/>
              </w:rPr>
              <w:t xml:space="preserve">Critères généraux </w:t>
            </w:r>
          </w:p>
        </w:tc>
        <w:tc>
          <w:tcPr>
            <w:tcW w:w="6708" w:type="dxa"/>
            <w:tcBorders>
              <w:top w:val="single" w:sz="4" w:space="0" w:color="000000"/>
              <w:left w:val="single" w:sz="6" w:space="0" w:color="000000"/>
              <w:bottom w:val="single" w:sz="4" w:space="0" w:color="000000"/>
              <w:right w:val="single" w:sz="6" w:space="0" w:color="000000"/>
            </w:tcBorders>
          </w:tcPr>
          <w:p w14:paraId="79EB247C" w14:textId="77777777" w:rsidR="00D576BD" w:rsidRPr="00736165" w:rsidRDefault="00D576BD" w:rsidP="005B7ADD">
            <w:pPr>
              <w:pStyle w:val="Default"/>
              <w:jc w:val="center"/>
              <w:rPr>
                <w:rFonts w:ascii="Cambria" w:hAnsi="Cambria" w:cs="Times New Roman"/>
                <w:i/>
                <w:color w:val="auto"/>
                <w:sz w:val="20"/>
                <w:szCs w:val="20"/>
              </w:rPr>
            </w:pPr>
            <w:r w:rsidRPr="00736165">
              <w:rPr>
                <w:rFonts w:ascii="Cambria" w:hAnsi="Cambria" w:cs="Times New Roman"/>
                <w:i/>
                <w:color w:val="auto"/>
                <w:sz w:val="20"/>
                <w:szCs w:val="20"/>
              </w:rPr>
              <w:t xml:space="preserve">Critères détaillés </w:t>
            </w:r>
          </w:p>
        </w:tc>
        <w:tc>
          <w:tcPr>
            <w:tcW w:w="4253" w:type="dxa"/>
            <w:tcBorders>
              <w:top w:val="single" w:sz="4" w:space="0" w:color="000000"/>
              <w:left w:val="single" w:sz="6" w:space="0" w:color="000000"/>
              <w:bottom w:val="single" w:sz="4" w:space="0" w:color="000000"/>
              <w:right w:val="single" w:sz="6" w:space="0" w:color="000000"/>
            </w:tcBorders>
          </w:tcPr>
          <w:p w14:paraId="4CE39D69" w14:textId="77777777" w:rsidR="00D576BD" w:rsidRPr="00736165" w:rsidRDefault="00D576BD" w:rsidP="005B7ADD">
            <w:pPr>
              <w:pStyle w:val="Default"/>
              <w:jc w:val="center"/>
              <w:rPr>
                <w:rFonts w:ascii="Cambria" w:hAnsi="Cambria" w:cs="Times New Roman"/>
                <w:i/>
                <w:color w:val="auto"/>
                <w:sz w:val="20"/>
                <w:szCs w:val="20"/>
              </w:rPr>
            </w:pPr>
            <w:r w:rsidRPr="00736165">
              <w:rPr>
                <w:rFonts w:ascii="Cambria" w:hAnsi="Cambria" w:cs="Times New Roman"/>
                <w:i/>
                <w:color w:val="auto"/>
                <w:sz w:val="20"/>
                <w:szCs w:val="20"/>
              </w:rPr>
              <w:t>Modifications par rapport aux critères de 2007</w:t>
            </w:r>
          </w:p>
        </w:tc>
      </w:tr>
      <w:tr w:rsidR="00905E72" w:rsidRPr="00736165" w14:paraId="713FD5F5" w14:textId="77777777" w:rsidTr="00A71D85">
        <w:trPr>
          <w:trHeight w:val="303"/>
        </w:trPr>
        <w:tc>
          <w:tcPr>
            <w:tcW w:w="250" w:type="dxa"/>
            <w:tcBorders>
              <w:top w:val="single" w:sz="6" w:space="0" w:color="000000"/>
              <w:left w:val="single" w:sz="6" w:space="0" w:color="000000"/>
              <w:bottom w:val="single" w:sz="6" w:space="0" w:color="000000"/>
              <w:right w:val="single" w:sz="6" w:space="0" w:color="000000"/>
            </w:tcBorders>
          </w:tcPr>
          <w:p w14:paraId="3FD63545" w14:textId="77777777" w:rsidR="00905E72" w:rsidRPr="00736165" w:rsidRDefault="00905E72" w:rsidP="005B7ADD">
            <w:pPr>
              <w:pStyle w:val="Default"/>
              <w:rPr>
                <w:rFonts w:ascii="Cambria" w:hAnsi="Cambria" w:cs="Times New Roman"/>
                <w:b/>
                <w:color w:val="auto"/>
                <w:sz w:val="20"/>
                <w:szCs w:val="20"/>
              </w:rPr>
            </w:pPr>
            <w:r w:rsidRPr="00736165">
              <w:rPr>
                <w:rFonts w:ascii="Cambria" w:hAnsi="Cambria" w:cs="Times New Roman"/>
                <w:b/>
                <w:color w:val="auto"/>
                <w:sz w:val="20"/>
                <w:szCs w:val="20"/>
              </w:rPr>
              <w:t>1</w:t>
            </w:r>
          </w:p>
        </w:tc>
        <w:tc>
          <w:tcPr>
            <w:tcW w:w="1561" w:type="dxa"/>
            <w:tcBorders>
              <w:top w:val="single" w:sz="6" w:space="0" w:color="000000"/>
              <w:left w:val="single" w:sz="6" w:space="0" w:color="000000"/>
              <w:bottom w:val="single" w:sz="6" w:space="0" w:color="000000"/>
              <w:right w:val="single" w:sz="6" w:space="0" w:color="000000"/>
            </w:tcBorders>
          </w:tcPr>
          <w:p w14:paraId="17C673B5" w14:textId="77777777" w:rsidR="00905E72" w:rsidRPr="00736165" w:rsidRDefault="00905E72" w:rsidP="005B7ADD">
            <w:pPr>
              <w:pStyle w:val="Default"/>
              <w:jc w:val="center"/>
              <w:rPr>
                <w:rFonts w:ascii="Cambria" w:hAnsi="Cambria" w:cs="Times New Roman"/>
                <w:i/>
                <w:color w:val="auto"/>
                <w:sz w:val="20"/>
                <w:szCs w:val="20"/>
              </w:rPr>
            </w:pPr>
            <w:r w:rsidRPr="00736165">
              <w:rPr>
                <w:rFonts w:ascii="Cambria" w:hAnsi="Cambria" w:cs="Times New Roman"/>
                <w:i/>
                <w:color w:val="auto"/>
                <w:sz w:val="20"/>
                <w:szCs w:val="20"/>
              </w:rPr>
              <w:t>Première évaluation des performances</w:t>
            </w:r>
          </w:p>
        </w:tc>
        <w:tc>
          <w:tcPr>
            <w:tcW w:w="1795" w:type="dxa"/>
            <w:tcBorders>
              <w:top w:val="single" w:sz="6" w:space="0" w:color="000000"/>
              <w:left w:val="single" w:sz="6" w:space="0" w:color="000000"/>
              <w:bottom w:val="single" w:sz="6" w:space="0" w:color="000000"/>
              <w:right w:val="single" w:sz="6" w:space="0" w:color="000000"/>
            </w:tcBorders>
          </w:tcPr>
          <w:p w14:paraId="33519FDA" w14:textId="77777777" w:rsidR="00905E72" w:rsidRPr="00736165" w:rsidRDefault="00905E72" w:rsidP="005B7ADD">
            <w:pPr>
              <w:pStyle w:val="Default"/>
              <w:rPr>
                <w:rFonts w:ascii="Cambria" w:hAnsi="Cambria" w:cs="Times New Roman"/>
                <w:i/>
                <w:color w:val="auto"/>
                <w:sz w:val="20"/>
                <w:szCs w:val="20"/>
              </w:rPr>
            </w:pPr>
            <w:r w:rsidRPr="00736165">
              <w:rPr>
                <w:rFonts w:ascii="Cambria" w:hAnsi="Cambria" w:cs="Times New Roman"/>
                <w:i/>
                <w:color w:val="auto"/>
                <w:sz w:val="20"/>
                <w:szCs w:val="20"/>
              </w:rPr>
              <w:t>Suivi de la première évaluation des performances</w:t>
            </w:r>
          </w:p>
        </w:tc>
        <w:tc>
          <w:tcPr>
            <w:tcW w:w="6708" w:type="dxa"/>
            <w:tcBorders>
              <w:top w:val="single" w:sz="4" w:space="0" w:color="000000"/>
              <w:left w:val="single" w:sz="6" w:space="0" w:color="000000"/>
              <w:bottom w:val="single" w:sz="4" w:space="0" w:color="000000"/>
              <w:right w:val="single" w:sz="6" w:space="0" w:color="000000"/>
            </w:tcBorders>
          </w:tcPr>
          <w:p w14:paraId="5D6E3168" w14:textId="77777777" w:rsidR="00905E72" w:rsidRPr="00736165" w:rsidRDefault="00905E72" w:rsidP="00905E72">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Examen des mesures prises par l’ICCAT en réponse aux conclusions et recommandations découlant de la première évaluation des performances et examen de leur efficacité.</w:t>
            </w:r>
          </w:p>
        </w:tc>
        <w:tc>
          <w:tcPr>
            <w:tcW w:w="4253" w:type="dxa"/>
            <w:tcBorders>
              <w:top w:val="single" w:sz="4" w:space="0" w:color="000000"/>
              <w:left w:val="single" w:sz="6" w:space="0" w:color="000000"/>
              <w:bottom w:val="single" w:sz="4" w:space="0" w:color="000000"/>
              <w:right w:val="single" w:sz="6" w:space="0" w:color="000000"/>
            </w:tcBorders>
          </w:tcPr>
          <w:p w14:paraId="676A39FF" w14:textId="77777777" w:rsidR="00905E72" w:rsidRPr="00736165" w:rsidRDefault="000A3A0F" w:rsidP="000A3A0F">
            <w:pPr>
              <w:pStyle w:val="Default"/>
              <w:jc w:val="both"/>
              <w:rPr>
                <w:rFonts w:ascii="Cambria" w:hAnsi="Cambria" w:cs="Times New Roman"/>
                <w:i/>
                <w:color w:val="auto"/>
                <w:sz w:val="20"/>
                <w:szCs w:val="20"/>
              </w:rPr>
            </w:pPr>
            <w:r w:rsidRPr="00736165">
              <w:rPr>
                <w:rFonts w:ascii="Cambria" w:hAnsi="Cambria" w:cs="Times New Roman"/>
                <w:color w:val="auto"/>
                <w:sz w:val="20"/>
                <w:szCs w:val="20"/>
              </w:rPr>
              <w:t>Nouveau point.</w:t>
            </w:r>
          </w:p>
        </w:tc>
      </w:tr>
      <w:tr w:rsidR="00D576BD" w:rsidRPr="00650C0E" w14:paraId="3016A2C8" w14:textId="77777777" w:rsidTr="00A71D85">
        <w:trPr>
          <w:trHeight w:val="1263"/>
        </w:trPr>
        <w:tc>
          <w:tcPr>
            <w:tcW w:w="250" w:type="dxa"/>
            <w:tcBorders>
              <w:top w:val="single" w:sz="6" w:space="0" w:color="000000"/>
              <w:left w:val="single" w:sz="6" w:space="0" w:color="000000"/>
              <w:bottom w:val="single" w:sz="6" w:space="0" w:color="000000"/>
              <w:right w:val="single" w:sz="6" w:space="0" w:color="000000"/>
            </w:tcBorders>
          </w:tcPr>
          <w:p w14:paraId="39000E8B" w14:textId="77777777" w:rsidR="00D576BD" w:rsidRPr="00736165" w:rsidRDefault="00905E72" w:rsidP="005B7ADD">
            <w:pPr>
              <w:pStyle w:val="Default"/>
              <w:jc w:val="center"/>
              <w:rPr>
                <w:rFonts w:ascii="Cambria" w:hAnsi="Cambria" w:cs="Times New Roman"/>
                <w:color w:val="auto"/>
                <w:sz w:val="20"/>
                <w:szCs w:val="20"/>
              </w:rPr>
            </w:pPr>
            <w:r w:rsidRPr="00736165">
              <w:rPr>
                <w:rFonts w:ascii="Cambria" w:hAnsi="Cambria" w:cs="Times New Roman"/>
                <w:b/>
                <w:color w:val="auto"/>
                <w:sz w:val="20"/>
                <w:szCs w:val="20"/>
              </w:rPr>
              <w:t>2</w:t>
            </w:r>
            <w:r w:rsidR="00D576BD" w:rsidRPr="00736165">
              <w:rPr>
                <w:rFonts w:ascii="Cambria" w:hAnsi="Cambria" w:cs="Times New Roman"/>
                <w:b/>
                <w:color w:val="auto"/>
                <w:sz w:val="20"/>
                <w:szCs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523AABC2"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i/>
                <w:color w:val="auto"/>
                <w:sz w:val="20"/>
                <w:szCs w:val="20"/>
              </w:rPr>
              <w:t xml:space="preserve">Conservation et gestion </w:t>
            </w:r>
          </w:p>
        </w:tc>
        <w:tc>
          <w:tcPr>
            <w:tcW w:w="1795" w:type="dxa"/>
            <w:tcBorders>
              <w:top w:val="single" w:sz="6" w:space="0" w:color="000000"/>
              <w:left w:val="single" w:sz="6" w:space="0" w:color="000000"/>
              <w:bottom w:val="single" w:sz="6" w:space="0" w:color="000000"/>
              <w:right w:val="single" w:sz="6" w:space="0" w:color="000000"/>
            </w:tcBorders>
          </w:tcPr>
          <w:p w14:paraId="2FDC1356"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État des ressources marines vivantes. </w:t>
            </w:r>
          </w:p>
        </w:tc>
        <w:tc>
          <w:tcPr>
            <w:tcW w:w="6708" w:type="dxa"/>
            <w:tcBorders>
              <w:top w:val="single" w:sz="4" w:space="0" w:color="000000"/>
              <w:left w:val="single" w:sz="6" w:space="0" w:color="000000"/>
              <w:bottom w:val="single" w:sz="4" w:space="0" w:color="000000"/>
              <w:right w:val="single" w:sz="6" w:space="0" w:color="000000"/>
            </w:tcBorders>
          </w:tcPr>
          <w:p w14:paraId="28DE8643"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État des principaux stocks de poissons relevant de l’ICCAT par rapport à la production maximale équilibrée ou à d’autres normes biologiques pertinentes.</w:t>
            </w:r>
          </w:p>
          <w:p w14:paraId="7BD17EC5"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Tendances de l’état de ces stocks. </w:t>
            </w:r>
          </w:p>
          <w:p w14:paraId="2EF941E1"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État des espèces appartenant aux mêmes écosystèmes que les principaux stocks cibles ou associées ou dépendantes de ceux-ci (ci-après désignées comme « espèces </w:t>
            </w:r>
            <w:proofErr w:type="gramStart"/>
            <w:r w:rsidRPr="00736165">
              <w:rPr>
                <w:rFonts w:ascii="Cambria" w:hAnsi="Cambria" w:cs="Times New Roman"/>
                <w:color w:val="auto"/>
                <w:sz w:val="20"/>
                <w:szCs w:val="20"/>
              </w:rPr>
              <w:t>non cibles »</w:t>
            </w:r>
            <w:proofErr w:type="gramEnd"/>
            <w:r w:rsidRPr="00736165">
              <w:rPr>
                <w:rFonts w:ascii="Cambria" w:hAnsi="Cambria" w:cs="Times New Roman"/>
                <w:color w:val="auto"/>
                <w:sz w:val="20"/>
                <w:szCs w:val="20"/>
              </w:rPr>
              <w:t xml:space="preserve">) </w:t>
            </w:r>
          </w:p>
          <w:p w14:paraId="2B612763" w14:textId="77777777" w:rsidR="00A71D85" w:rsidRPr="00736165" w:rsidRDefault="00D576BD" w:rsidP="002126AE">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Tend</w:t>
            </w:r>
            <w:r w:rsidR="002F616F" w:rsidRPr="00736165">
              <w:rPr>
                <w:rFonts w:ascii="Cambria" w:hAnsi="Cambria" w:cs="Times New Roman"/>
                <w:color w:val="auto"/>
                <w:sz w:val="20"/>
                <w:szCs w:val="20"/>
              </w:rPr>
              <w:t>ances de l’état de ces espèces.</w:t>
            </w:r>
          </w:p>
        </w:tc>
        <w:tc>
          <w:tcPr>
            <w:tcW w:w="4253" w:type="dxa"/>
            <w:tcBorders>
              <w:top w:val="single" w:sz="4" w:space="0" w:color="000000"/>
              <w:left w:val="single" w:sz="6" w:space="0" w:color="000000"/>
              <w:bottom w:val="single" w:sz="4" w:space="0" w:color="000000"/>
              <w:right w:val="single" w:sz="6" w:space="0" w:color="000000"/>
            </w:tcBorders>
          </w:tcPr>
          <w:p w14:paraId="4930C1DA" w14:textId="77777777" w:rsidR="00D576BD" w:rsidRPr="00736165" w:rsidRDefault="00D576BD" w:rsidP="005B7ADD">
            <w:pPr>
              <w:pStyle w:val="Default"/>
              <w:jc w:val="both"/>
              <w:rPr>
                <w:rFonts w:ascii="Cambria" w:hAnsi="Cambria" w:cs="Times New Roman"/>
                <w:color w:val="auto"/>
                <w:sz w:val="20"/>
                <w:szCs w:val="20"/>
              </w:rPr>
            </w:pPr>
          </w:p>
          <w:p w14:paraId="6E89AD92" w14:textId="77777777" w:rsidR="00A71D85" w:rsidRPr="00736165" w:rsidRDefault="00A71D85" w:rsidP="005B7ADD">
            <w:pPr>
              <w:pStyle w:val="Default"/>
              <w:jc w:val="both"/>
              <w:rPr>
                <w:rFonts w:ascii="Cambria" w:hAnsi="Cambria" w:cs="Times New Roman"/>
                <w:color w:val="auto"/>
                <w:sz w:val="20"/>
                <w:szCs w:val="20"/>
              </w:rPr>
            </w:pPr>
          </w:p>
          <w:p w14:paraId="32D4B107" w14:textId="77777777" w:rsidR="00A71D85" w:rsidRPr="00736165" w:rsidRDefault="00A71D85" w:rsidP="005B7ADD">
            <w:pPr>
              <w:pStyle w:val="Default"/>
              <w:jc w:val="both"/>
              <w:rPr>
                <w:rFonts w:ascii="Cambria" w:hAnsi="Cambria" w:cs="Times New Roman"/>
                <w:color w:val="auto"/>
                <w:sz w:val="20"/>
                <w:szCs w:val="20"/>
              </w:rPr>
            </w:pPr>
          </w:p>
          <w:p w14:paraId="24981E1B" w14:textId="77777777" w:rsidR="00A71D85" w:rsidRPr="00736165" w:rsidRDefault="00A71D85" w:rsidP="005B7ADD">
            <w:pPr>
              <w:pStyle w:val="Default"/>
              <w:jc w:val="both"/>
              <w:rPr>
                <w:rFonts w:ascii="Cambria" w:hAnsi="Cambria" w:cs="Times New Roman"/>
                <w:color w:val="auto"/>
                <w:sz w:val="20"/>
                <w:szCs w:val="20"/>
              </w:rPr>
            </w:pPr>
          </w:p>
          <w:p w14:paraId="7AC7AD00" w14:textId="77777777" w:rsidR="00A71D85" w:rsidRPr="00736165" w:rsidRDefault="00A71D85" w:rsidP="005B7ADD">
            <w:pPr>
              <w:pStyle w:val="Default"/>
              <w:jc w:val="both"/>
              <w:rPr>
                <w:rFonts w:ascii="Cambria" w:hAnsi="Cambria" w:cs="Times New Roman"/>
                <w:color w:val="auto"/>
                <w:sz w:val="20"/>
                <w:szCs w:val="20"/>
              </w:rPr>
            </w:pPr>
          </w:p>
          <w:p w14:paraId="5944C5DF" w14:textId="77777777" w:rsidR="00A71D85" w:rsidRPr="00736165" w:rsidRDefault="00A71D85" w:rsidP="005B7ADD">
            <w:pPr>
              <w:pStyle w:val="Default"/>
              <w:jc w:val="both"/>
              <w:rPr>
                <w:rFonts w:ascii="Cambria" w:hAnsi="Cambria" w:cs="Times New Roman"/>
                <w:color w:val="auto"/>
                <w:sz w:val="20"/>
                <w:szCs w:val="20"/>
              </w:rPr>
            </w:pPr>
          </w:p>
          <w:p w14:paraId="3E67D301" w14:textId="77777777" w:rsidR="00A71D85" w:rsidRPr="00736165" w:rsidRDefault="00A71D85" w:rsidP="005B7ADD">
            <w:pPr>
              <w:pStyle w:val="Default"/>
              <w:jc w:val="both"/>
              <w:rPr>
                <w:rFonts w:ascii="Cambria" w:hAnsi="Cambria" w:cs="Times New Roman"/>
                <w:color w:val="auto"/>
                <w:sz w:val="20"/>
                <w:szCs w:val="20"/>
              </w:rPr>
            </w:pPr>
          </w:p>
        </w:tc>
      </w:tr>
      <w:tr w:rsidR="00D576BD" w:rsidRPr="00650C0E" w14:paraId="49D553DE" w14:textId="77777777" w:rsidTr="00BB47B6">
        <w:trPr>
          <w:trHeight w:val="840"/>
        </w:trPr>
        <w:tc>
          <w:tcPr>
            <w:tcW w:w="250" w:type="dxa"/>
            <w:tcBorders>
              <w:top w:val="single" w:sz="6" w:space="0" w:color="000000"/>
              <w:left w:val="single" w:sz="6" w:space="0" w:color="000000"/>
              <w:bottom w:val="single" w:sz="6" w:space="0" w:color="000000"/>
              <w:right w:val="single" w:sz="6" w:space="0" w:color="000000"/>
            </w:tcBorders>
          </w:tcPr>
          <w:p w14:paraId="6F6FAF31"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2AA0D128"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7684A3CD"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Collecte et partage des données. </w:t>
            </w:r>
          </w:p>
        </w:tc>
        <w:tc>
          <w:tcPr>
            <w:tcW w:w="6708" w:type="dxa"/>
            <w:tcBorders>
              <w:top w:val="single" w:sz="4" w:space="0" w:color="000000"/>
              <w:left w:val="single" w:sz="6" w:space="0" w:color="000000"/>
              <w:bottom w:val="single" w:sz="4" w:space="0" w:color="000000"/>
              <w:right w:val="single" w:sz="6" w:space="0" w:color="000000"/>
            </w:tcBorders>
          </w:tcPr>
          <w:p w14:paraId="598CD91F"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convenu des formats, des spécifications et des cadres temporels dans lesquels les données doivent être soumises, en tenant compte de l’Annexe 1 de l’UNFSA.</w:t>
            </w:r>
          </w:p>
          <w:p w14:paraId="0B72589A"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les membres et les non-membres coopérants de l’ICCAT, individuellement ou à travers l'ICCAT, recueillent et partagent, en temps opportun, des données halieutiques complètes et précises concernant les stocks cibles et les espèces </w:t>
            </w:r>
            <w:proofErr w:type="gramStart"/>
            <w:r w:rsidRPr="00736165">
              <w:rPr>
                <w:rFonts w:ascii="Cambria" w:hAnsi="Cambria" w:cs="Times New Roman"/>
                <w:color w:val="auto"/>
                <w:sz w:val="20"/>
                <w:szCs w:val="20"/>
              </w:rPr>
              <w:t>non cibles</w:t>
            </w:r>
            <w:proofErr w:type="gramEnd"/>
            <w:r w:rsidRPr="00736165">
              <w:rPr>
                <w:rFonts w:ascii="Cambria" w:hAnsi="Cambria" w:cs="Times New Roman"/>
                <w:color w:val="auto"/>
                <w:sz w:val="20"/>
                <w:szCs w:val="20"/>
              </w:rPr>
              <w:t xml:space="preserve"> et d’autres données pertinentes (données de la tâche I et de la tâche II).</w:t>
            </w:r>
          </w:p>
          <w:p w14:paraId="3CBDB35C"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les données de pêche et les données sur les navires de pêche sont recueillies par l’ICCAT et partagées entre les membres et d’autres ORGP. </w:t>
            </w:r>
          </w:p>
          <w:p w14:paraId="549698BA"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aborde les lacunes existant dans la collecte et le partage des données, selon que de besoin. </w:t>
            </w:r>
          </w:p>
          <w:p w14:paraId="306DFC46"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des initiatives de renforcement de la capacité sont mises en place afin d'améliorer la collecte des données dans les économies en développement.</w:t>
            </w:r>
          </w:p>
        </w:tc>
        <w:tc>
          <w:tcPr>
            <w:tcW w:w="4253" w:type="dxa"/>
            <w:tcBorders>
              <w:top w:val="single" w:sz="4" w:space="0" w:color="000000"/>
              <w:left w:val="single" w:sz="6" w:space="0" w:color="000000"/>
              <w:bottom w:val="single" w:sz="4" w:space="0" w:color="000000"/>
              <w:right w:val="single" w:sz="6" w:space="0" w:color="000000"/>
            </w:tcBorders>
          </w:tcPr>
          <w:p w14:paraId="0673E811" w14:textId="77777777" w:rsidR="00D576BD" w:rsidRPr="00736165" w:rsidRDefault="00D576BD" w:rsidP="005B7ADD">
            <w:pPr>
              <w:pStyle w:val="Default"/>
              <w:jc w:val="both"/>
              <w:rPr>
                <w:rFonts w:ascii="Cambria" w:hAnsi="Cambria" w:cs="Times New Roman"/>
                <w:color w:val="auto"/>
                <w:sz w:val="20"/>
                <w:szCs w:val="20"/>
              </w:rPr>
            </w:pPr>
          </w:p>
          <w:p w14:paraId="279A9777" w14:textId="77777777" w:rsidR="00D576BD" w:rsidRPr="00736165" w:rsidRDefault="00D576BD" w:rsidP="005B7ADD">
            <w:pPr>
              <w:pStyle w:val="Default"/>
              <w:jc w:val="both"/>
              <w:rPr>
                <w:rFonts w:ascii="Cambria" w:hAnsi="Cambria" w:cs="Times New Roman"/>
                <w:color w:val="auto"/>
                <w:sz w:val="20"/>
                <w:szCs w:val="20"/>
              </w:rPr>
            </w:pPr>
          </w:p>
          <w:p w14:paraId="70B1680D" w14:textId="77777777" w:rsidR="00D576BD" w:rsidRPr="00736165" w:rsidRDefault="00D576BD" w:rsidP="005B7ADD">
            <w:pPr>
              <w:pStyle w:val="Default"/>
              <w:jc w:val="both"/>
              <w:rPr>
                <w:rFonts w:ascii="Cambria" w:hAnsi="Cambria" w:cs="Times New Roman"/>
                <w:color w:val="auto"/>
                <w:sz w:val="20"/>
                <w:szCs w:val="20"/>
              </w:rPr>
            </w:pPr>
          </w:p>
          <w:p w14:paraId="60F1A0EC" w14:textId="77777777" w:rsidR="00D576BD" w:rsidRPr="00736165" w:rsidRDefault="00D576BD" w:rsidP="005B7ADD">
            <w:pPr>
              <w:pStyle w:val="Default"/>
              <w:jc w:val="both"/>
              <w:rPr>
                <w:rFonts w:ascii="Cambria" w:hAnsi="Cambria" w:cs="Times New Roman"/>
                <w:color w:val="auto"/>
                <w:sz w:val="20"/>
                <w:szCs w:val="20"/>
              </w:rPr>
            </w:pPr>
          </w:p>
          <w:p w14:paraId="30B774A6" w14:textId="77777777" w:rsidR="00D576BD" w:rsidRPr="00736165" w:rsidRDefault="00D576BD" w:rsidP="005B7ADD">
            <w:pPr>
              <w:pStyle w:val="Default"/>
              <w:jc w:val="both"/>
              <w:rPr>
                <w:rFonts w:ascii="Cambria" w:hAnsi="Cambria" w:cs="Times New Roman"/>
                <w:color w:val="auto"/>
                <w:sz w:val="20"/>
                <w:szCs w:val="20"/>
              </w:rPr>
            </w:pPr>
          </w:p>
          <w:p w14:paraId="0902C1E6"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Ajout d'une référence aux données de tâche I/II</w:t>
            </w:r>
          </w:p>
        </w:tc>
      </w:tr>
      <w:tr w:rsidR="00D576BD" w:rsidRPr="00650C0E" w14:paraId="57688A82" w14:textId="77777777" w:rsidTr="00A71D85">
        <w:trPr>
          <w:trHeight w:val="4242"/>
        </w:trPr>
        <w:tc>
          <w:tcPr>
            <w:tcW w:w="250" w:type="dxa"/>
            <w:tcBorders>
              <w:top w:val="single" w:sz="6" w:space="0" w:color="000000"/>
              <w:left w:val="single" w:sz="6" w:space="0" w:color="000000"/>
              <w:bottom w:val="single" w:sz="6" w:space="0" w:color="000000"/>
              <w:right w:val="single" w:sz="6" w:space="0" w:color="000000"/>
            </w:tcBorders>
          </w:tcPr>
          <w:p w14:paraId="17FF5826"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39E55DE1"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2F4F63CB"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Adoption de mesures de conservation et de gestion. </w:t>
            </w:r>
          </w:p>
        </w:tc>
        <w:tc>
          <w:tcPr>
            <w:tcW w:w="6708" w:type="dxa"/>
            <w:tcBorders>
              <w:top w:val="single" w:sz="4" w:space="0" w:color="000000"/>
              <w:left w:val="single" w:sz="6" w:space="0" w:color="000000"/>
              <w:bottom w:val="single" w:sz="4" w:space="0" w:color="000000"/>
              <w:right w:val="single" w:sz="6" w:space="0" w:color="000000"/>
            </w:tcBorders>
          </w:tcPr>
          <w:p w14:paraId="13B44189"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adopté des mesures de conservation et de gestion pour les stocks cibles et les espèces </w:t>
            </w:r>
            <w:proofErr w:type="gramStart"/>
            <w:r w:rsidRPr="00736165">
              <w:rPr>
                <w:rFonts w:ascii="Cambria" w:hAnsi="Cambria" w:cs="Times New Roman"/>
                <w:color w:val="auto"/>
                <w:sz w:val="20"/>
                <w:szCs w:val="20"/>
              </w:rPr>
              <w:t>non cibles</w:t>
            </w:r>
            <w:proofErr w:type="gramEnd"/>
            <w:r w:rsidRPr="00736165">
              <w:rPr>
                <w:rFonts w:ascii="Cambria" w:hAnsi="Cambria" w:cs="Times New Roman"/>
                <w:color w:val="auto"/>
                <w:sz w:val="20"/>
                <w:szCs w:val="20"/>
              </w:rPr>
              <w:t xml:space="preserve"> garantissant la durabilité à long terme de ces stocks et espèces, basées sur les meilleures preuves scientifiques disponibles. </w:t>
            </w:r>
          </w:p>
          <w:p w14:paraId="0542CFA2"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appliqué l’approche de précaution, telle qu’énoncée à l’Article 6 de l’UNFSA et dans le Code de conduite pour une pêche responsable, Art. 7.5, y compris l’application de points de référence de précaution.</w:t>
            </w:r>
          </w:p>
          <w:p w14:paraId="6F24296E"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adopté et met en œuvre des plans de rétablissement effectifs pour les stocks raréfiés ou surpêchés. </w:t>
            </w:r>
          </w:p>
          <w:p w14:paraId="595647E9" w14:textId="77777777" w:rsidR="00D576BD" w:rsidRPr="00736165" w:rsidRDefault="00D576BD" w:rsidP="00D576BD">
            <w:pPr>
              <w:pStyle w:val="Default"/>
              <w:numPr>
                <w:ilvl w:val="0"/>
                <w:numId w:val="8"/>
              </w:numPr>
              <w:jc w:val="both"/>
              <w:rPr>
                <w:rFonts w:ascii="Cambria" w:hAnsi="Cambria" w:cs="Times New Roman"/>
                <w:strike/>
                <w:color w:val="auto"/>
                <w:sz w:val="20"/>
                <w:szCs w:val="20"/>
              </w:rPr>
            </w:pPr>
            <w:r w:rsidRPr="00736165">
              <w:rPr>
                <w:rFonts w:ascii="Cambria" w:hAnsi="Cambria" w:cs="Times New Roman"/>
                <w:color w:val="auto"/>
                <w:sz w:val="20"/>
                <w:szCs w:val="20"/>
              </w:rPr>
              <w:t>Mesure dans laquelle l’ICCAT s’est orientée vers l’adoption de mesures de conservation et de gestion pour des pêcheries auparavant non réglementées.</w:t>
            </w:r>
            <w:r w:rsidRPr="00736165">
              <w:rPr>
                <w:rFonts w:ascii="Cambria" w:hAnsi="Cambria" w:cs="Times New Roman"/>
                <w:strike/>
                <w:color w:val="auto"/>
                <w:sz w:val="20"/>
                <w:szCs w:val="20"/>
              </w:rPr>
              <w:t xml:space="preserve"> </w:t>
            </w:r>
          </w:p>
          <w:p w14:paraId="5E11A5A9"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tenu dûment compte de la nécessité de conserver la diversité biologique marine et minimiser les impacts nuisibles des pêcheries sur les ressources marines vivantes et les écosystèmes marins. </w:t>
            </w:r>
          </w:p>
          <w:p w14:paraId="660D3370"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adopté des mesures visant à minimiser la pollution, les déchets, les rejets, les captures par engin perdu ou abandonné, les prises d’espèces </w:t>
            </w:r>
            <w:proofErr w:type="gramStart"/>
            <w:r w:rsidRPr="00736165">
              <w:rPr>
                <w:rFonts w:ascii="Cambria" w:hAnsi="Cambria" w:cs="Times New Roman"/>
                <w:color w:val="auto"/>
                <w:sz w:val="20"/>
                <w:szCs w:val="20"/>
              </w:rPr>
              <w:t>non cibles</w:t>
            </w:r>
            <w:proofErr w:type="gramEnd"/>
            <w:r w:rsidRPr="00736165">
              <w:rPr>
                <w:rFonts w:ascii="Cambria" w:hAnsi="Cambria" w:cs="Times New Roman"/>
                <w:color w:val="auto"/>
                <w:sz w:val="20"/>
                <w:szCs w:val="20"/>
              </w:rPr>
              <w:t>, à la fois d’espèces de poissons et autres, et les impacts sur les espèces associées ou dépendantes, notamment les espèces en danger, par le biais, autant que possible, du développement et de l’utilisation d’engins et de techniques de pêche sélectifs, écologiquement sûrs et rentables.</w:t>
            </w:r>
          </w:p>
        </w:tc>
        <w:tc>
          <w:tcPr>
            <w:tcW w:w="4253" w:type="dxa"/>
            <w:tcBorders>
              <w:top w:val="single" w:sz="4" w:space="0" w:color="000000"/>
              <w:left w:val="single" w:sz="6" w:space="0" w:color="000000"/>
              <w:bottom w:val="single" w:sz="4" w:space="0" w:color="000000"/>
              <w:right w:val="single" w:sz="6" w:space="0" w:color="000000"/>
            </w:tcBorders>
          </w:tcPr>
          <w:p w14:paraId="237B30DF" w14:textId="77777777" w:rsidR="00D576BD" w:rsidRPr="00736165" w:rsidRDefault="00D576BD" w:rsidP="005B7ADD">
            <w:pPr>
              <w:pStyle w:val="Default"/>
              <w:jc w:val="both"/>
              <w:rPr>
                <w:rFonts w:ascii="Cambria" w:hAnsi="Cambria" w:cs="Times New Roman"/>
                <w:color w:val="auto"/>
                <w:sz w:val="20"/>
                <w:szCs w:val="20"/>
              </w:rPr>
            </w:pPr>
          </w:p>
          <w:p w14:paraId="480EA50A" w14:textId="77777777" w:rsidR="00D576BD" w:rsidRPr="00736165" w:rsidRDefault="00D576BD" w:rsidP="005B7ADD">
            <w:pPr>
              <w:pStyle w:val="Default"/>
              <w:jc w:val="both"/>
              <w:rPr>
                <w:rFonts w:ascii="Cambria" w:hAnsi="Cambria" w:cs="Times New Roman"/>
                <w:color w:val="auto"/>
                <w:sz w:val="20"/>
                <w:szCs w:val="20"/>
              </w:rPr>
            </w:pPr>
          </w:p>
          <w:p w14:paraId="74DE5C27" w14:textId="77777777" w:rsidR="00D576BD" w:rsidRPr="00736165" w:rsidRDefault="00D576BD" w:rsidP="005B7ADD">
            <w:pPr>
              <w:pStyle w:val="Default"/>
              <w:jc w:val="both"/>
              <w:rPr>
                <w:rFonts w:ascii="Cambria" w:hAnsi="Cambria" w:cs="Times New Roman"/>
                <w:color w:val="auto"/>
                <w:sz w:val="20"/>
                <w:szCs w:val="20"/>
              </w:rPr>
            </w:pPr>
          </w:p>
          <w:p w14:paraId="1182371C" w14:textId="77777777" w:rsidR="00D576BD" w:rsidRPr="00736165" w:rsidRDefault="00D576BD" w:rsidP="005B7ADD">
            <w:pPr>
              <w:pStyle w:val="Default"/>
              <w:jc w:val="both"/>
              <w:rPr>
                <w:rFonts w:ascii="Cambria" w:hAnsi="Cambria" w:cs="Times New Roman"/>
                <w:color w:val="auto"/>
                <w:sz w:val="20"/>
                <w:szCs w:val="20"/>
              </w:rPr>
            </w:pPr>
          </w:p>
          <w:p w14:paraId="4B88F939" w14:textId="77777777" w:rsidR="00D576BD" w:rsidRPr="00736165" w:rsidRDefault="00D576BD" w:rsidP="005B7ADD">
            <w:pPr>
              <w:pStyle w:val="Default"/>
              <w:jc w:val="both"/>
              <w:rPr>
                <w:rFonts w:ascii="Cambria" w:hAnsi="Cambria" w:cs="Times New Roman"/>
                <w:color w:val="auto"/>
                <w:sz w:val="20"/>
                <w:szCs w:val="20"/>
              </w:rPr>
            </w:pPr>
          </w:p>
          <w:p w14:paraId="60CDE78E" w14:textId="77777777" w:rsidR="00D576BD" w:rsidRPr="00736165" w:rsidRDefault="00D576BD" w:rsidP="005B7ADD">
            <w:pPr>
              <w:pStyle w:val="Default"/>
              <w:jc w:val="both"/>
              <w:rPr>
                <w:rFonts w:ascii="Cambria" w:hAnsi="Cambria" w:cs="Times New Roman"/>
                <w:color w:val="auto"/>
                <w:sz w:val="20"/>
                <w:szCs w:val="20"/>
              </w:rPr>
            </w:pPr>
          </w:p>
          <w:p w14:paraId="56392959" w14:textId="77777777" w:rsidR="00D576BD" w:rsidRPr="00736165" w:rsidRDefault="00D576BD" w:rsidP="005B7ADD">
            <w:pPr>
              <w:pStyle w:val="Default"/>
              <w:jc w:val="both"/>
              <w:rPr>
                <w:rFonts w:ascii="Cambria" w:hAnsi="Cambria" w:cs="Times New Roman"/>
                <w:color w:val="auto"/>
                <w:sz w:val="20"/>
                <w:szCs w:val="20"/>
              </w:rPr>
            </w:pPr>
          </w:p>
          <w:p w14:paraId="69F41159" w14:textId="77777777" w:rsidR="00D576BD" w:rsidRPr="00736165" w:rsidRDefault="00D576BD" w:rsidP="005B7ADD">
            <w:pPr>
              <w:pStyle w:val="Default"/>
              <w:jc w:val="both"/>
              <w:rPr>
                <w:rFonts w:ascii="Cambria" w:hAnsi="Cambria" w:cs="Times New Roman"/>
                <w:color w:val="auto"/>
                <w:sz w:val="20"/>
                <w:szCs w:val="20"/>
              </w:rPr>
            </w:pPr>
          </w:p>
          <w:p w14:paraId="534A7140" w14:textId="77777777" w:rsidR="00D576BD" w:rsidRPr="00736165" w:rsidRDefault="00D576BD" w:rsidP="005B7ADD">
            <w:pPr>
              <w:pStyle w:val="Default"/>
              <w:jc w:val="both"/>
              <w:rPr>
                <w:rFonts w:ascii="Cambria" w:hAnsi="Cambria" w:cs="Times New Roman"/>
                <w:color w:val="auto"/>
                <w:sz w:val="20"/>
                <w:szCs w:val="20"/>
              </w:rPr>
            </w:pPr>
          </w:p>
          <w:p w14:paraId="69E78FFF" w14:textId="77777777" w:rsidR="00D576BD" w:rsidRPr="00736165" w:rsidRDefault="00D576BD" w:rsidP="005B7ADD">
            <w:pPr>
              <w:pStyle w:val="Default"/>
              <w:jc w:val="both"/>
              <w:rPr>
                <w:rFonts w:ascii="Cambria" w:hAnsi="Cambria" w:cs="Times New Roman"/>
                <w:color w:val="auto"/>
                <w:sz w:val="20"/>
                <w:szCs w:val="20"/>
              </w:rPr>
            </w:pPr>
          </w:p>
          <w:p w14:paraId="738C0B1E" w14:textId="77777777" w:rsidR="00D576BD" w:rsidRPr="00736165" w:rsidRDefault="00D576BD" w:rsidP="005B7ADD">
            <w:pPr>
              <w:pStyle w:val="Default"/>
              <w:jc w:val="both"/>
              <w:rPr>
                <w:rFonts w:ascii="Cambria" w:hAnsi="Cambria" w:cs="Times New Roman"/>
                <w:color w:val="auto"/>
                <w:sz w:val="20"/>
                <w:szCs w:val="20"/>
              </w:rPr>
            </w:pPr>
          </w:p>
          <w:p w14:paraId="5E9363CD"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Il est suggéré de supprimer « pêcheries nouvelles et exploratoires », car cela ne s'applique pas à l'ICCAT.</w:t>
            </w:r>
          </w:p>
        </w:tc>
      </w:tr>
      <w:tr w:rsidR="00D576BD" w:rsidRPr="00650C0E" w14:paraId="70DDEFBC" w14:textId="77777777" w:rsidTr="00A71D85">
        <w:trPr>
          <w:trHeight w:val="960"/>
        </w:trPr>
        <w:tc>
          <w:tcPr>
            <w:tcW w:w="250" w:type="dxa"/>
            <w:tcBorders>
              <w:top w:val="single" w:sz="6" w:space="0" w:color="000000"/>
              <w:left w:val="single" w:sz="6" w:space="0" w:color="000000"/>
              <w:bottom w:val="single" w:sz="6" w:space="0" w:color="000000"/>
              <w:right w:val="single" w:sz="6" w:space="0" w:color="000000"/>
            </w:tcBorders>
          </w:tcPr>
          <w:p w14:paraId="609691AA"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0B5F0AF1"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58336D68"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 xml:space="preserve">Gestion de la capacité. </w:t>
            </w:r>
          </w:p>
        </w:tc>
        <w:tc>
          <w:tcPr>
            <w:tcW w:w="6708" w:type="dxa"/>
            <w:tcBorders>
              <w:top w:val="single" w:sz="4" w:space="0" w:color="000000"/>
              <w:left w:val="single" w:sz="6" w:space="0" w:color="000000"/>
              <w:bottom w:val="single" w:sz="4" w:space="0" w:color="000000"/>
              <w:right w:val="single" w:sz="6" w:space="0" w:color="000000"/>
            </w:tcBorders>
          </w:tcPr>
          <w:p w14:paraId="47F90EEA"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identifié des niveaux de capacité de pêche proportionnés à la durabilité à long terme et l’utilisation optimale des pêcheries pertinentes. </w:t>
            </w:r>
          </w:p>
          <w:p w14:paraId="38BE0292"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pris des mesures visant à prévenir ou à éliminer la capacité et l’effort de pêche excédentaire. </w:t>
            </w:r>
          </w:p>
        </w:tc>
        <w:tc>
          <w:tcPr>
            <w:tcW w:w="4253" w:type="dxa"/>
            <w:tcBorders>
              <w:top w:val="single" w:sz="4" w:space="0" w:color="000000"/>
              <w:left w:val="single" w:sz="6" w:space="0" w:color="000000"/>
              <w:bottom w:val="single" w:sz="4" w:space="0" w:color="000000"/>
              <w:right w:val="single" w:sz="6" w:space="0" w:color="000000"/>
            </w:tcBorders>
          </w:tcPr>
          <w:p w14:paraId="6C757387" w14:textId="77777777" w:rsidR="00D576BD" w:rsidRPr="00736165" w:rsidRDefault="00D576BD" w:rsidP="005B7ADD">
            <w:pPr>
              <w:pStyle w:val="Default"/>
              <w:jc w:val="both"/>
              <w:rPr>
                <w:rFonts w:ascii="Cambria" w:hAnsi="Cambria" w:cs="Times New Roman"/>
                <w:color w:val="auto"/>
                <w:sz w:val="20"/>
                <w:szCs w:val="20"/>
              </w:rPr>
            </w:pPr>
          </w:p>
        </w:tc>
      </w:tr>
      <w:tr w:rsidR="00D576BD" w:rsidRPr="00650C0E" w14:paraId="319E387A" w14:textId="77777777" w:rsidTr="00A71D85">
        <w:trPr>
          <w:trHeight w:val="698"/>
        </w:trPr>
        <w:tc>
          <w:tcPr>
            <w:tcW w:w="250" w:type="dxa"/>
            <w:tcBorders>
              <w:top w:val="single" w:sz="6" w:space="0" w:color="000000"/>
              <w:left w:val="single" w:sz="6" w:space="0" w:color="000000"/>
              <w:bottom w:val="single" w:sz="6" w:space="0" w:color="000000"/>
              <w:right w:val="single" w:sz="6" w:space="0" w:color="000000"/>
            </w:tcBorders>
          </w:tcPr>
          <w:p w14:paraId="0D42FC81"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br/>
            </w:r>
          </w:p>
          <w:p w14:paraId="5DDDA86B"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B92FC9F"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70F21AE1" w14:textId="77777777" w:rsidR="00D576BD" w:rsidRPr="00736165" w:rsidRDefault="00D576BD" w:rsidP="00D576BD">
            <w:pPr>
              <w:pStyle w:val="Default"/>
              <w:jc w:val="both"/>
              <w:rPr>
                <w:rFonts w:ascii="Cambria" w:hAnsi="Cambria" w:cs="Times New Roman"/>
                <w:color w:val="auto"/>
                <w:sz w:val="20"/>
                <w:szCs w:val="20"/>
              </w:rPr>
            </w:pPr>
            <w:r w:rsidRPr="00736165">
              <w:rPr>
                <w:rFonts w:ascii="Cambria" w:hAnsi="Cambria" w:cs="Times New Roman"/>
                <w:color w:val="auto"/>
                <w:sz w:val="20"/>
                <w:szCs w:val="20"/>
              </w:rPr>
              <w:t xml:space="preserve">Compatibilité des mesures de gestion. </w:t>
            </w:r>
          </w:p>
        </w:tc>
        <w:tc>
          <w:tcPr>
            <w:tcW w:w="6708" w:type="dxa"/>
            <w:tcBorders>
              <w:top w:val="single" w:sz="4" w:space="0" w:color="000000"/>
              <w:left w:val="single" w:sz="6" w:space="0" w:color="000000"/>
              <w:bottom w:val="single" w:sz="4" w:space="0" w:color="000000"/>
              <w:right w:val="single" w:sz="6" w:space="0" w:color="000000"/>
            </w:tcBorders>
          </w:tcPr>
          <w:p w14:paraId="12FE0FA5"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les mesures ont été adoptées, en vertu de l’Article 7 de l’UNFSA. </w:t>
            </w:r>
          </w:p>
        </w:tc>
        <w:tc>
          <w:tcPr>
            <w:tcW w:w="4253" w:type="dxa"/>
            <w:tcBorders>
              <w:top w:val="single" w:sz="4" w:space="0" w:color="000000"/>
              <w:left w:val="single" w:sz="6" w:space="0" w:color="000000"/>
              <w:bottom w:val="single" w:sz="4" w:space="0" w:color="000000"/>
              <w:right w:val="single" w:sz="6" w:space="0" w:color="000000"/>
            </w:tcBorders>
          </w:tcPr>
          <w:p w14:paraId="37AAE19E" w14:textId="77777777" w:rsidR="00D576BD" w:rsidRPr="00736165" w:rsidRDefault="00D576BD" w:rsidP="005B7ADD">
            <w:pPr>
              <w:pStyle w:val="Default"/>
              <w:jc w:val="both"/>
              <w:rPr>
                <w:rFonts w:ascii="Cambria" w:hAnsi="Cambria" w:cs="Times New Roman"/>
                <w:color w:val="auto"/>
                <w:sz w:val="20"/>
                <w:szCs w:val="20"/>
              </w:rPr>
            </w:pPr>
          </w:p>
        </w:tc>
      </w:tr>
      <w:tr w:rsidR="00D576BD" w:rsidRPr="00650C0E" w14:paraId="2FB069F4" w14:textId="77777777" w:rsidTr="00A71D85">
        <w:trPr>
          <w:trHeight w:val="715"/>
        </w:trPr>
        <w:tc>
          <w:tcPr>
            <w:tcW w:w="250" w:type="dxa"/>
            <w:tcBorders>
              <w:top w:val="single" w:sz="6" w:space="0" w:color="000000"/>
              <w:left w:val="single" w:sz="6" w:space="0" w:color="000000"/>
              <w:bottom w:val="single" w:sz="6" w:space="0" w:color="000000"/>
              <w:right w:val="single" w:sz="6" w:space="0" w:color="000000"/>
            </w:tcBorders>
          </w:tcPr>
          <w:p w14:paraId="1DE95E23"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CCD38F0"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080E08F6"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 xml:space="preserve">Allocations et opportunités de pêche. </w:t>
            </w:r>
          </w:p>
        </w:tc>
        <w:tc>
          <w:tcPr>
            <w:tcW w:w="6708" w:type="dxa"/>
            <w:tcBorders>
              <w:top w:val="single" w:sz="4" w:space="0" w:color="000000"/>
              <w:left w:val="single" w:sz="6" w:space="0" w:color="000000"/>
              <w:bottom w:val="single" w:sz="4" w:space="0" w:color="000000"/>
              <w:right w:val="single" w:sz="6" w:space="0" w:color="000000"/>
            </w:tcBorders>
          </w:tcPr>
          <w:p w14:paraId="1D7A7A92"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convient de l’allocation des prises ou niveaux de l’effort de pêche admissibles, y compris en tenant compte des demandes de participation de nouveaux membres ou participants, conformément à l’Article 11 de l’UNFSA. </w:t>
            </w:r>
          </w:p>
        </w:tc>
        <w:tc>
          <w:tcPr>
            <w:tcW w:w="4253" w:type="dxa"/>
            <w:tcBorders>
              <w:top w:val="single" w:sz="4" w:space="0" w:color="000000"/>
              <w:left w:val="single" w:sz="6" w:space="0" w:color="000000"/>
              <w:bottom w:val="single" w:sz="4" w:space="0" w:color="000000"/>
              <w:right w:val="single" w:sz="6" w:space="0" w:color="000000"/>
            </w:tcBorders>
          </w:tcPr>
          <w:p w14:paraId="7EBCE52A" w14:textId="77777777" w:rsidR="00D576BD" w:rsidRPr="00736165" w:rsidRDefault="00D576BD" w:rsidP="005B7ADD">
            <w:pPr>
              <w:pStyle w:val="Default"/>
              <w:jc w:val="both"/>
              <w:rPr>
                <w:rFonts w:ascii="Cambria" w:hAnsi="Cambria" w:cs="Times New Roman"/>
                <w:color w:val="auto"/>
                <w:sz w:val="20"/>
                <w:szCs w:val="20"/>
              </w:rPr>
            </w:pPr>
          </w:p>
        </w:tc>
      </w:tr>
      <w:tr w:rsidR="00641515" w:rsidRPr="00736165" w14:paraId="2977A99F" w14:textId="77777777" w:rsidTr="00A71D85">
        <w:trPr>
          <w:trHeight w:val="715"/>
        </w:trPr>
        <w:tc>
          <w:tcPr>
            <w:tcW w:w="250" w:type="dxa"/>
            <w:tcBorders>
              <w:top w:val="single" w:sz="6" w:space="0" w:color="000000"/>
              <w:left w:val="single" w:sz="6" w:space="0" w:color="000000"/>
              <w:bottom w:val="single" w:sz="6" w:space="0" w:color="000000"/>
              <w:right w:val="single" w:sz="6" w:space="0" w:color="000000"/>
            </w:tcBorders>
          </w:tcPr>
          <w:p w14:paraId="1DDD8C7C" w14:textId="77777777" w:rsidR="00641515" w:rsidRPr="00736165" w:rsidRDefault="00641515"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57633887" w14:textId="77777777" w:rsidR="00641515" w:rsidRPr="00736165" w:rsidRDefault="00641515"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147C77D3" w14:textId="77777777" w:rsidR="00641515" w:rsidRPr="00736165" w:rsidRDefault="00BB47B6"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Exigence de déclaration</w:t>
            </w:r>
          </w:p>
        </w:tc>
        <w:tc>
          <w:tcPr>
            <w:tcW w:w="6708" w:type="dxa"/>
            <w:tcBorders>
              <w:top w:val="single" w:sz="4" w:space="0" w:color="000000"/>
              <w:left w:val="single" w:sz="6" w:space="0" w:color="000000"/>
              <w:bottom w:val="single" w:sz="4" w:space="0" w:color="000000"/>
              <w:right w:val="single" w:sz="6" w:space="0" w:color="000000"/>
            </w:tcBorders>
          </w:tcPr>
          <w:p w14:paraId="060D98E5" w14:textId="77777777" w:rsidR="00641515" w:rsidRPr="00736165" w:rsidRDefault="00641515"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Analyse des exigences en matière de déclaration de l’ICCAT en vue d’améliorer l’efficacité, d’éviter des redondances et de réduire les charges inutiles imposées aux CPC.</w:t>
            </w:r>
          </w:p>
        </w:tc>
        <w:tc>
          <w:tcPr>
            <w:tcW w:w="4253" w:type="dxa"/>
            <w:tcBorders>
              <w:top w:val="single" w:sz="4" w:space="0" w:color="000000"/>
              <w:left w:val="single" w:sz="6" w:space="0" w:color="000000"/>
              <w:bottom w:val="single" w:sz="4" w:space="0" w:color="000000"/>
              <w:right w:val="single" w:sz="6" w:space="0" w:color="000000"/>
            </w:tcBorders>
          </w:tcPr>
          <w:p w14:paraId="52AF485B" w14:textId="77777777" w:rsidR="00641515" w:rsidRPr="00736165" w:rsidRDefault="00BB47B6"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D576BD" w:rsidRPr="00650C0E" w14:paraId="223E1657" w14:textId="77777777" w:rsidTr="00A71D85">
        <w:trPr>
          <w:trHeight w:val="367"/>
        </w:trPr>
        <w:tc>
          <w:tcPr>
            <w:tcW w:w="250" w:type="dxa"/>
            <w:tcBorders>
              <w:top w:val="single" w:sz="6" w:space="0" w:color="000000"/>
              <w:left w:val="single" w:sz="6" w:space="0" w:color="000000"/>
              <w:bottom w:val="single" w:sz="6" w:space="0" w:color="000000"/>
              <w:right w:val="single" w:sz="6" w:space="0" w:color="000000"/>
            </w:tcBorders>
          </w:tcPr>
          <w:p w14:paraId="6EB2F514" w14:textId="77777777" w:rsidR="00D576BD" w:rsidRPr="00736165" w:rsidRDefault="00905E72" w:rsidP="005B7ADD">
            <w:pPr>
              <w:pStyle w:val="Default"/>
              <w:jc w:val="center"/>
              <w:rPr>
                <w:rFonts w:ascii="Cambria" w:hAnsi="Cambria" w:cs="Times New Roman"/>
                <w:color w:val="auto"/>
                <w:sz w:val="20"/>
                <w:szCs w:val="20"/>
              </w:rPr>
            </w:pPr>
            <w:r w:rsidRPr="00736165">
              <w:rPr>
                <w:rFonts w:ascii="Cambria" w:hAnsi="Cambria" w:cs="Times New Roman"/>
                <w:b/>
                <w:sz w:val="20"/>
                <w:szCs w:val="20"/>
              </w:rPr>
              <w:t>3</w:t>
            </w:r>
          </w:p>
        </w:tc>
        <w:tc>
          <w:tcPr>
            <w:tcW w:w="1561" w:type="dxa"/>
            <w:tcBorders>
              <w:top w:val="single" w:sz="6" w:space="0" w:color="000000"/>
              <w:left w:val="single" w:sz="6" w:space="0" w:color="000000"/>
              <w:bottom w:val="single" w:sz="6" w:space="0" w:color="000000"/>
              <w:right w:val="single" w:sz="6" w:space="0" w:color="000000"/>
            </w:tcBorders>
          </w:tcPr>
          <w:p w14:paraId="6270E292" w14:textId="77777777" w:rsidR="00D576BD" w:rsidRPr="00736165" w:rsidRDefault="00D576BD" w:rsidP="005B7ADD">
            <w:pPr>
              <w:pStyle w:val="Default"/>
              <w:rPr>
                <w:rFonts w:ascii="Cambria" w:hAnsi="Cambria" w:cs="Times New Roman"/>
                <w:i/>
                <w:iCs/>
                <w:color w:val="auto"/>
                <w:sz w:val="20"/>
                <w:szCs w:val="20"/>
              </w:rPr>
            </w:pPr>
            <w:r w:rsidRPr="00736165">
              <w:rPr>
                <w:rFonts w:ascii="Cambria" w:hAnsi="Cambria" w:cs="Times New Roman"/>
                <w:i/>
                <w:color w:val="auto"/>
                <w:sz w:val="20"/>
                <w:szCs w:val="20"/>
              </w:rPr>
              <w:t>Suivi, contrôle, surveillance (MCS).</w:t>
            </w:r>
          </w:p>
        </w:tc>
        <w:tc>
          <w:tcPr>
            <w:tcW w:w="1795" w:type="dxa"/>
            <w:tcBorders>
              <w:top w:val="single" w:sz="6" w:space="0" w:color="000000"/>
              <w:left w:val="single" w:sz="6" w:space="0" w:color="000000"/>
              <w:bottom w:val="single" w:sz="6" w:space="0" w:color="000000"/>
              <w:right w:val="single" w:sz="6" w:space="0" w:color="000000"/>
            </w:tcBorders>
          </w:tcPr>
          <w:p w14:paraId="1FB0E0DE"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 xml:space="preserve">Mesures du ressort de l'État du port </w:t>
            </w:r>
          </w:p>
        </w:tc>
        <w:tc>
          <w:tcPr>
            <w:tcW w:w="6708" w:type="dxa"/>
            <w:tcBorders>
              <w:top w:val="single" w:sz="4" w:space="0" w:color="000000"/>
              <w:left w:val="single" w:sz="6" w:space="0" w:color="000000"/>
              <w:bottom w:val="single" w:sz="4" w:space="0" w:color="000000"/>
              <w:right w:val="single" w:sz="6" w:space="0" w:color="000000"/>
            </w:tcBorders>
          </w:tcPr>
          <w:p w14:paraId="5FAF78B7"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adopté des mesures relatives à l’exercice des droits et des devoirs de ses membres en tant qu’États du port, tel que cela est reflété dans l’Article 23 de l’UNFSA et dans l’Article 8.3 du Code de Conduite pour une Pêche Responsable.</w:t>
            </w:r>
          </w:p>
          <w:p w14:paraId="69B6FD0A"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adopté des mesures du ressort de l'État du port conformément à l'Accord de la FAO relatif aux mesures du ressort de l'État du port visant à prévenir, contrecarrer et éliminer la pêche illicite, non déclarée et non réglementée.</w:t>
            </w:r>
          </w:p>
          <w:p w14:paraId="2C164C70"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ces mesures sont efficacement mises en œuvre. </w:t>
            </w:r>
          </w:p>
        </w:tc>
        <w:tc>
          <w:tcPr>
            <w:tcW w:w="4253" w:type="dxa"/>
            <w:tcBorders>
              <w:top w:val="single" w:sz="4" w:space="0" w:color="000000"/>
              <w:left w:val="single" w:sz="6" w:space="0" w:color="000000"/>
              <w:bottom w:val="single" w:sz="4" w:space="0" w:color="000000"/>
              <w:right w:val="single" w:sz="6" w:space="0" w:color="000000"/>
            </w:tcBorders>
          </w:tcPr>
          <w:p w14:paraId="6E7F3C6D"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domaine (MCS) - figurant auparavant dans « application et exécution »</w:t>
            </w:r>
          </w:p>
        </w:tc>
      </w:tr>
      <w:tr w:rsidR="00D576BD" w:rsidRPr="00650C0E" w14:paraId="6BC87967" w14:textId="77777777" w:rsidTr="00A71D85">
        <w:trPr>
          <w:trHeight w:val="958"/>
        </w:trPr>
        <w:tc>
          <w:tcPr>
            <w:tcW w:w="250" w:type="dxa"/>
            <w:tcBorders>
              <w:top w:val="single" w:sz="6" w:space="0" w:color="000000"/>
              <w:left w:val="single" w:sz="6" w:space="0" w:color="000000"/>
              <w:bottom w:val="single" w:sz="6" w:space="0" w:color="000000"/>
              <w:right w:val="single" w:sz="6" w:space="0" w:color="000000"/>
            </w:tcBorders>
          </w:tcPr>
          <w:p w14:paraId="42EBBB15"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6874E64C"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67B3F15C"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Mesures intégrées de MCS </w:t>
            </w:r>
          </w:p>
        </w:tc>
        <w:tc>
          <w:tcPr>
            <w:tcW w:w="6708" w:type="dxa"/>
            <w:tcBorders>
              <w:top w:val="single" w:sz="4" w:space="0" w:color="000000"/>
              <w:left w:val="single" w:sz="6" w:space="0" w:color="000000"/>
              <w:bottom w:val="single" w:sz="4" w:space="0" w:color="000000"/>
              <w:right w:val="single" w:sz="6" w:space="0" w:color="000000"/>
            </w:tcBorders>
          </w:tcPr>
          <w:p w14:paraId="7D3F4B02"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adopté des mesures intégrées de MCS (p. ex. utilisation obligatoire de VMS, observateurs, programmes de documentation des captures et de suivi commercial, restrictions des transbordements, programmes pour l’arraisonnement et l’inspection).</w:t>
            </w:r>
          </w:p>
          <w:p w14:paraId="002D7DD9"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ces mesures sont efficacement mises en œuvre. </w:t>
            </w:r>
          </w:p>
        </w:tc>
        <w:tc>
          <w:tcPr>
            <w:tcW w:w="4253" w:type="dxa"/>
            <w:tcBorders>
              <w:top w:val="single" w:sz="4" w:space="0" w:color="000000"/>
              <w:left w:val="single" w:sz="6" w:space="0" w:color="000000"/>
              <w:bottom w:val="single" w:sz="4" w:space="0" w:color="000000"/>
              <w:right w:val="single" w:sz="6" w:space="0" w:color="000000"/>
            </w:tcBorders>
          </w:tcPr>
          <w:p w14:paraId="6C419385" w14:textId="77777777" w:rsidR="00D576BD" w:rsidRPr="00736165" w:rsidRDefault="00D576BD" w:rsidP="005B7ADD">
            <w:pPr>
              <w:pStyle w:val="Default"/>
              <w:rPr>
                <w:rFonts w:ascii="Cambria" w:hAnsi="Cambria" w:cs="Times New Roman"/>
                <w:i/>
                <w:color w:val="auto"/>
                <w:sz w:val="20"/>
                <w:szCs w:val="20"/>
              </w:rPr>
            </w:pPr>
            <w:r w:rsidRPr="00736165">
              <w:rPr>
                <w:rFonts w:ascii="Cambria" w:hAnsi="Cambria" w:cs="Times New Roman"/>
                <w:color w:val="auto"/>
                <w:sz w:val="20"/>
                <w:szCs w:val="20"/>
              </w:rPr>
              <w:t xml:space="preserve">Nouveau titre (ancien titre : </w:t>
            </w:r>
            <w:r w:rsidRPr="00736165">
              <w:rPr>
                <w:rFonts w:ascii="Cambria" w:hAnsi="Cambria" w:cs="Times New Roman"/>
                <w:i/>
                <w:color w:val="auto"/>
                <w:sz w:val="20"/>
                <w:szCs w:val="20"/>
              </w:rPr>
              <w:t>Suivi, contrôle, surveillance (MCS)</w:t>
            </w:r>
            <w:r w:rsidRPr="00736165">
              <w:rPr>
                <w:rFonts w:ascii="Cambria" w:hAnsi="Cambria" w:cs="Times New Roman"/>
                <w:color w:val="auto"/>
                <w:sz w:val="20"/>
                <w:szCs w:val="20"/>
              </w:rPr>
              <w:t>)</w:t>
            </w:r>
            <w:r w:rsidRPr="00736165">
              <w:rPr>
                <w:rFonts w:ascii="Cambria" w:hAnsi="Cambria" w:cs="Times New Roman"/>
                <w:i/>
                <w:color w:val="auto"/>
                <w:sz w:val="20"/>
                <w:szCs w:val="20"/>
              </w:rPr>
              <w:t>.</w:t>
            </w:r>
          </w:p>
          <w:p w14:paraId="2AC53D2C" w14:textId="77777777" w:rsidR="00D576BD" w:rsidRPr="00736165" w:rsidRDefault="00D576BD" w:rsidP="005B7ADD">
            <w:pPr>
              <w:pStyle w:val="Default"/>
              <w:rPr>
                <w:rFonts w:ascii="Cambria" w:hAnsi="Cambria" w:cs="Times New Roman"/>
                <w:color w:val="auto"/>
                <w:sz w:val="20"/>
                <w:szCs w:val="20"/>
              </w:rPr>
            </w:pPr>
          </w:p>
        </w:tc>
      </w:tr>
      <w:tr w:rsidR="00D576BD" w:rsidRPr="00650C0E" w14:paraId="3C20065D" w14:textId="77777777" w:rsidTr="00A71D85">
        <w:trPr>
          <w:trHeight w:val="1064"/>
        </w:trPr>
        <w:tc>
          <w:tcPr>
            <w:tcW w:w="250" w:type="dxa"/>
            <w:tcBorders>
              <w:top w:val="single" w:sz="6" w:space="0" w:color="000000"/>
              <w:left w:val="single" w:sz="6" w:space="0" w:color="000000"/>
              <w:bottom w:val="single" w:sz="6" w:space="0" w:color="000000"/>
              <w:right w:val="single" w:sz="6" w:space="0" w:color="000000"/>
            </w:tcBorders>
          </w:tcPr>
          <w:p w14:paraId="04E65C02" w14:textId="77777777" w:rsidR="00D576BD" w:rsidRPr="00736165" w:rsidRDefault="00905E72" w:rsidP="005B7ADD">
            <w:pPr>
              <w:pStyle w:val="Default"/>
              <w:jc w:val="center"/>
              <w:rPr>
                <w:rFonts w:ascii="Cambria" w:hAnsi="Cambria" w:cs="Times New Roman"/>
                <w:color w:val="auto"/>
                <w:sz w:val="20"/>
                <w:szCs w:val="20"/>
              </w:rPr>
            </w:pPr>
            <w:r w:rsidRPr="00736165">
              <w:rPr>
                <w:rFonts w:ascii="Cambria" w:hAnsi="Cambria" w:cs="Times New Roman"/>
                <w:b/>
                <w:color w:val="auto"/>
                <w:sz w:val="20"/>
                <w:szCs w:val="20"/>
              </w:rPr>
              <w:t>4</w:t>
            </w:r>
            <w:r w:rsidR="00D576BD" w:rsidRPr="00736165">
              <w:rPr>
                <w:rFonts w:ascii="Cambria" w:hAnsi="Cambria" w:cs="Times New Roman"/>
                <w:b/>
                <w:color w:val="auto"/>
                <w:sz w:val="20"/>
                <w:szCs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1464684F"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i/>
                <w:color w:val="auto"/>
                <w:sz w:val="20"/>
                <w:szCs w:val="20"/>
              </w:rPr>
              <w:t xml:space="preserve">Application et exécution </w:t>
            </w:r>
          </w:p>
        </w:tc>
        <w:tc>
          <w:tcPr>
            <w:tcW w:w="1795" w:type="dxa"/>
            <w:tcBorders>
              <w:top w:val="single" w:sz="6" w:space="0" w:color="000000"/>
              <w:left w:val="single" w:sz="6" w:space="0" w:color="000000"/>
              <w:bottom w:val="single" w:sz="6" w:space="0" w:color="000000"/>
              <w:right w:val="single" w:sz="6" w:space="0" w:color="000000"/>
            </w:tcBorders>
          </w:tcPr>
          <w:p w14:paraId="6B025F49"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Obligations des États de pavillon</w:t>
            </w:r>
          </w:p>
        </w:tc>
        <w:tc>
          <w:tcPr>
            <w:tcW w:w="6708" w:type="dxa"/>
            <w:tcBorders>
              <w:top w:val="single" w:sz="4" w:space="0" w:color="000000"/>
              <w:left w:val="single" w:sz="6" w:space="0" w:color="000000"/>
              <w:bottom w:val="single" w:sz="4" w:space="0" w:color="000000"/>
              <w:right w:val="single" w:sz="6" w:space="0" w:color="000000"/>
            </w:tcBorders>
          </w:tcPr>
          <w:p w14:paraId="550E6363" w14:textId="77777777" w:rsidR="00A71D85" w:rsidRPr="00736165" w:rsidRDefault="00D576BD" w:rsidP="002126AE">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les membres de l'ICCAT honorent leurs obligations en tant qu’États de pavillon en vertu du traité constituant de l’ORGP, des mesures adoptées par l’ORGP et d’autres instruments internationaux, y compris, entre autres, la Convention sur le Droit de la Mer de 1982 et l’Accord d’application de</w:t>
            </w:r>
            <w:r w:rsidR="002126AE" w:rsidRPr="00736165">
              <w:rPr>
                <w:rFonts w:ascii="Cambria" w:hAnsi="Cambria" w:cs="Times New Roman"/>
                <w:color w:val="auto"/>
                <w:sz w:val="20"/>
                <w:szCs w:val="20"/>
              </w:rPr>
              <w:t xml:space="preserve"> la FAO de 1993, s’il y a lieu.</w:t>
            </w:r>
          </w:p>
        </w:tc>
        <w:tc>
          <w:tcPr>
            <w:tcW w:w="4253" w:type="dxa"/>
            <w:tcBorders>
              <w:top w:val="single" w:sz="4" w:space="0" w:color="000000"/>
              <w:left w:val="single" w:sz="6" w:space="0" w:color="000000"/>
              <w:bottom w:val="single" w:sz="4" w:space="0" w:color="000000"/>
              <w:right w:val="single" w:sz="6" w:space="0" w:color="000000"/>
            </w:tcBorders>
          </w:tcPr>
          <w:p w14:paraId="2407AE26" w14:textId="77777777" w:rsidR="00D576BD" w:rsidRPr="00736165" w:rsidRDefault="00D576BD" w:rsidP="005B7ADD">
            <w:pPr>
              <w:pStyle w:val="Default"/>
              <w:jc w:val="both"/>
              <w:rPr>
                <w:rFonts w:ascii="Cambria" w:hAnsi="Cambria" w:cs="Times New Roman"/>
                <w:color w:val="auto"/>
                <w:sz w:val="20"/>
                <w:szCs w:val="20"/>
              </w:rPr>
            </w:pPr>
          </w:p>
          <w:p w14:paraId="55B0B1D5" w14:textId="77777777" w:rsidR="00A71D85" w:rsidRPr="00736165" w:rsidRDefault="00A71D85" w:rsidP="005B7ADD">
            <w:pPr>
              <w:pStyle w:val="Default"/>
              <w:jc w:val="both"/>
              <w:rPr>
                <w:rFonts w:ascii="Cambria" w:hAnsi="Cambria" w:cs="Times New Roman"/>
                <w:color w:val="auto"/>
                <w:sz w:val="20"/>
                <w:szCs w:val="20"/>
              </w:rPr>
            </w:pPr>
          </w:p>
          <w:p w14:paraId="76A323E6" w14:textId="77777777" w:rsidR="00A71D85" w:rsidRPr="00736165" w:rsidRDefault="00A71D85" w:rsidP="005B7ADD">
            <w:pPr>
              <w:pStyle w:val="Default"/>
              <w:jc w:val="both"/>
              <w:rPr>
                <w:rFonts w:ascii="Cambria" w:hAnsi="Cambria" w:cs="Times New Roman"/>
                <w:color w:val="auto"/>
                <w:sz w:val="20"/>
                <w:szCs w:val="20"/>
              </w:rPr>
            </w:pPr>
          </w:p>
          <w:p w14:paraId="6BA5217E" w14:textId="77777777" w:rsidR="00A71D85" w:rsidRPr="00736165" w:rsidRDefault="00A71D85" w:rsidP="005B7ADD">
            <w:pPr>
              <w:pStyle w:val="Default"/>
              <w:jc w:val="both"/>
              <w:rPr>
                <w:rFonts w:ascii="Cambria" w:hAnsi="Cambria" w:cs="Times New Roman"/>
                <w:color w:val="auto"/>
                <w:sz w:val="20"/>
                <w:szCs w:val="20"/>
              </w:rPr>
            </w:pPr>
          </w:p>
          <w:p w14:paraId="3902D131" w14:textId="77777777" w:rsidR="00A71D85" w:rsidRPr="00736165" w:rsidRDefault="00A71D85" w:rsidP="005B7ADD">
            <w:pPr>
              <w:pStyle w:val="Default"/>
              <w:jc w:val="both"/>
              <w:rPr>
                <w:rFonts w:ascii="Cambria" w:hAnsi="Cambria" w:cs="Times New Roman"/>
                <w:color w:val="auto"/>
                <w:sz w:val="20"/>
                <w:szCs w:val="20"/>
              </w:rPr>
            </w:pPr>
          </w:p>
        </w:tc>
      </w:tr>
      <w:tr w:rsidR="00D576BD" w:rsidRPr="00650C0E" w14:paraId="483071D9" w14:textId="77777777" w:rsidTr="00A71D85">
        <w:trPr>
          <w:trHeight w:val="958"/>
        </w:trPr>
        <w:tc>
          <w:tcPr>
            <w:tcW w:w="250" w:type="dxa"/>
            <w:tcBorders>
              <w:top w:val="single" w:sz="6" w:space="0" w:color="000000"/>
              <w:left w:val="single" w:sz="6" w:space="0" w:color="000000"/>
              <w:bottom w:val="single" w:sz="6" w:space="0" w:color="000000"/>
              <w:right w:val="single" w:sz="6" w:space="0" w:color="000000"/>
            </w:tcBorders>
          </w:tcPr>
          <w:p w14:paraId="33A0F527"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40E9AB11"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5F54731B"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Mécanismes coopératifs visant à détecter et empêcher la non-application. </w:t>
            </w:r>
          </w:p>
        </w:tc>
        <w:tc>
          <w:tcPr>
            <w:tcW w:w="6708" w:type="dxa"/>
            <w:tcBorders>
              <w:top w:val="single" w:sz="4" w:space="0" w:color="000000"/>
              <w:left w:val="single" w:sz="6" w:space="0" w:color="000000"/>
              <w:bottom w:val="single" w:sz="4" w:space="0" w:color="000000"/>
              <w:right w:val="single" w:sz="6" w:space="0" w:color="000000"/>
            </w:tcBorders>
          </w:tcPr>
          <w:p w14:paraId="45D0BB09"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 établi des mécanismes adéquats de coopération afin de procéder au suivi de l’application ainsi que de détecter et d’empêcher la non-application (p. ex. Comités d’application, listes de navires, partage de l’information sur la non-application).</w:t>
            </w:r>
          </w:p>
          <w:p w14:paraId="73A41525"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ces mécanismes sont efficacement utilisés. </w:t>
            </w:r>
          </w:p>
        </w:tc>
        <w:tc>
          <w:tcPr>
            <w:tcW w:w="4253" w:type="dxa"/>
            <w:tcBorders>
              <w:top w:val="single" w:sz="4" w:space="0" w:color="000000"/>
              <w:left w:val="single" w:sz="6" w:space="0" w:color="000000"/>
              <w:bottom w:val="single" w:sz="4" w:space="0" w:color="000000"/>
              <w:right w:val="single" w:sz="6" w:space="0" w:color="000000"/>
            </w:tcBorders>
          </w:tcPr>
          <w:p w14:paraId="78CC1437" w14:textId="77777777" w:rsidR="00D576BD" w:rsidRPr="00736165" w:rsidRDefault="00D576BD" w:rsidP="005B7ADD">
            <w:pPr>
              <w:pStyle w:val="Default"/>
              <w:rPr>
                <w:rFonts w:ascii="Cambria" w:hAnsi="Cambria" w:cs="Times New Roman"/>
                <w:color w:val="auto"/>
                <w:sz w:val="20"/>
                <w:szCs w:val="20"/>
              </w:rPr>
            </w:pPr>
          </w:p>
        </w:tc>
      </w:tr>
      <w:tr w:rsidR="00D576BD" w:rsidRPr="00736165" w14:paraId="44F5D6C4" w14:textId="77777777" w:rsidTr="00A71D85">
        <w:trPr>
          <w:trHeight w:val="485"/>
        </w:trPr>
        <w:tc>
          <w:tcPr>
            <w:tcW w:w="250" w:type="dxa"/>
            <w:tcBorders>
              <w:top w:val="single" w:sz="6" w:space="0" w:color="000000"/>
              <w:left w:val="single" w:sz="6" w:space="0" w:color="000000"/>
              <w:bottom w:val="single" w:sz="6" w:space="0" w:color="000000"/>
              <w:right w:val="single" w:sz="6" w:space="0" w:color="000000"/>
            </w:tcBorders>
          </w:tcPr>
          <w:p w14:paraId="058C7305"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78252A7B"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4DB9C35"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Suite donnée aux infractions. </w:t>
            </w:r>
          </w:p>
        </w:tc>
        <w:tc>
          <w:tcPr>
            <w:tcW w:w="6708" w:type="dxa"/>
            <w:tcBorders>
              <w:top w:val="single" w:sz="4" w:space="0" w:color="000000"/>
              <w:left w:val="single" w:sz="6" w:space="0" w:color="000000"/>
              <w:bottom w:val="single" w:sz="4" w:space="0" w:color="000000"/>
              <w:right w:val="single" w:sz="6" w:space="0" w:color="000000"/>
            </w:tcBorders>
          </w:tcPr>
          <w:p w14:paraId="380469E8"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ses membres et ses non-membres coopérants donnent suite aux infractions aux mesures de gestion. </w:t>
            </w:r>
          </w:p>
          <w:p w14:paraId="1C5FBC28"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et ses membres mettent efficacement en œuvre les Recommandations 11-15, 06-13, 96-14, 97-01, 00-14 et 11-11.</w:t>
            </w:r>
          </w:p>
        </w:tc>
        <w:tc>
          <w:tcPr>
            <w:tcW w:w="4253" w:type="dxa"/>
            <w:tcBorders>
              <w:top w:val="single" w:sz="4" w:space="0" w:color="000000"/>
              <w:left w:val="single" w:sz="6" w:space="0" w:color="000000"/>
              <w:bottom w:val="single" w:sz="4" w:space="0" w:color="000000"/>
              <w:right w:val="single" w:sz="6" w:space="0" w:color="000000"/>
            </w:tcBorders>
          </w:tcPr>
          <w:p w14:paraId="1FC1F9F7" w14:textId="77777777" w:rsidR="00D576BD" w:rsidRPr="00736165" w:rsidRDefault="00D576BD" w:rsidP="005B7ADD">
            <w:pPr>
              <w:pStyle w:val="Default"/>
              <w:jc w:val="both"/>
              <w:rPr>
                <w:rFonts w:ascii="Cambria" w:hAnsi="Cambria" w:cs="Times New Roman"/>
                <w:color w:val="auto"/>
                <w:sz w:val="20"/>
                <w:szCs w:val="20"/>
              </w:rPr>
            </w:pPr>
          </w:p>
          <w:p w14:paraId="6F9F2B61" w14:textId="77777777" w:rsidR="00D576BD" w:rsidRPr="00736165" w:rsidRDefault="00D576BD" w:rsidP="005B7ADD">
            <w:pPr>
              <w:pStyle w:val="Default"/>
              <w:jc w:val="both"/>
              <w:rPr>
                <w:rFonts w:ascii="Cambria" w:hAnsi="Cambria" w:cs="Times New Roman"/>
                <w:color w:val="auto"/>
                <w:sz w:val="20"/>
                <w:szCs w:val="20"/>
              </w:rPr>
            </w:pPr>
          </w:p>
          <w:p w14:paraId="48502059" w14:textId="77777777" w:rsidR="00D576BD" w:rsidRPr="00736165" w:rsidRDefault="00D576BD" w:rsidP="005B7ADD">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D576BD" w:rsidRPr="00650C0E" w14:paraId="4EE32D6B" w14:textId="77777777" w:rsidTr="00A71D85">
        <w:trPr>
          <w:trHeight w:val="730"/>
        </w:trPr>
        <w:tc>
          <w:tcPr>
            <w:tcW w:w="250" w:type="dxa"/>
            <w:tcBorders>
              <w:top w:val="single" w:sz="6" w:space="0" w:color="000000"/>
              <w:left w:val="single" w:sz="6" w:space="0" w:color="000000"/>
              <w:bottom w:val="single" w:sz="6" w:space="0" w:color="000000"/>
              <w:right w:val="single" w:sz="6" w:space="0" w:color="000000"/>
            </w:tcBorders>
          </w:tcPr>
          <w:p w14:paraId="263CEE47" w14:textId="77777777" w:rsidR="00D576BD" w:rsidRPr="00736165" w:rsidRDefault="00D576BD" w:rsidP="005B7ADD">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0A8DE1CD" w14:textId="77777777" w:rsidR="00D576BD" w:rsidRPr="00736165" w:rsidRDefault="00D576BD" w:rsidP="005B7ADD">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001C3E4F" w14:textId="77777777" w:rsidR="00D576BD" w:rsidRPr="00736165" w:rsidRDefault="00D576BD" w:rsidP="005B7ADD">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Mesures commerciales </w:t>
            </w:r>
          </w:p>
        </w:tc>
        <w:tc>
          <w:tcPr>
            <w:tcW w:w="6708" w:type="dxa"/>
            <w:tcBorders>
              <w:top w:val="single" w:sz="4" w:space="0" w:color="000000"/>
              <w:left w:val="single" w:sz="6" w:space="0" w:color="000000"/>
              <w:bottom w:val="single" w:sz="4" w:space="0" w:color="000000"/>
              <w:right w:val="single" w:sz="6" w:space="0" w:color="000000"/>
            </w:tcBorders>
          </w:tcPr>
          <w:p w14:paraId="568EFF17"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adopté des mesures relatives à l’exercice des droits et des devoirs de ses membres en tant qu’États de marché. </w:t>
            </w:r>
          </w:p>
          <w:p w14:paraId="46DCFD82" w14:textId="77777777" w:rsidR="00D576BD" w:rsidRPr="00736165" w:rsidRDefault="00D576BD" w:rsidP="00D576BD">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ces mesures commerciales sont efficacement mises en œuvre. </w:t>
            </w:r>
          </w:p>
        </w:tc>
        <w:tc>
          <w:tcPr>
            <w:tcW w:w="4253" w:type="dxa"/>
            <w:tcBorders>
              <w:top w:val="single" w:sz="4" w:space="0" w:color="000000"/>
              <w:left w:val="single" w:sz="6" w:space="0" w:color="000000"/>
              <w:bottom w:val="single" w:sz="4" w:space="0" w:color="000000"/>
              <w:right w:val="single" w:sz="6" w:space="0" w:color="000000"/>
            </w:tcBorders>
          </w:tcPr>
          <w:p w14:paraId="26F63886" w14:textId="77777777" w:rsidR="00D576BD" w:rsidRPr="00736165" w:rsidRDefault="00D576BD" w:rsidP="005B7ADD">
            <w:pPr>
              <w:pStyle w:val="Default"/>
              <w:rPr>
                <w:rFonts w:ascii="Cambria" w:hAnsi="Cambria" w:cs="Times New Roman"/>
                <w:color w:val="auto"/>
                <w:sz w:val="20"/>
                <w:szCs w:val="20"/>
              </w:rPr>
            </w:pPr>
          </w:p>
        </w:tc>
      </w:tr>
      <w:tr w:rsidR="00BB47B6" w:rsidRPr="00736165" w14:paraId="0D2471A9" w14:textId="77777777" w:rsidTr="00A71D85">
        <w:trPr>
          <w:trHeight w:val="730"/>
        </w:trPr>
        <w:tc>
          <w:tcPr>
            <w:tcW w:w="250" w:type="dxa"/>
            <w:tcBorders>
              <w:top w:val="single" w:sz="6" w:space="0" w:color="000000"/>
              <w:left w:val="single" w:sz="6" w:space="0" w:color="000000"/>
              <w:bottom w:val="single" w:sz="6" w:space="0" w:color="000000"/>
              <w:right w:val="single" w:sz="6" w:space="0" w:color="000000"/>
            </w:tcBorders>
          </w:tcPr>
          <w:p w14:paraId="7C52394F"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796D8AED"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7A77906B"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Exigence de déclaration</w:t>
            </w:r>
          </w:p>
        </w:tc>
        <w:tc>
          <w:tcPr>
            <w:tcW w:w="6708" w:type="dxa"/>
            <w:tcBorders>
              <w:top w:val="single" w:sz="4" w:space="0" w:color="000000"/>
              <w:left w:val="single" w:sz="6" w:space="0" w:color="000000"/>
              <w:bottom w:val="single" w:sz="4" w:space="0" w:color="000000"/>
              <w:right w:val="single" w:sz="6" w:space="0" w:color="000000"/>
            </w:tcBorders>
          </w:tcPr>
          <w:p w14:paraId="57EC4F7B"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Analyse des exigences en matière de déclaration de l’ICCAT en vue d’améliorer l’efficacité, d’éviter des redondances et de réduire les charges inutiles imposées aux CPC.</w:t>
            </w:r>
          </w:p>
        </w:tc>
        <w:tc>
          <w:tcPr>
            <w:tcW w:w="4253" w:type="dxa"/>
            <w:tcBorders>
              <w:top w:val="single" w:sz="4" w:space="0" w:color="000000"/>
              <w:left w:val="single" w:sz="6" w:space="0" w:color="000000"/>
              <w:bottom w:val="single" w:sz="4" w:space="0" w:color="000000"/>
              <w:right w:val="single" w:sz="6" w:space="0" w:color="000000"/>
            </w:tcBorders>
          </w:tcPr>
          <w:p w14:paraId="1FB21035"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BB47B6" w:rsidRPr="00736165" w14:paraId="35DE9236" w14:textId="77777777" w:rsidTr="00A71D85">
        <w:trPr>
          <w:trHeight w:val="713"/>
        </w:trPr>
        <w:tc>
          <w:tcPr>
            <w:tcW w:w="250" w:type="dxa"/>
            <w:tcBorders>
              <w:top w:val="single" w:sz="6" w:space="0" w:color="000000"/>
              <w:left w:val="single" w:sz="6" w:space="0" w:color="000000"/>
              <w:bottom w:val="single" w:sz="6" w:space="0" w:color="000000"/>
              <w:right w:val="single" w:sz="6" w:space="0" w:color="000000"/>
            </w:tcBorders>
          </w:tcPr>
          <w:p w14:paraId="4A2920E8" w14:textId="77777777" w:rsidR="00BB47B6" w:rsidRPr="00736165" w:rsidRDefault="00BB47B6" w:rsidP="00BB47B6">
            <w:pPr>
              <w:pStyle w:val="Default"/>
              <w:jc w:val="center"/>
              <w:rPr>
                <w:rFonts w:ascii="Cambria" w:hAnsi="Cambria" w:cs="Times New Roman"/>
                <w:strike/>
                <w:color w:val="auto"/>
                <w:sz w:val="20"/>
                <w:szCs w:val="20"/>
              </w:rPr>
            </w:pPr>
            <w:r w:rsidRPr="00736165">
              <w:rPr>
                <w:rFonts w:ascii="Cambria" w:hAnsi="Cambria" w:cs="Times New Roman"/>
                <w:b/>
                <w:sz w:val="20"/>
                <w:szCs w:val="20"/>
              </w:rPr>
              <w:t>5</w:t>
            </w:r>
          </w:p>
        </w:tc>
        <w:tc>
          <w:tcPr>
            <w:tcW w:w="1561" w:type="dxa"/>
            <w:tcBorders>
              <w:top w:val="single" w:sz="6" w:space="0" w:color="000000"/>
              <w:left w:val="single" w:sz="6" w:space="0" w:color="000000"/>
              <w:bottom w:val="single" w:sz="6" w:space="0" w:color="000000"/>
              <w:right w:val="single" w:sz="6" w:space="0" w:color="000000"/>
            </w:tcBorders>
          </w:tcPr>
          <w:p w14:paraId="26E04D2F"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i/>
                <w:color w:val="auto"/>
                <w:sz w:val="20"/>
                <w:szCs w:val="20"/>
              </w:rPr>
              <w:t>Gouvernance</w:t>
            </w:r>
          </w:p>
        </w:tc>
        <w:tc>
          <w:tcPr>
            <w:tcW w:w="1795" w:type="dxa"/>
            <w:tcBorders>
              <w:top w:val="single" w:sz="6" w:space="0" w:color="000000"/>
              <w:left w:val="single" w:sz="6" w:space="0" w:color="000000"/>
              <w:bottom w:val="single" w:sz="6" w:space="0" w:color="000000"/>
              <w:right w:val="single" w:sz="6" w:space="0" w:color="000000"/>
            </w:tcBorders>
          </w:tcPr>
          <w:p w14:paraId="05FDC2F1"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Prise de décisions </w:t>
            </w:r>
          </w:p>
        </w:tc>
        <w:tc>
          <w:tcPr>
            <w:tcW w:w="6708" w:type="dxa"/>
            <w:tcBorders>
              <w:top w:val="single" w:sz="4" w:space="0" w:color="000000"/>
              <w:left w:val="single" w:sz="6" w:space="0" w:color="000000"/>
              <w:bottom w:val="single" w:sz="4" w:space="0" w:color="000000"/>
              <w:right w:val="single" w:sz="6" w:space="0" w:color="000000"/>
            </w:tcBorders>
          </w:tcPr>
          <w:p w14:paraId="732C5A3C"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dispose de procédures de prise de décision transparentes et cohérentes facilitant l’adoption de mesures de conservation et de gestion en temps opportun et de manière efficace.</w:t>
            </w:r>
          </w:p>
          <w:p w14:paraId="078EA2F7"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ces procédures sont efficacement en œuvre au sein de l’ICCAT.</w:t>
            </w:r>
          </w:p>
        </w:tc>
        <w:tc>
          <w:tcPr>
            <w:tcW w:w="4253" w:type="dxa"/>
            <w:tcBorders>
              <w:top w:val="single" w:sz="4" w:space="0" w:color="000000"/>
              <w:left w:val="single" w:sz="6" w:space="0" w:color="000000"/>
              <w:bottom w:val="single" w:sz="4" w:space="0" w:color="000000"/>
              <w:right w:val="single" w:sz="6" w:space="0" w:color="000000"/>
            </w:tcBorders>
          </w:tcPr>
          <w:p w14:paraId="060E9841"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Fusion de « Prise de décision/règlement des différends » et « Coopération internationale » sous le point renommé « Gouvernance ».</w:t>
            </w:r>
          </w:p>
          <w:p w14:paraId="78F3A3C4"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BB47B6" w:rsidRPr="00650C0E" w14:paraId="28A872BC" w14:textId="77777777" w:rsidTr="00A71D85">
        <w:trPr>
          <w:trHeight w:val="485"/>
        </w:trPr>
        <w:tc>
          <w:tcPr>
            <w:tcW w:w="250" w:type="dxa"/>
            <w:tcBorders>
              <w:top w:val="single" w:sz="6" w:space="0" w:color="000000"/>
              <w:left w:val="single" w:sz="6" w:space="0" w:color="000000"/>
              <w:bottom w:val="single" w:sz="6" w:space="0" w:color="000000"/>
              <w:right w:val="single" w:sz="6" w:space="0" w:color="000000"/>
            </w:tcBorders>
          </w:tcPr>
          <w:p w14:paraId="369BECC5"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6D72287"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56544A2B"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Règlement des différends </w:t>
            </w:r>
          </w:p>
        </w:tc>
        <w:tc>
          <w:tcPr>
            <w:tcW w:w="6708" w:type="dxa"/>
            <w:tcBorders>
              <w:top w:val="single" w:sz="4" w:space="0" w:color="000000"/>
              <w:left w:val="single" w:sz="6" w:space="0" w:color="000000"/>
              <w:bottom w:val="single" w:sz="4" w:space="0" w:color="000000"/>
              <w:right w:val="single" w:sz="6" w:space="0" w:color="000000"/>
            </w:tcBorders>
          </w:tcPr>
          <w:p w14:paraId="7AAE2524"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établi des mécanismes adéquats pour résoudre d’éventuels différends. </w:t>
            </w:r>
          </w:p>
        </w:tc>
        <w:tc>
          <w:tcPr>
            <w:tcW w:w="4253" w:type="dxa"/>
            <w:tcBorders>
              <w:top w:val="single" w:sz="4" w:space="0" w:color="000000"/>
              <w:left w:val="single" w:sz="6" w:space="0" w:color="000000"/>
              <w:bottom w:val="single" w:sz="4" w:space="0" w:color="000000"/>
              <w:right w:val="single" w:sz="6" w:space="0" w:color="000000"/>
            </w:tcBorders>
          </w:tcPr>
          <w:p w14:paraId="05D3C7E6"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11825B31" w14:textId="77777777" w:rsidTr="00A71D85">
        <w:trPr>
          <w:trHeight w:val="1418"/>
        </w:trPr>
        <w:tc>
          <w:tcPr>
            <w:tcW w:w="250" w:type="dxa"/>
            <w:tcBorders>
              <w:top w:val="single" w:sz="6" w:space="0" w:color="000000"/>
              <w:left w:val="single" w:sz="6" w:space="0" w:color="000000"/>
              <w:bottom w:val="single" w:sz="6" w:space="0" w:color="000000"/>
              <w:right w:val="single" w:sz="6" w:space="0" w:color="000000"/>
            </w:tcBorders>
          </w:tcPr>
          <w:p w14:paraId="61466844" w14:textId="77777777" w:rsidR="00BB47B6" w:rsidRPr="00736165" w:rsidRDefault="00BB47B6" w:rsidP="00BB47B6">
            <w:pPr>
              <w:pStyle w:val="Default"/>
              <w:jc w:val="center"/>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651AEDF7" w14:textId="77777777" w:rsidR="00BB47B6" w:rsidRPr="00736165" w:rsidRDefault="00BB47B6" w:rsidP="00BB47B6">
            <w:pPr>
              <w:pStyle w:val="Default"/>
              <w:rPr>
                <w:rFonts w:ascii="Cambria" w:hAnsi="Cambria" w:cs="Times New Roman"/>
                <w:i/>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552800D5"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Transparence </w:t>
            </w:r>
          </w:p>
        </w:tc>
        <w:tc>
          <w:tcPr>
            <w:tcW w:w="6708" w:type="dxa"/>
            <w:tcBorders>
              <w:top w:val="single" w:sz="4" w:space="0" w:color="000000"/>
              <w:left w:val="single" w:sz="6" w:space="0" w:color="000000"/>
              <w:bottom w:val="single" w:sz="4" w:space="0" w:color="000000"/>
              <w:right w:val="single" w:sz="6" w:space="0" w:color="000000"/>
            </w:tcBorders>
          </w:tcPr>
          <w:p w14:paraId="7AB4DEFD"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opère conformément aux dispositions de transparence de l’Article 12 de l’UNFSA et de l’Article 7.1.9 du Code de Conduite pour une Pêche Responsable.</w:t>
            </w:r>
          </w:p>
          <w:p w14:paraId="07DB9A88"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les décisions, les rapports de réunion, l’avis scientifique sur lequel se basent les décisions et tout autre matériel pertinent de l’ICCAT sont publiquement disponibles en temps opportun. </w:t>
            </w:r>
          </w:p>
        </w:tc>
        <w:tc>
          <w:tcPr>
            <w:tcW w:w="4253" w:type="dxa"/>
            <w:tcBorders>
              <w:top w:val="single" w:sz="4" w:space="0" w:color="000000"/>
              <w:left w:val="single" w:sz="6" w:space="0" w:color="000000"/>
              <w:bottom w:val="single" w:sz="4" w:space="0" w:color="000000"/>
              <w:right w:val="single" w:sz="6" w:space="0" w:color="000000"/>
            </w:tcBorders>
          </w:tcPr>
          <w:p w14:paraId="0EC40862"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0E5DFE69" w14:textId="77777777" w:rsidTr="00A71D85">
        <w:trPr>
          <w:trHeight w:val="683"/>
        </w:trPr>
        <w:tc>
          <w:tcPr>
            <w:tcW w:w="250" w:type="dxa"/>
            <w:tcBorders>
              <w:top w:val="single" w:sz="6" w:space="0" w:color="000000"/>
              <w:left w:val="single" w:sz="6" w:space="0" w:color="000000"/>
              <w:bottom w:val="single" w:sz="6" w:space="0" w:color="000000"/>
              <w:right w:val="single" w:sz="6" w:space="0" w:color="000000"/>
            </w:tcBorders>
          </w:tcPr>
          <w:p w14:paraId="50F11422"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4B9E3212"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0EF3AE97"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Confidentialité </w:t>
            </w:r>
          </w:p>
        </w:tc>
        <w:tc>
          <w:tcPr>
            <w:tcW w:w="6708" w:type="dxa"/>
            <w:tcBorders>
              <w:top w:val="single" w:sz="4" w:space="0" w:color="000000"/>
              <w:left w:val="single" w:sz="6" w:space="0" w:color="000000"/>
              <w:bottom w:val="single" w:sz="4" w:space="0" w:color="000000"/>
              <w:right w:val="single" w:sz="6" w:space="0" w:color="000000"/>
            </w:tcBorders>
          </w:tcPr>
          <w:p w14:paraId="357D865C"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a établi des normes de sécurité et de confidentialité et des normes de partage de données scientifiques et opérationnelles/d'application sensibles. </w:t>
            </w:r>
          </w:p>
        </w:tc>
        <w:tc>
          <w:tcPr>
            <w:tcW w:w="4253" w:type="dxa"/>
            <w:tcBorders>
              <w:top w:val="single" w:sz="4" w:space="0" w:color="000000"/>
              <w:left w:val="single" w:sz="6" w:space="0" w:color="000000"/>
              <w:bottom w:val="single" w:sz="4" w:space="0" w:color="000000"/>
              <w:right w:val="single" w:sz="6" w:space="0" w:color="000000"/>
            </w:tcBorders>
          </w:tcPr>
          <w:p w14:paraId="2B985768"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 (extrait de la 2</w:t>
            </w:r>
            <w:r w:rsidRPr="00736165">
              <w:rPr>
                <w:rFonts w:ascii="Cambria" w:hAnsi="Cambria" w:cs="Times New Roman"/>
                <w:color w:val="auto"/>
                <w:sz w:val="20"/>
                <w:szCs w:val="20"/>
                <w:vertAlign w:val="superscript"/>
              </w:rPr>
              <w:t>e</w:t>
            </w:r>
            <w:r w:rsidRPr="00736165">
              <w:rPr>
                <w:rFonts w:ascii="Cambria" w:hAnsi="Cambria" w:cs="Times New Roman"/>
                <w:color w:val="auto"/>
                <w:sz w:val="20"/>
                <w:szCs w:val="20"/>
              </w:rPr>
              <w:t xml:space="preserve"> révision des performances de la CTOI).</w:t>
            </w:r>
          </w:p>
        </w:tc>
      </w:tr>
      <w:tr w:rsidR="00BB47B6" w:rsidRPr="00650C0E" w14:paraId="5607E898" w14:textId="77777777" w:rsidTr="00A71D85">
        <w:trPr>
          <w:trHeight w:val="715"/>
        </w:trPr>
        <w:tc>
          <w:tcPr>
            <w:tcW w:w="250" w:type="dxa"/>
            <w:tcBorders>
              <w:top w:val="single" w:sz="6" w:space="0" w:color="000000"/>
              <w:left w:val="single" w:sz="6" w:space="0" w:color="000000"/>
              <w:bottom w:val="single" w:sz="6" w:space="0" w:color="000000"/>
              <w:right w:val="single" w:sz="6" w:space="0" w:color="000000"/>
            </w:tcBorders>
          </w:tcPr>
          <w:p w14:paraId="46F5BC83"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5C4DDA89"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31C597A8"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Relation avec les non-membres coopérants</w:t>
            </w:r>
          </w:p>
        </w:tc>
        <w:tc>
          <w:tcPr>
            <w:tcW w:w="6708" w:type="dxa"/>
            <w:tcBorders>
              <w:top w:val="single" w:sz="4" w:space="0" w:color="000000"/>
              <w:left w:val="single" w:sz="6" w:space="0" w:color="000000"/>
              <w:bottom w:val="single" w:sz="4" w:space="0" w:color="000000"/>
              <w:right w:val="single" w:sz="6" w:space="0" w:color="000000"/>
            </w:tcBorders>
          </w:tcPr>
          <w:p w14:paraId="0457D25D"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l’ICCAT facilite la coopération entre les membres et les non-membres, notamment par le biais de l’adoption et de la mise en œuvre de procédures d’octroi du statut de coopérant. </w:t>
            </w:r>
          </w:p>
        </w:tc>
        <w:tc>
          <w:tcPr>
            <w:tcW w:w="4253" w:type="dxa"/>
            <w:tcBorders>
              <w:top w:val="single" w:sz="4" w:space="0" w:color="000000"/>
              <w:left w:val="single" w:sz="6" w:space="0" w:color="000000"/>
              <w:bottom w:val="single" w:sz="4" w:space="0" w:color="000000"/>
              <w:right w:val="single" w:sz="6" w:space="0" w:color="000000"/>
            </w:tcBorders>
          </w:tcPr>
          <w:p w14:paraId="382DF474"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244D2986" w14:textId="77777777" w:rsidTr="00A71D85">
        <w:trPr>
          <w:trHeight w:val="698"/>
        </w:trPr>
        <w:tc>
          <w:tcPr>
            <w:tcW w:w="250" w:type="dxa"/>
            <w:tcBorders>
              <w:top w:val="single" w:sz="6" w:space="0" w:color="000000"/>
              <w:left w:val="single" w:sz="6" w:space="0" w:color="000000"/>
              <w:bottom w:val="single" w:sz="6" w:space="0" w:color="000000"/>
              <w:right w:val="single" w:sz="6" w:space="0" w:color="000000"/>
            </w:tcBorders>
          </w:tcPr>
          <w:p w14:paraId="087302FD"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3F464960"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0679BAD3"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Relations avec les non-membres </w:t>
            </w:r>
            <w:proofErr w:type="gramStart"/>
            <w:r w:rsidRPr="00736165">
              <w:rPr>
                <w:rFonts w:ascii="Cambria" w:hAnsi="Cambria" w:cs="Times New Roman"/>
                <w:color w:val="auto"/>
                <w:sz w:val="20"/>
                <w:szCs w:val="20"/>
              </w:rPr>
              <w:t>non coopérants</w:t>
            </w:r>
            <w:proofErr w:type="gramEnd"/>
          </w:p>
        </w:tc>
        <w:tc>
          <w:tcPr>
            <w:tcW w:w="6708" w:type="dxa"/>
            <w:tcBorders>
              <w:top w:val="single" w:sz="4" w:space="0" w:color="000000"/>
              <w:left w:val="single" w:sz="6" w:space="0" w:color="000000"/>
              <w:bottom w:val="single" w:sz="4" w:space="0" w:color="000000"/>
              <w:right w:val="single" w:sz="6" w:space="0" w:color="000000"/>
            </w:tcBorders>
          </w:tcPr>
          <w:p w14:paraId="0700E70E"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Étendue des activités de pêche des navires de non-membres qui ne disposent pas du statut de coopérant et mesures visant à décourager ces activités. </w:t>
            </w:r>
          </w:p>
        </w:tc>
        <w:tc>
          <w:tcPr>
            <w:tcW w:w="4253" w:type="dxa"/>
            <w:tcBorders>
              <w:top w:val="single" w:sz="4" w:space="0" w:color="000000"/>
              <w:left w:val="single" w:sz="6" w:space="0" w:color="000000"/>
              <w:bottom w:val="single" w:sz="4" w:space="0" w:color="000000"/>
              <w:right w:val="single" w:sz="6" w:space="0" w:color="000000"/>
            </w:tcBorders>
          </w:tcPr>
          <w:p w14:paraId="48ACB29E"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1AB6174C" w14:textId="77777777" w:rsidTr="00A71D85">
        <w:trPr>
          <w:trHeight w:val="485"/>
        </w:trPr>
        <w:tc>
          <w:tcPr>
            <w:tcW w:w="250" w:type="dxa"/>
            <w:tcBorders>
              <w:top w:val="single" w:sz="6" w:space="0" w:color="000000"/>
              <w:left w:val="single" w:sz="6" w:space="0" w:color="000000"/>
              <w:bottom w:val="single" w:sz="6" w:space="0" w:color="000000"/>
              <w:right w:val="single" w:sz="6" w:space="0" w:color="000000"/>
            </w:tcBorders>
          </w:tcPr>
          <w:p w14:paraId="3F3EB027"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62F8A407"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77B994E7"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Coopération avec d’autres ORGP et organisations internationales pertinentes.</w:t>
            </w:r>
          </w:p>
        </w:tc>
        <w:tc>
          <w:tcPr>
            <w:tcW w:w="6708" w:type="dxa"/>
            <w:tcBorders>
              <w:top w:val="single" w:sz="4" w:space="0" w:color="000000"/>
              <w:left w:val="single" w:sz="6" w:space="0" w:color="000000"/>
              <w:bottom w:val="single" w:sz="4" w:space="0" w:color="000000"/>
              <w:right w:val="single" w:sz="6" w:space="0" w:color="000000"/>
            </w:tcBorders>
          </w:tcPr>
          <w:p w14:paraId="2592657E"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coopère avec d’autres ORGP, y compris par le réseau de Secrétariats d’organes régionaux de pêche, ainsi qu’avec d’autres organisations internationales pertinentes.</w:t>
            </w:r>
          </w:p>
        </w:tc>
        <w:tc>
          <w:tcPr>
            <w:tcW w:w="4253" w:type="dxa"/>
            <w:tcBorders>
              <w:top w:val="single" w:sz="4" w:space="0" w:color="000000"/>
              <w:left w:val="single" w:sz="6" w:space="0" w:color="000000"/>
              <w:bottom w:val="single" w:sz="4" w:space="0" w:color="000000"/>
              <w:right w:val="single" w:sz="6" w:space="0" w:color="000000"/>
            </w:tcBorders>
          </w:tcPr>
          <w:p w14:paraId="7C4C6B1C"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1E5EF5AD" w14:textId="77777777" w:rsidTr="00A71D85">
        <w:trPr>
          <w:trHeight w:val="273"/>
        </w:trPr>
        <w:tc>
          <w:tcPr>
            <w:tcW w:w="250" w:type="dxa"/>
            <w:tcBorders>
              <w:top w:val="single" w:sz="6" w:space="0" w:color="000000"/>
              <w:left w:val="single" w:sz="6" w:space="0" w:color="000000"/>
              <w:bottom w:val="single" w:sz="6" w:space="0" w:color="000000"/>
              <w:right w:val="single" w:sz="6" w:space="0" w:color="000000"/>
            </w:tcBorders>
          </w:tcPr>
          <w:p w14:paraId="56A8777B"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7FC7E5B"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C882646"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Participation et renforcement des capacités</w:t>
            </w:r>
          </w:p>
        </w:tc>
        <w:tc>
          <w:tcPr>
            <w:tcW w:w="6708" w:type="dxa"/>
            <w:tcBorders>
              <w:top w:val="single" w:sz="4" w:space="0" w:color="000000"/>
              <w:left w:val="single" w:sz="6" w:space="0" w:color="000000"/>
              <w:bottom w:val="single" w:sz="4" w:space="0" w:color="000000"/>
              <w:right w:val="single" w:sz="6" w:space="0" w:color="000000"/>
            </w:tcBorders>
          </w:tcPr>
          <w:p w14:paraId="1E3134A2"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les membres et non-membres coopérants de l'ICCAT participent activement et significativement aux travaux de la Commission et de ses organes subsidiaires.</w:t>
            </w:r>
          </w:p>
          <w:p w14:paraId="60BCDF3A"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des initiatives de renforcement de la capacité et des accords institutionnels sont mis en place afin de faciliter la participation </w:t>
            </w:r>
            <w:r w:rsidRPr="00736165">
              <w:rPr>
                <w:rFonts w:ascii="Cambria" w:hAnsi="Cambria" w:cs="Times New Roman"/>
                <w:color w:val="auto"/>
                <w:sz w:val="20"/>
                <w:szCs w:val="20"/>
              </w:rPr>
              <w:lastRenderedPageBreak/>
              <w:t>effective des économies en développement aux travaux de la Commission et de ses organes subsidiaires, ce qui comprend des postes de direction.</w:t>
            </w:r>
          </w:p>
        </w:tc>
        <w:tc>
          <w:tcPr>
            <w:tcW w:w="4253" w:type="dxa"/>
            <w:tcBorders>
              <w:top w:val="single" w:sz="4" w:space="0" w:color="000000"/>
              <w:left w:val="single" w:sz="6" w:space="0" w:color="000000"/>
              <w:bottom w:val="single" w:sz="4" w:space="0" w:color="000000"/>
              <w:right w:val="single" w:sz="6" w:space="0" w:color="000000"/>
            </w:tcBorders>
          </w:tcPr>
          <w:p w14:paraId="48CC8CA3" w14:textId="77777777" w:rsidR="00BB47B6" w:rsidRPr="00736165" w:rsidRDefault="00BB47B6" w:rsidP="00BB47B6">
            <w:pPr>
              <w:jc w:val="both"/>
              <w:rPr>
                <w:rFonts w:ascii="Cambria" w:hAnsi="Cambria"/>
                <w:sz w:val="20"/>
                <w:szCs w:val="20"/>
                <w:lang w:val="fr-FR" w:eastAsia="fr-FR"/>
              </w:rPr>
            </w:pPr>
            <w:r w:rsidRPr="00736165">
              <w:rPr>
                <w:rFonts w:ascii="Cambria" w:hAnsi="Cambria"/>
                <w:sz w:val="20"/>
                <w:szCs w:val="20"/>
                <w:lang w:val="fr-FR"/>
              </w:rPr>
              <w:lastRenderedPageBreak/>
              <w:t>Nouveaux points en parallèle à l’élément similaire du point 6 « Science »</w:t>
            </w:r>
          </w:p>
          <w:p w14:paraId="6A3C1783"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38B8B391" w14:textId="77777777" w:rsidTr="00A71D85">
        <w:trPr>
          <w:trHeight w:val="273"/>
        </w:trPr>
        <w:tc>
          <w:tcPr>
            <w:tcW w:w="250" w:type="dxa"/>
            <w:tcBorders>
              <w:top w:val="single" w:sz="6" w:space="0" w:color="000000"/>
              <w:left w:val="single" w:sz="6" w:space="0" w:color="000000"/>
              <w:bottom w:val="single" w:sz="6" w:space="0" w:color="000000"/>
              <w:right w:val="single" w:sz="6" w:space="0" w:color="000000"/>
            </w:tcBorders>
          </w:tcPr>
          <w:p w14:paraId="3C03B5B4"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755E9BA5"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986004D"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Besoins spéciaux des États en développement.</w:t>
            </w:r>
          </w:p>
        </w:tc>
        <w:tc>
          <w:tcPr>
            <w:tcW w:w="6708" w:type="dxa"/>
            <w:tcBorders>
              <w:top w:val="single" w:sz="4" w:space="0" w:color="000000"/>
              <w:left w:val="single" w:sz="6" w:space="0" w:color="000000"/>
              <w:bottom w:val="single" w:sz="4" w:space="0" w:color="000000"/>
              <w:right w:val="single" w:sz="6" w:space="0" w:color="000000"/>
            </w:tcBorders>
          </w:tcPr>
          <w:p w14:paraId="34C67173"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reconnaît les besoins spéciaux des États en développement et recherche des formes de coopération avec les États en développement, notamment en matière d’allocations ou d’opportunités de pêche, compte tenu des Articles 24 et 25 de l’UNFSA et de l’Article 5 du Code de Conduite pour une Pêche Responsable.</w:t>
            </w:r>
          </w:p>
          <w:p w14:paraId="3BFB1CB3"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les membres de l’ICCAT, à titre individuel ou par le biais de l’ICCAT, fournissent une assistance pertinente aux États en développement, tel que cela est reflété dans l’Article 26 de l’UNFSA. </w:t>
            </w:r>
          </w:p>
        </w:tc>
        <w:tc>
          <w:tcPr>
            <w:tcW w:w="4253" w:type="dxa"/>
            <w:tcBorders>
              <w:top w:val="single" w:sz="4" w:space="0" w:color="000000"/>
              <w:left w:val="single" w:sz="6" w:space="0" w:color="000000"/>
              <w:bottom w:val="single" w:sz="4" w:space="0" w:color="000000"/>
              <w:right w:val="single" w:sz="6" w:space="0" w:color="000000"/>
            </w:tcBorders>
          </w:tcPr>
          <w:p w14:paraId="2B88C34A" w14:textId="77777777" w:rsidR="00BB47B6" w:rsidRPr="00736165" w:rsidRDefault="00BB47B6" w:rsidP="00BB47B6">
            <w:pPr>
              <w:pStyle w:val="Default"/>
              <w:jc w:val="both"/>
              <w:rPr>
                <w:rFonts w:ascii="Cambria" w:hAnsi="Cambria" w:cs="Times New Roman"/>
                <w:color w:val="auto"/>
                <w:sz w:val="20"/>
                <w:szCs w:val="20"/>
              </w:rPr>
            </w:pPr>
          </w:p>
        </w:tc>
      </w:tr>
      <w:tr w:rsidR="00BB47B6" w:rsidRPr="00736165" w14:paraId="3086216F"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20CD98AB" w14:textId="77777777" w:rsidR="00BB47B6" w:rsidRPr="00736165" w:rsidRDefault="00BB47B6" w:rsidP="00BB47B6">
            <w:pPr>
              <w:pStyle w:val="Default"/>
              <w:jc w:val="center"/>
              <w:rPr>
                <w:rFonts w:ascii="Cambria" w:hAnsi="Cambria" w:cs="Times New Roman"/>
                <w:color w:val="auto"/>
                <w:sz w:val="20"/>
                <w:szCs w:val="20"/>
              </w:rPr>
            </w:pPr>
            <w:r w:rsidRPr="00736165">
              <w:rPr>
                <w:rFonts w:ascii="Cambria" w:hAnsi="Cambria" w:cs="Times New Roman"/>
                <w:b/>
                <w:color w:val="auto"/>
                <w:sz w:val="20"/>
                <w:szCs w:val="20"/>
              </w:rPr>
              <w:t xml:space="preserve">6 </w:t>
            </w:r>
          </w:p>
        </w:tc>
        <w:tc>
          <w:tcPr>
            <w:tcW w:w="1561" w:type="dxa"/>
            <w:tcBorders>
              <w:top w:val="single" w:sz="6" w:space="0" w:color="000000"/>
              <w:left w:val="single" w:sz="6" w:space="0" w:color="000000"/>
              <w:bottom w:val="single" w:sz="6" w:space="0" w:color="000000"/>
              <w:right w:val="single" w:sz="6" w:space="0" w:color="000000"/>
            </w:tcBorders>
          </w:tcPr>
          <w:p w14:paraId="0A66AD8B"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i/>
                <w:color w:val="auto"/>
                <w:sz w:val="20"/>
                <w:szCs w:val="20"/>
              </w:rPr>
              <w:t xml:space="preserve">Science </w:t>
            </w:r>
          </w:p>
        </w:tc>
        <w:tc>
          <w:tcPr>
            <w:tcW w:w="1795" w:type="dxa"/>
            <w:tcBorders>
              <w:top w:val="single" w:sz="6" w:space="0" w:color="000000"/>
              <w:left w:val="single" w:sz="6" w:space="0" w:color="000000"/>
              <w:bottom w:val="single" w:sz="6" w:space="0" w:color="000000"/>
              <w:right w:val="single" w:sz="6" w:space="0" w:color="000000"/>
            </w:tcBorders>
          </w:tcPr>
          <w:p w14:paraId="201C63AC"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Qualité et formulation d’avis scientifiques</w:t>
            </w:r>
          </w:p>
        </w:tc>
        <w:tc>
          <w:tcPr>
            <w:tcW w:w="6708" w:type="dxa"/>
            <w:tcBorders>
              <w:top w:val="single" w:sz="4" w:space="0" w:color="000000"/>
              <w:left w:val="single" w:sz="6" w:space="0" w:color="000000"/>
              <w:bottom w:val="single" w:sz="4" w:space="0" w:color="000000"/>
              <w:right w:val="single" w:sz="6" w:space="0" w:color="000000"/>
            </w:tcBorders>
          </w:tcPr>
          <w:p w14:paraId="7C287D78"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 SCRS produit les meilleurs avis scientifiques concernant les stocks de poissons et d’autres ressources marines vivantes relevant de son mandat, ainsi que les effets de la pêche sur l’environnement marin. </w:t>
            </w:r>
          </w:p>
          <w:p w14:paraId="38626971"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l'avis scientifique est présenté conformément aux Résolutions 11-14 et 13-15.</w:t>
            </w:r>
          </w:p>
          <w:p w14:paraId="3273EFD7"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la structure, les processus, les procédures et l’expertise du SCRS et du Secrétariat de l’ICCAT répondent aux nécessités et aux ressources de l'ICCAT ainsi qu'au très haut niveau des exigences techniques et en matière de données des plateformes de modélisation les plus récentes.</w:t>
            </w:r>
          </w:p>
        </w:tc>
        <w:tc>
          <w:tcPr>
            <w:tcW w:w="4253" w:type="dxa"/>
            <w:tcBorders>
              <w:top w:val="single" w:sz="4" w:space="0" w:color="000000"/>
              <w:left w:val="single" w:sz="6" w:space="0" w:color="000000"/>
              <w:bottom w:val="single" w:sz="4" w:space="0" w:color="000000"/>
              <w:right w:val="single" w:sz="6" w:space="0" w:color="000000"/>
            </w:tcBorders>
          </w:tcPr>
          <w:p w14:paraId="24C4D224"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Copié du point antérieur « conservation et gestion » en y ajoutant une référence spécifique au SCRS.</w:t>
            </w:r>
          </w:p>
          <w:p w14:paraId="2DBE6A0C" w14:textId="77777777" w:rsidR="00BB47B6" w:rsidRPr="00736165" w:rsidRDefault="00BB47B6" w:rsidP="00BB47B6">
            <w:pPr>
              <w:pStyle w:val="Default"/>
              <w:jc w:val="both"/>
              <w:rPr>
                <w:rFonts w:ascii="Cambria" w:hAnsi="Cambria" w:cs="Times New Roman"/>
                <w:color w:val="auto"/>
                <w:sz w:val="20"/>
                <w:szCs w:val="20"/>
              </w:rPr>
            </w:pPr>
          </w:p>
          <w:p w14:paraId="7CF72652"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Nouveaux points</w:t>
            </w:r>
          </w:p>
        </w:tc>
      </w:tr>
      <w:tr w:rsidR="00BB47B6" w:rsidRPr="00650C0E" w14:paraId="502363B5"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24BD6CBA" w14:textId="77777777" w:rsidR="00BB47B6" w:rsidRPr="00736165" w:rsidRDefault="00BB47B6" w:rsidP="00BB47B6">
            <w:pPr>
              <w:pStyle w:val="Default"/>
              <w:jc w:val="center"/>
              <w:rPr>
                <w:rFonts w:ascii="Cambria" w:hAnsi="Cambria" w:cs="Times New Roman"/>
                <w:b/>
                <w:bCs/>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200E767" w14:textId="77777777" w:rsidR="00BB47B6" w:rsidRPr="00736165" w:rsidRDefault="00BB47B6" w:rsidP="00BB47B6">
            <w:pPr>
              <w:pStyle w:val="Default"/>
              <w:rPr>
                <w:rFonts w:ascii="Cambria" w:hAnsi="Cambria" w:cs="Times New Roman"/>
                <w:i/>
                <w:iCs/>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7BA0700"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Participation et renforcement des capacités</w:t>
            </w:r>
          </w:p>
        </w:tc>
        <w:tc>
          <w:tcPr>
            <w:tcW w:w="6708" w:type="dxa"/>
            <w:tcBorders>
              <w:top w:val="single" w:sz="4" w:space="0" w:color="000000"/>
              <w:left w:val="single" w:sz="6" w:space="0" w:color="000000"/>
              <w:bottom w:val="single" w:sz="4" w:space="0" w:color="000000"/>
              <w:right w:val="single" w:sz="6" w:space="0" w:color="000000"/>
            </w:tcBorders>
          </w:tcPr>
          <w:p w14:paraId="46AB67C3"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les membres et non-membres coopérants de l'ICCAT participent activement à la formulation de l’avis scientifique.</w:t>
            </w:r>
          </w:p>
          <w:p w14:paraId="38B878BC"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des initiatives de renforcement de la capacité sont mises en place afin de faciliter la participation effective des économies en développement aux activités du SCRS.</w:t>
            </w:r>
          </w:p>
        </w:tc>
        <w:tc>
          <w:tcPr>
            <w:tcW w:w="4253" w:type="dxa"/>
            <w:tcBorders>
              <w:top w:val="single" w:sz="4" w:space="0" w:color="000000"/>
              <w:left w:val="single" w:sz="6" w:space="0" w:color="000000"/>
              <w:bottom w:val="single" w:sz="4" w:space="0" w:color="000000"/>
              <w:right w:val="single" w:sz="6" w:space="0" w:color="000000"/>
            </w:tcBorders>
          </w:tcPr>
          <w:p w14:paraId="17FC966C" w14:textId="77777777" w:rsidR="00BB47B6" w:rsidRPr="00736165" w:rsidRDefault="00BB47B6" w:rsidP="00BB47B6">
            <w:pPr>
              <w:pStyle w:val="Default"/>
              <w:jc w:val="both"/>
              <w:rPr>
                <w:rFonts w:ascii="Cambria" w:hAnsi="Cambria" w:cs="Times New Roman"/>
                <w:color w:val="auto"/>
                <w:sz w:val="20"/>
                <w:szCs w:val="20"/>
              </w:rPr>
            </w:pPr>
          </w:p>
        </w:tc>
      </w:tr>
      <w:tr w:rsidR="00BB47B6" w:rsidRPr="00736165" w14:paraId="19C322A2"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78B4F29D" w14:textId="77777777" w:rsidR="00BB47B6" w:rsidRPr="00736165" w:rsidRDefault="00BB47B6" w:rsidP="00BB47B6">
            <w:pPr>
              <w:pStyle w:val="Default"/>
              <w:jc w:val="center"/>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50CC6566"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C5AD757"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Planification et recherche à long terme</w:t>
            </w:r>
          </w:p>
        </w:tc>
        <w:tc>
          <w:tcPr>
            <w:tcW w:w="6708" w:type="dxa"/>
            <w:tcBorders>
              <w:top w:val="single" w:sz="4" w:space="0" w:color="000000"/>
              <w:left w:val="single" w:sz="6" w:space="0" w:color="000000"/>
              <w:bottom w:val="single" w:sz="4" w:space="0" w:color="000000"/>
              <w:right w:val="single" w:sz="6" w:space="0" w:color="000000"/>
            </w:tcBorders>
          </w:tcPr>
          <w:p w14:paraId="540403EA"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adopte et réévalue régulièrement une stratégie à long terme à mettre en œuvre par le SCRS.</w:t>
            </w:r>
          </w:p>
          <w:p w14:paraId="391703A5"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la recherche coordonnée ou menée directement par l'ICCAT s'aligne sur les nécessités de la Commission pour honorer son mandat.</w:t>
            </w:r>
          </w:p>
        </w:tc>
        <w:tc>
          <w:tcPr>
            <w:tcW w:w="4253" w:type="dxa"/>
            <w:tcBorders>
              <w:top w:val="single" w:sz="4" w:space="0" w:color="000000"/>
              <w:left w:val="single" w:sz="6" w:space="0" w:color="000000"/>
              <w:bottom w:val="single" w:sz="4" w:space="0" w:color="000000"/>
              <w:right w:val="single" w:sz="6" w:space="0" w:color="000000"/>
            </w:tcBorders>
          </w:tcPr>
          <w:p w14:paraId="42F3B066"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Nouveaux points</w:t>
            </w:r>
          </w:p>
        </w:tc>
      </w:tr>
      <w:tr w:rsidR="00BB47B6" w:rsidRPr="00650C0E" w14:paraId="62C21669"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6E1451B4" w14:textId="77777777" w:rsidR="00BB47B6" w:rsidRPr="00736165" w:rsidRDefault="00BB47B6" w:rsidP="00BB47B6">
            <w:pPr>
              <w:pStyle w:val="Default"/>
              <w:jc w:val="center"/>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1C8F50B7"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41184CBB"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Meilleure science disponible</w:t>
            </w:r>
          </w:p>
        </w:tc>
        <w:tc>
          <w:tcPr>
            <w:tcW w:w="6708" w:type="dxa"/>
            <w:tcBorders>
              <w:top w:val="single" w:sz="4" w:space="0" w:color="000000"/>
              <w:left w:val="single" w:sz="6" w:space="0" w:color="000000"/>
              <w:bottom w:val="single" w:sz="4" w:space="0" w:color="000000"/>
              <w:right w:val="single" w:sz="6" w:space="0" w:color="000000"/>
            </w:tcBorders>
          </w:tcPr>
          <w:p w14:paraId="5C446A03"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la </w:t>
            </w:r>
            <w:r w:rsidRPr="00736165">
              <w:rPr>
                <w:rFonts w:ascii="Cambria" w:hAnsi="Cambria" w:cs="Times New Roman"/>
                <w:i/>
                <w:color w:val="auto"/>
                <w:sz w:val="20"/>
                <w:szCs w:val="20"/>
              </w:rPr>
              <w:t xml:space="preserve">Résolution de l’ICCAT sur la meilleure science possible </w:t>
            </w:r>
            <w:r w:rsidR="00F431C7" w:rsidRPr="00736165">
              <w:rPr>
                <w:rFonts w:ascii="Cambria" w:hAnsi="Cambria" w:cs="Times New Roman"/>
                <w:color w:val="auto"/>
                <w:sz w:val="20"/>
                <w:szCs w:val="20"/>
              </w:rPr>
              <w:t>(</w:t>
            </w:r>
            <w:r w:rsidRPr="00736165">
              <w:rPr>
                <w:rFonts w:ascii="Cambria" w:hAnsi="Cambria" w:cs="Times New Roman"/>
                <w:color w:val="auto"/>
                <w:sz w:val="20"/>
                <w:szCs w:val="20"/>
              </w:rPr>
              <w:t>Rés. 11-17</w:t>
            </w:r>
            <w:r w:rsidR="00F431C7" w:rsidRPr="00736165">
              <w:rPr>
                <w:rFonts w:ascii="Cambria" w:hAnsi="Cambria" w:cs="Times New Roman"/>
                <w:color w:val="auto"/>
                <w:sz w:val="20"/>
                <w:szCs w:val="20"/>
              </w:rPr>
              <w:t>)</w:t>
            </w:r>
            <w:r w:rsidRPr="00736165">
              <w:rPr>
                <w:rFonts w:ascii="Cambria" w:hAnsi="Cambria" w:cs="Times New Roman"/>
                <w:color w:val="auto"/>
                <w:sz w:val="20"/>
                <w:szCs w:val="20"/>
              </w:rPr>
              <w:t xml:space="preserve"> est efficacement mise en œuvre.</w:t>
            </w:r>
          </w:p>
          <w:p w14:paraId="47A3EB40"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le SCRS et ses groupes de travail appliquent un processus complet de gestion de la qualité.</w:t>
            </w:r>
          </w:p>
        </w:tc>
        <w:tc>
          <w:tcPr>
            <w:tcW w:w="4253" w:type="dxa"/>
            <w:tcBorders>
              <w:top w:val="single" w:sz="4" w:space="0" w:color="000000"/>
              <w:left w:val="single" w:sz="6" w:space="0" w:color="000000"/>
              <w:bottom w:val="single" w:sz="4" w:space="0" w:color="000000"/>
              <w:right w:val="single" w:sz="6" w:space="0" w:color="000000"/>
            </w:tcBorders>
          </w:tcPr>
          <w:p w14:paraId="7684E13F"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Nouveaux points (extraits de la Rés. 11-17).</w:t>
            </w:r>
          </w:p>
        </w:tc>
      </w:tr>
      <w:tr w:rsidR="00BB47B6" w:rsidRPr="00736165" w14:paraId="6F110511" w14:textId="77777777" w:rsidTr="00A71D85">
        <w:trPr>
          <w:trHeight w:val="367"/>
        </w:trPr>
        <w:tc>
          <w:tcPr>
            <w:tcW w:w="250" w:type="dxa"/>
            <w:tcBorders>
              <w:top w:val="single" w:sz="6" w:space="0" w:color="000000"/>
              <w:left w:val="single" w:sz="6" w:space="0" w:color="000000"/>
              <w:bottom w:val="single" w:sz="6" w:space="0" w:color="000000"/>
              <w:right w:val="single" w:sz="6" w:space="0" w:color="000000"/>
            </w:tcBorders>
          </w:tcPr>
          <w:p w14:paraId="4AE2A2F8" w14:textId="77777777" w:rsidR="00BB47B6" w:rsidRPr="00736165" w:rsidRDefault="00BB47B6" w:rsidP="00BB47B6">
            <w:pPr>
              <w:pStyle w:val="Default"/>
              <w:jc w:val="center"/>
              <w:rPr>
                <w:rFonts w:ascii="Cambria" w:hAnsi="Cambria" w:cs="Times New Roman"/>
                <w:b/>
                <w:color w:val="auto"/>
                <w:sz w:val="20"/>
                <w:szCs w:val="20"/>
              </w:rPr>
            </w:pPr>
            <w:r w:rsidRPr="00736165">
              <w:rPr>
                <w:rFonts w:ascii="Cambria" w:hAnsi="Cambria" w:cs="Times New Roman"/>
                <w:b/>
                <w:color w:val="auto"/>
                <w:sz w:val="20"/>
                <w:szCs w:val="20"/>
              </w:rPr>
              <w:lastRenderedPageBreak/>
              <w:t>7</w:t>
            </w:r>
          </w:p>
        </w:tc>
        <w:tc>
          <w:tcPr>
            <w:tcW w:w="1561" w:type="dxa"/>
            <w:tcBorders>
              <w:top w:val="single" w:sz="6" w:space="0" w:color="000000"/>
              <w:left w:val="single" w:sz="6" w:space="0" w:color="000000"/>
              <w:bottom w:val="single" w:sz="6" w:space="0" w:color="000000"/>
              <w:right w:val="single" w:sz="6" w:space="0" w:color="000000"/>
            </w:tcBorders>
          </w:tcPr>
          <w:p w14:paraId="7392E25A" w14:textId="77777777" w:rsidR="00BB47B6" w:rsidRPr="00736165" w:rsidRDefault="00BB47B6" w:rsidP="00BB47B6">
            <w:pPr>
              <w:pStyle w:val="Default"/>
              <w:rPr>
                <w:rFonts w:ascii="Cambria" w:hAnsi="Cambria" w:cs="Times New Roman"/>
                <w:i/>
                <w:color w:val="auto"/>
                <w:sz w:val="20"/>
                <w:szCs w:val="20"/>
              </w:rPr>
            </w:pPr>
            <w:r w:rsidRPr="00736165">
              <w:rPr>
                <w:rFonts w:ascii="Cambria" w:hAnsi="Cambria" w:cs="Times New Roman"/>
                <w:i/>
                <w:color w:val="auto"/>
                <w:sz w:val="20"/>
                <w:szCs w:val="20"/>
              </w:rPr>
              <w:t>Comparaison avec d’autres ORGP</w:t>
            </w:r>
          </w:p>
        </w:tc>
        <w:tc>
          <w:tcPr>
            <w:tcW w:w="1795" w:type="dxa"/>
            <w:tcBorders>
              <w:top w:val="single" w:sz="6" w:space="0" w:color="000000"/>
              <w:left w:val="single" w:sz="6" w:space="0" w:color="000000"/>
              <w:bottom w:val="single" w:sz="6" w:space="0" w:color="000000"/>
              <w:right w:val="single" w:sz="6" w:space="0" w:color="000000"/>
            </w:tcBorders>
          </w:tcPr>
          <w:p w14:paraId="650283DD"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Meilleures pratiques</w:t>
            </w:r>
          </w:p>
        </w:tc>
        <w:tc>
          <w:tcPr>
            <w:tcW w:w="6708" w:type="dxa"/>
            <w:tcBorders>
              <w:top w:val="single" w:sz="4" w:space="0" w:color="000000"/>
              <w:left w:val="single" w:sz="6" w:space="0" w:color="000000"/>
              <w:bottom w:val="single" w:sz="4" w:space="0" w:color="000000"/>
              <w:right w:val="single" w:sz="6" w:space="0" w:color="000000"/>
            </w:tcBorders>
          </w:tcPr>
          <w:p w14:paraId="2C89A827"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Dans la mesure du possible, évaluer dans quelle mesure les performances de l’ICCAT sont comparables aux autres ORGP thonières en ce qui concerne l’adoption et la mise en œuvre des mesures de conservation et de gestion des espèces cibles et non cibles, l’état des ressources relevant de son mandat, les processus et procédures scientifiques et l’adoption et la mise en œuvre des mesures MCS et les procédures de contrôle de l’application.</w:t>
            </w:r>
          </w:p>
          <w:p w14:paraId="3804A51A" w14:textId="77777777" w:rsidR="00A94660" w:rsidRPr="00736165" w:rsidRDefault="00A94660" w:rsidP="00A94660">
            <w:pPr>
              <w:pStyle w:val="Default"/>
              <w:ind w:left="360"/>
              <w:jc w:val="both"/>
              <w:rPr>
                <w:rFonts w:ascii="Cambria" w:hAnsi="Cambria" w:cs="Times New Roman"/>
                <w:color w:val="auto"/>
                <w:sz w:val="20"/>
                <w:szCs w:val="20"/>
              </w:rPr>
            </w:pPr>
          </w:p>
          <w:p w14:paraId="253EB47B"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Identification des domaines/des meilleures pratiques qui permettraient à l'ICCAT d'améliorer ses performances. </w:t>
            </w:r>
          </w:p>
        </w:tc>
        <w:tc>
          <w:tcPr>
            <w:tcW w:w="4253" w:type="dxa"/>
            <w:tcBorders>
              <w:top w:val="single" w:sz="4" w:space="0" w:color="000000"/>
              <w:left w:val="single" w:sz="6" w:space="0" w:color="000000"/>
              <w:bottom w:val="single" w:sz="4" w:space="0" w:color="000000"/>
              <w:right w:val="single" w:sz="6" w:space="0" w:color="000000"/>
            </w:tcBorders>
          </w:tcPr>
          <w:p w14:paraId="719EAAF2"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BB47B6" w:rsidRPr="00736165" w14:paraId="063BF4F5"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7AFC4074" w14:textId="77777777" w:rsidR="00BB47B6" w:rsidRPr="00736165" w:rsidRDefault="00BB47B6" w:rsidP="00BB47B6">
            <w:pPr>
              <w:pStyle w:val="Default"/>
              <w:jc w:val="center"/>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3A4195E8"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0120B130"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Kobe</w:t>
            </w:r>
          </w:p>
        </w:tc>
        <w:tc>
          <w:tcPr>
            <w:tcW w:w="6708" w:type="dxa"/>
            <w:tcBorders>
              <w:top w:val="single" w:sz="4" w:space="0" w:color="000000"/>
              <w:left w:val="single" w:sz="6" w:space="0" w:color="000000"/>
              <w:bottom w:val="single" w:sz="4" w:space="0" w:color="000000"/>
              <w:right w:val="single" w:sz="6" w:space="0" w:color="000000"/>
            </w:tcBorders>
          </w:tcPr>
          <w:p w14:paraId="5E3A31FD" w14:textId="77777777" w:rsidR="00BB47B6" w:rsidRPr="00736165" w:rsidRDefault="00BB47B6" w:rsidP="00BB47B6">
            <w:pPr>
              <w:pStyle w:val="Default"/>
              <w:numPr>
                <w:ilvl w:val="0"/>
                <w:numId w:val="8"/>
              </w:numPr>
              <w:jc w:val="both"/>
              <w:rPr>
                <w:rFonts w:ascii="Cambria" w:hAnsi="Cambria"/>
                <w:color w:val="auto"/>
                <w:sz w:val="20"/>
                <w:szCs w:val="20"/>
              </w:rPr>
            </w:pPr>
            <w:r w:rsidRPr="00736165">
              <w:rPr>
                <w:rFonts w:ascii="Cambria" w:hAnsi="Cambria" w:cs="Times New Roman"/>
                <w:color w:val="auto"/>
                <w:sz w:val="20"/>
                <w:szCs w:val="20"/>
              </w:rPr>
              <w:t>Mesure dans laquelle l'ICCAT a mis en œuvre les recommandations de Kobe III et comparaison au niveau de mise en œuvre obtenu par d'autres ORGP thonières.</w:t>
            </w:r>
          </w:p>
        </w:tc>
        <w:tc>
          <w:tcPr>
            <w:tcW w:w="4253" w:type="dxa"/>
            <w:tcBorders>
              <w:top w:val="single" w:sz="4" w:space="0" w:color="000000"/>
              <w:left w:val="single" w:sz="6" w:space="0" w:color="000000"/>
              <w:bottom w:val="single" w:sz="4" w:space="0" w:color="000000"/>
              <w:right w:val="single" w:sz="6" w:space="0" w:color="000000"/>
            </w:tcBorders>
          </w:tcPr>
          <w:p w14:paraId="799C8F8C" w14:textId="77777777" w:rsidR="00BB47B6" w:rsidRPr="00736165" w:rsidRDefault="00BB47B6" w:rsidP="00BB47B6">
            <w:pPr>
              <w:pStyle w:val="Default"/>
              <w:jc w:val="both"/>
              <w:rPr>
                <w:rFonts w:ascii="Cambria" w:hAnsi="Cambria" w:cs="Times New Roman"/>
                <w:color w:val="auto"/>
                <w:sz w:val="20"/>
                <w:szCs w:val="20"/>
              </w:rPr>
            </w:pPr>
            <w:r w:rsidRPr="00736165">
              <w:rPr>
                <w:rFonts w:ascii="Cambria" w:hAnsi="Cambria" w:cs="Times New Roman"/>
                <w:color w:val="auto"/>
                <w:sz w:val="20"/>
                <w:szCs w:val="20"/>
              </w:rPr>
              <w:t>Nouveau point</w:t>
            </w:r>
          </w:p>
        </w:tc>
      </w:tr>
      <w:tr w:rsidR="00BB47B6" w:rsidRPr="00650C0E" w14:paraId="6B4598ED" w14:textId="77777777" w:rsidTr="00A71D85">
        <w:trPr>
          <w:trHeight w:val="700"/>
        </w:trPr>
        <w:tc>
          <w:tcPr>
            <w:tcW w:w="250" w:type="dxa"/>
            <w:tcBorders>
              <w:top w:val="single" w:sz="6" w:space="0" w:color="000000"/>
              <w:left w:val="single" w:sz="6" w:space="0" w:color="000000"/>
              <w:bottom w:val="single" w:sz="6" w:space="0" w:color="000000"/>
              <w:right w:val="single" w:sz="6" w:space="0" w:color="000000"/>
            </w:tcBorders>
          </w:tcPr>
          <w:p w14:paraId="453121A9" w14:textId="77777777" w:rsidR="00BB47B6" w:rsidRPr="00736165" w:rsidRDefault="00BB47B6" w:rsidP="00BB47B6">
            <w:pPr>
              <w:pStyle w:val="Default"/>
              <w:jc w:val="center"/>
              <w:rPr>
                <w:rFonts w:ascii="Cambria" w:hAnsi="Cambria" w:cs="Times New Roman"/>
                <w:color w:val="auto"/>
                <w:sz w:val="20"/>
                <w:szCs w:val="20"/>
              </w:rPr>
            </w:pPr>
            <w:r w:rsidRPr="00736165">
              <w:rPr>
                <w:rFonts w:ascii="Cambria" w:hAnsi="Cambria" w:cs="Times New Roman"/>
                <w:b/>
                <w:color w:val="auto"/>
                <w:sz w:val="20"/>
                <w:szCs w:val="20"/>
              </w:rPr>
              <w:t xml:space="preserve">8 </w:t>
            </w:r>
          </w:p>
        </w:tc>
        <w:tc>
          <w:tcPr>
            <w:tcW w:w="1561" w:type="dxa"/>
            <w:tcBorders>
              <w:top w:val="single" w:sz="6" w:space="0" w:color="000000"/>
              <w:left w:val="single" w:sz="6" w:space="0" w:color="000000"/>
              <w:bottom w:val="single" w:sz="6" w:space="0" w:color="000000"/>
              <w:right w:val="single" w:sz="6" w:space="0" w:color="000000"/>
            </w:tcBorders>
          </w:tcPr>
          <w:p w14:paraId="08E53540"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i/>
                <w:color w:val="auto"/>
                <w:sz w:val="20"/>
                <w:szCs w:val="20"/>
              </w:rPr>
              <w:t xml:space="preserve">Questions administratives et financières </w:t>
            </w:r>
          </w:p>
        </w:tc>
        <w:tc>
          <w:tcPr>
            <w:tcW w:w="1795" w:type="dxa"/>
            <w:tcBorders>
              <w:top w:val="single" w:sz="6" w:space="0" w:color="000000"/>
              <w:left w:val="single" w:sz="6" w:space="0" w:color="000000"/>
              <w:bottom w:val="single" w:sz="6" w:space="0" w:color="000000"/>
              <w:right w:val="single" w:sz="6" w:space="0" w:color="000000"/>
            </w:tcBorders>
          </w:tcPr>
          <w:p w14:paraId="5C389E75"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 xml:space="preserve">Disponibilité des ressources pour les activités de l’ORGP </w:t>
            </w:r>
          </w:p>
        </w:tc>
        <w:tc>
          <w:tcPr>
            <w:tcW w:w="6708" w:type="dxa"/>
            <w:tcBorders>
              <w:top w:val="single" w:sz="4" w:space="0" w:color="000000"/>
              <w:left w:val="single" w:sz="6" w:space="0" w:color="000000"/>
              <w:bottom w:val="single" w:sz="4" w:space="0" w:color="000000"/>
              <w:right w:val="single" w:sz="6" w:space="0" w:color="000000"/>
            </w:tcBorders>
          </w:tcPr>
          <w:p w14:paraId="0323CFEA"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 xml:space="preserve">Mesure dans laquelle le besoin de ressources financières, humaines ou d’autres ressources est correctement prévu et ces ressources sont mises à disposition afin d’atteindre les objectifs de l’ICCAT et de mettre en œuvre les décisions de l’ICCAT. </w:t>
            </w:r>
          </w:p>
        </w:tc>
        <w:tc>
          <w:tcPr>
            <w:tcW w:w="4253" w:type="dxa"/>
            <w:tcBorders>
              <w:top w:val="single" w:sz="4" w:space="0" w:color="000000"/>
              <w:left w:val="single" w:sz="6" w:space="0" w:color="000000"/>
              <w:bottom w:val="single" w:sz="4" w:space="0" w:color="000000"/>
              <w:right w:val="single" w:sz="6" w:space="0" w:color="000000"/>
            </w:tcBorders>
          </w:tcPr>
          <w:p w14:paraId="0FEBFC95" w14:textId="77777777" w:rsidR="00BB47B6" w:rsidRPr="00736165" w:rsidRDefault="00BB47B6" w:rsidP="00BB47B6">
            <w:pPr>
              <w:pStyle w:val="Default"/>
              <w:jc w:val="both"/>
              <w:rPr>
                <w:rFonts w:ascii="Cambria" w:hAnsi="Cambria" w:cs="Times New Roman"/>
                <w:color w:val="auto"/>
                <w:sz w:val="20"/>
                <w:szCs w:val="20"/>
              </w:rPr>
            </w:pPr>
          </w:p>
        </w:tc>
      </w:tr>
      <w:tr w:rsidR="00BB47B6" w:rsidRPr="00650C0E" w14:paraId="5676E9A0" w14:textId="77777777" w:rsidTr="00A71D85">
        <w:trPr>
          <w:trHeight w:val="485"/>
        </w:trPr>
        <w:tc>
          <w:tcPr>
            <w:tcW w:w="250" w:type="dxa"/>
            <w:tcBorders>
              <w:top w:val="single" w:sz="6" w:space="0" w:color="000000"/>
              <w:left w:val="single" w:sz="6" w:space="0" w:color="000000"/>
              <w:bottom w:val="single" w:sz="6" w:space="0" w:color="000000"/>
              <w:right w:val="single" w:sz="6" w:space="0" w:color="000000"/>
            </w:tcBorders>
          </w:tcPr>
          <w:p w14:paraId="6808A0CD" w14:textId="77777777" w:rsidR="00BB47B6" w:rsidRPr="00736165" w:rsidRDefault="00BB47B6" w:rsidP="00BB47B6">
            <w:pPr>
              <w:pStyle w:val="Default"/>
              <w:rPr>
                <w:rFonts w:ascii="Cambria" w:hAnsi="Cambria" w:cs="Times New Roman"/>
                <w:color w:val="auto"/>
                <w:sz w:val="20"/>
                <w:szCs w:val="20"/>
              </w:rPr>
            </w:pPr>
          </w:p>
        </w:tc>
        <w:tc>
          <w:tcPr>
            <w:tcW w:w="1561" w:type="dxa"/>
            <w:tcBorders>
              <w:top w:val="single" w:sz="6" w:space="0" w:color="000000"/>
              <w:left w:val="single" w:sz="6" w:space="0" w:color="000000"/>
              <w:bottom w:val="single" w:sz="6" w:space="0" w:color="000000"/>
              <w:right w:val="single" w:sz="6" w:space="0" w:color="000000"/>
            </w:tcBorders>
          </w:tcPr>
          <w:p w14:paraId="2E0DB71C" w14:textId="77777777" w:rsidR="00BB47B6" w:rsidRPr="00736165" w:rsidRDefault="00BB47B6" w:rsidP="00BB47B6">
            <w:pPr>
              <w:pStyle w:val="Default"/>
              <w:rPr>
                <w:rFonts w:ascii="Cambria" w:hAnsi="Cambria" w:cs="Times New Roman"/>
                <w:color w:val="auto"/>
                <w:sz w:val="20"/>
                <w:szCs w:val="20"/>
              </w:rPr>
            </w:pPr>
          </w:p>
        </w:tc>
        <w:tc>
          <w:tcPr>
            <w:tcW w:w="1795" w:type="dxa"/>
            <w:tcBorders>
              <w:top w:val="single" w:sz="6" w:space="0" w:color="000000"/>
              <w:left w:val="single" w:sz="6" w:space="0" w:color="000000"/>
              <w:bottom w:val="single" w:sz="6" w:space="0" w:color="000000"/>
              <w:right w:val="single" w:sz="6" w:space="0" w:color="000000"/>
            </w:tcBorders>
          </w:tcPr>
          <w:p w14:paraId="5F367075" w14:textId="77777777" w:rsidR="00BB47B6" w:rsidRPr="00736165" w:rsidRDefault="00BB47B6" w:rsidP="00BB47B6">
            <w:pPr>
              <w:pStyle w:val="Default"/>
              <w:rPr>
                <w:rFonts w:ascii="Cambria" w:hAnsi="Cambria" w:cs="Times New Roman"/>
                <w:color w:val="auto"/>
                <w:sz w:val="20"/>
                <w:szCs w:val="20"/>
              </w:rPr>
            </w:pPr>
            <w:r w:rsidRPr="00736165">
              <w:rPr>
                <w:rFonts w:ascii="Cambria" w:hAnsi="Cambria" w:cs="Times New Roman"/>
                <w:color w:val="auto"/>
                <w:sz w:val="20"/>
                <w:szCs w:val="20"/>
              </w:rPr>
              <w:t>Efficacité et efficience</w:t>
            </w:r>
          </w:p>
        </w:tc>
        <w:tc>
          <w:tcPr>
            <w:tcW w:w="6708" w:type="dxa"/>
            <w:tcBorders>
              <w:top w:val="single" w:sz="4" w:space="0" w:color="000000"/>
              <w:left w:val="single" w:sz="6" w:space="0" w:color="000000"/>
              <w:bottom w:val="single" w:sz="4" w:space="0" w:color="000000"/>
              <w:right w:val="single" w:sz="6" w:space="0" w:color="000000"/>
            </w:tcBorders>
          </w:tcPr>
          <w:p w14:paraId="468516B0" w14:textId="77777777" w:rsidR="00BB47B6" w:rsidRPr="00736165" w:rsidRDefault="00BB47B6" w:rsidP="00BB47B6">
            <w:pPr>
              <w:pStyle w:val="Default"/>
              <w:numPr>
                <w:ilvl w:val="0"/>
                <w:numId w:val="8"/>
              </w:numPr>
              <w:jc w:val="both"/>
              <w:rPr>
                <w:rFonts w:ascii="Cambria" w:hAnsi="Cambria" w:cs="Times New Roman"/>
                <w:color w:val="auto"/>
                <w:sz w:val="20"/>
                <w:szCs w:val="20"/>
              </w:rPr>
            </w:pPr>
            <w:r w:rsidRPr="00736165">
              <w:rPr>
                <w:rFonts w:ascii="Cambria" w:hAnsi="Cambria" w:cs="Times New Roman"/>
                <w:color w:val="auto"/>
                <w:sz w:val="20"/>
                <w:szCs w:val="20"/>
              </w:rPr>
              <w:t>Mesure dans laquelle l’ICCAT gère efficacement ses ressources humaines et financières, y compris celles du Secrétariat, afin de soutenir les objectifs de la Commission et d’assurer la continuité des opérations, ce qui inclut la création de politiques administratives, de structures, de rôles et de responsabilités et de relations hiérarchiques clairs et transparents, d’une communication interne et externe efficace et d’autres aspects de planification et d’opérations administratives.</w:t>
            </w:r>
          </w:p>
        </w:tc>
        <w:tc>
          <w:tcPr>
            <w:tcW w:w="4253" w:type="dxa"/>
            <w:tcBorders>
              <w:top w:val="single" w:sz="4" w:space="0" w:color="000000"/>
              <w:left w:val="single" w:sz="6" w:space="0" w:color="000000"/>
              <w:bottom w:val="single" w:sz="4" w:space="0" w:color="000000"/>
              <w:right w:val="single" w:sz="6" w:space="0" w:color="000000"/>
            </w:tcBorders>
          </w:tcPr>
          <w:p w14:paraId="7AC44423" w14:textId="77777777" w:rsidR="00BB47B6" w:rsidRPr="00736165" w:rsidRDefault="00BB47B6" w:rsidP="00BB47B6">
            <w:pPr>
              <w:pStyle w:val="Default"/>
              <w:jc w:val="both"/>
              <w:rPr>
                <w:rFonts w:ascii="Cambria" w:hAnsi="Cambria" w:cs="Times New Roman"/>
                <w:color w:val="auto"/>
                <w:sz w:val="20"/>
                <w:szCs w:val="20"/>
              </w:rPr>
            </w:pPr>
          </w:p>
        </w:tc>
      </w:tr>
    </w:tbl>
    <w:p w14:paraId="2AED8328" w14:textId="77777777" w:rsidR="00D576BD" w:rsidRPr="00736165" w:rsidRDefault="00D576BD" w:rsidP="00D576BD">
      <w:pPr>
        <w:pStyle w:val="Default"/>
        <w:rPr>
          <w:rFonts w:ascii="Cambria" w:hAnsi="Cambria" w:cs="Times New Roman"/>
          <w:color w:val="auto"/>
          <w:sz w:val="20"/>
          <w:szCs w:val="20"/>
        </w:rPr>
      </w:pPr>
    </w:p>
    <w:p w14:paraId="74CD5BD0" w14:textId="77777777" w:rsidR="00D576BD" w:rsidRPr="00736165" w:rsidRDefault="00D576BD" w:rsidP="00D576BD">
      <w:pPr>
        <w:jc w:val="both"/>
        <w:rPr>
          <w:rFonts w:ascii="Cambria" w:hAnsi="Cambria"/>
          <w:sz w:val="20"/>
          <w:szCs w:val="20"/>
          <w:lang w:val="fr-FR"/>
        </w:rPr>
      </w:pPr>
    </w:p>
    <w:p w14:paraId="054822F1" w14:textId="77777777" w:rsidR="00DA7438" w:rsidRPr="00736165" w:rsidRDefault="00DA7438" w:rsidP="00D576BD">
      <w:pPr>
        <w:tabs>
          <w:tab w:val="left" w:pos="7320"/>
        </w:tabs>
        <w:spacing w:line="240" w:lineRule="exact"/>
        <w:jc w:val="both"/>
        <w:rPr>
          <w:rFonts w:ascii="Cambria" w:hAnsi="Cambria"/>
          <w:bCs/>
          <w:sz w:val="20"/>
          <w:szCs w:val="20"/>
          <w:lang w:val="fr-FR"/>
        </w:rPr>
      </w:pPr>
    </w:p>
    <w:p w14:paraId="3B712C13" w14:textId="77777777" w:rsidR="00A94660" w:rsidRPr="00736165" w:rsidRDefault="00A94660">
      <w:pPr>
        <w:tabs>
          <w:tab w:val="left" w:pos="7320"/>
        </w:tabs>
        <w:spacing w:line="240" w:lineRule="exact"/>
        <w:jc w:val="both"/>
        <w:rPr>
          <w:rFonts w:ascii="Cambria" w:hAnsi="Cambria"/>
          <w:bCs/>
          <w:sz w:val="20"/>
          <w:szCs w:val="20"/>
          <w:lang w:val="fr-FR"/>
        </w:rPr>
      </w:pPr>
    </w:p>
    <w:sectPr w:rsidR="00A94660" w:rsidRPr="00736165" w:rsidSect="002361B2">
      <w:headerReference w:type="default" r:id="rId13"/>
      <w:footerReference w:type="even" r:id="rId14"/>
      <w:footerReference w:type="default" r:id="rId15"/>
      <w:pgSz w:w="16838" w:h="11906" w:orient="landscape" w:code="9"/>
      <w:pgMar w:top="1418" w:right="1418" w:bottom="1531" w:left="1418" w:header="851" w:footer="1134"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E845" w14:textId="77777777" w:rsidR="005E682B" w:rsidRDefault="005E682B">
      <w:r>
        <w:separator/>
      </w:r>
    </w:p>
  </w:endnote>
  <w:endnote w:type="continuationSeparator" w:id="0">
    <w:p w14:paraId="757595A3" w14:textId="77777777" w:rsidR="005E682B" w:rsidRDefault="005E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09E8" w14:textId="77777777" w:rsidR="00D576BD" w:rsidRPr="00887FDF" w:rsidRDefault="00D576BD" w:rsidP="005B7ADD">
    <w:pPr>
      <w:pStyle w:val="Footer"/>
      <w:framePr w:wrap="around" w:vAnchor="text" w:hAnchor="margin" w:xAlign="outside" w:y="1"/>
      <w:rPr>
        <w:rStyle w:val="PageNumber"/>
        <w:sz w:val="20"/>
        <w:szCs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p>
  <w:p w14:paraId="2C45DA94" w14:textId="77777777" w:rsidR="00D576BD" w:rsidRDefault="00D576BD" w:rsidP="005B7AD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BAE" w14:textId="77777777" w:rsidR="00D576BD" w:rsidRPr="00D576BD" w:rsidRDefault="00D576BD" w:rsidP="00D576BD">
    <w:pPr>
      <w:pStyle w:val="Footer"/>
      <w:jc w:val="center"/>
      <w:rPr>
        <w:sz w:val="20"/>
        <w:szCs w:val="20"/>
      </w:rPr>
    </w:pPr>
    <w:r w:rsidRPr="00D576BD">
      <w:rPr>
        <w:bCs/>
        <w:sz w:val="20"/>
        <w:szCs w:val="20"/>
      </w:rPr>
      <w:fldChar w:fldCharType="begin"/>
    </w:r>
    <w:r w:rsidRPr="00D576BD">
      <w:rPr>
        <w:bCs/>
        <w:sz w:val="20"/>
        <w:szCs w:val="20"/>
      </w:rPr>
      <w:instrText xml:space="preserve"> PAGE </w:instrText>
    </w:r>
    <w:r w:rsidRPr="00D576BD">
      <w:rPr>
        <w:bCs/>
        <w:sz w:val="20"/>
        <w:szCs w:val="20"/>
      </w:rPr>
      <w:fldChar w:fldCharType="separate"/>
    </w:r>
    <w:r w:rsidR="00A94660">
      <w:rPr>
        <w:bCs/>
        <w:noProof/>
        <w:sz w:val="20"/>
        <w:szCs w:val="20"/>
      </w:rPr>
      <w:t>4</w:t>
    </w:r>
    <w:r w:rsidRPr="00D576BD">
      <w:rPr>
        <w:bCs/>
        <w:sz w:val="20"/>
        <w:szCs w:val="20"/>
      </w:rPr>
      <w:fldChar w:fldCharType="end"/>
    </w:r>
    <w:r w:rsidRPr="00D576BD">
      <w:rPr>
        <w:sz w:val="20"/>
        <w:szCs w:val="20"/>
      </w:rPr>
      <w:t xml:space="preserve"> </w:t>
    </w:r>
    <w:r>
      <w:rPr>
        <w:sz w:val="20"/>
        <w:szCs w:val="20"/>
      </w:rPr>
      <w:t>/</w:t>
    </w:r>
    <w:r w:rsidRPr="00D576BD">
      <w:rPr>
        <w:sz w:val="20"/>
        <w:szCs w:val="20"/>
      </w:rPr>
      <w:t xml:space="preserve"> </w:t>
    </w:r>
    <w:r w:rsidRPr="00D576BD">
      <w:rPr>
        <w:bCs/>
        <w:sz w:val="20"/>
        <w:szCs w:val="20"/>
      </w:rPr>
      <w:fldChar w:fldCharType="begin"/>
    </w:r>
    <w:r w:rsidRPr="00D576BD">
      <w:rPr>
        <w:bCs/>
        <w:sz w:val="20"/>
        <w:szCs w:val="20"/>
      </w:rPr>
      <w:instrText xml:space="preserve"> NUMPAGES  </w:instrText>
    </w:r>
    <w:r w:rsidRPr="00D576BD">
      <w:rPr>
        <w:bCs/>
        <w:sz w:val="20"/>
        <w:szCs w:val="20"/>
      </w:rPr>
      <w:fldChar w:fldCharType="separate"/>
    </w:r>
    <w:r w:rsidR="00A94660">
      <w:rPr>
        <w:bCs/>
        <w:noProof/>
        <w:sz w:val="20"/>
        <w:szCs w:val="20"/>
      </w:rPr>
      <w:t>10</w:t>
    </w:r>
    <w:r w:rsidRPr="00D576BD">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BF1" w14:textId="77777777" w:rsidR="00D576BD" w:rsidRPr="00EA2194" w:rsidRDefault="00D576BD" w:rsidP="005B7ADD">
    <w:pPr>
      <w:pStyle w:val="Footer"/>
      <w:framePr w:wrap="around" w:vAnchor="text" w:hAnchor="page" w:x="5499" w:y="199"/>
      <w:jc w:val="center"/>
      <w:rPr>
        <w:rStyle w:val="PageNumber"/>
        <w:sz w:val="20"/>
        <w:szCs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A94660">
      <w:rPr>
        <w:rStyle w:val="PageNumber"/>
        <w:noProof/>
        <w:sz w:val="20"/>
      </w:rPr>
      <w:t>10</w:t>
    </w:r>
    <w:r>
      <w:rPr>
        <w:rStyle w:val="PageNumber"/>
        <w:sz w:val="20"/>
      </w:rPr>
      <w:fldChar w:fldCharType="end"/>
    </w:r>
  </w:p>
  <w:p w14:paraId="2D623172" w14:textId="77777777" w:rsidR="00D576BD" w:rsidRDefault="00D576BD" w:rsidP="005B7ADD">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6BFC" w14:textId="77777777" w:rsidR="00693CDB" w:rsidRDefault="00693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7FC2" w14:textId="77777777" w:rsidR="00693CDB" w:rsidRDefault="00693C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EAAF" w14:textId="77777777" w:rsidR="00693CDB" w:rsidRPr="009477AC" w:rsidRDefault="002361B2" w:rsidP="002361B2">
    <w:pPr>
      <w:pStyle w:val="Footer"/>
      <w:jc w:val="center"/>
      <w:rPr>
        <w:rFonts w:ascii="Cambria" w:hAnsi="Cambria"/>
        <w:sz w:val="20"/>
        <w:szCs w:val="20"/>
      </w:rPr>
    </w:pPr>
    <w:r w:rsidRPr="009477AC">
      <w:rPr>
        <w:rFonts w:ascii="Cambria" w:hAnsi="Cambria"/>
        <w:bCs/>
        <w:sz w:val="20"/>
        <w:szCs w:val="20"/>
      </w:rPr>
      <w:fldChar w:fldCharType="begin"/>
    </w:r>
    <w:r w:rsidRPr="009477AC">
      <w:rPr>
        <w:rFonts w:ascii="Cambria" w:hAnsi="Cambria"/>
        <w:bCs/>
        <w:sz w:val="20"/>
        <w:szCs w:val="20"/>
      </w:rPr>
      <w:instrText xml:space="preserve"> PAGE </w:instrText>
    </w:r>
    <w:r w:rsidRPr="009477AC">
      <w:rPr>
        <w:rFonts w:ascii="Cambria" w:hAnsi="Cambria"/>
        <w:bCs/>
        <w:sz w:val="20"/>
        <w:szCs w:val="20"/>
      </w:rPr>
      <w:fldChar w:fldCharType="separate"/>
    </w:r>
    <w:r w:rsidR="00A94660" w:rsidRPr="009477AC">
      <w:rPr>
        <w:rFonts w:ascii="Cambria" w:hAnsi="Cambria"/>
        <w:bCs/>
        <w:noProof/>
        <w:sz w:val="20"/>
        <w:szCs w:val="20"/>
      </w:rPr>
      <w:t>10</w:t>
    </w:r>
    <w:r w:rsidRPr="009477AC">
      <w:rPr>
        <w:rFonts w:ascii="Cambria" w:hAnsi="Cambria"/>
        <w:bCs/>
        <w:sz w:val="20"/>
        <w:szCs w:val="20"/>
      </w:rPr>
      <w:fldChar w:fldCharType="end"/>
    </w:r>
    <w:r w:rsidRPr="009477AC">
      <w:rPr>
        <w:rFonts w:ascii="Cambria" w:hAnsi="Cambria"/>
        <w:sz w:val="20"/>
        <w:szCs w:val="20"/>
      </w:rPr>
      <w:t xml:space="preserve"> / </w:t>
    </w:r>
    <w:r w:rsidRPr="009477AC">
      <w:rPr>
        <w:rFonts w:ascii="Cambria" w:hAnsi="Cambria"/>
        <w:bCs/>
        <w:sz w:val="20"/>
        <w:szCs w:val="20"/>
      </w:rPr>
      <w:fldChar w:fldCharType="begin"/>
    </w:r>
    <w:r w:rsidRPr="009477AC">
      <w:rPr>
        <w:rFonts w:ascii="Cambria" w:hAnsi="Cambria"/>
        <w:bCs/>
        <w:sz w:val="20"/>
        <w:szCs w:val="20"/>
      </w:rPr>
      <w:instrText xml:space="preserve"> NUMPAGES  </w:instrText>
    </w:r>
    <w:r w:rsidRPr="009477AC">
      <w:rPr>
        <w:rFonts w:ascii="Cambria" w:hAnsi="Cambria"/>
        <w:bCs/>
        <w:sz w:val="20"/>
        <w:szCs w:val="20"/>
      </w:rPr>
      <w:fldChar w:fldCharType="separate"/>
    </w:r>
    <w:r w:rsidR="00A94660" w:rsidRPr="009477AC">
      <w:rPr>
        <w:rFonts w:ascii="Cambria" w:hAnsi="Cambria"/>
        <w:bCs/>
        <w:noProof/>
        <w:sz w:val="20"/>
        <w:szCs w:val="20"/>
      </w:rPr>
      <w:t>10</w:t>
    </w:r>
    <w:r w:rsidRPr="009477AC">
      <w:rPr>
        <w:rFonts w:ascii="Cambria" w:hAnsi="Cambria"/>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03D6" w14:textId="77777777" w:rsidR="005E682B" w:rsidRDefault="005E682B">
      <w:r>
        <w:separator/>
      </w:r>
    </w:p>
  </w:footnote>
  <w:footnote w:type="continuationSeparator" w:id="0">
    <w:p w14:paraId="00CC4C7F" w14:textId="77777777" w:rsidR="005E682B" w:rsidRDefault="005E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20B8" w14:textId="77777777" w:rsidR="00D576BD" w:rsidRPr="00887FDF" w:rsidRDefault="00D576BD">
    <w:pPr>
      <w:pStyle w:val="Header"/>
      <w:rPr>
        <w:rFonts w:ascii="Arial" w:hAnsi="Arial" w:cs="Arial"/>
        <w:sz w:val="16"/>
        <w:szCs w:val="16"/>
      </w:rPr>
    </w:pPr>
    <w:r>
      <w:rPr>
        <w:rFonts w:ascii="Arial" w:hAnsi="Arial"/>
        <w:sz w:val="16"/>
      </w:rPr>
      <w:t>RAPPORT ICCAT 2006-2007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D786" w14:textId="0F3FA785" w:rsidR="00736165" w:rsidRPr="00736165" w:rsidRDefault="00736165" w:rsidP="00736165">
    <w:pPr>
      <w:tabs>
        <w:tab w:val="center" w:pos="4680"/>
        <w:tab w:val="left" w:pos="6520"/>
        <w:tab w:val="right" w:pos="9360"/>
        <w:tab w:val="right" w:pos="14240"/>
      </w:tabs>
      <w:jc w:val="right"/>
      <w:rPr>
        <w:rFonts w:ascii="Cambria" w:eastAsia="Calibri" w:hAnsi="Cambria"/>
        <w:b/>
        <w:bCs/>
        <w:sz w:val="20"/>
        <w:szCs w:val="20"/>
      </w:rPr>
    </w:pPr>
    <w:r w:rsidRPr="00736165">
      <w:rPr>
        <w:rFonts w:ascii="Cambria" w:hAnsi="Cambria"/>
        <w:b/>
        <w:sz w:val="20"/>
        <w:szCs w:val="20"/>
      </w:rPr>
      <w:t>STF_2</w:t>
    </w:r>
    <w:r w:rsidR="00650C0E">
      <w:rPr>
        <w:rFonts w:ascii="Cambria" w:hAnsi="Cambria"/>
        <w:b/>
        <w:sz w:val="20"/>
        <w:szCs w:val="20"/>
      </w:rPr>
      <w:t>2</w:t>
    </w:r>
    <w:r w:rsidRPr="00736165">
      <w:rPr>
        <w:rFonts w:ascii="Cambria" w:hAnsi="Cambria"/>
        <w:b/>
        <w:sz w:val="20"/>
        <w:szCs w:val="20"/>
      </w:rPr>
      <w:t>0/2025</w:t>
    </w:r>
  </w:p>
  <w:p w14:paraId="7E8B05F1" w14:textId="208F3F60" w:rsidR="00736165" w:rsidRPr="00736165" w:rsidRDefault="00736165" w:rsidP="00736165">
    <w:pPr>
      <w:tabs>
        <w:tab w:val="left" w:pos="7320"/>
      </w:tabs>
      <w:spacing w:line="240" w:lineRule="exact"/>
      <w:jc w:val="right"/>
      <w:rPr>
        <w:rFonts w:ascii="Arial" w:hAnsi="Arial" w:cs="Arial"/>
        <w:sz w:val="16"/>
        <w:szCs w:val="16"/>
      </w:rPr>
    </w:pPr>
    <w:r>
      <w:rPr>
        <w:rFonts w:ascii="Cambria" w:hAnsi="Cambria"/>
        <w:b/>
        <w:sz w:val="16"/>
        <w:lang w:val="en-GB"/>
      </w:rPr>
      <w:fldChar w:fldCharType="begin"/>
    </w:r>
    <w:r>
      <w:rPr>
        <w:rFonts w:ascii="Cambria" w:hAnsi="Cambria"/>
        <w:b/>
        <w:sz w:val="16"/>
      </w:rPr>
      <w:instrText xml:space="preserve"> TIME \@ "dd/MM/yyyy H:mm" </w:instrText>
    </w:r>
    <w:r>
      <w:rPr>
        <w:rFonts w:ascii="Cambria" w:hAnsi="Cambria"/>
        <w:b/>
        <w:sz w:val="16"/>
        <w:lang w:val="en-GB"/>
      </w:rPr>
      <w:fldChar w:fldCharType="separate"/>
    </w:r>
    <w:r w:rsidR="00650C0E">
      <w:rPr>
        <w:rFonts w:ascii="Cambria" w:hAnsi="Cambria"/>
        <w:b/>
        <w:noProof/>
        <w:sz w:val="16"/>
      </w:rPr>
      <w:t>20/11/2025 10:05</w:t>
    </w:r>
    <w:r>
      <w:rPr>
        <w:rFonts w:ascii="Cambria" w:hAnsi="Cambria"/>
        <w:b/>
        <w:bCs/>
        <w:sz w:val="16"/>
        <w:szCs w:val="16"/>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8870" w14:textId="2683DD32" w:rsidR="009477AC" w:rsidRPr="00736165" w:rsidRDefault="009477AC" w:rsidP="009477AC">
    <w:pPr>
      <w:tabs>
        <w:tab w:val="center" w:pos="4680"/>
        <w:tab w:val="left" w:pos="6520"/>
        <w:tab w:val="right" w:pos="9360"/>
        <w:tab w:val="right" w:pos="14240"/>
      </w:tabs>
      <w:jc w:val="right"/>
      <w:rPr>
        <w:rFonts w:ascii="Cambria" w:eastAsia="Calibri" w:hAnsi="Cambria"/>
        <w:b/>
        <w:bCs/>
        <w:sz w:val="20"/>
        <w:szCs w:val="20"/>
      </w:rPr>
    </w:pPr>
    <w:r w:rsidRPr="00736165">
      <w:rPr>
        <w:rFonts w:ascii="Cambria" w:hAnsi="Cambria"/>
        <w:b/>
        <w:sz w:val="20"/>
        <w:szCs w:val="20"/>
      </w:rPr>
      <w:t>STF_2</w:t>
    </w:r>
    <w:r w:rsidR="00650C0E">
      <w:rPr>
        <w:rFonts w:ascii="Cambria" w:hAnsi="Cambria"/>
        <w:b/>
        <w:sz w:val="20"/>
        <w:szCs w:val="20"/>
      </w:rPr>
      <w:t>2</w:t>
    </w:r>
    <w:r w:rsidRPr="00736165">
      <w:rPr>
        <w:rFonts w:ascii="Cambria" w:hAnsi="Cambria"/>
        <w:b/>
        <w:sz w:val="20"/>
        <w:szCs w:val="20"/>
      </w:rPr>
      <w:t>0/2025</w:t>
    </w:r>
  </w:p>
  <w:p w14:paraId="148DC89C" w14:textId="428EEFDC" w:rsidR="00693CDB" w:rsidRPr="009477AC" w:rsidRDefault="009477AC" w:rsidP="009477AC">
    <w:pPr>
      <w:tabs>
        <w:tab w:val="left" w:pos="7320"/>
      </w:tabs>
      <w:spacing w:line="240" w:lineRule="exact"/>
      <w:jc w:val="right"/>
      <w:rPr>
        <w:rFonts w:ascii="Arial" w:hAnsi="Arial" w:cs="Arial"/>
        <w:sz w:val="16"/>
        <w:szCs w:val="16"/>
      </w:rPr>
    </w:pPr>
    <w:r>
      <w:rPr>
        <w:rFonts w:ascii="Cambria" w:hAnsi="Cambria"/>
        <w:b/>
        <w:sz w:val="16"/>
        <w:lang w:val="en-GB"/>
      </w:rPr>
      <w:fldChar w:fldCharType="begin"/>
    </w:r>
    <w:r>
      <w:rPr>
        <w:rFonts w:ascii="Cambria" w:hAnsi="Cambria"/>
        <w:b/>
        <w:sz w:val="16"/>
      </w:rPr>
      <w:instrText xml:space="preserve"> TIME \@ "dd/MM/yyyy H:mm" </w:instrText>
    </w:r>
    <w:r>
      <w:rPr>
        <w:rFonts w:ascii="Cambria" w:hAnsi="Cambria"/>
        <w:b/>
        <w:sz w:val="16"/>
        <w:lang w:val="en-GB"/>
      </w:rPr>
      <w:fldChar w:fldCharType="separate"/>
    </w:r>
    <w:r w:rsidR="00650C0E">
      <w:rPr>
        <w:rFonts w:ascii="Cambria" w:hAnsi="Cambria"/>
        <w:b/>
        <w:noProof/>
        <w:sz w:val="16"/>
      </w:rPr>
      <w:t>20/11/2025 10:05</w:t>
    </w:r>
    <w:r>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55E35F4"/>
    <w:multiLevelType w:val="hybridMultilevel"/>
    <w:tmpl w:val="0C64C6E2"/>
    <w:lvl w:ilvl="0" w:tplc="EF9CCC32">
      <w:start w:val="1"/>
      <w:numFmt w:val="bullet"/>
      <w:lvlText w:val=""/>
      <w:lvlJc w:val="left"/>
      <w:pPr>
        <w:ind w:left="928" w:hanging="360"/>
      </w:pPr>
      <w:rPr>
        <w:rFonts w:ascii="Symbol" w:hAnsi="Symbol" w:hint="default"/>
      </w:rPr>
    </w:lvl>
    <w:lvl w:ilvl="1" w:tplc="F8A474E2" w:tentative="1">
      <w:start w:val="1"/>
      <w:numFmt w:val="bullet"/>
      <w:lvlText w:val="o"/>
      <w:lvlJc w:val="left"/>
      <w:pPr>
        <w:ind w:left="1440" w:hanging="360"/>
      </w:pPr>
      <w:rPr>
        <w:rFonts w:ascii="Courier New" w:hAnsi="Courier New" w:cs="Courier New" w:hint="default"/>
      </w:rPr>
    </w:lvl>
    <w:lvl w:ilvl="2" w:tplc="6778CA6C" w:tentative="1">
      <w:start w:val="1"/>
      <w:numFmt w:val="bullet"/>
      <w:lvlText w:val=""/>
      <w:lvlJc w:val="left"/>
      <w:pPr>
        <w:ind w:left="2160" w:hanging="360"/>
      </w:pPr>
      <w:rPr>
        <w:rFonts w:ascii="Wingdings" w:hAnsi="Wingdings" w:hint="default"/>
      </w:rPr>
    </w:lvl>
    <w:lvl w:ilvl="3" w:tplc="18D891E4" w:tentative="1">
      <w:start w:val="1"/>
      <w:numFmt w:val="bullet"/>
      <w:lvlText w:val=""/>
      <w:lvlJc w:val="left"/>
      <w:pPr>
        <w:ind w:left="2880" w:hanging="360"/>
      </w:pPr>
      <w:rPr>
        <w:rFonts w:ascii="Symbol" w:hAnsi="Symbol" w:hint="default"/>
      </w:rPr>
    </w:lvl>
    <w:lvl w:ilvl="4" w:tplc="6D62BEB0" w:tentative="1">
      <w:start w:val="1"/>
      <w:numFmt w:val="bullet"/>
      <w:lvlText w:val="o"/>
      <w:lvlJc w:val="left"/>
      <w:pPr>
        <w:ind w:left="3600" w:hanging="360"/>
      </w:pPr>
      <w:rPr>
        <w:rFonts w:ascii="Courier New" w:hAnsi="Courier New" w:cs="Courier New" w:hint="default"/>
      </w:rPr>
    </w:lvl>
    <w:lvl w:ilvl="5" w:tplc="F910837E" w:tentative="1">
      <w:start w:val="1"/>
      <w:numFmt w:val="bullet"/>
      <w:lvlText w:val=""/>
      <w:lvlJc w:val="left"/>
      <w:pPr>
        <w:ind w:left="4320" w:hanging="360"/>
      </w:pPr>
      <w:rPr>
        <w:rFonts w:ascii="Wingdings" w:hAnsi="Wingdings" w:hint="default"/>
      </w:rPr>
    </w:lvl>
    <w:lvl w:ilvl="6" w:tplc="DD98CBCE" w:tentative="1">
      <w:start w:val="1"/>
      <w:numFmt w:val="bullet"/>
      <w:lvlText w:val=""/>
      <w:lvlJc w:val="left"/>
      <w:pPr>
        <w:ind w:left="5040" w:hanging="360"/>
      </w:pPr>
      <w:rPr>
        <w:rFonts w:ascii="Symbol" w:hAnsi="Symbol" w:hint="default"/>
      </w:rPr>
    </w:lvl>
    <w:lvl w:ilvl="7" w:tplc="53229D6E" w:tentative="1">
      <w:start w:val="1"/>
      <w:numFmt w:val="bullet"/>
      <w:lvlText w:val="o"/>
      <w:lvlJc w:val="left"/>
      <w:pPr>
        <w:ind w:left="5760" w:hanging="360"/>
      </w:pPr>
      <w:rPr>
        <w:rFonts w:ascii="Courier New" w:hAnsi="Courier New" w:cs="Courier New" w:hint="default"/>
      </w:rPr>
    </w:lvl>
    <w:lvl w:ilvl="8" w:tplc="F7306CBE" w:tentative="1">
      <w:start w:val="1"/>
      <w:numFmt w:val="bullet"/>
      <w:lvlText w:val=""/>
      <w:lvlJc w:val="left"/>
      <w:pPr>
        <w:ind w:left="6480" w:hanging="360"/>
      </w:pPr>
      <w:rPr>
        <w:rFonts w:ascii="Wingdings" w:hAnsi="Wingdings" w:hint="default"/>
      </w:rPr>
    </w:lvl>
  </w:abstractNum>
  <w:abstractNum w:abstractNumId="3"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444C4732"/>
    <w:multiLevelType w:val="hybridMultilevel"/>
    <w:tmpl w:val="349EDA6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5BEE078F"/>
    <w:multiLevelType w:val="hybridMultilevel"/>
    <w:tmpl w:val="59A2FD4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1F5426"/>
    <w:multiLevelType w:val="hybridMultilevel"/>
    <w:tmpl w:val="11F4162C"/>
    <w:lvl w:ilvl="0" w:tplc="FFFFFFFF">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53404818">
    <w:abstractNumId w:val="1"/>
  </w:num>
  <w:num w:numId="2" w16cid:durableId="1147743654">
    <w:abstractNumId w:val="0"/>
  </w:num>
  <w:num w:numId="3" w16cid:durableId="2146965497">
    <w:abstractNumId w:val="5"/>
  </w:num>
  <w:num w:numId="4" w16cid:durableId="1648389877">
    <w:abstractNumId w:val="3"/>
  </w:num>
  <w:num w:numId="5" w16cid:durableId="49152450">
    <w:abstractNumId w:val="6"/>
  </w:num>
  <w:num w:numId="6" w16cid:durableId="537399890">
    <w:abstractNumId w:val="4"/>
  </w:num>
  <w:num w:numId="7" w16cid:durableId="251014647">
    <w:abstractNumId w:val="2"/>
  </w:num>
  <w:num w:numId="8" w16cid:durableId="720594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A6"/>
    <w:rsid w:val="00002261"/>
    <w:rsid w:val="00014970"/>
    <w:rsid w:val="000621FC"/>
    <w:rsid w:val="00062AD7"/>
    <w:rsid w:val="000659C4"/>
    <w:rsid w:val="000A3A0F"/>
    <w:rsid w:val="000C37B8"/>
    <w:rsid w:val="000C4F26"/>
    <w:rsid w:val="000C67A0"/>
    <w:rsid w:val="000E0614"/>
    <w:rsid w:val="001053DA"/>
    <w:rsid w:val="00113BC5"/>
    <w:rsid w:val="001320F6"/>
    <w:rsid w:val="00150B33"/>
    <w:rsid w:val="001B21DA"/>
    <w:rsid w:val="001D3583"/>
    <w:rsid w:val="001E68D1"/>
    <w:rsid w:val="001E7805"/>
    <w:rsid w:val="002126AE"/>
    <w:rsid w:val="002361B2"/>
    <w:rsid w:val="0028384B"/>
    <w:rsid w:val="002F616F"/>
    <w:rsid w:val="00346639"/>
    <w:rsid w:val="00361E22"/>
    <w:rsid w:val="003835DF"/>
    <w:rsid w:val="003E0187"/>
    <w:rsid w:val="003E3BDF"/>
    <w:rsid w:val="003E752C"/>
    <w:rsid w:val="004101B8"/>
    <w:rsid w:val="0041406E"/>
    <w:rsid w:val="00426531"/>
    <w:rsid w:val="00485409"/>
    <w:rsid w:val="00495CD0"/>
    <w:rsid w:val="00496E60"/>
    <w:rsid w:val="004C2E52"/>
    <w:rsid w:val="004F4768"/>
    <w:rsid w:val="00566556"/>
    <w:rsid w:val="00583E42"/>
    <w:rsid w:val="005877B4"/>
    <w:rsid w:val="005A4A6C"/>
    <w:rsid w:val="005B7ADD"/>
    <w:rsid w:val="005C0582"/>
    <w:rsid w:val="005C71A6"/>
    <w:rsid w:val="005E682B"/>
    <w:rsid w:val="005F2605"/>
    <w:rsid w:val="00605313"/>
    <w:rsid w:val="00641515"/>
    <w:rsid w:val="00650C0E"/>
    <w:rsid w:val="00651E37"/>
    <w:rsid w:val="006544D9"/>
    <w:rsid w:val="00693CDB"/>
    <w:rsid w:val="00696CC2"/>
    <w:rsid w:val="006A0CE2"/>
    <w:rsid w:val="006D5D2D"/>
    <w:rsid w:val="006E72D3"/>
    <w:rsid w:val="00712758"/>
    <w:rsid w:val="00736165"/>
    <w:rsid w:val="00743893"/>
    <w:rsid w:val="00764B45"/>
    <w:rsid w:val="00777BF7"/>
    <w:rsid w:val="007869F3"/>
    <w:rsid w:val="00817CCF"/>
    <w:rsid w:val="008456D6"/>
    <w:rsid w:val="008C4762"/>
    <w:rsid w:val="00905E72"/>
    <w:rsid w:val="009068A3"/>
    <w:rsid w:val="009477AC"/>
    <w:rsid w:val="0097095D"/>
    <w:rsid w:val="0098282B"/>
    <w:rsid w:val="00986A28"/>
    <w:rsid w:val="009C2349"/>
    <w:rsid w:val="00A316D5"/>
    <w:rsid w:val="00A71D85"/>
    <w:rsid w:val="00A8023D"/>
    <w:rsid w:val="00A86C1C"/>
    <w:rsid w:val="00A94660"/>
    <w:rsid w:val="00AB5DF5"/>
    <w:rsid w:val="00B019B6"/>
    <w:rsid w:val="00B06194"/>
    <w:rsid w:val="00B810FF"/>
    <w:rsid w:val="00B95C0B"/>
    <w:rsid w:val="00B97C58"/>
    <w:rsid w:val="00BB47B6"/>
    <w:rsid w:val="00BC1138"/>
    <w:rsid w:val="00BC4480"/>
    <w:rsid w:val="00BD19B6"/>
    <w:rsid w:val="00C43C35"/>
    <w:rsid w:val="00C920BF"/>
    <w:rsid w:val="00CB39E6"/>
    <w:rsid w:val="00D3247F"/>
    <w:rsid w:val="00D43750"/>
    <w:rsid w:val="00D576BD"/>
    <w:rsid w:val="00D71ACB"/>
    <w:rsid w:val="00DA2607"/>
    <w:rsid w:val="00DA7438"/>
    <w:rsid w:val="00DC42C8"/>
    <w:rsid w:val="00DC4B81"/>
    <w:rsid w:val="00E309D3"/>
    <w:rsid w:val="00E87F78"/>
    <w:rsid w:val="00ED43E9"/>
    <w:rsid w:val="00ED7647"/>
    <w:rsid w:val="00EE73FE"/>
    <w:rsid w:val="00EE789F"/>
    <w:rsid w:val="00F067A8"/>
    <w:rsid w:val="00F1667E"/>
    <w:rsid w:val="00F431C7"/>
    <w:rsid w:val="00F77C95"/>
    <w:rsid w:val="00FA3C1E"/>
    <w:rsid w:val="00FB4D09"/>
    <w:rsid w:val="00FE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64DD"/>
  <w15:chartTrackingRefBased/>
  <w15:docId w15:val="{D15A4AC4-9404-4706-943D-6172E126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character" w:customStyle="1" w:styleId="HeaderChar">
    <w:name w:val="Header Char"/>
    <w:link w:val="Header"/>
    <w:uiPriority w:val="99"/>
    <w:locked/>
    <w:rsid w:val="000C67A0"/>
    <w:rPr>
      <w:sz w:val="24"/>
      <w:szCs w:val="24"/>
    </w:rPr>
  </w:style>
  <w:style w:type="paragraph" w:styleId="BalloonText">
    <w:name w:val="Balloon Text"/>
    <w:basedOn w:val="Normal"/>
    <w:link w:val="BalloonTextChar"/>
    <w:rsid w:val="00FE7BB3"/>
    <w:rPr>
      <w:rFonts w:ascii="Tahoma" w:hAnsi="Tahoma" w:cs="Tahoma"/>
      <w:sz w:val="16"/>
      <w:szCs w:val="16"/>
    </w:rPr>
  </w:style>
  <w:style w:type="character" w:customStyle="1" w:styleId="BalloonTextChar">
    <w:name w:val="Balloon Text Char"/>
    <w:link w:val="BalloonText"/>
    <w:rsid w:val="00FE7BB3"/>
    <w:rPr>
      <w:rFonts w:ascii="Tahoma" w:hAnsi="Tahoma" w:cs="Tahoma"/>
      <w:sz w:val="16"/>
      <w:szCs w:val="16"/>
      <w:lang w:val="en-US" w:eastAsia="en-US"/>
    </w:rPr>
  </w:style>
  <w:style w:type="paragraph" w:styleId="NormalWeb">
    <w:name w:val="Normal (Web)"/>
    <w:basedOn w:val="Normal"/>
    <w:rsid w:val="00D576BD"/>
    <w:pPr>
      <w:spacing w:before="100" w:beforeAutospacing="1" w:after="100" w:afterAutospacing="1"/>
    </w:pPr>
    <w:rPr>
      <w:rFonts w:ascii="Arial" w:hAnsi="Arial" w:cs="Arial"/>
      <w:lang w:val="fr-FR" w:eastAsia="fr-FR"/>
    </w:rPr>
  </w:style>
  <w:style w:type="paragraph" w:customStyle="1" w:styleId="Default">
    <w:name w:val="Default"/>
    <w:rsid w:val="00D576BD"/>
    <w:pPr>
      <w:widowControl w:val="0"/>
      <w:autoSpaceDE w:val="0"/>
      <w:autoSpaceDN w:val="0"/>
      <w:adjustRightInd w:val="0"/>
    </w:pPr>
    <w:rPr>
      <w:rFonts w:ascii="Arial" w:hAnsi="Arial" w:cs="Arial"/>
      <w:color w:val="000000"/>
      <w:sz w:val="24"/>
      <w:szCs w:val="24"/>
      <w:lang w:val="fr-FR" w:eastAsia="fr-FR"/>
    </w:rPr>
  </w:style>
  <w:style w:type="paragraph" w:styleId="ListParagraph">
    <w:name w:val="List Paragraph"/>
    <w:basedOn w:val="Normal"/>
    <w:uiPriority w:val="34"/>
    <w:qFormat/>
    <w:rsid w:val="00D576BD"/>
    <w:pPr>
      <w:spacing w:after="160" w:line="259" w:lineRule="auto"/>
      <w:ind w:left="720"/>
      <w:contextualSpacing/>
    </w:pPr>
    <w:rPr>
      <w:rFonts w:ascii="Calibri" w:eastAsia="Calibri" w:hAnsi="Calibri"/>
      <w:sz w:val="22"/>
      <w:szCs w:val="22"/>
      <w:lang w:val="fr-FR" w:eastAsia="fr-FR" w:bidi="en-GB"/>
    </w:rPr>
  </w:style>
  <w:style w:type="character" w:customStyle="1" w:styleId="FooterChar">
    <w:name w:val="Footer Char"/>
    <w:link w:val="Footer"/>
    <w:uiPriority w:val="99"/>
    <w:rsid w:val="00D576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6AAB-E17D-499D-A0BE-538EDDF2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3967</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subject/>
  <dc:creator>Phil Seidita</dc:creator>
  <cp:keywords/>
  <cp:lastModifiedBy>Christine Peyre</cp:lastModifiedBy>
  <cp:revision>4</cp:revision>
  <cp:lastPrinted>2015-12-15T10:49:00Z</cp:lastPrinted>
  <dcterms:created xsi:type="dcterms:W3CDTF">2025-11-19T14:47:00Z</dcterms:created>
  <dcterms:modified xsi:type="dcterms:W3CDTF">2025-11-20T09:06:00Z</dcterms:modified>
</cp:coreProperties>
</file>