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9888" w14:textId="77777777" w:rsidR="005C16E2" w:rsidRPr="000A660A" w:rsidRDefault="005C16E2" w:rsidP="005C16E2">
      <w:pPr>
        <w:pStyle w:val="NormalWeb"/>
        <w:widowControl w:val="0"/>
        <w:spacing w:before="0" w:beforeAutospacing="0" w:after="0" w:afterAutospacing="0"/>
        <w:jc w:val="center"/>
        <w:rPr>
          <w:rFonts w:asciiTheme="majorHAnsi" w:hAnsiTheme="majorHAnsi"/>
          <w:b/>
          <w:sz w:val="20"/>
          <w:szCs w:val="20"/>
        </w:rPr>
      </w:pPr>
      <w:r w:rsidRPr="000A660A">
        <w:rPr>
          <w:rFonts w:asciiTheme="majorHAnsi" w:hAnsiTheme="majorHAnsi"/>
          <w:b/>
          <w:sz w:val="20"/>
          <w:szCs w:val="20"/>
        </w:rPr>
        <w:t>APPROACH TO A SECOND PERFORMANCE REVIEW OF ICCAT</w:t>
      </w:r>
    </w:p>
    <w:p w14:paraId="2B5D5DBE" w14:textId="77777777" w:rsidR="005C16E2" w:rsidRPr="000A660A" w:rsidRDefault="005C16E2" w:rsidP="005C16E2">
      <w:pPr>
        <w:pStyle w:val="NormalWeb"/>
        <w:widowControl w:val="0"/>
        <w:spacing w:before="0" w:beforeAutospacing="0" w:after="0" w:afterAutospacing="0"/>
        <w:jc w:val="center"/>
        <w:rPr>
          <w:rFonts w:asciiTheme="majorHAnsi" w:hAnsiTheme="majorHAnsi"/>
          <w:b/>
          <w:sz w:val="20"/>
          <w:szCs w:val="20"/>
        </w:rPr>
      </w:pPr>
    </w:p>
    <w:p w14:paraId="37E20EAD" w14:textId="77777777" w:rsidR="005C16E2" w:rsidRPr="000A660A" w:rsidRDefault="005C16E2" w:rsidP="005C16E2">
      <w:pPr>
        <w:pStyle w:val="NormalWeb"/>
        <w:spacing w:before="0" w:beforeAutospacing="0" w:after="0" w:afterAutospacing="0"/>
        <w:jc w:val="both"/>
        <w:rPr>
          <w:rFonts w:asciiTheme="majorHAnsi" w:hAnsiTheme="majorHAnsi"/>
          <w:sz w:val="20"/>
          <w:szCs w:val="20"/>
        </w:rPr>
      </w:pPr>
      <w:r w:rsidRPr="000A660A">
        <w:rPr>
          <w:rFonts w:asciiTheme="majorHAnsi" w:hAnsiTheme="majorHAnsi"/>
          <w:sz w:val="20"/>
          <w:szCs w:val="20"/>
        </w:rPr>
        <w:t>The purpose of this document is to present a</w:t>
      </w:r>
      <w:r w:rsidR="00F6033D" w:rsidRPr="000A660A">
        <w:rPr>
          <w:rFonts w:asciiTheme="majorHAnsi" w:hAnsiTheme="majorHAnsi"/>
          <w:sz w:val="20"/>
          <w:szCs w:val="20"/>
        </w:rPr>
        <w:t>n</w:t>
      </w:r>
      <w:r w:rsidRPr="000A660A">
        <w:rPr>
          <w:rFonts w:asciiTheme="majorHAnsi" w:hAnsiTheme="majorHAnsi"/>
          <w:sz w:val="20"/>
          <w:szCs w:val="20"/>
        </w:rPr>
        <w:t xml:space="preserve"> approach </w:t>
      </w:r>
      <w:proofErr w:type="gramStart"/>
      <w:r w:rsidRPr="000A660A">
        <w:rPr>
          <w:rFonts w:asciiTheme="majorHAnsi" w:hAnsiTheme="majorHAnsi"/>
          <w:sz w:val="20"/>
          <w:szCs w:val="20"/>
        </w:rPr>
        <w:t>for the manner in which</w:t>
      </w:r>
      <w:proofErr w:type="gramEnd"/>
      <w:r w:rsidRPr="000A660A">
        <w:rPr>
          <w:rFonts w:asciiTheme="majorHAnsi" w:hAnsiTheme="majorHAnsi"/>
          <w:sz w:val="20"/>
          <w:szCs w:val="20"/>
        </w:rPr>
        <w:t xml:space="preserve"> the Second ICCAT Performance Review should be conducted.</w:t>
      </w:r>
    </w:p>
    <w:p w14:paraId="7659D5B7" w14:textId="77777777" w:rsidR="005C16E2" w:rsidRPr="000A660A" w:rsidRDefault="005C16E2" w:rsidP="005C16E2">
      <w:pPr>
        <w:pStyle w:val="NormalWeb"/>
        <w:spacing w:before="0" w:beforeAutospacing="0" w:after="0" w:afterAutospacing="0"/>
        <w:jc w:val="both"/>
        <w:rPr>
          <w:rFonts w:asciiTheme="majorHAnsi" w:hAnsiTheme="majorHAnsi"/>
          <w:b/>
          <w:sz w:val="20"/>
          <w:szCs w:val="20"/>
        </w:rPr>
      </w:pPr>
    </w:p>
    <w:p w14:paraId="6F68C9A2" w14:textId="77777777" w:rsidR="005C16E2" w:rsidRPr="000A660A" w:rsidRDefault="005C16E2" w:rsidP="005C16E2">
      <w:pPr>
        <w:jc w:val="both"/>
        <w:rPr>
          <w:rFonts w:asciiTheme="majorHAnsi" w:hAnsiTheme="majorHAnsi"/>
          <w:b/>
        </w:rPr>
      </w:pPr>
      <w:r w:rsidRPr="000A660A">
        <w:rPr>
          <w:rFonts w:asciiTheme="majorHAnsi" w:hAnsiTheme="majorHAnsi"/>
          <w:b/>
        </w:rPr>
        <w:t>1. The First ICCAT Performance Review</w:t>
      </w:r>
    </w:p>
    <w:p w14:paraId="220C4B4F" w14:textId="77777777" w:rsidR="005C16E2" w:rsidRPr="000A660A" w:rsidRDefault="005C16E2" w:rsidP="005C16E2">
      <w:pPr>
        <w:pStyle w:val="NormalWeb"/>
        <w:widowControl w:val="0"/>
        <w:spacing w:before="0" w:beforeAutospacing="0" w:after="0" w:afterAutospacing="0"/>
        <w:jc w:val="center"/>
        <w:rPr>
          <w:rFonts w:asciiTheme="majorHAnsi" w:hAnsiTheme="majorHAnsi"/>
          <w:b/>
          <w:i/>
          <w:sz w:val="20"/>
          <w:szCs w:val="20"/>
        </w:rPr>
      </w:pPr>
    </w:p>
    <w:p w14:paraId="4CB1C820" w14:textId="77777777" w:rsidR="005C16E2" w:rsidRPr="000A660A" w:rsidRDefault="005C16E2" w:rsidP="005C16E2">
      <w:pPr>
        <w:jc w:val="both"/>
        <w:rPr>
          <w:rFonts w:asciiTheme="majorHAnsi" w:hAnsiTheme="majorHAnsi"/>
        </w:rPr>
      </w:pPr>
      <w:r w:rsidRPr="000A660A">
        <w:rPr>
          <w:rFonts w:asciiTheme="majorHAnsi" w:hAnsiTheme="majorHAnsi"/>
        </w:rPr>
        <w:t>ICCAT carried out its First Performance Review in 2008, making use of the common criteria adopted at the</w:t>
      </w:r>
      <w:r w:rsidRPr="000A660A">
        <w:rPr>
          <w:rFonts w:asciiTheme="majorHAnsi" w:hAnsiTheme="majorHAnsi"/>
          <w:b/>
          <w:bCs/>
          <w:snapToGrid w:val="0"/>
        </w:rPr>
        <w:t xml:space="preserve"> </w:t>
      </w:r>
      <w:r w:rsidRPr="000A660A">
        <w:rPr>
          <w:rFonts w:asciiTheme="majorHAnsi" w:hAnsiTheme="majorHAnsi"/>
          <w:bCs/>
          <w:i/>
          <w:snapToGrid w:val="0"/>
        </w:rPr>
        <w:t>Sixth round of informal consultations of States Parties to the Agreement for the Implementation of the Provisions of the United Nations Convention on the Law of the Sea of 10 December 1982 relating to the Conservation and Management of Straddling Fish Stocks and Highly Migratory Fish Stocks (the Agreement).</w:t>
      </w:r>
      <w:r w:rsidRPr="000A660A">
        <w:rPr>
          <w:rFonts w:asciiTheme="majorHAnsi" w:hAnsiTheme="majorHAnsi"/>
        </w:rPr>
        <w:t xml:space="preserve"> Those criteria outlined “what” (at minimum) should be assessed in the performance review.</w:t>
      </w:r>
    </w:p>
    <w:p w14:paraId="5B5756D4" w14:textId="77777777" w:rsidR="005C16E2" w:rsidRPr="000A660A" w:rsidRDefault="005C16E2" w:rsidP="005C16E2">
      <w:pPr>
        <w:jc w:val="both"/>
        <w:rPr>
          <w:rFonts w:asciiTheme="majorHAnsi" w:hAnsiTheme="majorHAnsi"/>
        </w:rPr>
      </w:pPr>
    </w:p>
    <w:p w14:paraId="40AAEFBD" w14:textId="77777777" w:rsidR="005C16E2" w:rsidRPr="000A660A" w:rsidRDefault="005C16E2" w:rsidP="005C16E2">
      <w:pPr>
        <w:pStyle w:val="NormalWeb"/>
        <w:spacing w:before="0" w:beforeAutospacing="0" w:after="0" w:afterAutospacing="0"/>
        <w:jc w:val="both"/>
        <w:rPr>
          <w:rFonts w:asciiTheme="majorHAnsi" w:hAnsiTheme="majorHAnsi"/>
          <w:sz w:val="20"/>
          <w:szCs w:val="20"/>
        </w:rPr>
      </w:pPr>
      <w:r w:rsidRPr="000A660A">
        <w:rPr>
          <w:rFonts w:asciiTheme="majorHAnsi" w:hAnsiTheme="majorHAnsi"/>
          <w:sz w:val="20"/>
          <w:szCs w:val="20"/>
        </w:rPr>
        <w:t>The evaluation was oriented towards the examination of the Commission’s objectives, as stipulated in the ICCAT Convention, and the measures in place to achieve such objectives. In particular, the review included the following:</w:t>
      </w:r>
    </w:p>
    <w:p w14:paraId="78BBEEA3" w14:textId="77777777" w:rsidR="005C16E2" w:rsidRPr="000A660A" w:rsidRDefault="005C16E2" w:rsidP="005C16E2">
      <w:pPr>
        <w:pStyle w:val="NormalWeb"/>
        <w:spacing w:before="0" w:beforeAutospacing="0" w:after="0" w:afterAutospacing="0"/>
        <w:jc w:val="both"/>
        <w:rPr>
          <w:rFonts w:asciiTheme="majorHAnsi" w:hAnsiTheme="majorHAnsi"/>
          <w:sz w:val="20"/>
          <w:szCs w:val="20"/>
        </w:rPr>
      </w:pPr>
    </w:p>
    <w:p w14:paraId="5CBEE045" w14:textId="77777777" w:rsidR="005C16E2" w:rsidRPr="000A660A" w:rsidRDefault="005C16E2" w:rsidP="005C16E2">
      <w:pPr>
        <w:tabs>
          <w:tab w:val="left" w:pos="360"/>
          <w:tab w:val="left" w:pos="600"/>
        </w:tabs>
        <w:ind w:left="360" w:right="1" w:hanging="360"/>
        <w:jc w:val="both"/>
        <w:rPr>
          <w:rFonts w:asciiTheme="majorHAnsi" w:hAnsiTheme="majorHAnsi"/>
        </w:rPr>
      </w:pPr>
      <w:r w:rsidRPr="000A660A">
        <w:rPr>
          <w:rFonts w:asciiTheme="majorHAnsi" w:hAnsiTheme="majorHAnsi"/>
        </w:rPr>
        <w:t>a)</w:t>
      </w:r>
      <w:r w:rsidRPr="000A660A">
        <w:rPr>
          <w:rFonts w:asciiTheme="majorHAnsi" w:hAnsiTheme="majorHAnsi"/>
        </w:rPr>
        <w:tab/>
        <w:t>Assessment of the text of the Convention,</w:t>
      </w:r>
      <w:r w:rsidRPr="000A660A">
        <w:rPr>
          <w:rFonts w:asciiTheme="majorHAnsi" w:hAnsiTheme="majorHAnsi"/>
          <w:i/>
        </w:rPr>
        <w:t xml:space="preserve"> </w:t>
      </w:r>
      <w:r w:rsidRPr="000A660A">
        <w:rPr>
          <w:rFonts w:asciiTheme="majorHAnsi" w:hAnsiTheme="majorHAnsi"/>
        </w:rPr>
        <w:t xml:space="preserve">and its ability to assimilate the requirements of international fisheries instruments. </w:t>
      </w:r>
    </w:p>
    <w:p w14:paraId="21AE970D" w14:textId="77777777" w:rsidR="005C16E2" w:rsidRPr="000A660A" w:rsidRDefault="005C16E2" w:rsidP="005C16E2">
      <w:pPr>
        <w:tabs>
          <w:tab w:val="left" w:pos="360"/>
          <w:tab w:val="left" w:pos="600"/>
        </w:tabs>
        <w:ind w:left="360" w:right="431" w:hanging="360"/>
        <w:jc w:val="both"/>
        <w:rPr>
          <w:rFonts w:asciiTheme="majorHAnsi" w:hAnsiTheme="majorHAnsi"/>
        </w:rPr>
      </w:pPr>
    </w:p>
    <w:p w14:paraId="41E59B59" w14:textId="77777777" w:rsidR="005C16E2" w:rsidRPr="000A660A" w:rsidRDefault="005C16E2" w:rsidP="005C16E2">
      <w:pPr>
        <w:tabs>
          <w:tab w:val="left" w:pos="360"/>
          <w:tab w:val="left" w:pos="600"/>
        </w:tabs>
        <w:ind w:left="360" w:right="1" w:hanging="360"/>
        <w:jc w:val="both"/>
        <w:rPr>
          <w:rFonts w:asciiTheme="majorHAnsi" w:hAnsiTheme="majorHAnsi"/>
        </w:rPr>
      </w:pPr>
      <w:r w:rsidRPr="000A660A">
        <w:rPr>
          <w:rFonts w:asciiTheme="majorHAnsi" w:hAnsiTheme="majorHAnsi"/>
        </w:rPr>
        <w:t>b)</w:t>
      </w:r>
      <w:r w:rsidRPr="000A660A">
        <w:rPr>
          <w:rFonts w:asciiTheme="majorHAnsi" w:hAnsiTheme="majorHAnsi"/>
        </w:rPr>
        <w:tab/>
        <w:t xml:space="preserve">Assessment of the extent to which measures </w:t>
      </w:r>
      <w:proofErr w:type="gramStart"/>
      <w:r w:rsidRPr="000A660A">
        <w:rPr>
          <w:rFonts w:asciiTheme="majorHAnsi" w:hAnsiTheme="majorHAnsi"/>
        </w:rPr>
        <w:t>adopted achieve</w:t>
      </w:r>
      <w:proofErr w:type="gramEnd"/>
      <w:r w:rsidRPr="000A660A">
        <w:rPr>
          <w:rFonts w:asciiTheme="majorHAnsi" w:hAnsiTheme="majorHAnsi"/>
        </w:rPr>
        <w:t xml:space="preserve"> the Commission’s objectives and the objectives of international instruments.</w:t>
      </w:r>
    </w:p>
    <w:p w14:paraId="20858611" w14:textId="77777777" w:rsidR="005C16E2" w:rsidRPr="000A660A" w:rsidRDefault="005C16E2" w:rsidP="005C16E2">
      <w:pPr>
        <w:tabs>
          <w:tab w:val="left" w:pos="360"/>
          <w:tab w:val="left" w:pos="600"/>
        </w:tabs>
        <w:ind w:left="360" w:right="431" w:hanging="360"/>
        <w:jc w:val="both"/>
        <w:rPr>
          <w:rFonts w:asciiTheme="majorHAnsi" w:hAnsiTheme="majorHAnsi"/>
        </w:rPr>
      </w:pPr>
    </w:p>
    <w:p w14:paraId="3D7500C2" w14:textId="77777777" w:rsidR="005C16E2" w:rsidRPr="000A660A" w:rsidRDefault="005C16E2" w:rsidP="005C16E2">
      <w:pPr>
        <w:tabs>
          <w:tab w:val="left" w:pos="360"/>
          <w:tab w:val="left" w:pos="600"/>
        </w:tabs>
        <w:ind w:right="1"/>
        <w:jc w:val="both"/>
        <w:rPr>
          <w:rFonts w:asciiTheme="majorHAnsi" w:hAnsiTheme="majorHAnsi"/>
        </w:rPr>
      </w:pPr>
      <w:r w:rsidRPr="000A660A">
        <w:rPr>
          <w:rFonts w:asciiTheme="majorHAnsi" w:hAnsiTheme="majorHAnsi"/>
        </w:rPr>
        <w:t>c)</w:t>
      </w:r>
      <w:r w:rsidRPr="000A660A">
        <w:rPr>
          <w:rFonts w:asciiTheme="majorHAnsi" w:hAnsiTheme="majorHAnsi"/>
        </w:rPr>
        <w:tab/>
        <w:t>Recommendations on how the Organization could be improved.</w:t>
      </w:r>
    </w:p>
    <w:p w14:paraId="4CAAF05C" w14:textId="77777777" w:rsidR="005C16E2" w:rsidRPr="000A660A" w:rsidRDefault="005C16E2" w:rsidP="005C16E2">
      <w:pPr>
        <w:tabs>
          <w:tab w:val="left" w:pos="360"/>
          <w:tab w:val="left" w:pos="600"/>
        </w:tabs>
        <w:spacing w:line="240" w:lineRule="atLeast"/>
        <w:jc w:val="both"/>
        <w:rPr>
          <w:rFonts w:asciiTheme="majorHAnsi" w:hAnsiTheme="majorHAnsi"/>
        </w:rPr>
      </w:pPr>
    </w:p>
    <w:p w14:paraId="54D3EA1D" w14:textId="77777777" w:rsidR="005C16E2" w:rsidRPr="000A660A" w:rsidRDefault="005C16E2" w:rsidP="005C16E2">
      <w:pPr>
        <w:jc w:val="both"/>
        <w:rPr>
          <w:rFonts w:asciiTheme="majorHAnsi" w:hAnsiTheme="majorHAnsi"/>
        </w:rPr>
      </w:pPr>
      <w:r w:rsidRPr="000A660A">
        <w:rPr>
          <w:rFonts w:asciiTheme="majorHAnsi" w:hAnsiTheme="majorHAnsi"/>
        </w:rPr>
        <w:t>Following this review, the Review Panel made the following main general observations:</w:t>
      </w:r>
    </w:p>
    <w:p w14:paraId="60C93B91" w14:textId="77777777" w:rsidR="005C16E2" w:rsidRPr="000A660A" w:rsidRDefault="005C16E2" w:rsidP="005C16E2">
      <w:pPr>
        <w:jc w:val="both"/>
        <w:rPr>
          <w:rFonts w:asciiTheme="majorHAnsi" w:hAnsiTheme="majorHAnsi"/>
        </w:rPr>
      </w:pPr>
    </w:p>
    <w:p w14:paraId="22FF0C22" w14:textId="77777777" w:rsidR="005C16E2" w:rsidRPr="000A660A" w:rsidRDefault="005C16E2" w:rsidP="005C16E2">
      <w:pPr>
        <w:widowControl/>
        <w:numPr>
          <w:ilvl w:val="0"/>
          <w:numId w:val="11"/>
        </w:numPr>
        <w:contextualSpacing/>
        <w:jc w:val="both"/>
        <w:rPr>
          <w:rFonts w:asciiTheme="majorHAnsi" w:hAnsiTheme="majorHAnsi"/>
        </w:rPr>
      </w:pPr>
      <w:r w:rsidRPr="000A660A">
        <w:rPr>
          <w:rFonts w:asciiTheme="majorHAnsi" w:hAnsiTheme="majorHAnsi"/>
        </w:rPr>
        <w:t xml:space="preserve">ICCAT has developed reasonably sound conservation and fisheries management practices, which, if fully implemented and complied with by Contracting Parties, </w:t>
      </w:r>
      <w:proofErr w:type="gramStart"/>
      <w:r w:rsidRPr="000A660A">
        <w:rPr>
          <w:rFonts w:asciiTheme="majorHAnsi" w:hAnsiTheme="majorHAnsi"/>
        </w:rPr>
        <w:t>Cooperating</w:t>
      </w:r>
      <w:proofErr w:type="gramEnd"/>
      <w:r w:rsidRPr="000A660A">
        <w:rPr>
          <w:rFonts w:asciiTheme="majorHAnsi" w:hAnsiTheme="majorHAnsi"/>
        </w:rPr>
        <w:t xml:space="preserve"> non-Contracting Parties, Entities and Fishing Entities (CPCs), would have been expected to be effective in managing the fisheries under ICCAT’s purview.</w:t>
      </w:r>
    </w:p>
    <w:p w14:paraId="2D8141C1" w14:textId="77777777" w:rsidR="005C16E2" w:rsidRPr="000A660A" w:rsidRDefault="005C16E2" w:rsidP="005C16E2">
      <w:pPr>
        <w:ind w:left="714"/>
        <w:jc w:val="both"/>
        <w:rPr>
          <w:rFonts w:asciiTheme="majorHAnsi" w:hAnsiTheme="majorHAnsi"/>
        </w:rPr>
      </w:pPr>
    </w:p>
    <w:p w14:paraId="52C454F1" w14:textId="77777777" w:rsidR="005C16E2" w:rsidRPr="000A660A" w:rsidRDefault="005C16E2" w:rsidP="005C16E2">
      <w:pPr>
        <w:widowControl/>
        <w:numPr>
          <w:ilvl w:val="0"/>
          <w:numId w:val="11"/>
        </w:numPr>
        <w:contextualSpacing/>
        <w:jc w:val="both"/>
        <w:rPr>
          <w:rFonts w:asciiTheme="majorHAnsi" w:hAnsiTheme="majorHAnsi"/>
        </w:rPr>
      </w:pPr>
      <w:r w:rsidRPr="000A660A">
        <w:rPr>
          <w:rFonts w:asciiTheme="majorHAnsi" w:hAnsiTheme="majorHAnsi"/>
        </w:rPr>
        <w:t xml:space="preserve">The ICCAT Convention should be reviewed, </w:t>
      </w:r>
      <w:proofErr w:type="spellStart"/>
      <w:r w:rsidRPr="000A660A">
        <w:rPr>
          <w:rFonts w:asciiTheme="majorHAnsi" w:hAnsiTheme="majorHAnsi"/>
        </w:rPr>
        <w:t>modernised</w:t>
      </w:r>
      <w:proofErr w:type="spellEnd"/>
      <w:r w:rsidRPr="000A660A">
        <w:rPr>
          <w:rFonts w:asciiTheme="majorHAnsi" w:hAnsiTheme="majorHAnsi"/>
        </w:rPr>
        <w:t>, or otherwise supplemented, to reflect current approaches to fisheries management.</w:t>
      </w:r>
    </w:p>
    <w:p w14:paraId="50FB747F" w14:textId="77777777" w:rsidR="005C16E2" w:rsidRPr="000A660A" w:rsidRDefault="005C16E2" w:rsidP="005C16E2">
      <w:pPr>
        <w:rPr>
          <w:rFonts w:asciiTheme="majorHAnsi" w:hAnsiTheme="majorHAnsi"/>
        </w:rPr>
      </w:pPr>
    </w:p>
    <w:p w14:paraId="59B108E6" w14:textId="77777777" w:rsidR="005C16E2" w:rsidRPr="000A660A" w:rsidRDefault="005C16E2" w:rsidP="005C16E2">
      <w:pPr>
        <w:widowControl/>
        <w:numPr>
          <w:ilvl w:val="0"/>
          <w:numId w:val="11"/>
        </w:numPr>
        <w:contextualSpacing/>
        <w:jc w:val="both"/>
        <w:rPr>
          <w:rFonts w:asciiTheme="majorHAnsi" w:hAnsiTheme="majorHAnsi"/>
        </w:rPr>
      </w:pPr>
      <w:r w:rsidRPr="000A660A">
        <w:rPr>
          <w:rFonts w:asciiTheme="majorHAnsi" w:hAnsiTheme="majorHAnsi"/>
        </w:rPr>
        <w:t>The ICCAT standing committee and panel structure is sound and the committees provide timely advice to ICCAT. However, the Panel expressed strong reservations on the performance of the Compliance Committee (COC).</w:t>
      </w:r>
    </w:p>
    <w:p w14:paraId="77AF3472" w14:textId="77777777" w:rsidR="005C16E2" w:rsidRPr="000A660A" w:rsidRDefault="005C16E2" w:rsidP="005C16E2">
      <w:pPr>
        <w:rPr>
          <w:rFonts w:asciiTheme="majorHAnsi" w:hAnsiTheme="majorHAnsi"/>
        </w:rPr>
      </w:pPr>
    </w:p>
    <w:p w14:paraId="177BF1E7" w14:textId="77777777" w:rsidR="005C16E2" w:rsidRPr="000A660A" w:rsidRDefault="005C16E2" w:rsidP="005C16E2">
      <w:pPr>
        <w:widowControl/>
        <w:numPr>
          <w:ilvl w:val="0"/>
          <w:numId w:val="11"/>
        </w:numPr>
        <w:contextualSpacing/>
        <w:jc w:val="both"/>
        <w:rPr>
          <w:rFonts w:asciiTheme="majorHAnsi" w:hAnsiTheme="majorHAnsi"/>
        </w:rPr>
      </w:pPr>
      <w:r w:rsidRPr="000A660A">
        <w:rPr>
          <w:rFonts w:asciiTheme="majorHAnsi" w:hAnsiTheme="majorHAnsi"/>
        </w:rPr>
        <w:t>The Standing Committee on Research and Statistics (SCRS) provides sound advice to the Commission members operating under significant difficulties largely caused by CPCs failing to provide timely and accurate data.</w:t>
      </w:r>
    </w:p>
    <w:p w14:paraId="08FBE165" w14:textId="77777777" w:rsidR="005C16E2" w:rsidRPr="000A660A" w:rsidRDefault="005C16E2" w:rsidP="005C16E2">
      <w:pPr>
        <w:rPr>
          <w:rFonts w:asciiTheme="majorHAnsi" w:hAnsiTheme="majorHAnsi"/>
        </w:rPr>
      </w:pPr>
    </w:p>
    <w:p w14:paraId="42029531" w14:textId="77777777" w:rsidR="005C16E2" w:rsidRPr="000A660A" w:rsidRDefault="005C16E2" w:rsidP="005C16E2">
      <w:pPr>
        <w:widowControl/>
        <w:numPr>
          <w:ilvl w:val="0"/>
          <w:numId w:val="11"/>
        </w:numPr>
        <w:contextualSpacing/>
        <w:jc w:val="both"/>
        <w:rPr>
          <w:rFonts w:asciiTheme="majorHAnsi" w:hAnsiTheme="majorHAnsi"/>
        </w:rPr>
      </w:pPr>
      <w:r w:rsidRPr="000A660A">
        <w:rPr>
          <w:rFonts w:asciiTheme="majorHAnsi" w:hAnsiTheme="majorHAnsi"/>
        </w:rPr>
        <w:t>The performance of the Secretariat is sound and well regarded as both efficient and effective by CPCs.</w:t>
      </w:r>
    </w:p>
    <w:p w14:paraId="782246CC" w14:textId="77777777" w:rsidR="005C16E2" w:rsidRPr="000A660A" w:rsidRDefault="005C16E2" w:rsidP="005C16E2">
      <w:pPr>
        <w:rPr>
          <w:rFonts w:asciiTheme="majorHAnsi" w:hAnsiTheme="majorHAnsi"/>
        </w:rPr>
      </w:pPr>
    </w:p>
    <w:p w14:paraId="560303AF" w14:textId="77777777" w:rsidR="005C16E2" w:rsidRPr="000A660A" w:rsidRDefault="005C16E2" w:rsidP="005C16E2">
      <w:pPr>
        <w:widowControl/>
        <w:numPr>
          <w:ilvl w:val="0"/>
          <w:numId w:val="11"/>
        </w:numPr>
        <w:contextualSpacing/>
        <w:jc w:val="both"/>
        <w:rPr>
          <w:rFonts w:asciiTheme="majorHAnsi" w:hAnsiTheme="majorHAnsi"/>
        </w:rPr>
      </w:pPr>
      <w:r w:rsidRPr="000A660A">
        <w:rPr>
          <w:rFonts w:asciiTheme="majorHAnsi" w:hAnsiTheme="majorHAnsi"/>
        </w:rPr>
        <w:t>The fundamental problems and challenges that ICCAT faces in managing sustainably the fisheries under its purview are not unique; other tuna RFMOs also face them, but the size of the ICCAT membership adds more difficulties.</w:t>
      </w:r>
    </w:p>
    <w:p w14:paraId="4CB128EA" w14:textId="77777777" w:rsidR="005C16E2" w:rsidRPr="000A660A" w:rsidRDefault="005C16E2" w:rsidP="005C16E2">
      <w:pPr>
        <w:jc w:val="both"/>
        <w:rPr>
          <w:rFonts w:asciiTheme="majorHAnsi" w:hAnsiTheme="majorHAnsi"/>
        </w:rPr>
      </w:pPr>
    </w:p>
    <w:p w14:paraId="72B7C1DB" w14:textId="77777777" w:rsidR="005C16E2" w:rsidRPr="000A660A" w:rsidRDefault="005C16E2" w:rsidP="005C16E2">
      <w:pPr>
        <w:jc w:val="both"/>
        <w:rPr>
          <w:rFonts w:asciiTheme="majorHAnsi" w:hAnsiTheme="majorHAnsi"/>
        </w:rPr>
      </w:pPr>
      <w:r w:rsidRPr="000A660A">
        <w:rPr>
          <w:rFonts w:asciiTheme="majorHAnsi" w:hAnsiTheme="majorHAnsi"/>
        </w:rPr>
        <w:t>The Review Panel made the following general assessment of ICCAT performance:</w:t>
      </w:r>
    </w:p>
    <w:p w14:paraId="0E94D703" w14:textId="77777777" w:rsidR="00F6033D" w:rsidRPr="000A660A" w:rsidRDefault="00F6033D" w:rsidP="005C16E2">
      <w:pPr>
        <w:jc w:val="both"/>
        <w:rPr>
          <w:rFonts w:asciiTheme="majorHAnsi" w:hAnsiTheme="majorHAnsi"/>
        </w:rPr>
      </w:pPr>
    </w:p>
    <w:p w14:paraId="7F0949A8" w14:textId="77777777" w:rsidR="005C16E2" w:rsidRPr="000A660A" w:rsidRDefault="005C16E2" w:rsidP="005C16E2">
      <w:pPr>
        <w:widowControl/>
        <w:numPr>
          <w:ilvl w:val="0"/>
          <w:numId w:val="12"/>
        </w:numPr>
        <w:contextualSpacing/>
        <w:jc w:val="both"/>
        <w:rPr>
          <w:rFonts w:asciiTheme="majorHAnsi" w:hAnsiTheme="majorHAnsi"/>
        </w:rPr>
      </w:pPr>
      <w:r w:rsidRPr="000A660A">
        <w:rPr>
          <w:rFonts w:asciiTheme="majorHAnsi" w:hAnsiTheme="majorHAnsi"/>
        </w:rPr>
        <w:t>Fundamentally ICCAT’s performance to date does not meet its objectives for several of the species under its purview.</w:t>
      </w:r>
    </w:p>
    <w:p w14:paraId="225B9B62" w14:textId="77777777" w:rsidR="005C16E2" w:rsidRPr="000A660A" w:rsidRDefault="005C16E2" w:rsidP="005C16E2">
      <w:pPr>
        <w:jc w:val="both"/>
        <w:rPr>
          <w:rFonts w:asciiTheme="majorHAnsi" w:hAnsiTheme="majorHAnsi"/>
        </w:rPr>
      </w:pPr>
    </w:p>
    <w:p w14:paraId="2F64C110" w14:textId="77777777" w:rsidR="005C16E2" w:rsidRPr="000A660A" w:rsidRDefault="005C16E2" w:rsidP="005C16E2">
      <w:pPr>
        <w:widowControl/>
        <w:numPr>
          <w:ilvl w:val="0"/>
          <w:numId w:val="12"/>
        </w:numPr>
        <w:contextualSpacing/>
        <w:jc w:val="both"/>
        <w:rPr>
          <w:rFonts w:asciiTheme="majorHAnsi" w:hAnsiTheme="majorHAnsi"/>
        </w:rPr>
      </w:pPr>
      <w:r w:rsidRPr="000A660A">
        <w:rPr>
          <w:rFonts w:asciiTheme="majorHAnsi" w:hAnsiTheme="majorHAnsi"/>
        </w:rPr>
        <w:t>ICCAT’s failure to meet its objectives is due in large part to the lack of compliance by many of its CPCs.</w:t>
      </w:r>
    </w:p>
    <w:p w14:paraId="474F6112" w14:textId="77777777" w:rsidR="005C16E2" w:rsidRPr="000A660A" w:rsidRDefault="005C16E2" w:rsidP="005C16E2">
      <w:pPr>
        <w:ind w:left="714"/>
        <w:jc w:val="both"/>
        <w:rPr>
          <w:rFonts w:asciiTheme="majorHAnsi" w:hAnsiTheme="majorHAnsi"/>
        </w:rPr>
      </w:pPr>
    </w:p>
    <w:p w14:paraId="4B4BDCB6" w14:textId="77777777" w:rsidR="005C16E2" w:rsidRPr="000A660A" w:rsidRDefault="005C16E2" w:rsidP="005C16E2">
      <w:pPr>
        <w:widowControl/>
        <w:numPr>
          <w:ilvl w:val="0"/>
          <w:numId w:val="12"/>
        </w:numPr>
        <w:contextualSpacing/>
        <w:jc w:val="both"/>
        <w:rPr>
          <w:rFonts w:asciiTheme="majorHAnsi" w:hAnsiTheme="majorHAnsi"/>
        </w:rPr>
      </w:pPr>
      <w:r w:rsidRPr="000A660A">
        <w:rPr>
          <w:rFonts w:asciiTheme="majorHAnsi" w:hAnsiTheme="majorHAnsi"/>
        </w:rPr>
        <w:lastRenderedPageBreak/>
        <w:t xml:space="preserve">CPCs have consistently failed to provide timely and accurate data and to implement monitoring, control and surveillance (MCS) arrangements on </w:t>
      </w:r>
      <w:proofErr w:type="gramStart"/>
      <w:r w:rsidRPr="000A660A">
        <w:rPr>
          <w:rFonts w:asciiTheme="majorHAnsi" w:hAnsiTheme="majorHAnsi"/>
        </w:rPr>
        <w:t>nationals</w:t>
      </w:r>
      <w:proofErr w:type="gramEnd"/>
      <w:r w:rsidRPr="000A660A">
        <w:rPr>
          <w:rFonts w:asciiTheme="majorHAnsi" w:hAnsiTheme="majorHAnsi"/>
        </w:rPr>
        <w:t xml:space="preserve"> and national companies.</w:t>
      </w:r>
    </w:p>
    <w:p w14:paraId="385EFE8B" w14:textId="77777777" w:rsidR="005C16E2" w:rsidRPr="000A660A" w:rsidRDefault="005C16E2" w:rsidP="005C16E2">
      <w:pPr>
        <w:rPr>
          <w:rFonts w:asciiTheme="majorHAnsi" w:hAnsiTheme="majorHAnsi"/>
        </w:rPr>
      </w:pPr>
    </w:p>
    <w:p w14:paraId="2F57FED4" w14:textId="77777777" w:rsidR="005C16E2" w:rsidRPr="000A660A" w:rsidRDefault="005C16E2" w:rsidP="005C16E2">
      <w:pPr>
        <w:widowControl/>
        <w:numPr>
          <w:ilvl w:val="0"/>
          <w:numId w:val="12"/>
        </w:numPr>
        <w:contextualSpacing/>
        <w:jc w:val="both"/>
        <w:rPr>
          <w:rFonts w:asciiTheme="majorHAnsi" w:hAnsiTheme="majorHAnsi"/>
        </w:rPr>
      </w:pPr>
      <w:r w:rsidRPr="000A660A">
        <w:rPr>
          <w:rFonts w:asciiTheme="majorHAnsi" w:hAnsiTheme="majorHAnsi"/>
        </w:rPr>
        <w:t xml:space="preserve">The judgement of the international community will be based largely on how ICCAT manages fisheries on bluefin tuna (BFT). ICCAT CPCs’ performance in managing fisheries on bluefin tuna particularly in the eastern Atlantic and Mediterranean Sea is widely regarded as an international disgrace and the international community which has entrusted the management of this iconic species to ICCAT </w:t>
      </w:r>
      <w:proofErr w:type="gramStart"/>
      <w:r w:rsidRPr="000A660A">
        <w:rPr>
          <w:rFonts w:asciiTheme="majorHAnsi" w:hAnsiTheme="majorHAnsi"/>
        </w:rPr>
        <w:t>deserve</w:t>
      </w:r>
      <w:proofErr w:type="gramEnd"/>
      <w:r w:rsidRPr="000A660A">
        <w:rPr>
          <w:rFonts w:asciiTheme="majorHAnsi" w:hAnsiTheme="majorHAnsi"/>
        </w:rPr>
        <w:t xml:space="preserve"> better performance from ICCAT than it has received to date.</w:t>
      </w:r>
    </w:p>
    <w:p w14:paraId="5DD7C6CF" w14:textId="77777777" w:rsidR="005C16E2" w:rsidRPr="000A660A" w:rsidRDefault="005C16E2" w:rsidP="005C16E2">
      <w:pPr>
        <w:rPr>
          <w:rFonts w:asciiTheme="majorHAnsi" w:hAnsiTheme="majorHAnsi"/>
        </w:rPr>
      </w:pPr>
    </w:p>
    <w:p w14:paraId="39F2CB17" w14:textId="77777777" w:rsidR="005C16E2" w:rsidRPr="000A660A" w:rsidRDefault="005C16E2" w:rsidP="005C16E2">
      <w:pPr>
        <w:widowControl/>
        <w:numPr>
          <w:ilvl w:val="0"/>
          <w:numId w:val="12"/>
        </w:numPr>
        <w:contextualSpacing/>
        <w:jc w:val="both"/>
        <w:rPr>
          <w:rFonts w:asciiTheme="majorHAnsi" w:hAnsiTheme="majorHAnsi"/>
        </w:rPr>
      </w:pPr>
      <w:r w:rsidRPr="000A660A">
        <w:rPr>
          <w:rFonts w:asciiTheme="majorHAnsi" w:hAnsiTheme="majorHAnsi"/>
        </w:rPr>
        <w:t>There are concerns about transparency within ICCAT both in decision making and in resource allocation.</w:t>
      </w:r>
    </w:p>
    <w:p w14:paraId="32660DAB" w14:textId="77777777" w:rsidR="005C16E2" w:rsidRPr="000A660A" w:rsidRDefault="005C16E2" w:rsidP="005C16E2">
      <w:pPr>
        <w:rPr>
          <w:rFonts w:asciiTheme="majorHAnsi" w:hAnsiTheme="majorHAnsi"/>
        </w:rPr>
      </w:pPr>
    </w:p>
    <w:p w14:paraId="10272A92" w14:textId="77777777" w:rsidR="005C16E2" w:rsidRPr="000A660A" w:rsidRDefault="005C16E2" w:rsidP="005C16E2">
      <w:pPr>
        <w:widowControl/>
        <w:numPr>
          <w:ilvl w:val="0"/>
          <w:numId w:val="12"/>
        </w:numPr>
        <w:contextualSpacing/>
        <w:jc w:val="both"/>
        <w:rPr>
          <w:rFonts w:asciiTheme="majorHAnsi" w:hAnsiTheme="majorHAnsi"/>
        </w:rPr>
      </w:pPr>
      <w:r w:rsidRPr="000A660A">
        <w:rPr>
          <w:rFonts w:asciiTheme="majorHAnsi" w:hAnsiTheme="majorHAnsi"/>
        </w:rPr>
        <w:t>Most of the problems and challenges ICCAT faces would be simple to fix if CPCs developed the political will to fully implement and adhere to the letter and spirit of the rules and recommendations of ICCAT.</w:t>
      </w:r>
    </w:p>
    <w:p w14:paraId="4998E786" w14:textId="77777777" w:rsidR="005C16E2" w:rsidRPr="000A660A" w:rsidRDefault="005C16E2" w:rsidP="005C16E2">
      <w:pPr>
        <w:pStyle w:val="NormalWeb"/>
        <w:spacing w:before="0" w:beforeAutospacing="0" w:after="0" w:afterAutospacing="0"/>
        <w:jc w:val="both"/>
        <w:rPr>
          <w:rFonts w:asciiTheme="majorHAnsi" w:hAnsiTheme="majorHAnsi"/>
          <w:sz w:val="20"/>
          <w:szCs w:val="20"/>
          <w:lang w:val="en-GB"/>
        </w:rPr>
      </w:pPr>
    </w:p>
    <w:p w14:paraId="09F6DA46" w14:textId="77777777" w:rsidR="005C16E2" w:rsidRPr="000A660A" w:rsidRDefault="005C16E2" w:rsidP="005C16E2">
      <w:pPr>
        <w:pStyle w:val="NormalWeb"/>
        <w:spacing w:before="0" w:beforeAutospacing="0" w:after="0" w:afterAutospacing="0"/>
        <w:jc w:val="both"/>
        <w:rPr>
          <w:rFonts w:asciiTheme="majorHAnsi" w:hAnsiTheme="majorHAnsi"/>
          <w:b/>
          <w:sz w:val="20"/>
          <w:szCs w:val="20"/>
        </w:rPr>
      </w:pPr>
    </w:p>
    <w:p w14:paraId="5E2053B2" w14:textId="77777777" w:rsidR="005C16E2" w:rsidRPr="000A660A" w:rsidRDefault="005C16E2" w:rsidP="005C16E2">
      <w:pPr>
        <w:pStyle w:val="NormalWeb"/>
        <w:spacing w:before="0" w:beforeAutospacing="0" w:after="0" w:afterAutospacing="0"/>
        <w:jc w:val="both"/>
        <w:rPr>
          <w:rFonts w:asciiTheme="majorHAnsi" w:hAnsiTheme="majorHAnsi"/>
          <w:b/>
          <w:sz w:val="20"/>
          <w:szCs w:val="20"/>
        </w:rPr>
      </w:pPr>
      <w:r w:rsidRPr="000A660A">
        <w:rPr>
          <w:rFonts w:asciiTheme="majorHAnsi" w:hAnsiTheme="majorHAnsi"/>
          <w:b/>
          <w:sz w:val="20"/>
          <w:szCs w:val="20"/>
        </w:rPr>
        <w:t>2. Approach for the Second ICCAT Performance Review</w:t>
      </w:r>
    </w:p>
    <w:p w14:paraId="1937AA35" w14:textId="77777777" w:rsidR="005C16E2" w:rsidRPr="000A660A" w:rsidRDefault="005C16E2" w:rsidP="005C16E2">
      <w:pPr>
        <w:jc w:val="both"/>
        <w:rPr>
          <w:rFonts w:asciiTheme="majorHAnsi" w:hAnsiTheme="majorHAnsi"/>
          <w:i/>
        </w:rPr>
      </w:pPr>
    </w:p>
    <w:p w14:paraId="0789853B" w14:textId="77777777" w:rsidR="005C16E2" w:rsidRPr="000A660A" w:rsidRDefault="005C16E2" w:rsidP="005C16E2">
      <w:pPr>
        <w:jc w:val="both"/>
        <w:rPr>
          <w:rFonts w:asciiTheme="majorHAnsi" w:hAnsiTheme="majorHAnsi"/>
          <w:b/>
          <w:i/>
        </w:rPr>
      </w:pPr>
      <w:r w:rsidRPr="000A660A">
        <w:rPr>
          <w:rFonts w:asciiTheme="majorHAnsi" w:hAnsiTheme="majorHAnsi"/>
          <w:b/>
          <w:i/>
        </w:rPr>
        <w:t>2.1 Terms of reference</w:t>
      </w:r>
    </w:p>
    <w:p w14:paraId="41C8D0F8" w14:textId="77777777" w:rsidR="005C16E2" w:rsidRPr="000A660A" w:rsidRDefault="005C16E2" w:rsidP="005C16E2">
      <w:pPr>
        <w:jc w:val="both"/>
        <w:rPr>
          <w:rFonts w:asciiTheme="majorHAnsi" w:hAnsiTheme="majorHAnsi"/>
        </w:rPr>
      </w:pPr>
    </w:p>
    <w:p w14:paraId="50059E33" w14:textId="77777777" w:rsidR="005C16E2" w:rsidRPr="000A660A" w:rsidRDefault="005C16E2" w:rsidP="005C16E2">
      <w:pPr>
        <w:jc w:val="both"/>
        <w:rPr>
          <w:rFonts w:asciiTheme="majorHAnsi" w:hAnsiTheme="majorHAnsi"/>
        </w:rPr>
      </w:pPr>
      <w:r w:rsidRPr="000A660A">
        <w:rPr>
          <w:rFonts w:asciiTheme="majorHAnsi" w:hAnsiTheme="majorHAnsi"/>
        </w:rPr>
        <w:t xml:space="preserve">The aim of the second assessment should be to: </w:t>
      </w:r>
    </w:p>
    <w:p w14:paraId="0292D7C8" w14:textId="77777777" w:rsidR="005C16E2" w:rsidRPr="000A660A" w:rsidRDefault="005C16E2" w:rsidP="005C16E2">
      <w:pPr>
        <w:jc w:val="both"/>
        <w:rPr>
          <w:rFonts w:asciiTheme="majorHAnsi" w:hAnsiTheme="majorHAnsi"/>
        </w:rPr>
      </w:pPr>
    </w:p>
    <w:p w14:paraId="566CD18C" w14:textId="77777777" w:rsidR="005C16E2" w:rsidRPr="000A660A" w:rsidRDefault="005C16E2" w:rsidP="005C16E2">
      <w:pPr>
        <w:tabs>
          <w:tab w:val="left" w:pos="360"/>
        </w:tabs>
        <w:spacing w:after="120"/>
        <w:ind w:left="360" w:hanging="360"/>
        <w:jc w:val="both"/>
        <w:rPr>
          <w:rFonts w:asciiTheme="majorHAnsi" w:hAnsiTheme="majorHAnsi"/>
        </w:rPr>
      </w:pPr>
      <w:r w:rsidRPr="000A660A">
        <w:rPr>
          <w:rFonts w:asciiTheme="majorHAnsi" w:hAnsiTheme="majorHAnsi"/>
        </w:rPr>
        <w:t>1.</w:t>
      </w:r>
      <w:r w:rsidRPr="000A660A">
        <w:rPr>
          <w:rFonts w:asciiTheme="majorHAnsi" w:hAnsiTheme="majorHAnsi"/>
        </w:rPr>
        <w:tab/>
        <w:t>Evaluate how ICCAT has responded to the outcome of the First ICCAT Performance Review of 2008, taking into consideration the discussions/recommendations of the Working Group on the Future of ICCAT, of the Working Group on Convention Amendment and subsequent decisions and practices by the Commission and its subsidiary bodies.</w:t>
      </w:r>
    </w:p>
    <w:p w14:paraId="27AFC30D" w14:textId="77777777" w:rsidR="005C16E2" w:rsidRPr="000A660A" w:rsidRDefault="005C16E2" w:rsidP="005C16E2">
      <w:pPr>
        <w:tabs>
          <w:tab w:val="left" w:pos="360"/>
        </w:tabs>
        <w:spacing w:after="120"/>
        <w:ind w:left="360" w:hanging="360"/>
        <w:jc w:val="both"/>
        <w:rPr>
          <w:rFonts w:asciiTheme="majorHAnsi" w:hAnsiTheme="majorHAnsi"/>
        </w:rPr>
      </w:pPr>
      <w:r w:rsidRPr="000A660A">
        <w:rPr>
          <w:rFonts w:asciiTheme="majorHAnsi" w:hAnsiTheme="majorHAnsi"/>
        </w:rPr>
        <w:t>2.</w:t>
      </w:r>
      <w:r w:rsidRPr="000A660A">
        <w:rPr>
          <w:rFonts w:asciiTheme="majorHAnsi" w:hAnsiTheme="majorHAnsi"/>
        </w:rPr>
        <w:tab/>
      </w:r>
      <w:proofErr w:type="gramStart"/>
      <w:r w:rsidRPr="000A660A">
        <w:rPr>
          <w:rFonts w:asciiTheme="majorHAnsi" w:hAnsiTheme="majorHAnsi"/>
        </w:rPr>
        <w:t>Taking into account</w:t>
      </w:r>
      <w:proofErr w:type="gramEnd"/>
      <w:r w:rsidRPr="000A660A">
        <w:rPr>
          <w:rFonts w:asciiTheme="majorHAnsi" w:hAnsiTheme="majorHAnsi"/>
        </w:rPr>
        <w:t xml:space="preserve"> the evaluation under item 1 above, assess the functioning of the Commission and of its subsidiary bodies, in particular the Compliance Committee and the SCRS.</w:t>
      </w:r>
    </w:p>
    <w:p w14:paraId="1CDA9660" w14:textId="77777777" w:rsidR="005C16E2" w:rsidRPr="000A660A" w:rsidRDefault="005C16E2" w:rsidP="005C16E2">
      <w:pPr>
        <w:tabs>
          <w:tab w:val="left" w:pos="360"/>
        </w:tabs>
        <w:spacing w:after="120"/>
        <w:ind w:left="360" w:hanging="360"/>
        <w:jc w:val="both"/>
        <w:rPr>
          <w:rFonts w:asciiTheme="majorHAnsi" w:hAnsiTheme="majorHAnsi"/>
        </w:rPr>
      </w:pPr>
      <w:r w:rsidRPr="000A660A">
        <w:rPr>
          <w:rFonts w:asciiTheme="majorHAnsi" w:hAnsiTheme="majorHAnsi"/>
        </w:rPr>
        <w:t>3.</w:t>
      </w:r>
      <w:r w:rsidRPr="000A660A">
        <w:rPr>
          <w:rFonts w:asciiTheme="majorHAnsi" w:hAnsiTheme="majorHAnsi"/>
        </w:rPr>
        <w:tab/>
        <w:t xml:space="preserve">Compare, to the extent possible, the performance of ICCAT with the performance of other tuna RFMOs, i.e. by </w:t>
      </w:r>
      <w:proofErr w:type="gramStart"/>
      <w:r w:rsidRPr="000A660A">
        <w:rPr>
          <w:rFonts w:asciiTheme="majorHAnsi" w:hAnsiTheme="majorHAnsi"/>
        </w:rPr>
        <w:t>taking into account</w:t>
      </w:r>
      <w:proofErr w:type="gramEnd"/>
      <w:r w:rsidRPr="000A660A">
        <w:rPr>
          <w:rFonts w:asciiTheme="majorHAnsi" w:hAnsiTheme="majorHAnsi"/>
        </w:rPr>
        <w:t xml:space="preserve"> the Performance Reviews by other tuna RFMOs and by highlighting best practices adopted by other RFMOs that could help further strengthen ICCAT.</w:t>
      </w:r>
    </w:p>
    <w:p w14:paraId="08C7B3C0" w14:textId="77777777" w:rsidR="005C16E2" w:rsidRPr="000A660A" w:rsidRDefault="005C16E2" w:rsidP="005C16E2">
      <w:pPr>
        <w:tabs>
          <w:tab w:val="left" w:pos="360"/>
          <w:tab w:val="left" w:pos="720"/>
        </w:tabs>
        <w:ind w:left="360" w:hanging="360"/>
        <w:jc w:val="both"/>
        <w:rPr>
          <w:rFonts w:asciiTheme="majorHAnsi" w:hAnsiTheme="majorHAnsi"/>
        </w:rPr>
      </w:pPr>
      <w:r w:rsidRPr="000A660A">
        <w:rPr>
          <w:rFonts w:asciiTheme="majorHAnsi" w:hAnsiTheme="majorHAnsi"/>
        </w:rPr>
        <w:t>4.</w:t>
      </w:r>
      <w:r w:rsidRPr="000A660A">
        <w:rPr>
          <w:rFonts w:asciiTheme="majorHAnsi" w:hAnsiTheme="majorHAnsi"/>
        </w:rPr>
        <w:tab/>
        <w:t>Identify areas where improvement is needed to strengthen the</w:t>
      </w:r>
      <w:r w:rsidRPr="000A660A">
        <w:rPr>
          <w:rFonts w:asciiTheme="majorHAnsi" w:hAnsiTheme="majorHAnsi"/>
          <w:lang w:val="en-GB"/>
        </w:rPr>
        <w:t xml:space="preserve"> organisation</w:t>
      </w:r>
      <w:r w:rsidRPr="000A660A">
        <w:rPr>
          <w:rFonts w:asciiTheme="majorHAnsi" w:hAnsiTheme="majorHAnsi"/>
        </w:rPr>
        <w:t xml:space="preserve"> further including an analysis of reporting requirements with a view to streamline and make recommendations to the Commission on how performance could be improved, taking into consideration the development in fisheries and ocean management that has taken place during the period covered by the review.</w:t>
      </w:r>
    </w:p>
    <w:p w14:paraId="70477C2D" w14:textId="77777777" w:rsidR="005C16E2" w:rsidRPr="000A660A" w:rsidRDefault="005C16E2" w:rsidP="005C16E2">
      <w:pPr>
        <w:tabs>
          <w:tab w:val="left" w:pos="360"/>
          <w:tab w:val="left" w:pos="600"/>
        </w:tabs>
        <w:spacing w:line="240" w:lineRule="atLeast"/>
        <w:jc w:val="both"/>
        <w:rPr>
          <w:rFonts w:asciiTheme="majorHAnsi" w:hAnsiTheme="majorHAnsi"/>
        </w:rPr>
      </w:pPr>
    </w:p>
    <w:p w14:paraId="0173C9BB" w14:textId="77777777" w:rsidR="005C16E2" w:rsidRPr="000A660A" w:rsidRDefault="005C16E2" w:rsidP="005C16E2">
      <w:pPr>
        <w:spacing w:line="240" w:lineRule="atLeast"/>
        <w:jc w:val="both"/>
        <w:rPr>
          <w:rFonts w:asciiTheme="majorHAnsi" w:hAnsiTheme="majorHAnsi"/>
          <w:b/>
          <w:i/>
        </w:rPr>
      </w:pPr>
      <w:r w:rsidRPr="000A660A">
        <w:rPr>
          <w:rFonts w:asciiTheme="majorHAnsi" w:hAnsiTheme="majorHAnsi"/>
          <w:b/>
          <w:i/>
        </w:rPr>
        <w:t>2.2 Criteria and standards for performance evaluation</w:t>
      </w:r>
    </w:p>
    <w:p w14:paraId="520EB651" w14:textId="77777777" w:rsidR="005C16E2" w:rsidRPr="000A660A" w:rsidRDefault="005C16E2" w:rsidP="005C16E2">
      <w:pPr>
        <w:spacing w:line="240" w:lineRule="atLeast"/>
        <w:jc w:val="both"/>
        <w:rPr>
          <w:rFonts w:asciiTheme="majorHAnsi" w:hAnsiTheme="majorHAnsi"/>
        </w:rPr>
      </w:pPr>
    </w:p>
    <w:p w14:paraId="197521CA"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 xml:space="preserve">It is suggested that the criteria used for the First Performance Review be adapted to the new terms of reference for the Second Performance Review, as laid out in </w:t>
      </w:r>
      <w:r w:rsidRPr="000A660A">
        <w:rPr>
          <w:rFonts w:asciiTheme="majorHAnsi" w:hAnsiTheme="majorHAnsi"/>
          <w:b/>
        </w:rPr>
        <w:t xml:space="preserve">Annex 1. </w:t>
      </w:r>
      <w:r w:rsidRPr="000A660A">
        <w:rPr>
          <w:rFonts w:asciiTheme="majorHAnsi" w:hAnsiTheme="majorHAnsi"/>
        </w:rPr>
        <w:t>These criteria outline “what” (at minimum) should be assessed in the performance review.</w:t>
      </w:r>
    </w:p>
    <w:p w14:paraId="3D9DF197" w14:textId="77777777" w:rsidR="00E37A86" w:rsidRPr="000A660A" w:rsidRDefault="00E37A86" w:rsidP="005C16E2">
      <w:pPr>
        <w:spacing w:line="240" w:lineRule="atLeast"/>
        <w:jc w:val="both"/>
        <w:rPr>
          <w:rFonts w:asciiTheme="majorHAnsi" w:hAnsiTheme="majorHAnsi"/>
        </w:rPr>
      </w:pPr>
    </w:p>
    <w:p w14:paraId="6F49F1F6" w14:textId="77777777" w:rsidR="005C16E2" w:rsidRPr="000A660A" w:rsidRDefault="005C16E2" w:rsidP="005C16E2">
      <w:pPr>
        <w:pStyle w:val="Default"/>
        <w:jc w:val="both"/>
        <w:rPr>
          <w:rFonts w:asciiTheme="majorHAnsi" w:hAnsiTheme="majorHAnsi"/>
          <w:b/>
          <w:i/>
          <w:sz w:val="20"/>
          <w:szCs w:val="20"/>
        </w:rPr>
      </w:pPr>
      <w:r w:rsidRPr="000A660A">
        <w:rPr>
          <w:rFonts w:asciiTheme="majorHAnsi" w:hAnsiTheme="majorHAnsi"/>
          <w:b/>
          <w:i/>
          <w:sz w:val="20"/>
          <w:szCs w:val="20"/>
        </w:rPr>
        <w:t>2.3 Selection of reviewers</w:t>
      </w:r>
    </w:p>
    <w:p w14:paraId="02D46ED8" w14:textId="77777777" w:rsidR="005C16E2" w:rsidRPr="000A660A" w:rsidRDefault="005C16E2" w:rsidP="005C16E2">
      <w:pPr>
        <w:jc w:val="both"/>
        <w:rPr>
          <w:rFonts w:asciiTheme="majorHAnsi" w:hAnsiTheme="majorHAnsi"/>
        </w:rPr>
      </w:pPr>
    </w:p>
    <w:p w14:paraId="2AAD0D57" w14:textId="77777777" w:rsidR="005C16E2" w:rsidRPr="000A660A" w:rsidRDefault="005C16E2" w:rsidP="005C16E2">
      <w:pPr>
        <w:jc w:val="both"/>
        <w:rPr>
          <w:rFonts w:asciiTheme="majorHAnsi" w:hAnsiTheme="majorHAnsi"/>
        </w:rPr>
      </w:pPr>
      <w:r w:rsidRPr="000A660A">
        <w:rPr>
          <w:rFonts w:asciiTheme="majorHAnsi" w:hAnsiTheme="majorHAnsi"/>
        </w:rPr>
        <w:t>The Commission should decide on the composition and size of the Panel. The panel for the First Performance Review included one legal expert, one fisheries scientist and one fisheries manager. All were external experts that did not have</w:t>
      </w:r>
      <w:r w:rsidR="00E37A86" w:rsidRPr="000A660A">
        <w:rPr>
          <w:rFonts w:asciiTheme="majorHAnsi" w:hAnsiTheme="majorHAnsi"/>
        </w:rPr>
        <w:t xml:space="preserve"> a current connection to ICCAT.</w:t>
      </w:r>
    </w:p>
    <w:p w14:paraId="4BE59747" w14:textId="77777777" w:rsidR="005C16E2" w:rsidRPr="000A660A" w:rsidRDefault="005C16E2" w:rsidP="005C16E2">
      <w:pPr>
        <w:jc w:val="both"/>
        <w:rPr>
          <w:rFonts w:asciiTheme="majorHAnsi" w:hAnsiTheme="majorHAnsi"/>
        </w:rPr>
      </w:pPr>
    </w:p>
    <w:p w14:paraId="41E95303"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For the Second Performance Review, regarding the composition of the Panel</w:t>
      </w:r>
      <w:r w:rsidRPr="000A660A">
        <w:rPr>
          <w:rFonts w:asciiTheme="majorHAnsi" w:hAnsiTheme="majorHAnsi"/>
          <w:u w:val="single"/>
        </w:rPr>
        <w:t>,</w:t>
      </w:r>
      <w:r w:rsidRPr="000A660A">
        <w:rPr>
          <w:rFonts w:asciiTheme="majorHAnsi" w:hAnsiTheme="majorHAnsi"/>
        </w:rPr>
        <w:t xml:space="preserve"> the Commission should consider three external experts, as in the First Performance Review.</w:t>
      </w:r>
    </w:p>
    <w:p w14:paraId="2F227A39" w14:textId="77777777" w:rsidR="005C16E2" w:rsidRPr="000A660A" w:rsidRDefault="005C16E2" w:rsidP="005C16E2">
      <w:pPr>
        <w:jc w:val="both"/>
        <w:rPr>
          <w:rFonts w:asciiTheme="majorHAnsi" w:hAnsiTheme="majorHAnsi"/>
        </w:rPr>
      </w:pPr>
    </w:p>
    <w:p w14:paraId="58B7B845" w14:textId="77777777" w:rsidR="005C16E2" w:rsidRPr="000A660A" w:rsidRDefault="005C16E2" w:rsidP="005C16E2">
      <w:pPr>
        <w:jc w:val="both"/>
        <w:rPr>
          <w:rFonts w:asciiTheme="majorHAnsi" w:hAnsiTheme="majorHAnsi"/>
          <w:lang w:val="en-GB"/>
        </w:rPr>
      </w:pPr>
      <w:r w:rsidRPr="000A660A">
        <w:rPr>
          <w:rFonts w:asciiTheme="majorHAnsi" w:hAnsiTheme="majorHAnsi"/>
          <w:lang w:val="en-GB"/>
        </w:rPr>
        <w:t>Reviewers should be independent and be appointed as individuals in their personal capacity. One of the reviewers, who should come from the group of external experts, will be assigned the task of coordinating the Panel.</w:t>
      </w:r>
    </w:p>
    <w:p w14:paraId="1B25078F" w14:textId="77777777" w:rsidR="005C16E2" w:rsidRPr="000A660A" w:rsidRDefault="005C16E2" w:rsidP="005C16E2">
      <w:pPr>
        <w:jc w:val="both"/>
        <w:rPr>
          <w:rFonts w:asciiTheme="majorHAnsi" w:hAnsiTheme="majorHAnsi"/>
          <w:lang w:val="en-GB"/>
        </w:rPr>
      </w:pPr>
    </w:p>
    <w:p w14:paraId="1871758E" w14:textId="77777777" w:rsidR="000A660A" w:rsidRDefault="000A660A">
      <w:pPr>
        <w:widowControl/>
        <w:autoSpaceDE/>
        <w:autoSpaceDN/>
        <w:adjustRightInd/>
        <w:rPr>
          <w:rFonts w:asciiTheme="majorHAnsi" w:hAnsiTheme="majorHAnsi"/>
          <w:lang w:val="en-GB"/>
        </w:rPr>
      </w:pPr>
      <w:r>
        <w:rPr>
          <w:rFonts w:asciiTheme="majorHAnsi" w:hAnsiTheme="majorHAnsi"/>
          <w:lang w:val="en-GB"/>
        </w:rPr>
        <w:br w:type="page"/>
      </w:r>
    </w:p>
    <w:p w14:paraId="769FC047" w14:textId="36C40145" w:rsidR="005C16E2" w:rsidRPr="000A660A" w:rsidRDefault="005C16E2" w:rsidP="005C16E2">
      <w:pPr>
        <w:jc w:val="both"/>
        <w:rPr>
          <w:rFonts w:asciiTheme="majorHAnsi" w:hAnsiTheme="majorHAnsi"/>
          <w:lang w:val="en-GB"/>
        </w:rPr>
      </w:pPr>
      <w:r w:rsidRPr="000A660A">
        <w:rPr>
          <w:rFonts w:asciiTheme="majorHAnsi" w:hAnsiTheme="majorHAnsi"/>
          <w:lang w:val="en-GB"/>
        </w:rPr>
        <w:lastRenderedPageBreak/>
        <w:t>Qualifications/experience of reviewers:</w:t>
      </w:r>
    </w:p>
    <w:p w14:paraId="69A060FF" w14:textId="77777777" w:rsidR="005C16E2" w:rsidRPr="000A660A" w:rsidRDefault="005C16E2" w:rsidP="005C16E2">
      <w:pPr>
        <w:jc w:val="both"/>
        <w:rPr>
          <w:rFonts w:asciiTheme="majorHAnsi" w:hAnsiTheme="majorHAnsi"/>
          <w:lang w:val="en-GB"/>
        </w:rPr>
      </w:pPr>
    </w:p>
    <w:p w14:paraId="48B6048E" w14:textId="77777777" w:rsidR="005C16E2" w:rsidRPr="000A660A" w:rsidRDefault="005C16E2" w:rsidP="005C16E2">
      <w:pPr>
        <w:widowControl/>
        <w:numPr>
          <w:ilvl w:val="0"/>
          <w:numId w:val="13"/>
        </w:numPr>
        <w:jc w:val="both"/>
        <w:rPr>
          <w:rFonts w:asciiTheme="majorHAnsi" w:hAnsiTheme="majorHAnsi"/>
          <w:lang w:val="en-GB"/>
        </w:rPr>
      </w:pPr>
      <w:r w:rsidRPr="000A660A">
        <w:rPr>
          <w:rFonts w:asciiTheme="majorHAnsi" w:hAnsiTheme="majorHAnsi"/>
        </w:rPr>
        <w:t>profound knowledge of the following areas: international fisheries instruments and</w:t>
      </w:r>
      <w:r w:rsidRPr="000A660A">
        <w:rPr>
          <w:rFonts w:asciiTheme="majorHAnsi" w:hAnsiTheme="majorHAnsi"/>
          <w:lang w:val="en-GB"/>
        </w:rPr>
        <w:t xml:space="preserve"> organisations</w:t>
      </w:r>
      <w:r w:rsidRPr="000A660A">
        <w:rPr>
          <w:rFonts w:asciiTheme="majorHAnsi" w:hAnsiTheme="majorHAnsi"/>
        </w:rPr>
        <w:t>, fisheries management, and fisheries science, ensuring that all these fields are adequately covered.</w:t>
      </w:r>
    </w:p>
    <w:p w14:paraId="09D9A756" w14:textId="77777777" w:rsidR="005C16E2" w:rsidRPr="000A660A" w:rsidRDefault="005C16E2" w:rsidP="005C16E2">
      <w:pPr>
        <w:ind w:left="720"/>
        <w:jc w:val="both"/>
        <w:rPr>
          <w:rFonts w:asciiTheme="majorHAnsi" w:hAnsiTheme="majorHAnsi"/>
          <w:lang w:val="en-GB"/>
        </w:rPr>
      </w:pPr>
    </w:p>
    <w:p w14:paraId="7DF5495B" w14:textId="77777777" w:rsidR="005C16E2" w:rsidRPr="000A660A" w:rsidRDefault="005C16E2" w:rsidP="005C16E2">
      <w:pPr>
        <w:widowControl/>
        <w:numPr>
          <w:ilvl w:val="0"/>
          <w:numId w:val="13"/>
        </w:numPr>
        <w:jc w:val="both"/>
        <w:rPr>
          <w:rFonts w:asciiTheme="majorHAnsi" w:hAnsiTheme="majorHAnsi"/>
          <w:lang w:val="en-GB"/>
        </w:rPr>
      </w:pPr>
      <w:r w:rsidRPr="000A660A">
        <w:rPr>
          <w:rFonts w:asciiTheme="majorHAnsi" w:hAnsiTheme="majorHAnsi"/>
        </w:rPr>
        <w:t>an appropriate level of education and experience in their specialized field of work.</w:t>
      </w:r>
    </w:p>
    <w:p w14:paraId="460C3453" w14:textId="77777777" w:rsidR="005C16E2" w:rsidRPr="000A660A" w:rsidRDefault="005C16E2" w:rsidP="005C16E2">
      <w:pPr>
        <w:rPr>
          <w:rFonts w:asciiTheme="majorHAnsi" w:hAnsiTheme="majorHAnsi"/>
        </w:rPr>
      </w:pPr>
    </w:p>
    <w:p w14:paraId="5D402F30" w14:textId="77777777" w:rsidR="005C16E2" w:rsidRPr="000A660A" w:rsidRDefault="005C16E2" w:rsidP="005C16E2">
      <w:pPr>
        <w:widowControl/>
        <w:numPr>
          <w:ilvl w:val="0"/>
          <w:numId w:val="13"/>
        </w:numPr>
        <w:jc w:val="both"/>
        <w:rPr>
          <w:rFonts w:asciiTheme="majorHAnsi" w:hAnsiTheme="majorHAnsi"/>
          <w:lang w:val="en-GB"/>
        </w:rPr>
      </w:pPr>
      <w:r w:rsidRPr="000A660A">
        <w:rPr>
          <w:rFonts w:asciiTheme="majorHAnsi" w:hAnsiTheme="majorHAnsi"/>
        </w:rPr>
        <w:t>very good command of written and spoken English. Knowledge of one or more of the other official languages of ICCAT would be an advantage.</w:t>
      </w:r>
    </w:p>
    <w:p w14:paraId="025F38E1" w14:textId="77777777" w:rsidR="005C16E2" w:rsidRPr="000A660A" w:rsidRDefault="005C16E2" w:rsidP="005C16E2">
      <w:pPr>
        <w:spacing w:line="240" w:lineRule="atLeast"/>
        <w:jc w:val="both"/>
        <w:rPr>
          <w:rFonts w:asciiTheme="majorHAnsi" w:hAnsiTheme="majorHAnsi"/>
          <w:lang w:val="en-GB"/>
        </w:rPr>
      </w:pPr>
    </w:p>
    <w:p w14:paraId="1A15CD8F"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 xml:space="preserve">The ICCAT Secretariat should provide adequate information and other support to the experts to facilitate their </w:t>
      </w:r>
      <w:proofErr w:type="gramStart"/>
      <w:r w:rsidRPr="000A660A">
        <w:rPr>
          <w:rFonts w:asciiTheme="majorHAnsi" w:hAnsiTheme="majorHAnsi"/>
        </w:rPr>
        <w:t>work</w:t>
      </w:r>
      <w:proofErr w:type="gramEnd"/>
      <w:r w:rsidRPr="000A660A">
        <w:rPr>
          <w:rFonts w:asciiTheme="majorHAnsi" w:hAnsiTheme="majorHAnsi"/>
        </w:rPr>
        <w:t xml:space="preserve"> but Secretariat staff will not form part of the Panel.</w:t>
      </w:r>
    </w:p>
    <w:p w14:paraId="517B94CF" w14:textId="77777777" w:rsidR="005C16E2" w:rsidRPr="000A660A" w:rsidRDefault="005C16E2" w:rsidP="005C16E2">
      <w:pPr>
        <w:spacing w:line="240" w:lineRule="atLeast"/>
        <w:jc w:val="both"/>
        <w:rPr>
          <w:rFonts w:asciiTheme="majorHAnsi" w:hAnsiTheme="majorHAnsi"/>
        </w:rPr>
      </w:pPr>
    </w:p>
    <w:p w14:paraId="0D0899FA"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Selection process:</w:t>
      </w:r>
    </w:p>
    <w:p w14:paraId="1E07B7F5" w14:textId="77777777" w:rsidR="005C16E2" w:rsidRPr="000A660A" w:rsidRDefault="005C16E2" w:rsidP="005C16E2">
      <w:pPr>
        <w:spacing w:line="240" w:lineRule="atLeast"/>
        <w:jc w:val="both"/>
        <w:rPr>
          <w:rFonts w:asciiTheme="majorHAnsi" w:hAnsiTheme="majorHAnsi"/>
        </w:rPr>
      </w:pPr>
    </w:p>
    <w:p w14:paraId="2928E4F5" w14:textId="77777777" w:rsidR="005C16E2" w:rsidRPr="000A660A" w:rsidRDefault="005C16E2" w:rsidP="005C16E2">
      <w:pPr>
        <w:widowControl/>
        <w:numPr>
          <w:ilvl w:val="0"/>
          <w:numId w:val="14"/>
        </w:numPr>
        <w:jc w:val="both"/>
        <w:rPr>
          <w:rFonts w:asciiTheme="majorHAnsi" w:hAnsiTheme="majorHAnsi"/>
        </w:rPr>
      </w:pPr>
      <w:r w:rsidRPr="000A660A">
        <w:rPr>
          <w:rFonts w:asciiTheme="majorHAnsi" w:hAnsiTheme="majorHAnsi"/>
        </w:rPr>
        <w:t>The Commission should establish a Screening Committee, to support the selection process of panelists as specified in the 6</w:t>
      </w:r>
      <w:r w:rsidRPr="000A660A">
        <w:rPr>
          <w:rFonts w:asciiTheme="majorHAnsi" w:hAnsiTheme="majorHAnsi"/>
          <w:vertAlign w:val="superscript"/>
        </w:rPr>
        <w:t>th</w:t>
      </w:r>
      <w:r w:rsidRPr="000A660A">
        <w:rPr>
          <w:rFonts w:asciiTheme="majorHAnsi" w:hAnsiTheme="majorHAnsi"/>
        </w:rPr>
        <w:t xml:space="preserve"> tic below, composed of: Commission Chairman, First Vice-Chair and Second Vice Chair, Chairs of STACFAD and the SCRS, and the Executive Secretary.</w:t>
      </w:r>
    </w:p>
    <w:p w14:paraId="20E45243" w14:textId="77777777" w:rsidR="005C16E2" w:rsidRPr="000A660A" w:rsidRDefault="005C16E2" w:rsidP="005C16E2">
      <w:pPr>
        <w:jc w:val="both"/>
        <w:rPr>
          <w:rFonts w:asciiTheme="majorHAnsi" w:hAnsiTheme="majorHAnsi"/>
        </w:rPr>
      </w:pPr>
    </w:p>
    <w:p w14:paraId="7234A436" w14:textId="77777777" w:rsidR="005C16E2" w:rsidRPr="000A660A" w:rsidRDefault="005C16E2" w:rsidP="005C16E2">
      <w:pPr>
        <w:widowControl/>
        <w:numPr>
          <w:ilvl w:val="0"/>
          <w:numId w:val="14"/>
        </w:numPr>
        <w:jc w:val="both"/>
        <w:rPr>
          <w:rFonts w:asciiTheme="majorHAnsi" w:hAnsiTheme="majorHAnsi"/>
        </w:rPr>
      </w:pPr>
      <w:r w:rsidRPr="000A660A">
        <w:rPr>
          <w:rFonts w:asciiTheme="majorHAnsi" w:hAnsiTheme="majorHAnsi"/>
        </w:rPr>
        <w:t>All Contracting Parties will be invited to nominate qualified experts in one or more of the desired fields (i.e., international fisheries instruments and organizations, fisheries management, and/or fisheries science).</w:t>
      </w:r>
    </w:p>
    <w:p w14:paraId="688C9D95" w14:textId="77777777" w:rsidR="005C16E2" w:rsidRPr="000A660A" w:rsidRDefault="005C16E2" w:rsidP="005C16E2">
      <w:pPr>
        <w:ind w:left="720"/>
        <w:jc w:val="both"/>
        <w:rPr>
          <w:rFonts w:asciiTheme="majorHAnsi" w:hAnsiTheme="majorHAnsi"/>
        </w:rPr>
      </w:pPr>
    </w:p>
    <w:p w14:paraId="7586419B" w14:textId="77777777" w:rsidR="005C16E2" w:rsidRPr="000A660A" w:rsidRDefault="005C16E2" w:rsidP="00DB5AF6">
      <w:pPr>
        <w:widowControl/>
        <w:numPr>
          <w:ilvl w:val="0"/>
          <w:numId w:val="14"/>
        </w:numPr>
        <w:jc w:val="both"/>
        <w:rPr>
          <w:rFonts w:asciiTheme="majorHAnsi" w:hAnsiTheme="majorHAnsi"/>
        </w:rPr>
      </w:pPr>
      <w:r w:rsidRPr="000A660A">
        <w:rPr>
          <w:rFonts w:asciiTheme="majorHAnsi" w:hAnsiTheme="majorHAnsi"/>
        </w:rPr>
        <w:t xml:space="preserve">The Secretariat will compile lists of candidates by field of expertise </w:t>
      </w:r>
      <w:proofErr w:type="gramStart"/>
      <w:r w:rsidRPr="000A660A">
        <w:rPr>
          <w:rFonts w:asciiTheme="majorHAnsi" w:hAnsiTheme="majorHAnsi"/>
        </w:rPr>
        <w:t>on the basis of</w:t>
      </w:r>
      <w:proofErr w:type="gramEnd"/>
      <w:r w:rsidRPr="000A660A">
        <w:rPr>
          <w:rFonts w:asciiTheme="majorHAnsi" w:hAnsiTheme="majorHAnsi"/>
        </w:rPr>
        <w:t xml:space="preserve"> nominations made by the Contracting Parties</w:t>
      </w:r>
      <w:r w:rsidR="00624F3B" w:rsidRPr="000A660A">
        <w:rPr>
          <w:rFonts w:asciiTheme="majorHAnsi" w:hAnsiTheme="majorHAnsi"/>
        </w:rPr>
        <w:t>.</w:t>
      </w:r>
    </w:p>
    <w:p w14:paraId="3A8FC767" w14:textId="77777777" w:rsidR="00624F3B" w:rsidRPr="000A660A" w:rsidRDefault="00624F3B" w:rsidP="00624F3B">
      <w:pPr>
        <w:widowControl/>
        <w:ind w:left="720"/>
        <w:jc w:val="both"/>
        <w:rPr>
          <w:rFonts w:asciiTheme="majorHAnsi" w:hAnsiTheme="majorHAnsi"/>
        </w:rPr>
      </w:pPr>
    </w:p>
    <w:p w14:paraId="38E18A11" w14:textId="77777777" w:rsidR="005C16E2" w:rsidRPr="000A660A" w:rsidRDefault="005C16E2" w:rsidP="00CF7C35">
      <w:pPr>
        <w:widowControl/>
        <w:numPr>
          <w:ilvl w:val="0"/>
          <w:numId w:val="14"/>
        </w:numPr>
        <w:jc w:val="both"/>
        <w:rPr>
          <w:rFonts w:asciiTheme="majorHAnsi" w:hAnsiTheme="majorHAnsi"/>
        </w:rPr>
      </w:pPr>
      <w:r w:rsidRPr="000A660A">
        <w:rPr>
          <w:rFonts w:asciiTheme="majorHAnsi" w:hAnsiTheme="majorHAnsi"/>
        </w:rPr>
        <w:t>The ICCAT Chairman will distribute the lists with the names and relevant background of all the candidates by field of expertise and request the CPCs to select and rank a maximum of three</w:t>
      </w:r>
      <w:r w:rsidR="00624F3B" w:rsidRPr="000A660A">
        <w:rPr>
          <w:rFonts w:asciiTheme="majorHAnsi" w:hAnsiTheme="majorHAnsi"/>
          <w:strike/>
        </w:rPr>
        <w:t xml:space="preserve"> </w:t>
      </w:r>
      <w:r w:rsidRPr="000A660A">
        <w:rPr>
          <w:rFonts w:asciiTheme="majorHAnsi" w:hAnsiTheme="majorHAnsi"/>
        </w:rPr>
        <w:t>experts per field among these can</w:t>
      </w:r>
      <w:r w:rsidR="00624F3B" w:rsidRPr="000A660A">
        <w:rPr>
          <w:rFonts w:asciiTheme="majorHAnsi" w:hAnsiTheme="majorHAnsi"/>
        </w:rPr>
        <w:t>didates in order of preference.</w:t>
      </w:r>
    </w:p>
    <w:p w14:paraId="3F7A8B3D" w14:textId="77777777" w:rsidR="00624F3B" w:rsidRPr="000A660A" w:rsidRDefault="00624F3B" w:rsidP="00624F3B">
      <w:pPr>
        <w:widowControl/>
        <w:ind w:left="720"/>
        <w:jc w:val="both"/>
        <w:rPr>
          <w:rFonts w:asciiTheme="majorHAnsi" w:hAnsiTheme="majorHAnsi"/>
        </w:rPr>
      </w:pPr>
    </w:p>
    <w:p w14:paraId="5B3C6D90" w14:textId="77777777" w:rsidR="005C16E2" w:rsidRPr="000A660A" w:rsidRDefault="005C16E2" w:rsidP="005C16E2">
      <w:pPr>
        <w:widowControl/>
        <w:numPr>
          <w:ilvl w:val="0"/>
          <w:numId w:val="14"/>
        </w:numPr>
        <w:jc w:val="both"/>
        <w:rPr>
          <w:rFonts w:asciiTheme="majorHAnsi" w:hAnsiTheme="majorHAnsi"/>
        </w:rPr>
      </w:pPr>
      <w:r w:rsidRPr="000A660A">
        <w:rPr>
          <w:rFonts w:asciiTheme="majorHAnsi" w:hAnsiTheme="majorHAnsi"/>
        </w:rPr>
        <w:t>The Screening Committee will review the input from the CPCs, prepare a composite list of candidates by assigning a value in inverse relationship to the order on each list (i.e. 3 points for number 1; 2 points for number 2 and 1 point for number 3) and confirm the selection of the Review Panel by the Commission in accordance with the outcome of the ranking process.</w:t>
      </w:r>
    </w:p>
    <w:p w14:paraId="38441550" w14:textId="77777777" w:rsidR="005C16E2" w:rsidRPr="000A660A" w:rsidRDefault="005C16E2" w:rsidP="005C16E2">
      <w:pPr>
        <w:ind w:left="720"/>
        <w:jc w:val="both"/>
        <w:rPr>
          <w:rFonts w:asciiTheme="majorHAnsi" w:hAnsiTheme="majorHAnsi"/>
        </w:rPr>
      </w:pPr>
    </w:p>
    <w:p w14:paraId="26F27C66" w14:textId="77777777" w:rsidR="005C16E2" w:rsidRPr="000A660A" w:rsidRDefault="005C16E2" w:rsidP="005C16E2">
      <w:pPr>
        <w:widowControl/>
        <w:numPr>
          <w:ilvl w:val="0"/>
          <w:numId w:val="14"/>
        </w:numPr>
        <w:jc w:val="both"/>
        <w:rPr>
          <w:rFonts w:asciiTheme="majorHAnsi" w:hAnsiTheme="majorHAnsi"/>
        </w:rPr>
      </w:pPr>
      <w:r w:rsidRPr="000A660A">
        <w:rPr>
          <w:rFonts w:asciiTheme="majorHAnsi" w:hAnsiTheme="majorHAnsi"/>
        </w:rPr>
        <w:t xml:space="preserve">The Secretariat will communicate the results of the Screening Committee’s analysis to CPCs and the resultant selection of the Review Panel. </w:t>
      </w:r>
    </w:p>
    <w:p w14:paraId="3F9B22D5" w14:textId="77777777" w:rsidR="005C16E2" w:rsidRPr="000A660A" w:rsidRDefault="005C16E2" w:rsidP="005C16E2">
      <w:pPr>
        <w:ind w:left="720"/>
        <w:jc w:val="both"/>
        <w:rPr>
          <w:rFonts w:asciiTheme="majorHAnsi" w:hAnsiTheme="majorHAnsi"/>
        </w:rPr>
      </w:pPr>
    </w:p>
    <w:p w14:paraId="3D940DAF" w14:textId="77777777" w:rsidR="005C16E2" w:rsidRPr="000A660A" w:rsidRDefault="005C16E2" w:rsidP="005C16E2">
      <w:pPr>
        <w:widowControl/>
        <w:numPr>
          <w:ilvl w:val="0"/>
          <w:numId w:val="14"/>
        </w:numPr>
        <w:spacing w:line="240" w:lineRule="atLeast"/>
        <w:jc w:val="both"/>
        <w:rPr>
          <w:rFonts w:asciiTheme="majorHAnsi" w:hAnsiTheme="majorHAnsi"/>
        </w:rPr>
      </w:pPr>
      <w:r w:rsidRPr="000A660A">
        <w:rPr>
          <w:rFonts w:asciiTheme="majorHAnsi" w:hAnsiTheme="majorHAnsi"/>
        </w:rPr>
        <w:t>It is envisaged to complete the selection process by mid of February 2016</w:t>
      </w:r>
      <w:r w:rsidR="00624F3B" w:rsidRPr="000A660A">
        <w:rPr>
          <w:rFonts w:asciiTheme="majorHAnsi" w:hAnsiTheme="majorHAnsi"/>
        </w:rPr>
        <w:t>.</w:t>
      </w:r>
    </w:p>
    <w:p w14:paraId="4574D191" w14:textId="77777777" w:rsidR="000A660A" w:rsidRDefault="000A660A" w:rsidP="005C16E2">
      <w:pPr>
        <w:spacing w:after="120" w:line="240" w:lineRule="atLeast"/>
        <w:jc w:val="both"/>
        <w:rPr>
          <w:rFonts w:asciiTheme="majorHAnsi" w:hAnsiTheme="majorHAnsi"/>
          <w:b/>
          <w:i/>
        </w:rPr>
      </w:pPr>
    </w:p>
    <w:p w14:paraId="73DDD746" w14:textId="53B798FC" w:rsidR="005C16E2" w:rsidRPr="000A660A" w:rsidRDefault="005C16E2" w:rsidP="005C16E2">
      <w:pPr>
        <w:spacing w:after="120" w:line="240" w:lineRule="atLeast"/>
        <w:jc w:val="both"/>
        <w:rPr>
          <w:rFonts w:asciiTheme="majorHAnsi" w:hAnsiTheme="majorHAnsi"/>
          <w:b/>
          <w:i/>
        </w:rPr>
      </w:pPr>
      <w:r w:rsidRPr="000A660A">
        <w:rPr>
          <w:rFonts w:asciiTheme="majorHAnsi" w:hAnsiTheme="majorHAnsi"/>
          <w:b/>
          <w:i/>
        </w:rPr>
        <w:t>2.4 Timing</w:t>
      </w:r>
    </w:p>
    <w:p w14:paraId="20989D6E" w14:textId="77777777" w:rsidR="005C16E2" w:rsidRPr="000A660A" w:rsidRDefault="005C16E2" w:rsidP="005C16E2">
      <w:pPr>
        <w:spacing w:line="240" w:lineRule="atLeast"/>
        <w:jc w:val="both"/>
        <w:rPr>
          <w:rFonts w:asciiTheme="majorHAnsi" w:hAnsiTheme="majorHAnsi"/>
          <w:i/>
        </w:rPr>
      </w:pPr>
      <w:r w:rsidRPr="000A660A">
        <w:rPr>
          <w:rFonts w:asciiTheme="majorHAnsi" w:hAnsiTheme="majorHAnsi"/>
        </w:rPr>
        <w:t xml:space="preserve">The work should be carried out within a reasonable </w:t>
      </w:r>
      <w:proofErr w:type="gramStart"/>
      <w:r w:rsidRPr="000A660A">
        <w:rPr>
          <w:rFonts w:asciiTheme="majorHAnsi" w:hAnsiTheme="majorHAnsi"/>
        </w:rPr>
        <w:t>time period</w:t>
      </w:r>
      <w:proofErr w:type="gramEnd"/>
      <w:r w:rsidRPr="000A660A">
        <w:rPr>
          <w:rFonts w:asciiTheme="majorHAnsi" w:hAnsiTheme="majorHAnsi"/>
        </w:rPr>
        <w:t xml:space="preserve"> as specified by the </w:t>
      </w:r>
      <w:proofErr w:type="gramStart"/>
      <w:r w:rsidRPr="000A660A">
        <w:rPr>
          <w:rFonts w:asciiTheme="majorHAnsi" w:hAnsiTheme="majorHAnsi"/>
        </w:rPr>
        <w:t>Commission, and</w:t>
      </w:r>
      <w:proofErr w:type="gramEnd"/>
      <w:r w:rsidRPr="000A660A">
        <w:rPr>
          <w:rFonts w:asciiTheme="majorHAnsi" w:hAnsiTheme="majorHAnsi"/>
        </w:rPr>
        <w:t xml:space="preserve"> should preferably commence no later than March 2016. The final report should be presented at the 2016 ICCAT Annual Meeting.</w:t>
      </w:r>
    </w:p>
    <w:p w14:paraId="19DC4853" w14:textId="77777777" w:rsidR="005C16E2" w:rsidRPr="000A660A" w:rsidRDefault="005C16E2" w:rsidP="005C16E2">
      <w:pPr>
        <w:spacing w:line="240" w:lineRule="atLeast"/>
        <w:jc w:val="both"/>
        <w:rPr>
          <w:rFonts w:asciiTheme="majorHAnsi" w:hAnsiTheme="majorHAnsi"/>
        </w:rPr>
      </w:pPr>
    </w:p>
    <w:p w14:paraId="32CF56F2" w14:textId="77777777" w:rsidR="005C16E2" w:rsidRPr="000A660A" w:rsidRDefault="005C16E2" w:rsidP="005C16E2">
      <w:pPr>
        <w:spacing w:after="120" w:line="240" w:lineRule="atLeast"/>
        <w:jc w:val="both"/>
        <w:rPr>
          <w:rFonts w:asciiTheme="majorHAnsi" w:hAnsiTheme="majorHAnsi"/>
          <w:b/>
          <w:i/>
        </w:rPr>
      </w:pPr>
      <w:r w:rsidRPr="000A660A">
        <w:rPr>
          <w:rFonts w:asciiTheme="majorHAnsi" w:hAnsiTheme="majorHAnsi"/>
          <w:b/>
          <w:i/>
        </w:rPr>
        <w:t>2.5 Review procedures</w:t>
      </w:r>
    </w:p>
    <w:p w14:paraId="57473DA1"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At the end of the specified period (15 September 2016), the panel of experts would make a provisional report available for review by the Screening Committee for the sole purpose of improving the clarity of the report. Any requests for clarification made by the Screening Committee should be addressed by the Review Panel before presentation of the final report to the Commission.</w:t>
      </w:r>
    </w:p>
    <w:p w14:paraId="631440C6" w14:textId="77777777" w:rsidR="005C16E2" w:rsidRPr="000A660A" w:rsidRDefault="005C16E2" w:rsidP="005C16E2">
      <w:pPr>
        <w:spacing w:line="240" w:lineRule="atLeast"/>
        <w:jc w:val="both"/>
        <w:rPr>
          <w:rFonts w:asciiTheme="majorHAnsi" w:hAnsiTheme="majorHAnsi"/>
        </w:rPr>
      </w:pPr>
    </w:p>
    <w:p w14:paraId="1B05CC5D"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The role of the Secretariat is to ensure the Review Panel has access to all required information and documentation to complete its work efficiently and effectively.</w:t>
      </w:r>
    </w:p>
    <w:p w14:paraId="487DDCDB" w14:textId="77777777" w:rsidR="005C16E2" w:rsidRPr="000A660A" w:rsidRDefault="005C16E2" w:rsidP="005C16E2">
      <w:pPr>
        <w:spacing w:line="240" w:lineRule="atLeast"/>
        <w:jc w:val="both"/>
        <w:rPr>
          <w:rFonts w:asciiTheme="majorHAnsi" w:hAnsiTheme="majorHAnsi"/>
        </w:rPr>
      </w:pPr>
    </w:p>
    <w:p w14:paraId="4BF0162E" w14:textId="77777777" w:rsidR="000A660A" w:rsidRDefault="000A660A">
      <w:pPr>
        <w:widowControl/>
        <w:autoSpaceDE/>
        <w:autoSpaceDN/>
        <w:adjustRightInd/>
        <w:rPr>
          <w:rFonts w:asciiTheme="majorHAnsi" w:hAnsiTheme="majorHAnsi"/>
          <w:b/>
          <w:i/>
        </w:rPr>
      </w:pPr>
      <w:r>
        <w:rPr>
          <w:rFonts w:asciiTheme="majorHAnsi" w:hAnsiTheme="majorHAnsi"/>
          <w:b/>
          <w:i/>
        </w:rPr>
        <w:br w:type="page"/>
      </w:r>
    </w:p>
    <w:p w14:paraId="1F8EABEE" w14:textId="2D986F3C" w:rsidR="005C16E2" w:rsidRPr="000A660A" w:rsidRDefault="005C16E2" w:rsidP="005C16E2">
      <w:pPr>
        <w:spacing w:line="240" w:lineRule="atLeast"/>
        <w:jc w:val="both"/>
        <w:rPr>
          <w:rFonts w:asciiTheme="majorHAnsi" w:hAnsiTheme="majorHAnsi"/>
          <w:b/>
          <w:i/>
        </w:rPr>
      </w:pPr>
      <w:r w:rsidRPr="000A660A">
        <w:rPr>
          <w:rFonts w:asciiTheme="majorHAnsi" w:hAnsiTheme="majorHAnsi"/>
          <w:b/>
          <w:i/>
        </w:rPr>
        <w:lastRenderedPageBreak/>
        <w:t>2.6 Dissemination and consideration of the performance review report</w:t>
      </w:r>
    </w:p>
    <w:p w14:paraId="3F66924B" w14:textId="77777777" w:rsidR="005C16E2" w:rsidRPr="000A660A" w:rsidRDefault="005C16E2" w:rsidP="005C16E2">
      <w:pPr>
        <w:spacing w:line="240" w:lineRule="atLeast"/>
        <w:jc w:val="both"/>
        <w:rPr>
          <w:rFonts w:asciiTheme="majorHAnsi" w:hAnsiTheme="majorHAnsi"/>
          <w:i/>
        </w:rPr>
      </w:pPr>
    </w:p>
    <w:p w14:paraId="5D071000"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 xml:space="preserve">The performance review report will be distributed to CPCs as soon as it is finalized </w:t>
      </w:r>
      <w:proofErr w:type="gramStart"/>
      <w:r w:rsidRPr="000A660A">
        <w:rPr>
          <w:rFonts w:asciiTheme="majorHAnsi" w:hAnsiTheme="majorHAnsi"/>
        </w:rPr>
        <w:t>and also</w:t>
      </w:r>
      <w:proofErr w:type="gramEnd"/>
      <w:r w:rsidRPr="000A660A">
        <w:rPr>
          <w:rFonts w:asciiTheme="majorHAnsi" w:hAnsiTheme="majorHAnsi"/>
        </w:rPr>
        <w:t xml:space="preserve"> posted on the public portion of the ICCAT website without delay. The Commission will consider the performance review report at its 2016 meeting and at future meetings as necessary. </w:t>
      </w:r>
    </w:p>
    <w:p w14:paraId="72FDB826" w14:textId="77777777" w:rsidR="005C16E2" w:rsidRPr="000A660A" w:rsidRDefault="005C16E2" w:rsidP="005C16E2">
      <w:pPr>
        <w:spacing w:line="240" w:lineRule="atLeast"/>
        <w:jc w:val="both"/>
        <w:rPr>
          <w:rFonts w:asciiTheme="majorHAnsi" w:hAnsiTheme="majorHAnsi"/>
        </w:rPr>
      </w:pPr>
    </w:p>
    <w:p w14:paraId="0A8E7614" w14:textId="77777777" w:rsidR="005C16E2" w:rsidRPr="000A660A" w:rsidRDefault="005C16E2" w:rsidP="005C16E2">
      <w:pPr>
        <w:spacing w:line="240" w:lineRule="atLeast"/>
        <w:jc w:val="both"/>
        <w:rPr>
          <w:rFonts w:asciiTheme="majorHAnsi" w:hAnsiTheme="majorHAnsi"/>
        </w:rPr>
      </w:pPr>
    </w:p>
    <w:p w14:paraId="1654A2E0" w14:textId="77777777" w:rsidR="005C16E2" w:rsidRPr="000A660A" w:rsidRDefault="005C16E2" w:rsidP="005C16E2">
      <w:pPr>
        <w:spacing w:line="240" w:lineRule="atLeast"/>
        <w:jc w:val="both"/>
        <w:rPr>
          <w:rFonts w:asciiTheme="majorHAnsi" w:hAnsiTheme="majorHAnsi"/>
          <w:b/>
        </w:rPr>
      </w:pPr>
      <w:r w:rsidRPr="000A660A">
        <w:rPr>
          <w:rFonts w:asciiTheme="majorHAnsi" w:hAnsiTheme="majorHAnsi"/>
          <w:b/>
        </w:rPr>
        <w:t>3. Budgetary requirements</w:t>
      </w:r>
    </w:p>
    <w:p w14:paraId="47F93B66" w14:textId="77777777" w:rsidR="005C16E2" w:rsidRPr="000A660A" w:rsidRDefault="005C16E2" w:rsidP="005C16E2">
      <w:pPr>
        <w:spacing w:line="240" w:lineRule="atLeast"/>
        <w:jc w:val="both"/>
        <w:rPr>
          <w:rFonts w:asciiTheme="majorHAnsi" w:hAnsiTheme="majorHAnsi"/>
          <w:b/>
          <w:i/>
        </w:rPr>
      </w:pPr>
    </w:p>
    <w:p w14:paraId="3F689198" w14:textId="77777777" w:rsidR="005C16E2" w:rsidRPr="000A660A" w:rsidRDefault="005C16E2" w:rsidP="005C16E2">
      <w:pPr>
        <w:spacing w:line="240" w:lineRule="atLeast"/>
        <w:jc w:val="both"/>
        <w:rPr>
          <w:rFonts w:asciiTheme="majorHAnsi" w:hAnsiTheme="majorHAnsi"/>
          <w:b/>
          <w:i/>
        </w:rPr>
      </w:pPr>
      <w:r w:rsidRPr="000A660A">
        <w:rPr>
          <w:rFonts w:asciiTheme="majorHAnsi" w:hAnsiTheme="majorHAnsi"/>
          <w:b/>
          <w:i/>
        </w:rPr>
        <w:t>3.1 General rules</w:t>
      </w:r>
    </w:p>
    <w:p w14:paraId="29A65062" w14:textId="77777777" w:rsidR="005C16E2" w:rsidRPr="000A660A" w:rsidRDefault="005C16E2" w:rsidP="005C16E2">
      <w:pPr>
        <w:spacing w:line="240" w:lineRule="atLeast"/>
        <w:jc w:val="both"/>
        <w:rPr>
          <w:rFonts w:asciiTheme="majorHAnsi" w:hAnsiTheme="majorHAnsi"/>
          <w:b/>
        </w:rPr>
      </w:pPr>
    </w:p>
    <w:p w14:paraId="6C66831C"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Internal reviewers (i.e. reviewers associated with a developing CPC) will be reimbursed for travel expenses only.</w:t>
      </w:r>
    </w:p>
    <w:p w14:paraId="33C0BC43" w14:textId="77777777" w:rsidR="005C16E2" w:rsidRPr="000A660A" w:rsidRDefault="005C16E2" w:rsidP="005C16E2">
      <w:pPr>
        <w:spacing w:line="240" w:lineRule="atLeast"/>
        <w:jc w:val="both"/>
        <w:rPr>
          <w:rFonts w:asciiTheme="majorHAnsi" w:hAnsiTheme="majorHAnsi"/>
        </w:rPr>
      </w:pPr>
    </w:p>
    <w:p w14:paraId="0403302F"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The daily rate of external reviewers is calculated to be not more than €600 per person excluding travel costs.</w:t>
      </w:r>
    </w:p>
    <w:p w14:paraId="095C2663" w14:textId="77777777" w:rsidR="005C16E2" w:rsidRPr="000A660A" w:rsidRDefault="005C16E2" w:rsidP="005C16E2">
      <w:pPr>
        <w:spacing w:line="240" w:lineRule="atLeast"/>
        <w:jc w:val="both"/>
        <w:rPr>
          <w:rFonts w:asciiTheme="majorHAnsi" w:hAnsiTheme="majorHAnsi"/>
        </w:rPr>
      </w:pPr>
    </w:p>
    <w:p w14:paraId="2F3956FE" w14:textId="77777777" w:rsidR="005C16E2" w:rsidRPr="000A660A" w:rsidRDefault="005C16E2" w:rsidP="005C16E2">
      <w:pPr>
        <w:spacing w:line="240" w:lineRule="atLeast"/>
        <w:jc w:val="both"/>
        <w:rPr>
          <w:rFonts w:asciiTheme="majorHAnsi" w:hAnsiTheme="majorHAnsi"/>
          <w:b/>
          <w:i/>
        </w:rPr>
      </w:pPr>
      <w:r w:rsidRPr="000A660A">
        <w:rPr>
          <w:rFonts w:asciiTheme="majorHAnsi" w:hAnsiTheme="majorHAnsi"/>
          <w:b/>
          <w:i/>
        </w:rPr>
        <w:t>3.2 Budget</w:t>
      </w:r>
    </w:p>
    <w:p w14:paraId="45CB1C80" w14:textId="77777777" w:rsidR="005C16E2" w:rsidRPr="000A660A" w:rsidRDefault="005C16E2" w:rsidP="005C16E2">
      <w:pPr>
        <w:spacing w:line="240" w:lineRule="atLeast"/>
        <w:jc w:val="both"/>
        <w:rPr>
          <w:rFonts w:asciiTheme="majorHAnsi" w:hAnsiTheme="majorHAnsi"/>
          <w:i/>
        </w:rPr>
      </w:pPr>
    </w:p>
    <w:p w14:paraId="1C112641" w14:textId="77777777" w:rsidR="005C16E2" w:rsidRPr="000A660A" w:rsidRDefault="005C16E2" w:rsidP="005C16E2">
      <w:pPr>
        <w:spacing w:line="240" w:lineRule="atLeast"/>
        <w:jc w:val="both"/>
        <w:rPr>
          <w:rFonts w:asciiTheme="majorHAnsi" w:hAnsiTheme="majorHAnsi"/>
        </w:rPr>
      </w:pPr>
      <w:proofErr w:type="gramStart"/>
      <w:r w:rsidRPr="000A660A">
        <w:rPr>
          <w:rFonts w:asciiTheme="majorHAnsi" w:hAnsiTheme="majorHAnsi"/>
        </w:rPr>
        <w:t>On the basis of</w:t>
      </w:r>
      <w:proofErr w:type="gramEnd"/>
      <w:r w:rsidRPr="000A660A">
        <w:rPr>
          <w:rFonts w:asciiTheme="majorHAnsi" w:hAnsiTheme="majorHAnsi"/>
        </w:rPr>
        <w:t xml:space="preserve"> fourteen </w:t>
      </w:r>
      <w:proofErr w:type="gramStart"/>
      <w:r w:rsidRPr="000A660A">
        <w:rPr>
          <w:rFonts w:asciiTheme="majorHAnsi" w:hAnsiTheme="majorHAnsi"/>
        </w:rPr>
        <w:t>weeks</w:t>
      </w:r>
      <w:proofErr w:type="gramEnd"/>
      <w:r w:rsidRPr="000A660A">
        <w:rPr>
          <w:rFonts w:asciiTheme="majorHAnsi" w:hAnsiTheme="majorHAnsi"/>
        </w:rPr>
        <w:t xml:space="preserve"> work by three external experts, a total of 210 person days would be required to carry out the review. The price per day includes all materials and communication costs. </w:t>
      </w:r>
    </w:p>
    <w:p w14:paraId="58F55797" w14:textId="77777777" w:rsidR="005C16E2" w:rsidRPr="000A660A" w:rsidRDefault="005C16E2" w:rsidP="005C16E2">
      <w:pPr>
        <w:spacing w:line="240" w:lineRule="atLeast"/>
        <w:jc w:val="both"/>
        <w:rPr>
          <w:rFonts w:asciiTheme="majorHAnsi" w:hAnsiTheme="majorHAnsi"/>
        </w:rPr>
      </w:pPr>
    </w:p>
    <w:p w14:paraId="572E1CBD"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 xml:space="preserve">In addition, the panel of experts would be required to make one trip to meet with the Steering Committee and at least the Panel's Coordinator would make a second trip to present the report to the Commission. Under this scenario, travel and per diem of external experts would be paid by the Commission, but not fees. </w:t>
      </w:r>
    </w:p>
    <w:p w14:paraId="1F11532E" w14:textId="77777777" w:rsidR="005C16E2" w:rsidRPr="000A660A" w:rsidRDefault="005C16E2" w:rsidP="005C16E2">
      <w:pPr>
        <w:spacing w:line="240" w:lineRule="atLeast"/>
        <w:jc w:val="both"/>
        <w:rPr>
          <w:rFonts w:asciiTheme="majorHAnsi" w:hAnsiTheme="majorHAnsi"/>
        </w:rPr>
      </w:pPr>
    </w:p>
    <w:p w14:paraId="76B0E15A" w14:textId="77777777" w:rsidR="005C16E2" w:rsidRPr="000A660A" w:rsidRDefault="005C16E2" w:rsidP="005C16E2">
      <w:pPr>
        <w:spacing w:line="240" w:lineRule="atLeast"/>
        <w:jc w:val="both"/>
        <w:rPr>
          <w:rFonts w:asciiTheme="majorHAnsi" w:hAnsiTheme="majorHAnsi"/>
        </w:rPr>
      </w:pPr>
      <w:r w:rsidRPr="000A660A">
        <w:rPr>
          <w:rFonts w:asciiTheme="majorHAnsi" w:hAnsiTheme="majorHAnsi"/>
        </w:rPr>
        <w:t xml:space="preserve">Costs could vary depending on the original location of experts and location of the meetings, and, hence, estimates are tentative. </w:t>
      </w:r>
    </w:p>
    <w:p w14:paraId="7AC22B22" w14:textId="77777777" w:rsidR="005C16E2" w:rsidRPr="000A660A" w:rsidRDefault="005C16E2" w:rsidP="005C16E2">
      <w:pPr>
        <w:spacing w:line="240" w:lineRule="atLeast"/>
        <w:jc w:val="both"/>
        <w:rPr>
          <w:rFonts w:asciiTheme="majorHAnsi" w:hAnsiTheme="majorHAnsi"/>
        </w:rPr>
      </w:pPr>
    </w:p>
    <w:tbl>
      <w:tblPr>
        <w:tblW w:w="0" w:type="auto"/>
        <w:tblInd w:w="588" w:type="dxa"/>
        <w:tblCellMar>
          <w:left w:w="0" w:type="dxa"/>
          <w:right w:w="0" w:type="dxa"/>
        </w:tblCellMar>
        <w:tblLook w:val="01E0" w:firstRow="1" w:lastRow="1" w:firstColumn="1" w:lastColumn="1" w:noHBand="0" w:noVBand="0"/>
      </w:tblPr>
      <w:tblGrid>
        <w:gridCol w:w="1475"/>
        <w:gridCol w:w="2483"/>
        <w:gridCol w:w="2062"/>
        <w:gridCol w:w="2020"/>
      </w:tblGrid>
      <w:tr w:rsidR="005C16E2" w:rsidRPr="000A660A" w14:paraId="3FE6B90C" w14:textId="77777777" w:rsidTr="00085665">
        <w:trPr>
          <w:trHeight w:val="340"/>
        </w:trPr>
        <w:tc>
          <w:tcPr>
            <w:tcW w:w="1475" w:type="dxa"/>
            <w:tcBorders>
              <w:top w:val="single" w:sz="4" w:space="0" w:color="auto"/>
              <w:bottom w:val="single" w:sz="4" w:space="0" w:color="auto"/>
            </w:tcBorders>
            <w:vAlign w:val="center"/>
          </w:tcPr>
          <w:p w14:paraId="05FDB7DC" w14:textId="77777777" w:rsidR="005C16E2" w:rsidRPr="000A660A" w:rsidRDefault="005C16E2" w:rsidP="00085665">
            <w:pPr>
              <w:spacing w:line="240" w:lineRule="atLeast"/>
              <w:jc w:val="both"/>
              <w:rPr>
                <w:rFonts w:asciiTheme="majorHAnsi" w:hAnsiTheme="majorHAnsi"/>
                <w:i/>
              </w:rPr>
            </w:pPr>
            <w:r w:rsidRPr="000A660A">
              <w:rPr>
                <w:rFonts w:asciiTheme="majorHAnsi" w:hAnsiTheme="majorHAnsi"/>
                <w:i/>
              </w:rPr>
              <w:t>Item</w:t>
            </w:r>
          </w:p>
        </w:tc>
        <w:tc>
          <w:tcPr>
            <w:tcW w:w="2483" w:type="dxa"/>
            <w:tcBorders>
              <w:top w:val="single" w:sz="4" w:space="0" w:color="auto"/>
              <w:bottom w:val="single" w:sz="4" w:space="0" w:color="auto"/>
            </w:tcBorders>
            <w:vAlign w:val="center"/>
          </w:tcPr>
          <w:p w14:paraId="718313D0" w14:textId="77777777" w:rsidR="005C16E2" w:rsidRPr="000A660A" w:rsidRDefault="005C16E2" w:rsidP="00085665">
            <w:pPr>
              <w:spacing w:line="240" w:lineRule="atLeast"/>
              <w:jc w:val="center"/>
              <w:rPr>
                <w:rFonts w:asciiTheme="majorHAnsi" w:hAnsiTheme="majorHAnsi"/>
                <w:i/>
              </w:rPr>
            </w:pPr>
            <w:r w:rsidRPr="000A660A">
              <w:rPr>
                <w:rFonts w:asciiTheme="majorHAnsi" w:hAnsiTheme="majorHAnsi"/>
                <w:i/>
              </w:rPr>
              <w:t>Unit cost (€)</w:t>
            </w:r>
          </w:p>
        </w:tc>
        <w:tc>
          <w:tcPr>
            <w:tcW w:w="2062" w:type="dxa"/>
            <w:tcBorders>
              <w:top w:val="single" w:sz="4" w:space="0" w:color="auto"/>
              <w:bottom w:val="single" w:sz="4" w:space="0" w:color="auto"/>
            </w:tcBorders>
            <w:vAlign w:val="center"/>
          </w:tcPr>
          <w:p w14:paraId="4C9C08CD" w14:textId="77777777" w:rsidR="005C16E2" w:rsidRPr="000A660A" w:rsidRDefault="005C16E2" w:rsidP="00085665">
            <w:pPr>
              <w:spacing w:line="240" w:lineRule="atLeast"/>
              <w:jc w:val="center"/>
              <w:rPr>
                <w:rFonts w:asciiTheme="majorHAnsi" w:hAnsiTheme="majorHAnsi"/>
                <w:i/>
              </w:rPr>
            </w:pPr>
            <w:r w:rsidRPr="000A660A">
              <w:rPr>
                <w:rFonts w:asciiTheme="majorHAnsi" w:hAnsiTheme="majorHAnsi"/>
                <w:i/>
              </w:rPr>
              <w:t>Number of units</w:t>
            </w:r>
          </w:p>
        </w:tc>
        <w:tc>
          <w:tcPr>
            <w:tcW w:w="2020" w:type="dxa"/>
            <w:tcBorders>
              <w:top w:val="single" w:sz="4" w:space="0" w:color="auto"/>
              <w:bottom w:val="single" w:sz="4" w:space="0" w:color="auto"/>
            </w:tcBorders>
            <w:vAlign w:val="center"/>
          </w:tcPr>
          <w:p w14:paraId="190A6C3A" w14:textId="77777777" w:rsidR="005C16E2" w:rsidRPr="000A660A" w:rsidRDefault="005C16E2" w:rsidP="00085665">
            <w:pPr>
              <w:spacing w:line="240" w:lineRule="atLeast"/>
              <w:jc w:val="right"/>
              <w:rPr>
                <w:rFonts w:asciiTheme="majorHAnsi" w:hAnsiTheme="majorHAnsi"/>
                <w:i/>
                <w:lang w:val="es-ES_tradnl"/>
              </w:rPr>
            </w:pPr>
            <w:r w:rsidRPr="000A660A">
              <w:rPr>
                <w:rFonts w:asciiTheme="majorHAnsi" w:hAnsiTheme="majorHAnsi"/>
                <w:i/>
              </w:rPr>
              <w:t>Total cost (</w:t>
            </w:r>
            <w:r w:rsidRPr="000A660A">
              <w:rPr>
                <w:rFonts w:asciiTheme="majorHAnsi" w:hAnsiTheme="majorHAnsi"/>
                <w:i/>
                <w:lang w:val="es-ES_tradnl"/>
              </w:rPr>
              <w:t>€)</w:t>
            </w:r>
          </w:p>
        </w:tc>
      </w:tr>
      <w:tr w:rsidR="005C16E2" w:rsidRPr="000A660A" w14:paraId="098CDD06" w14:textId="77777777" w:rsidTr="00085665">
        <w:trPr>
          <w:trHeight w:val="284"/>
        </w:trPr>
        <w:tc>
          <w:tcPr>
            <w:tcW w:w="1475" w:type="dxa"/>
            <w:tcBorders>
              <w:top w:val="single" w:sz="4" w:space="0" w:color="auto"/>
            </w:tcBorders>
            <w:vAlign w:val="bottom"/>
          </w:tcPr>
          <w:p w14:paraId="1155E23F" w14:textId="77777777" w:rsidR="005C16E2" w:rsidRPr="000A660A" w:rsidRDefault="005C16E2" w:rsidP="00085665">
            <w:pPr>
              <w:spacing w:line="240" w:lineRule="atLeast"/>
              <w:jc w:val="both"/>
              <w:rPr>
                <w:rFonts w:asciiTheme="majorHAnsi" w:hAnsiTheme="majorHAnsi"/>
              </w:rPr>
            </w:pPr>
            <w:r w:rsidRPr="000A660A">
              <w:rPr>
                <w:rFonts w:asciiTheme="majorHAnsi" w:hAnsiTheme="majorHAnsi"/>
              </w:rPr>
              <w:t>Days of work</w:t>
            </w:r>
          </w:p>
        </w:tc>
        <w:tc>
          <w:tcPr>
            <w:tcW w:w="2483" w:type="dxa"/>
            <w:tcBorders>
              <w:top w:val="single" w:sz="4" w:space="0" w:color="auto"/>
            </w:tcBorders>
            <w:vAlign w:val="bottom"/>
          </w:tcPr>
          <w:p w14:paraId="26D5390B" w14:textId="77777777" w:rsidR="005C16E2" w:rsidRPr="000A660A" w:rsidRDefault="005C16E2" w:rsidP="00085665">
            <w:pPr>
              <w:spacing w:line="240" w:lineRule="atLeast"/>
              <w:jc w:val="center"/>
              <w:rPr>
                <w:rFonts w:asciiTheme="majorHAnsi" w:hAnsiTheme="majorHAnsi"/>
              </w:rPr>
            </w:pPr>
            <w:r w:rsidRPr="000A660A">
              <w:rPr>
                <w:rFonts w:asciiTheme="majorHAnsi" w:hAnsiTheme="majorHAnsi"/>
              </w:rPr>
              <w:t>600</w:t>
            </w:r>
          </w:p>
        </w:tc>
        <w:tc>
          <w:tcPr>
            <w:tcW w:w="2062" w:type="dxa"/>
            <w:tcBorders>
              <w:top w:val="single" w:sz="4" w:space="0" w:color="auto"/>
            </w:tcBorders>
            <w:vAlign w:val="bottom"/>
          </w:tcPr>
          <w:p w14:paraId="5CFA30A3" w14:textId="77777777" w:rsidR="005C16E2" w:rsidRPr="000A660A" w:rsidRDefault="005C16E2" w:rsidP="00085665">
            <w:pPr>
              <w:spacing w:line="240" w:lineRule="atLeast"/>
              <w:jc w:val="center"/>
              <w:rPr>
                <w:rFonts w:asciiTheme="majorHAnsi" w:hAnsiTheme="majorHAnsi"/>
              </w:rPr>
            </w:pPr>
            <w:r w:rsidRPr="000A660A">
              <w:rPr>
                <w:rFonts w:asciiTheme="majorHAnsi" w:hAnsiTheme="majorHAnsi"/>
              </w:rPr>
              <w:t>210</w:t>
            </w:r>
          </w:p>
        </w:tc>
        <w:tc>
          <w:tcPr>
            <w:tcW w:w="2020" w:type="dxa"/>
            <w:tcBorders>
              <w:top w:val="single" w:sz="4" w:space="0" w:color="auto"/>
            </w:tcBorders>
            <w:vAlign w:val="bottom"/>
          </w:tcPr>
          <w:p w14:paraId="0528CEA9" w14:textId="77777777" w:rsidR="005C16E2" w:rsidRPr="000A660A" w:rsidRDefault="005C16E2" w:rsidP="00085665">
            <w:pPr>
              <w:spacing w:line="240" w:lineRule="atLeast"/>
              <w:jc w:val="right"/>
              <w:rPr>
                <w:rFonts w:asciiTheme="majorHAnsi" w:hAnsiTheme="majorHAnsi"/>
              </w:rPr>
            </w:pPr>
            <w:r w:rsidRPr="000A660A">
              <w:rPr>
                <w:rFonts w:asciiTheme="majorHAnsi" w:hAnsiTheme="majorHAnsi"/>
              </w:rPr>
              <w:t xml:space="preserve"> 126,000</w:t>
            </w:r>
          </w:p>
        </w:tc>
      </w:tr>
      <w:tr w:rsidR="005C16E2" w:rsidRPr="000A660A" w14:paraId="649D2328" w14:textId="77777777" w:rsidTr="00085665">
        <w:trPr>
          <w:trHeight w:val="284"/>
        </w:trPr>
        <w:tc>
          <w:tcPr>
            <w:tcW w:w="1475" w:type="dxa"/>
            <w:vAlign w:val="bottom"/>
          </w:tcPr>
          <w:p w14:paraId="7C07E86C" w14:textId="77777777" w:rsidR="005C16E2" w:rsidRPr="000A660A" w:rsidRDefault="005C16E2" w:rsidP="00085665">
            <w:pPr>
              <w:spacing w:line="240" w:lineRule="atLeast"/>
              <w:jc w:val="both"/>
              <w:rPr>
                <w:rFonts w:asciiTheme="majorHAnsi" w:hAnsiTheme="majorHAnsi"/>
              </w:rPr>
            </w:pPr>
            <w:r w:rsidRPr="000A660A">
              <w:rPr>
                <w:rFonts w:asciiTheme="majorHAnsi" w:hAnsiTheme="majorHAnsi"/>
              </w:rPr>
              <w:t>Travel costs</w:t>
            </w:r>
          </w:p>
        </w:tc>
        <w:tc>
          <w:tcPr>
            <w:tcW w:w="2483" w:type="dxa"/>
            <w:vAlign w:val="bottom"/>
          </w:tcPr>
          <w:p w14:paraId="566C6EBE" w14:textId="77777777" w:rsidR="005C16E2" w:rsidRPr="000A660A" w:rsidRDefault="005C16E2" w:rsidP="00085665">
            <w:pPr>
              <w:spacing w:line="240" w:lineRule="atLeast"/>
              <w:jc w:val="center"/>
              <w:rPr>
                <w:rFonts w:asciiTheme="majorHAnsi" w:hAnsiTheme="majorHAnsi"/>
              </w:rPr>
            </w:pPr>
            <w:r w:rsidRPr="000A660A">
              <w:rPr>
                <w:rFonts w:asciiTheme="majorHAnsi" w:hAnsiTheme="majorHAnsi"/>
              </w:rPr>
              <w:t>3,000</w:t>
            </w:r>
          </w:p>
        </w:tc>
        <w:tc>
          <w:tcPr>
            <w:tcW w:w="2062" w:type="dxa"/>
            <w:vAlign w:val="bottom"/>
          </w:tcPr>
          <w:p w14:paraId="18E16470" w14:textId="77777777" w:rsidR="005C16E2" w:rsidRPr="000A660A" w:rsidRDefault="005C16E2" w:rsidP="00085665">
            <w:pPr>
              <w:spacing w:line="240" w:lineRule="atLeast"/>
              <w:jc w:val="center"/>
              <w:rPr>
                <w:rFonts w:asciiTheme="majorHAnsi" w:hAnsiTheme="majorHAnsi"/>
              </w:rPr>
            </w:pPr>
            <w:r w:rsidRPr="000A660A">
              <w:rPr>
                <w:rFonts w:asciiTheme="majorHAnsi" w:hAnsiTheme="majorHAnsi"/>
              </w:rPr>
              <w:t>7</w:t>
            </w:r>
          </w:p>
        </w:tc>
        <w:tc>
          <w:tcPr>
            <w:tcW w:w="2020" w:type="dxa"/>
            <w:vAlign w:val="bottom"/>
          </w:tcPr>
          <w:p w14:paraId="19D6E85E" w14:textId="77777777" w:rsidR="005C16E2" w:rsidRPr="000A660A" w:rsidRDefault="005C16E2" w:rsidP="00085665">
            <w:pPr>
              <w:spacing w:line="240" w:lineRule="atLeast"/>
              <w:jc w:val="right"/>
              <w:rPr>
                <w:rFonts w:asciiTheme="majorHAnsi" w:hAnsiTheme="majorHAnsi"/>
              </w:rPr>
            </w:pPr>
            <w:r w:rsidRPr="000A660A">
              <w:rPr>
                <w:rFonts w:asciiTheme="majorHAnsi" w:hAnsiTheme="majorHAnsi"/>
              </w:rPr>
              <w:t xml:space="preserve"> 21,000</w:t>
            </w:r>
          </w:p>
        </w:tc>
      </w:tr>
      <w:tr w:rsidR="005C16E2" w:rsidRPr="000A660A" w14:paraId="12365821" w14:textId="77777777" w:rsidTr="00085665">
        <w:trPr>
          <w:trHeight w:val="284"/>
        </w:trPr>
        <w:tc>
          <w:tcPr>
            <w:tcW w:w="1475" w:type="dxa"/>
            <w:tcBorders>
              <w:bottom w:val="single" w:sz="4" w:space="0" w:color="auto"/>
            </w:tcBorders>
            <w:vAlign w:val="bottom"/>
          </w:tcPr>
          <w:p w14:paraId="7B5A9A88" w14:textId="77777777" w:rsidR="005C16E2" w:rsidRPr="000A660A" w:rsidRDefault="005C16E2" w:rsidP="00085665">
            <w:pPr>
              <w:spacing w:line="240" w:lineRule="atLeast"/>
              <w:jc w:val="both"/>
              <w:rPr>
                <w:rFonts w:asciiTheme="majorHAnsi" w:hAnsiTheme="majorHAnsi"/>
              </w:rPr>
            </w:pPr>
            <w:r w:rsidRPr="000A660A">
              <w:rPr>
                <w:rFonts w:asciiTheme="majorHAnsi" w:hAnsiTheme="majorHAnsi"/>
              </w:rPr>
              <w:t>Contingencies</w:t>
            </w:r>
          </w:p>
        </w:tc>
        <w:tc>
          <w:tcPr>
            <w:tcW w:w="2483" w:type="dxa"/>
            <w:tcBorders>
              <w:bottom w:val="single" w:sz="4" w:space="0" w:color="auto"/>
            </w:tcBorders>
            <w:vAlign w:val="bottom"/>
          </w:tcPr>
          <w:p w14:paraId="5DE74DEA" w14:textId="77777777" w:rsidR="005C16E2" w:rsidRPr="000A660A" w:rsidRDefault="005C16E2" w:rsidP="00085665">
            <w:pPr>
              <w:spacing w:line="240" w:lineRule="atLeast"/>
              <w:jc w:val="center"/>
              <w:rPr>
                <w:rFonts w:asciiTheme="majorHAnsi" w:hAnsiTheme="majorHAnsi"/>
              </w:rPr>
            </w:pPr>
            <w:r w:rsidRPr="000A660A">
              <w:rPr>
                <w:rFonts w:asciiTheme="majorHAnsi" w:hAnsiTheme="majorHAnsi"/>
              </w:rPr>
              <w:t>10% of total work/travel</w:t>
            </w:r>
          </w:p>
        </w:tc>
        <w:tc>
          <w:tcPr>
            <w:tcW w:w="2062" w:type="dxa"/>
            <w:tcBorders>
              <w:bottom w:val="single" w:sz="4" w:space="0" w:color="auto"/>
            </w:tcBorders>
            <w:vAlign w:val="bottom"/>
          </w:tcPr>
          <w:p w14:paraId="0DA4E340" w14:textId="77777777" w:rsidR="005C16E2" w:rsidRPr="000A660A" w:rsidRDefault="005C16E2" w:rsidP="00085665">
            <w:pPr>
              <w:spacing w:line="240" w:lineRule="atLeast"/>
              <w:jc w:val="center"/>
              <w:rPr>
                <w:rFonts w:asciiTheme="majorHAnsi" w:hAnsiTheme="majorHAnsi"/>
              </w:rPr>
            </w:pPr>
            <w:r w:rsidRPr="000A660A">
              <w:rPr>
                <w:rFonts w:asciiTheme="majorHAnsi" w:hAnsiTheme="majorHAnsi"/>
              </w:rPr>
              <w:t>1</w:t>
            </w:r>
          </w:p>
        </w:tc>
        <w:tc>
          <w:tcPr>
            <w:tcW w:w="2020" w:type="dxa"/>
            <w:tcBorders>
              <w:bottom w:val="single" w:sz="4" w:space="0" w:color="auto"/>
            </w:tcBorders>
            <w:vAlign w:val="bottom"/>
          </w:tcPr>
          <w:p w14:paraId="09AECE8B" w14:textId="77777777" w:rsidR="005C16E2" w:rsidRPr="000A660A" w:rsidRDefault="005C16E2" w:rsidP="00085665">
            <w:pPr>
              <w:spacing w:line="240" w:lineRule="atLeast"/>
              <w:jc w:val="right"/>
              <w:rPr>
                <w:rFonts w:asciiTheme="majorHAnsi" w:hAnsiTheme="majorHAnsi"/>
              </w:rPr>
            </w:pPr>
            <w:r w:rsidRPr="000A660A">
              <w:rPr>
                <w:rFonts w:asciiTheme="majorHAnsi" w:hAnsiTheme="majorHAnsi"/>
              </w:rPr>
              <w:t xml:space="preserve"> 14,700</w:t>
            </w:r>
          </w:p>
        </w:tc>
      </w:tr>
      <w:tr w:rsidR="005C16E2" w:rsidRPr="000A660A" w14:paraId="2FC96DD3" w14:textId="77777777" w:rsidTr="00085665">
        <w:trPr>
          <w:trHeight w:val="284"/>
        </w:trPr>
        <w:tc>
          <w:tcPr>
            <w:tcW w:w="1475" w:type="dxa"/>
            <w:tcBorders>
              <w:top w:val="single" w:sz="4" w:space="0" w:color="auto"/>
              <w:bottom w:val="single" w:sz="4" w:space="0" w:color="auto"/>
            </w:tcBorders>
            <w:vAlign w:val="bottom"/>
          </w:tcPr>
          <w:p w14:paraId="49DFB537" w14:textId="77777777" w:rsidR="005C16E2" w:rsidRPr="000A660A" w:rsidRDefault="005C16E2" w:rsidP="00085665">
            <w:pPr>
              <w:spacing w:line="240" w:lineRule="atLeast"/>
              <w:jc w:val="both"/>
              <w:rPr>
                <w:rFonts w:asciiTheme="majorHAnsi" w:hAnsiTheme="majorHAnsi"/>
                <w:b/>
              </w:rPr>
            </w:pPr>
            <w:r w:rsidRPr="000A660A">
              <w:rPr>
                <w:rFonts w:asciiTheme="majorHAnsi" w:hAnsiTheme="majorHAnsi"/>
                <w:b/>
              </w:rPr>
              <w:t>Total</w:t>
            </w:r>
          </w:p>
        </w:tc>
        <w:tc>
          <w:tcPr>
            <w:tcW w:w="2483" w:type="dxa"/>
            <w:tcBorders>
              <w:top w:val="single" w:sz="4" w:space="0" w:color="auto"/>
              <w:bottom w:val="single" w:sz="4" w:space="0" w:color="auto"/>
            </w:tcBorders>
            <w:vAlign w:val="bottom"/>
          </w:tcPr>
          <w:p w14:paraId="2637E6E8" w14:textId="77777777" w:rsidR="005C16E2" w:rsidRPr="000A660A" w:rsidRDefault="005C16E2" w:rsidP="00085665">
            <w:pPr>
              <w:spacing w:line="240" w:lineRule="atLeast"/>
              <w:jc w:val="center"/>
              <w:rPr>
                <w:rFonts w:asciiTheme="majorHAnsi" w:hAnsiTheme="majorHAnsi"/>
                <w:b/>
              </w:rPr>
            </w:pPr>
          </w:p>
        </w:tc>
        <w:tc>
          <w:tcPr>
            <w:tcW w:w="2062" w:type="dxa"/>
            <w:tcBorders>
              <w:top w:val="single" w:sz="4" w:space="0" w:color="auto"/>
              <w:bottom w:val="single" w:sz="4" w:space="0" w:color="auto"/>
            </w:tcBorders>
            <w:vAlign w:val="bottom"/>
          </w:tcPr>
          <w:p w14:paraId="49A229A6" w14:textId="77777777" w:rsidR="005C16E2" w:rsidRPr="000A660A" w:rsidRDefault="005C16E2" w:rsidP="00085665">
            <w:pPr>
              <w:spacing w:line="240" w:lineRule="atLeast"/>
              <w:jc w:val="center"/>
              <w:rPr>
                <w:rFonts w:asciiTheme="majorHAnsi" w:hAnsiTheme="majorHAnsi"/>
                <w:b/>
              </w:rPr>
            </w:pPr>
          </w:p>
        </w:tc>
        <w:tc>
          <w:tcPr>
            <w:tcW w:w="2020" w:type="dxa"/>
            <w:tcBorders>
              <w:top w:val="single" w:sz="4" w:space="0" w:color="auto"/>
              <w:bottom w:val="single" w:sz="4" w:space="0" w:color="auto"/>
            </w:tcBorders>
            <w:vAlign w:val="bottom"/>
          </w:tcPr>
          <w:p w14:paraId="6D249733" w14:textId="77777777" w:rsidR="005C16E2" w:rsidRPr="000A660A" w:rsidRDefault="005C16E2" w:rsidP="00085665">
            <w:pPr>
              <w:spacing w:line="240" w:lineRule="atLeast"/>
              <w:jc w:val="right"/>
              <w:rPr>
                <w:rFonts w:asciiTheme="majorHAnsi" w:hAnsiTheme="majorHAnsi"/>
                <w:b/>
              </w:rPr>
            </w:pPr>
            <w:r w:rsidRPr="000A660A">
              <w:rPr>
                <w:rFonts w:asciiTheme="majorHAnsi" w:hAnsiTheme="majorHAnsi"/>
                <w:b/>
              </w:rPr>
              <w:t>161,700</w:t>
            </w:r>
          </w:p>
        </w:tc>
      </w:tr>
    </w:tbl>
    <w:p w14:paraId="5D86F983" w14:textId="77777777" w:rsidR="005C16E2" w:rsidRPr="000A660A" w:rsidRDefault="005C16E2" w:rsidP="005C16E2">
      <w:pPr>
        <w:jc w:val="right"/>
        <w:rPr>
          <w:rFonts w:asciiTheme="majorHAnsi" w:hAnsiTheme="majorHAnsi"/>
        </w:rPr>
      </w:pPr>
    </w:p>
    <w:p w14:paraId="1E1F09D5" w14:textId="77777777" w:rsidR="005C16E2" w:rsidRPr="000A660A" w:rsidRDefault="005C16E2" w:rsidP="005C16E2">
      <w:pPr>
        <w:rPr>
          <w:rFonts w:asciiTheme="majorHAnsi" w:hAnsiTheme="majorHAnsi"/>
        </w:rPr>
      </w:pPr>
    </w:p>
    <w:p w14:paraId="27C8F1CB" w14:textId="77777777" w:rsidR="005C16E2" w:rsidRPr="000A660A" w:rsidRDefault="005C16E2" w:rsidP="005C16E2">
      <w:pPr>
        <w:rPr>
          <w:rFonts w:asciiTheme="majorHAnsi" w:hAnsiTheme="majorHAnsi"/>
        </w:rPr>
        <w:sectPr w:rsidR="005C16E2" w:rsidRPr="000A660A" w:rsidSect="005C16E2">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18" w:right="1418" w:bottom="1418" w:left="1418" w:header="851" w:footer="1134" w:gutter="0"/>
          <w:pgNumType w:start="1"/>
          <w:cols w:space="720"/>
          <w:docGrid w:linePitch="360"/>
        </w:sectPr>
      </w:pPr>
    </w:p>
    <w:p w14:paraId="62F0C22D" w14:textId="77777777" w:rsidR="005C16E2" w:rsidRPr="000A660A" w:rsidRDefault="005C16E2" w:rsidP="005C16E2">
      <w:pPr>
        <w:jc w:val="right"/>
        <w:rPr>
          <w:rFonts w:asciiTheme="majorHAnsi" w:hAnsiTheme="majorHAnsi"/>
          <w:b/>
        </w:rPr>
      </w:pPr>
      <w:r w:rsidRPr="000A660A">
        <w:rPr>
          <w:rFonts w:asciiTheme="majorHAnsi" w:hAnsiTheme="majorHAnsi"/>
          <w:b/>
        </w:rPr>
        <w:lastRenderedPageBreak/>
        <w:t>Annex 1</w:t>
      </w:r>
    </w:p>
    <w:p w14:paraId="4956127C" w14:textId="77777777" w:rsidR="005C16E2" w:rsidRPr="000A660A" w:rsidRDefault="005C16E2" w:rsidP="005C16E2">
      <w:pPr>
        <w:pStyle w:val="Default"/>
        <w:spacing w:after="375" w:line="276" w:lineRule="atLeast"/>
        <w:jc w:val="center"/>
        <w:rPr>
          <w:rFonts w:asciiTheme="majorHAnsi" w:hAnsiTheme="majorHAnsi"/>
          <w:sz w:val="20"/>
          <w:szCs w:val="20"/>
        </w:rPr>
      </w:pPr>
      <w:r w:rsidRPr="000A660A">
        <w:rPr>
          <w:rFonts w:asciiTheme="majorHAnsi" w:hAnsiTheme="majorHAnsi"/>
          <w:b/>
          <w:bCs/>
          <w:sz w:val="20"/>
          <w:szCs w:val="20"/>
        </w:rPr>
        <w:t>CRITERIA FOR THE SECOND PERFORMANCE REVIEW OF ICCAT</w:t>
      </w:r>
    </w:p>
    <w:tbl>
      <w:tblPr>
        <w:tblW w:w="14567" w:type="dxa"/>
        <w:tblLook w:val="0000" w:firstRow="0" w:lastRow="0" w:firstColumn="0" w:lastColumn="0" w:noHBand="0" w:noVBand="0"/>
      </w:tblPr>
      <w:tblGrid>
        <w:gridCol w:w="550"/>
        <w:gridCol w:w="1555"/>
        <w:gridCol w:w="1679"/>
        <w:gridCol w:w="6814"/>
        <w:gridCol w:w="3969"/>
      </w:tblGrid>
      <w:tr w:rsidR="005C16E2" w:rsidRPr="000A660A" w14:paraId="6344CF8D" w14:textId="77777777" w:rsidTr="00DB5AF6">
        <w:trPr>
          <w:trHeight w:val="303"/>
          <w:tblHeader/>
        </w:trPr>
        <w:tc>
          <w:tcPr>
            <w:tcW w:w="550" w:type="dxa"/>
            <w:tcBorders>
              <w:top w:val="single" w:sz="6" w:space="0" w:color="000000"/>
              <w:left w:val="single" w:sz="6" w:space="0" w:color="000000"/>
              <w:bottom w:val="single" w:sz="6" w:space="0" w:color="000000"/>
              <w:right w:val="single" w:sz="6" w:space="0" w:color="000000"/>
            </w:tcBorders>
          </w:tcPr>
          <w:p w14:paraId="06100C99"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30BFEC20" w14:textId="77777777" w:rsidR="005C16E2" w:rsidRPr="000A660A" w:rsidRDefault="005C16E2" w:rsidP="00085665">
            <w:pPr>
              <w:pStyle w:val="Default"/>
              <w:jc w:val="center"/>
              <w:rPr>
                <w:rFonts w:asciiTheme="majorHAnsi" w:hAnsiTheme="majorHAnsi"/>
                <w:i/>
                <w:sz w:val="20"/>
                <w:szCs w:val="20"/>
              </w:rPr>
            </w:pPr>
            <w:r w:rsidRPr="000A660A">
              <w:rPr>
                <w:rFonts w:asciiTheme="majorHAnsi" w:hAnsiTheme="majorHAnsi"/>
                <w:bCs/>
                <w:i/>
                <w:sz w:val="20"/>
                <w:szCs w:val="20"/>
              </w:rPr>
              <w:t>Area</w:t>
            </w:r>
          </w:p>
        </w:tc>
        <w:tc>
          <w:tcPr>
            <w:tcW w:w="1679" w:type="dxa"/>
            <w:tcBorders>
              <w:top w:val="single" w:sz="6" w:space="0" w:color="000000"/>
              <w:left w:val="single" w:sz="6" w:space="0" w:color="000000"/>
              <w:bottom w:val="single" w:sz="6" w:space="0" w:color="000000"/>
              <w:right w:val="single" w:sz="6" w:space="0" w:color="000000"/>
            </w:tcBorders>
          </w:tcPr>
          <w:p w14:paraId="4DD25759" w14:textId="77777777" w:rsidR="005C16E2" w:rsidRPr="000A660A" w:rsidRDefault="005C16E2" w:rsidP="00085665">
            <w:pPr>
              <w:pStyle w:val="Default"/>
              <w:rPr>
                <w:rFonts w:asciiTheme="majorHAnsi" w:hAnsiTheme="majorHAnsi"/>
                <w:i/>
                <w:sz w:val="20"/>
                <w:szCs w:val="20"/>
              </w:rPr>
            </w:pPr>
            <w:r w:rsidRPr="000A660A">
              <w:rPr>
                <w:rFonts w:asciiTheme="majorHAnsi" w:hAnsiTheme="majorHAnsi"/>
                <w:bCs/>
                <w:i/>
                <w:sz w:val="20"/>
                <w:szCs w:val="20"/>
              </w:rPr>
              <w:t xml:space="preserve">General criteria </w:t>
            </w:r>
          </w:p>
        </w:tc>
        <w:tc>
          <w:tcPr>
            <w:tcW w:w="6814" w:type="dxa"/>
            <w:tcBorders>
              <w:top w:val="single" w:sz="4" w:space="0" w:color="000000"/>
              <w:left w:val="single" w:sz="6" w:space="0" w:color="000000"/>
              <w:bottom w:val="single" w:sz="4" w:space="0" w:color="000000"/>
              <w:right w:val="single" w:sz="6" w:space="0" w:color="000000"/>
            </w:tcBorders>
          </w:tcPr>
          <w:p w14:paraId="196DD55D" w14:textId="77777777" w:rsidR="005C16E2" w:rsidRPr="000A660A" w:rsidRDefault="005C16E2" w:rsidP="00085665">
            <w:pPr>
              <w:pStyle w:val="Default"/>
              <w:jc w:val="center"/>
              <w:rPr>
                <w:rFonts w:asciiTheme="majorHAnsi" w:hAnsiTheme="majorHAnsi"/>
                <w:i/>
                <w:sz w:val="20"/>
                <w:szCs w:val="20"/>
              </w:rPr>
            </w:pPr>
            <w:r w:rsidRPr="000A660A">
              <w:rPr>
                <w:rFonts w:asciiTheme="majorHAnsi" w:hAnsiTheme="majorHAnsi"/>
                <w:bCs/>
                <w:i/>
                <w:sz w:val="20"/>
                <w:szCs w:val="20"/>
              </w:rPr>
              <w:t xml:space="preserve">Detailed criteria </w:t>
            </w:r>
          </w:p>
        </w:tc>
        <w:tc>
          <w:tcPr>
            <w:tcW w:w="3969" w:type="dxa"/>
            <w:tcBorders>
              <w:top w:val="single" w:sz="4" w:space="0" w:color="000000"/>
              <w:left w:val="single" w:sz="6" w:space="0" w:color="000000"/>
              <w:bottom w:val="single" w:sz="4" w:space="0" w:color="000000"/>
              <w:right w:val="single" w:sz="6" w:space="0" w:color="000000"/>
            </w:tcBorders>
          </w:tcPr>
          <w:p w14:paraId="259F1712" w14:textId="77777777" w:rsidR="005C16E2" w:rsidRPr="000A660A" w:rsidRDefault="005C16E2" w:rsidP="00085665">
            <w:pPr>
              <w:pStyle w:val="Default"/>
              <w:jc w:val="center"/>
              <w:rPr>
                <w:rFonts w:asciiTheme="majorHAnsi" w:hAnsiTheme="majorHAnsi"/>
                <w:i/>
                <w:sz w:val="20"/>
                <w:szCs w:val="20"/>
              </w:rPr>
            </w:pPr>
            <w:r w:rsidRPr="000A660A">
              <w:rPr>
                <w:rFonts w:asciiTheme="majorHAnsi" w:hAnsiTheme="majorHAnsi"/>
                <w:bCs/>
                <w:i/>
                <w:sz w:val="20"/>
                <w:szCs w:val="20"/>
              </w:rPr>
              <w:t>Changes compared to 2007 criteria</w:t>
            </w:r>
          </w:p>
        </w:tc>
      </w:tr>
      <w:tr w:rsidR="005C16E2" w:rsidRPr="000A660A" w14:paraId="3E0549D1" w14:textId="77777777" w:rsidTr="00DB5AF6">
        <w:trPr>
          <w:trHeight w:val="795"/>
        </w:trPr>
        <w:tc>
          <w:tcPr>
            <w:tcW w:w="550" w:type="dxa"/>
            <w:tcBorders>
              <w:top w:val="single" w:sz="6" w:space="0" w:color="000000"/>
              <w:left w:val="single" w:sz="6" w:space="0" w:color="000000"/>
              <w:bottom w:val="single" w:sz="6" w:space="0" w:color="000000"/>
              <w:right w:val="single" w:sz="6" w:space="0" w:color="000000"/>
            </w:tcBorders>
          </w:tcPr>
          <w:p w14:paraId="61DB2F09" w14:textId="77777777" w:rsidR="005C16E2" w:rsidRPr="000A660A" w:rsidRDefault="005C16E2" w:rsidP="00085665">
            <w:pPr>
              <w:pStyle w:val="Default"/>
              <w:jc w:val="center"/>
              <w:rPr>
                <w:rFonts w:asciiTheme="majorHAnsi" w:hAnsiTheme="majorHAnsi"/>
                <w:bCs/>
                <w:sz w:val="20"/>
                <w:szCs w:val="20"/>
              </w:rPr>
            </w:pPr>
            <w:r w:rsidRPr="000A660A">
              <w:rPr>
                <w:rFonts w:asciiTheme="majorHAnsi" w:hAnsiTheme="majorHAnsi"/>
                <w:bCs/>
                <w:sz w:val="20"/>
                <w:szCs w:val="20"/>
              </w:rPr>
              <w:t>1</w:t>
            </w:r>
          </w:p>
          <w:p w14:paraId="30A84BCE" w14:textId="77777777" w:rsidR="005C16E2" w:rsidRPr="000A660A" w:rsidRDefault="005C16E2" w:rsidP="00085665">
            <w:pPr>
              <w:pStyle w:val="Default"/>
              <w:jc w:val="center"/>
              <w:rPr>
                <w:rFonts w:asciiTheme="majorHAnsi" w:hAnsiTheme="majorHAnsi"/>
                <w:strike/>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4370E804"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i/>
                <w:iCs/>
                <w:color w:val="auto"/>
                <w:sz w:val="20"/>
                <w:szCs w:val="20"/>
              </w:rPr>
              <w:t>First performance review</w:t>
            </w:r>
          </w:p>
        </w:tc>
        <w:tc>
          <w:tcPr>
            <w:tcW w:w="1679" w:type="dxa"/>
            <w:tcBorders>
              <w:top w:val="single" w:sz="6" w:space="0" w:color="000000"/>
              <w:left w:val="single" w:sz="6" w:space="0" w:color="000000"/>
              <w:bottom w:val="single" w:sz="6" w:space="0" w:color="000000"/>
              <w:right w:val="single" w:sz="6" w:space="0" w:color="000000"/>
            </w:tcBorders>
          </w:tcPr>
          <w:p w14:paraId="5D81B48C"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iCs/>
                <w:color w:val="auto"/>
                <w:sz w:val="20"/>
                <w:szCs w:val="20"/>
              </w:rPr>
              <w:t>Follow-up to first performance review</w:t>
            </w:r>
          </w:p>
        </w:tc>
        <w:tc>
          <w:tcPr>
            <w:tcW w:w="6814" w:type="dxa"/>
            <w:tcBorders>
              <w:top w:val="single" w:sz="4" w:space="0" w:color="000000"/>
              <w:left w:val="single" w:sz="6" w:space="0" w:color="000000"/>
              <w:bottom w:val="single" w:sz="4" w:space="0" w:color="000000"/>
              <w:right w:val="single" w:sz="6" w:space="0" w:color="000000"/>
            </w:tcBorders>
          </w:tcPr>
          <w:p w14:paraId="53F8498E"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Review of actions taken by ICCAT in response to the conclusions and recommendations of the first performance review and consideration of their effectiveness.</w:t>
            </w:r>
          </w:p>
        </w:tc>
        <w:tc>
          <w:tcPr>
            <w:tcW w:w="3969" w:type="dxa"/>
            <w:tcBorders>
              <w:top w:val="single" w:sz="4" w:space="0" w:color="000000"/>
              <w:left w:val="single" w:sz="6" w:space="0" w:color="000000"/>
              <w:bottom w:val="single" w:sz="4" w:space="0" w:color="000000"/>
              <w:right w:val="single" w:sz="6" w:space="0" w:color="000000"/>
            </w:tcBorders>
          </w:tcPr>
          <w:p w14:paraId="772ABF99"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New item.</w:t>
            </w:r>
          </w:p>
        </w:tc>
      </w:tr>
      <w:tr w:rsidR="005C16E2" w:rsidRPr="000A660A" w14:paraId="4CE5C022" w14:textId="77777777" w:rsidTr="00DB5AF6">
        <w:trPr>
          <w:trHeight w:val="1263"/>
        </w:trPr>
        <w:tc>
          <w:tcPr>
            <w:tcW w:w="550" w:type="dxa"/>
            <w:tcBorders>
              <w:top w:val="single" w:sz="6" w:space="0" w:color="000000"/>
              <w:left w:val="single" w:sz="6" w:space="0" w:color="000000"/>
              <w:bottom w:val="single" w:sz="6" w:space="0" w:color="000000"/>
              <w:right w:val="single" w:sz="6" w:space="0" w:color="000000"/>
            </w:tcBorders>
          </w:tcPr>
          <w:p w14:paraId="6BEDACDE" w14:textId="77777777" w:rsidR="005C16E2" w:rsidRPr="000A660A" w:rsidRDefault="005C16E2" w:rsidP="00085665">
            <w:pPr>
              <w:pStyle w:val="Default"/>
              <w:jc w:val="center"/>
              <w:rPr>
                <w:rFonts w:asciiTheme="majorHAnsi" w:hAnsiTheme="majorHAnsi"/>
                <w:sz w:val="20"/>
                <w:szCs w:val="20"/>
              </w:rPr>
            </w:pPr>
            <w:r w:rsidRPr="000A660A">
              <w:rPr>
                <w:rFonts w:asciiTheme="majorHAnsi" w:hAnsiTheme="majorHAnsi"/>
                <w:bCs/>
                <w:sz w:val="20"/>
                <w:szCs w:val="20"/>
              </w:rPr>
              <w:t>2</w:t>
            </w:r>
          </w:p>
        </w:tc>
        <w:tc>
          <w:tcPr>
            <w:tcW w:w="1555" w:type="dxa"/>
            <w:tcBorders>
              <w:top w:val="single" w:sz="6" w:space="0" w:color="000000"/>
              <w:left w:val="single" w:sz="6" w:space="0" w:color="000000"/>
              <w:bottom w:val="single" w:sz="6" w:space="0" w:color="000000"/>
              <w:right w:val="single" w:sz="6" w:space="0" w:color="000000"/>
            </w:tcBorders>
          </w:tcPr>
          <w:p w14:paraId="180DA79A"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i/>
                <w:iCs/>
                <w:sz w:val="20"/>
                <w:szCs w:val="20"/>
              </w:rPr>
              <w:t xml:space="preserve">Conservation and management </w:t>
            </w:r>
          </w:p>
        </w:tc>
        <w:tc>
          <w:tcPr>
            <w:tcW w:w="1679" w:type="dxa"/>
            <w:tcBorders>
              <w:top w:val="single" w:sz="6" w:space="0" w:color="000000"/>
              <w:left w:val="single" w:sz="6" w:space="0" w:color="000000"/>
              <w:bottom w:val="single" w:sz="6" w:space="0" w:color="000000"/>
              <w:right w:val="single" w:sz="6" w:space="0" w:color="000000"/>
            </w:tcBorders>
          </w:tcPr>
          <w:p w14:paraId="5EE38899"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Status of living marine resources </w:t>
            </w:r>
          </w:p>
        </w:tc>
        <w:tc>
          <w:tcPr>
            <w:tcW w:w="6814" w:type="dxa"/>
            <w:tcBorders>
              <w:top w:val="single" w:sz="4" w:space="0" w:color="000000"/>
              <w:left w:val="single" w:sz="6" w:space="0" w:color="000000"/>
              <w:bottom w:val="single" w:sz="4" w:space="0" w:color="000000"/>
              <w:right w:val="single" w:sz="6" w:space="0" w:color="000000"/>
            </w:tcBorders>
          </w:tcPr>
          <w:p w14:paraId="59FC44A0"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Status of major fish stocks under the purview of ICCAT in relation to maximum sustainable yield or other relevant biological standards.</w:t>
            </w:r>
          </w:p>
          <w:p w14:paraId="3DE18F4F"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Trends in the status of those stocks. </w:t>
            </w:r>
          </w:p>
          <w:p w14:paraId="114393BB"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Status of species that belong to the same ecosystems as, or are associated with or dependent upon, the major target stocks (hereinafter “non-target species”). </w:t>
            </w:r>
          </w:p>
          <w:p w14:paraId="68873217"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Trends in the status of those species.</w:t>
            </w:r>
          </w:p>
        </w:tc>
        <w:tc>
          <w:tcPr>
            <w:tcW w:w="3969" w:type="dxa"/>
            <w:tcBorders>
              <w:top w:val="single" w:sz="4" w:space="0" w:color="000000"/>
              <w:left w:val="single" w:sz="6" w:space="0" w:color="000000"/>
              <w:bottom w:val="single" w:sz="4" w:space="0" w:color="000000"/>
              <w:right w:val="single" w:sz="6" w:space="0" w:color="000000"/>
            </w:tcBorders>
          </w:tcPr>
          <w:p w14:paraId="25998F4C" w14:textId="77777777" w:rsidR="005C16E2" w:rsidRPr="000A660A" w:rsidRDefault="005C16E2" w:rsidP="00085665">
            <w:pPr>
              <w:pStyle w:val="Default"/>
              <w:jc w:val="both"/>
              <w:rPr>
                <w:rFonts w:asciiTheme="majorHAnsi" w:hAnsiTheme="majorHAnsi"/>
                <w:color w:val="auto"/>
                <w:sz w:val="20"/>
                <w:szCs w:val="20"/>
              </w:rPr>
            </w:pPr>
          </w:p>
          <w:p w14:paraId="0F1B2284" w14:textId="77777777" w:rsidR="005C16E2" w:rsidRPr="000A660A" w:rsidRDefault="005C16E2" w:rsidP="00085665">
            <w:pPr>
              <w:pStyle w:val="Default"/>
              <w:jc w:val="both"/>
              <w:rPr>
                <w:rFonts w:asciiTheme="majorHAnsi" w:hAnsiTheme="majorHAnsi"/>
                <w:color w:val="auto"/>
                <w:sz w:val="20"/>
                <w:szCs w:val="20"/>
              </w:rPr>
            </w:pPr>
          </w:p>
          <w:p w14:paraId="1F07D582" w14:textId="77777777" w:rsidR="005C16E2" w:rsidRPr="000A660A" w:rsidRDefault="005C16E2" w:rsidP="00085665">
            <w:pPr>
              <w:pStyle w:val="Default"/>
              <w:jc w:val="both"/>
              <w:rPr>
                <w:rFonts w:asciiTheme="majorHAnsi" w:hAnsiTheme="majorHAnsi"/>
                <w:color w:val="auto"/>
                <w:sz w:val="20"/>
                <w:szCs w:val="20"/>
              </w:rPr>
            </w:pPr>
          </w:p>
          <w:p w14:paraId="0A968E82" w14:textId="77777777" w:rsidR="005C16E2" w:rsidRPr="000A660A" w:rsidRDefault="005C16E2" w:rsidP="00085665">
            <w:pPr>
              <w:pStyle w:val="Default"/>
              <w:jc w:val="both"/>
              <w:rPr>
                <w:rFonts w:asciiTheme="majorHAnsi" w:hAnsiTheme="majorHAnsi"/>
                <w:sz w:val="20"/>
                <w:szCs w:val="20"/>
              </w:rPr>
            </w:pPr>
          </w:p>
        </w:tc>
      </w:tr>
      <w:tr w:rsidR="005C16E2" w:rsidRPr="000A660A" w14:paraId="143BA95D" w14:textId="77777777" w:rsidTr="00DB5AF6">
        <w:trPr>
          <w:trHeight w:val="1965"/>
        </w:trPr>
        <w:tc>
          <w:tcPr>
            <w:tcW w:w="550" w:type="dxa"/>
            <w:tcBorders>
              <w:top w:val="single" w:sz="6" w:space="0" w:color="000000"/>
              <w:left w:val="single" w:sz="6" w:space="0" w:color="000000"/>
              <w:bottom w:val="single" w:sz="6" w:space="0" w:color="000000"/>
              <w:right w:val="single" w:sz="6" w:space="0" w:color="000000"/>
            </w:tcBorders>
          </w:tcPr>
          <w:p w14:paraId="2508A6F4"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7F9A6DF"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1F8396C0"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Data collection and sharing </w:t>
            </w:r>
          </w:p>
        </w:tc>
        <w:tc>
          <w:tcPr>
            <w:tcW w:w="6814" w:type="dxa"/>
            <w:tcBorders>
              <w:top w:val="single" w:sz="4" w:space="0" w:color="000000"/>
              <w:left w:val="single" w:sz="6" w:space="0" w:color="000000"/>
              <w:bottom w:val="single" w:sz="4" w:space="0" w:color="000000"/>
              <w:right w:val="single" w:sz="6" w:space="0" w:color="000000"/>
            </w:tcBorders>
          </w:tcPr>
          <w:p w14:paraId="163B0025"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agreed formats, specifications and timeframes for data submission, </w:t>
            </w:r>
            <w:proofErr w:type="gramStart"/>
            <w:r w:rsidRPr="000A660A">
              <w:rPr>
                <w:rFonts w:asciiTheme="majorHAnsi" w:hAnsiTheme="majorHAnsi"/>
                <w:sz w:val="20"/>
                <w:szCs w:val="20"/>
              </w:rPr>
              <w:t>taking into account</w:t>
            </w:r>
            <w:proofErr w:type="gramEnd"/>
            <w:r w:rsidRPr="000A660A">
              <w:rPr>
                <w:rFonts w:asciiTheme="majorHAnsi" w:hAnsiTheme="majorHAnsi"/>
                <w:sz w:val="20"/>
                <w:szCs w:val="20"/>
              </w:rPr>
              <w:t xml:space="preserve"> UNFSA Annex I.</w:t>
            </w:r>
          </w:p>
          <w:p w14:paraId="70814E5A"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sz w:val="20"/>
                <w:szCs w:val="20"/>
              </w:rPr>
              <w:t xml:space="preserve">• Extent to which ICCAT members and cooperating non-members, individually or through ICCAT, collect and share complete and accurate fisheries data concerning target stocks and non-target species and other relevant data in a timely manner </w:t>
            </w:r>
            <w:r w:rsidRPr="000A660A">
              <w:rPr>
                <w:rFonts w:asciiTheme="majorHAnsi" w:hAnsiTheme="majorHAnsi"/>
                <w:color w:val="auto"/>
                <w:sz w:val="20"/>
                <w:szCs w:val="20"/>
              </w:rPr>
              <w:t>(Task I/II data).</w:t>
            </w:r>
          </w:p>
          <w:p w14:paraId="2BA7B467"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fishing data and fishing vessel data are gathered by ICCAT and shared among members and other RFMOs. </w:t>
            </w:r>
          </w:p>
          <w:p w14:paraId="5BC0A7DC"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is addressing any gaps in the collection and sharing of data as required. </w:t>
            </w:r>
          </w:p>
          <w:p w14:paraId="08F497F7"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Extent to which capacity building initiatives are put in place to improve data collection in developing economies.</w:t>
            </w:r>
          </w:p>
        </w:tc>
        <w:tc>
          <w:tcPr>
            <w:tcW w:w="3969" w:type="dxa"/>
            <w:tcBorders>
              <w:top w:val="single" w:sz="4" w:space="0" w:color="000000"/>
              <w:left w:val="single" w:sz="6" w:space="0" w:color="000000"/>
              <w:bottom w:val="single" w:sz="4" w:space="0" w:color="000000"/>
              <w:right w:val="single" w:sz="6" w:space="0" w:color="000000"/>
            </w:tcBorders>
          </w:tcPr>
          <w:p w14:paraId="2A768791" w14:textId="77777777" w:rsidR="005C16E2" w:rsidRPr="000A660A" w:rsidRDefault="005C16E2" w:rsidP="00085665">
            <w:pPr>
              <w:pStyle w:val="Default"/>
              <w:jc w:val="both"/>
              <w:rPr>
                <w:rFonts w:asciiTheme="majorHAnsi" w:hAnsiTheme="majorHAnsi"/>
                <w:color w:val="auto"/>
                <w:sz w:val="20"/>
                <w:szCs w:val="20"/>
              </w:rPr>
            </w:pPr>
          </w:p>
          <w:p w14:paraId="203B9F4B" w14:textId="77777777" w:rsidR="005C16E2" w:rsidRPr="000A660A" w:rsidRDefault="005C16E2" w:rsidP="00085665">
            <w:pPr>
              <w:pStyle w:val="Default"/>
              <w:jc w:val="both"/>
              <w:rPr>
                <w:rFonts w:asciiTheme="majorHAnsi" w:hAnsiTheme="majorHAnsi"/>
                <w:color w:val="auto"/>
                <w:sz w:val="20"/>
                <w:szCs w:val="20"/>
              </w:rPr>
            </w:pPr>
          </w:p>
          <w:p w14:paraId="2A5ABD04" w14:textId="77777777" w:rsidR="005C16E2" w:rsidRPr="000A660A" w:rsidRDefault="005C16E2" w:rsidP="00085665">
            <w:pPr>
              <w:pStyle w:val="Default"/>
              <w:jc w:val="both"/>
              <w:rPr>
                <w:rFonts w:asciiTheme="majorHAnsi" w:hAnsiTheme="majorHAnsi"/>
                <w:color w:val="auto"/>
                <w:sz w:val="20"/>
                <w:szCs w:val="20"/>
              </w:rPr>
            </w:pPr>
          </w:p>
          <w:p w14:paraId="761201D7" w14:textId="77777777" w:rsidR="005C16E2" w:rsidRPr="000A660A" w:rsidRDefault="005C16E2" w:rsidP="00085665">
            <w:pPr>
              <w:pStyle w:val="Default"/>
              <w:jc w:val="both"/>
              <w:rPr>
                <w:rFonts w:asciiTheme="majorHAnsi" w:hAnsiTheme="majorHAnsi"/>
                <w:color w:val="auto"/>
                <w:sz w:val="20"/>
                <w:szCs w:val="20"/>
              </w:rPr>
            </w:pPr>
          </w:p>
          <w:p w14:paraId="2BDD8892" w14:textId="77777777" w:rsidR="005C16E2" w:rsidRPr="000A660A" w:rsidRDefault="005C16E2" w:rsidP="00085665">
            <w:pPr>
              <w:pStyle w:val="Default"/>
              <w:jc w:val="both"/>
              <w:rPr>
                <w:rFonts w:asciiTheme="majorHAnsi" w:hAnsiTheme="majorHAnsi"/>
                <w:color w:val="auto"/>
                <w:sz w:val="20"/>
                <w:szCs w:val="20"/>
              </w:rPr>
            </w:pPr>
          </w:p>
          <w:p w14:paraId="6CCD1F6E"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Added reference to Task I/II data.</w:t>
            </w:r>
          </w:p>
        </w:tc>
      </w:tr>
      <w:tr w:rsidR="005C16E2" w:rsidRPr="000A660A" w14:paraId="15D5F4A1" w14:textId="77777777" w:rsidTr="00DB5AF6">
        <w:trPr>
          <w:trHeight w:val="4242"/>
        </w:trPr>
        <w:tc>
          <w:tcPr>
            <w:tcW w:w="550" w:type="dxa"/>
            <w:tcBorders>
              <w:top w:val="single" w:sz="6" w:space="0" w:color="000000"/>
              <w:left w:val="single" w:sz="6" w:space="0" w:color="000000"/>
              <w:bottom w:val="single" w:sz="6" w:space="0" w:color="000000"/>
              <w:right w:val="single" w:sz="6" w:space="0" w:color="000000"/>
            </w:tcBorders>
          </w:tcPr>
          <w:p w14:paraId="4FDD0590"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6D2B48AA"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308F9C6B"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Adoption of conservation and management measures </w:t>
            </w:r>
          </w:p>
        </w:tc>
        <w:tc>
          <w:tcPr>
            <w:tcW w:w="6814" w:type="dxa"/>
            <w:tcBorders>
              <w:top w:val="single" w:sz="4" w:space="0" w:color="000000"/>
              <w:left w:val="single" w:sz="6" w:space="0" w:color="000000"/>
              <w:bottom w:val="single" w:sz="4" w:space="0" w:color="000000"/>
              <w:right w:val="single" w:sz="6" w:space="0" w:color="000000"/>
            </w:tcBorders>
          </w:tcPr>
          <w:p w14:paraId="107075B0"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adopted conservation and management measures for both target stocks and non-target species that ensure the long-term sustainability of such stocks and species and are based on the best scientific evidence available. </w:t>
            </w:r>
          </w:p>
          <w:p w14:paraId="455F98FC"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applied the precautionary approach as set forth in UNFSA Article 6 and the Code of Conduct for Responsible Fisheries Article 7.5, including the application of precautionary reference points. </w:t>
            </w:r>
          </w:p>
          <w:p w14:paraId="7F7CD04A"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adopted and is implementing effective rebuilding plans for depleted or overfished stocks. </w:t>
            </w:r>
          </w:p>
          <w:p w14:paraId="724F916E"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moved toward the adoption of conservation and management measures for previously unregulated fisheries. </w:t>
            </w:r>
          </w:p>
          <w:p w14:paraId="718B0E30"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taken due account of the need to conserve marine biological diversity and minimize harmful impacts of fisheries on living marine resources and marine ecosystems. </w:t>
            </w:r>
          </w:p>
          <w:p w14:paraId="7EAC308F"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Extent to which ICCAT has adopted measures to minimize pollution, waste, discards, catch by lost or abandoned gear, catch of non-target species, both fish and non-fish species, and impacts on associated or dependent species, in particular endangered species, through measures including, to the extent practicable, the development and use of selective, environmentally safe and cost-effective fishing gear and techniques.</w:t>
            </w:r>
          </w:p>
        </w:tc>
        <w:tc>
          <w:tcPr>
            <w:tcW w:w="3969" w:type="dxa"/>
            <w:tcBorders>
              <w:top w:val="single" w:sz="4" w:space="0" w:color="000000"/>
              <w:left w:val="single" w:sz="6" w:space="0" w:color="000000"/>
              <w:bottom w:val="single" w:sz="4" w:space="0" w:color="000000"/>
              <w:right w:val="single" w:sz="6" w:space="0" w:color="000000"/>
            </w:tcBorders>
          </w:tcPr>
          <w:p w14:paraId="2ECFD829" w14:textId="77777777" w:rsidR="005C16E2" w:rsidRPr="000A660A" w:rsidRDefault="005C16E2" w:rsidP="00085665">
            <w:pPr>
              <w:pStyle w:val="Default"/>
              <w:jc w:val="both"/>
              <w:rPr>
                <w:rFonts w:asciiTheme="majorHAnsi" w:hAnsiTheme="majorHAnsi"/>
                <w:sz w:val="20"/>
                <w:szCs w:val="20"/>
              </w:rPr>
            </w:pPr>
          </w:p>
          <w:p w14:paraId="76A45A42" w14:textId="77777777" w:rsidR="005C16E2" w:rsidRPr="000A660A" w:rsidRDefault="005C16E2" w:rsidP="00085665">
            <w:pPr>
              <w:pStyle w:val="Default"/>
              <w:jc w:val="both"/>
              <w:rPr>
                <w:rFonts w:asciiTheme="majorHAnsi" w:hAnsiTheme="majorHAnsi"/>
                <w:sz w:val="20"/>
                <w:szCs w:val="20"/>
              </w:rPr>
            </w:pPr>
          </w:p>
          <w:p w14:paraId="1A278D1D" w14:textId="77777777" w:rsidR="005C16E2" w:rsidRPr="000A660A" w:rsidRDefault="005C16E2" w:rsidP="00085665">
            <w:pPr>
              <w:pStyle w:val="Default"/>
              <w:jc w:val="both"/>
              <w:rPr>
                <w:rFonts w:asciiTheme="majorHAnsi" w:hAnsiTheme="majorHAnsi"/>
                <w:sz w:val="20"/>
                <w:szCs w:val="20"/>
              </w:rPr>
            </w:pPr>
          </w:p>
          <w:p w14:paraId="7A5D642E" w14:textId="77777777" w:rsidR="005C16E2" w:rsidRPr="000A660A" w:rsidRDefault="005C16E2" w:rsidP="00085665">
            <w:pPr>
              <w:pStyle w:val="Default"/>
              <w:jc w:val="both"/>
              <w:rPr>
                <w:rFonts w:asciiTheme="majorHAnsi" w:hAnsiTheme="majorHAnsi"/>
                <w:sz w:val="20"/>
                <w:szCs w:val="20"/>
              </w:rPr>
            </w:pPr>
          </w:p>
          <w:p w14:paraId="6BD91FF6" w14:textId="77777777" w:rsidR="005C16E2" w:rsidRPr="000A660A" w:rsidRDefault="005C16E2" w:rsidP="00085665">
            <w:pPr>
              <w:pStyle w:val="Default"/>
              <w:jc w:val="both"/>
              <w:rPr>
                <w:rFonts w:asciiTheme="majorHAnsi" w:hAnsiTheme="majorHAnsi"/>
                <w:sz w:val="20"/>
                <w:szCs w:val="20"/>
              </w:rPr>
            </w:pPr>
          </w:p>
          <w:p w14:paraId="03AC05E6" w14:textId="77777777" w:rsidR="005C16E2" w:rsidRPr="000A660A" w:rsidRDefault="005C16E2" w:rsidP="00085665">
            <w:pPr>
              <w:pStyle w:val="Default"/>
              <w:jc w:val="both"/>
              <w:rPr>
                <w:rFonts w:asciiTheme="majorHAnsi" w:hAnsiTheme="majorHAnsi"/>
                <w:sz w:val="20"/>
                <w:szCs w:val="20"/>
              </w:rPr>
            </w:pPr>
          </w:p>
          <w:p w14:paraId="796B00D3" w14:textId="77777777" w:rsidR="005C16E2" w:rsidRPr="000A660A" w:rsidRDefault="005C16E2" w:rsidP="00085665">
            <w:pPr>
              <w:pStyle w:val="Default"/>
              <w:jc w:val="both"/>
              <w:rPr>
                <w:rFonts w:asciiTheme="majorHAnsi" w:hAnsiTheme="majorHAnsi"/>
                <w:sz w:val="20"/>
                <w:szCs w:val="20"/>
              </w:rPr>
            </w:pPr>
          </w:p>
          <w:p w14:paraId="190B884E" w14:textId="77777777" w:rsidR="005C16E2" w:rsidRPr="000A660A" w:rsidRDefault="005C16E2" w:rsidP="00085665">
            <w:pPr>
              <w:pStyle w:val="Default"/>
              <w:jc w:val="both"/>
              <w:rPr>
                <w:rFonts w:asciiTheme="majorHAnsi" w:hAnsiTheme="majorHAnsi"/>
                <w:sz w:val="20"/>
                <w:szCs w:val="20"/>
              </w:rPr>
            </w:pPr>
          </w:p>
          <w:p w14:paraId="6A78D04E" w14:textId="77777777" w:rsidR="005C16E2" w:rsidRPr="000A660A" w:rsidRDefault="005C16E2" w:rsidP="00085665">
            <w:pPr>
              <w:pStyle w:val="Default"/>
              <w:jc w:val="both"/>
              <w:rPr>
                <w:rFonts w:asciiTheme="majorHAnsi" w:hAnsiTheme="majorHAnsi"/>
                <w:sz w:val="20"/>
                <w:szCs w:val="20"/>
              </w:rPr>
            </w:pPr>
          </w:p>
          <w:p w14:paraId="37DC347A"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Suggest deletion of new and exploratory fisheries as not applicable in ICCAT.</w:t>
            </w:r>
          </w:p>
        </w:tc>
      </w:tr>
      <w:tr w:rsidR="005C16E2" w:rsidRPr="000A660A" w14:paraId="27D7AFA8" w14:textId="77777777" w:rsidTr="00DB5AF6">
        <w:trPr>
          <w:trHeight w:val="960"/>
        </w:trPr>
        <w:tc>
          <w:tcPr>
            <w:tcW w:w="550" w:type="dxa"/>
            <w:tcBorders>
              <w:top w:val="single" w:sz="6" w:space="0" w:color="000000"/>
              <w:left w:val="single" w:sz="6" w:space="0" w:color="000000"/>
              <w:bottom w:val="single" w:sz="6" w:space="0" w:color="000000"/>
              <w:right w:val="single" w:sz="6" w:space="0" w:color="000000"/>
            </w:tcBorders>
          </w:tcPr>
          <w:p w14:paraId="4C1682D4"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16A5DDA7"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743512F3"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Capacity management </w:t>
            </w:r>
          </w:p>
        </w:tc>
        <w:tc>
          <w:tcPr>
            <w:tcW w:w="6814" w:type="dxa"/>
            <w:tcBorders>
              <w:top w:val="single" w:sz="4" w:space="0" w:color="000000"/>
              <w:left w:val="single" w:sz="6" w:space="0" w:color="000000"/>
              <w:bottom w:val="single" w:sz="4" w:space="0" w:color="000000"/>
              <w:right w:val="single" w:sz="6" w:space="0" w:color="000000"/>
            </w:tcBorders>
          </w:tcPr>
          <w:p w14:paraId="3324F8D4"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identified fishing capacity levels commensurate with long-term sustainability and optimum utilization of relevant fisheries. </w:t>
            </w:r>
          </w:p>
          <w:p w14:paraId="2C6A9CEE"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taken actions to prevent or eliminate excess fishing capacity and effort. </w:t>
            </w:r>
          </w:p>
        </w:tc>
        <w:tc>
          <w:tcPr>
            <w:tcW w:w="3969" w:type="dxa"/>
            <w:tcBorders>
              <w:top w:val="single" w:sz="4" w:space="0" w:color="000000"/>
              <w:left w:val="single" w:sz="6" w:space="0" w:color="000000"/>
              <w:bottom w:val="single" w:sz="4" w:space="0" w:color="000000"/>
              <w:right w:val="single" w:sz="6" w:space="0" w:color="000000"/>
            </w:tcBorders>
          </w:tcPr>
          <w:p w14:paraId="11132DFB" w14:textId="77777777" w:rsidR="005C16E2" w:rsidRPr="000A660A" w:rsidRDefault="005C16E2" w:rsidP="00085665">
            <w:pPr>
              <w:pStyle w:val="Default"/>
              <w:jc w:val="both"/>
              <w:rPr>
                <w:rFonts w:asciiTheme="majorHAnsi" w:hAnsiTheme="majorHAnsi"/>
                <w:sz w:val="20"/>
                <w:szCs w:val="20"/>
              </w:rPr>
            </w:pPr>
          </w:p>
        </w:tc>
      </w:tr>
      <w:tr w:rsidR="005C16E2" w:rsidRPr="000A660A" w14:paraId="06624932" w14:textId="77777777" w:rsidTr="00DB5AF6">
        <w:trPr>
          <w:trHeight w:val="698"/>
        </w:trPr>
        <w:tc>
          <w:tcPr>
            <w:tcW w:w="550" w:type="dxa"/>
            <w:tcBorders>
              <w:top w:val="single" w:sz="6" w:space="0" w:color="000000"/>
              <w:left w:val="single" w:sz="6" w:space="0" w:color="000000"/>
              <w:bottom w:val="single" w:sz="6" w:space="0" w:color="000000"/>
              <w:right w:val="single" w:sz="6" w:space="0" w:color="000000"/>
            </w:tcBorders>
          </w:tcPr>
          <w:p w14:paraId="187A7FB9"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br/>
            </w:r>
          </w:p>
          <w:p w14:paraId="2E829ED2"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6413A41F"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608C1E30"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Compatibility of management measures </w:t>
            </w:r>
          </w:p>
        </w:tc>
        <w:tc>
          <w:tcPr>
            <w:tcW w:w="6814" w:type="dxa"/>
            <w:tcBorders>
              <w:top w:val="single" w:sz="4" w:space="0" w:color="000000"/>
              <w:left w:val="single" w:sz="6" w:space="0" w:color="000000"/>
              <w:bottom w:val="single" w:sz="4" w:space="0" w:color="000000"/>
              <w:right w:val="single" w:sz="6" w:space="0" w:color="000000"/>
            </w:tcBorders>
          </w:tcPr>
          <w:p w14:paraId="7A6F0AF9"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measures have been adopted as reflected in UNFSA Article 7. </w:t>
            </w:r>
          </w:p>
        </w:tc>
        <w:tc>
          <w:tcPr>
            <w:tcW w:w="3969" w:type="dxa"/>
            <w:tcBorders>
              <w:top w:val="single" w:sz="4" w:space="0" w:color="000000"/>
              <w:left w:val="single" w:sz="6" w:space="0" w:color="000000"/>
              <w:bottom w:val="single" w:sz="4" w:space="0" w:color="000000"/>
              <w:right w:val="single" w:sz="6" w:space="0" w:color="000000"/>
            </w:tcBorders>
          </w:tcPr>
          <w:p w14:paraId="1104F61C" w14:textId="77777777" w:rsidR="005C16E2" w:rsidRPr="000A660A" w:rsidRDefault="005C16E2" w:rsidP="00085665">
            <w:pPr>
              <w:pStyle w:val="Default"/>
              <w:jc w:val="both"/>
              <w:rPr>
                <w:rFonts w:asciiTheme="majorHAnsi" w:hAnsiTheme="majorHAnsi"/>
                <w:sz w:val="20"/>
                <w:szCs w:val="20"/>
              </w:rPr>
            </w:pPr>
          </w:p>
        </w:tc>
      </w:tr>
      <w:tr w:rsidR="005C16E2" w:rsidRPr="000A660A" w14:paraId="002CE2AC" w14:textId="77777777" w:rsidTr="00DB5AF6">
        <w:trPr>
          <w:trHeight w:val="901"/>
        </w:trPr>
        <w:tc>
          <w:tcPr>
            <w:tcW w:w="550" w:type="dxa"/>
            <w:tcBorders>
              <w:top w:val="single" w:sz="6" w:space="0" w:color="000000"/>
              <w:left w:val="single" w:sz="6" w:space="0" w:color="000000"/>
              <w:bottom w:val="single" w:sz="6" w:space="0" w:color="000000"/>
              <w:right w:val="single" w:sz="6" w:space="0" w:color="000000"/>
            </w:tcBorders>
          </w:tcPr>
          <w:p w14:paraId="039EBF69"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7C21D41E"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38D36CD9"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Fishing allocations and opportunities </w:t>
            </w:r>
          </w:p>
        </w:tc>
        <w:tc>
          <w:tcPr>
            <w:tcW w:w="6814" w:type="dxa"/>
            <w:tcBorders>
              <w:top w:val="single" w:sz="4" w:space="0" w:color="000000"/>
              <w:left w:val="single" w:sz="6" w:space="0" w:color="000000"/>
              <w:bottom w:val="single" w:sz="4" w:space="0" w:color="000000"/>
              <w:right w:val="single" w:sz="6" w:space="0" w:color="000000"/>
            </w:tcBorders>
          </w:tcPr>
          <w:p w14:paraId="220394AE"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agrees on the allocation of allowable catch or levels of fishing effort, including </w:t>
            </w:r>
            <w:proofErr w:type="gramStart"/>
            <w:r w:rsidRPr="000A660A">
              <w:rPr>
                <w:rFonts w:asciiTheme="majorHAnsi" w:hAnsiTheme="majorHAnsi"/>
                <w:sz w:val="20"/>
                <w:szCs w:val="20"/>
              </w:rPr>
              <w:t>taking into account</w:t>
            </w:r>
            <w:proofErr w:type="gramEnd"/>
            <w:r w:rsidRPr="000A660A">
              <w:rPr>
                <w:rFonts w:asciiTheme="majorHAnsi" w:hAnsiTheme="majorHAnsi"/>
                <w:sz w:val="20"/>
                <w:szCs w:val="20"/>
              </w:rPr>
              <w:t xml:space="preserve"> requests for participation from new members or participants as reflected in UNFSA Article 11. </w:t>
            </w:r>
          </w:p>
        </w:tc>
        <w:tc>
          <w:tcPr>
            <w:tcW w:w="3969" w:type="dxa"/>
            <w:tcBorders>
              <w:top w:val="single" w:sz="4" w:space="0" w:color="000000"/>
              <w:left w:val="single" w:sz="6" w:space="0" w:color="000000"/>
              <w:bottom w:val="single" w:sz="4" w:space="0" w:color="000000"/>
              <w:right w:val="single" w:sz="6" w:space="0" w:color="000000"/>
            </w:tcBorders>
          </w:tcPr>
          <w:p w14:paraId="7E6B9480" w14:textId="77777777" w:rsidR="005C16E2" w:rsidRPr="000A660A" w:rsidRDefault="005C16E2" w:rsidP="00085665">
            <w:pPr>
              <w:pStyle w:val="Default"/>
              <w:jc w:val="both"/>
              <w:rPr>
                <w:rFonts w:asciiTheme="majorHAnsi" w:hAnsiTheme="majorHAnsi"/>
                <w:sz w:val="20"/>
                <w:szCs w:val="20"/>
              </w:rPr>
            </w:pPr>
          </w:p>
        </w:tc>
      </w:tr>
      <w:tr w:rsidR="005C16E2" w:rsidRPr="000A660A" w14:paraId="1B36C49C" w14:textId="77777777" w:rsidTr="00DB5AF6">
        <w:trPr>
          <w:trHeight w:val="655"/>
        </w:trPr>
        <w:tc>
          <w:tcPr>
            <w:tcW w:w="550" w:type="dxa"/>
            <w:tcBorders>
              <w:top w:val="single" w:sz="6" w:space="0" w:color="000000"/>
              <w:left w:val="single" w:sz="6" w:space="0" w:color="000000"/>
              <w:bottom w:val="single" w:sz="6" w:space="0" w:color="000000"/>
              <w:right w:val="single" w:sz="6" w:space="0" w:color="000000"/>
            </w:tcBorders>
          </w:tcPr>
          <w:p w14:paraId="550090D0"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11C05B7A"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1B820601" w14:textId="77777777" w:rsidR="005C16E2" w:rsidRPr="000A660A" w:rsidRDefault="005C16E2" w:rsidP="00085665">
            <w:pPr>
              <w:pStyle w:val="Default"/>
              <w:rPr>
                <w:rFonts w:asciiTheme="majorHAnsi" w:hAnsiTheme="majorHAnsi" w:cs="Times New Roman"/>
                <w:sz w:val="20"/>
                <w:szCs w:val="20"/>
              </w:rPr>
            </w:pPr>
            <w:r w:rsidRPr="000A660A">
              <w:rPr>
                <w:rFonts w:asciiTheme="majorHAnsi" w:hAnsiTheme="majorHAnsi" w:cs="Times New Roman"/>
                <w:sz w:val="20"/>
                <w:szCs w:val="20"/>
              </w:rPr>
              <w:t>Reporting Requirements</w:t>
            </w:r>
          </w:p>
        </w:tc>
        <w:tc>
          <w:tcPr>
            <w:tcW w:w="6814" w:type="dxa"/>
            <w:tcBorders>
              <w:top w:val="single" w:sz="4" w:space="0" w:color="000000"/>
              <w:left w:val="single" w:sz="6" w:space="0" w:color="000000"/>
              <w:bottom w:val="single" w:sz="4" w:space="0" w:color="000000"/>
              <w:right w:val="single" w:sz="6" w:space="0" w:color="000000"/>
            </w:tcBorders>
          </w:tcPr>
          <w:p w14:paraId="662D0E0E" w14:textId="77777777" w:rsidR="005C16E2" w:rsidRPr="000A660A" w:rsidRDefault="005C16E2" w:rsidP="00085665">
            <w:pPr>
              <w:pStyle w:val="Default"/>
              <w:jc w:val="both"/>
              <w:rPr>
                <w:rFonts w:asciiTheme="majorHAnsi" w:hAnsiTheme="majorHAnsi" w:cs="Times New Roman"/>
                <w:sz w:val="20"/>
                <w:szCs w:val="20"/>
              </w:rPr>
            </w:pPr>
            <w:r w:rsidRPr="000A660A">
              <w:rPr>
                <w:rFonts w:asciiTheme="majorHAnsi" w:hAnsiTheme="majorHAnsi" w:cs="Times New Roman"/>
                <w:sz w:val="20"/>
                <w:szCs w:val="20"/>
              </w:rPr>
              <w:t>Analysis of ICCAT reporting requirements to improve efficiency, avoid redundancy and reduce unnecessary burden to CPCs.</w:t>
            </w:r>
          </w:p>
        </w:tc>
        <w:tc>
          <w:tcPr>
            <w:tcW w:w="3969" w:type="dxa"/>
            <w:tcBorders>
              <w:top w:val="single" w:sz="4" w:space="0" w:color="000000"/>
              <w:left w:val="single" w:sz="6" w:space="0" w:color="000000"/>
              <w:bottom w:val="single" w:sz="4" w:space="0" w:color="000000"/>
              <w:right w:val="single" w:sz="6" w:space="0" w:color="000000"/>
            </w:tcBorders>
          </w:tcPr>
          <w:p w14:paraId="69812A0B" w14:textId="77777777" w:rsidR="005C16E2" w:rsidRPr="000A660A" w:rsidRDefault="005C16E2" w:rsidP="00085665">
            <w:pPr>
              <w:pStyle w:val="Default"/>
              <w:jc w:val="both"/>
              <w:rPr>
                <w:rFonts w:asciiTheme="majorHAnsi" w:hAnsiTheme="majorHAnsi" w:cs="Times New Roman"/>
                <w:sz w:val="20"/>
                <w:szCs w:val="20"/>
              </w:rPr>
            </w:pPr>
            <w:r w:rsidRPr="000A660A">
              <w:rPr>
                <w:rFonts w:asciiTheme="majorHAnsi" w:hAnsiTheme="majorHAnsi" w:cs="Times New Roman"/>
                <w:sz w:val="20"/>
                <w:szCs w:val="20"/>
              </w:rPr>
              <w:t>New item.</w:t>
            </w:r>
          </w:p>
        </w:tc>
      </w:tr>
      <w:tr w:rsidR="005C16E2" w:rsidRPr="000A660A" w14:paraId="11DA7288" w14:textId="77777777" w:rsidTr="00DB5AF6">
        <w:trPr>
          <w:trHeight w:val="367"/>
        </w:trPr>
        <w:tc>
          <w:tcPr>
            <w:tcW w:w="550" w:type="dxa"/>
            <w:tcBorders>
              <w:top w:val="single" w:sz="6" w:space="0" w:color="000000"/>
              <w:left w:val="single" w:sz="6" w:space="0" w:color="000000"/>
              <w:bottom w:val="single" w:sz="6" w:space="0" w:color="000000"/>
              <w:right w:val="single" w:sz="6" w:space="0" w:color="000000"/>
            </w:tcBorders>
          </w:tcPr>
          <w:p w14:paraId="1F215BA2" w14:textId="77777777" w:rsidR="005C16E2" w:rsidRPr="000A660A" w:rsidRDefault="005C16E2" w:rsidP="00085665">
            <w:pPr>
              <w:pStyle w:val="Default"/>
              <w:jc w:val="center"/>
              <w:rPr>
                <w:rFonts w:asciiTheme="majorHAnsi" w:hAnsiTheme="majorHAnsi"/>
                <w:sz w:val="20"/>
                <w:szCs w:val="20"/>
              </w:rPr>
            </w:pPr>
            <w:r w:rsidRPr="000A660A">
              <w:rPr>
                <w:rFonts w:asciiTheme="majorHAnsi" w:hAnsiTheme="majorHAnsi"/>
                <w:bCs/>
                <w:sz w:val="20"/>
                <w:szCs w:val="20"/>
              </w:rPr>
              <w:t xml:space="preserve">3 </w:t>
            </w:r>
          </w:p>
        </w:tc>
        <w:tc>
          <w:tcPr>
            <w:tcW w:w="1555" w:type="dxa"/>
            <w:tcBorders>
              <w:top w:val="single" w:sz="6" w:space="0" w:color="000000"/>
              <w:left w:val="single" w:sz="6" w:space="0" w:color="000000"/>
              <w:bottom w:val="single" w:sz="6" w:space="0" w:color="000000"/>
              <w:right w:val="single" w:sz="6" w:space="0" w:color="000000"/>
            </w:tcBorders>
          </w:tcPr>
          <w:p w14:paraId="5DC509DA" w14:textId="77777777" w:rsidR="005C16E2" w:rsidRPr="000A660A" w:rsidRDefault="005C16E2" w:rsidP="00085665">
            <w:pPr>
              <w:pStyle w:val="Default"/>
              <w:rPr>
                <w:rFonts w:asciiTheme="majorHAnsi" w:hAnsiTheme="majorHAnsi"/>
                <w:i/>
                <w:iCs/>
                <w:color w:val="auto"/>
                <w:sz w:val="20"/>
                <w:szCs w:val="20"/>
              </w:rPr>
            </w:pPr>
            <w:r w:rsidRPr="000A660A">
              <w:rPr>
                <w:rFonts w:asciiTheme="majorHAnsi" w:hAnsiTheme="majorHAnsi"/>
                <w:i/>
                <w:color w:val="auto"/>
                <w:sz w:val="20"/>
                <w:szCs w:val="20"/>
              </w:rPr>
              <w:t xml:space="preserve">Monitoring, control and surveillance </w:t>
            </w:r>
            <w:r w:rsidRPr="000A660A">
              <w:rPr>
                <w:rFonts w:asciiTheme="majorHAnsi" w:hAnsiTheme="majorHAnsi"/>
                <w:i/>
                <w:color w:val="auto"/>
                <w:sz w:val="20"/>
                <w:szCs w:val="20"/>
              </w:rPr>
              <w:lastRenderedPageBreak/>
              <w:t>(MCS)</w:t>
            </w:r>
          </w:p>
        </w:tc>
        <w:tc>
          <w:tcPr>
            <w:tcW w:w="1679" w:type="dxa"/>
            <w:tcBorders>
              <w:top w:val="single" w:sz="6" w:space="0" w:color="000000"/>
              <w:left w:val="single" w:sz="6" w:space="0" w:color="000000"/>
              <w:bottom w:val="single" w:sz="6" w:space="0" w:color="000000"/>
              <w:right w:val="single" w:sz="6" w:space="0" w:color="000000"/>
            </w:tcBorders>
          </w:tcPr>
          <w:p w14:paraId="6B17CC48"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lastRenderedPageBreak/>
              <w:t xml:space="preserve">Port State measures </w:t>
            </w:r>
          </w:p>
        </w:tc>
        <w:tc>
          <w:tcPr>
            <w:tcW w:w="6814" w:type="dxa"/>
            <w:tcBorders>
              <w:top w:val="single" w:sz="4" w:space="0" w:color="000000"/>
              <w:left w:val="single" w:sz="6" w:space="0" w:color="000000"/>
              <w:bottom w:val="single" w:sz="4" w:space="0" w:color="000000"/>
              <w:right w:val="single" w:sz="6" w:space="0" w:color="000000"/>
            </w:tcBorders>
          </w:tcPr>
          <w:p w14:paraId="0B04C911"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ICCAT has adopted measures relating to the exercise of the rights and duties of its members as port States, as reflected in UNFSA Article 23 and the Code of Conduct for Responsible Fisheries Article 8.3.</w:t>
            </w:r>
          </w:p>
          <w:p w14:paraId="51A23BA9"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lastRenderedPageBreak/>
              <w:t xml:space="preserve">• Extent to which ICCAT has adopted Port State Measures pursuant to the FAO </w:t>
            </w:r>
            <w:hyperlink r:id="rId13" w:tgtFrame="_blank" w:history="1">
              <w:r w:rsidRPr="000A660A">
                <w:rPr>
                  <w:rFonts w:asciiTheme="majorHAnsi" w:hAnsiTheme="majorHAnsi"/>
                  <w:color w:val="auto"/>
                  <w:sz w:val="20"/>
                  <w:szCs w:val="20"/>
                </w:rPr>
                <w:t>Agreement on Port State Measures to Prevent, Deter and Eliminate Illegal, Unreported and Unregulated Fishing</w:t>
              </w:r>
            </w:hyperlink>
            <w:r w:rsidRPr="000A660A">
              <w:rPr>
                <w:rFonts w:asciiTheme="majorHAnsi" w:hAnsiTheme="majorHAnsi"/>
                <w:color w:val="auto"/>
                <w:sz w:val="20"/>
                <w:szCs w:val="20"/>
              </w:rPr>
              <w:t>.</w:t>
            </w:r>
          </w:p>
          <w:p w14:paraId="57D79BDC"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 xml:space="preserve">• Extent to which these measures are effectively implemented. </w:t>
            </w:r>
          </w:p>
        </w:tc>
        <w:tc>
          <w:tcPr>
            <w:tcW w:w="3969" w:type="dxa"/>
            <w:tcBorders>
              <w:top w:val="single" w:sz="4" w:space="0" w:color="000000"/>
              <w:left w:val="single" w:sz="6" w:space="0" w:color="000000"/>
              <w:bottom w:val="single" w:sz="4" w:space="0" w:color="000000"/>
              <w:right w:val="single" w:sz="6" w:space="0" w:color="000000"/>
            </w:tcBorders>
          </w:tcPr>
          <w:p w14:paraId="05831C1F"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lastRenderedPageBreak/>
              <w:t>New area (MCS) – previously under "compliance and enforcement".</w:t>
            </w:r>
          </w:p>
        </w:tc>
      </w:tr>
      <w:tr w:rsidR="005C16E2" w:rsidRPr="000A660A" w14:paraId="74710EB6" w14:textId="77777777" w:rsidTr="00DB5AF6">
        <w:trPr>
          <w:trHeight w:val="1046"/>
        </w:trPr>
        <w:tc>
          <w:tcPr>
            <w:tcW w:w="550" w:type="dxa"/>
            <w:tcBorders>
              <w:top w:val="single" w:sz="6" w:space="0" w:color="000000"/>
              <w:left w:val="single" w:sz="6" w:space="0" w:color="000000"/>
              <w:bottom w:val="single" w:sz="6" w:space="0" w:color="000000"/>
              <w:right w:val="single" w:sz="6" w:space="0" w:color="000000"/>
            </w:tcBorders>
          </w:tcPr>
          <w:p w14:paraId="046897C3"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3B92CAD6"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097C5A06"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 xml:space="preserve">Integrated MCS measures </w:t>
            </w:r>
          </w:p>
        </w:tc>
        <w:tc>
          <w:tcPr>
            <w:tcW w:w="6814" w:type="dxa"/>
            <w:tcBorders>
              <w:top w:val="single" w:sz="4" w:space="0" w:color="000000"/>
              <w:left w:val="single" w:sz="6" w:space="0" w:color="000000"/>
              <w:bottom w:val="single" w:sz="4" w:space="0" w:color="000000"/>
              <w:right w:val="single" w:sz="6" w:space="0" w:color="000000"/>
            </w:tcBorders>
          </w:tcPr>
          <w:p w14:paraId="02964956"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ICCAT has adopted integrated MCS measures (e.g., required use of VMS, observers, catch documentation and trade tracking schemes, restrictions on transshipment, boarding and inspection schemes).</w:t>
            </w:r>
          </w:p>
          <w:p w14:paraId="5A8821B6"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 xml:space="preserve">• Extent to which these measures are effectively implemented. </w:t>
            </w:r>
          </w:p>
        </w:tc>
        <w:tc>
          <w:tcPr>
            <w:tcW w:w="3969" w:type="dxa"/>
            <w:tcBorders>
              <w:top w:val="single" w:sz="4" w:space="0" w:color="000000"/>
              <w:left w:val="single" w:sz="6" w:space="0" w:color="000000"/>
              <w:bottom w:val="single" w:sz="4" w:space="0" w:color="000000"/>
              <w:right w:val="single" w:sz="6" w:space="0" w:color="000000"/>
            </w:tcBorders>
          </w:tcPr>
          <w:p w14:paraId="3382292C"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 xml:space="preserve">New title (former one: </w:t>
            </w:r>
            <w:r w:rsidRPr="000A660A">
              <w:rPr>
                <w:rFonts w:asciiTheme="majorHAnsi" w:hAnsiTheme="majorHAnsi"/>
                <w:i/>
                <w:color w:val="auto"/>
                <w:sz w:val="20"/>
                <w:szCs w:val="20"/>
              </w:rPr>
              <w:t>Monitoring, control and surveillance (</w:t>
            </w:r>
            <w:proofErr w:type="gramStart"/>
            <w:r w:rsidRPr="000A660A">
              <w:rPr>
                <w:rFonts w:asciiTheme="majorHAnsi" w:hAnsiTheme="majorHAnsi"/>
                <w:i/>
                <w:color w:val="auto"/>
                <w:sz w:val="20"/>
                <w:szCs w:val="20"/>
              </w:rPr>
              <w:t>MCS)</w:t>
            </w:r>
            <w:r w:rsidRPr="000A660A">
              <w:rPr>
                <w:rFonts w:asciiTheme="majorHAnsi" w:hAnsiTheme="majorHAnsi"/>
                <w:color w:val="auto"/>
                <w:sz w:val="20"/>
                <w:szCs w:val="20"/>
              </w:rPr>
              <w:t>)</w:t>
            </w:r>
            <w:proofErr w:type="gramEnd"/>
            <w:r w:rsidRPr="000A660A">
              <w:rPr>
                <w:rFonts w:asciiTheme="majorHAnsi" w:hAnsiTheme="majorHAnsi"/>
                <w:color w:val="auto"/>
                <w:sz w:val="20"/>
                <w:szCs w:val="20"/>
              </w:rPr>
              <w:t>.</w:t>
            </w:r>
          </w:p>
          <w:p w14:paraId="2372569A" w14:textId="77777777" w:rsidR="005C16E2" w:rsidRPr="000A660A" w:rsidRDefault="005C16E2" w:rsidP="00085665">
            <w:pPr>
              <w:pStyle w:val="Default"/>
              <w:rPr>
                <w:rFonts w:asciiTheme="majorHAnsi" w:hAnsiTheme="majorHAnsi"/>
                <w:color w:val="auto"/>
                <w:sz w:val="20"/>
                <w:szCs w:val="20"/>
              </w:rPr>
            </w:pPr>
          </w:p>
        </w:tc>
      </w:tr>
      <w:tr w:rsidR="005C16E2" w:rsidRPr="000A660A" w14:paraId="36463B8B" w14:textId="77777777" w:rsidTr="00DB5AF6">
        <w:trPr>
          <w:trHeight w:val="1305"/>
        </w:trPr>
        <w:tc>
          <w:tcPr>
            <w:tcW w:w="550" w:type="dxa"/>
            <w:tcBorders>
              <w:top w:val="single" w:sz="6" w:space="0" w:color="000000"/>
              <w:left w:val="single" w:sz="6" w:space="0" w:color="000000"/>
              <w:bottom w:val="single" w:sz="6" w:space="0" w:color="000000"/>
              <w:right w:val="single" w:sz="6" w:space="0" w:color="000000"/>
            </w:tcBorders>
          </w:tcPr>
          <w:p w14:paraId="304E41DF" w14:textId="77777777" w:rsidR="005C16E2" w:rsidRPr="000A660A" w:rsidRDefault="005C16E2" w:rsidP="00085665">
            <w:pPr>
              <w:pStyle w:val="Default"/>
              <w:jc w:val="center"/>
              <w:rPr>
                <w:rFonts w:asciiTheme="majorHAnsi" w:hAnsiTheme="majorHAnsi"/>
                <w:sz w:val="20"/>
                <w:szCs w:val="20"/>
              </w:rPr>
            </w:pPr>
            <w:r w:rsidRPr="000A660A">
              <w:rPr>
                <w:rFonts w:asciiTheme="majorHAnsi" w:hAnsiTheme="majorHAnsi"/>
                <w:bCs/>
                <w:sz w:val="20"/>
                <w:szCs w:val="20"/>
              </w:rPr>
              <w:t xml:space="preserve">4 </w:t>
            </w:r>
          </w:p>
        </w:tc>
        <w:tc>
          <w:tcPr>
            <w:tcW w:w="1555" w:type="dxa"/>
            <w:tcBorders>
              <w:top w:val="single" w:sz="6" w:space="0" w:color="000000"/>
              <w:left w:val="single" w:sz="6" w:space="0" w:color="000000"/>
              <w:bottom w:val="single" w:sz="6" w:space="0" w:color="000000"/>
              <w:right w:val="single" w:sz="6" w:space="0" w:color="000000"/>
            </w:tcBorders>
          </w:tcPr>
          <w:p w14:paraId="4541D543"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i/>
                <w:iCs/>
                <w:sz w:val="20"/>
                <w:szCs w:val="20"/>
              </w:rPr>
              <w:t xml:space="preserve">Compliance and enforcement </w:t>
            </w:r>
          </w:p>
        </w:tc>
        <w:tc>
          <w:tcPr>
            <w:tcW w:w="1679" w:type="dxa"/>
            <w:tcBorders>
              <w:top w:val="single" w:sz="6" w:space="0" w:color="000000"/>
              <w:left w:val="single" w:sz="6" w:space="0" w:color="000000"/>
              <w:bottom w:val="single" w:sz="6" w:space="0" w:color="000000"/>
              <w:right w:val="single" w:sz="6" w:space="0" w:color="000000"/>
            </w:tcBorders>
          </w:tcPr>
          <w:p w14:paraId="099F4F99"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Flag State duties</w:t>
            </w:r>
          </w:p>
        </w:tc>
        <w:tc>
          <w:tcPr>
            <w:tcW w:w="6814" w:type="dxa"/>
            <w:tcBorders>
              <w:top w:val="single" w:sz="4" w:space="0" w:color="000000"/>
              <w:left w:val="single" w:sz="6" w:space="0" w:color="000000"/>
              <w:bottom w:val="single" w:sz="4" w:space="0" w:color="000000"/>
              <w:right w:val="single" w:sz="6" w:space="0" w:color="000000"/>
            </w:tcBorders>
          </w:tcPr>
          <w:p w14:paraId="3FBD5568"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ICCAT members are fulfilling their duties as flag States under the treaty establishing the RFMO, pursuant to measures adopted by the RFMO, and under other international instruments, including, inter alia, the 1982 Law of the Sea Convention, the UNFSA and the 1993 FAO Compliance Agreement, as applicable.</w:t>
            </w:r>
          </w:p>
        </w:tc>
        <w:tc>
          <w:tcPr>
            <w:tcW w:w="3969" w:type="dxa"/>
            <w:tcBorders>
              <w:top w:val="single" w:sz="4" w:space="0" w:color="000000"/>
              <w:left w:val="single" w:sz="6" w:space="0" w:color="000000"/>
              <w:bottom w:val="single" w:sz="4" w:space="0" w:color="000000"/>
              <w:right w:val="single" w:sz="6" w:space="0" w:color="000000"/>
            </w:tcBorders>
          </w:tcPr>
          <w:p w14:paraId="5D8252CB" w14:textId="77777777" w:rsidR="005C16E2" w:rsidRPr="000A660A" w:rsidRDefault="005C16E2" w:rsidP="00085665">
            <w:pPr>
              <w:pStyle w:val="Default"/>
              <w:jc w:val="both"/>
              <w:rPr>
                <w:rFonts w:asciiTheme="majorHAnsi" w:hAnsiTheme="majorHAnsi"/>
                <w:color w:val="auto"/>
                <w:sz w:val="20"/>
                <w:szCs w:val="20"/>
              </w:rPr>
            </w:pPr>
          </w:p>
          <w:p w14:paraId="6BAF11AE" w14:textId="77777777" w:rsidR="005C16E2" w:rsidRPr="000A660A" w:rsidRDefault="005C16E2" w:rsidP="00085665">
            <w:pPr>
              <w:pStyle w:val="Default"/>
              <w:jc w:val="both"/>
              <w:rPr>
                <w:rFonts w:asciiTheme="majorHAnsi" w:hAnsiTheme="majorHAnsi"/>
                <w:color w:val="auto"/>
                <w:sz w:val="20"/>
                <w:szCs w:val="20"/>
              </w:rPr>
            </w:pPr>
          </w:p>
        </w:tc>
      </w:tr>
      <w:tr w:rsidR="005C16E2" w:rsidRPr="000A660A" w14:paraId="150F149D" w14:textId="77777777" w:rsidTr="00DB5AF6">
        <w:trPr>
          <w:trHeight w:val="958"/>
        </w:trPr>
        <w:tc>
          <w:tcPr>
            <w:tcW w:w="550" w:type="dxa"/>
            <w:tcBorders>
              <w:top w:val="single" w:sz="6" w:space="0" w:color="000000"/>
              <w:left w:val="single" w:sz="6" w:space="0" w:color="000000"/>
              <w:bottom w:val="single" w:sz="6" w:space="0" w:color="000000"/>
              <w:right w:val="single" w:sz="6" w:space="0" w:color="000000"/>
            </w:tcBorders>
          </w:tcPr>
          <w:p w14:paraId="3F671CBC"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71C63EF2"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5D69C445"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 xml:space="preserve">Cooperative mechanisms to detect and deter non-compliance </w:t>
            </w:r>
          </w:p>
        </w:tc>
        <w:tc>
          <w:tcPr>
            <w:tcW w:w="6814" w:type="dxa"/>
            <w:tcBorders>
              <w:top w:val="single" w:sz="4" w:space="0" w:color="000000"/>
              <w:left w:val="single" w:sz="6" w:space="0" w:color="000000"/>
              <w:bottom w:val="single" w:sz="4" w:space="0" w:color="000000"/>
              <w:right w:val="single" w:sz="6" w:space="0" w:color="000000"/>
            </w:tcBorders>
          </w:tcPr>
          <w:p w14:paraId="3D9B7CBC"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ICCAT has established adequate cooperative mechanisms to both monitor compliance and detect and deter non-compliance (e.g., compliance committees, vessel lists, sharing of information about non-compliance).</w:t>
            </w:r>
          </w:p>
          <w:p w14:paraId="110D00D5"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 xml:space="preserve">• Extent to which these mechanisms are being effectively utilized. </w:t>
            </w:r>
          </w:p>
        </w:tc>
        <w:tc>
          <w:tcPr>
            <w:tcW w:w="3969" w:type="dxa"/>
            <w:tcBorders>
              <w:top w:val="single" w:sz="4" w:space="0" w:color="000000"/>
              <w:left w:val="single" w:sz="6" w:space="0" w:color="000000"/>
              <w:bottom w:val="single" w:sz="4" w:space="0" w:color="000000"/>
              <w:right w:val="single" w:sz="6" w:space="0" w:color="000000"/>
            </w:tcBorders>
          </w:tcPr>
          <w:p w14:paraId="3AE59843" w14:textId="77777777" w:rsidR="005C16E2" w:rsidRPr="000A660A" w:rsidRDefault="005C16E2" w:rsidP="00085665">
            <w:pPr>
              <w:pStyle w:val="Default"/>
              <w:rPr>
                <w:rFonts w:asciiTheme="majorHAnsi" w:hAnsiTheme="majorHAnsi"/>
                <w:color w:val="auto"/>
                <w:sz w:val="20"/>
                <w:szCs w:val="20"/>
              </w:rPr>
            </w:pPr>
          </w:p>
        </w:tc>
      </w:tr>
      <w:tr w:rsidR="005C16E2" w:rsidRPr="000A660A" w14:paraId="344A7B25" w14:textId="77777777" w:rsidTr="00DB5AF6">
        <w:trPr>
          <w:trHeight w:val="1031"/>
        </w:trPr>
        <w:tc>
          <w:tcPr>
            <w:tcW w:w="550" w:type="dxa"/>
            <w:tcBorders>
              <w:top w:val="single" w:sz="6" w:space="0" w:color="000000"/>
              <w:left w:val="single" w:sz="6" w:space="0" w:color="000000"/>
              <w:bottom w:val="single" w:sz="6" w:space="0" w:color="000000"/>
              <w:right w:val="single" w:sz="6" w:space="0" w:color="000000"/>
            </w:tcBorders>
          </w:tcPr>
          <w:p w14:paraId="7E968F71"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7109DC08"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224B1405"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 xml:space="preserve">Follow-up on infringements </w:t>
            </w:r>
          </w:p>
        </w:tc>
        <w:tc>
          <w:tcPr>
            <w:tcW w:w="6814" w:type="dxa"/>
            <w:tcBorders>
              <w:top w:val="single" w:sz="4" w:space="0" w:color="000000"/>
              <w:left w:val="single" w:sz="6" w:space="0" w:color="000000"/>
              <w:bottom w:val="single" w:sz="4" w:space="0" w:color="000000"/>
              <w:right w:val="single" w:sz="6" w:space="0" w:color="000000"/>
            </w:tcBorders>
          </w:tcPr>
          <w:p w14:paraId="354BDA0F"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ICCAT, its members and cooperating non-members follow up on infringements to management measures.</w:t>
            </w:r>
          </w:p>
          <w:p w14:paraId="39F94DE9"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ICCAT and its members effectively implement Recommendations 11-15, 06-13, 96-14, 97-01, 00-14, and 11-11.</w:t>
            </w:r>
          </w:p>
        </w:tc>
        <w:tc>
          <w:tcPr>
            <w:tcW w:w="3969" w:type="dxa"/>
            <w:tcBorders>
              <w:top w:val="single" w:sz="4" w:space="0" w:color="000000"/>
              <w:left w:val="single" w:sz="6" w:space="0" w:color="000000"/>
              <w:bottom w:val="single" w:sz="4" w:space="0" w:color="000000"/>
              <w:right w:val="single" w:sz="6" w:space="0" w:color="000000"/>
            </w:tcBorders>
          </w:tcPr>
          <w:p w14:paraId="2C2EC308" w14:textId="77777777" w:rsidR="005C16E2" w:rsidRPr="000A660A" w:rsidRDefault="005C16E2" w:rsidP="00085665">
            <w:pPr>
              <w:pStyle w:val="Default"/>
              <w:jc w:val="both"/>
              <w:rPr>
                <w:rFonts w:asciiTheme="majorHAnsi" w:hAnsiTheme="majorHAnsi"/>
                <w:color w:val="auto"/>
                <w:sz w:val="20"/>
                <w:szCs w:val="20"/>
              </w:rPr>
            </w:pPr>
          </w:p>
          <w:p w14:paraId="18FCC627"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New item.</w:t>
            </w:r>
          </w:p>
        </w:tc>
      </w:tr>
      <w:tr w:rsidR="005C16E2" w:rsidRPr="000A660A" w14:paraId="3C4F9567" w14:textId="77777777" w:rsidTr="00DB5AF6">
        <w:trPr>
          <w:trHeight w:val="730"/>
        </w:trPr>
        <w:tc>
          <w:tcPr>
            <w:tcW w:w="550" w:type="dxa"/>
            <w:tcBorders>
              <w:top w:val="single" w:sz="6" w:space="0" w:color="000000"/>
              <w:left w:val="single" w:sz="6" w:space="0" w:color="000000"/>
              <w:bottom w:val="single" w:sz="6" w:space="0" w:color="000000"/>
              <w:right w:val="single" w:sz="6" w:space="0" w:color="000000"/>
            </w:tcBorders>
          </w:tcPr>
          <w:p w14:paraId="2862FE07"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78B8263C"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4B9FC7E1"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Market-related measures </w:t>
            </w:r>
          </w:p>
        </w:tc>
        <w:tc>
          <w:tcPr>
            <w:tcW w:w="6814" w:type="dxa"/>
            <w:tcBorders>
              <w:top w:val="single" w:sz="4" w:space="0" w:color="000000"/>
              <w:left w:val="single" w:sz="6" w:space="0" w:color="000000"/>
              <w:bottom w:val="single" w:sz="4" w:space="0" w:color="000000"/>
              <w:right w:val="single" w:sz="6" w:space="0" w:color="000000"/>
            </w:tcBorders>
          </w:tcPr>
          <w:p w14:paraId="4BC3D4C9"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adopted measures relating to the exercise of the rights and duties of its members as market States. </w:t>
            </w:r>
          </w:p>
          <w:p w14:paraId="32C6F8E3"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Extent to which these market-related measures are effectively implemented.</w:t>
            </w:r>
          </w:p>
        </w:tc>
        <w:tc>
          <w:tcPr>
            <w:tcW w:w="3969" w:type="dxa"/>
            <w:tcBorders>
              <w:top w:val="single" w:sz="4" w:space="0" w:color="000000"/>
              <w:left w:val="single" w:sz="6" w:space="0" w:color="000000"/>
              <w:bottom w:val="single" w:sz="4" w:space="0" w:color="000000"/>
              <w:right w:val="single" w:sz="6" w:space="0" w:color="000000"/>
            </w:tcBorders>
          </w:tcPr>
          <w:p w14:paraId="1646FC73" w14:textId="77777777" w:rsidR="005C16E2" w:rsidRPr="000A660A" w:rsidRDefault="005C16E2" w:rsidP="00085665">
            <w:pPr>
              <w:pStyle w:val="Default"/>
              <w:rPr>
                <w:rFonts w:asciiTheme="majorHAnsi" w:hAnsiTheme="majorHAnsi"/>
                <w:sz w:val="20"/>
                <w:szCs w:val="20"/>
              </w:rPr>
            </w:pPr>
          </w:p>
        </w:tc>
      </w:tr>
      <w:tr w:rsidR="005C16E2" w:rsidRPr="000A660A" w14:paraId="32104165" w14:textId="77777777" w:rsidTr="00DB5AF6">
        <w:trPr>
          <w:trHeight w:val="730"/>
        </w:trPr>
        <w:tc>
          <w:tcPr>
            <w:tcW w:w="550" w:type="dxa"/>
            <w:tcBorders>
              <w:top w:val="single" w:sz="6" w:space="0" w:color="000000"/>
              <w:left w:val="single" w:sz="6" w:space="0" w:color="000000"/>
              <w:bottom w:val="single" w:sz="6" w:space="0" w:color="000000"/>
              <w:right w:val="single" w:sz="6" w:space="0" w:color="000000"/>
            </w:tcBorders>
          </w:tcPr>
          <w:p w14:paraId="54237126"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6EB8ABBF"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3DA1C2A3" w14:textId="77777777" w:rsidR="005C16E2" w:rsidRPr="000A660A" w:rsidRDefault="005C16E2" w:rsidP="00085665">
            <w:pPr>
              <w:pStyle w:val="Default"/>
              <w:rPr>
                <w:rFonts w:asciiTheme="majorHAnsi" w:hAnsiTheme="majorHAnsi" w:cs="Times New Roman"/>
                <w:sz w:val="20"/>
                <w:szCs w:val="20"/>
              </w:rPr>
            </w:pPr>
            <w:r w:rsidRPr="000A660A">
              <w:rPr>
                <w:rFonts w:asciiTheme="majorHAnsi" w:hAnsiTheme="majorHAnsi" w:cs="Times New Roman"/>
                <w:sz w:val="20"/>
                <w:szCs w:val="20"/>
              </w:rPr>
              <w:t xml:space="preserve">Reporting Requirements </w:t>
            </w:r>
          </w:p>
        </w:tc>
        <w:tc>
          <w:tcPr>
            <w:tcW w:w="6814" w:type="dxa"/>
            <w:tcBorders>
              <w:top w:val="single" w:sz="4" w:space="0" w:color="000000"/>
              <w:left w:val="single" w:sz="6" w:space="0" w:color="000000"/>
              <w:bottom w:val="single" w:sz="4" w:space="0" w:color="000000"/>
              <w:right w:val="single" w:sz="6" w:space="0" w:color="000000"/>
            </w:tcBorders>
          </w:tcPr>
          <w:p w14:paraId="01B4B19F" w14:textId="77777777" w:rsidR="005C16E2" w:rsidRPr="000A660A" w:rsidRDefault="005C16E2" w:rsidP="00085665">
            <w:pPr>
              <w:pStyle w:val="Default"/>
              <w:jc w:val="both"/>
              <w:rPr>
                <w:rFonts w:asciiTheme="majorHAnsi" w:hAnsiTheme="majorHAnsi" w:cs="Times New Roman"/>
                <w:sz w:val="20"/>
                <w:szCs w:val="20"/>
              </w:rPr>
            </w:pPr>
            <w:r w:rsidRPr="000A660A">
              <w:rPr>
                <w:rFonts w:asciiTheme="majorHAnsi" w:hAnsiTheme="majorHAnsi" w:cs="Times New Roman"/>
                <w:sz w:val="20"/>
                <w:szCs w:val="20"/>
              </w:rPr>
              <w:t>Analysis of ICCAT reporting requirements to improve efficiency, avoid redundancy and reduce unnecessary burden to CPCs</w:t>
            </w:r>
          </w:p>
        </w:tc>
        <w:tc>
          <w:tcPr>
            <w:tcW w:w="3969" w:type="dxa"/>
            <w:tcBorders>
              <w:top w:val="single" w:sz="4" w:space="0" w:color="000000"/>
              <w:left w:val="single" w:sz="6" w:space="0" w:color="000000"/>
              <w:bottom w:val="single" w:sz="4" w:space="0" w:color="000000"/>
              <w:right w:val="single" w:sz="6" w:space="0" w:color="000000"/>
            </w:tcBorders>
          </w:tcPr>
          <w:p w14:paraId="0C0EE267" w14:textId="77777777" w:rsidR="005C16E2" w:rsidRPr="000A660A" w:rsidRDefault="005C16E2" w:rsidP="00085665">
            <w:pPr>
              <w:pStyle w:val="Default"/>
              <w:rPr>
                <w:rFonts w:asciiTheme="majorHAnsi" w:hAnsiTheme="majorHAnsi" w:cs="Times New Roman"/>
                <w:sz w:val="20"/>
                <w:szCs w:val="20"/>
              </w:rPr>
            </w:pPr>
            <w:r w:rsidRPr="000A660A">
              <w:rPr>
                <w:rFonts w:asciiTheme="majorHAnsi" w:hAnsiTheme="majorHAnsi" w:cs="Times New Roman"/>
                <w:sz w:val="20"/>
                <w:szCs w:val="20"/>
              </w:rPr>
              <w:t>New item.</w:t>
            </w:r>
          </w:p>
        </w:tc>
      </w:tr>
      <w:tr w:rsidR="005C16E2" w:rsidRPr="000A660A" w14:paraId="1081BA6E" w14:textId="77777777" w:rsidTr="00DB5AF6">
        <w:trPr>
          <w:trHeight w:val="713"/>
        </w:trPr>
        <w:tc>
          <w:tcPr>
            <w:tcW w:w="550" w:type="dxa"/>
            <w:tcBorders>
              <w:top w:val="single" w:sz="6" w:space="0" w:color="000000"/>
              <w:left w:val="single" w:sz="6" w:space="0" w:color="000000"/>
              <w:bottom w:val="single" w:sz="6" w:space="0" w:color="000000"/>
              <w:right w:val="single" w:sz="6" w:space="0" w:color="000000"/>
            </w:tcBorders>
          </w:tcPr>
          <w:p w14:paraId="34A97E19" w14:textId="77777777" w:rsidR="005C16E2" w:rsidRPr="000A660A" w:rsidRDefault="005C16E2" w:rsidP="00085665">
            <w:pPr>
              <w:pStyle w:val="Default"/>
              <w:jc w:val="center"/>
              <w:rPr>
                <w:rFonts w:asciiTheme="majorHAnsi" w:hAnsiTheme="majorHAnsi"/>
                <w:sz w:val="20"/>
                <w:szCs w:val="20"/>
              </w:rPr>
            </w:pPr>
            <w:r w:rsidRPr="000A660A">
              <w:rPr>
                <w:rFonts w:asciiTheme="majorHAnsi" w:hAnsiTheme="majorHAnsi"/>
                <w:bCs/>
                <w:sz w:val="20"/>
                <w:szCs w:val="20"/>
              </w:rPr>
              <w:t xml:space="preserve">5 </w:t>
            </w:r>
          </w:p>
        </w:tc>
        <w:tc>
          <w:tcPr>
            <w:tcW w:w="1555" w:type="dxa"/>
            <w:tcBorders>
              <w:top w:val="single" w:sz="6" w:space="0" w:color="000000"/>
              <w:left w:val="single" w:sz="6" w:space="0" w:color="000000"/>
              <w:bottom w:val="single" w:sz="6" w:space="0" w:color="000000"/>
              <w:right w:val="single" w:sz="6" w:space="0" w:color="000000"/>
            </w:tcBorders>
          </w:tcPr>
          <w:p w14:paraId="65575B6F" w14:textId="77777777" w:rsidR="005C16E2" w:rsidRPr="000A660A" w:rsidRDefault="005C16E2" w:rsidP="00085665">
            <w:pPr>
              <w:pStyle w:val="Default"/>
              <w:rPr>
                <w:rFonts w:asciiTheme="majorHAnsi" w:hAnsiTheme="majorHAnsi"/>
                <w:strike/>
                <w:color w:val="auto"/>
                <w:sz w:val="20"/>
                <w:szCs w:val="20"/>
              </w:rPr>
            </w:pPr>
            <w:r w:rsidRPr="000A660A">
              <w:rPr>
                <w:rFonts w:asciiTheme="majorHAnsi" w:hAnsiTheme="majorHAnsi"/>
                <w:i/>
                <w:color w:val="auto"/>
                <w:sz w:val="20"/>
                <w:szCs w:val="20"/>
              </w:rPr>
              <w:t>Governance</w:t>
            </w:r>
          </w:p>
        </w:tc>
        <w:tc>
          <w:tcPr>
            <w:tcW w:w="1679" w:type="dxa"/>
            <w:tcBorders>
              <w:top w:val="single" w:sz="6" w:space="0" w:color="000000"/>
              <w:left w:val="single" w:sz="6" w:space="0" w:color="000000"/>
              <w:bottom w:val="single" w:sz="6" w:space="0" w:color="000000"/>
              <w:right w:val="single" w:sz="6" w:space="0" w:color="000000"/>
            </w:tcBorders>
          </w:tcPr>
          <w:p w14:paraId="635BAB6B"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Decision-making </w:t>
            </w:r>
          </w:p>
        </w:tc>
        <w:tc>
          <w:tcPr>
            <w:tcW w:w="6814" w:type="dxa"/>
            <w:tcBorders>
              <w:top w:val="single" w:sz="4" w:space="0" w:color="000000"/>
              <w:left w:val="single" w:sz="6" w:space="0" w:color="000000"/>
              <w:bottom w:val="single" w:sz="4" w:space="0" w:color="000000"/>
              <w:right w:val="single" w:sz="6" w:space="0" w:color="000000"/>
            </w:tcBorders>
          </w:tcPr>
          <w:p w14:paraId="4ECC1438"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xml:space="preserve">• Extent to which ICCAT has transparent and consistent decision-making procedures that facilitate the adoption of conservation and management measures in a timely and effective manner. </w:t>
            </w:r>
          </w:p>
          <w:p w14:paraId="063074D9"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these procedures are effectively implemented in ICCAT.</w:t>
            </w:r>
          </w:p>
        </w:tc>
        <w:tc>
          <w:tcPr>
            <w:tcW w:w="3969" w:type="dxa"/>
            <w:tcBorders>
              <w:top w:val="single" w:sz="4" w:space="0" w:color="000000"/>
              <w:left w:val="single" w:sz="6" w:space="0" w:color="000000"/>
              <w:bottom w:val="single" w:sz="4" w:space="0" w:color="000000"/>
              <w:right w:val="single" w:sz="6" w:space="0" w:color="000000"/>
            </w:tcBorders>
          </w:tcPr>
          <w:p w14:paraId="0BFF6DC5"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xml:space="preserve">Decision-making/dispute settlement and international cooperation </w:t>
            </w:r>
            <w:proofErr w:type="gramStart"/>
            <w:r w:rsidRPr="000A660A">
              <w:rPr>
                <w:rFonts w:asciiTheme="majorHAnsi" w:hAnsiTheme="majorHAnsi"/>
                <w:color w:val="auto"/>
                <w:sz w:val="20"/>
                <w:szCs w:val="20"/>
              </w:rPr>
              <w:t>merged together</w:t>
            </w:r>
            <w:proofErr w:type="gramEnd"/>
            <w:r w:rsidRPr="000A660A">
              <w:rPr>
                <w:rFonts w:asciiTheme="majorHAnsi" w:hAnsiTheme="majorHAnsi"/>
                <w:color w:val="auto"/>
                <w:sz w:val="20"/>
                <w:szCs w:val="20"/>
              </w:rPr>
              <w:t xml:space="preserve"> and renamed "Governance."</w:t>
            </w:r>
          </w:p>
          <w:p w14:paraId="6122D63D"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New item.</w:t>
            </w:r>
          </w:p>
        </w:tc>
      </w:tr>
      <w:tr w:rsidR="005C16E2" w:rsidRPr="000A660A" w14:paraId="448AA101" w14:textId="77777777" w:rsidTr="00DB5AF6">
        <w:trPr>
          <w:trHeight w:val="485"/>
        </w:trPr>
        <w:tc>
          <w:tcPr>
            <w:tcW w:w="550" w:type="dxa"/>
            <w:tcBorders>
              <w:top w:val="single" w:sz="6" w:space="0" w:color="000000"/>
              <w:left w:val="single" w:sz="6" w:space="0" w:color="000000"/>
              <w:bottom w:val="single" w:sz="6" w:space="0" w:color="000000"/>
              <w:right w:val="single" w:sz="6" w:space="0" w:color="000000"/>
            </w:tcBorders>
          </w:tcPr>
          <w:p w14:paraId="5BD9C063"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4BB6792B"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32535358"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Dispute settlement </w:t>
            </w:r>
          </w:p>
        </w:tc>
        <w:tc>
          <w:tcPr>
            <w:tcW w:w="6814" w:type="dxa"/>
            <w:tcBorders>
              <w:top w:val="single" w:sz="4" w:space="0" w:color="000000"/>
              <w:left w:val="single" w:sz="6" w:space="0" w:color="000000"/>
              <w:bottom w:val="single" w:sz="4" w:space="0" w:color="000000"/>
              <w:right w:val="single" w:sz="6" w:space="0" w:color="000000"/>
            </w:tcBorders>
          </w:tcPr>
          <w:p w14:paraId="41B11FF3"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has established adequate mechanisms for resolving disputes. </w:t>
            </w:r>
          </w:p>
        </w:tc>
        <w:tc>
          <w:tcPr>
            <w:tcW w:w="3969" w:type="dxa"/>
            <w:tcBorders>
              <w:top w:val="single" w:sz="4" w:space="0" w:color="000000"/>
              <w:left w:val="single" w:sz="6" w:space="0" w:color="000000"/>
              <w:bottom w:val="single" w:sz="4" w:space="0" w:color="000000"/>
              <w:right w:val="single" w:sz="6" w:space="0" w:color="000000"/>
            </w:tcBorders>
          </w:tcPr>
          <w:p w14:paraId="432383F8" w14:textId="77777777" w:rsidR="005C16E2" w:rsidRPr="000A660A" w:rsidRDefault="005C16E2" w:rsidP="00085665">
            <w:pPr>
              <w:pStyle w:val="Default"/>
              <w:jc w:val="both"/>
              <w:rPr>
                <w:rFonts w:asciiTheme="majorHAnsi" w:hAnsiTheme="majorHAnsi"/>
                <w:sz w:val="20"/>
                <w:szCs w:val="20"/>
              </w:rPr>
            </w:pPr>
          </w:p>
        </w:tc>
      </w:tr>
      <w:tr w:rsidR="005C16E2" w:rsidRPr="000A660A" w14:paraId="3D945AC9" w14:textId="77777777" w:rsidTr="00DB5AF6">
        <w:trPr>
          <w:trHeight w:val="1418"/>
        </w:trPr>
        <w:tc>
          <w:tcPr>
            <w:tcW w:w="550" w:type="dxa"/>
            <w:tcBorders>
              <w:top w:val="single" w:sz="6" w:space="0" w:color="000000"/>
              <w:left w:val="single" w:sz="6" w:space="0" w:color="000000"/>
              <w:bottom w:val="single" w:sz="6" w:space="0" w:color="000000"/>
              <w:right w:val="single" w:sz="6" w:space="0" w:color="000000"/>
            </w:tcBorders>
          </w:tcPr>
          <w:p w14:paraId="154F6A06" w14:textId="77777777" w:rsidR="005C16E2" w:rsidRPr="000A660A" w:rsidRDefault="005C16E2" w:rsidP="00085665">
            <w:pPr>
              <w:pStyle w:val="Default"/>
              <w:jc w:val="center"/>
              <w:rPr>
                <w:rFonts w:asciiTheme="majorHAnsi" w:hAnsiTheme="majorHAnsi"/>
                <w:sz w:val="20"/>
                <w:szCs w:val="20"/>
              </w:rPr>
            </w:pPr>
            <w:r w:rsidRPr="000A660A">
              <w:rPr>
                <w:rFonts w:asciiTheme="majorHAnsi" w:hAnsiTheme="majorHAnsi"/>
                <w:b/>
                <w:bCs/>
                <w:sz w:val="20"/>
                <w:szCs w:val="20"/>
              </w:rPr>
              <w:lastRenderedPageBreak/>
              <w:t xml:space="preserve"> </w:t>
            </w:r>
          </w:p>
        </w:tc>
        <w:tc>
          <w:tcPr>
            <w:tcW w:w="1555" w:type="dxa"/>
            <w:tcBorders>
              <w:top w:val="single" w:sz="6" w:space="0" w:color="000000"/>
              <w:left w:val="single" w:sz="6" w:space="0" w:color="000000"/>
              <w:bottom w:val="single" w:sz="6" w:space="0" w:color="000000"/>
              <w:right w:val="single" w:sz="6" w:space="0" w:color="000000"/>
            </w:tcBorders>
          </w:tcPr>
          <w:p w14:paraId="22A326AC" w14:textId="77777777" w:rsidR="005C16E2" w:rsidRPr="000A660A" w:rsidRDefault="005C16E2" w:rsidP="00085665">
            <w:pPr>
              <w:pStyle w:val="Default"/>
              <w:rPr>
                <w:rFonts w:asciiTheme="majorHAnsi" w:hAnsiTheme="majorHAnsi"/>
                <w: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680F5AB1"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Transparency </w:t>
            </w:r>
          </w:p>
        </w:tc>
        <w:tc>
          <w:tcPr>
            <w:tcW w:w="6814" w:type="dxa"/>
            <w:tcBorders>
              <w:top w:val="single" w:sz="4" w:space="0" w:color="000000"/>
              <w:left w:val="single" w:sz="6" w:space="0" w:color="000000"/>
              <w:bottom w:val="single" w:sz="4" w:space="0" w:color="000000"/>
              <w:right w:val="single" w:sz="6" w:space="0" w:color="000000"/>
            </w:tcBorders>
          </w:tcPr>
          <w:p w14:paraId="301719B5"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Extent to which ICCAT is operating in a transparent manner, as reflected in UNFSA Article 12 and the Code of Conduct for Responsible Fisheries Article 7.1.9.</w:t>
            </w:r>
          </w:p>
          <w:p w14:paraId="014213B1"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decisions, meeting reports, scientific advice upon which decisions are made, and other relevant materials are made publicly available in a timely fashion. </w:t>
            </w:r>
          </w:p>
        </w:tc>
        <w:tc>
          <w:tcPr>
            <w:tcW w:w="3969" w:type="dxa"/>
            <w:tcBorders>
              <w:top w:val="single" w:sz="4" w:space="0" w:color="000000"/>
              <w:left w:val="single" w:sz="6" w:space="0" w:color="000000"/>
              <w:bottom w:val="single" w:sz="4" w:space="0" w:color="000000"/>
              <w:right w:val="single" w:sz="6" w:space="0" w:color="000000"/>
            </w:tcBorders>
          </w:tcPr>
          <w:p w14:paraId="5EFA2618" w14:textId="77777777" w:rsidR="005C16E2" w:rsidRPr="000A660A" w:rsidRDefault="005C16E2" w:rsidP="00085665">
            <w:pPr>
              <w:pStyle w:val="Default"/>
              <w:jc w:val="both"/>
              <w:rPr>
                <w:rFonts w:asciiTheme="majorHAnsi" w:hAnsiTheme="majorHAnsi"/>
                <w:sz w:val="20"/>
                <w:szCs w:val="20"/>
              </w:rPr>
            </w:pPr>
          </w:p>
        </w:tc>
      </w:tr>
      <w:tr w:rsidR="005C16E2" w:rsidRPr="000A660A" w14:paraId="2D8938F5" w14:textId="77777777" w:rsidTr="00DB5AF6">
        <w:trPr>
          <w:trHeight w:val="456"/>
        </w:trPr>
        <w:tc>
          <w:tcPr>
            <w:tcW w:w="550" w:type="dxa"/>
            <w:tcBorders>
              <w:top w:val="single" w:sz="6" w:space="0" w:color="000000"/>
              <w:left w:val="single" w:sz="6" w:space="0" w:color="000000"/>
              <w:bottom w:val="single" w:sz="6" w:space="0" w:color="000000"/>
              <w:right w:val="single" w:sz="6" w:space="0" w:color="000000"/>
            </w:tcBorders>
          </w:tcPr>
          <w:p w14:paraId="7F6B9DD1"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E926218"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30CA26A2"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 xml:space="preserve">Confidentiality </w:t>
            </w:r>
          </w:p>
        </w:tc>
        <w:tc>
          <w:tcPr>
            <w:tcW w:w="6814" w:type="dxa"/>
            <w:tcBorders>
              <w:top w:val="single" w:sz="4" w:space="0" w:color="000000"/>
              <w:left w:val="single" w:sz="6" w:space="0" w:color="000000"/>
              <w:bottom w:val="single" w:sz="4" w:space="0" w:color="000000"/>
              <w:right w:val="single" w:sz="6" w:space="0" w:color="000000"/>
            </w:tcBorders>
          </w:tcPr>
          <w:p w14:paraId="5638EE9D"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xml:space="preserve">• Extent to which ICCAT has set security and confidentiality standards and rules for sharing sensitive scientific and operational/compliance data. </w:t>
            </w:r>
          </w:p>
        </w:tc>
        <w:tc>
          <w:tcPr>
            <w:tcW w:w="3969" w:type="dxa"/>
            <w:tcBorders>
              <w:top w:val="single" w:sz="4" w:space="0" w:color="000000"/>
              <w:left w:val="single" w:sz="6" w:space="0" w:color="000000"/>
              <w:bottom w:val="single" w:sz="4" w:space="0" w:color="000000"/>
              <w:right w:val="single" w:sz="6" w:space="0" w:color="000000"/>
            </w:tcBorders>
          </w:tcPr>
          <w:p w14:paraId="6126EE1A"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New item (from IOTC 2</w:t>
            </w:r>
            <w:r w:rsidRPr="000A660A">
              <w:rPr>
                <w:rFonts w:asciiTheme="majorHAnsi" w:hAnsiTheme="majorHAnsi"/>
                <w:color w:val="auto"/>
                <w:sz w:val="20"/>
                <w:szCs w:val="20"/>
                <w:vertAlign w:val="superscript"/>
              </w:rPr>
              <w:t>nd</w:t>
            </w:r>
            <w:r w:rsidRPr="000A660A">
              <w:rPr>
                <w:rFonts w:asciiTheme="majorHAnsi" w:hAnsiTheme="majorHAnsi"/>
                <w:color w:val="auto"/>
                <w:sz w:val="20"/>
                <w:szCs w:val="20"/>
              </w:rPr>
              <w:t xml:space="preserve"> Perf. Review).</w:t>
            </w:r>
          </w:p>
        </w:tc>
      </w:tr>
      <w:tr w:rsidR="005C16E2" w:rsidRPr="000A660A" w14:paraId="036A5406" w14:textId="77777777" w:rsidTr="00DB5AF6">
        <w:trPr>
          <w:trHeight w:val="715"/>
        </w:trPr>
        <w:tc>
          <w:tcPr>
            <w:tcW w:w="550" w:type="dxa"/>
            <w:tcBorders>
              <w:top w:val="single" w:sz="6" w:space="0" w:color="000000"/>
              <w:left w:val="single" w:sz="6" w:space="0" w:color="000000"/>
              <w:bottom w:val="single" w:sz="6" w:space="0" w:color="000000"/>
              <w:right w:val="single" w:sz="6" w:space="0" w:color="000000"/>
            </w:tcBorders>
          </w:tcPr>
          <w:p w14:paraId="045ADCDC"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2CD78CD6"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6442A7F6"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Relationship to cooperating non-members </w:t>
            </w:r>
          </w:p>
        </w:tc>
        <w:tc>
          <w:tcPr>
            <w:tcW w:w="6814" w:type="dxa"/>
            <w:tcBorders>
              <w:top w:val="single" w:sz="4" w:space="0" w:color="000000"/>
              <w:left w:val="single" w:sz="6" w:space="0" w:color="000000"/>
              <w:bottom w:val="single" w:sz="4" w:space="0" w:color="000000"/>
              <w:right w:val="single" w:sz="6" w:space="0" w:color="000000"/>
            </w:tcBorders>
          </w:tcPr>
          <w:p w14:paraId="6C326760"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facilitates cooperation between members and nonmembers, including through the adoption and implementation of procedures for granting cooperating status. </w:t>
            </w:r>
          </w:p>
        </w:tc>
        <w:tc>
          <w:tcPr>
            <w:tcW w:w="3969" w:type="dxa"/>
            <w:tcBorders>
              <w:top w:val="single" w:sz="4" w:space="0" w:color="000000"/>
              <w:left w:val="single" w:sz="6" w:space="0" w:color="000000"/>
              <w:bottom w:val="single" w:sz="4" w:space="0" w:color="000000"/>
              <w:right w:val="single" w:sz="6" w:space="0" w:color="000000"/>
            </w:tcBorders>
          </w:tcPr>
          <w:p w14:paraId="64B4B400" w14:textId="77777777" w:rsidR="005C16E2" w:rsidRPr="000A660A" w:rsidRDefault="005C16E2" w:rsidP="00085665">
            <w:pPr>
              <w:pStyle w:val="Default"/>
              <w:jc w:val="both"/>
              <w:rPr>
                <w:rFonts w:asciiTheme="majorHAnsi" w:hAnsiTheme="majorHAnsi"/>
                <w:sz w:val="20"/>
                <w:szCs w:val="20"/>
              </w:rPr>
            </w:pPr>
          </w:p>
        </w:tc>
      </w:tr>
      <w:tr w:rsidR="005C16E2" w:rsidRPr="000A660A" w14:paraId="1822EFF7" w14:textId="77777777" w:rsidTr="00DB5AF6">
        <w:trPr>
          <w:trHeight w:val="698"/>
        </w:trPr>
        <w:tc>
          <w:tcPr>
            <w:tcW w:w="550" w:type="dxa"/>
            <w:tcBorders>
              <w:top w:val="single" w:sz="6" w:space="0" w:color="000000"/>
              <w:left w:val="single" w:sz="6" w:space="0" w:color="000000"/>
              <w:bottom w:val="single" w:sz="6" w:space="0" w:color="000000"/>
              <w:right w:val="single" w:sz="6" w:space="0" w:color="000000"/>
            </w:tcBorders>
          </w:tcPr>
          <w:p w14:paraId="21260C80"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4BBA4551"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440224D1"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Relationship </w:t>
            </w:r>
            <w:proofErr w:type="gramStart"/>
            <w:r w:rsidRPr="000A660A">
              <w:rPr>
                <w:rFonts w:asciiTheme="majorHAnsi" w:hAnsiTheme="majorHAnsi"/>
                <w:sz w:val="20"/>
                <w:szCs w:val="20"/>
              </w:rPr>
              <w:t>to</w:t>
            </w:r>
            <w:proofErr w:type="gramEnd"/>
            <w:r w:rsidRPr="000A660A">
              <w:rPr>
                <w:rFonts w:asciiTheme="majorHAnsi" w:hAnsiTheme="majorHAnsi"/>
                <w:sz w:val="20"/>
                <w:szCs w:val="20"/>
              </w:rPr>
              <w:t xml:space="preserve"> non-cooperating non-members </w:t>
            </w:r>
          </w:p>
        </w:tc>
        <w:tc>
          <w:tcPr>
            <w:tcW w:w="6814" w:type="dxa"/>
            <w:tcBorders>
              <w:top w:val="single" w:sz="4" w:space="0" w:color="000000"/>
              <w:left w:val="single" w:sz="6" w:space="0" w:color="000000"/>
              <w:bottom w:val="single" w:sz="4" w:space="0" w:color="000000"/>
              <w:right w:val="single" w:sz="6" w:space="0" w:color="000000"/>
            </w:tcBorders>
          </w:tcPr>
          <w:p w14:paraId="214B5173"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of fishing activity by vessels of non-members that do not have cooperating status, as well as measures to deter such activities. </w:t>
            </w:r>
          </w:p>
        </w:tc>
        <w:tc>
          <w:tcPr>
            <w:tcW w:w="3969" w:type="dxa"/>
            <w:tcBorders>
              <w:top w:val="single" w:sz="4" w:space="0" w:color="000000"/>
              <w:left w:val="single" w:sz="6" w:space="0" w:color="000000"/>
              <w:bottom w:val="single" w:sz="4" w:space="0" w:color="000000"/>
              <w:right w:val="single" w:sz="6" w:space="0" w:color="000000"/>
            </w:tcBorders>
          </w:tcPr>
          <w:p w14:paraId="6180755A" w14:textId="77777777" w:rsidR="005C16E2" w:rsidRPr="000A660A" w:rsidRDefault="005C16E2" w:rsidP="00085665">
            <w:pPr>
              <w:pStyle w:val="Default"/>
              <w:jc w:val="both"/>
              <w:rPr>
                <w:rFonts w:asciiTheme="majorHAnsi" w:hAnsiTheme="majorHAnsi"/>
                <w:sz w:val="20"/>
                <w:szCs w:val="20"/>
              </w:rPr>
            </w:pPr>
          </w:p>
        </w:tc>
      </w:tr>
      <w:tr w:rsidR="005C16E2" w:rsidRPr="000A660A" w14:paraId="157FEAC3" w14:textId="77777777" w:rsidTr="00DB5AF6">
        <w:trPr>
          <w:trHeight w:val="485"/>
        </w:trPr>
        <w:tc>
          <w:tcPr>
            <w:tcW w:w="550" w:type="dxa"/>
            <w:tcBorders>
              <w:top w:val="single" w:sz="6" w:space="0" w:color="000000"/>
              <w:left w:val="single" w:sz="6" w:space="0" w:color="000000"/>
              <w:bottom w:val="single" w:sz="6" w:space="0" w:color="000000"/>
              <w:right w:val="single" w:sz="6" w:space="0" w:color="000000"/>
            </w:tcBorders>
          </w:tcPr>
          <w:p w14:paraId="0F5C8A49"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6C31C4CB"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4C579B61"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Cooperation with other RFMOs and relevant international organizations </w:t>
            </w:r>
          </w:p>
        </w:tc>
        <w:tc>
          <w:tcPr>
            <w:tcW w:w="6814" w:type="dxa"/>
            <w:tcBorders>
              <w:top w:val="single" w:sz="4" w:space="0" w:color="000000"/>
              <w:left w:val="single" w:sz="6" w:space="0" w:color="000000"/>
              <w:bottom w:val="single" w:sz="4" w:space="0" w:color="000000"/>
              <w:right w:val="single" w:sz="6" w:space="0" w:color="000000"/>
            </w:tcBorders>
          </w:tcPr>
          <w:p w14:paraId="57F0A6FD"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cooperates with other RFMOs, including through the network of Regional Fishery Body Secretariats, as well as with other relevant international organizations. </w:t>
            </w:r>
          </w:p>
        </w:tc>
        <w:tc>
          <w:tcPr>
            <w:tcW w:w="3969" w:type="dxa"/>
            <w:tcBorders>
              <w:top w:val="single" w:sz="4" w:space="0" w:color="000000"/>
              <w:left w:val="single" w:sz="6" w:space="0" w:color="000000"/>
              <w:bottom w:val="single" w:sz="4" w:space="0" w:color="000000"/>
              <w:right w:val="single" w:sz="6" w:space="0" w:color="000000"/>
            </w:tcBorders>
          </w:tcPr>
          <w:p w14:paraId="46430E14" w14:textId="77777777" w:rsidR="005C16E2" w:rsidRPr="000A660A" w:rsidRDefault="005C16E2" w:rsidP="00085665">
            <w:pPr>
              <w:pStyle w:val="Default"/>
              <w:jc w:val="both"/>
              <w:rPr>
                <w:rFonts w:asciiTheme="majorHAnsi" w:hAnsiTheme="majorHAnsi"/>
                <w:sz w:val="20"/>
                <w:szCs w:val="20"/>
              </w:rPr>
            </w:pPr>
          </w:p>
        </w:tc>
      </w:tr>
      <w:tr w:rsidR="005C16E2" w:rsidRPr="000A660A" w14:paraId="017BB36E" w14:textId="77777777" w:rsidTr="00DB5AF6">
        <w:trPr>
          <w:trHeight w:val="485"/>
        </w:trPr>
        <w:tc>
          <w:tcPr>
            <w:tcW w:w="550" w:type="dxa"/>
            <w:tcBorders>
              <w:top w:val="single" w:sz="6" w:space="0" w:color="000000"/>
              <w:left w:val="single" w:sz="6" w:space="0" w:color="000000"/>
              <w:bottom w:val="single" w:sz="6" w:space="0" w:color="000000"/>
              <w:right w:val="single" w:sz="6" w:space="0" w:color="000000"/>
            </w:tcBorders>
          </w:tcPr>
          <w:p w14:paraId="675DF7FB" w14:textId="77777777" w:rsidR="005C16E2" w:rsidRPr="000A660A" w:rsidRDefault="005C16E2" w:rsidP="00085665">
            <w:pPr>
              <w:pStyle w:val="Default"/>
              <w:rPr>
                <w:rFonts w:asciiTheme="majorHAnsi" w:hAnsiTheme="majorHAnsi"/>
                <w:color w:val="auto"/>
                <w:sz w:val="20"/>
                <w:szCs w:val="20"/>
                <w:highlight w:val="yellow"/>
              </w:rPr>
            </w:pPr>
          </w:p>
        </w:tc>
        <w:tc>
          <w:tcPr>
            <w:tcW w:w="1555" w:type="dxa"/>
            <w:tcBorders>
              <w:top w:val="single" w:sz="6" w:space="0" w:color="000000"/>
              <w:left w:val="single" w:sz="6" w:space="0" w:color="000000"/>
              <w:bottom w:val="single" w:sz="6" w:space="0" w:color="000000"/>
              <w:right w:val="single" w:sz="6" w:space="0" w:color="000000"/>
            </w:tcBorders>
          </w:tcPr>
          <w:p w14:paraId="1AFF3A6B" w14:textId="77777777" w:rsidR="005C16E2" w:rsidRPr="000A660A" w:rsidRDefault="005C16E2" w:rsidP="00085665">
            <w:pPr>
              <w:rPr>
                <w:rFonts w:asciiTheme="majorHAnsi" w:eastAsiaTheme="minorHAnsi" w:hAnsiTheme="majorHAnsi"/>
                <w:i/>
                <w:iCs/>
                <w:highlight w:val="yellow"/>
              </w:rPr>
            </w:pPr>
          </w:p>
        </w:tc>
        <w:tc>
          <w:tcPr>
            <w:tcW w:w="1679" w:type="dxa"/>
            <w:tcBorders>
              <w:top w:val="single" w:sz="6" w:space="0" w:color="000000"/>
              <w:left w:val="single" w:sz="6" w:space="0" w:color="000000"/>
              <w:bottom w:val="single" w:sz="6" w:space="0" w:color="000000"/>
              <w:right w:val="single" w:sz="6" w:space="0" w:color="000000"/>
            </w:tcBorders>
          </w:tcPr>
          <w:p w14:paraId="4C70D35E" w14:textId="77777777" w:rsidR="005C16E2" w:rsidRPr="000A660A" w:rsidRDefault="005C16E2" w:rsidP="00085665">
            <w:pPr>
              <w:rPr>
                <w:rFonts w:asciiTheme="majorHAnsi" w:eastAsiaTheme="minorHAnsi" w:hAnsiTheme="majorHAnsi"/>
              </w:rPr>
            </w:pPr>
            <w:r w:rsidRPr="000A660A">
              <w:rPr>
                <w:rFonts w:asciiTheme="majorHAnsi" w:hAnsiTheme="majorHAnsi"/>
              </w:rPr>
              <w:t>Participation and capacity building</w:t>
            </w:r>
          </w:p>
        </w:tc>
        <w:tc>
          <w:tcPr>
            <w:tcW w:w="6814" w:type="dxa"/>
            <w:tcBorders>
              <w:top w:val="single" w:sz="4" w:space="0" w:color="000000"/>
              <w:left w:val="single" w:sz="6" w:space="0" w:color="000000"/>
              <w:bottom w:val="single" w:sz="4" w:space="0" w:color="000000"/>
              <w:right w:val="single" w:sz="6" w:space="0" w:color="000000"/>
            </w:tcBorders>
          </w:tcPr>
          <w:p w14:paraId="1F699557" w14:textId="77777777" w:rsidR="005C16E2" w:rsidRPr="000A660A" w:rsidRDefault="005C16E2" w:rsidP="00085665">
            <w:pPr>
              <w:rPr>
                <w:rFonts w:asciiTheme="majorHAnsi" w:hAnsiTheme="majorHAnsi"/>
              </w:rPr>
            </w:pPr>
            <w:r w:rsidRPr="000A660A">
              <w:rPr>
                <w:rFonts w:asciiTheme="majorHAnsi" w:hAnsiTheme="majorHAnsi"/>
              </w:rPr>
              <w:t>• Extent to which ICCAT members and cooperating non-members participate actively and meaningfully in the work of the Commission and its subsidiary bodies.</w:t>
            </w:r>
          </w:p>
          <w:p w14:paraId="3092FC6E" w14:textId="77777777" w:rsidR="00313BD6" w:rsidRPr="000A660A" w:rsidRDefault="00313BD6" w:rsidP="00085665">
            <w:pPr>
              <w:rPr>
                <w:rFonts w:asciiTheme="majorHAnsi" w:eastAsiaTheme="minorHAnsi" w:hAnsiTheme="majorHAnsi"/>
              </w:rPr>
            </w:pPr>
          </w:p>
          <w:p w14:paraId="11EAC8ED" w14:textId="77777777" w:rsidR="00F6033D" w:rsidRPr="000A660A" w:rsidRDefault="00F6033D" w:rsidP="00085665">
            <w:pPr>
              <w:rPr>
                <w:rFonts w:asciiTheme="majorHAnsi" w:eastAsiaTheme="minorHAnsi" w:hAnsiTheme="majorHAnsi"/>
              </w:rPr>
            </w:pPr>
          </w:p>
          <w:p w14:paraId="772AF214" w14:textId="77777777" w:rsidR="005C16E2" w:rsidRPr="000A660A" w:rsidRDefault="005C16E2" w:rsidP="00085665">
            <w:pPr>
              <w:rPr>
                <w:rFonts w:asciiTheme="majorHAnsi" w:eastAsiaTheme="minorHAnsi" w:hAnsiTheme="majorHAnsi"/>
              </w:rPr>
            </w:pPr>
            <w:r w:rsidRPr="000A660A">
              <w:rPr>
                <w:rFonts w:asciiTheme="majorHAnsi" w:hAnsiTheme="majorHAnsi"/>
              </w:rPr>
              <w:t>• Extent to which capacity building initiatives and institutional arrangements are in place to facilitate the effective participation of developing economies in the work of the Commission and its subsidiary bodies, including in positions of leadership.</w:t>
            </w:r>
          </w:p>
        </w:tc>
        <w:tc>
          <w:tcPr>
            <w:tcW w:w="3969" w:type="dxa"/>
            <w:tcBorders>
              <w:top w:val="single" w:sz="4" w:space="0" w:color="000000"/>
              <w:left w:val="single" w:sz="6" w:space="0" w:color="000000"/>
              <w:bottom w:val="single" w:sz="4" w:space="0" w:color="000000"/>
              <w:right w:val="single" w:sz="6" w:space="0" w:color="000000"/>
            </w:tcBorders>
          </w:tcPr>
          <w:p w14:paraId="4595DC21" w14:textId="77777777" w:rsidR="005C16E2" w:rsidRPr="000A660A" w:rsidRDefault="005C16E2" w:rsidP="00085665">
            <w:pPr>
              <w:rPr>
                <w:rFonts w:asciiTheme="majorHAnsi" w:hAnsiTheme="majorHAnsi"/>
              </w:rPr>
            </w:pPr>
            <w:r w:rsidRPr="000A660A">
              <w:rPr>
                <w:rFonts w:asciiTheme="majorHAnsi" w:hAnsiTheme="majorHAnsi"/>
              </w:rPr>
              <w:t xml:space="preserve">New items to parallel similar element under 6. </w:t>
            </w:r>
            <w:r w:rsidRPr="000A660A">
              <w:rPr>
                <w:rFonts w:asciiTheme="majorHAnsi" w:hAnsiTheme="majorHAnsi"/>
                <w:i/>
              </w:rPr>
              <w:t>Science</w:t>
            </w:r>
            <w:r w:rsidRPr="000A660A">
              <w:rPr>
                <w:rFonts w:asciiTheme="majorHAnsi" w:hAnsiTheme="majorHAnsi"/>
              </w:rPr>
              <w:t>.</w:t>
            </w:r>
          </w:p>
          <w:p w14:paraId="212AC95D" w14:textId="77777777" w:rsidR="005C16E2" w:rsidRPr="000A660A" w:rsidRDefault="005C16E2" w:rsidP="00085665">
            <w:pPr>
              <w:rPr>
                <w:rFonts w:asciiTheme="majorHAnsi" w:eastAsiaTheme="minorHAnsi" w:hAnsiTheme="majorHAnsi"/>
              </w:rPr>
            </w:pPr>
          </w:p>
        </w:tc>
      </w:tr>
      <w:tr w:rsidR="005C16E2" w:rsidRPr="000A660A" w14:paraId="75346A6F" w14:textId="77777777" w:rsidTr="00DB5AF6">
        <w:trPr>
          <w:trHeight w:val="1418"/>
        </w:trPr>
        <w:tc>
          <w:tcPr>
            <w:tcW w:w="550" w:type="dxa"/>
            <w:tcBorders>
              <w:top w:val="single" w:sz="6" w:space="0" w:color="000000"/>
              <w:left w:val="single" w:sz="6" w:space="0" w:color="000000"/>
              <w:bottom w:val="single" w:sz="6" w:space="0" w:color="000000"/>
              <w:right w:val="single" w:sz="6" w:space="0" w:color="000000"/>
            </w:tcBorders>
          </w:tcPr>
          <w:p w14:paraId="019F30BF"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31DC230"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37AF969F"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Special requirements of developing States </w:t>
            </w:r>
          </w:p>
        </w:tc>
        <w:tc>
          <w:tcPr>
            <w:tcW w:w="6814" w:type="dxa"/>
            <w:tcBorders>
              <w:top w:val="single" w:sz="4" w:space="0" w:color="000000"/>
              <w:left w:val="single" w:sz="6" w:space="0" w:color="000000"/>
              <w:bottom w:val="single" w:sz="4" w:space="0" w:color="000000"/>
              <w:right w:val="single" w:sz="6" w:space="0" w:color="000000"/>
            </w:tcBorders>
          </w:tcPr>
          <w:p w14:paraId="6632218F"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recognizes the special needs of developing States and pursues forms of cooperation with developing States, including with respect to fishing allocations or opportunities, </w:t>
            </w:r>
            <w:proofErr w:type="gramStart"/>
            <w:r w:rsidRPr="000A660A">
              <w:rPr>
                <w:rFonts w:asciiTheme="majorHAnsi" w:hAnsiTheme="majorHAnsi"/>
                <w:sz w:val="20"/>
                <w:szCs w:val="20"/>
              </w:rPr>
              <w:t>taking into account</w:t>
            </w:r>
            <w:proofErr w:type="gramEnd"/>
            <w:r w:rsidRPr="000A660A">
              <w:rPr>
                <w:rFonts w:asciiTheme="majorHAnsi" w:hAnsiTheme="majorHAnsi"/>
                <w:sz w:val="20"/>
                <w:szCs w:val="20"/>
              </w:rPr>
              <w:t xml:space="preserve"> UNFSA Articles 24 and 25, and the Code of Conduct of Responsible Fisheries Article 5.</w:t>
            </w:r>
          </w:p>
          <w:p w14:paraId="2C3E55F3"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members, individually or through ICCAT, provide relevant assistance to developing States, as reflected in UNFSA Article 26. </w:t>
            </w:r>
          </w:p>
        </w:tc>
        <w:tc>
          <w:tcPr>
            <w:tcW w:w="3969" w:type="dxa"/>
            <w:tcBorders>
              <w:top w:val="single" w:sz="4" w:space="0" w:color="000000"/>
              <w:left w:val="single" w:sz="6" w:space="0" w:color="000000"/>
              <w:bottom w:val="single" w:sz="4" w:space="0" w:color="000000"/>
              <w:right w:val="single" w:sz="6" w:space="0" w:color="000000"/>
            </w:tcBorders>
          </w:tcPr>
          <w:p w14:paraId="6E740D70" w14:textId="77777777" w:rsidR="005C16E2" w:rsidRPr="000A660A" w:rsidRDefault="005C16E2" w:rsidP="00085665">
            <w:pPr>
              <w:pStyle w:val="Default"/>
              <w:jc w:val="both"/>
              <w:rPr>
                <w:rFonts w:asciiTheme="majorHAnsi" w:hAnsiTheme="majorHAnsi"/>
                <w:sz w:val="20"/>
                <w:szCs w:val="20"/>
              </w:rPr>
            </w:pPr>
          </w:p>
        </w:tc>
      </w:tr>
      <w:tr w:rsidR="005C16E2" w:rsidRPr="000A660A" w14:paraId="1F34561B" w14:textId="77777777" w:rsidTr="00DB5AF6">
        <w:trPr>
          <w:trHeight w:val="700"/>
        </w:trPr>
        <w:tc>
          <w:tcPr>
            <w:tcW w:w="550" w:type="dxa"/>
            <w:tcBorders>
              <w:top w:val="single" w:sz="6" w:space="0" w:color="000000"/>
              <w:left w:val="single" w:sz="6" w:space="0" w:color="000000"/>
              <w:bottom w:val="single" w:sz="6" w:space="0" w:color="000000"/>
              <w:right w:val="single" w:sz="6" w:space="0" w:color="000000"/>
            </w:tcBorders>
          </w:tcPr>
          <w:p w14:paraId="76E42220" w14:textId="77777777" w:rsidR="005C16E2" w:rsidRPr="000A660A" w:rsidRDefault="005C16E2" w:rsidP="00085665">
            <w:pPr>
              <w:pStyle w:val="Default"/>
              <w:jc w:val="center"/>
              <w:rPr>
                <w:rFonts w:asciiTheme="majorHAnsi" w:hAnsiTheme="majorHAnsi"/>
                <w:sz w:val="20"/>
                <w:szCs w:val="20"/>
              </w:rPr>
            </w:pPr>
            <w:r w:rsidRPr="000A660A">
              <w:rPr>
                <w:rFonts w:asciiTheme="majorHAnsi" w:hAnsiTheme="majorHAnsi"/>
                <w:bCs/>
                <w:sz w:val="20"/>
                <w:szCs w:val="20"/>
              </w:rPr>
              <w:lastRenderedPageBreak/>
              <w:t xml:space="preserve">6 </w:t>
            </w:r>
          </w:p>
        </w:tc>
        <w:tc>
          <w:tcPr>
            <w:tcW w:w="1555" w:type="dxa"/>
            <w:tcBorders>
              <w:top w:val="single" w:sz="6" w:space="0" w:color="000000"/>
              <w:left w:val="single" w:sz="6" w:space="0" w:color="000000"/>
              <w:bottom w:val="single" w:sz="6" w:space="0" w:color="000000"/>
              <w:right w:val="single" w:sz="6" w:space="0" w:color="000000"/>
            </w:tcBorders>
          </w:tcPr>
          <w:p w14:paraId="28FE24EE"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i/>
                <w:iCs/>
                <w:color w:val="auto"/>
                <w:sz w:val="20"/>
                <w:szCs w:val="20"/>
              </w:rPr>
              <w:t xml:space="preserve">Science </w:t>
            </w:r>
          </w:p>
        </w:tc>
        <w:tc>
          <w:tcPr>
            <w:tcW w:w="1679" w:type="dxa"/>
            <w:tcBorders>
              <w:top w:val="single" w:sz="6" w:space="0" w:color="000000"/>
              <w:left w:val="single" w:sz="6" w:space="0" w:color="000000"/>
              <w:bottom w:val="single" w:sz="6" w:space="0" w:color="000000"/>
              <w:right w:val="single" w:sz="6" w:space="0" w:color="000000"/>
            </w:tcBorders>
          </w:tcPr>
          <w:p w14:paraId="38DB8951"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 xml:space="preserve">Quality and provision of scientific advice </w:t>
            </w:r>
          </w:p>
        </w:tc>
        <w:tc>
          <w:tcPr>
            <w:tcW w:w="6814" w:type="dxa"/>
            <w:tcBorders>
              <w:top w:val="single" w:sz="4" w:space="0" w:color="000000"/>
              <w:left w:val="single" w:sz="6" w:space="0" w:color="000000"/>
              <w:bottom w:val="single" w:sz="4" w:space="0" w:color="000000"/>
              <w:right w:val="single" w:sz="6" w:space="0" w:color="000000"/>
            </w:tcBorders>
          </w:tcPr>
          <w:p w14:paraId="592FAD82"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xml:space="preserve">• Extent to which the SCRS produces the best scientific advice relevant to the fish stocks and other living marine resources under its purview, as well as to the effects of fishing on the marine environment. </w:t>
            </w:r>
          </w:p>
          <w:p w14:paraId="15204033"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xml:space="preserve">• Extent to which </w:t>
            </w:r>
            <w:proofErr w:type="gramStart"/>
            <w:r w:rsidRPr="000A660A">
              <w:rPr>
                <w:rFonts w:asciiTheme="majorHAnsi" w:hAnsiTheme="majorHAnsi"/>
                <w:color w:val="auto"/>
                <w:sz w:val="20"/>
                <w:szCs w:val="20"/>
              </w:rPr>
              <w:t>the scientific</w:t>
            </w:r>
            <w:proofErr w:type="gramEnd"/>
            <w:r w:rsidRPr="000A660A">
              <w:rPr>
                <w:rFonts w:asciiTheme="majorHAnsi" w:hAnsiTheme="majorHAnsi"/>
                <w:color w:val="auto"/>
                <w:sz w:val="20"/>
                <w:szCs w:val="20"/>
              </w:rPr>
              <w:t xml:space="preserve"> advice is presented consistently with Resolutions 11-14 and 13-15.</w:t>
            </w:r>
          </w:p>
          <w:p w14:paraId="114BB48E"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the structure, processes, procedures, and expertise of the SCRS and of the ICCAT Secretariat meet the needs and resources of ICCAT as well as the highly demanding data and technical requirements of the most recent modelling platforms.</w:t>
            </w:r>
          </w:p>
        </w:tc>
        <w:tc>
          <w:tcPr>
            <w:tcW w:w="3969" w:type="dxa"/>
            <w:tcBorders>
              <w:top w:val="single" w:sz="4" w:space="0" w:color="000000"/>
              <w:left w:val="single" w:sz="6" w:space="0" w:color="000000"/>
              <w:bottom w:val="single" w:sz="4" w:space="0" w:color="000000"/>
              <w:right w:val="single" w:sz="6" w:space="0" w:color="000000"/>
            </w:tcBorders>
          </w:tcPr>
          <w:p w14:paraId="205A5EC4"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Copied from previous "conservation and management" with a specific reference to SCRS.</w:t>
            </w:r>
          </w:p>
          <w:p w14:paraId="45F23B00" w14:textId="77777777" w:rsidR="005C16E2" w:rsidRPr="000A660A" w:rsidRDefault="005C16E2" w:rsidP="00085665">
            <w:pPr>
              <w:pStyle w:val="Default"/>
              <w:jc w:val="both"/>
              <w:rPr>
                <w:rFonts w:asciiTheme="majorHAnsi" w:hAnsiTheme="majorHAnsi"/>
                <w:color w:val="auto"/>
                <w:sz w:val="20"/>
                <w:szCs w:val="20"/>
              </w:rPr>
            </w:pPr>
          </w:p>
          <w:p w14:paraId="78CE58DF"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New items.</w:t>
            </w:r>
          </w:p>
        </w:tc>
      </w:tr>
      <w:tr w:rsidR="005C16E2" w:rsidRPr="000A660A" w14:paraId="2EA31460" w14:textId="77777777" w:rsidTr="00DB5AF6">
        <w:trPr>
          <w:trHeight w:val="700"/>
        </w:trPr>
        <w:tc>
          <w:tcPr>
            <w:tcW w:w="550" w:type="dxa"/>
            <w:tcBorders>
              <w:top w:val="single" w:sz="6" w:space="0" w:color="000000"/>
              <w:left w:val="single" w:sz="6" w:space="0" w:color="000000"/>
              <w:bottom w:val="single" w:sz="6" w:space="0" w:color="000000"/>
              <w:right w:val="single" w:sz="6" w:space="0" w:color="000000"/>
            </w:tcBorders>
          </w:tcPr>
          <w:p w14:paraId="35D7FD49" w14:textId="77777777" w:rsidR="005C16E2" w:rsidRPr="000A660A" w:rsidRDefault="005C16E2" w:rsidP="00085665">
            <w:pPr>
              <w:pStyle w:val="Default"/>
              <w:jc w:val="center"/>
              <w:rPr>
                <w:rFonts w:asciiTheme="majorHAnsi" w:hAnsiTheme="majorHAnsi"/>
                <w:b/>
                <w:bCs/>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3A1CAB31" w14:textId="77777777" w:rsidR="005C16E2" w:rsidRPr="000A660A" w:rsidRDefault="005C16E2" w:rsidP="00085665">
            <w:pPr>
              <w:pStyle w:val="Default"/>
              <w:rPr>
                <w:rFonts w:asciiTheme="majorHAnsi" w:hAnsiTheme="majorHAnsi"/>
                <w:i/>
                <w:iCs/>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78E05030"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Participation and capacity building</w:t>
            </w:r>
          </w:p>
        </w:tc>
        <w:tc>
          <w:tcPr>
            <w:tcW w:w="6814" w:type="dxa"/>
            <w:tcBorders>
              <w:top w:val="single" w:sz="4" w:space="0" w:color="000000"/>
              <w:left w:val="single" w:sz="6" w:space="0" w:color="000000"/>
              <w:bottom w:val="single" w:sz="4" w:space="0" w:color="000000"/>
              <w:right w:val="single" w:sz="6" w:space="0" w:color="000000"/>
            </w:tcBorders>
          </w:tcPr>
          <w:p w14:paraId="50713606"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ICCAT members and cooperating non-members participate actively in the provision of the scientific advice.</w:t>
            </w:r>
          </w:p>
          <w:p w14:paraId="2232764C"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capacity building initiatives are put in place to facilitate the effective participation of developing economies in SCRS activities.</w:t>
            </w:r>
          </w:p>
        </w:tc>
        <w:tc>
          <w:tcPr>
            <w:tcW w:w="3969" w:type="dxa"/>
            <w:tcBorders>
              <w:top w:val="single" w:sz="4" w:space="0" w:color="000000"/>
              <w:left w:val="single" w:sz="6" w:space="0" w:color="000000"/>
              <w:bottom w:val="single" w:sz="4" w:space="0" w:color="000000"/>
              <w:right w:val="single" w:sz="6" w:space="0" w:color="000000"/>
            </w:tcBorders>
          </w:tcPr>
          <w:p w14:paraId="04F10D97" w14:textId="77777777" w:rsidR="005C16E2" w:rsidRPr="000A660A" w:rsidRDefault="005C16E2" w:rsidP="00085665">
            <w:pPr>
              <w:pStyle w:val="Default"/>
              <w:jc w:val="both"/>
              <w:rPr>
                <w:rFonts w:asciiTheme="majorHAnsi" w:hAnsiTheme="majorHAnsi"/>
                <w:color w:val="auto"/>
                <w:sz w:val="20"/>
                <w:szCs w:val="20"/>
              </w:rPr>
            </w:pPr>
          </w:p>
        </w:tc>
      </w:tr>
      <w:tr w:rsidR="005C16E2" w:rsidRPr="000A660A" w14:paraId="5C479F8F" w14:textId="77777777" w:rsidTr="00DB5AF6">
        <w:trPr>
          <w:trHeight w:val="951"/>
        </w:trPr>
        <w:tc>
          <w:tcPr>
            <w:tcW w:w="550" w:type="dxa"/>
            <w:tcBorders>
              <w:top w:val="single" w:sz="6" w:space="0" w:color="000000"/>
              <w:left w:val="single" w:sz="6" w:space="0" w:color="000000"/>
              <w:bottom w:val="single" w:sz="6" w:space="0" w:color="000000"/>
              <w:right w:val="single" w:sz="6" w:space="0" w:color="000000"/>
            </w:tcBorders>
          </w:tcPr>
          <w:p w14:paraId="41517B65" w14:textId="77777777" w:rsidR="005C16E2" w:rsidRPr="000A660A" w:rsidRDefault="005C16E2" w:rsidP="00085665">
            <w:pPr>
              <w:pStyle w:val="Default"/>
              <w:jc w:val="center"/>
              <w:rPr>
                <w:rFonts w:asciiTheme="majorHAnsi" w:hAnsiTheme="majorHAnsi"/>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6DF7A755"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50DB5952"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Long-term planning and research</w:t>
            </w:r>
          </w:p>
        </w:tc>
        <w:tc>
          <w:tcPr>
            <w:tcW w:w="6814" w:type="dxa"/>
            <w:tcBorders>
              <w:top w:val="single" w:sz="4" w:space="0" w:color="000000"/>
              <w:left w:val="single" w:sz="6" w:space="0" w:color="000000"/>
              <w:bottom w:val="single" w:sz="4" w:space="0" w:color="000000"/>
              <w:right w:val="single" w:sz="6" w:space="0" w:color="000000"/>
            </w:tcBorders>
          </w:tcPr>
          <w:p w14:paraId="09FE78EE"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ICCAT adopts and regularly reviews a long-term strategy for the SCRS to implement.</w:t>
            </w:r>
          </w:p>
          <w:p w14:paraId="027209A6"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the research coordinated or undertaken directly by ICCAT is aligned with the needs of the Commission to fulfil its mandate.</w:t>
            </w:r>
          </w:p>
        </w:tc>
        <w:tc>
          <w:tcPr>
            <w:tcW w:w="3969" w:type="dxa"/>
            <w:tcBorders>
              <w:top w:val="single" w:sz="4" w:space="0" w:color="000000"/>
              <w:left w:val="single" w:sz="6" w:space="0" w:color="000000"/>
              <w:bottom w:val="single" w:sz="4" w:space="0" w:color="000000"/>
              <w:right w:val="single" w:sz="6" w:space="0" w:color="000000"/>
            </w:tcBorders>
          </w:tcPr>
          <w:p w14:paraId="6BE8C7D8"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New items.</w:t>
            </w:r>
          </w:p>
        </w:tc>
      </w:tr>
      <w:tr w:rsidR="005C16E2" w:rsidRPr="000A660A" w14:paraId="179A71AB" w14:textId="77777777" w:rsidTr="00DB5AF6">
        <w:trPr>
          <w:trHeight w:val="700"/>
        </w:trPr>
        <w:tc>
          <w:tcPr>
            <w:tcW w:w="550" w:type="dxa"/>
            <w:tcBorders>
              <w:top w:val="single" w:sz="6" w:space="0" w:color="000000"/>
              <w:left w:val="single" w:sz="6" w:space="0" w:color="000000"/>
              <w:bottom w:val="single" w:sz="6" w:space="0" w:color="000000"/>
              <w:right w:val="single" w:sz="6" w:space="0" w:color="000000"/>
            </w:tcBorders>
          </w:tcPr>
          <w:p w14:paraId="42C105B1" w14:textId="77777777" w:rsidR="005C16E2" w:rsidRPr="000A660A" w:rsidRDefault="005C16E2" w:rsidP="00085665">
            <w:pPr>
              <w:pStyle w:val="Default"/>
              <w:jc w:val="center"/>
              <w:rPr>
                <w:rFonts w:asciiTheme="majorHAnsi" w:hAnsiTheme="majorHAnsi"/>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020441DA"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785F06E8"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Best available science</w:t>
            </w:r>
          </w:p>
        </w:tc>
        <w:tc>
          <w:tcPr>
            <w:tcW w:w="6814" w:type="dxa"/>
            <w:tcBorders>
              <w:top w:val="single" w:sz="4" w:space="0" w:color="000000"/>
              <w:left w:val="single" w:sz="6" w:space="0" w:color="000000"/>
              <w:bottom w:val="single" w:sz="4" w:space="0" w:color="000000"/>
              <w:right w:val="single" w:sz="6" w:space="0" w:color="000000"/>
            </w:tcBorders>
          </w:tcPr>
          <w:p w14:paraId="7098F3C2"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xml:space="preserve">• Extent to which the </w:t>
            </w:r>
            <w:r w:rsidRPr="000A660A">
              <w:rPr>
                <w:rFonts w:asciiTheme="majorHAnsi" w:hAnsiTheme="majorHAnsi"/>
                <w:i/>
                <w:color w:val="auto"/>
                <w:sz w:val="20"/>
                <w:szCs w:val="20"/>
              </w:rPr>
              <w:t>Resolution on Best Available Science</w:t>
            </w:r>
            <w:r w:rsidRPr="000A660A">
              <w:rPr>
                <w:rFonts w:asciiTheme="majorHAnsi" w:hAnsiTheme="majorHAnsi"/>
                <w:color w:val="auto"/>
                <w:sz w:val="20"/>
                <w:szCs w:val="20"/>
              </w:rPr>
              <w:t xml:space="preserve"> [Res. 11-17] is effectively implemented.</w:t>
            </w:r>
          </w:p>
          <w:p w14:paraId="36CC4599"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the SCRS and its working groups apply a total quality management process.</w:t>
            </w:r>
          </w:p>
        </w:tc>
        <w:tc>
          <w:tcPr>
            <w:tcW w:w="3969" w:type="dxa"/>
            <w:tcBorders>
              <w:top w:val="single" w:sz="4" w:space="0" w:color="000000"/>
              <w:left w:val="single" w:sz="6" w:space="0" w:color="000000"/>
              <w:bottom w:val="single" w:sz="4" w:space="0" w:color="000000"/>
              <w:right w:val="single" w:sz="6" w:space="0" w:color="000000"/>
            </w:tcBorders>
          </w:tcPr>
          <w:p w14:paraId="5596DC9E"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New items (from Res. 11-17).</w:t>
            </w:r>
          </w:p>
        </w:tc>
      </w:tr>
      <w:tr w:rsidR="005C16E2" w:rsidRPr="000A660A" w14:paraId="2E624507" w14:textId="77777777" w:rsidTr="00DB5AF6">
        <w:trPr>
          <w:trHeight w:val="367"/>
        </w:trPr>
        <w:tc>
          <w:tcPr>
            <w:tcW w:w="550" w:type="dxa"/>
            <w:tcBorders>
              <w:top w:val="single" w:sz="6" w:space="0" w:color="000000"/>
              <w:left w:val="single" w:sz="6" w:space="0" w:color="000000"/>
              <w:bottom w:val="single" w:sz="6" w:space="0" w:color="000000"/>
              <w:right w:val="single" w:sz="6" w:space="0" w:color="000000"/>
            </w:tcBorders>
          </w:tcPr>
          <w:p w14:paraId="1B075F8D" w14:textId="77777777" w:rsidR="005C16E2" w:rsidRPr="000A660A" w:rsidRDefault="005C16E2" w:rsidP="00085665">
            <w:pPr>
              <w:pStyle w:val="Default"/>
              <w:jc w:val="center"/>
              <w:rPr>
                <w:rFonts w:asciiTheme="majorHAnsi" w:hAnsiTheme="majorHAnsi"/>
                <w:sz w:val="20"/>
                <w:szCs w:val="20"/>
              </w:rPr>
            </w:pPr>
            <w:r w:rsidRPr="000A660A">
              <w:rPr>
                <w:rFonts w:asciiTheme="majorHAnsi" w:hAnsiTheme="majorHAnsi"/>
                <w:sz w:val="20"/>
                <w:szCs w:val="20"/>
              </w:rPr>
              <w:t>7</w:t>
            </w:r>
          </w:p>
        </w:tc>
        <w:tc>
          <w:tcPr>
            <w:tcW w:w="1555" w:type="dxa"/>
            <w:tcBorders>
              <w:top w:val="single" w:sz="6" w:space="0" w:color="000000"/>
              <w:left w:val="single" w:sz="6" w:space="0" w:color="000000"/>
              <w:bottom w:val="single" w:sz="6" w:space="0" w:color="000000"/>
              <w:right w:val="single" w:sz="6" w:space="0" w:color="000000"/>
            </w:tcBorders>
          </w:tcPr>
          <w:p w14:paraId="04E96112" w14:textId="77777777" w:rsidR="005C16E2" w:rsidRPr="000A660A" w:rsidRDefault="005C16E2" w:rsidP="00085665">
            <w:pPr>
              <w:pStyle w:val="Default"/>
              <w:rPr>
                <w:rFonts w:asciiTheme="majorHAnsi" w:hAnsiTheme="majorHAnsi"/>
                <w:i/>
                <w:color w:val="auto"/>
                <w:sz w:val="20"/>
                <w:szCs w:val="20"/>
              </w:rPr>
            </w:pPr>
            <w:r w:rsidRPr="000A660A">
              <w:rPr>
                <w:rFonts w:asciiTheme="majorHAnsi" w:hAnsiTheme="majorHAnsi"/>
                <w:i/>
                <w:color w:val="auto"/>
                <w:sz w:val="20"/>
                <w:szCs w:val="20"/>
              </w:rPr>
              <w:t>Comparison with other RFMOs</w:t>
            </w:r>
          </w:p>
        </w:tc>
        <w:tc>
          <w:tcPr>
            <w:tcW w:w="1679" w:type="dxa"/>
            <w:tcBorders>
              <w:top w:val="single" w:sz="6" w:space="0" w:color="000000"/>
              <w:left w:val="single" w:sz="6" w:space="0" w:color="000000"/>
              <w:bottom w:val="single" w:sz="6" w:space="0" w:color="000000"/>
              <w:right w:val="single" w:sz="6" w:space="0" w:color="000000"/>
            </w:tcBorders>
          </w:tcPr>
          <w:p w14:paraId="083D8F8A"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Best practices</w:t>
            </w:r>
          </w:p>
        </w:tc>
        <w:tc>
          <w:tcPr>
            <w:tcW w:w="6814" w:type="dxa"/>
            <w:tcBorders>
              <w:top w:val="single" w:sz="4" w:space="0" w:color="000000"/>
              <w:left w:val="single" w:sz="6" w:space="0" w:color="000000"/>
              <w:bottom w:val="single" w:sz="4" w:space="0" w:color="000000"/>
              <w:right w:val="single" w:sz="6" w:space="0" w:color="000000"/>
            </w:tcBorders>
          </w:tcPr>
          <w:p w14:paraId="3CB843C0"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To the extent possible, evaluate the extent to which ICCAT's performance is comparable to other tuna RFMOs in relation to the adoption and implementation of conservation and management measures for target and non-target species, status of the resources under its purview, scientific processes and procedures, and adoption and implementation of MCS measures and compliance review procedures.</w:t>
            </w:r>
          </w:p>
          <w:p w14:paraId="040BF372"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xml:space="preserve">• Identification of areas/best practices that would allow ICCAT to enhance its performance. </w:t>
            </w:r>
          </w:p>
        </w:tc>
        <w:tc>
          <w:tcPr>
            <w:tcW w:w="3969" w:type="dxa"/>
            <w:tcBorders>
              <w:top w:val="single" w:sz="4" w:space="0" w:color="000000"/>
              <w:left w:val="single" w:sz="6" w:space="0" w:color="000000"/>
              <w:bottom w:val="single" w:sz="4" w:space="0" w:color="000000"/>
              <w:right w:val="single" w:sz="6" w:space="0" w:color="000000"/>
            </w:tcBorders>
          </w:tcPr>
          <w:p w14:paraId="598715F5"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New item.</w:t>
            </w:r>
          </w:p>
        </w:tc>
      </w:tr>
      <w:tr w:rsidR="005C16E2" w:rsidRPr="000A660A" w14:paraId="15E46DC1" w14:textId="77777777" w:rsidTr="00DB5AF6">
        <w:trPr>
          <w:trHeight w:val="540"/>
        </w:trPr>
        <w:tc>
          <w:tcPr>
            <w:tcW w:w="550" w:type="dxa"/>
            <w:tcBorders>
              <w:top w:val="single" w:sz="6" w:space="0" w:color="000000"/>
              <w:left w:val="single" w:sz="6" w:space="0" w:color="000000"/>
              <w:bottom w:val="single" w:sz="6" w:space="0" w:color="000000"/>
              <w:right w:val="single" w:sz="6" w:space="0" w:color="000000"/>
            </w:tcBorders>
          </w:tcPr>
          <w:p w14:paraId="0AFEDC09" w14:textId="77777777" w:rsidR="005C16E2" w:rsidRPr="000A660A" w:rsidRDefault="005C16E2" w:rsidP="00085665">
            <w:pPr>
              <w:pStyle w:val="Default"/>
              <w:jc w:val="center"/>
              <w:rPr>
                <w:rFonts w:asciiTheme="majorHAnsi" w:hAnsiTheme="majorHAnsi"/>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6E4C0B7A"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766128B9" w14:textId="77777777" w:rsidR="005C16E2" w:rsidRPr="000A660A" w:rsidRDefault="005C16E2" w:rsidP="00085665">
            <w:pPr>
              <w:pStyle w:val="Default"/>
              <w:rPr>
                <w:rFonts w:asciiTheme="majorHAnsi" w:hAnsiTheme="majorHAnsi"/>
                <w:color w:val="auto"/>
                <w:sz w:val="20"/>
                <w:szCs w:val="20"/>
              </w:rPr>
            </w:pPr>
            <w:r w:rsidRPr="000A660A">
              <w:rPr>
                <w:rFonts w:asciiTheme="majorHAnsi" w:hAnsiTheme="majorHAnsi"/>
                <w:color w:val="auto"/>
                <w:sz w:val="20"/>
                <w:szCs w:val="20"/>
              </w:rPr>
              <w:t>Kobe</w:t>
            </w:r>
          </w:p>
        </w:tc>
        <w:tc>
          <w:tcPr>
            <w:tcW w:w="6814" w:type="dxa"/>
            <w:tcBorders>
              <w:top w:val="single" w:sz="4" w:space="0" w:color="000000"/>
              <w:left w:val="single" w:sz="6" w:space="0" w:color="000000"/>
              <w:bottom w:val="single" w:sz="4" w:space="0" w:color="000000"/>
              <w:right w:val="single" w:sz="6" w:space="0" w:color="000000"/>
            </w:tcBorders>
          </w:tcPr>
          <w:p w14:paraId="08644682"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 Extent to which ICCAT implemented the Kobe III recommendations and comparison to the degree of implementation in other tuna RFMOs.</w:t>
            </w:r>
          </w:p>
        </w:tc>
        <w:tc>
          <w:tcPr>
            <w:tcW w:w="3969" w:type="dxa"/>
            <w:tcBorders>
              <w:top w:val="single" w:sz="4" w:space="0" w:color="000000"/>
              <w:left w:val="single" w:sz="6" w:space="0" w:color="000000"/>
              <w:bottom w:val="single" w:sz="4" w:space="0" w:color="000000"/>
              <w:right w:val="single" w:sz="6" w:space="0" w:color="000000"/>
            </w:tcBorders>
          </w:tcPr>
          <w:p w14:paraId="09F1A21A" w14:textId="77777777" w:rsidR="005C16E2" w:rsidRPr="000A660A" w:rsidRDefault="005C16E2" w:rsidP="00085665">
            <w:pPr>
              <w:pStyle w:val="Default"/>
              <w:jc w:val="both"/>
              <w:rPr>
                <w:rFonts w:asciiTheme="majorHAnsi" w:hAnsiTheme="majorHAnsi"/>
                <w:color w:val="auto"/>
                <w:sz w:val="20"/>
                <w:szCs w:val="20"/>
              </w:rPr>
            </w:pPr>
            <w:r w:rsidRPr="000A660A">
              <w:rPr>
                <w:rFonts w:asciiTheme="majorHAnsi" w:hAnsiTheme="majorHAnsi"/>
                <w:color w:val="auto"/>
                <w:sz w:val="20"/>
                <w:szCs w:val="20"/>
              </w:rPr>
              <w:t>New item.</w:t>
            </w:r>
          </w:p>
        </w:tc>
      </w:tr>
      <w:tr w:rsidR="005C16E2" w:rsidRPr="000A660A" w14:paraId="048636A4" w14:textId="77777777" w:rsidTr="00DB5AF6">
        <w:trPr>
          <w:trHeight w:val="700"/>
        </w:trPr>
        <w:tc>
          <w:tcPr>
            <w:tcW w:w="550" w:type="dxa"/>
            <w:tcBorders>
              <w:top w:val="single" w:sz="6" w:space="0" w:color="000000"/>
              <w:left w:val="single" w:sz="6" w:space="0" w:color="000000"/>
              <w:bottom w:val="single" w:sz="6" w:space="0" w:color="000000"/>
              <w:right w:val="single" w:sz="6" w:space="0" w:color="000000"/>
            </w:tcBorders>
          </w:tcPr>
          <w:p w14:paraId="77534254" w14:textId="77777777" w:rsidR="005C16E2" w:rsidRPr="000A660A" w:rsidRDefault="005C16E2" w:rsidP="00085665">
            <w:pPr>
              <w:pStyle w:val="Default"/>
              <w:jc w:val="center"/>
              <w:rPr>
                <w:rFonts w:asciiTheme="majorHAnsi" w:hAnsiTheme="majorHAnsi"/>
                <w:sz w:val="20"/>
                <w:szCs w:val="20"/>
              </w:rPr>
            </w:pPr>
            <w:r w:rsidRPr="000A660A">
              <w:rPr>
                <w:rFonts w:asciiTheme="majorHAnsi" w:hAnsiTheme="majorHAnsi"/>
                <w:bCs/>
                <w:sz w:val="20"/>
                <w:szCs w:val="20"/>
              </w:rPr>
              <w:t xml:space="preserve">8 </w:t>
            </w:r>
          </w:p>
        </w:tc>
        <w:tc>
          <w:tcPr>
            <w:tcW w:w="1555" w:type="dxa"/>
            <w:tcBorders>
              <w:top w:val="single" w:sz="6" w:space="0" w:color="000000"/>
              <w:left w:val="single" w:sz="6" w:space="0" w:color="000000"/>
              <w:bottom w:val="single" w:sz="6" w:space="0" w:color="000000"/>
              <w:right w:val="single" w:sz="6" w:space="0" w:color="000000"/>
            </w:tcBorders>
          </w:tcPr>
          <w:p w14:paraId="502479B7"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i/>
                <w:iCs/>
                <w:sz w:val="20"/>
                <w:szCs w:val="20"/>
              </w:rPr>
              <w:t xml:space="preserve">Financial and administrative issues </w:t>
            </w:r>
          </w:p>
        </w:tc>
        <w:tc>
          <w:tcPr>
            <w:tcW w:w="1679" w:type="dxa"/>
            <w:tcBorders>
              <w:top w:val="single" w:sz="6" w:space="0" w:color="000000"/>
              <w:left w:val="single" w:sz="6" w:space="0" w:color="000000"/>
              <w:bottom w:val="single" w:sz="6" w:space="0" w:color="000000"/>
              <w:right w:val="single" w:sz="6" w:space="0" w:color="000000"/>
            </w:tcBorders>
          </w:tcPr>
          <w:p w14:paraId="225E3C39"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Availability of resources for RFMO activities </w:t>
            </w:r>
          </w:p>
        </w:tc>
        <w:tc>
          <w:tcPr>
            <w:tcW w:w="6814" w:type="dxa"/>
            <w:tcBorders>
              <w:top w:val="single" w:sz="4" w:space="0" w:color="000000"/>
              <w:left w:val="single" w:sz="6" w:space="0" w:color="000000"/>
              <w:bottom w:val="single" w:sz="4" w:space="0" w:color="000000"/>
              <w:right w:val="single" w:sz="6" w:space="0" w:color="000000"/>
            </w:tcBorders>
          </w:tcPr>
          <w:p w14:paraId="143908E9"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the need for financial, human, and other resources are effectively forecasted and resources are made available to achieve the aims of ICCAT and to implement ICCAT decisions. </w:t>
            </w:r>
          </w:p>
        </w:tc>
        <w:tc>
          <w:tcPr>
            <w:tcW w:w="3969" w:type="dxa"/>
            <w:tcBorders>
              <w:top w:val="single" w:sz="4" w:space="0" w:color="000000"/>
              <w:left w:val="single" w:sz="6" w:space="0" w:color="000000"/>
              <w:bottom w:val="single" w:sz="4" w:space="0" w:color="000000"/>
              <w:right w:val="single" w:sz="6" w:space="0" w:color="000000"/>
            </w:tcBorders>
          </w:tcPr>
          <w:p w14:paraId="6B17A0F1" w14:textId="77777777" w:rsidR="005C16E2" w:rsidRPr="000A660A" w:rsidRDefault="005C16E2" w:rsidP="00085665">
            <w:pPr>
              <w:pStyle w:val="Default"/>
              <w:jc w:val="both"/>
              <w:rPr>
                <w:rFonts w:asciiTheme="majorHAnsi" w:hAnsiTheme="majorHAnsi"/>
                <w:sz w:val="20"/>
                <w:szCs w:val="20"/>
              </w:rPr>
            </w:pPr>
          </w:p>
        </w:tc>
      </w:tr>
      <w:tr w:rsidR="005C16E2" w:rsidRPr="000A660A" w14:paraId="63AD916B" w14:textId="77777777" w:rsidTr="00DB5AF6">
        <w:trPr>
          <w:trHeight w:val="485"/>
        </w:trPr>
        <w:tc>
          <w:tcPr>
            <w:tcW w:w="550" w:type="dxa"/>
            <w:tcBorders>
              <w:top w:val="single" w:sz="6" w:space="0" w:color="000000"/>
              <w:left w:val="single" w:sz="6" w:space="0" w:color="000000"/>
              <w:bottom w:val="single" w:sz="6" w:space="0" w:color="000000"/>
              <w:right w:val="single" w:sz="6" w:space="0" w:color="000000"/>
            </w:tcBorders>
          </w:tcPr>
          <w:p w14:paraId="2BEAD313" w14:textId="77777777" w:rsidR="005C16E2" w:rsidRPr="000A660A" w:rsidRDefault="005C16E2" w:rsidP="00085665">
            <w:pPr>
              <w:pStyle w:val="Default"/>
              <w:rPr>
                <w:rFonts w:asciiTheme="majorHAnsi" w:hAnsiTheme="majorHAnsi"/>
                <w:color w:val="auto"/>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6AB03ACB" w14:textId="77777777" w:rsidR="005C16E2" w:rsidRPr="000A660A" w:rsidRDefault="005C16E2" w:rsidP="00085665">
            <w:pPr>
              <w:pStyle w:val="Default"/>
              <w:rPr>
                <w:rFonts w:asciiTheme="majorHAnsi" w:hAnsiTheme="majorHAnsi"/>
                <w:color w:val="auto"/>
                <w:sz w:val="20"/>
                <w:szCs w:val="20"/>
              </w:rPr>
            </w:pPr>
          </w:p>
        </w:tc>
        <w:tc>
          <w:tcPr>
            <w:tcW w:w="1679" w:type="dxa"/>
            <w:tcBorders>
              <w:top w:val="single" w:sz="6" w:space="0" w:color="000000"/>
              <w:left w:val="single" w:sz="6" w:space="0" w:color="000000"/>
              <w:bottom w:val="single" w:sz="6" w:space="0" w:color="000000"/>
              <w:right w:val="single" w:sz="6" w:space="0" w:color="000000"/>
            </w:tcBorders>
          </w:tcPr>
          <w:p w14:paraId="05CC751C" w14:textId="77777777" w:rsidR="005C16E2" w:rsidRPr="000A660A" w:rsidRDefault="005C16E2" w:rsidP="00085665">
            <w:pPr>
              <w:pStyle w:val="Default"/>
              <w:rPr>
                <w:rFonts w:asciiTheme="majorHAnsi" w:hAnsiTheme="majorHAnsi"/>
                <w:sz w:val="20"/>
                <w:szCs w:val="20"/>
              </w:rPr>
            </w:pPr>
            <w:r w:rsidRPr="000A660A">
              <w:rPr>
                <w:rFonts w:asciiTheme="majorHAnsi" w:hAnsiTheme="majorHAnsi"/>
                <w:sz w:val="20"/>
                <w:szCs w:val="20"/>
              </w:rPr>
              <w:t xml:space="preserve">Efficiency and effectiveness </w:t>
            </w:r>
          </w:p>
        </w:tc>
        <w:tc>
          <w:tcPr>
            <w:tcW w:w="6814" w:type="dxa"/>
            <w:tcBorders>
              <w:top w:val="single" w:sz="4" w:space="0" w:color="000000"/>
              <w:left w:val="single" w:sz="6" w:space="0" w:color="000000"/>
              <w:bottom w:val="single" w:sz="4" w:space="0" w:color="000000"/>
              <w:right w:val="single" w:sz="6" w:space="0" w:color="000000"/>
            </w:tcBorders>
          </w:tcPr>
          <w:p w14:paraId="0FB57437" w14:textId="77777777" w:rsidR="005C16E2" w:rsidRPr="000A660A" w:rsidRDefault="005C16E2" w:rsidP="00085665">
            <w:pPr>
              <w:pStyle w:val="Default"/>
              <w:jc w:val="both"/>
              <w:rPr>
                <w:rFonts w:asciiTheme="majorHAnsi" w:hAnsiTheme="majorHAnsi"/>
                <w:sz w:val="20"/>
                <w:szCs w:val="20"/>
              </w:rPr>
            </w:pPr>
            <w:r w:rsidRPr="000A660A">
              <w:rPr>
                <w:rFonts w:asciiTheme="majorHAnsi" w:hAnsiTheme="majorHAnsi"/>
                <w:sz w:val="20"/>
                <w:szCs w:val="20"/>
              </w:rPr>
              <w:t xml:space="preserve">• Extent to which ICCAT is efficiently and effectively managing its human and financial resources, including those of the Secretariat, to support Commission </w:t>
            </w:r>
            <w:r w:rsidRPr="000A660A">
              <w:rPr>
                <w:rFonts w:asciiTheme="majorHAnsi" w:hAnsiTheme="majorHAnsi"/>
                <w:sz w:val="20"/>
                <w:szCs w:val="20"/>
              </w:rPr>
              <w:lastRenderedPageBreak/>
              <w:t xml:space="preserve">objectives and ensure continuity of operations, including through establishment of clear and transparent office policies, structures, roles and responsibilities, and lines of authority; effective internal and external communication; and other aspects of office planning and operations. </w:t>
            </w:r>
          </w:p>
        </w:tc>
        <w:tc>
          <w:tcPr>
            <w:tcW w:w="3969" w:type="dxa"/>
            <w:tcBorders>
              <w:top w:val="single" w:sz="4" w:space="0" w:color="000000"/>
              <w:left w:val="single" w:sz="6" w:space="0" w:color="000000"/>
              <w:bottom w:val="single" w:sz="4" w:space="0" w:color="000000"/>
              <w:right w:val="single" w:sz="6" w:space="0" w:color="000000"/>
            </w:tcBorders>
          </w:tcPr>
          <w:p w14:paraId="3F380892" w14:textId="77777777" w:rsidR="005C16E2" w:rsidRPr="000A660A" w:rsidRDefault="005C16E2" w:rsidP="00085665">
            <w:pPr>
              <w:pStyle w:val="Default"/>
              <w:jc w:val="both"/>
              <w:rPr>
                <w:rFonts w:asciiTheme="majorHAnsi" w:hAnsiTheme="majorHAnsi"/>
                <w:sz w:val="20"/>
                <w:szCs w:val="20"/>
              </w:rPr>
            </w:pPr>
          </w:p>
        </w:tc>
      </w:tr>
    </w:tbl>
    <w:p w14:paraId="14B0A18C" w14:textId="77777777" w:rsidR="00B92881" w:rsidRPr="000A660A" w:rsidRDefault="00B92881" w:rsidP="005C16E2">
      <w:pPr>
        <w:pStyle w:val="NormalWeb"/>
        <w:widowControl w:val="0"/>
        <w:spacing w:before="0" w:beforeAutospacing="0" w:after="0" w:afterAutospacing="0"/>
        <w:jc w:val="center"/>
        <w:rPr>
          <w:rFonts w:asciiTheme="majorHAnsi" w:hAnsiTheme="majorHAnsi"/>
          <w:b/>
          <w:bCs/>
          <w:sz w:val="20"/>
          <w:szCs w:val="20"/>
        </w:rPr>
      </w:pPr>
    </w:p>
    <w:sectPr w:rsidR="00B92881" w:rsidRPr="000A660A" w:rsidSect="00EE6391">
      <w:headerReference w:type="even" r:id="rId14"/>
      <w:headerReference w:type="default" r:id="rId15"/>
      <w:footerReference w:type="even" r:id="rId16"/>
      <w:footerReference w:type="default" r:id="rId17"/>
      <w:headerReference w:type="first" r:id="rId18"/>
      <w:footerReference w:type="first" r:id="rId19"/>
      <w:pgSz w:w="16834" w:h="11909" w:orient="landscape" w:code="9"/>
      <w:pgMar w:top="1418" w:right="1418" w:bottom="1418" w:left="1418" w:header="851" w:footer="1134"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D416" w14:textId="77777777" w:rsidR="00643437" w:rsidRDefault="00643437">
      <w:r>
        <w:separator/>
      </w:r>
    </w:p>
  </w:endnote>
  <w:endnote w:type="continuationSeparator" w:id="0">
    <w:p w14:paraId="3E127CC0" w14:textId="77777777" w:rsidR="00643437" w:rsidRDefault="0064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1E5D" w14:textId="77777777" w:rsidR="000A660A" w:rsidRDefault="000A6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BDF2" w14:textId="7A3F2250" w:rsidR="00A90C5C" w:rsidRPr="000A660A" w:rsidRDefault="000A660A" w:rsidP="000A660A">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rPr>
      <w:t>1</w:t>
    </w:r>
    <w:r>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11</w:t>
    </w:r>
    <w:r w:rsidRPr="0067469F">
      <w:rPr>
        <w:rFonts w:ascii="Cambria" w:eastAsia="Calibri" w:hAnsi="Cambria"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76B8" w14:textId="77777777" w:rsidR="000A660A" w:rsidRDefault="000A66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BCD7" w14:textId="77777777" w:rsidR="00156365" w:rsidRDefault="001563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A066" w14:textId="2627D9B9" w:rsidR="00A90C5C" w:rsidRPr="000A660A" w:rsidRDefault="000A660A" w:rsidP="000A660A">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rPr>
      <w:t>4</w:t>
    </w:r>
    <w:r>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10</w:t>
    </w:r>
    <w:r w:rsidRPr="0067469F">
      <w:rPr>
        <w:rFonts w:ascii="Cambria" w:eastAsia="Calibri" w:hAnsi="Cambria" w:cs="Calibr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FD5A" w14:textId="77777777" w:rsidR="00691692" w:rsidRPr="00C30117" w:rsidRDefault="00691692" w:rsidP="00C3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60DA" w14:textId="77777777" w:rsidR="00643437" w:rsidRDefault="00643437">
      <w:r>
        <w:separator/>
      </w:r>
    </w:p>
  </w:footnote>
  <w:footnote w:type="continuationSeparator" w:id="0">
    <w:p w14:paraId="1711BF0D" w14:textId="77777777" w:rsidR="00643437" w:rsidRDefault="0064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BD21" w14:textId="77777777" w:rsidR="000A660A" w:rsidRDefault="000A6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5CB3" w14:textId="5A80368B" w:rsidR="000A660A" w:rsidRPr="00F05BC1" w:rsidRDefault="000A660A" w:rsidP="000A660A">
    <w:pPr>
      <w:tabs>
        <w:tab w:val="center" w:pos="4680"/>
        <w:tab w:val="left" w:pos="6520"/>
        <w:tab w:val="right" w:pos="9360"/>
        <w:tab w:val="right" w:pos="14240"/>
      </w:tabs>
      <w:jc w:val="right"/>
      <w:rPr>
        <w:rFonts w:ascii="Cambria" w:eastAsia="Calibri" w:hAnsi="Cambria"/>
        <w:b/>
        <w:bCs/>
      </w:rPr>
    </w:pPr>
    <w:r>
      <w:rPr>
        <w:rFonts w:ascii="Cambria" w:hAnsi="Cambria"/>
        <w:b/>
      </w:rPr>
      <w:t>STF_2</w:t>
    </w:r>
    <w:r>
      <w:rPr>
        <w:rFonts w:ascii="Cambria" w:hAnsi="Cambria"/>
        <w:b/>
      </w:rPr>
      <w:t>2</w:t>
    </w:r>
    <w:r>
      <w:rPr>
        <w:rFonts w:ascii="Cambria" w:hAnsi="Cambria"/>
        <w:b/>
      </w:rPr>
      <w:t>0/2025</w:t>
    </w:r>
  </w:p>
  <w:p w14:paraId="753C84BA" w14:textId="4713C83E" w:rsidR="000A660A" w:rsidRDefault="000A660A" w:rsidP="000A660A">
    <w:pPr>
      <w:tabs>
        <w:tab w:val="left" w:pos="7320"/>
      </w:tabs>
      <w:spacing w:line="240" w:lineRule="exact"/>
      <w:jc w:val="right"/>
    </w:pPr>
    <w:r>
      <w:rPr>
        <w:rFonts w:ascii="Cambria" w:hAnsi="Cambria"/>
        <w:b/>
        <w:sz w:val="16"/>
        <w:szCs w:val="24"/>
        <w:lang w:val="en-GB"/>
      </w:rPr>
      <w:fldChar w:fldCharType="begin"/>
    </w:r>
    <w:r>
      <w:rPr>
        <w:rFonts w:ascii="Cambria" w:hAnsi="Cambria"/>
        <w:b/>
        <w:sz w:val="16"/>
      </w:rPr>
      <w:instrText xml:space="preserve"> TIME \@ "dd/MM/yyyy H:mm" </w:instrText>
    </w:r>
    <w:r>
      <w:rPr>
        <w:rFonts w:ascii="Cambria" w:hAnsi="Cambria"/>
        <w:b/>
        <w:sz w:val="16"/>
        <w:szCs w:val="24"/>
        <w:lang w:val="en-GB"/>
      </w:rPr>
      <w:fldChar w:fldCharType="separate"/>
    </w:r>
    <w:r>
      <w:rPr>
        <w:rFonts w:ascii="Cambria" w:hAnsi="Cambria"/>
        <w:b/>
        <w:noProof/>
        <w:sz w:val="16"/>
      </w:rPr>
      <w:t>19/11/2025 15:43</w:t>
    </w:r>
    <w:r>
      <w:rPr>
        <w:rFonts w:ascii="Cambria" w:hAnsi="Cambria"/>
        <w:b/>
        <w:bCs/>
        <w:sz w:val="16"/>
        <w:szCs w:val="16"/>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6C4E" w14:textId="77777777" w:rsidR="000A660A" w:rsidRDefault="000A66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1481" w14:textId="77777777" w:rsidR="00156365" w:rsidRDefault="001563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44B2" w14:textId="77777777" w:rsidR="000A660A" w:rsidRPr="00F05BC1" w:rsidRDefault="000A660A" w:rsidP="000A660A">
    <w:pPr>
      <w:tabs>
        <w:tab w:val="center" w:pos="4680"/>
        <w:tab w:val="left" w:pos="6520"/>
        <w:tab w:val="right" w:pos="9360"/>
        <w:tab w:val="right" w:pos="14240"/>
      </w:tabs>
      <w:jc w:val="right"/>
      <w:rPr>
        <w:rFonts w:ascii="Cambria" w:eastAsia="Calibri" w:hAnsi="Cambria"/>
        <w:b/>
        <w:bCs/>
      </w:rPr>
    </w:pPr>
    <w:r>
      <w:rPr>
        <w:rFonts w:ascii="Cambria" w:hAnsi="Cambria"/>
        <w:b/>
      </w:rPr>
      <w:t>STF_220/2025</w:t>
    </w:r>
  </w:p>
  <w:p w14:paraId="424649DE" w14:textId="18D2F55D" w:rsidR="00156365" w:rsidRDefault="000A660A" w:rsidP="000A660A">
    <w:pPr>
      <w:tabs>
        <w:tab w:val="left" w:pos="7320"/>
      </w:tabs>
      <w:spacing w:line="240" w:lineRule="exact"/>
      <w:jc w:val="right"/>
    </w:pPr>
    <w:r>
      <w:rPr>
        <w:rFonts w:ascii="Cambria" w:hAnsi="Cambria"/>
        <w:b/>
        <w:sz w:val="16"/>
        <w:szCs w:val="24"/>
        <w:lang w:val="en-GB"/>
      </w:rPr>
      <w:fldChar w:fldCharType="begin"/>
    </w:r>
    <w:r>
      <w:rPr>
        <w:rFonts w:ascii="Cambria" w:hAnsi="Cambria"/>
        <w:b/>
        <w:sz w:val="16"/>
      </w:rPr>
      <w:instrText xml:space="preserve"> TIME \@ "dd/MM/yyyy H:mm" </w:instrText>
    </w:r>
    <w:r>
      <w:rPr>
        <w:rFonts w:ascii="Cambria" w:hAnsi="Cambria"/>
        <w:b/>
        <w:sz w:val="16"/>
        <w:szCs w:val="24"/>
        <w:lang w:val="en-GB"/>
      </w:rPr>
      <w:fldChar w:fldCharType="separate"/>
    </w:r>
    <w:r>
      <w:rPr>
        <w:rFonts w:ascii="Cambria" w:hAnsi="Cambria"/>
        <w:b/>
        <w:noProof/>
        <w:sz w:val="16"/>
      </w:rPr>
      <w:t>19/11/2025 15:43</w:t>
    </w:r>
    <w:r>
      <w:rPr>
        <w:rFonts w:ascii="Cambria" w:hAnsi="Cambria"/>
        <w:b/>
        <w:bCs/>
        <w:sz w:val="16"/>
        <w:szCs w:val="16"/>
        <w:lang w:val="es-ES_tradn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BE7D" w14:textId="77777777" w:rsidR="00156365" w:rsidRDefault="00156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398E"/>
    <w:multiLevelType w:val="hybridMultilevel"/>
    <w:tmpl w:val="7430BFF4"/>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83412"/>
    <w:multiLevelType w:val="hybridMultilevel"/>
    <w:tmpl w:val="732851FE"/>
    <w:lvl w:ilvl="0" w:tplc="2FC2AA28">
      <w:start w:val="29"/>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E5BC9"/>
    <w:multiLevelType w:val="hybridMultilevel"/>
    <w:tmpl w:val="08F4EBD2"/>
    <w:lvl w:ilvl="0" w:tplc="41026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357DC"/>
    <w:multiLevelType w:val="hybridMultilevel"/>
    <w:tmpl w:val="D21AD97A"/>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56EE7"/>
    <w:multiLevelType w:val="hybridMultilevel"/>
    <w:tmpl w:val="B308DFA0"/>
    <w:lvl w:ilvl="0" w:tplc="9B04621E">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41C29"/>
    <w:multiLevelType w:val="hybridMultilevel"/>
    <w:tmpl w:val="0C36E9F6"/>
    <w:lvl w:ilvl="0" w:tplc="A47840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B78F5"/>
    <w:multiLevelType w:val="hybridMultilevel"/>
    <w:tmpl w:val="339C6614"/>
    <w:lvl w:ilvl="0" w:tplc="E0B882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C4732"/>
    <w:multiLevelType w:val="hybridMultilevel"/>
    <w:tmpl w:val="DC74EF6A"/>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73930"/>
    <w:multiLevelType w:val="hybridMultilevel"/>
    <w:tmpl w:val="B7AA6714"/>
    <w:lvl w:ilvl="0" w:tplc="D5280522">
      <w:start w:val="2007"/>
      <w:numFmt w:val="bullet"/>
      <w:pStyle w:val="bullets1"/>
      <w:lvlText w:val="-"/>
      <w:lvlJc w:val="left"/>
      <w:pPr>
        <w:ind w:left="1069" w:hanging="360"/>
      </w:pPr>
      <w:rPr>
        <w:rFonts w:ascii="Times New Roman" w:eastAsiaTheme="majorEastAsia"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CBA33E6"/>
    <w:multiLevelType w:val="hybridMultilevel"/>
    <w:tmpl w:val="9BEC2998"/>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E371E"/>
    <w:multiLevelType w:val="hybridMultilevel"/>
    <w:tmpl w:val="765AE340"/>
    <w:lvl w:ilvl="0" w:tplc="007E5D2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E078F"/>
    <w:multiLevelType w:val="hybridMultilevel"/>
    <w:tmpl w:val="2E168F54"/>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F4C5D"/>
    <w:multiLevelType w:val="hybridMultilevel"/>
    <w:tmpl w:val="F448177A"/>
    <w:lvl w:ilvl="0" w:tplc="29CE2DA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78162641"/>
    <w:multiLevelType w:val="hybridMultilevel"/>
    <w:tmpl w:val="8D5453BC"/>
    <w:lvl w:ilvl="0" w:tplc="A38A679E">
      <w:start w:val="2"/>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79405015"/>
    <w:multiLevelType w:val="hybridMultilevel"/>
    <w:tmpl w:val="022C8B78"/>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594398">
    <w:abstractNumId w:val="10"/>
  </w:num>
  <w:num w:numId="2" w16cid:durableId="413670968">
    <w:abstractNumId w:val="6"/>
  </w:num>
  <w:num w:numId="3" w16cid:durableId="1032800370">
    <w:abstractNumId w:val="8"/>
  </w:num>
  <w:num w:numId="4" w16cid:durableId="1560902628">
    <w:abstractNumId w:val="1"/>
  </w:num>
  <w:num w:numId="5" w16cid:durableId="1831097514">
    <w:abstractNumId w:val="8"/>
  </w:num>
  <w:num w:numId="6" w16cid:durableId="496269564">
    <w:abstractNumId w:val="4"/>
  </w:num>
  <w:num w:numId="7" w16cid:durableId="1512717030">
    <w:abstractNumId w:val="2"/>
  </w:num>
  <w:num w:numId="8" w16cid:durableId="1861620282">
    <w:abstractNumId w:val="5"/>
  </w:num>
  <w:num w:numId="9" w16cid:durableId="1400665660">
    <w:abstractNumId w:val="14"/>
  </w:num>
  <w:num w:numId="10" w16cid:durableId="1031881378">
    <w:abstractNumId w:val="9"/>
  </w:num>
  <w:num w:numId="11" w16cid:durableId="2132241565">
    <w:abstractNumId w:val="11"/>
  </w:num>
  <w:num w:numId="12" w16cid:durableId="2125806409">
    <w:abstractNumId w:val="7"/>
  </w:num>
  <w:num w:numId="13" w16cid:durableId="1020621100">
    <w:abstractNumId w:val="3"/>
  </w:num>
  <w:num w:numId="14" w16cid:durableId="2826618">
    <w:abstractNumId w:val="0"/>
  </w:num>
  <w:num w:numId="15" w16cid:durableId="530148745">
    <w:abstractNumId w:val="12"/>
  </w:num>
  <w:num w:numId="16" w16cid:durableId="167329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E3"/>
    <w:rsid w:val="00000254"/>
    <w:rsid w:val="0000279F"/>
    <w:rsid w:val="000031A6"/>
    <w:rsid w:val="00006ABE"/>
    <w:rsid w:val="00012A34"/>
    <w:rsid w:val="00020506"/>
    <w:rsid w:val="00022DB3"/>
    <w:rsid w:val="000305A9"/>
    <w:rsid w:val="00036E34"/>
    <w:rsid w:val="00041BB0"/>
    <w:rsid w:val="000464A5"/>
    <w:rsid w:val="00060A6E"/>
    <w:rsid w:val="00060E3A"/>
    <w:rsid w:val="00063349"/>
    <w:rsid w:val="00064B50"/>
    <w:rsid w:val="00071879"/>
    <w:rsid w:val="000747C2"/>
    <w:rsid w:val="00097716"/>
    <w:rsid w:val="000A0B21"/>
    <w:rsid w:val="000A2E19"/>
    <w:rsid w:val="000A473C"/>
    <w:rsid w:val="000A63EE"/>
    <w:rsid w:val="000A660A"/>
    <w:rsid w:val="000A7C4E"/>
    <w:rsid w:val="000B63CA"/>
    <w:rsid w:val="000B699C"/>
    <w:rsid w:val="000B6BE7"/>
    <w:rsid w:val="000C7335"/>
    <w:rsid w:val="000D0573"/>
    <w:rsid w:val="000D1463"/>
    <w:rsid w:val="000E225C"/>
    <w:rsid w:val="000E2E9E"/>
    <w:rsid w:val="000E75EA"/>
    <w:rsid w:val="000F2FE9"/>
    <w:rsid w:val="000F4D5A"/>
    <w:rsid w:val="000F53F0"/>
    <w:rsid w:val="000F7334"/>
    <w:rsid w:val="00100EE5"/>
    <w:rsid w:val="001074BA"/>
    <w:rsid w:val="0010777C"/>
    <w:rsid w:val="001129A7"/>
    <w:rsid w:val="001131A7"/>
    <w:rsid w:val="00120AD3"/>
    <w:rsid w:val="001278DD"/>
    <w:rsid w:val="001361E0"/>
    <w:rsid w:val="0014205E"/>
    <w:rsid w:val="00145CB2"/>
    <w:rsid w:val="00146FD0"/>
    <w:rsid w:val="00151F8C"/>
    <w:rsid w:val="00156365"/>
    <w:rsid w:val="00160176"/>
    <w:rsid w:val="00174127"/>
    <w:rsid w:val="00174362"/>
    <w:rsid w:val="00174F5A"/>
    <w:rsid w:val="00180665"/>
    <w:rsid w:val="001811F9"/>
    <w:rsid w:val="00183E06"/>
    <w:rsid w:val="001854EE"/>
    <w:rsid w:val="00190F64"/>
    <w:rsid w:val="00192541"/>
    <w:rsid w:val="0019682E"/>
    <w:rsid w:val="001B0F6F"/>
    <w:rsid w:val="001B1F1A"/>
    <w:rsid w:val="001B4C21"/>
    <w:rsid w:val="001B5C2C"/>
    <w:rsid w:val="001B6E75"/>
    <w:rsid w:val="001C1167"/>
    <w:rsid w:val="001C1807"/>
    <w:rsid w:val="001C2A2C"/>
    <w:rsid w:val="001C351D"/>
    <w:rsid w:val="001E571C"/>
    <w:rsid w:val="001F15A5"/>
    <w:rsid w:val="001F7FD5"/>
    <w:rsid w:val="002013E0"/>
    <w:rsid w:val="00201A94"/>
    <w:rsid w:val="002020E5"/>
    <w:rsid w:val="002059F1"/>
    <w:rsid w:val="00207B28"/>
    <w:rsid w:val="00216749"/>
    <w:rsid w:val="002171E9"/>
    <w:rsid w:val="00217DFA"/>
    <w:rsid w:val="00217ECC"/>
    <w:rsid w:val="00222B86"/>
    <w:rsid w:val="002310B0"/>
    <w:rsid w:val="00243D5D"/>
    <w:rsid w:val="0024591B"/>
    <w:rsid w:val="00247D0C"/>
    <w:rsid w:val="00250C92"/>
    <w:rsid w:val="00261CA3"/>
    <w:rsid w:val="0026405D"/>
    <w:rsid w:val="0026603E"/>
    <w:rsid w:val="00267218"/>
    <w:rsid w:val="0027497D"/>
    <w:rsid w:val="0028640B"/>
    <w:rsid w:val="0029438E"/>
    <w:rsid w:val="002B5829"/>
    <w:rsid w:val="002B618E"/>
    <w:rsid w:val="002C0B4D"/>
    <w:rsid w:val="002C702C"/>
    <w:rsid w:val="002D7EBE"/>
    <w:rsid w:val="002E4409"/>
    <w:rsid w:val="002E4CCD"/>
    <w:rsid w:val="002F0801"/>
    <w:rsid w:val="002F512A"/>
    <w:rsid w:val="002F72A3"/>
    <w:rsid w:val="002F7832"/>
    <w:rsid w:val="00302937"/>
    <w:rsid w:val="003071DD"/>
    <w:rsid w:val="00307931"/>
    <w:rsid w:val="00313BD6"/>
    <w:rsid w:val="00316BA1"/>
    <w:rsid w:val="00321E74"/>
    <w:rsid w:val="003265A4"/>
    <w:rsid w:val="00332922"/>
    <w:rsid w:val="00341C73"/>
    <w:rsid w:val="00345ADA"/>
    <w:rsid w:val="0034632F"/>
    <w:rsid w:val="00366698"/>
    <w:rsid w:val="0037736D"/>
    <w:rsid w:val="003806E3"/>
    <w:rsid w:val="00385545"/>
    <w:rsid w:val="00385CF4"/>
    <w:rsid w:val="00387DE2"/>
    <w:rsid w:val="00390E4E"/>
    <w:rsid w:val="003924AA"/>
    <w:rsid w:val="00395E67"/>
    <w:rsid w:val="003A037C"/>
    <w:rsid w:val="003A0D36"/>
    <w:rsid w:val="003A3D02"/>
    <w:rsid w:val="003A49E2"/>
    <w:rsid w:val="003A4AAD"/>
    <w:rsid w:val="003B6286"/>
    <w:rsid w:val="003C3F4E"/>
    <w:rsid w:val="003C4F13"/>
    <w:rsid w:val="003D1CB8"/>
    <w:rsid w:val="003E01DD"/>
    <w:rsid w:val="003E0FAD"/>
    <w:rsid w:val="003E6280"/>
    <w:rsid w:val="003F7BF2"/>
    <w:rsid w:val="0040193A"/>
    <w:rsid w:val="00404BFA"/>
    <w:rsid w:val="00404E57"/>
    <w:rsid w:val="00407394"/>
    <w:rsid w:val="0041094E"/>
    <w:rsid w:val="0041175D"/>
    <w:rsid w:val="00413C59"/>
    <w:rsid w:val="00415E2C"/>
    <w:rsid w:val="0041761C"/>
    <w:rsid w:val="004234EB"/>
    <w:rsid w:val="00424A11"/>
    <w:rsid w:val="00426CCA"/>
    <w:rsid w:val="00430079"/>
    <w:rsid w:val="00430F97"/>
    <w:rsid w:val="0043263B"/>
    <w:rsid w:val="00435812"/>
    <w:rsid w:val="00435C03"/>
    <w:rsid w:val="004412B9"/>
    <w:rsid w:val="00446DAF"/>
    <w:rsid w:val="004561D3"/>
    <w:rsid w:val="004715D5"/>
    <w:rsid w:val="00471F0C"/>
    <w:rsid w:val="00472049"/>
    <w:rsid w:val="0047278A"/>
    <w:rsid w:val="00477544"/>
    <w:rsid w:val="00481B04"/>
    <w:rsid w:val="00483B27"/>
    <w:rsid w:val="00485C54"/>
    <w:rsid w:val="00486C5A"/>
    <w:rsid w:val="00487316"/>
    <w:rsid w:val="00490DCA"/>
    <w:rsid w:val="00497541"/>
    <w:rsid w:val="004A09A2"/>
    <w:rsid w:val="004A36B8"/>
    <w:rsid w:val="004A72B0"/>
    <w:rsid w:val="004B11AE"/>
    <w:rsid w:val="004B449C"/>
    <w:rsid w:val="004B7369"/>
    <w:rsid w:val="004C08DA"/>
    <w:rsid w:val="004C7F7B"/>
    <w:rsid w:val="004D5BEC"/>
    <w:rsid w:val="004D6BBD"/>
    <w:rsid w:val="004E0594"/>
    <w:rsid w:val="004E4E0A"/>
    <w:rsid w:val="004E55B7"/>
    <w:rsid w:val="004E6993"/>
    <w:rsid w:val="004E779C"/>
    <w:rsid w:val="004F246C"/>
    <w:rsid w:val="004F4223"/>
    <w:rsid w:val="004F7159"/>
    <w:rsid w:val="004F7958"/>
    <w:rsid w:val="00502C19"/>
    <w:rsid w:val="005100D5"/>
    <w:rsid w:val="005134B1"/>
    <w:rsid w:val="005162FE"/>
    <w:rsid w:val="00517FAB"/>
    <w:rsid w:val="00523905"/>
    <w:rsid w:val="00523E76"/>
    <w:rsid w:val="00527D52"/>
    <w:rsid w:val="00535B55"/>
    <w:rsid w:val="005438EE"/>
    <w:rsid w:val="0054580B"/>
    <w:rsid w:val="00547AA5"/>
    <w:rsid w:val="0055774D"/>
    <w:rsid w:val="005620DE"/>
    <w:rsid w:val="00562429"/>
    <w:rsid w:val="0056533F"/>
    <w:rsid w:val="00566ADE"/>
    <w:rsid w:val="0056759D"/>
    <w:rsid w:val="0057230E"/>
    <w:rsid w:val="00574AE4"/>
    <w:rsid w:val="0058157A"/>
    <w:rsid w:val="00581D2F"/>
    <w:rsid w:val="00582F1E"/>
    <w:rsid w:val="00583B7C"/>
    <w:rsid w:val="005904F7"/>
    <w:rsid w:val="00593E7F"/>
    <w:rsid w:val="005A68E2"/>
    <w:rsid w:val="005B18FF"/>
    <w:rsid w:val="005B6FD8"/>
    <w:rsid w:val="005C16E2"/>
    <w:rsid w:val="005C2989"/>
    <w:rsid w:val="005C69A6"/>
    <w:rsid w:val="005D0D41"/>
    <w:rsid w:val="005D2E75"/>
    <w:rsid w:val="005D3676"/>
    <w:rsid w:val="005D6089"/>
    <w:rsid w:val="005D75A1"/>
    <w:rsid w:val="005E15AE"/>
    <w:rsid w:val="005E2A55"/>
    <w:rsid w:val="005E5E1B"/>
    <w:rsid w:val="005F0FED"/>
    <w:rsid w:val="005F54E9"/>
    <w:rsid w:val="0060486B"/>
    <w:rsid w:val="00611C7F"/>
    <w:rsid w:val="00614BEA"/>
    <w:rsid w:val="00615545"/>
    <w:rsid w:val="006155C0"/>
    <w:rsid w:val="006227D0"/>
    <w:rsid w:val="00624F3B"/>
    <w:rsid w:val="006265B2"/>
    <w:rsid w:val="00630C76"/>
    <w:rsid w:val="00637DA6"/>
    <w:rsid w:val="006432A5"/>
    <w:rsid w:val="00643437"/>
    <w:rsid w:val="00643913"/>
    <w:rsid w:val="00650408"/>
    <w:rsid w:val="006519D6"/>
    <w:rsid w:val="00652225"/>
    <w:rsid w:val="0065225C"/>
    <w:rsid w:val="006535AA"/>
    <w:rsid w:val="0065572E"/>
    <w:rsid w:val="006617C6"/>
    <w:rsid w:val="00661B1A"/>
    <w:rsid w:val="00664E03"/>
    <w:rsid w:val="0067079E"/>
    <w:rsid w:val="00670B7B"/>
    <w:rsid w:val="00673F46"/>
    <w:rsid w:val="00675966"/>
    <w:rsid w:val="006830CD"/>
    <w:rsid w:val="00683160"/>
    <w:rsid w:val="00685313"/>
    <w:rsid w:val="00687A9C"/>
    <w:rsid w:val="006904EB"/>
    <w:rsid w:val="00690CF0"/>
    <w:rsid w:val="00691692"/>
    <w:rsid w:val="00691C72"/>
    <w:rsid w:val="0069333F"/>
    <w:rsid w:val="00695B9B"/>
    <w:rsid w:val="00695DD4"/>
    <w:rsid w:val="006B03F5"/>
    <w:rsid w:val="006B4EF5"/>
    <w:rsid w:val="006B59FF"/>
    <w:rsid w:val="006B5BDE"/>
    <w:rsid w:val="006C0FE3"/>
    <w:rsid w:val="006C42F1"/>
    <w:rsid w:val="006D1C92"/>
    <w:rsid w:val="006D4BE5"/>
    <w:rsid w:val="006D4CC1"/>
    <w:rsid w:val="006E07A3"/>
    <w:rsid w:val="006E095D"/>
    <w:rsid w:val="006E31F0"/>
    <w:rsid w:val="006E5D70"/>
    <w:rsid w:val="006E6880"/>
    <w:rsid w:val="006E6D17"/>
    <w:rsid w:val="006F2D80"/>
    <w:rsid w:val="006F51FC"/>
    <w:rsid w:val="00704089"/>
    <w:rsid w:val="00706F02"/>
    <w:rsid w:val="0070782E"/>
    <w:rsid w:val="007128C1"/>
    <w:rsid w:val="00713101"/>
    <w:rsid w:val="00716027"/>
    <w:rsid w:val="007215B4"/>
    <w:rsid w:val="00726733"/>
    <w:rsid w:val="00734CE5"/>
    <w:rsid w:val="00737954"/>
    <w:rsid w:val="00737BF1"/>
    <w:rsid w:val="00740C8E"/>
    <w:rsid w:val="00741435"/>
    <w:rsid w:val="007501F4"/>
    <w:rsid w:val="00750F76"/>
    <w:rsid w:val="00753061"/>
    <w:rsid w:val="00753953"/>
    <w:rsid w:val="00763019"/>
    <w:rsid w:val="00770818"/>
    <w:rsid w:val="00772ADA"/>
    <w:rsid w:val="007756FA"/>
    <w:rsid w:val="00782698"/>
    <w:rsid w:val="00785EDD"/>
    <w:rsid w:val="007869FD"/>
    <w:rsid w:val="00787221"/>
    <w:rsid w:val="007900AF"/>
    <w:rsid w:val="00795822"/>
    <w:rsid w:val="007B2B00"/>
    <w:rsid w:val="007B6DBC"/>
    <w:rsid w:val="007B6E28"/>
    <w:rsid w:val="007B72F6"/>
    <w:rsid w:val="007C083C"/>
    <w:rsid w:val="007C208F"/>
    <w:rsid w:val="007C22A4"/>
    <w:rsid w:val="007C2AA1"/>
    <w:rsid w:val="007C3AE3"/>
    <w:rsid w:val="007C5CBE"/>
    <w:rsid w:val="007D4AC3"/>
    <w:rsid w:val="007D568C"/>
    <w:rsid w:val="007E343E"/>
    <w:rsid w:val="007E3ED4"/>
    <w:rsid w:val="007E757C"/>
    <w:rsid w:val="007F0F29"/>
    <w:rsid w:val="007F1E77"/>
    <w:rsid w:val="007F39C9"/>
    <w:rsid w:val="007F3B5F"/>
    <w:rsid w:val="007F76BE"/>
    <w:rsid w:val="008072FF"/>
    <w:rsid w:val="00817B66"/>
    <w:rsid w:val="008212AC"/>
    <w:rsid w:val="00821A79"/>
    <w:rsid w:val="00822DEE"/>
    <w:rsid w:val="00825B7D"/>
    <w:rsid w:val="00835C87"/>
    <w:rsid w:val="0083673B"/>
    <w:rsid w:val="008423A4"/>
    <w:rsid w:val="00842F0A"/>
    <w:rsid w:val="00854A0F"/>
    <w:rsid w:val="00857B49"/>
    <w:rsid w:val="00861955"/>
    <w:rsid w:val="008621BA"/>
    <w:rsid w:val="00862DDE"/>
    <w:rsid w:val="00864D31"/>
    <w:rsid w:val="00874EB3"/>
    <w:rsid w:val="008751A9"/>
    <w:rsid w:val="00876ADF"/>
    <w:rsid w:val="008834EB"/>
    <w:rsid w:val="00891C20"/>
    <w:rsid w:val="00892550"/>
    <w:rsid w:val="0089281B"/>
    <w:rsid w:val="008975A6"/>
    <w:rsid w:val="008A3481"/>
    <w:rsid w:val="008B3C83"/>
    <w:rsid w:val="008D063A"/>
    <w:rsid w:val="008D273F"/>
    <w:rsid w:val="008D506B"/>
    <w:rsid w:val="008E22F2"/>
    <w:rsid w:val="008E582E"/>
    <w:rsid w:val="008F0932"/>
    <w:rsid w:val="008F7BED"/>
    <w:rsid w:val="009027BA"/>
    <w:rsid w:val="00904ADB"/>
    <w:rsid w:val="00910989"/>
    <w:rsid w:val="009208D0"/>
    <w:rsid w:val="00923F01"/>
    <w:rsid w:val="00930240"/>
    <w:rsid w:val="00941865"/>
    <w:rsid w:val="009528AE"/>
    <w:rsid w:val="00953B17"/>
    <w:rsid w:val="00953B27"/>
    <w:rsid w:val="00954EAF"/>
    <w:rsid w:val="00960BB6"/>
    <w:rsid w:val="00963BCD"/>
    <w:rsid w:val="00966884"/>
    <w:rsid w:val="0098078D"/>
    <w:rsid w:val="0098578F"/>
    <w:rsid w:val="009872FD"/>
    <w:rsid w:val="00995CA6"/>
    <w:rsid w:val="00996413"/>
    <w:rsid w:val="009B0BE2"/>
    <w:rsid w:val="009B782D"/>
    <w:rsid w:val="009D4173"/>
    <w:rsid w:val="009D697B"/>
    <w:rsid w:val="009E13F4"/>
    <w:rsid w:val="009E1EDC"/>
    <w:rsid w:val="009E2A63"/>
    <w:rsid w:val="009E54D2"/>
    <w:rsid w:val="009F3A4A"/>
    <w:rsid w:val="00A00D26"/>
    <w:rsid w:val="00A03F2F"/>
    <w:rsid w:val="00A06FA9"/>
    <w:rsid w:val="00A07078"/>
    <w:rsid w:val="00A11AE4"/>
    <w:rsid w:val="00A23883"/>
    <w:rsid w:val="00A25D58"/>
    <w:rsid w:val="00A3571D"/>
    <w:rsid w:val="00A369D1"/>
    <w:rsid w:val="00A37B20"/>
    <w:rsid w:val="00A37FA3"/>
    <w:rsid w:val="00A454CD"/>
    <w:rsid w:val="00A47671"/>
    <w:rsid w:val="00A527FE"/>
    <w:rsid w:val="00A5380C"/>
    <w:rsid w:val="00A61165"/>
    <w:rsid w:val="00A71122"/>
    <w:rsid w:val="00A745E5"/>
    <w:rsid w:val="00A85811"/>
    <w:rsid w:val="00A879C1"/>
    <w:rsid w:val="00A90C5C"/>
    <w:rsid w:val="00A91A9E"/>
    <w:rsid w:val="00A9224B"/>
    <w:rsid w:val="00A92898"/>
    <w:rsid w:val="00A97E6B"/>
    <w:rsid w:val="00AA0452"/>
    <w:rsid w:val="00AA0753"/>
    <w:rsid w:val="00AA1580"/>
    <w:rsid w:val="00AB2643"/>
    <w:rsid w:val="00AB2F49"/>
    <w:rsid w:val="00AB641E"/>
    <w:rsid w:val="00AC2B93"/>
    <w:rsid w:val="00AC47F4"/>
    <w:rsid w:val="00AC6A76"/>
    <w:rsid w:val="00AD1C44"/>
    <w:rsid w:val="00AD4C26"/>
    <w:rsid w:val="00AD55ED"/>
    <w:rsid w:val="00AD56DA"/>
    <w:rsid w:val="00AD6DF6"/>
    <w:rsid w:val="00AD702E"/>
    <w:rsid w:val="00AE31DD"/>
    <w:rsid w:val="00B04E9E"/>
    <w:rsid w:val="00B054C3"/>
    <w:rsid w:val="00B12BCD"/>
    <w:rsid w:val="00B13DA0"/>
    <w:rsid w:val="00B13E81"/>
    <w:rsid w:val="00B21160"/>
    <w:rsid w:val="00B34A69"/>
    <w:rsid w:val="00B36EE5"/>
    <w:rsid w:val="00B37619"/>
    <w:rsid w:val="00B40337"/>
    <w:rsid w:val="00B421F0"/>
    <w:rsid w:val="00B44ED4"/>
    <w:rsid w:val="00B471AC"/>
    <w:rsid w:val="00B474AE"/>
    <w:rsid w:val="00B54296"/>
    <w:rsid w:val="00B55FCB"/>
    <w:rsid w:val="00B604BF"/>
    <w:rsid w:val="00B63083"/>
    <w:rsid w:val="00B63B99"/>
    <w:rsid w:val="00B673C6"/>
    <w:rsid w:val="00B72DAE"/>
    <w:rsid w:val="00B73366"/>
    <w:rsid w:val="00B80E4E"/>
    <w:rsid w:val="00B80ED3"/>
    <w:rsid w:val="00B83CAE"/>
    <w:rsid w:val="00B84067"/>
    <w:rsid w:val="00B85A0B"/>
    <w:rsid w:val="00B85BE3"/>
    <w:rsid w:val="00B85C5E"/>
    <w:rsid w:val="00B861D0"/>
    <w:rsid w:val="00B862E3"/>
    <w:rsid w:val="00B9209A"/>
    <w:rsid w:val="00B92881"/>
    <w:rsid w:val="00B97B5E"/>
    <w:rsid w:val="00BA34BE"/>
    <w:rsid w:val="00BA6249"/>
    <w:rsid w:val="00BB009C"/>
    <w:rsid w:val="00BB024E"/>
    <w:rsid w:val="00BB2128"/>
    <w:rsid w:val="00BB25A1"/>
    <w:rsid w:val="00BC2B73"/>
    <w:rsid w:val="00BC73CB"/>
    <w:rsid w:val="00BD18E3"/>
    <w:rsid w:val="00BD7C37"/>
    <w:rsid w:val="00BE05F0"/>
    <w:rsid w:val="00BE1D1A"/>
    <w:rsid w:val="00BF0237"/>
    <w:rsid w:val="00BF190A"/>
    <w:rsid w:val="00BF5E23"/>
    <w:rsid w:val="00C02DDC"/>
    <w:rsid w:val="00C04A72"/>
    <w:rsid w:val="00C07C67"/>
    <w:rsid w:val="00C1645E"/>
    <w:rsid w:val="00C30117"/>
    <w:rsid w:val="00C301C5"/>
    <w:rsid w:val="00C3698A"/>
    <w:rsid w:val="00C37965"/>
    <w:rsid w:val="00C424C5"/>
    <w:rsid w:val="00C4511D"/>
    <w:rsid w:val="00C503B0"/>
    <w:rsid w:val="00C60078"/>
    <w:rsid w:val="00C61DCB"/>
    <w:rsid w:val="00C62519"/>
    <w:rsid w:val="00C63346"/>
    <w:rsid w:val="00C64E48"/>
    <w:rsid w:val="00C667CB"/>
    <w:rsid w:val="00C67CF9"/>
    <w:rsid w:val="00C705A8"/>
    <w:rsid w:val="00C70ED6"/>
    <w:rsid w:val="00C719A0"/>
    <w:rsid w:val="00C838D2"/>
    <w:rsid w:val="00C8470C"/>
    <w:rsid w:val="00C86E50"/>
    <w:rsid w:val="00C87B8A"/>
    <w:rsid w:val="00C90AFA"/>
    <w:rsid w:val="00C937BA"/>
    <w:rsid w:val="00C94AF0"/>
    <w:rsid w:val="00CA50AC"/>
    <w:rsid w:val="00CA59F4"/>
    <w:rsid w:val="00CA5F81"/>
    <w:rsid w:val="00CA626D"/>
    <w:rsid w:val="00CA7CEC"/>
    <w:rsid w:val="00CB0B4F"/>
    <w:rsid w:val="00CB3064"/>
    <w:rsid w:val="00CB74C6"/>
    <w:rsid w:val="00CB7D96"/>
    <w:rsid w:val="00CC2629"/>
    <w:rsid w:val="00CC2E60"/>
    <w:rsid w:val="00CD0DA0"/>
    <w:rsid w:val="00CD38B5"/>
    <w:rsid w:val="00CD7191"/>
    <w:rsid w:val="00CF2C5E"/>
    <w:rsid w:val="00CF3393"/>
    <w:rsid w:val="00CF513D"/>
    <w:rsid w:val="00CF5B0C"/>
    <w:rsid w:val="00D01840"/>
    <w:rsid w:val="00D06303"/>
    <w:rsid w:val="00D125B3"/>
    <w:rsid w:val="00D17279"/>
    <w:rsid w:val="00D40DC5"/>
    <w:rsid w:val="00D47463"/>
    <w:rsid w:val="00D47806"/>
    <w:rsid w:val="00D60BBF"/>
    <w:rsid w:val="00D60E8A"/>
    <w:rsid w:val="00D60F05"/>
    <w:rsid w:val="00D612BC"/>
    <w:rsid w:val="00D723C1"/>
    <w:rsid w:val="00D74BEE"/>
    <w:rsid w:val="00D7793A"/>
    <w:rsid w:val="00D8185B"/>
    <w:rsid w:val="00D844CC"/>
    <w:rsid w:val="00D940B6"/>
    <w:rsid w:val="00D9592C"/>
    <w:rsid w:val="00D95A0C"/>
    <w:rsid w:val="00DA71FB"/>
    <w:rsid w:val="00DA7732"/>
    <w:rsid w:val="00DB2A37"/>
    <w:rsid w:val="00DB3798"/>
    <w:rsid w:val="00DB3BF4"/>
    <w:rsid w:val="00DB5AF6"/>
    <w:rsid w:val="00DB6D1E"/>
    <w:rsid w:val="00DC7562"/>
    <w:rsid w:val="00DC7E86"/>
    <w:rsid w:val="00DD0075"/>
    <w:rsid w:val="00DD5B58"/>
    <w:rsid w:val="00DE69E3"/>
    <w:rsid w:val="00E00FCB"/>
    <w:rsid w:val="00E05040"/>
    <w:rsid w:val="00E060A7"/>
    <w:rsid w:val="00E0732D"/>
    <w:rsid w:val="00E07569"/>
    <w:rsid w:val="00E17E12"/>
    <w:rsid w:val="00E260C2"/>
    <w:rsid w:val="00E33B2D"/>
    <w:rsid w:val="00E34C14"/>
    <w:rsid w:val="00E37A86"/>
    <w:rsid w:val="00E409D5"/>
    <w:rsid w:val="00E40AB4"/>
    <w:rsid w:val="00E412DC"/>
    <w:rsid w:val="00E443CB"/>
    <w:rsid w:val="00E5337B"/>
    <w:rsid w:val="00E6073C"/>
    <w:rsid w:val="00E63FBB"/>
    <w:rsid w:val="00E74094"/>
    <w:rsid w:val="00E75B9D"/>
    <w:rsid w:val="00E838B7"/>
    <w:rsid w:val="00E84A68"/>
    <w:rsid w:val="00E862CD"/>
    <w:rsid w:val="00E9149F"/>
    <w:rsid w:val="00E94507"/>
    <w:rsid w:val="00EA0A3C"/>
    <w:rsid w:val="00EA12E9"/>
    <w:rsid w:val="00EA3E5E"/>
    <w:rsid w:val="00EA5660"/>
    <w:rsid w:val="00EA75BA"/>
    <w:rsid w:val="00EB27F7"/>
    <w:rsid w:val="00EB414A"/>
    <w:rsid w:val="00EC096D"/>
    <w:rsid w:val="00ED0529"/>
    <w:rsid w:val="00ED32FE"/>
    <w:rsid w:val="00ED6605"/>
    <w:rsid w:val="00EE2452"/>
    <w:rsid w:val="00EE4214"/>
    <w:rsid w:val="00EE5626"/>
    <w:rsid w:val="00EE6391"/>
    <w:rsid w:val="00EE6803"/>
    <w:rsid w:val="00EF1D9E"/>
    <w:rsid w:val="00EF37FD"/>
    <w:rsid w:val="00F02336"/>
    <w:rsid w:val="00F04F02"/>
    <w:rsid w:val="00F1254D"/>
    <w:rsid w:val="00F139E5"/>
    <w:rsid w:val="00F13C3A"/>
    <w:rsid w:val="00F20971"/>
    <w:rsid w:val="00F3074E"/>
    <w:rsid w:val="00F32531"/>
    <w:rsid w:val="00F33D35"/>
    <w:rsid w:val="00F37022"/>
    <w:rsid w:val="00F409FB"/>
    <w:rsid w:val="00F4224B"/>
    <w:rsid w:val="00F4416A"/>
    <w:rsid w:val="00F44D28"/>
    <w:rsid w:val="00F47078"/>
    <w:rsid w:val="00F52E51"/>
    <w:rsid w:val="00F54610"/>
    <w:rsid w:val="00F57385"/>
    <w:rsid w:val="00F57E84"/>
    <w:rsid w:val="00F6033D"/>
    <w:rsid w:val="00F63EFD"/>
    <w:rsid w:val="00F64D64"/>
    <w:rsid w:val="00F67D99"/>
    <w:rsid w:val="00F8317C"/>
    <w:rsid w:val="00F90A4D"/>
    <w:rsid w:val="00F93A76"/>
    <w:rsid w:val="00F95D2D"/>
    <w:rsid w:val="00F974A5"/>
    <w:rsid w:val="00FA75EB"/>
    <w:rsid w:val="00FB2AAA"/>
    <w:rsid w:val="00FB4E96"/>
    <w:rsid w:val="00FC20B2"/>
    <w:rsid w:val="00FC38FD"/>
    <w:rsid w:val="00FD12F9"/>
    <w:rsid w:val="00FD6728"/>
    <w:rsid w:val="00FE217A"/>
    <w:rsid w:val="00FE498D"/>
    <w:rsid w:val="00FE5F6F"/>
    <w:rsid w:val="00FE612C"/>
    <w:rsid w:val="00FE76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0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A76"/>
    <w:pPr>
      <w:widowControl w:val="0"/>
      <w:autoSpaceDE w:val="0"/>
      <w:autoSpaceDN w:val="0"/>
      <w:adjustRightInd w:val="0"/>
    </w:pPr>
    <w:rPr>
      <w:lang w:val="en-US" w:eastAsia="en-US"/>
    </w:rPr>
  </w:style>
  <w:style w:type="paragraph" w:styleId="Heading1">
    <w:name w:val="heading 1"/>
    <w:basedOn w:val="Normal"/>
    <w:next w:val="Normal"/>
    <w:qFormat/>
    <w:rsid w:val="000E75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707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6707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F93A76"/>
    <w:pPr>
      <w:keepNext/>
      <w:widowControl/>
      <w:tabs>
        <w:tab w:val="left" w:pos="-696"/>
        <w:tab w:val="left" w:pos="0"/>
        <w:tab w:val="left" w:pos="720"/>
        <w:tab w:val="left" w:pos="975"/>
        <w:tab w:val="left" w:pos="12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720" w:hanging="720"/>
      <w:outlineLvl w:val="4"/>
    </w:pPr>
    <w:rPr>
      <w:b/>
      <w:bC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3A76"/>
    <w:pPr>
      <w:tabs>
        <w:tab w:val="center" w:pos="4419"/>
        <w:tab w:val="right" w:pos="8838"/>
      </w:tabs>
    </w:pPr>
  </w:style>
  <w:style w:type="paragraph" w:styleId="Footer">
    <w:name w:val="footer"/>
    <w:basedOn w:val="Normal"/>
    <w:link w:val="FooterChar"/>
    <w:uiPriority w:val="99"/>
    <w:rsid w:val="00F93A76"/>
    <w:pPr>
      <w:tabs>
        <w:tab w:val="center" w:pos="4419"/>
        <w:tab w:val="right" w:pos="8838"/>
      </w:tabs>
    </w:pPr>
  </w:style>
  <w:style w:type="paragraph" w:styleId="BodyTextIndent">
    <w:name w:val="Body Text Indent"/>
    <w:basedOn w:val="Normal"/>
    <w:rsid w:val="00F93A76"/>
    <w:pPr>
      <w:widowControl/>
      <w:tabs>
        <w:tab w:val="left" w:pos="-1440"/>
        <w:tab w:val="left" w:pos="-720"/>
        <w:tab w:val="left" w:pos="0"/>
        <w:tab w:val="left" w:pos="720"/>
        <w:tab w:val="left" w:pos="1440"/>
        <w:tab w:val="left" w:pos="1700"/>
        <w:tab w:val="left" w:pos="2880"/>
        <w:tab w:val="left" w:pos="3600"/>
        <w:tab w:val="left" w:pos="4678"/>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2040" w:hanging="2040"/>
    </w:pPr>
    <w:rPr>
      <w:rFonts w:ascii="Arial" w:hAnsi="Arial" w:cs="Arial"/>
      <w:sz w:val="18"/>
      <w:szCs w:val="18"/>
    </w:rPr>
  </w:style>
  <w:style w:type="paragraph" w:styleId="BalloonText">
    <w:name w:val="Balloon Text"/>
    <w:basedOn w:val="Normal"/>
    <w:link w:val="BalloonTextChar"/>
    <w:rsid w:val="0027497D"/>
    <w:rPr>
      <w:rFonts w:ascii="Tahoma" w:hAnsi="Tahoma" w:cs="Tahoma"/>
      <w:sz w:val="16"/>
      <w:szCs w:val="16"/>
    </w:rPr>
  </w:style>
  <w:style w:type="character" w:customStyle="1" w:styleId="BalloonTextChar">
    <w:name w:val="Balloon Text Char"/>
    <w:basedOn w:val="DefaultParagraphFont"/>
    <w:link w:val="BalloonText"/>
    <w:rsid w:val="0027497D"/>
    <w:rPr>
      <w:rFonts w:ascii="Tahoma" w:hAnsi="Tahoma" w:cs="Tahoma"/>
      <w:sz w:val="16"/>
      <w:szCs w:val="16"/>
      <w:lang w:val="en-US" w:eastAsia="en-US"/>
    </w:rPr>
  </w:style>
  <w:style w:type="character" w:customStyle="1" w:styleId="Heading2Char">
    <w:name w:val="Heading 2 Char"/>
    <w:basedOn w:val="DefaultParagraphFont"/>
    <w:link w:val="Heading2"/>
    <w:semiHidden/>
    <w:rsid w:val="0067079E"/>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67079E"/>
    <w:rPr>
      <w:rFonts w:asciiTheme="majorHAnsi" w:eastAsiaTheme="majorEastAsia" w:hAnsiTheme="majorHAnsi" w:cstheme="majorBidi"/>
      <w:b/>
      <w:bCs/>
      <w:i/>
      <w:iCs/>
      <w:color w:val="4F81BD" w:themeColor="accent1"/>
      <w:lang w:val="en-US" w:eastAsia="en-US"/>
    </w:rPr>
  </w:style>
  <w:style w:type="paragraph" w:styleId="ListParagraph">
    <w:name w:val="List Paragraph"/>
    <w:basedOn w:val="Normal"/>
    <w:uiPriority w:val="34"/>
    <w:qFormat/>
    <w:rsid w:val="0067079E"/>
    <w:pPr>
      <w:widowControl/>
      <w:numPr>
        <w:numId w:val="1"/>
      </w:numPr>
      <w:autoSpaceDE/>
      <w:autoSpaceDN/>
      <w:adjustRightInd/>
      <w:spacing w:before="240" w:after="60" w:line="276" w:lineRule="auto"/>
      <w:contextualSpacing/>
      <w:jc w:val="both"/>
    </w:pPr>
    <w:rPr>
      <w:rFonts w:eastAsiaTheme="minorHAnsi"/>
      <w:b/>
      <w:i/>
      <w:sz w:val="22"/>
      <w:szCs w:val="18"/>
    </w:rPr>
  </w:style>
  <w:style w:type="character" w:styleId="Hyperlink">
    <w:name w:val="Hyperlink"/>
    <w:basedOn w:val="DefaultParagraphFont"/>
    <w:uiPriority w:val="99"/>
    <w:unhideWhenUsed/>
    <w:rsid w:val="0067079E"/>
    <w:rPr>
      <w:color w:val="0000FF" w:themeColor="hyperlink"/>
      <w:u w:val="single"/>
    </w:rPr>
  </w:style>
  <w:style w:type="table" w:styleId="TableGrid">
    <w:name w:val="Table Grid"/>
    <w:basedOn w:val="TableNormal"/>
    <w:uiPriority w:val="59"/>
    <w:rsid w:val="0067079E"/>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1">
    <w:name w:val="bullets1"/>
    <w:basedOn w:val="Heading4"/>
    <w:link w:val="bullets1Char"/>
    <w:qFormat/>
    <w:rsid w:val="0067079E"/>
    <w:pPr>
      <w:widowControl/>
      <w:numPr>
        <w:numId w:val="3"/>
      </w:numPr>
      <w:autoSpaceDE/>
      <w:autoSpaceDN/>
      <w:adjustRightInd/>
      <w:spacing w:before="0"/>
      <w:jc w:val="both"/>
    </w:pPr>
    <w:rPr>
      <w:rFonts w:ascii="Times New Roman" w:hAnsi="Times New Roman" w:cs="Times New Roman"/>
      <w:i w:val="0"/>
      <w:color w:val="auto"/>
      <w:sz w:val="22"/>
      <w:szCs w:val="18"/>
    </w:rPr>
  </w:style>
  <w:style w:type="character" w:customStyle="1" w:styleId="bullets1Char">
    <w:name w:val="bullets1 Char"/>
    <w:basedOn w:val="Heading4Char"/>
    <w:link w:val="bullets1"/>
    <w:rsid w:val="0067079E"/>
    <w:rPr>
      <w:rFonts w:asciiTheme="majorHAnsi" w:eastAsiaTheme="majorEastAsia" w:hAnsiTheme="majorHAnsi" w:cstheme="majorBidi"/>
      <w:b/>
      <w:bCs/>
      <w:i/>
      <w:iCs/>
      <w:color w:val="4F81BD" w:themeColor="accent1"/>
      <w:sz w:val="22"/>
      <w:szCs w:val="18"/>
      <w:lang w:val="en-US" w:eastAsia="en-US"/>
    </w:rPr>
  </w:style>
  <w:style w:type="paragraph" w:customStyle="1" w:styleId="Title1">
    <w:name w:val="Title1"/>
    <w:basedOn w:val="Heading1"/>
    <w:link w:val="titleChar"/>
    <w:qFormat/>
    <w:rsid w:val="0067079E"/>
    <w:pPr>
      <w:keepLines/>
      <w:widowControl/>
      <w:autoSpaceDE/>
      <w:autoSpaceDN/>
      <w:adjustRightInd/>
      <w:spacing w:before="120" w:after="120"/>
      <w:jc w:val="center"/>
    </w:pPr>
    <w:rPr>
      <w:rFonts w:ascii="Times New Roman" w:eastAsiaTheme="majorEastAsia" w:hAnsi="Times New Roman" w:cs="Times New Roman"/>
      <w:kern w:val="0"/>
      <w:sz w:val="24"/>
      <w:szCs w:val="19"/>
    </w:rPr>
  </w:style>
  <w:style w:type="character" w:customStyle="1" w:styleId="titleChar">
    <w:name w:val="title Char"/>
    <w:basedOn w:val="DefaultParagraphFont"/>
    <w:link w:val="Title1"/>
    <w:rsid w:val="0067079E"/>
    <w:rPr>
      <w:rFonts w:eastAsiaTheme="majorEastAsia"/>
      <w:b/>
      <w:bCs/>
      <w:sz w:val="24"/>
      <w:szCs w:val="19"/>
      <w:lang w:val="en-US" w:eastAsia="en-US"/>
    </w:rPr>
  </w:style>
  <w:style w:type="paragraph" w:styleId="PlainText">
    <w:name w:val="Plain Text"/>
    <w:basedOn w:val="Normal"/>
    <w:link w:val="PlainTextChar"/>
    <w:uiPriority w:val="99"/>
    <w:unhideWhenUsed/>
    <w:rsid w:val="001811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811F9"/>
    <w:rPr>
      <w:rFonts w:ascii="Consolas" w:eastAsiaTheme="minorHAnsi" w:hAnsi="Consolas" w:cstheme="minorBidi"/>
      <w:sz w:val="21"/>
      <w:szCs w:val="21"/>
      <w:lang w:val="en-US" w:eastAsia="en-US"/>
    </w:rPr>
  </w:style>
  <w:style w:type="paragraph" w:styleId="NormalWeb">
    <w:name w:val="Normal (Web)"/>
    <w:basedOn w:val="Normal"/>
    <w:unhideWhenUsed/>
    <w:rsid w:val="0056759D"/>
    <w:pPr>
      <w:widowControl/>
      <w:autoSpaceDE/>
      <w:autoSpaceDN/>
      <w:adjustRightInd/>
      <w:spacing w:before="100" w:beforeAutospacing="1" w:after="100" w:afterAutospacing="1"/>
    </w:pPr>
    <w:rPr>
      <w:sz w:val="24"/>
      <w:szCs w:val="24"/>
    </w:rPr>
  </w:style>
  <w:style w:type="character" w:customStyle="1" w:styleId="HeaderChar">
    <w:name w:val="Header Char"/>
    <w:basedOn w:val="DefaultParagraphFont"/>
    <w:link w:val="Header"/>
    <w:uiPriority w:val="99"/>
    <w:rsid w:val="00DC7562"/>
    <w:rPr>
      <w:lang w:val="en-US" w:eastAsia="en-US"/>
    </w:rPr>
  </w:style>
  <w:style w:type="character" w:customStyle="1" w:styleId="FooterChar">
    <w:name w:val="Footer Char"/>
    <w:basedOn w:val="DefaultParagraphFont"/>
    <w:link w:val="Footer"/>
    <w:uiPriority w:val="99"/>
    <w:rsid w:val="00DC7562"/>
    <w:rPr>
      <w:lang w:val="en-US" w:eastAsia="en-US"/>
    </w:rPr>
  </w:style>
  <w:style w:type="paragraph" w:customStyle="1" w:styleId="Default">
    <w:name w:val="Default"/>
    <w:rsid w:val="00DC7562"/>
    <w:pPr>
      <w:widowControl w:val="0"/>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2985">
      <w:bodyDiv w:val="1"/>
      <w:marLeft w:val="0"/>
      <w:marRight w:val="0"/>
      <w:marTop w:val="0"/>
      <w:marBottom w:val="0"/>
      <w:divBdr>
        <w:top w:val="none" w:sz="0" w:space="0" w:color="auto"/>
        <w:left w:val="none" w:sz="0" w:space="0" w:color="auto"/>
        <w:bottom w:val="none" w:sz="0" w:space="0" w:color="auto"/>
        <w:right w:val="none" w:sz="0" w:space="0" w:color="auto"/>
      </w:divBdr>
    </w:div>
    <w:div w:id="104228782">
      <w:bodyDiv w:val="1"/>
      <w:marLeft w:val="0"/>
      <w:marRight w:val="0"/>
      <w:marTop w:val="0"/>
      <w:marBottom w:val="0"/>
      <w:divBdr>
        <w:top w:val="none" w:sz="0" w:space="0" w:color="auto"/>
        <w:left w:val="none" w:sz="0" w:space="0" w:color="auto"/>
        <w:bottom w:val="none" w:sz="0" w:space="0" w:color="auto"/>
        <w:right w:val="none" w:sz="0" w:space="0" w:color="auto"/>
      </w:divBdr>
    </w:div>
    <w:div w:id="277369802">
      <w:bodyDiv w:val="1"/>
      <w:marLeft w:val="0"/>
      <w:marRight w:val="0"/>
      <w:marTop w:val="0"/>
      <w:marBottom w:val="0"/>
      <w:divBdr>
        <w:top w:val="none" w:sz="0" w:space="0" w:color="auto"/>
        <w:left w:val="none" w:sz="0" w:space="0" w:color="auto"/>
        <w:bottom w:val="none" w:sz="0" w:space="0" w:color="auto"/>
        <w:right w:val="none" w:sz="0" w:space="0" w:color="auto"/>
      </w:divBdr>
    </w:div>
    <w:div w:id="347216654">
      <w:bodyDiv w:val="1"/>
      <w:marLeft w:val="0"/>
      <w:marRight w:val="0"/>
      <w:marTop w:val="0"/>
      <w:marBottom w:val="0"/>
      <w:divBdr>
        <w:top w:val="none" w:sz="0" w:space="0" w:color="auto"/>
        <w:left w:val="none" w:sz="0" w:space="0" w:color="auto"/>
        <w:bottom w:val="none" w:sz="0" w:space="0" w:color="auto"/>
        <w:right w:val="none" w:sz="0" w:space="0" w:color="auto"/>
      </w:divBdr>
    </w:div>
    <w:div w:id="477696471">
      <w:bodyDiv w:val="1"/>
      <w:marLeft w:val="0"/>
      <w:marRight w:val="0"/>
      <w:marTop w:val="0"/>
      <w:marBottom w:val="0"/>
      <w:divBdr>
        <w:top w:val="none" w:sz="0" w:space="0" w:color="auto"/>
        <w:left w:val="none" w:sz="0" w:space="0" w:color="auto"/>
        <w:bottom w:val="none" w:sz="0" w:space="0" w:color="auto"/>
        <w:right w:val="none" w:sz="0" w:space="0" w:color="auto"/>
      </w:divBdr>
    </w:div>
    <w:div w:id="973409894">
      <w:bodyDiv w:val="1"/>
      <w:marLeft w:val="0"/>
      <w:marRight w:val="0"/>
      <w:marTop w:val="0"/>
      <w:marBottom w:val="0"/>
      <w:divBdr>
        <w:top w:val="none" w:sz="0" w:space="0" w:color="auto"/>
        <w:left w:val="none" w:sz="0" w:space="0" w:color="auto"/>
        <w:bottom w:val="none" w:sz="0" w:space="0" w:color="auto"/>
        <w:right w:val="none" w:sz="0" w:space="0" w:color="auto"/>
      </w:divBdr>
    </w:div>
    <w:div w:id="1086144941">
      <w:bodyDiv w:val="1"/>
      <w:marLeft w:val="0"/>
      <w:marRight w:val="0"/>
      <w:marTop w:val="0"/>
      <w:marBottom w:val="0"/>
      <w:divBdr>
        <w:top w:val="none" w:sz="0" w:space="0" w:color="auto"/>
        <w:left w:val="none" w:sz="0" w:space="0" w:color="auto"/>
        <w:bottom w:val="none" w:sz="0" w:space="0" w:color="auto"/>
        <w:right w:val="none" w:sz="0" w:space="0" w:color="auto"/>
      </w:divBdr>
    </w:div>
    <w:div w:id="1200624336">
      <w:bodyDiv w:val="1"/>
      <w:marLeft w:val="0"/>
      <w:marRight w:val="0"/>
      <w:marTop w:val="0"/>
      <w:marBottom w:val="0"/>
      <w:divBdr>
        <w:top w:val="none" w:sz="0" w:space="0" w:color="auto"/>
        <w:left w:val="none" w:sz="0" w:space="0" w:color="auto"/>
        <w:bottom w:val="none" w:sz="0" w:space="0" w:color="auto"/>
        <w:right w:val="none" w:sz="0" w:space="0" w:color="auto"/>
      </w:divBdr>
    </w:div>
    <w:div w:id="1200775343">
      <w:bodyDiv w:val="1"/>
      <w:marLeft w:val="0"/>
      <w:marRight w:val="0"/>
      <w:marTop w:val="0"/>
      <w:marBottom w:val="0"/>
      <w:divBdr>
        <w:top w:val="none" w:sz="0" w:space="0" w:color="auto"/>
        <w:left w:val="none" w:sz="0" w:space="0" w:color="auto"/>
        <w:bottom w:val="none" w:sz="0" w:space="0" w:color="auto"/>
        <w:right w:val="none" w:sz="0" w:space="0" w:color="auto"/>
      </w:divBdr>
    </w:div>
    <w:div w:id="1303535714">
      <w:bodyDiv w:val="1"/>
      <w:marLeft w:val="0"/>
      <w:marRight w:val="0"/>
      <w:marTop w:val="0"/>
      <w:marBottom w:val="0"/>
      <w:divBdr>
        <w:top w:val="none" w:sz="0" w:space="0" w:color="auto"/>
        <w:left w:val="none" w:sz="0" w:space="0" w:color="auto"/>
        <w:bottom w:val="none" w:sz="0" w:space="0" w:color="auto"/>
        <w:right w:val="none" w:sz="0" w:space="0" w:color="auto"/>
      </w:divBdr>
    </w:div>
    <w:div w:id="1397783988">
      <w:bodyDiv w:val="1"/>
      <w:marLeft w:val="0"/>
      <w:marRight w:val="0"/>
      <w:marTop w:val="0"/>
      <w:marBottom w:val="0"/>
      <w:divBdr>
        <w:top w:val="none" w:sz="0" w:space="0" w:color="auto"/>
        <w:left w:val="none" w:sz="0" w:space="0" w:color="auto"/>
        <w:bottom w:val="none" w:sz="0" w:space="0" w:color="auto"/>
        <w:right w:val="none" w:sz="0" w:space="0" w:color="auto"/>
      </w:divBdr>
    </w:div>
    <w:div w:id="1405839217">
      <w:bodyDiv w:val="1"/>
      <w:marLeft w:val="0"/>
      <w:marRight w:val="0"/>
      <w:marTop w:val="0"/>
      <w:marBottom w:val="0"/>
      <w:divBdr>
        <w:top w:val="none" w:sz="0" w:space="0" w:color="auto"/>
        <w:left w:val="none" w:sz="0" w:space="0" w:color="auto"/>
        <w:bottom w:val="none" w:sz="0" w:space="0" w:color="auto"/>
        <w:right w:val="none" w:sz="0" w:space="0" w:color="auto"/>
      </w:divBdr>
    </w:div>
    <w:div w:id="1598097316">
      <w:bodyDiv w:val="1"/>
      <w:marLeft w:val="0"/>
      <w:marRight w:val="0"/>
      <w:marTop w:val="0"/>
      <w:marBottom w:val="0"/>
      <w:divBdr>
        <w:top w:val="none" w:sz="0" w:space="0" w:color="auto"/>
        <w:left w:val="none" w:sz="0" w:space="0" w:color="auto"/>
        <w:bottom w:val="none" w:sz="0" w:space="0" w:color="auto"/>
        <w:right w:val="none" w:sz="0" w:space="0" w:color="auto"/>
      </w:divBdr>
    </w:div>
    <w:div w:id="1640651904">
      <w:bodyDiv w:val="1"/>
      <w:marLeft w:val="0"/>
      <w:marRight w:val="0"/>
      <w:marTop w:val="0"/>
      <w:marBottom w:val="0"/>
      <w:divBdr>
        <w:top w:val="none" w:sz="0" w:space="0" w:color="auto"/>
        <w:left w:val="none" w:sz="0" w:space="0" w:color="auto"/>
        <w:bottom w:val="none" w:sz="0" w:space="0" w:color="auto"/>
        <w:right w:val="none" w:sz="0" w:space="0" w:color="auto"/>
      </w:divBdr>
    </w:div>
    <w:div w:id="1754089546">
      <w:bodyDiv w:val="1"/>
      <w:marLeft w:val="0"/>
      <w:marRight w:val="0"/>
      <w:marTop w:val="0"/>
      <w:marBottom w:val="0"/>
      <w:divBdr>
        <w:top w:val="none" w:sz="0" w:space="0" w:color="auto"/>
        <w:left w:val="none" w:sz="0" w:space="0" w:color="auto"/>
        <w:bottom w:val="none" w:sz="0" w:space="0" w:color="auto"/>
        <w:right w:val="none" w:sz="0" w:space="0" w:color="auto"/>
      </w:divBdr>
    </w:div>
    <w:div w:id="1860658482">
      <w:bodyDiv w:val="1"/>
      <w:marLeft w:val="0"/>
      <w:marRight w:val="0"/>
      <w:marTop w:val="0"/>
      <w:marBottom w:val="0"/>
      <w:divBdr>
        <w:top w:val="none" w:sz="0" w:space="0" w:color="auto"/>
        <w:left w:val="none" w:sz="0" w:space="0" w:color="auto"/>
        <w:bottom w:val="none" w:sz="0" w:space="0" w:color="auto"/>
        <w:right w:val="none" w:sz="0" w:space="0" w:color="auto"/>
      </w:divBdr>
    </w:div>
    <w:div w:id="1882356131">
      <w:bodyDiv w:val="1"/>
      <w:marLeft w:val="0"/>
      <w:marRight w:val="0"/>
      <w:marTop w:val="0"/>
      <w:marBottom w:val="0"/>
      <w:divBdr>
        <w:top w:val="none" w:sz="0" w:space="0" w:color="auto"/>
        <w:left w:val="none" w:sz="0" w:space="0" w:color="auto"/>
        <w:bottom w:val="none" w:sz="0" w:space="0" w:color="auto"/>
        <w:right w:val="none" w:sz="0" w:space="0" w:color="auto"/>
      </w:divBdr>
    </w:div>
    <w:div w:id="199741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ao.org/fileadmin/user_upload/legal/docs/037t-e.pdf"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3387</Words>
  <Characters>19312</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2025-11-19T14:45:00Z</dcterms:created>
  <dcterms:modified xsi:type="dcterms:W3CDTF">2025-11-19T14:45:00Z</dcterms:modified>
</cp:coreProperties>
</file>