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5DDAA" w14:textId="77777777" w:rsidR="00BA2375" w:rsidRDefault="00BA2375" w:rsidP="00BA2375">
      <w:pPr>
        <w:contextualSpacing/>
        <w:jc w:val="right"/>
        <w:rPr>
          <w:rFonts w:ascii="Cambria" w:eastAsia="Times New Roman" w:hAnsi="Cambria" w:cs="Times New Roman"/>
          <w:b/>
          <w:sz w:val="20"/>
          <w:szCs w:val="20"/>
        </w:rPr>
      </w:pPr>
      <w:r w:rsidRPr="00BA2375">
        <w:rPr>
          <w:rFonts w:ascii="Cambria" w:eastAsia="Times New Roman" w:hAnsi="Cambria" w:cs="Times New Roman"/>
          <w:b/>
          <w:sz w:val="20"/>
          <w:szCs w:val="20"/>
        </w:rPr>
        <w:t>Original : espagnol</w:t>
      </w:r>
    </w:p>
    <w:p w14:paraId="3A786254" w14:textId="77777777" w:rsidR="00D13EE4" w:rsidRPr="00D13EE4" w:rsidRDefault="00D13EE4" w:rsidP="00D13EE4">
      <w:pPr>
        <w:rPr>
          <w:rFonts w:ascii="Cambria" w:eastAsia="Calibri" w:hAnsi="Cambria" w:cs="Arial"/>
          <w:sz w:val="20"/>
          <w:szCs w:val="20"/>
        </w:rPr>
      </w:pPr>
    </w:p>
    <w:p w14:paraId="3760FBBF" w14:textId="5CCB4559" w:rsidR="00D13EE4" w:rsidRPr="0020159A" w:rsidRDefault="00D13EE4" w:rsidP="0020159A">
      <w:pPr>
        <w:jc w:val="center"/>
        <w:rPr>
          <w:rFonts w:ascii="Cambria" w:eastAsia="Calibri" w:hAnsi="Cambria" w:cs="Arial"/>
          <w:b/>
          <w:sz w:val="20"/>
        </w:rPr>
      </w:pPr>
      <w:r w:rsidRPr="004F0EA4">
        <w:rPr>
          <w:rFonts w:ascii="Cambria" w:eastAsia="Calibri" w:hAnsi="Cambria" w:cs="Arial"/>
          <w:b/>
          <w:sz w:val="20"/>
        </w:rPr>
        <w:t xml:space="preserve">Rapport juridique et financier sur le système de </w:t>
      </w:r>
      <w:r w:rsidR="0020159A" w:rsidRPr="004F0EA4">
        <w:rPr>
          <w:rFonts w:ascii="Cambria" w:eastAsia="Calibri" w:hAnsi="Cambria" w:cs="Arial"/>
          <w:b/>
          <w:sz w:val="20"/>
        </w:rPr>
        <w:t>pension</w:t>
      </w:r>
      <w:r w:rsidRPr="004F0EA4">
        <w:rPr>
          <w:rFonts w:ascii="Cambria" w:eastAsia="Calibri" w:hAnsi="Cambria" w:cs="Arial"/>
          <w:b/>
          <w:sz w:val="20"/>
        </w:rPr>
        <w:t xml:space="preserve"> du Secrétariat de l'ICCAT</w:t>
      </w:r>
    </w:p>
    <w:p w14:paraId="1EA68FF4" w14:textId="77777777" w:rsidR="00D13EE4" w:rsidRPr="00D13EE4" w:rsidRDefault="00D13EE4" w:rsidP="00D13EE4">
      <w:pPr>
        <w:ind w:left="720"/>
        <w:contextualSpacing/>
        <w:rPr>
          <w:rFonts w:ascii="Cambria" w:eastAsia="Calibri" w:hAnsi="Cambria" w:cs="Arial"/>
          <w:b/>
          <w:bCs/>
          <w:sz w:val="20"/>
          <w:szCs w:val="20"/>
        </w:rPr>
      </w:pPr>
    </w:p>
    <w:p w14:paraId="76ED34A4" w14:textId="77777777" w:rsidR="00D13EE4" w:rsidRPr="00D13EE4" w:rsidRDefault="00D13EE4" w:rsidP="00D13EE4">
      <w:pPr>
        <w:numPr>
          <w:ilvl w:val="0"/>
          <w:numId w:val="5"/>
        </w:numPr>
        <w:ind w:left="426" w:hanging="426"/>
        <w:contextualSpacing/>
        <w:rPr>
          <w:rFonts w:ascii="Cambria" w:eastAsia="Calibri" w:hAnsi="Cambria" w:cs="Arial"/>
          <w:b/>
          <w:bCs/>
          <w:sz w:val="20"/>
          <w:szCs w:val="20"/>
        </w:rPr>
      </w:pPr>
      <w:r w:rsidRPr="00D13EE4">
        <w:rPr>
          <w:rFonts w:ascii="Cambria" w:eastAsia="Calibri" w:hAnsi="Cambria" w:cs="Arial"/>
          <w:b/>
          <w:sz w:val="20"/>
        </w:rPr>
        <w:t>Exposé de la situation contractuelle du Fonds de pension</w:t>
      </w:r>
    </w:p>
    <w:p w14:paraId="05096FD8" w14:textId="77777777" w:rsidR="00D13EE4" w:rsidRPr="00D13EE4" w:rsidRDefault="00D13EE4" w:rsidP="00D13EE4">
      <w:pPr>
        <w:jc w:val="mediumKashida"/>
        <w:rPr>
          <w:rFonts w:ascii="Cambria" w:eastAsia="Calibri" w:hAnsi="Cambria" w:cs="Arial"/>
          <w:sz w:val="20"/>
          <w:szCs w:val="20"/>
        </w:rPr>
      </w:pPr>
    </w:p>
    <w:p w14:paraId="5614531C" w14:textId="77777777" w:rsidR="00D13EE4" w:rsidRPr="00D13EE4" w:rsidRDefault="00D13EE4" w:rsidP="00D13EE4">
      <w:pPr>
        <w:jc w:val="mediumKashida"/>
        <w:rPr>
          <w:rFonts w:ascii="Cambria" w:eastAsia="Calibri" w:hAnsi="Cambria" w:cs="Arial"/>
          <w:sz w:val="20"/>
          <w:szCs w:val="20"/>
        </w:rPr>
      </w:pPr>
      <w:r w:rsidRPr="00D13EE4">
        <w:rPr>
          <w:rFonts w:ascii="Cambria" w:eastAsia="Calibri" w:hAnsi="Cambria" w:cs="Arial"/>
          <w:sz w:val="20"/>
        </w:rPr>
        <w:t>Le Fonds de pension de l'ICCAT est régi par les articles 6.2.c) (catégories professionnelles ou supérieures) et 6.3.c) (catégorie des services généraux) des Statuts et du Règlement du personnel, qui font référence à un fonds de pension concerté.</w:t>
      </w:r>
    </w:p>
    <w:p w14:paraId="64C5485D" w14:textId="77777777" w:rsidR="00D13EE4" w:rsidRPr="00D13EE4" w:rsidRDefault="00D13EE4" w:rsidP="00D13EE4">
      <w:pPr>
        <w:ind w:firstLine="360"/>
        <w:jc w:val="mediumKashida"/>
        <w:rPr>
          <w:rFonts w:ascii="Cambria" w:eastAsia="Calibri" w:hAnsi="Cambria" w:cs="Arial"/>
          <w:sz w:val="20"/>
          <w:szCs w:val="20"/>
        </w:rPr>
      </w:pPr>
    </w:p>
    <w:p w14:paraId="7F7606E6" w14:textId="2818D886" w:rsidR="00D13EE4" w:rsidRPr="00D13EE4" w:rsidRDefault="00D13EE4" w:rsidP="00D13EE4">
      <w:pPr>
        <w:jc w:val="mediumKashida"/>
        <w:rPr>
          <w:rFonts w:ascii="Cambria" w:eastAsia="Calibri" w:hAnsi="Cambria" w:cs="Arial"/>
          <w:sz w:val="20"/>
          <w:szCs w:val="20"/>
        </w:rPr>
      </w:pPr>
      <w:r w:rsidRPr="00D13EE4">
        <w:rPr>
          <w:rFonts w:ascii="Cambria" w:eastAsia="Calibri" w:hAnsi="Cambria" w:cs="Arial"/>
          <w:sz w:val="20"/>
        </w:rPr>
        <w:t>La Commission contribue à hauteur de 23,7</w:t>
      </w:r>
      <w:r w:rsidR="004F0EA4">
        <w:rPr>
          <w:rFonts w:ascii="Cambria" w:eastAsia="Calibri" w:hAnsi="Cambria" w:cs="Arial"/>
          <w:sz w:val="20"/>
        </w:rPr>
        <w:t> </w:t>
      </w:r>
      <w:r w:rsidRPr="00D13EE4">
        <w:rPr>
          <w:rFonts w:ascii="Cambria" w:eastAsia="Calibri" w:hAnsi="Cambria" w:cs="Arial"/>
          <w:sz w:val="20"/>
        </w:rPr>
        <w:t>% du montant alloué à la rémunération ouvrant droit à pension, conformément au barème de la Commission de la fonction publique internationale</w:t>
      </w:r>
      <w:r w:rsidR="004F0EA4">
        <w:rPr>
          <w:rFonts w:ascii="Cambria" w:eastAsia="Calibri" w:hAnsi="Cambria" w:cs="Arial"/>
          <w:sz w:val="20"/>
        </w:rPr>
        <w:t> ;</w:t>
      </w:r>
      <w:r w:rsidRPr="00D13EE4">
        <w:rPr>
          <w:rFonts w:ascii="Cambria" w:eastAsia="Calibri" w:hAnsi="Cambria" w:cs="Arial"/>
          <w:sz w:val="20"/>
        </w:rPr>
        <w:t xml:space="preserve"> les changements incorporés à la Réunion de la Commission qui s’est tenue à Rio de Janeiro en novembre 1999 sont appliqués aux membres du personnel engagés à partir de janvier 2000, de telle sorte que la contribution de la Commission au fonds de pension sera de deux tiers du maximum et le membre du personnel apporte un tiers.</w:t>
      </w:r>
    </w:p>
    <w:p w14:paraId="6DF3B411" w14:textId="77777777" w:rsidR="00D13EE4" w:rsidRPr="00D13EE4" w:rsidRDefault="00D13EE4" w:rsidP="00D13EE4">
      <w:pPr>
        <w:ind w:firstLine="360"/>
        <w:jc w:val="mediumKashida"/>
        <w:rPr>
          <w:rFonts w:ascii="Cambria" w:eastAsia="Calibri" w:hAnsi="Cambria" w:cs="Arial"/>
          <w:sz w:val="20"/>
          <w:szCs w:val="20"/>
        </w:rPr>
      </w:pPr>
    </w:p>
    <w:p w14:paraId="394FDC99" w14:textId="77777777" w:rsidR="00D13EE4" w:rsidRPr="00D13EE4" w:rsidRDefault="00D13EE4" w:rsidP="00D13EE4">
      <w:pPr>
        <w:jc w:val="mediumKashida"/>
        <w:rPr>
          <w:rFonts w:ascii="Cambria" w:eastAsia="Calibri" w:hAnsi="Cambria" w:cs="Arial"/>
          <w:sz w:val="20"/>
          <w:szCs w:val="20"/>
        </w:rPr>
      </w:pPr>
      <w:r w:rsidRPr="00D13EE4">
        <w:rPr>
          <w:rFonts w:ascii="Cambria" w:eastAsia="Calibri" w:hAnsi="Cambria" w:cs="Arial"/>
          <w:sz w:val="20"/>
        </w:rPr>
        <w:t>Le modèle de concertation pour la mise en œuvre du fonds de pension a été développé depuis 1983 selon un mode de gestion privée et collective des apports versés à une compagnie d'assurance dépositaire, avec l'intermédiation d'un organisme gestionnaire (gestionnaire). Au départ, ces entités étaient les sociétés GENERALI et J. VAN BREDA, qui ont été remplacées par CIGNA et UTMOST.</w:t>
      </w:r>
    </w:p>
    <w:p w14:paraId="47CEAD20" w14:textId="77777777" w:rsidR="00D13EE4" w:rsidRPr="00D13EE4" w:rsidRDefault="00D13EE4" w:rsidP="00D13EE4">
      <w:pPr>
        <w:ind w:firstLine="360"/>
        <w:jc w:val="mediumKashida"/>
        <w:rPr>
          <w:rFonts w:ascii="Cambria" w:eastAsia="Calibri" w:hAnsi="Cambria" w:cs="Arial"/>
          <w:sz w:val="20"/>
          <w:szCs w:val="20"/>
        </w:rPr>
      </w:pPr>
    </w:p>
    <w:p w14:paraId="5ED492C5" w14:textId="77777777" w:rsidR="00D13EE4" w:rsidRPr="00D13EE4" w:rsidRDefault="00D13EE4" w:rsidP="00D13EE4">
      <w:pPr>
        <w:jc w:val="mediumKashida"/>
        <w:rPr>
          <w:rFonts w:ascii="Cambria" w:eastAsia="Calibri" w:hAnsi="Cambria" w:cs="Arial"/>
          <w:sz w:val="20"/>
          <w:szCs w:val="20"/>
        </w:rPr>
      </w:pPr>
      <w:r w:rsidRPr="00D13EE4">
        <w:rPr>
          <w:rFonts w:ascii="Cambria" w:eastAsia="Calibri" w:hAnsi="Cambria" w:cs="Arial"/>
          <w:sz w:val="20"/>
        </w:rPr>
        <w:t>Après plus de quarante ans d'application de ce modèle de gestion privée et collective du fonds de pension, plusieurs facteurs ont conduit à remettre en question la pertinence de ce système, parmi lesquels il convient de souligner :</w:t>
      </w:r>
    </w:p>
    <w:p w14:paraId="1C0F69DC" w14:textId="77777777" w:rsidR="00D13EE4" w:rsidRPr="00D13EE4" w:rsidRDefault="00D13EE4" w:rsidP="00D13EE4">
      <w:pPr>
        <w:ind w:left="360" w:firstLine="348"/>
        <w:jc w:val="mediumKashida"/>
        <w:rPr>
          <w:rFonts w:ascii="Cambria" w:eastAsia="Calibri" w:hAnsi="Cambria" w:cs="Arial"/>
          <w:sz w:val="20"/>
          <w:szCs w:val="20"/>
        </w:rPr>
      </w:pPr>
    </w:p>
    <w:p w14:paraId="165CCBAE" w14:textId="77777777" w:rsidR="00D13EE4" w:rsidRPr="00D13EE4" w:rsidRDefault="00D13EE4" w:rsidP="00D13EE4">
      <w:pPr>
        <w:numPr>
          <w:ilvl w:val="0"/>
          <w:numId w:val="6"/>
        </w:numPr>
        <w:ind w:left="567" w:hanging="283"/>
        <w:contextualSpacing/>
        <w:jc w:val="mediumKashida"/>
        <w:rPr>
          <w:rFonts w:ascii="Cambria" w:eastAsia="Calibri" w:hAnsi="Cambria" w:cs="Arial"/>
          <w:sz w:val="20"/>
          <w:szCs w:val="20"/>
        </w:rPr>
      </w:pPr>
      <w:r w:rsidRPr="00D13EE4">
        <w:rPr>
          <w:rFonts w:ascii="Cambria" w:eastAsia="Calibri" w:hAnsi="Cambria" w:cs="Arial"/>
          <w:i/>
          <w:sz w:val="20"/>
        </w:rPr>
        <w:t>La rémunération des apports</w:t>
      </w:r>
      <w:r w:rsidRPr="00D13EE4">
        <w:rPr>
          <w:rFonts w:ascii="Cambria" w:eastAsia="Calibri" w:hAnsi="Cambria" w:cs="Arial"/>
          <w:sz w:val="20"/>
        </w:rPr>
        <w:t xml:space="preserve"> La gestion collective des fonds implique nécessairement l'acceptation de taux d'intérêt fixes et garantis. Les taux d'intérêt garantis sur la rémunération des fonds déposés ont considérablement diminué dans le domaine financier international. Alors qu'en 1983, le contrat signé avec GENERALI garantissait un rendement minimum de 10,50 %, celui-ci est passé à moins de 4,9 % à partir de 2005, puis à moins de 3 % à partir de 2013. Actuellement, le taux d'intérêt garanti est de 2 %. </w:t>
      </w:r>
    </w:p>
    <w:p w14:paraId="00FE92E1" w14:textId="77777777" w:rsidR="00D13EE4" w:rsidRPr="00D13EE4" w:rsidRDefault="00D13EE4" w:rsidP="00D13EE4">
      <w:pPr>
        <w:ind w:left="567"/>
        <w:contextualSpacing/>
        <w:jc w:val="mediumKashida"/>
        <w:rPr>
          <w:rFonts w:ascii="Cambria" w:eastAsia="Calibri" w:hAnsi="Cambria" w:cs="Arial"/>
          <w:sz w:val="20"/>
          <w:szCs w:val="20"/>
        </w:rPr>
      </w:pPr>
    </w:p>
    <w:p w14:paraId="41556BD9" w14:textId="77777777" w:rsidR="00D13EE4" w:rsidRPr="00D13EE4" w:rsidRDefault="00D13EE4" w:rsidP="00D13EE4">
      <w:pPr>
        <w:ind w:left="567"/>
        <w:contextualSpacing/>
        <w:jc w:val="mediumKashida"/>
        <w:rPr>
          <w:rFonts w:ascii="Cambria" w:eastAsia="Calibri" w:hAnsi="Cambria" w:cs="Arial"/>
          <w:sz w:val="20"/>
          <w:szCs w:val="20"/>
        </w:rPr>
      </w:pPr>
      <w:r w:rsidRPr="00D13EE4">
        <w:rPr>
          <w:rFonts w:ascii="Cambria" w:eastAsia="Calibri" w:hAnsi="Cambria" w:cs="Arial"/>
          <w:sz w:val="20"/>
        </w:rPr>
        <w:t>La pension de retraite de l’ICCAT n'est pas revalorisée en fonction de l'inflation. Il n'y a donc pas d'indexation sur le coût de la vie. Cela entraîne une dépréciation des montants déposés chaque mois, ce qui génère une perte notable en termes de valeur des dépôts. Les pensions du système des Nations Unies, en revanche, bénéficient d'un ajustement au coût de la vie.</w:t>
      </w:r>
    </w:p>
    <w:p w14:paraId="051740D3" w14:textId="77777777" w:rsidR="00D13EE4" w:rsidRPr="00D13EE4" w:rsidRDefault="00D13EE4" w:rsidP="00D13EE4">
      <w:pPr>
        <w:ind w:left="567" w:hanging="283"/>
        <w:jc w:val="mediumKashida"/>
        <w:rPr>
          <w:rFonts w:ascii="Cambria" w:eastAsia="Calibri" w:hAnsi="Cambria" w:cs="Arial"/>
          <w:sz w:val="20"/>
          <w:szCs w:val="20"/>
        </w:rPr>
      </w:pPr>
    </w:p>
    <w:p w14:paraId="681E8730" w14:textId="77777777" w:rsidR="00D13EE4" w:rsidRPr="00D13EE4" w:rsidRDefault="00D13EE4" w:rsidP="00D13EE4">
      <w:pPr>
        <w:numPr>
          <w:ilvl w:val="0"/>
          <w:numId w:val="6"/>
        </w:numPr>
        <w:ind w:left="567" w:hanging="283"/>
        <w:contextualSpacing/>
        <w:jc w:val="mediumKashida"/>
        <w:rPr>
          <w:rFonts w:ascii="Cambria" w:eastAsia="Calibri" w:hAnsi="Cambria" w:cs="Arial"/>
          <w:sz w:val="20"/>
          <w:szCs w:val="20"/>
        </w:rPr>
      </w:pPr>
      <w:r w:rsidRPr="00D13EE4">
        <w:rPr>
          <w:rFonts w:ascii="Cambria" w:eastAsia="Calibri" w:hAnsi="Cambria" w:cs="Arial"/>
          <w:i/>
          <w:iCs/>
          <w:sz w:val="20"/>
        </w:rPr>
        <w:t>Les frais de gestion</w:t>
      </w:r>
      <w:r w:rsidRPr="00D13EE4">
        <w:rPr>
          <w:rFonts w:ascii="Cambria" w:eastAsia="Calibri" w:hAnsi="Cambria" w:cs="Arial"/>
          <w:sz w:val="20"/>
        </w:rPr>
        <w:t xml:space="preserve"> Le contrat de gestion en vigueur depuis 1983 fixait les frais de gestion à 3 % des apports mensuels pour la société dépositaire et à 3 % pour le gestionnaire. L'expérience acquise par le Secrétariat au cours des dernières années a montré que les frais d'intermédiation du « gestionnaire » (actuellement CIGNA) n'étaient pas justifiés, étant donné que c'était le Secrétariat lui-même qui effectuait la plupart des démarches, raison pour laquelle la société intermédiaire était tout à fait superflue.</w:t>
      </w:r>
    </w:p>
    <w:p w14:paraId="7635208A" w14:textId="77777777" w:rsidR="00D13EE4" w:rsidRPr="00D13EE4" w:rsidRDefault="00D13EE4" w:rsidP="00D13EE4">
      <w:pPr>
        <w:ind w:left="567" w:hanging="283"/>
        <w:contextualSpacing/>
        <w:jc w:val="mediumKashida"/>
        <w:rPr>
          <w:rFonts w:ascii="Cambria" w:eastAsia="Calibri" w:hAnsi="Cambria" w:cs="Arial"/>
          <w:sz w:val="20"/>
          <w:szCs w:val="20"/>
        </w:rPr>
      </w:pPr>
    </w:p>
    <w:p w14:paraId="6F2E41BF" w14:textId="03CBCE27" w:rsidR="00D13EE4" w:rsidRPr="00D13EE4" w:rsidRDefault="00D13EE4" w:rsidP="00D13EE4">
      <w:pPr>
        <w:numPr>
          <w:ilvl w:val="0"/>
          <w:numId w:val="6"/>
        </w:numPr>
        <w:ind w:left="567" w:hanging="283"/>
        <w:contextualSpacing/>
        <w:jc w:val="mediumKashida"/>
        <w:rPr>
          <w:rFonts w:ascii="Cambria" w:eastAsia="Calibri" w:hAnsi="Cambria" w:cs="Arial"/>
          <w:sz w:val="20"/>
          <w:szCs w:val="20"/>
        </w:rPr>
      </w:pPr>
      <w:r w:rsidRPr="00D13EE4">
        <w:rPr>
          <w:rFonts w:ascii="Cambria" w:eastAsia="Calibri" w:hAnsi="Cambria" w:cs="Arial"/>
          <w:i/>
          <w:sz w:val="20"/>
        </w:rPr>
        <w:t>L'impact fiscal.</w:t>
      </w:r>
      <w:r w:rsidRPr="00D13EE4">
        <w:rPr>
          <w:rFonts w:ascii="Cambria" w:eastAsia="Calibri" w:hAnsi="Cambria" w:cs="Arial"/>
          <w:sz w:val="20"/>
        </w:rPr>
        <w:t xml:space="preserve"> La prise en compte fiscale des pensions des fonctionnaires des organisations internationales soumises à la réglementation applicable à leur lieu de résidence fiscale peut avoir une incidence </w:t>
      </w:r>
      <w:r w:rsidR="00662CB0">
        <w:rPr>
          <w:rFonts w:ascii="Cambria" w:eastAsia="Calibri" w:hAnsi="Cambria" w:cs="Arial"/>
          <w:sz w:val="20"/>
        </w:rPr>
        <w:t xml:space="preserve">négative </w:t>
      </w:r>
      <w:r w:rsidRPr="00D13EE4">
        <w:rPr>
          <w:rFonts w:ascii="Cambria" w:eastAsia="Calibri" w:hAnsi="Cambria" w:cs="Arial"/>
          <w:sz w:val="20"/>
        </w:rPr>
        <w:t>importante sur le montant de la pension.</w:t>
      </w:r>
    </w:p>
    <w:p w14:paraId="5C9D20B7" w14:textId="77777777" w:rsidR="00D13EE4" w:rsidRPr="00D13EE4" w:rsidRDefault="00D13EE4" w:rsidP="00D13EE4">
      <w:pPr>
        <w:ind w:left="567"/>
        <w:contextualSpacing/>
        <w:jc w:val="mediumKashida"/>
        <w:rPr>
          <w:rFonts w:ascii="Cambria" w:eastAsia="Calibri" w:hAnsi="Cambria" w:cs="Arial"/>
          <w:i/>
          <w:iCs/>
          <w:sz w:val="20"/>
          <w:szCs w:val="20"/>
        </w:rPr>
      </w:pPr>
    </w:p>
    <w:p w14:paraId="12FCEEB7" w14:textId="77777777" w:rsidR="00D13EE4" w:rsidRPr="00D13EE4" w:rsidRDefault="00D13EE4" w:rsidP="00D13EE4">
      <w:pPr>
        <w:numPr>
          <w:ilvl w:val="0"/>
          <w:numId w:val="6"/>
        </w:numPr>
        <w:ind w:left="567" w:hanging="283"/>
        <w:contextualSpacing/>
        <w:jc w:val="mediumKashida"/>
        <w:rPr>
          <w:rFonts w:ascii="Cambria" w:eastAsia="Calibri" w:hAnsi="Cambria" w:cs="Arial"/>
          <w:sz w:val="20"/>
          <w:szCs w:val="20"/>
        </w:rPr>
      </w:pPr>
      <w:r w:rsidRPr="00D13EE4">
        <w:rPr>
          <w:rFonts w:ascii="Cambria" w:eastAsia="Calibri" w:hAnsi="Cambria" w:cs="Arial"/>
          <w:i/>
          <w:iCs/>
          <w:sz w:val="20"/>
        </w:rPr>
        <w:t>La difficulté à récupérer les montants accumulés de manière régulière sous forme de rentes annuelles.</w:t>
      </w:r>
    </w:p>
    <w:p w14:paraId="246C4103" w14:textId="77777777" w:rsidR="00D13EE4" w:rsidRPr="00D13EE4" w:rsidRDefault="00D13EE4" w:rsidP="00D13EE4">
      <w:pPr>
        <w:jc w:val="mediumKashida"/>
        <w:rPr>
          <w:rFonts w:ascii="Cambria" w:eastAsia="Calibri" w:hAnsi="Cambria" w:cs="Arial"/>
          <w:sz w:val="20"/>
          <w:szCs w:val="20"/>
        </w:rPr>
      </w:pPr>
    </w:p>
    <w:p w14:paraId="6806E1E9" w14:textId="77777777" w:rsidR="00D13EE4" w:rsidRPr="00D13EE4" w:rsidRDefault="00D13EE4" w:rsidP="00D13EE4">
      <w:pPr>
        <w:jc w:val="mediumKashida"/>
        <w:rPr>
          <w:rFonts w:ascii="Cambria" w:eastAsia="Calibri" w:hAnsi="Cambria" w:cs="Arial"/>
          <w:sz w:val="20"/>
          <w:szCs w:val="20"/>
        </w:rPr>
      </w:pPr>
      <w:r w:rsidRPr="00D13EE4">
        <w:rPr>
          <w:rFonts w:ascii="Cambria" w:eastAsia="Calibri" w:hAnsi="Cambria" w:cs="Arial"/>
          <w:sz w:val="20"/>
        </w:rPr>
        <w:t xml:space="preserve">Ces facteurs ont conduit l'ensemble des membres de la catégorie professionnelle du Secrétariat à convenir de promouvoir l'étude d'alternatives visant à améliorer cette situation. </w:t>
      </w:r>
    </w:p>
    <w:p w14:paraId="6B158EF8" w14:textId="77777777" w:rsidR="00D13EE4" w:rsidRPr="00D13EE4" w:rsidRDefault="00D13EE4" w:rsidP="00D13EE4">
      <w:pPr>
        <w:jc w:val="mediumKashida"/>
        <w:rPr>
          <w:rFonts w:ascii="Cambria" w:eastAsia="Calibri" w:hAnsi="Cambria" w:cs="Arial"/>
          <w:sz w:val="20"/>
          <w:szCs w:val="20"/>
        </w:rPr>
      </w:pPr>
    </w:p>
    <w:p w14:paraId="745F5D30" w14:textId="77777777" w:rsidR="00943F60" w:rsidRDefault="00943F60">
      <w:pPr>
        <w:rPr>
          <w:rFonts w:ascii="Cambria" w:eastAsia="Calibri" w:hAnsi="Cambria" w:cs="Arial"/>
          <w:b/>
          <w:sz w:val="20"/>
        </w:rPr>
      </w:pPr>
      <w:r>
        <w:rPr>
          <w:rFonts w:ascii="Cambria" w:eastAsia="Calibri" w:hAnsi="Cambria" w:cs="Arial"/>
          <w:b/>
          <w:sz w:val="20"/>
        </w:rPr>
        <w:br w:type="page"/>
      </w:r>
    </w:p>
    <w:p w14:paraId="351AAC71" w14:textId="2945C33A" w:rsidR="00D13EE4" w:rsidRPr="00D13EE4" w:rsidRDefault="00D13EE4" w:rsidP="00D13EE4">
      <w:pPr>
        <w:numPr>
          <w:ilvl w:val="0"/>
          <w:numId w:val="5"/>
        </w:numPr>
        <w:ind w:left="426" w:hanging="426"/>
        <w:contextualSpacing/>
        <w:jc w:val="mediumKashida"/>
        <w:rPr>
          <w:rFonts w:ascii="Cambria" w:eastAsia="Calibri" w:hAnsi="Cambria" w:cs="Arial"/>
          <w:b/>
          <w:bCs/>
          <w:sz w:val="20"/>
          <w:szCs w:val="20"/>
        </w:rPr>
      </w:pPr>
      <w:r w:rsidRPr="00D13EE4">
        <w:rPr>
          <w:rFonts w:ascii="Cambria" w:eastAsia="Calibri" w:hAnsi="Cambria" w:cs="Arial"/>
          <w:b/>
          <w:sz w:val="20"/>
        </w:rPr>
        <w:lastRenderedPageBreak/>
        <w:t>Alternatives analysées</w:t>
      </w:r>
    </w:p>
    <w:p w14:paraId="5B5637B3" w14:textId="77777777" w:rsidR="00D13EE4" w:rsidRPr="00D13EE4" w:rsidRDefault="00D13EE4" w:rsidP="00D13EE4">
      <w:pPr>
        <w:jc w:val="mediumKashida"/>
        <w:rPr>
          <w:rFonts w:ascii="Cambria" w:eastAsia="Calibri" w:hAnsi="Cambria" w:cs="Arial"/>
          <w:sz w:val="20"/>
          <w:szCs w:val="20"/>
        </w:rPr>
      </w:pPr>
    </w:p>
    <w:p w14:paraId="15A3C744" w14:textId="77777777" w:rsidR="00D13EE4" w:rsidRPr="00D13EE4" w:rsidRDefault="00D13EE4" w:rsidP="00D13EE4">
      <w:pPr>
        <w:jc w:val="mediumKashida"/>
        <w:rPr>
          <w:rFonts w:ascii="Cambria" w:eastAsia="Calibri" w:hAnsi="Cambria" w:cs="Arial"/>
          <w:sz w:val="20"/>
          <w:szCs w:val="20"/>
        </w:rPr>
      </w:pPr>
      <w:r w:rsidRPr="00D13EE4">
        <w:rPr>
          <w:rFonts w:ascii="Cambria" w:eastAsia="Calibri" w:hAnsi="Cambria" w:cs="Arial"/>
          <w:sz w:val="20"/>
        </w:rPr>
        <w:t>Le Secrétariat de l'ICCAT a étudié l'opportunité et la faisabilité d'autres alternatives, parmi lesquelles :</w:t>
      </w:r>
    </w:p>
    <w:p w14:paraId="47202B22" w14:textId="77777777" w:rsidR="00D13EE4" w:rsidRPr="00D13EE4" w:rsidRDefault="00D13EE4" w:rsidP="00D13EE4">
      <w:pPr>
        <w:ind w:left="360" w:firstLine="348"/>
        <w:jc w:val="mediumKashida"/>
        <w:rPr>
          <w:rFonts w:ascii="Cambria" w:eastAsia="Calibri" w:hAnsi="Cambria" w:cs="Arial"/>
          <w:sz w:val="20"/>
          <w:szCs w:val="20"/>
        </w:rPr>
      </w:pPr>
    </w:p>
    <w:p w14:paraId="3823905E" w14:textId="77777777" w:rsidR="00D13EE4" w:rsidRPr="00D13EE4" w:rsidRDefault="00D13EE4" w:rsidP="007B5B8D">
      <w:pPr>
        <w:numPr>
          <w:ilvl w:val="0"/>
          <w:numId w:val="7"/>
        </w:numPr>
        <w:ind w:left="851" w:hanging="425"/>
        <w:contextualSpacing/>
        <w:jc w:val="lowKashida"/>
        <w:rPr>
          <w:rFonts w:ascii="Cambria" w:eastAsia="Calibri" w:hAnsi="Cambria" w:cs="Arial"/>
          <w:sz w:val="20"/>
          <w:szCs w:val="20"/>
        </w:rPr>
      </w:pPr>
      <w:bookmarkStart w:id="0" w:name="_Hlk213334450"/>
      <w:r w:rsidRPr="00D13EE4">
        <w:rPr>
          <w:rFonts w:ascii="Cambria" w:eastAsia="Calibri" w:hAnsi="Cambria" w:cs="Arial"/>
          <w:sz w:val="20"/>
        </w:rPr>
        <w:t xml:space="preserve">Recherche d'un </w:t>
      </w:r>
      <w:r w:rsidRPr="00D13EE4">
        <w:rPr>
          <w:rFonts w:ascii="Cambria" w:eastAsia="Calibri" w:hAnsi="Cambria" w:cs="Arial"/>
          <w:b/>
          <w:bCs/>
          <w:sz w:val="20"/>
        </w:rPr>
        <w:t>modèle de gestion publique.</w:t>
      </w:r>
      <w:r w:rsidRPr="00D13EE4">
        <w:rPr>
          <w:rFonts w:ascii="Cambria" w:eastAsia="Calibri" w:hAnsi="Cambria" w:cs="Arial"/>
          <w:sz w:val="20"/>
        </w:rPr>
        <w:t xml:space="preserve"> À cette fin, un premier contact a été établi en 2005, puis en 2024 avec la Caisse commune des pensions du personnel des Nations Unies (CCPPNU). À la suite de cette communication, il a été constaté qu'il était impossible de remplir trois conditions nécessaires à l'adhésion à la Caisse commune :</w:t>
      </w:r>
    </w:p>
    <w:bookmarkEnd w:id="0"/>
    <w:p w14:paraId="476637E5" w14:textId="77777777" w:rsidR="00D13EE4" w:rsidRPr="00D13EE4" w:rsidRDefault="00D13EE4" w:rsidP="00D13EE4">
      <w:pPr>
        <w:ind w:left="720"/>
        <w:contextualSpacing/>
        <w:jc w:val="lowKashida"/>
        <w:rPr>
          <w:rFonts w:ascii="Cambria" w:eastAsia="Calibri" w:hAnsi="Cambria" w:cs="Arial"/>
          <w:sz w:val="20"/>
          <w:szCs w:val="20"/>
        </w:rPr>
      </w:pPr>
    </w:p>
    <w:p w14:paraId="377B2C8D" w14:textId="3BA49123" w:rsidR="00D13EE4" w:rsidRPr="003C006F" w:rsidRDefault="00D13EE4" w:rsidP="003C006F">
      <w:pPr>
        <w:pStyle w:val="ListParagraph"/>
        <w:numPr>
          <w:ilvl w:val="0"/>
          <w:numId w:val="14"/>
        </w:numPr>
        <w:ind w:left="993" w:hanging="284"/>
        <w:jc w:val="lowKashida"/>
        <w:rPr>
          <w:rFonts w:ascii="Cambria" w:eastAsia="Calibri" w:hAnsi="Cambria" w:cs="Arial"/>
          <w:sz w:val="20"/>
          <w:szCs w:val="20"/>
        </w:rPr>
      </w:pPr>
      <w:r w:rsidRPr="003C006F">
        <w:rPr>
          <w:rFonts w:ascii="Cambria" w:eastAsia="Calibri" w:hAnsi="Cambria" w:cs="Arial"/>
          <w:sz w:val="20"/>
        </w:rPr>
        <w:t xml:space="preserve">La participation à la CCPPNU serait obligatoire pour tout le personnel en activité qui remplit les conditions requises ; </w:t>
      </w:r>
      <w:r w:rsidR="00BB20EF" w:rsidRPr="003C006F">
        <w:rPr>
          <w:rFonts w:ascii="Cambria" w:eastAsia="Calibri" w:hAnsi="Cambria" w:cs="Arial"/>
          <w:sz w:val="20"/>
        </w:rPr>
        <w:t>or,</w:t>
      </w:r>
      <w:r w:rsidRPr="003C006F">
        <w:rPr>
          <w:rFonts w:ascii="Cambria" w:eastAsia="Calibri" w:hAnsi="Cambria" w:cs="Arial"/>
          <w:sz w:val="20"/>
        </w:rPr>
        <w:t xml:space="preserve"> </w:t>
      </w:r>
      <w:r w:rsidR="00943F60" w:rsidRPr="003C006F">
        <w:rPr>
          <w:rFonts w:ascii="Cambria" w:eastAsia="Calibri" w:hAnsi="Cambria" w:cs="Arial"/>
          <w:sz w:val="20"/>
        </w:rPr>
        <w:t>l</w:t>
      </w:r>
      <w:r w:rsidRPr="003C006F">
        <w:rPr>
          <w:rFonts w:ascii="Cambria" w:eastAsia="Calibri" w:hAnsi="Cambria" w:cs="Arial"/>
          <w:sz w:val="20"/>
        </w:rPr>
        <w:t>es Statuts et Règlement du personnel de l'ICCAT permettent diverses possibilités de libre choix.</w:t>
      </w:r>
    </w:p>
    <w:p w14:paraId="0B68E755" w14:textId="77777777" w:rsidR="00D13EE4" w:rsidRPr="00D13EE4" w:rsidRDefault="00D13EE4" w:rsidP="003C006F">
      <w:pPr>
        <w:ind w:left="993" w:hanging="284"/>
        <w:contextualSpacing/>
        <w:jc w:val="lowKashida"/>
        <w:rPr>
          <w:rFonts w:ascii="Cambria" w:eastAsia="Calibri" w:hAnsi="Cambria" w:cs="Arial"/>
          <w:sz w:val="20"/>
          <w:szCs w:val="20"/>
        </w:rPr>
      </w:pPr>
    </w:p>
    <w:p w14:paraId="527F4DA4" w14:textId="2A5872E1" w:rsidR="00D13EE4" w:rsidRPr="003C006F" w:rsidRDefault="00D13EE4" w:rsidP="003C006F">
      <w:pPr>
        <w:pStyle w:val="ListParagraph"/>
        <w:numPr>
          <w:ilvl w:val="0"/>
          <w:numId w:val="14"/>
        </w:numPr>
        <w:ind w:left="993" w:hanging="284"/>
        <w:jc w:val="lowKashida"/>
        <w:rPr>
          <w:rFonts w:ascii="Cambria" w:eastAsia="Calibri" w:hAnsi="Cambria" w:cs="Arial"/>
          <w:sz w:val="20"/>
          <w:szCs w:val="20"/>
        </w:rPr>
      </w:pPr>
      <w:r w:rsidRPr="003C006F">
        <w:rPr>
          <w:rFonts w:ascii="Cambria" w:eastAsia="Calibri" w:hAnsi="Cambria" w:cs="Arial"/>
          <w:sz w:val="20"/>
        </w:rPr>
        <w:t>La contribution de la Commission aux plans de pension du personnel recruté avant 2000, en vertu des articles 6.1.c et 6.2.c des Statut</w:t>
      </w:r>
      <w:r w:rsidR="00943F60" w:rsidRPr="003C006F">
        <w:rPr>
          <w:rFonts w:ascii="Cambria" w:eastAsia="Calibri" w:hAnsi="Cambria" w:cs="Arial"/>
          <w:sz w:val="20"/>
        </w:rPr>
        <w:t xml:space="preserve">s </w:t>
      </w:r>
      <w:r w:rsidRPr="003C006F">
        <w:rPr>
          <w:rFonts w:ascii="Cambria" w:eastAsia="Calibri" w:hAnsi="Cambria" w:cs="Arial"/>
          <w:sz w:val="20"/>
        </w:rPr>
        <w:t>et Règlement du personnel de l'ICCAT, s'écarte du régime commun des traitements et prestations des Nations Unies.</w:t>
      </w:r>
    </w:p>
    <w:p w14:paraId="78D27B65" w14:textId="77777777" w:rsidR="00D13EE4" w:rsidRPr="00D13EE4" w:rsidRDefault="00D13EE4" w:rsidP="003C006F">
      <w:pPr>
        <w:ind w:left="993" w:hanging="284"/>
        <w:contextualSpacing/>
        <w:jc w:val="lowKashida"/>
        <w:rPr>
          <w:rFonts w:ascii="Cambria" w:eastAsia="Calibri" w:hAnsi="Cambria" w:cs="Arial"/>
          <w:sz w:val="20"/>
          <w:szCs w:val="20"/>
        </w:rPr>
      </w:pPr>
    </w:p>
    <w:p w14:paraId="3DD4C455" w14:textId="6C4C027C" w:rsidR="00D13EE4" w:rsidRPr="003C006F" w:rsidRDefault="00D13EE4" w:rsidP="003C006F">
      <w:pPr>
        <w:pStyle w:val="ListParagraph"/>
        <w:numPr>
          <w:ilvl w:val="0"/>
          <w:numId w:val="14"/>
        </w:numPr>
        <w:ind w:left="993" w:hanging="284"/>
        <w:jc w:val="lowKashida"/>
        <w:rPr>
          <w:rFonts w:ascii="Cambria" w:eastAsia="Calibri" w:hAnsi="Cambria" w:cs="Arial"/>
          <w:sz w:val="20"/>
          <w:szCs w:val="20"/>
        </w:rPr>
      </w:pPr>
      <w:r w:rsidRPr="003C006F">
        <w:rPr>
          <w:rFonts w:ascii="Cambria" w:eastAsia="Calibri" w:hAnsi="Cambria" w:cs="Arial"/>
          <w:sz w:val="20"/>
        </w:rPr>
        <w:t>Les privilèges et immunités de l'ICCAT en tant qu'organisation internationale ne sont reconnus par l'Espagne que par le biais de l'accord de siège, ce qui pourrait avoir une incidence négative sur les privilèges et immunités de la Caisse de retraite elle-même, en particulier en ce qui concerne les investissements.</w:t>
      </w:r>
    </w:p>
    <w:p w14:paraId="267CC76C" w14:textId="77777777" w:rsidR="00D13EE4" w:rsidRPr="00D13EE4" w:rsidRDefault="00D13EE4" w:rsidP="003C006F">
      <w:pPr>
        <w:ind w:left="993" w:hanging="284"/>
        <w:contextualSpacing/>
        <w:rPr>
          <w:rFonts w:ascii="Cambria" w:eastAsia="Calibri" w:hAnsi="Cambria" w:cs="Arial"/>
          <w:sz w:val="20"/>
          <w:szCs w:val="20"/>
        </w:rPr>
      </w:pPr>
    </w:p>
    <w:p w14:paraId="1BFB4C35" w14:textId="77777777" w:rsidR="00D13EE4" w:rsidRPr="00D13EE4" w:rsidRDefault="00D13EE4" w:rsidP="00BA5CC4">
      <w:pPr>
        <w:ind w:left="851"/>
        <w:contextualSpacing/>
        <w:jc w:val="both"/>
        <w:rPr>
          <w:rFonts w:ascii="Cambria" w:eastAsia="Calibri" w:hAnsi="Cambria" w:cs="Arial"/>
          <w:sz w:val="20"/>
          <w:szCs w:val="20"/>
        </w:rPr>
      </w:pPr>
      <w:r w:rsidRPr="00D13EE4">
        <w:rPr>
          <w:rFonts w:ascii="Cambria" w:eastAsia="Calibri" w:hAnsi="Cambria" w:cs="Arial"/>
          <w:sz w:val="20"/>
        </w:rPr>
        <w:t>Toutes ces raisons empêchent l'adhésion à la Caisse commune des pensions du personnel des Nations Unies.</w:t>
      </w:r>
    </w:p>
    <w:p w14:paraId="12A75C28" w14:textId="77777777" w:rsidR="00D13EE4" w:rsidRPr="00D13EE4" w:rsidRDefault="00D13EE4" w:rsidP="00D13EE4">
      <w:pPr>
        <w:jc w:val="mediumKashida"/>
        <w:rPr>
          <w:rFonts w:ascii="Cambria" w:eastAsia="Calibri" w:hAnsi="Cambria" w:cs="Arial"/>
          <w:sz w:val="20"/>
          <w:szCs w:val="20"/>
        </w:rPr>
      </w:pPr>
    </w:p>
    <w:p w14:paraId="39872846" w14:textId="77777777" w:rsidR="00D13EE4" w:rsidRPr="00D13EE4" w:rsidRDefault="00D13EE4" w:rsidP="007B5B8D">
      <w:pPr>
        <w:numPr>
          <w:ilvl w:val="0"/>
          <w:numId w:val="7"/>
        </w:numPr>
        <w:ind w:left="851" w:hanging="425"/>
        <w:contextualSpacing/>
        <w:jc w:val="lowKashida"/>
        <w:rPr>
          <w:rFonts w:ascii="Cambria" w:eastAsia="Calibri" w:hAnsi="Cambria" w:cs="Arial"/>
          <w:sz w:val="20"/>
          <w:szCs w:val="20"/>
        </w:rPr>
      </w:pPr>
      <w:r w:rsidRPr="00D13EE4">
        <w:rPr>
          <w:rFonts w:ascii="Cambria" w:eastAsia="Calibri" w:hAnsi="Cambria" w:cs="Arial"/>
          <w:sz w:val="20"/>
        </w:rPr>
        <w:t xml:space="preserve">Analyse d'autres options de maintien du modèle </w:t>
      </w:r>
      <w:r w:rsidRPr="00D13EE4">
        <w:rPr>
          <w:rFonts w:ascii="Cambria" w:eastAsia="Calibri" w:hAnsi="Cambria" w:cs="Arial"/>
          <w:b/>
          <w:bCs/>
          <w:sz w:val="20"/>
        </w:rPr>
        <w:t>de gestion privée et collective</w:t>
      </w:r>
      <w:r w:rsidRPr="00D13EE4">
        <w:rPr>
          <w:rFonts w:ascii="Cambria" w:eastAsia="Calibri" w:hAnsi="Cambria" w:cs="Arial"/>
          <w:sz w:val="20"/>
        </w:rPr>
        <w:t xml:space="preserve"> avec d'autres entités. À cette fin, l'</w:t>
      </w:r>
      <w:r w:rsidRPr="00D13EE4">
        <w:rPr>
          <w:rFonts w:ascii="Cambria" w:eastAsia="Calibri" w:hAnsi="Cambria" w:cs="Arial"/>
          <w:b/>
          <w:bCs/>
          <w:sz w:val="20"/>
        </w:rPr>
        <w:t>AMFIE (Association coopérative financière des fonctionnaires internationaux)</w:t>
      </w:r>
      <w:r w:rsidRPr="00D13EE4">
        <w:rPr>
          <w:rFonts w:ascii="Cambria" w:eastAsia="Calibri" w:hAnsi="Cambria" w:cs="Arial"/>
          <w:sz w:val="20"/>
        </w:rPr>
        <w:t xml:space="preserve"> a été contactée, mais sa proposition n'est pas intéressante tant en raison des conditions de rentabilité que du fait que les citoyens de certains pays ne pourraient pas y souscrire. Nous avons également pris contact avec MAPFRE, une compagnie d'assurance espagnole, qui est actuellement à la recherche d'un plan réunissant les conditions nécessaires pour assurer un organisme international, ce qu'elle n'a pas encore été en mesure de nous proposer à ce jour.</w:t>
      </w:r>
    </w:p>
    <w:p w14:paraId="1120D2AF" w14:textId="77777777" w:rsidR="00D13EE4" w:rsidRPr="00D13EE4" w:rsidRDefault="00D13EE4" w:rsidP="00D13EE4">
      <w:pPr>
        <w:ind w:left="567" w:hanging="283"/>
        <w:jc w:val="mediumKashida"/>
        <w:rPr>
          <w:rFonts w:ascii="Cambria" w:eastAsia="Calibri" w:hAnsi="Cambria" w:cs="Arial"/>
          <w:sz w:val="20"/>
          <w:szCs w:val="20"/>
        </w:rPr>
      </w:pPr>
    </w:p>
    <w:p w14:paraId="333F4177" w14:textId="77777777" w:rsidR="00D13EE4" w:rsidRPr="00D13EE4" w:rsidRDefault="00D13EE4" w:rsidP="007B5B8D">
      <w:pPr>
        <w:numPr>
          <w:ilvl w:val="0"/>
          <w:numId w:val="7"/>
        </w:numPr>
        <w:ind w:left="851" w:hanging="425"/>
        <w:contextualSpacing/>
        <w:jc w:val="lowKashida"/>
        <w:rPr>
          <w:rFonts w:ascii="Cambria" w:eastAsia="Calibri" w:hAnsi="Cambria" w:cs="Arial"/>
          <w:sz w:val="20"/>
          <w:szCs w:val="20"/>
        </w:rPr>
      </w:pPr>
      <w:r w:rsidRPr="0080256E">
        <w:rPr>
          <w:rFonts w:ascii="Cambria" w:eastAsia="Calibri" w:hAnsi="Cambria" w:cs="Arial"/>
          <w:iCs/>
          <w:sz w:val="20"/>
        </w:rPr>
        <w:t xml:space="preserve">Maintien du </w:t>
      </w:r>
      <w:r w:rsidRPr="0080256E">
        <w:rPr>
          <w:rFonts w:ascii="Cambria" w:eastAsia="Calibri" w:hAnsi="Cambria" w:cs="Arial"/>
          <w:b/>
          <w:bCs/>
          <w:iCs/>
          <w:sz w:val="20"/>
        </w:rPr>
        <w:t>statu quo</w:t>
      </w:r>
      <w:r w:rsidRPr="00D13EE4">
        <w:rPr>
          <w:rFonts w:ascii="Cambria" w:eastAsia="Calibri" w:hAnsi="Cambria" w:cs="Arial"/>
          <w:i/>
          <w:sz w:val="20"/>
        </w:rPr>
        <w:t>.</w:t>
      </w:r>
      <w:r w:rsidRPr="00D13EE4">
        <w:rPr>
          <w:rFonts w:ascii="Cambria" w:eastAsia="Calibri" w:hAnsi="Cambria" w:cs="Arial"/>
          <w:sz w:val="20"/>
        </w:rPr>
        <w:t xml:space="preserve"> Le Secrétariat a encouragé l'amélioration du système actuel en actualisant le contrat de 1983 afin de supprimer la figure du « gestionnaire » (actuellement CIGNA) et de faire en sorte que ce soit UTMOST qui cumule les fonctions de dépositaire et de gestionnaire du fonds, ce qui réduit considérablement les frais de gestion. Il n'a pas été possible à ce jour d'obtenir une amélioration du taux d'intérêt de rémunération des fonds dans le cadre du régime de revenu garanti. Pour atteindre cet objectif, les mesures suivantes ont été mises en place :</w:t>
      </w:r>
    </w:p>
    <w:p w14:paraId="1CBF4D6C" w14:textId="77777777" w:rsidR="00D13EE4" w:rsidRPr="00D13EE4" w:rsidRDefault="00D13EE4" w:rsidP="00D13EE4">
      <w:pPr>
        <w:ind w:left="720"/>
        <w:contextualSpacing/>
        <w:jc w:val="mediumKashida"/>
        <w:rPr>
          <w:rFonts w:ascii="Cambria" w:eastAsia="Calibri" w:hAnsi="Cambria" w:cs="Arial"/>
          <w:sz w:val="20"/>
          <w:szCs w:val="20"/>
        </w:rPr>
      </w:pPr>
    </w:p>
    <w:p w14:paraId="7209DDE1" w14:textId="7755602C" w:rsidR="00D13EE4" w:rsidRPr="007E3410" w:rsidRDefault="00D13EE4" w:rsidP="00F32F2B">
      <w:pPr>
        <w:pStyle w:val="ListParagraph"/>
        <w:numPr>
          <w:ilvl w:val="0"/>
          <w:numId w:val="19"/>
        </w:numPr>
        <w:ind w:left="1134" w:hanging="426"/>
        <w:jc w:val="lowKashida"/>
        <w:rPr>
          <w:rFonts w:ascii="Cambria" w:eastAsia="Calibri" w:hAnsi="Cambria" w:cs="Arial"/>
          <w:sz w:val="20"/>
        </w:rPr>
      </w:pPr>
      <w:r w:rsidRPr="00104929">
        <w:rPr>
          <w:rFonts w:ascii="Cambria" w:eastAsia="Calibri" w:hAnsi="Cambria" w:cs="Arial"/>
          <w:sz w:val="20"/>
        </w:rPr>
        <w:t xml:space="preserve">Renégociation du contrat signé en 1983 avec GENERALI et J. VAN BREDA, afin de le mettre à jour, de clarifier </w:t>
      </w:r>
      <w:r w:rsidRPr="007E3410">
        <w:rPr>
          <w:rFonts w:ascii="Cambria" w:eastAsia="Calibri" w:hAnsi="Cambria" w:cs="Arial"/>
          <w:sz w:val="20"/>
        </w:rPr>
        <w:t xml:space="preserve">les </w:t>
      </w:r>
      <w:r w:rsidR="00901E3F" w:rsidRPr="007E3410">
        <w:rPr>
          <w:rFonts w:ascii="Cambria" w:eastAsia="Calibri" w:hAnsi="Cambria" w:cs="Arial"/>
          <w:sz w:val="20"/>
        </w:rPr>
        <w:t>termes</w:t>
      </w:r>
      <w:r w:rsidRPr="007E3410">
        <w:rPr>
          <w:rFonts w:ascii="Cambria" w:eastAsia="Calibri" w:hAnsi="Cambria" w:cs="Arial"/>
          <w:sz w:val="20"/>
        </w:rPr>
        <w:t xml:space="preserve"> et d'introduire des conditions de résiliation plus favorables. Il a été précisé que les parties contractantes sont CIGNA et UTMOST, et une clause de résiliation unilatérale </w:t>
      </w:r>
      <w:r w:rsidR="00D80AB7" w:rsidRPr="007E3410">
        <w:rPr>
          <w:rFonts w:ascii="Cambria" w:eastAsia="Calibri" w:hAnsi="Cambria" w:cs="Arial"/>
          <w:sz w:val="20"/>
        </w:rPr>
        <w:t>avec un préavis</w:t>
      </w:r>
      <w:r w:rsidRPr="007E3410">
        <w:rPr>
          <w:rFonts w:ascii="Cambria" w:eastAsia="Calibri" w:hAnsi="Cambria" w:cs="Arial"/>
          <w:sz w:val="20"/>
        </w:rPr>
        <w:t xml:space="preserve"> de six mois a été obtenue, alors qu'auparavant, un préavis de plus de 12 mois était nécessaire pour que la résiliation prenne effet au 31 décembre de l'année civile. </w:t>
      </w:r>
    </w:p>
    <w:p w14:paraId="7F920309" w14:textId="77777777" w:rsidR="00D13EE4" w:rsidRPr="007E3410" w:rsidRDefault="00D13EE4" w:rsidP="00F32F2B">
      <w:pPr>
        <w:ind w:left="1134" w:hanging="426"/>
        <w:contextualSpacing/>
        <w:jc w:val="lowKashida"/>
        <w:rPr>
          <w:rFonts w:ascii="Cambria" w:eastAsia="Calibri" w:hAnsi="Cambria" w:cs="Arial"/>
          <w:sz w:val="20"/>
        </w:rPr>
      </w:pPr>
    </w:p>
    <w:p w14:paraId="1F8B6BAE" w14:textId="58F37BD5" w:rsidR="00D13EE4" w:rsidRPr="00104929" w:rsidRDefault="00D13EE4" w:rsidP="00F32F2B">
      <w:pPr>
        <w:pStyle w:val="ListParagraph"/>
        <w:numPr>
          <w:ilvl w:val="0"/>
          <w:numId w:val="19"/>
        </w:numPr>
        <w:ind w:left="1134" w:hanging="426"/>
        <w:jc w:val="lowKashida"/>
        <w:rPr>
          <w:rFonts w:ascii="Cambria" w:eastAsia="Calibri" w:hAnsi="Cambria" w:cs="Arial"/>
          <w:sz w:val="20"/>
        </w:rPr>
      </w:pPr>
      <w:r w:rsidRPr="007E3410">
        <w:rPr>
          <w:rFonts w:ascii="Cambria" w:eastAsia="Calibri" w:hAnsi="Cambria" w:cs="Arial"/>
          <w:sz w:val="20"/>
        </w:rPr>
        <w:t>Négociation avec UTMOST afin de pouvoir gérer directement le contrat sans passer par CIGNA</w:t>
      </w:r>
      <w:r w:rsidR="00874465" w:rsidRPr="007E3410">
        <w:rPr>
          <w:rFonts w:ascii="Cambria" w:eastAsia="Calibri" w:hAnsi="Cambria" w:cs="Arial"/>
          <w:sz w:val="20"/>
        </w:rPr>
        <w:t>, e</w:t>
      </w:r>
      <w:r w:rsidRPr="007E3410">
        <w:rPr>
          <w:rFonts w:ascii="Cambria" w:eastAsia="Calibri" w:hAnsi="Cambria" w:cs="Arial"/>
          <w:sz w:val="20"/>
        </w:rPr>
        <w:t xml:space="preserve">t </w:t>
      </w:r>
      <w:r w:rsidR="00874465" w:rsidRPr="007E3410">
        <w:rPr>
          <w:rFonts w:ascii="Cambria" w:eastAsia="Calibri" w:hAnsi="Cambria" w:cs="Arial"/>
          <w:sz w:val="20"/>
        </w:rPr>
        <w:t>pour obtenir</w:t>
      </w:r>
      <w:r w:rsidRPr="007E3410">
        <w:rPr>
          <w:rFonts w:ascii="Cambria" w:eastAsia="Calibri" w:hAnsi="Cambria" w:cs="Arial"/>
          <w:sz w:val="20"/>
        </w:rPr>
        <w:t xml:space="preserve"> divers avantages, parmi lesquels se distingue l'accès direct et personnel au portail par chaque membre du personnel</w:t>
      </w:r>
      <w:r w:rsidRPr="00104929">
        <w:rPr>
          <w:rFonts w:ascii="Cambria" w:eastAsia="Calibri" w:hAnsi="Cambria" w:cs="Arial"/>
          <w:sz w:val="20"/>
        </w:rPr>
        <w:t xml:space="preserve">. </w:t>
      </w:r>
    </w:p>
    <w:p w14:paraId="42AEABFB" w14:textId="77777777" w:rsidR="00D13EE4" w:rsidRPr="00D13EE4" w:rsidRDefault="00D13EE4" w:rsidP="00F32F2B">
      <w:pPr>
        <w:ind w:left="1134" w:hanging="426"/>
        <w:contextualSpacing/>
        <w:jc w:val="lowKashida"/>
        <w:rPr>
          <w:rFonts w:ascii="Cambria" w:eastAsia="Calibri" w:hAnsi="Cambria" w:cs="Arial"/>
          <w:sz w:val="20"/>
        </w:rPr>
      </w:pPr>
    </w:p>
    <w:p w14:paraId="420897BF" w14:textId="01CBADE7" w:rsidR="00D13EE4" w:rsidRPr="00104929" w:rsidRDefault="00D13EE4" w:rsidP="00F32F2B">
      <w:pPr>
        <w:pStyle w:val="ListParagraph"/>
        <w:numPr>
          <w:ilvl w:val="0"/>
          <w:numId w:val="19"/>
        </w:numPr>
        <w:ind w:left="1134" w:hanging="426"/>
        <w:jc w:val="lowKashida"/>
        <w:rPr>
          <w:rFonts w:ascii="Cambria" w:eastAsia="Calibri" w:hAnsi="Cambria" w:cs="Arial"/>
          <w:sz w:val="20"/>
        </w:rPr>
      </w:pPr>
      <w:r w:rsidRPr="00104929">
        <w:rPr>
          <w:rFonts w:ascii="Cambria" w:eastAsia="Calibri" w:hAnsi="Cambria" w:cs="Arial"/>
          <w:sz w:val="20"/>
        </w:rPr>
        <w:t>Résiliation du contrat avec CIGNA à compter du 1er janvier 2026, avec une économie de 3 % sur les frais de gestion.</w:t>
      </w:r>
    </w:p>
    <w:p w14:paraId="5EB252E0" w14:textId="77777777" w:rsidR="00D13EE4" w:rsidRPr="00D13EE4" w:rsidRDefault="00D13EE4" w:rsidP="00D13EE4">
      <w:pPr>
        <w:jc w:val="mediumKashida"/>
        <w:rPr>
          <w:rFonts w:ascii="Cambria" w:eastAsia="Calibri" w:hAnsi="Cambria" w:cs="Arial"/>
          <w:sz w:val="20"/>
          <w:szCs w:val="20"/>
        </w:rPr>
      </w:pPr>
    </w:p>
    <w:p w14:paraId="584B3B29" w14:textId="77777777" w:rsidR="00943F60" w:rsidRDefault="00943F60">
      <w:pPr>
        <w:rPr>
          <w:rFonts w:ascii="Cambria" w:eastAsia="Calibri" w:hAnsi="Cambria" w:cs="Arial"/>
          <w:sz w:val="20"/>
        </w:rPr>
      </w:pPr>
      <w:r>
        <w:rPr>
          <w:rFonts w:ascii="Cambria" w:eastAsia="Calibri" w:hAnsi="Cambria" w:cs="Arial"/>
          <w:sz w:val="20"/>
        </w:rPr>
        <w:br w:type="page"/>
      </w:r>
    </w:p>
    <w:p w14:paraId="7A224911" w14:textId="4F465582" w:rsidR="00D13EE4" w:rsidRPr="00D13EE4" w:rsidRDefault="00D13EE4" w:rsidP="00D13EE4">
      <w:pPr>
        <w:jc w:val="mediumKashida"/>
        <w:rPr>
          <w:rFonts w:ascii="Cambria" w:eastAsia="Calibri" w:hAnsi="Cambria" w:cs="Arial"/>
          <w:sz w:val="20"/>
          <w:szCs w:val="20"/>
        </w:rPr>
      </w:pPr>
      <w:r w:rsidRPr="00D13EE4">
        <w:rPr>
          <w:rFonts w:ascii="Cambria" w:eastAsia="Calibri" w:hAnsi="Cambria" w:cs="Arial"/>
          <w:sz w:val="20"/>
        </w:rPr>
        <w:lastRenderedPageBreak/>
        <w:t>Ces démarches ont permis d'actualiser et d'améliorer la situation contractuelle en vigueur, réalisant ainsi une économie importante de 3 % sur les frais de gestion, tout en modernisant et en rendant plus transparent l'accès direct à l'information sur les fonds pour chaque membre du personnel, ainsi que la possibilité de recevoir des montants partiels jusqu'à épuisement des fonds déposés.</w:t>
      </w:r>
    </w:p>
    <w:p w14:paraId="105A0E62" w14:textId="77777777" w:rsidR="00D13EE4" w:rsidRPr="00D13EE4" w:rsidRDefault="00D13EE4" w:rsidP="00D13EE4">
      <w:pPr>
        <w:jc w:val="mediumKashida"/>
        <w:rPr>
          <w:rFonts w:ascii="Cambria" w:eastAsia="Calibri" w:hAnsi="Cambria" w:cs="Arial"/>
          <w:sz w:val="20"/>
          <w:szCs w:val="20"/>
        </w:rPr>
      </w:pPr>
    </w:p>
    <w:p w14:paraId="69E68D28" w14:textId="77777777" w:rsidR="00D13EE4" w:rsidRPr="00D13EE4" w:rsidRDefault="00D13EE4" w:rsidP="00D13EE4">
      <w:pPr>
        <w:jc w:val="mediumKashida"/>
        <w:rPr>
          <w:rFonts w:ascii="Cambria" w:eastAsia="Calibri" w:hAnsi="Cambria" w:cs="Arial"/>
          <w:sz w:val="20"/>
          <w:szCs w:val="20"/>
        </w:rPr>
      </w:pPr>
      <w:r w:rsidRPr="00D13EE4">
        <w:rPr>
          <w:rFonts w:ascii="Cambria" w:eastAsia="Calibri" w:hAnsi="Cambria" w:cs="Arial"/>
          <w:sz w:val="20"/>
        </w:rPr>
        <w:t>De même, après toutes ces mesures, il apparaît impossible d'obtenir une amélioration de la rémunération des fonds à taux d'intérêt garanti, ce qui entraîne une dépréciation inévitable des contributions dont la rémunération est inférieure à l'inflation.</w:t>
      </w:r>
    </w:p>
    <w:p w14:paraId="4CC22347" w14:textId="77777777" w:rsidR="00D13EE4" w:rsidRPr="00D13EE4" w:rsidRDefault="00D13EE4" w:rsidP="00D13EE4">
      <w:pPr>
        <w:jc w:val="mediumKashida"/>
        <w:rPr>
          <w:rFonts w:ascii="Cambria" w:eastAsia="Calibri" w:hAnsi="Cambria" w:cs="Arial"/>
          <w:sz w:val="20"/>
          <w:szCs w:val="20"/>
        </w:rPr>
      </w:pPr>
    </w:p>
    <w:p w14:paraId="4ED03C46" w14:textId="77777777" w:rsidR="00D13EE4" w:rsidRPr="00D13EE4" w:rsidRDefault="00D13EE4" w:rsidP="00D13EE4">
      <w:pPr>
        <w:jc w:val="mediumKashida"/>
        <w:rPr>
          <w:rFonts w:ascii="Cambria" w:eastAsia="Calibri" w:hAnsi="Cambria" w:cs="Arial"/>
          <w:sz w:val="20"/>
          <w:szCs w:val="20"/>
        </w:rPr>
      </w:pPr>
      <w:r w:rsidRPr="00D13EE4">
        <w:rPr>
          <w:rFonts w:ascii="Cambria" w:eastAsia="Calibri" w:hAnsi="Cambria" w:cs="Arial"/>
          <w:sz w:val="20"/>
        </w:rPr>
        <w:t>La conclusion tirée est que les modèles de gestion publique et de gestion privée collective sont irréalisables ou clairement défavorables par rapport au modèle de gestion privée individuelle.</w:t>
      </w:r>
    </w:p>
    <w:p w14:paraId="25A52F56" w14:textId="77777777" w:rsidR="00D13EE4" w:rsidRPr="00D13EE4" w:rsidRDefault="00D13EE4" w:rsidP="00D13EE4">
      <w:pPr>
        <w:jc w:val="mediumKashida"/>
        <w:rPr>
          <w:rFonts w:ascii="Cambria" w:eastAsia="Calibri" w:hAnsi="Cambria" w:cs="Arial"/>
          <w:sz w:val="20"/>
          <w:szCs w:val="20"/>
        </w:rPr>
      </w:pPr>
    </w:p>
    <w:p w14:paraId="4D15AAEB" w14:textId="77777777" w:rsidR="00D13EE4" w:rsidRPr="00D13EE4" w:rsidRDefault="00D13EE4" w:rsidP="00D13EE4">
      <w:pPr>
        <w:jc w:val="mediumKashida"/>
        <w:rPr>
          <w:rFonts w:ascii="Cambria" w:eastAsia="Calibri" w:hAnsi="Cambria" w:cs="Arial"/>
          <w:sz w:val="20"/>
          <w:szCs w:val="20"/>
        </w:rPr>
      </w:pPr>
    </w:p>
    <w:p w14:paraId="534AC772" w14:textId="77777777" w:rsidR="00D13EE4" w:rsidRPr="00D13EE4" w:rsidRDefault="00D13EE4" w:rsidP="00D13EE4">
      <w:pPr>
        <w:numPr>
          <w:ilvl w:val="0"/>
          <w:numId w:val="5"/>
        </w:numPr>
        <w:ind w:left="426" w:hanging="426"/>
        <w:contextualSpacing/>
        <w:jc w:val="mediumKashida"/>
        <w:rPr>
          <w:rFonts w:ascii="Cambria" w:eastAsia="Calibri" w:hAnsi="Cambria" w:cs="Arial"/>
          <w:b/>
          <w:bCs/>
          <w:sz w:val="20"/>
          <w:szCs w:val="20"/>
        </w:rPr>
      </w:pPr>
      <w:r w:rsidRPr="00D13EE4">
        <w:rPr>
          <w:rFonts w:ascii="Cambria" w:eastAsia="Calibri" w:hAnsi="Cambria" w:cs="Arial"/>
          <w:b/>
          <w:sz w:val="20"/>
        </w:rPr>
        <w:t>Aspects positifs du modèle de gestion privée et individuelle</w:t>
      </w:r>
    </w:p>
    <w:p w14:paraId="76D24497" w14:textId="77777777" w:rsidR="00D13EE4" w:rsidRPr="00D13EE4" w:rsidRDefault="00D13EE4" w:rsidP="00D13EE4">
      <w:pPr>
        <w:jc w:val="mediumKashida"/>
        <w:rPr>
          <w:rFonts w:ascii="Cambria" w:eastAsia="Calibri" w:hAnsi="Cambria" w:cs="Arial"/>
          <w:sz w:val="20"/>
          <w:szCs w:val="20"/>
        </w:rPr>
      </w:pPr>
    </w:p>
    <w:p w14:paraId="7B9E4F6F" w14:textId="77777777" w:rsidR="00D13EE4" w:rsidRPr="00D13EE4" w:rsidRDefault="00D13EE4" w:rsidP="00D13EE4">
      <w:pPr>
        <w:jc w:val="mediumKashida"/>
        <w:rPr>
          <w:rFonts w:ascii="Cambria" w:eastAsia="Calibri" w:hAnsi="Cambria" w:cs="Arial"/>
          <w:sz w:val="20"/>
          <w:szCs w:val="20"/>
        </w:rPr>
      </w:pPr>
      <w:r w:rsidRPr="00D13EE4">
        <w:rPr>
          <w:rFonts w:ascii="Cambria" w:eastAsia="Calibri" w:hAnsi="Cambria" w:cs="Arial"/>
          <w:sz w:val="20"/>
        </w:rPr>
        <w:t>La proposition visant à supprimer le modèle actuel de fonds de pension afin de mettre en place un système de gestion individuelle des fonds alloués par la Commission présente les caractéristiques suivantes, qui ont été jugées positives :</w:t>
      </w:r>
    </w:p>
    <w:p w14:paraId="035A5BD3" w14:textId="77777777" w:rsidR="00D13EE4" w:rsidRPr="00D13EE4" w:rsidRDefault="00D13EE4" w:rsidP="00D13EE4">
      <w:pPr>
        <w:ind w:left="708"/>
        <w:jc w:val="mediumKashida"/>
        <w:rPr>
          <w:rFonts w:ascii="Cambria" w:eastAsia="Calibri" w:hAnsi="Cambria" w:cs="Arial"/>
          <w:sz w:val="20"/>
          <w:szCs w:val="20"/>
        </w:rPr>
      </w:pPr>
    </w:p>
    <w:p w14:paraId="3C8162ED" w14:textId="77777777" w:rsidR="00D13EE4" w:rsidRPr="00D13EE4" w:rsidRDefault="00D13EE4" w:rsidP="002E3B50">
      <w:pPr>
        <w:numPr>
          <w:ilvl w:val="0"/>
          <w:numId w:val="13"/>
        </w:numPr>
        <w:contextualSpacing/>
        <w:jc w:val="mediumKashida"/>
        <w:rPr>
          <w:rFonts w:ascii="Cambria" w:eastAsia="Calibri" w:hAnsi="Cambria" w:cs="Arial"/>
          <w:sz w:val="20"/>
          <w:szCs w:val="20"/>
        </w:rPr>
      </w:pPr>
      <w:r w:rsidRPr="00D13EE4">
        <w:rPr>
          <w:rFonts w:ascii="Cambria" w:eastAsia="Calibri" w:hAnsi="Cambria" w:cs="Arial"/>
          <w:i/>
          <w:iCs/>
          <w:sz w:val="20"/>
        </w:rPr>
        <w:t>Nous continuons à fonctionner dans le cadre d'un système de gestion privée, comme c'est le cas actuellement pour le plan de retraite,</w:t>
      </w:r>
      <w:r w:rsidRPr="00D13EE4">
        <w:rPr>
          <w:rFonts w:ascii="Cambria" w:eastAsia="Calibri" w:hAnsi="Cambria" w:cs="Arial"/>
          <w:sz w:val="20"/>
        </w:rPr>
        <w:t xml:space="preserve"> et la modification consiste à passer d'un contrat collectif à un contrat individuel.</w:t>
      </w:r>
    </w:p>
    <w:p w14:paraId="4ABCFD8E" w14:textId="77777777" w:rsidR="00D13EE4" w:rsidRPr="00D13EE4" w:rsidRDefault="00D13EE4" w:rsidP="00EE1841">
      <w:pPr>
        <w:ind w:left="851" w:hanging="425"/>
        <w:contextualSpacing/>
        <w:jc w:val="mediumKashida"/>
        <w:rPr>
          <w:rFonts w:ascii="Cambria" w:eastAsia="Calibri" w:hAnsi="Cambria" w:cs="Arial"/>
          <w:sz w:val="20"/>
          <w:szCs w:val="20"/>
        </w:rPr>
      </w:pPr>
    </w:p>
    <w:p w14:paraId="4F581A29" w14:textId="77777777" w:rsidR="00D13EE4" w:rsidRPr="00D13EE4" w:rsidRDefault="00D13EE4" w:rsidP="002E3B50">
      <w:pPr>
        <w:numPr>
          <w:ilvl w:val="0"/>
          <w:numId w:val="13"/>
        </w:numPr>
        <w:contextualSpacing/>
        <w:jc w:val="mediumKashida"/>
        <w:rPr>
          <w:rFonts w:ascii="Cambria" w:eastAsia="Calibri" w:hAnsi="Cambria" w:cs="Arial"/>
          <w:sz w:val="20"/>
          <w:szCs w:val="20"/>
        </w:rPr>
      </w:pPr>
      <w:r w:rsidRPr="00D13EE4">
        <w:rPr>
          <w:rFonts w:ascii="Cambria" w:eastAsia="Calibri" w:hAnsi="Cambria" w:cs="Arial"/>
          <w:sz w:val="20"/>
        </w:rPr>
        <w:t>Il s'agit d'un modèle connu dans le domaine du droit comparé et adopté par certaines organisations internationales.</w:t>
      </w:r>
    </w:p>
    <w:p w14:paraId="01F06E1D" w14:textId="77777777" w:rsidR="00D13EE4" w:rsidRPr="00D13EE4" w:rsidRDefault="00D13EE4" w:rsidP="00EE1841">
      <w:pPr>
        <w:ind w:left="851" w:hanging="425"/>
        <w:jc w:val="mediumKashida"/>
        <w:rPr>
          <w:rFonts w:ascii="Cambria" w:eastAsia="Calibri" w:hAnsi="Cambria" w:cs="Arial"/>
          <w:sz w:val="20"/>
          <w:szCs w:val="20"/>
        </w:rPr>
      </w:pPr>
    </w:p>
    <w:p w14:paraId="7FBD127E" w14:textId="26A60A8A" w:rsidR="00D13EE4" w:rsidRPr="00D13EE4" w:rsidRDefault="00D13EE4" w:rsidP="002E3B50">
      <w:pPr>
        <w:numPr>
          <w:ilvl w:val="0"/>
          <w:numId w:val="13"/>
        </w:numPr>
        <w:contextualSpacing/>
        <w:jc w:val="mediumKashida"/>
        <w:rPr>
          <w:rFonts w:ascii="Cambria" w:eastAsia="Calibri" w:hAnsi="Cambria" w:cs="Arial"/>
          <w:sz w:val="20"/>
          <w:szCs w:val="20"/>
        </w:rPr>
      </w:pPr>
      <w:r w:rsidRPr="00D13EE4">
        <w:rPr>
          <w:rFonts w:ascii="Cambria" w:eastAsia="Calibri" w:hAnsi="Cambria" w:cs="Arial"/>
          <w:i/>
          <w:sz w:val="20"/>
        </w:rPr>
        <w:t xml:space="preserve">La gestion individuelle permet d'optimiser la rentabilité des fonds. </w:t>
      </w:r>
      <w:r w:rsidRPr="00D13EE4">
        <w:rPr>
          <w:rFonts w:ascii="Cambria" w:eastAsia="Calibri" w:hAnsi="Cambria" w:cs="Arial"/>
          <w:sz w:val="20"/>
        </w:rPr>
        <w:t xml:space="preserve">Dans le cadre du modèle de contrat </w:t>
      </w:r>
      <w:r w:rsidRPr="007E3410">
        <w:rPr>
          <w:rFonts w:ascii="Cambria" w:eastAsia="Calibri" w:hAnsi="Cambria" w:cs="Arial"/>
          <w:sz w:val="20"/>
        </w:rPr>
        <w:t xml:space="preserve">collectif </w:t>
      </w:r>
      <w:r w:rsidR="00683911" w:rsidRPr="007E3410">
        <w:rPr>
          <w:rFonts w:ascii="Cambria" w:eastAsia="Calibri" w:hAnsi="Cambria" w:cs="Arial"/>
          <w:sz w:val="20"/>
        </w:rPr>
        <w:t>au niveau</w:t>
      </w:r>
      <w:r w:rsidR="0080668C" w:rsidRPr="007E3410">
        <w:rPr>
          <w:rFonts w:ascii="Cambria" w:eastAsia="Calibri" w:hAnsi="Cambria" w:cs="Arial"/>
          <w:sz w:val="20"/>
        </w:rPr>
        <w:t xml:space="preserve"> du</w:t>
      </w:r>
      <w:r w:rsidRPr="007E3410">
        <w:rPr>
          <w:rFonts w:ascii="Cambria" w:eastAsia="Calibri" w:hAnsi="Cambria" w:cs="Arial"/>
          <w:sz w:val="20"/>
        </w:rPr>
        <w:t xml:space="preserve"> Secrétariat, seule </w:t>
      </w:r>
      <w:r w:rsidRPr="00D13EE4">
        <w:rPr>
          <w:rFonts w:ascii="Cambria" w:eastAsia="Calibri" w:hAnsi="Cambria" w:cs="Arial"/>
          <w:sz w:val="20"/>
        </w:rPr>
        <w:t>une rente garantie peut être choisie, tandis qu'à titre individuel, il est possible d'opter pour des modalités d'investissement beaucoup plus rentables, en assumant personnellement le risque.</w:t>
      </w:r>
    </w:p>
    <w:p w14:paraId="137B6251" w14:textId="77777777" w:rsidR="00D13EE4" w:rsidRPr="00D13EE4" w:rsidRDefault="00D13EE4" w:rsidP="00EE1841">
      <w:pPr>
        <w:ind w:left="851" w:hanging="425"/>
        <w:contextualSpacing/>
        <w:jc w:val="mediumKashida"/>
        <w:rPr>
          <w:rFonts w:ascii="Cambria" w:eastAsia="Calibri" w:hAnsi="Cambria" w:cs="Arial"/>
          <w:sz w:val="20"/>
          <w:szCs w:val="20"/>
        </w:rPr>
      </w:pPr>
    </w:p>
    <w:p w14:paraId="7F776F40" w14:textId="02BF046F" w:rsidR="00D13EE4" w:rsidRPr="00D13EE4" w:rsidRDefault="00D13EE4" w:rsidP="002E3B50">
      <w:pPr>
        <w:numPr>
          <w:ilvl w:val="0"/>
          <w:numId w:val="13"/>
        </w:numPr>
        <w:contextualSpacing/>
        <w:jc w:val="mediumKashida"/>
        <w:rPr>
          <w:rFonts w:ascii="Cambria" w:eastAsia="Calibri" w:hAnsi="Cambria" w:cs="Arial"/>
          <w:sz w:val="20"/>
          <w:szCs w:val="20"/>
        </w:rPr>
      </w:pPr>
      <w:r w:rsidRPr="00D13EE4">
        <w:rPr>
          <w:rFonts w:ascii="Cambria" w:eastAsia="Calibri" w:hAnsi="Cambria" w:cs="Arial"/>
          <w:i/>
          <w:sz w:val="20"/>
        </w:rPr>
        <w:t>Unanimité des membres professionnels du Secrétariat</w:t>
      </w:r>
      <w:r w:rsidR="003B091E">
        <w:rPr>
          <w:rFonts w:ascii="Cambria" w:eastAsia="Calibri" w:hAnsi="Cambria" w:cs="Arial"/>
          <w:i/>
          <w:sz w:val="20"/>
        </w:rPr>
        <w:t>.</w:t>
      </w:r>
      <w:r w:rsidRPr="00D13EE4">
        <w:rPr>
          <w:rFonts w:ascii="Cambria" w:eastAsia="Calibri" w:hAnsi="Cambria" w:cs="Arial"/>
          <w:sz w:val="20"/>
        </w:rPr>
        <w:t xml:space="preserve"> Selon les informations recueillies, tous les membres du personnel du Secrétariat auxquels cette modification s'appliquerait sont d'accord pour promouvoir le changement de modèle vers une gestion privée.</w:t>
      </w:r>
    </w:p>
    <w:p w14:paraId="23F3E270" w14:textId="77777777" w:rsidR="00D13EE4" w:rsidRPr="00D13EE4" w:rsidRDefault="00D13EE4" w:rsidP="00EE1841">
      <w:pPr>
        <w:ind w:left="851" w:hanging="425"/>
        <w:jc w:val="mediumKashida"/>
        <w:rPr>
          <w:rFonts w:ascii="Cambria" w:eastAsia="Calibri" w:hAnsi="Cambria" w:cs="Arial"/>
          <w:sz w:val="20"/>
          <w:szCs w:val="20"/>
        </w:rPr>
      </w:pPr>
    </w:p>
    <w:p w14:paraId="5E42A3A6" w14:textId="77777777" w:rsidR="00D13EE4" w:rsidRPr="00D13EE4" w:rsidRDefault="00D13EE4" w:rsidP="002E3B50">
      <w:pPr>
        <w:numPr>
          <w:ilvl w:val="0"/>
          <w:numId w:val="13"/>
        </w:numPr>
        <w:contextualSpacing/>
        <w:jc w:val="mediumKashida"/>
        <w:rPr>
          <w:rFonts w:ascii="Cambria" w:eastAsia="Calibri" w:hAnsi="Cambria" w:cs="Arial"/>
          <w:sz w:val="20"/>
          <w:szCs w:val="20"/>
        </w:rPr>
      </w:pPr>
      <w:r w:rsidRPr="00D13EE4">
        <w:rPr>
          <w:rFonts w:ascii="Cambria" w:eastAsia="Calibri" w:hAnsi="Cambria" w:cs="Arial"/>
          <w:i/>
          <w:sz w:val="20"/>
        </w:rPr>
        <w:t>Absence d'impact budgétaire, vu que cela n'implique aucune augmentation des budgets de l’ICCAT.</w:t>
      </w:r>
      <w:r w:rsidRPr="00D13EE4">
        <w:rPr>
          <w:rFonts w:ascii="Cambria" w:eastAsia="Calibri" w:hAnsi="Cambria" w:cs="Arial"/>
          <w:sz w:val="20"/>
        </w:rPr>
        <w:t xml:space="preserve"> Le modèle de gestion individuelle n'implique pas d'augmentation des budgets de l’ICCAT, puisqu'il s'agit d'une modification comptable.</w:t>
      </w:r>
    </w:p>
    <w:p w14:paraId="3D8D03A7" w14:textId="77777777" w:rsidR="00D13EE4" w:rsidRPr="00D13EE4" w:rsidRDefault="00D13EE4" w:rsidP="00EE1841">
      <w:pPr>
        <w:ind w:left="851" w:hanging="425"/>
        <w:jc w:val="mediumKashida"/>
        <w:rPr>
          <w:rFonts w:ascii="Cambria" w:eastAsia="Calibri" w:hAnsi="Cambria" w:cs="Arial"/>
          <w:sz w:val="20"/>
          <w:szCs w:val="20"/>
        </w:rPr>
      </w:pPr>
    </w:p>
    <w:p w14:paraId="65D1EA2B" w14:textId="0C2C12BA" w:rsidR="00D13EE4" w:rsidRPr="00D13EE4" w:rsidRDefault="00D13EE4" w:rsidP="002E3B50">
      <w:pPr>
        <w:numPr>
          <w:ilvl w:val="0"/>
          <w:numId w:val="13"/>
        </w:numPr>
        <w:contextualSpacing/>
        <w:jc w:val="mediumKashida"/>
        <w:rPr>
          <w:rFonts w:ascii="Cambria" w:eastAsia="Calibri" w:hAnsi="Cambria" w:cs="Arial"/>
          <w:sz w:val="20"/>
          <w:szCs w:val="20"/>
        </w:rPr>
      </w:pPr>
      <w:r w:rsidRPr="00D13EE4">
        <w:rPr>
          <w:rFonts w:ascii="Cambria" w:eastAsia="Calibri" w:hAnsi="Cambria" w:cs="Arial"/>
          <w:i/>
          <w:sz w:val="20"/>
        </w:rPr>
        <w:t>Décharge des fonctions de gestion par le Secrétariat du fonds de pension</w:t>
      </w:r>
      <w:r w:rsidR="007F7A2C">
        <w:rPr>
          <w:rFonts w:ascii="Cambria" w:eastAsia="Calibri" w:hAnsi="Cambria" w:cs="Arial"/>
          <w:i/>
          <w:sz w:val="20"/>
        </w:rPr>
        <w:t>.</w:t>
      </w:r>
      <w:r w:rsidRPr="00D13EE4">
        <w:rPr>
          <w:rFonts w:ascii="Cambria" w:eastAsia="Calibri" w:hAnsi="Cambria" w:cs="Arial"/>
          <w:i/>
          <w:sz w:val="20"/>
        </w:rPr>
        <w:t xml:space="preserve"> </w:t>
      </w:r>
      <w:r w:rsidRPr="00D13EE4">
        <w:rPr>
          <w:rFonts w:ascii="Cambria" w:eastAsia="Calibri" w:hAnsi="Cambria" w:cs="Arial"/>
          <w:sz w:val="20"/>
        </w:rPr>
        <w:t>La gestion individuelle des fonds permet de réduire la charge de travail du Secrétariat, qui doit actuellement allouer des ressources à la gestion du plan de pension, en canalisant chaque question individuelle dans sa relation directe avec la société de gestion. La gestion individuelle décharge le Secrétariat de ce travail, puisque les tâches de gestion seront effectuées par les membres individuels du personnel.</w:t>
      </w:r>
    </w:p>
    <w:p w14:paraId="41115EEB" w14:textId="77777777" w:rsidR="00D13EE4" w:rsidRPr="00D13EE4" w:rsidRDefault="00D13EE4" w:rsidP="00EE1841">
      <w:pPr>
        <w:ind w:left="851" w:hanging="425"/>
        <w:contextualSpacing/>
        <w:jc w:val="mediumKashida"/>
        <w:rPr>
          <w:rFonts w:ascii="Cambria" w:eastAsia="Calibri" w:hAnsi="Cambria" w:cs="Arial"/>
          <w:sz w:val="20"/>
          <w:szCs w:val="20"/>
        </w:rPr>
      </w:pPr>
    </w:p>
    <w:p w14:paraId="52733B68" w14:textId="11D72A3D" w:rsidR="00D13EE4" w:rsidRPr="00D13EE4" w:rsidRDefault="00D13EE4" w:rsidP="00F32F2B">
      <w:pPr>
        <w:numPr>
          <w:ilvl w:val="0"/>
          <w:numId w:val="13"/>
        </w:numPr>
        <w:contextualSpacing/>
        <w:jc w:val="mediumKashida"/>
        <w:rPr>
          <w:rFonts w:ascii="Cambria" w:eastAsia="Calibri" w:hAnsi="Cambria" w:cs="Arial"/>
          <w:sz w:val="20"/>
          <w:szCs w:val="20"/>
        </w:rPr>
      </w:pPr>
      <w:r w:rsidRPr="00F32F2B">
        <w:rPr>
          <w:rFonts w:ascii="Cambria" w:eastAsia="Calibri" w:hAnsi="Cambria" w:cs="Arial"/>
          <w:i/>
          <w:sz w:val="20"/>
        </w:rPr>
        <w:t>Optimisation</w:t>
      </w:r>
      <w:r w:rsidRPr="00D13EE4">
        <w:rPr>
          <w:rFonts w:ascii="Cambria" w:eastAsia="Calibri" w:hAnsi="Cambria" w:cs="Arial"/>
          <w:i/>
          <w:iCs/>
          <w:sz w:val="20"/>
        </w:rPr>
        <w:t xml:space="preserve"> fiscale et tributaire pour les membres du personnel.</w:t>
      </w:r>
      <w:r w:rsidRPr="00D13EE4">
        <w:rPr>
          <w:rFonts w:ascii="Cambria" w:eastAsia="Calibri" w:hAnsi="Cambria" w:cs="Arial"/>
          <w:sz w:val="20"/>
        </w:rPr>
        <w:t xml:space="preserve"> L'imposition fiscale des rémunérations qui font partie du salaire est beaucoup plus favorable que celle qui s'applique aux montants perçus au titre de la pension. Bien qu'il soit difficile d'analyser cette variable en détail, étant donné que le régime fiscal dépend de la réglementation applicable à chaque membre du personnel en fonction de sa résidence fiscale, la perception de pensions peut généralement entraîner une imposition fiscale importante, car il est considéré que le membre n’est plus un membre actif de l'organisation internationale au moment de son versement.</w:t>
      </w:r>
    </w:p>
    <w:p w14:paraId="29BADD0C" w14:textId="77777777" w:rsidR="00D13EE4" w:rsidRPr="00D13EE4" w:rsidRDefault="00D13EE4" w:rsidP="00D13EE4">
      <w:pPr>
        <w:jc w:val="mediumKashida"/>
        <w:rPr>
          <w:rFonts w:ascii="Cambria" w:eastAsia="Calibri" w:hAnsi="Cambria" w:cs="Arial"/>
          <w:sz w:val="20"/>
          <w:szCs w:val="20"/>
        </w:rPr>
      </w:pPr>
    </w:p>
    <w:p w14:paraId="00BEEE27" w14:textId="77777777" w:rsidR="00D13EE4" w:rsidRPr="00D13EE4" w:rsidRDefault="00D13EE4" w:rsidP="00D13EE4">
      <w:pPr>
        <w:jc w:val="mediumKashida"/>
        <w:rPr>
          <w:rFonts w:ascii="Cambria" w:eastAsia="Calibri" w:hAnsi="Cambria" w:cs="Arial"/>
          <w:sz w:val="20"/>
          <w:szCs w:val="20"/>
        </w:rPr>
      </w:pPr>
    </w:p>
    <w:p w14:paraId="2DA46533" w14:textId="77777777" w:rsidR="00810917" w:rsidRDefault="00810917">
      <w:pPr>
        <w:rPr>
          <w:rFonts w:ascii="Cambria" w:eastAsia="Calibri" w:hAnsi="Cambria" w:cs="Arial"/>
          <w:b/>
          <w:sz w:val="20"/>
        </w:rPr>
      </w:pPr>
      <w:r>
        <w:rPr>
          <w:rFonts w:ascii="Cambria" w:eastAsia="Calibri" w:hAnsi="Cambria" w:cs="Arial"/>
          <w:b/>
          <w:sz w:val="20"/>
        </w:rPr>
        <w:br w:type="page"/>
      </w:r>
    </w:p>
    <w:p w14:paraId="37C30B03" w14:textId="5D33F755" w:rsidR="00D13EE4" w:rsidRPr="00D13EE4" w:rsidRDefault="00D13EE4" w:rsidP="00D13EE4">
      <w:pPr>
        <w:numPr>
          <w:ilvl w:val="0"/>
          <w:numId w:val="5"/>
        </w:numPr>
        <w:ind w:left="426" w:hanging="426"/>
        <w:contextualSpacing/>
        <w:jc w:val="mediumKashida"/>
        <w:rPr>
          <w:rFonts w:ascii="Cambria" w:eastAsia="Calibri" w:hAnsi="Cambria" w:cs="Arial"/>
          <w:b/>
          <w:bCs/>
          <w:sz w:val="20"/>
          <w:szCs w:val="20"/>
        </w:rPr>
      </w:pPr>
      <w:r w:rsidRPr="00D13EE4">
        <w:rPr>
          <w:rFonts w:ascii="Cambria" w:eastAsia="Calibri" w:hAnsi="Cambria" w:cs="Arial"/>
          <w:b/>
          <w:sz w:val="20"/>
        </w:rPr>
        <w:lastRenderedPageBreak/>
        <w:t>Viabilité juridique de la réforme proposée</w:t>
      </w:r>
    </w:p>
    <w:p w14:paraId="508A3873" w14:textId="77777777" w:rsidR="00D13EE4" w:rsidRPr="00D13EE4" w:rsidRDefault="00D13EE4" w:rsidP="00D13EE4">
      <w:pPr>
        <w:jc w:val="mediumKashida"/>
        <w:rPr>
          <w:rFonts w:ascii="Cambria" w:eastAsia="Calibri" w:hAnsi="Cambria" w:cs="Arial"/>
          <w:b/>
          <w:bCs/>
          <w:sz w:val="20"/>
          <w:szCs w:val="20"/>
        </w:rPr>
      </w:pPr>
    </w:p>
    <w:p w14:paraId="61A46838" w14:textId="77777777" w:rsidR="00D13EE4" w:rsidRPr="00D13EE4" w:rsidRDefault="00D13EE4" w:rsidP="00D13EE4">
      <w:pPr>
        <w:jc w:val="mediumKashida"/>
        <w:rPr>
          <w:rFonts w:ascii="Cambria" w:eastAsia="Calibri" w:hAnsi="Cambria" w:cs="Arial"/>
          <w:sz w:val="20"/>
          <w:szCs w:val="20"/>
        </w:rPr>
      </w:pPr>
      <w:r w:rsidRPr="00D13EE4">
        <w:rPr>
          <w:rFonts w:ascii="Cambria" w:eastAsia="Calibri" w:hAnsi="Cambria" w:cs="Arial"/>
          <w:sz w:val="20"/>
        </w:rPr>
        <w:t>L'analyse juridique de la viabilité de la réforme proposée doit partir de l'examen des différentes formules de gestion des systèmes de retraite, qui consistent essentiellement en :</w:t>
      </w:r>
    </w:p>
    <w:p w14:paraId="7B3F2161" w14:textId="77777777" w:rsidR="00D13EE4" w:rsidRPr="00D13EE4" w:rsidRDefault="00D13EE4" w:rsidP="00D13EE4">
      <w:pPr>
        <w:jc w:val="mediumKashida"/>
        <w:rPr>
          <w:rFonts w:ascii="Cambria" w:eastAsia="Calibri" w:hAnsi="Cambria" w:cs="Arial"/>
          <w:sz w:val="20"/>
          <w:szCs w:val="20"/>
        </w:rPr>
      </w:pPr>
    </w:p>
    <w:p w14:paraId="3FF07BCD" w14:textId="77777777" w:rsidR="00D13EE4" w:rsidRPr="00D13EE4" w:rsidRDefault="00D13EE4" w:rsidP="00EE1841">
      <w:pPr>
        <w:numPr>
          <w:ilvl w:val="0"/>
          <w:numId w:val="10"/>
        </w:numPr>
        <w:ind w:left="851" w:hanging="425"/>
        <w:contextualSpacing/>
        <w:jc w:val="mediumKashida"/>
        <w:rPr>
          <w:rFonts w:ascii="Cambria" w:eastAsia="Calibri" w:hAnsi="Cambria" w:cs="Arial"/>
          <w:sz w:val="20"/>
          <w:szCs w:val="20"/>
        </w:rPr>
      </w:pPr>
      <w:r w:rsidRPr="00D13EE4">
        <w:rPr>
          <w:rFonts w:ascii="Cambria" w:eastAsia="Calibri" w:hAnsi="Cambria" w:cs="Arial"/>
          <w:i/>
          <w:iCs/>
          <w:sz w:val="20"/>
        </w:rPr>
        <w:t>Modèles de gestion publique.</w:t>
      </w:r>
      <w:r w:rsidRPr="00D13EE4">
        <w:rPr>
          <w:rFonts w:ascii="Cambria" w:eastAsia="Calibri" w:hAnsi="Cambria" w:cs="Arial"/>
          <w:sz w:val="20"/>
        </w:rPr>
        <w:t xml:space="preserve"> Consistant en l'apport de fonds à une caisse commune gérée par un organisme de droit public. Au niveau international, la principale référence est la Caisse commune des pensions du personnel des Nations Unies.</w:t>
      </w:r>
    </w:p>
    <w:p w14:paraId="07CA412A" w14:textId="77777777" w:rsidR="00D13EE4" w:rsidRPr="00D13EE4" w:rsidRDefault="00D13EE4" w:rsidP="00EE1841">
      <w:pPr>
        <w:ind w:left="851" w:hanging="425"/>
        <w:contextualSpacing/>
        <w:jc w:val="mediumKashida"/>
        <w:rPr>
          <w:rFonts w:ascii="Cambria" w:eastAsia="Calibri" w:hAnsi="Cambria" w:cs="Arial"/>
          <w:sz w:val="20"/>
          <w:szCs w:val="20"/>
        </w:rPr>
      </w:pPr>
    </w:p>
    <w:p w14:paraId="7532ABFD" w14:textId="77777777" w:rsidR="00D13EE4" w:rsidRPr="00D13EE4" w:rsidRDefault="00D13EE4" w:rsidP="00EE1841">
      <w:pPr>
        <w:numPr>
          <w:ilvl w:val="0"/>
          <w:numId w:val="10"/>
        </w:numPr>
        <w:ind w:left="851" w:hanging="425"/>
        <w:contextualSpacing/>
        <w:jc w:val="mediumKashida"/>
        <w:rPr>
          <w:rFonts w:ascii="Cambria" w:eastAsia="Calibri" w:hAnsi="Cambria" w:cs="Arial"/>
          <w:sz w:val="20"/>
          <w:szCs w:val="20"/>
        </w:rPr>
      </w:pPr>
      <w:r w:rsidRPr="00D13EE4">
        <w:rPr>
          <w:rFonts w:ascii="Cambria" w:eastAsia="Calibri" w:hAnsi="Cambria" w:cs="Arial"/>
          <w:i/>
          <w:iCs/>
          <w:sz w:val="20"/>
        </w:rPr>
        <w:t>Modèles de gestion privée.</w:t>
      </w:r>
      <w:r w:rsidRPr="00D13EE4">
        <w:rPr>
          <w:rFonts w:ascii="Cambria" w:eastAsia="Calibri" w:hAnsi="Cambria" w:cs="Arial"/>
          <w:sz w:val="20"/>
        </w:rPr>
        <w:t xml:space="preserve"> Consistant à apporter des fonds à une société privée spécialisée dans la gestion financière des investissements. Dans le cadre de ce modèle de gestion privée, deux possibilités existent:</w:t>
      </w:r>
    </w:p>
    <w:p w14:paraId="33FD10E8" w14:textId="77777777" w:rsidR="00D13EE4" w:rsidRPr="00D13EE4" w:rsidRDefault="00D13EE4" w:rsidP="00D13EE4">
      <w:pPr>
        <w:ind w:left="720"/>
        <w:contextualSpacing/>
        <w:jc w:val="mediumKashida"/>
        <w:rPr>
          <w:rFonts w:ascii="Cambria" w:eastAsia="Calibri" w:hAnsi="Cambria" w:cs="Arial"/>
          <w:sz w:val="20"/>
          <w:szCs w:val="20"/>
        </w:rPr>
      </w:pPr>
    </w:p>
    <w:p w14:paraId="0E7E61D6" w14:textId="1E3F62E7" w:rsidR="00D13EE4" w:rsidRPr="007E3410" w:rsidRDefault="00D13EE4" w:rsidP="009E5E85">
      <w:pPr>
        <w:pStyle w:val="ListParagraph"/>
        <w:numPr>
          <w:ilvl w:val="0"/>
          <w:numId w:val="23"/>
        </w:numPr>
        <w:ind w:left="1134" w:hanging="283"/>
        <w:jc w:val="lowKashida"/>
        <w:rPr>
          <w:rFonts w:ascii="Cambria" w:eastAsia="Calibri" w:hAnsi="Cambria" w:cs="Arial"/>
          <w:sz w:val="20"/>
          <w:szCs w:val="20"/>
        </w:rPr>
      </w:pPr>
      <w:r w:rsidRPr="00103E1E">
        <w:rPr>
          <w:rFonts w:ascii="Cambria" w:eastAsia="Calibri" w:hAnsi="Cambria" w:cs="Arial"/>
          <w:i/>
          <w:iCs/>
          <w:sz w:val="20"/>
        </w:rPr>
        <w:t>Investissement</w:t>
      </w:r>
      <w:r w:rsidRPr="00A034F9">
        <w:rPr>
          <w:rFonts w:ascii="Cambria" w:eastAsia="Calibri" w:hAnsi="Cambria" w:cs="Arial"/>
          <w:i/>
          <w:iCs/>
          <w:sz w:val="20"/>
        </w:rPr>
        <w:t xml:space="preserve"> collectif.</w:t>
      </w:r>
      <w:r w:rsidRPr="00A034F9">
        <w:rPr>
          <w:rFonts w:ascii="Cambria" w:eastAsia="Calibri" w:hAnsi="Cambria" w:cs="Arial"/>
          <w:sz w:val="20"/>
        </w:rPr>
        <w:t xml:space="preserve"> Les apports au fonds de </w:t>
      </w:r>
      <w:r w:rsidRPr="007E3410">
        <w:rPr>
          <w:rFonts w:ascii="Cambria" w:eastAsia="Calibri" w:hAnsi="Cambria" w:cs="Arial"/>
          <w:sz w:val="20"/>
        </w:rPr>
        <w:t xml:space="preserve">pension sont </w:t>
      </w:r>
      <w:r w:rsidR="00631667" w:rsidRPr="007E3410">
        <w:rPr>
          <w:rFonts w:ascii="Cambria" w:eastAsia="Calibri" w:hAnsi="Cambria" w:cs="Arial"/>
          <w:sz w:val="20"/>
        </w:rPr>
        <w:t>canalisés</w:t>
      </w:r>
      <w:r w:rsidRPr="007E3410">
        <w:rPr>
          <w:rFonts w:ascii="Cambria" w:eastAsia="Calibri" w:hAnsi="Cambria" w:cs="Arial"/>
          <w:sz w:val="20"/>
        </w:rPr>
        <w:t xml:space="preserve"> collectivement.</w:t>
      </w:r>
    </w:p>
    <w:p w14:paraId="217C0225" w14:textId="77777777" w:rsidR="00D13EE4" w:rsidRPr="007E3410" w:rsidRDefault="00D13EE4" w:rsidP="009E5E85">
      <w:pPr>
        <w:ind w:left="1134" w:hanging="283"/>
        <w:contextualSpacing/>
        <w:jc w:val="mediumKashida"/>
        <w:rPr>
          <w:rFonts w:ascii="Cambria" w:eastAsia="Calibri" w:hAnsi="Cambria" w:cs="Arial"/>
          <w:sz w:val="20"/>
          <w:szCs w:val="20"/>
        </w:rPr>
      </w:pPr>
    </w:p>
    <w:p w14:paraId="2D6B1025" w14:textId="45A88075" w:rsidR="00D13EE4" w:rsidRPr="007E3410" w:rsidRDefault="00D13EE4" w:rsidP="009E5E85">
      <w:pPr>
        <w:pStyle w:val="ListParagraph"/>
        <w:numPr>
          <w:ilvl w:val="0"/>
          <w:numId w:val="23"/>
        </w:numPr>
        <w:ind w:left="1134" w:hanging="283"/>
        <w:jc w:val="lowKashida"/>
        <w:rPr>
          <w:rFonts w:ascii="Cambria" w:eastAsia="Calibri" w:hAnsi="Cambria" w:cs="Arial"/>
          <w:sz w:val="20"/>
          <w:szCs w:val="20"/>
        </w:rPr>
      </w:pPr>
      <w:r w:rsidRPr="007E3410">
        <w:rPr>
          <w:rFonts w:ascii="Cambria" w:eastAsia="Calibri" w:hAnsi="Cambria" w:cs="Arial"/>
          <w:i/>
          <w:iCs/>
          <w:sz w:val="20"/>
        </w:rPr>
        <w:t>Investissement individuel.</w:t>
      </w:r>
      <w:r w:rsidRPr="007E3410">
        <w:rPr>
          <w:rFonts w:ascii="Cambria" w:eastAsia="Calibri" w:hAnsi="Cambria" w:cs="Arial"/>
          <w:sz w:val="20"/>
        </w:rPr>
        <w:t xml:space="preserve"> Les apports au fonds de pension sont gérés à titre personnel. Le modèle d'investissement individuel est considéré comme étranger à la catégorisation d'un plan de pensions au sens strict. </w:t>
      </w:r>
    </w:p>
    <w:p w14:paraId="7F5738F3" w14:textId="77777777" w:rsidR="00D13EE4" w:rsidRPr="007E3410" w:rsidRDefault="00D13EE4" w:rsidP="00D13EE4">
      <w:pPr>
        <w:jc w:val="mediumKashida"/>
        <w:rPr>
          <w:rFonts w:ascii="Cambria" w:eastAsia="Calibri" w:hAnsi="Cambria" w:cs="Arial"/>
          <w:sz w:val="20"/>
          <w:szCs w:val="20"/>
        </w:rPr>
      </w:pPr>
    </w:p>
    <w:p w14:paraId="5030B67E" w14:textId="77777777" w:rsidR="00D13EE4" w:rsidRPr="007E3410" w:rsidRDefault="00D13EE4" w:rsidP="00D13EE4">
      <w:pPr>
        <w:jc w:val="mediumKashida"/>
        <w:rPr>
          <w:rFonts w:ascii="Cambria" w:eastAsia="Calibri" w:hAnsi="Cambria" w:cs="Arial"/>
          <w:sz w:val="20"/>
          <w:szCs w:val="20"/>
        </w:rPr>
      </w:pPr>
      <w:r w:rsidRPr="007E3410">
        <w:rPr>
          <w:rFonts w:ascii="Cambria" w:eastAsia="Calibri" w:hAnsi="Cambria" w:cs="Arial"/>
          <w:sz w:val="20"/>
        </w:rPr>
        <w:t xml:space="preserve">Le modèle actuel prévu dans les Statuts et Règlement du personnel de l'ICCAT consiste en un système de gestion privé et collectif. </w:t>
      </w:r>
    </w:p>
    <w:p w14:paraId="77D5CF1F" w14:textId="77777777" w:rsidR="00D13EE4" w:rsidRPr="007E3410" w:rsidRDefault="00D13EE4" w:rsidP="00D13EE4">
      <w:pPr>
        <w:jc w:val="mediumKashida"/>
        <w:rPr>
          <w:rFonts w:ascii="Cambria" w:eastAsia="Calibri" w:hAnsi="Cambria" w:cs="Arial"/>
          <w:sz w:val="20"/>
          <w:szCs w:val="20"/>
        </w:rPr>
      </w:pPr>
    </w:p>
    <w:p w14:paraId="6077BFD0" w14:textId="77777777" w:rsidR="00D13EE4" w:rsidRPr="007E3410" w:rsidRDefault="00D13EE4" w:rsidP="00D13EE4">
      <w:pPr>
        <w:jc w:val="mediumKashida"/>
        <w:rPr>
          <w:rFonts w:ascii="Cambria" w:eastAsia="Calibri" w:hAnsi="Cambria" w:cs="Arial"/>
          <w:sz w:val="20"/>
          <w:szCs w:val="20"/>
        </w:rPr>
      </w:pPr>
      <w:r w:rsidRPr="007E3410">
        <w:rPr>
          <w:rFonts w:ascii="Cambria" w:eastAsia="Calibri" w:hAnsi="Cambria" w:cs="Arial"/>
          <w:sz w:val="20"/>
        </w:rPr>
        <w:t>La proposition de modification maintiendrait le modèle de gestion privée, mais passerait à un système d'investissement individuel.</w:t>
      </w:r>
    </w:p>
    <w:p w14:paraId="6D066999" w14:textId="77777777" w:rsidR="00D13EE4" w:rsidRPr="007E3410" w:rsidRDefault="00D13EE4" w:rsidP="00D13EE4">
      <w:pPr>
        <w:jc w:val="mediumKashida"/>
        <w:rPr>
          <w:rFonts w:ascii="Cambria" w:eastAsia="Calibri" w:hAnsi="Cambria" w:cs="Arial"/>
          <w:sz w:val="20"/>
          <w:szCs w:val="20"/>
        </w:rPr>
      </w:pPr>
    </w:p>
    <w:p w14:paraId="2A0E0706" w14:textId="18FC1FFE" w:rsidR="00D13EE4" w:rsidRPr="007E3410" w:rsidRDefault="00D13EE4" w:rsidP="00D13EE4">
      <w:pPr>
        <w:jc w:val="mediumKashida"/>
        <w:rPr>
          <w:rFonts w:ascii="Cambria" w:eastAsia="Calibri" w:hAnsi="Cambria" w:cs="Arial"/>
          <w:sz w:val="20"/>
          <w:szCs w:val="20"/>
        </w:rPr>
      </w:pPr>
      <w:r w:rsidRPr="007E3410">
        <w:rPr>
          <w:rFonts w:ascii="Cambria" w:eastAsia="Calibri" w:hAnsi="Cambria" w:cs="Arial"/>
          <w:sz w:val="20"/>
        </w:rPr>
        <w:t xml:space="preserve">Cette réforme vers un système de gestion </w:t>
      </w:r>
      <w:r w:rsidR="000F6C9F" w:rsidRPr="007E3410">
        <w:rPr>
          <w:rFonts w:ascii="Cambria" w:eastAsia="Calibri" w:hAnsi="Cambria" w:cs="Arial"/>
          <w:sz w:val="20"/>
        </w:rPr>
        <w:t>individuel</w:t>
      </w:r>
      <w:r w:rsidRPr="007E3410">
        <w:rPr>
          <w:rFonts w:ascii="Cambria" w:eastAsia="Calibri" w:hAnsi="Cambria" w:cs="Arial"/>
          <w:sz w:val="20"/>
        </w:rPr>
        <w:t xml:space="preserve"> implique une position qui s'écarte du modèle traditionnel du plan de pensions, caractérisé essentiellement par le caractère collectif des apports. Le libre choix de la destination des apports entraîne la disparition de la catégorie des fonds de pension, puisque la dotation prévue pour le fonds de pension est versée directement au membre du personnel qui peut en disposer librement, ce qui la transforme juridiquement et comptablement en un complément de salaire.</w:t>
      </w:r>
    </w:p>
    <w:p w14:paraId="77302F24" w14:textId="77777777" w:rsidR="00D13EE4" w:rsidRPr="007E3410" w:rsidRDefault="00D13EE4" w:rsidP="00D13EE4">
      <w:pPr>
        <w:jc w:val="mediumKashida"/>
        <w:rPr>
          <w:rFonts w:ascii="Cambria" w:eastAsia="Calibri" w:hAnsi="Cambria" w:cs="Arial"/>
          <w:sz w:val="20"/>
          <w:szCs w:val="20"/>
        </w:rPr>
      </w:pPr>
    </w:p>
    <w:p w14:paraId="0E8D809A" w14:textId="1BD84B45" w:rsidR="00D13EE4" w:rsidRPr="007E3410" w:rsidRDefault="00D13EE4" w:rsidP="00D13EE4">
      <w:pPr>
        <w:jc w:val="mediumKashida"/>
        <w:rPr>
          <w:rFonts w:ascii="Cambria" w:eastAsia="Calibri" w:hAnsi="Cambria" w:cs="Arial"/>
          <w:sz w:val="20"/>
          <w:szCs w:val="20"/>
        </w:rPr>
      </w:pPr>
      <w:r w:rsidRPr="007E3410">
        <w:rPr>
          <w:rFonts w:ascii="Cambria" w:eastAsia="Calibri" w:hAnsi="Cambria" w:cs="Arial"/>
          <w:i/>
          <w:iCs/>
          <w:sz w:val="20"/>
        </w:rPr>
        <w:t>Parmi les principaux avantages</w:t>
      </w:r>
      <w:r w:rsidRPr="007E3410">
        <w:rPr>
          <w:rFonts w:ascii="Cambria" w:eastAsia="Calibri" w:hAnsi="Cambria" w:cs="Arial"/>
          <w:sz w:val="20"/>
        </w:rPr>
        <w:t>, on constate la possibilité d'obtenir un rendement financier nettement supérieur, compte tenu des caractéristiques du marché financier qui rémunère à peine les investissements avec un intérêt garanti. Cela a également un effet positif</w:t>
      </w:r>
      <w:r w:rsidR="00CE5E97" w:rsidRPr="007E3410">
        <w:rPr>
          <w:rFonts w:ascii="Cambria" w:eastAsia="Calibri" w:hAnsi="Cambria" w:cs="Arial"/>
          <w:sz w:val="20"/>
        </w:rPr>
        <w:t>, étant donné que</w:t>
      </w:r>
      <w:r w:rsidRPr="007E3410">
        <w:rPr>
          <w:rFonts w:ascii="Cambria" w:eastAsia="Calibri" w:hAnsi="Cambria" w:cs="Arial"/>
          <w:sz w:val="20"/>
        </w:rPr>
        <w:t xml:space="preserve"> le traitement fiscal favorise les rémunérations salariales </w:t>
      </w:r>
      <w:r w:rsidR="00B651A1" w:rsidRPr="007E3410">
        <w:rPr>
          <w:rFonts w:ascii="Cambria" w:eastAsia="Calibri" w:hAnsi="Cambria" w:cs="Arial"/>
          <w:sz w:val="20"/>
        </w:rPr>
        <w:t>tandis qu’</w:t>
      </w:r>
      <w:r w:rsidR="00311A0A" w:rsidRPr="007E3410">
        <w:rPr>
          <w:rFonts w:ascii="Cambria" w:eastAsia="Calibri" w:hAnsi="Cambria" w:cs="Arial"/>
          <w:sz w:val="20"/>
        </w:rPr>
        <w:t>il</w:t>
      </w:r>
      <w:r w:rsidRPr="007E3410">
        <w:rPr>
          <w:rFonts w:ascii="Cambria" w:eastAsia="Calibri" w:hAnsi="Cambria" w:cs="Arial"/>
          <w:sz w:val="20"/>
        </w:rPr>
        <w:t xml:space="preserve"> </w:t>
      </w:r>
      <w:r w:rsidR="00E00093" w:rsidRPr="007E3410">
        <w:rPr>
          <w:rFonts w:ascii="Cambria" w:eastAsia="Calibri" w:hAnsi="Cambria" w:cs="Arial"/>
          <w:sz w:val="20"/>
        </w:rPr>
        <w:t>taxe</w:t>
      </w:r>
      <w:r w:rsidRPr="007E3410">
        <w:rPr>
          <w:rFonts w:ascii="Cambria" w:eastAsia="Calibri" w:hAnsi="Cambria" w:cs="Arial"/>
          <w:sz w:val="20"/>
        </w:rPr>
        <w:t xml:space="preserve"> les rémunérations sous forme de pension. </w:t>
      </w:r>
    </w:p>
    <w:p w14:paraId="658B459F" w14:textId="77777777" w:rsidR="00D13EE4" w:rsidRPr="007E3410" w:rsidRDefault="00D13EE4" w:rsidP="00D13EE4">
      <w:pPr>
        <w:jc w:val="mediumKashida"/>
        <w:rPr>
          <w:rFonts w:ascii="Cambria" w:eastAsia="Calibri" w:hAnsi="Cambria" w:cs="Arial"/>
          <w:sz w:val="20"/>
          <w:szCs w:val="20"/>
        </w:rPr>
      </w:pPr>
    </w:p>
    <w:p w14:paraId="2AFACF03" w14:textId="022A574B" w:rsidR="00D13EE4" w:rsidRPr="00D13EE4" w:rsidRDefault="00D13EE4" w:rsidP="00D13EE4">
      <w:pPr>
        <w:jc w:val="mediumKashida"/>
        <w:rPr>
          <w:rFonts w:ascii="Cambria" w:eastAsia="Calibri" w:hAnsi="Cambria" w:cs="Arial"/>
          <w:sz w:val="20"/>
          <w:szCs w:val="20"/>
        </w:rPr>
      </w:pPr>
      <w:r w:rsidRPr="007E3410">
        <w:rPr>
          <w:rFonts w:ascii="Cambria" w:eastAsia="Calibri" w:hAnsi="Cambria" w:cs="Arial"/>
          <w:sz w:val="20"/>
        </w:rPr>
        <w:t xml:space="preserve">Le </w:t>
      </w:r>
      <w:r w:rsidRPr="007E3410">
        <w:rPr>
          <w:rFonts w:ascii="Cambria" w:eastAsia="Calibri" w:hAnsi="Cambria" w:cs="Arial"/>
          <w:i/>
          <w:iCs/>
          <w:sz w:val="20"/>
        </w:rPr>
        <w:t>principal inconvénient</w:t>
      </w:r>
      <w:r w:rsidRPr="007E3410">
        <w:rPr>
          <w:rFonts w:ascii="Cambria" w:eastAsia="Calibri" w:hAnsi="Cambria" w:cs="Arial"/>
          <w:sz w:val="20"/>
        </w:rPr>
        <w:t xml:space="preserve"> de ce modèle de gestion libre réside dans le fait que la gestion individuelle peut entraîner une perte de protection au moment de la cessation de service si de mauvaises décisions d'investissement ont été prises, contrairement au modèle de gestion collective tel que le fonds de pension qui garantit une rémunération </w:t>
      </w:r>
      <w:r w:rsidRPr="00D13EE4">
        <w:rPr>
          <w:rFonts w:ascii="Cambria" w:eastAsia="Calibri" w:hAnsi="Cambria" w:cs="Arial"/>
          <w:sz w:val="20"/>
        </w:rPr>
        <w:t>fixe.</w:t>
      </w:r>
    </w:p>
    <w:p w14:paraId="72E46F4B" w14:textId="77777777" w:rsidR="00D13EE4" w:rsidRPr="00D13EE4" w:rsidRDefault="00D13EE4" w:rsidP="00D13EE4">
      <w:pPr>
        <w:jc w:val="mediumKashida"/>
        <w:rPr>
          <w:rFonts w:ascii="Cambria" w:eastAsia="Calibri" w:hAnsi="Cambria" w:cs="Arial"/>
          <w:sz w:val="20"/>
          <w:szCs w:val="20"/>
        </w:rPr>
      </w:pPr>
    </w:p>
    <w:p w14:paraId="408E7BD8" w14:textId="0D8617EC" w:rsidR="00D13EE4" w:rsidRPr="00D13EE4" w:rsidRDefault="00D13EE4" w:rsidP="00D13EE4">
      <w:pPr>
        <w:jc w:val="mediumKashida"/>
        <w:rPr>
          <w:rFonts w:ascii="Cambria" w:eastAsia="Calibri" w:hAnsi="Cambria" w:cs="Arial"/>
          <w:sz w:val="20"/>
          <w:szCs w:val="20"/>
        </w:rPr>
      </w:pPr>
      <w:r w:rsidRPr="00D13EE4">
        <w:rPr>
          <w:rFonts w:ascii="Cambria" w:eastAsia="Calibri" w:hAnsi="Cambria" w:cs="Arial"/>
          <w:sz w:val="20"/>
        </w:rPr>
        <w:t xml:space="preserve">En ce qui concerne la </w:t>
      </w:r>
      <w:r w:rsidR="00B11523">
        <w:rPr>
          <w:rFonts w:ascii="Cambria" w:eastAsia="Calibri" w:hAnsi="Cambria" w:cs="Arial"/>
          <w:sz w:val="20"/>
        </w:rPr>
        <w:t>« </w:t>
      </w:r>
      <w:r w:rsidRPr="00D13EE4">
        <w:rPr>
          <w:rFonts w:ascii="Cambria" w:eastAsia="Calibri" w:hAnsi="Cambria" w:cs="Arial"/>
          <w:sz w:val="20"/>
        </w:rPr>
        <w:t>question de la rétroactivité</w:t>
      </w:r>
      <w:r w:rsidR="00B11523">
        <w:rPr>
          <w:rFonts w:ascii="Cambria" w:eastAsia="Calibri" w:hAnsi="Cambria" w:cs="Arial"/>
          <w:sz w:val="20"/>
        </w:rPr>
        <w:t> »</w:t>
      </w:r>
      <w:r w:rsidRPr="00D13EE4">
        <w:rPr>
          <w:rFonts w:ascii="Cambria" w:eastAsia="Calibri" w:hAnsi="Cambria" w:cs="Arial"/>
          <w:sz w:val="20"/>
        </w:rPr>
        <w:t xml:space="preserve">, il est considéré qu'une réforme de cette nature ne devrait pas avoir de caractère rétroactif, mais que son efficacité entrerait en vigueur après </w:t>
      </w:r>
      <w:r w:rsidR="004B3963">
        <w:rPr>
          <w:rFonts w:ascii="Cambria" w:eastAsia="Calibri" w:hAnsi="Cambria" w:cs="Arial"/>
          <w:sz w:val="20"/>
        </w:rPr>
        <w:t>l’adoption</w:t>
      </w:r>
      <w:r w:rsidRPr="00D13EE4">
        <w:rPr>
          <w:rFonts w:ascii="Cambria" w:eastAsia="Calibri" w:hAnsi="Cambria" w:cs="Arial"/>
          <w:sz w:val="20"/>
        </w:rPr>
        <w:t xml:space="preserve"> de la modification statutaire ; de sorte que les apports versés avant la réforme seraient </w:t>
      </w:r>
      <w:r w:rsidR="00810917" w:rsidRPr="00D13EE4">
        <w:rPr>
          <w:rFonts w:ascii="Cambria" w:eastAsia="Calibri" w:hAnsi="Cambria" w:cs="Arial"/>
          <w:sz w:val="20"/>
        </w:rPr>
        <w:t>régis</w:t>
      </w:r>
      <w:r w:rsidRPr="00D13EE4">
        <w:rPr>
          <w:rFonts w:ascii="Cambria" w:eastAsia="Calibri" w:hAnsi="Cambria" w:cs="Arial"/>
          <w:sz w:val="20"/>
        </w:rPr>
        <w:t xml:space="preserve"> par la réglementation en vigueur au moment de leur versement. Cela garantit ainsi la sécurité juridique et le sérieux institutionnel, tout en évitant la confusion qu'engendrerait une interprétation rétroactive.</w:t>
      </w:r>
    </w:p>
    <w:p w14:paraId="3531E104" w14:textId="77777777" w:rsidR="00D13EE4" w:rsidRPr="00D13EE4" w:rsidRDefault="00D13EE4" w:rsidP="00D13EE4">
      <w:pPr>
        <w:jc w:val="mediumKashida"/>
        <w:rPr>
          <w:rFonts w:ascii="Cambria" w:eastAsia="Calibri" w:hAnsi="Cambria" w:cs="Arial"/>
          <w:sz w:val="20"/>
          <w:szCs w:val="20"/>
        </w:rPr>
      </w:pPr>
    </w:p>
    <w:p w14:paraId="55921E3C" w14:textId="6C505F2C" w:rsidR="00D13EE4" w:rsidRPr="00D13EE4" w:rsidRDefault="00832103" w:rsidP="00D13EE4">
      <w:pPr>
        <w:jc w:val="mediumKashida"/>
        <w:rPr>
          <w:rFonts w:ascii="Cambria" w:eastAsia="Calibri" w:hAnsi="Cambria" w:cs="Arial"/>
          <w:sz w:val="20"/>
          <w:szCs w:val="20"/>
        </w:rPr>
      </w:pPr>
      <w:r>
        <w:rPr>
          <w:rFonts w:ascii="Cambria" w:eastAsia="Calibri" w:hAnsi="Cambria" w:cs="Arial"/>
          <w:sz w:val="20"/>
        </w:rPr>
        <w:t>Les é</w:t>
      </w:r>
      <w:r w:rsidR="00D13EE4" w:rsidRPr="00D13EE4">
        <w:rPr>
          <w:rFonts w:ascii="Cambria" w:eastAsia="Calibri" w:hAnsi="Cambria" w:cs="Arial"/>
          <w:sz w:val="20"/>
        </w:rPr>
        <w:t xml:space="preserve">léments sur la base desquels est proposée la modification partielle suivante des Statuts et Règlement du personnel </w:t>
      </w:r>
      <w:r w:rsidR="003B0BB7">
        <w:rPr>
          <w:rFonts w:ascii="Cambria" w:eastAsia="Calibri" w:hAnsi="Cambria" w:cs="Arial"/>
          <w:sz w:val="20"/>
        </w:rPr>
        <w:t>sont énumérés ci-après.</w:t>
      </w:r>
    </w:p>
    <w:p w14:paraId="6EBC4432" w14:textId="77777777" w:rsidR="00D13EE4" w:rsidRPr="00D13EE4" w:rsidRDefault="00D13EE4" w:rsidP="00D13EE4">
      <w:pPr>
        <w:ind w:left="720"/>
        <w:contextualSpacing/>
        <w:jc w:val="mediumKashida"/>
        <w:rPr>
          <w:rFonts w:ascii="Cambria" w:eastAsia="Calibri" w:hAnsi="Cambria" w:cs="Arial"/>
          <w:strike/>
          <w:sz w:val="20"/>
          <w:szCs w:val="20"/>
        </w:rPr>
      </w:pPr>
    </w:p>
    <w:p w14:paraId="1E1A3C0C" w14:textId="77777777" w:rsidR="00C5374C" w:rsidRPr="00BA2375" w:rsidRDefault="00C5374C" w:rsidP="00C5374C">
      <w:pPr>
        <w:contextualSpacing/>
        <w:rPr>
          <w:rFonts w:ascii="Cambria" w:eastAsia="Times New Roman" w:hAnsi="Cambria" w:cs="Times New Roman"/>
          <w:b/>
          <w:bCs/>
          <w:sz w:val="20"/>
          <w:szCs w:val="20"/>
        </w:rPr>
      </w:pPr>
    </w:p>
    <w:p w14:paraId="664548F1" w14:textId="77777777" w:rsidR="00B22AB0" w:rsidRDefault="00B22AB0">
      <w:pPr>
        <w:rPr>
          <w:rFonts w:ascii="Cambria" w:hAnsi="Cambria"/>
          <w:b/>
          <w:sz w:val="20"/>
          <w:szCs w:val="20"/>
        </w:rPr>
      </w:pPr>
      <w:r>
        <w:rPr>
          <w:rFonts w:ascii="Cambria" w:hAnsi="Cambria"/>
          <w:b/>
          <w:sz w:val="20"/>
          <w:szCs w:val="20"/>
        </w:rPr>
        <w:br w:type="page"/>
      </w:r>
    </w:p>
    <w:p w14:paraId="691CAC1A" w14:textId="6E0D2CF6" w:rsidR="00FC4583" w:rsidRPr="003B3878" w:rsidRDefault="00C5374C" w:rsidP="00660019">
      <w:pPr>
        <w:ind w:left="426" w:hanging="426"/>
        <w:rPr>
          <w:rFonts w:ascii="Cambria" w:hAnsi="Cambria"/>
          <w:b/>
          <w:bCs/>
          <w:sz w:val="20"/>
          <w:szCs w:val="20"/>
        </w:rPr>
      </w:pPr>
      <w:r>
        <w:rPr>
          <w:rFonts w:ascii="Cambria" w:hAnsi="Cambria"/>
          <w:b/>
          <w:sz w:val="20"/>
          <w:szCs w:val="20"/>
        </w:rPr>
        <w:lastRenderedPageBreak/>
        <w:t xml:space="preserve">5. </w:t>
      </w:r>
      <w:r w:rsidR="00660019">
        <w:rPr>
          <w:rFonts w:ascii="Cambria" w:hAnsi="Cambria"/>
          <w:b/>
          <w:sz w:val="20"/>
          <w:szCs w:val="20"/>
        </w:rPr>
        <w:tab/>
      </w:r>
      <w:r w:rsidR="003B2703" w:rsidRPr="003B3878">
        <w:rPr>
          <w:rFonts w:ascii="Cambria" w:hAnsi="Cambria"/>
          <w:b/>
          <w:sz w:val="20"/>
          <w:szCs w:val="20"/>
        </w:rPr>
        <w:t>Modification du système de plan de pension à l'ICCAT</w:t>
      </w:r>
      <w:r w:rsidR="00090DC2">
        <w:rPr>
          <w:rFonts w:ascii="Cambria" w:hAnsi="Cambria"/>
          <w:b/>
          <w:sz w:val="20"/>
          <w:szCs w:val="20"/>
        </w:rPr>
        <w:t> :</w:t>
      </w:r>
      <w:r>
        <w:rPr>
          <w:rFonts w:ascii="Cambria" w:hAnsi="Cambria"/>
          <w:b/>
          <w:sz w:val="20"/>
          <w:szCs w:val="20"/>
        </w:rPr>
        <w:t xml:space="preserve"> </w:t>
      </w:r>
      <w:r w:rsidR="003B2703" w:rsidRPr="003B3878">
        <w:rPr>
          <w:rFonts w:ascii="Cambria" w:hAnsi="Cambria"/>
          <w:b/>
          <w:sz w:val="20"/>
          <w:szCs w:val="20"/>
        </w:rPr>
        <w:t>proposition de nouvelle formulation de l'article 6 des Statuts et du Règlement du personnel de l'ICCAT concernant le plan de pension</w:t>
      </w:r>
    </w:p>
    <w:p w14:paraId="60A72E85" w14:textId="77777777" w:rsidR="00FC4583" w:rsidRPr="003B3878" w:rsidRDefault="00FC4583" w:rsidP="003E6D71">
      <w:pPr>
        <w:ind w:firstLine="708"/>
        <w:jc w:val="mediumKashida"/>
        <w:rPr>
          <w:rFonts w:ascii="Cambria" w:hAnsi="Cambria"/>
          <w:sz w:val="20"/>
          <w:szCs w:val="20"/>
        </w:rPr>
      </w:pPr>
    </w:p>
    <w:p w14:paraId="5F4D69FD" w14:textId="3C847945" w:rsidR="00FC4583" w:rsidRPr="003B3878" w:rsidRDefault="00FC4583" w:rsidP="003E6D71">
      <w:pPr>
        <w:jc w:val="mediumKashida"/>
        <w:rPr>
          <w:rFonts w:ascii="Cambria" w:hAnsi="Cambria"/>
          <w:sz w:val="20"/>
          <w:szCs w:val="20"/>
        </w:rPr>
      </w:pPr>
      <w:r w:rsidRPr="003B3878">
        <w:rPr>
          <w:rFonts w:ascii="Cambria" w:hAnsi="Cambria"/>
          <w:sz w:val="20"/>
          <w:szCs w:val="20"/>
        </w:rPr>
        <w:t xml:space="preserve">Il est proposé de modifier l'article 6 des </w:t>
      </w:r>
      <w:hyperlink r:id="rId7" w:tgtFrame="_blank" w:history="1">
        <w:r w:rsidRPr="003B3878">
          <w:rPr>
            <w:rStyle w:val="Hyperlink"/>
            <w:rFonts w:ascii="Cambria" w:hAnsi="Cambria"/>
            <w:sz w:val="20"/>
            <w:szCs w:val="20"/>
            <w:u w:val="none"/>
          </w:rPr>
          <w:t>Statuts et Règlement du personnel</w:t>
        </w:r>
      </w:hyperlink>
      <w:r w:rsidRPr="003B3878">
        <w:rPr>
          <w:rFonts w:ascii="Cambria" w:hAnsi="Cambria"/>
          <w:sz w:val="20"/>
          <w:szCs w:val="20"/>
        </w:rPr>
        <w:t xml:space="preserve"> afin de mettre en œuvre un système flexible permettant aux membres du personnel de gérer librement l’apport affecté jusqu’à présent au fonds de pension.</w:t>
      </w:r>
    </w:p>
    <w:p w14:paraId="0F27A7EA" w14:textId="77777777" w:rsidR="003E6D71" w:rsidRPr="003B3878" w:rsidRDefault="003E6D71" w:rsidP="003E6D71">
      <w:pPr>
        <w:jc w:val="mediumKashida"/>
        <w:rPr>
          <w:rFonts w:ascii="Cambria" w:hAnsi="Cambria"/>
          <w:sz w:val="20"/>
          <w:szCs w:val="20"/>
        </w:rPr>
      </w:pPr>
    </w:p>
    <w:p w14:paraId="37E7F6B0" w14:textId="5AF8A03A" w:rsidR="00FC4583" w:rsidRPr="003B3878" w:rsidRDefault="00FC4583" w:rsidP="003E6D71">
      <w:pPr>
        <w:jc w:val="mediumKashida"/>
        <w:rPr>
          <w:rFonts w:ascii="Cambria" w:hAnsi="Cambria"/>
          <w:sz w:val="20"/>
          <w:szCs w:val="20"/>
        </w:rPr>
      </w:pPr>
      <w:r w:rsidRPr="003B3878">
        <w:rPr>
          <w:rFonts w:ascii="Cambria" w:hAnsi="Cambria"/>
          <w:sz w:val="20"/>
          <w:szCs w:val="20"/>
        </w:rPr>
        <w:t>Le système fermé actuel de contributions à un fonds commun à rendement garanti est remplacé par un modèle de libre administration par les membres du personnel.</w:t>
      </w:r>
    </w:p>
    <w:p w14:paraId="6598121D" w14:textId="77777777" w:rsidR="003E6D71" w:rsidRPr="003B3878" w:rsidRDefault="003E6D71" w:rsidP="003E6D71">
      <w:pPr>
        <w:jc w:val="mediumKashida"/>
        <w:rPr>
          <w:rFonts w:ascii="Cambria" w:hAnsi="Cambria"/>
          <w:sz w:val="20"/>
          <w:szCs w:val="20"/>
        </w:rPr>
      </w:pPr>
    </w:p>
    <w:p w14:paraId="58EF875E" w14:textId="372940BE" w:rsidR="00FC4583" w:rsidRPr="007E3410" w:rsidRDefault="00FC4583" w:rsidP="003E6D71">
      <w:pPr>
        <w:jc w:val="mediumKashida"/>
        <w:rPr>
          <w:rFonts w:ascii="Cambria" w:hAnsi="Cambria"/>
          <w:sz w:val="20"/>
          <w:szCs w:val="20"/>
        </w:rPr>
      </w:pPr>
      <w:r w:rsidRPr="003B3878">
        <w:rPr>
          <w:rFonts w:ascii="Cambria" w:hAnsi="Cambria"/>
          <w:sz w:val="20"/>
          <w:szCs w:val="20"/>
        </w:rPr>
        <w:t xml:space="preserve">Le montant actuellement payé par la </w:t>
      </w:r>
      <w:r w:rsidR="00027A1B">
        <w:rPr>
          <w:rFonts w:ascii="Cambria" w:hAnsi="Cambria"/>
          <w:sz w:val="20"/>
          <w:szCs w:val="20"/>
        </w:rPr>
        <w:t>Commission</w:t>
      </w:r>
      <w:r w:rsidRPr="003B3878">
        <w:rPr>
          <w:rFonts w:ascii="Cambria" w:hAnsi="Cambria"/>
          <w:sz w:val="20"/>
          <w:szCs w:val="20"/>
        </w:rPr>
        <w:t xml:space="preserve"> pour chaque membre du personnel au plan de pension (15,80 % du barème des Nations Unies pour le calcul des prestations) serait intégré </w:t>
      </w:r>
      <w:r w:rsidRPr="007E3410">
        <w:rPr>
          <w:rFonts w:ascii="Cambria" w:hAnsi="Cambria"/>
          <w:sz w:val="20"/>
          <w:szCs w:val="20"/>
        </w:rPr>
        <w:t>dans l</w:t>
      </w:r>
      <w:r w:rsidR="0025782C" w:rsidRPr="007E3410">
        <w:rPr>
          <w:rFonts w:ascii="Cambria" w:hAnsi="Cambria"/>
          <w:sz w:val="20"/>
          <w:szCs w:val="20"/>
        </w:rPr>
        <w:t>e</w:t>
      </w:r>
      <w:r w:rsidRPr="007E3410">
        <w:rPr>
          <w:rFonts w:ascii="Cambria" w:hAnsi="Cambria"/>
          <w:sz w:val="20"/>
          <w:szCs w:val="20"/>
        </w:rPr>
        <w:t xml:space="preserve"> salai</w:t>
      </w:r>
      <w:r w:rsidR="0025782C" w:rsidRPr="007E3410">
        <w:rPr>
          <w:rFonts w:ascii="Cambria" w:hAnsi="Cambria"/>
          <w:sz w:val="20"/>
          <w:szCs w:val="20"/>
        </w:rPr>
        <w:t>r</w:t>
      </w:r>
      <w:r w:rsidRPr="007E3410">
        <w:rPr>
          <w:rFonts w:ascii="Cambria" w:hAnsi="Cambria"/>
          <w:sz w:val="20"/>
          <w:szCs w:val="20"/>
        </w:rPr>
        <w:t>e en tant que « complément statutaire ».</w:t>
      </w:r>
    </w:p>
    <w:p w14:paraId="20AB5307" w14:textId="77777777" w:rsidR="003E6D71" w:rsidRPr="007E3410" w:rsidRDefault="003E6D71" w:rsidP="003E6D71">
      <w:pPr>
        <w:jc w:val="mediumKashida"/>
        <w:rPr>
          <w:rFonts w:ascii="Cambria" w:hAnsi="Cambria"/>
          <w:sz w:val="20"/>
          <w:szCs w:val="20"/>
        </w:rPr>
      </w:pPr>
    </w:p>
    <w:p w14:paraId="7828FB49" w14:textId="75641E71" w:rsidR="00FC4583" w:rsidRPr="007E3410" w:rsidRDefault="00FC4583" w:rsidP="003E6D71">
      <w:pPr>
        <w:jc w:val="mediumKashida"/>
        <w:rPr>
          <w:rFonts w:ascii="Cambria" w:hAnsi="Cambria"/>
          <w:sz w:val="20"/>
          <w:szCs w:val="20"/>
        </w:rPr>
      </w:pPr>
      <w:r w:rsidRPr="007E3410">
        <w:rPr>
          <w:rFonts w:ascii="Cambria" w:hAnsi="Cambria"/>
          <w:sz w:val="20"/>
          <w:szCs w:val="20"/>
        </w:rPr>
        <w:t xml:space="preserve">La disposition actuelle est maintenue pour que les membres du personnel des services généraux qui sont des ressortissants ou des résidents du pays de destination puissent opter pour </w:t>
      </w:r>
      <w:r w:rsidR="00027A1B" w:rsidRPr="007E3410">
        <w:rPr>
          <w:rFonts w:ascii="Cambria" w:hAnsi="Cambria"/>
          <w:sz w:val="20"/>
          <w:szCs w:val="20"/>
        </w:rPr>
        <w:t>l’affiliation au</w:t>
      </w:r>
      <w:r w:rsidRPr="007E3410">
        <w:rPr>
          <w:rFonts w:ascii="Cambria" w:hAnsi="Cambria"/>
          <w:sz w:val="20"/>
          <w:szCs w:val="20"/>
        </w:rPr>
        <w:t xml:space="preserve"> système public de sécurité sociale du pays de destination. </w:t>
      </w:r>
    </w:p>
    <w:p w14:paraId="5EC0EEEA" w14:textId="77777777" w:rsidR="00554D0D" w:rsidRPr="007E3410" w:rsidRDefault="00554D0D" w:rsidP="003E6D71">
      <w:pPr>
        <w:ind w:left="360"/>
        <w:jc w:val="mediumKashida"/>
        <w:rPr>
          <w:rFonts w:ascii="Cambria" w:hAnsi="Cambria"/>
          <w:sz w:val="20"/>
          <w:szCs w:val="20"/>
        </w:rPr>
      </w:pPr>
    </w:p>
    <w:p w14:paraId="73EFFAAA" w14:textId="77777777" w:rsidR="00F51250" w:rsidRPr="003B3878" w:rsidRDefault="00FC4583" w:rsidP="003E6D71">
      <w:pPr>
        <w:jc w:val="mediumKashida"/>
        <w:rPr>
          <w:rFonts w:ascii="Cambria" w:hAnsi="Cambria"/>
          <w:b/>
          <w:bCs/>
          <w:sz w:val="20"/>
          <w:szCs w:val="20"/>
        </w:rPr>
      </w:pPr>
      <w:r w:rsidRPr="003B3878">
        <w:rPr>
          <w:rFonts w:ascii="Cambria" w:hAnsi="Cambria"/>
          <w:b/>
          <w:sz w:val="20"/>
          <w:szCs w:val="20"/>
        </w:rPr>
        <w:t xml:space="preserve">Proposition de nouvelle formulation des Statuts </w:t>
      </w:r>
    </w:p>
    <w:p w14:paraId="63E074BB" w14:textId="77777777" w:rsidR="00F51250" w:rsidRPr="003B3878" w:rsidRDefault="00F51250" w:rsidP="003E6D71">
      <w:pPr>
        <w:jc w:val="mediumKashida"/>
        <w:rPr>
          <w:rFonts w:ascii="Cambria" w:hAnsi="Cambria"/>
          <w:i/>
          <w:iCs/>
          <w:sz w:val="20"/>
          <w:szCs w:val="20"/>
        </w:rPr>
      </w:pPr>
    </w:p>
    <w:p w14:paraId="7ACDCB17" w14:textId="661C39C0" w:rsidR="00FC4583" w:rsidRPr="009D5635" w:rsidRDefault="00F51250" w:rsidP="003E6D71">
      <w:pPr>
        <w:jc w:val="mediumKashida"/>
        <w:rPr>
          <w:rFonts w:ascii="Cambria" w:hAnsi="Cambria"/>
          <w:b/>
          <w:bCs/>
          <w:iCs/>
          <w:sz w:val="20"/>
          <w:szCs w:val="20"/>
        </w:rPr>
      </w:pPr>
      <w:r w:rsidRPr="009D5635">
        <w:rPr>
          <w:rFonts w:ascii="Cambria" w:hAnsi="Cambria"/>
          <w:iCs/>
          <w:sz w:val="20"/>
          <w:szCs w:val="20"/>
        </w:rPr>
        <w:t>(</w:t>
      </w:r>
      <w:r w:rsidRPr="00660019">
        <w:rPr>
          <w:rFonts w:ascii="Cambria" w:hAnsi="Cambria"/>
          <w:b/>
          <w:bCs/>
          <w:iCs/>
          <w:sz w:val="20"/>
          <w:szCs w:val="20"/>
        </w:rPr>
        <w:t xml:space="preserve">Note de style </w:t>
      </w:r>
      <w:r w:rsidRPr="009D5635">
        <w:rPr>
          <w:rFonts w:ascii="Cambria" w:hAnsi="Cambria"/>
          <w:iCs/>
          <w:sz w:val="20"/>
          <w:szCs w:val="20"/>
        </w:rPr>
        <w:t>: le texte en rouge correspond aux amendements à introduire et le texte barré aux éléments à supprimer).</w:t>
      </w:r>
    </w:p>
    <w:p w14:paraId="50A10B10" w14:textId="77777777" w:rsidR="003E6D71" w:rsidRPr="003B3878" w:rsidRDefault="003E6D71" w:rsidP="003E6D71">
      <w:pPr>
        <w:jc w:val="mediumKashida"/>
        <w:rPr>
          <w:rFonts w:ascii="Cambria" w:hAnsi="Cambria"/>
          <w:sz w:val="20"/>
          <w:szCs w:val="20"/>
        </w:rPr>
      </w:pPr>
    </w:p>
    <w:p w14:paraId="43F53382" w14:textId="728ABFB3" w:rsidR="00FC4583" w:rsidRPr="009D5635" w:rsidRDefault="00FC4583" w:rsidP="006A5F2F">
      <w:pPr>
        <w:ind w:left="567" w:right="565"/>
        <w:jc w:val="mediumKashida"/>
        <w:rPr>
          <w:rFonts w:ascii="Cambria" w:hAnsi="Cambria"/>
          <w:b/>
          <w:bCs/>
          <w:iCs/>
          <w:sz w:val="20"/>
          <w:szCs w:val="20"/>
        </w:rPr>
      </w:pPr>
      <w:r w:rsidRPr="009D5635">
        <w:rPr>
          <w:rFonts w:ascii="Cambria" w:hAnsi="Cambria"/>
          <w:b/>
          <w:iCs/>
          <w:sz w:val="20"/>
          <w:szCs w:val="20"/>
        </w:rPr>
        <w:t xml:space="preserve">Section III - Traitements, indemnités et autres rémunérations </w:t>
      </w:r>
    </w:p>
    <w:p w14:paraId="4703C15D" w14:textId="77777777" w:rsidR="003E6D71" w:rsidRPr="009D5635" w:rsidRDefault="003E6D71" w:rsidP="006A5F2F">
      <w:pPr>
        <w:ind w:left="567" w:right="565"/>
        <w:jc w:val="mediumKashida"/>
        <w:rPr>
          <w:rFonts w:ascii="Cambria" w:hAnsi="Cambria"/>
          <w:iCs/>
          <w:sz w:val="20"/>
          <w:szCs w:val="20"/>
        </w:rPr>
      </w:pPr>
    </w:p>
    <w:p w14:paraId="30C5C956" w14:textId="4D3251D5" w:rsidR="00FC4583" w:rsidRPr="00900804" w:rsidRDefault="00FC4583" w:rsidP="006A5F2F">
      <w:pPr>
        <w:ind w:left="567" w:right="565"/>
        <w:jc w:val="center"/>
        <w:rPr>
          <w:rFonts w:ascii="Cambria" w:hAnsi="Cambria"/>
          <w:b/>
          <w:bCs/>
          <w:i/>
          <w:sz w:val="20"/>
          <w:szCs w:val="20"/>
        </w:rPr>
      </w:pPr>
      <w:r w:rsidRPr="00900804">
        <w:rPr>
          <w:rFonts w:ascii="Cambria" w:hAnsi="Cambria"/>
          <w:b/>
          <w:bCs/>
          <w:i/>
          <w:sz w:val="20"/>
          <w:szCs w:val="20"/>
        </w:rPr>
        <w:t>Article 6 - Traitements et indemnités</w:t>
      </w:r>
    </w:p>
    <w:p w14:paraId="763921DE" w14:textId="77777777" w:rsidR="003E6D71" w:rsidRPr="009D5635" w:rsidRDefault="003E6D71" w:rsidP="006A5F2F">
      <w:pPr>
        <w:ind w:left="567" w:right="565"/>
        <w:jc w:val="mediumKashida"/>
        <w:rPr>
          <w:rFonts w:ascii="Cambria" w:hAnsi="Cambria"/>
          <w:iCs/>
          <w:sz w:val="20"/>
          <w:szCs w:val="20"/>
        </w:rPr>
      </w:pPr>
    </w:p>
    <w:p w14:paraId="2EC9AA2E" w14:textId="4EC60480" w:rsidR="00FC4583" w:rsidRPr="009D5635" w:rsidRDefault="00FC4583" w:rsidP="00900804">
      <w:pPr>
        <w:ind w:left="993" w:right="565" w:hanging="426"/>
        <w:jc w:val="mediumKashida"/>
        <w:rPr>
          <w:rFonts w:ascii="Cambria" w:hAnsi="Cambria"/>
          <w:iCs/>
          <w:sz w:val="20"/>
          <w:szCs w:val="20"/>
        </w:rPr>
      </w:pPr>
      <w:r w:rsidRPr="009D5635">
        <w:rPr>
          <w:rFonts w:ascii="Cambria" w:hAnsi="Cambria"/>
          <w:iCs/>
          <w:sz w:val="20"/>
          <w:szCs w:val="20"/>
        </w:rPr>
        <w:t xml:space="preserve">6.1 </w:t>
      </w:r>
      <w:r w:rsidRPr="009D5635">
        <w:rPr>
          <w:rFonts w:ascii="Cambria" w:hAnsi="Cambria"/>
          <w:iCs/>
          <w:sz w:val="20"/>
          <w:szCs w:val="20"/>
        </w:rPr>
        <w:tab/>
        <w:t xml:space="preserve">Les prestations accordées en vertu de cette section s’alignent sur le régime des Nations Unies (ONU) et sur les dispositions pertinentes du Statut et du Règlement du personnel des Nations Unies et du Manuel administratif des Nations Unies, et sont reflétées et régulièrement actualisées dans les Statuts et le règlement du personnel de l’ICCAT. </w:t>
      </w:r>
    </w:p>
    <w:p w14:paraId="09927A8F" w14:textId="77777777" w:rsidR="00FC4583" w:rsidRPr="009D5635" w:rsidRDefault="00FC4583" w:rsidP="00900804">
      <w:pPr>
        <w:ind w:left="993" w:right="565" w:hanging="426"/>
        <w:jc w:val="mediumKashida"/>
        <w:rPr>
          <w:rFonts w:ascii="Cambria" w:hAnsi="Cambria"/>
          <w:iCs/>
          <w:sz w:val="20"/>
          <w:szCs w:val="20"/>
        </w:rPr>
      </w:pPr>
    </w:p>
    <w:p w14:paraId="53747D3D" w14:textId="2B8EDB2F" w:rsidR="00FC4583" w:rsidRPr="00655CF2" w:rsidRDefault="00FC4583" w:rsidP="00031063">
      <w:pPr>
        <w:pStyle w:val="ListParagraph"/>
        <w:numPr>
          <w:ilvl w:val="1"/>
          <w:numId w:val="4"/>
        </w:numPr>
        <w:ind w:left="993" w:right="565" w:hanging="426"/>
        <w:jc w:val="mediumKashida"/>
        <w:rPr>
          <w:rFonts w:ascii="Cambria" w:hAnsi="Cambria"/>
          <w:iCs/>
          <w:sz w:val="20"/>
          <w:szCs w:val="20"/>
        </w:rPr>
      </w:pPr>
      <w:r w:rsidRPr="00655CF2">
        <w:rPr>
          <w:rFonts w:ascii="Cambria" w:hAnsi="Cambria"/>
          <w:i/>
          <w:sz w:val="20"/>
          <w:szCs w:val="20"/>
        </w:rPr>
        <w:t>Catégorie professionnelle ou catégories supérieures</w:t>
      </w:r>
      <w:r w:rsidRPr="00655CF2">
        <w:rPr>
          <w:rFonts w:ascii="Cambria" w:hAnsi="Cambria"/>
          <w:iCs/>
          <w:sz w:val="20"/>
          <w:szCs w:val="20"/>
        </w:rPr>
        <w:t xml:space="preserve"> : </w:t>
      </w:r>
    </w:p>
    <w:p w14:paraId="3C8662F7" w14:textId="77777777" w:rsidR="003E6D71" w:rsidRPr="009D5635" w:rsidRDefault="003E6D71" w:rsidP="006A5F2F">
      <w:pPr>
        <w:tabs>
          <w:tab w:val="left" w:pos="426"/>
        </w:tabs>
        <w:ind w:left="567" w:right="565"/>
        <w:jc w:val="mediumKashida"/>
        <w:rPr>
          <w:rFonts w:ascii="Cambria" w:hAnsi="Cambria"/>
          <w:iCs/>
          <w:sz w:val="20"/>
          <w:szCs w:val="20"/>
        </w:rPr>
      </w:pPr>
    </w:p>
    <w:p w14:paraId="36F57D54" w14:textId="2840E4AD" w:rsidR="00FC4583" w:rsidRPr="009D5635" w:rsidRDefault="00FF76C5" w:rsidP="00FF76C5">
      <w:pPr>
        <w:pStyle w:val="ListParagraph"/>
        <w:ind w:left="1134" w:right="565" w:hanging="425"/>
        <w:jc w:val="mediumKashida"/>
        <w:rPr>
          <w:rFonts w:ascii="Cambria" w:hAnsi="Cambria"/>
          <w:iCs/>
          <w:sz w:val="20"/>
          <w:szCs w:val="20"/>
        </w:rPr>
      </w:pPr>
      <w:r>
        <w:rPr>
          <w:rFonts w:ascii="Cambria" w:hAnsi="Cambria"/>
          <w:iCs/>
          <w:sz w:val="20"/>
          <w:szCs w:val="20"/>
        </w:rPr>
        <w:t>a)</w:t>
      </w:r>
      <w:r>
        <w:rPr>
          <w:rFonts w:ascii="Cambria" w:hAnsi="Cambria"/>
          <w:iCs/>
          <w:sz w:val="20"/>
          <w:szCs w:val="20"/>
        </w:rPr>
        <w:tab/>
      </w:r>
      <w:r w:rsidR="00FC4583" w:rsidRPr="009D5635">
        <w:rPr>
          <w:rFonts w:ascii="Cambria" w:hAnsi="Cambria"/>
          <w:iCs/>
          <w:sz w:val="20"/>
          <w:szCs w:val="20"/>
        </w:rPr>
        <w:t xml:space="preserve">Salaire : L'échelle des traitements des membres du personnel de la catégorie </w:t>
      </w:r>
      <w:r w:rsidR="00FC4583" w:rsidRPr="00FF76C5">
        <w:rPr>
          <w:rFonts w:ascii="Cambria" w:hAnsi="Cambria"/>
          <w:sz w:val="20"/>
          <w:szCs w:val="20"/>
        </w:rPr>
        <w:t>professionnelle</w:t>
      </w:r>
      <w:r w:rsidR="00FC4583" w:rsidRPr="009D5635">
        <w:rPr>
          <w:rFonts w:ascii="Cambria" w:hAnsi="Cambria"/>
          <w:iCs/>
          <w:sz w:val="20"/>
          <w:szCs w:val="20"/>
        </w:rPr>
        <w:t xml:space="preserve"> ou des catégories supérieures établie et approuvée par la Commission est fondée sur le dernier barème publié par les Nations Unies et transmis par la Commission de la fonction publique internationale.</w:t>
      </w:r>
      <w:r w:rsidR="00245C95">
        <w:rPr>
          <w:rFonts w:ascii="Cambria" w:hAnsi="Cambria"/>
          <w:iCs/>
          <w:sz w:val="20"/>
          <w:szCs w:val="20"/>
        </w:rPr>
        <w:t xml:space="preserve"> </w:t>
      </w:r>
      <w:r w:rsidR="00FC4583" w:rsidRPr="009D5635">
        <w:rPr>
          <w:rFonts w:ascii="Cambria" w:hAnsi="Cambria"/>
          <w:iCs/>
          <w:sz w:val="20"/>
          <w:szCs w:val="20"/>
        </w:rPr>
        <w:t xml:space="preserve">Ces traitements, qui sont établis en dollars des États-Unis, sont sujets à l’ajustement pour affectation et sont payables en monnaie convertible. </w:t>
      </w:r>
    </w:p>
    <w:p w14:paraId="054C78B6" w14:textId="77777777" w:rsidR="00554D0D" w:rsidRPr="009D5635" w:rsidRDefault="00554D0D" w:rsidP="006A5F2F">
      <w:pPr>
        <w:pStyle w:val="ListParagraph"/>
        <w:ind w:left="567" w:right="565"/>
        <w:jc w:val="mediumKashida"/>
        <w:rPr>
          <w:rFonts w:ascii="Cambria" w:hAnsi="Cambria"/>
          <w:iCs/>
          <w:sz w:val="20"/>
          <w:szCs w:val="20"/>
        </w:rPr>
      </w:pPr>
    </w:p>
    <w:p w14:paraId="02D5D623" w14:textId="7ED81AD6" w:rsidR="00FC4583" w:rsidRPr="009D5635" w:rsidRDefault="007D53B6" w:rsidP="007D53B6">
      <w:pPr>
        <w:pStyle w:val="ListParagraph"/>
        <w:ind w:left="1134" w:right="565" w:hanging="425"/>
        <w:jc w:val="mediumKashida"/>
        <w:rPr>
          <w:rFonts w:ascii="Cambria" w:hAnsi="Cambria"/>
          <w:iCs/>
          <w:sz w:val="20"/>
          <w:szCs w:val="20"/>
        </w:rPr>
      </w:pPr>
      <w:r>
        <w:rPr>
          <w:rFonts w:ascii="Cambria" w:hAnsi="Cambria"/>
          <w:iCs/>
          <w:sz w:val="20"/>
          <w:szCs w:val="20"/>
        </w:rPr>
        <w:t>b)</w:t>
      </w:r>
      <w:r>
        <w:rPr>
          <w:rFonts w:ascii="Cambria" w:hAnsi="Cambria"/>
          <w:iCs/>
          <w:sz w:val="20"/>
          <w:szCs w:val="20"/>
        </w:rPr>
        <w:tab/>
      </w:r>
      <w:r w:rsidR="00FC4583" w:rsidRPr="009D5635">
        <w:rPr>
          <w:rFonts w:ascii="Cambria" w:hAnsi="Cambria"/>
          <w:iCs/>
          <w:sz w:val="20"/>
          <w:szCs w:val="20"/>
        </w:rPr>
        <w:t xml:space="preserve">Ajustement pour </w:t>
      </w:r>
      <w:r w:rsidR="00BE78A1" w:rsidRPr="009D5635">
        <w:rPr>
          <w:rFonts w:ascii="Cambria" w:hAnsi="Cambria"/>
          <w:iCs/>
          <w:sz w:val="20"/>
          <w:szCs w:val="20"/>
        </w:rPr>
        <w:t>affectation :</w:t>
      </w:r>
      <w:r w:rsidR="00FC4583" w:rsidRPr="009D5635">
        <w:rPr>
          <w:rFonts w:ascii="Cambria" w:hAnsi="Cambria"/>
          <w:iCs/>
          <w:sz w:val="20"/>
          <w:szCs w:val="20"/>
        </w:rPr>
        <w:t xml:space="preserve"> Un ajustement pour affectation</w:t>
      </w:r>
      <w:r w:rsidR="00FC4583" w:rsidRPr="00E247B4">
        <w:rPr>
          <w:rFonts w:ascii="Cambria" w:hAnsi="Cambria"/>
          <w:iCs/>
          <w:strike/>
          <w:sz w:val="20"/>
          <w:szCs w:val="20"/>
        </w:rPr>
        <w:t xml:space="preserve">, non applicable à la retraite, </w:t>
      </w:r>
      <w:r w:rsidR="00FC4583" w:rsidRPr="009D5635">
        <w:rPr>
          <w:rFonts w:ascii="Cambria" w:hAnsi="Cambria"/>
          <w:iCs/>
          <w:sz w:val="20"/>
          <w:szCs w:val="20"/>
        </w:rPr>
        <w:t xml:space="preserve">est appliqué au salaire de la catégorie professionnelle ou des catégories supérieures conformément à l'information la plus récente sur les ajustements pour affectation (un multiplicateur variable pour Madrid), laquelle est transmise tous les mois par la Commission de la fonction publique internationale. </w:t>
      </w:r>
    </w:p>
    <w:p w14:paraId="7E81CD47" w14:textId="77777777" w:rsidR="00554D0D" w:rsidRPr="009D5635" w:rsidRDefault="00554D0D" w:rsidP="006A5F2F">
      <w:pPr>
        <w:pStyle w:val="ListParagraph"/>
        <w:ind w:left="567" w:right="565"/>
        <w:jc w:val="mediumKashida"/>
        <w:rPr>
          <w:rFonts w:ascii="Cambria" w:hAnsi="Cambria"/>
          <w:iCs/>
          <w:sz w:val="20"/>
          <w:szCs w:val="20"/>
        </w:rPr>
      </w:pPr>
    </w:p>
    <w:p w14:paraId="348CE141" w14:textId="2CF850D5" w:rsidR="00E247B4" w:rsidRDefault="007D53B6" w:rsidP="007D53B6">
      <w:pPr>
        <w:pStyle w:val="ListParagraph"/>
        <w:ind w:left="1134" w:right="565" w:hanging="425"/>
        <w:jc w:val="mediumKashida"/>
        <w:rPr>
          <w:rFonts w:ascii="Cambria" w:hAnsi="Cambria"/>
          <w:iCs/>
          <w:strike/>
          <w:sz w:val="20"/>
          <w:szCs w:val="20"/>
        </w:rPr>
      </w:pPr>
      <w:r>
        <w:rPr>
          <w:rFonts w:ascii="Cambria" w:hAnsi="Cambria"/>
          <w:iCs/>
          <w:strike/>
          <w:sz w:val="20"/>
          <w:szCs w:val="20"/>
        </w:rPr>
        <w:t>c)</w:t>
      </w:r>
      <w:r>
        <w:rPr>
          <w:rFonts w:ascii="Cambria" w:hAnsi="Cambria"/>
          <w:iCs/>
          <w:strike/>
          <w:sz w:val="20"/>
          <w:szCs w:val="20"/>
        </w:rPr>
        <w:tab/>
      </w:r>
      <w:r w:rsidR="00554D0D" w:rsidRPr="009D5635">
        <w:rPr>
          <w:rFonts w:ascii="Cambria" w:hAnsi="Cambria"/>
          <w:iCs/>
          <w:strike/>
          <w:sz w:val="20"/>
          <w:szCs w:val="20"/>
        </w:rPr>
        <w:t xml:space="preserve">Fonds </w:t>
      </w:r>
      <w:r w:rsidR="00554D0D" w:rsidRPr="007D53B6">
        <w:rPr>
          <w:rFonts w:ascii="Cambria" w:hAnsi="Cambria"/>
          <w:iCs/>
          <w:sz w:val="20"/>
          <w:szCs w:val="20"/>
        </w:rPr>
        <w:t>de</w:t>
      </w:r>
      <w:r w:rsidR="00554D0D" w:rsidRPr="009D5635">
        <w:rPr>
          <w:rFonts w:ascii="Cambria" w:hAnsi="Cambria"/>
          <w:iCs/>
          <w:strike/>
          <w:sz w:val="20"/>
          <w:szCs w:val="20"/>
        </w:rPr>
        <w:t xml:space="preserve"> pension : Les membres du personnel de la catégorie professionnelle ou des catégories supérieures peuvent souscrire au fonds de pension convenu. La contribution de la Commission à ce titre s'élèvera au maximum à 23,7% du chiffre correspondant au niveau et à l'échelon du membre du personnel selon le dernier barème du « Salaire annuel applicable aux fins de la pension de la catégorie professionnelle ou des catégories supérieures » transmis par la Commission de la fonction publique internationale. Le taux d’apport au fonds de pension de la Commission est actuellement de 23,7% pour les membres du personnel engagés jusqu’à l’année 1999. Les changements incorporés à la Réunion de la Commission </w:t>
      </w:r>
      <w:r w:rsidR="00554D0D" w:rsidRPr="009D5635">
        <w:rPr>
          <w:rFonts w:ascii="Cambria" w:hAnsi="Cambria"/>
          <w:iCs/>
          <w:strike/>
          <w:sz w:val="20"/>
          <w:szCs w:val="20"/>
        </w:rPr>
        <w:lastRenderedPageBreak/>
        <w:t xml:space="preserve">qui s’est tenue à Rio de Janeiro en novembre 1999 sont appliqués aux membres du personnel engagés à partir de janvier 2000, de telle sorte que la contribution de la Commission au fonds de pension sera de deux tiers du maximum et le membre du personnel apporte un tiers. </w:t>
      </w:r>
    </w:p>
    <w:p w14:paraId="1BAA494A" w14:textId="77777777" w:rsidR="00E247B4" w:rsidRPr="00E247B4" w:rsidRDefault="00E247B4" w:rsidP="00E247B4">
      <w:pPr>
        <w:pStyle w:val="ListParagraph"/>
        <w:rPr>
          <w:rFonts w:ascii="Cambria" w:hAnsi="Cambria"/>
          <w:iCs/>
          <w:strike/>
          <w:sz w:val="20"/>
          <w:szCs w:val="20"/>
        </w:rPr>
      </w:pPr>
    </w:p>
    <w:p w14:paraId="767B3E67" w14:textId="77777777" w:rsidR="00E247B4" w:rsidRDefault="00554D0D" w:rsidP="00E247B4">
      <w:pPr>
        <w:pStyle w:val="ListParagraph"/>
        <w:ind w:left="1134" w:right="565"/>
        <w:jc w:val="mediumKashida"/>
        <w:rPr>
          <w:rFonts w:ascii="Cambria" w:hAnsi="Cambria"/>
          <w:iCs/>
          <w:strike/>
          <w:sz w:val="20"/>
          <w:szCs w:val="20"/>
        </w:rPr>
      </w:pPr>
      <w:r w:rsidRPr="009D5635">
        <w:rPr>
          <w:rFonts w:ascii="Cambria" w:hAnsi="Cambria"/>
          <w:iCs/>
          <w:strike/>
          <w:sz w:val="20"/>
          <w:szCs w:val="20"/>
        </w:rPr>
        <w:t>La participation au fonds de pension convenu est obligatoire dans le cas des membres du personnel de la catégorie professionnelle ou des catégories supérieures recrutés à la date du 1er janvier 1983 ou ultérieurement.</w:t>
      </w:r>
    </w:p>
    <w:p w14:paraId="71E44D6F" w14:textId="77777777" w:rsidR="00E247B4" w:rsidRDefault="00E247B4" w:rsidP="00E247B4">
      <w:pPr>
        <w:pStyle w:val="ListParagraph"/>
        <w:ind w:left="1134" w:right="565"/>
        <w:jc w:val="mediumKashida"/>
        <w:rPr>
          <w:rFonts w:ascii="Cambria" w:hAnsi="Cambria"/>
          <w:iCs/>
          <w:strike/>
          <w:sz w:val="20"/>
          <w:szCs w:val="20"/>
        </w:rPr>
      </w:pPr>
    </w:p>
    <w:p w14:paraId="2B7A4435" w14:textId="7115F1A5" w:rsidR="00D770EF" w:rsidRPr="009D5635" w:rsidRDefault="00554D0D" w:rsidP="00E247B4">
      <w:pPr>
        <w:pStyle w:val="ListParagraph"/>
        <w:ind w:left="1134" w:right="565"/>
        <w:jc w:val="mediumKashida"/>
        <w:rPr>
          <w:rFonts w:ascii="Cambria" w:hAnsi="Cambria"/>
          <w:iCs/>
          <w:strike/>
          <w:sz w:val="20"/>
          <w:szCs w:val="20"/>
        </w:rPr>
      </w:pPr>
      <w:r w:rsidRPr="009D5635">
        <w:rPr>
          <w:rFonts w:ascii="Cambria" w:hAnsi="Cambria"/>
          <w:iCs/>
          <w:strike/>
          <w:sz w:val="20"/>
          <w:szCs w:val="20"/>
        </w:rPr>
        <w:t>Dans le cas des membres du personnel sous contrat à terme fixe, on envisagera une autre solution à mettre au point entre le Secrétaire exécutif et le membre du personnel concerné, en consultation avec le ou la Président(e) du Comité permanent pour les finances et l'administration (STACFAD).</w:t>
      </w:r>
    </w:p>
    <w:p w14:paraId="28AD4AD6" w14:textId="77777777" w:rsidR="00554D0D" w:rsidRPr="009D5635" w:rsidRDefault="00554D0D" w:rsidP="006A5F2F">
      <w:pPr>
        <w:pStyle w:val="ListParagraph"/>
        <w:ind w:left="567" w:right="565"/>
        <w:jc w:val="mediumKashida"/>
        <w:rPr>
          <w:rFonts w:ascii="Cambria" w:hAnsi="Cambria"/>
          <w:iCs/>
          <w:strike/>
          <w:sz w:val="20"/>
          <w:szCs w:val="20"/>
        </w:rPr>
      </w:pPr>
    </w:p>
    <w:p w14:paraId="6084AF4A" w14:textId="5A3F325D" w:rsidR="00FC4583" w:rsidRPr="009D5635" w:rsidRDefault="00E247B4" w:rsidP="00831385">
      <w:pPr>
        <w:pStyle w:val="ListParagraph"/>
        <w:ind w:left="1134" w:right="565" w:hanging="425"/>
        <w:jc w:val="mediumKashida"/>
        <w:rPr>
          <w:rFonts w:ascii="Cambria" w:hAnsi="Cambria"/>
          <w:iCs/>
          <w:color w:val="FF0000"/>
          <w:sz w:val="20"/>
          <w:szCs w:val="20"/>
        </w:rPr>
      </w:pPr>
      <w:r>
        <w:rPr>
          <w:rFonts w:ascii="Cambria" w:hAnsi="Cambria"/>
          <w:iCs/>
          <w:color w:val="FF0000"/>
          <w:sz w:val="20"/>
          <w:szCs w:val="20"/>
        </w:rPr>
        <w:t>c)</w:t>
      </w:r>
      <w:r>
        <w:rPr>
          <w:rFonts w:ascii="Cambria" w:hAnsi="Cambria"/>
          <w:iCs/>
          <w:color w:val="FF0000"/>
          <w:sz w:val="20"/>
          <w:szCs w:val="20"/>
        </w:rPr>
        <w:tab/>
      </w:r>
      <w:r w:rsidR="00FC4583" w:rsidRPr="009D5635">
        <w:rPr>
          <w:rFonts w:ascii="Cambria" w:hAnsi="Cambria"/>
          <w:iCs/>
          <w:color w:val="FF0000"/>
          <w:sz w:val="20"/>
          <w:szCs w:val="20"/>
        </w:rPr>
        <w:t>Complément statutaire</w:t>
      </w:r>
      <w:r w:rsidR="007D53B6">
        <w:rPr>
          <w:rFonts w:ascii="Cambria" w:hAnsi="Cambria"/>
          <w:iCs/>
          <w:color w:val="FF0000"/>
          <w:sz w:val="20"/>
          <w:szCs w:val="20"/>
        </w:rPr>
        <w:t> :</w:t>
      </w:r>
      <w:r w:rsidR="00FC4583" w:rsidRPr="009D5635">
        <w:rPr>
          <w:rFonts w:ascii="Cambria" w:hAnsi="Cambria"/>
          <w:iCs/>
          <w:color w:val="FF0000"/>
          <w:sz w:val="20"/>
          <w:szCs w:val="20"/>
        </w:rPr>
        <w:t xml:space="preserve"> Un complément salarial statutaire sera appliqué aux salaires des catégories professionnelle et supérieure au taux de 15,80</w:t>
      </w:r>
      <w:r w:rsidR="004F15F1">
        <w:rPr>
          <w:rFonts w:ascii="Cambria" w:hAnsi="Cambria"/>
          <w:iCs/>
          <w:color w:val="FF0000"/>
          <w:sz w:val="20"/>
          <w:szCs w:val="20"/>
        </w:rPr>
        <w:t> </w:t>
      </w:r>
      <w:r w:rsidR="00FC4583" w:rsidRPr="009D5635">
        <w:rPr>
          <w:rFonts w:ascii="Cambria" w:hAnsi="Cambria"/>
          <w:iCs/>
          <w:color w:val="FF0000"/>
          <w:sz w:val="20"/>
          <w:szCs w:val="20"/>
        </w:rPr>
        <w:t xml:space="preserve">% </w:t>
      </w:r>
      <w:r w:rsidR="00E50210" w:rsidRPr="009303DF">
        <w:rPr>
          <w:rFonts w:ascii="Cambria" w:hAnsi="Cambria"/>
          <w:iCs/>
          <w:color w:val="FF0000"/>
          <w:sz w:val="20"/>
          <w:szCs w:val="20"/>
        </w:rPr>
        <w:t>du montant attribué au grade et à l'échelon correspondant au membre du personnel</w:t>
      </w:r>
      <w:r w:rsidR="00E50210" w:rsidRPr="00E50210">
        <w:rPr>
          <w:rFonts w:ascii="Cambria" w:hAnsi="Cambria"/>
          <w:iCs/>
          <w:color w:val="FF0000"/>
          <w:sz w:val="20"/>
          <w:szCs w:val="20"/>
        </w:rPr>
        <w:t xml:space="preserve"> </w:t>
      </w:r>
      <w:r w:rsidR="00FC4583" w:rsidRPr="009D5635">
        <w:rPr>
          <w:rFonts w:ascii="Cambria" w:hAnsi="Cambria"/>
          <w:iCs/>
          <w:color w:val="FF0000"/>
          <w:sz w:val="20"/>
          <w:szCs w:val="20"/>
        </w:rPr>
        <w:t>du barème des rémunérations ouvrant droit à pension des Nations Unies.</w:t>
      </w:r>
    </w:p>
    <w:p w14:paraId="23921920" w14:textId="77777777" w:rsidR="00554D0D" w:rsidRPr="009D5635" w:rsidRDefault="00554D0D" w:rsidP="006A5F2F">
      <w:pPr>
        <w:ind w:left="567" w:right="565"/>
        <w:jc w:val="mediumKashida"/>
        <w:rPr>
          <w:rFonts w:ascii="Cambria" w:hAnsi="Cambria"/>
          <w:iCs/>
          <w:color w:val="FF0000"/>
          <w:sz w:val="20"/>
          <w:szCs w:val="20"/>
        </w:rPr>
      </w:pPr>
    </w:p>
    <w:p w14:paraId="5D459B07" w14:textId="53BDDF19" w:rsidR="00FC4583" w:rsidRPr="009D5635" w:rsidRDefault="007D53B6" w:rsidP="007D53B6">
      <w:pPr>
        <w:pStyle w:val="ListParagraph"/>
        <w:ind w:left="1134" w:right="565" w:hanging="425"/>
        <w:jc w:val="mediumKashida"/>
        <w:rPr>
          <w:rFonts w:ascii="Cambria" w:hAnsi="Cambria"/>
          <w:iCs/>
          <w:sz w:val="20"/>
          <w:szCs w:val="20"/>
        </w:rPr>
      </w:pPr>
      <w:r>
        <w:rPr>
          <w:rFonts w:ascii="Cambria" w:hAnsi="Cambria"/>
          <w:iCs/>
          <w:sz w:val="20"/>
          <w:szCs w:val="20"/>
        </w:rPr>
        <w:t>d)</w:t>
      </w:r>
      <w:r>
        <w:rPr>
          <w:rFonts w:ascii="Cambria" w:hAnsi="Cambria"/>
          <w:iCs/>
          <w:sz w:val="20"/>
          <w:szCs w:val="20"/>
        </w:rPr>
        <w:tab/>
      </w:r>
      <w:r w:rsidR="00FC4583" w:rsidRPr="009D5635">
        <w:rPr>
          <w:rFonts w:ascii="Cambria" w:hAnsi="Cambria"/>
          <w:iCs/>
          <w:sz w:val="20"/>
          <w:szCs w:val="20"/>
        </w:rPr>
        <w:t xml:space="preserve">Allocations </w:t>
      </w:r>
      <w:r w:rsidR="00FC4583" w:rsidRPr="007D53B6">
        <w:rPr>
          <w:rFonts w:ascii="Cambria" w:hAnsi="Cambria"/>
          <w:iCs/>
          <w:color w:val="000000" w:themeColor="text1"/>
          <w:sz w:val="20"/>
          <w:szCs w:val="20"/>
        </w:rPr>
        <w:t>familiales : Les membres du personnel de la catégorie professionnelle ou</w:t>
      </w:r>
      <w:r w:rsidR="00FC4583" w:rsidRPr="009D5635">
        <w:rPr>
          <w:rFonts w:ascii="Cambria" w:hAnsi="Cambria"/>
          <w:iCs/>
          <w:sz w:val="20"/>
          <w:szCs w:val="20"/>
        </w:rPr>
        <w:t xml:space="preserve"> des catégories supérieures auront aussi droit à des allocations familiales pour tout enfant à charge (jusqu'à 21 ans) d'un montant équivalent à celui en vigueur selon le dernier barème des salaires des Nations Unies qui est transmis périodiquement par la Commission de la fonction publique internationale.</w:t>
      </w:r>
      <w:r w:rsidR="00245C95">
        <w:rPr>
          <w:rFonts w:ascii="Cambria" w:hAnsi="Cambria"/>
          <w:iCs/>
          <w:sz w:val="20"/>
          <w:szCs w:val="20"/>
        </w:rPr>
        <w:t xml:space="preserve"> </w:t>
      </w:r>
      <w:r w:rsidR="00FC4583" w:rsidRPr="009D5635">
        <w:rPr>
          <w:rFonts w:ascii="Cambria" w:hAnsi="Cambria"/>
          <w:iCs/>
          <w:sz w:val="20"/>
          <w:szCs w:val="20"/>
        </w:rPr>
        <w:t xml:space="preserve">Les allocations versées pour les enfants sont compensées ou réduites selon le montant perçu à ce titre d'une source autre que la Commission. </w:t>
      </w:r>
    </w:p>
    <w:p w14:paraId="3F59D5CE" w14:textId="77777777" w:rsidR="00554D0D" w:rsidRPr="009D5635" w:rsidRDefault="00554D0D" w:rsidP="00831385">
      <w:pPr>
        <w:pStyle w:val="ListParagraph"/>
        <w:ind w:left="1134" w:right="565" w:hanging="425"/>
        <w:jc w:val="mediumKashida"/>
        <w:rPr>
          <w:rFonts w:ascii="Cambria" w:hAnsi="Cambria"/>
          <w:iCs/>
          <w:sz w:val="20"/>
          <w:szCs w:val="20"/>
        </w:rPr>
      </w:pPr>
    </w:p>
    <w:p w14:paraId="525930A9" w14:textId="52261BBA" w:rsidR="00FC4583" w:rsidRPr="009D5635" w:rsidRDefault="004F15F1" w:rsidP="004F15F1">
      <w:pPr>
        <w:pStyle w:val="ListParagraph"/>
        <w:ind w:left="1134" w:right="565" w:hanging="425"/>
        <w:jc w:val="mediumKashida"/>
        <w:rPr>
          <w:rFonts w:ascii="Cambria" w:hAnsi="Cambria"/>
          <w:iCs/>
          <w:sz w:val="20"/>
          <w:szCs w:val="20"/>
        </w:rPr>
      </w:pPr>
      <w:r>
        <w:rPr>
          <w:rFonts w:ascii="Cambria" w:hAnsi="Cambria"/>
          <w:iCs/>
          <w:sz w:val="20"/>
          <w:szCs w:val="20"/>
        </w:rPr>
        <w:t>e)</w:t>
      </w:r>
      <w:r>
        <w:rPr>
          <w:rFonts w:ascii="Cambria" w:hAnsi="Cambria"/>
          <w:iCs/>
          <w:sz w:val="20"/>
          <w:szCs w:val="20"/>
        </w:rPr>
        <w:tab/>
      </w:r>
      <w:r w:rsidR="00FC4583" w:rsidRPr="009D5635">
        <w:rPr>
          <w:rFonts w:ascii="Cambria" w:hAnsi="Cambria"/>
          <w:iCs/>
          <w:sz w:val="20"/>
          <w:szCs w:val="20"/>
        </w:rPr>
        <w:t>Assurance médicale, accident et invalidité : Tous les membres du personnel de la catégorie professionnelle ou des catégories supérieures doivent obligatoirement souscrire une assurance médicale, accident et invalidité adéquate. La Commission contribue à ce titre jusqu'à 2,5% du salaire net de base. Tous les membres du personnel doivent remettre au Secrétaire exécutif les pièces justificatives relatives à leur assurance médicale, assurance et invalidité.</w:t>
      </w:r>
    </w:p>
    <w:p w14:paraId="42ACAA6C" w14:textId="77777777" w:rsidR="00FC4583" w:rsidRPr="009D5635" w:rsidRDefault="00FC4583" w:rsidP="006A5F2F">
      <w:pPr>
        <w:ind w:left="567" w:right="565"/>
        <w:jc w:val="mediumKashida"/>
        <w:rPr>
          <w:rFonts w:ascii="Cambria" w:hAnsi="Cambria"/>
          <w:iCs/>
          <w:sz w:val="20"/>
          <w:szCs w:val="20"/>
        </w:rPr>
      </w:pPr>
    </w:p>
    <w:p w14:paraId="7512C1B4" w14:textId="19588D70" w:rsidR="00FC4583" w:rsidRPr="00031063" w:rsidRDefault="00FC4583" w:rsidP="00031063">
      <w:pPr>
        <w:pStyle w:val="ListParagraph"/>
        <w:numPr>
          <w:ilvl w:val="1"/>
          <w:numId w:val="4"/>
        </w:numPr>
        <w:ind w:left="993" w:right="565" w:hanging="426"/>
        <w:jc w:val="mediumKashida"/>
        <w:rPr>
          <w:rFonts w:ascii="Cambria" w:hAnsi="Cambria"/>
          <w:iCs/>
          <w:sz w:val="20"/>
          <w:szCs w:val="20"/>
        </w:rPr>
      </w:pPr>
      <w:r w:rsidRPr="00031063">
        <w:rPr>
          <w:rFonts w:ascii="Cambria" w:hAnsi="Cambria"/>
          <w:i/>
          <w:sz w:val="20"/>
          <w:szCs w:val="20"/>
        </w:rPr>
        <w:t>Catégorie des services généraux</w:t>
      </w:r>
      <w:r w:rsidRPr="00031063">
        <w:rPr>
          <w:rFonts w:ascii="Cambria" w:hAnsi="Cambria"/>
          <w:iCs/>
          <w:sz w:val="20"/>
          <w:szCs w:val="20"/>
        </w:rPr>
        <w:t xml:space="preserve"> : </w:t>
      </w:r>
    </w:p>
    <w:p w14:paraId="25663A02" w14:textId="77777777" w:rsidR="00F51250" w:rsidRPr="009D5635" w:rsidRDefault="00F51250" w:rsidP="006A5F2F">
      <w:pPr>
        <w:tabs>
          <w:tab w:val="left" w:pos="426"/>
        </w:tabs>
        <w:ind w:left="567" w:right="565"/>
        <w:jc w:val="mediumKashida"/>
        <w:rPr>
          <w:rFonts w:ascii="Cambria" w:hAnsi="Cambria"/>
          <w:iCs/>
          <w:sz w:val="20"/>
          <w:szCs w:val="20"/>
        </w:rPr>
      </w:pPr>
    </w:p>
    <w:p w14:paraId="6B9E19BD" w14:textId="37CEA3C4" w:rsidR="00FC4583" w:rsidRPr="0036013E" w:rsidRDefault="00FC4583" w:rsidP="00575277">
      <w:pPr>
        <w:pStyle w:val="ListParagraph"/>
        <w:ind w:left="1134" w:right="565" w:hanging="425"/>
        <w:jc w:val="mediumKashida"/>
        <w:rPr>
          <w:rFonts w:ascii="Cambria" w:hAnsi="Cambria"/>
          <w:iCs/>
          <w:sz w:val="20"/>
          <w:szCs w:val="20"/>
        </w:rPr>
      </w:pPr>
      <w:r w:rsidRPr="0036013E">
        <w:rPr>
          <w:rFonts w:ascii="Cambria" w:hAnsi="Cambria"/>
          <w:iCs/>
          <w:sz w:val="20"/>
          <w:szCs w:val="20"/>
        </w:rPr>
        <w:t xml:space="preserve">a) </w:t>
      </w:r>
      <w:r w:rsidR="00575277" w:rsidRPr="0036013E">
        <w:rPr>
          <w:rFonts w:ascii="Cambria" w:hAnsi="Cambria"/>
          <w:iCs/>
          <w:sz w:val="20"/>
          <w:szCs w:val="20"/>
        </w:rPr>
        <w:tab/>
      </w:r>
      <w:r w:rsidRPr="0036013E">
        <w:rPr>
          <w:rFonts w:ascii="Cambria" w:hAnsi="Cambria"/>
          <w:iCs/>
          <w:sz w:val="20"/>
          <w:szCs w:val="20"/>
        </w:rPr>
        <w:t>Salaire : L'échelle des traitements des membres du personnel de la catégorie des services généraux établie et approuvée par la Commission est fondée sur le dernier barème des salaires (pour Madrid, en euros) publié par les Nations Unies et transmis par la Commission de la fonction publique internationale.</w:t>
      </w:r>
      <w:r w:rsidR="00245C95" w:rsidRPr="0036013E">
        <w:rPr>
          <w:rFonts w:ascii="Cambria" w:hAnsi="Cambria"/>
          <w:iCs/>
          <w:sz w:val="20"/>
          <w:szCs w:val="20"/>
        </w:rPr>
        <w:t xml:space="preserve"> </w:t>
      </w:r>
      <w:r w:rsidRPr="0036013E">
        <w:rPr>
          <w:rFonts w:ascii="Cambria" w:hAnsi="Cambria"/>
          <w:iCs/>
          <w:sz w:val="20"/>
          <w:szCs w:val="20"/>
        </w:rPr>
        <w:t xml:space="preserve">Les traitements des membres du personnel de cette catégorie sont payés dans la devise du pays de destination. </w:t>
      </w:r>
    </w:p>
    <w:p w14:paraId="7242B2A2" w14:textId="77777777" w:rsidR="00554D0D" w:rsidRPr="0036013E" w:rsidRDefault="00554D0D" w:rsidP="006A5F2F">
      <w:pPr>
        <w:pStyle w:val="ListParagraph"/>
        <w:ind w:left="567" w:right="565"/>
        <w:jc w:val="mediumKashida"/>
        <w:rPr>
          <w:rFonts w:ascii="Cambria" w:hAnsi="Cambria"/>
          <w:iCs/>
          <w:sz w:val="20"/>
          <w:szCs w:val="20"/>
        </w:rPr>
      </w:pPr>
    </w:p>
    <w:p w14:paraId="2B4E5189" w14:textId="1532F193" w:rsidR="00FC4583" w:rsidRPr="009D5635" w:rsidRDefault="00575277" w:rsidP="00575277">
      <w:pPr>
        <w:pStyle w:val="ListParagraph"/>
        <w:ind w:left="1134" w:right="565" w:hanging="425"/>
        <w:jc w:val="mediumKashida"/>
        <w:rPr>
          <w:rFonts w:ascii="Cambria" w:hAnsi="Cambria"/>
          <w:iCs/>
          <w:sz w:val="20"/>
          <w:szCs w:val="20"/>
        </w:rPr>
      </w:pPr>
      <w:r w:rsidRPr="0036013E">
        <w:rPr>
          <w:rFonts w:ascii="Cambria" w:hAnsi="Cambria"/>
          <w:iCs/>
          <w:sz w:val="20"/>
          <w:szCs w:val="20"/>
        </w:rPr>
        <w:t>b)</w:t>
      </w:r>
      <w:r w:rsidRPr="0036013E">
        <w:rPr>
          <w:rFonts w:ascii="Cambria" w:hAnsi="Cambria"/>
          <w:iCs/>
          <w:sz w:val="20"/>
          <w:szCs w:val="20"/>
        </w:rPr>
        <w:tab/>
      </w:r>
      <w:r w:rsidR="00FC4583" w:rsidRPr="0036013E">
        <w:rPr>
          <w:rFonts w:ascii="Cambria" w:hAnsi="Cambria"/>
          <w:iCs/>
          <w:sz w:val="20"/>
          <w:szCs w:val="20"/>
        </w:rPr>
        <w:t xml:space="preserve">Prime de connaissances </w:t>
      </w:r>
      <w:r w:rsidRPr="0036013E">
        <w:rPr>
          <w:rFonts w:ascii="Cambria" w:hAnsi="Cambria"/>
          <w:iCs/>
          <w:sz w:val="20"/>
          <w:szCs w:val="20"/>
        </w:rPr>
        <w:t xml:space="preserve">linguistiques : </w:t>
      </w:r>
      <w:r w:rsidR="00FC4583" w:rsidRPr="0036013E">
        <w:rPr>
          <w:rFonts w:ascii="Cambria" w:hAnsi="Cambria"/>
          <w:iCs/>
          <w:sz w:val="20"/>
          <w:szCs w:val="20"/>
        </w:rPr>
        <w:t xml:space="preserve">Les membres du personnel de la catégorie des services généraux engagés pour un an ou plus ont droit, en règle </w:t>
      </w:r>
      <w:r w:rsidR="00FC4583" w:rsidRPr="009D5635">
        <w:rPr>
          <w:rFonts w:ascii="Cambria" w:hAnsi="Cambria"/>
          <w:iCs/>
          <w:sz w:val="20"/>
          <w:szCs w:val="20"/>
        </w:rPr>
        <w:t xml:space="preserve">générale, à percevoir une prime fixe de connaissances linguistiques, applicable à la retraite, établie par les Nations Unies et fournie par la Commission de la fonction publique internationale, pour leurs connaissances linguistiques, dûment vérifiées, de plus d'une des langues officielles de la Commission. </w:t>
      </w:r>
    </w:p>
    <w:p w14:paraId="6AE68DF8" w14:textId="575D998A" w:rsidR="00575277" w:rsidRDefault="00575277">
      <w:pPr>
        <w:rPr>
          <w:rFonts w:ascii="Cambria" w:hAnsi="Cambria"/>
          <w:iCs/>
          <w:strike/>
          <w:sz w:val="20"/>
          <w:szCs w:val="20"/>
        </w:rPr>
      </w:pPr>
    </w:p>
    <w:p w14:paraId="5C4A1058" w14:textId="77777777" w:rsidR="00A65AD9" w:rsidRDefault="00A65AD9">
      <w:pPr>
        <w:rPr>
          <w:rFonts w:ascii="Cambria" w:hAnsi="Cambria"/>
          <w:iCs/>
          <w:strike/>
          <w:sz w:val="20"/>
          <w:szCs w:val="20"/>
        </w:rPr>
      </w:pPr>
      <w:r>
        <w:rPr>
          <w:rFonts w:ascii="Cambria" w:hAnsi="Cambria"/>
          <w:iCs/>
          <w:strike/>
          <w:sz w:val="20"/>
          <w:szCs w:val="20"/>
        </w:rPr>
        <w:br w:type="page"/>
      </w:r>
    </w:p>
    <w:p w14:paraId="2BB52DDE" w14:textId="4247EC89" w:rsidR="00D770EF" w:rsidRPr="009D5635" w:rsidRDefault="00554D0D" w:rsidP="00575277">
      <w:pPr>
        <w:pStyle w:val="ListParagraph"/>
        <w:ind w:left="1134" w:right="565" w:hanging="425"/>
        <w:jc w:val="mediumKashida"/>
        <w:rPr>
          <w:rFonts w:ascii="Cambria" w:hAnsi="Cambria"/>
          <w:iCs/>
          <w:sz w:val="20"/>
          <w:szCs w:val="20"/>
        </w:rPr>
      </w:pPr>
      <w:r w:rsidRPr="009D5635">
        <w:rPr>
          <w:rFonts w:ascii="Cambria" w:hAnsi="Cambria"/>
          <w:iCs/>
          <w:strike/>
          <w:sz w:val="20"/>
          <w:szCs w:val="20"/>
        </w:rPr>
        <w:lastRenderedPageBreak/>
        <w:t xml:space="preserve">c) </w:t>
      </w:r>
      <w:r w:rsidR="00575277">
        <w:rPr>
          <w:rFonts w:ascii="Cambria" w:hAnsi="Cambria"/>
          <w:iCs/>
          <w:strike/>
          <w:sz w:val="20"/>
          <w:szCs w:val="20"/>
        </w:rPr>
        <w:tab/>
      </w:r>
      <w:r w:rsidRPr="009D5635">
        <w:rPr>
          <w:rFonts w:ascii="Cambria" w:hAnsi="Cambria"/>
          <w:iCs/>
          <w:strike/>
          <w:sz w:val="20"/>
          <w:szCs w:val="20"/>
        </w:rPr>
        <w:t xml:space="preserve">Fonds de pension : Les membres du personnel de la catégorie des services généraux </w:t>
      </w:r>
      <w:r w:rsidRPr="00575277">
        <w:rPr>
          <w:rFonts w:ascii="Cambria" w:hAnsi="Cambria"/>
          <w:iCs/>
          <w:sz w:val="20"/>
          <w:szCs w:val="20"/>
        </w:rPr>
        <w:t>peuvent</w:t>
      </w:r>
      <w:r w:rsidRPr="009D5635">
        <w:rPr>
          <w:rFonts w:ascii="Cambria" w:hAnsi="Cambria"/>
          <w:iCs/>
          <w:strike/>
          <w:sz w:val="20"/>
          <w:szCs w:val="20"/>
        </w:rPr>
        <w:t xml:space="preserve"> souscrire au fonds de pension convenu.</w:t>
      </w:r>
      <w:r w:rsidR="00245C95">
        <w:rPr>
          <w:rFonts w:ascii="Cambria" w:hAnsi="Cambria"/>
          <w:iCs/>
          <w:strike/>
          <w:sz w:val="20"/>
          <w:szCs w:val="20"/>
        </w:rPr>
        <w:t xml:space="preserve"> </w:t>
      </w:r>
      <w:r w:rsidRPr="009D5635">
        <w:rPr>
          <w:rFonts w:ascii="Cambria" w:hAnsi="Cambria"/>
          <w:iCs/>
          <w:strike/>
          <w:sz w:val="20"/>
          <w:szCs w:val="20"/>
        </w:rPr>
        <w:t>La contribution de la Commission à ce titre s'élèvera à 23,7% maximum du salaire net de base, plus, le cas échéant, la prime de connaissances linguistiques, selon le niveau et l'échelon du membre du personnel, en se basant sur le dernier barème des salaires de la catégorie des services généraux pour Madrid fourni par la Commission de la fonction publique internationale.</w:t>
      </w:r>
      <w:r w:rsidR="00245C95">
        <w:rPr>
          <w:rFonts w:ascii="Cambria" w:hAnsi="Cambria"/>
          <w:iCs/>
          <w:strike/>
          <w:sz w:val="20"/>
          <w:szCs w:val="20"/>
        </w:rPr>
        <w:t xml:space="preserve"> </w:t>
      </w:r>
      <w:r w:rsidRPr="009D5635">
        <w:rPr>
          <w:rFonts w:ascii="Cambria" w:hAnsi="Cambria"/>
          <w:iCs/>
          <w:strike/>
          <w:sz w:val="20"/>
          <w:szCs w:val="20"/>
        </w:rPr>
        <w:t>Le taux d’apport au fonds de pension de la Commission est actuellement de 23,7% pour les membres du personnel engagés jusqu’à l’année 1999. Les changements incorporés à la Réunion de la Commission qui s’est tenue à Rio de Janeiro en novembre 1999 sont appliqués aux membres du personnel engagés à partir de janvier 2000, de telle sorte que la contribution de la Commission au fonds de pension sera de deux tiers du maximum et le membre du personnel apporte un tiers. Du fait que le barème des salaires des membres du personnel de la catégorie des services généraux est établi en euros, le montant applicable à la retraite est converti en dollars des États-Unis au taux de change officiel du dollar des États-Unis fourni tous les mois par la Commission de la fonction publique internationale</w:t>
      </w:r>
    </w:p>
    <w:p w14:paraId="3DA4F3E9" w14:textId="77777777" w:rsidR="00554D0D" w:rsidRPr="009D5635" w:rsidRDefault="00554D0D" w:rsidP="006A5F2F">
      <w:pPr>
        <w:ind w:left="567" w:right="565"/>
        <w:jc w:val="mediumKashida"/>
        <w:rPr>
          <w:rFonts w:ascii="Cambria" w:hAnsi="Cambria"/>
          <w:iCs/>
          <w:sz w:val="20"/>
          <w:szCs w:val="20"/>
        </w:rPr>
      </w:pPr>
    </w:p>
    <w:p w14:paraId="769AC191" w14:textId="424144BA" w:rsidR="00FC4583" w:rsidRPr="009D5635" w:rsidRDefault="00575277" w:rsidP="00575277">
      <w:pPr>
        <w:pStyle w:val="ListParagraph"/>
        <w:ind w:left="1134" w:right="565" w:hanging="425"/>
        <w:jc w:val="mediumKashida"/>
        <w:rPr>
          <w:rFonts w:ascii="Cambria" w:hAnsi="Cambria"/>
          <w:iCs/>
          <w:color w:val="FF0000"/>
          <w:sz w:val="20"/>
          <w:szCs w:val="20"/>
        </w:rPr>
      </w:pPr>
      <w:r w:rsidRPr="00575277">
        <w:rPr>
          <w:rFonts w:ascii="Cambria" w:hAnsi="Cambria"/>
          <w:iCs/>
          <w:color w:val="FF0000"/>
          <w:sz w:val="20"/>
          <w:szCs w:val="20"/>
        </w:rPr>
        <w:t>c)</w:t>
      </w:r>
      <w:r w:rsidRPr="00575277">
        <w:rPr>
          <w:rFonts w:ascii="Cambria" w:hAnsi="Cambria"/>
          <w:iCs/>
          <w:color w:val="FF0000"/>
          <w:sz w:val="20"/>
          <w:szCs w:val="20"/>
        </w:rPr>
        <w:tab/>
      </w:r>
      <w:r w:rsidR="00FC4583" w:rsidRPr="00575277">
        <w:rPr>
          <w:rFonts w:ascii="Cambria" w:hAnsi="Cambria"/>
          <w:iCs/>
          <w:color w:val="FF0000"/>
          <w:sz w:val="20"/>
          <w:szCs w:val="20"/>
        </w:rPr>
        <w:t xml:space="preserve">Complément </w:t>
      </w:r>
      <w:r w:rsidR="00BC5E1C" w:rsidRPr="00575277">
        <w:rPr>
          <w:rFonts w:ascii="Cambria" w:hAnsi="Cambria"/>
          <w:iCs/>
          <w:color w:val="FF0000"/>
          <w:sz w:val="20"/>
          <w:szCs w:val="20"/>
        </w:rPr>
        <w:t>statutaire :</w:t>
      </w:r>
      <w:r w:rsidR="00FC4583" w:rsidRPr="00575277">
        <w:rPr>
          <w:rFonts w:ascii="Cambria" w:hAnsi="Cambria"/>
          <w:iCs/>
          <w:color w:val="FF0000"/>
          <w:sz w:val="20"/>
          <w:szCs w:val="20"/>
        </w:rPr>
        <w:t xml:space="preserve"> Un complément salarial statutaire sera appliqué aux salaires de la catégorie des services généraux au taux de 15,80</w:t>
      </w:r>
      <w:r w:rsidR="00C471A2">
        <w:rPr>
          <w:rFonts w:ascii="Cambria" w:hAnsi="Cambria"/>
          <w:iCs/>
          <w:color w:val="FF0000"/>
          <w:sz w:val="20"/>
          <w:szCs w:val="20"/>
        </w:rPr>
        <w:t> </w:t>
      </w:r>
      <w:r w:rsidR="00FC4583" w:rsidRPr="00575277">
        <w:rPr>
          <w:rFonts w:ascii="Cambria" w:hAnsi="Cambria"/>
          <w:iCs/>
          <w:color w:val="FF0000"/>
          <w:sz w:val="20"/>
          <w:szCs w:val="20"/>
        </w:rPr>
        <w:t xml:space="preserve">% du barème des rémunérations ouvrant droit à pension des Nations </w:t>
      </w:r>
      <w:r w:rsidR="00FC4583" w:rsidRPr="007E3410">
        <w:rPr>
          <w:rFonts w:ascii="Cambria" w:hAnsi="Cambria"/>
          <w:iCs/>
          <w:color w:val="FF0000"/>
          <w:sz w:val="20"/>
          <w:szCs w:val="20"/>
        </w:rPr>
        <w:t>Unies</w:t>
      </w:r>
      <w:r w:rsidR="00531173" w:rsidRPr="007E3410">
        <w:rPr>
          <w:rFonts w:ascii="Cambria" w:hAnsi="Cambria"/>
          <w:iCs/>
          <w:color w:val="FF0000"/>
          <w:sz w:val="20"/>
          <w:szCs w:val="20"/>
        </w:rPr>
        <w:t xml:space="preserve"> et de</w:t>
      </w:r>
      <w:r w:rsidR="00276DB7" w:rsidRPr="007E3410">
        <w:rPr>
          <w:rFonts w:ascii="Cambria" w:hAnsi="Cambria"/>
          <w:iCs/>
          <w:color w:val="FF0000"/>
          <w:sz w:val="20"/>
          <w:szCs w:val="20"/>
        </w:rPr>
        <w:t xml:space="preserve"> 23</w:t>
      </w:r>
      <w:r w:rsidR="00276DB7" w:rsidRPr="0011478A">
        <w:rPr>
          <w:rFonts w:ascii="Cambria" w:hAnsi="Cambria"/>
          <w:iCs/>
          <w:color w:val="FF0000"/>
          <w:sz w:val="20"/>
          <w:szCs w:val="20"/>
        </w:rPr>
        <w:t>,7% pour les membres du personnel recrutés jusqu'en 1999.</w:t>
      </w:r>
    </w:p>
    <w:p w14:paraId="645C9CA0" w14:textId="77777777" w:rsidR="00554D0D" w:rsidRPr="009D5635" w:rsidRDefault="00554D0D" w:rsidP="006A5F2F">
      <w:pPr>
        <w:ind w:left="567" w:right="565"/>
        <w:jc w:val="mediumKashida"/>
        <w:rPr>
          <w:rFonts w:ascii="Cambria" w:hAnsi="Cambria"/>
          <w:iCs/>
          <w:color w:val="FF0000"/>
          <w:sz w:val="20"/>
          <w:szCs w:val="20"/>
        </w:rPr>
      </w:pPr>
    </w:p>
    <w:p w14:paraId="4393051C" w14:textId="3FABF1ED" w:rsidR="00D770EF" w:rsidRPr="009D5635" w:rsidRDefault="00D770EF" w:rsidP="00575277">
      <w:pPr>
        <w:pStyle w:val="ListParagraph"/>
        <w:ind w:left="1134" w:right="565"/>
        <w:jc w:val="mediumKashida"/>
        <w:rPr>
          <w:rFonts w:ascii="Cambria" w:hAnsi="Cambria"/>
          <w:iCs/>
          <w:strike/>
          <w:sz w:val="20"/>
          <w:szCs w:val="20"/>
        </w:rPr>
      </w:pPr>
      <w:r w:rsidRPr="009D5635">
        <w:rPr>
          <w:rFonts w:ascii="Cambria" w:hAnsi="Cambria"/>
          <w:iCs/>
          <w:strike/>
          <w:sz w:val="20"/>
          <w:szCs w:val="20"/>
        </w:rPr>
        <w:t>La participation au fonds de pension convenu est obligatoire pour les membres du personnel de la catégorie des services généraux engagés le 1er janvier 1983 ou à partir de cette date.</w:t>
      </w:r>
      <w:r w:rsidR="00245C95">
        <w:rPr>
          <w:rFonts w:ascii="Cambria" w:hAnsi="Cambria"/>
          <w:iCs/>
          <w:strike/>
          <w:sz w:val="20"/>
          <w:szCs w:val="20"/>
        </w:rPr>
        <w:t xml:space="preserve"> </w:t>
      </w:r>
      <w:r w:rsidRPr="009D5635">
        <w:rPr>
          <w:rFonts w:ascii="Cambria" w:hAnsi="Cambria"/>
          <w:iCs/>
          <w:strike/>
          <w:sz w:val="20"/>
          <w:szCs w:val="20"/>
        </w:rPr>
        <w:t>Toutefois,</w:t>
      </w:r>
    </w:p>
    <w:p w14:paraId="18C79055" w14:textId="77777777" w:rsidR="00554D0D" w:rsidRDefault="00554D0D" w:rsidP="006A5F2F">
      <w:pPr>
        <w:ind w:left="567" w:right="565"/>
        <w:jc w:val="mediumKashida"/>
        <w:rPr>
          <w:rFonts w:ascii="Cambria" w:hAnsi="Cambria"/>
          <w:iCs/>
          <w:strike/>
          <w:sz w:val="20"/>
          <w:szCs w:val="20"/>
        </w:rPr>
      </w:pPr>
    </w:p>
    <w:p w14:paraId="6AF7414B" w14:textId="77777777" w:rsidR="003B55F6" w:rsidRPr="009D5635" w:rsidRDefault="003B55F6" w:rsidP="006A5F2F">
      <w:pPr>
        <w:ind w:left="567" w:right="565"/>
        <w:jc w:val="mediumKashida"/>
        <w:rPr>
          <w:rFonts w:ascii="Cambria" w:hAnsi="Cambria"/>
          <w:iCs/>
          <w:strike/>
          <w:sz w:val="20"/>
          <w:szCs w:val="20"/>
        </w:rPr>
      </w:pPr>
    </w:p>
    <w:p w14:paraId="2B51BC09" w14:textId="77777777" w:rsidR="000E3388" w:rsidRPr="000E3388" w:rsidRDefault="00575277" w:rsidP="00575277">
      <w:pPr>
        <w:pStyle w:val="ListParagraph"/>
        <w:ind w:left="1134" w:right="565" w:hanging="425"/>
        <w:jc w:val="mediumKashida"/>
        <w:rPr>
          <w:rFonts w:ascii="Cambria" w:hAnsi="Cambria"/>
          <w:iCs/>
          <w:sz w:val="20"/>
          <w:szCs w:val="20"/>
        </w:rPr>
      </w:pPr>
      <w:r w:rsidRPr="00575277">
        <w:rPr>
          <w:rFonts w:ascii="Cambria" w:hAnsi="Cambria"/>
          <w:iCs/>
          <w:color w:val="EE0000"/>
          <w:sz w:val="20"/>
          <w:szCs w:val="20"/>
        </w:rPr>
        <w:t>d)</w:t>
      </w:r>
      <w:r w:rsidRPr="00575277">
        <w:rPr>
          <w:rFonts w:ascii="Cambria" w:hAnsi="Cambria"/>
          <w:iCs/>
          <w:color w:val="EE0000"/>
          <w:sz w:val="20"/>
          <w:szCs w:val="20"/>
        </w:rPr>
        <w:tab/>
      </w:r>
      <w:r w:rsidR="00FC4583" w:rsidRPr="009D5635">
        <w:rPr>
          <w:rFonts w:ascii="Cambria" w:hAnsi="Cambria"/>
          <w:iCs/>
          <w:sz w:val="20"/>
          <w:szCs w:val="20"/>
        </w:rPr>
        <w:t>Les membres du personnel ayant la nationalité ou résidence du pays de destination peuvent, au moment où ils sont engagés, choisir d’être assujettis au système public de sécurité sociale du pays de destination si celui-ci le permet à ce moment-là</w:t>
      </w:r>
      <w:r w:rsidR="00FC4583" w:rsidRPr="0011478A">
        <w:rPr>
          <w:rFonts w:ascii="Cambria" w:hAnsi="Cambria"/>
          <w:iCs/>
          <w:sz w:val="20"/>
          <w:szCs w:val="20"/>
        </w:rPr>
        <w:t>. Cette option est unique et irrévocables.</w:t>
      </w:r>
      <w:r w:rsidR="00FC4583" w:rsidRPr="000E3388">
        <w:rPr>
          <w:rFonts w:ascii="Cambria" w:hAnsi="Cambria"/>
          <w:iCs/>
          <w:sz w:val="20"/>
          <w:szCs w:val="20"/>
        </w:rPr>
        <w:t xml:space="preserve"> </w:t>
      </w:r>
    </w:p>
    <w:p w14:paraId="1EEA688F" w14:textId="77777777" w:rsidR="000E3388" w:rsidRDefault="000E3388" w:rsidP="00575277">
      <w:pPr>
        <w:pStyle w:val="ListParagraph"/>
        <w:ind w:left="1134" w:right="565" w:hanging="425"/>
        <w:jc w:val="mediumKashida"/>
        <w:rPr>
          <w:rFonts w:ascii="Cambria" w:hAnsi="Cambria"/>
          <w:iCs/>
          <w:color w:val="FF0000"/>
          <w:sz w:val="20"/>
          <w:szCs w:val="20"/>
        </w:rPr>
      </w:pPr>
    </w:p>
    <w:p w14:paraId="35439440" w14:textId="77777777" w:rsidR="000E3388" w:rsidRPr="000E3388" w:rsidRDefault="000E3388" w:rsidP="00A73B9B">
      <w:pPr>
        <w:pStyle w:val="ListParagraph"/>
        <w:ind w:left="1134" w:right="565"/>
        <w:jc w:val="both"/>
        <w:rPr>
          <w:rFonts w:ascii="Cambria" w:hAnsi="Cambria"/>
          <w:iCs/>
          <w:color w:val="FF0000"/>
          <w:sz w:val="20"/>
          <w:szCs w:val="20"/>
        </w:rPr>
      </w:pPr>
      <w:r w:rsidRPr="000E3388">
        <w:rPr>
          <w:rFonts w:ascii="Cambria" w:hAnsi="Cambria"/>
          <w:iCs/>
          <w:color w:val="FF0000"/>
          <w:sz w:val="20"/>
          <w:szCs w:val="20"/>
        </w:rPr>
        <w:t>Dans les deux mois suivant l'entrée en vigueur de la réforme statutaire supprimant le Fonds de pension conformément aux dispositions de l'article 6.5, ils pourront modifier le choix qu'ils ont fait au moment de leur recrutement. Cette option est unique et irrévocable.</w:t>
      </w:r>
    </w:p>
    <w:p w14:paraId="7C9B3084" w14:textId="77777777" w:rsidR="000E3388" w:rsidRPr="000E3388" w:rsidRDefault="000E3388" w:rsidP="004C65CC">
      <w:pPr>
        <w:pStyle w:val="ListParagraph"/>
        <w:ind w:left="709" w:right="565"/>
        <w:jc w:val="mediumKashida"/>
        <w:rPr>
          <w:rFonts w:ascii="Cambria" w:hAnsi="Cambria"/>
          <w:iCs/>
          <w:sz w:val="20"/>
          <w:szCs w:val="20"/>
        </w:rPr>
      </w:pPr>
    </w:p>
    <w:p w14:paraId="30E21F2F" w14:textId="4752AAEB" w:rsidR="00A906EC" w:rsidRPr="00A906EC" w:rsidRDefault="00A906EC" w:rsidP="004102E3">
      <w:pPr>
        <w:pStyle w:val="ListParagraph"/>
        <w:ind w:left="1134" w:right="565"/>
        <w:jc w:val="mediumKashida"/>
        <w:rPr>
          <w:rFonts w:ascii="Cambria" w:hAnsi="Cambria"/>
          <w:iCs/>
          <w:sz w:val="20"/>
          <w:szCs w:val="20"/>
        </w:rPr>
      </w:pPr>
      <w:r w:rsidRPr="00C44491">
        <w:rPr>
          <w:rFonts w:ascii="Cambria" w:hAnsi="Cambria"/>
          <w:iCs/>
          <w:sz w:val="20"/>
          <w:szCs w:val="20"/>
        </w:rPr>
        <w:t xml:space="preserve">En raison des différences pouvant exister, tant dans les frais que dans les contingences couvertes par le système public de sécurité sociale, </w:t>
      </w:r>
      <w:r w:rsidR="001B0F10" w:rsidRPr="00C44491">
        <w:rPr>
          <w:rFonts w:ascii="Cambria" w:hAnsi="Cambria"/>
          <w:iCs/>
          <w:color w:val="EE0000"/>
          <w:sz w:val="20"/>
          <w:szCs w:val="20"/>
        </w:rPr>
        <w:t xml:space="preserve">le salaire </w:t>
      </w:r>
      <w:r w:rsidR="001B0F10" w:rsidRPr="00C44491">
        <w:rPr>
          <w:rFonts w:ascii="Cambria" w:hAnsi="Cambria"/>
          <w:iCs/>
          <w:sz w:val="20"/>
          <w:szCs w:val="20"/>
        </w:rPr>
        <w:t>d</w:t>
      </w:r>
      <w:r w:rsidR="00294AA3" w:rsidRPr="00C44491">
        <w:rPr>
          <w:rFonts w:ascii="Cambria" w:hAnsi="Cambria"/>
          <w:iCs/>
          <w:sz w:val="20"/>
          <w:szCs w:val="20"/>
        </w:rPr>
        <w:t>e</w:t>
      </w:r>
      <w:r w:rsidRPr="00C44491">
        <w:rPr>
          <w:rFonts w:ascii="Cambria" w:hAnsi="Cambria"/>
          <w:iCs/>
          <w:sz w:val="20"/>
          <w:szCs w:val="20"/>
        </w:rPr>
        <w:t xml:space="preserve">s membres du personnel qui choisissent finalement ce système </w:t>
      </w:r>
      <w:r w:rsidR="00B34B27" w:rsidRPr="00C44491">
        <w:rPr>
          <w:rFonts w:ascii="Cambria" w:hAnsi="Cambria"/>
          <w:iCs/>
          <w:strike/>
          <w:sz w:val="20"/>
          <w:szCs w:val="20"/>
        </w:rPr>
        <w:t>n’ont pas droit</w:t>
      </w:r>
      <w:r w:rsidR="00B34B27" w:rsidRPr="00C44491">
        <w:rPr>
          <w:rFonts w:ascii="Cambria" w:hAnsi="Cambria"/>
          <w:iCs/>
          <w:sz w:val="20"/>
          <w:szCs w:val="20"/>
        </w:rPr>
        <w:t xml:space="preserve"> </w:t>
      </w:r>
      <w:r w:rsidR="00B34B27" w:rsidRPr="00C44491">
        <w:rPr>
          <w:rFonts w:ascii="Cambria" w:hAnsi="Cambria"/>
          <w:iCs/>
          <w:strike/>
          <w:sz w:val="20"/>
          <w:szCs w:val="20"/>
        </w:rPr>
        <w:t>à l’assurance médicale, accident et invalidité réglementée à l’alinéa f) de ce même article et numéro et</w:t>
      </w:r>
      <w:r w:rsidR="00B34B27" w:rsidRPr="00C44491">
        <w:rPr>
          <w:rFonts w:ascii="Cambria" w:hAnsi="Cambria"/>
          <w:iCs/>
          <w:sz w:val="20"/>
          <w:szCs w:val="20"/>
        </w:rPr>
        <w:t xml:space="preserve"> </w:t>
      </w:r>
      <w:r w:rsidR="00294AA3" w:rsidRPr="00C44491">
        <w:rPr>
          <w:rFonts w:ascii="Cambria" w:hAnsi="Cambria"/>
          <w:iCs/>
          <w:sz w:val="20"/>
          <w:szCs w:val="20"/>
        </w:rPr>
        <w:t xml:space="preserve">sera </w:t>
      </w:r>
      <w:r w:rsidRPr="00C44491">
        <w:rPr>
          <w:rFonts w:ascii="Cambria" w:hAnsi="Cambria"/>
          <w:iCs/>
          <w:sz w:val="20"/>
          <w:szCs w:val="20"/>
        </w:rPr>
        <w:t xml:space="preserve">modifié </w:t>
      </w:r>
      <w:r w:rsidRPr="00C44491">
        <w:rPr>
          <w:rFonts w:ascii="Cambria" w:hAnsi="Cambria"/>
          <w:iCs/>
          <w:color w:val="EE0000"/>
          <w:sz w:val="20"/>
          <w:szCs w:val="20"/>
        </w:rPr>
        <w:t>conformément aux ajustements nécessaires pour compenser ces différences</w:t>
      </w:r>
      <w:r w:rsidRPr="00C44491">
        <w:rPr>
          <w:rFonts w:ascii="Cambria" w:hAnsi="Cambria"/>
          <w:iCs/>
          <w:sz w:val="20"/>
          <w:szCs w:val="20"/>
        </w:rPr>
        <w:t xml:space="preserve"> de façon à ce que les frais encourus par la Commission soient identiques à ceux encourus s’ils n’étaient pas assujettis au système public de sécurité sociale.</w:t>
      </w:r>
    </w:p>
    <w:p w14:paraId="4F8643C2" w14:textId="77777777" w:rsidR="00554D0D" w:rsidRPr="009D5635" w:rsidRDefault="00554D0D" w:rsidP="006A5F2F">
      <w:pPr>
        <w:pStyle w:val="ListParagraph"/>
        <w:ind w:left="567" w:right="565"/>
        <w:jc w:val="mediumKashida"/>
        <w:rPr>
          <w:rFonts w:ascii="Cambria" w:hAnsi="Cambria"/>
          <w:iCs/>
          <w:sz w:val="20"/>
          <w:szCs w:val="20"/>
        </w:rPr>
      </w:pPr>
    </w:p>
    <w:p w14:paraId="7E71F861" w14:textId="2447407E" w:rsidR="00FC4583" w:rsidRPr="009D5635" w:rsidRDefault="00FC4583" w:rsidP="00575277">
      <w:pPr>
        <w:ind w:left="1134" w:right="565"/>
        <w:jc w:val="mediumKashida"/>
        <w:rPr>
          <w:rFonts w:ascii="Cambria" w:hAnsi="Cambria"/>
          <w:iCs/>
          <w:sz w:val="20"/>
          <w:szCs w:val="20"/>
        </w:rPr>
      </w:pPr>
      <w:r w:rsidRPr="009D5635">
        <w:rPr>
          <w:rFonts w:ascii="Cambria" w:hAnsi="Cambria"/>
          <w:iCs/>
          <w:sz w:val="20"/>
          <w:szCs w:val="20"/>
        </w:rPr>
        <w:t xml:space="preserve">Dans le cas des membres du personnel sous contrat à terme fixe, on envisagera une autre solution à mettre au point entre le Secrétaire exécutif et le membre du personnel concerné, en consultation avec le ou la Président(e) du Comité permanent pour les finances et l'administration (STACFAD). </w:t>
      </w:r>
    </w:p>
    <w:p w14:paraId="036CC309" w14:textId="77777777" w:rsidR="00554D0D" w:rsidRPr="009D5635" w:rsidRDefault="00554D0D" w:rsidP="006A5F2F">
      <w:pPr>
        <w:ind w:left="567" w:right="565"/>
        <w:jc w:val="mediumKashida"/>
        <w:rPr>
          <w:rFonts w:ascii="Cambria" w:hAnsi="Cambria"/>
          <w:iCs/>
          <w:sz w:val="20"/>
          <w:szCs w:val="20"/>
        </w:rPr>
      </w:pPr>
    </w:p>
    <w:p w14:paraId="7552A15D" w14:textId="34C2F148" w:rsidR="00FC4583" w:rsidRPr="009D5635" w:rsidRDefault="00575277" w:rsidP="00575277">
      <w:pPr>
        <w:pStyle w:val="ListParagraph"/>
        <w:ind w:left="1134" w:right="565" w:hanging="425"/>
        <w:jc w:val="mediumKashida"/>
        <w:rPr>
          <w:rFonts w:ascii="Cambria" w:hAnsi="Cambria"/>
          <w:iCs/>
          <w:sz w:val="20"/>
          <w:szCs w:val="20"/>
        </w:rPr>
      </w:pPr>
      <w:r w:rsidRPr="00EB552D">
        <w:rPr>
          <w:rFonts w:ascii="Cambria" w:hAnsi="Cambria"/>
          <w:iCs/>
          <w:sz w:val="20"/>
          <w:szCs w:val="20"/>
        </w:rPr>
        <w:t>e)</w:t>
      </w:r>
      <w:r w:rsidRPr="00EB552D">
        <w:rPr>
          <w:rFonts w:ascii="Cambria" w:hAnsi="Cambria"/>
          <w:iCs/>
          <w:sz w:val="20"/>
          <w:szCs w:val="20"/>
        </w:rPr>
        <w:tab/>
      </w:r>
      <w:r w:rsidR="00FC4583" w:rsidRPr="009D5635">
        <w:rPr>
          <w:rFonts w:ascii="Cambria" w:hAnsi="Cambria"/>
          <w:iCs/>
          <w:sz w:val="20"/>
          <w:szCs w:val="20"/>
        </w:rPr>
        <w:t xml:space="preserve">Allocations familiales : Les membres du personnel de la catégorie des services généraux ont le droit de percevoir des allocations familiales pour tout enfant à charge (jusqu'à 21 ans), à un taux annuel fixe, tel qu'il est établi et fourni périodiquement par la Commission de la fonction publique internationale. Les allocations versées pour les enfants sont compensées ou </w:t>
      </w:r>
      <w:r w:rsidR="00FC4583" w:rsidRPr="009D5635">
        <w:rPr>
          <w:rFonts w:ascii="Cambria" w:hAnsi="Cambria"/>
          <w:iCs/>
          <w:sz w:val="20"/>
          <w:szCs w:val="20"/>
        </w:rPr>
        <w:lastRenderedPageBreak/>
        <w:t xml:space="preserve">réduites selon le montant perçu à ce titre d'une source autre que la Commission. </w:t>
      </w:r>
    </w:p>
    <w:p w14:paraId="7DD82E85" w14:textId="77777777" w:rsidR="00554D0D" w:rsidRPr="009D5635" w:rsidRDefault="00554D0D" w:rsidP="006A5F2F">
      <w:pPr>
        <w:pStyle w:val="ListParagraph"/>
        <w:ind w:left="567" w:right="565"/>
        <w:jc w:val="mediumKashida"/>
        <w:rPr>
          <w:rFonts w:ascii="Cambria" w:hAnsi="Cambria"/>
          <w:iCs/>
          <w:sz w:val="20"/>
          <w:szCs w:val="20"/>
        </w:rPr>
      </w:pPr>
    </w:p>
    <w:p w14:paraId="2EF41186" w14:textId="1B06E149" w:rsidR="00FC4583" w:rsidRPr="009D5635" w:rsidRDefault="00BB1B24" w:rsidP="00BB1B24">
      <w:pPr>
        <w:pStyle w:val="ListParagraph"/>
        <w:ind w:left="1134" w:right="565" w:hanging="425"/>
        <w:jc w:val="mediumKashida"/>
        <w:rPr>
          <w:rFonts w:ascii="Cambria" w:hAnsi="Cambria"/>
          <w:iCs/>
          <w:sz w:val="20"/>
          <w:szCs w:val="20"/>
        </w:rPr>
      </w:pPr>
      <w:r w:rsidRPr="0002239C">
        <w:rPr>
          <w:rFonts w:ascii="Cambria" w:hAnsi="Cambria"/>
          <w:iCs/>
          <w:sz w:val="20"/>
          <w:szCs w:val="20"/>
        </w:rPr>
        <w:t>f)</w:t>
      </w:r>
      <w:r w:rsidRPr="00BB1B24">
        <w:rPr>
          <w:rFonts w:ascii="Cambria" w:hAnsi="Cambria"/>
          <w:iCs/>
          <w:color w:val="EE0000"/>
          <w:sz w:val="20"/>
          <w:szCs w:val="20"/>
        </w:rPr>
        <w:tab/>
      </w:r>
      <w:r w:rsidR="00FC4583" w:rsidRPr="009D5635">
        <w:rPr>
          <w:rFonts w:ascii="Cambria" w:hAnsi="Cambria"/>
          <w:iCs/>
          <w:sz w:val="20"/>
          <w:szCs w:val="20"/>
        </w:rPr>
        <w:t xml:space="preserve">Assurance médicale, accident et invalidité : Tous les membres du personnel de la catégorie des services généraux doivent obligatoirement souscrire une assurance médicale, accident et invalidité adéquate. La Commission contribue à ce titre jusqu'à 2,5% du salaire net de base, sauf pour les membres du personnel assujettis au système public de sécurité sociale. Tous les membres du personnel doivent remettre au Secrétaire exécutif les pièces justificatives relatives à leur assurance médicale, assurance et invalidité. </w:t>
      </w:r>
    </w:p>
    <w:p w14:paraId="64C4D1C4" w14:textId="77777777" w:rsidR="00554D0D" w:rsidRPr="009D5635" w:rsidRDefault="00554D0D" w:rsidP="006A5F2F">
      <w:pPr>
        <w:ind w:left="567" w:right="565"/>
        <w:jc w:val="mediumKashida"/>
        <w:rPr>
          <w:rFonts w:ascii="Cambria" w:hAnsi="Cambria"/>
          <w:iCs/>
          <w:sz w:val="20"/>
          <w:szCs w:val="20"/>
        </w:rPr>
      </w:pPr>
    </w:p>
    <w:p w14:paraId="29CC47F9" w14:textId="026710D4" w:rsidR="00554D0D" w:rsidRPr="009D5635" w:rsidRDefault="00FC4583" w:rsidP="00AF5A30">
      <w:pPr>
        <w:ind w:left="1134" w:right="565" w:hanging="425"/>
        <w:jc w:val="mediumKashida"/>
        <w:rPr>
          <w:rFonts w:ascii="Cambria" w:hAnsi="Cambria"/>
          <w:iCs/>
          <w:sz w:val="20"/>
          <w:szCs w:val="20"/>
        </w:rPr>
      </w:pPr>
      <w:r w:rsidRPr="009D5635">
        <w:rPr>
          <w:rFonts w:ascii="Cambria" w:hAnsi="Cambria"/>
          <w:iCs/>
          <w:sz w:val="20"/>
          <w:szCs w:val="20"/>
        </w:rPr>
        <w:t xml:space="preserve">6.4 </w:t>
      </w:r>
      <w:r w:rsidR="00AF5A30">
        <w:rPr>
          <w:rFonts w:ascii="Cambria" w:hAnsi="Cambria"/>
          <w:iCs/>
          <w:sz w:val="20"/>
          <w:szCs w:val="20"/>
        </w:rPr>
        <w:tab/>
      </w:r>
      <w:r w:rsidRPr="00BC5E1C">
        <w:rPr>
          <w:rFonts w:ascii="Cambria" w:hAnsi="Cambria"/>
          <w:i/>
          <w:sz w:val="20"/>
          <w:szCs w:val="20"/>
        </w:rPr>
        <w:t>Personnel sous contrat</w:t>
      </w:r>
      <w:r w:rsidRPr="009D5635">
        <w:rPr>
          <w:rFonts w:ascii="Cambria" w:hAnsi="Cambria"/>
          <w:iCs/>
          <w:sz w:val="20"/>
          <w:szCs w:val="20"/>
        </w:rPr>
        <w:t> :</w:t>
      </w:r>
    </w:p>
    <w:p w14:paraId="3A51A0A8" w14:textId="77777777" w:rsidR="00554D0D" w:rsidRPr="009D5635" w:rsidRDefault="00554D0D" w:rsidP="006A5F2F">
      <w:pPr>
        <w:tabs>
          <w:tab w:val="left" w:pos="426"/>
        </w:tabs>
        <w:ind w:left="567" w:right="565"/>
        <w:jc w:val="mediumKashida"/>
        <w:rPr>
          <w:rFonts w:ascii="Cambria" w:hAnsi="Cambria"/>
          <w:iCs/>
          <w:sz w:val="20"/>
          <w:szCs w:val="20"/>
        </w:rPr>
      </w:pPr>
      <w:r w:rsidRPr="009D5635">
        <w:rPr>
          <w:rFonts w:ascii="Cambria" w:hAnsi="Cambria"/>
          <w:iCs/>
          <w:sz w:val="20"/>
          <w:szCs w:val="20"/>
        </w:rPr>
        <w:tab/>
      </w:r>
    </w:p>
    <w:p w14:paraId="64510E54" w14:textId="688D1ABB" w:rsidR="00FC4583" w:rsidRPr="009D5635" w:rsidRDefault="00554D0D" w:rsidP="00AF5A30">
      <w:pPr>
        <w:pStyle w:val="ListParagraph"/>
        <w:ind w:left="1134" w:right="565" w:hanging="425"/>
        <w:jc w:val="mediumKashida"/>
        <w:rPr>
          <w:rFonts w:ascii="Cambria" w:hAnsi="Cambria"/>
          <w:iCs/>
          <w:sz w:val="20"/>
          <w:szCs w:val="20"/>
        </w:rPr>
      </w:pPr>
      <w:r w:rsidRPr="009D5635">
        <w:rPr>
          <w:rFonts w:ascii="Cambria" w:hAnsi="Cambria"/>
          <w:iCs/>
          <w:sz w:val="20"/>
          <w:szCs w:val="20"/>
        </w:rPr>
        <w:tab/>
        <w:t>Le Secrétaire exécutif établit le salaire et les conditions d'emploi du personnel à appliquer au personnel sous contrat de courte durée, qui sont fixés dans le contrat ou le document de référence.</w:t>
      </w:r>
    </w:p>
    <w:p w14:paraId="149FA5C1" w14:textId="77777777" w:rsidR="00FC4583" w:rsidRPr="009D5635" w:rsidRDefault="00FC4583" w:rsidP="006A5F2F">
      <w:pPr>
        <w:ind w:left="567" w:right="565"/>
        <w:jc w:val="mediumKashida"/>
        <w:rPr>
          <w:rFonts w:ascii="Cambria" w:hAnsi="Cambria"/>
          <w:iCs/>
          <w:sz w:val="20"/>
          <w:szCs w:val="20"/>
        </w:rPr>
      </w:pPr>
    </w:p>
    <w:p w14:paraId="4EE3CD7E" w14:textId="77777777" w:rsidR="00F57751" w:rsidRDefault="00FC4583" w:rsidP="0016590B">
      <w:pPr>
        <w:ind w:left="1134" w:right="565" w:hanging="425"/>
        <w:jc w:val="mediumKashida"/>
        <w:rPr>
          <w:rFonts w:ascii="Cambria" w:hAnsi="Cambria"/>
          <w:iCs/>
          <w:color w:val="FF0000"/>
          <w:sz w:val="20"/>
          <w:szCs w:val="20"/>
        </w:rPr>
      </w:pPr>
      <w:r w:rsidRPr="00026712">
        <w:rPr>
          <w:rFonts w:ascii="Cambria" w:hAnsi="Cambria"/>
          <w:iCs/>
          <w:color w:val="FF0000"/>
          <w:sz w:val="20"/>
          <w:szCs w:val="20"/>
        </w:rPr>
        <w:t xml:space="preserve">6.5 </w:t>
      </w:r>
      <w:r w:rsidR="0016590B" w:rsidRPr="00026712">
        <w:rPr>
          <w:rFonts w:ascii="Cambria" w:hAnsi="Cambria"/>
          <w:iCs/>
          <w:color w:val="FF0000"/>
          <w:sz w:val="20"/>
          <w:szCs w:val="20"/>
        </w:rPr>
        <w:tab/>
      </w:r>
      <w:r w:rsidRPr="002E7472">
        <w:rPr>
          <w:rFonts w:ascii="Cambria" w:hAnsi="Cambria"/>
          <w:i/>
          <w:color w:val="FF0000"/>
          <w:sz w:val="20"/>
          <w:szCs w:val="20"/>
        </w:rPr>
        <w:t>Entrée en vigueur et régime transitoire</w:t>
      </w:r>
      <w:r w:rsidRPr="00026712">
        <w:rPr>
          <w:rFonts w:ascii="Cambria" w:hAnsi="Cambria"/>
          <w:iCs/>
          <w:color w:val="FF0000"/>
          <w:sz w:val="20"/>
          <w:szCs w:val="20"/>
        </w:rPr>
        <w:t xml:space="preserve">. </w:t>
      </w:r>
    </w:p>
    <w:p w14:paraId="5FE9278C" w14:textId="77777777" w:rsidR="002E7472" w:rsidRDefault="002E7472" w:rsidP="0016590B">
      <w:pPr>
        <w:ind w:left="1134" w:right="565" w:hanging="425"/>
        <w:jc w:val="mediumKashida"/>
        <w:rPr>
          <w:rFonts w:ascii="Cambria" w:hAnsi="Cambria"/>
          <w:iCs/>
          <w:color w:val="FF0000"/>
          <w:sz w:val="20"/>
          <w:szCs w:val="20"/>
        </w:rPr>
      </w:pPr>
    </w:p>
    <w:p w14:paraId="4BA68C8B" w14:textId="2919509D" w:rsidR="00FC4583" w:rsidRPr="009D5635" w:rsidRDefault="00695CFF" w:rsidP="002E7472">
      <w:pPr>
        <w:ind w:left="1134" w:right="565"/>
        <w:jc w:val="mediumKashida"/>
        <w:rPr>
          <w:rFonts w:ascii="Cambria" w:hAnsi="Cambria"/>
          <w:iCs/>
          <w:color w:val="FF0000"/>
          <w:sz w:val="20"/>
          <w:szCs w:val="20"/>
        </w:rPr>
      </w:pPr>
      <w:r>
        <w:rPr>
          <w:rFonts w:ascii="Cambria" w:hAnsi="Cambria"/>
          <w:iCs/>
          <w:color w:val="FF0000"/>
          <w:sz w:val="20"/>
          <w:szCs w:val="20"/>
        </w:rPr>
        <w:t>Les</w:t>
      </w:r>
      <w:r w:rsidR="00FC4583" w:rsidRPr="00026712">
        <w:rPr>
          <w:rFonts w:ascii="Cambria" w:hAnsi="Cambria"/>
          <w:iCs/>
          <w:color w:val="FF0000"/>
          <w:sz w:val="20"/>
          <w:szCs w:val="20"/>
        </w:rPr>
        <w:t xml:space="preserve"> mesures prévues à l'article 6.2.c) et 6.3.c) entrer</w:t>
      </w:r>
      <w:r>
        <w:rPr>
          <w:rFonts w:ascii="Cambria" w:hAnsi="Cambria"/>
          <w:iCs/>
          <w:color w:val="FF0000"/>
          <w:sz w:val="20"/>
          <w:szCs w:val="20"/>
        </w:rPr>
        <w:t>ont</w:t>
      </w:r>
      <w:r w:rsidR="00FC4583" w:rsidRPr="00026712">
        <w:rPr>
          <w:rFonts w:ascii="Cambria" w:hAnsi="Cambria"/>
          <w:iCs/>
          <w:color w:val="FF0000"/>
          <w:sz w:val="20"/>
          <w:szCs w:val="20"/>
        </w:rPr>
        <w:t xml:space="preserve"> en vigueur trois mois après la publication de la réforme statutaire les </w:t>
      </w:r>
      <w:r w:rsidR="00C912AD">
        <w:rPr>
          <w:rFonts w:ascii="Cambria" w:hAnsi="Cambria"/>
          <w:iCs/>
          <w:color w:val="FF0000"/>
          <w:sz w:val="20"/>
          <w:szCs w:val="20"/>
        </w:rPr>
        <w:t>adoptant</w:t>
      </w:r>
      <w:r w:rsidR="00FC4583" w:rsidRPr="00026712">
        <w:rPr>
          <w:rFonts w:ascii="Cambria" w:hAnsi="Cambria"/>
          <w:iCs/>
          <w:color w:val="FF0000"/>
          <w:sz w:val="20"/>
          <w:szCs w:val="20"/>
        </w:rPr>
        <w:t>. La suppression du Fonds de pension existant précédemment n'a pas d'effet rétroactif, de sorte que les montants qui ont été versés au Fonds de pension sont régis par la réglementation en vigueur au moment de leur versement.</w:t>
      </w:r>
    </w:p>
    <w:p w14:paraId="7326FAA5" w14:textId="0C8F0F4A" w:rsidR="003E6D71" w:rsidRPr="009D5635" w:rsidRDefault="003E6D71" w:rsidP="003E6D71">
      <w:pPr>
        <w:rPr>
          <w:rFonts w:ascii="Cambria" w:hAnsi="Cambria"/>
          <w:iCs/>
          <w:sz w:val="20"/>
          <w:szCs w:val="20"/>
        </w:rPr>
      </w:pPr>
    </w:p>
    <w:p w14:paraId="674A3929" w14:textId="257FCB57" w:rsidR="00FC4583" w:rsidRPr="003B3878" w:rsidRDefault="00FC4583" w:rsidP="003E6D71">
      <w:pPr>
        <w:rPr>
          <w:rFonts w:ascii="Cambria" w:hAnsi="Cambria"/>
          <w:sz w:val="20"/>
          <w:szCs w:val="20"/>
        </w:rPr>
      </w:pPr>
    </w:p>
    <w:p w14:paraId="49FB361C" w14:textId="72C4FE36" w:rsidR="00554D0D" w:rsidRPr="003B3878" w:rsidRDefault="00554D0D">
      <w:pPr>
        <w:rPr>
          <w:rFonts w:ascii="Cambria" w:hAnsi="Cambria"/>
          <w:sz w:val="20"/>
          <w:szCs w:val="20"/>
        </w:rPr>
      </w:pPr>
    </w:p>
    <w:p w14:paraId="6F4A6391" w14:textId="77777777" w:rsidR="00185D0A" w:rsidRPr="003B3878" w:rsidRDefault="00185D0A" w:rsidP="003E6D71">
      <w:pPr>
        <w:jc w:val="mediumKashida"/>
        <w:rPr>
          <w:rFonts w:ascii="Cambria" w:hAnsi="Cambria"/>
          <w:sz w:val="20"/>
          <w:szCs w:val="20"/>
        </w:rPr>
      </w:pPr>
    </w:p>
    <w:p w14:paraId="619B855C" w14:textId="77777777" w:rsidR="00185D0A" w:rsidRPr="003B3878" w:rsidRDefault="00185D0A" w:rsidP="003E6D71">
      <w:pPr>
        <w:rPr>
          <w:rFonts w:ascii="Cambria" w:hAnsi="Cambria"/>
          <w:sz w:val="20"/>
          <w:szCs w:val="20"/>
        </w:rPr>
      </w:pPr>
    </w:p>
    <w:sectPr w:rsidR="00185D0A" w:rsidRPr="003B3878" w:rsidSect="00F34E58">
      <w:headerReference w:type="default" r:id="rId8"/>
      <w:footerReference w:type="even" r:id="rId9"/>
      <w:footerReference w:type="default" r:id="rId10"/>
      <w:pgSz w:w="11906" w:h="16838"/>
      <w:pgMar w:top="1418" w:right="1418" w:bottom="1418" w:left="1418" w:header="85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F29F" w14:textId="77777777" w:rsidR="006D0E54" w:rsidRDefault="006D0E54" w:rsidP="00750D2E">
      <w:r>
        <w:separator/>
      </w:r>
    </w:p>
  </w:endnote>
  <w:endnote w:type="continuationSeparator" w:id="0">
    <w:p w14:paraId="34A7222C" w14:textId="77777777" w:rsidR="006D0E54" w:rsidRDefault="006D0E54" w:rsidP="0075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8611530"/>
      <w:docPartObj>
        <w:docPartGallery w:val="Page Numbers (Bottom of Page)"/>
        <w:docPartUnique/>
      </w:docPartObj>
    </w:sdtPr>
    <w:sdtContent>
      <w:p w14:paraId="6D924375" w14:textId="7AFF940E" w:rsidR="00750D2E" w:rsidRDefault="00750D2E" w:rsidP="008233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7D4A24" w14:textId="77777777" w:rsidR="00750D2E" w:rsidRDefault="00750D2E" w:rsidP="00750D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F0BB" w14:textId="5A42A3DD" w:rsidR="00750D2E" w:rsidRPr="00554D0D" w:rsidRDefault="00000000" w:rsidP="00554D0D">
    <w:pPr>
      <w:widowControl w:val="0"/>
      <w:tabs>
        <w:tab w:val="center" w:pos="4252"/>
        <w:tab w:val="center" w:pos="4535"/>
        <w:tab w:val="left" w:pos="6150"/>
        <w:tab w:val="right" w:pos="8504"/>
      </w:tabs>
      <w:snapToGrid w:val="0"/>
      <w:jc w:val="center"/>
      <w:rPr>
        <w:rFonts w:ascii="Cambria" w:eastAsia="MS Gothic" w:hAnsi="Cambria" w:cs="Times New Roman"/>
        <w:color w:val="000000"/>
        <w:sz w:val="20"/>
        <w:szCs w:val="20"/>
      </w:rPr>
    </w:pPr>
    <w:sdt>
      <w:sdtPr>
        <w:rPr>
          <w:rFonts w:ascii="Times New Roman" w:eastAsia="MS Gothic" w:hAnsi="Times New Roman" w:cs="Times New Roman"/>
          <w:color w:val="000000"/>
        </w:rPr>
        <w:id w:val="-60483211"/>
        <w:docPartObj>
          <w:docPartGallery w:val="Page Numbers (Top of Page)"/>
          <w:docPartUnique/>
        </w:docPartObj>
      </w:sdtPr>
      <w:sdtContent>
        <w:r w:rsidR="00554D0D" w:rsidRPr="00554D0D">
          <w:rPr>
            <w:rFonts w:ascii="Cambria" w:eastAsia="MS Gothic" w:hAnsi="Cambria" w:cs="Times New Roman"/>
            <w:color w:val="000000"/>
            <w:sz w:val="20"/>
          </w:rPr>
          <w:fldChar w:fldCharType="begin"/>
        </w:r>
        <w:r w:rsidR="00554D0D" w:rsidRPr="00554D0D">
          <w:rPr>
            <w:rFonts w:ascii="Cambria" w:eastAsia="MS Gothic" w:hAnsi="Cambria" w:cs="Times New Roman"/>
            <w:color w:val="000000"/>
            <w:sz w:val="20"/>
          </w:rPr>
          <w:instrText xml:space="preserve"> PAGE </w:instrText>
        </w:r>
        <w:r w:rsidR="00554D0D" w:rsidRPr="00554D0D">
          <w:rPr>
            <w:rFonts w:ascii="Cambria" w:eastAsia="MS Gothic" w:hAnsi="Cambria" w:cs="Times New Roman"/>
            <w:color w:val="000000"/>
            <w:sz w:val="20"/>
          </w:rPr>
          <w:fldChar w:fldCharType="separate"/>
        </w:r>
        <w:r w:rsidR="00554D0D" w:rsidRPr="00554D0D">
          <w:rPr>
            <w:rFonts w:ascii="Cambria" w:eastAsia="MS Gothic" w:hAnsi="Cambria" w:cs="Times New Roman"/>
            <w:color w:val="000000"/>
            <w:sz w:val="20"/>
          </w:rPr>
          <w:t>1</w:t>
        </w:r>
        <w:r w:rsidR="00554D0D" w:rsidRPr="00554D0D">
          <w:rPr>
            <w:rFonts w:ascii="Cambria" w:eastAsia="MS Gothic" w:hAnsi="Cambria" w:cs="Times New Roman"/>
            <w:color w:val="000000"/>
            <w:sz w:val="20"/>
          </w:rPr>
          <w:fldChar w:fldCharType="end"/>
        </w:r>
        <w:r w:rsidR="00554D0D">
          <w:rPr>
            <w:rFonts w:ascii="Cambria" w:hAnsi="Cambria"/>
            <w:color w:val="000000"/>
            <w:sz w:val="20"/>
          </w:rPr>
          <w:t xml:space="preserve"> / </w:t>
        </w:r>
        <w:r w:rsidR="00554D0D" w:rsidRPr="00554D0D">
          <w:rPr>
            <w:rFonts w:ascii="Cambria" w:eastAsia="MS Gothic" w:hAnsi="Cambria" w:cs="Times New Roman"/>
            <w:color w:val="000000"/>
            <w:sz w:val="20"/>
          </w:rPr>
          <w:fldChar w:fldCharType="begin"/>
        </w:r>
        <w:r w:rsidR="00554D0D" w:rsidRPr="00554D0D">
          <w:rPr>
            <w:rFonts w:ascii="Cambria" w:eastAsia="MS Gothic" w:hAnsi="Cambria" w:cs="Times New Roman"/>
            <w:color w:val="000000"/>
            <w:sz w:val="20"/>
          </w:rPr>
          <w:instrText xml:space="preserve"> NUMPAGES  </w:instrText>
        </w:r>
        <w:r w:rsidR="00554D0D" w:rsidRPr="00554D0D">
          <w:rPr>
            <w:rFonts w:ascii="Cambria" w:eastAsia="MS Gothic" w:hAnsi="Cambria" w:cs="Times New Roman"/>
            <w:color w:val="000000"/>
            <w:sz w:val="20"/>
          </w:rPr>
          <w:fldChar w:fldCharType="separate"/>
        </w:r>
        <w:r w:rsidR="00554D0D" w:rsidRPr="00554D0D">
          <w:rPr>
            <w:rFonts w:ascii="Cambria" w:eastAsia="MS Gothic" w:hAnsi="Cambria" w:cs="Times New Roman"/>
            <w:color w:val="000000"/>
            <w:sz w:val="20"/>
          </w:rPr>
          <w:t>8</w:t>
        </w:r>
        <w:r w:rsidR="00554D0D" w:rsidRPr="00554D0D">
          <w:rPr>
            <w:rFonts w:ascii="Cambria" w:eastAsia="MS Gothic" w:hAnsi="Cambria" w:cs="Times New Roman"/>
            <w:color w:val="000000"/>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6466E" w14:textId="77777777" w:rsidR="006D0E54" w:rsidRDefault="006D0E54" w:rsidP="00750D2E">
      <w:r>
        <w:separator/>
      </w:r>
    </w:p>
  </w:footnote>
  <w:footnote w:type="continuationSeparator" w:id="0">
    <w:p w14:paraId="0C6F3ADE" w14:textId="77777777" w:rsidR="006D0E54" w:rsidRDefault="006D0E54" w:rsidP="00750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B801" w14:textId="4F3BB545" w:rsidR="00E71C33" w:rsidRPr="00BA2375" w:rsidRDefault="00E71C33" w:rsidP="00E71C33">
    <w:pPr>
      <w:shd w:val="clear" w:color="auto" w:fill="FFFFFF"/>
      <w:jc w:val="right"/>
      <w:rPr>
        <w:rFonts w:ascii="Cambria" w:hAnsi="Cambria" w:cs="Segoe UI"/>
        <w:color w:val="242424"/>
        <w:sz w:val="20"/>
        <w:szCs w:val="20"/>
        <w:lang w:val="en-US"/>
      </w:rPr>
    </w:pPr>
    <w:bookmarkStart w:id="1" w:name="_Hlk93993145"/>
    <w:r w:rsidRPr="00BA2375">
      <w:rPr>
        <w:rFonts w:ascii="Cambria" w:hAnsi="Cambria"/>
        <w:b/>
        <w:color w:val="242424"/>
        <w:sz w:val="20"/>
        <w:szCs w:val="20"/>
        <w:lang w:val="en-US"/>
      </w:rPr>
      <w:t>STF_219/2025</w:t>
    </w:r>
  </w:p>
  <w:p w14:paraId="3382EF6E" w14:textId="0AA9FFEE" w:rsidR="00E71C33" w:rsidRPr="00BA2375" w:rsidRDefault="00E71C33" w:rsidP="00E71C33">
    <w:pPr>
      <w:tabs>
        <w:tab w:val="center" w:pos="4252"/>
        <w:tab w:val="right" w:pos="8504"/>
      </w:tabs>
      <w:snapToGrid w:val="0"/>
      <w:jc w:val="right"/>
      <w:rPr>
        <w:rFonts w:eastAsia="MS Gothic"/>
        <w:color w:val="000000"/>
        <w:sz w:val="20"/>
        <w:szCs w:val="20"/>
        <w:lang w:val="en-US"/>
      </w:rPr>
    </w:pPr>
    <w:r w:rsidRPr="00BA2375">
      <w:rPr>
        <w:rFonts w:ascii="Cambria" w:hAnsi="Cambria" w:cs="Segoe UI"/>
        <w:b/>
        <w:color w:val="242424"/>
        <w:sz w:val="20"/>
        <w:szCs w:val="20"/>
      </w:rPr>
      <w:fldChar w:fldCharType="begin"/>
    </w:r>
    <w:r w:rsidRPr="00BA2375">
      <w:rPr>
        <w:rFonts w:ascii="Cambria" w:hAnsi="Cambria" w:cs="Segoe UI"/>
        <w:b/>
        <w:color w:val="242424"/>
        <w:sz w:val="20"/>
        <w:szCs w:val="20"/>
      </w:rPr>
      <w:instrText xml:space="preserve"> TIME \@ "dd/MM/yyyy H:mm" </w:instrText>
    </w:r>
    <w:r w:rsidRPr="00BA2375">
      <w:rPr>
        <w:rFonts w:ascii="Cambria" w:hAnsi="Cambria" w:cs="Segoe UI"/>
        <w:b/>
        <w:color w:val="242424"/>
        <w:sz w:val="20"/>
        <w:szCs w:val="20"/>
      </w:rPr>
      <w:fldChar w:fldCharType="separate"/>
    </w:r>
    <w:r w:rsidR="007E3410">
      <w:rPr>
        <w:rFonts w:ascii="Cambria" w:hAnsi="Cambria" w:cs="Segoe UI"/>
        <w:b/>
        <w:noProof/>
        <w:color w:val="242424"/>
        <w:sz w:val="20"/>
        <w:szCs w:val="20"/>
      </w:rPr>
      <w:t>15/11/2025 12:55</w:t>
    </w:r>
    <w:r w:rsidRPr="00BA2375">
      <w:rPr>
        <w:rFonts w:ascii="Cambria" w:hAnsi="Cambria" w:cs="Segoe UI"/>
        <w:b/>
        <w:bCs/>
        <w:color w:val="242424"/>
        <w:sz w:val="20"/>
        <w:szCs w:val="20"/>
        <w:lang w:val="es-ES_tradnl"/>
      </w:rPr>
      <w:fldChar w:fldCharType="end"/>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32E"/>
    <w:multiLevelType w:val="hybridMultilevel"/>
    <w:tmpl w:val="E25449A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981816"/>
    <w:multiLevelType w:val="hybridMultilevel"/>
    <w:tmpl w:val="B0A89A7E"/>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 w15:restartNumberingAfterBreak="0">
    <w:nsid w:val="135555C4"/>
    <w:multiLevelType w:val="hybridMultilevel"/>
    <w:tmpl w:val="F55A3C62"/>
    <w:lvl w:ilvl="0" w:tplc="0409001B">
      <w:start w:val="1"/>
      <w:numFmt w:val="lowerRoman"/>
      <w:lvlText w:val="%1."/>
      <w:lvlJc w:val="righ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13956430"/>
    <w:multiLevelType w:val="hybridMultilevel"/>
    <w:tmpl w:val="E724ECA0"/>
    <w:lvl w:ilvl="0" w:tplc="04090017">
      <w:start w:val="1"/>
      <w:numFmt w:val="low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4" w15:restartNumberingAfterBreak="0">
    <w:nsid w:val="163B1A31"/>
    <w:multiLevelType w:val="hybridMultilevel"/>
    <w:tmpl w:val="F454065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5111A2"/>
    <w:multiLevelType w:val="multilevel"/>
    <w:tmpl w:val="4134B936"/>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29056B3"/>
    <w:multiLevelType w:val="hybridMultilevel"/>
    <w:tmpl w:val="B804E4FC"/>
    <w:lvl w:ilvl="0" w:tplc="9112F22A">
      <w:start w:val="1"/>
      <w:numFmt w:val="decimal"/>
      <w:lvlText w:val="%1)"/>
      <w:lvlJc w:val="left"/>
      <w:pPr>
        <w:ind w:left="1271" w:hanging="4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438F185C"/>
    <w:multiLevelType w:val="multilevel"/>
    <w:tmpl w:val="8200BB44"/>
    <w:lvl w:ilvl="0">
      <w:start w:val="1"/>
      <w:numFmt w:val="decimal"/>
      <w:lvlText w:val="%1."/>
      <w:lvlJc w:val="left"/>
      <w:pPr>
        <w:ind w:left="720" w:hanging="360"/>
      </w:pPr>
    </w:lvl>
    <w:lvl w:ilvl="1">
      <w:start w:val="1"/>
      <w:numFmt w:val="decimal"/>
      <w:isLgl/>
      <w:lvlText w:val="%1.%2."/>
      <w:lvlJc w:val="left"/>
      <w:pPr>
        <w:ind w:left="1088" w:hanging="380"/>
      </w:p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944" w:hanging="1800"/>
      </w:pPr>
    </w:lvl>
  </w:abstractNum>
  <w:abstractNum w:abstractNumId="8" w15:restartNumberingAfterBreak="0">
    <w:nsid w:val="440C4320"/>
    <w:multiLevelType w:val="hybridMultilevel"/>
    <w:tmpl w:val="06D0D826"/>
    <w:lvl w:ilvl="0" w:tplc="BA1EC0F4">
      <w:start w:val="1"/>
      <w:numFmt w:val="decimal"/>
      <w:lvlText w:val="%1)"/>
      <w:lvlJc w:val="left"/>
      <w:pPr>
        <w:ind w:left="644" w:hanging="360"/>
      </w:pPr>
    </w:lvl>
    <w:lvl w:ilvl="1" w:tplc="040A0019">
      <w:start w:val="1"/>
      <w:numFmt w:val="lowerLetter"/>
      <w:lvlText w:val="%2."/>
      <w:lvlJc w:val="left"/>
      <w:pPr>
        <w:ind w:left="1364" w:hanging="360"/>
      </w:pPr>
    </w:lvl>
    <w:lvl w:ilvl="2" w:tplc="040A001B">
      <w:start w:val="1"/>
      <w:numFmt w:val="lowerRoman"/>
      <w:lvlText w:val="%3."/>
      <w:lvlJc w:val="right"/>
      <w:pPr>
        <w:ind w:left="2084" w:hanging="180"/>
      </w:pPr>
    </w:lvl>
    <w:lvl w:ilvl="3" w:tplc="040A000F">
      <w:start w:val="1"/>
      <w:numFmt w:val="decimal"/>
      <w:lvlText w:val="%4."/>
      <w:lvlJc w:val="left"/>
      <w:pPr>
        <w:ind w:left="2804" w:hanging="360"/>
      </w:pPr>
    </w:lvl>
    <w:lvl w:ilvl="4" w:tplc="040A0019">
      <w:start w:val="1"/>
      <w:numFmt w:val="lowerLetter"/>
      <w:lvlText w:val="%5."/>
      <w:lvlJc w:val="left"/>
      <w:pPr>
        <w:ind w:left="3524" w:hanging="360"/>
      </w:pPr>
    </w:lvl>
    <w:lvl w:ilvl="5" w:tplc="040A001B">
      <w:start w:val="1"/>
      <w:numFmt w:val="lowerRoman"/>
      <w:lvlText w:val="%6."/>
      <w:lvlJc w:val="right"/>
      <w:pPr>
        <w:ind w:left="4244" w:hanging="180"/>
      </w:pPr>
    </w:lvl>
    <w:lvl w:ilvl="6" w:tplc="040A000F">
      <w:start w:val="1"/>
      <w:numFmt w:val="decimal"/>
      <w:lvlText w:val="%7."/>
      <w:lvlJc w:val="left"/>
      <w:pPr>
        <w:ind w:left="4964" w:hanging="360"/>
      </w:pPr>
    </w:lvl>
    <w:lvl w:ilvl="7" w:tplc="040A0019">
      <w:start w:val="1"/>
      <w:numFmt w:val="lowerLetter"/>
      <w:lvlText w:val="%8."/>
      <w:lvlJc w:val="left"/>
      <w:pPr>
        <w:ind w:left="5684" w:hanging="360"/>
      </w:pPr>
    </w:lvl>
    <w:lvl w:ilvl="8" w:tplc="040A001B">
      <w:start w:val="1"/>
      <w:numFmt w:val="lowerRoman"/>
      <w:lvlText w:val="%9."/>
      <w:lvlJc w:val="right"/>
      <w:pPr>
        <w:ind w:left="6404" w:hanging="180"/>
      </w:pPr>
    </w:lvl>
  </w:abstractNum>
  <w:abstractNum w:abstractNumId="9" w15:restartNumberingAfterBreak="0">
    <w:nsid w:val="456E4D0D"/>
    <w:multiLevelType w:val="hybridMultilevel"/>
    <w:tmpl w:val="3B7215B2"/>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0" w15:restartNumberingAfterBreak="0">
    <w:nsid w:val="4E706B87"/>
    <w:multiLevelType w:val="hybridMultilevel"/>
    <w:tmpl w:val="D7E400E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2507C"/>
    <w:multiLevelType w:val="hybridMultilevel"/>
    <w:tmpl w:val="C4021682"/>
    <w:lvl w:ilvl="0" w:tplc="0409001B">
      <w:start w:val="1"/>
      <w:numFmt w:val="lowerRoman"/>
      <w:lvlText w:val="%1."/>
      <w:lvlJc w:val="right"/>
      <w:pPr>
        <w:ind w:left="720" w:hanging="360"/>
      </w:pPr>
    </w:lvl>
    <w:lvl w:ilvl="1" w:tplc="E15C0726">
      <w:start w:val="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27440B"/>
    <w:multiLevelType w:val="hybridMultilevel"/>
    <w:tmpl w:val="FFD8953E"/>
    <w:lvl w:ilvl="0" w:tplc="81F076E0">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15:restartNumberingAfterBreak="0">
    <w:nsid w:val="4F61017E"/>
    <w:multiLevelType w:val="hybridMultilevel"/>
    <w:tmpl w:val="D73834B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B837E3"/>
    <w:multiLevelType w:val="hybridMultilevel"/>
    <w:tmpl w:val="C4021682"/>
    <w:lvl w:ilvl="0" w:tplc="FFFFFFFF">
      <w:start w:val="1"/>
      <w:numFmt w:val="lowerRoman"/>
      <w:lvlText w:val="%1."/>
      <w:lvlJc w:val="right"/>
      <w:pPr>
        <w:ind w:left="720" w:hanging="360"/>
      </w:p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1A417A"/>
    <w:multiLevelType w:val="hybridMultilevel"/>
    <w:tmpl w:val="A438693E"/>
    <w:lvl w:ilvl="0" w:tplc="1772CD40">
      <w:start w:val="1"/>
      <w:numFmt w:val="lowerLetter"/>
      <w:lvlText w:val="%1)"/>
      <w:lvlJc w:val="left"/>
      <w:pPr>
        <w:ind w:left="1068" w:hanging="360"/>
      </w:pPr>
    </w:lvl>
    <w:lvl w:ilvl="1" w:tplc="040A0019">
      <w:start w:val="1"/>
      <w:numFmt w:val="lowerLetter"/>
      <w:lvlText w:val="%2."/>
      <w:lvlJc w:val="left"/>
      <w:pPr>
        <w:ind w:left="1788" w:hanging="360"/>
      </w:pPr>
    </w:lvl>
    <w:lvl w:ilvl="2" w:tplc="040A001B">
      <w:start w:val="1"/>
      <w:numFmt w:val="lowerRoman"/>
      <w:lvlText w:val="%3."/>
      <w:lvlJc w:val="right"/>
      <w:pPr>
        <w:ind w:left="2508" w:hanging="180"/>
      </w:pPr>
    </w:lvl>
    <w:lvl w:ilvl="3" w:tplc="040A000F">
      <w:start w:val="1"/>
      <w:numFmt w:val="decimal"/>
      <w:lvlText w:val="%4."/>
      <w:lvlJc w:val="left"/>
      <w:pPr>
        <w:ind w:left="3228" w:hanging="360"/>
      </w:pPr>
    </w:lvl>
    <w:lvl w:ilvl="4" w:tplc="040A0019">
      <w:start w:val="1"/>
      <w:numFmt w:val="lowerLetter"/>
      <w:lvlText w:val="%5."/>
      <w:lvlJc w:val="left"/>
      <w:pPr>
        <w:ind w:left="3948" w:hanging="360"/>
      </w:pPr>
    </w:lvl>
    <w:lvl w:ilvl="5" w:tplc="040A001B">
      <w:start w:val="1"/>
      <w:numFmt w:val="lowerRoman"/>
      <w:lvlText w:val="%6."/>
      <w:lvlJc w:val="right"/>
      <w:pPr>
        <w:ind w:left="4668" w:hanging="180"/>
      </w:pPr>
    </w:lvl>
    <w:lvl w:ilvl="6" w:tplc="040A000F">
      <w:start w:val="1"/>
      <w:numFmt w:val="decimal"/>
      <w:lvlText w:val="%7."/>
      <w:lvlJc w:val="left"/>
      <w:pPr>
        <w:ind w:left="5388" w:hanging="360"/>
      </w:pPr>
    </w:lvl>
    <w:lvl w:ilvl="7" w:tplc="040A0019">
      <w:start w:val="1"/>
      <w:numFmt w:val="lowerLetter"/>
      <w:lvlText w:val="%8."/>
      <w:lvlJc w:val="left"/>
      <w:pPr>
        <w:ind w:left="6108" w:hanging="360"/>
      </w:pPr>
    </w:lvl>
    <w:lvl w:ilvl="8" w:tplc="040A001B">
      <w:start w:val="1"/>
      <w:numFmt w:val="lowerRoman"/>
      <w:lvlText w:val="%9."/>
      <w:lvlJc w:val="right"/>
      <w:pPr>
        <w:ind w:left="6828" w:hanging="180"/>
      </w:pPr>
    </w:lvl>
  </w:abstractNum>
  <w:abstractNum w:abstractNumId="16" w15:restartNumberingAfterBreak="0">
    <w:nsid w:val="615952DB"/>
    <w:multiLevelType w:val="hybridMultilevel"/>
    <w:tmpl w:val="C87A6B86"/>
    <w:lvl w:ilvl="0" w:tplc="E66EBFE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6854BED"/>
    <w:multiLevelType w:val="hybridMultilevel"/>
    <w:tmpl w:val="C4021682"/>
    <w:lvl w:ilvl="0" w:tplc="FFFFFFFF">
      <w:start w:val="1"/>
      <w:numFmt w:val="lowerRoman"/>
      <w:lvlText w:val="%1."/>
      <w:lvlJc w:val="right"/>
      <w:pPr>
        <w:ind w:left="720" w:hanging="360"/>
      </w:p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3A0F67"/>
    <w:multiLevelType w:val="hybridMultilevel"/>
    <w:tmpl w:val="86108924"/>
    <w:lvl w:ilvl="0" w:tplc="8CCCE25C">
      <w:start w:val="1"/>
      <w:numFmt w:val="lowerLetter"/>
      <w:lvlText w:val="%1)"/>
      <w:lvlJc w:val="left"/>
      <w:pPr>
        <w:ind w:left="720" w:hanging="360"/>
      </w:pPr>
      <w:rPr>
        <w:rFonts w:hint="default"/>
        <w:color w:val="EE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9C3351"/>
    <w:multiLevelType w:val="hybridMultilevel"/>
    <w:tmpl w:val="F24253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AC57AE"/>
    <w:multiLevelType w:val="hybridMultilevel"/>
    <w:tmpl w:val="C916E4E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9863684">
    <w:abstractNumId w:val="16"/>
  </w:num>
  <w:num w:numId="2" w16cid:durableId="302658256">
    <w:abstractNumId w:val="18"/>
  </w:num>
  <w:num w:numId="3" w16cid:durableId="883179289">
    <w:abstractNumId w:val="0"/>
  </w:num>
  <w:num w:numId="4" w16cid:durableId="1911038825">
    <w:abstractNumId w:val="5"/>
  </w:num>
  <w:num w:numId="5" w16cid:durableId="16358682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1005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45118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7325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26613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0433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6054426">
    <w:abstractNumId w:val="8"/>
  </w:num>
  <w:num w:numId="12" w16cid:durableId="2133086349">
    <w:abstractNumId w:val="12"/>
  </w:num>
  <w:num w:numId="13" w16cid:durableId="1230723664">
    <w:abstractNumId w:val="3"/>
  </w:num>
  <w:num w:numId="14" w16cid:durableId="1350763721">
    <w:abstractNumId w:val="11"/>
  </w:num>
  <w:num w:numId="15" w16cid:durableId="194776553">
    <w:abstractNumId w:val="6"/>
  </w:num>
  <w:num w:numId="16" w16cid:durableId="1458990960">
    <w:abstractNumId w:val="19"/>
  </w:num>
  <w:num w:numId="17" w16cid:durableId="646516955">
    <w:abstractNumId w:val="10"/>
  </w:num>
  <w:num w:numId="18" w16cid:durableId="1600018671">
    <w:abstractNumId w:val="4"/>
  </w:num>
  <w:num w:numId="19" w16cid:durableId="2099402978">
    <w:abstractNumId w:val="17"/>
  </w:num>
  <w:num w:numId="20" w16cid:durableId="585069142">
    <w:abstractNumId w:val="2"/>
  </w:num>
  <w:num w:numId="21" w16cid:durableId="1349024974">
    <w:abstractNumId w:val="13"/>
  </w:num>
  <w:num w:numId="22" w16cid:durableId="618607581">
    <w:abstractNumId w:val="20"/>
  </w:num>
  <w:num w:numId="23" w16cid:durableId="9814282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583"/>
    <w:rsid w:val="0002239C"/>
    <w:rsid w:val="00026712"/>
    <w:rsid w:val="00027A1B"/>
    <w:rsid w:val="00031063"/>
    <w:rsid w:val="0007596C"/>
    <w:rsid w:val="00084AE3"/>
    <w:rsid w:val="00090DC2"/>
    <w:rsid w:val="000928C0"/>
    <w:rsid w:val="000B5677"/>
    <w:rsid w:val="000D6CA1"/>
    <w:rsid w:val="000D77E6"/>
    <w:rsid w:val="000E3388"/>
    <w:rsid w:val="000F6C9F"/>
    <w:rsid w:val="00103E1E"/>
    <w:rsid w:val="00104929"/>
    <w:rsid w:val="0011478A"/>
    <w:rsid w:val="00144AA4"/>
    <w:rsid w:val="00153A88"/>
    <w:rsid w:val="00162D7E"/>
    <w:rsid w:val="0016590B"/>
    <w:rsid w:val="00185D0A"/>
    <w:rsid w:val="001B0F10"/>
    <w:rsid w:val="0020159A"/>
    <w:rsid w:val="00245C95"/>
    <w:rsid w:val="00246183"/>
    <w:rsid w:val="0025782C"/>
    <w:rsid w:val="002616F6"/>
    <w:rsid w:val="00276DB7"/>
    <w:rsid w:val="00294AA3"/>
    <w:rsid w:val="002E3B50"/>
    <w:rsid w:val="002E7472"/>
    <w:rsid w:val="00311A0A"/>
    <w:rsid w:val="0036013E"/>
    <w:rsid w:val="00392139"/>
    <w:rsid w:val="003B091E"/>
    <w:rsid w:val="003B0BB7"/>
    <w:rsid w:val="003B2703"/>
    <w:rsid w:val="003B3878"/>
    <w:rsid w:val="003B55F6"/>
    <w:rsid w:val="003C006F"/>
    <w:rsid w:val="003E6D71"/>
    <w:rsid w:val="004102E3"/>
    <w:rsid w:val="0044778A"/>
    <w:rsid w:val="00456B23"/>
    <w:rsid w:val="00490A34"/>
    <w:rsid w:val="004B3963"/>
    <w:rsid w:val="004C1F4A"/>
    <w:rsid w:val="004C65CC"/>
    <w:rsid w:val="004F0EA4"/>
    <w:rsid w:val="004F15F1"/>
    <w:rsid w:val="004F6EE4"/>
    <w:rsid w:val="00504AE4"/>
    <w:rsid w:val="00525B71"/>
    <w:rsid w:val="00531173"/>
    <w:rsid w:val="00536AE2"/>
    <w:rsid w:val="005408F0"/>
    <w:rsid w:val="00554D0D"/>
    <w:rsid w:val="00575277"/>
    <w:rsid w:val="005C50A7"/>
    <w:rsid w:val="005E0241"/>
    <w:rsid w:val="00631667"/>
    <w:rsid w:val="00655CF2"/>
    <w:rsid w:val="00660019"/>
    <w:rsid w:val="00662CB0"/>
    <w:rsid w:val="00667AF6"/>
    <w:rsid w:val="00683911"/>
    <w:rsid w:val="00695CFF"/>
    <w:rsid w:val="006A5F2F"/>
    <w:rsid w:val="006D0E54"/>
    <w:rsid w:val="006D7687"/>
    <w:rsid w:val="00750D2E"/>
    <w:rsid w:val="00762461"/>
    <w:rsid w:val="00772A25"/>
    <w:rsid w:val="0079341D"/>
    <w:rsid w:val="0079619F"/>
    <w:rsid w:val="007B5B8D"/>
    <w:rsid w:val="007D12E1"/>
    <w:rsid w:val="007D53B6"/>
    <w:rsid w:val="007E3410"/>
    <w:rsid w:val="007F31CE"/>
    <w:rsid w:val="007F7A2C"/>
    <w:rsid w:val="0080256E"/>
    <w:rsid w:val="0080668C"/>
    <w:rsid w:val="008072F2"/>
    <w:rsid w:val="00810917"/>
    <w:rsid w:val="00821AA5"/>
    <w:rsid w:val="00831385"/>
    <w:rsid w:val="00832103"/>
    <w:rsid w:val="008464C6"/>
    <w:rsid w:val="00874465"/>
    <w:rsid w:val="008761F9"/>
    <w:rsid w:val="00885F14"/>
    <w:rsid w:val="00887ADD"/>
    <w:rsid w:val="008963B4"/>
    <w:rsid w:val="008A28D6"/>
    <w:rsid w:val="008B3A9B"/>
    <w:rsid w:val="008F1689"/>
    <w:rsid w:val="00900804"/>
    <w:rsid w:val="00901E3F"/>
    <w:rsid w:val="009303DF"/>
    <w:rsid w:val="0094089E"/>
    <w:rsid w:val="00943F60"/>
    <w:rsid w:val="009744AE"/>
    <w:rsid w:val="0099505C"/>
    <w:rsid w:val="009B762E"/>
    <w:rsid w:val="009D3B79"/>
    <w:rsid w:val="009D53F0"/>
    <w:rsid w:val="009D5635"/>
    <w:rsid w:val="009E5E85"/>
    <w:rsid w:val="009F39B0"/>
    <w:rsid w:val="00A034F9"/>
    <w:rsid w:val="00A179D2"/>
    <w:rsid w:val="00A24CCC"/>
    <w:rsid w:val="00A65AD9"/>
    <w:rsid w:val="00A73B9B"/>
    <w:rsid w:val="00A906EC"/>
    <w:rsid w:val="00AF5A30"/>
    <w:rsid w:val="00B11523"/>
    <w:rsid w:val="00B21310"/>
    <w:rsid w:val="00B22AB0"/>
    <w:rsid w:val="00B2510B"/>
    <w:rsid w:val="00B34B27"/>
    <w:rsid w:val="00B61ED9"/>
    <w:rsid w:val="00B651A1"/>
    <w:rsid w:val="00B84615"/>
    <w:rsid w:val="00B94CD1"/>
    <w:rsid w:val="00BA1B96"/>
    <w:rsid w:val="00BA2375"/>
    <w:rsid w:val="00BA5CC4"/>
    <w:rsid w:val="00BB1B24"/>
    <w:rsid w:val="00BB20EF"/>
    <w:rsid w:val="00BB3585"/>
    <w:rsid w:val="00BC13EF"/>
    <w:rsid w:val="00BC5E1C"/>
    <w:rsid w:val="00BD6211"/>
    <w:rsid w:val="00BE78A1"/>
    <w:rsid w:val="00C44491"/>
    <w:rsid w:val="00C471A2"/>
    <w:rsid w:val="00C5374C"/>
    <w:rsid w:val="00C62EAF"/>
    <w:rsid w:val="00C912AD"/>
    <w:rsid w:val="00CA7BCC"/>
    <w:rsid w:val="00CB3EF9"/>
    <w:rsid w:val="00CE5E97"/>
    <w:rsid w:val="00D1349E"/>
    <w:rsid w:val="00D13EE4"/>
    <w:rsid w:val="00D55E28"/>
    <w:rsid w:val="00D64C6D"/>
    <w:rsid w:val="00D770EF"/>
    <w:rsid w:val="00D80AB7"/>
    <w:rsid w:val="00D94A1A"/>
    <w:rsid w:val="00D9533A"/>
    <w:rsid w:val="00DA4A29"/>
    <w:rsid w:val="00DC0620"/>
    <w:rsid w:val="00DD37ED"/>
    <w:rsid w:val="00DF3AD2"/>
    <w:rsid w:val="00E00093"/>
    <w:rsid w:val="00E03E3B"/>
    <w:rsid w:val="00E04849"/>
    <w:rsid w:val="00E07798"/>
    <w:rsid w:val="00E247B4"/>
    <w:rsid w:val="00E44D4A"/>
    <w:rsid w:val="00E45BB8"/>
    <w:rsid w:val="00E50210"/>
    <w:rsid w:val="00E54134"/>
    <w:rsid w:val="00E71C33"/>
    <w:rsid w:val="00E772FF"/>
    <w:rsid w:val="00E96E56"/>
    <w:rsid w:val="00EB4D3E"/>
    <w:rsid w:val="00EB552D"/>
    <w:rsid w:val="00EE1841"/>
    <w:rsid w:val="00F32F2B"/>
    <w:rsid w:val="00F34E58"/>
    <w:rsid w:val="00F51250"/>
    <w:rsid w:val="00F515DC"/>
    <w:rsid w:val="00F57751"/>
    <w:rsid w:val="00F57E24"/>
    <w:rsid w:val="00F85BE5"/>
    <w:rsid w:val="00F95335"/>
    <w:rsid w:val="00FC4583"/>
    <w:rsid w:val="00FD19BB"/>
    <w:rsid w:val="00FF76C5"/>
    <w:rsid w:val="00FF7E2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FFC09"/>
  <w15:chartTrackingRefBased/>
  <w15:docId w15:val="{90C81677-B830-054E-B503-D042181D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5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583"/>
    <w:rPr>
      <w:color w:val="0563C1" w:themeColor="hyperlink"/>
      <w:u w:val="single"/>
    </w:rPr>
  </w:style>
  <w:style w:type="paragraph" w:styleId="Footer">
    <w:name w:val="footer"/>
    <w:basedOn w:val="Normal"/>
    <w:link w:val="FooterChar"/>
    <w:uiPriority w:val="99"/>
    <w:unhideWhenUsed/>
    <w:rsid w:val="00750D2E"/>
    <w:pPr>
      <w:tabs>
        <w:tab w:val="center" w:pos="4419"/>
        <w:tab w:val="right" w:pos="8838"/>
      </w:tabs>
    </w:pPr>
  </w:style>
  <w:style w:type="character" w:customStyle="1" w:styleId="FooterChar">
    <w:name w:val="Footer Char"/>
    <w:basedOn w:val="DefaultParagraphFont"/>
    <w:link w:val="Footer"/>
    <w:uiPriority w:val="99"/>
    <w:rsid w:val="00750D2E"/>
  </w:style>
  <w:style w:type="character" w:styleId="PageNumber">
    <w:name w:val="page number"/>
    <w:basedOn w:val="DefaultParagraphFont"/>
    <w:uiPriority w:val="99"/>
    <w:semiHidden/>
    <w:unhideWhenUsed/>
    <w:rsid w:val="00750D2E"/>
  </w:style>
  <w:style w:type="character" w:styleId="FollowedHyperlink">
    <w:name w:val="FollowedHyperlink"/>
    <w:basedOn w:val="DefaultParagraphFont"/>
    <w:uiPriority w:val="99"/>
    <w:semiHidden/>
    <w:unhideWhenUsed/>
    <w:rsid w:val="00D9533A"/>
    <w:rPr>
      <w:color w:val="954F72" w:themeColor="followedHyperlink"/>
      <w:u w:val="single"/>
    </w:rPr>
  </w:style>
  <w:style w:type="paragraph" w:styleId="FootnoteText">
    <w:name w:val="footnote text"/>
    <w:basedOn w:val="Normal"/>
    <w:link w:val="FootnoteTextChar"/>
    <w:uiPriority w:val="99"/>
    <w:semiHidden/>
    <w:unhideWhenUsed/>
    <w:rsid w:val="00D9533A"/>
    <w:rPr>
      <w:sz w:val="20"/>
      <w:szCs w:val="20"/>
    </w:rPr>
  </w:style>
  <w:style w:type="character" w:customStyle="1" w:styleId="FootnoteTextChar">
    <w:name w:val="Footnote Text Char"/>
    <w:basedOn w:val="DefaultParagraphFont"/>
    <w:link w:val="FootnoteText"/>
    <w:uiPriority w:val="99"/>
    <w:semiHidden/>
    <w:rsid w:val="00D9533A"/>
    <w:rPr>
      <w:sz w:val="20"/>
      <w:szCs w:val="20"/>
    </w:rPr>
  </w:style>
  <w:style w:type="character" w:styleId="FootnoteReference">
    <w:name w:val="footnote reference"/>
    <w:basedOn w:val="DefaultParagraphFont"/>
    <w:uiPriority w:val="99"/>
    <w:semiHidden/>
    <w:unhideWhenUsed/>
    <w:rsid w:val="00D9533A"/>
    <w:rPr>
      <w:vertAlign w:val="superscript"/>
    </w:rPr>
  </w:style>
  <w:style w:type="paragraph" w:styleId="Header">
    <w:name w:val="header"/>
    <w:basedOn w:val="Normal"/>
    <w:link w:val="HeaderChar"/>
    <w:uiPriority w:val="99"/>
    <w:unhideWhenUsed/>
    <w:rsid w:val="00F34E58"/>
    <w:pPr>
      <w:tabs>
        <w:tab w:val="center" w:pos="4513"/>
        <w:tab w:val="right" w:pos="9026"/>
      </w:tabs>
    </w:pPr>
  </w:style>
  <w:style w:type="character" w:customStyle="1" w:styleId="HeaderChar">
    <w:name w:val="Header Char"/>
    <w:basedOn w:val="DefaultParagraphFont"/>
    <w:link w:val="Header"/>
    <w:uiPriority w:val="99"/>
    <w:rsid w:val="00F34E58"/>
  </w:style>
  <w:style w:type="paragraph" w:styleId="ListParagraph">
    <w:name w:val="List Paragraph"/>
    <w:basedOn w:val="Normal"/>
    <w:uiPriority w:val="34"/>
    <w:qFormat/>
    <w:rsid w:val="00554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ccat.int/Documents/Commission/StaffRule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8</Pages>
  <Words>3702</Words>
  <Characters>21103</Characters>
  <Application>Microsoft Office Word</Application>
  <DocSecurity>0</DocSecurity>
  <Lines>175</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Fernandez Saez</dc:creator>
  <cp:keywords/>
  <dc:description/>
  <cp:lastModifiedBy>Christine Peyre</cp:lastModifiedBy>
  <cp:revision>156</cp:revision>
  <dcterms:created xsi:type="dcterms:W3CDTF">2025-09-03T18:53:00Z</dcterms:created>
  <dcterms:modified xsi:type="dcterms:W3CDTF">2025-11-15T11:56:00Z</dcterms:modified>
</cp:coreProperties>
</file>