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DDCE" w14:textId="1E3FAA9F" w:rsidR="009E567F" w:rsidRPr="004A0402" w:rsidRDefault="009E567F" w:rsidP="00134766">
      <w:pPr>
        <w:spacing w:after="0" w:line="240" w:lineRule="auto"/>
        <w:contextualSpacing/>
        <w:jc w:val="right"/>
        <w:rPr>
          <w:b/>
          <w:bCs/>
        </w:rPr>
      </w:pPr>
      <w:bookmarkStart w:id="0" w:name="_Hlk213150466"/>
      <w:r w:rsidRPr="004A0402">
        <w:rPr>
          <w:b/>
        </w:rPr>
        <w:t>Original : espagnol</w:t>
      </w:r>
      <w:r w:rsidR="005C577C">
        <w:rPr>
          <w:b/>
        </w:rPr>
        <w:t>/anglais</w:t>
      </w:r>
    </w:p>
    <w:p w14:paraId="6881E735" w14:textId="77777777" w:rsidR="009E567F" w:rsidRPr="004A0402" w:rsidRDefault="009E567F" w:rsidP="00134766">
      <w:pPr>
        <w:spacing w:after="0" w:line="240" w:lineRule="auto"/>
        <w:ind w:left="426" w:right="0" w:hanging="426"/>
        <w:rPr>
          <w:b/>
          <w:bCs/>
        </w:rPr>
      </w:pPr>
    </w:p>
    <w:p w14:paraId="1F0F9EDA" w14:textId="2CDE557A" w:rsidR="00BD275D" w:rsidRPr="004A0402" w:rsidRDefault="000A2248" w:rsidP="00134766">
      <w:pPr>
        <w:spacing w:after="0" w:line="240" w:lineRule="auto"/>
        <w:ind w:left="426" w:right="0" w:hanging="426"/>
        <w:jc w:val="center"/>
        <w:rPr>
          <w:b/>
          <w:bCs/>
        </w:rPr>
      </w:pPr>
      <w:r w:rsidRPr="004A0402">
        <w:rPr>
          <w:b/>
          <w:bCs/>
        </w:rPr>
        <w:t>Règles de procédure pour l’administration du fonds spécial de participation aux réunions</w:t>
      </w:r>
    </w:p>
    <w:p w14:paraId="03312FA7" w14:textId="77777777" w:rsidR="00BD275D" w:rsidRPr="004A0402" w:rsidRDefault="00BD275D" w:rsidP="00134766">
      <w:pPr>
        <w:spacing w:after="0" w:line="240" w:lineRule="auto"/>
        <w:ind w:left="426" w:right="0" w:hanging="426"/>
      </w:pPr>
    </w:p>
    <w:p w14:paraId="730FFD7C" w14:textId="6949F86F" w:rsidR="00BD275D" w:rsidRPr="005C577C" w:rsidRDefault="00D362DA" w:rsidP="00134766">
      <w:pPr>
        <w:spacing w:after="0" w:line="240" w:lineRule="auto"/>
        <w:ind w:left="426" w:right="0" w:hanging="426"/>
        <w:jc w:val="center"/>
        <w:rPr>
          <w:i/>
          <w:iCs/>
          <w:u w:val="single"/>
        </w:rPr>
      </w:pPr>
      <w:r w:rsidRPr="00A16A37">
        <w:rPr>
          <w:i/>
          <w:iCs/>
        </w:rPr>
        <w:t xml:space="preserve">(document présenté </w:t>
      </w:r>
      <w:r w:rsidR="00106F69" w:rsidRPr="00A16A37">
        <w:rPr>
          <w:i/>
          <w:iCs/>
        </w:rPr>
        <w:t xml:space="preserve">par </w:t>
      </w:r>
      <w:r w:rsidR="00F12A56" w:rsidRPr="00A16A37">
        <w:rPr>
          <w:i/>
          <w:iCs/>
        </w:rPr>
        <w:t>l</w:t>
      </w:r>
      <w:r w:rsidR="00A16A37" w:rsidRPr="00A16A37">
        <w:rPr>
          <w:i/>
          <w:iCs/>
        </w:rPr>
        <w:t>a Présidente du ST</w:t>
      </w:r>
      <w:r w:rsidR="005C577C">
        <w:rPr>
          <w:i/>
          <w:iCs/>
        </w:rPr>
        <w:t>A</w:t>
      </w:r>
      <w:r w:rsidR="00A16A37" w:rsidRPr="00A16A37">
        <w:rPr>
          <w:i/>
          <w:iCs/>
        </w:rPr>
        <w:t>CF</w:t>
      </w:r>
      <w:r w:rsidR="005C577C">
        <w:rPr>
          <w:i/>
          <w:iCs/>
        </w:rPr>
        <w:t>A</w:t>
      </w:r>
      <w:r w:rsidR="00A16A37" w:rsidRPr="00A16A37">
        <w:rPr>
          <w:i/>
          <w:iCs/>
        </w:rPr>
        <w:t xml:space="preserve">D </w:t>
      </w:r>
      <w:r w:rsidR="00A16A37" w:rsidRPr="005C577C">
        <w:rPr>
          <w:i/>
          <w:iCs/>
          <w:u w:val="single"/>
        </w:rPr>
        <w:t>et le Secrétariat de l’ICCAT)</w:t>
      </w:r>
    </w:p>
    <w:p w14:paraId="3AD78F8D" w14:textId="77777777" w:rsidR="00690599" w:rsidRPr="004A0402" w:rsidRDefault="00690599" w:rsidP="00134766">
      <w:pPr>
        <w:spacing w:after="0" w:line="240" w:lineRule="auto"/>
        <w:ind w:left="426" w:right="0" w:hanging="426"/>
        <w:rPr>
          <w:i/>
          <w:iCs/>
        </w:rPr>
      </w:pPr>
    </w:p>
    <w:p w14:paraId="3E5ECFB1"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4A0402">
        <w:rPr>
          <w:rFonts w:eastAsia="Times New Roman" w:cs="Arial"/>
          <w:b/>
          <w:color w:val="auto"/>
          <w:kern w:val="0"/>
          <w:szCs w:val="20"/>
          <w:lang w:eastAsia="es-ES"/>
          <w14:ligatures w14:val="none"/>
        </w:rPr>
        <w:t>Définitions</w:t>
      </w:r>
    </w:p>
    <w:p w14:paraId="56528B1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7B00B9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77B965D6"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84B59C"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6437E6A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4A0402">
        <w:rPr>
          <w:rFonts w:eastAsia="Times New Roman" w:cs="Arial"/>
          <w:b/>
          <w:color w:val="auto"/>
          <w:kern w:val="0"/>
          <w:szCs w:val="20"/>
          <w:lang w:eastAsia="es-ES"/>
          <w14:ligatures w14:val="none"/>
        </w:rPr>
        <w:t>Critères d'éligibilité</w:t>
      </w:r>
    </w:p>
    <w:p w14:paraId="4F99863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4FBEC020"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i/>
          <w:iCs/>
          <w:color w:val="auto"/>
          <w:kern w:val="0"/>
          <w:szCs w:val="20"/>
          <w:lang w:eastAsia="es-ES"/>
          <w14:ligatures w14:val="none"/>
        </w:rPr>
      </w:pPr>
      <w:r w:rsidRPr="004A0402">
        <w:rPr>
          <w:rFonts w:eastAsia="Times New Roman" w:cs="Arial"/>
          <w:b/>
          <w:i/>
          <w:color w:val="auto"/>
          <w:kern w:val="0"/>
          <w:szCs w:val="20"/>
          <w:lang w:eastAsia="es-ES"/>
          <w14:ligatures w14:val="none"/>
        </w:rPr>
        <w:t>Critères des demandeurs</w:t>
      </w:r>
    </w:p>
    <w:p w14:paraId="63DD64CA"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F707911" w14:textId="77777777" w:rsidR="00313B2F" w:rsidRPr="004A0402" w:rsidRDefault="00313B2F" w:rsidP="00134766">
      <w:pPr>
        <w:autoSpaceDE w:val="0"/>
        <w:autoSpaceDN w:val="0"/>
        <w:adjustRightInd w:val="0"/>
        <w:spacing w:after="0" w:line="240" w:lineRule="auto"/>
        <w:ind w:left="0" w:right="0" w:firstLine="0"/>
        <w:rPr>
          <w:color w:val="auto"/>
          <w:kern w:val="0"/>
          <w:szCs w:val="20"/>
          <w:lang w:eastAsia="es-ES"/>
          <w14:ligatures w14:val="none"/>
        </w:rPr>
      </w:pPr>
      <w:r w:rsidRPr="004A0402">
        <w:rPr>
          <w:rFonts w:eastAsia="Times New Roman" w:cs="Arial"/>
          <w:color w:val="auto"/>
          <w:kern w:val="0"/>
          <w:szCs w:val="20"/>
          <w:lang w:eastAsia="es-ES"/>
          <w14:ligatures w14:val="none"/>
        </w:rPr>
        <w:t xml:space="preserve">Pour pouvoir bénéficier d'une aide </w:t>
      </w:r>
      <w:bookmarkStart w:id="1" w:name="_Hlk62572316"/>
      <w:r w:rsidRPr="004A0402">
        <w:rPr>
          <w:rFonts w:eastAsia="Times New Roman" w:cs="Arial"/>
          <w:color w:val="auto"/>
          <w:kern w:val="0"/>
          <w:szCs w:val="20"/>
          <w:lang w:eastAsia="es-ES"/>
          <w14:ligatures w14:val="none"/>
        </w:rPr>
        <w:t xml:space="preserve">par le biais </w:t>
      </w:r>
      <w:bookmarkEnd w:id="1"/>
      <w:r w:rsidRPr="004A0402">
        <w:rPr>
          <w:rFonts w:eastAsia="Times New Roman" w:cs="Arial"/>
          <w:color w:val="auto"/>
          <w:kern w:val="0"/>
          <w:szCs w:val="20"/>
          <w:lang w:eastAsia="es-ES"/>
          <w14:ligatures w14:val="none"/>
        </w:rPr>
        <w:t>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58E1594A"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582B5D19" w14:textId="77777777" w:rsidR="00313B2F" w:rsidRPr="004A0402" w:rsidRDefault="00313B2F" w:rsidP="00134766">
      <w:pPr>
        <w:numPr>
          <w:ilvl w:val="1"/>
          <w:numId w:val="4"/>
        </w:numPr>
        <w:spacing w:after="0" w:line="240" w:lineRule="auto"/>
        <w:ind w:left="851" w:right="0" w:hanging="425"/>
        <w:jc w:val="left"/>
        <w:rPr>
          <w:rFonts w:eastAsia="Times New Roman" w:cs="Arial"/>
          <w:strike/>
          <w:color w:val="auto"/>
          <w:kern w:val="0"/>
          <w:szCs w:val="20"/>
          <w:lang w:eastAsia="es-ES"/>
          <w14:ligatures w14:val="none"/>
        </w:rPr>
      </w:pPr>
      <w:r w:rsidRPr="004A0402">
        <w:rPr>
          <w:rFonts w:eastAsia="Times New Roman" w:cs="Arial"/>
          <w:color w:val="auto"/>
          <w:kern w:val="0"/>
          <w:szCs w:val="20"/>
          <w:lang w:eastAsia="es-ES"/>
          <w14:ligatures w14:val="none"/>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129F7388" w14:textId="77777777" w:rsidR="00313B2F" w:rsidRPr="004A0402" w:rsidRDefault="00313B2F" w:rsidP="00134766">
      <w:pPr>
        <w:spacing w:after="0" w:line="240" w:lineRule="auto"/>
        <w:ind w:left="1080" w:right="0" w:firstLine="0"/>
        <w:rPr>
          <w:rFonts w:eastAsia="Times New Roman" w:cs="Arial"/>
          <w:color w:val="auto"/>
          <w:kern w:val="0"/>
          <w:szCs w:val="20"/>
          <w:lang w:eastAsia="es-ES"/>
          <w14:ligatures w14:val="none"/>
        </w:rPr>
      </w:pPr>
    </w:p>
    <w:p w14:paraId="0A1FEE05" w14:textId="77777777" w:rsidR="00313B2F" w:rsidRPr="004A0402" w:rsidRDefault="00313B2F" w:rsidP="00134766">
      <w:pPr>
        <w:numPr>
          <w:ilvl w:val="1"/>
          <w:numId w:val="4"/>
        </w:numPr>
        <w:spacing w:after="0" w:line="240" w:lineRule="auto"/>
        <w:ind w:left="851" w:right="0" w:hanging="425"/>
        <w:jc w:val="left"/>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Les demandeurs devront :</w:t>
      </w:r>
    </w:p>
    <w:p w14:paraId="05FADF7B" w14:textId="77777777" w:rsidR="00313B2F" w:rsidRPr="004A0402" w:rsidRDefault="00313B2F" w:rsidP="00134766">
      <w:pPr>
        <w:spacing w:after="0" w:line="240" w:lineRule="auto"/>
        <w:ind w:left="851" w:right="0" w:firstLine="0"/>
        <w:rPr>
          <w:rFonts w:eastAsia="Times New Roman" w:cs="Arial"/>
          <w:color w:val="auto"/>
          <w:kern w:val="0"/>
          <w:szCs w:val="20"/>
          <w:lang w:val="en-GB" w:eastAsia="es-ES"/>
          <w14:ligatures w14:val="none"/>
        </w:rPr>
      </w:pPr>
    </w:p>
    <w:p w14:paraId="045C24DD" w14:textId="77777777" w:rsidR="00313B2F" w:rsidRPr="004A0402" w:rsidRDefault="00313B2F" w:rsidP="00134766">
      <w:pPr>
        <w:numPr>
          <w:ilvl w:val="2"/>
          <w:numId w:val="4"/>
        </w:numPr>
        <w:spacing w:after="0" w:line="240" w:lineRule="auto"/>
        <w:ind w:left="1276" w:right="0" w:hanging="425"/>
        <w:jc w:val="left"/>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 xml:space="preserve">voyager en utilisant uniquement le tarif le plus bas de la classe économique, </w:t>
      </w:r>
      <w:bookmarkStart w:id="2" w:name="_Hlk62572244"/>
      <w:r w:rsidRPr="004A0402">
        <w:rPr>
          <w:rFonts w:eastAsia="Times New Roman" w:cs="Arial"/>
          <w:color w:val="auto"/>
          <w:kern w:val="0"/>
          <w:szCs w:val="20"/>
          <w:lang w:eastAsia="es-ES"/>
          <w14:ligatures w14:val="none"/>
        </w:rPr>
        <w:t xml:space="preserve">à moins qu'une autre classe tarifaire ne soit disponible à un coût inférieur; </w:t>
      </w:r>
      <w:bookmarkEnd w:id="2"/>
      <w:r w:rsidRPr="004A0402">
        <w:rPr>
          <w:rFonts w:eastAsia="Times New Roman" w:cs="Arial"/>
          <w:color w:val="auto"/>
          <w:kern w:val="0"/>
          <w:szCs w:val="20"/>
          <w:lang w:eastAsia="es-ES"/>
          <w14:ligatures w14:val="none"/>
        </w:rPr>
        <w:t>et</w:t>
      </w:r>
    </w:p>
    <w:p w14:paraId="5DFEE815" w14:textId="77777777" w:rsidR="00313B2F" w:rsidRPr="004A0402" w:rsidRDefault="00313B2F" w:rsidP="00134766">
      <w:pPr>
        <w:numPr>
          <w:ilvl w:val="2"/>
          <w:numId w:val="4"/>
        </w:numPr>
        <w:spacing w:after="0" w:line="240" w:lineRule="auto"/>
        <w:ind w:left="1276" w:right="0" w:hanging="425"/>
        <w:jc w:val="left"/>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 xml:space="preserve">définir leur itinéraire de vol au moins 30 jours avant le début de la réunion. </w:t>
      </w:r>
    </w:p>
    <w:p w14:paraId="171A5781"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89BBC96"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i/>
          <w:color w:val="auto"/>
          <w:kern w:val="0"/>
          <w:szCs w:val="20"/>
          <w:lang w:eastAsia="es-ES"/>
          <w14:ligatures w14:val="none"/>
        </w:rPr>
      </w:pPr>
      <w:r w:rsidRPr="004A0402">
        <w:rPr>
          <w:rFonts w:eastAsia="Times New Roman" w:cs="Arial"/>
          <w:b/>
          <w:bCs/>
          <w:i/>
          <w:color w:val="auto"/>
          <w:kern w:val="0"/>
          <w:szCs w:val="20"/>
          <w:lang w:eastAsia="es-ES"/>
          <w14:ligatures w14:val="none"/>
        </w:rPr>
        <w:t>Participation aux réunions scientifiques de l'ICCAT</w:t>
      </w:r>
    </w:p>
    <w:p w14:paraId="399EC6B2"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B396C5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Les </w:t>
      </w:r>
      <w:bookmarkStart w:id="3" w:name="_Hlk62572371"/>
      <w:r w:rsidRPr="004A0402">
        <w:rPr>
          <w:rFonts w:eastAsia="Times New Roman" w:cs="Arial"/>
          <w:color w:val="auto"/>
          <w:kern w:val="0"/>
          <w:szCs w:val="20"/>
          <w:lang w:eastAsia="es-ES"/>
          <w14:ligatures w14:val="none"/>
        </w:rPr>
        <w:t xml:space="preserve">demandeurs </w:t>
      </w:r>
      <w:bookmarkEnd w:id="3"/>
      <w:r w:rsidRPr="004A0402">
        <w:rPr>
          <w:rFonts w:eastAsia="Times New Roman" w:cs="Arial"/>
          <w:color w:val="auto"/>
          <w:kern w:val="0"/>
          <w:szCs w:val="20"/>
          <w:lang w:eastAsia="es-ES"/>
          <w14:ligatures w14:val="none"/>
        </w:rPr>
        <w:t xml:space="preserve">seront sélectionnés conformément au protocole établi par le </w:t>
      </w:r>
      <w:bookmarkStart w:id="4" w:name="_Hlk62572413"/>
      <w:r w:rsidRPr="004A0402">
        <w:rPr>
          <w:rFonts w:eastAsia="Times New Roman" w:cs="Arial"/>
          <w:color w:val="auto"/>
          <w:kern w:val="0"/>
          <w:szCs w:val="20"/>
          <w:lang w:eastAsia="es-ES"/>
          <w14:ligatures w14:val="none"/>
        </w:rPr>
        <w:t xml:space="preserve">Comité permanent pour la recherche et les statistiques (SCRS) </w:t>
      </w:r>
      <w:bookmarkEnd w:id="4"/>
      <w:r w:rsidRPr="004A0402">
        <w:rPr>
          <w:rFonts w:eastAsia="Times New Roman" w:cs="Arial"/>
          <w:color w:val="auto"/>
          <w:kern w:val="0"/>
          <w:szCs w:val="20"/>
          <w:lang w:eastAsia="es-ES"/>
          <w14:ligatures w14:val="none"/>
        </w:rPr>
        <w:t xml:space="preserve">(addendum 2 de l’appendice 7 du rapport du SCRS de 2011). </w:t>
      </w:r>
    </w:p>
    <w:p w14:paraId="04FDF8A3"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382D14"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6C262404" w14:textId="77777777" w:rsidR="00313B2F" w:rsidRPr="004A0402" w:rsidRDefault="00313B2F" w:rsidP="00134766">
      <w:pPr>
        <w:autoSpaceDE w:val="0"/>
        <w:autoSpaceDN w:val="0"/>
        <w:adjustRightInd w:val="0"/>
        <w:spacing w:after="0" w:line="240" w:lineRule="auto"/>
        <w:ind w:left="720" w:right="0" w:firstLine="0"/>
        <w:contextualSpacing/>
        <w:rPr>
          <w:rFonts w:eastAsia="Times New Roman" w:cs="Times New Roman"/>
          <w:color w:val="auto"/>
          <w:kern w:val="0"/>
          <w:szCs w:val="20"/>
          <w:lang w:eastAsia="es-ES"/>
          <w14:ligatures w14:val="none"/>
        </w:rPr>
      </w:pPr>
    </w:p>
    <w:p w14:paraId="0E409FCC"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i/>
          <w:color w:val="auto"/>
          <w:kern w:val="0"/>
          <w:szCs w:val="20"/>
          <w:lang w:eastAsia="es-ES"/>
          <w14:ligatures w14:val="none"/>
        </w:rPr>
      </w:pPr>
      <w:r w:rsidRPr="004A0402">
        <w:rPr>
          <w:rFonts w:eastAsia="Times New Roman" w:cs="Arial"/>
          <w:b/>
          <w:i/>
          <w:color w:val="auto"/>
          <w:kern w:val="0"/>
          <w:szCs w:val="20"/>
          <w:lang w:eastAsia="es-ES"/>
          <w14:ligatures w14:val="none"/>
        </w:rPr>
        <w:t>Participation aux réunions non scientifiques de l'ICCAT</w:t>
      </w:r>
    </w:p>
    <w:p w14:paraId="603F0FC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E4D27B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Toutes les demandes seront présentées aux fins de la participation à une seule réunion d’un participant par Partie contractante et soumises à l'approbation du Président de la Commission, du Président du STACFAD et du Secrétaire exécutif, en plus du Président de la réunion pour laquelle le financement est demandé dans le cas des organes subsidiaires. Néanmoins, deux membres de la délégation officielle (un gestionnaire et un scientifique) peuvent bénéficier d'une aide au financement des voyages pour assister aux réunions du Groupe de travail permanent dédié au dialogue entre halieutes et gestionnaires des pêcheries (SWGSM), sous réserve du même processus d'approbation.</w:t>
      </w:r>
    </w:p>
    <w:p w14:paraId="20FABE2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4E5DAA12"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Tout délégué officiel d'une Partie contractante en développement qui sollicite une aide au financement de voyages devra soumettre une demande remplie dans le délai fixé.</w:t>
      </w:r>
    </w:p>
    <w:p w14:paraId="2D72429E" w14:textId="1372630B" w:rsidR="00313B2F" w:rsidRPr="004A0402" w:rsidRDefault="00313B2F" w:rsidP="00134766">
      <w:pPr>
        <w:spacing w:after="0" w:line="240" w:lineRule="auto"/>
        <w:ind w:left="0" w:right="0" w:firstLine="0"/>
        <w:jc w:val="left"/>
        <w:rPr>
          <w:rFonts w:eastAsia="Times New Roman" w:cs="Times New Roman"/>
          <w:color w:val="auto"/>
          <w:kern w:val="0"/>
          <w:szCs w:val="20"/>
          <w:lang w:eastAsia="es-ES"/>
          <w14:ligatures w14:val="none"/>
        </w:rPr>
      </w:pPr>
      <w:r w:rsidRPr="004A0402">
        <w:rPr>
          <w:rFonts w:eastAsia="Times New Roman" w:cs="Times New Roman"/>
          <w:color w:val="auto"/>
          <w:kern w:val="0"/>
          <w:szCs w:val="20"/>
          <w:lang w:eastAsia="es-ES"/>
          <w14:ligatures w14:val="none"/>
        </w:rPr>
        <w:br w:type="page"/>
      </w:r>
    </w:p>
    <w:p w14:paraId="429890C8" w14:textId="1FF8DC2B"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bCs/>
          <w:iCs/>
          <w:color w:val="auto"/>
          <w:kern w:val="0"/>
          <w:szCs w:val="20"/>
          <w:lang w:eastAsia="es-ES"/>
          <w14:ligatures w14:val="none"/>
        </w:rPr>
      </w:pPr>
      <w:r w:rsidRPr="004A0402">
        <w:rPr>
          <w:rFonts w:eastAsia="Times New Roman" w:cs="Arial"/>
          <w:b/>
          <w:bCs/>
          <w:iCs/>
          <w:color w:val="auto"/>
          <w:kern w:val="0"/>
          <w:szCs w:val="20"/>
          <w:lang w:eastAsia="es-ES"/>
          <w14:ligatures w14:val="none"/>
        </w:rPr>
        <w:lastRenderedPageBreak/>
        <w:t>Procédures de demande</w:t>
      </w:r>
    </w:p>
    <w:p w14:paraId="71F71DF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046BB92"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 Secrétariat publiera, 60 jours avant le début de la réunion, le formulaire de voyage afférent à l'invitation.</w:t>
      </w:r>
    </w:p>
    <w:p w14:paraId="2496944D" w14:textId="77777777" w:rsidR="00313B2F" w:rsidRPr="004A0402" w:rsidRDefault="00313B2F" w:rsidP="00134766">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3FC413A8"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Les candidats au MPF devront envoyer le formulaire dûment rempli 45 jours à l'avance, accompagné des éléments suivants :</w:t>
      </w:r>
    </w:p>
    <w:p w14:paraId="6032EB05" w14:textId="77777777" w:rsidR="00313B2F" w:rsidRPr="004A0402" w:rsidRDefault="00313B2F" w:rsidP="00134766">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1C6F1A9A"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6D5C3C1E"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Toutes les coordonnées du candidat, y compris son numéro de téléphone portable personnel. </w:t>
      </w:r>
    </w:p>
    <w:p w14:paraId="067B3141"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copie de la page de la photographie/des coordonnées du passeport en vigueur de la personne.</w:t>
      </w:r>
    </w:p>
    <w:p w14:paraId="3F1D42E3"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Une copie des coordonnées bancaires nécessaires (y compris le nom de la banque, l'adresse de la banque, le nom exact du titulaire du compte, le numéro de compte, l'IBAN et le SWIFT). </w:t>
      </w:r>
    </w:p>
    <w:p w14:paraId="609BC1C0"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demande de note verbale, si nécessaire, pour les formalités de visa et le lieu où celles-ci seront réalisées.</w:t>
      </w:r>
    </w:p>
    <w:p w14:paraId="5264C0EF" w14:textId="77777777" w:rsidR="00313B2F" w:rsidRPr="004A0402" w:rsidRDefault="00313B2F" w:rsidP="00134766">
      <w:pPr>
        <w:autoSpaceDE w:val="0"/>
        <w:autoSpaceDN w:val="0"/>
        <w:adjustRightInd w:val="0"/>
        <w:spacing w:after="0" w:line="240" w:lineRule="auto"/>
        <w:ind w:left="851" w:right="0" w:firstLine="0"/>
        <w:contextualSpacing/>
        <w:rPr>
          <w:rFonts w:eastAsia="Times New Roman" w:cs="Times New Roman"/>
          <w:color w:val="auto"/>
          <w:kern w:val="0"/>
          <w:sz w:val="8"/>
          <w:szCs w:val="8"/>
          <w:lang w:eastAsia="es-ES"/>
          <w14:ligatures w14:val="none"/>
        </w:rPr>
      </w:pPr>
    </w:p>
    <w:p w14:paraId="7E4A7706"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 Secrétariat examinera les demandes afin de déterminer celles qui répondent aux critères d'éligibilité et donnera un délai supplémentaire de cinq jours aux demandeurs qui n'ont pas envoyé toutes les informations requises.</w:t>
      </w:r>
    </w:p>
    <w:p w14:paraId="09C51818" w14:textId="77777777" w:rsidR="00313B2F" w:rsidRPr="004A0402" w:rsidRDefault="00313B2F" w:rsidP="00134766">
      <w:pPr>
        <w:autoSpaceDE w:val="0"/>
        <w:autoSpaceDN w:val="0"/>
        <w:adjustRightInd w:val="0"/>
        <w:spacing w:after="0" w:line="240" w:lineRule="auto"/>
        <w:ind w:left="426" w:right="0" w:firstLine="0"/>
        <w:contextualSpacing/>
        <w:rPr>
          <w:rFonts w:eastAsia="Times New Roman" w:cs="Times New Roman"/>
          <w:color w:val="auto"/>
          <w:kern w:val="0"/>
          <w:szCs w:val="20"/>
          <w:lang w:eastAsia="es-ES"/>
          <w14:ligatures w14:val="none"/>
        </w:rPr>
      </w:pPr>
    </w:p>
    <w:p w14:paraId="693A0E62"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4A0402">
        <w:rPr>
          <w:rFonts w:eastAsia="Times New Roman" w:cs="Times New Roman"/>
          <w:color w:val="auto"/>
          <w:kern w:val="0"/>
          <w:szCs w:val="20"/>
          <w:lang w:eastAsia="es-ES"/>
          <w14:ligatures w14:val="none"/>
        </w:rPr>
        <w:t>Le Secrétariat enverra une invitation aux candidats sélectionnés avec un itinéraire de voyage basé sur les dates indiquées dans le formulaire (au moins 30 jours avant le début de la réunion)</w:t>
      </w:r>
      <w:r w:rsidRPr="004A0402">
        <w:rPr>
          <w:rFonts w:eastAsia="Times New Roman" w:cs="Arial"/>
          <w:color w:val="auto"/>
          <w:kern w:val="0"/>
          <w:szCs w:val="20"/>
          <w:lang w:eastAsia="es-ES"/>
          <w14:ligatures w14:val="none"/>
        </w:rPr>
        <w:t xml:space="preserve">. </w:t>
      </w:r>
    </w:p>
    <w:p w14:paraId="7346B23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A310342"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4556FC3A"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51723A6" w14:textId="77777777" w:rsidR="00313B2F" w:rsidRPr="004A0402" w:rsidRDefault="00313B2F" w:rsidP="00134766">
      <w:pPr>
        <w:numPr>
          <w:ilvl w:val="0"/>
          <w:numId w:val="3"/>
        </w:numPr>
        <w:autoSpaceDE w:val="0"/>
        <w:autoSpaceDN w:val="0"/>
        <w:adjustRightInd w:val="0"/>
        <w:spacing w:after="0" w:line="240" w:lineRule="auto"/>
        <w:ind w:left="426" w:right="0" w:hanging="426"/>
        <w:contextualSpacing/>
        <w:jc w:val="left"/>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En l'absence d'une réponse comportant tous les éléments requis antérieurement, le Secrétariat enverra une notification de rejet de la demande.</w:t>
      </w:r>
    </w:p>
    <w:p w14:paraId="53BF6455" w14:textId="77777777" w:rsidR="00313B2F" w:rsidRPr="004A0402" w:rsidRDefault="00313B2F" w:rsidP="00134766">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7078E03A" w14:textId="77777777" w:rsidR="00313B2F" w:rsidRPr="004A0402" w:rsidRDefault="00313B2F" w:rsidP="00134766">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683EF89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Arial"/>
          <w:b/>
          <w:iCs/>
          <w:color w:val="auto"/>
          <w:kern w:val="0"/>
          <w:szCs w:val="20"/>
          <w:lang w:eastAsia="es-ES"/>
          <w14:ligatures w14:val="none"/>
        </w:rPr>
      </w:pPr>
      <w:r w:rsidRPr="004A0402">
        <w:rPr>
          <w:rFonts w:eastAsia="Times New Roman" w:cs="Arial"/>
          <w:b/>
          <w:iCs/>
          <w:color w:val="auto"/>
          <w:kern w:val="0"/>
          <w:szCs w:val="20"/>
          <w:lang w:eastAsia="es-ES"/>
          <w14:ligatures w14:val="none"/>
        </w:rPr>
        <w:t>Approbation du financement</w:t>
      </w:r>
    </w:p>
    <w:p w14:paraId="52D4C6CC" w14:textId="77777777" w:rsidR="00313B2F" w:rsidRPr="004A0402" w:rsidRDefault="00313B2F" w:rsidP="00134766">
      <w:pPr>
        <w:autoSpaceDE w:val="0"/>
        <w:autoSpaceDN w:val="0"/>
        <w:adjustRightInd w:val="0"/>
        <w:spacing w:after="0" w:line="240" w:lineRule="auto"/>
        <w:ind w:left="0" w:right="0" w:firstLine="0"/>
        <w:rPr>
          <w:rFonts w:eastAsia="Times New Roman" w:cs="Arial"/>
          <w:b/>
          <w:i/>
          <w:color w:val="auto"/>
          <w:kern w:val="0"/>
          <w:szCs w:val="20"/>
          <w:lang w:eastAsia="es-ES"/>
          <w14:ligatures w14:val="none"/>
        </w:rPr>
      </w:pPr>
    </w:p>
    <w:p w14:paraId="47DB748C"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Les demandes seront approuvées en fonction de l’ordre de réception au Secrétariat. Seules les demandes complètes, dûment remplies et respectant toutes les exigences, seront prises en considération.</w:t>
      </w:r>
    </w:p>
    <w:p w14:paraId="4913030A"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79686AD9"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Le financement des voyages ne peut être garanti que si des fonds sont disponibles, indépendamment du fait qu'une demande complète ait été soumise dans les délais impartis ou préapprouvée.</w:t>
      </w:r>
    </w:p>
    <w:p w14:paraId="35D80D54"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3C842B27"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357856A1"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4A021B2"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E39A73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iCs/>
          <w:color w:val="auto"/>
          <w:kern w:val="0"/>
          <w:szCs w:val="20"/>
          <w:lang w:eastAsia="es-ES"/>
          <w14:ligatures w14:val="none"/>
        </w:rPr>
      </w:pPr>
      <w:r w:rsidRPr="004A0402">
        <w:rPr>
          <w:rFonts w:eastAsia="Times New Roman" w:cs="Arial"/>
          <w:b/>
          <w:iCs/>
          <w:color w:val="auto"/>
          <w:kern w:val="0"/>
          <w:szCs w:val="20"/>
          <w:lang w:eastAsia="es-ES"/>
          <w14:ligatures w14:val="none"/>
        </w:rPr>
        <w:t>Gestion du fonds</w:t>
      </w:r>
    </w:p>
    <w:p w14:paraId="34D1DFD9"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2855814"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0090E5B7"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p>
    <w:p w14:paraId="51C94711"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Conformément au point 8 de la Recommandation 20-09, les fonds devront être distribués de manière à assurer une répartition équilibrée entre les réunions scientifiques et non scientifiques.</w:t>
      </w:r>
    </w:p>
    <w:p w14:paraId="31B829C0"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5FFF4FE0" w14:textId="2CC31306" w:rsidR="00F01014" w:rsidRPr="004A0402" w:rsidRDefault="00313B2F" w:rsidP="00134766">
      <w:pPr>
        <w:autoSpaceDE w:val="0"/>
        <w:autoSpaceDN w:val="0"/>
        <w:adjustRightInd w:val="0"/>
        <w:spacing w:after="0" w:line="240" w:lineRule="auto"/>
        <w:ind w:left="0" w:right="0" w:firstLine="0"/>
        <w:rPr>
          <w:b/>
        </w:rPr>
      </w:pPr>
      <w:r w:rsidRPr="004A0402">
        <w:rPr>
          <w:rFonts w:eastAsia="Times New Roman" w:cs="Arial"/>
          <w:color w:val="auto"/>
          <w:kern w:val="0"/>
          <w:szCs w:val="20"/>
          <w:lang w:eastAsia="es-ES"/>
          <w14:ligatures w14:val="none"/>
        </w:rPr>
        <w:t>Les fonds seront répartis en deux semestres afin de permettre la participation de scientifiques et de délégués aux réunions qui se tiendront plus tard dans l'année.</w:t>
      </w:r>
      <w:r w:rsidR="00F01014" w:rsidRPr="004A0402">
        <w:rPr>
          <w:b/>
        </w:rPr>
        <w:br w:type="page"/>
      </w:r>
    </w:p>
    <w:p w14:paraId="5E32C238" w14:textId="2CB612E3" w:rsidR="00695148" w:rsidRPr="004A0402" w:rsidRDefault="00695148" w:rsidP="00134766">
      <w:pPr>
        <w:pStyle w:val="ListParagraph"/>
        <w:numPr>
          <w:ilvl w:val="0"/>
          <w:numId w:val="1"/>
        </w:numPr>
        <w:spacing w:after="0" w:line="240" w:lineRule="auto"/>
        <w:ind w:left="426" w:right="0" w:hanging="426"/>
        <w:rPr>
          <w:b/>
          <w:bCs/>
        </w:rPr>
      </w:pPr>
      <w:r w:rsidRPr="004A0402">
        <w:rPr>
          <w:b/>
        </w:rPr>
        <w:lastRenderedPageBreak/>
        <w:t>Procédure de gestion/remboursement des fonds</w:t>
      </w:r>
    </w:p>
    <w:p w14:paraId="5C51D88D" w14:textId="77777777" w:rsidR="00695148" w:rsidRPr="004A0402" w:rsidRDefault="00695148" w:rsidP="00134766">
      <w:pPr>
        <w:pStyle w:val="ListParagraph"/>
        <w:spacing w:after="0" w:line="240" w:lineRule="auto"/>
        <w:ind w:left="360" w:right="0" w:firstLine="0"/>
      </w:pPr>
    </w:p>
    <w:p w14:paraId="4AED7CE0" w14:textId="77777777" w:rsidR="00695148" w:rsidRPr="004A0402" w:rsidRDefault="00695148" w:rsidP="00134766">
      <w:pPr>
        <w:spacing w:after="0" w:line="240" w:lineRule="auto"/>
        <w:ind w:left="1" w:right="0" w:firstLine="0"/>
        <w:rPr>
          <w:szCs w:val="20"/>
        </w:rPr>
      </w:pPr>
      <w:r w:rsidRPr="004A0402">
        <w:t>Le Secrétariat proposera un itinéraire économique (suivant les procédures du point 3 ci-dessus) avec les dates de la réunion. Si, pour une raison quelconque, le participant souhaite le changer, il sera proposé que le demandeur se charge de l'achat du billet. Le Secrétariat procèdera au remboursement, après réception de la copie dudit billet et de la facture correspondante, jusqu'à concurrence de la valeur de l'itinéraire initial proposé par le Secrétariat. Si la valeur du billet est plus élevée, l’excédent sera déduit des indemnités journalières. Si la valeur du billet est inférieure, le montant du billet acheté sera remboursé.</w:t>
      </w:r>
    </w:p>
    <w:p w14:paraId="13DC8D8C" w14:textId="36ED1C87" w:rsidR="00695148" w:rsidRDefault="00695148" w:rsidP="00134766">
      <w:pPr>
        <w:spacing w:after="0" w:line="240" w:lineRule="auto"/>
        <w:ind w:left="1" w:right="0" w:firstLine="0"/>
        <w:jc w:val="left"/>
      </w:pPr>
    </w:p>
    <w:p w14:paraId="6CBBB1CE" w14:textId="1F466665" w:rsidR="00134766" w:rsidRPr="00B74539" w:rsidRDefault="00B74539" w:rsidP="00B74539">
      <w:pPr>
        <w:spacing w:after="0" w:line="240" w:lineRule="auto"/>
        <w:ind w:left="1" w:right="0" w:firstLine="0"/>
        <w:rPr>
          <w:u w:val="single"/>
        </w:rPr>
      </w:pPr>
      <w:r w:rsidRPr="005C577C">
        <w:rPr>
          <w:u w:val="single"/>
        </w:rPr>
        <w:t>Nonobstant les dispositions ci-dessus, si le refus d'accepter l'itinéraire est dû à l'absence de visa ou d'autorisation de transit par des pays tiers, le Secrétariat prendra les dispositions nécessaires pour établir un nouvel itinéraire aux frais du MPF.</w:t>
      </w:r>
    </w:p>
    <w:p w14:paraId="371DBC14" w14:textId="77777777" w:rsidR="00B74539" w:rsidRDefault="00B74539" w:rsidP="00134766">
      <w:pPr>
        <w:spacing w:after="0" w:line="240" w:lineRule="auto"/>
        <w:ind w:left="1" w:right="0" w:firstLine="0"/>
        <w:jc w:val="left"/>
      </w:pPr>
    </w:p>
    <w:bookmarkEnd w:id="0"/>
    <w:p w14:paraId="0F2EE41E" w14:textId="77777777" w:rsidR="00695148" w:rsidRPr="004A0402" w:rsidRDefault="00695148" w:rsidP="00134766">
      <w:pPr>
        <w:spacing w:after="0" w:line="240" w:lineRule="auto"/>
        <w:rPr>
          <w:color w:val="auto"/>
          <w:szCs w:val="20"/>
        </w:rPr>
      </w:pPr>
      <w:r w:rsidRPr="004A0402">
        <w:rPr>
          <w:color w:val="auto"/>
        </w:rPr>
        <w:t>Une fois le billet émis, le Secrétariat procédera à la préparation des indemnités journalières et enverra les virements au moins 14 jours avant le début de la réunion, à condition que le processus ait été mené à bien. Toutefois, si le voyage est annulé, le Secrétariat devra toujours en être informé le plus tôt possible, un justificatif de l’annulation devant lui être transmis. Après analyse des justificatifs par le Secrétariat, l’ICCAT pourrait ne pas demander le remboursement du billet s’il s'agit d’un cas de force majeure ; toutefois, dans tous les cas, les indemnités journalières devront être remboursées. Le remboursement des indemnités journalières et/ou du billet doit être effectué dans les 14 jours suivant l'annulation. Si le remboursement n'est pas reçu, une notification sera envoyée à la Partie contractante pour l'informer qu'aucun délégué de la Partie contractante ne sera financé tant que le remboursement n'aura pas été reçu.</w:t>
      </w:r>
    </w:p>
    <w:p w14:paraId="7D5D1042" w14:textId="77777777" w:rsidR="00695148" w:rsidRPr="004A0402" w:rsidRDefault="00695148" w:rsidP="00134766">
      <w:pPr>
        <w:spacing w:after="0" w:line="240" w:lineRule="auto"/>
        <w:ind w:left="0" w:firstLine="0"/>
      </w:pPr>
    </w:p>
    <w:sectPr w:rsidR="00695148" w:rsidRPr="004A0402" w:rsidSect="00695148">
      <w:headerReference w:type="default" r:id="rId7"/>
      <w:footerReference w:type="even" r:id="rId8"/>
      <w:footerReference w:type="default" r:id="rId9"/>
      <w:footerReference w:type="first" r:id="rId10"/>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3B7A" w14:textId="77777777" w:rsidR="00901814" w:rsidRDefault="00901814">
      <w:pPr>
        <w:spacing w:after="0" w:line="240" w:lineRule="auto"/>
      </w:pPr>
      <w:r>
        <w:separator/>
      </w:r>
    </w:p>
  </w:endnote>
  <w:endnote w:type="continuationSeparator" w:id="0">
    <w:p w14:paraId="24AFDA92" w14:textId="77777777" w:rsidR="00901814" w:rsidRDefault="009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41A"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69189"/>
      <w:docPartObj>
        <w:docPartGallery w:val="Page Numbers (Bottom of Page)"/>
        <w:docPartUnique/>
      </w:docPartObj>
    </w:sdtPr>
    <w:sdtEndPr/>
    <w:sdtContent>
      <w:sdt>
        <w:sdtPr>
          <w:id w:val="1728636285"/>
          <w:docPartObj>
            <w:docPartGallery w:val="Page Numbers (Top of Page)"/>
            <w:docPartUnique/>
          </w:docPartObj>
        </w:sdtPr>
        <w:sdtEndPr/>
        <w:sdtContent>
          <w:p w14:paraId="6D6E990A" w14:textId="07FC3556" w:rsidR="00695148" w:rsidRPr="00F01014" w:rsidRDefault="00F01014" w:rsidP="00F01014">
            <w:pPr>
              <w:pStyle w:val="Footer"/>
              <w:jc w:val="center"/>
            </w:pPr>
            <w:r w:rsidRPr="00F01014">
              <w:rPr>
                <w:sz w:val="24"/>
              </w:rPr>
              <w:fldChar w:fldCharType="begin"/>
            </w:r>
            <w:r w:rsidRPr="00F01014">
              <w:instrText xml:space="preserve"> PAGE </w:instrText>
            </w:r>
            <w:r w:rsidRPr="00F01014">
              <w:rPr>
                <w:sz w:val="24"/>
              </w:rPr>
              <w:fldChar w:fldCharType="separate"/>
            </w:r>
            <w:r w:rsidRPr="00F01014">
              <w:rPr>
                <w:noProof/>
              </w:rPr>
              <w:t>2</w:t>
            </w:r>
            <w:r w:rsidRPr="00F01014">
              <w:rPr>
                <w:sz w:val="24"/>
              </w:rPr>
              <w:fldChar w:fldCharType="end"/>
            </w:r>
            <w:r w:rsidRPr="00F01014">
              <w:t xml:space="preserve"> / </w:t>
            </w:r>
            <w:fldSimple w:instr=" NUMPAGES  ">
              <w:r w:rsidRPr="00F01014">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914"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A7D3" w14:textId="77777777" w:rsidR="00901814" w:rsidRDefault="00901814">
      <w:pPr>
        <w:spacing w:after="0" w:line="240" w:lineRule="auto"/>
      </w:pPr>
      <w:r>
        <w:separator/>
      </w:r>
    </w:p>
  </w:footnote>
  <w:footnote w:type="continuationSeparator" w:id="0">
    <w:p w14:paraId="3BB150C9" w14:textId="77777777" w:rsidR="00901814" w:rsidRDefault="0090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BEA4" w14:textId="5A806BC0" w:rsidR="009F3DC1" w:rsidRPr="00990ACA" w:rsidRDefault="009F3DC1" w:rsidP="009F3DC1">
    <w:pPr>
      <w:shd w:val="clear" w:color="auto" w:fill="FFFFFF"/>
      <w:jc w:val="right"/>
      <w:rPr>
        <w:rFonts w:cs="Segoe UI"/>
        <w:color w:val="242424"/>
        <w:sz w:val="21"/>
        <w:szCs w:val="21"/>
        <w:lang w:val="en-US"/>
      </w:rPr>
    </w:pPr>
    <w:bookmarkStart w:id="5" w:name="_Hlk93993145"/>
    <w:r>
      <w:rPr>
        <w:b/>
        <w:color w:val="242424"/>
        <w:lang w:val="en-US"/>
      </w:rPr>
      <w:t>STF_218</w:t>
    </w:r>
    <w:r w:rsidR="004A0402">
      <w:rPr>
        <w:b/>
        <w:color w:val="242424"/>
        <w:lang w:val="en-US"/>
      </w:rPr>
      <w:t>A</w:t>
    </w:r>
    <w:r>
      <w:rPr>
        <w:b/>
        <w:color w:val="242424"/>
        <w:lang w:val="en-US"/>
      </w:rPr>
      <w:t>/</w:t>
    </w:r>
    <w:r w:rsidRPr="00990ACA">
      <w:rPr>
        <w:b/>
        <w:color w:val="242424"/>
        <w:lang w:val="en-US"/>
      </w:rPr>
      <w:t>2025</w:t>
    </w:r>
  </w:p>
  <w:p w14:paraId="510B97FB" w14:textId="79929886" w:rsidR="009F3DC1" w:rsidRPr="00990ACA" w:rsidRDefault="009F3DC1" w:rsidP="009F3DC1">
    <w:pPr>
      <w:tabs>
        <w:tab w:val="center" w:pos="4252"/>
        <w:tab w:val="right" w:pos="8504"/>
      </w:tabs>
      <w:snapToGrid w:val="0"/>
      <w:jc w:val="right"/>
      <w:rPr>
        <w:rFonts w:eastAsia="MS Gothic"/>
        <w:sz w:val="24"/>
        <w:lang w:val="en-US"/>
      </w:rPr>
    </w:pPr>
    <w:r w:rsidRPr="00431D32">
      <w:rPr>
        <w:rFonts w:cs="Segoe UI"/>
        <w:b/>
        <w:color w:val="242424"/>
        <w:sz w:val="16"/>
        <w:szCs w:val="20"/>
      </w:rPr>
      <w:fldChar w:fldCharType="begin"/>
    </w:r>
    <w:r w:rsidRPr="00431D32">
      <w:rPr>
        <w:rFonts w:cs="Segoe UI"/>
        <w:b/>
        <w:color w:val="242424"/>
        <w:sz w:val="16"/>
      </w:rPr>
      <w:instrText xml:space="preserve"> TIME \@ "dd/MM/yyyy H:mm" </w:instrText>
    </w:r>
    <w:r w:rsidRPr="00431D32">
      <w:rPr>
        <w:rFonts w:cs="Segoe UI"/>
        <w:b/>
        <w:color w:val="242424"/>
        <w:sz w:val="16"/>
        <w:szCs w:val="20"/>
      </w:rPr>
      <w:fldChar w:fldCharType="separate"/>
    </w:r>
    <w:r w:rsidR="00A16A37">
      <w:rPr>
        <w:rFonts w:cs="Segoe UI"/>
        <w:b/>
        <w:noProof/>
        <w:color w:val="242424"/>
        <w:sz w:val="16"/>
      </w:rPr>
      <w:t>21/11/2025 20:15</w:t>
    </w:r>
    <w:r w:rsidRPr="00431D32">
      <w:rPr>
        <w:rFonts w:cs="Segoe UI"/>
        <w:b/>
        <w:bCs/>
        <w:color w:val="242424"/>
        <w:sz w:val="16"/>
        <w:szCs w:val="16"/>
        <w:lang w:val="es-ES_tradnl"/>
      </w:rPr>
      <w:fldChar w:fldCharType="end"/>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9770527">
    <w:abstractNumId w:val="2"/>
  </w:num>
  <w:num w:numId="2" w16cid:durableId="1317687232">
    <w:abstractNumId w:val="3"/>
  </w:num>
  <w:num w:numId="3" w16cid:durableId="1145508772">
    <w:abstractNumId w:val="1"/>
  </w:num>
  <w:num w:numId="4" w16cid:durableId="12121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48"/>
    <w:rsid w:val="000329D7"/>
    <w:rsid w:val="000A2248"/>
    <w:rsid w:val="000C4B86"/>
    <w:rsid w:val="00106F69"/>
    <w:rsid w:val="00134766"/>
    <w:rsid w:val="001546D5"/>
    <w:rsid w:val="00313B2F"/>
    <w:rsid w:val="00353DE0"/>
    <w:rsid w:val="00355880"/>
    <w:rsid w:val="003A6781"/>
    <w:rsid w:val="004A0402"/>
    <w:rsid w:val="00586560"/>
    <w:rsid w:val="005C577C"/>
    <w:rsid w:val="00690599"/>
    <w:rsid w:val="00695148"/>
    <w:rsid w:val="006B03B2"/>
    <w:rsid w:val="006B1F82"/>
    <w:rsid w:val="006F7AEB"/>
    <w:rsid w:val="007663A7"/>
    <w:rsid w:val="00901814"/>
    <w:rsid w:val="00983650"/>
    <w:rsid w:val="009E567F"/>
    <w:rsid w:val="009F3DC1"/>
    <w:rsid w:val="00A16A37"/>
    <w:rsid w:val="00A61250"/>
    <w:rsid w:val="00B74539"/>
    <w:rsid w:val="00BD275D"/>
    <w:rsid w:val="00C1165A"/>
    <w:rsid w:val="00C50B72"/>
    <w:rsid w:val="00CA72D7"/>
    <w:rsid w:val="00D362DA"/>
    <w:rsid w:val="00D4077F"/>
    <w:rsid w:val="00E04741"/>
    <w:rsid w:val="00E65381"/>
    <w:rsid w:val="00E85DCD"/>
    <w:rsid w:val="00F01014"/>
    <w:rsid w:val="00F1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400D"/>
  <w15:chartTrackingRefBased/>
  <w15:docId w15:val="{47D14B14-F9E7-44E8-AA94-E8DD27A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48"/>
    <w:pPr>
      <w:spacing w:after="5" w:line="249" w:lineRule="auto"/>
      <w:ind w:left="11" w:right="3" w:hanging="10"/>
      <w:jc w:val="both"/>
    </w:pPr>
    <w:rPr>
      <w:rFonts w:ascii="Cambria" w:eastAsia="Cambria" w:hAnsi="Cambria" w:cs="Cambria"/>
      <w:color w:val="000000"/>
      <w:sz w:val="20"/>
    </w:rPr>
  </w:style>
  <w:style w:type="paragraph" w:styleId="Heading1">
    <w:name w:val="heading 1"/>
    <w:basedOn w:val="Normal"/>
    <w:next w:val="Normal"/>
    <w:link w:val="Heading1Char"/>
    <w:uiPriority w:val="9"/>
    <w:qFormat/>
    <w:rsid w:val="00695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148"/>
    <w:rPr>
      <w:rFonts w:eastAsiaTheme="majorEastAsia" w:cstheme="majorBidi"/>
      <w:color w:val="272727" w:themeColor="text1" w:themeTint="D8"/>
    </w:rPr>
  </w:style>
  <w:style w:type="paragraph" w:styleId="Title">
    <w:name w:val="Title"/>
    <w:basedOn w:val="Normal"/>
    <w:next w:val="Normal"/>
    <w:link w:val="TitleChar"/>
    <w:uiPriority w:val="10"/>
    <w:qFormat/>
    <w:rsid w:val="0069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148"/>
    <w:pPr>
      <w:numPr>
        <w:ilvl w:val="1"/>
      </w:numPr>
      <w:ind w:left="1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148"/>
    <w:pPr>
      <w:spacing w:before="160"/>
      <w:jc w:val="center"/>
    </w:pPr>
    <w:rPr>
      <w:i/>
      <w:iCs/>
      <w:color w:val="404040" w:themeColor="text1" w:themeTint="BF"/>
    </w:rPr>
  </w:style>
  <w:style w:type="character" w:customStyle="1" w:styleId="QuoteChar">
    <w:name w:val="Quote Char"/>
    <w:basedOn w:val="DefaultParagraphFont"/>
    <w:link w:val="Quote"/>
    <w:uiPriority w:val="29"/>
    <w:rsid w:val="00695148"/>
    <w:rPr>
      <w:i/>
      <w:iCs/>
      <w:color w:val="404040" w:themeColor="text1" w:themeTint="BF"/>
    </w:rPr>
  </w:style>
  <w:style w:type="paragraph" w:styleId="ListParagraph">
    <w:name w:val="List Paragraph"/>
    <w:basedOn w:val="Normal"/>
    <w:uiPriority w:val="34"/>
    <w:qFormat/>
    <w:rsid w:val="00695148"/>
    <w:pPr>
      <w:ind w:left="720"/>
      <w:contextualSpacing/>
    </w:pPr>
  </w:style>
  <w:style w:type="character" w:styleId="IntenseEmphasis">
    <w:name w:val="Intense Emphasis"/>
    <w:basedOn w:val="DefaultParagraphFont"/>
    <w:uiPriority w:val="21"/>
    <w:qFormat/>
    <w:rsid w:val="00695148"/>
    <w:rPr>
      <w:i/>
      <w:iCs/>
      <w:color w:val="0F4761" w:themeColor="accent1" w:themeShade="BF"/>
    </w:rPr>
  </w:style>
  <w:style w:type="paragraph" w:styleId="IntenseQuote">
    <w:name w:val="Intense Quote"/>
    <w:basedOn w:val="Normal"/>
    <w:next w:val="Normal"/>
    <w:link w:val="IntenseQuoteChar"/>
    <w:uiPriority w:val="30"/>
    <w:qFormat/>
    <w:rsid w:val="00695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148"/>
    <w:rPr>
      <w:i/>
      <w:iCs/>
      <w:color w:val="0F4761" w:themeColor="accent1" w:themeShade="BF"/>
    </w:rPr>
  </w:style>
  <w:style w:type="character" w:styleId="IntenseReference">
    <w:name w:val="Intense Reference"/>
    <w:basedOn w:val="DefaultParagraphFont"/>
    <w:uiPriority w:val="32"/>
    <w:qFormat/>
    <w:rsid w:val="00695148"/>
    <w:rPr>
      <w:b/>
      <w:bCs/>
      <w:smallCaps/>
      <w:color w:val="0F4761" w:themeColor="accent1" w:themeShade="BF"/>
      <w:spacing w:val="5"/>
    </w:rPr>
  </w:style>
  <w:style w:type="paragraph" w:styleId="Header">
    <w:name w:val="header"/>
    <w:basedOn w:val="Normal"/>
    <w:link w:val="HeaderChar"/>
    <w:uiPriority w:val="99"/>
    <w:unhideWhenUsed/>
    <w:rsid w:val="009F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1"/>
    <w:rPr>
      <w:rFonts w:ascii="Cambria" w:eastAsia="Cambria" w:hAnsi="Cambria" w:cs="Cambria"/>
      <w:color w:val="000000"/>
      <w:sz w:val="20"/>
    </w:rPr>
  </w:style>
  <w:style w:type="paragraph" w:styleId="Footer">
    <w:name w:val="footer"/>
    <w:basedOn w:val="Normal"/>
    <w:link w:val="FooterChar"/>
    <w:uiPriority w:val="99"/>
    <w:unhideWhenUsed/>
    <w:rsid w:val="00F0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14"/>
    <w:rPr>
      <w:rFonts w:ascii="Cambria" w:eastAsia="Cambria" w:hAnsi="Cambria" w:cs="Cambria"/>
      <w:color w:val="000000"/>
      <w:sz w:val="20"/>
    </w:rPr>
  </w:style>
  <w:style w:type="paragraph" w:styleId="NormalWeb">
    <w:name w:val="Normal (Web)"/>
    <w:basedOn w:val="Normal"/>
    <w:uiPriority w:val="99"/>
    <w:semiHidden/>
    <w:unhideWhenUsed/>
    <w:rsid w:val="00106F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Dorothee Pinet</cp:lastModifiedBy>
  <cp:revision>3</cp:revision>
  <dcterms:created xsi:type="dcterms:W3CDTF">2025-11-21T19:16:00Z</dcterms:created>
  <dcterms:modified xsi:type="dcterms:W3CDTF">2025-11-21T19:22:00Z</dcterms:modified>
</cp:coreProperties>
</file>