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098E" w14:textId="31A19650" w:rsidR="002D1811" w:rsidRDefault="002D1811" w:rsidP="00396605">
      <w:pPr>
        <w:jc w:val="right"/>
        <w:rPr>
          <w:rFonts w:ascii="Cambria" w:hAnsi="Cambria" w:cs="Calibri"/>
          <w:b/>
          <w:bCs/>
          <w:sz w:val="20"/>
          <w:szCs w:val="20"/>
        </w:rPr>
      </w:pPr>
      <w:r>
        <w:rPr>
          <w:rFonts w:ascii="Cambria" w:hAnsi="Cambria"/>
          <w:b/>
          <w:sz w:val="20"/>
        </w:rPr>
        <w:t>Original: inglés</w:t>
      </w:r>
    </w:p>
    <w:p w14:paraId="2B601A57" w14:textId="77777777" w:rsidR="00396605" w:rsidRDefault="00396605" w:rsidP="0069632C">
      <w:pPr>
        <w:jc w:val="center"/>
        <w:rPr>
          <w:rFonts w:ascii="Cambria" w:hAnsi="Cambria" w:cs="Calibri"/>
          <w:b/>
          <w:bCs/>
          <w:sz w:val="20"/>
          <w:szCs w:val="20"/>
        </w:rPr>
      </w:pPr>
    </w:p>
    <w:p w14:paraId="0A96D85B" w14:textId="478330E8" w:rsidR="009B3442" w:rsidRDefault="00B96C17" w:rsidP="0069632C">
      <w:pPr>
        <w:jc w:val="center"/>
        <w:rPr>
          <w:rFonts w:ascii="Cambria" w:hAnsi="Cambria" w:cs="Calibri"/>
          <w:b/>
          <w:bCs/>
          <w:sz w:val="20"/>
          <w:szCs w:val="20"/>
        </w:rPr>
      </w:pPr>
      <w:r>
        <w:rPr>
          <w:rFonts w:ascii="Cambria" w:hAnsi="Cambria"/>
          <w:b/>
          <w:sz w:val="20"/>
        </w:rPr>
        <w:t>Propuesta para la gestión del Fondo de operaciones</w:t>
      </w:r>
    </w:p>
    <w:p w14:paraId="7977875B" w14:textId="77777777" w:rsidR="00B50DC2" w:rsidRPr="0069632C" w:rsidRDefault="00B50DC2" w:rsidP="0069632C">
      <w:pPr>
        <w:jc w:val="center"/>
        <w:rPr>
          <w:rFonts w:ascii="Cambria" w:hAnsi="Cambria" w:cs="Calibri"/>
          <w:b/>
          <w:bCs/>
          <w:sz w:val="20"/>
          <w:szCs w:val="20"/>
        </w:rPr>
      </w:pPr>
    </w:p>
    <w:p w14:paraId="5DB72573" w14:textId="1215F80C" w:rsidR="00B96C17" w:rsidRDefault="00B96C17" w:rsidP="0069632C">
      <w:pPr>
        <w:jc w:val="center"/>
        <w:rPr>
          <w:rFonts w:ascii="Cambria" w:hAnsi="Cambria" w:cs="Calibri"/>
          <w:i/>
          <w:iCs/>
          <w:sz w:val="20"/>
          <w:szCs w:val="20"/>
        </w:rPr>
      </w:pPr>
      <w:r>
        <w:rPr>
          <w:rFonts w:ascii="Cambria" w:hAnsi="Cambria"/>
          <w:i/>
          <w:sz w:val="20"/>
        </w:rPr>
        <w:t>Presidenta del STACFAD</w:t>
      </w:r>
    </w:p>
    <w:p w14:paraId="6EE14B39" w14:textId="77777777" w:rsidR="00B50DC2" w:rsidRPr="0069632C" w:rsidRDefault="00B50DC2" w:rsidP="0069632C">
      <w:pPr>
        <w:jc w:val="center"/>
        <w:rPr>
          <w:rFonts w:ascii="Cambria" w:hAnsi="Cambria" w:cs="Calibri"/>
          <w:i/>
          <w:iCs/>
          <w:sz w:val="20"/>
          <w:szCs w:val="20"/>
        </w:rPr>
      </w:pPr>
    </w:p>
    <w:p w14:paraId="083CCE82" w14:textId="77777777" w:rsidR="00A3472F" w:rsidRPr="0069632C" w:rsidRDefault="00A3472F" w:rsidP="0069632C">
      <w:pPr>
        <w:jc w:val="both"/>
        <w:rPr>
          <w:rFonts w:ascii="Cambria" w:hAnsi="Cambria" w:cs="Calibri"/>
          <w:b/>
          <w:bCs/>
          <w:sz w:val="20"/>
          <w:szCs w:val="20"/>
        </w:rPr>
      </w:pPr>
    </w:p>
    <w:p w14:paraId="2819BC72" w14:textId="39A503FD" w:rsidR="008B4943" w:rsidRDefault="008B4943" w:rsidP="0069632C">
      <w:pPr>
        <w:jc w:val="both"/>
        <w:rPr>
          <w:rFonts w:ascii="Cambria" w:hAnsi="Cambria" w:cs="Calibri"/>
          <w:b/>
          <w:bCs/>
          <w:sz w:val="20"/>
          <w:szCs w:val="20"/>
        </w:rPr>
      </w:pPr>
      <w:r>
        <w:rPr>
          <w:rFonts w:ascii="Cambria" w:hAnsi="Cambria"/>
          <w:b/>
          <w:sz w:val="20"/>
        </w:rPr>
        <w:t xml:space="preserve">Antecedentes y contexto del Fondo de operaciones </w:t>
      </w:r>
    </w:p>
    <w:p w14:paraId="65CA3BD8" w14:textId="77777777" w:rsidR="00262807" w:rsidRPr="0069632C" w:rsidRDefault="00262807" w:rsidP="0069632C">
      <w:pPr>
        <w:jc w:val="both"/>
        <w:rPr>
          <w:rFonts w:ascii="Cambria" w:hAnsi="Cambria" w:cs="Calibri"/>
          <w:b/>
          <w:bCs/>
          <w:sz w:val="20"/>
          <w:szCs w:val="20"/>
        </w:rPr>
      </w:pPr>
    </w:p>
    <w:p w14:paraId="42E0B34E" w14:textId="3CD76081" w:rsidR="00CE523A" w:rsidRPr="0069632C" w:rsidRDefault="00E516E3" w:rsidP="0069632C">
      <w:pPr>
        <w:jc w:val="both"/>
        <w:rPr>
          <w:rFonts w:ascii="Cambria" w:hAnsi="Cambria" w:cs="Calibri"/>
          <w:sz w:val="20"/>
          <w:szCs w:val="20"/>
        </w:rPr>
      </w:pPr>
      <w:r>
        <w:rPr>
          <w:rFonts w:ascii="Cambria" w:hAnsi="Cambria"/>
          <w:sz w:val="20"/>
        </w:rPr>
        <w:t xml:space="preserve">ICCAT estableció el Fondo de operaciones (WCF) para facilitar las operaciones de la Comisión durante los primeros meses del año hasta que se recibieran las contribuciones anuales de las Partes contratantes, así como para financiar «cualesquiera otros fines que la Comisión determine».  El Reglamento financiero establece que la Comisión determina el nivel adecuado de este fondo y que se puede pedir a las Partes contratantes una cantidad adicional, además de sus contribuciones presupuestarias ordinarias, que se destinará al WCD.  En 1971, el órgano predecesor del STACFAD recomendó que el WCF se mantuviera en aproximadamente el 15 % del presupuesto ordinario aprobado de la Comisión.  Este nivel reflejaba principalmente los fondos necesarios para garantizar el funcionamiento de la Comisión hasta que se recibieran las nuevas contribuciones presupuestarias cada año.  </w:t>
      </w:r>
    </w:p>
    <w:p w14:paraId="09A02D73" w14:textId="77777777" w:rsidR="00CE523A" w:rsidRPr="0069632C" w:rsidRDefault="00CE523A" w:rsidP="0069632C">
      <w:pPr>
        <w:jc w:val="both"/>
        <w:rPr>
          <w:rFonts w:ascii="Cambria" w:hAnsi="Cambria" w:cs="Calibri"/>
          <w:sz w:val="20"/>
          <w:szCs w:val="20"/>
        </w:rPr>
      </w:pPr>
    </w:p>
    <w:p w14:paraId="62D9DC0E" w14:textId="7D5D34E2" w:rsidR="00053C11" w:rsidRDefault="00E516E3" w:rsidP="0069632C">
      <w:pPr>
        <w:jc w:val="both"/>
        <w:rPr>
          <w:rFonts w:ascii="Cambria" w:hAnsi="Cambria" w:cs="Calibri"/>
          <w:sz w:val="20"/>
          <w:szCs w:val="20"/>
        </w:rPr>
      </w:pPr>
      <w:r>
        <w:rPr>
          <w:rFonts w:ascii="Cambria" w:hAnsi="Cambria"/>
          <w:sz w:val="20"/>
        </w:rPr>
        <w:t xml:space="preserve">El uso y mantenimiento del WCF han evolucionado significativamente desde aquellos primeros años.  Las Partes contratantes no han evaluado las contribuciones específicas al WCF en muchas décadas.  En cambio, la financiación del WCF proviene de tres fuentes principales: </w:t>
      </w:r>
    </w:p>
    <w:p w14:paraId="73DBFD70" w14:textId="77777777" w:rsidR="00262807" w:rsidRPr="0069632C" w:rsidRDefault="00262807" w:rsidP="0069632C">
      <w:pPr>
        <w:jc w:val="both"/>
        <w:rPr>
          <w:rFonts w:ascii="Cambria" w:hAnsi="Cambria" w:cs="Calibri"/>
          <w:sz w:val="20"/>
          <w:szCs w:val="20"/>
        </w:rPr>
      </w:pPr>
    </w:p>
    <w:p w14:paraId="762B4469" w14:textId="77777777" w:rsidR="00415497" w:rsidRPr="0069632C" w:rsidRDefault="00415497" w:rsidP="0069632C">
      <w:pPr>
        <w:pStyle w:val="ListParagraph"/>
        <w:numPr>
          <w:ilvl w:val="0"/>
          <w:numId w:val="4"/>
        </w:numPr>
        <w:jc w:val="both"/>
        <w:rPr>
          <w:rFonts w:ascii="Cambria" w:hAnsi="Cambria" w:cs="Calibri"/>
          <w:sz w:val="20"/>
          <w:szCs w:val="20"/>
        </w:rPr>
      </w:pPr>
      <w:r>
        <w:rPr>
          <w:rFonts w:ascii="Cambria" w:hAnsi="Cambria"/>
          <w:sz w:val="20"/>
        </w:rPr>
        <w:t>Contribuciones de las Partes contratantes pagadas a presupuestos anteriores;</w:t>
      </w:r>
    </w:p>
    <w:p w14:paraId="74EC78C6" w14:textId="5ADA66A2" w:rsidR="00415497" w:rsidRPr="0069632C" w:rsidRDefault="008C046D" w:rsidP="0069632C">
      <w:pPr>
        <w:pStyle w:val="ListParagraph"/>
        <w:numPr>
          <w:ilvl w:val="0"/>
          <w:numId w:val="4"/>
        </w:numPr>
        <w:jc w:val="both"/>
        <w:rPr>
          <w:rFonts w:ascii="Cambria" w:hAnsi="Cambria" w:cs="Calibri"/>
          <w:sz w:val="20"/>
          <w:szCs w:val="20"/>
        </w:rPr>
      </w:pPr>
      <w:r>
        <w:rPr>
          <w:rFonts w:ascii="Cambria" w:hAnsi="Cambria"/>
          <w:sz w:val="20"/>
        </w:rPr>
        <w:t xml:space="preserve">Contribuciones de las nuevas Partes contratantes al ejercicio financiero en curso; y </w:t>
      </w:r>
    </w:p>
    <w:p w14:paraId="2EE2397E" w14:textId="15C54082" w:rsidR="00415497" w:rsidRPr="0069632C" w:rsidRDefault="002E76F4" w:rsidP="0069632C">
      <w:pPr>
        <w:pStyle w:val="ListParagraph"/>
        <w:numPr>
          <w:ilvl w:val="0"/>
          <w:numId w:val="4"/>
        </w:numPr>
        <w:jc w:val="both"/>
        <w:rPr>
          <w:rFonts w:ascii="Cambria" w:hAnsi="Cambria" w:cs="Calibri"/>
          <w:sz w:val="20"/>
          <w:szCs w:val="20"/>
        </w:rPr>
      </w:pPr>
      <w:r>
        <w:rPr>
          <w:rFonts w:ascii="Cambria" w:hAnsi="Cambria"/>
          <w:sz w:val="20"/>
        </w:rPr>
        <w:t>Cualquier partida no comprometida al cierre del ejercicio financiero anterior.</w:t>
      </w:r>
    </w:p>
    <w:p w14:paraId="4F39AF6C" w14:textId="77777777" w:rsidR="00B03131" w:rsidRPr="0069632C" w:rsidRDefault="00B03131" w:rsidP="0069632C">
      <w:pPr>
        <w:jc w:val="both"/>
        <w:rPr>
          <w:rFonts w:ascii="Cambria" w:hAnsi="Cambria" w:cs="Calibri"/>
          <w:sz w:val="20"/>
          <w:szCs w:val="20"/>
        </w:rPr>
      </w:pPr>
    </w:p>
    <w:p w14:paraId="23A1227B" w14:textId="4FC6545A" w:rsidR="00B03131" w:rsidRPr="0069632C" w:rsidRDefault="00B03131" w:rsidP="0069632C">
      <w:pPr>
        <w:jc w:val="both"/>
        <w:rPr>
          <w:rFonts w:ascii="Cambria" w:hAnsi="Cambria" w:cs="Calibri"/>
          <w:sz w:val="20"/>
          <w:szCs w:val="20"/>
        </w:rPr>
      </w:pPr>
      <w:r>
        <w:rPr>
          <w:rFonts w:ascii="Cambria" w:hAnsi="Cambria"/>
          <w:sz w:val="20"/>
        </w:rPr>
        <w:t xml:space="preserve">Del mismo modo, el WCF se utiliza ahora también para financiar una amplia gama de funciones de la Comisión que no se sufragan con cargo al presupuesto ordinario, entre ellas la investigación científica, los gastos de las reuniones intersesiones y anuales, y la interpretación al árabe en la reunión anual.  </w:t>
      </w:r>
    </w:p>
    <w:p w14:paraId="0FA701FF" w14:textId="77777777" w:rsidR="00AE3D89" w:rsidRPr="0069632C" w:rsidRDefault="00AE3D89" w:rsidP="0069632C">
      <w:pPr>
        <w:jc w:val="both"/>
        <w:rPr>
          <w:rFonts w:ascii="Cambria" w:hAnsi="Cambria" w:cs="Calibri"/>
          <w:sz w:val="20"/>
          <w:szCs w:val="20"/>
        </w:rPr>
      </w:pPr>
    </w:p>
    <w:p w14:paraId="16E5CDD6" w14:textId="403C54F7" w:rsidR="00750F73" w:rsidRPr="0069632C" w:rsidRDefault="00AE3D89" w:rsidP="0069632C">
      <w:pPr>
        <w:jc w:val="both"/>
        <w:rPr>
          <w:rFonts w:ascii="Cambria" w:hAnsi="Cambria" w:cs="Calibri"/>
          <w:sz w:val="20"/>
          <w:szCs w:val="20"/>
        </w:rPr>
      </w:pPr>
      <w:r>
        <w:rPr>
          <w:rFonts w:ascii="Cambria" w:hAnsi="Cambria"/>
          <w:sz w:val="20"/>
        </w:rPr>
        <w:t>Hace unos 20 años, una combinación de circunstancias inusuales llevó a la WCF a crecer significativamente, hasta superar el presupuesto anual total de la Comisión.  La Comisión aprovechó la oportunidad para utilizar este importante saldo para financiar muchas de sus funciones básicas.  En 2016, esto redujo el saldo del WCF a una fracción del presupuesto ordinario, y se mantuvo en un nivel bajo durante muchos años.  La Comisión reconoció la importancia de regularizar la financiación de las funciones básicas dentro del presupuesto ordinario, en lugar de depender del saldo incierto del Fondo de operaciones.  En los últimos años, el WCF se ha estabilizado en cerca del 50 % del presupuesto ordinario al final de cada año.</w:t>
      </w:r>
    </w:p>
    <w:p w14:paraId="36EA6A2B" w14:textId="77777777" w:rsidR="00750F73" w:rsidRPr="0069632C" w:rsidRDefault="00750F73" w:rsidP="0069632C">
      <w:pPr>
        <w:jc w:val="both"/>
        <w:rPr>
          <w:rFonts w:ascii="Cambria" w:hAnsi="Cambria" w:cs="Calibri"/>
          <w:sz w:val="20"/>
          <w:szCs w:val="20"/>
        </w:rPr>
      </w:pPr>
    </w:p>
    <w:p w14:paraId="2FBC7C55" w14:textId="2EA50C90" w:rsidR="008B4943" w:rsidRDefault="008B4943" w:rsidP="0069632C">
      <w:pPr>
        <w:jc w:val="both"/>
        <w:rPr>
          <w:rFonts w:ascii="Cambria" w:hAnsi="Cambria" w:cs="Calibri"/>
          <w:b/>
          <w:bCs/>
          <w:sz w:val="20"/>
          <w:szCs w:val="20"/>
        </w:rPr>
      </w:pPr>
      <w:r>
        <w:rPr>
          <w:rFonts w:ascii="Cambria" w:hAnsi="Cambria"/>
          <w:b/>
          <w:sz w:val="20"/>
        </w:rPr>
        <w:t>Propuesta para la gestión del Fondo de operaciones</w:t>
      </w:r>
    </w:p>
    <w:p w14:paraId="5337AFEF" w14:textId="77777777" w:rsidR="00262807" w:rsidRPr="0069632C" w:rsidRDefault="00262807" w:rsidP="0069632C">
      <w:pPr>
        <w:jc w:val="both"/>
        <w:rPr>
          <w:rFonts w:ascii="Cambria" w:hAnsi="Cambria" w:cs="Calibri"/>
          <w:b/>
          <w:bCs/>
          <w:sz w:val="20"/>
          <w:szCs w:val="20"/>
        </w:rPr>
      </w:pPr>
    </w:p>
    <w:p w14:paraId="3AB22587" w14:textId="7E366E00" w:rsidR="00810B4B" w:rsidRPr="0069632C" w:rsidRDefault="004B6637" w:rsidP="0069632C">
      <w:pPr>
        <w:jc w:val="both"/>
        <w:rPr>
          <w:rFonts w:ascii="Cambria" w:hAnsi="Cambria" w:cs="Calibri"/>
          <w:sz w:val="20"/>
          <w:szCs w:val="20"/>
        </w:rPr>
      </w:pPr>
      <w:r>
        <w:rPr>
          <w:rFonts w:ascii="Cambria" w:hAnsi="Cambria"/>
          <w:sz w:val="20"/>
        </w:rPr>
        <w:t>Esta experiencia de auge y caída pone de relieve la necesidad de establecer directrices más claras para el uso y mantenimiento del WCF.  La recomendación original de 1971 de mantener el WCF en aproximadamente el 15 % del presupuesto anual no se ajusta a los usos tradicionales de este fondo por parte de la Comisión.  Al mismo tiempo, permitir que los saldos elevados permanezcan sin ser utilizados en el WCF también es inadecuado e ineficiente.</w:t>
      </w:r>
    </w:p>
    <w:p w14:paraId="6C9D3572" w14:textId="77777777" w:rsidR="00152D1E" w:rsidRPr="0069632C" w:rsidRDefault="00152D1E" w:rsidP="0069632C">
      <w:pPr>
        <w:jc w:val="both"/>
        <w:rPr>
          <w:rFonts w:ascii="Cambria" w:hAnsi="Cambria" w:cs="Calibri"/>
          <w:sz w:val="20"/>
          <w:szCs w:val="20"/>
        </w:rPr>
      </w:pPr>
    </w:p>
    <w:p w14:paraId="77594E7F" w14:textId="146F37CF" w:rsidR="00A232E5" w:rsidRDefault="0091642E" w:rsidP="0069632C">
      <w:pPr>
        <w:jc w:val="both"/>
        <w:rPr>
          <w:rFonts w:ascii="Cambria" w:hAnsi="Cambria" w:cs="Calibri"/>
          <w:sz w:val="20"/>
          <w:szCs w:val="20"/>
        </w:rPr>
      </w:pPr>
      <w:r>
        <w:rPr>
          <w:rFonts w:ascii="Cambria" w:hAnsi="Cambria"/>
          <w:sz w:val="20"/>
        </w:rPr>
        <w:t>Un enfoque más eficiente sería que la Comisión determinara un saldo adecuado del WCF que se transfiera al comienzo de cada año y que refleje:</w:t>
      </w:r>
    </w:p>
    <w:p w14:paraId="3909D3C9" w14:textId="77777777" w:rsidR="00262807" w:rsidRPr="0069632C" w:rsidRDefault="00262807" w:rsidP="0069632C">
      <w:pPr>
        <w:jc w:val="both"/>
        <w:rPr>
          <w:rFonts w:ascii="Cambria" w:hAnsi="Cambria" w:cs="Calibri"/>
          <w:sz w:val="20"/>
          <w:szCs w:val="20"/>
        </w:rPr>
      </w:pPr>
    </w:p>
    <w:p w14:paraId="1C2F3747" w14:textId="7C40787A" w:rsidR="005965C4" w:rsidRDefault="005965C4" w:rsidP="0069632C">
      <w:pPr>
        <w:pStyle w:val="ListParagraph"/>
        <w:numPr>
          <w:ilvl w:val="0"/>
          <w:numId w:val="5"/>
        </w:numPr>
        <w:jc w:val="both"/>
        <w:rPr>
          <w:rFonts w:ascii="Cambria" w:hAnsi="Cambria" w:cs="Calibri"/>
          <w:sz w:val="20"/>
          <w:szCs w:val="20"/>
        </w:rPr>
      </w:pPr>
      <w:r>
        <w:rPr>
          <w:rFonts w:ascii="Cambria" w:hAnsi="Cambria"/>
          <w:sz w:val="20"/>
        </w:rPr>
        <w:t xml:space="preserve">El nivel de financiación necesario para cubrir los gastos de los primeros [dos] meses del año. </w:t>
      </w:r>
    </w:p>
    <w:p w14:paraId="3D7A3DAC" w14:textId="77777777" w:rsidR="00B50DC2" w:rsidRPr="0069632C" w:rsidRDefault="00B50DC2" w:rsidP="00B50DC2">
      <w:pPr>
        <w:pStyle w:val="ListParagraph"/>
        <w:jc w:val="both"/>
        <w:rPr>
          <w:rFonts w:ascii="Cambria" w:hAnsi="Cambria" w:cs="Calibri"/>
          <w:sz w:val="20"/>
          <w:szCs w:val="20"/>
        </w:rPr>
      </w:pPr>
    </w:p>
    <w:p w14:paraId="3209BC97" w14:textId="11D993BE" w:rsidR="009E7299" w:rsidRDefault="00163CD5" w:rsidP="0069632C">
      <w:pPr>
        <w:pStyle w:val="ListParagraph"/>
        <w:numPr>
          <w:ilvl w:val="0"/>
          <w:numId w:val="5"/>
        </w:numPr>
        <w:jc w:val="both"/>
        <w:rPr>
          <w:rFonts w:ascii="Cambria" w:hAnsi="Cambria" w:cs="Calibri"/>
          <w:sz w:val="20"/>
          <w:szCs w:val="20"/>
        </w:rPr>
      </w:pPr>
      <w:r>
        <w:rPr>
          <w:rFonts w:ascii="Cambria" w:hAnsi="Cambria"/>
          <w:sz w:val="20"/>
        </w:rPr>
        <w:t>El promedio reciente de gastos extrapresupuestarios financiados a través del Fondo de operaciones en los primeros [tres] meses del año, y</w:t>
      </w:r>
    </w:p>
    <w:p w14:paraId="6E63B2DA" w14:textId="77777777" w:rsidR="00B50DC2" w:rsidRPr="00B50DC2" w:rsidRDefault="00B50DC2" w:rsidP="00B50DC2">
      <w:pPr>
        <w:pStyle w:val="ListParagraph"/>
        <w:rPr>
          <w:rFonts w:ascii="Cambria" w:hAnsi="Cambria" w:cs="Calibri"/>
          <w:sz w:val="20"/>
          <w:szCs w:val="20"/>
        </w:rPr>
      </w:pPr>
    </w:p>
    <w:p w14:paraId="4425F6B8" w14:textId="6876CD63" w:rsidR="007F68B0" w:rsidRPr="0069632C" w:rsidRDefault="007F68B0" w:rsidP="0069632C">
      <w:pPr>
        <w:pStyle w:val="ListParagraph"/>
        <w:numPr>
          <w:ilvl w:val="0"/>
          <w:numId w:val="5"/>
        </w:numPr>
        <w:jc w:val="both"/>
        <w:rPr>
          <w:rFonts w:ascii="Cambria" w:hAnsi="Cambria" w:cs="Calibri"/>
          <w:sz w:val="20"/>
          <w:szCs w:val="20"/>
        </w:rPr>
      </w:pPr>
      <w:r>
        <w:rPr>
          <w:rFonts w:ascii="Cambria" w:hAnsi="Cambria"/>
          <w:sz w:val="20"/>
        </w:rPr>
        <w:t>Un fondo para contingencias equivalente al 5 % del presupuesto ordinario para hacer frente a gastos imprevistos o emergencias.</w:t>
      </w:r>
    </w:p>
    <w:p w14:paraId="1549FC6D" w14:textId="77777777" w:rsidR="00262807" w:rsidRDefault="00262807" w:rsidP="0069632C">
      <w:pPr>
        <w:jc w:val="both"/>
        <w:rPr>
          <w:rFonts w:ascii="Cambria" w:hAnsi="Cambria" w:cs="Calibri"/>
          <w:sz w:val="20"/>
          <w:szCs w:val="20"/>
        </w:rPr>
      </w:pPr>
    </w:p>
    <w:p w14:paraId="4F53DD7E" w14:textId="77777777" w:rsidR="00B50DC2" w:rsidRDefault="00B50DC2">
      <w:pPr>
        <w:spacing w:after="160" w:line="259" w:lineRule="auto"/>
        <w:rPr>
          <w:rFonts w:ascii="Cambria" w:hAnsi="Cambria" w:cs="Calibri"/>
          <w:sz w:val="20"/>
          <w:szCs w:val="20"/>
        </w:rPr>
      </w:pPr>
      <w:r>
        <w:br w:type="page"/>
      </w:r>
    </w:p>
    <w:p w14:paraId="614D1D4A" w14:textId="76DB1F7C" w:rsidR="00362B42" w:rsidRPr="0069632C" w:rsidRDefault="008D33E7" w:rsidP="0069632C">
      <w:pPr>
        <w:jc w:val="both"/>
        <w:rPr>
          <w:rFonts w:ascii="Cambria" w:hAnsi="Cambria" w:cs="Calibri"/>
          <w:sz w:val="20"/>
          <w:szCs w:val="20"/>
        </w:rPr>
      </w:pPr>
      <w:r>
        <w:rPr>
          <w:rFonts w:ascii="Cambria" w:hAnsi="Cambria"/>
          <w:sz w:val="20"/>
        </w:rPr>
        <w:lastRenderedPageBreak/>
        <w:t xml:space="preserve">Los fondos que queden en el WCF al final de cada año y que superen el nivel determinado anteriormente se utilizarán para reducir las contribuciones presupuestarias ordinarias de las Partes contratantes del año siguiente.  </w:t>
      </w:r>
    </w:p>
    <w:p w14:paraId="06049D6D" w14:textId="4B5CAC28" w:rsidR="00EB583D" w:rsidRPr="0069632C" w:rsidRDefault="00EB583D" w:rsidP="0069632C">
      <w:pPr>
        <w:jc w:val="both"/>
        <w:rPr>
          <w:rFonts w:ascii="Cambria" w:hAnsi="Cambria" w:cs="Calibri"/>
          <w:sz w:val="20"/>
          <w:szCs w:val="20"/>
        </w:rPr>
      </w:pPr>
    </w:p>
    <w:p w14:paraId="517050BB" w14:textId="1F5BCB4D" w:rsidR="006D4631" w:rsidRPr="0069632C" w:rsidRDefault="00EB583D" w:rsidP="0069632C">
      <w:pPr>
        <w:jc w:val="both"/>
        <w:rPr>
          <w:rFonts w:ascii="Cambria" w:hAnsi="Cambria" w:cs="Calibri"/>
          <w:sz w:val="20"/>
          <w:szCs w:val="20"/>
        </w:rPr>
      </w:pPr>
      <w:r>
        <w:rPr>
          <w:rFonts w:ascii="Cambria" w:hAnsi="Cambria"/>
          <w:sz w:val="20"/>
        </w:rPr>
        <w:t>El siguiente ejemplo, que utiliza el promedio de los gastos reales de 2023-2025, muestra cómo podría funcionar esto con el proyecto de presupuesto propuesto para 2026.</w:t>
      </w:r>
    </w:p>
    <w:p w14:paraId="64D70BFD" w14:textId="505BE53B" w:rsidR="00A423BB" w:rsidRPr="0069632C" w:rsidRDefault="00A423BB"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6385"/>
        <w:gridCol w:w="1540"/>
      </w:tblGrid>
      <w:tr w:rsidR="00C30656" w:rsidRPr="0069632C" w14:paraId="6AE72126" w14:textId="77777777" w:rsidTr="004F0736">
        <w:trPr>
          <w:trHeight w:val="416"/>
          <w:jc w:val="center"/>
        </w:trPr>
        <w:tc>
          <w:tcPr>
            <w:tcW w:w="6385" w:type="dxa"/>
          </w:tcPr>
          <w:p w14:paraId="7168CD1F" w14:textId="4BCE6C24" w:rsidR="00C30656" w:rsidRPr="0069632C" w:rsidRDefault="00E13661" w:rsidP="00B50DC2">
            <w:pPr>
              <w:rPr>
                <w:rFonts w:ascii="Cambria" w:hAnsi="Cambria" w:cs="Calibri"/>
                <w:sz w:val="20"/>
                <w:szCs w:val="20"/>
              </w:rPr>
            </w:pPr>
            <w:r>
              <w:rPr>
                <w:rFonts w:ascii="Cambria" w:hAnsi="Cambria"/>
                <w:sz w:val="20"/>
              </w:rPr>
              <w:t>Fondos necesarios para cubrir los gastos presupuestarios de enero y febrero.</w:t>
            </w:r>
          </w:p>
        </w:tc>
        <w:tc>
          <w:tcPr>
            <w:tcW w:w="1540" w:type="dxa"/>
          </w:tcPr>
          <w:p w14:paraId="5C9212C6" w14:textId="15725446" w:rsidR="00C30656" w:rsidRPr="0069632C" w:rsidRDefault="00C30656" w:rsidP="00E651D6">
            <w:pPr>
              <w:jc w:val="right"/>
              <w:rPr>
                <w:rFonts w:ascii="Cambria" w:hAnsi="Cambria" w:cs="Calibri"/>
                <w:sz w:val="20"/>
                <w:szCs w:val="20"/>
              </w:rPr>
            </w:pPr>
            <w:r>
              <w:rPr>
                <w:rFonts w:ascii="Cambria" w:hAnsi="Cambria"/>
                <w:sz w:val="20"/>
              </w:rPr>
              <w:t>1.183.000 €</w:t>
            </w:r>
          </w:p>
        </w:tc>
      </w:tr>
      <w:tr w:rsidR="00C30656" w:rsidRPr="00A20B87" w14:paraId="75BECBE7" w14:textId="77777777" w:rsidTr="004F0736">
        <w:trPr>
          <w:trHeight w:val="271"/>
          <w:jc w:val="center"/>
        </w:trPr>
        <w:tc>
          <w:tcPr>
            <w:tcW w:w="6385" w:type="dxa"/>
          </w:tcPr>
          <w:p w14:paraId="1F954DE6" w14:textId="6367EAE6" w:rsidR="00C30656" w:rsidRPr="00A20B87" w:rsidRDefault="00E13661" w:rsidP="0069632C">
            <w:pPr>
              <w:jc w:val="both"/>
              <w:rPr>
                <w:rFonts w:ascii="Cambria" w:hAnsi="Cambria" w:cs="Calibri"/>
                <w:sz w:val="20"/>
                <w:szCs w:val="20"/>
              </w:rPr>
            </w:pPr>
            <w:r w:rsidRPr="00A20B87">
              <w:rPr>
                <w:rFonts w:ascii="Cambria" w:hAnsi="Cambria"/>
                <w:sz w:val="20"/>
              </w:rPr>
              <w:t>Fondos necesarios para cubrir tres meses de gastos extrapresupuestarios.</w:t>
            </w:r>
          </w:p>
        </w:tc>
        <w:tc>
          <w:tcPr>
            <w:tcW w:w="1540" w:type="dxa"/>
          </w:tcPr>
          <w:p w14:paraId="3DDA2B60" w14:textId="36C93CC8" w:rsidR="00C30656" w:rsidRPr="00A20B87" w:rsidRDefault="00342B11" w:rsidP="00E651D6">
            <w:pPr>
              <w:jc w:val="right"/>
              <w:rPr>
                <w:rFonts w:ascii="Cambria" w:hAnsi="Cambria" w:cs="Calibri"/>
                <w:sz w:val="20"/>
                <w:szCs w:val="20"/>
              </w:rPr>
            </w:pPr>
            <w:r w:rsidRPr="00A20B87">
              <w:rPr>
                <w:rFonts w:ascii="Cambria" w:hAnsi="Cambria"/>
                <w:sz w:val="20"/>
              </w:rPr>
              <w:t>350.000 €</w:t>
            </w:r>
          </w:p>
        </w:tc>
      </w:tr>
      <w:tr w:rsidR="006D4631" w:rsidRPr="00A20B87" w14:paraId="34E22803" w14:textId="77777777" w:rsidTr="004F0736">
        <w:trPr>
          <w:jc w:val="center"/>
        </w:trPr>
        <w:tc>
          <w:tcPr>
            <w:tcW w:w="6385" w:type="dxa"/>
          </w:tcPr>
          <w:p w14:paraId="1B6380C5" w14:textId="0590CAF2" w:rsidR="006D4631" w:rsidRPr="00A20B87" w:rsidRDefault="009A71C9" w:rsidP="0069632C">
            <w:pPr>
              <w:jc w:val="both"/>
              <w:rPr>
                <w:rFonts w:ascii="Cambria" w:hAnsi="Cambria" w:cs="Calibri"/>
                <w:b/>
                <w:bCs/>
                <w:sz w:val="20"/>
                <w:szCs w:val="20"/>
              </w:rPr>
            </w:pPr>
            <w:r w:rsidRPr="00A20B87">
              <w:rPr>
                <w:rFonts w:ascii="Cambria" w:hAnsi="Cambria"/>
                <w:sz w:val="20"/>
              </w:rPr>
              <w:t>Fondo para imprevistos (5 % del proyecto de presupuesto para 2026)</w:t>
            </w:r>
          </w:p>
        </w:tc>
        <w:tc>
          <w:tcPr>
            <w:tcW w:w="1540" w:type="dxa"/>
          </w:tcPr>
          <w:p w14:paraId="534FBBBD" w14:textId="360FC5C4" w:rsidR="006D4631" w:rsidRPr="00A20B87" w:rsidRDefault="004C299A" w:rsidP="00E651D6">
            <w:pPr>
              <w:jc w:val="right"/>
              <w:rPr>
                <w:rFonts w:ascii="Cambria" w:hAnsi="Cambria" w:cs="Calibri"/>
                <w:sz w:val="20"/>
                <w:szCs w:val="20"/>
              </w:rPr>
            </w:pPr>
            <w:r w:rsidRPr="00A20B87">
              <w:rPr>
                <w:rFonts w:ascii="Cambria" w:hAnsi="Cambria"/>
                <w:color w:val="000000"/>
                <w:sz w:val="20"/>
                <w:szCs w:val="20"/>
                <w:u w:val="single"/>
              </w:rPr>
              <w:t>320</w:t>
            </w:r>
            <w:r w:rsidRPr="00A20B87">
              <w:rPr>
                <w:rFonts w:ascii="Cambria" w:hAnsi="Cambria"/>
                <w:color w:val="000000"/>
                <w:sz w:val="20"/>
                <w:szCs w:val="20"/>
                <w:u w:val="single"/>
              </w:rPr>
              <w:t>.</w:t>
            </w:r>
            <w:r w:rsidRPr="00A20B87">
              <w:rPr>
                <w:rFonts w:ascii="Cambria" w:hAnsi="Cambria"/>
                <w:color w:val="000000"/>
                <w:sz w:val="20"/>
                <w:szCs w:val="20"/>
                <w:u w:val="single"/>
              </w:rPr>
              <w:t>428</w:t>
            </w:r>
            <w:r w:rsidRPr="00A20B87">
              <w:rPr>
                <w:rFonts w:ascii="Cambria" w:hAnsi="Cambria"/>
                <w:color w:val="000000"/>
                <w:sz w:val="20"/>
                <w:szCs w:val="20"/>
                <w:u w:val="single"/>
              </w:rPr>
              <w:t xml:space="preserve"> </w:t>
            </w:r>
            <w:r w:rsidR="006D4631" w:rsidRPr="00A20B87">
              <w:rPr>
                <w:rFonts w:ascii="Cambria" w:hAnsi="Cambria"/>
                <w:sz w:val="20"/>
              </w:rPr>
              <w:t>€</w:t>
            </w:r>
          </w:p>
        </w:tc>
      </w:tr>
      <w:tr w:rsidR="009A71C9" w:rsidRPr="00A20B87" w14:paraId="367130A0" w14:textId="77777777" w:rsidTr="004F0736">
        <w:trPr>
          <w:jc w:val="center"/>
        </w:trPr>
        <w:tc>
          <w:tcPr>
            <w:tcW w:w="6385" w:type="dxa"/>
          </w:tcPr>
          <w:p w14:paraId="393EAAD7" w14:textId="4F77EF4D" w:rsidR="009A71C9" w:rsidRPr="00A20B87" w:rsidRDefault="00FA28DA" w:rsidP="0069632C">
            <w:pPr>
              <w:jc w:val="both"/>
              <w:rPr>
                <w:rFonts w:ascii="Cambria" w:hAnsi="Cambria" w:cs="Calibri"/>
                <w:b/>
                <w:bCs/>
                <w:sz w:val="20"/>
                <w:szCs w:val="20"/>
              </w:rPr>
            </w:pPr>
            <w:r w:rsidRPr="00A20B87">
              <w:rPr>
                <w:rFonts w:ascii="Cambria" w:hAnsi="Cambria"/>
                <w:b/>
                <w:sz w:val="20"/>
              </w:rPr>
              <w:t>Saldo total del WCF que se transferirá a 2026</w:t>
            </w:r>
          </w:p>
        </w:tc>
        <w:tc>
          <w:tcPr>
            <w:tcW w:w="1540" w:type="dxa"/>
          </w:tcPr>
          <w:p w14:paraId="342CD196" w14:textId="0A8D7C8F" w:rsidR="009A71C9" w:rsidRPr="00A20B87" w:rsidRDefault="00F00EF6" w:rsidP="00E651D6">
            <w:pPr>
              <w:jc w:val="right"/>
              <w:rPr>
                <w:rFonts w:ascii="Cambria" w:hAnsi="Cambria" w:cs="Calibri"/>
                <w:sz w:val="20"/>
                <w:szCs w:val="20"/>
              </w:rPr>
            </w:pPr>
            <w:r w:rsidRPr="00A20B87">
              <w:rPr>
                <w:rFonts w:ascii="Cambria" w:hAnsi="Cambria" w:cs="Calibri"/>
                <w:sz w:val="20"/>
                <w:szCs w:val="20"/>
                <w:u w:val="single"/>
              </w:rPr>
              <w:t>1</w:t>
            </w:r>
            <w:r w:rsidRPr="00A20B87">
              <w:rPr>
                <w:rFonts w:ascii="Cambria" w:hAnsi="Cambria" w:cs="Calibri"/>
                <w:sz w:val="20"/>
                <w:szCs w:val="20"/>
                <w:u w:val="single"/>
              </w:rPr>
              <w:t>.</w:t>
            </w:r>
            <w:r w:rsidRPr="00A20B87">
              <w:rPr>
                <w:rFonts w:ascii="Cambria" w:hAnsi="Cambria" w:cs="Calibri"/>
                <w:sz w:val="20"/>
                <w:szCs w:val="20"/>
                <w:u w:val="single"/>
              </w:rPr>
              <w:t>853</w:t>
            </w:r>
            <w:r w:rsidRPr="00A20B87">
              <w:rPr>
                <w:rFonts w:ascii="Cambria" w:hAnsi="Cambria" w:cs="Calibri"/>
                <w:sz w:val="20"/>
                <w:szCs w:val="20"/>
                <w:u w:val="single"/>
              </w:rPr>
              <w:t>.</w:t>
            </w:r>
            <w:r w:rsidRPr="00A20B87">
              <w:rPr>
                <w:rFonts w:ascii="Cambria" w:hAnsi="Cambria" w:cs="Calibri"/>
                <w:sz w:val="20"/>
                <w:szCs w:val="20"/>
                <w:u w:val="single"/>
              </w:rPr>
              <w:t>428</w:t>
            </w:r>
            <w:r w:rsidRPr="00A20B87">
              <w:rPr>
                <w:rFonts w:ascii="Cambria" w:hAnsi="Cambria" w:cs="Calibri"/>
                <w:sz w:val="20"/>
                <w:szCs w:val="20"/>
                <w:u w:val="single"/>
              </w:rPr>
              <w:t xml:space="preserve"> </w:t>
            </w:r>
            <w:r w:rsidR="009A71C9" w:rsidRPr="00A20B87">
              <w:rPr>
                <w:rFonts w:ascii="Cambria" w:hAnsi="Cambria"/>
                <w:sz w:val="20"/>
              </w:rPr>
              <w:t>€</w:t>
            </w:r>
          </w:p>
        </w:tc>
      </w:tr>
    </w:tbl>
    <w:p w14:paraId="24E512CD" w14:textId="381F8A76" w:rsidR="00F455C9" w:rsidRPr="00A20B87" w:rsidRDefault="00F455C9" w:rsidP="0069632C">
      <w:pPr>
        <w:jc w:val="both"/>
        <w:rPr>
          <w:rFonts w:ascii="Cambria" w:hAnsi="Cambria" w:cs="Calibri"/>
          <w:sz w:val="20"/>
          <w:szCs w:val="20"/>
        </w:rPr>
      </w:pPr>
    </w:p>
    <w:p w14:paraId="3393DFCF" w14:textId="43B6C165" w:rsidR="00344D19" w:rsidRPr="00A20B87" w:rsidRDefault="00344D19" w:rsidP="0069632C">
      <w:pPr>
        <w:jc w:val="both"/>
        <w:rPr>
          <w:rFonts w:ascii="Cambria" w:hAnsi="Cambria" w:cs="Calibri"/>
          <w:sz w:val="20"/>
          <w:szCs w:val="20"/>
        </w:rPr>
      </w:pPr>
      <w:r w:rsidRPr="00A20B87">
        <w:rPr>
          <w:rFonts w:ascii="Cambria" w:hAnsi="Cambria"/>
          <w:sz w:val="20"/>
        </w:rPr>
        <w:t xml:space="preserve">Actualmente se prevé que el saldo del WCF al final de 2025 sea de 2.545.042 euros, es decir, </w:t>
      </w:r>
      <w:r w:rsidR="00F00EF6" w:rsidRPr="00A20B87">
        <w:rPr>
          <w:rFonts w:ascii="Cambria" w:hAnsi="Cambria"/>
          <w:sz w:val="20"/>
          <w:u w:val="single"/>
        </w:rPr>
        <w:t>691</w:t>
      </w:r>
      <w:r w:rsidRPr="00A20B87">
        <w:rPr>
          <w:rFonts w:ascii="Cambria" w:hAnsi="Cambria"/>
          <w:sz w:val="20"/>
          <w:u w:val="single"/>
        </w:rPr>
        <w:t>.</w:t>
      </w:r>
      <w:r w:rsidR="00F00EF6" w:rsidRPr="00A20B87">
        <w:rPr>
          <w:rFonts w:ascii="Cambria" w:hAnsi="Cambria"/>
          <w:sz w:val="20"/>
          <w:u w:val="single"/>
        </w:rPr>
        <w:t>614</w:t>
      </w:r>
      <w:r w:rsidRPr="00A20B87">
        <w:rPr>
          <w:rFonts w:ascii="Cambria" w:hAnsi="Cambria"/>
          <w:sz w:val="20"/>
        </w:rPr>
        <w:t xml:space="preserve"> euros más que el total que es necesario transferir a 2026. Esta cantidad se utilizaría para reducir las contribuciones al presupuesto ordinario que deben abonar las Partes contratantes en 2026.</w:t>
      </w:r>
    </w:p>
    <w:p w14:paraId="19B6A176" w14:textId="43F8B01A" w:rsidR="00212EBC" w:rsidRPr="00A20B87" w:rsidRDefault="00212EBC"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6379"/>
        <w:gridCol w:w="1843"/>
      </w:tblGrid>
      <w:tr w:rsidR="00212EBC" w:rsidRPr="00A20B87" w14:paraId="4B1B6B44" w14:textId="77777777" w:rsidTr="0040472C">
        <w:trPr>
          <w:trHeight w:val="349"/>
          <w:jc w:val="center"/>
        </w:trPr>
        <w:tc>
          <w:tcPr>
            <w:tcW w:w="6379" w:type="dxa"/>
          </w:tcPr>
          <w:p w14:paraId="64B997A4" w14:textId="3688AF83" w:rsidR="00212EBC" w:rsidRPr="00A20B87" w:rsidRDefault="00212EBC" w:rsidP="0069632C">
            <w:pPr>
              <w:jc w:val="both"/>
              <w:rPr>
                <w:rFonts w:ascii="Cambria" w:hAnsi="Cambria" w:cs="Calibri"/>
                <w:sz w:val="20"/>
                <w:szCs w:val="20"/>
              </w:rPr>
            </w:pPr>
            <w:r w:rsidRPr="00A20B87">
              <w:rPr>
                <w:rFonts w:ascii="Cambria" w:hAnsi="Cambria"/>
                <w:sz w:val="20"/>
              </w:rPr>
              <w:t>Presupuesto ordinario propuesto para 2026</w:t>
            </w:r>
          </w:p>
        </w:tc>
        <w:tc>
          <w:tcPr>
            <w:tcW w:w="1843" w:type="dxa"/>
          </w:tcPr>
          <w:p w14:paraId="3EFB55E8" w14:textId="1BA44780" w:rsidR="00212EBC" w:rsidRPr="00A20B87" w:rsidRDefault="009506AB" w:rsidP="009506AB">
            <w:pPr>
              <w:jc w:val="right"/>
              <w:rPr>
                <w:rFonts w:ascii="Cambria" w:hAnsi="Cambria" w:cs="Calibri"/>
                <w:sz w:val="20"/>
                <w:szCs w:val="20"/>
                <w:u w:val="single"/>
              </w:rPr>
            </w:pPr>
            <w:r w:rsidRPr="00A20B87">
              <w:rPr>
                <w:rFonts w:ascii="Cambria" w:hAnsi="Cambria" w:cs="Calibri"/>
                <w:sz w:val="20"/>
                <w:szCs w:val="20"/>
                <w:u w:val="single"/>
              </w:rPr>
              <w:t>6</w:t>
            </w:r>
            <w:r w:rsidRPr="00A20B87">
              <w:rPr>
                <w:rFonts w:ascii="Cambria" w:hAnsi="Cambria" w:cs="Calibri"/>
                <w:sz w:val="20"/>
                <w:szCs w:val="20"/>
                <w:u w:val="single"/>
              </w:rPr>
              <w:t>.</w:t>
            </w:r>
            <w:r w:rsidRPr="00A20B87">
              <w:rPr>
                <w:rFonts w:ascii="Cambria" w:hAnsi="Cambria" w:cs="Calibri"/>
                <w:sz w:val="20"/>
                <w:szCs w:val="20"/>
                <w:u w:val="single"/>
              </w:rPr>
              <w:t>408</w:t>
            </w:r>
            <w:r w:rsidRPr="00A20B87">
              <w:rPr>
                <w:rFonts w:ascii="Cambria" w:hAnsi="Cambria" w:cs="Calibri"/>
                <w:sz w:val="20"/>
                <w:szCs w:val="20"/>
                <w:u w:val="single"/>
              </w:rPr>
              <w:t>.</w:t>
            </w:r>
            <w:r w:rsidRPr="00A20B87">
              <w:rPr>
                <w:rFonts w:ascii="Cambria" w:hAnsi="Cambria" w:cs="Calibri"/>
                <w:sz w:val="20"/>
                <w:szCs w:val="20"/>
                <w:u w:val="single"/>
              </w:rPr>
              <w:t>555</w:t>
            </w:r>
            <w:r w:rsidRPr="00A20B87">
              <w:rPr>
                <w:rFonts w:ascii="Cambria" w:hAnsi="Cambria" w:cs="Calibri"/>
                <w:sz w:val="20"/>
                <w:szCs w:val="20"/>
                <w:u w:val="single"/>
              </w:rPr>
              <w:t>,</w:t>
            </w:r>
            <w:r w:rsidRPr="00A20B87">
              <w:rPr>
                <w:rFonts w:ascii="Cambria" w:hAnsi="Cambria" w:cs="Calibri"/>
                <w:sz w:val="20"/>
                <w:szCs w:val="20"/>
                <w:u w:val="single"/>
              </w:rPr>
              <w:t>90</w:t>
            </w:r>
            <w:r w:rsidR="008903E5" w:rsidRPr="00A20B87">
              <w:rPr>
                <w:rFonts w:ascii="Cambria" w:hAnsi="Cambria" w:cs="Calibri"/>
                <w:sz w:val="20"/>
                <w:szCs w:val="20"/>
                <w:u w:val="single"/>
              </w:rPr>
              <w:t xml:space="preserve"> </w:t>
            </w:r>
            <w:r w:rsidR="00212EBC" w:rsidRPr="00A20B87">
              <w:rPr>
                <w:rFonts w:ascii="Cambria" w:hAnsi="Cambria"/>
                <w:sz w:val="20"/>
                <w:u w:val="single"/>
              </w:rPr>
              <w:t>€</w:t>
            </w:r>
          </w:p>
        </w:tc>
      </w:tr>
      <w:tr w:rsidR="00212EBC" w:rsidRPr="00A20B87" w14:paraId="0182F3F0" w14:textId="77777777" w:rsidTr="0040472C">
        <w:trPr>
          <w:trHeight w:val="268"/>
          <w:jc w:val="center"/>
        </w:trPr>
        <w:tc>
          <w:tcPr>
            <w:tcW w:w="6379" w:type="dxa"/>
          </w:tcPr>
          <w:p w14:paraId="3FBCE567" w14:textId="0D1AE211" w:rsidR="00212EBC" w:rsidRPr="00A20B87" w:rsidRDefault="000D0A1C" w:rsidP="0069632C">
            <w:pPr>
              <w:jc w:val="both"/>
              <w:rPr>
                <w:rFonts w:ascii="Cambria" w:hAnsi="Cambria" w:cs="Calibri"/>
                <w:sz w:val="20"/>
                <w:szCs w:val="20"/>
              </w:rPr>
            </w:pPr>
            <w:r w:rsidRPr="00A20B87">
              <w:rPr>
                <w:rFonts w:ascii="Cambria" w:hAnsi="Cambria"/>
                <w:sz w:val="20"/>
              </w:rPr>
              <w:t>Saldo excedente de WCF</w:t>
            </w:r>
          </w:p>
        </w:tc>
        <w:tc>
          <w:tcPr>
            <w:tcW w:w="1843" w:type="dxa"/>
          </w:tcPr>
          <w:p w14:paraId="4CB97323" w14:textId="13F977EA" w:rsidR="00212EBC" w:rsidRPr="00A20B87" w:rsidRDefault="008903E5" w:rsidP="009506AB">
            <w:pPr>
              <w:jc w:val="right"/>
              <w:rPr>
                <w:rFonts w:ascii="Cambria" w:hAnsi="Cambria" w:cs="Calibri"/>
                <w:sz w:val="20"/>
                <w:szCs w:val="20"/>
                <w:u w:val="single"/>
              </w:rPr>
            </w:pPr>
            <w:r w:rsidRPr="00A20B87">
              <w:rPr>
                <w:rFonts w:ascii="Cambria" w:hAnsi="Cambria" w:cs="Calibri"/>
                <w:sz w:val="20"/>
                <w:szCs w:val="20"/>
                <w:u w:val="single"/>
              </w:rPr>
              <w:t>(691</w:t>
            </w:r>
            <w:r w:rsidRPr="00A20B87">
              <w:rPr>
                <w:rFonts w:ascii="Cambria" w:hAnsi="Cambria" w:cs="Calibri"/>
                <w:sz w:val="20"/>
                <w:szCs w:val="20"/>
                <w:u w:val="single"/>
              </w:rPr>
              <w:t>.</w:t>
            </w:r>
            <w:r w:rsidRPr="00A20B87">
              <w:rPr>
                <w:rFonts w:ascii="Cambria" w:hAnsi="Cambria" w:cs="Calibri"/>
                <w:sz w:val="20"/>
                <w:szCs w:val="20"/>
                <w:u w:val="single"/>
              </w:rPr>
              <w:t>614</w:t>
            </w:r>
            <w:r w:rsidRPr="00A20B87">
              <w:rPr>
                <w:rFonts w:ascii="Cambria" w:hAnsi="Cambria" w:cs="Calibri"/>
                <w:sz w:val="20"/>
                <w:szCs w:val="20"/>
                <w:u w:val="single"/>
              </w:rPr>
              <w:t>,</w:t>
            </w:r>
            <w:r w:rsidRPr="00A20B87">
              <w:rPr>
                <w:rFonts w:ascii="Cambria" w:hAnsi="Cambria" w:cs="Calibri"/>
                <w:sz w:val="20"/>
                <w:szCs w:val="20"/>
                <w:u w:val="single"/>
              </w:rPr>
              <w:t>00)</w:t>
            </w:r>
            <w:r w:rsidRPr="00A20B87">
              <w:rPr>
                <w:rFonts w:ascii="Cambria" w:hAnsi="Cambria" w:cs="Calibri"/>
                <w:sz w:val="20"/>
                <w:szCs w:val="20"/>
                <w:u w:val="single"/>
              </w:rPr>
              <w:t xml:space="preserve"> </w:t>
            </w:r>
            <w:r w:rsidRPr="00A20B87">
              <w:rPr>
                <w:rFonts w:ascii="Cambria" w:hAnsi="Cambria"/>
                <w:sz w:val="20"/>
                <w:u w:val="single"/>
              </w:rPr>
              <w:t>€</w:t>
            </w:r>
          </w:p>
        </w:tc>
      </w:tr>
      <w:tr w:rsidR="00E479FC" w:rsidRPr="0069632C" w14:paraId="6EA7422E" w14:textId="77777777" w:rsidTr="0040472C">
        <w:trPr>
          <w:jc w:val="center"/>
        </w:trPr>
        <w:tc>
          <w:tcPr>
            <w:tcW w:w="6379" w:type="dxa"/>
          </w:tcPr>
          <w:p w14:paraId="585F8F6D" w14:textId="2520D6A7" w:rsidR="00E479FC" w:rsidRPr="00A20B87" w:rsidRDefault="00E479FC" w:rsidP="0069632C">
            <w:pPr>
              <w:jc w:val="both"/>
              <w:rPr>
                <w:rFonts w:ascii="Cambria" w:hAnsi="Cambria" w:cs="Calibri"/>
                <w:b/>
                <w:bCs/>
                <w:sz w:val="20"/>
                <w:szCs w:val="20"/>
              </w:rPr>
            </w:pPr>
            <w:r w:rsidRPr="00A20B87">
              <w:rPr>
                <w:rFonts w:ascii="Cambria" w:hAnsi="Cambria"/>
                <w:b/>
                <w:sz w:val="20"/>
              </w:rPr>
              <w:t>Presupuesto ordinario neto que financiarán las Partes contratantes</w:t>
            </w:r>
          </w:p>
        </w:tc>
        <w:tc>
          <w:tcPr>
            <w:tcW w:w="1843" w:type="dxa"/>
          </w:tcPr>
          <w:p w14:paraId="650E3F82" w14:textId="2CA6BB49" w:rsidR="00E479FC" w:rsidRPr="00FC7B20" w:rsidRDefault="00FC7B20" w:rsidP="009506AB">
            <w:pPr>
              <w:jc w:val="right"/>
              <w:rPr>
                <w:rFonts w:ascii="Cambria" w:hAnsi="Cambria" w:cs="Calibri"/>
                <w:sz w:val="20"/>
                <w:szCs w:val="20"/>
                <w:u w:val="single"/>
              </w:rPr>
            </w:pPr>
            <w:r w:rsidRPr="00A20B87">
              <w:rPr>
                <w:rFonts w:ascii="Cambria" w:hAnsi="Cambria"/>
                <w:color w:val="000000"/>
                <w:sz w:val="20"/>
                <w:szCs w:val="20"/>
                <w:u w:val="single"/>
              </w:rPr>
              <w:t>5</w:t>
            </w:r>
            <w:r w:rsidRPr="00A20B87">
              <w:rPr>
                <w:rFonts w:ascii="Cambria" w:hAnsi="Cambria"/>
                <w:color w:val="000000"/>
                <w:sz w:val="20"/>
                <w:szCs w:val="20"/>
                <w:u w:val="single"/>
              </w:rPr>
              <w:t>.</w:t>
            </w:r>
            <w:r w:rsidRPr="00A20B87">
              <w:rPr>
                <w:rFonts w:ascii="Cambria" w:hAnsi="Cambria"/>
                <w:color w:val="000000"/>
                <w:sz w:val="20"/>
                <w:szCs w:val="20"/>
                <w:u w:val="single"/>
              </w:rPr>
              <w:t>716</w:t>
            </w:r>
            <w:r w:rsidRPr="00A20B87">
              <w:rPr>
                <w:rFonts w:ascii="Cambria" w:hAnsi="Cambria"/>
                <w:color w:val="000000"/>
                <w:sz w:val="20"/>
                <w:szCs w:val="20"/>
                <w:u w:val="single"/>
              </w:rPr>
              <w:t>.</w:t>
            </w:r>
            <w:r w:rsidRPr="00A20B87">
              <w:rPr>
                <w:rFonts w:ascii="Cambria" w:hAnsi="Cambria"/>
                <w:color w:val="000000"/>
                <w:sz w:val="20"/>
                <w:szCs w:val="20"/>
                <w:u w:val="single"/>
              </w:rPr>
              <w:t>941</w:t>
            </w:r>
            <w:r w:rsidRPr="00A20B87">
              <w:rPr>
                <w:rFonts w:ascii="Cambria" w:hAnsi="Cambria"/>
                <w:color w:val="000000"/>
                <w:sz w:val="20"/>
                <w:szCs w:val="20"/>
                <w:u w:val="single"/>
              </w:rPr>
              <w:t>,</w:t>
            </w:r>
            <w:r w:rsidRPr="00A20B87">
              <w:rPr>
                <w:rFonts w:ascii="Cambria" w:hAnsi="Cambria"/>
                <w:color w:val="000000"/>
                <w:sz w:val="20"/>
                <w:szCs w:val="20"/>
                <w:u w:val="single"/>
              </w:rPr>
              <w:t xml:space="preserve">90 </w:t>
            </w:r>
            <w:r w:rsidR="00F146E8" w:rsidRPr="00A20B87">
              <w:rPr>
                <w:rFonts w:ascii="Cambria" w:hAnsi="Cambria"/>
                <w:sz w:val="20"/>
                <w:u w:val="single"/>
              </w:rPr>
              <w:t>€</w:t>
            </w:r>
          </w:p>
        </w:tc>
      </w:tr>
    </w:tbl>
    <w:p w14:paraId="5DD9ED34" w14:textId="22831483" w:rsidR="001E2732" w:rsidRPr="0069632C" w:rsidRDefault="001E2732" w:rsidP="0069632C">
      <w:pPr>
        <w:jc w:val="both"/>
        <w:rPr>
          <w:rFonts w:ascii="Cambria" w:hAnsi="Cambria" w:cs="Calibri"/>
          <w:sz w:val="20"/>
          <w:szCs w:val="20"/>
        </w:rPr>
      </w:pPr>
    </w:p>
    <w:p w14:paraId="75CA3ED7" w14:textId="136BB624" w:rsidR="00882A02" w:rsidRPr="0069632C" w:rsidRDefault="00882A02" w:rsidP="0069632C">
      <w:pPr>
        <w:jc w:val="both"/>
        <w:rPr>
          <w:rFonts w:ascii="Cambria" w:hAnsi="Cambria" w:cs="Calibri"/>
          <w:sz w:val="20"/>
          <w:szCs w:val="20"/>
        </w:rPr>
      </w:pPr>
      <w:r>
        <w:rPr>
          <w:rFonts w:ascii="Cambria" w:hAnsi="Cambria"/>
          <w:sz w:val="20"/>
        </w:rPr>
        <w:t>Este total reducido se utilizaría para calcular las contribuciones de las Partes contratantes que figuran en la Tabla 3 del proyecto de presupuesto propuesto (STF_203</w:t>
      </w:r>
      <w:r w:rsidR="00FC7B20" w:rsidRPr="00FC7B20">
        <w:rPr>
          <w:rFonts w:ascii="Cambria" w:hAnsi="Cambria"/>
          <w:sz w:val="20"/>
          <w:u w:val="single"/>
        </w:rPr>
        <w:t>A</w:t>
      </w:r>
      <w:r>
        <w:rPr>
          <w:rFonts w:ascii="Cambria" w:hAnsi="Cambria"/>
          <w:sz w:val="20"/>
        </w:rPr>
        <w:t>/2025).</w:t>
      </w:r>
    </w:p>
    <w:p w14:paraId="02D76E72" w14:textId="77777777" w:rsidR="006904CB" w:rsidRPr="0069632C" w:rsidRDefault="006904CB" w:rsidP="0069632C">
      <w:pPr>
        <w:jc w:val="both"/>
        <w:rPr>
          <w:rFonts w:ascii="Cambria" w:hAnsi="Cambria" w:cs="Calibri"/>
          <w:sz w:val="20"/>
          <w:szCs w:val="20"/>
        </w:rPr>
      </w:pPr>
    </w:p>
    <w:p w14:paraId="39FAC347" w14:textId="7791DE1C" w:rsidR="006904CB" w:rsidRDefault="008725D0" w:rsidP="0069632C">
      <w:pPr>
        <w:jc w:val="both"/>
        <w:rPr>
          <w:rFonts w:ascii="Cambria" w:hAnsi="Cambria" w:cs="Calibri"/>
          <w:b/>
          <w:bCs/>
          <w:sz w:val="20"/>
          <w:szCs w:val="20"/>
        </w:rPr>
      </w:pPr>
      <w:r>
        <w:rPr>
          <w:rFonts w:ascii="Cambria" w:hAnsi="Cambria"/>
          <w:b/>
          <w:sz w:val="20"/>
        </w:rPr>
        <w:t>Enmiendas al Reglamento financiero</w:t>
      </w:r>
    </w:p>
    <w:p w14:paraId="4C6CEA8B" w14:textId="77777777" w:rsidR="00701292" w:rsidRPr="0069632C" w:rsidRDefault="00701292" w:rsidP="0069632C">
      <w:pPr>
        <w:jc w:val="both"/>
        <w:rPr>
          <w:rFonts w:ascii="Cambria" w:hAnsi="Cambria" w:cs="Calibri"/>
          <w:b/>
          <w:bCs/>
          <w:sz w:val="20"/>
          <w:szCs w:val="20"/>
        </w:rPr>
      </w:pPr>
    </w:p>
    <w:p w14:paraId="04E0643E" w14:textId="239EF015" w:rsidR="00533C36" w:rsidRPr="0069632C" w:rsidRDefault="008725D0" w:rsidP="0069632C">
      <w:pPr>
        <w:jc w:val="both"/>
        <w:rPr>
          <w:rFonts w:ascii="Cambria" w:hAnsi="Cambria" w:cs="Calibri"/>
          <w:sz w:val="20"/>
          <w:szCs w:val="20"/>
        </w:rPr>
      </w:pPr>
      <w:r>
        <w:rPr>
          <w:rFonts w:ascii="Cambria" w:hAnsi="Cambria"/>
          <w:sz w:val="20"/>
        </w:rPr>
        <w:t xml:space="preserve">Si la Comisión acepta en principio este enfoque, deberá adoptar modificaciones al Reglamento financiero. Estas enmiendas también podrían eliminar el texto obsoleto relativo a los anticipos evaluados de las Partes contratantes para mantener el WCF, que no se han exigido durante décadas, y reflejar en su lugar la práctica habitual de financiar el WCF mediante los fondos recibidos que superan los gastos asignados cada año.  </w:t>
      </w:r>
    </w:p>
    <w:p w14:paraId="4F2B2265" w14:textId="77777777" w:rsidR="00533C36" w:rsidRPr="0069632C" w:rsidRDefault="00533C36" w:rsidP="0069632C">
      <w:pPr>
        <w:jc w:val="both"/>
        <w:rPr>
          <w:rFonts w:ascii="Cambria" w:hAnsi="Cambria" w:cs="Calibri"/>
          <w:sz w:val="20"/>
          <w:szCs w:val="20"/>
        </w:rPr>
      </w:pPr>
    </w:p>
    <w:p w14:paraId="63F445C7" w14:textId="77777777" w:rsidR="00701292" w:rsidRDefault="00701292">
      <w:pPr>
        <w:spacing w:after="160" w:line="259" w:lineRule="auto"/>
        <w:rPr>
          <w:rFonts w:ascii="Cambria" w:hAnsi="Cambria" w:cs="Calibri"/>
          <w:b/>
          <w:bCs/>
          <w:sz w:val="20"/>
          <w:szCs w:val="20"/>
        </w:rPr>
      </w:pPr>
      <w:r>
        <w:br w:type="page"/>
      </w:r>
    </w:p>
    <w:p w14:paraId="39F1D1C6" w14:textId="43E93071" w:rsidR="008C046D" w:rsidRPr="0069632C" w:rsidRDefault="009B3442" w:rsidP="00701292">
      <w:pPr>
        <w:jc w:val="center"/>
        <w:rPr>
          <w:rFonts w:ascii="Cambria" w:hAnsi="Cambria" w:cs="Calibri"/>
          <w:b/>
          <w:bCs/>
          <w:sz w:val="20"/>
          <w:szCs w:val="20"/>
        </w:rPr>
      </w:pPr>
      <w:r>
        <w:rPr>
          <w:rFonts w:ascii="Cambria" w:hAnsi="Cambria"/>
          <w:b/>
          <w:sz w:val="20"/>
        </w:rPr>
        <w:lastRenderedPageBreak/>
        <w:t>Proyecto de enmiendas al Reglamento financiero</w:t>
      </w:r>
    </w:p>
    <w:p w14:paraId="799B24C8" w14:textId="77777777" w:rsidR="008C046D" w:rsidRPr="0069632C" w:rsidRDefault="008C046D" w:rsidP="0069632C">
      <w:pPr>
        <w:jc w:val="both"/>
        <w:rPr>
          <w:rFonts w:ascii="Cambria" w:hAnsi="Cambria" w:cs="Calibri"/>
          <w:sz w:val="20"/>
          <w:szCs w:val="20"/>
        </w:rPr>
      </w:pPr>
    </w:p>
    <w:p w14:paraId="5D5A64CB" w14:textId="2F724E1B" w:rsidR="00480DF7" w:rsidRDefault="00480DF7" w:rsidP="0069632C">
      <w:pPr>
        <w:jc w:val="both"/>
        <w:rPr>
          <w:rFonts w:ascii="Cambria" w:hAnsi="Cambria" w:cs="Calibri"/>
          <w:b/>
          <w:bCs/>
          <w:sz w:val="20"/>
          <w:szCs w:val="20"/>
        </w:rPr>
      </w:pPr>
      <w:r>
        <w:rPr>
          <w:rFonts w:ascii="Cambria" w:hAnsi="Cambria"/>
          <w:b/>
          <w:sz w:val="20"/>
        </w:rPr>
        <w:t>Artículo 4 - Provisión de fondos</w:t>
      </w:r>
    </w:p>
    <w:p w14:paraId="760549B2" w14:textId="77777777" w:rsidR="00701292" w:rsidRPr="0069632C" w:rsidRDefault="00701292" w:rsidP="0069632C">
      <w:pPr>
        <w:jc w:val="both"/>
        <w:rPr>
          <w:rFonts w:ascii="Cambria" w:hAnsi="Cambria" w:cs="Calibri"/>
          <w:b/>
          <w:bCs/>
          <w:sz w:val="20"/>
          <w:szCs w:val="20"/>
        </w:rPr>
      </w:pPr>
    </w:p>
    <w:p w14:paraId="76F52F14" w14:textId="3F4F4DE4" w:rsidR="00361D07" w:rsidRPr="0069632C" w:rsidRDefault="00480DF7" w:rsidP="0069632C">
      <w:pPr>
        <w:pStyle w:val="ListParagraph"/>
        <w:numPr>
          <w:ilvl w:val="0"/>
          <w:numId w:val="1"/>
        </w:numPr>
        <w:jc w:val="both"/>
        <w:rPr>
          <w:rFonts w:ascii="Cambria" w:hAnsi="Cambria" w:cs="Calibri"/>
          <w:sz w:val="20"/>
          <w:szCs w:val="20"/>
        </w:rPr>
      </w:pPr>
      <w:r>
        <w:rPr>
          <w:rFonts w:ascii="Cambria" w:hAnsi="Cambria"/>
          <w:sz w:val="20"/>
        </w:rPr>
        <w:t xml:space="preserve">Las asignaciones de un ejercicio económico serán financiadas mediante las contribuciones anuales aportadas por los miembros de la Comisión en virtud el Artículo X-2 del Convenio y de acuerdo con los siguientes </w:t>
      </w:r>
      <w:r w:rsidR="00E51583">
        <w:rPr>
          <w:rFonts w:ascii="Cambria" w:hAnsi="Cambria"/>
          <w:sz w:val="20"/>
        </w:rPr>
        <w:t>principios básicos para un nuevo sistema de cálculo</w:t>
      </w:r>
      <w:r>
        <w:rPr>
          <w:rFonts w:ascii="Cambria" w:hAnsi="Cambria"/>
          <w:sz w:val="20"/>
        </w:rPr>
        <w:t xml:space="preserve">**:  </w:t>
      </w:r>
      <w:r>
        <w:rPr>
          <w:rFonts w:ascii="Cambria" w:hAnsi="Cambria"/>
          <w:sz w:val="20"/>
          <w:u w:val="single"/>
        </w:rPr>
        <w:t xml:space="preserve">Al calcular las contribuciones que deben aportar cada una de las Partes contratantes, el secretario ejecutivo reducirá primero </w:t>
      </w:r>
      <w:r w:rsidR="00696017">
        <w:rPr>
          <w:rFonts w:ascii="Cambria" w:hAnsi="Cambria"/>
          <w:sz w:val="20"/>
          <w:u w:val="single"/>
        </w:rPr>
        <w:t>la</w:t>
      </w:r>
      <w:r w:rsidR="002A6A53">
        <w:rPr>
          <w:rFonts w:ascii="Cambria" w:hAnsi="Cambria"/>
          <w:sz w:val="20"/>
          <w:u w:val="single"/>
        </w:rPr>
        <w:t xml:space="preserve"> cantidad </w:t>
      </w:r>
      <w:r>
        <w:rPr>
          <w:rFonts w:ascii="Cambria" w:hAnsi="Cambria"/>
          <w:sz w:val="20"/>
          <w:u w:val="single"/>
        </w:rPr>
        <w:t xml:space="preserve">del presupuesto acordado por </w:t>
      </w:r>
      <w:r w:rsidR="002A6A53">
        <w:rPr>
          <w:rFonts w:ascii="Cambria" w:hAnsi="Cambria"/>
          <w:sz w:val="20"/>
          <w:u w:val="single"/>
        </w:rPr>
        <w:t xml:space="preserve">la cantidad </w:t>
      </w:r>
      <w:r>
        <w:rPr>
          <w:rFonts w:ascii="Cambria" w:hAnsi="Cambria"/>
          <w:sz w:val="20"/>
          <w:u w:val="single"/>
        </w:rPr>
        <w:t>del Fondo de operaciones que la Comisión haya determinado que excede el nivel establecido en virtud del Artículo 7.</w:t>
      </w:r>
    </w:p>
    <w:p w14:paraId="5DA471CF" w14:textId="77777777" w:rsidR="00480DF7" w:rsidRPr="0069632C" w:rsidRDefault="00480DF7" w:rsidP="0069632C">
      <w:pPr>
        <w:jc w:val="both"/>
        <w:rPr>
          <w:rFonts w:ascii="Cambria" w:hAnsi="Cambria" w:cs="Calibri"/>
          <w:sz w:val="20"/>
          <w:szCs w:val="20"/>
        </w:rPr>
      </w:pPr>
    </w:p>
    <w:p w14:paraId="0C8C7706" w14:textId="77777777" w:rsidR="00480DF7" w:rsidRPr="0069632C" w:rsidRDefault="00480DF7" w:rsidP="0069632C">
      <w:pPr>
        <w:jc w:val="both"/>
        <w:rPr>
          <w:rFonts w:ascii="Cambria" w:hAnsi="Cambria" w:cs="Calibri"/>
          <w:sz w:val="20"/>
          <w:szCs w:val="20"/>
        </w:rPr>
      </w:pPr>
    </w:p>
    <w:p w14:paraId="7593A1D6" w14:textId="77777777" w:rsidR="00480DF7" w:rsidRDefault="00480DF7" w:rsidP="0069632C">
      <w:pPr>
        <w:jc w:val="both"/>
        <w:rPr>
          <w:rFonts w:ascii="Cambria" w:hAnsi="Cambria" w:cs="Calibri"/>
          <w:b/>
          <w:bCs/>
          <w:sz w:val="20"/>
          <w:szCs w:val="20"/>
        </w:rPr>
      </w:pPr>
      <w:r>
        <w:rPr>
          <w:rFonts w:ascii="Cambria" w:hAnsi="Cambria"/>
          <w:b/>
          <w:sz w:val="20"/>
        </w:rPr>
        <w:t>Artículo 7 - Fondo de operaciones</w:t>
      </w:r>
    </w:p>
    <w:p w14:paraId="1C00B116" w14:textId="77777777" w:rsidR="00701292" w:rsidRPr="0069632C" w:rsidRDefault="00701292" w:rsidP="0069632C">
      <w:pPr>
        <w:jc w:val="both"/>
        <w:rPr>
          <w:rFonts w:ascii="Cambria" w:hAnsi="Cambria" w:cs="Calibri"/>
          <w:b/>
          <w:bCs/>
          <w:sz w:val="20"/>
          <w:szCs w:val="20"/>
        </w:rPr>
      </w:pPr>
    </w:p>
    <w:p w14:paraId="4BCB78E0" w14:textId="2480697A" w:rsidR="00480DF7" w:rsidRPr="002A6A53" w:rsidRDefault="00480DF7" w:rsidP="0069632C">
      <w:pPr>
        <w:pStyle w:val="ListParagraph"/>
        <w:numPr>
          <w:ilvl w:val="0"/>
          <w:numId w:val="2"/>
        </w:numPr>
        <w:jc w:val="both"/>
        <w:rPr>
          <w:rFonts w:ascii="Cambria" w:hAnsi="Cambria" w:cs="Calibri"/>
          <w:strike/>
          <w:sz w:val="20"/>
          <w:szCs w:val="20"/>
        </w:rPr>
      </w:pPr>
      <w:r>
        <w:rPr>
          <w:rFonts w:ascii="Cambria" w:hAnsi="Cambria"/>
          <w:sz w:val="20"/>
        </w:rPr>
        <w:t xml:space="preserve">La Comisión determinará la cuantía del Fondo de operaciones que </w:t>
      </w:r>
      <w:r w:rsidRPr="002A6A53">
        <w:rPr>
          <w:rFonts w:ascii="Cambria" w:hAnsi="Cambria"/>
          <w:strike/>
          <w:sz w:val="20"/>
        </w:rPr>
        <w:t>y fijará los anticipos de los miembros de la Comisión necesarios para mantener dicho Fondo.</w:t>
      </w:r>
    </w:p>
    <w:p w14:paraId="2B6306A8" w14:textId="2E734D6F" w:rsidR="00480DF7" w:rsidRPr="0069632C" w:rsidRDefault="00480DF7" w:rsidP="0069632C">
      <w:pPr>
        <w:pStyle w:val="ListParagraph"/>
        <w:numPr>
          <w:ilvl w:val="0"/>
          <w:numId w:val="2"/>
        </w:numPr>
        <w:jc w:val="both"/>
        <w:rPr>
          <w:rFonts w:ascii="Cambria" w:hAnsi="Cambria" w:cs="Calibri"/>
          <w:strike/>
          <w:sz w:val="20"/>
          <w:szCs w:val="20"/>
        </w:rPr>
      </w:pPr>
      <w:r>
        <w:rPr>
          <w:rFonts w:ascii="Cambria" w:hAnsi="Cambria"/>
          <w:strike/>
          <w:sz w:val="20"/>
        </w:rPr>
        <w:t>La aportación de los miembros de la Comisión se fijará con arreglo a la misma base prevista en el Artículo X-2 (c) del Convenio.</w:t>
      </w:r>
    </w:p>
    <w:p w14:paraId="11032630" w14:textId="6B03EFC5" w:rsidR="00480DF7" w:rsidRPr="0069632C" w:rsidRDefault="00480DF7" w:rsidP="0069632C">
      <w:pPr>
        <w:pStyle w:val="ListParagraph"/>
        <w:numPr>
          <w:ilvl w:val="0"/>
          <w:numId w:val="2"/>
        </w:numPr>
        <w:jc w:val="both"/>
        <w:rPr>
          <w:rFonts w:ascii="Cambria" w:hAnsi="Cambria" w:cs="Calibri"/>
          <w:strike/>
          <w:sz w:val="20"/>
          <w:szCs w:val="20"/>
        </w:rPr>
      </w:pPr>
      <w:r>
        <w:rPr>
          <w:rFonts w:ascii="Cambria" w:hAnsi="Cambria"/>
          <w:strike/>
          <w:sz w:val="20"/>
        </w:rPr>
        <w:t>La Comisión determinará la cuantía de la aportación de los nuevos miembros. A menos que la Comisión decida en contrario, la cantidad fijada como aportación de los nuevos miembros se considerará como aumento en la cuantía del Fondo de Operaciones.</w:t>
      </w:r>
    </w:p>
    <w:p w14:paraId="68159BD3" w14:textId="26F4ACCC" w:rsidR="00A161C9" w:rsidRPr="0069632C" w:rsidRDefault="00480DF7" w:rsidP="00CE1CBE">
      <w:pPr>
        <w:pStyle w:val="ListParagraph"/>
        <w:jc w:val="both"/>
        <w:rPr>
          <w:rFonts w:ascii="Cambria" w:hAnsi="Cambria" w:cs="Calibri"/>
          <w:sz w:val="20"/>
          <w:szCs w:val="20"/>
          <w:u w:val="single"/>
        </w:rPr>
      </w:pPr>
      <w:r w:rsidRPr="002A6A53">
        <w:rPr>
          <w:rFonts w:ascii="Cambria" w:hAnsi="Cambria"/>
          <w:strike/>
          <w:sz w:val="20"/>
        </w:rPr>
        <w:t xml:space="preserve">El Fondo de operaciones </w:t>
      </w:r>
      <w:r>
        <w:rPr>
          <w:rFonts w:ascii="Cambria" w:hAnsi="Cambria"/>
          <w:sz w:val="20"/>
        </w:rPr>
        <w:t xml:space="preserve">se utilizará para financiar las operaciones de la Comisión antes de recibir las contribuciones anuales y para cualesquiera otros fines que la Comisión determine, </w:t>
      </w:r>
      <w:r>
        <w:rPr>
          <w:rFonts w:ascii="Cambria" w:hAnsi="Cambria"/>
          <w:sz w:val="20"/>
          <w:u w:val="single"/>
        </w:rPr>
        <w:t>lo que incluye una cantidad de hasta el [5 %] del presupuesto anual para el año en curso destinado para emergencias o gastos imprevistos.</w:t>
      </w:r>
      <w:r>
        <w:rPr>
          <w:rFonts w:ascii="Cambria" w:hAnsi="Cambria"/>
          <w:sz w:val="20"/>
        </w:rPr>
        <w:t xml:space="preserve"> Las cantidades retiradas del Fondo de </w:t>
      </w:r>
      <w:r w:rsidR="00CE1CBE">
        <w:rPr>
          <w:rFonts w:ascii="Cambria" w:hAnsi="Cambria"/>
          <w:sz w:val="20"/>
        </w:rPr>
        <w:t xml:space="preserve">operaciones </w:t>
      </w:r>
      <w:r>
        <w:rPr>
          <w:rFonts w:ascii="Cambria" w:hAnsi="Cambria"/>
          <w:sz w:val="20"/>
        </w:rPr>
        <w:t xml:space="preserve">para financiar actividades de la Comisión antes de recibir las contribuciones anuales serán </w:t>
      </w:r>
      <w:r w:rsidR="00CE1CBE">
        <w:rPr>
          <w:rFonts w:ascii="Cambria" w:hAnsi="Cambria"/>
          <w:sz w:val="20"/>
        </w:rPr>
        <w:t xml:space="preserve">reembolsadas </w:t>
      </w:r>
      <w:r>
        <w:rPr>
          <w:rFonts w:ascii="Cambria" w:hAnsi="Cambria"/>
          <w:sz w:val="20"/>
        </w:rPr>
        <w:t xml:space="preserve">del Fondo </w:t>
      </w:r>
      <w:r w:rsidR="00CE1CBE">
        <w:rPr>
          <w:rFonts w:ascii="Cambria" w:hAnsi="Cambria"/>
          <w:sz w:val="20"/>
        </w:rPr>
        <w:t xml:space="preserve">general </w:t>
      </w:r>
      <w:r>
        <w:rPr>
          <w:rFonts w:ascii="Cambria" w:hAnsi="Cambria"/>
          <w:sz w:val="20"/>
        </w:rPr>
        <w:t>lo antes posible.</w:t>
      </w:r>
    </w:p>
    <w:p w14:paraId="285CA9E8" w14:textId="058447E4" w:rsidR="0055152E" w:rsidRPr="0069632C" w:rsidRDefault="00331D43" w:rsidP="0069632C">
      <w:pPr>
        <w:pStyle w:val="ListParagraph"/>
        <w:numPr>
          <w:ilvl w:val="0"/>
          <w:numId w:val="2"/>
        </w:numPr>
        <w:jc w:val="both"/>
        <w:rPr>
          <w:rFonts w:ascii="Cambria" w:hAnsi="Cambria" w:cs="Calibri"/>
          <w:sz w:val="20"/>
          <w:szCs w:val="20"/>
          <w:u w:val="single"/>
        </w:rPr>
      </w:pPr>
      <w:r>
        <w:rPr>
          <w:rFonts w:ascii="Cambria" w:hAnsi="Cambria"/>
          <w:sz w:val="20"/>
          <w:u w:val="single"/>
        </w:rPr>
        <w:t xml:space="preserve">Todo excedente de ingresos sobre gastos al cierre de cada ejercicio financiero se </w:t>
      </w:r>
      <w:r w:rsidR="00EF33C5">
        <w:rPr>
          <w:rFonts w:ascii="Cambria" w:hAnsi="Cambria"/>
          <w:sz w:val="20"/>
          <w:u w:val="single"/>
        </w:rPr>
        <w:t>transferirá</w:t>
      </w:r>
      <w:r>
        <w:rPr>
          <w:rFonts w:ascii="Cambria" w:hAnsi="Cambria"/>
          <w:sz w:val="20"/>
          <w:u w:val="single"/>
        </w:rPr>
        <w:t xml:space="preserve"> al Fondo de operaciones, así como cualquier reembolso de gastos del ejercicio financiero anterior.</w:t>
      </w:r>
    </w:p>
    <w:p w14:paraId="275ECC1D" w14:textId="7A94EC21" w:rsidR="0055152E" w:rsidRPr="0069632C" w:rsidRDefault="0055152E" w:rsidP="0069632C">
      <w:pPr>
        <w:pStyle w:val="ListParagraph"/>
        <w:jc w:val="both"/>
        <w:rPr>
          <w:rFonts w:ascii="Cambria" w:hAnsi="Cambria" w:cs="Calibri"/>
          <w:sz w:val="20"/>
          <w:szCs w:val="20"/>
          <w:u w:val="single"/>
        </w:rPr>
      </w:pPr>
    </w:p>
    <w:sectPr w:rsidR="0055152E" w:rsidRPr="0069632C" w:rsidSect="00714C90">
      <w:headerReference w:type="default" r:id="rId7"/>
      <w:footerReference w:type="default" r:id="rId8"/>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5331" w14:textId="77777777" w:rsidR="00F54560" w:rsidRDefault="00F54560" w:rsidP="00BD64AB">
      <w:r>
        <w:separator/>
      </w:r>
    </w:p>
  </w:endnote>
  <w:endnote w:type="continuationSeparator" w:id="0">
    <w:p w14:paraId="3EB345A9" w14:textId="77777777" w:rsidR="00F54560" w:rsidRDefault="00F54560" w:rsidP="00BD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780" w14:textId="0F9B7E13" w:rsidR="00BD64AB" w:rsidRPr="00714C90" w:rsidRDefault="00C13371" w:rsidP="00714C90">
    <w:pPr>
      <w:tabs>
        <w:tab w:val="center" w:pos="4513"/>
        <w:tab w:val="right" w:pos="9026"/>
      </w:tabs>
      <w:jc w:val="center"/>
    </w:pPr>
    <w:sdt>
      <w:sdtPr>
        <w:id w:val="-60483211"/>
        <w:docPartObj>
          <w:docPartGallery w:val="Page Numbers (Top of Page)"/>
          <w:docPartUnique/>
        </w:docPartObj>
      </w:sdtPr>
      <w:sdtEndPr/>
      <w:sdtContent>
        <w:r w:rsidR="00BD64AB" w:rsidRPr="007F0202">
          <w:rPr>
            <w:rFonts w:ascii="Cambria" w:hAnsi="Cambria"/>
            <w:sz w:val="20"/>
          </w:rPr>
          <w:fldChar w:fldCharType="begin"/>
        </w:r>
        <w:r w:rsidR="00BD64AB" w:rsidRPr="007F0202">
          <w:rPr>
            <w:rFonts w:ascii="Cambria" w:hAnsi="Cambria"/>
            <w:sz w:val="20"/>
          </w:rPr>
          <w:instrText xml:space="preserve"> PAGE </w:instrText>
        </w:r>
        <w:r w:rsidR="00BD64AB" w:rsidRPr="007F0202">
          <w:rPr>
            <w:rFonts w:ascii="Cambria" w:hAnsi="Cambria"/>
            <w:sz w:val="20"/>
          </w:rPr>
          <w:fldChar w:fldCharType="separate"/>
        </w:r>
        <w:r w:rsidR="00BD64AB">
          <w:rPr>
            <w:rFonts w:ascii="Cambria" w:hAnsi="Cambria"/>
          </w:rPr>
          <w:t>1</w:t>
        </w:r>
        <w:r w:rsidR="00BD64AB" w:rsidRPr="007F0202">
          <w:rPr>
            <w:rFonts w:ascii="Cambria" w:hAnsi="Cambria"/>
            <w:sz w:val="20"/>
          </w:rPr>
          <w:fldChar w:fldCharType="end"/>
        </w:r>
        <w:r w:rsidR="008042C7">
          <w:rPr>
            <w:rFonts w:ascii="Cambria" w:hAnsi="Cambria"/>
            <w:sz w:val="20"/>
          </w:rPr>
          <w:t xml:space="preserve"> / </w:t>
        </w:r>
        <w:r w:rsidR="00BD64AB" w:rsidRPr="007F0202">
          <w:rPr>
            <w:rFonts w:ascii="Cambria" w:hAnsi="Cambria"/>
            <w:sz w:val="20"/>
          </w:rPr>
          <w:fldChar w:fldCharType="begin"/>
        </w:r>
        <w:r w:rsidR="00BD64AB" w:rsidRPr="007F0202">
          <w:rPr>
            <w:rFonts w:ascii="Cambria" w:hAnsi="Cambria"/>
            <w:sz w:val="20"/>
          </w:rPr>
          <w:instrText xml:space="preserve"> NUMPAGES  </w:instrText>
        </w:r>
        <w:r w:rsidR="00BD64AB" w:rsidRPr="007F0202">
          <w:rPr>
            <w:rFonts w:ascii="Cambria" w:hAnsi="Cambria"/>
            <w:sz w:val="20"/>
          </w:rPr>
          <w:fldChar w:fldCharType="separate"/>
        </w:r>
        <w:r w:rsidR="00BD64AB">
          <w:rPr>
            <w:rFonts w:ascii="Cambria" w:hAnsi="Cambria"/>
          </w:rPr>
          <w:t>7</w:t>
        </w:r>
        <w:r w:rsidR="00BD64AB" w:rsidRPr="007F0202">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96EB" w14:textId="77777777" w:rsidR="00F54560" w:rsidRDefault="00F54560" w:rsidP="00BD64AB">
      <w:r>
        <w:separator/>
      </w:r>
    </w:p>
  </w:footnote>
  <w:footnote w:type="continuationSeparator" w:id="0">
    <w:p w14:paraId="72984800" w14:textId="77777777" w:rsidR="00F54560" w:rsidRDefault="00F54560" w:rsidP="00BD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1132" w14:textId="2BBE0ED7" w:rsidR="00FA212D" w:rsidRPr="00534D5A" w:rsidRDefault="00FA212D" w:rsidP="00FA212D">
    <w:pPr>
      <w:tabs>
        <w:tab w:val="center" w:pos="4680"/>
        <w:tab w:val="left" w:pos="6520"/>
        <w:tab w:val="right" w:pos="9360"/>
        <w:tab w:val="right" w:pos="14240"/>
      </w:tabs>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STF_217</w:t>
    </w:r>
    <w:r w:rsidR="00814024">
      <w:rPr>
        <w:rFonts w:ascii="Cambria" w:hAnsi="Cambria"/>
        <w:b/>
        <w:sz w:val="20"/>
      </w:rPr>
      <w:t>A</w:t>
    </w:r>
    <w:r>
      <w:rPr>
        <w:rFonts w:ascii="Cambria" w:hAnsi="Cambria"/>
        <w:b/>
        <w:sz w:val="20"/>
      </w:rPr>
      <w:t>/2025</w:t>
    </w:r>
  </w:p>
  <w:p w14:paraId="07D5AAD8" w14:textId="74CF4FAA" w:rsidR="00FA212D" w:rsidRDefault="00FA212D" w:rsidP="00FA212D">
    <w:pPr>
      <w:widowControl w:val="0"/>
      <w:tabs>
        <w:tab w:val="left" w:pos="7320"/>
      </w:tabs>
      <w:autoSpaceDE w:val="0"/>
      <w:autoSpaceDN w:val="0"/>
      <w:jc w:val="right"/>
    </w:pPr>
    <w:r w:rsidRPr="00534D5A">
      <w:rPr>
        <w:rFonts w:ascii="Cambria" w:eastAsia="Cambria" w:hAnsi="Cambria" w:cs="Cambria"/>
        <w:b/>
        <w:sz w:val="16"/>
      </w:rPr>
      <w:fldChar w:fldCharType="begin"/>
    </w:r>
    <w:r w:rsidRPr="00534D5A">
      <w:rPr>
        <w:rFonts w:ascii="Cambria" w:eastAsia="Cambria" w:hAnsi="Cambria" w:cs="Cambria"/>
        <w:b/>
        <w:sz w:val="16"/>
      </w:rPr>
      <w:instrText xml:space="preserve"> TIME \@ "dd/MM/yyyy H:mm" </w:instrText>
    </w:r>
    <w:r w:rsidRPr="00534D5A">
      <w:rPr>
        <w:rFonts w:ascii="Cambria" w:eastAsia="Cambria" w:hAnsi="Cambria" w:cs="Cambria"/>
        <w:b/>
        <w:sz w:val="16"/>
      </w:rPr>
      <w:fldChar w:fldCharType="separate"/>
    </w:r>
    <w:r w:rsidR="000917DE">
      <w:rPr>
        <w:rFonts w:ascii="Cambria" w:eastAsia="Cambria" w:hAnsi="Cambria" w:cs="Cambria"/>
        <w:b/>
        <w:noProof/>
        <w:sz w:val="16"/>
      </w:rPr>
      <w:t>22/11/2025 19:51</w:t>
    </w:r>
    <w:r w:rsidRPr="00534D5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113"/>
    <w:multiLevelType w:val="hybridMultilevel"/>
    <w:tmpl w:val="49E661F4"/>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B13C8"/>
    <w:multiLevelType w:val="hybridMultilevel"/>
    <w:tmpl w:val="46B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11C55"/>
    <w:multiLevelType w:val="hybridMultilevel"/>
    <w:tmpl w:val="E6F6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772A1"/>
    <w:multiLevelType w:val="hybridMultilevel"/>
    <w:tmpl w:val="E6D05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B58D2"/>
    <w:multiLevelType w:val="hybridMultilevel"/>
    <w:tmpl w:val="D3028FBC"/>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C7E65"/>
    <w:multiLevelType w:val="hybridMultilevel"/>
    <w:tmpl w:val="9038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844102">
    <w:abstractNumId w:val="2"/>
  </w:num>
  <w:num w:numId="2" w16cid:durableId="1865901715">
    <w:abstractNumId w:val="3"/>
  </w:num>
  <w:num w:numId="3" w16cid:durableId="1972830260">
    <w:abstractNumId w:val="5"/>
  </w:num>
  <w:num w:numId="4" w16cid:durableId="246964589">
    <w:abstractNumId w:val="4"/>
  </w:num>
  <w:num w:numId="5" w16cid:durableId="357198171">
    <w:abstractNumId w:val="0"/>
  </w:num>
  <w:num w:numId="6" w16cid:durableId="201125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F7"/>
    <w:rsid w:val="00036828"/>
    <w:rsid w:val="00053C11"/>
    <w:rsid w:val="00076BD2"/>
    <w:rsid w:val="000837E3"/>
    <w:rsid w:val="00084293"/>
    <w:rsid w:val="000917DE"/>
    <w:rsid w:val="000A313D"/>
    <w:rsid w:val="000D0A1C"/>
    <w:rsid w:val="000E59AB"/>
    <w:rsid w:val="000F39B4"/>
    <w:rsid w:val="001175EC"/>
    <w:rsid w:val="00152D1E"/>
    <w:rsid w:val="0016145B"/>
    <w:rsid w:val="00163CD5"/>
    <w:rsid w:val="00163E33"/>
    <w:rsid w:val="001759BE"/>
    <w:rsid w:val="00193C97"/>
    <w:rsid w:val="00196A1F"/>
    <w:rsid w:val="001A6229"/>
    <w:rsid w:val="001A6329"/>
    <w:rsid w:val="001B444B"/>
    <w:rsid w:val="001B7D91"/>
    <w:rsid w:val="001C1D2F"/>
    <w:rsid w:val="001D5209"/>
    <w:rsid w:val="001E08CE"/>
    <w:rsid w:val="001E2732"/>
    <w:rsid w:val="001F0754"/>
    <w:rsid w:val="00212EBC"/>
    <w:rsid w:val="002601BF"/>
    <w:rsid w:val="00262807"/>
    <w:rsid w:val="00294E62"/>
    <w:rsid w:val="002A6A53"/>
    <w:rsid w:val="002B502C"/>
    <w:rsid w:val="002D0B59"/>
    <w:rsid w:val="002D1811"/>
    <w:rsid w:val="002E76F4"/>
    <w:rsid w:val="00302A3E"/>
    <w:rsid w:val="00306946"/>
    <w:rsid w:val="003239C8"/>
    <w:rsid w:val="00331D43"/>
    <w:rsid w:val="00342B11"/>
    <w:rsid w:val="00344D19"/>
    <w:rsid w:val="00345FBE"/>
    <w:rsid w:val="003471F4"/>
    <w:rsid w:val="00351C5F"/>
    <w:rsid w:val="003614C7"/>
    <w:rsid w:val="00361D07"/>
    <w:rsid w:val="00362B42"/>
    <w:rsid w:val="00363E4A"/>
    <w:rsid w:val="003653B4"/>
    <w:rsid w:val="00396605"/>
    <w:rsid w:val="003B5FF5"/>
    <w:rsid w:val="003C71A8"/>
    <w:rsid w:val="003D54D6"/>
    <w:rsid w:val="003F6CBA"/>
    <w:rsid w:val="0040472C"/>
    <w:rsid w:val="00405340"/>
    <w:rsid w:val="00415497"/>
    <w:rsid w:val="0043025C"/>
    <w:rsid w:val="00465453"/>
    <w:rsid w:val="00474007"/>
    <w:rsid w:val="00480DF7"/>
    <w:rsid w:val="00485F88"/>
    <w:rsid w:val="004B6637"/>
    <w:rsid w:val="004C299A"/>
    <w:rsid w:val="004C349D"/>
    <w:rsid w:val="004D0B53"/>
    <w:rsid w:val="004D3E90"/>
    <w:rsid w:val="004F0736"/>
    <w:rsid w:val="00515E62"/>
    <w:rsid w:val="00517277"/>
    <w:rsid w:val="00533C36"/>
    <w:rsid w:val="00540763"/>
    <w:rsid w:val="0055152E"/>
    <w:rsid w:val="00562805"/>
    <w:rsid w:val="00583AA5"/>
    <w:rsid w:val="00584744"/>
    <w:rsid w:val="005965C4"/>
    <w:rsid w:val="005A545F"/>
    <w:rsid w:val="005B18F9"/>
    <w:rsid w:val="005E5574"/>
    <w:rsid w:val="005F0282"/>
    <w:rsid w:val="005F787F"/>
    <w:rsid w:val="00610A06"/>
    <w:rsid w:val="00634EE8"/>
    <w:rsid w:val="006438E7"/>
    <w:rsid w:val="00662ED2"/>
    <w:rsid w:val="00664828"/>
    <w:rsid w:val="006674DE"/>
    <w:rsid w:val="006715A4"/>
    <w:rsid w:val="006904CB"/>
    <w:rsid w:val="006922DB"/>
    <w:rsid w:val="00696017"/>
    <w:rsid w:val="0069632C"/>
    <w:rsid w:val="006A5DE6"/>
    <w:rsid w:val="006D4631"/>
    <w:rsid w:val="006E1673"/>
    <w:rsid w:val="00701292"/>
    <w:rsid w:val="00702A06"/>
    <w:rsid w:val="00714C90"/>
    <w:rsid w:val="00730CEF"/>
    <w:rsid w:val="007412C4"/>
    <w:rsid w:val="007415A4"/>
    <w:rsid w:val="00750F73"/>
    <w:rsid w:val="00765E78"/>
    <w:rsid w:val="00774FA6"/>
    <w:rsid w:val="00777D0C"/>
    <w:rsid w:val="007E599A"/>
    <w:rsid w:val="007F68B0"/>
    <w:rsid w:val="008042C7"/>
    <w:rsid w:val="00810825"/>
    <w:rsid w:val="00810B25"/>
    <w:rsid w:val="00810B4B"/>
    <w:rsid w:val="00814024"/>
    <w:rsid w:val="00815417"/>
    <w:rsid w:val="00871894"/>
    <w:rsid w:val="00872507"/>
    <w:rsid w:val="008725D0"/>
    <w:rsid w:val="00882A02"/>
    <w:rsid w:val="008903E5"/>
    <w:rsid w:val="008A2581"/>
    <w:rsid w:val="008B4943"/>
    <w:rsid w:val="008C046D"/>
    <w:rsid w:val="008C13D0"/>
    <w:rsid w:val="008C4791"/>
    <w:rsid w:val="008C5127"/>
    <w:rsid w:val="008D2579"/>
    <w:rsid w:val="008D33E7"/>
    <w:rsid w:val="008D55A0"/>
    <w:rsid w:val="008E1534"/>
    <w:rsid w:val="008E7B5A"/>
    <w:rsid w:val="008F4F41"/>
    <w:rsid w:val="008F5C5F"/>
    <w:rsid w:val="009104E6"/>
    <w:rsid w:val="0091642E"/>
    <w:rsid w:val="0094030D"/>
    <w:rsid w:val="009506AB"/>
    <w:rsid w:val="009730D4"/>
    <w:rsid w:val="009738EF"/>
    <w:rsid w:val="00974336"/>
    <w:rsid w:val="00983474"/>
    <w:rsid w:val="00987012"/>
    <w:rsid w:val="009A302A"/>
    <w:rsid w:val="009A71C9"/>
    <w:rsid w:val="009B02E5"/>
    <w:rsid w:val="009B3442"/>
    <w:rsid w:val="009B4F31"/>
    <w:rsid w:val="009C3D5A"/>
    <w:rsid w:val="009D3D23"/>
    <w:rsid w:val="009E7299"/>
    <w:rsid w:val="009F1336"/>
    <w:rsid w:val="009F2153"/>
    <w:rsid w:val="00A0204E"/>
    <w:rsid w:val="00A161C9"/>
    <w:rsid w:val="00A20B87"/>
    <w:rsid w:val="00A232E5"/>
    <w:rsid w:val="00A30A56"/>
    <w:rsid w:val="00A3472F"/>
    <w:rsid w:val="00A423BB"/>
    <w:rsid w:val="00A4287C"/>
    <w:rsid w:val="00A46CCF"/>
    <w:rsid w:val="00A51443"/>
    <w:rsid w:val="00A63206"/>
    <w:rsid w:val="00A64053"/>
    <w:rsid w:val="00A76FC1"/>
    <w:rsid w:val="00AC255F"/>
    <w:rsid w:val="00AE3D89"/>
    <w:rsid w:val="00B00037"/>
    <w:rsid w:val="00B02C9A"/>
    <w:rsid w:val="00B03131"/>
    <w:rsid w:val="00B10B2D"/>
    <w:rsid w:val="00B13C4A"/>
    <w:rsid w:val="00B17E50"/>
    <w:rsid w:val="00B50DC2"/>
    <w:rsid w:val="00B720FC"/>
    <w:rsid w:val="00B762B7"/>
    <w:rsid w:val="00B8090C"/>
    <w:rsid w:val="00B915FE"/>
    <w:rsid w:val="00B96C17"/>
    <w:rsid w:val="00BA0820"/>
    <w:rsid w:val="00BA1EE6"/>
    <w:rsid w:val="00BB381A"/>
    <w:rsid w:val="00BC4369"/>
    <w:rsid w:val="00BD2800"/>
    <w:rsid w:val="00BD64AB"/>
    <w:rsid w:val="00BF0948"/>
    <w:rsid w:val="00BF5F0A"/>
    <w:rsid w:val="00C27A27"/>
    <w:rsid w:val="00C30656"/>
    <w:rsid w:val="00C8463B"/>
    <w:rsid w:val="00CA4E5D"/>
    <w:rsid w:val="00CA63E1"/>
    <w:rsid w:val="00CA690D"/>
    <w:rsid w:val="00CD6756"/>
    <w:rsid w:val="00CE1CBE"/>
    <w:rsid w:val="00CE226A"/>
    <w:rsid w:val="00CE2CB4"/>
    <w:rsid w:val="00CE523A"/>
    <w:rsid w:val="00CE7E6D"/>
    <w:rsid w:val="00D10CFC"/>
    <w:rsid w:val="00D249E8"/>
    <w:rsid w:val="00D36358"/>
    <w:rsid w:val="00D82ACC"/>
    <w:rsid w:val="00DB4993"/>
    <w:rsid w:val="00DF21C4"/>
    <w:rsid w:val="00E015B6"/>
    <w:rsid w:val="00E024D0"/>
    <w:rsid w:val="00E1335F"/>
    <w:rsid w:val="00E13661"/>
    <w:rsid w:val="00E15E05"/>
    <w:rsid w:val="00E313CA"/>
    <w:rsid w:val="00E31B4C"/>
    <w:rsid w:val="00E35697"/>
    <w:rsid w:val="00E45256"/>
    <w:rsid w:val="00E46899"/>
    <w:rsid w:val="00E479FC"/>
    <w:rsid w:val="00E51583"/>
    <w:rsid w:val="00E516E3"/>
    <w:rsid w:val="00E62FEB"/>
    <w:rsid w:val="00E651D6"/>
    <w:rsid w:val="00E7073F"/>
    <w:rsid w:val="00E70DA0"/>
    <w:rsid w:val="00E83985"/>
    <w:rsid w:val="00E97FE1"/>
    <w:rsid w:val="00EA079D"/>
    <w:rsid w:val="00EA479D"/>
    <w:rsid w:val="00EB583D"/>
    <w:rsid w:val="00ED4A60"/>
    <w:rsid w:val="00EF3224"/>
    <w:rsid w:val="00EF33C5"/>
    <w:rsid w:val="00EF4291"/>
    <w:rsid w:val="00F00EF6"/>
    <w:rsid w:val="00F146E8"/>
    <w:rsid w:val="00F14C49"/>
    <w:rsid w:val="00F40687"/>
    <w:rsid w:val="00F4484C"/>
    <w:rsid w:val="00F455C9"/>
    <w:rsid w:val="00F46927"/>
    <w:rsid w:val="00F54560"/>
    <w:rsid w:val="00F57925"/>
    <w:rsid w:val="00F64DC1"/>
    <w:rsid w:val="00F6789B"/>
    <w:rsid w:val="00F93527"/>
    <w:rsid w:val="00FA212D"/>
    <w:rsid w:val="00FA28DA"/>
    <w:rsid w:val="00FA733D"/>
    <w:rsid w:val="00FB177D"/>
    <w:rsid w:val="00FC274A"/>
    <w:rsid w:val="00FC7B20"/>
    <w:rsid w:val="00FE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9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88"/>
    <w:pPr>
      <w:spacing w:after="0" w:line="240" w:lineRule="auto"/>
    </w:pPr>
    <w:rPr>
      <w:sz w:val="30"/>
      <w:szCs w:val="30"/>
    </w:rPr>
  </w:style>
  <w:style w:type="paragraph" w:styleId="Heading1">
    <w:name w:val="heading 1"/>
    <w:basedOn w:val="Normal"/>
    <w:next w:val="Normal"/>
    <w:link w:val="Heading1Char"/>
    <w:uiPriority w:val="9"/>
    <w:qFormat/>
    <w:rsid w:val="00480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D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D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D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D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DF7"/>
    <w:rPr>
      <w:rFonts w:eastAsiaTheme="majorEastAsia" w:cstheme="majorBidi"/>
      <w:i/>
      <w:iCs/>
      <w:color w:val="0F4761" w:themeColor="accent1" w:themeShade="BF"/>
      <w:sz w:val="30"/>
      <w:szCs w:val="30"/>
    </w:rPr>
  </w:style>
  <w:style w:type="character" w:customStyle="1" w:styleId="Heading5Char">
    <w:name w:val="Heading 5 Char"/>
    <w:basedOn w:val="DefaultParagraphFont"/>
    <w:link w:val="Heading5"/>
    <w:uiPriority w:val="9"/>
    <w:semiHidden/>
    <w:rsid w:val="00480DF7"/>
    <w:rPr>
      <w:rFonts w:eastAsiaTheme="majorEastAsia" w:cstheme="majorBidi"/>
      <w:color w:val="0F4761" w:themeColor="accent1" w:themeShade="BF"/>
      <w:sz w:val="30"/>
      <w:szCs w:val="30"/>
    </w:rPr>
  </w:style>
  <w:style w:type="character" w:customStyle="1" w:styleId="Heading6Char">
    <w:name w:val="Heading 6 Char"/>
    <w:basedOn w:val="DefaultParagraphFont"/>
    <w:link w:val="Heading6"/>
    <w:uiPriority w:val="9"/>
    <w:semiHidden/>
    <w:rsid w:val="00480DF7"/>
    <w:rPr>
      <w:rFonts w:eastAsiaTheme="majorEastAsia" w:cstheme="majorBidi"/>
      <w:i/>
      <w:iCs/>
      <w:color w:val="595959" w:themeColor="text1" w:themeTint="A6"/>
      <w:sz w:val="30"/>
      <w:szCs w:val="30"/>
    </w:rPr>
  </w:style>
  <w:style w:type="character" w:customStyle="1" w:styleId="Heading7Char">
    <w:name w:val="Heading 7 Char"/>
    <w:basedOn w:val="DefaultParagraphFont"/>
    <w:link w:val="Heading7"/>
    <w:uiPriority w:val="9"/>
    <w:semiHidden/>
    <w:rsid w:val="00480DF7"/>
    <w:rPr>
      <w:rFonts w:eastAsiaTheme="majorEastAsia" w:cstheme="majorBidi"/>
      <w:color w:val="595959" w:themeColor="text1" w:themeTint="A6"/>
      <w:sz w:val="30"/>
      <w:szCs w:val="30"/>
    </w:rPr>
  </w:style>
  <w:style w:type="character" w:customStyle="1" w:styleId="Heading8Char">
    <w:name w:val="Heading 8 Char"/>
    <w:basedOn w:val="DefaultParagraphFont"/>
    <w:link w:val="Heading8"/>
    <w:uiPriority w:val="9"/>
    <w:semiHidden/>
    <w:rsid w:val="00480DF7"/>
    <w:rPr>
      <w:rFonts w:eastAsiaTheme="majorEastAsia" w:cstheme="majorBidi"/>
      <w:i/>
      <w:iCs/>
      <w:color w:val="272727" w:themeColor="text1" w:themeTint="D8"/>
      <w:sz w:val="30"/>
      <w:szCs w:val="30"/>
    </w:rPr>
  </w:style>
  <w:style w:type="character" w:customStyle="1" w:styleId="Heading9Char">
    <w:name w:val="Heading 9 Char"/>
    <w:basedOn w:val="DefaultParagraphFont"/>
    <w:link w:val="Heading9"/>
    <w:uiPriority w:val="9"/>
    <w:semiHidden/>
    <w:rsid w:val="00480DF7"/>
    <w:rPr>
      <w:rFonts w:eastAsiaTheme="majorEastAsia" w:cstheme="majorBidi"/>
      <w:color w:val="272727" w:themeColor="text1" w:themeTint="D8"/>
      <w:sz w:val="30"/>
      <w:szCs w:val="30"/>
    </w:rPr>
  </w:style>
  <w:style w:type="paragraph" w:styleId="Title">
    <w:name w:val="Title"/>
    <w:basedOn w:val="Normal"/>
    <w:next w:val="Normal"/>
    <w:link w:val="TitleChar"/>
    <w:uiPriority w:val="10"/>
    <w:qFormat/>
    <w:rsid w:val="00480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D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D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DF7"/>
    <w:rPr>
      <w:i/>
      <w:iCs/>
      <w:color w:val="404040" w:themeColor="text1" w:themeTint="BF"/>
      <w:sz w:val="30"/>
      <w:szCs w:val="30"/>
    </w:rPr>
  </w:style>
  <w:style w:type="paragraph" w:styleId="ListParagraph">
    <w:name w:val="List Paragraph"/>
    <w:basedOn w:val="Normal"/>
    <w:uiPriority w:val="34"/>
    <w:qFormat/>
    <w:rsid w:val="00480DF7"/>
    <w:pPr>
      <w:ind w:left="720"/>
      <w:contextualSpacing/>
    </w:pPr>
  </w:style>
  <w:style w:type="character" w:styleId="IntenseEmphasis">
    <w:name w:val="Intense Emphasis"/>
    <w:basedOn w:val="DefaultParagraphFont"/>
    <w:uiPriority w:val="21"/>
    <w:qFormat/>
    <w:rsid w:val="00480DF7"/>
    <w:rPr>
      <w:i/>
      <w:iCs/>
      <w:color w:val="0F4761" w:themeColor="accent1" w:themeShade="BF"/>
    </w:rPr>
  </w:style>
  <w:style w:type="paragraph" w:styleId="IntenseQuote">
    <w:name w:val="Intense Quote"/>
    <w:basedOn w:val="Normal"/>
    <w:next w:val="Normal"/>
    <w:link w:val="IntenseQuoteChar"/>
    <w:uiPriority w:val="30"/>
    <w:qFormat/>
    <w:rsid w:val="00480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DF7"/>
    <w:rPr>
      <w:i/>
      <w:iCs/>
      <w:color w:val="0F4761" w:themeColor="accent1" w:themeShade="BF"/>
      <w:sz w:val="30"/>
      <w:szCs w:val="30"/>
    </w:rPr>
  </w:style>
  <w:style w:type="character" w:styleId="IntenseReference">
    <w:name w:val="Intense Reference"/>
    <w:basedOn w:val="DefaultParagraphFont"/>
    <w:uiPriority w:val="32"/>
    <w:qFormat/>
    <w:rsid w:val="00480DF7"/>
    <w:rPr>
      <w:b/>
      <w:bCs/>
      <w:smallCaps/>
      <w:color w:val="0F4761" w:themeColor="accent1" w:themeShade="BF"/>
      <w:spacing w:val="5"/>
    </w:rPr>
  </w:style>
  <w:style w:type="table" w:styleId="TableGrid">
    <w:name w:val="Table Grid"/>
    <w:basedOn w:val="TableNormal"/>
    <w:uiPriority w:val="39"/>
    <w:rsid w:val="00C3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CB4"/>
    <w:rPr>
      <w:sz w:val="16"/>
      <w:szCs w:val="16"/>
    </w:rPr>
  </w:style>
  <w:style w:type="paragraph" w:styleId="CommentText">
    <w:name w:val="annotation text"/>
    <w:basedOn w:val="Normal"/>
    <w:link w:val="CommentTextChar"/>
    <w:uiPriority w:val="99"/>
    <w:unhideWhenUsed/>
    <w:rsid w:val="00CE2CB4"/>
    <w:rPr>
      <w:sz w:val="20"/>
      <w:szCs w:val="20"/>
    </w:rPr>
  </w:style>
  <w:style w:type="character" w:customStyle="1" w:styleId="CommentTextChar">
    <w:name w:val="Comment Text Char"/>
    <w:basedOn w:val="DefaultParagraphFont"/>
    <w:link w:val="CommentText"/>
    <w:uiPriority w:val="99"/>
    <w:rsid w:val="00CE2CB4"/>
    <w:rPr>
      <w:sz w:val="20"/>
      <w:szCs w:val="20"/>
    </w:rPr>
  </w:style>
  <w:style w:type="paragraph" w:styleId="CommentSubject">
    <w:name w:val="annotation subject"/>
    <w:basedOn w:val="CommentText"/>
    <w:next w:val="CommentText"/>
    <w:link w:val="CommentSubjectChar"/>
    <w:uiPriority w:val="99"/>
    <w:semiHidden/>
    <w:unhideWhenUsed/>
    <w:rsid w:val="00CE2CB4"/>
    <w:rPr>
      <w:b/>
      <w:bCs/>
    </w:rPr>
  </w:style>
  <w:style w:type="character" w:customStyle="1" w:styleId="CommentSubjectChar">
    <w:name w:val="Comment Subject Char"/>
    <w:basedOn w:val="CommentTextChar"/>
    <w:link w:val="CommentSubject"/>
    <w:uiPriority w:val="99"/>
    <w:semiHidden/>
    <w:rsid w:val="00CE2CB4"/>
    <w:rPr>
      <w:b/>
      <w:bCs/>
      <w:sz w:val="20"/>
      <w:szCs w:val="20"/>
    </w:rPr>
  </w:style>
  <w:style w:type="paragraph" w:styleId="Header">
    <w:name w:val="header"/>
    <w:basedOn w:val="Normal"/>
    <w:link w:val="HeaderChar"/>
    <w:uiPriority w:val="99"/>
    <w:unhideWhenUsed/>
    <w:rsid w:val="00BD64AB"/>
    <w:pPr>
      <w:tabs>
        <w:tab w:val="center" w:pos="4680"/>
        <w:tab w:val="right" w:pos="9360"/>
      </w:tabs>
    </w:pPr>
  </w:style>
  <w:style w:type="character" w:customStyle="1" w:styleId="HeaderChar">
    <w:name w:val="Header Char"/>
    <w:basedOn w:val="DefaultParagraphFont"/>
    <w:link w:val="Header"/>
    <w:uiPriority w:val="99"/>
    <w:rsid w:val="00BD64AB"/>
    <w:rPr>
      <w:sz w:val="30"/>
      <w:szCs w:val="30"/>
    </w:rPr>
  </w:style>
  <w:style w:type="paragraph" w:styleId="Footer">
    <w:name w:val="footer"/>
    <w:basedOn w:val="Normal"/>
    <w:link w:val="FooterChar"/>
    <w:uiPriority w:val="99"/>
    <w:unhideWhenUsed/>
    <w:rsid w:val="00BD64AB"/>
    <w:pPr>
      <w:tabs>
        <w:tab w:val="center" w:pos="4680"/>
        <w:tab w:val="right" w:pos="9360"/>
      </w:tabs>
    </w:pPr>
  </w:style>
  <w:style w:type="character" w:customStyle="1" w:styleId="FooterChar">
    <w:name w:val="Footer Char"/>
    <w:basedOn w:val="DefaultParagraphFont"/>
    <w:link w:val="Footer"/>
    <w:uiPriority w:val="99"/>
    <w:rsid w:val="00BD64AB"/>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2025-11-22T19:05:00Z</dcterms:created>
  <dcterms:modified xsi:type="dcterms:W3CDTF">2025-11-22T19:05:00Z</dcterms:modified>
</cp:coreProperties>
</file>