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98E" w14:textId="31A19650" w:rsidR="002D1811" w:rsidRPr="00430CE2" w:rsidRDefault="002D1811" w:rsidP="00396605">
      <w:pPr>
        <w:jc w:val="right"/>
        <w:rPr>
          <w:rFonts w:ascii="Cambria" w:hAnsi="Cambria" w:cs="Calibri"/>
          <w:b/>
          <w:bCs/>
          <w:sz w:val="20"/>
          <w:szCs w:val="20"/>
        </w:rPr>
      </w:pPr>
      <w:r w:rsidRPr="00430CE2">
        <w:rPr>
          <w:rFonts w:ascii="Cambria" w:hAnsi="Cambria"/>
          <w:b/>
          <w:sz w:val="20"/>
        </w:rPr>
        <w:t xml:space="preserve">Original : </w:t>
      </w:r>
      <w:r w:rsidRPr="00430CE2">
        <w:rPr>
          <w:rFonts w:ascii="Cambria" w:hAnsi="Cambria"/>
          <w:b/>
          <w:bCs/>
          <w:sz w:val="20"/>
        </w:rPr>
        <w:t>anglais</w:t>
      </w:r>
    </w:p>
    <w:p w14:paraId="2B601A57" w14:textId="77777777" w:rsidR="00396605" w:rsidRPr="00430CE2" w:rsidRDefault="00396605" w:rsidP="0069632C">
      <w:pPr>
        <w:jc w:val="center"/>
        <w:rPr>
          <w:rFonts w:ascii="Cambria" w:hAnsi="Cambria" w:cs="Calibri"/>
          <w:b/>
          <w:bCs/>
          <w:sz w:val="20"/>
          <w:szCs w:val="20"/>
        </w:rPr>
      </w:pPr>
    </w:p>
    <w:p w14:paraId="0A96D85B" w14:textId="3546F102" w:rsidR="009B3442" w:rsidRPr="00430CE2" w:rsidRDefault="00B96C17" w:rsidP="0069632C">
      <w:pPr>
        <w:jc w:val="center"/>
        <w:rPr>
          <w:rFonts w:ascii="Cambria" w:hAnsi="Cambria" w:cs="Calibri"/>
          <w:b/>
          <w:bCs/>
          <w:sz w:val="20"/>
          <w:szCs w:val="20"/>
        </w:rPr>
      </w:pPr>
      <w:r w:rsidRPr="00430CE2">
        <w:rPr>
          <w:rFonts w:ascii="Cambria" w:hAnsi="Cambria"/>
          <w:b/>
          <w:sz w:val="20"/>
        </w:rPr>
        <w:t xml:space="preserve">Proposition </w:t>
      </w:r>
      <w:r w:rsidR="00962CE6" w:rsidRPr="00430CE2">
        <w:rPr>
          <w:rFonts w:ascii="Cambria" w:hAnsi="Cambria"/>
          <w:b/>
          <w:sz w:val="20"/>
        </w:rPr>
        <w:t>concernant la</w:t>
      </w:r>
      <w:r w:rsidRPr="00430CE2">
        <w:rPr>
          <w:rFonts w:ascii="Cambria" w:hAnsi="Cambria"/>
          <w:b/>
          <w:sz w:val="20"/>
        </w:rPr>
        <w:t xml:space="preserve"> gestion du fonds de roulement</w:t>
      </w:r>
    </w:p>
    <w:p w14:paraId="7977875B" w14:textId="77777777" w:rsidR="00B50DC2" w:rsidRPr="00430CE2" w:rsidRDefault="00B50DC2" w:rsidP="0069632C">
      <w:pPr>
        <w:jc w:val="center"/>
        <w:rPr>
          <w:rFonts w:ascii="Cambria" w:hAnsi="Cambria" w:cs="Calibri"/>
          <w:b/>
          <w:bCs/>
          <w:sz w:val="20"/>
          <w:szCs w:val="20"/>
        </w:rPr>
      </w:pPr>
    </w:p>
    <w:p w14:paraId="5DB72573" w14:textId="1215F80C" w:rsidR="00B96C17" w:rsidRPr="00430CE2" w:rsidRDefault="00B96C17" w:rsidP="0069632C">
      <w:pPr>
        <w:jc w:val="center"/>
        <w:rPr>
          <w:rFonts w:ascii="Cambria" w:hAnsi="Cambria" w:cs="Calibri"/>
          <w:i/>
          <w:iCs/>
          <w:sz w:val="20"/>
          <w:szCs w:val="20"/>
        </w:rPr>
      </w:pPr>
      <w:r w:rsidRPr="00430CE2">
        <w:rPr>
          <w:rFonts w:ascii="Cambria" w:hAnsi="Cambria"/>
          <w:i/>
          <w:sz w:val="20"/>
        </w:rPr>
        <w:t>Présidente du STACFAD</w:t>
      </w:r>
    </w:p>
    <w:p w14:paraId="6EE14B39" w14:textId="77777777" w:rsidR="00B50DC2" w:rsidRPr="00430CE2" w:rsidRDefault="00B50DC2" w:rsidP="0069632C">
      <w:pPr>
        <w:jc w:val="center"/>
        <w:rPr>
          <w:rFonts w:ascii="Cambria" w:hAnsi="Cambria" w:cs="Calibri"/>
          <w:i/>
          <w:iCs/>
          <w:sz w:val="20"/>
          <w:szCs w:val="20"/>
        </w:rPr>
      </w:pPr>
    </w:p>
    <w:p w14:paraId="083CCE82" w14:textId="77777777" w:rsidR="00A3472F" w:rsidRPr="00430CE2" w:rsidRDefault="00A3472F" w:rsidP="0069632C">
      <w:pPr>
        <w:jc w:val="both"/>
        <w:rPr>
          <w:rFonts w:ascii="Cambria" w:hAnsi="Cambria" w:cs="Calibri"/>
          <w:b/>
          <w:bCs/>
          <w:sz w:val="20"/>
          <w:szCs w:val="20"/>
        </w:rPr>
      </w:pPr>
    </w:p>
    <w:p w14:paraId="2819BC72" w14:textId="39A503FD" w:rsidR="008B4943" w:rsidRPr="00430CE2" w:rsidRDefault="008B4943" w:rsidP="0069632C">
      <w:pPr>
        <w:jc w:val="both"/>
        <w:rPr>
          <w:rFonts w:ascii="Cambria" w:hAnsi="Cambria" w:cs="Calibri"/>
          <w:b/>
          <w:bCs/>
          <w:sz w:val="20"/>
          <w:szCs w:val="20"/>
        </w:rPr>
      </w:pPr>
      <w:r w:rsidRPr="00430CE2">
        <w:rPr>
          <w:rFonts w:ascii="Cambria" w:hAnsi="Cambria"/>
          <w:b/>
          <w:sz w:val="20"/>
        </w:rPr>
        <w:t>Contexte et historique du fonds de roulement</w:t>
      </w:r>
    </w:p>
    <w:p w14:paraId="65CA3BD8" w14:textId="77777777" w:rsidR="00262807" w:rsidRPr="00430CE2" w:rsidRDefault="00262807" w:rsidP="0069632C">
      <w:pPr>
        <w:jc w:val="both"/>
        <w:rPr>
          <w:rFonts w:ascii="Cambria" w:hAnsi="Cambria" w:cs="Calibri"/>
          <w:b/>
          <w:bCs/>
          <w:sz w:val="20"/>
          <w:szCs w:val="20"/>
        </w:rPr>
      </w:pPr>
    </w:p>
    <w:p w14:paraId="42E0B34E" w14:textId="7962AFF9" w:rsidR="00CE523A" w:rsidRPr="00430CE2" w:rsidRDefault="00E516E3" w:rsidP="0069632C">
      <w:pPr>
        <w:jc w:val="both"/>
        <w:rPr>
          <w:rFonts w:ascii="Cambria" w:hAnsi="Cambria" w:cs="Calibri"/>
          <w:sz w:val="20"/>
          <w:szCs w:val="20"/>
        </w:rPr>
      </w:pPr>
      <w:r w:rsidRPr="00430CE2">
        <w:rPr>
          <w:rFonts w:ascii="Cambria" w:hAnsi="Cambria"/>
          <w:sz w:val="20"/>
        </w:rPr>
        <w:t xml:space="preserve">L’ICCAT a créé le Fonds de roulement afin de faciliter le fonctionnement de la Commission au cours des premiers mois de l'année, jusqu'à réception des contributions annuelles des Parties contractantes, ainsi que pour financer </w:t>
      </w:r>
      <w:r w:rsidR="00663AD4" w:rsidRPr="00430CE2">
        <w:rPr>
          <w:rFonts w:ascii="Cambria" w:hAnsi="Cambria"/>
          <w:sz w:val="20"/>
        </w:rPr>
        <w:t>« toutes</w:t>
      </w:r>
      <w:r w:rsidRPr="00430CE2">
        <w:rPr>
          <w:rFonts w:ascii="Cambria" w:hAnsi="Cambria"/>
          <w:sz w:val="20"/>
        </w:rPr>
        <w:t xml:space="preserve"> autres fins que la Commission juge nécessaires</w:t>
      </w:r>
      <w:r w:rsidR="00663AD4" w:rsidRPr="00430CE2">
        <w:rPr>
          <w:rFonts w:ascii="Cambria" w:hAnsi="Cambria"/>
          <w:sz w:val="20"/>
        </w:rPr>
        <w:t> »</w:t>
      </w:r>
      <w:r w:rsidRPr="00430CE2">
        <w:rPr>
          <w:rFonts w:ascii="Cambria" w:hAnsi="Cambria"/>
          <w:sz w:val="20"/>
        </w:rPr>
        <w:t>. Le règlement financier stipule que la Commission détermine le niveau approprié de ce fonds et qu’une avance peut être demandée aux Parties contractantes en plus de leurs contributions budgétaires régulières, qui est allouée au Fonds de roulement. En 1971, l’organe prédécesseur du STACFAD a recommandé que le Fonds de roulement soit maintenu à environ 15 % du budget ordinaire adopté par la Commission.</w:t>
      </w:r>
      <w:r w:rsidR="0058444B" w:rsidRPr="00430CE2">
        <w:rPr>
          <w:rFonts w:ascii="Cambria" w:hAnsi="Cambria"/>
          <w:sz w:val="20"/>
        </w:rPr>
        <w:t xml:space="preserve"> </w:t>
      </w:r>
      <w:r w:rsidRPr="00430CE2">
        <w:rPr>
          <w:rFonts w:ascii="Cambria" w:hAnsi="Cambria"/>
          <w:sz w:val="20"/>
        </w:rPr>
        <w:t xml:space="preserve">Ce niveau reflétait principalement les fonds nécessaires pour assurer le fonctionnement de la Commission jusqu'à la réception des nouvelles contributions budgétaires chaque année. </w:t>
      </w:r>
    </w:p>
    <w:p w14:paraId="09A02D73" w14:textId="77777777" w:rsidR="00CE523A" w:rsidRPr="00430CE2" w:rsidRDefault="00CE523A" w:rsidP="0069632C">
      <w:pPr>
        <w:jc w:val="both"/>
        <w:rPr>
          <w:rFonts w:ascii="Cambria" w:hAnsi="Cambria" w:cs="Calibri"/>
          <w:sz w:val="20"/>
          <w:szCs w:val="20"/>
        </w:rPr>
      </w:pPr>
    </w:p>
    <w:p w14:paraId="62D9DC0E" w14:textId="1101D84E" w:rsidR="00053C11" w:rsidRPr="00430CE2" w:rsidRDefault="00E516E3" w:rsidP="0069632C">
      <w:pPr>
        <w:jc w:val="both"/>
        <w:rPr>
          <w:rFonts w:ascii="Cambria" w:hAnsi="Cambria" w:cs="Calibri"/>
          <w:sz w:val="20"/>
          <w:szCs w:val="20"/>
        </w:rPr>
      </w:pPr>
      <w:r w:rsidRPr="00430CE2">
        <w:rPr>
          <w:rFonts w:ascii="Cambria" w:hAnsi="Cambria"/>
          <w:sz w:val="20"/>
        </w:rPr>
        <w:t>L'utilisation et la maintenance du Fonds de roulement ont considérablement évolué depuis ces premières années.</w:t>
      </w:r>
      <w:r w:rsidR="0058444B" w:rsidRPr="00430CE2">
        <w:rPr>
          <w:rFonts w:ascii="Cambria" w:hAnsi="Cambria"/>
          <w:sz w:val="20"/>
        </w:rPr>
        <w:t xml:space="preserve"> </w:t>
      </w:r>
      <w:r w:rsidRPr="00430CE2">
        <w:rPr>
          <w:rFonts w:ascii="Cambria" w:hAnsi="Cambria"/>
          <w:sz w:val="20"/>
        </w:rPr>
        <w:t>Aucune contribution spécifique au Fonds de roulement n’a été demandée aux Parties contractantes depuis plusieurs décennies.</w:t>
      </w:r>
      <w:r w:rsidR="0058444B" w:rsidRPr="00430CE2">
        <w:rPr>
          <w:rFonts w:ascii="Cambria" w:hAnsi="Cambria"/>
          <w:sz w:val="20"/>
        </w:rPr>
        <w:t xml:space="preserve"> </w:t>
      </w:r>
      <w:r w:rsidRPr="00430CE2">
        <w:rPr>
          <w:rFonts w:ascii="Cambria" w:hAnsi="Cambria"/>
          <w:sz w:val="20"/>
        </w:rPr>
        <w:t xml:space="preserve">Au lieu de cela, le financement du Fonds de roulement provient de trois sources principales : </w:t>
      </w:r>
    </w:p>
    <w:p w14:paraId="73DBFD70" w14:textId="77777777" w:rsidR="00262807" w:rsidRPr="00430CE2" w:rsidRDefault="00262807" w:rsidP="0069632C">
      <w:pPr>
        <w:jc w:val="both"/>
        <w:rPr>
          <w:rFonts w:ascii="Cambria" w:hAnsi="Cambria" w:cs="Calibri"/>
          <w:sz w:val="20"/>
          <w:szCs w:val="20"/>
        </w:rPr>
      </w:pPr>
    </w:p>
    <w:p w14:paraId="762B4469" w14:textId="77777777" w:rsidR="00415497" w:rsidRPr="00430CE2" w:rsidRDefault="00415497" w:rsidP="0069632C">
      <w:pPr>
        <w:pStyle w:val="ListParagraph"/>
        <w:numPr>
          <w:ilvl w:val="0"/>
          <w:numId w:val="4"/>
        </w:numPr>
        <w:jc w:val="both"/>
        <w:rPr>
          <w:rFonts w:ascii="Cambria" w:hAnsi="Cambria" w:cs="Calibri"/>
          <w:sz w:val="20"/>
          <w:szCs w:val="20"/>
        </w:rPr>
      </w:pPr>
      <w:r w:rsidRPr="00430CE2">
        <w:rPr>
          <w:rFonts w:ascii="Cambria" w:hAnsi="Cambria"/>
          <w:sz w:val="20"/>
        </w:rPr>
        <w:t>Contributions des Parties contractantes versées aux budgets précédents ;</w:t>
      </w:r>
    </w:p>
    <w:p w14:paraId="74EC78C6" w14:textId="5ADA66A2" w:rsidR="00415497" w:rsidRPr="00430CE2" w:rsidRDefault="008C046D" w:rsidP="0069632C">
      <w:pPr>
        <w:pStyle w:val="ListParagraph"/>
        <w:numPr>
          <w:ilvl w:val="0"/>
          <w:numId w:val="4"/>
        </w:numPr>
        <w:jc w:val="both"/>
        <w:rPr>
          <w:rFonts w:ascii="Cambria" w:hAnsi="Cambria" w:cs="Calibri"/>
          <w:sz w:val="20"/>
          <w:szCs w:val="20"/>
        </w:rPr>
      </w:pPr>
      <w:r w:rsidRPr="00430CE2">
        <w:rPr>
          <w:rFonts w:ascii="Cambria" w:hAnsi="Cambria"/>
          <w:sz w:val="20"/>
        </w:rPr>
        <w:t xml:space="preserve">Contributions des nouvelles Parties contractantes à l'exercice financier en cours ; et </w:t>
      </w:r>
    </w:p>
    <w:p w14:paraId="2EE2397E" w14:textId="15C54082" w:rsidR="00415497" w:rsidRPr="00430CE2" w:rsidRDefault="002E76F4" w:rsidP="0069632C">
      <w:pPr>
        <w:pStyle w:val="ListParagraph"/>
        <w:numPr>
          <w:ilvl w:val="0"/>
          <w:numId w:val="4"/>
        </w:numPr>
        <w:jc w:val="both"/>
        <w:rPr>
          <w:rFonts w:ascii="Cambria" w:hAnsi="Cambria" w:cs="Calibri"/>
          <w:sz w:val="20"/>
          <w:szCs w:val="20"/>
        </w:rPr>
      </w:pPr>
      <w:r w:rsidRPr="00430CE2">
        <w:rPr>
          <w:rFonts w:ascii="Cambria" w:hAnsi="Cambria"/>
          <w:sz w:val="20"/>
        </w:rPr>
        <w:t>Toutes les affectations non engagées à la clôture de l'exercice financier précédent.</w:t>
      </w:r>
    </w:p>
    <w:p w14:paraId="4F39AF6C" w14:textId="77777777" w:rsidR="00B03131" w:rsidRPr="00430CE2" w:rsidRDefault="00B03131" w:rsidP="0069632C">
      <w:pPr>
        <w:jc w:val="both"/>
        <w:rPr>
          <w:rFonts w:ascii="Cambria" w:hAnsi="Cambria" w:cs="Calibri"/>
          <w:sz w:val="20"/>
          <w:szCs w:val="20"/>
        </w:rPr>
      </w:pPr>
    </w:p>
    <w:p w14:paraId="23A1227B" w14:textId="1DC5F15D" w:rsidR="00B03131" w:rsidRPr="00430CE2" w:rsidRDefault="00B03131" w:rsidP="0069632C">
      <w:pPr>
        <w:jc w:val="both"/>
        <w:rPr>
          <w:rFonts w:ascii="Cambria" w:hAnsi="Cambria" w:cs="Calibri"/>
          <w:sz w:val="20"/>
          <w:szCs w:val="20"/>
        </w:rPr>
      </w:pPr>
      <w:r w:rsidRPr="00430CE2">
        <w:rPr>
          <w:rFonts w:ascii="Cambria" w:hAnsi="Cambria"/>
          <w:sz w:val="20"/>
        </w:rPr>
        <w:t>De même, le Fonds de roulement est désormais également utilisé pour soutenir un large éventail de fonctions de la Commission qui ne sont pas financées par le budget ordinaire, notamment la recherche scientifique, les coûts des réunions intersessions et annuelles, et l'interprétation en arabe lors de la réunion annuelle, entre autres.</w:t>
      </w:r>
      <w:r w:rsidR="0058444B" w:rsidRPr="00430CE2">
        <w:rPr>
          <w:rFonts w:ascii="Cambria" w:hAnsi="Cambria"/>
          <w:sz w:val="20"/>
        </w:rPr>
        <w:t xml:space="preserve"> </w:t>
      </w:r>
    </w:p>
    <w:p w14:paraId="0FA701FF" w14:textId="77777777" w:rsidR="00AE3D89" w:rsidRPr="00430CE2" w:rsidRDefault="00AE3D89" w:rsidP="0069632C">
      <w:pPr>
        <w:jc w:val="both"/>
        <w:rPr>
          <w:rFonts w:ascii="Cambria" w:hAnsi="Cambria" w:cs="Calibri"/>
          <w:sz w:val="20"/>
          <w:szCs w:val="20"/>
        </w:rPr>
      </w:pPr>
    </w:p>
    <w:p w14:paraId="16E5CDD6" w14:textId="47C18924" w:rsidR="00750F73" w:rsidRPr="00430CE2" w:rsidRDefault="00AE3D89" w:rsidP="0069632C">
      <w:pPr>
        <w:jc w:val="both"/>
        <w:rPr>
          <w:rFonts w:ascii="Cambria" w:hAnsi="Cambria" w:cs="Calibri"/>
          <w:sz w:val="20"/>
          <w:szCs w:val="20"/>
        </w:rPr>
      </w:pPr>
      <w:r w:rsidRPr="00430CE2">
        <w:rPr>
          <w:rFonts w:ascii="Cambria" w:hAnsi="Cambria"/>
          <w:sz w:val="20"/>
        </w:rPr>
        <w:t>Il y a environ 20 ans, une combinaison de circonstances inhabituelles a conduit le Fonds de roulement à connaître une croissance significative, dépassant le budget annuel total de la Commission.</w:t>
      </w:r>
      <w:r w:rsidR="0058444B" w:rsidRPr="00430CE2">
        <w:rPr>
          <w:rFonts w:ascii="Cambria" w:hAnsi="Cambria"/>
          <w:sz w:val="20"/>
        </w:rPr>
        <w:t xml:space="preserve"> </w:t>
      </w:r>
      <w:r w:rsidRPr="00430CE2">
        <w:rPr>
          <w:rFonts w:ascii="Cambria" w:hAnsi="Cambria"/>
          <w:sz w:val="20"/>
        </w:rPr>
        <w:t>La Commission a profité de cette importante marge de manœuvre pour financer bon nombre de ses fonctions essentielles.</w:t>
      </w:r>
      <w:r w:rsidR="0058444B" w:rsidRPr="00430CE2">
        <w:rPr>
          <w:rFonts w:ascii="Cambria" w:hAnsi="Cambria"/>
          <w:sz w:val="20"/>
        </w:rPr>
        <w:t xml:space="preserve"> </w:t>
      </w:r>
      <w:r w:rsidRPr="00430CE2">
        <w:rPr>
          <w:rFonts w:ascii="Cambria" w:hAnsi="Cambria"/>
          <w:sz w:val="20"/>
        </w:rPr>
        <w:t>En 2016, cela avait réduit le solde du Fonds de roulement à une fraction du budget ordinaire, et il est resté à un niveau bas pendant de nombreuses années.</w:t>
      </w:r>
      <w:r w:rsidR="0058444B" w:rsidRPr="00430CE2">
        <w:rPr>
          <w:rFonts w:ascii="Cambria" w:hAnsi="Cambria"/>
          <w:sz w:val="20"/>
        </w:rPr>
        <w:t xml:space="preserve"> </w:t>
      </w:r>
      <w:r w:rsidRPr="00430CE2">
        <w:rPr>
          <w:rFonts w:ascii="Cambria" w:hAnsi="Cambria"/>
          <w:sz w:val="20"/>
        </w:rPr>
        <w:t>La Commission a reconnu l'importance de régulariser le financement des fonctions essentielles dans le cadre du budget ordinaire, plutôt que de dépendre du solde incertain du Fonds de roulement.</w:t>
      </w:r>
      <w:r w:rsidR="0058444B" w:rsidRPr="00430CE2">
        <w:rPr>
          <w:rFonts w:ascii="Cambria" w:hAnsi="Cambria"/>
          <w:sz w:val="20"/>
        </w:rPr>
        <w:t xml:space="preserve"> </w:t>
      </w:r>
      <w:r w:rsidRPr="00430CE2">
        <w:rPr>
          <w:rFonts w:ascii="Cambria" w:hAnsi="Cambria"/>
          <w:sz w:val="20"/>
        </w:rPr>
        <w:t>Ces dernières années, le Fonds de roulement a stabilisé près de 50 % du budget ordinaire à la fin de chaque année.</w:t>
      </w:r>
    </w:p>
    <w:p w14:paraId="36EA6A2B" w14:textId="77777777" w:rsidR="00750F73" w:rsidRPr="00430CE2" w:rsidRDefault="00750F73" w:rsidP="0069632C">
      <w:pPr>
        <w:jc w:val="both"/>
        <w:rPr>
          <w:rFonts w:ascii="Cambria" w:hAnsi="Cambria" w:cs="Calibri"/>
          <w:sz w:val="20"/>
          <w:szCs w:val="20"/>
        </w:rPr>
      </w:pPr>
    </w:p>
    <w:p w14:paraId="2FBC7C55" w14:textId="2EA50C90" w:rsidR="008B4943" w:rsidRPr="00430CE2" w:rsidRDefault="008B4943" w:rsidP="0069632C">
      <w:pPr>
        <w:jc w:val="both"/>
        <w:rPr>
          <w:rFonts w:ascii="Cambria" w:hAnsi="Cambria" w:cs="Calibri"/>
          <w:b/>
          <w:bCs/>
          <w:sz w:val="20"/>
          <w:szCs w:val="20"/>
        </w:rPr>
      </w:pPr>
      <w:r w:rsidRPr="00430CE2">
        <w:rPr>
          <w:rFonts w:ascii="Cambria" w:hAnsi="Cambria"/>
          <w:b/>
          <w:sz w:val="20"/>
        </w:rPr>
        <w:t>Proposition de gestion du fonds de roulement</w:t>
      </w:r>
    </w:p>
    <w:p w14:paraId="5337AFEF" w14:textId="77777777" w:rsidR="00262807" w:rsidRPr="00430CE2" w:rsidRDefault="00262807" w:rsidP="0069632C">
      <w:pPr>
        <w:jc w:val="both"/>
        <w:rPr>
          <w:rFonts w:ascii="Cambria" w:hAnsi="Cambria" w:cs="Calibri"/>
          <w:b/>
          <w:bCs/>
          <w:sz w:val="20"/>
          <w:szCs w:val="20"/>
        </w:rPr>
      </w:pPr>
    </w:p>
    <w:p w14:paraId="3AB22587" w14:textId="7125FD11" w:rsidR="00810B4B" w:rsidRPr="00430CE2" w:rsidRDefault="004B6637" w:rsidP="0069632C">
      <w:pPr>
        <w:jc w:val="both"/>
        <w:rPr>
          <w:rFonts w:ascii="Cambria" w:hAnsi="Cambria" w:cs="Calibri"/>
          <w:sz w:val="20"/>
          <w:szCs w:val="20"/>
        </w:rPr>
      </w:pPr>
      <w:r w:rsidRPr="00430CE2">
        <w:rPr>
          <w:rFonts w:ascii="Cambria" w:hAnsi="Cambria"/>
          <w:sz w:val="20"/>
        </w:rPr>
        <w:t>Cette expérience en dents de scie souligne la nécessité d'établir des lignes directrices plus claires pour l'utilisation et la maintenance du Fonds de roulement.</w:t>
      </w:r>
      <w:r w:rsidR="0058444B" w:rsidRPr="00430CE2">
        <w:rPr>
          <w:rFonts w:ascii="Cambria" w:hAnsi="Cambria"/>
          <w:sz w:val="20"/>
        </w:rPr>
        <w:t xml:space="preserve"> </w:t>
      </w:r>
      <w:r w:rsidRPr="00430CE2">
        <w:rPr>
          <w:rFonts w:ascii="Cambria" w:hAnsi="Cambria"/>
          <w:sz w:val="20"/>
        </w:rPr>
        <w:t>La recommandation initiale de 1971 visant à maintenir le Fonds de roulement à environ 15 % du budget annuel n'est pas en phase avec l'utilisation traditionnelle de ce fonds par la Commission.</w:t>
      </w:r>
      <w:r w:rsidR="0058444B" w:rsidRPr="00430CE2">
        <w:rPr>
          <w:rFonts w:ascii="Cambria" w:hAnsi="Cambria"/>
          <w:sz w:val="20"/>
        </w:rPr>
        <w:t xml:space="preserve"> </w:t>
      </w:r>
      <w:r w:rsidRPr="00430CE2">
        <w:rPr>
          <w:rFonts w:ascii="Cambria" w:hAnsi="Cambria"/>
          <w:sz w:val="20"/>
        </w:rPr>
        <w:t>Dans le même temps, laisser des soldes élevés inutilisés dans le Fonds de roulement est également inapproprié et inefficace.</w:t>
      </w:r>
    </w:p>
    <w:p w14:paraId="6C9D3572" w14:textId="77777777" w:rsidR="00152D1E" w:rsidRPr="00430CE2" w:rsidRDefault="00152D1E" w:rsidP="0069632C">
      <w:pPr>
        <w:jc w:val="both"/>
        <w:rPr>
          <w:rFonts w:ascii="Cambria" w:hAnsi="Cambria" w:cs="Calibri"/>
          <w:sz w:val="20"/>
          <w:szCs w:val="20"/>
        </w:rPr>
      </w:pPr>
    </w:p>
    <w:p w14:paraId="77594E7F" w14:textId="5C3670E2" w:rsidR="00A232E5" w:rsidRPr="00430CE2" w:rsidRDefault="0091642E" w:rsidP="0069632C">
      <w:pPr>
        <w:jc w:val="both"/>
        <w:rPr>
          <w:rFonts w:ascii="Cambria" w:hAnsi="Cambria" w:cs="Calibri"/>
          <w:sz w:val="20"/>
          <w:szCs w:val="20"/>
        </w:rPr>
      </w:pPr>
      <w:r w:rsidRPr="00430CE2">
        <w:rPr>
          <w:rFonts w:ascii="Cambria" w:hAnsi="Cambria"/>
          <w:sz w:val="20"/>
        </w:rPr>
        <w:t>Une approche plus efficace serait que la Commission détermine un solde du fonds de roulement approprié à reporter au début de chaque année, qui</w:t>
      </w:r>
      <w:r w:rsidR="0058444B" w:rsidRPr="00430CE2">
        <w:rPr>
          <w:rFonts w:ascii="Cambria" w:hAnsi="Cambria"/>
          <w:sz w:val="20"/>
        </w:rPr>
        <w:t xml:space="preserve"> </w:t>
      </w:r>
      <w:r w:rsidRPr="00430CE2">
        <w:rPr>
          <w:rFonts w:ascii="Cambria" w:hAnsi="Cambria"/>
          <w:sz w:val="20"/>
        </w:rPr>
        <w:t>tiendrait compte des éléments suivants</w:t>
      </w:r>
      <w:r w:rsidR="0058444B" w:rsidRPr="00430CE2">
        <w:rPr>
          <w:rFonts w:ascii="Cambria" w:hAnsi="Cambria"/>
          <w:sz w:val="20"/>
        </w:rPr>
        <w:t> :</w:t>
      </w:r>
    </w:p>
    <w:p w14:paraId="3909D3C9" w14:textId="77777777" w:rsidR="00262807" w:rsidRPr="00430CE2" w:rsidRDefault="00262807" w:rsidP="0069632C">
      <w:pPr>
        <w:jc w:val="both"/>
        <w:rPr>
          <w:rFonts w:ascii="Cambria" w:hAnsi="Cambria" w:cs="Calibri"/>
          <w:sz w:val="20"/>
          <w:szCs w:val="20"/>
        </w:rPr>
      </w:pPr>
    </w:p>
    <w:p w14:paraId="1C2F3747" w14:textId="7C40787A" w:rsidR="005965C4" w:rsidRPr="00430CE2" w:rsidRDefault="005965C4" w:rsidP="0069632C">
      <w:pPr>
        <w:pStyle w:val="ListParagraph"/>
        <w:numPr>
          <w:ilvl w:val="0"/>
          <w:numId w:val="5"/>
        </w:numPr>
        <w:jc w:val="both"/>
        <w:rPr>
          <w:rFonts w:ascii="Cambria" w:hAnsi="Cambria" w:cs="Calibri"/>
          <w:sz w:val="20"/>
          <w:szCs w:val="20"/>
        </w:rPr>
      </w:pPr>
      <w:r w:rsidRPr="00430CE2">
        <w:rPr>
          <w:rFonts w:ascii="Cambria" w:hAnsi="Cambria"/>
          <w:sz w:val="20"/>
        </w:rPr>
        <w:t xml:space="preserve">Le niveau de financement nécessaire pour couvrir les dépenses des [deux] premiers mois de l'année, </w:t>
      </w:r>
    </w:p>
    <w:p w14:paraId="3D7A3DAC" w14:textId="77777777" w:rsidR="00B50DC2" w:rsidRPr="00430CE2" w:rsidRDefault="00B50DC2" w:rsidP="00B50DC2">
      <w:pPr>
        <w:pStyle w:val="ListParagraph"/>
        <w:jc w:val="both"/>
        <w:rPr>
          <w:rFonts w:ascii="Cambria" w:hAnsi="Cambria" w:cs="Calibri"/>
          <w:sz w:val="20"/>
          <w:szCs w:val="20"/>
        </w:rPr>
      </w:pPr>
    </w:p>
    <w:p w14:paraId="3209BC97" w14:textId="11D993BE" w:rsidR="009E7299" w:rsidRPr="00430CE2" w:rsidRDefault="00163CD5" w:rsidP="0069632C">
      <w:pPr>
        <w:pStyle w:val="ListParagraph"/>
        <w:numPr>
          <w:ilvl w:val="0"/>
          <w:numId w:val="5"/>
        </w:numPr>
        <w:jc w:val="both"/>
        <w:rPr>
          <w:rFonts w:ascii="Cambria" w:hAnsi="Cambria" w:cs="Calibri"/>
          <w:sz w:val="20"/>
          <w:szCs w:val="20"/>
        </w:rPr>
      </w:pPr>
      <w:r w:rsidRPr="00430CE2">
        <w:rPr>
          <w:rFonts w:ascii="Cambria" w:hAnsi="Cambria"/>
          <w:sz w:val="20"/>
        </w:rPr>
        <w:t>La moyenne récente des dépenses extrabudgétaires financées par le Fonds de roulement au cours des [trois] premiers mois de l'année, et</w:t>
      </w:r>
    </w:p>
    <w:p w14:paraId="6E63B2DA" w14:textId="77777777" w:rsidR="00B50DC2" w:rsidRPr="00430CE2" w:rsidRDefault="00B50DC2" w:rsidP="00B50DC2">
      <w:pPr>
        <w:pStyle w:val="ListParagraph"/>
        <w:rPr>
          <w:rFonts w:ascii="Cambria" w:hAnsi="Cambria" w:cs="Calibri"/>
          <w:sz w:val="20"/>
          <w:szCs w:val="20"/>
        </w:rPr>
      </w:pPr>
    </w:p>
    <w:p w14:paraId="4425F6B8" w14:textId="6876CD63" w:rsidR="007F68B0" w:rsidRPr="00430CE2" w:rsidRDefault="007F68B0" w:rsidP="0069632C">
      <w:pPr>
        <w:pStyle w:val="ListParagraph"/>
        <w:numPr>
          <w:ilvl w:val="0"/>
          <w:numId w:val="5"/>
        </w:numPr>
        <w:jc w:val="both"/>
        <w:rPr>
          <w:rFonts w:ascii="Cambria" w:hAnsi="Cambria" w:cs="Calibri"/>
          <w:sz w:val="20"/>
          <w:szCs w:val="20"/>
        </w:rPr>
      </w:pPr>
      <w:r w:rsidRPr="00430CE2">
        <w:rPr>
          <w:rFonts w:ascii="Cambria" w:hAnsi="Cambria"/>
          <w:sz w:val="20"/>
        </w:rPr>
        <w:lastRenderedPageBreak/>
        <w:t>Un fonds de réserve équivalant à 5 % du budget ordinaire destiné à couvrir les dépenses imprévues ou urgentes.</w:t>
      </w:r>
    </w:p>
    <w:p w14:paraId="788AAFE3" w14:textId="77777777" w:rsidR="0058444B" w:rsidRPr="00430CE2" w:rsidRDefault="0058444B" w:rsidP="0069632C">
      <w:pPr>
        <w:jc w:val="both"/>
        <w:rPr>
          <w:rFonts w:ascii="Cambria" w:hAnsi="Cambria"/>
          <w:sz w:val="20"/>
        </w:rPr>
      </w:pPr>
    </w:p>
    <w:p w14:paraId="614D1D4A" w14:textId="57587B9A" w:rsidR="00362B42" w:rsidRPr="00430CE2" w:rsidRDefault="008D33E7" w:rsidP="0069632C">
      <w:pPr>
        <w:jc w:val="both"/>
        <w:rPr>
          <w:rFonts w:ascii="Cambria" w:hAnsi="Cambria" w:cs="Calibri"/>
          <w:sz w:val="20"/>
          <w:szCs w:val="20"/>
        </w:rPr>
      </w:pPr>
      <w:r w:rsidRPr="00430CE2">
        <w:rPr>
          <w:rFonts w:ascii="Cambria" w:hAnsi="Cambria"/>
          <w:sz w:val="20"/>
        </w:rPr>
        <w:t>Tout solde restant dans le Fonds de roulement à la fin de chaque année et dépassant le niveau déterminé ci-dessus serait utilisé pour réduire les contributions budgétaires régulières des Parties contractantes l'année suivante.</w:t>
      </w:r>
      <w:r w:rsidR="0058444B" w:rsidRPr="00430CE2">
        <w:rPr>
          <w:rFonts w:ascii="Cambria" w:hAnsi="Cambria"/>
          <w:sz w:val="20"/>
        </w:rPr>
        <w:t xml:space="preserve"> </w:t>
      </w:r>
    </w:p>
    <w:p w14:paraId="06049D6D" w14:textId="4B5CAC28" w:rsidR="00EB583D" w:rsidRPr="00430CE2" w:rsidRDefault="00EB583D" w:rsidP="0069632C">
      <w:pPr>
        <w:jc w:val="both"/>
        <w:rPr>
          <w:rFonts w:ascii="Cambria" w:hAnsi="Cambria" w:cs="Calibri"/>
          <w:sz w:val="20"/>
          <w:szCs w:val="20"/>
        </w:rPr>
      </w:pPr>
    </w:p>
    <w:p w14:paraId="517050BB" w14:textId="1F5BCB4D" w:rsidR="006D4631" w:rsidRPr="00430CE2" w:rsidRDefault="00EB583D" w:rsidP="0069632C">
      <w:pPr>
        <w:jc w:val="both"/>
        <w:rPr>
          <w:rFonts w:ascii="Cambria" w:hAnsi="Cambria" w:cs="Calibri"/>
          <w:sz w:val="20"/>
          <w:szCs w:val="20"/>
        </w:rPr>
      </w:pPr>
      <w:r w:rsidRPr="00430CE2">
        <w:rPr>
          <w:rFonts w:ascii="Cambria" w:hAnsi="Cambria"/>
          <w:sz w:val="20"/>
        </w:rPr>
        <w:t>L'exemple suivant, qui utilise la moyenne des dépenses réelles pour la période 2023-2025, montre comment cela pourrait fonctionner avec le projet de budget proposé pour 2026.</w:t>
      </w:r>
    </w:p>
    <w:p w14:paraId="64D70BFD" w14:textId="505BE53B" w:rsidR="00A423BB" w:rsidRPr="00430CE2" w:rsidRDefault="00A423BB"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1540"/>
      </w:tblGrid>
      <w:tr w:rsidR="00C30656" w:rsidRPr="00430CE2" w14:paraId="6AE72126" w14:textId="77777777" w:rsidTr="00B50DC2">
        <w:trPr>
          <w:trHeight w:val="416"/>
          <w:jc w:val="center"/>
        </w:trPr>
        <w:tc>
          <w:tcPr>
            <w:tcW w:w="5240" w:type="dxa"/>
          </w:tcPr>
          <w:p w14:paraId="7168CD1F" w14:textId="4BCE6C24" w:rsidR="00C30656" w:rsidRPr="00430CE2" w:rsidRDefault="00E13661" w:rsidP="00B50DC2">
            <w:pPr>
              <w:rPr>
                <w:rFonts w:ascii="Cambria" w:hAnsi="Cambria" w:cs="Calibri"/>
                <w:sz w:val="20"/>
                <w:szCs w:val="20"/>
              </w:rPr>
            </w:pPr>
            <w:r w:rsidRPr="00430CE2">
              <w:rPr>
                <w:rFonts w:ascii="Cambria" w:hAnsi="Cambria"/>
                <w:sz w:val="20"/>
              </w:rPr>
              <w:t>Fonds nécessaires pour couvrir les dépenses budgétaires de janvier-février</w:t>
            </w:r>
          </w:p>
        </w:tc>
        <w:tc>
          <w:tcPr>
            <w:tcW w:w="1540" w:type="dxa"/>
          </w:tcPr>
          <w:p w14:paraId="5C9212C6" w14:textId="15725446" w:rsidR="00C30656" w:rsidRPr="00430CE2" w:rsidRDefault="00C30656" w:rsidP="00E651D6">
            <w:pPr>
              <w:jc w:val="right"/>
              <w:rPr>
                <w:rFonts w:ascii="Cambria" w:hAnsi="Cambria" w:cs="Calibri"/>
                <w:sz w:val="20"/>
                <w:szCs w:val="20"/>
              </w:rPr>
            </w:pPr>
            <w:r w:rsidRPr="00430CE2">
              <w:rPr>
                <w:rFonts w:ascii="Cambria" w:hAnsi="Cambria"/>
                <w:sz w:val="20"/>
              </w:rPr>
              <w:t>1.183.000€</w:t>
            </w:r>
          </w:p>
        </w:tc>
      </w:tr>
      <w:tr w:rsidR="00C30656" w:rsidRPr="00430CE2" w14:paraId="75BECBE7" w14:textId="77777777" w:rsidTr="00B50DC2">
        <w:trPr>
          <w:trHeight w:val="271"/>
          <w:jc w:val="center"/>
        </w:trPr>
        <w:tc>
          <w:tcPr>
            <w:tcW w:w="5240" w:type="dxa"/>
          </w:tcPr>
          <w:p w14:paraId="1F954DE6" w14:textId="6367EAE6" w:rsidR="00C30656" w:rsidRPr="00430CE2" w:rsidRDefault="00E13661" w:rsidP="0069632C">
            <w:pPr>
              <w:jc w:val="both"/>
              <w:rPr>
                <w:rFonts w:ascii="Cambria" w:hAnsi="Cambria" w:cs="Calibri"/>
                <w:sz w:val="20"/>
                <w:szCs w:val="20"/>
              </w:rPr>
            </w:pPr>
            <w:r w:rsidRPr="00430CE2">
              <w:rPr>
                <w:rFonts w:ascii="Cambria" w:hAnsi="Cambria"/>
                <w:sz w:val="20"/>
              </w:rPr>
              <w:t>Fonds nécessaires pour couvrir trois mois de dépenses extrabudgétaires</w:t>
            </w:r>
          </w:p>
        </w:tc>
        <w:tc>
          <w:tcPr>
            <w:tcW w:w="1540" w:type="dxa"/>
          </w:tcPr>
          <w:p w14:paraId="3DDA2B60" w14:textId="36C93CC8" w:rsidR="00C30656" w:rsidRPr="00430CE2" w:rsidRDefault="00342B11" w:rsidP="00E651D6">
            <w:pPr>
              <w:jc w:val="right"/>
              <w:rPr>
                <w:rFonts w:ascii="Cambria" w:hAnsi="Cambria" w:cs="Calibri"/>
                <w:sz w:val="20"/>
                <w:szCs w:val="20"/>
              </w:rPr>
            </w:pPr>
            <w:r w:rsidRPr="00430CE2">
              <w:rPr>
                <w:rFonts w:ascii="Cambria" w:hAnsi="Cambria"/>
                <w:sz w:val="20"/>
              </w:rPr>
              <w:t>350.000€</w:t>
            </w:r>
          </w:p>
        </w:tc>
      </w:tr>
      <w:tr w:rsidR="00A15457" w:rsidRPr="00430CE2" w14:paraId="34E22803" w14:textId="77777777" w:rsidTr="00B50DC2">
        <w:trPr>
          <w:jc w:val="center"/>
        </w:trPr>
        <w:tc>
          <w:tcPr>
            <w:tcW w:w="5240" w:type="dxa"/>
          </w:tcPr>
          <w:p w14:paraId="1B6380C5" w14:textId="0590CAF2" w:rsidR="00A15457" w:rsidRPr="00430CE2" w:rsidRDefault="00A15457" w:rsidP="00A15457">
            <w:pPr>
              <w:jc w:val="both"/>
              <w:rPr>
                <w:rFonts w:ascii="Cambria" w:hAnsi="Cambria" w:cs="Calibri"/>
                <w:b/>
                <w:bCs/>
                <w:sz w:val="20"/>
                <w:szCs w:val="20"/>
              </w:rPr>
            </w:pPr>
            <w:r w:rsidRPr="00430CE2">
              <w:rPr>
                <w:rFonts w:ascii="Cambria" w:hAnsi="Cambria"/>
                <w:sz w:val="20"/>
              </w:rPr>
              <w:t>Fonds de réserve (5 % du projet de budget 2026)</w:t>
            </w:r>
          </w:p>
        </w:tc>
        <w:tc>
          <w:tcPr>
            <w:tcW w:w="1540" w:type="dxa"/>
          </w:tcPr>
          <w:p w14:paraId="534FBBBD" w14:textId="73040CD7" w:rsidR="00A15457" w:rsidRPr="00430CE2" w:rsidRDefault="00A15457" w:rsidP="001E148E">
            <w:pPr>
              <w:jc w:val="right"/>
              <w:rPr>
                <w:rFonts w:ascii="Cambria" w:hAnsi="Cambria" w:cs="Calibri"/>
                <w:sz w:val="20"/>
                <w:szCs w:val="20"/>
                <w:u w:val="single"/>
              </w:rPr>
            </w:pPr>
            <w:r w:rsidRPr="00430CE2">
              <w:rPr>
                <w:rFonts w:ascii="Cambria" w:hAnsi="Cambria" w:cs="Calibri"/>
                <w:sz w:val="20"/>
                <w:szCs w:val="20"/>
                <w:u w:val="single"/>
              </w:rPr>
              <w:t>€</w:t>
            </w:r>
            <w:r w:rsidRPr="00430CE2">
              <w:rPr>
                <w:rFonts w:ascii="Cambria" w:hAnsi="Cambria"/>
                <w:color w:val="000000"/>
                <w:sz w:val="20"/>
                <w:szCs w:val="20"/>
                <w:u w:val="single"/>
              </w:rPr>
              <w:t>320</w:t>
            </w:r>
            <w:r w:rsidR="001E148E" w:rsidRPr="00430CE2">
              <w:rPr>
                <w:rFonts w:ascii="Cambria" w:hAnsi="Cambria"/>
                <w:color w:val="000000"/>
                <w:sz w:val="20"/>
                <w:szCs w:val="20"/>
                <w:u w:val="single"/>
              </w:rPr>
              <w:t>.</w:t>
            </w:r>
            <w:r w:rsidRPr="00430CE2">
              <w:rPr>
                <w:rFonts w:ascii="Cambria" w:hAnsi="Cambria"/>
                <w:color w:val="000000"/>
                <w:sz w:val="20"/>
                <w:szCs w:val="20"/>
                <w:u w:val="single"/>
              </w:rPr>
              <w:t>428</w:t>
            </w:r>
          </w:p>
        </w:tc>
      </w:tr>
      <w:tr w:rsidR="00A15457" w:rsidRPr="00430CE2" w14:paraId="367130A0" w14:textId="77777777" w:rsidTr="00B50DC2">
        <w:trPr>
          <w:jc w:val="center"/>
        </w:trPr>
        <w:tc>
          <w:tcPr>
            <w:tcW w:w="5240" w:type="dxa"/>
          </w:tcPr>
          <w:p w14:paraId="393EAAD7" w14:textId="4F77EF4D" w:rsidR="00A15457" w:rsidRPr="00430CE2" w:rsidRDefault="00A15457" w:rsidP="00A15457">
            <w:pPr>
              <w:jc w:val="both"/>
              <w:rPr>
                <w:rFonts w:ascii="Cambria" w:hAnsi="Cambria" w:cs="Calibri"/>
                <w:b/>
                <w:bCs/>
                <w:sz w:val="20"/>
                <w:szCs w:val="20"/>
              </w:rPr>
            </w:pPr>
            <w:r w:rsidRPr="00430CE2">
              <w:rPr>
                <w:rFonts w:ascii="Cambria" w:hAnsi="Cambria"/>
                <w:b/>
                <w:sz w:val="20"/>
              </w:rPr>
              <w:t>Solde total du Fonds de roulement à reporter à 2026</w:t>
            </w:r>
          </w:p>
        </w:tc>
        <w:tc>
          <w:tcPr>
            <w:tcW w:w="1540" w:type="dxa"/>
          </w:tcPr>
          <w:p w14:paraId="342CD196" w14:textId="76D4DBDE" w:rsidR="00A15457" w:rsidRPr="00430CE2" w:rsidRDefault="00A15457" w:rsidP="00A15457">
            <w:pPr>
              <w:jc w:val="right"/>
              <w:rPr>
                <w:rFonts w:ascii="Cambria" w:hAnsi="Cambria" w:cs="Calibri"/>
                <w:sz w:val="20"/>
                <w:szCs w:val="20"/>
                <w:u w:val="single"/>
              </w:rPr>
            </w:pPr>
            <w:r w:rsidRPr="00430CE2">
              <w:rPr>
                <w:rFonts w:ascii="Cambria" w:hAnsi="Cambria" w:cs="Calibri"/>
                <w:sz w:val="20"/>
                <w:szCs w:val="20"/>
                <w:u w:val="single"/>
              </w:rPr>
              <w:t>€1</w:t>
            </w:r>
            <w:r w:rsidR="001E148E" w:rsidRPr="00430CE2">
              <w:rPr>
                <w:rFonts w:ascii="Cambria" w:hAnsi="Cambria" w:cs="Calibri"/>
                <w:sz w:val="20"/>
                <w:szCs w:val="20"/>
                <w:u w:val="single"/>
              </w:rPr>
              <w:t>.</w:t>
            </w:r>
            <w:r w:rsidRPr="00430CE2">
              <w:rPr>
                <w:rFonts w:ascii="Cambria" w:hAnsi="Cambria" w:cs="Calibri"/>
                <w:sz w:val="20"/>
                <w:szCs w:val="20"/>
                <w:u w:val="single"/>
              </w:rPr>
              <w:t>853</w:t>
            </w:r>
            <w:r w:rsidR="001E148E" w:rsidRPr="00430CE2">
              <w:rPr>
                <w:rFonts w:ascii="Cambria" w:hAnsi="Cambria" w:cs="Calibri"/>
                <w:sz w:val="20"/>
                <w:szCs w:val="20"/>
                <w:u w:val="single"/>
              </w:rPr>
              <w:t>.</w:t>
            </w:r>
            <w:r w:rsidRPr="00430CE2">
              <w:rPr>
                <w:rFonts w:ascii="Cambria" w:hAnsi="Cambria" w:cs="Calibri"/>
                <w:sz w:val="20"/>
                <w:szCs w:val="20"/>
                <w:u w:val="single"/>
              </w:rPr>
              <w:t>428</w:t>
            </w:r>
          </w:p>
        </w:tc>
      </w:tr>
    </w:tbl>
    <w:p w14:paraId="24E512CD" w14:textId="381F8A76" w:rsidR="00F455C9" w:rsidRPr="00430CE2" w:rsidRDefault="00F455C9" w:rsidP="0069632C">
      <w:pPr>
        <w:jc w:val="both"/>
        <w:rPr>
          <w:rFonts w:ascii="Cambria" w:hAnsi="Cambria" w:cs="Calibri"/>
          <w:sz w:val="20"/>
          <w:szCs w:val="20"/>
        </w:rPr>
      </w:pPr>
    </w:p>
    <w:p w14:paraId="3393DFCF" w14:textId="31C4D6C1" w:rsidR="00344D19" w:rsidRPr="00430CE2" w:rsidRDefault="00344D19" w:rsidP="0069632C">
      <w:pPr>
        <w:jc w:val="both"/>
        <w:rPr>
          <w:rFonts w:ascii="Cambria" w:hAnsi="Cambria" w:cs="Calibri"/>
          <w:sz w:val="20"/>
          <w:szCs w:val="20"/>
        </w:rPr>
      </w:pPr>
      <w:r w:rsidRPr="00430CE2">
        <w:rPr>
          <w:rFonts w:ascii="Cambria" w:hAnsi="Cambria"/>
          <w:sz w:val="20"/>
        </w:rPr>
        <w:t xml:space="preserve">Le solde du Fonds de roulement à la fin de 2025 est actuellement estimé à 2.545.042 €, soit </w:t>
      </w:r>
      <w:r w:rsidR="008A0B92" w:rsidRPr="00430CE2">
        <w:rPr>
          <w:rFonts w:ascii="Cambria" w:hAnsi="Cambria" w:cs="Calibri"/>
          <w:sz w:val="20"/>
          <w:szCs w:val="20"/>
          <w:u w:val="single"/>
        </w:rPr>
        <w:t>691</w:t>
      </w:r>
      <w:r w:rsidR="008A0B92" w:rsidRPr="00430CE2">
        <w:rPr>
          <w:rFonts w:ascii="Cambria" w:hAnsi="Cambria" w:cs="Calibri"/>
          <w:sz w:val="20"/>
          <w:szCs w:val="20"/>
          <w:u w:val="single"/>
        </w:rPr>
        <w:t>.</w:t>
      </w:r>
      <w:r w:rsidR="008A0B92" w:rsidRPr="00430CE2">
        <w:rPr>
          <w:rFonts w:ascii="Cambria" w:hAnsi="Cambria" w:cs="Calibri"/>
          <w:sz w:val="20"/>
          <w:szCs w:val="20"/>
          <w:u w:val="single"/>
        </w:rPr>
        <w:t>614</w:t>
      </w:r>
      <w:r w:rsidR="008A0B92" w:rsidRPr="00430CE2">
        <w:rPr>
          <w:rFonts w:ascii="Cambria" w:hAnsi="Cambria" w:cs="Calibri"/>
          <w:sz w:val="20"/>
          <w:szCs w:val="20"/>
        </w:rPr>
        <w:t xml:space="preserve"> </w:t>
      </w:r>
      <w:r w:rsidRPr="00430CE2">
        <w:rPr>
          <w:rFonts w:ascii="Cambria" w:hAnsi="Cambria"/>
          <w:sz w:val="20"/>
        </w:rPr>
        <w:t>€ de plus que le montant total nécessaire pour le report à 2026. Ce montant serait ensuite utilisé pour réduire les contributions au budget ordinaire dues par les Parties contractantes en 2026.</w:t>
      </w:r>
    </w:p>
    <w:p w14:paraId="19B6A176" w14:textId="43F8B01A" w:rsidR="00212EBC" w:rsidRPr="00430CE2" w:rsidRDefault="00212EBC"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1463"/>
      </w:tblGrid>
      <w:tr w:rsidR="00161E65" w:rsidRPr="00430CE2" w14:paraId="4B1B6B44" w14:textId="77777777" w:rsidTr="00161E65">
        <w:trPr>
          <w:trHeight w:val="349"/>
          <w:jc w:val="center"/>
        </w:trPr>
        <w:tc>
          <w:tcPr>
            <w:tcW w:w="5240" w:type="dxa"/>
          </w:tcPr>
          <w:p w14:paraId="64B997A4" w14:textId="3688AF83" w:rsidR="00161E65" w:rsidRPr="00430CE2" w:rsidRDefault="00161E65" w:rsidP="0082321C">
            <w:pPr>
              <w:jc w:val="both"/>
              <w:rPr>
                <w:rFonts w:ascii="Cambria" w:hAnsi="Cambria" w:cs="Calibri"/>
                <w:sz w:val="20"/>
                <w:szCs w:val="20"/>
              </w:rPr>
            </w:pPr>
            <w:r w:rsidRPr="00430CE2">
              <w:rPr>
                <w:rFonts w:ascii="Cambria" w:hAnsi="Cambria"/>
                <w:sz w:val="20"/>
              </w:rPr>
              <w:t>Budget ordinaire proposé pour 2026</w:t>
            </w:r>
          </w:p>
        </w:tc>
        <w:tc>
          <w:tcPr>
            <w:tcW w:w="1463" w:type="dxa"/>
          </w:tcPr>
          <w:p w14:paraId="35C80C65" w14:textId="39B0D93F" w:rsidR="00161E65" w:rsidRPr="00430CE2" w:rsidRDefault="00161E65" w:rsidP="0082321C">
            <w:pPr>
              <w:jc w:val="both"/>
              <w:rPr>
                <w:rFonts w:ascii="Cambria" w:hAnsi="Cambria"/>
                <w:sz w:val="20"/>
                <w:u w:val="single"/>
              </w:rPr>
            </w:pPr>
            <w:r w:rsidRPr="00430CE2">
              <w:rPr>
                <w:rFonts w:ascii="Cambria" w:hAnsi="Cambria" w:cs="Calibri"/>
                <w:sz w:val="20"/>
                <w:szCs w:val="20"/>
                <w:u w:val="single"/>
              </w:rPr>
              <w:t>6</w:t>
            </w:r>
            <w:r w:rsidR="004247AB" w:rsidRPr="00430CE2">
              <w:rPr>
                <w:rFonts w:ascii="Cambria" w:hAnsi="Cambria" w:cs="Calibri"/>
                <w:sz w:val="20"/>
                <w:szCs w:val="20"/>
                <w:u w:val="single"/>
              </w:rPr>
              <w:t>.</w:t>
            </w:r>
            <w:r w:rsidRPr="00430CE2">
              <w:rPr>
                <w:rFonts w:ascii="Cambria" w:hAnsi="Cambria" w:cs="Calibri"/>
                <w:sz w:val="20"/>
                <w:szCs w:val="20"/>
                <w:u w:val="single"/>
              </w:rPr>
              <w:t>408</w:t>
            </w:r>
            <w:r w:rsidR="004247AB" w:rsidRPr="00430CE2">
              <w:rPr>
                <w:rFonts w:ascii="Cambria" w:hAnsi="Cambria" w:cs="Calibri"/>
                <w:sz w:val="20"/>
                <w:szCs w:val="20"/>
                <w:u w:val="single"/>
              </w:rPr>
              <w:t>.</w:t>
            </w:r>
            <w:r w:rsidRPr="00430CE2">
              <w:rPr>
                <w:rFonts w:ascii="Cambria" w:hAnsi="Cambria" w:cs="Calibri"/>
                <w:sz w:val="20"/>
                <w:szCs w:val="20"/>
                <w:u w:val="single"/>
              </w:rPr>
              <w:t>555</w:t>
            </w:r>
            <w:r w:rsidR="004247AB" w:rsidRPr="00430CE2">
              <w:rPr>
                <w:rFonts w:ascii="Cambria" w:hAnsi="Cambria" w:cs="Calibri"/>
                <w:sz w:val="20"/>
                <w:szCs w:val="20"/>
                <w:u w:val="single"/>
              </w:rPr>
              <w:t>,</w:t>
            </w:r>
            <w:r w:rsidRPr="00430CE2">
              <w:rPr>
                <w:rFonts w:ascii="Cambria" w:hAnsi="Cambria" w:cs="Calibri"/>
                <w:sz w:val="20"/>
                <w:szCs w:val="20"/>
                <w:u w:val="single"/>
              </w:rPr>
              <w:t>90</w:t>
            </w:r>
            <w:r w:rsidR="004247AB" w:rsidRPr="00430CE2">
              <w:rPr>
                <w:rFonts w:ascii="Cambria" w:hAnsi="Cambria" w:cs="Calibri"/>
                <w:sz w:val="20"/>
                <w:szCs w:val="20"/>
                <w:u w:val="single"/>
              </w:rPr>
              <w:t>€</w:t>
            </w:r>
          </w:p>
        </w:tc>
      </w:tr>
      <w:tr w:rsidR="00161E65" w:rsidRPr="00430CE2" w14:paraId="0182F3F0" w14:textId="77777777" w:rsidTr="00161E65">
        <w:trPr>
          <w:trHeight w:val="268"/>
          <w:jc w:val="center"/>
        </w:trPr>
        <w:tc>
          <w:tcPr>
            <w:tcW w:w="5240" w:type="dxa"/>
          </w:tcPr>
          <w:p w14:paraId="3FBCE567" w14:textId="0D1AE211" w:rsidR="00161E65" w:rsidRPr="00430CE2" w:rsidRDefault="00161E65" w:rsidP="0082321C">
            <w:pPr>
              <w:jc w:val="both"/>
              <w:rPr>
                <w:rFonts w:ascii="Cambria" w:hAnsi="Cambria" w:cs="Calibri"/>
                <w:sz w:val="20"/>
                <w:szCs w:val="20"/>
              </w:rPr>
            </w:pPr>
            <w:r w:rsidRPr="00430CE2">
              <w:rPr>
                <w:rFonts w:ascii="Cambria" w:hAnsi="Cambria"/>
                <w:sz w:val="20"/>
              </w:rPr>
              <w:t>Solde excédentaire du Fonds de roulement</w:t>
            </w:r>
          </w:p>
        </w:tc>
        <w:tc>
          <w:tcPr>
            <w:tcW w:w="1463" w:type="dxa"/>
          </w:tcPr>
          <w:p w14:paraId="6702EB08" w14:textId="3207D354" w:rsidR="00161E65" w:rsidRPr="00430CE2" w:rsidRDefault="00161E65" w:rsidP="0082321C">
            <w:pPr>
              <w:jc w:val="both"/>
              <w:rPr>
                <w:rFonts w:ascii="Cambria" w:hAnsi="Cambria"/>
                <w:sz w:val="20"/>
                <w:u w:val="single"/>
              </w:rPr>
            </w:pPr>
            <w:r w:rsidRPr="00430CE2">
              <w:rPr>
                <w:rFonts w:ascii="Cambria" w:hAnsi="Cambria" w:cs="Calibri"/>
                <w:sz w:val="20"/>
                <w:szCs w:val="20"/>
                <w:u w:val="single"/>
              </w:rPr>
              <w:t>(691</w:t>
            </w:r>
            <w:r w:rsidR="004247AB" w:rsidRPr="00430CE2">
              <w:rPr>
                <w:rFonts w:ascii="Cambria" w:hAnsi="Cambria" w:cs="Calibri"/>
                <w:sz w:val="20"/>
                <w:szCs w:val="20"/>
                <w:u w:val="single"/>
              </w:rPr>
              <w:t>.</w:t>
            </w:r>
            <w:r w:rsidRPr="00430CE2">
              <w:rPr>
                <w:rFonts w:ascii="Cambria" w:hAnsi="Cambria" w:cs="Calibri"/>
                <w:sz w:val="20"/>
                <w:szCs w:val="20"/>
                <w:u w:val="single"/>
              </w:rPr>
              <w:t>614</w:t>
            </w:r>
            <w:r w:rsidR="004247AB" w:rsidRPr="00430CE2">
              <w:rPr>
                <w:rFonts w:ascii="Cambria" w:hAnsi="Cambria" w:cs="Calibri"/>
                <w:sz w:val="20"/>
                <w:szCs w:val="20"/>
                <w:u w:val="single"/>
              </w:rPr>
              <w:t>,</w:t>
            </w:r>
            <w:r w:rsidRPr="00430CE2">
              <w:rPr>
                <w:rFonts w:ascii="Cambria" w:hAnsi="Cambria" w:cs="Calibri"/>
                <w:sz w:val="20"/>
                <w:szCs w:val="20"/>
                <w:u w:val="single"/>
              </w:rPr>
              <w:t>00</w:t>
            </w:r>
            <w:r w:rsidR="003D0371" w:rsidRPr="00430CE2">
              <w:rPr>
                <w:rFonts w:ascii="Cambria" w:hAnsi="Cambria" w:cs="Calibri"/>
                <w:sz w:val="20"/>
                <w:szCs w:val="20"/>
                <w:u w:val="single"/>
              </w:rPr>
              <w:t>€</w:t>
            </w:r>
            <w:r w:rsidRPr="00430CE2">
              <w:rPr>
                <w:rFonts w:ascii="Cambria" w:hAnsi="Cambria" w:cs="Calibri"/>
                <w:sz w:val="20"/>
                <w:szCs w:val="20"/>
                <w:u w:val="single"/>
              </w:rPr>
              <w:t>)</w:t>
            </w:r>
          </w:p>
        </w:tc>
      </w:tr>
      <w:tr w:rsidR="00161E65" w:rsidRPr="00430CE2" w14:paraId="6EA7422E" w14:textId="77777777" w:rsidTr="00161E65">
        <w:trPr>
          <w:jc w:val="center"/>
        </w:trPr>
        <w:tc>
          <w:tcPr>
            <w:tcW w:w="5240" w:type="dxa"/>
          </w:tcPr>
          <w:p w14:paraId="585F8F6D" w14:textId="2520D6A7" w:rsidR="00161E65" w:rsidRPr="00430CE2" w:rsidRDefault="00161E65" w:rsidP="0082321C">
            <w:pPr>
              <w:jc w:val="both"/>
              <w:rPr>
                <w:rFonts w:ascii="Cambria" w:hAnsi="Cambria" w:cs="Calibri"/>
                <w:b/>
                <w:bCs/>
                <w:sz w:val="20"/>
                <w:szCs w:val="20"/>
              </w:rPr>
            </w:pPr>
            <w:r w:rsidRPr="00430CE2">
              <w:rPr>
                <w:rFonts w:ascii="Cambria" w:hAnsi="Cambria"/>
                <w:b/>
                <w:sz w:val="20"/>
              </w:rPr>
              <w:t>Budget ordinaire net à financer par les Parties contractantes</w:t>
            </w:r>
          </w:p>
        </w:tc>
        <w:tc>
          <w:tcPr>
            <w:tcW w:w="1463" w:type="dxa"/>
          </w:tcPr>
          <w:p w14:paraId="4207289B" w14:textId="0990622F" w:rsidR="00161E65" w:rsidRPr="00430CE2" w:rsidRDefault="00161E65" w:rsidP="0082321C">
            <w:pPr>
              <w:jc w:val="right"/>
              <w:rPr>
                <w:rFonts w:ascii="Cambria" w:hAnsi="Cambria" w:cs="Calibri"/>
                <w:sz w:val="20"/>
                <w:szCs w:val="20"/>
                <w:u w:val="single"/>
              </w:rPr>
            </w:pPr>
            <w:r w:rsidRPr="00430CE2">
              <w:rPr>
                <w:rFonts w:ascii="Cambria" w:hAnsi="Cambria"/>
                <w:color w:val="000000"/>
                <w:sz w:val="20"/>
                <w:szCs w:val="20"/>
                <w:u w:val="single"/>
              </w:rPr>
              <w:t>5</w:t>
            </w:r>
            <w:r w:rsidR="003D0371" w:rsidRPr="00430CE2">
              <w:rPr>
                <w:rFonts w:ascii="Cambria" w:hAnsi="Cambria"/>
                <w:color w:val="000000"/>
                <w:sz w:val="20"/>
                <w:szCs w:val="20"/>
                <w:u w:val="single"/>
              </w:rPr>
              <w:t>.</w:t>
            </w:r>
            <w:r w:rsidRPr="00430CE2">
              <w:rPr>
                <w:rFonts w:ascii="Cambria" w:hAnsi="Cambria"/>
                <w:color w:val="000000"/>
                <w:sz w:val="20"/>
                <w:szCs w:val="20"/>
                <w:u w:val="single"/>
              </w:rPr>
              <w:t>716</w:t>
            </w:r>
            <w:r w:rsidR="003D0371" w:rsidRPr="00430CE2">
              <w:rPr>
                <w:rFonts w:ascii="Cambria" w:hAnsi="Cambria"/>
                <w:color w:val="000000"/>
                <w:sz w:val="20"/>
                <w:szCs w:val="20"/>
                <w:u w:val="single"/>
              </w:rPr>
              <w:t>.</w:t>
            </w:r>
            <w:r w:rsidRPr="00430CE2">
              <w:rPr>
                <w:rFonts w:ascii="Cambria" w:hAnsi="Cambria"/>
                <w:color w:val="000000"/>
                <w:sz w:val="20"/>
                <w:szCs w:val="20"/>
                <w:u w:val="single"/>
              </w:rPr>
              <w:t>941</w:t>
            </w:r>
            <w:r w:rsidR="003D0371" w:rsidRPr="00430CE2">
              <w:rPr>
                <w:rFonts w:ascii="Cambria" w:hAnsi="Cambria"/>
                <w:color w:val="000000"/>
                <w:sz w:val="20"/>
                <w:szCs w:val="20"/>
                <w:u w:val="single"/>
              </w:rPr>
              <w:t>,</w:t>
            </w:r>
            <w:r w:rsidRPr="00430CE2">
              <w:rPr>
                <w:rFonts w:ascii="Cambria" w:hAnsi="Cambria"/>
                <w:color w:val="000000"/>
                <w:sz w:val="20"/>
                <w:szCs w:val="20"/>
                <w:u w:val="single"/>
              </w:rPr>
              <w:t>90</w:t>
            </w:r>
            <w:r w:rsidR="003D0371" w:rsidRPr="00430CE2">
              <w:rPr>
                <w:rFonts w:ascii="Cambria" w:hAnsi="Cambria" w:cs="Calibri"/>
                <w:sz w:val="20"/>
                <w:szCs w:val="20"/>
                <w:u w:val="single"/>
              </w:rPr>
              <w:t>€</w:t>
            </w:r>
          </w:p>
          <w:p w14:paraId="0668F6A1" w14:textId="77777777" w:rsidR="00161E65" w:rsidRPr="00430CE2" w:rsidRDefault="00161E65" w:rsidP="0082321C">
            <w:pPr>
              <w:jc w:val="both"/>
              <w:rPr>
                <w:rFonts w:ascii="Cambria" w:hAnsi="Cambria"/>
                <w:sz w:val="20"/>
                <w:u w:val="single"/>
              </w:rPr>
            </w:pPr>
          </w:p>
        </w:tc>
      </w:tr>
    </w:tbl>
    <w:p w14:paraId="5DD9ED34" w14:textId="22831483" w:rsidR="001E2732" w:rsidRPr="00430CE2" w:rsidRDefault="001E2732" w:rsidP="0069632C">
      <w:pPr>
        <w:jc w:val="both"/>
        <w:rPr>
          <w:rFonts w:ascii="Cambria" w:hAnsi="Cambria" w:cs="Calibri"/>
          <w:sz w:val="20"/>
          <w:szCs w:val="20"/>
        </w:rPr>
      </w:pPr>
    </w:p>
    <w:p w14:paraId="75CA3ED7" w14:textId="4354FE6F" w:rsidR="00882A02" w:rsidRPr="00430CE2" w:rsidRDefault="00882A02" w:rsidP="0069632C">
      <w:pPr>
        <w:jc w:val="both"/>
        <w:rPr>
          <w:rFonts w:ascii="Cambria" w:hAnsi="Cambria" w:cs="Calibri"/>
          <w:sz w:val="20"/>
          <w:szCs w:val="20"/>
        </w:rPr>
      </w:pPr>
      <w:r w:rsidRPr="00430CE2">
        <w:rPr>
          <w:rFonts w:ascii="Cambria" w:hAnsi="Cambria"/>
          <w:sz w:val="20"/>
        </w:rPr>
        <w:t>Ce montant total réduit servirait à calculer les contributions des Parties contractantes indiquées dans le tableau 3 du projet de budget proposé (</w:t>
      </w:r>
      <w:r w:rsidRPr="00430CE2">
        <w:rPr>
          <w:rFonts w:ascii="Cambria" w:hAnsi="Cambria"/>
          <w:sz w:val="20"/>
          <w:u w:val="single"/>
        </w:rPr>
        <w:t>STF_203</w:t>
      </w:r>
      <w:r w:rsidR="006B14F6" w:rsidRPr="00430CE2">
        <w:rPr>
          <w:rFonts w:ascii="Cambria" w:hAnsi="Cambria"/>
          <w:sz w:val="20"/>
          <w:u w:val="single"/>
        </w:rPr>
        <w:t>A</w:t>
      </w:r>
      <w:r w:rsidRPr="00430CE2">
        <w:rPr>
          <w:rFonts w:ascii="Cambria" w:hAnsi="Cambria"/>
          <w:sz w:val="20"/>
        </w:rPr>
        <w:t>/2025).</w:t>
      </w:r>
    </w:p>
    <w:p w14:paraId="02D76E72" w14:textId="77777777" w:rsidR="006904CB" w:rsidRPr="00430CE2" w:rsidRDefault="006904CB" w:rsidP="0069632C">
      <w:pPr>
        <w:jc w:val="both"/>
        <w:rPr>
          <w:rFonts w:ascii="Cambria" w:hAnsi="Cambria" w:cs="Calibri"/>
          <w:sz w:val="20"/>
          <w:szCs w:val="20"/>
        </w:rPr>
      </w:pPr>
    </w:p>
    <w:p w14:paraId="39FAC347" w14:textId="7791DE1C" w:rsidR="006904CB" w:rsidRPr="00430CE2" w:rsidRDefault="008725D0" w:rsidP="0069632C">
      <w:pPr>
        <w:jc w:val="both"/>
        <w:rPr>
          <w:rFonts w:ascii="Cambria" w:hAnsi="Cambria" w:cs="Calibri"/>
          <w:b/>
          <w:bCs/>
          <w:sz w:val="20"/>
          <w:szCs w:val="20"/>
        </w:rPr>
      </w:pPr>
      <w:r w:rsidRPr="00430CE2">
        <w:rPr>
          <w:rFonts w:ascii="Cambria" w:hAnsi="Cambria"/>
          <w:b/>
          <w:sz w:val="20"/>
        </w:rPr>
        <w:t>Amendements au Règlement financier</w:t>
      </w:r>
    </w:p>
    <w:p w14:paraId="4C6CEA8B" w14:textId="77777777" w:rsidR="00701292" w:rsidRPr="00430CE2" w:rsidRDefault="00701292" w:rsidP="0069632C">
      <w:pPr>
        <w:jc w:val="both"/>
        <w:rPr>
          <w:rFonts w:ascii="Cambria" w:hAnsi="Cambria" w:cs="Calibri"/>
          <w:b/>
          <w:bCs/>
          <w:sz w:val="20"/>
          <w:szCs w:val="20"/>
        </w:rPr>
      </w:pPr>
    </w:p>
    <w:p w14:paraId="04E0643E" w14:textId="429064B8" w:rsidR="00533C36" w:rsidRPr="00430CE2" w:rsidRDefault="008725D0" w:rsidP="0069632C">
      <w:pPr>
        <w:jc w:val="both"/>
        <w:rPr>
          <w:rFonts w:ascii="Cambria" w:hAnsi="Cambria" w:cs="Calibri"/>
          <w:sz w:val="20"/>
          <w:szCs w:val="20"/>
        </w:rPr>
      </w:pPr>
      <w:r w:rsidRPr="00430CE2">
        <w:rPr>
          <w:rFonts w:ascii="Cambria" w:hAnsi="Cambria"/>
          <w:sz w:val="20"/>
        </w:rPr>
        <w:t>Si la Commission approuve cette approche dans son principe, elle devra adopter des amendements au règlement financier. Ces amendements pourraient également supprimer les passages obsolètes concernant les avances évaluées des Parties contractantes pour le maintien du Fonds de roulement, qui ne sont plus exigées depuis des décennies, et refléter à la place la pratique de longue date consistant à financer le Fonds de roulement grâce aux fonds reçus en excédent des dépenses allouées chaque année.</w:t>
      </w:r>
      <w:r w:rsidR="0058444B" w:rsidRPr="00430CE2">
        <w:rPr>
          <w:rFonts w:ascii="Cambria" w:hAnsi="Cambria"/>
          <w:sz w:val="20"/>
        </w:rPr>
        <w:t xml:space="preserve"> </w:t>
      </w:r>
    </w:p>
    <w:p w14:paraId="4F2B2265" w14:textId="77777777" w:rsidR="00533C36" w:rsidRPr="00430CE2" w:rsidRDefault="00533C36" w:rsidP="0069632C">
      <w:pPr>
        <w:jc w:val="both"/>
        <w:rPr>
          <w:rFonts w:ascii="Cambria" w:hAnsi="Cambria" w:cs="Calibri"/>
          <w:sz w:val="20"/>
          <w:szCs w:val="20"/>
        </w:rPr>
      </w:pPr>
    </w:p>
    <w:p w14:paraId="63F445C7" w14:textId="77777777" w:rsidR="00701292" w:rsidRPr="00430CE2" w:rsidRDefault="00701292">
      <w:pPr>
        <w:spacing w:after="160" w:line="259" w:lineRule="auto"/>
        <w:rPr>
          <w:rFonts w:ascii="Cambria" w:hAnsi="Cambria" w:cs="Calibri"/>
          <w:b/>
          <w:bCs/>
          <w:sz w:val="20"/>
          <w:szCs w:val="20"/>
        </w:rPr>
      </w:pPr>
      <w:r w:rsidRPr="00430CE2">
        <w:br w:type="page"/>
      </w:r>
    </w:p>
    <w:p w14:paraId="39F1D1C6" w14:textId="6F669475" w:rsidR="008C046D" w:rsidRPr="00430CE2" w:rsidRDefault="009B3442" w:rsidP="00701292">
      <w:pPr>
        <w:jc w:val="center"/>
        <w:rPr>
          <w:rFonts w:ascii="Cambria" w:hAnsi="Cambria" w:cs="Calibri"/>
          <w:b/>
          <w:bCs/>
          <w:sz w:val="20"/>
          <w:szCs w:val="20"/>
        </w:rPr>
      </w:pPr>
      <w:r w:rsidRPr="00430CE2">
        <w:rPr>
          <w:rFonts w:ascii="Cambria" w:hAnsi="Cambria"/>
          <w:b/>
          <w:sz w:val="20"/>
        </w:rPr>
        <w:lastRenderedPageBreak/>
        <w:t>Projet d</w:t>
      </w:r>
      <w:r w:rsidR="002D7B69" w:rsidRPr="00430CE2">
        <w:rPr>
          <w:rFonts w:ascii="Cambria" w:hAnsi="Cambria"/>
          <w:b/>
          <w:sz w:val="20"/>
        </w:rPr>
        <w:t>’amendements au</w:t>
      </w:r>
      <w:r w:rsidRPr="00430CE2">
        <w:rPr>
          <w:rFonts w:ascii="Cambria" w:hAnsi="Cambria"/>
          <w:b/>
          <w:sz w:val="20"/>
        </w:rPr>
        <w:t xml:space="preserve"> Règlement financier</w:t>
      </w:r>
    </w:p>
    <w:p w14:paraId="799B24C8" w14:textId="77777777" w:rsidR="008C046D" w:rsidRPr="00430CE2" w:rsidRDefault="008C046D" w:rsidP="0069632C">
      <w:pPr>
        <w:jc w:val="both"/>
        <w:rPr>
          <w:rFonts w:ascii="Cambria" w:hAnsi="Cambria" w:cs="Calibri"/>
          <w:sz w:val="20"/>
          <w:szCs w:val="20"/>
        </w:rPr>
      </w:pPr>
    </w:p>
    <w:p w14:paraId="5D5A64CB" w14:textId="2F724E1B" w:rsidR="00480DF7" w:rsidRPr="00430CE2" w:rsidRDefault="00480DF7" w:rsidP="0069632C">
      <w:pPr>
        <w:jc w:val="both"/>
        <w:rPr>
          <w:rFonts w:ascii="Cambria" w:hAnsi="Cambria" w:cs="Calibri"/>
          <w:b/>
          <w:bCs/>
          <w:sz w:val="20"/>
          <w:szCs w:val="20"/>
        </w:rPr>
      </w:pPr>
      <w:r w:rsidRPr="00430CE2">
        <w:rPr>
          <w:rFonts w:ascii="Cambria" w:hAnsi="Cambria"/>
          <w:b/>
          <w:sz w:val="20"/>
        </w:rPr>
        <w:t>Article 4 - Ressources</w:t>
      </w:r>
    </w:p>
    <w:p w14:paraId="760549B2" w14:textId="77777777" w:rsidR="00701292" w:rsidRPr="00430CE2" w:rsidRDefault="00701292" w:rsidP="0069632C">
      <w:pPr>
        <w:jc w:val="both"/>
        <w:rPr>
          <w:rFonts w:ascii="Cambria" w:hAnsi="Cambria" w:cs="Calibri"/>
          <w:b/>
          <w:bCs/>
          <w:sz w:val="20"/>
          <w:szCs w:val="20"/>
        </w:rPr>
      </w:pPr>
    </w:p>
    <w:p w14:paraId="76F52F14" w14:textId="09EA6E2C" w:rsidR="00361D07" w:rsidRPr="00430CE2" w:rsidRDefault="00480DF7" w:rsidP="0069632C">
      <w:pPr>
        <w:pStyle w:val="ListParagraph"/>
        <w:numPr>
          <w:ilvl w:val="0"/>
          <w:numId w:val="1"/>
        </w:numPr>
        <w:jc w:val="both"/>
        <w:rPr>
          <w:rFonts w:ascii="Cambria" w:hAnsi="Cambria" w:cs="Calibri"/>
          <w:sz w:val="20"/>
          <w:szCs w:val="20"/>
        </w:rPr>
      </w:pPr>
      <w:r w:rsidRPr="00430CE2">
        <w:rPr>
          <w:rFonts w:ascii="Cambria" w:hAnsi="Cambria"/>
          <w:sz w:val="20"/>
        </w:rPr>
        <w:t>Les crédits de l’exercice financier devront être financés par les contributions annuelles réalisées par les membres de la Commission conformément à l’article X-2 de la Convention et en vertu des Principes de base du Nouveau schéma de calcul suivants</w:t>
      </w:r>
      <w:r w:rsidRPr="00430CE2">
        <w:rPr>
          <w:rFonts w:ascii="Cambria" w:hAnsi="Cambria"/>
          <w:sz w:val="20"/>
          <w:u w:val="single"/>
        </w:rPr>
        <w:t>.</w:t>
      </w:r>
      <w:r w:rsidRPr="00430CE2">
        <w:rPr>
          <w:rFonts w:ascii="Cambria" w:hAnsi="Cambria"/>
          <w:sz w:val="20"/>
        </w:rPr>
        <w:t>**</w:t>
      </w:r>
      <w:r w:rsidRPr="00430CE2">
        <w:rPr>
          <w:rFonts w:ascii="Cambria" w:hAnsi="Cambria"/>
          <w:sz w:val="20"/>
          <w:u w:val="single"/>
        </w:rPr>
        <w:t>Pour calculer les contributions dues par chaque Partie contractante, le Secrétaire exécutif devra déduire d'abord du montant du budget convenu le montant du Fonds de roulement que la Commission a déterminé comme excédant le niveau fixé en vertu de l'article 7.</w:t>
      </w:r>
    </w:p>
    <w:p w14:paraId="5DA471CF" w14:textId="77777777" w:rsidR="00480DF7" w:rsidRPr="00430CE2" w:rsidRDefault="00480DF7" w:rsidP="0069632C">
      <w:pPr>
        <w:jc w:val="both"/>
        <w:rPr>
          <w:rFonts w:ascii="Cambria" w:hAnsi="Cambria" w:cs="Calibri"/>
          <w:sz w:val="20"/>
          <w:szCs w:val="20"/>
        </w:rPr>
      </w:pPr>
    </w:p>
    <w:p w14:paraId="0C8C7706" w14:textId="77777777" w:rsidR="00480DF7" w:rsidRPr="00430CE2" w:rsidRDefault="00480DF7" w:rsidP="0069632C">
      <w:pPr>
        <w:jc w:val="both"/>
        <w:rPr>
          <w:rFonts w:ascii="Cambria" w:hAnsi="Cambria" w:cs="Calibri"/>
          <w:sz w:val="20"/>
          <w:szCs w:val="20"/>
        </w:rPr>
      </w:pPr>
    </w:p>
    <w:p w14:paraId="7593A1D6" w14:textId="77777777" w:rsidR="00480DF7" w:rsidRPr="00430CE2" w:rsidRDefault="00480DF7" w:rsidP="0069632C">
      <w:pPr>
        <w:jc w:val="both"/>
        <w:rPr>
          <w:rFonts w:ascii="Cambria" w:hAnsi="Cambria" w:cs="Calibri"/>
          <w:b/>
          <w:bCs/>
          <w:sz w:val="20"/>
          <w:szCs w:val="20"/>
        </w:rPr>
      </w:pPr>
      <w:r w:rsidRPr="00430CE2">
        <w:rPr>
          <w:rFonts w:ascii="Cambria" w:hAnsi="Cambria"/>
          <w:b/>
          <w:sz w:val="20"/>
        </w:rPr>
        <w:t>Article 7 - Fonds de roulement</w:t>
      </w:r>
    </w:p>
    <w:p w14:paraId="1C00B116" w14:textId="77777777" w:rsidR="00701292" w:rsidRPr="00430CE2" w:rsidRDefault="00701292" w:rsidP="0069632C">
      <w:pPr>
        <w:jc w:val="both"/>
        <w:rPr>
          <w:rFonts w:ascii="Cambria" w:hAnsi="Cambria" w:cs="Calibri"/>
          <w:b/>
          <w:bCs/>
          <w:sz w:val="20"/>
          <w:szCs w:val="20"/>
        </w:rPr>
      </w:pPr>
    </w:p>
    <w:p w14:paraId="4BCB78E0" w14:textId="7DD9C4BF" w:rsidR="00480DF7" w:rsidRPr="00430CE2" w:rsidRDefault="00480DF7" w:rsidP="0069632C">
      <w:pPr>
        <w:pStyle w:val="ListParagraph"/>
        <w:numPr>
          <w:ilvl w:val="0"/>
          <w:numId w:val="2"/>
        </w:numPr>
        <w:jc w:val="both"/>
        <w:rPr>
          <w:rFonts w:ascii="Cambria" w:hAnsi="Cambria" w:cs="Calibri"/>
          <w:sz w:val="20"/>
          <w:szCs w:val="20"/>
        </w:rPr>
      </w:pPr>
      <w:r w:rsidRPr="00430CE2">
        <w:rPr>
          <w:rFonts w:ascii="Cambria" w:hAnsi="Cambria"/>
          <w:sz w:val="20"/>
        </w:rPr>
        <w:t>La Commission fixe le montant du Fonds de roulement,</w:t>
      </w:r>
      <w:r w:rsidR="0058444B" w:rsidRPr="00430CE2">
        <w:rPr>
          <w:rFonts w:ascii="Cambria" w:hAnsi="Cambria"/>
          <w:sz w:val="20"/>
        </w:rPr>
        <w:t xml:space="preserve"> </w:t>
      </w:r>
      <w:r w:rsidRPr="00430CE2">
        <w:rPr>
          <w:rFonts w:ascii="Cambria" w:hAnsi="Cambria"/>
          <w:sz w:val="20"/>
          <w:u w:val="single"/>
        </w:rPr>
        <w:t>qui</w:t>
      </w:r>
      <w:r w:rsidRPr="00430CE2">
        <w:rPr>
          <w:rFonts w:ascii="Cambria" w:hAnsi="Cambria"/>
          <w:strike/>
          <w:sz w:val="20"/>
        </w:rPr>
        <w:t xml:space="preserve"> et détermine les avances des membres de la Commission nécessaires au maintien du Fonds.</w:t>
      </w:r>
    </w:p>
    <w:p w14:paraId="2B6306A8" w14:textId="2E734D6F" w:rsidR="00480DF7" w:rsidRPr="00430CE2" w:rsidRDefault="00480DF7" w:rsidP="0069632C">
      <w:pPr>
        <w:pStyle w:val="ListParagraph"/>
        <w:numPr>
          <w:ilvl w:val="0"/>
          <w:numId w:val="2"/>
        </w:numPr>
        <w:jc w:val="both"/>
        <w:rPr>
          <w:rFonts w:ascii="Cambria" w:hAnsi="Cambria" w:cs="Calibri"/>
          <w:strike/>
          <w:sz w:val="20"/>
          <w:szCs w:val="20"/>
        </w:rPr>
      </w:pPr>
      <w:r w:rsidRPr="00430CE2">
        <w:rPr>
          <w:rFonts w:ascii="Cambria" w:hAnsi="Cambria"/>
          <w:strike/>
          <w:sz w:val="20"/>
        </w:rPr>
        <w:t>Les contributions des membres de la Commission sont fixées sur les mêmes bases que celles prévues au paragraphe 2(c) de l'article X de la Convention.</w:t>
      </w:r>
    </w:p>
    <w:p w14:paraId="11032630" w14:textId="6B03EFC5" w:rsidR="00480DF7" w:rsidRPr="00430CE2" w:rsidRDefault="00480DF7" w:rsidP="0069632C">
      <w:pPr>
        <w:pStyle w:val="ListParagraph"/>
        <w:numPr>
          <w:ilvl w:val="0"/>
          <w:numId w:val="2"/>
        </w:numPr>
        <w:jc w:val="both"/>
        <w:rPr>
          <w:rFonts w:ascii="Cambria" w:hAnsi="Cambria" w:cs="Calibri"/>
          <w:strike/>
          <w:sz w:val="20"/>
          <w:szCs w:val="20"/>
        </w:rPr>
      </w:pPr>
      <w:r w:rsidRPr="00430CE2">
        <w:rPr>
          <w:rFonts w:ascii="Cambria" w:hAnsi="Cambria"/>
          <w:strike/>
          <w:sz w:val="20"/>
        </w:rPr>
        <w:t>La Commission fixe le montant de l'avance due par les nouveaux membres. À moins que la Commission n'en décide autrement, l'avance due par un nouveau membre est considérée comme une augmentation du Fonds de roulement.</w:t>
      </w:r>
    </w:p>
    <w:p w14:paraId="68159BD3" w14:textId="524044C1" w:rsidR="00A161C9" w:rsidRPr="00430CE2" w:rsidRDefault="00480DF7" w:rsidP="0069632C">
      <w:pPr>
        <w:pStyle w:val="ListParagraph"/>
        <w:numPr>
          <w:ilvl w:val="0"/>
          <w:numId w:val="2"/>
        </w:numPr>
        <w:jc w:val="both"/>
        <w:rPr>
          <w:rFonts w:ascii="Cambria" w:hAnsi="Cambria" w:cs="Calibri"/>
          <w:sz w:val="20"/>
          <w:szCs w:val="20"/>
          <w:u w:val="single"/>
        </w:rPr>
      </w:pPr>
      <w:r w:rsidRPr="00430CE2">
        <w:rPr>
          <w:rFonts w:ascii="Cambria" w:hAnsi="Cambria"/>
          <w:strike/>
          <w:sz w:val="20"/>
        </w:rPr>
        <w:t xml:space="preserve">Le Fonds de roulement </w:t>
      </w:r>
      <w:r w:rsidRPr="00430CE2">
        <w:rPr>
          <w:rFonts w:ascii="Cambria" w:hAnsi="Cambria"/>
          <w:sz w:val="20"/>
        </w:rPr>
        <w:t>est destiné à financer les opérations de la Commission en attendant le recouvrement des contributions annuelles et à toutes autres fins que la Commission juge nécessaires</w:t>
      </w:r>
      <w:r w:rsidRPr="00430CE2">
        <w:rPr>
          <w:rFonts w:ascii="Cambria" w:hAnsi="Cambria"/>
          <w:sz w:val="20"/>
          <w:u w:val="single"/>
        </w:rPr>
        <w:t>, y compris un montant pouvant atteindre [5</w:t>
      </w:r>
      <w:r w:rsidR="00FE72A9" w:rsidRPr="00430CE2">
        <w:rPr>
          <w:rFonts w:ascii="Cambria" w:hAnsi="Cambria"/>
          <w:sz w:val="20"/>
          <w:u w:val="single"/>
        </w:rPr>
        <w:t> </w:t>
      </w:r>
      <w:r w:rsidRPr="00430CE2">
        <w:rPr>
          <w:rFonts w:ascii="Cambria" w:hAnsi="Cambria"/>
          <w:sz w:val="20"/>
          <w:u w:val="single"/>
        </w:rPr>
        <w:t>%] du budget annuel de l'année en cours pour les dépenses urgentes ou imprévues.</w:t>
      </w:r>
      <w:r w:rsidRPr="00430CE2">
        <w:rPr>
          <w:rFonts w:ascii="Cambria" w:hAnsi="Cambria"/>
          <w:sz w:val="20"/>
        </w:rPr>
        <w:t xml:space="preserve"> Les prélèvements effectués sur le Fonds de roulement pour financer le fonctionnement de la Commission en attendant le recouvrement des contributions annuelles, sont remboursés par le Fonds général aussitôt que possible.</w:t>
      </w:r>
    </w:p>
    <w:p w14:paraId="285CA9E8" w14:textId="5CBE022F" w:rsidR="0055152E" w:rsidRPr="00430CE2" w:rsidRDefault="00331D43" w:rsidP="0069632C">
      <w:pPr>
        <w:pStyle w:val="ListParagraph"/>
        <w:numPr>
          <w:ilvl w:val="0"/>
          <w:numId w:val="2"/>
        </w:numPr>
        <w:jc w:val="both"/>
        <w:rPr>
          <w:rFonts w:ascii="Cambria" w:hAnsi="Cambria" w:cs="Calibri"/>
          <w:sz w:val="20"/>
          <w:szCs w:val="20"/>
          <w:u w:val="single"/>
        </w:rPr>
      </w:pPr>
      <w:r w:rsidRPr="00430CE2">
        <w:rPr>
          <w:rFonts w:ascii="Cambria" w:hAnsi="Cambria"/>
          <w:sz w:val="20"/>
          <w:u w:val="single"/>
        </w:rPr>
        <w:t>Tout excédent des recettes sur les dépenses à la clôture de chaque exercice financier devra être crédité au Fonds de roulement, ainsi que tout remboursement de dépenses de l'exercice financier précédent.</w:t>
      </w:r>
    </w:p>
    <w:p w14:paraId="275ECC1D" w14:textId="7A94EC21" w:rsidR="0055152E" w:rsidRPr="0069632C" w:rsidRDefault="0055152E" w:rsidP="0069632C">
      <w:pPr>
        <w:pStyle w:val="ListParagraph"/>
        <w:jc w:val="both"/>
        <w:rPr>
          <w:rFonts w:ascii="Cambria" w:hAnsi="Cambria" w:cs="Calibri"/>
          <w:sz w:val="20"/>
          <w:szCs w:val="20"/>
          <w:u w:val="single"/>
        </w:rPr>
      </w:pPr>
    </w:p>
    <w:sectPr w:rsidR="0055152E" w:rsidRPr="0069632C" w:rsidSect="00714C90">
      <w:headerReference w:type="default" r:id="rId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1334" w14:textId="77777777" w:rsidR="00C3437B" w:rsidRDefault="00C3437B" w:rsidP="00BD64AB">
      <w:r>
        <w:separator/>
      </w:r>
    </w:p>
  </w:endnote>
  <w:endnote w:type="continuationSeparator" w:id="0">
    <w:p w14:paraId="79A453B4" w14:textId="77777777" w:rsidR="00C3437B" w:rsidRDefault="00C3437B" w:rsidP="00BD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780" w14:textId="0F9B7E13" w:rsidR="00BD64AB" w:rsidRPr="00714C90" w:rsidRDefault="00430CE2" w:rsidP="00714C90">
    <w:pPr>
      <w:tabs>
        <w:tab w:val="center" w:pos="4513"/>
        <w:tab w:val="right" w:pos="9026"/>
      </w:tabs>
      <w:jc w:val="center"/>
    </w:pPr>
    <w:sdt>
      <w:sdtPr>
        <w:id w:val="-60483211"/>
        <w:docPartObj>
          <w:docPartGallery w:val="Page Numbers (Top of Page)"/>
          <w:docPartUnique/>
        </w:docPartObj>
      </w:sdtPr>
      <w:sdtEndPr/>
      <w:sdtContent>
        <w:r w:rsidR="00BD64AB" w:rsidRPr="007F0202">
          <w:rPr>
            <w:rFonts w:ascii="Cambria" w:hAnsi="Cambria"/>
            <w:sz w:val="20"/>
          </w:rPr>
          <w:fldChar w:fldCharType="begin"/>
        </w:r>
        <w:r w:rsidR="00BD64AB" w:rsidRPr="007F0202">
          <w:rPr>
            <w:rFonts w:ascii="Cambria" w:hAnsi="Cambria"/>
            <w:sz w:val="20"/>
          </w:rPr>
          <w:instrText xml:space="preserve"> PAGE </w:instrText>
        </w:r>
        <w:r w:rsidR="00BD64AB" w:rsidRPr="007F0202">
          <w:rPr>
            <w:rFonts w:ascii="Cambria" w:hAnsi="Cambria"/>
            <w:sz w:val="20"/>
          </w:rPr>
          <w:fldChar w:fldCharType="separate"/>
        </w:r>
        <w:r w:rsidR="00BD64AB">
          <w:rPr>
            <w:rFonts w:ascii="Cambria" w:hAnsi="Cambria"/>
          </w:rPr>
          <w:t>1</w:t>
        </w:r>
        <w:r w:rsidR="00BD64AB" w:rsidRPr="007F0202">
          <w:rPr>
            <w:rFonts w:ascii="Cambria" w:hAnsi="Cambria"/>
            <w:sz w:val="20"/>
          </w:rPr>
          <w:fldChar w:fldCharType="end"/>
        </w:r>
        <w:r w:rsidR="00BD64AB">
          <w:rPr>
            <w:rFonts w:ascii="Cambria" w:hAnsi="Cambria"/>
            <w:sz w:val="20"/>
          </w:rPr>
          <w:t xml:space="preserve"> / </w:t>
        </w:r>
        <w:r w:rsidR="00BD64AB" w:rsidRPr="007F0202">
          <w:rPr>
            <w:rFonts w:ascii="Cambria" w:hAnsi="Cambria"/>
            <w:sz w:val="20"/>
          </w:rPr>
          <w:fldChar w:fldCharType="begin"/>
        </w:r>
        <w:r w:rsidR="00BD64AB" w:rsidRPr="007F0202">
          <w:rPr>
            <w:rFonts w:ascii="Cambria" w:hAnsi="Cambria"/>
            <w:sz w:val="20"/>
          </w:rPr>
          <w:instrText xml:space="preserve"> NUMPAGES  </w:instrText>
        </w:r>
        <w:r w:rsidR="00BD64AB" w:rsidRPr="007F0202">
          <w:rPr>
            <w:rFonts w:ascii="Cambria" w:hAnsi="Cambria"/>
            <w:sz w:val="20"/>
          </w:rPr>
          <w:fldChar w:fldCharType="separate"/>
        </w:r>
        <w:r w:rsidR="00BD64AB">
          <w:rPr>
            <w:rFonts w:ascii="Cambria" w:hAnsi="Cambria"/>
          </w:rPr>
          <w:t>7</w:t>
        </w:r>
        <w:r w:rsidR="00BD64AB" w:rsidRPr="007F0202">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6201" w14:textId="77777777" w:rsidR="00C3437B" w:rsidRDefault="00C3437B" w:rsidP="00BD64AB">
      <w:r>
        <w:separator/>
      </w:r>
    </w:p>
  </w:footnote>
  <w:footnote w:type="continuationSeparator" w:id="0">
    <w:p w14:paraId="09AC5475" w14:textId="77777777" w:rsidR="00C3437B" w:rsidRDefault="00C3437B" w:rsidP="00BD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132" w14:textId="76017200" w:rsidR="00FA212D" w:rsidRPr="00534D5A" w:rsidRDefault="00FA212D" w:rsidP="00FA212D">
    <w:pPr>
      <w:tabs>
        <w:tab w:val="center" w:pos="4680"/>
        <w:tab w:val="left" w:pos="6520"/>
        <w:tab w:val="right" w:pos="9360"/>
        <w:tab w:val="right" w:pos="14240"/>
      </w:tabs>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STF_217</w:t>
    </w:r>
    <w:r w:rsidR="00381A98">
      <w:rPr>
        <w:rFonts w:ascii="Cambria" w:hAnsi="Cambria"/>
        <w:b/>
        <w:sz w:val="20"/>
      </w:rPr>
      <w:t>A</w:t>
    </w:r>
    <w:r>
      <w:rPr>
        <w:rFonts w:ascii="Cambria" w:hAnsi="Cambria"/>
        <w:b/>
        <w:sz w:val="20"/>
      </w:rPr>
      <w:t>/2025</w:t>
    </w:r>
  </w:p>
  <w:p w14:paraId="07D5AAD8" w14:textId="526FE846" w:rsidR="00FA212D" w:rsidRDefault="00FA212D" w:rsidP="00FA212D">
    <w:pPr>
      <w:widowControl w:val="0"/>
      <w:tabs>
        <w:tab w:val="left" w:pos="7320"/>
      </w:tabs>
      <w:autoSpaceDE w:val="0"/>
      <w:autoSpaceDN w:val="0"/>
      <w:jc w:val="right"/>
    </w:pPr>
    <w:r w:rsidRPr="00534D5A">
      <w:rPr>
        <w:rFonts w:ascii="Cambria" w:eastAsia="Cambria" w:hAnsi="Cambria" w:cs="Cambria"/>
        <w:b/>
        <w:sz w:val="16"/>
      </w:rPr>
      <w:fldChar w:fldCharType="begin"/>
    </w:r>
    <w:r w:rsidRPr="00534D5A">
      <w:rPr>
        <w:rFonts w:ascii="Cambria" w:eastAsia="Cambria" w:hAnsi="Cambria" w:cs="Cambria"/>
        <w:b/>
        <w:sz w:val="16"/>
      </w:rPr>
      <w:instrText xml:space="preserve"> TIME \@ "dd/MM/yyyy H:mm" </w:instrText>
    </w:r>
    <w:r w:rsidRPr="00534D5A">
      <w:rPr>
        <w:rFonts w:ascii="Cambria" w:eastAsia="Cambria" w:hAnsi="Cambria" w:cs="Cambria"/>
        <w:b/>
        <w:sz w:val="16"/>
      </w:rPr>
      <w:fldChar w:fldCharType="separate"/>
    </w:r>
    <w:r w:rsidR="00342F21">
      <w:rPr>
        <w:rFonts w:ascii="Cambria" w:eastAsia="Cambria" w:hAnsi="Cambria" w:cs="Cambria"/>
        <w:b/>
        <w:noProof/>
        <w:sz w:val="16"/>
      </w:rPr>
      <w:t>22/11/2025 19:50</w:t>
    </w:r>
    <w:r w:rsidRPr="00534D5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13"/>
    <w:multiLevelType w:val="hybridMultilevel"/>
    <w:tmpl w:val="49E661F4"/>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13C8"/>
    <w:multiLevelType w:val="hybridMultilevel"/>
    <w:tmpl w:val="46B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1C55"/>
    <w:multiLevelType w:val="hybridMultilevel"/>
    <w:tmpl w:val="E6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72A1"/>
    <w:multiLevelType w:val="hybridMultilevel"/>
    <w:tmpl w:val="E6D0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B58D2"/>
    <w:multiLevelType w:val="hybridMultilevel"/>
    <w:tmpl w:val="D3028FBC"/>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C7E65"/>
    <w:multiLevelType w:val="hybridMultilevel"/>
    <w:tmpl w:val="903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844102">
    <w:abstractNumId w:val="2"/>
  </w:num>
  <w:num w:numId="2" w16cid:durableId="1865901715">
    <w:abstractNumId w:val="3"/>
  </w:num>
  <w:num w:numId="3" w16cid:durableId="1972830260">
    <w:abstractNumId w:val="5"/>
  </w:num>
  <w:num w:numId="4" w16cid:durableId="246964589">
    <w:abstractNumId w:val="4"/>
  </w:num>
  <w:num w:numId="5" w16cid:durableId="357198171">
    <w:abstractNumId w:val="0"/>
  </w:num>
  <w:num w:numId="6" w16cid:durableId="201125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F7"/>
    <w:rsid w:val="00036828"/>
    <w:rsid w:val="00053C11"/>
    <w:rsid w:val="00076BD2"/>
    <w:rsid w:val="000837E3"/>
    <w:rsid w:val="00084293"/>
    <w:rsid w:val="000D0A1C"/>
    <w:rsid w:val="000E59AB"/>
    <w:rsid w:val="000F39B4"/>
    <w:rsid w:val="001175EC"/>
    <w:rsid w:val="00152D1E"/>
    <w:rsid w:val="0016145B"/>
    <w:rsid w:val="00161E65"/>
    <w:rsid w:val="00163CD5"/>
    <w:rsid w:val="00163E33"/>
    <w:rsid w:val="001759BE"/>
    <w:rsid w:val="00193C97"/>
    <w:rsid w:val="00196A1F"/>
    <w:rsid w:val="001A6229"/>
    <w:rsid w:val="001A6329"/>
    <w:rsid w:val="001B444B"/>
    <w:rsid w:val="001B7D91"/>
    <w:rsid w:val="001C1D2F"/>
    <w:rsid w:val="001D5209"/>
    <w:rsid w:val="001E08CE"/>
    <w:rsid w:val="001E148E"/>
    <w:rsid w:val="001E2732"/>
    <w:rsid w:val="001F0754"/>
    <w:rsid w:val="00212EBC"/>
    <w:rsid w:val="002601BF"/>
    <w:rsid w:val="00262807"/>
    <w:rsid w:val="00294E62"/>
    <w:rsid w:val="002B502C"/>
    <w:rsid w:val="002D0B59"/>
    <w:rsid w:val="002D1811"/>
    <w:rsid w:val="002D7B69"/>
    <w:rsid w:val="002E76F4"/>
    <w:rsid w:val="00302A3E"/>
    <w:rsid w:val="00306946"/>
    <w:rsid w:val="003239C8"/>
    <w:rsid w:val="00331D43"/>
    <w:rsid w:val="00342B11"/>
    <w:rsid w:val="00342F21"/>
    <w:rsid w:val="00344D19"/>
    <w:rsid w:val="00345FBE"/>
    <w:rsid w:val="003471F4"/>
    <w:rsid w:val="00351C5F"/>
    <w:rsid w:val="003614C7"/>
    <w:rsid w:val="00361D07"/>
    <w:rsid w:val="00362B42"/>
    <w:rsid w:val="003653B4"/>
    <w:rsid w:val="00381A98"/>
    <w:rsid w:val="00396605"/>
    <w:rsid w:val="003B5FF5"/>
    <w:rsid w:val="003C71A8"/>
    <w:rsid w:val="003D0371"/>
    <w:rsid w:val="003D54D6"/>
    <w:rsid w:val="003F6CBA"/>
    <w:rsid w:val="00405340"/>
    <w:rsid w:val="00415497"/>
    <w:rsid w:val="004247AB"/>
    <w:rsid w:val="0043025C"/>
    <w:rsid w:val="00430CE2"/>
    <w:rsid w:val="00465453"/>
    <w:rsid w:val="00474007"/>
    <w:rsid w:val="00480DF7"/>
    <w:rsid w:val="00485F88"/>
    <w:rsid w:val="004B6637"/>
    <w:rsid w:val="004C349D"/>
    <w:rsid w:val="004D0B53"/>
    <w:rsid w:val="004D3E90"/>
    <w:rsid w:val="00515E62"/>
    <w:rsid w:val="00517277"/>
    <w:rsid w:val="00533C36"/>
    <w:rsid w:val="00540763"/>
    <w:rsid w:val="0055152E"/>
    <w:rsid w:val="00562805"/>
    <w:rsid w:val="00583AA5"/>
    <w:rsid w:val="0058444B"/>
    <w:rsid w:val="00584744"/>
    <w:rsid w:val="005965C4"/>
    <w:rsid w:val="005A545F"/>
    <w:rsid w:val="005B18F9"/>
    <w:rsid w:val="005E5574"/>
    <w:rsid w:val="005F0282"/>
    <w:rsid w:val="005F787F"/>
    <w:rsid w:val="00610A06"/>
    <w:rsid w:val="00634EE8"/>
    <w:rsid w:val="006438E7"/>
    <w:rsid w:val="00662ED2"/>
    <w:rsid w:val="00663AD4"/>
    <w:rsid w:val="00664828"/>
    <w:rsid w:val="006674DE"/>
    <w:rsid w:val="006715A4"/>
    <w:rsid w:val="006904CB"/>
    <w:rsid w:val="006922DB"/>
    <w:rsid w:val="0069632C"/>
    <w:rsid w:val="006A5DE6"/>
    <w:rsid w:val="006B14F6"/>
    <w:rsid w:val="006D4631"/>
    <w:rsid w:val="006E1673"/>
    <w:rsid w:val="00701292"/>
    <w:rsid w:val="00702A06"/>
    <w:rsid w:val="00714C90"/>
    <w:rsid w:val="00730CEF"/>
    <w:rsid w:val="007412C4"/>
    <w:rsid w:val="007415A4"/>
    <w:rsid w:val="00750F73"/>
    <w:rsid w:val="00765E78"/>
    <w:rsid w:val="00774FA6"/>
    <w:rsid w:val="00777D0C"/>
    <w:rsid w:val="007E599A"/>
    <w:rsid w:val="007F323A"/>
    <w:rsid w:val="007F68B0"/>
    <w:rsid w:val="00810825"/>
    <w:rsid w:val="00810B25"/>
    <w:rsid w:val="00810B4B"/>
    <w:rsid w:val="00815417"/>
    <w:rsid w:val="0081593B"/>
    <w:rsid w:val="0082321C"/>
    <w:rsid w:val="00871894"/>
    <w:rsid w:val="00872507"/>
    <w:rsid w:val="008725D0"/>
    <w:rsid w:val="00882A02"/>
    <w:rsid w:val="008A0B92"/>
    <w:rsid w:val="008A2581"/>
    <w:rsid w:val="008B4943"/>
    <w:rsid w:val="008C046D"/>
    <w:rsid w:val="008C13D0"/>
    <w:rsid w:val="008C4791"/>
    <w:rsid w:val="008C5127"/>
    <w:rsid w:val="008D2579"/>
    <w:rsid w:val="008D33E7"/>
    <w:rsid w:val="008D55A0"/>
    <w:rsid w:val="008E1534"/>
    <w:rsid w:val="008E7B5A"/>
    <w:rsid w:val="008F4F41"/>
    <w:rsid w:val="008F5C5F"/>
    <w:rsid w:val="009104E6"/>
    <w:rsid w:val="0091642E"/>
    <w:rsid w:val="0094030D"/>
    <w:rsid w:val="00962CE6"/>
    <w:rsid w:val="009730D4"/>
    <w:rsid w:val="009738EF"/>
    <w:rsid w:val="00974336"/>
    <w:rsid w:val="00983474"/>
    <w:rsid w:val="00987012"/>
    <w:rsid w:val="009A302A"/>
    <w:rsid w:val="009A71C9"/>
    <w:rsid w:val="009B02E5"/>
    <w:rsid w:val="009B3442"/>
    <w:rsid w:val="009B4F31"/>
    <w:rsid w:val="009C3D5A"/>
    <w:rsid w:val="009D3D23"/>
    <w:rsid w:val="009E7299"/>
    <w:rsid w:val="009F1336"/>
    <w:rsid w:val="009F2153"/>
    <w:rsid w:val="00A0204E"/>
    <w:rsid w:val="00A15457"/>
    <w:rsid w:val="00A161C9"/>
    <w:rsid w:val="00A232E5"/>
    <w:rsid w:val="00A3472F"/>
    <w:rsid w:val="00A423BB"/>
    <w:rsid w:val="00A4287C"/>
    <w:rsid w:val="00A46CCF"/>
    <w:rsid w:val="00A51443"/>
    <w:rsid w:val="00A63206"/>
    <w:rsid w:val="00A64053"/>
    <w:rsid w:val="00A76FC1"/>
    <w:rsid w:val="00AC255F"/>
    <w:rsid w:val="00AE3D89"/>
    <w:rsid w:val="00B00037"/>
    <w:rsid w:val="00B02C9A"/>
    <w:rsid w:val="00B03131"/>
    <w:rsid w:val="00B10B2D"/>
    <w:rsid w:val="00B13C4A"/>
    <w:rsid w:val="00B17112"/>
    <w:rsid w:val="00B17E50"/>
    <w:rsid w:val="00B50DC2"/>
    <w:rsid w:val="00B720FC"/>
    <w:rsid w:val="00B762B7"/>
    <w:rsid w:val="00B8090C"/>
    <w:rsid w:val="00B915FE"/>
    <w:rsid w:val="00B96C17"/>
    <w:rsid w:val="00BA0820"/>
    <w:rsid w:val="00BA1EE6"/>
    <w:rsid w:val="00BB381A"/>
    <w:rsid w:val="00BC4369"/>
    <w:rsid w:val="00BD2800"/>
    <w:rsid w:val="00BD64AB"/>
    <w:rsid w:val="00BF0948"/>
    <w:rsid w:val="00BF5F0A"/>
    <w:rsid w:val="00C27A27"/>
    <w:rsid w:val="00C30656"/>
    <w:rsid w:val="00C3437B"/>
    <w:rsid w:val="00C8463B"/>
    <w:rsid w:val="00CA4E5D"/>
    <w:rsid w:val="00CA63E1"/>
    <w:rsid w:val="00CA690D"/>
    <w:rsid w:val="00CE226A"/>
    <w:rsid w:val="00CE2CB4"/>
    <w:rsid w:val="00CE523A"/>
    <w:rsid w:val="00CE7E6D"/>
    <w:rsid w:val="00D10CFC"/>
    <w:rsid w:val="00D249E8"/>
    <w:rsid w:val="00D36358"/>
    <w:rsid w:val="00D82ACC"/>
    <w:rsid w:val="00DB4993"/>
    <w:rsid w:val="00DF21C4"/>
    <w:rsid w:val="00E015B6"/>
    <w:rsid w:val="00E024D0"/>
    <w:rsid w:val="00E1335F"/>
    <w:rsid w:val="00E13661"/>
    <w:rsid w:val="00E15E05"/>
    <w:rsid w:val="00E313CA"/>
    <w:rsid w:val="00E31B4C"/>
    <w:rsid w:val="00E35697"/>
    <w:rsid w:val="00E45256"/>
    <w:rsid w:val="00E46899"/>
    <w:rsid w:val="00E479FC"/>
    <w:rsid w:val="00E516E3"/>
    <w:rsid w:val="00E62FEB"/>
    <w:rsid w:val="00E651D6"/>
    <w:rsid w:val="00E7073F"/>
    <w:rsid w:val="00E70DA0"/>
    <w:rsid w:val="00E97FE1"/>
    <w:rsid w:val="00EA079D"/>
    <w:rsid w:val="00EA479D"/>
    <w:rsid w:val="00EB583D"/>
    <w:rsid w:val="00ED4A60"/>
    <w:rsid w:val="00EF3224"/>
    <w:rsid w:val="00EF4291"/>
    <w:rsid w:val="00F146E8"/>
    <w:rsid w:val="00F14C49"/>
    <w:rsid w:val="00F40687"/>
    <w:rsid w:val="00F4484C"/>
    <w:rsid w:val="00F455C9"/>
    <w:rsid w:val="00F46927"/>
    <w:rsid w:val="00F57925"/>
    <w:rsid w:val="00F64DC1"/>
    <w:rsid w:val="00F6789B"/>
    <w:rsid w:val="00F93527"/>
    <w:rsid w:val="00FA212D"/>
    <w:rsid w:val="00FA28DA"/>
    <w:rsid w:val="00FA733D"/>
    <w:rsid w:val="00FB177D"/>
    <w:rsid w:val="00FC274A"/>
    <w:rsid w:val="00FE72A9"/>
    <w:rsid w:val="00FE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9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48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DF7"/>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480DF7"/>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480DF7"/>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480DF7"/>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480DF7"/>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480DF7"/>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480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DF7"/>
    <w:rPr>
      <w:i/>
      <w:iCs/>
      <w:color w:val="404040" w:themeColor="text1" w:themeTint="BF"/>
      <w:sz w:val="30"/>
      <w:szCs w:val="30"/>
    </w:rPr>
  </w:style>
  <w:style w:type="paragraph" w:styleId="ListParagraph">
    <w:name w:val="List Paragraph"/>
    <w:basedOn w:val="Normal"/>
    <w:uiPriority w:val="34"/>
    <w:qFormat/>
    <w:rsid w:val="00480DF7"/>
    <w:pPr>
      <w:ind w:left="720"/>
      <w:contextualSpacing/>
    </w:pPr>
  </w:style>
  <w:style w:type="character" w:styleId="IntenseEmphasis">
    <w:name w:val="Intense Emphasis"/>
    <w:basedOn w:val="DefaultParagraphFont"/>
    <w:uiPriority w:val="21"/>
    <w:qFormat/>
    <w:rsid w:val="00480DF7"/>
    <w:rPr>
      <w:i/>
      <w:iCs/>
      <w:color w:val="0F4761" w:themeColor="accent1" w:themeShade="BF"/>
    </w:rPr>
  </w:style>
  <w:style w:type="paragraph" w:styleId="IntenseQuote">
    <w:name w:val="Intense Quote"/>
    <w:basedOn w:val="Normal"/>
    <w:next w:val="Normal"/>
    <w:link w:val="IntenseQuoteChar"/>
    <w:uiPriority w:val="30"/>
    <w:qFormat/>
    <w:rsid w:val="0048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DF7"/>
    <w:rPr>
      <w:i/>
      <w:iCs/>
      <w:color w:val="0F4761" w:themeColor="accent1" w:themeShade="BF"/>
      <w:sz w:val="30"/>
      <w:szCs w:val="30"/>
    </w:rPr>
  </w:style>
  <w:style w:type="character" w:styleId="IntenseReference">
    <w:name w:val="Intense Reference"/>
    <w:basedOn w:val="DefaultParagraphFont"/>
    <w:uiPriority w:val="32"/>
    <w:qFormat/>
    <w:rsid w:val="00480DF7"/>
    <w:rPr>
      <w:b/>
      <w:bCs/>
      <w:smallCaps/>
      <w:color w:val="0F4761" w:themeColor="accent1" w:themeShade="BF"/>
      <w:spacing w:val="5"/>
    </w:rPr>
  </w:style>
  <w:style w:type="table" w:styleId="TableGrid">
    <w:name w:val="Table Grid"/>
    <w:basedOn w:val="TableNormal"/>
    <w:uiPriority w:val="39"/>
    <w:rsid w:val="00C3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CB4"/>
    <w:rPr>
      <w:sz w:val="16"/>
      <w:szCs w:val="16"/>
    </w:rPr>
  </w:style>
  <w:style w:type="paragraph" w:styleId="CommentText">
    <w:name w:val="annotation text"/>
    <w:basedOn w:val="Normal"/>
    <w:link w:val="CommentTextChar"/>
    <w:uiPriority w:val="99"/>
    <w:unhideWhenUsed/>
    <w:rsid w:val="00CE2CB4"/>
    <w:rPr>
      <w:sz w:val="20"/>
      <w:szCs w:val="20"/>
    </w:rPr>
  </w:style>
  <w:style w:type="character" w:customStyle="1" w:styleId="CommentTextChar">
    <w:name w:val="Comment Text Char"/>
    <w:basedOn w:val="DefaultParagraphFont"/>
    <w:link w:val="CommentText"/>
    <w:uiPriority w:val="99"/>
    <w:rsid w:val="00CE2CB4"/>
    <w:rPr>
      <w:sz w:val="20"/>
      <w:szCs w:val="20"/>
    </w:rPr>
  </w:style>
  <w:style w:type="paragraph" w:styleId="CommentSubject">
    <w:name w:val="annotation subject"/>
    <w:basedOn w:val="CommentText"/>
    <w:next w:val="CommentText"/>
    <w:link w:val="CommentSubjectChar"/>
    <w:uiPriority w:val="99"/>
    <w:semiHidden/>
    <w:unhideWhenUsed/>
    <w:rsid w:val="00CE2CB4"/>
    <w:rPr>
      <w:b/>
      <w:bCs/>
    </w:rPr>
  </w:style>
  <w:style w:type="character" w:customStyle="1" w:styleId="CommentSubjectChar">
    <w:name w:val="Comment Subject Char"/>
    <w:basedOn w:val="CommentTextChar"/>
    <w:link w:val="CommentSubject"/>
    <w:uiPriority w:val="99"/>
    <w:semiHidden/>
    <w:rsid w:val="00CE2CB4"/>
    <w:rPr>
      <w:b/>
      <w:bCs/>
      <w:sz w:val="20"/>
      <w:szCs w:val="20"/>
    </w:rPr>
  </w:style>
  <w:style w:type="paragraph" w:styleId="Header">
    <w:name w:val="header"/>
    <w:basedOn w:val="Normal"/>
    <w:link w:val="HeaderChar"/>
    <w:uiPriority w:val="99"/>
    <w:unhideWhenUsed/>
    <w:rsid w:val="00BD64AB"/>
    <w:pPr>
      <w:tabs>
        <w:tab w:val="center" w:pos="4680"/>
        <w:tab w:val="right" w:pos="9360"/>
      </w:tabs>
    </w:pPr>
  </w:style>
  <w:style w:type="character" w:customStyle="1" w:styleId="HeaderChar">
    <w:name w:val="Header Char"/>
    <w:basedOn w:val="DefaultParagraphFont"/>
    <w:link w:val="Header"/>
    <w:uiPriority w:val="99"/>
    <w:rsid w:val="00BD64AB"/>
    <w:rPr>
      <w:sz w:val="30"/>
      <w:szCs w:val="30"/>
    </w:rPr>
  </w:style>
  <w:style w:type="paragraph" w:styleId="Footer">
    <w:name w:val="footer"/>
    <w:basedOn w:val="Normal"/>
    <w:link w:val="FooterChar"/>
    <w:uiPriority w:val="99"/>
    <w:unhideWhenUsed/>
    <w:rsid w:val="00BD64AB"/>
    <w:pPr>
      <w:tabs>
        <w:tab w:val="center" w:pos="4680"/>
        <w:tab w:val="right" w:pos="9360"/>
      </w:tabs>
    </w:pPr>
  </w:style>
  <w:style w:type="character" w:customStyle="1" w:styleId="FooterChar">
    <w:name w:val="Footer Char"/>
    <w:basedOn w:val="DefaultParagraphFont"/>
    <w:link w:val="Footer"/>
    <w:uiPriority w:val="99"/>
    <w:rsid w:val="00BD64AB"/>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2025-11-22T18:50:00Z</dcterms:created>
  <dcterms:modified xsi:type="dcterms:W3CDTF">2025-11-22T19:05:00Z</dcterms:modified>
</cp:coreProperties>
</file>