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C712" w14:textId="77777777" w:rsidR="004E010F" w:rsidRDefault="004E010F" w:rsidP="00AC04A1">
      <w:pPr>
        <w:pStyle w:val="Header"/>
        <w:jc w:val="right"/>
        <w:rPr>
          <w:rFonts w:asciiTheme="majorHAnsi" w:hAnsiTheme="majorHAnsi"/>
          <w:b/>
          <w:bCs/>
        </w:rPr>
      </w:pPr>
    </w:p>
    <w:p w14:paraId="06F31F32" w14:textId="77777777" w:rsidR="00990117" w:rsidRPr="008F0FA7" w:rsidRDefault="00990117" w:rsidP="00AC04A1">
      <w:pPr>
        <w:jc w:val="center"/>
        <w:rPr>
          <w:rFonts w:asciiTheme="majorHAnsi" w:hAnsiTheme="majorHAnsi"/>
          <w:b/>
          <w:iCs/>
        </w:rPr>
      </w:pPr>
      <w:r w:rsidRPr="008F0FA7">
        <w:rPr>
          <w:rFonts w:asciiTheme="majorHAnsi" w:hAnsiTheme="majorHAnsi"/>
          <w:b/>
          <w:iCs/>
        </w:rPr>
        <w:t>Page de garde accompagnant les nouvelles propositions</w:t>
      </w:r>
    </w:p>
    <w:p w14:paraId="3800881F" w14:textId="77777777" w:rsidR="00990117" w:rsidRPr="006C5E3E" w:rsidRDefault="00990117" w:rsidP="00AC04A1">
      <w:pPr>
        <w:jc w:val="center"/>
        <w:rPr>
          <w:rFonts w:asciiTheme="majorHAnsi" w:hAnsiTheme="majorHAnsi"/>
          <w:b/>
          <w:bCs/>
          <w:i/>
          <w:iCs/>
        </w:rPr>
      </w:pPr>
    </w:p>
    <w:p w14:paraId="556B0054" w14:textId="5ECC657C" w:rsidR="00F15BB5" w:rsidRPr="006C5E3E" w:rsidRDefault="00F15BB5" w:rsidP="00AC04A1">
      <w:pPr>
        <w:jc w:val="center"/>
        <w:rPr>
          <w:rFonts w:asciiTheme="majorHAnsi" w:hAnsiTheme="majorHAnsi"/>
          <w:i/>
          <w:iCs/>
        </w:rPr>
      </w:pPr>
      <w:r w:rsidRPr="006C5E3E">
        <w:rPr>
          <w:rFonts w:asciiTheme="majorHAnsi" w:hAnsiTheme="majorHAnsi"/>
          <w:i/>
        </w:rPr>
        <w:t>(Document présenté par l</w:t>
      </w:r>
      <w:r>
        <w:rPr>
          <w:rFonts w:asciiTheme="majorHAnsi" w:hAnsiTheme="majorHAnsi"/>
          <w:i/>
        </w:rPr>
        <w:t>’Algérie</w:t>
      </w:r>
      <w:r w:rsidR="008514D9">
        <w:rPr>
          <w:rFonts w:asciiTheme="majorHAnsi" w:hAnsiTheme="majorHAnsi"/>
          <w:i/>
        </w:rPr>
        <w:t xml:space="preserve"> et la Tunisie</w:t>
      </w:r>
      <w:r w:rsidRPr="006C5E3E">
        <w:rPr>
          <w:rFonts w:asciiTheme="majorHAnsi" w:hAnsiTheme="majorHAnsi"/>
          <w:i/>
        </w:rPr>
        <w:t>)</w:t>
      </w:r>
    </w:p>
    <w:p w14:paraId="3EB1864F" w14:textId="77777777" w:rsidR="00824C2D" w:rsidRPr="00824C2D" w:rsidRDefault="00824C2D" w:rsidP="00AC04A1">
      <w:pPr>
        <w:tabs>
          <w:tab w:val="left" w:pos="0"/>
        </w:tabs>
        <w:adjustRightInd w:val="0"/>
        <w:ind w:firstLine="426"/>
        <w:jc w:val="center"/>
        <w:rPr>
          <w:rFonts w:asciiTheme="majorHAnsi" w:hAnsiTheme="majorHAnsi" w:cs="Segoe UI"/>
          <w:i/>
          <w:iCs/>
          <w:color w:val="242424"/>
          <w:shd w:val="clear" w:color="auto" w:fill="FFFFFF"/>
        </w:rPr>
      </w:pPr>
    </w:p>
    <w:p w14:paraId="5D9E476E" w14:textId="77777777" w:rsidR="00824C2D" w:rsidRPr="00824C2D" w:rsidRDefault="00824C2D" w:rsidP="00AC04A1">
      <w:pPr>
        <w:pStyle w:val="BodyText"/>
        <w:rPr>
          <w:rFonts w:asciiTheme="majorHAnsi" w:hAnsiTheme="majorHAnsi"/>
          <w:b/>
        </w:rPr>
      </w:pPr>
    </w:p>
    <w:p w14:paraId="362A476D" w14:textId="2DB9F023" w:rsidR="00824C2D" w:rsidRPr="007F3035" w:rsidRDefault="00824C2D" w:rsidP="00AC04A1">
      <w:pPr>
        <w:rPr>
          <w:rFonts w:asciiTheme="majorHAnsi" w:hAnsiTheme="majorHAnsi"/>
          <w:bCs/>
          <w:color w:val="EE0000"/>
        </w:rPr>
      </w:pPr>
      <w:r w:rsidRPr="007F3035">
        <w:rPr>
          <w:rFonts w:asciiTheme="majorHAnsi" w:hAnsiTheme="majorHAnsi"/>
          <w:b/>
        </w:rPr>
        <w:t>Titre de la proposition de projet de Recommandation/Résolution :</w:t>
      </w:r>
      <w:r w:rsidRPr="007F3035">
        <w:rPr>
          <w:rFonts w:asciiTheme="majorHAnsi" w:hAnsiTheme="majorHAnsi"/>
        </w:rPr>
        <w:t xml:space="preserve"> </w:t>
      </w:r>
      <w:r w:rsidRPr="007F3035">
        <w:rPr>
          <w:rFonts w:asciiTheme="majorHAnsi" w:hAnsiTheme="majorHAnsi"/>
          <w:bCs/>
          <w:color w:val="EE0000"/>
        </w:rPr>
        <w:t>Proposition de l’Algérie et la Tunisie relative à l’augmentation du nombre de représentants financés par délégation pour les réunions de la Commission</w:t>
      </w:r>
    </w:p>
    <w:p w14:paraId="37E563FA" w14:textId="77777777" w:rsidR="00AC04A1" w:rsidRPr="007F3035" w:rsidRDefault="00AC04A1" w:rsidP="00AC04A1">
      <w:pPr>
        <w:rPr>
          <w:rFonts w:asciiTheme="majorHAnsi" w:hAnsiTheme="majorHAnsi"/>
          <w:bCs/>
          <w:i/>
          <w:iCs/>
          <w:color w:val="EE0000"/>
        </w:rPr>
      </w:pPr>
    </w:p>
    <w:p w14:paraId="0F02DF17" w14:textId="77777777" w:rsidR="00824C2D" w:rsidRPr="007F3035" w:rsidRDefault="00824C2D" w:rsidP="00AC04A1">
      <w:pPr>
        <w:rPr>
          <w:rFonts w:asciiTheme="majorHAnsi" w:hAnsiTheme="majorHAnsi"/>
          <w:b/>
        </w:rPr>
      </w:pPr>
      <w:r w:rsidRPr="007F3035">
        <w:rPr>
          <w:rFonts w:asciiTheme="majorHAnsi" w:hAnsiTheme="majorHAnsi"/>
          <w:b/>
        </w:rPr>
        <w:t>Titre de la ou des Recommandations ou Résolutions en vigueur traitant des mêmes questions ou de questions connexes :</w:t>
      </w:r>
    </w:p>
    <w:p w14:paraId="0F5C461D" w14:textId="77777777" w:rsidR="00AC04A1" w:rsidRPr="007F3035" w:rsidRDefault="00AC04A1" w:rsidP="00AC04A1">
      <w:pPr>
        <w:rPr>
          <w:rFonts w:asciiTheme="majorHAnsi" w:hAnsiTheme="majorHAnsi"/>
          <w:b/>
        </w:rPr>
      </w:pPr>
    </w:p>
    <w:p w14:paraId="7C353B8F" w14:textId="22EBD37D" w:rsidR="00824C2D" w:rsidRPr="007F3035" w:rsidRDefault="00824C2D" w:rsidP="00AC04A1">
      <w:pPr>
        <w:pStyle w:val="ListParagraph"/>
        <w:widowControl w:val="0"/>
        <w:numPr>
          <w:ilvl w:val="0"/>
          <w:numId w:val="9"/>
        </w:numPr>
        <w:autoSpaceDE w:val="0"/>
        <w:autoSpaceDN w:val="0"/>
        <w:rPr>
          <w:rFonts w:asciiTheme="majorHAnsi" w:hAnsiTheme="majorHAnsi"/>
          <w:i/>
          <w:iCs/>
          <w:color w:val="EE0000"/>
        </w:rPr>
      </w:pPr>
      <w:r w:rsidRPr="007F3035">
        <w:rPr>
          <w:rFonts w:asciiTheme="majorHAnsi" w:hAnsiTheme="majorHAnsi"/>
          <w:i/>
          <w:iCs/>
          <w:color w:val="EE0000"/>
        </w:rPr>
        <w:t xml:space="preserve"> Règles de procédures pour l’Administration du Fonds Spécial de Participation aux Réunions </w:t>
      </w:r>
      <w:r w:rsidR="008F0FA7" w:rsidRPr="007F3035">
        <w:rPr>
          <w:rFonts w:asciiTheme="majorHAnsi" w:hAnsiTheme="majorHAnsi"/>
          <w:i/>
          <w:iCs/>
          <w:color w:val="EE0000"/>
        </w:rPr>
        <w:t>(Réf. 23-25)</w:t>
      </w:r>
    </w:p>
    <w:p w14:paraId="213AE4B9" w14:textId="2C608066" w:rsidR="00824C2D" w:rsidRPr="007F3035" w:rsidRDefault="00824C2D" w:rsidP="00AC04A1">
      <w:pPr>
        <w:pStyle w:val="ListParagraph"/>
        <w:widowControl w:val="0"/>
        <w:numPr>
          <w:ilvl w:val="0"/>
          <w:numId w:val="9"/>
        </w:numPr>
        <w:autoSpaceDE w:val="0"/>
        <w:autoSpaceDN w:val="0"/>
        <w:rPr>
          <w:rFonts w:asciiTheme="majorHAnsi" w:hAnsiTheme="majorHAnsi"/>
          <w:i/>
          <w:iCs/>
          <w:color w:val="EE0000"/>
        </w:rPr>
      </w:pPr>
      <w:r w:rsidRPr="007F3035">
        <w:rPr>
          <w:rFonts w:asciiTheme="majorHAnsi" w:hAnsiTheme="majorHAnsi"/>
          <w:i/>
          <w:iCs/>
          <w:color w:val="EE0000"/>
        </w:rPr>
        <w:t>Recommandation de l’ICCAT amendant l</w:t>
      </w:r>
      <w:r w:rsidR="009D28C1" w:rsidRPr="007F3035">
        <w:rPr>
          <w:rFonts w:asciiTheme="majorHAnsi" w:hAnsiTheme="majorHAnsi"/>
          <w:i/>
          <w:iCs/>
          <w:color w:val="EE0000"/>
        </w:rPr>
        <w:t>a</w:t>
      </w:r>
      <w:r w:rsidRPr="007F3035">
        <w:rPr>
          <w:rFonts w:asciiTheme="majorHAnsi" w:hAnsiTheme="majorHAnsi"/>
          <w:i/>
          <w:iCs/>
          <w:color w:val="EE0000"/>
        </w:rPr>
        <w:t xml:space="preserve"> </w:t>
      </w:r>
      <w:r w:rsidR="009D28C1" w:rsidRPr="007F3035">
        <w:rPr>
          <w:rFonts w:asciiTheme="majorHAnsi" w:hAnsiTheme="majorHAnsi"/>
          <w:i/>
          <w:iCs/>
          <w:color w:val="EE0000"/>
        </w:rPr>
        <w:t>R</w:t>
      </w:r>
      <w:r w:rsidRPr="007F3035">
        <w:rPr>
          <w:rFonts w:asciiTheme="majorHAnsi" w:hAnsiTheme="majorHAnsi"/>
          <w:i/>
          <w:iCs/>
          <w:color w:val="EE0000"/>
        </w:rPr>
        <w:t xml:space="preserve">ecommandation 14-14 sur l’établissement d’un fonds de participation aux réunions destiné aux </w:t>
      </w:r>
      <w:r w:rsidR="006F35B5" w:rsidRPr="007F3035">
        <w:rPr>
          <w:rFonts w:asciiTheme="majorHAnsi" w:hAnsiTheme="majorHAnsi"/>
          <w:i/>
          <w:iCs/>
          <w:color w:val="EE0000"/>
        </w:rPr>
        <w:t>P</w:t>
      </w:r>
      <w:r w:rsidRPr="007F3035">
        <w:rPr>
          <w:rFonts w:asciiTheme="majorHAnsi" w:hAnsiTheme="majorHAnsi"/>
          <w:i/>
          <w:iCs/>
          <w:color w:val="EE0000"/>
        </w:rPr>
        <w:t>arties contractantes en développement de l’ICCAT</w:t>
      </w:r>
      <w:r w:rsidR="006F35B5" w:rsidRPr="007F3035">
        <w:rPr>
          <w:rFonts w:asciiTheme="majorHAnsi" w:hAnsiTheme="majorHAnsi"/>
          <w:i/>
          <w:iCs/>
          <w:color w:val="EE0000"/>
        </w:rPr>
        <w:t xml:space="preserve"> (Rec. 20-09)</w:t>
      </w:r>
    </w:p>
    <w:p w14:paraId="745DB531" w14:textId="77777777" w:rsidR="004E010F" w:rsidRPr="007F3035" w:rsidRDefault="004E010F" w:rsidP="004E010F">
      <w:pPr>
        <w:pStyle w:val="ListParagraph"/>
        <w:widowControl w:val="0"/>
        <w:autoSpaceDE w:val="0"/>
        <w:autoSpaceDN w:val="0"/>
        <w:ind w:left="360"/>
        <w:rPr>
          <w:rFonts w:asciiTheme="majorHAnsi" w:hAnsiTheme="majorHAnsi"/>
        </w:rPr>
      </w:pPr>
    </w:p>
    <w:p w14:paraId="2732C274" w14:textId="4CCEB337" w:rsidR="00824C2D" w:rsidRPr="007F3035" w:rsidRDefault="00824C2D" w:rsidP="00AC04A1">
      <w:pPr>
        <w:pStyle w:val="ListParagraph"/>
        <w:widowControl w:val="0"/>
        <w:numPr>
          <w:ilvl w:val="0"/>
          <w:numId w:val="6"/>
        </w:numPr>
        <w:autoSpaceDE w:val="0"/>
        <w:autoSpaceDN w:val="0"/>
        <w:ind w:left="360"/>
        <w:rPr>
          <w:rFonts w:asciiTheme="majorHAnsi" w:hAnsiTheme="majorHAnsi"/>
        </w:rPr>
      </w:pPr>
      <w:r w:rsidRPr="007F3035">
        <w:rPr>
          <w:rFonts w:asciiTheme="majorHAnsi" w:hAnsiTheme="majorHAnsi"/>
        </w:rPr>
        <w:t xml:space="preserve">Cela crée-t-il de nouvelles </w:t>
      </w:r>
      <w:r w:rsidRPr="007F3035">
        <w:rPr>
          <w:rFonts w:asciiTheme="majorHAnsi" w:hAnsiTheme="majorHAnsi"/>
          <w:b/>
        </w:rPr>
        <w:t xml:space="preserve">obligations de déclaration </w:t>
      </w:r>
      <w:r w:rsidRPr="007F3035">
        <w:rPr>
          <w:rFonts w:asciiTheme="majorHAnsi" w:hAnsiTheme="majorHAnsi"/>
        </w:rPr>
        <w:t>pour les CPC</w:t>
      </w:r>
      <w:r w:rsidR="00463292">
        <w:rPr>
          <w:rFonts w:asciiTheme="majorHAnsi" w:hAnsiTheme="majorHAnsi"/>
        </w:rPr>
        <w:t xml:space="preserve"> ?     </w:t>
      </w:r>
      <w:proofErr w:type="gramStart"/>
      <w:r w:rsidR="007C11BA" w:rsidRPr="007F3035">
        <w:rPr>
          <w:rFonts w:asciiTheme="majorHAnsi" w:hAnsiTheme="majorHAnsi"/>
        </w:rPr>
        <w:t>Oui</w:t>
      </w:r>
      <w:proofErr w:type="gramEnd"/>
      <w:r w:rsidR="007C11BA" w:rsidRPr="007F3035">
        <w:rPr>
          <w:rFonts w:asciiTheme="majorHAnsi" w:hAnsiTheme="majorHAnsi"/>
        </w:rPr>
        <w:t xml:space="preserve"> </w:t>
      </w:r>
      <w:proofErr w:type="gramStart"/>
      <w:r w:rsidR="007C11BA" w:rsidRPr="007F3035">
        <w:rPr>
          <w:rFonts w:ascii="Segoe UI Symbol" w:hAnsi="Segoe UI Symbol" w:cs="Segoe UI Symbol"/>
        </w:rPr>
        <w:t>☐</w:t>
      </w:r>
      <w:r w:rsidR="007C11BA" w:rsidRPr="007F3035">
        <w:rPr>
          <w:rFonts w:asciiTheme="majorHAnsi" w:hAnsiTheme="majorHAnsi"/>
        </w:rPr>
        <w:t xml:space="preserve">  </w:t>
      </w:r>
      <w:r w:rsidR="007C11BA" w:rsidRPr="007F3035">
        <w:rPr>
          <w:rFonts w:asciiTheme="majorHAnsi" w:hAnsiTheme="majorHAnsi"/>
          <w:color w:val="FF0000"/>
        </w:rPr>
        <w:t>Non</w:t>
      </w:r>
      <w:proofErr w:type="gramEnd"/>
      <w:r w:rsidR="007C11BA" w:rsidRPr="007F3035">
        <w:rPr>
          <w:rFonts w:asciiTheme="majorHAnsi" w:hAnsiTheme="majorHAnsi"/>
          <w:color w:val="FF0000"/>
        </w:rPr>
        <w:t xml:space="preserve"> </w:t>
      </w:r>
      <w:r w:rsidR="007C11BA" w:rsidRPr="007F3035">
        <w:rPr>
          <w:rFonts w:ascii="Segoe UI Symbol" w:hAnsi="Segoe UI Symbol" w:cs="Segoe UI Symbol"/>
          <w:color w:val="FF0000"/>
        </w:rPr>
        <w:t>☒</w:t>
      </w:r>
    </w:p>
    <w:p w14:paraId="55EFABCD" w14:textId="77777777" w:rsidR="004E010F" w:rsidRPr="007F3035" w:rsidRDefault="004E010F" w:rsidP="004E010F">
      <w:pPr>
        <w:pStyle w:val="ListParagraph"/>
        <w:widowControl w:val="0"/>
        <w:autoSpaceDE w:val="0"/>
        <w:autoSpaceDN w:val="0"/>
        <w:ind w:left="360"/>
        <w:rPr>
          <w:rFonts w:asciiTheme="majorHAnsi" w:hAnsiTheme="majorHAnsi"/>
        </w:rPr>
      </w:pPr>
    </w:p>
    <w:p w14:paraId="113DDB82" w14:textId="424D2F2E" w:rsidR="00C61E0E" w:rsidRPr="007F3035" w:rsidRDefault="00A00A34" w:rsidP="004E010F">
      <w:pPr>
        <w:pStyle w:val="ListParagraph"/>
        <w:widowControl w:val="0"/>
        <w:autoSpaceDE w:val="0"/>
        <w:autoSpaceDN w:val="0"/>
        <w:ind w:left="360"/>
        <w:rPr>
          <w:rFonts w:asciiTheme="majorHAnsi" w:hAnsiTheme="majorHAnsi"/>
        </w:rPr>
      </w:pPr>
      <w:r w:rsidRPr="007F3035">
        <w:rPr>
          <w:rFonts w:asciiTheme="majorHAnsi" w:hAnsiTheme="majorHAnsi"/>
        </w:rPr>
        <w:t>Brève description de la ou des nouvelle(s) obligation(s) de déclaration</w:t>
      </w:r>
      <w:r w:rsidR="00CE74A5" w:rsidRPr="007F3035">
        <w:rPr>
          <w:rFonts w:asciiTheme="majorHAnsi" w:hAnsiTheme="majorHAnsi"/>
        </w:rPr>
        <w:t> :</w:t>
      </w:r>
    </w:p>
    <w:p w14:paraId="7CC02985" w14:textId="77777777" w:rsidR="00CE74A5" w:rsidRPr="007F3035" w:rsidRDefault="00CE74A5" w:rsidP="004E010F">
      <w:pPr>
        <w:pStyle w:val="ListParagraph"/>
        <w:widowControl w:val="0"/>
        <w:autoSpaceDE w:val="0"/>
        <w:autoSpaceDN w:val="0"/>
        <w:ind w:left="360"/>
        <w:rPr>
          <w:rFonts w:asciiTheme="majorHAnsi" w:hAnsiTheme="majorHAnsi"/>
        </w:rPr>
      </w:pPr>
    </w:p>
    <w:p w14:paraId="54446916" w14:textId="30BE28F0" w:rsidR="009368DB" w:rsidRPr="007F3035" w:rsidRDefault="00824C2D" w:rsidP="00AC04A1">
      <w:pPr>
        <w:pStyle w:val="ListParagraph"/>
        <w:widowControl w:val="0"/>
        <w:numPr>
          <w:ilvl w:val="0"/>
          <w:numId w:val="6"/>
        </w:numPr>
        <w:autoSpaceDE w:val="0"/>
        <w:autoSpaceDN w:val="0"/>
        <w:ind w:left="360"/>
        <w:rPr>
          <w:rFonts w:asciiTheme="majorHAnsi" w:hAnsiTheme="majorHAnsi"/>
          <w:color w:val="EE0000"/>
        </w:rPr>
      </w:pPr>
      <w:r w:rsidRPr="007F3035">
        <w:rPr>
          <w:rFonts w:asciiTheme="majorHAnsi" w:hAnsiTheme="majorHAnsi"/>
        </w:rPr>
        <w:t xml:space="preserve">Cela nécessite-t-il une contribution ou un </w:t>
      </w:r>
      <w:r w:rsidRPr="007F3035">
        <w:rPr>
          <w:rFonts w:asciiTheme="majorHAnsi" w:hAnsiTheme="majorHAnsi"/>
          <w:b/>
        </w:rPr>
        <w:t>travail</w:t>
      </w:r>
      <w:r w:rsidRPr="007F3035">
        <w:rPr>
          <w:rFonts w:asciiTheme="majorHAnsi" w:hAnsiTheme="majorHAnsi"/>
        </w:rPr>
        <w:t xml:space="preserve"> supplémentaire </w:t>
      </w:r>
      <w:r w:rsidRPr="007F3035">
        <w:rPr>
          <w:rFonts w:asciiTheme="majorHAnsi" w:hAnsiTheme="majorHAnsi"/>
          <w:b/>
        </w:rPr>
        <w:t>de la part du SCRS</w:t>
      </w:r>
      <w:r w:rsidRPr="007F3035">
        <w:rPr>
          <w:rFonts w:asciiTheme="majorHAnsi" w:hAnsiTheme="majorHAnsi"/>
        </w:rPr>
        <w:t xml:space="preserve"> ? </w:t>
      </w:r>
      <w:r w:rsidR="00463292">
        <w:rPr>
          <w:rFonts w:asciiTheme="majorHAnsi" w:hAnsiTheme="majorHAnsi"/>
        </w:rPr>
        <w:t xml:space="preserve"> </w:t>
      </w:r>
      <w:r w:rsidR="00AC5362" w:rsidRPr="007F3035">
        <w:rPr>
          <w:rFonts w:asciiTheme="majorHAnsi" w:hAnsiTheme="majorHAnsi"/>
        </w:rPr>
        <w:t xml:space="preserve">Oui </w:t>
      </w:r>
      <w:proofErr w:type="gramStart"/>
      <w:r w:rsidR="00AC5362" w:rsidRPr="007F3035">
        <w:rPr>
          <w:rFonts w:ascii="Segoe UI Symbol" w:hAnsi="Segoe UI Symbol" w:cs="Segoe UI Symbol"/>
        </w:rPr>
        <w:t>☐</w:t>
      </w:r>
      <w:r w:rsidR="00AC5362" w:rsidRPr="007F3035">
        <w:rPr>
          <w:rFonts w:asciiTheme="majorHAnsi" w:hAnsiTheme="majorHAnsi"/>
        </w:rPr>
        <w:t xml:space="preserve">  </w:t>
      </w:r>
      <w:r w:rsidR="00AC5362" w:rsidRPr="007F3035">
        <w:rPr>
          <w:rFonts w:asciiTheme="majorHAnsi" w:hAnsiTheme="majorHAnsi"/>
          <w:color w:val="FF0000"/>
        </w:rPr>
        <w:t>Non</w:t>
      </w:r>
      <w:proofErr w:type="gramEnd"/>
      <w:r w:rsidR="00AC5362" w:rsidRPr="007F3035">
        <w:rPr>
          <w:rFonts w:asciiTheme="majorHAnsi" w:hAnsiTheme="majorHAnsi"/>
          <w:color w:val="FF0000"/>
        </w:rPr>
        <w:t xml:space="preserve"> </w:t>
      </w:r>
      <w:r w:rsidR="00AC5362" w:rsidRPr="007F3035">
        <w:rPr>
          <w:rFonts w:ascii="Segoe UI Symbol" w:hAnsi="Segoe UI Symbol" w:cs="Segoe UI Symbol"/>
          <w:color w:val="FF0000"/>
        </w:rPr>
        <w:t>☒</w:t>
      </w:r>
    </w:p>
    <w:p w14:paraId="37ABA0FF" w14:textId="77777777" w:rsidR="00463292" w:rsidRDefault="00463292" w:rsidP="00AC04A1">
      <w:pPr>
        <w:ind w:left="360"/>
        <w:rPr>
          <w:rFonts w:asciiTheme="majorHAnsi" w:hAnsiTheme="majorHAnsi"/>
        </w:rPr>
      </w:pPr>
    </w:p>
    <w:p w14:paraId="6E38448C" w14:textId="6CBC614B" w:rsidR="00824C2D" w:rsidRPr="007F3035" w:rsidRDefault="00824C2D" w:rsidP="00AC04A1">
      <w:pPr>
        <w:ind w:left="360"/>
        <w:rPr>
          <w:rFonts w:asciiTheme="majorHAnsi" w:hAnsiTheme="majorHAnsi"/>
        </w:rPr>
      </w:pPr>
      <w:r w:rsidRPr="007F3035">
        <w:rPr>
          <w:rFonts w:asciiTheme="majorHAnsi" w:hAnsiTheme="majorHAnsi"/>
        </w:rPr>
        <w:t xml:space="preserve">Ce travail est-il déjà inclus dans le plan de travail actuel du SCRS ? </w:t>
      </w:r>
      <w:r w:rsidR="00AD6F69" w:rsidRPr="007F3035">
        <w:rPr>
          <w:rFonts w:asciiTheme="majorHAnsi" w:hAnsiTheme="majorHAnsi"/>
        </w:rPr>
        <w:t xml:space="preserve">Oui </w:t>
      </w:r>
      <w:r w:rsidR="00AD6F69" w:rsidRPr="007F3035">
        <w:rPr>
          <w:rFonts w:ascii="Segoe UI Symbol" w:hAnsi="Segoe UI Symbol" w:cs="Segoe UI Symbol"/>
        </w:rPr>
        <w:t>☐</w:t>
      </w:r>
      <w:r w:rsidR="00AD6F69">
        <w:rPr>
          <w:rFonts w:ascii="Segoe UI Symbol" w:hAnsi="Segoe UI Symbol" w:cs="Segoe UI Symbol"/>
        </w:rPr>
        <w:t xml:space="preserve">    </w:t>
      </w:r>
      <w:r w:rsidR="00AD6F69" w:rsidRPr="00AD6F69">
        <w:rPr>
          <w:rFonts w:asciiTheme="majorHAnsi" w:hAnsiTheme="majorHAnsi" w:cs="Segoe UI Symbol"/>
        </w:rPr>
        <w:t>Non</w:t>
      </w:r>
      <w:r w:rsidR="00AD6F69" w:rsidRPr="007F3035">
        <w:rPr>
          <w:rFonts w:asciiTheme="majorHAnsi" w:hAnsiTheme="majorHAnsi"/>
        </w:rPr>
        <w:t xml:space="preserve"> </w:t>
      </w:r>
      <w:r w:rsidR="00AD6F69" w:rsidRPr="007F3035">
        <w:rPr>
          <w:rFonts w:ascii="Segoe UI Symbol" w:hAnsi="Segoe UI Symbol" w:cs="Segoe UI Symbol"/>
        </w:rPr>
        <w:t>☐</w:t>
      </w:r>
    </w:p>
    <w:p w14:paraId="0D928EAA" w14:textId="77777777" w:rsidR="004E010F" w:rsidRPr="007F3035" w:rsidRDefault="004E010F" w:rsidP="00AC04A1">
      <w:pPr>
        <w:ind w:left="360"/>
        <w:rPr>
          <w:rFonts w:asciiTheme="majorHAnsi" w:hAnsiTheme="majorHAnsi"/>
        </w:rPr>
      </w:pPr>
    </w:p>
    <w:p w14:paraId="5A4200C3" w14:textId="66289E28" w:rsidR="00C61E0E" w:rsidRPr="007F3035" w:rsidRDefault="00EB56C5" w:rsidP="00AC04A1">
      <w:pPr>
        <w:ind w:left="360"/>
        <w:rPr>
          <w:rFonts w:asciiTheme="majorHAnsi" w:hAnsiTheme="majorHAnsi"/>
        </w:rPr>
      </w:pPr>
      <w:r w:rsidRPr="007F3035">
        <w:rPr>
          <w:rFonts w:asciiTheme="majorHAnsi" w:hAnsiTheme="majorHAnsi"/>
        </w:rPr>
        <w:t>Brève description des nouveaux travaux scientifiques requis (évaluation des stocks, analyse, consultant externe) :</w:t>
      </w:r>
    </w:p>
    <w:p w14:paraId="1E809BF5" w14:textId="77777777" w:rsidR="00EB56C5" w:rsidRPr="007F3035" w:rsidRDefault="00EB56C5" w:rsidP="00AC04A1">
      <w:pPr>
        <w:ind w:left="360"/>
        <w:rPr>
          <w:rFonts w:asciiTheme="majorHAnsi" w:hAnsiTheme="majorHAnsi"/>
        </w:rPr>
      </w:pPr>
    </w:p>
    <w:p w14:paraId="2030B9A7" w14:textId="77777777" w:rsidR="006B2463" w:rsidRPr="007F3035" w:rsidRDefault="00824C2D" w:rsidP="00AC04A1">
      <w:pPr>
        <w:pStyle w:val="ListParagraph"/>
        <w:widowControl w:val="0"/>
        <w:numPr>
          <w:ilvl w:val="0"/>
          <w:numId w:val="6"/>
        </w:numPr>
        <w:autoSpaceDE w:val="0"/>
        <w:autoSpaceDN w:val="0"/>
        <w:ind w:left="360"/>
        <w:rPr>
          <w:rFonts w:asciiTheme="majorHAnsi" w:hAnsiTheme="majorHAnsi"/>
          <w:color w:val="EE0000"/>
        </w:rPr>
      </w:pPr>
      <w:r w:rsidRPr="007F3035">
        <w:rPr>
          <w:rFonts w:asciiTheme="majorHAnsi" w:hAnsiTheme="majorHAnsi"/>
        </w:rPr>
        <w:t xml:space="preserve">Cela implique-t-il la création d'un </w:t>
      </w:r>
      <w:r w:rsidRPr="007F3035">
        <w:rPr>
          <w:rFonts w:asciiTheme="majorHAnsi" w:hAnsiTheme="majorHAnsi"/>
          <w:b/>
        </w:rPr>
        <w:t xml:space="preserve">nouveau groupe de travail ou d'un processus intersessions </w:t>
      </w:r>
      <w:r w:rsidRPr="007F3035">
        <w:rPr>
          <w:rFonts w:asciiTheme="majorHAnsi" w:hAnsiTheme="majorHAnsi"/>
        </w:rPr>
        <w:t xml:space="preserve">?   </w:t>
      </w:r>
    </w:p>
    <w:p w14:paraId="1A59D48A" w14:textId="77777777" w:rsidR="00B6657D" w:rsidRDefault="00B6657D" w:rsidP="00187FB0">
      <w:pPr>
        <w:pStyle w:val="ListParagraph"/>
        <w:tabs>
          <w:tab w:val="left" w:pos="7882"/>
        </w:tabs>
        <w:ind w:left="426"/>
        <w:rPr>
          <w:rFonts w:asciiTheme="majorHAnsi" w:hAnsiTheme="majorHAnsi"/>
        </w:rPr>
      </w:pPr>
    </w:p>
    <w:p w14:paraId="2DA4B1F6" w14:textId="3345DDC6" w:rsidR="00187FB0" w:rsidRPr="007F3035" w:rsidRDefault="00187FB0" w:rsidP="00187FB0">
      <w:pPr>
        <w:pStyle w:val="ListParagraph"/>
        <w:tabs>
          <w:tab w:val="left" w:pos="7882"/>
        </w:tabs>
        <w:ind w:left="426"/>
        <w:rPr>
          <w:rFonts w:asciiTheme="majorHAnsi" w:hAnsiTheme="majorHAnsi"/>
          <w:color w:val="FF0000"/>
        </w:rPr>
      </w:pPr>
      <w:r w:rsidRPr="007F3035">
        <w:rPr>
          <w:rFonts w:asciiTheme="majorHAnsi" w:hAnsiTheme="majorHAnsi"/>
        </w:rPr>
        <w:t xml:space="preserve">Oui </w:t>
      </w:r>
      <w:proofErr w:type="gramStart"/>
      <w:r w:rsidRPr="007F3035">
        <w:rPr>
          <w:rFonts w:ascii="Segoe UI Symbol" w:hAnsi="Segoe UI Symbol" w:cs="Segoe UI Symbol"/>
        </w:rPr>
        <w:t>☐</w:t>
      </w:r>
      <w:r w:rsidRPr="007F3035">
        <w:rPr>
          <w:rFonts w:asciiTheme="majorHAnsi" w:hAnsiTheme="majorHAnsi"/>
        </w:rPr>
        <w:t xml:space="preserve">  </w:t>
      </w:r>
      <w:r w:rsidRPr="007F3035">
        <w:rPr>
          <w:rFonts w:asciiTheme="majorHAnsi" w:hAnsiTheme="majorHAnsi"/>
          <w:color w:val="FF0000"/>
        </w:rPr>
        <w:t>Non</w:t>
      </w:r>
      <w:proofErr w:type="gramEnd"/>
      <w:r w:rsidRPr="007F3035">
        <w:rPr>
          <w:rFonts w:asciiTheme="majorHAnsi" w:hAnsiTheme="majorHAnsi"/>
          <w:color w:val="FF0000"/>
        </w:rPr>
        <w:t xml:space="preserve"> </w:t>
      </w:r>
      <w:r w:rsidRPr="007F3035">
        <w:rPr>
          <w:rFonts w:ascii="Segoe UI Symbol" w:hAnsi="Segoe UI Symbol" w:cs="Segoe UI Symbol"/>
          <w:color w:val="FF0000"/>
        </w:rPr>
        <w:t>☒</w:t>
      </w:r>
    </w:p>
    <w:p w14:paraId="722D2813" w14:textId="77777777" w:rsidR="004E010F" w:rsidRPr="007F3035" w:rsidRDefault="004E010F" w:rsidP="004E010F">
      <w:pPr>
        <w:pStyle w:val="ListParagraph"/>
        <w:widowControl w:val="0"/>
        <w:autoSpaceDE w:val="0"/>
        <w:autoSpaceDN w:val="0"/>
        <w:ind w:left="360"/>
        <w:rPr>
          <w:rFonts w:asciiTheme="majorHAnsi" w:hAnsiTheme="majorHAnsi"/>
          <w:color w:val="EE0000"/>
        </w:rPr>
      </w:pPr>
    </w:p>
    <w:p w14:paraId="1D283022" w14:textId="77777777" w:rsidR="00B6657D" w:rsidRPr="00B6657D" w:rsidRDefault="00824C2D" w:rsidP="007F3035">
      <w:pPr>
        <w:pStyle w:val="ListParagraph"/>
        <w:widowControl w:val="0"/>
        <w:numPr>
          <w:ilvl w:val="0"/>
          <w:numId w:val="6"/>
        </w:numPr>
        <w:autoSpaceDE w:val="0"/>
        <w:autoSpaceDN w:val="0"/>
        <w:ind w:left="360"/>
        <w:rPr>
          <w:rFonts w:asciiTheme="majorHAnsi" w:hAnsiTheme="majorHAnsi"/>
          <w:color w:val="FF0000"/>
        </w:rPr>
      </w:pPr>
      <w:r w:rsidRPr="007F3035">
        <w:rPr>
          <w:rFonts w:asciiTheme="majorHAnsi" w:hAnsiTheme="majorHAnsi"/>
        </w:rPr>
        <w:t xml:space="preserve">Cela nécessite-t-il un nouveau </w:t>
      </w:r>
      <w:r w:rsidRPr="007F3035">
        <w:rPr>
          <w:rFonts w:asciiTheme="majorHAnsi" w:hAnsiTheme="majorHAnsi"/>
          <w:b/>
        </w:rPr>
        <w:t xml:space="preserve">programme ou des activités supplémentaires à gérer par le Secrétariat </w:t>
      </w:r>
      <w:r w:rsidRPr="007F3035">
        <w:rPr>
          <w:rFonts w:asciiTheme="majorHAnsi" w:hAnsiTheme="majorHAnsi"/>
        </w:rPr>
        <w:t xml:space="preserve">?  </w:t>
      </w:r>
    </w:p>
    <w:p w14:paraId="77583EF1" w14:textId="77777777" w:rsidR="00B6657D" w:rsidRPr="00B6657D" w:rsidRDefault="00B6657D" w:rsidP="00B6657D">
      <w:pPr>
        <w:pStyle w:val="ListParagraph"/>
        <w:widowControl w:val="0"/>
        <w:autoSpaceDE w:val="0"/>
        <w:autoSpaceDN w:val="0"/>
        <w:ind w:left="360"/>
        <w:rPr>
          <w:rFonts w:asciiTheme="majorHAnsi" w:hAnsiTheme="majorHAnsi"/>
          <w:color w:val="FF0000"/>
        </w:rPr>
      </w:pPr>
    </w:p>
    <w:p w14:paraId="5D98A7EF" w14:textId="29CB4D11" w:rsidR="007F3035" w:rsidRPr="007F3035" w:rsidRDefault="007F3035" w:rsidP="00B6657D">
      <w:pPr>
        <w:pStyle w:val="ListParagraph"/>
        <w:widowControl w:val="0"/>
        <w:autoSpaceDE w:val="0"/>
        <w:autoSpaceDN w:val="0"/>
        <w:ind w:left="360"/>
        <w:rPr>
          <w:rFonts w:asciiTheme="majorHAnsi" w:hAnsiTheme="majorHAnsi"/>
          <w:color w:val="FF0000"/>
        </w:rPr>
      </w:pPr>
      <w:r w:rsidRPr="007F3035">
        <w:rPr>
          <w:rFonts w:asciiTheme="majorHAnsi" w:hAnsiTheme="majorHAnsi"/>
        </w:rPr>
        <w:t xml:space="preserve">Oui </w:t>
      </w:r>
      <w:r w:rsidRPr="007F3035">
        <w:rPr>
          <w:rFonts w:ascii="Segoe UI Symbol" w:hAnsi="Segoe UI Symbol" w:cs="Segoe UI Symbol"/>
        </w:rPr>
        <w:t>☐</w:t>
      </w:r>
      <w:r w:rsidRPr="007F3035">
        <w:rPr>
          <w:rFonts w:asciiTheme="majorHAnsi" w:hAnsiTheme="majorHAnsi"/>
        </w:rPr>
        <w:tab/>
      </w:r>
      <w:r w:rsidRPr="007F3035">
        <w:rPr>
          <w:rFonts w:asciiTheme="majorHAnsi" w:hAnsiTheme="majorHAnsi"/>
          <w:color w:val="FF0000"/>
        </w:rPr>
        <w:t xml:space="preserve">Non </w:t>
      </w:r>
      <w:r w:rsidRPr="007F3035">
        <w:rPr>
          <w:rFonts w:ascii="Segoe UI Symbol" w:hAnsi="Segoe UI Symbol" w:cs="Segoe UI Symbol"/>
          <w:color w:val="FF0000"/>
        </w:rPr>
        <w:t>☒</w:t>
      </w:r>
    </w:p>
    <w:p w14:paraId="3AF72286" w14:textId="77777777" w:rsidR="00824C2D" w:rsidRPr="007F3035" w:rsidRDefault="00824C2D" w:rsidP="00AC04A1">
      <w:pPr>
        <w:ind w:left="318"/>
        <w:rPr>
          <w:rFonts w:asciiTheme="majorHAnsi" w:hAnsiTheme="majorHAnsi"/>
        </w:rPr>
      </w:pPr>
    </w:p>
    <w:p w14:paraId="2C17DCB3" w14:textId="77777777" w:rsidR="00040B9F" w:rsidRPr="007F3035" w:rsidRDefault="00824C2D" w:rsidP="00AC04A1">
      <w:pPr>
        <w:ind w:left="360"/>
        <w:rPr>
          <w:rFonts w:asciiTheme="majorHAnsi" w:hAnsiTheme="majorHAnsi"/>
        </w:rPr>
      </w:pPr>
      <w:r w:rsidRPr="007F3035">
        <w:rPr>
          <w:rFonts w:asciiTheme="majorHAnsi" w:hAnsiTheme="majorHAnsi"/>
        </w:rPr>
        <w:t xml:space="preserve">Brève description du nouveau travail requis pour le Secrétariat : </w:t>
      </w:r>
    </w:p>
    <w:p w14:paraId="3CAEC9AA" w14:textId="77777777" w:rsidR="00040B9F" w:rsidRPr="007F3035" w:rsidRDefault="00040B9F" w:rsidP="00AC04A1">
      <w:pPr>
        <w:ind w:left="360"/>
        <w:rPr>
          <w:rFonts w:asciiTheme="majorHAnsi" w:hAnsiTheme="majorHAnsi"/>
        </w:rPr>
      </w:pPr>
    </w:p>
    <w:p w14:paraId="35F43B1C" w14:textId="2A7A9B91" w:rsidR="00824C2D" w:rsidRPr="007F3035" w:rsidRDefault="00040B9F" w:rsidP="00AC04A1">
      <w:pPr>
        <w:ind w:left="360"/>
        <w:rPr>
          <w:rFonts w:asciiTheme="majorHAnsi" w:hAnsiTheme="majorHAnsi"/>
          <w:color w:val="EE0000"/>
          <w:spacing w:val="-2"/>
        </w:rPr>
      </w:pPr>
      <w:r w:rsidRPr="007F3035">
        <w:rPr>
          <w:rFonts w:asciiTheme="majorHAnsi" w:hAnsiTheme="majorHAnsi"/>
          <w:color w:val="EE0000"/>
        </w:rPr>
        <w:t>Le Secrétariat étudiera les procédures administratives et budgétaires pour gérer le financement d’un second délégué par Partie, incluant la logistique, le suivi financier et l’évaluation de la mesure.</w:t>
      </w:r>
    </w:p>
    <w:p w14:paraId="758C5F22" w14:textId="77777777" w:rsidR="00824C2D" w:rsidRPr="007F3035" w:rsidRDefault="00824C2D" w:rsidP="00AC04A1">
      <w:pPr>
        <w:rPr>
          <w:rFonts w:asciiTheme="majorHAnsi" w:hAnsiTheme="majorHAnsi"/>
          <w:spacing w:val="-2"/>
        </w:rPr>
      </w:pPr>
    </w:p>
    <w:p w14:paraId="252AA3DF" w14:textId="77777777" w:rsidR="00824C2D" w:rsidRPr="007F3035" w:rsidRDefault="00824C2D" w:rsidP="00AC04A1">
      <w:pPr>
        <w:pStyle w:val="ListParagraph"/>
        <w:widowControl w:val="0"/>
        <w:numPr>
          <w:ilvl w:val="0"/>
          <w:numId w:val="6"/>
        </w:numPr>
        <w:autoSpaceDE w:val="0"/>
        <w:autoSpaceDN w:val="0"/>
        <w:ind w:left="360"/>
        <w:rPr>
          <w:rFonts w:asciiTheme="majorHAnsi" w:hAnsiTheme="majorHAnsi"/>
          <w:spacing w:val="-2"/>
        </w:rPr>
      </w:pPr>
      <w:r w:rsidRPr="007F3035">
        <w:rPr>
          <w:rFonts w:asciiTheme="majorHAnsi" w:hAnsiTheme="majorHAnsi"/>
        </w:rPr>
        <w:t>Quel est le calendrier proposé pour la mise en œuvre, et existe-t-il des calendriers spécifiques différents pour certaines CPC, pêcheries, régions, etc. ?</w:t>
      </w:r>
    </w:p>
    <w:p w14:paraId="1C8C8B6D" w14:textId="77777777" w:rsidR="004E010F" w:rsidRPr="007F3035" w:rsidRDefault="004E010F" w:rsidP="004E010F">
      <w:pPr>
        <w:pStyle w:val="ListParagraph"/>
        <w:widowControl w:val="0"/>
        <w:autoSpaceDE w:val="0"/>
        <w:autoSpaceDN w:val="0"/>
        <w:ind w:left="360"/>
        <w:rPr>
          <w:rFonts w:asciiTheme="majorHAnsi" w:hAnsiTheme="majorHAnsi"/>
          <w:spacing w:val="-2"/>
        </w:rPr>
      </w:pPr>
    </w:p>
    <w:p w14:paraId="6FDD7A0D" w14:textId="77777777" w:rsidR="00824C2D" w:rsidRPr="007F3035" w:rsidRDefault="00824C2D" w:rsidP="00AC04A1">
      <w:pPr>
        <w:ind w:left="360"/>
        <w:rPr>
          <w:rFonts w:asciiTheme="majorHAnsi" w:hAnsiTheme="majorHAnsi"/>
          <w:color w:val="EE0000"/>
        </w:rPr>
      </w:pPr>
      <w:r w:rsidRPr="007F3035">
        <w:rPr>
          <w:rFonts w:asciiTheme="majorHAnsi" w:hAnsiTheme="majorHAnsi"/>
          <w:color w:val="EE0000"/>
        </w:rPr>
        <w:t xml:space="preserve">La procédure sera mise en œuvre dès son adoption (selon le règlement en vigueur de l’ICCAT). </w:t>
      </w:r>
    </w:p>
    <w:p w14:paraId="1EA02EF9" w14:textId="77777777" w:rsidR="00824C2D" w:rsidRPr="007F3035" w:rsidRDefault="00824C2D" w:rsidP="00AC04A1">
      <w:pPr>
        <w:rPr>
          <w:rFonts w:asciiTheme="majorHAnsi" w:hAnsiTheme="majorHAnsi"/>
          <w:spacing w:val="-2"/>
        </w:rPr>
      </w:pPr>
    </w:p>
    <w:p w14:paraId="0236CFD1" w14:textId="77777777" w:rsidR="00824C2D" w:rsidRPr="007F3035" w:rsidRDefault="00824C2D" w:rsidP="00AC04A1">
      <w:pPr>
        <w:pStyle w:val="ListParagraph"/>
        <w:widowControl w:val="0"/>
        <w:numPr>
          <w:ilvl w:val="0"/>
          <w:numId w:val="6"/>
        </w:numPr>
        <w:autoSpaceDE w:val="0"/>
        <w:autoSpaceDN w:val="0"/>
        <w:ind w:left="360"/>
        <w:rPr>
          <w:rFonts w:asciiTheme="majorHAnsi" w:hAnsiTheme="majorHAnsi"/>
          <w:spacing w:val="-2"/>
        </w:rPr>
      </w:pPr>
      <w:r w:rsidRPr="007F3035">
        <w:rPr>
          <w:rFonts w:asciiTheme="majorHAnsi" w:hAnsiTheme="majorHAnsi"/>
        </w:rPr>
        <w:t>Existe-t-il d'autres informations pertinentes concernant les implications de la proposition en termes de ressources et de charge de travail ?</w:t>
      </w:r>
    </w:p>
    <w:p w14:paraId="0BCF31BD" w14:textId="77777777" w:rsidR="00824C2D" w:rsidRPr="007F3035" w:rsidRDefault="00824C2D" w:rsidP="00AC04A1">
      <w:pPr>
        <w:pStyle w:val="ListParagraph"/>
        <w:ind w:left="360"/>
        <w:rPr>
          <w:rFonts w:asciiTheme="majorHAnsi" w:hAnsiTheme="majorHAnsi"/>
          <w:spacing w:val="-2"/>
        </w:rPr>
      </w:pPr>
    </w:p>
    <w:p w14:paraId="26B3C49B" w14:textId="77777777" w:rsidR="00824C2D" w:rsidRPr="00AC04A1" w:rsidRDefault="00824C2D" w:rsidP="00AC04A1">
      <w:pPr>
        <w:ind w:left="360"/>
        <w:rPr>
          <w:rFonts w:asciiTheme="majorHAnsi" w:hAnsiTheme="majorHAnsi"/>
          <w:i/>
          <w:color w:val="EE0000"/>
        </w:rPr>
      </w:pPr>
      <w:r w:rsidRPr="007F3035">
        <w:rPr>
          <w:rFonts w:asciiTheme="majorHAnsi" w:hAnsiTheme="majorHAnsi"/>
          <w:color w:val="EE0000"/>
        </w:rPr>
        <w:t>La mesure proposée n’entraîne pas de besoin d’expertise externe ni de nouvelles exigences techniques ou de suivi. Elle vise uniquement à renforcer la participation des délégations éligibles sans modifier les obligations des CPC, ni les procédures de collecte ou de communication des données, et s’applique à l’ensemble de la zone de la Convention</w:t>
      </w:r>
      <w:r w:rsidRPr="00AC04A1">
        <w:rPr>
          <w:rFonts w:asciiTheme="majorHAnsi" w:hAnsiTheme="majorHAnsi"/>
          <w:color w:val="EE0000"/>
        </w:rPr>
        <w:t>.</w:t>
      </w:r>
      <w:r w:rsidRPr="00AC04A1">
        <w:rPr>
          <w:rFonts w:asciiTheme="majorHAnsi" w:hAnsiTheme="majorHAnsi"/>
          <w:i/>
          <w:color w:val="EE0000"/>
        </w:rPr>
        <w:br w:type="page"/>
      </w:r>
    </w:p>
    <w:p w14:paraId="75F19B25" w14:textId="1E513069" w:rsidR="00234F4D" w:rsidRDefault="00234F4D" w:rsidP="00234F4D">
      <w:pPr>
        <w:jc w:val="right"/>
        <w:outlineLvl w:val="2"/>
        <w:rPr>
          <w:rFonts w:asciiTheme="majorHAnsi" w:eastAsia="Times New Roman" w:hAnsiTheme="majorHAnsi"/>
          <w:b/>
          <w:bCs/>
          <w:lang w:eastAsia="fr-FR"/>
        </w:rPr>
      </w:pPr>
      <w:r>
        <w:rPr>
          <w:rFonts w:asciiTheme="majorHAnsi" w:eastAsia="Times New Roman" w:hAnsiTheme="majorHAnsi"/>
          <w:b/>
          <w:bCs/>
          <w:lang w:eastAsia="fr-FR"/>
        </w:rPr>
        <w:lastRenderedPageBreak/>
        <w:t>Original : français</w:t>
      </w:r>
    </w:p>
    <w:p w14:paraId="3EE1BD3D" w14:textId="77777777" w:rsidR="00234F4D" w:rsidRDefault="00234F4D" w:rsidP="00234F4D">
      <w:pPr>
        <w:jc w:val="right"/>
        <w:outlineLvl w:val="2"/>
        <w:rPr>
          <w:rFonts w:asciiTheme="majorHAnsi" w:eastAsia="Times New Roman" w:hAnsiTheme="majorHAnsi"/>
          <w:b/>
          <w:bCs/>
          <w:lang w:eastAsia="fr-FR"/>
        </w:rPr>
      </w:pPr>
    </w:p>
    <w:p w14:paraId="598A2778" w14:textId="605E3E10" w:rsidR="00824C2D" w:rsidRPr="001D649A" w:rsidRDefault="00824C2D" w:rsidP="00AC04A1">
      <w:pPr>
        <w:jc w:val="center"/>
        <w:outlineLvl w:val="2"/>
        <w:rPr>
          <w:rFonts w:asciiTheme="majorHAnsi" w:eastAsia="Times New Roman" w:hAnsiTheme="majorHAnsi"/>
          <w:b/>
          <w:bCs/>
          <w:lang w:eastAsia="fr-FR"/>
        </w:rPr>
      </w:pPr>
      <w:r w:rsidRPr="001D649A">
        <w:rPr>
          <w:rFonts w:asciiTheme="majorHAnsi" w:eastAsia="Times New Roman" w:hAnsiTheme="majorHAnsi"/>
          <w:b/>
          <w:bCs/>
          <w:lang w:eastAsia="fr-FR"/>
        </w:rPr>
        <w:t>Proposition de l’Algérie et la Tunisie relative à l’augmentation du nombre de représentants financés par délégation pour les réunions annuelles de la Commission</w:t>
      </w:r>
    </w:p>
    <w:p w14:paraId="753DB9CC" w14:textId="7198661C" w:rsidR="00234F4D" w:rsidRPr="001D649A" w:rsidRDefault="00234F4D" w:rsidP="00234F4D">
      <w:pPr>
        <w:jc w:val="center"/>
        <w:rPr>
          <w:rFonts w:asciiTheme="majorHAnsi" w:hAnsiTheme="majorHAnsi"/>
          <w:i/>
          <w:iCs/>
        </w:rPr>
      </w:pPr>
      <w:r w:rsidRPr="001D649A">
        <w:rPr>
          <w:rFonts w:asciiTheme="majorHAnsi" w:hAnsiTheme="majorHAnsi"/>
          <w:i/>
        </w:rPr>
        <w:t>(Document présenté par l’Algérie</w:t>
      </w:r>
      <w:r w:rsidR="008514D9">
        <w:rPr>
          <w:rFonts w:asciiTheme="majorHAnsi" w:hAnsiTheme="majorHAnsi"/>
          <w:i/>
        </w:rPr>
        <w:t xml:space="preserve"> </w:t>
      </w:r>
      <w:r w:rsidR="008514D9">
        <w:rPr>
          <w:rFonts w:asciiTheme="majorHAnsi" w:hAnsiTheme="majorHAnsi"/>
          <w:i/>
        </w:rPr>
        <w:t>et la Tunisie</w:t>
      </w:r>
      <w:r w:rsidRPr="001D649A">
        <w:rPr>
          <w:rFonts w:asciiTheme="majorHAnsi" w:hAnsiTheme="majorHAnsi"/>
          <w:i/>
        </w:rPr>
        <w:t>)</w:t>
      </w:r>
    </w:p>
    <w:p w14:paraId="444255FA" w14:textId="77777777" w:rsidR="00EB5D42" w:rsidRPr="001D649A" w:rsidRDefault="00EB5D42" w:rsidP="00AC04A1">
      <w:pPr>
        <w:jc w:val="center"/>
        <w:outlineLvl w:val="2"/>
        <w:rPr>
          <w:rFonts w:asciiTheme="majorHAnsi" w:eastAsia="Times New Roman" w:hAnsiTheme="majorHAnsi"/>
          <w:b/>
          <w:bCs/>
          <w:lang w:eastAsia="fr-FR"/>
        </w:rPr>
      </w:pPr>
    </w:p>
    <w:p w14:paraId="4D8D2689" w14:textId="77777777" w:rsidR="00AC04A1" w:rsidRPr="001D649A" w:rsidRDefault="00824C2D" w:rsidP="00AC04A1">
      <w:pPr>
        <w:rPr>
          <w:rFonts w:asciiTheme="majorHAnsi" w:hAnsiTheme="majorHAnsi"/>
          <w:b/>
          <w:bCs/>
        </w:rPr>
      </w:pPr>
      <w:r w:rsidRPr="001D649A">
        <w:rPr>
          <w:rFonts w:asciiTheme="majorHAnsi" w:hAnsiTheme="majorHAnsi"/>
          <w:b/>
          <w:bCs/>
        </w:rPr>
        <w:t xml:space="preserve">Contexte : </w:t>
      </w:r>
    </w:p>
    <w:p w14:paraId="1CFFD841" w14:textId="77777777" w:rsidR="00AC04A1" w:rsidRPr="001D649A" w:rsidRDefault="00AC04A1" w:rsidP="00AC04A1">
      <w:pPr>
        <w:rPr>
          <w:rFonts w:asciiTheme="majorHAnsi" w:hAnsiTheme="majorHAnsi"/>
        </w:rPr>
      </w:pPr>
    </w:p>
    <w:p w14:paraId="241907E4" w14:textId="53667769" w:rsidR="00824C2D" w:rsidRPr="001D649A" w:rsidRDefault="00824C2D" w:rsidP="00AC04A1">
      <w:pPr>
        <w:rPr>
          <w:rFonts w:asciiTheme="majorHAnsi" w:hAnsiTheme="majorHAnsi"/>
        </w:rPr>
      </w:pPr>
      <w:r w:rsidRPr="001D649A">
        <w:rPr>
          <w:rFonts w:asciiTheme="majorHAnsi" w:hAnsiTheme="majorHAnsi"/>
        </w:rPr>
        <w:t>Les délégations des Parties contractantes disposant de ressources humaines et financières limitées rencontrent des difficultés à assurer une participation efficace aux réunions de la Commission et à ses sous-organes. Ces réunions exigent la présence simultanée de plusieurs conseillers techniques et administratifs afin de couvrir les discussions spécialisées (STACFAD, SCRS, Groupes de travail, etc.) et de permettre une contribution équilibrée aux travaux de la Commission.</w:t>
      </w:r>
    </w:p>
    <w:p w14:paraId="4125756E" w14:textId="77777777" w:rsidR="00234F4D" w:rsidRPr="001D649A" w:rsidRDefault="00234F4D" w:rsidP="00AC04A1">
      <w:pPr>
        <w:rPr>
          <w:rFonts w:asciiTheme="majorHAnsi" w:hAnsiTheme="majorHAnsi"/>
        </w:rPr>
      </w:pPr>
    </w:p>
    <w:p w14:paraId="31176725" w14:textId="7AB4EB39" w:rsidR="00AC04A1" w:rsidRPr="001D649A" w:rsidRDefault="00AC04A1" w:rsidP="00AC04A1">
      <w:pPr>
        <w:rPr>
          <w:rFonts w:asciiTheme="majorHAnsi" w:hAnsiTheme="majorHAnsi"/>
          <w:b/>
          <w:bCs/>
        </w:rPr>
      </w:pPr>
      <w:r w:rsidRPr="001D649A">
        <w:rPr>
          <w:rFonts w:asciiTheme="majorHAnsi" w:hAnsiTheme="majorHAnsi"/>
          <w:b/>
          <w:bCs/>
        </w:rPr>
        <w:t>Constat :</w:t>
      </w:r>
    </w:p>
    <w:p w14:paraId="6818C9B2" w14:textId="77777777" w:rsidR="00234F4D" w:rsidRPr="001D649A" w:rsidRDefault="00234F4D" w:rsidP="00AC04A1">
      <w:pPr>
        <w:rPr>
          <w:rFonts w:asciiTheme="majorHAnsi" w:hAnsiTheme="majorHAnsi"/>
          <w:b/>
          <w:bCs/>
        </w:rPr>
      </w:pPr>
    </w:p>
    <w:p w14:paraId="6F50772A" w14:textId="5E48FCCF" w:rsidR="00824C2D" w:rsidRPr="001D649A" w:rsidRDefault="00824C2D" w:rsidP="00AC04A1">
      <w:pPr>
        <w:rPr>
          <w:rFonts w:asciiTheme="majorHAnsi" w:hAnsiTheme="majorHAnsi"/>
        </w:rPr>
      </w:pPr>
      <w:r w:rsidRPr="001D649A">
        <w:rPr>
          <w:rFonts w:asciiTheme="majorHAnsi" w:hAnsiTheme="majorHAnsi"/>
        </w:rPr>
        <w:t>Actuellement, le financement assuré par l’ICCAT pour la participation des délégations éligibles est limité à un seul représentant par Partie. Or, la présence d’un seul délégué ne permet pas de traiter de manière approfondie l’ensemble des sujets et thématiques abordés dans les différents groupes de travail, sous-commissions et instances de la Commission, ce qui limite la capacité des délégations concernées à participer pleinement aux discussions techniques et financières.</w:t>
      </w:r>
    </w:p>
    <w:p w14:paraId="56D2D32B" w14:textId="77777777" w:rsidR="00234F4D" w:rsidRPr="001D649A" w:rsidRDefault="00234F4D" w:rsidP="00AC04A1">
      <w:pPr>
        <w:rPr>
          <w:rFonts w:asciiTheme="majorHAnsi" w:eastAsia="Times New Roman" w:hAnsiTheme="majorHAnsi"/>
          <w:lang w:eastAsia="fr-FR"/>
        </w:rPr>
      </w:pPr>
    </w:p>
    <w:p w14:paraId="391C9090" w14:textId="64B2D4ED" w:rsidR="00234F4D" w:rsidRPr="001D649A" w:rsidRDefault="00234F4D" w:rsidP="00AC04A1">
      <w:pPr>
        <w:pStyle w:val="NormalWeb"/>
        <w:spacing w:before="0" w:beforeAutospacing="0" w:after="0" w:afterAutospacing="0"/>
        <w:jc w:val="both"/>
        <w:rPr>
          <w:rFonts w:asciiTheme="majorHAnsi" w:eastAsia="Cambria" w:hAnsiTheme="majorHAnsi" w:cs="Cambria"/>
          <w:b/>
          <w:bCs/>
          <w:sz w:val="20"/>
          <w:szCs w:val="20"/>
          <w:lang w:eastAsia="en-US"/>
        </w:rPr>
      </w:pPr>
      <w:r w:rsidRPr="001D649A">
        <w:rPr>
          <w:rFonts w:asciiTheme="majorHAnsi" w:eastAsia="Cambria" w:hAnsiTheme="majorHAnsi" w:cs="Cambria"/>
          <w:b/>
          <w:bCs/>
          <w:sz w:val="20"/>
          <w:szCs w:val="20"/>
          <w:lang w:eastAsia="en-US"/>
        </w:rPr>
        <w:t>Proposition :</w:t>
      </w:r>
    </w:p>
    <w:p w14:paraId="6F1BE18E" w14:textId="77777777" w:rsidR="00234F4D" w:rsidRPr="001D649A" w:rsidRDefault="00234F4D" w:rsidP="00AC04A1">
      <w:pPr>
        <w:pStyle w:val="NormalWeb"/>
        <w:spacing w:before="0" w:beforeAutospacing="0" w:after="0" w:afterAutospacing="0"/>
        <w:jc w:val="both"/>
        <w:rPr>
          <w:rFonts w:asciiTheme="majorHAnsi" w:eastAsia="Cambria" w:hAnsiTheme="majorHAnsi" w:cs="Cambria"/>
          <w:b/>
          <w:bCs/>
          <w:sz w:val="20"/>
          <w:szCs w:val="20"/>
          <w:lang w:eastAsia="en-US"/>
        </w:rPr>
      </w:pPr>
    </w:p>
    <w:p w14:paraId="7CF86F14" w14:textId="56AC6FA2" w:rsidR="00824C2D" w:rsidRPr="001D649A"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1D649A">
        <w:rPr>
          <w:rFonts w:asciiTheme="majorHAnsi" w:eastAsia="Cambria" w:hAnsiTheme="majorHAnsi" w:cs="Cambria"/>
          <w:sz w:val="20"/>
          <w:szCs w:val="20"/>
          <w:lang w:eastAsia="en-US"/>
        </w:rPr>
        <w:t xml:space="preserve">L’Algérie et la Tunisie proposent que le nombre de représentants financés par délégation pour les réunions annuelles de la Commission soit porté </w:t>
      </w:r>
      <w:r w:rsidR="005D20C1" w:rsidRPr="001D649A">
        <w:rPr>
          <w:rFonts w:asciiTheme="majorHAnsi" w:eastAsia="Cambria" w:hAnsiTheme="majorHAnsi" w:cs="Cambria"/>
          <w:sz w:val="20"/>
          <w:szCs w:val="20"/>
          <w:lang w:eastAsia="en-US"/>
        </w:rPr>
        <w:t>d’un</w:t>
      </w:r>
      <w:r w:rsidRPr="001D649A">
        <w:rPr>
          <w:rFonts w:asciiTheme="majorHAnsi" w:eastAsia="Cambria" w:hAnsiTheme="majorHAnsi" w:cs="Cambria"/>
          <w:sz w:val="20"/>
          <w:szCs w:val="20"/>
          <w:lang w:eastAsia="en-US"/>
        </w:rPr>
        <w:t xml:space="preserve"> (1) à deux (2) pour les Parties contractantes éligibles au financement par l’ICCAT, selon les critères établis par le Secrétariat</w:t>
      </w:r>
      <w:r w:rsidR="00956A4B">
        <w:rPr>
          <w:rFonts w:asciiTheme="majorHAnsi" w:eastAsia="Cambria" w:hAnsiTheme="majorHAnsi" w:cs="Cambria"/>
          <w:sz w:val="20"/>
          <w:szCs w:val="20"/>
          <w:lang w:eastAsia="en-US"/>
        </w:rPr>
        <w:t>. L</w:t>
      </w:r>
      <w:r w:rsidRPr="001D649A">
        <w:rPr>
          <w:rFonts w:asciiTheme="majorHAnsi" w:eastAsia="Cambria" w:hAnsiTheme="majorHAnsi" w:cs="Cambria"/>
          <w:sz w:val="20"/>
          <w:szCs w:val="20"/>
          <w:lang w:eastAsia="en-US"/>
        </w:rPr>
        <w:t xml:space="preserve">es modifications proposées des </w:t>
      </w:r>
      <w:r w:rsidRPr="005A5746">
        <w:rPr>
          <w:rFonts w:asciiTheme="majorHAnsi" w:eastAsia="Cambria" w:hAnsiTheme="majorHAnsi" w:cs="Cambria"/>
          <w:sz w:val="20"/>
          <w:szCs w:val="20"/>
          <w:lang w:eastAsia="en-US"/>
        </w:rPr>
        <w:t>règles de procédure pour l'administration du fonds spécial de participation aux réunions (</w:t>
      </w:r>
      <w:r w:rsidR="00956A4B" w:rsidRPr="005A5746">
        <w:rPr>
          <w:rFonts w:asciiTheme="majorHAnsi" w:eastAsia="Cambria" w:hAnsiTheme="majorHAnsi" w:cs="Cambria"/>
          <w:sz w:val="20"/>
          <w:szCs w:val="20"/>
          <w:lang w:eastAsia="en-US"/>
        </w:rPr>
        <w:t xml:space="preserve">Réf. </w:t>
      </w:r>
      <w:r w:rsidRPr="005A5746">
        <w:rPr>
          <w:rFonts w:asciiTheme="majorHAnsi" w:eastAsia="Cambria" w:hAnsiTheme="majorHAnsi" w:cs="Cambria"/>
          <w:sz w:val="20"/>
          <w:szCs w:val="20"/>
          <w:lang w:eastAsia="en-US"/>
        </w:rPr>
        <w:t>23-25)</w:t>
      </w:r>
      <w:r w:rsidRPr="001D649A">
        <w:rPr>
          <w:rFonts w:asciiTheme="majorHAnsi" w:eastAsia="Cambria" w:hAnsiTheme="majorHAnsi" w:cs="Cambria"/>
          <w:sz w:val="20"/>
          <w:szCs w:val="20"/>
          <w:lang w:eastAsia="en-US"/>
        </w:rPr>
        <w:t xml:space="preserve"> relatives au financement des délégations sont présentée </w:t>
      </w:r>
      <w:r w:rsidR="0084327B">
        <w:rPr>
          <w:rFonts w:asciiTheme="majorHAnsi" w:eastAsia="Cambria" w:hAnsiTheme="majorHAnsi" w:cs="Cambria"/>
          <w:sz w:val="20"/>
          <w:szCs w:val="20"/>
          <w:lang w:eastAsia="en-US"/>
        </w:rPr>
        <w:t>à l’</w:t>
      </w:r>
      <w:r w:rsidR="0084327B" w:rsidRPr="0084327B">
        <w:rPr>
          <w:rFonts w:asciiTheme="majorHAnsi" w:eastAsia="Cambria" w:hAnsiTheme="majorHAnsi" w:cs="Cambria"/>
          <w:b/>
          <w:bCs/>
          <w:sz w:val="20"/>
          <w:szCs w:val="20"/>
          <w:lang w:eastAsia="en-US"/>
        </w:rPr>
        <w:t>appendice</w:t>
      </w:r>
      <w:r w:rsidRPr="005A5746">
        <w:rPr>
          <w:rFonts w:asciiTheme="majorHAnsi" w:eastAsia="Cambria" w:hAnsiTheme="majorHAnsi" w:cs="Cambria"/>
          <w:b/>
          <w:bCs/>
          <w:sz w:val="20"/>
          <w:szCs w:val="20"/>
          <w:lang w:eastAsia="en-US"/>
        </w:rPr>
        <w:t xml:space="preserve"> </w:t>
      </w:r>
      <w:r w:rsidR="005A5746" w:rsidRPr="005A5746">
        <w:rPr>
          <w:rFonts w:asciiTheme="majorHAnsi" w:eastAsia="Cambria" w:hAnsiTheme="majorHAnsi" w:cs="Cambria"/>
          <w:b/>
          <w:bCs/>
          <w:sz w:val="20"/>
          <w:szCs w:val="20"/>
          <w:lang w:eastAsia="en-US"/>
        </w:rPr>
        <w:t xml:space="preserve">1 </w:t>
      </w:r>
      <w:r w:rsidRPr="001D649A">
        <w:rPr>
          <w:rFonts w:asciiTheme="majorHAnsi" w:eastAsia="Cambria" w:hAnsiTheme="majorHAnsi" w:cs="Cambria"/>
          <w:sz w:val="20"/>
          <w:szCs w:val="20"/>
          <w:lang w:eastAsia="en-US"/>
        </w:rPr>
        <w:t>au présent document.</w:t>
      </w:r>
    </w:p>
    <w:p w14:paraId="128A3DB9" w14:textId="77777777" w:rsidR="00724E0F" w:rsidRPr="001D649A" w:rsidRDefault="00724E0F" w:rsidP="00AC04A1">
      <w:pPr>
        <w:pStyle w:val="NormalWeb"/>
        <w:spacing w:before="0" w:beforeAutospacing="0" w:after="0" w:afterAutospacing="0"/>
        <w:jc w:val="both"/>
        <w:rPr>
          <w:rFonts w:asciiTheme="majorHAnsi" w:hAnsiTheme="majorHAnsi"/>
          <w:sz w:val="20"/>
          <w:szCs w:val="20"/>
        </w:rPr>
      </w:pPr>
    </w:p>
    <w:p w14:paraId="61CA56F6" w14:textId="77777777" w:rsidR="00824C2D" w:rsidRPr="001D649A" w:rsidRDefault="00824C2D" w:rsidP="00AC04A1">
      <w:pPr>
        <w:rPr>
          <w:rFonts w:asciiTheme="majorHAnsi" w:hAnsiTheme="majorHAnsi"/>
          <w:b/>
          <w:bCs/>
        </w:rPr>
      </w:pPr>
      <w:r w:rsidRPr="001D649A">
        <w:rPr>
          <w:rFonts w:asciiTheme="majorHAnsi" w:hAnsiTheme="majorHAnsi"/>
          <w:b/>
          <w:bCs/>
        </w:rPr>
        <w:t>Modalités proposées :</w:t>
      </w:r>
    </w:p>
    <w:p w14:paraId="1AE9BB4F" w14:textId="77777777" w:rsidR="00724E0F" w:rsidRPr="001D649A" w:rsidRDefault="00724E0F" w:rsidP="00AC04A1">
      <w:pPr>
        <w:rPr>
          <w:rFonts w:asciiTheme="majorHAnsi" w:hAnsiTheme="majorHAnsi"/>
          <w:b/>
          <w:bCs/>
        </w:rPr>
      </w:pPr>
    </w:p>
    <w:p w14:paraId="2A770F95" w14:textId="77777777" w:rsidR="00824C2D" w:rsidRPr="001D649A"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1D649A">
        <w:rPr>
          <w:rFonts w:asciiTheme="majorHAnsi" w:eastAsia="Cambria" w:hAnsiTheme="majorHAnsi" w:cs="Cambria"/>
          <w:sz w:val="20"/>
          <w:szCs w:val="20"/>
          <w:lang w:eastAsia="en-US"/>
        </w:rPr>
        <w:t>Le financement du deuxième représentant couvrirait les mêmes conditions que pour le premier (voyage aller-retour et indemnité journalière pour la durée de la réunion).</w:t>
      </w:r>
    </w:p>
    <w:p w14:paraId="4C90EA94" w14:textId="77777777" w:rsidR="00724E0F" w:rsidRPr="001D649A" w:rsidRDefault="00724E0F" w:rsidP="00AC04A1">
      <w:pPr>
        <w:pStyle w:val="NormalWeb"/>
        <w:spacing w:before="0" w:beforeAutospacing="0" w:after="0" w:afterAutospacing="0"/>
        <w:jc w:val="both"/>
        <w:rPr>
          <w:rFonts w:asciiTheme="majorHAnsi" w:eastAsia="Cambria" w:hAnsiTheme="majorHAnsi" w:cs="Cambria"/>
          <w:sz w:val="20"/>
          <w:szCs w:val="20"/>
          <w:lang w:eastAsia="en-US"/>
        </w:rPr>
      </w:pPr>
    </w:p>
    <w:p w14:paraId="349D9667" w14:textId="77777777" w:rsidR="00824C2D" w:rsidRPr="001D649A"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1D649A">
        <w:rPr>
          <w:rFonts w:asciiTheme="majorHAnsi" w:eastAsia="Cambria" w:hAnsiTheme="majorHAnsi" w:cs="Cambria"/>
          <w:sz w:val="20"/>
          <w:szCs w:val="20"/>
          <w:lang w:eastAsia="en-US"/>
        </w:rPr>
        <w:t>Le cas échéant, cette mesure serait appliquée à titre expérimental pour deux exercices budgétaires (2026–2027), avec une évaluation par le STACFAD avant décision de reconduction.</w:t>
      </w:r>
    </w:p>
    <w:p w14:paraId="5DEF48C2" w14:textId="77777777" w:rsidR="00724E0F" w:rsidRPr="001D649A" w:rsidRDefault="00724E0F" w:rsidP="00AC04A1">
      <w:pPr>
        <w:pStyle w:val="NormalWeb"/>
        <w:spacing w:before="0" w:beforeAutospacing="0" w:after="0" w:afterAutospacing="0"/>
        <w:jc w:val="both"/>
        <w:rPr>
          <w:rFonts w:asciiTheme="majorHAnsi" w:eastAsia="Cambria" w:hAnsiTheme="majorHAnsi" w:cs="Cambria"/>
          <w:sz w:val="20"/>
          <w:szCs w:val="20"/>
          <w:lang w:eastAsia="en-US"/>
        </w:rPr>
      </w:pPr>
    </w:p>
    <w:p w14:paraId="1C9FCE01" w14:textId="77777777" w:rsidR="00824C2D" w:rsidRPr="001D649A" w:rsidRDefault="00824C2D" w:rsidP="00AC04A1">
      <w:pPr>
        <w:rPr>
          <w:rFonts w:asciiTheme="majorHAnsi" w:hAnsiTheme="majorHAnsi"/>
          <w:b/>
          <w:bCs/>
        </w:rPr>
      </w:pPr>
      <w:r w:rsidRPr="001D649A">
        <w:rPr>
          <w:rFonts w:asciiTheme="majorHAnsi" w:hAnsiTheme="majorHAnsi"/>
          <w:b/>
          <w:bCs/>
        </w:rPr>
        <w:t>Justification :</w:t>
      </w:r>
    </w:p>
    <w:p w14:paraId="65517A75" w14:textId="77777777" w:rsidR="00914395" w:rsidRPr="001D649A" w:rsidRDefault="00914395" w:rsidP="00AC04A1">
      <w:pPr>
        <w:rPr>
          <w:rFonts w:asciiTheme="majorHAnsi" w:hAnsiTheme="majorHAnsi"/>
          <w:b/>
          <w:bCs/>
        </w:rPr>
      </w:pPr>
    </w:p>
    <w:p w14:paraId="39AEB503" w14:textId="77777777" w:rsidR="00824C2D" w:rsidRPr="001D649A"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1D649A">
        <w:rPr>
          <w:rFonts w:asciiTheme="majorHAnsi" w:eastAsia="Cambria" w:hAnsiTheme="majorHAnsi" w:cs="Cambria"/>
          <w:sz w:val="20"/>
          <w:szCs w:val="20"/>
          <w:lang w:eastAsia="en-US"/>
        </w:rPr>
        <w:t>Assurer une participation plus équilibrée et représentative au sein de la Commission.</w:t>
      </w:r>
    </w:p>
    <w:p w14:paraId="3477C616" w14:textId="77777777" w:rsidR="00914395" w:rsidRPr="001D649A" w:rsidRDefault="00914395" w:rsidP="00AC04A1">
      <w:pPr>
        <w:pStyle w:val="NormalWeb"/>
        <w:spacing w:before="0" w:beforeAutospacing="0" w:after="0" w:afterAutospacing="0"/>
        <w:jc w:val="both"/>
        <w:rPr>
          <w:rFonts w:asciiTheme="majorHAnsi" w:eastAsia="Cambria" w:hAnsiTheme="majorHAnsi" w:cs="Cambria"/>
          <w:sz w:val="20"/>
          <w:szCs w:val="20"/>
          <w:lang w:eastAsia="en-US"/>
        </w:rPr>
      </w:pPr>
    </w:p>
    <w:p w14:paraId="47F8E5F5" w14:textId="77777777" w:rsidR="00914395" w:rsidRPr="001D649A"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1D649A">
        <w:rPr>
          <w:rFonts w:asciiTheme="majorHAnsi" w:eastAsia="Cambria" w:hAnsiTheme="majorHAnsi" w:cs="Cambria"/>
          <w:sz w:val="20"/>
          <w:szCs w:val="20"/>
          <w:lang w:eastAsia="en-US"/>
        </w:rPr>
        <w:t>Renforcer les capacités des délégations des Parties en développement à contribuer aux discussions techniques et financières.</w:t>
      </w:r>
    </w:p>
    <w:p w14:paraId="75BAD0C2" w14:textId="77777777" w:rsidR="00914395" w:rsidRPr="001D649A" w:rsidRDefault="00914395" w:rsidP="00AC04A1">
      <w:pPr>
        <w:pStyle w:val="NormalWeb"/>
        <w:spacing w:before="0" w:beforeAutospacing="0" w:after="0" w:afterAutospacing="0"/>
        <w:jc w:val="both"/>
        <w:rPr>
          <w:rFonts w:asciiTheme="majorHAnsi" w:eastAsia="Cambria" w:hAnsiTheme="majorHAnsi" w:cs="Cambria"/>
          <w:sz w:val="20"/>
          <w:szCs w:val="20"/>
          <w:lang w:eastAsia="en-US"/>
        </w:rPr>
      </w:pPr>
    </w:p>
    <w:p w14:paraId="3531E224" w14:textId="329ABFBF" w:rsidR="00824C2D" w:rsidRPr="001D649A"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1D649A">
        <w:rPr>
          <w:rFonts w:asciiTheme="majorHAnsi" w:eastAsia="Cambria" w:hAnsiTheme="majorHAnsi" w:cs="Cambria"/>
          <w:sz w:val="20"/>
          <w:szCs w:val="20"/>
          <w:lang w:eastAsia="en-US"/>
        </w:rPr>
        <w:t>Promouvoir une gouvernance inclusive et renforcer la mise en œuvre des mesures de conservation et de gestion adoptées par l’ICCAT.</w:t>
      </w:r>
    </w:p>
    <w:p w14:paraId="7380A3A4" w14:textId="77777777" w:rsidR="00914395" w:rsidRPr="001D649A" w:rsidRDefault="00914395" w:rsidP="00AC04A1">
      <w:pPr>
        <w:pStyle w:val="NormalWeb"/>
        <w:spacing w:before="0" w:beforeAutospacing="0" w:after="0" w:afterAutospacing="0"/>
        <w:jc w:val="both"/>
        <w:rPr>
          <w:rFonts w:asciiTheme="majorHAnsi" w:eastAsia="Cambria" w:hAnsiTheme="majorHAnsi" w:cs="Cambria"/>
          <w:sz w:val="20"/>
          <w:szCs w:val="20"/>
          <w:lang w:eastAsia="en-US"/>
        </w:rPr>
      </w:pPr>
    </w:p>
    <w:p w14:paraId="55BD40F0" w14:textId="77777777" w:rsidR="00824C2D" w:rsidRPr="001D649A" w:rsidRDefault="00824C2D" w:rsidP="00AC04A1">
      <w:pPr>
        <w:rPr>
          <w:rFonts w:asciiTheme="majorHAnsi" w:hAnsiTheme="majorHAnsi"/>
          <w:b/>
          <w:bCs/>
        </w:rPr>
      </w:pPr>
      <w:r w:rsidRPr="001D649A">
        <w:rPr>
          <w:rFonts w:asciiTheme="majorHAnsi" w:hAnsiTheme="majorHAnsi"/>
          <w:b/>
          <w:bCs/>
        </w:rPr>
        <w:t>Décision demandée :</w:t>
      </w:r>
    </w:p>
    <w:p w14:paraId="12A0C5D4" w14:textId="77777777" w:rsidR="00914395" w:rsidRPr="001D649A" w:rsidRDefault="00914395" w:rsidP="00AC04A1">
      <w:pPr>
        <w:rPr>
          <w:rFonts w:asciiTheme="majorHAnsi" w:hAnsiTheme="majorHAnsi"/>
          <w:b/>
          <w:bCs/>
        </w:rPr>
      </w:pPr>
    </w:p>
    <w:p w14:paraId="58712A6D" w14:textId="48128AA5" w:rsidR="00824C2D" w:rsidRPr="001D649A"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1D649A">
        <w:rPr>
          <w:rFonts w:asciiTheme="majorHAnsi" w:eastAsia="Cambria" w:hAnsiTheme="majorHAnsi" w:cs="Cambria"/>
          <w:sz w:val="20"/>
          <w:szCs w:val="20"/>
          <w:lang w:eastAsia="en-US"/>
        </w:rPr>
        <w:t xml:space="preserve">Le STACFAD est invité à examiner cette proposition et </w:t>
      </w:r>
      <w:r w:rsidR="00914395" w:rsidRPr="001D649A">
        <w:rPr>
          <w:rFonts w:asciiTheme="majorHAnsi" w:eastAsia="Cambria" w:hAnsiTheme="majorHAnsi" w:cs="Cambria"/>
          <w:sz w:val="20"/>
          <w:szCs w:val="20"/>
          <w:lang w:eastAsia="en-US"/>
        </w:rPr>
        <w:t xml:space="preserve">à </w:t>
      </w:r>
      <w:r w:rsidRPr="001D649A">
        <w:rPr>
          <w:rFonts w:asciiTheme="majorHAnsi" w:eastAsia="Cambria" w:hAnsiTheme="majorHAnsi" w:cs="Cambria"/>
          <w:sz w:val="20"/>
          <w:szCs w:val="20"/>
          <w:lang w:eastAsia="en-US"/>
        </w:rPr>
        <w:t xml:space="preserve">approuver l’augmentation à deux représentants financés par délégation éligible, pour proposer son adoption </w:t>
      </w:r>
      <w:r w:rsidR="00501E34" w:rsidRPr="001D649A">
        <w:rPr>
          <w:rFonts w:asciiTheme="majorHAnsi" w:eastAsia="Cambria" w:hAnsiTheme="majorHAnsi" w:cs="Cambria"/>
          <w:sz w:val="20"/>
          <w:szCs w:val="20"/>
          <w:lang w:eastAsia="en-US"/>
        </w:rPr>
        <w:t>à la</w:t>
      </w:r>
      <w:r w:rsidRPr="001D649A">
        <w:rPr>
          <w:rFonts w:asciiTheme="majorHAnsi" w:eastAsia="Cambria" w:hAnsiTheme="majorHAnsi" w:cs="Cambria"/>
          <w:sz w:val="20"/>
          <w:szCs w:val="20"/>
          <w:lang w:eastAsia="en-US"/>
        </w:rPr>
        <w:t xml:space="preserve"> Commission lors de sa réunion annuelle.</w:t>
      </w:r>
    </w:p>
    <w:p w14:paraId="08757F61" w14:textId="77777777" w:rsidR="00824C2D" w:rsidRPr="001D649A" w:rsidRDefault="00824C2D" w:rsidP="00AC04A1">
      <w:pPr>
        <w:rPr>
          <w:rFonts w:asciiTheme="majorHAnsi" w:eastAsia="Times New Roman" w:hAnsiTheme="majorHAnsi"/>
          <w:lang w:eastAsia="fr-FR"/>
        </w:rPr>
      </w:pPr>
    </w:p>
    <w:p w14:paraId="1EA44F4F" w14:textId="77777777" w:rsidR="00824C2D" w:rsidRPr="001D649A" w:rsidRDefault="00824C2D" w:rsidP="00AC04A1">
      <w:pPr>
        <w:rPr>
          <w:rFonts w:asciiTheme="majorHAnsi" w:eastAsia="Times New Roman" w:hAnsiTheme="majorHAnsi"/>
          <w:lang w:eastAsia="fr-FR"/>
        </w:rPr>
      </w:pPr>
    </w:p>
    <w:p w14:paraId="20833D7A" w14:textId="77777777" w:rsidR="00824C2D" w:rsidRPr="001D649A" w:rsidRDefault="00824C2D" w:rsidP="00AC04A1">
      <w:pPr>
        <w:rPr>
          <w:rFonts w:asciiTheme="majorHAnsi" w:eastAsia="Times New Roman" w:hAnsiTheme="majorHAnsi"/>
          <w:lang w:eastAsia="fr-FR"/>
        </w:rPr>
      </w:pPr>
    </w:p>
    <w:p w14:paraId="65DA3880" w14:textId="77777777" w:rsidR="00824C2D" w:rsidRPr="00824C2D" w:rsidRDefault="00824C2D" w:rsidP="00AC04A1">
      <w:pPr>
        <w:rPr>
          <w:rFonts w:asciiTheme="majorHAnsi" w:eastAsia="Times New Roman" w:hAnsiTheme="majorHAnsi"/>
          <w:lang w:eastAsia="fr-FR"/>
        </w:rPr>
      </w:pPr>
    </w:p>
    <w:p w14:paraId="7FB675C4" w14:textId="77777777" w:rsidR="00824C2D" w:rsidRPr="00824C2D" w:rsidRDefault="00824C2D" w:rsidP="00AC04A1">
      <w:pPr>
        <w:rPr>
          <w:rFonts w:asciiTheme="majorHAnsi" w:eastAsia="Times New Roman" w:hAnsiTheme="majorHAnsi"/>
          <w:lang w:eastAsia="fr-FR"/>
        </w:rPr>
      </w:pPr>
    </w:p>
    <w:p w14:paraId="34D49AE3" w14:textId="77777777" w:rsidR="00182D0A" w:rsidRDefault="00182D0A">
      <w:pPr>
        <w:jc w:val="left"/>
        <w:rPr>
          <w:rFonts w:asciiTheme="majorHAnsi" w:eastAsia="Times New Roman" w:hAnsiTheme="majorHAnsi"/>
          <w:b/>
          <w:bCs/>
          <w:lang w:eastAsia="fr-FR"/>
        </w:rPr>
      </w:pPr>
      <w:r>
        <w:rPr>
          <w:rFonts w:asciiTheme="majorHAnsi" w:eastAsia="Times New Roman" w:hAnsiTheme="majorHAnsi"/>
          <w:b/>
          <w:bCs/>
          <w:lang w:eastAsia="fr-FR"/>
        </w:rPr>
        <w:br w:type="page"/>
      </w:r>
    </w:p>
    <w:p w14:paraId="15D0D64B" w14:textId="594F24A0" w:rsidR="00824C2D" w:rsidRPr="00182D0A" w:rsidRDefault="00824C2D" w:rsidP="00AC04A1">
      <w:pPr>
        <w:jc w:val="right"/>
        <w:rPr>
          <w:rFonts w:asciiTheme="majorHAnsi" w:eastAsia="Times New Roman" w:hAnsiTheme="majorHAnsi"/>
          <w:b/>
          <w:bCs/>
          <w:lang w:eastAsia="fr-FR"/>
        </w:rPr>
      </w:pPr>
      <w:r w:rsidRPr="00182D0A">
        <w:rPr>
          <w:rFonts w:asciiTheme="majorHAnsi" w:eastAsia="Times New Roman" w:hAnsiTheme="majorHAnsi"/>
          <w:b/>
          <w:bCs/>
          <w:lang w:eastAsia="fr-FR"/>
        </w:rPr>
        <w:lastRenderedPageBreak/>
        <w:t>A</w:t>
      </w:r>
      <w:r w:rsidR="00182D0A" w:rsidRPr="00182D0A">
        <w:rPr>
          <w:rFonts w:asciiTheme="majorHAnsi" w:eastAsia="Times New Roman" w:hAnsiTheme="majorHAnsi"/>
          <w:b/>
          <w:bCs/>
          <w:lang w:eastAsia="fr-FR"/>
        </w:rPr>
        <w:t xml:space="preserve">ppendice </w:t>
      </w:r>
      <w:r w:rsidRPr="00182D0A">
        <w:rPr>
          <w:rFonts w:asciiTheme="majorHAnsi" w:eastAsia="Times New Roman" w:hAnsiTheme="majorHAnsi"/>
          <w:b/>
          <w:bCs/>
          <w:lang w:eastAsia="fr-FR"/>
        </w:rPr>
        <w:t>1</w:t>
      </w:r>
    </w:p>
    <w:p w14:paraId="7FEA8770" w14:textId="77777777" w:rsidR="00824C2D" w:rsidRPr="00824C2D" w:rsidRDefault="00824C2D" w:rsidP="00AC04A1">
      <w:pPr>
        <w:pStyle w:val="ListParagraph"/>
        <w:ind w:left="540"/>
        <w:rPr>
          <w:rFonts w:asciiTheme="majorHAnsi" w:hAnsiTheme="majorHAnsi"/>
          <w:i/>
        </w:rPr>
      </w:pPr>
    </w:p>
    <w:p w14:paraId="635ACD85" w14:textId="54A9D88D" w:rsidR="00824C2D" w:rsidRDefault="004120C2" w:rsidP="005A5746">
      <w:pPr>
        <w:pStyle w:val="ListParagraph"/>
        <w:ind w:left="540"/>
        <w:jc w:val="center"/>
        <w:rPr>
          <w:rFonts w:asciiTheme="majorHAnsi" w:hAnsiTheme="majorHAnsi"/>
          <w:b/>
          <w:bCs/>
          <w:iCs/>
        </w:rPr>
      </w:pPr>
      <w:r w:rsidRPr="004120C2">
        <w:rPr>
          <w:rFonts w:asciiTheme="majorHAnsi" w:hAnsiTheme="majorHAnsi"/>
          <w:b/>
          <w:bCs/>
          <w:iCs/>
        </w:rPr>
        <w:t>Règles de procédure pour l’administration du fonds spécial de participation aux réunions</w:t>
      </w:r>
    </w:p>
    <w:p w14:paraId="2AF2EE59" w14:textId="77777777" w:rsidR="005A5746" w:rsidRPr="004120C2" w:rsidRDefault="005A5746" w:rsidP="00AC04A1">
      <w:pPr>
        <w:pStyle w:val="ListParagraph"/>
        <w:ind w:left="540"/>
        <w:rPr>
          <w:rFonts w:asciiTheme="majorHAnsi" w:hAnsiTheme="majorHAnsi"/>
          <w:b/>
          <w:bCs/>
          <w:iCs/>
        </w:rPr>
      </w:pPr>
    </w:p>
    <w:p w14:paraId="2D8B4EA5" w14:textId="11951A89" w:rsidR="00824C2D" w:rsidRPr="000D7D19" w:rsidRDefault="00824C2D" w:rsidP="000D7D19">
      <w:pPr>
        <w:pStyle w:val="ListParagraph"/>
        <w:widowControl w:val="0"/>
        <w:numPr>
          <w:ilvl w:val="0"/>
          <w:numId w:val="8"/>
        </w:numPr>
        <w:autoSpaceDE w:val="0"/>
        <w:autoSpaceDN w:val="0"/>
        <w:rPr>
          <w:rFonts w:asciiTheme="majorHAnsi" w:hAnsiTheme="majorHAnsi"/>
          <w:b/>
          <w:bCs/>
          <w:i/>
        </w:rPr>
      </w:pPr>
      <w:r w:rsidRPr="000D7D19">
        <w:rPr>
          <w:rFonts w:asciiTheme="majorHAnsi" w:hAnsiTheme="majorHAnsi"/>
          <w:b/>
          <w:bCs/>
          <w:i/>
        </w:rPr>
        <w:t>Définitions</w:t>
      </w:r>
    </w:p>
    <w:p w14:paraId="5454D5EC" w14:textId="77777777" w:rsidR="00824C2D" w:rsidRPr="000D7D19" w:rsidRDefault="00824C2D" w:rsidP="000D7D19">
      <w:pPr>
        <w:pStyle w:val="ListParagraph"/>
        <w:ind w:left="428" w:hanging="428"/>
        <w:rPr>
          <w:rFonts w:asciiTheme="majorHAnsi" w:hAnsiTheme="majorHAnsi"/>
          <w:b/>
          <w:i/>
        </w:rPr>
      </w:pPr>
    </w:p>
    <w:p w14:paraId="559FB199" w14:textId="77777777" w:rsidR="00824C2D" w:rsidRPr="000D7D19" w:rsidRDefault="00824C2D" w:rsidP="00B15E23">
      <w:pPr>
        <w:pStyle w:val="ListParagraph"/>
        <w:ind w:left="0"/>
        <w:rPr>
          <w:rFonts w:asciiTheme="majorHAnsi" w:hAnsiTheme="majorHAnsi"/>
          <w:iCs/>
        </w:rPr>
      </w:pPr>
      <w:r w:rsidRPr="000D7D19">
        <w:rPr>
          <w:rFonts w:asciiTheme="majorHAnsi" w:hAnsiTheme="majorHAnsi"/>
          <w:iCs/>
        </w:rPr>
        <w:t>Sont considérées Parties contractantes en développement de l’ICCAT les Parties contractantes qui sont classées dans les Groupes B, C ou D, selon les critères utilisés dans le calcul des contributions (Article 4 - Ressources, du Règlement financier de l'ICCAT).</w:t>
      </w:r>
    </w:p>
    <w:p w14:paraId="6A6D25E1" w14:textId="77777777" w:rsidR="00824C2D" w:rsidRPr="000D7D19" w:rsidRDefault="00824C2D" w:rsidP="000D7D19">
      <w:pPr>
        <w:pStyle w:val="ListParagraph"/>
        <w:ind w:left="428" w:hanging="428"/>
        <w:rPr>
          <w:rFonts w:asciiTheme="majorHAnsi" w:hAnsiTheme="majorHAnsi"/>
          <w:i/>
        </w:rPr>
      </w:pPr>
    </w:p>
    <w:p w14:paraId="785306C5" w14:textId="77777777" w:rsidR="00824C2D" w:rsidRPr="00B15E23" w:rsidRDefault="00824C2D" w:rsidP="000D7D19">
      <w:pPr>
        <w:pStyle w:val="ListParagraph"/>
        <w:widowControl w:val="0"/>
        <w:numPr>
          <w:ilvl w:val="0"/>
          <w:numId w:val="8"/>
        </w:numPr>
        <w:autoSpaceDE w:val="0"/>
        <w:autoSpaceDN w:val="0"/>
        <w:rPr>
          <w:rFonts w:asciiTheme="majorHAnsi" w:hAnsiTheme="majorHAnsi"/>
          <w:b/>
          <w:bCs/>
          <w:iCs/>
        </w:rPr>
      </w:pPr>
      <w:r w:rsidRPr="00B15E23">
        <w:rPr>
          <w:rFonts w:asciiTheme="majorHAnsi" w:hAnsiTheme="majorHAnsi"/>
          <w:b/>
          <w:bCs/>
          <w:iCs/>
        </w:rPr>
        <w:t>Critères d'éligibilité</w:t>
      </w:r>
    </w:p>
    <w:p w14:paraId="2437B232" w14:textId="77777777" w:rsidR="00824C2D" w:rsidRPr="000D7D19" w:rsidRDefault="00824C2D" w:rsidP="000D7D19">
      <w:pPr>
        <w:pStyle w:val="ListParagraph"/>
        <w:ind w:left="428" w:hanging="428"/>
        <w:rPr>
          <w:rFonts w:asciiTheme="majorHAnsi" w:hAnsiTheme="majorHAnsi"/>
          <w:b/>
          <w:i/>
        </w:rPr>
      </w:pPr>
    </w:p>
    <w:p w14:paraId="07BC011C" w14:textId="77777777" w:rsidR="00824C2D" w:rsidRPr="000D7D19" w:rsidRDefault="00824C2D" w:rsidP="000D7D19">
      <w:pPr>
        <w:pStyle w:val="ListParagraph"/>
        <w:ind w:left="428" w:hanging="428"/>
        <w:rPr>
          <w:rFonts w:asciiTheme="majorHAnsi" w:hAnsiTheme="majorHAnsi"/>
          <w:b/>
          <w:bCs/>
          <w:i/>
          <w:iCs/>
        </w:rPr>
      </w:pPr>
      <w:r w:rsidRPr="000D7D19">
        <w:rPr>
          <w:rFonts w:asciiTheme="majorHAnsi" w:hAnsiTheme="majorHAnsi"/>
          <w:b/>
          <w:bCs/>
          <w:i/>
          <w:iCs/>
        </w:rPr>
        <w:t>Critères des demandeurs</w:t>
      </w:r>
    </w:p>
    <w:p w14:paraId="3368E705" w14:textId="77777777" w:rsidR="000162C1" w:rsidRPr="000D7D19" w:rsidRDefault="000162C1" w:rsidP="000D7D19">
      <w:pPr>
        <w:pStyle w:val="ListParagraph"/>
        <w:ind w:left="428" w:hanging="428"/>
        <w:rPr>
          <w:rFonts w:asciiTheme="majorHAnsi" w:hAnsiTheme="majorHAnsi"/>
          <w:b/>
          <w:bCs/>
          <w:i/>
          <w:iCs/>
        </w:rPr>
      </w:pPr>
    </w:p>
    <w:p w14:paraId="52833396" w14:textId="77777777" w:rsidR="00824C2D" w:rsidRPr="000D7D19" w:rsidRDefault="00824C2D" w:rsidP="00B15E23">
      <w:pPr>
        <w:pStyle w:val="ListParagraph"/>
        <w:ind w:left="0"/>
        <w:rPr>
          <w:rFonts w:asciiTheme="majorHAnsi" w:hAnsiTheme="majorHAnsi"/>
          <w:iCs/>
        </w:rPr>
      </w:pPr>
      <w:r w:rsidRPr="000D7D19">
        <w:rPr>
          <w:rFonts w:asciiTheme="majorHAnsi" w:hAnsiTheme="majorHAnsi"/>
          <w:iCs/>
        </w:rPr>
        <w:t>Pour pouvoir bénéficier d'une aide par le biais du fonds spécial de participation aux réunions (MPF), les critères minimaux suivants devront être remplis afin de contrôler les coûts et de minimiser la charge administrative tout en tenant compte des besoins et des intérêts de la Commission en ce qui concerne la participation du demandeur :</w:t>
      </w:r>
    </w:p>
    <w:p w14:paraId="0E5EE5F9" w14:textId="77777777" w:rsidR="00824C2D" w:rsidRPr="000D7D19" w:rsidRDefault="00824C2D" w:rsidP="000D7D19">
      <w:pPr>
        <w:pStyle w:val="ListParagraph"/>
        <w:ind w:left="428" w:hanging="428"/>
        <w:rPr>
          <w:rFonts w:asciiTheme="majorHAnsi" w:hAnsiTheme="majorHAnsi"/>
          <w:iCs/>
        </w:rPr>
      </w:pPr>
    </w:p>
    <w:p w14:paraId="69A94B2F" w14:textId="77777777" w:rsidR="00824C2D" w:rsidRPr="000D7D19" w:rsidRDefault="00824C2D" w:rsidP="000D7D19">
      <w:pPr>
        <w:pStyle w:val="ListParagraph"/>
        <w:widowControl w:val="0"/>
        <w:numPr>
          <w:ilvl w:val="1"/>
          <w:numId w:val="8"/>
        </w:numPr>
        <w:autoSpaceDE w:val="0"/>
        <w:autoSpaceDN w:val="0"/>
        <w:ind w:left="428" w:hanging="428"/>
        <w:rPr>
          <w:rFonts w:asciiTheme="majorHAnsi" w:hAnsiTheme="majorHAnsi"/>
          <w:iCs/>
        </w:rPr>
      </w:pPr>
      <w:r w:rsidRPr="000D7D19">
        <w:rPr>
          <w:rFonts w:asciiTheme="majorHAnsi" w:hAnsiTheme="majorHAnsi"/>
          <w:iCs/>
        </w:rPr>
        <w:t>Une Partie contractante en développement qui envoie plus de six délégués officiels à une réunion de la Commission ou plus de quatre à une réunion de ses organes subsidiaires en utilisant ses propres moyens ou sources financières (autres que le MPF) n’est pas habilitée à recevoir un soutien financier du MPF pour couvrir les frais de voyage de cette réunion.</w:t>
      </w:r>
    </w:p>
    <w:p w14:paraId="5D3C7E3E" w14:textId="77777777" w:rsidR="00E2244D" w:rsidRPr="000D7D19" w:rsidRDefault="00E2244D" w:rsidP="000D7D19">
      <w:pPr>
        <w:pStyle w:val="ListParagraph"/>
        <w:widowControl w:val="0"/>
        <w:autoSpaceDE w:val="0"/>
        <w:autoSpaceDN w:val="0"/>
        <w:ind w:left="428" w:hanging="428"/>
        <w:rPr>
          <w:rFonts w:asciiTheme="majorHAnsi" w:hAnsiTheme="majorHAnsi"/>
          <w:iCs/>
        </w:rPr>
      </w:pPr>
    </w:p>
    <w:p w14:paraId="1EB64017" w14:textId="77777777" w:rsidR="00824C2D" w:rsidRPr="000D7D19" w:rsidRDefault="00824C2D" w:rsidP="000D7D19">
      <w:pPr>
        <w:pStyle w:val="ListParagraph"/>
        <w:widowControl w:val="0"/>
        <w:numPr>
          <w:ilvl w:val="1"/>
          <w:numId w:val="8"/>
        </w:numPr>
        <w:autoSpaceDE w:val="0"/>
        <w:autoSpaceDN w:val="0"/>
        <w:ind w:left="428" w:hanging="428"/>
        <w:rPr>
          <w:rFonts w:asciiTheme="majorHAnsi" w:hAnsiTheme="majorHAnsi"/>
          <w:iCs/>
        </w:rPr>
      </w:pPr>
      <w:r w:rsidRPr="000D7D19">
        <w:rPr>
          <w:rFonts w:asciiTheme="majorHAnsi" w:hAnsiTheme="majorHAnsi"/>
          <w:iCs/>
        </w:rPr>
        <w:t>Les demandeurs devront :</w:t>
      </w:r>
    </w:p>
    <w:p w14:paraId="50C5690D" w14:textId="1F55C9B9" w:rsidR="00824C2D" w:rsidRPr="000D7D19" w:rsidRDefault="00824C2D" w:rsidP="005A5746">
      <w:pPr>
        <w:pStyle w:val="ListParagraph"/>
        <w:widowControl w:val="0"/>
        <w:numPr>
          <w:ilvl w:val="2"/>
          <w:numId w:val="8"/>
        </w:numPr>
        <w:autoSpaceDE w:val="0"/>
        <w:autoSpaceDN w:val="0"/>
        <w:ind w:left="567" w:hanging="283"/>
        <w:rPr>
          <w:rFonts w:asciiTheme="majorHAnsi" w:hAnsiTheme="majorHAnsi"/>
          <w:iCs/>
        </w:rPr>
      </w:pPr>
      <w:proofErr w:type="gramStart"/>
      <w:r w:rsidRPr="000D7D19">
        <w:rPr>
          <w:rFonts w:asciiTheme="majorHAnsi" w:hAnsiTheme="majorHAnsi"/>
          <w:iCs/>
        </w:rPr>
        <w:t>voyager</w:t>
      </w:r>
      <w:proofErr w:type="gramEnd"/>
      <w:r w:rsidRPr="000D7D19">
        <w:rPr>
          <w:rFonts w:asciiTheme="majorHAnsi" w:hAnsiTheme="majorHAnsi"/>
          <w:iCs/>
        </w:rPr>
        <w:t xml:space="preserve"> en utilisant uniquement le tarif le plus bas de la classe économique, à moins qu'une autre classe tarifaire ne soit disponible à un coût </w:t>
      </w:r>
      <w:r w:rsidR="000162C1" w:rsidRPr="000D7D19">
        <w:rPr>
          <w:rFonts w:asciiTheme="majorHAnsi" w:hAnsiTheme="majorHAnsi"/>
          <w:iCs/>
        </w:rPr>
        <w:t>inférieur ;</w:t>
      </w:r>
      <w:r w:rsidRPr="000D7D19">
        <w:rPr>
          <w:rFonts w:asciiTheme="majorHAnsi" w:hAnsiTheme="majorHAnsi"/>
          <w:iCs/>
        </w:rPr>
        <w:t xml:space="preserve"> et</w:t>
      </w:r>
    </w:p>
    <w:p w14:paraId="405C087D" w14:textId="77777777" w:rsidR="00824C2D" w:rsidRPr="000D7D19" w:rsidRDefault="00824C2D" w:rsidP="005A5746">
      <w:pPr>
        <w:pStyle w:val="ListParagraph"/>
        <w:widowControl w:val="0"/>
        <w:numPr>
          <w:ilvl w:val="2"/>
          <w:numId w:val="8"/>
        </w:numPr>
        <w:autoSpaceDE w:val="0"/>
        <w:autoSpaceDN w:val="0"/>
        <w:ind w:left="567" w:hanging="283"/>
        <w:rPr>
          <w:rFonts w:asciiTheme="majorHAnsi" w:hAnsiTheme="majorHAnsi"/>
          <w:iCs/>
        </w:rPr>
      </w:pPr>
      <w:proofErr w:type="gramStart"/>
      <w:r w:rsidRPr="000D7D19">
        <w:rPr>
          <w:rFonts w:asciiTheme="majorHAnsi" w:hAnsiTheme="majorHAnsi"/>
          <w:iCs/>
        </w:rPr>
        <w:t>définir</w:t>
      </w:r>
      <w:proofErr w:type="gramEnd"/>
      <w:r w:rsidRPr="000D7D19">
        <w:rPr>
          <w:rFonts w:asciiTheme="majorHAnsi" w:hAnsiTheme="majorHAnsi"/>
          <w:iCs/>
        </w:rPr>
        <w:t xml:space="preserve"> leur itinéraire de vol au moins 30 jours avant le début de la réunion.</w:t>
      </w:r>
    </w:p>
    <w:p w14:paraId="03E16557" w14:textId="77777777" w:rsidR="000162C1" w:rsidRPr="000D7D19" w:rsidRDefault="000162C1" w:rsidP="005A5746">
      <w:pPr>
        <w:pStyle w:val="ListParagraph"/>
        <w:ind w:left="567" w:hanging="283"/>
        <w:rPr>
          <w:rFonts w:asciiTheme="majorHAnsi" w:hAnsiTheme="majorHAnsi"/>
          <w:b/>
          <w:bCs/>
          <w:i/>
          <w:iCs/>
        </w:rPr>
      </w:pPr>
    </w:p>
    <w:p w14:paraId="25BE8B6A" w14:textId="714F223D" w:rsidR="00824C2D" w:rsidRPr="000D7D19" w:rsidRDefault="00824C2D" w:rsidP="000D7D19">
      <w:pPr>
        <w:pStyle w:val="ListParagraph"/>
        <w:ind w:left="428" w:hanging="428"/>
        <w:rPr>
          <w:rFonts w:asciiTheme="majorHAnsi" w:hAnsiTheme="majorHAnsi"/>
          <w:b/>
          <w:bCs/>
          <w:i/>
          <w:iCs/>
        </w:rPr>
      </w:pPr>
      <w:r w:rsidRPr="000D7D19">
        <w:rPr>
          <w:rFonts w:asciiTheme="majorHAnsi" w:hAnsiTheme="majorHAnsi"/>
          <w:b/>
          <w:bCs/>
          <w:i/>
          <w:iCs/>
        </w:rPr>
        <w:t>Participation aux réunions scientifiques de l'ICCAT</w:t>
      </w:r>
    </w:p>
    <w:p w14:paraId="14B32549" w14:textId="77777777" w:rsidR="000162C1" w:rsidRPr="000D7D19" w:rsidRDefault="000162C1" w:rsidP="000D7D19">
      <w:pPr>
        <w:pStyle w:val="ListParagraph"/>
        <w:ind w:left="428" w:hanging="428"/>
        <w:rPr>
          <w:rFonts w:asciiTheme="majorHAnsi" w:hAnsiTheme="majorHAnsi"/>
          <w:iCs/>
        </w:rPr>
      </w:pPr>
    </w:p>
    <w:p w14:paraId="19F7197B" w14:textId="78F972B9" w:rsidR="00824C2D" w:rsidRPr="000D7D19" w:rsidRDefault="00824C2D" w:rsidP="00B15E23">
      <w:pPr>
        <w:pStyle w:val="ListParagraph"/>
        <w:ind w:left="0"/>
        <w:rPr>
          <w:rFonts w:asciiTheme="majorHAnsi" w:hAnsiTheme="majorHAnsi"/>
          <w:iCs/>
        </w:rPr>
      </w:pPr>
      <w:r w:rsidRPr="000D7D19">
        <w:rPr>
          <w:rFonts w:asciiTheme="majorHAnsi" w:hAnsiTheme="majorHAnsi"/>
          <w:iCs/>
        </w:rPr>
        <w:t>Les demandeurs seront sélectionnés conformément au protocole établi par le Comité permanent pour la recherche et les statistiques (SCRS) (addendum 2 de l’appendice 7 du rapport du SCRS de 2011).</w:t>
      </w:r>
    </w:p>
    <w:p w14:paraId="37995176" w14:textId="77777777" w:rsidR="00824C2D" w:rsidRPr="000D7D19" w:rsidRDefault="00824C2D" w:rsidP="000D7D19">
      <w:pPr>
        <w:pStyle w:val="ListParagraph"/>
        <w:ind w:left="428" w:hanging="428"/>
        <w:rPr>
          <w:rFonts w:asciiTheme="majorHAnsi" w:hAnsiTheme="majorHAnsi"/>
          <w:iCs/>
        </w:rPr>
      </w:pPr>
    </w:p>
    <w:p w14:paraId="0FD6E42D" w14:textId="77777777" w:rsidR="00824C2D" w:rsidRPr="000D7D19" w:rsidRDefault="00824C2D" w:rsidP="00B15E23">
      <w:pPr>
        <w:pStyle w:val="ListParagraph"/>
        <w:ind w:left="0"/>
        <w:rPr>
          <w:rFonts w:asciiTheme="majorHAnsi" w:hAnsiTheme="majorHAnsi"/>
          <w:iCs/>
        </w:rPr>
      </w:pPr>
      <w:r w:rsidRPr="000D7D19">
        <w:rPr>
          <w:rFonts w:asciiTheme="majorHAnsi" w:hAnsiTheme="majorHAnsi"/>
          <w:iCs/>
        </w:rPr>
        <w:t>Tout scientifique éligible d'une Partie contractante en développement souhaitant obtenir une aide au financement de son voyage devrait soumettre une demande remplie avant la date limite fixée, incluant une description détaillée de la contribution du demandeur à la réunion. Une fois obtenue l'autorisation des rapporteurs des Groupes d'espèces impliqués et/ou du Président du SCRS, le Secrétariat procèdera aux démarches nécessaires en vue du financement du voyage.</w:t>
      </w:r>
    </w:p>
    <w:p w14:paraId="41FC50B0" w14:textId="77777777" w:rsidR="00824C2D" w:rsidRPr="000D7D19" w:rsidRDefault="00824C2D" w:rsidP="000D7D19">
      <w:pPr>
        <w:pStyle w:val="ListParagraph"/>
        <w:ind w:left="428" w:hanging="428"/>
        <w:rPr>
          <w:rFonts w:asciiTheme="majorHAnsi" w:hAnsiTheme="majorHAnsi"/>
          <w:i/>
        </w:rPr>
      </w:pPr>
    </w:p>
    <w:p w14:paraId="07B04E93" w14:textId="77777777" w:rsidR="00824C2D" w:rsidRPr="000D7D19" w:rsidRDefault="00824C2D" w:rsidP="000D7D19">
      <w:pPr>
        <w:pStyle w:val="ListParagraph"/>
        <w:ind w:left="428" w:hanging="428"/>
        <w:rPr>
          <w:rFonts w:asciiTheme="majorHAnsi" w:hAnsiTheme="majorHAnsi"/>
          <w:b/>
          <w:bCs/>
          <w:i/>
          <w:iCs/>
        </w:rPr>
      </w:pPr>
      <w:r w:rsidRPr="000D7D19">
        <w:rPr>
          <w:rFonts w:asciiTheme="majorHAnsi" w:hAnsiTheme="majorHAnsi"/>
          <w:b/>
          <w:bCs/>
          <w:i/>
          <w:iCs/>
        </w:rPr>
        <w:t>Participation aux réunions non scientifiques de l'ICCAT</w:t>
      </w:r>
    </w:p>
    <w:p w14:paraId="11C320B1" w14:textId="77777777" w:rsidR="00824C2D" w:rsidRPr="000D7D19" w:rsidRDefault="00824C2D" w:rsidP="000D7D19">
      <w:pPr>
        <w:pStyle w:val="ListParagraph"/>
        <w:ind w:left="428" w:hanging="428"/>
        <w:rPr>
          <w:rFonts w:asciiTheme="majorHAnsi" w:hAnsiTheme="majorHAnsi"/>
          <w:b/>
          <w:i/>
        </w:rPr>
      </w:pPr>
    </w:p>
    <w:p w14:paraId="05C9DE20" w14:textId="77777777" w:rsidR="00824C2D" w:rsidRPr="000D7D19" w:rsidRDefault="00824C2D" w:rsidP="00B15E23">
      <w:pPr>
        <w:pStyle w:val="ListParagraph"/>
        <w:ind w:left="0"/>
        <w:rPr>
          <w:rFonts w:asciiTheme="majorHAnsi" w:hAnsiTheme="majorHAnsi"/>
          <w:iCs/>
        </w:rPr>
      </w:pPr>
      <w:r w:rsidRPr="000D7D19">
        <w:rPr>
          <w:rFonts w:asciiTheme="majorHAnsi" w:hAnsiTheme="majorHAnsi"/>
          <w:iCs/>
        </w:rPr>
        <w:t>Toutes les demandes seront présentées aux fins de la participation à une seule réunion d’un participant par partie contractante et soumise à l’approbation du président de la Commission, du Président du STACFAD et du Secrétaire exécutif, en plus du Président de la réunion pour laquelle le financement est demandé dans le cas des organes subsidiaires. Néanmoins, deux membres de la délégation officielle (un gestionnaire et un scientifique) peuvent bénéficier d'une aide au financement des voyages pour assister aux réunions du Groupe de travail permanent dédié au dialogue entre halieutes et gestionnaires des pêcheries (SWGSM), sous réserve du même processus d'approbation.</w:t>
      </w:r>
    </w:p>
    <w:p w14:paraId="618F61DF" w14:textId="77777777" w:rsidR="000162C1" w:rsidRPr="000D7D19" w:rsidRDefault="000162C1" w:rsidP="000D7D19">
      <w:pPr>
        <w:pStyle w:val="ListParagraph"/>
        <w:ind w:left="428" w:hanging="428"/>
        <w:rPr>
          <w:rFonts w:asciiTheme="majorHAnsi" w:hAnsiTheme="majorHAnsi"/>
          <w:iCs/>
        </w:rPr>
      </w:pPr>
    </w:p>
    <w:p w14:paraId="2C5B3177" w14:textId="534862BC" w:rsidR="00824C2D" w:rsidRPr="000D7D19" w:rsidRDefault="00824C2D" w:rsidP="00B15E23">
      <w:pPr>
        <w:pStyle w:val="ListParagraph"/>
        <w:ind w:left="0"/>
        <w:rPr>
          <w:rFonts w:asciiTheme="majorHAnsi" w:hAnsiTheme="majorHAnsi"/>
          <w:iCs/>
          <w:u w:val="single"/>
        </w:rPr>
      </w:pPr>
      <w:r w:rsidRPr="005A5746">
        <w:rPr>
          <w:rFonts w:asciiTheme="majorHAnsi" w:hAnsiTheme="majorHAnsi"/>
          <w:iCs/>
          <w:u w:val="single"/>
        </w:rPr>
        <w:t xml:space="preserve">Toutefois, </w:t>
      </w:r>
      <w:r w:rsidR="000D7D19" w:rsidRPr="005A5746">
        <w:rPr>
          <w:rFonts w:asciiTheme="majorHAnsi" w:hAnsiTheme="majorHAnsi"/>
          <w:iCs/>
          <w:u w:val="single"/>
        </w:rPr>
        <w:t>p</w:t>
      </w:r>
      <w:r w:rsidRPr="005A5746">
        <w:rPr>
          <w:rFonts w:asciiTheme="majorHAnsi" w:hAnsiTheme="majorHAnsi"/>
          <w:iCs/>
          <w:u w:val="single"/>
        </w:rPr>
        <w:t xml:space="preserve">our les réunions annuelles de la Commission, un financement pour deux représentants par </w:t>
      </w:r>
      <w:r w:rsidR="000D7D19" w:rsidRPr="005A5746">
        <w:rPr>
          <w:rFonts w:asciiTheme="majorHAnsi" w:hAnsiTheme="majorHAnsi"/>
          <w:iCs/>
          <w:u w:val="single"/>
        </w:rPr>
        <w:t>P</w:t>
      </w:r>
      <w:r w:rsidRPr="005A5746">
        <w:rPr>
          <w:rFonts w:asciiTheme="majorHAnsi" w:hAnsiTheme="majorHAnsi"/>
          <w:iCs/>
          <w:u w:val="single"/>
        </w:rPr>
        <w:t xml:space="preserve">artie contractante éligible pourra être accordé, et </w:t>
      </w:r>
      <w:r w:rsidR="005A5746" w:rsidRPr="005A5746">
        <w:rPr>
          <w:rFonts w:asciiTheme="majorHAnsi" w:hAnsiTheme="majorHAnsi"/>
          <w:iCs/>
          <w:u w:val="single"/>
        </w:rPr>
        <w:t>cela conformément</w:t>
      </w:r>
      <w:r w:rsidRPr="005A5746">
        <w:rPr>
          <w:rFonts w:asciiTheme="majorHAnsi" w:hAnsiTheme="majorHAnsi"/>
          <w:iCs/>
          <w:u w:val="single"/>
        </w:rPr>
        <w:t xml:space="preserve"> aux dispositions établies.</w:t>
      </w:r>
    </w:p>
    <w:p w14:paraId="2E975F19" w14:textId="77777777" w:rsidR="000162C1" w:rsidRPr="000D7D19" w:rsidRDefault="000162C1" w:rsidP="000D7D19">
      <w:pPr>
        <w:pStyle w:val="ListParagraph"/>
        <w:ind w:left="428" w:hanging="428"/>
        <w:rPr>
          <w:rFonts w:asciiTheme="majorHAnsi" w:hAnsiTheme="majorHAnsi"/>
          <w:b/>
          <w:bCs/>
          <w:iCs/>
          <w:u w:val="single"/>
        </w:rPr>
      </w:pPr>
    </w:p>
    <w:p w14:paraId="418572C7" w14:textId="77777777" w:rsidR="00824C2D" w:rsidRPr="000D7D19" w:rsidRDefault="00824C2D" w:rsidP="00B15E23">
      <w:pPr>
        <w:pStyle w:val="ListParagraph"/>
        <w:ind w:left="0"/>
        <w:rPr>
          <w:rFonts w:asciiTheme="majorHAnsi" w:hAnsiTheme="majorHAnsi"/>
          <w:iCs/>
        </w:rPr>
      </w:pPr>
      <w:r w:rsidRPr="000D7D19">
        <w:rPr>
          <w:rFonts w:asciiTheme="majorHAnsi" w:hAnsiTheme="majorHAnsi"/>
          <w:iCs/>
        </w:rPr>
        <w:t>Tout délégué officiel d'une Partie contractante en développement qui sollicite une aide au financement de voyages devra soumettre une demande remplie dans le délai fixé.</w:t>
      </w:r>
    </w:p>
    <w:p w14:paraId="0BFEC286" w14:textId="77777777" w:rsidR="000D7D19" w:rsidRPr="000D7D19" w:rsidRDefault="000D7D19" w:rsidP="00B15E23">
      <w:pPr>
        <w:pStyle w:val="ListParagraph"/>
        <w:ind w:left="0"/>
        <w:rPr>
          <w:rFonts w:asciiTheme="majorHAnsi" w:hAnsiTheme="majorHAnsi"/>
          <w:iCs/>
        </w:rPr>
      </w:pPr>
    </w:p>
    <w:p w14:paraId="558EF690" w14:textId="77777777" w:rsidR="00824C2D" w:rsidRPr="00B15E23" w:rsidRDefault="00824C2D" w:rsidP="000D7D19">
      <w:pPr>
        <w:pStyle w:val="ListParagraph"/>
        <w:widowControl w:val="0"/>
        <w:numPr>
          <w:ilvl w:val="0"/>
          <w:numId w:val="8"/>
        </w:numPr>
        <w:autoSpaceDE w:val="0"/>
        <w:autoSpaceDN w:val="0"/>
        <w:rPr>
          <w:rFonts w:asciiTheme="majorHAnsi" w:hAnsiTheme="majorHAnsi"/>
          <w:b/>
          <w:bCs/>
          <w:iCs/>
        </w:rPr>
      </w:pPr>
      <w:r w:rsidRPr="00B15E23">
        <w:rPr>
          <w:rFonts w:asciiTheme="majorHAnsi" w:hAnsiTheme="majorHAnsi"/>
          <w:b/>
          <w:bCs/>
          <w:iCs/>
        </w:rPr>
        <w:t>Procédures de demande</w:t>
      </w:r>
    </w:p>
    <w:p w14:paraId="5CA5E1D2" w14:textId="77777777" w:rsidR="000D7D19" w:rsidRPr="000D7D19" w:rsidRDefault="000D7D19" w:rsidP="000D7D19">
      <w:pPr>
        <w:pStyle w:val="ListParagraph"/>
        <w:widowControl w:val="0"/>
        <w:autoSpaceDE w:val="0"/>
        <w:autoSpaceDN w:val="0"/>
        <w:ind w:left="428" w:hanging="428"/>
        <w:rPr>
          <w:rFonts w:asciiTheme="majorHAnsi" w:hAnsiTheme="majorHAnsi"/>
          <w:iCs/>
        </w:rPr>
      </w:pPr>
    </w:p>
    <w:p w14:paraId="6895DECE" w14:textId="10E5D841" w:rsidR="00824C2D" w:rsidRDefault="00824C2D" w:rsidP="000D7D19">
      <w:pPr>
        <w:pStyle w:val="ListParagraph"/>
        <w:widowControl w:val="0"/>
        <w:numPr>
          <w:ilvl w:val="0"/>
          <w:numId w:val="7"/>
        </w:numPr>
        <w:autoSpaceDE w:val="0"/>
        <w:autoSpaceDN w:val="0"/>
        <w:rPr>
          <w:rFonts w:asciiTheme="majorHAnsi" w:hAnsiTheme="majorHAnsi"/>
          <w:iCs/>
        </w:rPr>
      </w:pPr>
      <w:r w:rsidRPr="000D7D19">
        <w:rPr>
          <w:rFonts w:asciiTheme="majorHAnsi" w:hAnsiTheme="majorHAnsi"/>
          <w:iCs/>
        </w:rPr>
        <w:t>Le Secrétariat publiera, 60 jours avant le début de la réunion, le formulaire de voyage afférent à l'invitation.</w:t>
      </w:r>
    </w:p>
    <w:p w14:paraId="589185A3" w14:textId="77777777" w:rsidR="00824C2D" w:rsidRPr="000D7D19" w:rsidRDefault="00824C2D" w:rsidP="000D7D19">
      <w:pPr>
        <w:pStyle w:val="ListParagraph"/>
        <w:widowControl w:val="0"/>
        <w:numPr>
          <w:ilvl w:val="0"/>
          <w:numId w:val="7"/>
        </w:numPr>
        <w:autoSpaceDE w:val="0"/>
        <w:autoSpaceDN w:val="0"/>
        <w:rPr>
          <w:rFonts w:asciiTheme="majorHAnsi" w:hAnsiTheme="majorHAnsi"/>
          <w:iCs/>
        </w:rPr>
      </w:pPr>
      <w:r w:rsidRPr="000D7D19">
        <w:rPr>
          <w:rFonts w:asciiTheme="majorHAnsi" w:hAnsiTheme="majorHAnsi"/>
          <w:iCs/>
        </w:rPr>
        <w:lastRenderedPageBreak/>
        <w:t>Les candidats au MPF devront envoyer le formulaire dûment rempli 45 jours à l'avance, accompagné des éléments suivants :</w:t>
      </w:r>
    </w:p>
    <w:p w14:paraId="61C0A145" w14:textId="77777777" w:rsidR="00824C2D" w:rsidRPr="000D7D19" w:rsidRDefault="00824C2D" w:rsidP="000D7D19">
      <w:pPr>
        <w:pStyle w:val="ListParagraph"/>
        <w:widowControl w:val="0"/>
        <w:numPr>
          <w:ilvl w:val="1"/>
          <w:numId w:val="7"/>
        </w:numPr>
        <w:autoSpaceDE w:val="0"/>
        <w:autoSpaceDN w:val="0"/>
        <w:ind w:left="851"/>
        <w:rPr>
          <w:rFonts w:asciiTheme="majorHAnsi" w:hAnsiTheme="majorHAnsi"/>
          <w:iCs/>
        </w:rPr>
      </w:pPr>
      <w:r w:rsidRPr="000D7D19">
        <w:rPr>
          <w:rFonts w:asciiTheme="majorHAnsi" w:hAnsiTheme="majorHAnsi"/>
          <w:iCs/>
        </w:rPr>
        <w:t>Une lettre officielle de nomination pour la demande d'assistance signée par le chef de délégation, ainsi qu'une liste des délégués officiels qui assisteront à la réunion. Si plus de quatre délégués apparaissent sur la liste dans le cas des réunions des organes subsidiaires, ou si plus de six délégués figurent sur la liste dans le cas des réunions de la Commission, aucun financement ne sera accordé au demandeur.</w:t>
      </w:r>
    </w:p>
    <w:p w14:paraId="35F7B2DA" w14:textId="77777777" w:rsidR="00824C2D" w:rsidRPr="000D7D19" w:rsidRDefault="00824C2D" w:rsidP="000D7D19">
      <w:pPr>
        <w:pStyle w:val="ListParagraph"/>
        <w:widowControl w:val="0"/>
        <w:numPr>
          <w:ilvl w:val="1"/>
          <w:numId w:val="7"/>
        </w:numPr>
        <w:autoSpaceDE w:val="0"/>
        <w:autoSpaceDN w:val="0"/>
        <w:ind w:left="851"/>
        <w:rPr>
          <w:rFonts w:asciiTheme="majorHAnsi" w:hAnsiTheme="majorHAnsi"/>
          <w:iCs/>
        </w:rPr>
      </w:pPr>
      <w:r w:rsidRPr="000D7D19">
        <w:rPr>
          <w:rFonts w:asciiTheme="majorHAnsi" w:hAnsiTheme="majorHAnsi"/>
          <w:iCs/>
        </w:rPr>
        <w:t>Toutes les coordonnées du candidat, y compris son numéro de téléphone portable personnel.</w:t>
      </w:r>
    </w:p>
    <w:p w14:paraId="7A95266A" w14:textId="77777777" w:rsidR="00824C2D" w:rsidRPr="000D7D19" w:rsidRDefault="00824C2D" w:rsidP="000D7D19">
      <w:pPr>
        <w:pStyle w:val="ListParagraph"/>
        <w:widowControl w:val="0"/>
        <w:numPr>
          <w:ilvl w:val="1"/>
          <w:numId w:val="7"/>
        </w:numPr>
        <w:autoSpaceDE w:val="0"/>
        <w:autoSpaceDN w:val="0"/>
        <w:ind w:left="851"/>
        <w:rPr>
          <w:rFonts w:asciiTheme="majorHAnsi" w:hAnsiTheme="majorHAnsi"/>
          <w:iCs/>
        </w:rPr>
      </w:pPr>
      <w:r w:rsidRPr="000D7D19">
        <w:rPr>
          <w:rFonts w:asciiTheme="majorHAnsi" w:hAnsiTheme="majorHAnsi"/>
          <w:iCs/>
        </w:rPr>
        <w:t>Une copie de la page de la photographie/des coordonnées du passeport en vigueur de la personne.</w:t>
      </w:r>
    </w:p>
    <w:p w14:paraId="46EFACD0" w14:textId="77777777" w:rsidR="00824C2D" w:rsidRPr="000D7D19" w:rsidRDefault="00824C2D" w:rsidP="000D7D19">
      <w:pPr>
        <w:pStyle w:val="ListParagraph"/>
        <w:widowControl w:val="0"/>
        <w:numPr>
          <w:ilvl w:val="1"/>
          <w:numId w:val="7"/>
        </w:numPr>
        <w:autoSpaceDE w:val="0"/>
        <w:autoSpaceDN w:val="0"/>
        <w:ind w:left="851"/>
        <w:rPr>
          <w:rFonts w:asciiTheme="majorHAnsi" w:hAnsiTheme="majorHAnsi"/>
          <w:iCs/>
        </w:rPr>
      </w:pPr>
      <w:r w:rsidRPr="000D7D19">
        <w:rPr>
          <w:rFonts w:asciiTheme="majorHAnsi" w:hAnsiTheme="majorHAnsi"/>
          <w:iCs/>
        </w:rPr>
        <w:t>Une copie des coordonnées bancaires nécessaires (y compris le nom de la banque, l'adresse de la banque, le nom exact du titulaire du compte, le numéro de compte, l'IBAN et le SWIFT).</w:t>
      </w:r>
    </w:p>
    <w:p w14:paraId="73C58E96" w14:textId="77777777" w:rsidR="00824C2D" w:rsidRPr="000D7D19" w:rsidRDefault="00824C2D" w:rsidP="000D7D19">
      <w:pPr>
        <w:pStyle w:val="ListParagraph"/>
        <w:widowControl w:val="0"/>
        <w:numPr>
          <w:ilvl w:val="1"/>
          <w:numId w:val="7"/>
        </w:numPr>
        <w:autoSpaceDE w:val="0"/>
        <w:autoSpaceDN w:val="0"/>
        <w:ind w:left="851"/>
        <w:rPr>
          <w:rFonts w:asciiTheme="majorHAnsi" w:hAnsiTheme="majorHAnsi"/>
          <w:iCs/>
        </w:rPr>
      </w:pPr>
      <w:r w:rsidRPr="000D7D19">
        <w:rPr>
          <w:rFonts w:asciiTheme="majorHAnsi" w:hAnsiTheme="majorHAnsi"/>
          <w:iCs/>
        </w:rPr>
        <w:t>Une demande de note verbale, si nécessaire, pour les formalités de visa et le lieu où celles-ci seront réalisées.</w:t>
      </w:r>
    </w:p>
    <w:p w14:paraId="24CC5DB8" w14:textId="77777777" w:rsidR="000D7D19" w:rsidRDefault="000D7D19" w:rsidP="000D7D19">
      <w:pPr>
        <w:pStyle w:val="ListParagraph"/>
        <w:widowControl w:val="0"/>
        <w:autoSpaceDE w:val="0"/>
        <w:autoSpaceDN w:val="0"/>
        <w:ind w:left="428"/>
        <w:rPr>
          <w:rFonts w:asciiTheme="majorHAnsi" w:hAnsiTheme="majorHAnsi"/>
          <w:iCs/>
        </w:rPr>
      </w:pPr>
    </w:p>
    <w:p w14:paraId="7CFC0753" w14:textId="37DFEE79" w:rsidR="00824C2D" w:rsidRDefault="00824C2D" w:rsidP="000D7D19">
      <w:pPr>
        <w:pStyle w:val="ListParagraph"/>
        <w:widowControl w:val="0"/>
        <w:numPr>
          <w:ilvl w:val="0"/>
          <w:numId w:val="7"/>
        </w:numPr>
        <w:autoSpaceDE w:val="0"/>
        <w:autoSpaceDN w:val="0"/>
        <w:rPr>
          <w:rFonts w:asciiTheme="majorHAnsi" w:hAnsiTheme="majorHAnsi"/>
          <w:iCs/>
        </w:rPr>
      </w:pPr>
      <w:r w:rsidRPr="000D7D19">
        <w:rPr>
          <w:rFonts w:asciiTheme="majorHAnsi" w:hAnsiTheme="majorHAnsi"/>
          <w:iCs/>
        </w:rPr>
        <w:t>Le Secrétariat examinera les demandes afin de déterminer celles qui répondent aux critères d'éligibilité et donnera un délai supplémentaire de cinq jours aux demandeurs qui n'ont pas envoyé toutes les informations requises.</w:t>
      </w:r>
    </w:p>
    <w:p w14:paraId="7CF2A26A" w14:textId="77777777" w:rsidR="00B15E23" w:rsidRPr="000D7D19" w:rsidRDefault="00B15E23" w:rsidP="00B15E23">
      <w:pPr>
        <w:pStyle w:val="ListParagraph"/>
        <w:widowControl w:val="0"/>
        <w:autoSpaceDE w:val="0"/>
        <w:autoSpaceDN w:val="0"/>
        <w:ind w:left="428"/>
        <w:rPr>
          <w:rFonts w:asciiTheme="majorHAnsi" w:hAnsiTheme="majorHAnsi"/>
          <w:iCs/>
        </w:rPr>
      </w:pPr>
    </w:p>
    <w:p w14:paraId="6BB1FEA6" w14:textId="77777777" w:rsidR="00824C2D" w:rsidRDefault="00824C2D" w:rsidP="000D7D19">
      <w:pPr>
        <w:pStyle w:val="ListParagraph"/>
        <w:widowControl w:val="0"/>
        <w:numPr>
          <w:ilvl w:val="0"/>
          <w:numId w:val="7"/>
        </w:numPr>
        <w:autoSpaceDE w:val="0"/>
        <w:autoSpaceDN w:val="0"/>
        <w:rPr>
          <w:rFonts w:asciiTheme="majorHAnsi" w:hAnsiTheme="majorHAnsi"/>
          <w:iCs/>
        </w:rPr>
      </w:pPr>
      <w:r w:rsidRPr="000D7D19">
        <w:rPr>
          <w:rFonts w:asciiTheme="majorHAnsi" w:hAnsiTheme="majorHAnsi"/>
          <w:iCs/>
        </w:rPr>
        <w:t>Le Secrétariat enverra une invitation aux candidats sélectionnés avec un itinéraire de voyage basé sur les dates indiquées dans le formulaire (au moins 30 jours avant le début de la réunion).</w:t>
      </w:r>
    </w:p>
    <w:p w14:paraId="10A1CE1D" w14:textId="77777777" w:rsidR="00B15E23" w:rsidRPr="00B15E23" w:rsidRDefault="00B15E23" w:rsidP="00B15E23">
      <w:pPr>
        <w:pStyle w:val="ListParagraph"/>
        <w:rPr>
          <w:rFonts w:asciiTheme="majorHAnsi" w:hAnsiTheme="majorHAnsi"/>
          <w:iCs/>
        </w:rPr>
      </w:pPr>
    </w:p>
    <w:p w14:paraId="26831E1E" w14:textId="77777777" w:rsidR="00824C2D" w:rsidRPr="000D7D19" w:rsidRDefault="00824C2D" w:rsidP="000D7D19">
      <w:pPr>
        <w:pStyle w:val="ListParagraph"/>
        <w:widowControl w:val="0"/>
        <w:numPr>
          <w:ilvl w:val="0"/>
          <w:numId w:val="7"/>
        </w:numPr>
        <w:autoSpaceDE w:val="0"/>
        <w:autoSpaceDN w:val="0"/>
        <w:rPr>
          <w:rFonts w:asciiTheme="majorHAnsi" w:hAnsiTheme="majorHAnsi"/>
          <w:iCs/>
        </w:rPr>
      </w:pPr>
      <w:r w:rsidRPr="000D7D19">
        <w:rPr>
          <w:rFonts w:asciiTheme="majorHAnsi" w:hAnsiTheme="majorHAnsi"/>
          <w:iCs/>
        </w:rPr>
        <w:t>Les candidats devront remplir les formalités de visa et envoyer une copie du visa ainsi que la vérification et l'acceptation de l'itinéraire au plus tard 15 jours avant le début de la réunion. Le Secrétariat pourrait faire des exceptions à ce délai au cas par cas.</w:t>
      </w:r>
    </w:p>
    <w:p w14:paraId="0F272976" w14:textId="77777777" w:rsidR="00824C2D" w:rsidRPr="000D7D19" w:rsidRDefault="00824C2D" w:rsidP="000D7D19">
      <w:pPr>
        <w:pStyle w:val="ListParagraph"/>
        <w:ind w:left="428" w:hanging="428"/>
        <w:rPr>
          <w:rFonts w:asciiTheme="majorHAnsi" w:hAnsiTheme="majorHAnsi"/>
          <w:iCs/>
        </w:rPr>
      </w:pPr>
    </w:p>
    <w:p w14:paraId="6C6E4F0F" w14:textId="77777777" w:rsidR="00824C2D" w:rsidRPr="000D7D19" w:rsidRDefault="00824C2D" w:rsidP="000D7D19">
      <w:pPr>
        <w:pStyle w:val="ListParagraph"/>
        <w:widowControl w:val="0"/>
        <w:numPr>
          <w:ilvl w:val="0"/>
          <w:numId w:val="7"/>
        </w:numPr>
        <w:autoSpaceDE w:val="0"/>
        <w:autoSpaceDN w:val="0"/>
        <w:rPr>
          <w:rFonts w:asciiTheme="majorHAnsi" w:hAnsiTheme="majorHAnsi"/>
          <w:iCs/>
        </w:rPr>
      </w:pPr>
      <w:r w:rsidRPr="000D7D19">
        <w:rPr>
          <w:rFonts w:asciiTheme="majorHAnsi" w:hAnsiTheme="majorHAnsi"/>
          <w:iCs/>
        </w:rPr>
        <w:t>En l'absence d'une réponse comportant tous les éléments requis antérieurement, le Secrétariat enverra une notification de rejet de la demande.</w:t>
      </w:r>
    </w:p>
    <w:p w14:paraId="5EDBDF52" w14:textId="77777777" w:rsidR="00824C2D" w:rsidRPr="000D7D19" w:rsidRDefault="00824C2D" w:rsidP="000D7D19">
      <w:pPr>
        <w:pStyle w:val="ListParagraph"/>
        <w:ind w:left="428" w:hanging="428"/>
        <w:rPr>
          <w:rFonts w:asciiTheme="majorHAnsi" w:hAnsiTheme="majorHAnsi"/>
          <w:i/>
        </w:rPr>
      </w:pPr>
    </w:p>
    <w:p w14:paraId="5D508513" w14:textId="77777777" w:rsidR="00824C2D" w:rsidRPr="00B15E23" w:rsidRDefault="00824C2D" w:rsidP="000D7D19">
      <w:pPr>
        <w:pStyle w:val="ListParagraph"/>
        <w:widowControl w:val="0"/>
        <w:numPr>
          <w:ilvl w:val="0"/>
          <w:numId w:val="8"/>
        </w:numPr>
        <w:autoSpaceDE w:val="0"/>
        <w:autoSpaceDN w:val="0"/>
        <w:rPr>
          <w:rFonts w:asciiTheme="majorHAnsi" w:hAnsiTheme="majorHAnsi"/>
          <w:b/>
          <w:bCs/>
          <w:iCs/>
        </w:rPr>
      </w:pPr>
      <w:r w:rsidRPr="00B15E23">
        <w:rPr>
          <w:rFonts w:asciiTheme="majorHAnsi" w:hAnsiTheme="majorHAnsi"/>
          <w:b/>
          <w:bCs/>
          <w:iCs/>
        </w:rPr>
        <w:t>Approbation du financement</w:t>
      </w:r>
    </w:p>
    <w:p w14:paraId="241BFC90" w14:textId="77777777" w:rsidR="00B15E23" w:rsidRDefault="00B15E23" w:rsidP="000D7D19">
      <w:pPr>
        <w:pStyle w:val="ListParagraph"/>
        <w:ind w:left="428" w:hanging="428"/>
        <w:rPr>
          <w:rFonts w:asciiTheme="majorHAnsi" w:hAnsiTheme="majorHAnsi"/>
          <w:iCs/>
        </w:rPr>
      </w:pPr>
    </w:p>
    <w:p w14:paraId="750E0670" w14:textId="2431C33F" w:rsidR="00824C2D" w:rsidRPr="000D7D19" w:rsidRDefault="00824C2D" w:rsidP="00B15E23">
      <w:pPr>
        <w:pStyle w:val="ListParagraph"/>
        <w:ind w:left="0"/>
        <w:rPr>
          <w:rFonts w:asciiTheme="majorHAnsi" w:hAnsiTheme="majorHAnsi"/>
          <w:iCs/>
        </w:rPr>
      </w:pPr>
      <w:r w:rsidRPr="000D7D19">
        <w:rPr>
          <w:rFonts w:asciiTheme="majorHAnsi" w:hAnsiTheme="majorHAnsi"/>
          <w:iCs/>
        </w:rPr>
        <w:t>Les demandes seront approuvées en fonction de l’ordre de réception au Secrétariat. Seules les demandes complètes, dûment remplies et respectant toutes les exigences, seront prises en considération.</w:t>
      </w:r>
    </w:p>
    <w:p w14:paraId="3619DD0A" w14:textId="77777777" w:rsidR="00824C2D" w:rsidRPr="000D7D19" w:rsidRDefault="00824C2D" w:rsidP="000D7D19">
      <w:pPr>
        <w:pStyle w:val="ListParagraph"/>
        <w:ind w:left="428" w:hanging="428"/>
        <w:rPr>
          <w:rFonts w:asciiTheme="majorHAnsi" w:hAnsiTheme="majorHAnsi"/>
          <w:iCs/>
        </w:rPr>
      </w:pPr>
    </w:p>
    <w:p w14:paraId="1941A745" w14:textId="77777777" w:rsidR="00824C2D" w:rsidRPr="000D7D19" w:rsidRDefault="00824C2D" w:rsidP="00B15E23">
      <w:pPr>
        <w:pStyle w:val="ListParagraph"/>
        <w:ind w:left="0"/>
        <w:rPr>
          <w:rFonts w:asciiTheme="majorHAnsi" w:hAnsiTheme="majorHAnsi"/>
          <w:iCs/>
        </w:rPr>
      </w:pPr>
      <w:r w:rsidRPr="000D7D19">
        <w:rPr>
          <w:rFonts w:asciiTheme="majorHAnsi" w:hAnsiTheme="majorHAnsi"/>
          <w:iCs/>
        </w:rPr>
        <w:t>Le financement des voyages ne peut être garanti que si des fonds sont disponibles, indépendamment du fait qu'une demande complète ait été soumise dans les délais impartis ou préapprouvée.</w:t>
      </w:r>
    </w:p>
    <w:p w14:paraId="06BAC55B" w14:textId="77777777" w:rsidR="00824C2D" w:rsidRPr="000D7D19" w:rsidRDefault="00824C2D" w:rsidP="000D7D19">
      <w:pPr>
        <w:pStyle w:val="ListParagraph"/>
        <w:ind w:left="428" w:hanging="428"/>
        <w:rPr>
          <w:rFonts w:asciiTheme="majorHAnsi" w:hAnsiTheme="majorHAnsi"/>
          <w:iCs/>
        </w:rPr>
      </w:pPr>
    </w:p>
    <w:p w14:paraId="4631EBE1" w14:textId="77777777" w:rsidR="00824C2D" w:rsidRPr="000D7D19" w:rsidRDefault="00824C2D" w:rsidP="00B15E23">
      <w:pPr>
        <w:pStyle w:val="ListParagraph"/>
        <w:ind w:left="0"/>
        <w:rPr>
          <w:rFonts w:asciiTheme="majorHAnsi" w:hAnsiTheme="majorHAnsi"/>
          <w:iCs/>
        </w:rPr>
      </w:pPr>
      <w:r w:rsidRPr="000D7D19">
        <w:rPr>
          <w:rFonts w:asciiTheme="majorHAnsi" w:hAnsiTheme="majorHAnsi"/>
          <w:iCs/>
        </w:rPr>
        <w:t>Une fois qu'une demande qui satisfait à tous les critères d'éligibilité stipulés à la section 2 des normes de procédure a été approuvée par le Secrétariat, aucune modification ultérieure des listes des participants ne doit être faite par la Partie contractante qui aurait pour conséquence que sa délégation dépasse le seuil du nombre de délégués officiels, tel qu'établi au paragraphe (a) des critères des demandeurs.</w:t>
      </w:r>
    </w:p>
    <w:p w14:paraId="0432FCF2" w14:textId="77777777" w:rsidR="00824C2D" w:rsidRPr="000D7D19" w:rsidRDefault="00824C2D" w:rsidP="000D7D19">
      <w:pPr>
        <w:pStyle w:val="ListParagraph"/>
        <w:ind w:left="428" w:hanging="428"/>
        <w:rPr>
          <w:rFonts w:asciiTheme="majorHAnsi" w:hAnsiTheme="majorHAnsi"/>
          <w:iCs/>
        </w:rPr>
      </w:pPr>
    </w:p>
    <w:p w14:paraId="333EF50A" w14:textId="77777777" w:rsidR="00824C2D" w:rsidRPr="004E0021" w:rsidRDefault="00824C2D" w:rsidP="000D7D19">
      <w:pPr>
        <w:pStyle w:val="ListParagraph"/>
        <w:widowControl w:val="0"/>
        <w:numPr>
          <w:ilvl w:val="0"/>
          <w:numId w:val="8"/>
        </w:numPr>
        <w:autoSpaceDE w:val="0"/>
        <w:autoSpaceDN w:val="0"/>
        <w:rPr>
          <w:rFonts w:asciiTheme="majorHAnsi" w:hAnsiTheme="majorHAnsi"/>
          <w:b/>
          <w:bCs/>
          <w:iCs/>
        </w:rPr>
      </w:pPr>
      <w:r w:rsidRPr="004E0021">
        <w:rPr>
          <w:rFonts w:asciiTheme="majorHAnsi" w:hAnsiTheme="majorHAnsi"/>
          <w:b/>
          <w:bCs/>
          <w:iCs/>
        </w:rPr>
        <w:t>Gestion du fonds</w:t>
      </w:r>
    </w:p>
    <w:p w14:paraId="2D43BAE8" w14:textId="77777777" w:rsidR="004E0021" w:rsidRDefault="004E0021" w:rsidP="000D7D19">
      <w:pPr>
        <w:pStyle w:val="ListParagraph"/>
        <w:ind w:left="428" w:hanging="428"/>
        <w:rPr>
          <w:rFonts w:asciiTheme="majorHAnsi" w:hAnsiTheme="majorHAnsi"/>
          <w:iCs/>
        </w:rPr>
      </w:pPr>
    </w:p>
    <w:p w14:paraId="114B3FF3" w14:textId="1C275DBC" w:rsidR="00824C2D" w:rsidRPr="000D7D19" w:rsidRDefault="00824C2D" w:rsidP="004E0021">
      <w:pPr>
        <w:pStyle w:val="ListParagraph"/>
        <w:ind w:left="0"/>
        <w:rPr>
          <w:rFonts w:asciiTheme="majorHAnsi" w:hAnsiTheme="majorHAnsi"/>
          <w:iCs/>
        </w:rPr>
      </w:pPr>
      <w:r w:rsidRPr="000D7D19">
        <w:rPr>
          <w:rFonts w:asciiTheme="majorHAnsi" w:hAnsiTheme="majorHAnsi"/>
          <w:iCs/>
        </w:rPr>
        <w:t>Le Secrétaire exécutif de l’ICCAT devra établir un processus permettant d’informer chaque année les Parties contractantes du niveau des fonds disponibles dans le MPF et fournir un calendrier et décrire le format aux fins de la soumission des demandes d’assistance, ainsi que les détails de l’aide à fournir.</w:t>
      </w:r>
    </w:p>
    <w:p w14:paraId="0EE1136A" w14:textId="77777777" w:rsidR="00824C2D" w:rsidRPr="000D7D19" w:rsidRDefault="00824C2D" w:rsidP="000D7D19">
      <w:pPr>
        <w:pStyle w:val="ListParagraph"/>
        <w:ind w:left="428" w:hanging="428"/>
        <w:rPr>
          <w:rFonts w:asciiTheme="majorHAnsi" w:hAnsiTheme="majorHAnsi"/>
          <w:iCs/>
        </w:rPr>
      </w:pPr>
    </w:p>
    <w:p w14:paraId="6BB27D95" w14:textId="77777777" w:rsidR="00824C2D" w:rsidRPr="000D7D19" w:rsidRDefault="00824C2D" w:rsidP="004E0021">
      <w:pPr>
        <w:pStyle w:val="ListParagraph"/>
        <w:ind w:left="0"/>
        <w:rPr>
          <w:rFonts w:asciiTheme="majorHAnsi" w:hAnsiTheme="majorHAnsi"/>
          <w:iCs/>
        </w:rPr>
      </w:pPr>
      <w:r w:rsidRPr="000D7D19">
        <w:rPr>
          <w:rFonts w:asciiTheme="majorHAnsi" w:hAnsiTheme="majorHAnsi"/>
          <w:iCs/>
        </w:rPr>
        <w:t>Conformément au point 8 de la Recommandation 20-09, les fonds devront être distribués de manière à assurer une répartition équilibrée entre les réunions scientifiques et non scientifiques.</w:t>
      </w:r>
    </w:p>
    <w:p w14:paraId="3988A02F" w14:textId="77777777" w:rsidR="00824C2D" w:rsidRPr="000D7D19" w:rsidRDefault="00824C2D" w:rsidP="000D7D19">
      <w:pPr>
        <w:pStyle w:val="ListParagraph"/>
        <w:ind w:left="428" w:hanging="428"/>
        <w:rPr>
          <w:rFonts w:asciiTheme="majorHAnsi" w:hAnsiTheme="majorHAnsi"/>
          <w:iCs/>
        </w:rPr>
      </w:pPr>
    </w:p>
    <w:p w14:paraId="49760A02" w14:textId="77777777" w:rsidR="00824C2D" w:rsidRPr="000D7D19" w:rsidRDefault="00824C2D" w:rsidP="004E0021">
      <w:pPr>
        <w:pStyle w:val="ListParagraph"/>
        <w:ind w:left="0"/>
        <w:rPr>
          <w:rFonts w:asciiTheme="majorHAnsi" w:hAnsiTheme="majorHAnsi"/>
          <w:iCs/>
        </w:rPr>
      </w:pPr>
      <w:r w:rsidRPr="000D7D19">
        <w:rPr>
          <w:rFonts w:asciiTheme="majorHAnsi" w:hAnsiTheme="majorHAnsi"/>
          <w:iCs/>
        </w:rPr>
        <w:t>Les fonds seront répartis en deux semestres afin de permettre la participation de scientifiques et de délégués aux réunions qui se tiendront plus tard dans l'année.</w:t>
      </w:r>
    </w:p>
    <w:p w14:paraId="506ACDE3" w14:textId="77777777" w:rsidR="00824C2D" w:rsidRPr="000D7D19" w:rsidRDefault="00824C2D" w:rsidP="000D7D19">
      <w:pPr>
        <w:pStyle w:val="ListParagraph"/>
        <w:ind w:left="428" w:hanging="428"/>
        <w:rPr>
          <w:rFonts w:asciiTheme="majorHAnsi" w:hAnsiTheme="majorHAnsi"/>
          <w:i/>
        </w:rPr>
      </w:pPr>
    </w:p>
    <w:p w14:paraId="2C694B2B" w14:textId="77777777" w:rsidR="00824C2D" w:rsidRPr="00824C2D" w:rsidRDefault="00824C2D" w:rsidP="00AC04A1">
      <w:pPr>
        <w:pStyle w:val="ListParagraph"/>
        <w:ind w:left="540"/>
        <w:rPr>
          <w:rFonts w:asciiTheme="majorHAnsi" w:hAnsiTheme="majorHAnsi"/>
          <w:i/>
        </w:rPr>
      </w:pPr>
    </w:p>
    <w:p w14:paraId="10868F45" w14:textId="112FC2B8" w:rsidR="00CD1FC3" w:rsidRDefault="00CD1FC3">
      <w:pPr>
        <w:jc w:val="left"/>
        <w:rPr>
          <w:rFonts w:asciiTheme="majorHAnsi" w:hAnsiTheme="majorHAnsi"/>
          <w:b/>
          <w:bCs/>
          <w:i/>
          <w:iCs/>
        </w:rPr>
      </w:pPr>
      <w:r>
        <w:rPr>
          <w:rFonts w:asciiTheme="majorHAnsi" w:hAnsiTheme="majorHAnsi"/>
          <w:b/>
          <w:bCs/>
          <w:i/>
          <w:iCs/>
        </w:rPr>
        <w:br w:type="page"/>
      </w:r>
    </w:p>
    <w:p w14:paraId="704DDA04" w14:textId="3F54AA09" w:rsidR="00A0383E" w:rsidRPr="00CD1FC3" w:rsidRDefault="00CD1FC3" w:rsidP="00CD1FC3">
      <w:pPr>
        <w:pStyle w:val="ListParagraph"/>
        <w:widowControl w:val="0"/>
        <w:autoSpaceDE w:val="0"/>
        <w:autoSpaceDN w:val="0"/>
        <w:jc w:val="right"/>
        <w:rPr>
          <w:rFonts w:asciiTheme="majorHAnsi" w:hAnsiTheme="majorHAnsi"/>
          <w:b/>
          <w:bCs/>
        </w:rPr>
      </w:pPr>
      <w:r w:rsidRPr="00CD1FC3">
        <w:rPr>
          <w:rFonts w:asciiTheme="majorHAnsi" w:hAnsiTheme="majorHAnsi"/>
          <w:b/>
          <w:bCs/>
        </w:rPr>
        <w:lastRenderedPageBreak/>
        <w:t>Appendice 2</w:t>
      </w:r>
    </w:p>
    <w:p w14:paraId="09DC3919" w14:textId="77777777" w:rsidR="00A0383E" w:rsidRDefault="00A0383E" w:rsidP="00A0383E">
      <w:pPr>
        <w:pStyle w:val="ListParagraph"/>
        <w:widowControl w:val="0"/>
        <w:autoSpaceDE w:val="0"/>
        <w:autoSpaceDN w:val="0"/>
        <w:jc w:val="center"/>
        <w:rPr>
          <w:rFonts w:asciiTheme="majorHAnsi" w:hAnsiTheme="majorHAnsi"/>
          <w:b/>
          <w:bCs/>
          <w:i/>
          <w:iCs/>
        </w:rPr>
      </w:pPr>
    </w:p>
    <w:p w14:paraId="68BB5FAB" w14:textId="694B53D6" w:rsidR="00A0383E" w:rsidRPr="00044C56" w:rsidRDefault="00A0383E" w:rsidP="00A0383E">
      <w:pPr>
        <w:pStyle w:val="ListParagraph"/>
        <w:widowControl w:val="0"/>
        <w:autoSpaceDE w:val="0"/>
        <w:autoSpaceDN w:val="0"/>
        <w:jc w:val="center"/>
        <w:rPr>
          <w:rFonts w:asciiTheme="majorHAnsi" w:hAnsiTheme="majorHAnsi"/>
          <w:b/>
          <w:bCs/>
        </w:rPr>
      </w:pPr>
      <w:r w:rsidRPr="00044C56">
        <w:rPr>
          <w:rFonts w:asciiTheme="majorHAnsi" w:hAnsiTheme="majorHAnsi"/>
          <w:b/>
          <w:bCs/>
        </w:rPr>
        <w:t>Recommandation de l’ICCAT amendant la Recommandation 14-14 sur l’établissement d’un fonds de participation aux réunions destiné aux Parties contractantes en développement de l’ICCAT (Rec. 20-09)</w:t>
      </w:r>
    </w:p>
    <w:p w14:paraId="2AC0663A" w14:textId="77777777" w:rsidR="00824C2D" w:rsidRDefault="00824C2D" w:rsidP="00AC04A1">
      <w:pPr>
        <w:jc w:val="center"/>
        <w:rPr>
          <w:rFonts w:asciiTheme="majorHAnsi" w:hAnsiTheme="majorHAnsi"/>
        </w:rPr>
      </w:pPr>
    </w:p>
    <w:p w14:paraId="36670E5F" w14:textId="77777777" w:rsidR="00A41256" w:rsidRPr="00824C2D" w:rsidRDefault="00A41256" w:rsidP="00AC04A1">
      <w:pPr>
        <w:jc w:val="center"/>
        <w:rPr>
          <w:rFonts w:asciiTheme="majorHAnsi" w:hAnsiTheme="majorHAnsi"/>
        </w:rPr>
      </w:pPr>
    </w:p>
    <w:p w14:paraId="779A0CC1" w14:textId="77777777" w:rsidR="00A41256" w:rsidRPr="007C72EB" w:rsidRDefault="00A41256" w:rsidP="00A41256">
      <w:pPr>
        <w:ind w:left="-15" w:firstLine="441"/>
        <w:rPr>
          <w:rFonts w:ascii="Cambria" w:hAnsi="Cambria"/>
        </w:rPr>
      </w:pPr>
      <w:r w:rsidRPr="007C72EB">
        <w:rPr>
          <w:rFonts w:ascii="Cambria" w:hAnsi="Cambria"/>
          <w:i/>
          <w:iCs/>
        </w:rPr>
        <w:t>RECONNAISSANT</w:t>
      </w:r>
      <w:r w:rsidRPr="007C72EB">
        <w:rPr>
          <w:rFonts w:ascii="Cambria" w:hAnsi="Cambria"/>
        </w:rPr>
        <w:t xml:space="preserve"> que le Fonds pour la participation aux réunions de l'ICCAT (MPF) établi par la Recommandation 11-26 a contribué à améliorer la participation des représentants des États en développement aux réunions de la Commission et de ses organes subsidiaires ; </w:t>
      </w:r>
    </w:p>
    <w:p w14:paraId="6BE84252" w14:textId="77777777" w:rsidR="00A41256" w:rsidRPr="007C72EB" w:rsidRDefault="00A41256" w:rsidP="00A41256">
      <w:pPr>
        <w:ind w:firstLine="441"/>
        <w:jc w:val="left"/>
        <w:rPr>
          <w:rFonts w:ascii="Cambria" w:hAnsi="Cambria"/>
        </w:rPr>
      </w:pPr>
    </w:p>
    <w:p w14:paraId="48452785" w14:textId="77777777" w:rsidR="00A41256" w:rsidRPr="007C72EB" w:rsidRDefault="00A41256" w:rsidP="00A41256">
      <w:pPr>
        <w:ind w:left="-15" w:firstLine="441"/>
        <w:rPr>
          <w:rFonts w:ascii="Cambria" w:hAnsi="Cambria"/>
        </w:rPr>
      </w:pPr>
      <w:r w:rsidRPr="007C72EB">
        <w:rPr>
          <w:rFonts w:ascii="Cambria" w:hAnsi="Cambria"/>
          <w:i/>
          <w:iCs/>
        </w:rPr>
        <w:t>RAPPELANT</w:t>
      </w:r>
      <w:r w:rsidRPr="007C72EB">
        <w:rPr>
          <w:rFonts w:ascii="Cambria" w:hAnsi="Cambria"/>
        </w:rPr>
        <w:t xml:space="preserve"> que des préoccupations concernant le manque de participation des États en développement avaient été exprimées par le Comité d’évaluation des performances de l’ICCAT en 2008 ;  </w:t>
      </w:r>
    </w:p>
    <w:p w14:paraId="2009EA2B" w14:textId="77777777" w:rsidR="00A41256" w:rsidRPr="007C72EB" w:rsidRDefault="00A41256" w:rsidP="00A41256">
      <w:pPr>
        <w:ind w:firstLine="441"/>
        <w:jc w:val="left"/>
        <w:rPr>
          <w:rFonts w:ascii="Cambria" w:hAnsi="Cambria"/>
        </w:rPr>
      </w:pPr>
    </w:p>
    <w:p w14:paraId="376926B9" w14:textId="77777777" w:rsidR="00A41256" w:rsidRPr="007C72EB" w:rsidRDefault="00A41256" w:rsidP="00A41256">
      <w:pPr>
        <w:ind w:left="-15" w:firstLine="441"/>
        <w:rPr>
          <w:rFonts w:ascii="Cambria" w:hAnsi="Cambria"/>
        </w:rPr>
      </w:pPr>
      <w:r w:rsidRPr="007C72EB">
        <w:rPr>
          <w:rFonts w:ascii="Cambria" w:hAnsi="Cambria"/>
          <w:i/>
          <w:iCs/>
        </w:rPr>
        <w:t>NOTANT</w:t>
      </w:r>
      <w:r w:rsidRPr="007C72EB">
        <w:rPr>
          <w:rFonts w:ascii="Cambria" w:hAnsi="Cambria"/>
        </w:rPr>
        <w:t xml:space="preserve"> que l’article 25, alinéa 3 de l’Accord pour l’application des dispositions de la Convention des Nations Unies sur le droit de la mer de décembre 1982 relatif à la conservation et à la gestion des stocks de poissons chevauchants et des stocks de poissons grands migrateurs (UNFSA) identifie, entre autres, des formes de coopération avec les États en développement et la nécessité de leur apporter une assistance en matière de collecte, déclaration, vérification, échange et analyse des données halieutiques et autres informations associées, ainsi que l’évaluation des stocks et la recherche scientifique ; </w:t>
      </w:r>
    </w:p>
    <w:p w14:paraId="57FF5C66" w14:textId="77777777" w:rsidR="00A41256" w:rsidRPr="007C72EB" w:rsidRDefault="00A41256" w:rsidP="00A41256">
      <w:pPr>
        <w:ind w:firstLine="441"/>
        <w:jc w:val="left"/>
        <w:rPr>
          <w:rFonts w:ascii="Cambria" w:hAnsi="Cambria"/>
        </w:rPr>
      </w:pPr>
    </w:p>
    <w:p w14:paraId="7A88A30C" w14:textId="77777777" w:rsidR="00A41256" w:rsidRPr="007C72EB" w:rsidRDefault="00A41256" w:rsidP="00A41256">
      <w:pPr>
        <w:ind w:left="-15" w:firstLine="441"/>
        <w:rPr>
          <w:rFonts w:ascii="Cambria" w:hAnsi="Cambria"/>
        </w:rPr>
      </w:pPr>
      <w:r w:rsidRPr="007C72EB">
        <w:rPr>
          <w:rFonts w:ascii="Cambria" w:hAnsi="Cambria"/>
          <w:i/>
          <w:iCs/>
        </w:rPr>
        <w:t>RAPPELANT EN OUTRE</w:t>
      </w:r>
      <w:r w:rsidRPr="007C72EB">
        <w:rPr>
          <w:rFonts w:ascii="Cambria" w:hAnsi="Cambria"/>
        </w:rPr>
        <w:t xml:space="preserve"> que lors de la première réunion du Groupe de travail permanent dédié au dialogue entre halieutes et gestionnaires des pêcheries (SWGSM), il a été recommandé que, pour les futures réunions du SWGSM, la Commission envisage de fournir des fonds à deux membres par délégation (un gestionnaire et un scientifique) aux CPC qui ont besoin d'une assistance ; </w:t>
      </w:r>
    </w:p>
    <w:p w14:paraId="66E3F613" w14:textId="77777777" w:rsidR="00A41256" w:rsidRPr="007C72EB" w:rsidRDefault="00A41256" w:rsidP="00A41256">
      <w:pPr>
        <w:ind w:firstLine="441"/>
        <w:jc w:val="left"/>
        <w:rPr>
          <w:rFonts w:ascii="Cambria" w:hAnsi="Cambria"/>
        </w:rPr>
      </w:pPr>
    </w:p>
    <w:p w14:paraId="52641456" w14:textId="77777777" w:rsidR="00A41256" w:rsidRPr="007C72EB" w:rsidRDefault="00A41256" w:rsidP="00A41256">
      <w:pPr>
        <w:ind w:left="-15" w:firstLine="441"/>
        <w:rPr>
          <w:rFonts w:ascii="Cambria" w:hAnsi="Cambria"/>
        </w:rPr>
      </w:pPr>
      <w:r w:rsidRPr="007C72EB">
        <w:rPr>
          <w:rFonts w:ascii="Cambria" w:hAnsi="Cambria"/>
          <w:i/>
          <w:iCs/>
        </w:rPr>
        <w:t>RECONNAISSANT</w:t>
      </w:r>
      <w:r w:rsidRPr="007C72EB">
        <w:rPr>
          <w:rFonts w:ascii="Cambria" w:hAnsi="Cambria"/>
        </w:rPr>
        <w:t xml:space="preserve"> qu'il y </w:t>
      </w:r>
      <w:proofErr w:type="gramStart"/>
      <w:r w:rsidRPr="007C72EB">
        <w:rPr>
          <w:rFonts w:ascii="Cambria" w:hAnsi="Cambria"/>
        </w:rPr>
        <w:t>a</w:t>
      </w:r>
      <w:proofErr w:type="gramEnd"/>
      <w:r w:rsidRPr="007C72EB">
        <w:rPr>
          <w:rFonts w:ascii="Cambria" w:hAnsi="Cambria"/>
        </w:rPr>
        <w:t xml:space="preserve"> lieu d'amender la Recommandation 11-26 afin de mettre en œuvre la recommandation du SWGSM d'assurer une participation suffisante et équilibrée de représentants d'États en développement à ses réunions ;</w:t>
      </w:r>
    </w:p>
    <w:p w14:paraId="646D147C" w14:textId="77777777" w:rsidR="00A41256" w:rsidRPr="007C72EB" w:rsidRDefault="00A41256" w:rsidP="00A41256">
      <w:pPr>
        <w:ind w:firstLine="441"/>
        <w:rPr>
          <w:rFonts w:ascii="Cambria" w:hAnsi="Cambria"/>
          <w:i/>
        </w:rPr>
      </w:pPr>
    </w:p>
    <w:p w14:paraId="47B7D2CE" w14:textId="77777777" w:rsidR="00A41256" w:rsidRPr="003D4EAE" w:rsidRDefault="00A41256" w:rsidP="00A41256">
      <w:pPr>
        <w:ind w:left="-15" w:firstLine="441"/>
        <w:rPr>
          <w:rFonts w:ascii="Cambria" w:hAnsi="Cambria"/>
          <w:i/>
        </w:rPr>
      </w:pPr>
      <w:r w:rsidRPr="007C72EB">
        <w:rPr>
          <w:rFonts w:ascii="Cambria" w:hAnsi="Cambria"/>
          <w:i/>
        </w:rPr>
        <w:t xml:space="preserve">RECONNAISSANT </w:t>
      </w:r>
      <w:r w:rsidRPr="007C72EB">
        <w:rPr>
          <w:rFonts w:ascii="Cambria" w:hAnsi="Cambria"/>
        </w:rPr>
        <w:t xml:space="preserve">la nécessité de prendre des mesures immédiates pour </w:t>
      </w:r>
      <w:r w:rsidRPr="003D4EAE">
        <w:rPr>
          <w:rFonts w:ascii="Cambria" w:hAnsi="Cambria"/>
        </w:rPr>
        <w:t>optimiser l'utilisation du MPF en faveur d’une plus large participation des représentants des États en développement en accordant une attention particulière à ceux qui en ont le plus besoin et afin d’éviter toute future situation précaire qui pourrait restreindre et empêcher une participation plus vaste des États en développement en raison des ressources limitées ;</w:t>
      </w:r>
    </w:p>
    <w:p w14:paraId="17EF80F1" w14:textId="77777777" w:rsidR="00824C2D" w:rsidRPr="00824C2D" w:rsidRDefault="00824C2D" w:rsidP="00AC04A1">
      <w:pPr>
        <w:jc w:val="center"/>
        <w:rPr>
          <w:rFonts w:asciiTheme="majorHAnsi" w:hAnsiTheme="majorHAnsi"/>
        </w:rPr>
      </w:pPr>
    </w:p>
    <w:p w14:paraId="5A325333" w14:textId="77777777" w:rsidR="00824C2D" w:rsidRPr="00824C2D" w:rsidRDefault="00824C2D" w:rsidP="00AC04A1">
      <w:pPr>
        <w:jc w:val="center"/>
        <w:rPr>
          <w:rFonts w:asciiTheme="majorHAnsi" w:hAnsiTheme="majorHAnsi"/>
        </w:rPr>
      </w:pPr>
    </w:p>
    <w:p w14:paraId="57AEA777" w14:textId="77777777" w:rsidR="00824C2D" w:rsidRPr="00824C2D" w:rsidRDefault="00824C2D" w:rsidP="00AC04A1">
      <w:pPr>
        <w:jc w:val="center"/>
        <w:rPr>
          <w:rFonts w:asciiTheme="majorHAnsi" w:hAnsiTheme="majorHAnsi"/>
          <w:b/>
          <w:bCs/>
        </w:rPr>
      </w:pPr>
      <w:r w:rsidRPr="00824C2D">
        <w:rPr>
          <w:rFonts w:asciiTheme="majorHAnsi" w:hAnsiTheme="majorHAnsi"/>
          <w:b/>
          <w:bCs/>
        </w:rPr>
        <w:t xml:space="preserve">LA COMMISSION INTERNATIONALE POUR LA CONSERVATION </w:t>
      </w:r>
    </w:p>
    <w:p w14:paraId="625B5533" w14:textId="77777777" w:rsidR="00824C2D" w:rsidRPr="00824C2D" w:rsidRDefault="00824C2D" w:rsidP="00AC04A1">
      <w:pPr>
        <w:jc w:val="center"/>
        <w:rPr>
          <w:rFonts w:asciiTheme="majorHAnsi" w:hAnsiTheme="majorHAnsi"/>
          <w:b/>
          <w:bCs/>
        </w:rPr>
      </w:pPr>
      <w:r w:rsidRPr="00824C2D">
        <w:rPr>
          <w:rFonts w:asciiTheme="majorHAnsi" w:hAnsiTheme="majorHAnsi"/>
          <w:b/>
          <w:bCs/>
        </w:rPr>
        <w:t>DES THONIDÉS DE L’ATLANTIQUE (ICCAT) RECOMMANDE CE QUI SUIT :</w:t>
      </w:r>
    </w:p>
    <w:p w14:paraId="64E05E9D" w14:textId="77777777" w:rsidR="00824C2D" w:rsidRPr="00824C2D" w:rsidRDefault="00824C2D" w:rsidP="00AC04A1">
      <w:pPr>
        <w:jc w:val="center"/>
        <w:rPr>
          <w:rFonts w:asciiTheme="majorHAnsi" w:hAnsiTheme="majorHAnsi"/>
        </w:rPr>
      </w:pPr>
    </w:p>
    <w:p w14:paraId="0E9AAC1E" w14:textId="77777777" w:rsidR="00824C2D" w:rsidRDefault="00824C2D" w:rsidP="00AC04A1">
      <w:pPr>
        <w:pStyle w:val="ListParagraph"/>
        <w:numPr>
          <w:ilvl w:val="0"/>
          <w:numId w:val="10"/>
        </w:numPr>
        <w:contextualSpacing/>
        <w:rPr>
          <w:rFonts w:asciiTheme="majorHAnsi" w:hAnsiTheme="majorHAnsi"/>
        </w:rPr>
      </w:pPr>
      <w:r w:rsidRPr="00824C2D">
        <w:rPr>
          <w:rFonts w:asciiTheme="majorHAnsi" w:hAnsiTheme="majorHAnsi"/>
        </w:rPr>
        <w:t xml:space="preserve">Un Fonds extraordinaire de participation aux réunions (MPF) devra être mis en place dans le but d’aider les représentants des Parties contractantes de l’ICCAT qui sont des Etats en développement à participer et/ou à contribuer aux travaux de la Commission et de ses organes subsidiaires, y compris le Comité permanent pour la recherche et les statistiques (SCRS). </w:t>
      </w:r>
    </w:p>
    <w:p w14:paraId="3CE2C0AA" w14:textId="77777777" w:rsidR="00A0383E" w:rsidRPr="00824C2D" w:rsidRDefault="00A0383E" w:rsidP="00A0383E">
      <w:pPr>
        <w:pStyle w:val="ListParagraph"/>
        <w:ind w:left="405"/>
        <w:contextualSpacing/>
        <w:rPr>
          <w:rFonts w:asciiTheme="majorHAnsi" w:hAnsiTheme="majorHAnsi"/>
        </w:rPr>
      </w:pPr>
    </w:p>
    <w:p w14:paraId="5EC9B0C5" w14:textId="77777777" w:rsidR="00824C2D" w:rsidRDefault="00824C2D" w:rsidP="00AC04A1">
      <w:pPr>
        <w:pStyle w:val="ListParagraph"/>
        <w:numPr>
          <w:ilvl w:val="0"/>
          <w:numId w:val="10"/>
        </w:numPr>
        <w:contextualSpacing/>
        <w:rPr>
          <w:rFonts w:asciiTheme="majorHAnsi" w:hAnsiTheme="majorHAnsi"/>
        </w:rPr>
      </w:pPr>
      <w:r w:rsidRPr="00824C2D">
        <w:rPr>
          <w:rFonts w:asciiTheme="majorHAnsi" w:hAnsiTheme="majorHAnsi"/>
        </w:rPr>
        <w:t xml:space="preserve">Le MPF devra être financé dans un premier temps par une allocation de 60.000 € provenant du Fonds de roulement cumulé de l’ICCAT, puis par des contributions volontaires des Parties contractantes et par toute autre source que la Commission identifiera. Les Parties contractantes et les Parties, Entités ou Entités de pêche non contractantes coopérantes (CPC) sont exhortées à verser des contributions volontaires au MPF afin que les pays en développement soient bien représentés lors des travaux de la Commission et de ses organes subsidiaires. </w:t>
      </w:r>
    </w:p>
    <w:p w14:paraId="6F56EADB" w14:textId="77777777" w:rsidR="00A0383E" w:rsidRPr="00A0383E" w:rsidRDefault="00A0383E" w:rsidP="00A0383E">
      <w:pPr>
        <w:pStyle w:val="ListParagraph"/>
        <w:rPr>
          <w:rFonts w:asciiTheme="majorHAnsi" w:hAnsiTheme="majorHAnsi"/>
        </w:rPr>
      </w:pPr>
    </w:p>
    <w:p w14:paraId="7A8F6668" w14:textId="77777777" w:rsidR="00824C2D" w:rsidRDefault="00824C2D" w:rsidP="00AC04A1">
      <w:pPr>
        <w:pStyle w:val="ListParagraph"/>
        <w:numPr>
          <w:ilvl w:val="0"/>
          <w:numId w:val="10"/>
        </w:numPr>
        <w:contextualSpacing/>
        <w:rPr>
          <w:rFonts w:asciiTheme="majorHAnsi" w:hAnsiTheme="majorHAnsi"/>
        </w:rPr>
      </w:pPr>
      <w:r w:rsidRPr="00824C2D">
        <w:rPr>
          <w:rFonts w:asciiTheme="majorHAnsi" w:hAnsiTheme="majorHAnsi"/>
        </w:rPr>
        <w:t xml:space="preserve">Le MPF devra être administré par le Secrétariat de l’ICCAT, en appliquant les mêmes contrôles financiers que ceux appliqués aux allocations budgétaires ordinaires. Les contributions volontaires au MPF pourraient comporter des directives spécifiques quant à leur utilisation. </w:t>
      </w:r>
    </w:p>
    <w:p w14:paraId="575BABFB" w14:textId="77777777" w:rsidR="00A0383E" w:rsidRPr="00A0383E" w:rsidRDefault="00A0383E" w:rsidP="00A0383E">
      <w:pPr>
        <w:pStyle w:val="ListParagraph"/>
        <w:rPr>
          <w:rFonts w:asciiTheme="majorHAnsi" w:hAnsiTheme="majorHAnsi"/>
        </w:rPr>
      </w:pPr>
    </w:p>
    <w:p w14:paraId="6A5892BF" w14:textId="77777777" w:rsidR="00824C2D" w:rsidRDefault="00824C2D" w:rsidP="00AC04A1">
      <w:pPr>
        <w:pStyle w:val="ListParagraph"/>
        <w:numPr>
          <w:ilvl w:val="0"/>
          <w:numId w:val="10"/>
        </w:numPr>
        <w:contextualSpacing/>
        <w:rPr>
          <w:rFonts w:asciiTheme="majorHAnsi" w:hAnsiTheme="majorHAnsi"/>
        </w:rPr>
      </w:pPr>
      <w:r w:rsidRPr="00824C2D">
        <w:rPr>
          <w:rFonts w:asciiTheme="majorHAnsi" w:hAnsiTheme="majorHAnsi"/>
        </w:rPr>
        <w:t xml:space="preserve"> Le Secrétaire exécutif de l’ICCAT devra établir un processus permettant d’informer chaque année les Parties contractantes du niveau des fonds disponibles dans le MPF et fournir un calendrier et un formulaire aux fins de la soumission des demandes d’assistance, ainsi que les détails de l’aide à fournir. Pour pouvoir bénéficier d'une aide par le biais du MPF, les critères minimaux suivants devront être </w:t>
      </w:r>
      <w:r w:rsidRPr="00824C2D">
        <w:rPr>
          <w:rFonts w:asciiTheme="majorHAnsi" w:hAnsiTheme="majorHAnsi"/>
        </w:rPr>
        <w:lastRenderedPageBreak/>
        <w:t xml:space="preserve">remplis afin de contrôler les coûts et de minimiser la charge administrative tout en tenant compte des besoins et des intérêts de la Commission en ce qui concerne la participation du demandeur : </w:t>
      </w:r>
    </w:p>
    <w:p w14:paraId="4E4DF3DF" w14:textId="77777777" w:rsidR="00A0383E" w:rsidRPr="00824C2D" w:rsidRDefault="00A0383E" w:rsidP="00A0383E">
      <w:pPr>
        <w:pStyle w:val="ListParagraph"/>
        <w:ind w:left="405"/>
        <w:contextualSpacing/>
        <w:rPr>
          <w:rFonts w:asciiTheme="majorHAnsi" w:hAnsiTheme="majorHAnsi"/>
        </w:rPr>
      </w:pPr>
    </w:p>
    <w:p w14:paraId="6302AA09" w14:textId="66CC3843" w:rsidR="00824C2D" w:rsidRDefault="00824C2D" w:rsidP="003844D6">
      <w:pPr>
        <w:pStyle w:val="ListParagraph"/>
        <w:numPr>
          <w:ilvl w:val="0"/>
          <w:numId w:val="12"/>
        </w:numPr>
        <w:rPr>
          <w:rFonts w:asciiTheme="majorHAnsi" w:hAnsiTheme="majorHAnsi"/>
        </w:rPr>
      </w:pPr>
      <w:r w:rsidRPr="00824C2D">
        <w:rPr>
          <w:rFonts w:asciiTheme="majorHAnsi" w:hAnsiTheme="majorHAnsi"/>
        </w:rPr>
        <w:t xml:space="preserve">Une Partie contractante en développement qui envoie plus de six délégués officiels à une réunion de la Commission ou plus de quatre à une réunion d’un de ses organismes subsidiaires en utilisant ses propres moyens ou sources financières (à l’exception du MPF) n’est pas habilitée à recevoir un soutien financier du MPF pour couvrir les frais de voyage de cette réunion. </w:t>
      </w:r>
    </w:p>
    <w:p w14:paraId="390097CC" w14:textId="77777777" w:rsidR="003844D6" w:rsidRPr="00824C2D" w:rsidRDefault="003844D6" w:rsidP="003844D6">
      <w:pPr>
        <w:pStyle w:val="ListParagraph"/>
        <w:ind w:left="861"/>
        <w:rPr>
          <w:rFonts w:asciiTheme="majorHAnsi" w:hAnsiTheme="majorHAnsi"/>
        </w:rPr>
      </w:pPr>
    </w:p>
    <w:p w14:paraId="784216C0" w14:textId="22CC76FD" w:rsidR="00824C2D" w:rsidRPr="00824C2D" w:rsidRDefault="00824C2D" w:rsidP="00FC5AB8">
      <w:pPr>
        <w:pStyle w:val="ListParagraph"/>
        <w:ind w:left="851" w:hanging="425"/>
        <w:rPr>
          <w:rFonts w:asciiTheme="majorHAnsi" w:hAnsiTheme="majorHAnsi"/>
        </w:rPr>
      </w:pPr>
      <w:r w:rsidRPr="00824C2D">
        <w:rPr>
          <w:rFonts w:asciiTheme="majorHAnsi" w:hAnsiTheme="majorHAnsi"/>
        </w:rPr>
        <w:t>b)</w:t>
      </w:r>
      <w:r w:rsidR="00FC5AB8">
        <w:rPr>
          <w:rFonts w:asciiTheme="majorHAnsi" w:hAnsiTheme="majorHAnsi"/>
        </w:rPr>
        <w:tab/>
      </w:r>
      <w:r w:rsidRPr="00824C2D">
        <w:rPr>
          <w:rFonts w:asciiTheme="majorHAnsi" w:hAnsiTheme="majorHAnsi"/>
        </w:rPr>
        <w:t>Les demandeurs devront :</w:t>
      </w:r>
    </w:p>
    <w:p w14:paraId="1A6FAAC7" w14:textId="5A231E58" w:rsidR="00824C2D" w:rsidRPr="00824C2D" w:rsidRDefault="00824C2D" w:rsidP="003844D6">
      <w:pPr>
        <w:pStyle w:val="ListParagraph"/>
        <w:ind w:left="1276" w:hanging="425"/>
        <w:rPr>
          <w:rFonts w:asciiTheme="majorHAnsi" w:hAnsiTheme="majorHAnsi"/>
        </w:rPr>
      </w:pPr>
      <w:r w:rsidRPr="00824C2D">
        <w:rPr>
          <w:rFonts w:asciiTheme="majorHAnsi" w:hAnsiTheme="majorHAnsi"/>
        </w:rPr>
        <w:t>i.</w:t>
      </w:r>
      <w:r w:rsidR="00FC5AB8">
        <w:rPr>
          <w:rFonts w:asciiTheme="majorHAnsi" w:hAnsiTheme="majorHAnsi"/>
        </w:rPr>
        <w:tab/>
      </w:r>
      <w:r w:rsidRPr="00824C2D">
        <w:rPr>
          <w:rFonts w:asciiTheme="majorHAnsi" w:hAnsiTheme="majorHAnsi"/>
        </w:rPr>
        <w:t xml:space="preserve">voyager en utilisant le tarif le plus bas de la classe économique, à moins qu'une autre classe tarifaire ne soit disponible à un coût inférieur ; et </w:t>
      </w:r>
    </w:p>
    <w:p w14:paraId="48F764D7" w14:textId="7A3795C9" w:rsidR="00824C2D" w:rsidRPr="00824C2D" w:rsidRDefault="00824C2D" w:rsidP="003844D6">
      <w:pPr>
        <w:pStyle w:val="ListParagraph"/>
        <w:ind w:left="1276" w:hanging="425"/>
        <w:rPr>
          <w:rFonts w:asciiTheme="majorHAnsi" w:hAnsiTheme="majorHAnsi"/>
        </w:rPr>
      </w:pPr>
      <w:r w:rsidRPr="00824C2D">
        <w:rPr>
          <w:rFonts w:asciiTheme="majorHAnsi" w:hAnsiTheme="majorHAnsi"/>
        </w:rPr>
        <w:t>ii.</w:t>
      </w:r>
      <w:r w:rsidR="003844D6">
        <w:rPr>
          <w:rFonts w:asciiTheme="majorHAnsi" w:hAnsiTheme="majorHAnsi"/>
        </w:rPr>
        <w:tab/>
      </w:r>
      <w:r w:rsidRPr="00824C2D">
        <w:rPr>
          <w:rFonts w:asciiTheme="majorHAnsi" w:hAnsiTheme="majorHAnsi"/>
        </w:rPr>
        <w:t xml:space="preserve">définir leur itinéraire de vol au moins 30 jours avant le début de la réunion. </w:t>
      </w:r>
    </w:p>
    <w:p w14:paraId="55E4700F" w14:textId="77777777" w:rsidR="00824C2D" w:rsidRPr="00824C2D" w:rsidRDefault="00824C2D" w:rsidP="00AC04A1">
      <w:pPr>
        <w:pStyle w:val="ListParagraph"/>
        <w:ind w:left="405"/>
        <w:rPr>
          <w:rFonts w:asciiTheme="majorHAnsi" w:hAnsiTheme="majorHAnsi"/>
        </w:rPr>
      </w:pPr>
    </w:p>
    <w:p w14:paraId="37ABD521" w14:textId="77777777" w:rsidR="00824C2D" w:rsidRDefault="00824C2D" w:rsidP="00AC04A1">
      <w:pPr>
        <w:pStyle w:val="ListParagraph"/>
        <w:numPr>
          <w:ilvl w:val="0"/>
          <w:numId w:val="10"/>
        </w:numPr>
        <w:contextualSpacing/>
        <w:rPr>
          <w:rFonts w:asciiTheme="majorHAnsi" w:hAnsiTheme="majorHAnsi"/>
        </w:rPr>
      </w:pPr>
      <w:r w:rsidRPr="00824C2D">
        <w:rPr>
          <w:rFonts w:asciiTheme="majorHAnsi" w:hAnsiTheme="majorHAnsi"/>
        </w:rPr>
        <w:t xml:space="preserve">Le Secrétaire exécutif de l'ICCAT devra soumettre un rapport annuel à la Commission sur l’état du Fonds, qui inclura un état financier des contributions et des dépenses relatives au Fonds. </w:t>
      </w:r>
    </w:p>
    <w:p w14:paraId="4C95D925" w14:textId="77777777" w:rsidR="00A0383E" w:rsidRPr="00824C2D" w:rsidRDefault="00A0383E" w:rsidP="00A0383E">
      <w:pPr>
        <w:pStyle w:val="ListParagraph"/>
        <w:ind w:left="405"/>
        <w:contextualSpacing/>
        <w:rPr>
          <w:rFonts w:asciiTheme="majorHAnsi" w:hAnsiTheme="majorHAnsi"/>
        </w:rPr>
      </w:pPr>
    </w:p>
    <w:p w14:paraId="561C191F" w14:textId="77777777" w:rsidR="00824C2D" w:rsidRDefault="00824C2D" w:rsidP="00AC04A1">
      <w:pPr>
        <w:pStyle w:val="ListParagraph"/>
        <w:numPr>
          <w:ilvl w:val="0"/>
          <w:numId w:val="10"/>
        </w:numPr>
        <w:contextualSpacing/>
        <w:rPr>
          <w:rFonts w:asciiTheme="majorHAnsi" w:hAnsiTheme="majorHAnsi"/>
        </w:rPr>
      </w:pPr>
      <w:r w:rsidRPr="00824C2D">
        <w:rPr>
          <w:rFonts w:asciiTheme="majorHAnsi" w:hAnsiTheme="majorHAnsi"/>
        </w:rPr>
        <w:t>En ce qui concerne la participation aux réunions scientifiques de l’ICCAT, dont les réunions des groupes d’espèces du SCRS et d’autres réunions intersessions, les scientifiques éligibles pourront solliciter une aide auprès du MPF, ou le cas échéant, des autres fonds existants alimentés par les contributions volontaires des CPC. Les demandeurs seront sélectionnés conformément au protocole établi par le Comité permanent pour la recherche et les statistiques (SCRS) (Addendum 2 de l’Appendice 7 du rapport du SCRS de 2011).</w:t>
      </w:r>
    </w:p>
    <w:p w14:paraId="54675BEC" w14:textId="77777777" w:rsidR="00A0383E" w:rsidRPr="00824C2D" w:rsidRDefault="00A0383E" w:rsidP="00A0383E">
      <w:pPr>
        <w:pStyle w:val="ListParagraph"/>
        <w:ind w:left="405"/>
        <w:contextualSpacing/>
        <w:rPr>
          <w:rFonts w:asciiTheme="majorHAnsi" w:hAnsiTheme="majorHAnsi"/>
        </w:rPr>
      </w:pPr>
    </w:p>
    <w:p w14:paraId="0EFC94B4" w14:textId="2CC906CF" w:rsidR="00824C2D" w:rsidRPr="002D0083" w:rsidRDefault="00824C2D" w:rsidP="00AC04A1">
      <w:pPr>
        <w:pStyle w:val="ListParagraph"/>
        <w:numPr>
          <w:ilvl w:val="0"/>
          <w:numId w:val="10"/>
        </w:numPr>
        <w:contextualSpacing/>
        <w:rPr>
          <w:rFonts w:asciiTheme="majorHAnsi" w:hAnsiTheme="majorHAnsi"/>
        </w:rPr>
      </w:pPr>
      <w:r w:rsidRPr="00824C2D">
        <w:rPr>
          <w:rFonts w:asciiTheme="majorHAnsi" w:hAnsiTheme="majorHAnsi"/>
        </w:rPr>
        <w:t xml:space="preserve"> En ce qui concerne la participation aux réunions non scientifiques, des fonds seront alloués selon l’ordre des demandes reçues. Le financement ne sera attribué </w:t>
      </w:r>
      <w:r w:rsidRPr="002D0083">
        <w:rPr>
          <w:rFonts w:asciiTheme="majorHAnsi" w:hAnsiTheme="majorHAnsi"/>
        </w:rPr>
        <w:t xml:space="preserve">qu'à un seul participant par Partie contractante et par réunion, à l'exception de la réunion du SWGSM, </w:t>
      </w:r>
      <w:r w:rsidRPr="002D0083">
        <w:rPr>
          <w:rFonts w:asciiTheme="majorHAnsi" w:hAnsiTheme="majorHAnsi"/>
          <w:u w:val="single"/>
        </w:rPr>
        <w:t xml:space="preserve">et de la réunion annuelle de la </w:t>
      </w:r>
      <w:r w:rsidR="00AD5487" w:rsidRPr="002D0083">
        <w:rPr>
          <w:rFonts w:asciiTheme="majorHAnsi" w:hAnsiTheme="majorHAnsi"/>
          <w:u w:val="single"/>
        </w:rPr>
        <w:t>C</w:t>
      </w:r>
      <w:r w:rsidRPr="002D0083">
        <w:rPr>
          <w:rFonts w:asciiTheme="majorHAnsi" w:hAnsiTheme="majorHAnsi"/>
          <w:u w:val="single"/>
        </w:rPr>
        <w:t xml:space="preserve">ommission </w:t>
      </w:r>
      <w:r w:rsidR="00A0383E" w:rsidRPr="002D0083">
        <w:rPr>
          <w:rFonts w:asciiTheme="majorHAnsi" w:hAnsiTheme="majorHAnsi"/>
          <w:u w:val="single"/>
        </w:rPr>
        <w:t>auxquelles</w:t>
      </w:r>
      <w:r w:rsidRPr="002D0083">
        <w:rPr>
          <w:rFonts w:asciiTheme="majorHAnsi" w:hAnsiTheme="majorHAnsi"/>
        </w:rPr>
        <w:t xml:space="preserve"> deux membres par délégation (un gestionnaire et un scientifique) </w:t>
      </w:r>
      <w:r w:rsidRPr="002D0083">
        <w:rPr>
          <w:rFonts w:asciiTheme="majorHAnsi" w:hAnsiTheme="majorHAnsi"/>
          <w:u w:val="single"/>
        </w:rPr>
        <w:t xml:space="preserve">pour la réunion </w:t>
      </w:r>
      <w:r w:rsidR="002E3B07" w:rsidRPr="002D0083">
        <w:rPr>
          <w:rFonts w:asciiTheme="majorHAnsi" w:hAnsiTheme="majorHAnsi"/>
          <w:u w:val="single"/>
        </w:rPr>
        <w:t xml:space="preserve">du </w:t>
      </w:r>
      <w:r w:rsidRPr="002D0083">
        <w:rPr>
          <w:rFonts w:asciiTheme="majorHAnsi" w:hAnsiTheme="majorHAnsi"/>
          <w:u w:val="single"/>
        </w:rPr>
        <w:t>SWGSM</w:t>
      </w:r>
      <w:r w:rsidRPr="002D0083">
        <w:rPr>
          <w:rFonts w:asciiTheme="majorHAnsi" w:hAnsiTheme="majorHAnsi"/>
        </w:rPr>
        <w:t xml:space="preserve">, </w:t>
      </w:r>
      <w:r w:rsidRPr="002D0083">
        <w:rPr>
          <w:rFonts w:asciiTheme="majorHAnsi" w:hAnsiTheme="majorHAnsi"/>
          <w:u w:val="single"/>
        </w:rPr>
        <w:t>et deux délégués pour la réunion annuelle</w:t>
      </w:r>
      <w:r w:rsidRPr="002D0083">
        <w:rPr>
          <w:rFonts w:asciiTheme="majorHAnsi" w:hAnsiTheme="majorHAnsi"/>
        </w:rPr>
        <w:t xml:space="preserve"> peuvent bénéficier de l'assistance. Toutes les demandes devront être soumises à l’approbation du Président de la Commission, du Président du STACFAD et du Secrétaire exécutif, et, dans le cas d’organes subsidiaires, du Président de la réunion pour laquelle un financement est sollicité. </w:t>
      </w:r>
    </w:p>
    <w:p w14:paraId="6CB77722" w14:textId="77777777" w:rsidR="00A0383E" w:rsidRPr="002D0083" w:rsidRDefault="00A0383E" w:rsidP="00A0383E">
      <w:pPr>
        <w:pStyle w:val="ListParagraph"/>
        <w:ind w:left="405"/>
        <w:contextualSpacing/>
        <w:rPr>
          <w:rFonts w:asciiTheme="majorHAnsi" w:hAnsiTheme="majorHAnsi"/>
        </w:rPr>
      </w:pPr>
    </w:p>
    <w:p w14:paraId="0AE17A16" w14:textId="77777777" w:rsidR="00824C2D" w:rsidRPr="002D0083" w:rsidRDefault="00824C2D" w:rsidP="00AC04A1">
      <w:pPr>
        <w:pStyle w:val="ListParagraph"/>
        <w:numPr>
          <w:ilvl w:val="0"/>
          <w:numId w:val="10"/>
        </w:numPr>
        <w:contextualSpacing/>
        <w:rPr>
          <w:rFonts w:asciiTheme="majorHAnsi" w:hAnsiTheme="majorHAnsi"/>
        </w:rPr>
      </w:pPr>
      <w:r w:rsidRPr="002D0083">
        <w:rPr>
          <w:rFonts w:asciiTheme="majorHAnsi" w:hAnsiTheme="majorHAnsi"/>
        </w:rPr>
        <w:t xml:space="preserve">Les fonds placés dans le MPF devront être utilisés de manière à faire en sorte que la distribution soit équilibrée entre les réunions qui revêtent un caractère scientifique et celles qui ne le revêtent pas. </w:t>
      </w:r>
    </w:p>
    <w:p w14:paraId="40DA3BBA" w14:textId="77777777" w:rsidR="003E3F5B" w:rsidRPr="002D0083" w:rsidRDefault="003E3F5B" w:rsidP="003E3F5B">
      <w:pPr>
        <w:pStyle w:val="ListParagraph"/>
        <w:rPr>
          <w:rFonts w:asciiTheme="majorHAnsi" w:hAnsiTheme="majorHAnsi"/>
        </w:rPr>
      </w:pPr>
    </w:p>
    <w:p w14:paraId="0715566B" w14:textId="77777777" w:rsidR="00824C2D" w:rsidRPr="002D0083" w:rsidRDefault="00824C2D" w:rsidP="00AC04A1">
      <w:pPr>
        <w:pStyle w:val="ListParagraph"/>
        <w:numPr>
          <w:ilvl w:val="0"/>
          <w:numId w:val="10"/>
        </w:numPr>
        <w:contextualSpacing/>
        <w:rPr>
          <w:rFonts w:asciiTheme="majorHAnsi" w:hAnsiTheme="majorHAnsi"/>
        </w:rPr>
      </w:pPr>
      <w:r w:rsidRPr="002D0083">
        <w:rPr>
          <w:rFonts w:asciiTheme="majorHAnsi" w:hAnsiTheme="majorHAnsi"/>
        </w:rPr>
        <w:t xml:space="preserve">Tous les potentiels demandeurs éligibles sont encouragés à explorer des possibilités alternatives de financement dont peuvent disposer les Parties contractantes qui sont des Etats en développement avant de solliciter une aide auprès du MPF ou d’autres fonds volontaires pertinents de l’ICCAT. </w:t>
      </w:r>
    </w:p>
    <w:p w14:paraId="2B280822" w14:textId="77777777" w:rsidR="003E3F5B" w:rsidRPr="002D0083" w:rsidRDefault="003E3F5B" w:rsidP="003E3F5B">
      <w:pPr>
        <w:pStyle w:val="ListParagraph"/>
        <w:rPr>
          <w:rFonts w:asciiTheme="majorHAnsi" w:hAnsiTheme="majorHAnsi"/>
        </w:rPr>
      </w:pPr>
    </w:p>
    <w:p w14:paraId="58A0F1BB" w14:textId="4A0AFE3D" w:rsidR="00824C2D" w:rsidRPr="002D0083" w:rsidRDefault="00824C2D" w:rsidP="00AC04A1">
      <w:pPr>
        <w:pStyle w:val="ListParagraph"/>
        <w:numPr>
          <w:ilvl w:val="0"/>
          <w:numId w:val="10"/>
        </w:numPr>
        <w:contextualSpacing/>
        <w:rPr>
          <w:rFonts w:asciiTheme="majorHAnsi" w:hAnsiTheme="majorHAnsi"/>
        </w:rPr>
      </w:pPr>
      <w:r w:rsidRPr="002D0083">
        <w:rPr>
          <w:rFonts w:asciiTheme="majorHAnsi" w:hAnsiTheme="majorHAnsi"/>
        </w:rPr>
        <w:t xml:space="preserve">La présente Recommandation remplace et abroge la Recommandation </w:t>
      </w:r>
      <w:r w:rsidR="00044C56" w:rsidRPr="002D0083">
        <w:rPr>
          <w:rFonts w:asciiTheme="majorHAnsi" w:hAnsiTheme="majorHAnsi"/>
          <w:u w:val="single"/>
        </w:rPr>
        <w:t>20-09</w:t>
      </w:r>
      <w:r w:rsidRPr="002D0083">
        <w:rPr>
          <w:rFonts w:asciiTheme="majorHAnsi" w:hAnsiTheme="majorHAnsi"/>
        </w:rPr>
        <w:t xml:space="preserve"> dans son intégralité.</w:t>
      </w:r>
    </w:p>
    <w:p w14:paraId="316668E1" w14:textId="77777777" w:rsidR="00824C2D" w:rsidRPr="00824C2D" w:rsidRDefault="00824C2D" w:rsidP="00AC04A1">
      <w:pPr>
        <w:pStyle w:val="ListParagraph"/>
        <w:ind w:left="540"/>
        <w:rPr>
          <w:rFonts w:asciiTheme="majorHAnsi" w:hAnsiTheme="majorHAnsi"/>
          <w:i/>
        </w:rPr>
      </w:pPr>
    </w:p>
    <w:p w14:paraId="388B23FC" w14:textId="77777777" w:rsidR="00824C2D" w:rsidRPr="00824C2D" w:rsidRDefault="00824C2D" w:rsidP="00AC04A1">
      <w:pPr>
        <w:pStyle w:val="Header"/>
        <w:jc w:val="right"/>
        <w:rPr>
          <w:rFonts w:asciiTheme="majorHAnsi" w:hAnsiTheme="majorHAnsi"/>
          <w:b/>
          <w:bCs/>
        </w:rPr>
      </w:pPr>
    </w:p>
    <w:sectPr w:rsidR="00824C2D" w:rsidRPr="00824C2D" w:rsidSect="00333C63">
      <w:headerReference w:type="default" r:id="rId8"/>
      <w:footerReference w:type="default" r:id="rId9"/>
      <w:pgSz w:w="11907" w:h="16840" w:code="9"/>
      <w:pgMar w:top="1134" w:right="1418"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45DD" w14:textId="77777777" w:rsidR="007075B3" w:rsidRDefault="007075B3">
      <w:r>
        <w:separator/>
      </w:r>
    </w:p>
  </w:endnote>
  <w:endnote w:type="continuationSeparator" w:id="0">
    <w:p w14:paraId="3E357044" w14:textId="77777777" w:rsidR="007075B3" w:rsidRDefault="0070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66DF" w14:textId="777AAADC" w:rsidR="000B7D8E" w:rsidRPr="005C164A" w:rsidRDefault="005868BD" w:rsidP="00C227DE">
    <w:pPr>
      <w:pStyle w:val="Footer"/>
      <w:jc w:val="center"/>
      <w:rPr>
        <w:rFonts w:asciiTheme="majorHAnsi" w:hAnsiTheme="majorHAnsi"/>
      </w:rPr>
    </w:pPr>
    <w:r w:rsidRPr="005C164A">
      <w:rPr>
        <w:rFonts w:asciiTheme="majorHAnsi" w:hAnsiTheme="majorHAnsi"/>
      </w:rPr>
      <w:fldChar w:fldCharType="begin"/>
    </w:r>
    <w:r w:rsidR="00FF0D12" w:rsidRPr="005C164A">
      <w:rPr>
        <w:rFonts w:asciiTheme="majorHAnsi" w:hAnsiTheme="majorHAnsi"/>
      </w:rPr>
      <w:instrText xml:space="preserve"> PAGE </w:instrText>
    </w:r>
    <w:r w:rsidRPr="005C164A">
      <w:rPr>
        <w:rFonts w:asciiTheme="majorHAnsi" w:hAnsiTheme="majorHAnsi"/>
      </w:rPr>
      <w:fldChar w:fldCharType="separate"/>
    </w:r>
    <w:r w:rsidR="00FF6F08">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00FF0D12" w:rsidRPr="005C164A">
      <w:rPr>
        <w:rFonts w:asciiTheme="majorHAnsi" w:hAnsiTheme="majorHAnsi"/>
      </w:rPr>
      <w:instrText xml:space="preserve"> NUMPAGES </w:instrText>
    </w:r>
    <w:r w:rsidRPr="005C164A">
      <w:rPr>
        <w:rFonts w:asciiTheme="majorHAnsi" w:hAnsiTheme="majorHAnsi"/>
      </w:rPr>
      <w:fldChar w:fldCharType="separate"/>
    </w:r>
    <w:r w:rsidR="00FF6F08">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956F" w14:textId="77777777" w:rsidR="007075B3" w:rsidRDefault="007075B3">
      <w:r>
        <w:separator/>
      </w:r>
    </w:p>
  </w:footnote>
  <w:footnote w:type="continuationSeparator" w:id="0">
    <w:p w14:paraId="2015895E" w14:textId="77777777" w:rsidR="007075B3" w:rsidRDefault="0070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C0A" w14:textId="07B8B7C8" w:rsidR="007A0C7A" w:rsidRPr="00776E69" w:rsidRDefault="007A0C7A" w:rsidP="007A0C7A">
    <w:pPr>
      <w:tabs>
        <w:tab w:val="center" w:pos="4680"/>
        <w:tab w:val="left" w:pos="6520"/>
        <w:tab w:val="right" w:pos="9360"/>
        <w:tab w:val="right" w:pos="14240"/>
      </w:tabs>
      <w:jc w:val="right"/>
      <w:rPr>
        <w:rFonts w:ascii="Cambria" w:eastAsia="Calibri" w:hAnsi="Cambria"/>
        <w:b/>
        <w:bCs/>
      </w:rPr>
    </w:pPr>
    <w:r>
      <w:rPr>
        <w:rFonts w:ascii="Cambria" w:hAnsi="Cambria"/>
        <w:b/>
      </w:rPr>
      <w:t>STF_2</w:t>
    </w:r>
    <w:r w:rsidR="004D338E">
      <w:rPr>
        <w:rFonts w:ascii="Cambria" w:hAnsi="Cambria"/>
        <w:b/>
      </w:rPr>
      <w:t>1</w:t>
    </w:r>
    <w:r>
      <w:rPr>
        <w:rFonts w:ascii="Cambria" w:hAnsi="Cambria"/>
        <w:b/>
      </w:rPr>
      <w:t>5/202</w:t>
    </w:r>
    <w:r w:rsidR="00B34E9D">
      <w:rPr>
        <w:rFonts w:ascii="Cambria" w:hAnsi="Cambria"/>
        <w:b/>
      </w:rPr>
      <w:t>5</w:t>
    </w:r>
  </w:p>
  <w:p w14:paraId="707C55AA" w14:textId="3CF84F52" w:rsidR="007A0C7A" w:rsidRDefault="007A0C7A" w:rsidP="007A0C7A">
    <w:pPr>
      <w:tabs>
        <w:tab w:val="left" w:pos="7320"/>
      </w:tabs>
      <w:spacing w:line="240" w:lineRule="exact"/>
      <w:jc w:val="right"/>
      <w:rPr>
        <w:rFonts w:ascii="Cambria" w:eastAsia="Times New Roman" w:hAnsi="Cambria"/>
        <w:b/>
        <w:bCs/>
        <w:sz w:val="16"/>
        <w:szCs w:val="16"/>
        <w:lang w:val="es-ES_tradnl" w:eastAsia="en-US"/>
      </w:rPr>
    </w:pPr>
    <w:r w:rsidRPr="00776E69">
      <w:rPr>
        <w:rFonts w:ascii="Cambria" w:eastAsia="Times New Roman" w:hAnsi="Cambria"/>
        <w:b/>
        <w:sz w:val="16"/>
      </w:rPr>
      <w:fldChar w:fldCharType="begin"/>
    </w:r>
    <w:r w:rsidRPr="00776E69">
      <w:rPr>
        <w:rFonts w:ascii="Cambria" w:eastAsia="Times New Roman" w:hAnsi="Cambria"/>
        <w:b/>
        <w:sz w:val="16"/>
      </w:rPr>
      <w:instrText xml:space="preserve"> TIME \@ "dd/MM/yyyy H:mm" </w:instrText>
    </w:r>
    <w:r w:rsidRPr="00776E69">
      <w:rPr>
        <w:rFonts w:ascii="Cambria" w:eastAsia="Times New Roman" w:hAnsi="Cambria"/>
        <w:b/>
        <w:sz w:val="16"/>
      </w:rPr>
      <w:fldChar w:fldCharType="separate"/>
    </w:r>
    <w:r w:rsidR="005D0300">
      <w:rPr>
        <w:rFonts w:ascii="Cambria" w:eastAsia="Times New Roman" w:hAnsi="Cambria"/>
        <w:b/>
        <w:noProof/>
        <w:sz w:val="16"/>
      </w:rPr>
      <w:t>23/10/2025 14:59</w:t>
    </w:r>
    <w:r w:rsidRPr="00776E69">
      <w:rPr>
        <w:rFonts w:ascii="Cambria" w:eastAsia="Times New Roman" w:hAnsi="Cambria"/>
        <w:b/>
        <w:bCs/>
        <w:sz w:val="16"/>
        <w:szCs w:val="16"/>
        <w:lang w:val="es-ES_tradnl" w:eastAsia="en-US"/>
      </w:rPr>
      <w:fldChar w:fldCharType="end"/>
    </w:r>
  </w:p>
  <w:p w14:paraId="77884BF5" w14:textId="77777777" w:rsidR="00501E34" w:rsidRPr="007A0C7A" w:rsidRDefault="00501E34" w:rsidP="007A0C7A">
    <w:pPr>
      <w:tabs>
        <w:tab w:val="left" w:pos="7320"/>
      </w:tabs>
      <w:spacing w:line="240" w:lineRule="exact"/>
      <w:jc w:val="right"/>
      <w:rPr>
        <w:rFonts w:eastAsia="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8427098"/>
    <w:multiLevelType w:val="hybridMultilevel"/>
    <w:tmpl w:val="7C985972"/>
    <w:lvl w:ilvl="0" w:tplc="CFE07FEA">
      <w:start w:val="1"/>
      <w:numFmt w:val="decimal"/>
      <w:lvlText w:val="%1."/>
      <w:lvlJc w:val="left"/>
      <w:pPr>
        <w:ind w:left="428" w:hanging="428"/>
      </w:pPr>
      <w:rPr>
        <w:rFonts w:ascii="Cambria" w:eastAsia="Cambria" w:hAnsi="Cambria" w:cs="Cambria" w:hint="default"/>
        <w:b/>
        <w:bCs/>
        <w:i w:val="0"/>
        <w:iCs w:val="0"/>
        <w:spacing w:val="-1"/>
        <w:w w:val="99"/>
        <w:sz w:val="20"/>
        <w:szCs w:val="20"/>
        <w:lang w:val="fr-FR" w:eastAsia="en-US" w:bidi="ar-SA"/>
      </w:rPr>
    </w:lvl>
    <w:lvl w:ilvl="1" w:tplc="CA3025B6">
      <w:start w:val="1"/>
      <w:numFmt w:val="lowerLetter"/>
      <w:lvlText w:val="%2."/>
      <w:lvlJc w:val="left"/>
      <w:pPr>
        <w:ind w:left="852" w:hanging="425"/>
      </w:pPr>
      <w:rPr>
        <w:rFonts w:ascii="Cambria" w:eastAsia="Cambria" w:hAnsi="Cambria" w:cs="Cambria" w:hint="default"/>
        <w:b w:val="0"/>
        <w:bCs w:val="0"/>
        <w:i w:val="0"/>
        <w:iCs w:val="0"/>
        <w:spacing w:val="0"/>
        <w:w w:val="99"/>
        <w:sz w:val="20"/>
        <w:szCs w:val="20"/>
        <w:lang w:val="fr-FR" w:eastAsia="en-US" w:bidi="ar-SA"/>
      </w:rPr>
    </w:lvl>
    <w:lvl w:ilvl="2" w:tplc="1D16441E">
      <w:start w:val="1"/>
      <w:numFmt w:val="lowerRoman"/>
      <w:lvlText w:val="%3"/>
      <w:lvlJc w:val="left"/>
      <w:pPr>
        <w:ind w:left="1277" w:hanging="425"/>
      </w:pPr>
      <w:rPr>
        <w:rFonts w:ascii="Times New Roman" w:eastAsia="Times New Roman" w:hAnsi="Times New Roman" w:cs="Times New Roman" w:hint="default"/>
        <w:b w:val="0"/>
        <w:bCs w:val="0"/>
        <w:i w:val="0"/>
        <w:iCs w:val="0"/>
        <w:spacing w:val="0"/>
        <w:w w:val="99"/>
        <w:sz w:val="20"/>
        <w:szCs w:val="20"/>
        <w:lang w:val="fr-FR" w:eastAsia="en-US" w:bidi="ar-SA"/>
      </w:rPr>
    </w:lvl>
    <w:lvl w:ilvl="3" w:tplc="7E9CC354">
      <w:numFmt w:val="bullet"/>
      <w:lvlText w:val="•"/>
      <w:lvlJc w:val="left"/>
      <w:pPr>
        <w:ind w:left="2271" w:hanging="425"/>
      </w:pPr>
      <w:rPr>
        <w:rFonts w:hint="default"/>
        <w:lang w:val="fr-FR" w:eastAsia="en-US" w:bidi="ar-SA"/>
      </w:rPr>
    </w:lvl>
    <w:lvl w:ilvl="4" w:tplc="F64A26B0">
      <w:numFmt w:val="bullet"/>
      <w:lvlText w:val="•"/>
      <w:lvlJc w:val="left"/>
      <w:pPr>
        <w:ind w:left="3263" w:hanging="425"/>
      </w:pPr>
      <w:rPr>
        <w:rFonts w:hint="default"/>
        <w:lang w:val="fr-FR" w:eastAsia="en-US" w:bidi="ar-SA"/>
      </w:rPr>
    </w:lvl>
    <w:lvl w:ilvl="5" w:tplc="AEA6AE34">
      <w:numFmt w:val="bullet"/>
      <w:lvlText w:val="•"/>
      <w:lvlJc w:val="left"/>
      <w:pPr>
        <w:ind w:left="4255" w:hanging="425"/>
      </w:pPr>
      <w:rPr>
        <w:rFonts w:hint="default"/>
        <w:lang w:val="fr-FR" w:eastAsia="en-US" w:bidi="ar-SA"/>
      </w:rPr>
    </w:lvl>
    <w:lvl w:ilvl="6" w:tplc="A2F88AB4">
      <w:numFmt w:val="bullet"/>
      <w:lvlText w:val="•"/>
      <w:lvlJc w:val="left"/>
      <w:pPr>
        <w:ind w:left="5247" w:hanging="425"/>
      </w:pPr>
      <w:rPr>
        <w:rFonts w:hint="default"/>
        <w:lang w:val="fr-FR" w:eastAsia="en-US" w:bidi="ar-SA"/>
      </w:rPr>
    </w:lvl>
    <w:lvl w:ilvl="7" w:tplc="906E708C">
      <w:numFmt w:val="bullet"/>
      <w:lvlText w:val="•"/>
      <w:lvlJc w:val="left"/>
      <w:pPr>
        <w:ind w:left="6239" w:hanging="425"/>
      </w:pPr>
      <w:rPr>
        <w:rFonts w:hint="default"/>
        <w:lang w:val="fr-FR" w:eastAsia="en-US" w:bidi="ar-SA"/>
      </w:rPr>
    </w:lvl>
    <w:lvl w:ilvl="8" w:tplc="418E573A">
      <w:numFmt w:val="bullet"/>
      <w:lvlText w:val="•"/>
      <w:lvlJc w:val="left"/>
      <w:pPr>
        <w:ind w:left="7230" w:hanging="425"/>
      </w:pPr>
      <w:rPr>
        <w:rFonts w:hint="default"/>
        <w:lang w:val="fr-FR" w:eastAsia="en-US" w:bidi="ar-SA"/>
      </w:rPr>
    </w:lvl>
  </w:abstractNum>
  <w:abstractNum w:abstractNumId="4" w15:restartNumberingAfterBreak="0">
    <w:nsid w:val="0BE16728"/>
    <w:multiLevelType w:val="hybridMultilevel"/>
    <w:tmpl w:val="A48877D8"/>
    <w:lvl w:ilvl="0" w:tplc="F2622974">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 w15:restartNumberingAfterBreak="0">
    <w:nsid w:val="1185425E"/>
    <w:multiLevelType w:val="hybridMultilevel"/>
    <w:tmpl w:val="D2F8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E807ACE"/>
    <w:multiLevelType w:val="hybridMultilevel"/>
    <w:tmpl w:val="3DB477FA"/>
    <w:lvl w:ilvl="0" w:tplc="FFFFFFFF">
      <w:start w:val="1"/>
      <w:numFmt w:val="low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65772A"/>
    <w:multiLevelType w:val="hybridMultilevel"/>
    <w:tmpl w:val="938CCC84"/>
    <w:lvl w:ilvl="0" w:tplc="77A6B04A">
      <w:start w:val="1"/>
      <w:numFmt w:val="decimal"/>
      <w:lvlText w:val="%1."/>
      <w:lvlJc w:val="left"/>
      <w:pPr>
        <w:ind w:left="428" w:hanging="428"/>
      </w:pPr>
      <w:rPr>
        <w:rFonts w:ascii="Cambria" w:eastAsia="Cambria" w:hAnsi="Cambria" w:cs="Cambria" w:hint="default"/>
        <w:b w:val="0"/>
        <w:bCs w:val="0"/>
        <w:i w:val="0"/>
        <w:iCs w:val="0"/>
        <w:spacing w:val="0"/>
        <w:w w:val="99"/>
        <w:sz w:val="20"/>
        <w:szCs w:val="20"/>
        <w:lang w:val="fr-FR" w:eastAsia="en-US" w:bidi="ar-SA"/>
      </w:rPr>
    </w:lvl>
    <w:lvl w:ilvl="1" w:tplc="97783BD0">
      <w:start w:val="1"/>
      <w:numFmt w:val="lowerLetter"/>
      <w:lvlText w:val="%2."/>
      <w:lvlJc w:val="left"/>
      <w:pPr>
        <w:ind w:left="853" w:hanging="425"/>
      </w:pPr>
      <w:rPr>
        <w:rFonts w:ascii="Cambria" w:eastAsia="Cambria" w:hAnsi="Cambria" w:cs="Cambria" w:hint="default"/>
        <w:b w:val="0"/>
        <w:bCs w:val="0"/>
        <w:i w:val="0"/>
        <w:iCs w:val="0"/>
        <w:spacing w:val="0"/>
        <w:w w:val="99"/>
        <w:sz w:val="20"/>
        <w:szCs w:val="20"/>
        <w:lang w:val="fr-FR" w:eastAsia="en-US" w:bidi="ar-SA"/>
      </w:rPr>
    </w:lvl>
    <w:lvl w:ilvl="2" w:tplc="198EB8B0">
      <w:numFmt w:val="bullet"/>
      <w:lvlText w:val="•"/>
      <w:lvlJc w:val="left"/>
      <w:pPr>
        <w:ind w:left="1788" w:hanging="425"/>
      </w:pPr>
      <w:rPr>
        <w:rFonts w:hint="default"/>
        <w:lang w:val="fr-FR" w:eastAsia="en-US" w:bidi="ar-SA"/>
      </w:rPr>
    </w:lvl>
    <w:lvl w:ilvl="3" w:tplc="AEFCAF0A">
      <w:numFmt w:val="bullet"/>
      <w:lvlText w:val="•"/>
      <w:lvlJc w:val="left"/>
      <w:pPr>
        <w:ind w:left="2716" w:hanging="425"/>
      </w:pPr>
      <w:rPr>
        <w:rFonts w:hint="default"/>
        <w:lang w:val="fr-FR" w:eastAsia="en-US" w:bidi="ar-SA"/>
      </w:rPr>
    </w:lvl>
    <w:lvl w:ilvl="4" w:tplc="8F8A45BC">
      <w:numFmt w:val="bullet"/>
      <w:lvlText w:val="•"/>
      <w:lvlJc w:val="left"/>
      <w:pPr>
        <w:ind w:left="3644" w:hanging="425"/>
      </w:pPr>
      <w:rPr>
        <w:rFonts w:hint="default"/>
        <w:lang w:val="fr-FR" w:eastAsia="en-US" w:bidi="ar-SA"/>
      </w:rPr>
    </w:lvl>
    <w:lvl w:ilvl="5" w:tplc="9E165564">
      <w:numFmt w:val="bullet"/>
      <w:lvlText w:val="•"/>
      <w:lvlJc w:val="left"/>
      <w:pPr>
        <w:ind w:left="4573" w:hanging="425"/>
      </w:pPr>
      <w:rPr>
        <w:rFonts w:hint="default"/>
        <w:lang w:val="fr-FR" w:eastAsia="en-US" w:bidi="ar-SA"/>
      </w:rPr>
    </w:lvl>
    <w:lvl w:ilvl="6" w:tplc="6EC61BD0">
      <w:numFmt w:val="bullet"/>
      <w:lvlText w:val="•"/>
      <w:lvlJc w:val="left"/>
      <w:pPr>
        <w:ind w:left="5501" w:hanging="425"/>
      </w:pPr>
      <w:rPr>
        <w:rFonts w:hint="default"/>
        <w:lang w:val="fr-FR" w:eastAsia="en-US" w:bidi="ar-SA"/>
      </w:rPr>
    </w:lvl>
    <w:lvl w:ilvl="7" w:tplc="4D7E5BFA">
      <w:numFmt w:val="bullet"/>
      <w:lvlText w:val="•"/>
      <w:lvlJc w:val="left"/>
      <w:pPr>
        <w:ind w:left="6429" w:hanging="425"/>
      </w:pPr>
      <w:rPr>
        <w:rFonts w:hint="default"/>
        <w:lang w:val="fr-FR" w:eastAsia="en-US" w:bidi="ar-SA"/>
      </w:rPr>
    </w:lvl>
    <w:lvl w:ilvl="8" w:tplc="D8BC4B4C">
      <w:numFmt w:val="bullet"/>
      <w:lvlText w:val="•"/>
      <w:lvlJc w:val="left"/>
      <w:pPr>
        <w:ind w:left="7357" w:hanging="425"/>
      </w:pPr>
      <w:rPr>
        <w:rFonts w:hint="default"/>
        <w:lang w:val="fr-FR" w:eastAsia="en-US" w:bidi="ar-SA"/>
      </w:rPr>
    </w:lvl>
  </w:abstractNum>
  <w:abstractNum w:abstractNumId="9" w15:restartNumberingAfterBreak="0">
    <w:nsid w:val="52E8627C"/>
    <w:multiLevelType w:val="hybridMultilevel"/>
    <w:tmpl w:val="3EC2EA92"/>
    <w:lvl w:ilvl="0" w:tplc="D6B43316">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4EF4E59"/>
    <w:multiLevelType w:val="hybridMultilevel"/>
    <w:tmpl w:val="9EB623BE"/>
    <w:lvl w:ilvl="0" w:tplc="AF46837C">
      <w:start w:val="1"/>
      <w:numFmt w:val="lowerLetter"/>
      <w:lvlText w:val="%1)"/>
      <w:lvlJc w:val="left"/>
      <w:pPr>
        <w:ind w:left="720" w:hanging="360"/>
      </w:pPr>
      <w:rPr>
        <w:rFonts w:hint="default"/>
        <w:b w:val="0"/>
        <w:bCs/>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BE2167"/>
    <w:multiLevelType w:val="hybridMultilevel"/>
    <w:tmpl w:val="B488583E"/>
    <w:lvl w:ilvl="0" w:tplc="DF1E3DB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561453505">
    <w:abstractNumId w:val="6"/>
  </w:num>
  <w:num w:numId="2" w16cid:durableId="3213467">
    <w:abstractNumId w:val="2"/>
  </w:num>
  <w:num w:numId="3" w16cid:durableId="1112213205">
    <w:abstractNumId w:val="0"/>
  </w:num>
  <w:num w:numId="4" w16cid:durableId="780495985">
    <w:abstractNumId w:val="1"/>
  </w:num>
  <w:num w:numId="5" w16cid:durableId="1963612034">
    <w:abstractNumId w:val="5"/>
  </w:num>
  <w:num w:numId="6" w16cid:durableId="608976197">
    <w:abstractNumId w:val="11"/>
  </w:num>
  <w:num w:numId="7" w16cid:durableId="1410618514">
    <w:abstractNumId w:val="8"/>
  </w:num>
  <w:num w:numId="8" w16cid:durableId="365257995">
    <w:abstractNumId w:val="3"/>
  </w:num>
  <w:num w:numId="9" w16cid:durableId="12265900">
    <w:abstractNumId w:val="10"/>
  </w:num>
  <w:num w:numId="10" w16cid:durableId="1349062802">
    <w:abstractNumId w:val="4"/>
  </w:num>
  <w:num w:numId="11" w16cid:durableId="2043556117">
    <w:abstractNumId w:val="7"/>
  </w:num>
  <w:num w:numId="12" w16cid:durableId="215749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3AD7"/>
    <w:rsid w:val="0000505D"/>
    <w:rsid w:val="00006C99"/>
    <w:rsid w:val="00010002"/>
    <w:rsid w:val="00011EC9"/>
    <w:rsid w:val="000132B1"/>
    <w:rsid w:val="000162C1"/>
    <w:rsid w:val="0002727F"/>
    <w:rsid w:val="000303A6"/>
    <w:rsid w:val="000303DA"/>
    <w:rsid w:val="0003577C"/>
    <w:rsid w:val="0003598E"/>
    <w:rsid w:val="00036873"/>
    <w:rsid w:val="00036D10"/>
    <w:rsid w:val="00040B9F"/>
    <w:rsid w:val="00040E79"/>
    <w:rsid w:val="000415FB"/>
    <w:rsid w:val="000424C9"/>
    <w:rsid w:val="00044C56"/>
    <w:rsid w:val="00044C68"/>
    <w:rsid w:val="000451E8"/>
    <w:rsid w:val="0004662A"/>
    <w:rsid w:val="00047691"/>
    <w:rsid w:val="00050BEA"/>
    <w:rsid w:val="00053E50"/>
    <w:rsid w:val="000542B2"/>
    <w:rsid w:val="00054702"/>
    <w:rsid w:val="00060717"/>
    <w:rsid w:val="00061F23"/>
    <w:rsid w:val="00062541"/>
    <w:rsid w:val="000655B1"/>
    <w:rsid w:val="00067269"/>
    <w:rsid w:val="000708DD"/>
    <w:rsid w:val="00072288"/>
    <w:rsid w:val="000733E1"/>
    <w:rsid w:val="00076D9F"/>
    <w:rsid w:val="0007773C"/>
    <w:rsid w:val="00083252"/>
    <w:rsid w:val="00084E0D"/>
    <w:rsid w:val="000978F4"/>
    <w:rsid w:val="00097FB5"/>
    <w:rsid w:val="000A1C69"/>
    <w:rsid w:val="000A279B"/>
    <w:rsid w:val="000A36E7"/>
    <w:rsid w:val="000B1EC1"/>
    <w:rsid w:val="000B7D8E"/>
    <w:rsid w:val="000C0DF0"/>
    <w:rsid w:val="000C6CA0"/>
    <w:rsid w:val="000D235E"/>
    <w:rsid w:val="000D4F2D"/>
    <w:rsid w:val="000D5ED8"/>
    <w:rsid w:val="000D79BB"/>
    <w:rsid w:val="000D7D19"/>
    <w:rsid w:val="000E1A3F"/>
    <w:rsid w:val="000E1A65"/>
    <w:rsid w:val="000F4DA4"/>
    <w:rsid w:val="000F5369"/>
    <w:rsid w:val="000F647D"/>
    <w:rsid w:val="00100F69"/>
    <w:rsid w:val="001030C2"/>
    <w:rsid w:val="001042E9"/>
    <w:rsid w:val="00110494"/>
    <w:rsid w:val="001137F5"/>
    <w:rsid w:val="00116EC7"/>
    <w:rsid w:val="00117B4E"/>
    <w:rsid w:val="001225E4"/>
    <w:rsid w:val="0013085B"/>
    <w:rsid w:val="00131EEF"/>
    <w:rsid w:val="00133269"/>
    <w:rsid w:val="00135F96"/>
    <w:rsid w:val="00141B58"/>
    <w:rsid w:val="0014262E"/>
    <w:rsid w:val="00142A32"/>
    <w:rsid w:val="001432A5"/>
    <w:rsid w:val="001436FC"/>
    <w:rsid w:val="00147AFC"/>
    <w:rsid w:val="00155A8C"/>
    <w:rsid w:val="0016514B"/>
    <w:rsid w:val="00166B1D"/>
    <w:rsid w:val="00170CAA"/>
    <w:rsid w:val="001759E8"/>
    <w:rsid w:val="00176528"/>
    <w:rsid w:val="00182D0A"/>
    <w:rsid w:val="0018688B"/>
    <w:rsid w:val="00187FB0"/>
    <w:rsid w:val="001909D2"/>
    <w:rsid w:val="00190B89"/>
    <w:rsid w:val="00192263"/>
    <w:rsid w:val="00194C06"/>
    <w:rsid w:val="00196382"/>
    <w:rsid w:val="00196C52"/>
    <w:rsid w:val="00197A6B"/>
    <w:rsid w:val="001A071B"/>
    <w:rsid w:val="001A33A5"/>
    <w:rsid w:val="001A62B3"/>
    <w:rsid w:val="001B1D24"/>
    <w:rsid w:val="001B43A6"/>
    <w:rsid w:val="001B4705"/>
    <w:rsid w:val="001C2F57"/>
    <w:rsid w:val="001C387E"/>
    <w:rsid w:val="001C3E20"/>
    <w:rsid w:val="001C45F0"/>
    <w:rsid w:val="001C57BC"/>
    <w:rsid w:val="001C7350"/>
    <w:rsid w:val="001D5DA8"/>
    <w:rsid w:val="001D649A"/>
    <w:rsid w:val="001D6F41"/>
    <w:rsid w:val="001E05D4"/>
    <w:rsid w:val="001E6B8E"/>
    <w:rsid w:val="001F09B8"/>
    <w:rsid w:val="001F5014"/>
    <w:rsid w:val="001F5B05"/>
    <w:rsid w:val="00200DF9"/>
    <w:rsid w:val="00201C40"/>
    <w:rsid w:val="00201D3F"/>
    <w:rsid w:val="00201EFC"/>
    <w:rsid w:val="00202B90"/>
    <w:rsid w:val="00205532"/>
    <w:rsid w:val="00206084"/>
    <w:rsid w:val="002111F8"/>
    <w:rsid w:val="00211AE4"/>
    <w:rsid w:val="002340B8"/>
    <w:rsid w:val="00234B75"/>
    <w:rsid w:val="00234F4D"/>
    <w:rsid w:val="002354AC"/>
    <w:rsid w:val="002405C9"/>
    <w:rsid w:val="002436DA"/>
    <w:rsid w:val="002519DF"/>
    <w:rsid w:val="00253104"/>
    <w:rsid w:val="00255D6A"/>
    <w:rsid w:val="002577EC"/>
    <w:rsid w:val="00261B76"/>
    <w:rsid w:val="00262B2B"/>
    <w:rsid w:val="00265815"/>
    <w:rsid w:val="00271FAE"/>
    <w:rsid w:val="00272445"/>
    <w:rsid w:val="00274C4D"/>
    <w:rsid w:val="00281636"/>
    <w:rsid w:val="00284998"/>
    <w:rsid w:val="00284C59"/>
    <w:rsid w:val="00296353"/>
    <w:rsid w:val="002A314D"/>
    <w:rsid w:val="002A3C93"/>
    <w:rsid w:val="002A6028"/>
    <w:rsid w:val="002A617D"/>
    <w:rsid w:val="002A7FEE"/>
    <w:rsid w:val="002B2056"/>
    <w:rsid w:val="002B332E"/>
    <w:rsid w:val="002B72F0"/>
    <w:rsid w:val="002C12E9"/>
    <w:rsid w:val="002C2E06"/>
    <w:rsid w:val="002C624C"/>
    <w:rsid w:val="002D0083"/>
    <w:rsid w:val="002D2F0A"/>
    <w:rsid w:val="002D2FB4"/>
    <w:rsid w:val="002D39F6"/>
    <w:rsid w:val="002E0477"/>
    <w:rsid w:val="002E0779"/>
    <w:rsid w:val="002E2C45"/>
    <w:rsid w:val="002E347E"/>
    <w:rsid w:val="002E3B07"/>
    <w:rsid w:val="002E41A9"/>
    <w:rsid w:val="002E4C1F"/>
    <w:rsid w:val="002F1489"/>
    <w:rsid w:val="002F1F35"/>
    <w:rsid w:val="002F2A4E"/>
    <w:rsid w:val="002F57A7"/>
    <w:rsid w:val="002F6783"/>
    <w:rsid w:val="00302AB5"/>
    <w:rsid w:val="0030400C"/>
    <w:rsid w:val="00304D59"/>
    <w:rsid w:val="00305093"/>
    <w:rsid w:val="003068CF"/>
    <w:rsid w:val="00306F48"/>
    <w:rsid w:val="00310248"/>
    <w:rsid w:val="00310A0F"/>
    <w:rsid w:val="00313EFE"/>
    <w:rsid w:val="00313F14"/>
    <w:rsid w:val="00317129"/>
    <w:rsid w:val="003171E3"/>
    <w:rsid w:val="0032225A"/>
    <w:rsid w:val="00324095"/>
    <w:rsid w:val="0032530E"/>
    <w:rsid w:val="003257E0"/>
    <w:rsid w:val="00325D77"/>
    <w:rsid w:val="00326FA4"/>
    <w:rsid w:val="00330BE3"/>
    <w:rsid w:val="00333C63"/>
    <w:rsid w:val="00334470"/>
    <w:rsid w:val="003414C8"/>
    <w:rsid w:val="0034395E"/>
    <w:rsid w:val="003526D8"/>
    <w:rsid w:val="00355D87"/>
    <w:rsid w:val="00356DF6"/>
    <w:rsid w:val="00361AA7"/>
    <w:rsid w:val="00362CC2"/>
    <w:rsid w:val="00373FE5"/>
    <w:rsid w:val="0037453F"/>
    <w:rsid w:val="0037678E"/>
    <w:rsid w:val="003778EC"/>
    <w:rsid w:val="00382104"/>
    <w:rsid w:val="00382D6A"/>
    <w:rsid w:val="003844D6"/>
    <w:rsid w:val="00393CBF"/>
    <w:rsid w:val="00393E45"/>
    <w:rsid w:val="00394029"/>
    <w:rsid w:val="00394150"/>
    <w:rsid w:val="003946F3"/>
    <w:rsid w:val="00397174"/>
    <w:rsid w:val="003A1432"/>
    <w:rsid w:val="003B03C8"/>
    <w:rsid w:val="003B0F82"/>
    <w:rsid w:val="003B2976"/>
    <w:rsid w:val="003B6B5A"/>
    <w:rsid w:val="003C2371"/>
    <w:rsid w:val="003C2F16"/>
    <w:rsid w:val="003C3A46"/>
    <w:rsid w:val="003C5137"/>
    <w:rsid w:val="003C612A"/>
    <w:rsid w:val="003C6610"/>
    <w:rsid w:val="003D252A"/>
    <w:rsid w:val="003E0997"/>
    <w:rsid w:val="003E3F5B"/>
    <w:rsid w:val="003E5BF0"/>
    <w:rsid w:val="003E6617"/>
    <w:rsid w:val="003F120C"/>
    <w:rsid w:val="003F18A3"/>
    <w:rsid w:val="003F25C5"/>
    <w:rsid w:val="003F2E5C"/>
    <w:rsid w:val="003F7E94"/>
    <w:rsid w:val="00400570"/>
    <w:rsid w:val="004016A0"/>
    <w:rsid w:val="00404943"/>
    <w:rsid w:val="004068F8"/>
    <w:rsid w:val="00407290"/>
    <w:rsid w:val="004120C2"/>
    <w:rsid w:val="0041704C"/>
    <w:rsid w:val="00423CDE"/>
    <w:rsid w:val="00426F4F"/>
    <w:rsid w:val="00443B7F"/>
    <w:rsid w:val="00444794"/>
    <w:rsid w:val="0044488B"/>
    <w:rsid w:val="004458F3"/>
    <w:rsid w:val="004465B8"/>
    <w:rsid w:val="00447428"/>
    <w:rsid w:val="0045185B"/>
    <w:rsid w:val="004545D5"/>
    <w:rsid w:val="004557D4"/>
    <w:rsid w:val="00456496"/>
    <w:rsid w:val="00456F10"/>
    <w:rsid w:val="0046265A"/>
    <w:rsid w:val="00463292"/>
    <w:rsid w:val="004706CF"/>
    <w:rsid w:val="0047174A"/>
    <w:rsid w:val="004717B0"/>
    <w:rsid w:val="004728DE"/>
    <w:rsid w:val="00473653"/>
    <w:rsid w:val="004743A4"/>
    <w:rsid w:val="00477D48"/>
    <w:rsid w:val="00480ED7"/>
    <w:rsid w:val="00482C89"/>
    <w:rsid w:val="00485080"/>
    <w:rsid w:val="00486DEF"/>
    <w:rsid w:val="0049031E"/>
    <w:rsid w:val="004932A2"/>
    <w:rsid w:val="004946FC"/>
    <w:rsid w:val="004A0D4B"/>
    <w:rsid w:val="004A2241"/>
    <w:rsid w:val="004A7476"/>
    <w:rsid w:val="004B3CDB"/>
    <w:rsid w:val="004B3F68"/>
    <w:rsid w:val="004B4F9F"/>
    <w:rsid w:val="004B6FC0"/>
    <w:rsid w:val="004D008B"/>
    <w:rsid w:val="004D0F45"/>
    <w:rsid w:val="004D338E"/>
    <w:rsid w:val="004D40B8"/>
    <w:rsid w:val="004D4EFA"/>
    <w:rsid w:val="004D60F0"/>
    <w:rsid w:val="004D7E25"/>
    <w:rsid w:val="004E0021"/>
    <w:rsid w:val="004E010F"/>
    <w:rsid w:val="004E16D8"/>
    <w:rsid w:val="004E1D41"/>
    <w:rsid w:val="004F1296"/>
    <w:rsid w:val="004F12BC"/>
    <w:rsid w:val="004F2A80"/>
    <w:rsid w:val="004F50B8"/>
    <w:rsid w:val="004F637E"/>
    <w:rsid w:val="004F6924"/>
    <w:rsid w:val="004F7235"/>
    <w:rsid w:val="005011AA"/>
    <w:rsid w:val="00501E34"/>
    <w:rsid w:val="005022B1"/>
    <w:rsid w:val="005026FB"/>
    <w:rsid w:val="005073BC"/>
    <w:rsid w:val="00510217"/>
    <w:rsid w:val="00510B5C"/>
    <w:rsid w:val="00511332"/>
    <w:rsid w:val="00512157"/>
    <w:rsid w:val="00512A36"/>
    <w:rsid w:val="00515126"/>
    <w:rsid w:val="0051752A"/>
    <w:rsid w:val="005178D8"/>
    <w:rsid w:val="00520929"/>
    <w:rsid w:val="00520D49"/>
    <w:rsid w:val="00523129"/>
    <w:rsid w:val="00523E3E"/>
    <w:rsid w:val="00524CDE"/>
    <w:rsid w:val="00525C49"/>
    <w:rsid w:val="005260B7"/>
    <w:rsid w:val="00526C8B"/>
    <w:rsid w:val="005303F7"/>
    <w:rsid w:val="00534B99"/>
    <w:rsid w:val="00536311"/>
    <w:rsid w:val="0053697B"/>
    <w:rsid w:val="00536F3D"/>
    <w:rsid w:val="005427FB"/>
    <w:rsid w:val="005445E1"/>
    <w:rsid w:val="0054584B"/>
    <w:rsid w:val="0055325F"/>
    <w:rsid w:val="0055712C"/>
    <w:rsid w:val="005571E9"/>
    <w:rsid w:val="00560194"/>
    <w:rsid w:val="005608C4"/>
    <w:rsid w:val="00560951"/>
    <w:rsid w:val="00564950"/>
    <w:rsid w:val="00565D83"/>
    <w:rsid w:val="00565EE8"/>
    <w:rsid w:val="005676E8"/>
    <w:rsid w:val="00570E32"/>
    <w:rsid w:val="00571E6B"/>
    <w:rsid w:val="005748E3"/>
    <w:rsid w:val="00574BA7"/>
    <w:rsid w:val="005840F2"/>
    <w:rsid w:val="00585425"/>
    <w:rsid w:val="005868BD"/>
    <w:rsid w:val="0059449B"/>
    <w:rsid w:val="005A112C"/>
    <w:rsid w:val="005A124D"/>
    <w:rsid w:val="005A4BD9"/>
    <w:rsid w:val="005A4DC5"/>
    <w:rsid w:val="005A5746"/>
    <w:rsid w:val="005B0D03"/>
    <w:rsid w:val="005B0E3B"/>
    <w:rsid w:val="005B3095"/>
    <w:rsid w:val="005B3B37"/>
    <w:rsid w:val="005C0209"/>
    <w:rsid w:val="005C0A54"/>
    <w:rsid w:val="005C164A"/>
    <w:rsid w:val="005C7F5D"/>
    <w:rsid w:val="005D0300"/>
    <w:rsid w:val="005D0809"/>
    <w:rsid w:val="005D0BF9"/>
    <w:rsid w:val="005D1CED"/>
    <w:rsid w:val="005D20C1"/>
    <w:rsid w:val="005D2AC7"/>
    <w:rsid w:val="005D4F85"/>
    <w:rsid w:val="005D5D99"/>
    <w:rsid w:val="005D61CB"/>
    <w:rsid w:val="005D7172"/>
    <w:rsid w:val="005E1737"/>
    <w:rsid w:val="005E24AB"/>
    <w:rsid w:val="005E428D"/>
    <w:rsid w:val="005F2C71"/>
    <w:rsid w:val="005F616F"/>
    <w:rsid w:val="00600DEA"/>
    <w:rsid w:val="0060456C"/>
    <w:rsid w:val="0061130B"/>
    <w:rsid w:val="00612405"/>
    <w:rsid w:val="0062074F"/>
    <w:rsid w:val="00620A92"/>
    <w:rsid w:val="00621437"/>
    <w:rsid w:val="00627344"/>
    <w:rsid w:val="00636030"/>
    <w:rsid w:val="00637BCA"/>
    <w:rsid w:val="00641971"/>
    <w:rsid w:val="0064716B"/>
    <w:rsid w:val="00647748"/>
    <w:rsid w:val="0065075A"/>
    <w:rsid w:val="00651FDA"/>
    <w:rsid w:val="00652E03"/>
    <w:rsid w:val="00653B30"/>
    <w:rsid w:val="0065756F"/>
    <w:rsid w:val="0066040C"/>
    <w:rsid w:val="0066053E"/>
    <w:rsid w:val="0066222A"/>
    <w:rsid w:val="00662F68"/>
    <w:rsid w:val="00664752"/>
    <w:rsid w:val="006653B6"/>
    <w:rsid w:val="006724F0"/>
    <w:rsid w:val="00674435"/>
    <w:rsid w:val="006748E8"/>
    <w:rsid w:val="006754C0"/>
    <w:rsid w:val="00675F11"/>
    <w:rsid w:val="006861A9"/>
    <w:rsid w:val="0068644E"/>
    <w:rsid w:val="00691080"/>
    <w:rsid w:val="00691C50"/>
    <w:rsid w:val="006969F9"/>
    <w:rsid w:val="006A1717"/>
    <w:rsid w:val="006A245D"/>
    <w:rsid w:val="006A2AD5"/>
    <w:rsid w:val="006A3787"/>
    <w:rsid w:val="006A5067"/>
    <w:rsid w:val="006A6218"/>
    <w:rsid w:val="006A7681"/>
    <w:rsid w:val="006B0F67"/>
    <w:rsid w:val="006B2463"/>
    <w:rsid w:val="006C18FD"/>
    <w:rsid w:val="006C1B4B"/>
    <w:rsid w:val="006C3253"/>
    <w:rsid w:val="006C536A"/>
    <w:rsid w:val="006C6D57"/>
    <w:rsid w:val="006D0252"/>
    <w:rsid w:val="006D2668"/>
    <w:rsid w:val="006D396D"/>
    <w:rsid w:val="006D451A"/>
    <w:rsid w:val="006D5D82"/>
    <w:rsid w:val="006D5E98"/>
    <w:rsid w:val="006D5F39"/>
    <w:rsid w:val="006D6AEE"/>
    <w:rsid w:val="006D7779"/>
    <w:rsid w:val="006E2BAF"/>
    <w:rsid w:val="006E2C12"/>
    <w:rsid w:val="006E4141"/>
    <w:rsid w:val="006E43A3"/>
    <w:rsid w:val="006F04FA"/>
    <w:rsid w:val="006F0DAD"/>
    <w:rsid w:val="006F308A"/>
    <w:rsid w:val="006F35B5"/>
    <w:rsid w:val="006F4818"/>
    <w:rsid w:val="006F538B"/>
    <w:rsid w:val="006F62A1"/>
    <w:rsid w:val="006F7255"/>
    <w:rsid w:val="0070000A"/>
    <w:rsid w:val="00700496"/>
    <w:rsid w:val="00702B6C"/>
    <w:rsid w:val="00704873"/>
    <w:rsid w:val="007054A8"/>
    <w:rsid w:val="00706FE0"/>
    <w:rsid w:val="007074DE"/>
    <w:rsid w:val="007075B3"/>
    <w:rsid w:val="00707AB9"/>
    <w:rsid w:val="00707C72"/>
    <w:rsid w:val="00712396"/>
    <w:rsid w:val="00713CF7"/>
    <w:rsid w:val="0071589E"/>
    <w:rsid w:val="00717C95"/>
    <w:rsid w:val="0072173C"/>
    <w:rsid w:val="0072254D"/>
    <w:rsid w:val="00724E0F"/>
    <w:rsid w:val="00725519"/>
    <w:rsid w:val="00725A85"/>
    <w:rsid w:val="00725CDE"/>
    <w:rsid w:val="00734130"/>
    <w:rsid w:val="007416AA"/>
    <w:rsid w:val="00741ABF"/>
    <w:rsid w:val="00746FCD"/>
    <w:rsid w:val="0074750F"/>
    <w:rsid w:val="007534D7"/>
    <w:rsid w:val="00753AAE"/>
    <w:rsid w:val="00754445"/>
    <w:rsid w:val="00754A9F"/>
    <w:rsid w:val="007555FE"/>
    <w:rsid w:val="00755813"/>
    <w:rsid w:val="00764AAA"/>
    <w:rsid w:val="00776E69"/>
    <w:rsid w:val="00777DE3"/>
    <w:rsid w:val="007800D0"/>
    <w:rsid w:val="00783097"/>
    <w:rsid w:val="00786B51"/>
    <w:rsid w:val="0079193A"/>
    <w:rsid w:val="00793363"/>
    <w:rsid w:val="0079742F"/>
    <w:rsid w:val="007977DA"/>
    <w:rsid w:val="007A0C7A"/>
    <w:rsid w:val="007A2EFC"/>
    <w:rsid w:val="007A2F59"/>
    <w:rsid w:val="007A62AB"/>
    <w:rsid w:val="007A68F7"/>
    <w:rsid w:val="007B0CA3"/>
    <w:rsid w:val="007B1EC8"/>
    <w:rsid w:val="007B20CA"/>
    <w:rsid w:val="007C045E"/>
    <w:rsid w:val="007C11BA"/>
    <w:rsid w:val="007C5B9B"/>
    <w:rsid w:val="007C6187"/>
    <w:rsid w:val="007D06F9"/>
    <w:rsid w:val="007D3004"/>
    <w:rsid w:val="007D3227"/>
    <w:rsid w:val="007D6619"/>
    <w:rsid w:val="007E0F37"/>
    <w:rsid w:val="007F1891"/>
    <w:rsid w:val="007F3035"/>
    <w:rsid w:val="007F3FA6"/>
    <w:rsid w:val="0080099D"/>
    <w:rsid w:val="0080149B"/>
    <w:rsid w:val="00805DB5"/>
    <w:rsid w:val="00816D9B"/>
    <w:rsid w:val="00817A3B"/>
    <w:rsid w:val="00823D7A"/>
    <w:rsid w:val="0082438C"/>
    <w:rsid w:val="00824C2D"/>
    <w:rsid w:val="00830144"/>
    <w:rsid w:val="00831990"/>
    <w:rsid w:val="0083230C"/>
    <w:rsid w:val="00833B46"/>
    <w:rsid w:val="00836E49"/>
    <w:rsid w:val="00837C36"/>
    <w:rsid w:val="0084097B"/>
    <w:rsid w:val="00841562"/>
    <w:rsid w:val="00841DC8"/>
    <w:rsid w:val="0084327B"/>
    <w:rsid w:val="008449EA"/>
    <w:rsid w:val="00847E37"/>
    <w:rsid w:val="008514D9"/>
    <w:rsid w:val="008606F9"/>
    <w:rsid w:val="008627CD"/>
    <w:rsid w:val="00862F7D"/>
    <w:rsid w:val="00865C94"/>
    <w:rsid w:val="0087007C"/>
    <w:rsid w:val="00870490"/>
    <w:rsid w:val="0087049C"/>
    <w:rsid w:val="00875115"/>
    <w:rsid w:val="00877543"/>
    <w:rsid w:val="00877FC2"/>
    <w:rsid w:val="00882539"/>
    <w:rsid w:val="00885016"/>
    <w:rsid w:val="0088585D"/>
    <w:rsid w:val="008860FA"/>
    <w:rsid w:val="008877EA"/>
    <w:rsid w:val="008914F4"/>
    <w:rsid w:val="00892B94"/>
    <w:rsid w:val="0089548D"/>
    <w:rsid w:val="008A387F"/>
    <w:rsid w:val="008A5162"/>
    <w:rsid w:val="008A57F3"/>
    <w:rsid w:val="008B0686"/>
    <w:rsid w:val="008B3112"/>
    <w:rsid w:val="008B3FB4"/>
    <w:rsid w:val="008B49B6"/>
    <w:rsid w:val="008C08D4"/>
    <w:rsid w:val="008C383B"/>
    <w:rsid w:val="008C54A0"/>
    <w:rsid w:val="008C7601"/>
    <w:rsid w:val="008D2EC0"/>
    <w:rsid w:val="008E260D"/>
    <w:rsid w:val="008E299C"/>
    <w:rsid w:val="008E48AD"/>
    <w:rsid w:val="008E55CA"/>
    <w:rsid w:val="008E577A"/>
    <w:rsid w:val="008E7DE1"/>
    <w:rsid w:val="008F0FA7"/>
    <w:rsid w:val="008F5454"/>
    <w:rsid w:val="008F5F47"/>
    <w:rsid w:val="008F7407"/>
    <w:rsid w:val="00900072"/>
    <w:rsid w:val="0090111D"/>
    <w:rsid w:val="00901128"/>
    <w:rsid w:val="00901D4B"/>
    <w:rsid w:val="00905A80"/>
    <w:rsid w:val="00910066"/>
    <w:rsid w:val="00910468"/>
    <w:rsid w:val="0091114E"/>
    <w:rsid w:val="00911CFA"/>
    <w:rsid w:val="00912D0D"/>
    <w:rsid w:val="00914395"/>
    <w:rsid w:val="009151E1"/>
    <w:rsid w:val="00915603"/>
    <w:rsid w:val="009252C1"/>
    <w:rsid w:val="0093099C"/>
    <w:rsid w:val="00932154"/>
    <w:rsid w:val="00934404"/>
    <w:rsid w:val="00934637"/>
    <w:rsid w:val="0093520F"/>
    <w:rsid w:val="009368DB"/>
    <w:rsid w:val="0094085B"/>
    <w:rsid w:val="00941788"/>
    <w:rsid w:val="00941B68"/>
    <w:rsid w:val="00944249"/>
    <w:rsid w:val="0094526F"/>
    <w:rsid w:val="00945CAC"/>
    <w:rsid w:val="00945EC1"/>
    <w:rsid w:val="009463C3"/>
    <w:rsid w:val="00946711"/>
    <w:rsid w:val="00953727"/>
    <w:rsid w:val="00956A4B"/>
    <w:rsid w:val="009579BC"/>
    <w:rsid w:val="00960539"/>
    <w:rsid w:val="009616CE"/>
    <w:rsid w:val="00963FC6"/>
    <w:rsid w:val="00965DA8"/>
    <w:rsid w:val="00972334"/>
    <w:rsid w:val="009747E0"/>
    <w:rsid w:val="0098037C"/>
    <w:rsid w:val="00981C29"/>
    <w:rsid w:val="009876C1"/>
    <w:rsid w:val="00987CC9"/>
    <w:rsid w:val="00990117"/>
    <w:rsid w:val="00990E24"/>
    <w:rsid w:val="009927E4"/>
    <w:rsid w:val="00992B02"/>
    <w:rsid w:val="009A023A"/>
    <w:rsid w:val="009A06CB"/>
    <w:rsid w:val="009A2C78"/>
    <w:rsid w:val="009A3269"/>
    <w:rsid w:val="009A3341"/>
    <w:rsid w:val="009A45B1"/>
    <w:rsid w:val="009A4B76"/>
    <w:rsid w:val="009B0E69"/>
    <w:rsid w:val="009B2C8B"/>
    <w:rsid w:val="009B3103"/>
    <w:rsid w:val="009B403A"/>
    <w:rsid w:val="009C16D5"/>
    <w:rsid w:val="009C3504"/>
    <w:rsid w:val="009C3C08"/>
    <w:rsid w:val="009C4862"/>
    <w:rsid w:val="009C6F57"/>
    <w:rsid w:val="009D04C1"/>
    <w:rsid w:val="009D28C1"/>
    <w:rsid w:val="009D373E"/>
    <w:rsid w:val="009D6D44"/>
    <w:rsid w:val="009D7854"/>
    <w:rsid w:val="009E02BA"/>
    <w:rsid w:val="009E1B19"/>
    <w:rsid w:val="009E7A97"/>
    <w:rsid w:val="009F35D3"/>
    <w:rsid w:val="009F78EB"/>
    <w:rsid w:val="009F7A6D"/>
    <w:rsid w:val="00A0016B"/>
    <w:rsid w:val="00A00A34"/>
    <w:rsid w:val="00A0383E"/>
    <w:rsid w:val="00A06381"/>
    <w:rsid w:val="00A07492"/>
    <w:rsid w:val="00A12095"/>
    <w:rsid w:val="00A1353A"/>
    <w:rsid w:val="00A136DB"/>
    <w:rsid w:val="00A1425B"/>
    <w:rsid w:val="00A15843"/>
    <w:rsid w:val="00A2435C"/>
    <w:rsid w:val="00A25380"/>
    <w:rsid w:val="00A26926"/>
    <w:rsid w:val="00A26963"/>
    <w:rsid w:val="00A27FAC"/>
    <w:rsid w:val="00A31226"/>
    <w:rsid w:val="00A32C13"/>
    <w:rsid w:val="00A33416"/>
    <w:rsid w:val="00A36D35"/>
    <w:rsid w:val="00A41256"/>
    <w:rsid w:val="00A44486"/>
    <w:rsid w:val="00A46190"/>
    <w:rsid w:val="00A47D15"/>
    <w:rsid w:val="00A5025E"/>
    <w:rsid w:val="00A50A05"/>
    <w:rsid w:val="00A53A3A"/>
    <w:rsid w:val="00A53BE3"/>
    <w:rsid w:val="00A54152"/>
    <w:rsid w:val="00A54EBF"/>
    <w:rsid w:val="00A56976"/>
    <w:rsid w:val="00A63F9E"/>
    <w:rsid w:val="00A648A9"/>
    <w:rsid w:val="00A64EA9"/>
    <w:rsid w:val="00A65548"/>
    <w:rsid w:val="00A72FC4"/>
    <w:rsid w:val="00A77CC5"/>
    <w:rsid w:val="00A81B15"/>
    <w:rsid w:val="00A8722E"/>
    <w:rsid w:val="00A9103B"/>
    <w:rsid w:val="00A91EF7"/>
    <w:rsid w:val="00A92447"/>
    <w:rsid w:val="00A93268"/>
    <w:rsid w:val="00A93283"/>
    <w:rsid w:val="00A9544A"/>
    <w:rsid w:val="00A95B9F"/>
    <w:rsid w:val="00AA1B43"/>
    <w:rsid w:val="00AA2ADA"/>
    <w:rsid w:val="00AA653B"/>
    <w:rsid w:val="00AB0283"/>
    <w:rsid w:val="00AB1DEE"/>
    <w:rsid w:val="00AB323B"/>
    <w:rsid w:val="00AB39C0"/>
    <w:rsid w:val="00AB4746"/>
    <w:rsid w:val="00AB692C"/>
    <w:rsid w:val="00AB69FE"/>
    <w:rsid w:val="00AC04A1"/>
    <w:rsid w:val="00AC0589"/>
    <w:rsid w:val="00AC0AB5"/>
    <w:rsid w:val="00AC3864"/>
    <w:rsid w:val="00AC5362"/>
    <w:rsid w:val="00AC55AC"/>
    <w:rsid w:val="00AC60F5"/>
    <w:rsid w:val="00AC6856"/>
    <w:rsid w:val="00AC7242"/>
    <w:rsid w:val="00AC7B37"/>
    <w:rsid w:val="00AD15AE"/>
    <w:rsid w:val="00AD236E"/>
    <w:rsid w:val="00AD43E4"/>
    <w:rsid w:val="00AD4B67"/>
    <w:rsid w:val="00AD5487"/>
    <w:rsid w:val="00AD5F60"/>
    <w:rsid w:val="00AD6F69"/>
    <w:rsid w:val="00AE0D41"/>
    <w:rsid w:val="00AE10B2"/>
    <w:rsid w:val="00AE2068"/>
    <w:rsid w:val="00AE3E00"/>
    <w:rsid w:val="00AE3EEB"/>
    <w:rsid w:val="00AF011F"/>
    <w:rsid w:val="00AF5579"/>
    <w:rsid w:val="00AF7515"/>
    <w:rsid w:val="00B01391"/>
    <w:rsid w:val="00B01A8D"/>
    <w:rsid w:val="00B03E52"/>
    <w:rsid w:val="00B03F55"/>
    <w:rsid w:val="00B061DE"/>
    <w:rsid w:val="00B071E8"/>
    <w:rsid w:val="00B07422"/>
    <w:rsid w:val="00B109AB"/>
    <w:rsid w:val="00B11C73"/>
    <w:rsid w:val="00B122C8"/>
    <w:rsid w:val="00B15E23"/>
    <w:rsid w:val="00B1790B"/>
    <w:rsid w:val="00B24394"/>
    <w:rsid w:val="00B27A60"/>
    <w:rsid w:val="00B32EBE"/>
    <w:rsid w:val="00B34E9D"/>
    <w:rsid w:val="00B35489"/>
    <w:rsid w:val="00B3549F"/>
    <w:rsid w:val="00B432CA"/>
    <w:rsid w:val="00B45320"/>
    <w:rsid w:val="00B45A58"/>
    <w:rsid w:val="00B568C0"/>
    <w:rsid w:val="00B56F7F"/>
    <w:rsid w:val="00B65249"/>
    <w:rsid w:val="00B6657D"/>
    <w:rsid w:val="00B732F3"/>
    <w:rsid w:val="00B74403"/>
    <w:rsid w:val="00B75D95"/>
    <w:rsid w:val="00B81A3C"/>
    <w:rsid w:val="00B837F4"/>
    <w:rsid w:val="00B87C89"/>
    <w:rsid w:val="00BA73EE"/>
    <w:rsid w:val="00BB0C33"/>
    <w:rsid w:val="00BB20CB"/>
    <w:rsid w:val="00BB2565"/>
    <w:rsid w:val="00BB460E"/>
    <w:rsid w:val="00BB5B4A"/>
    <w:rsid w:val="00BC177E"/>
    <w:rsid w:val="00BD007A"/>
    <w:rsid w:val="00BD1F97"/>
    <w:rsid w:val="00BD2404"/>
    <w:rsid w:val="00BD2DD0"/>
    <w:rsid w:val="00BD454D"/>
    <w:rsid w:val="00BD647A"/>
    <w:rsid w:val="00BD70E4"/>
    <w:rsid w:val="00BD7DCC"/>
    <w:rsid w:val="00BE14ED"/>
    <w:rsid w:val="00BE192F"/>
    <w:rsid w:val="00BE20B4"/>
    <w:rsid w:val="00BF0E23"/>
    <w:rsid w:val="00BF339C"/>
    <w:rsid w:val="00BF4D54"/>
    <w:rsid w:val="00BF4D96"/>
    <w:rsid w:val="00BF626A"/>
    <w:rsid w:val="00BF62FE"/>
    <w:rsid w:val="00C1634F"/>
    <w:rsid w:val="00C227DE"/>
    <w:rsid w:val="00C26DAF"/>
    <w:rsid w:val="00C31913"/>
    <w:rsid w:val="00C32052"/>
    <w:rsid w:val="00C33819"/>
    <w:rsid w:val="00C378F5"/>
    <w:rsid w:val="00C37FA1"/>
    <w:rsid w:val="00C40711"/>
    <w:rsid w:val="00C41288"/>
    <w:rsid w:val="00C41640"/>
    <w:rsid w:val="00C44391"/>
    <w:rsid w:val="00C46652"/>
    <w:rsid w:val="00C532D4"/>
    <w:rsid w:val="00C53957"/>
    <w:rsid w:val="00C54248"/>
    <w:rsid w:val="00C57FD4"/>
    <w:rsid w:val="00C60371"/>
    <w:rsid w:val="00C61E0E"/>
    <w:rsid w:val="00C63CA0"/>
    <w:rsid w:val="00C67407"/>
    <w:rsid w:val="00C7180C"/>
    <w:rsid w:val="00C73B38"/>
    <w:rsid w:val="00C757C5"/>
    <w:rsid w:val="00C75B0F"/>
    <w:rsid w:val="00C76450"/>
    <w:rsid w:val="00C86251"/>
    <w:rsid w:val="00C877F4"/>
    <w:rsid w:val="00C90D49"/>
    <w:rsid w:val="00C9122A"/>
    <w:rsid w:val="00C92674"/>
    <w:rsid w:val="00C94653"/>
    <w:rsid w:val="00C94E77"/>
    <w:rsid w:val="00CA3590"/>
    <w:rsid w:val="00CA5484"/>
    <w:rsid w:val="00CA7FF2"/>
    <w:rsid w:val="00CB153B"/>
    <w:rsid w:val="00CB1BC3"/>
    <w:rsid w:val="00CB3265"/>
    <w:rsid w:val="00CB41C2"/>
    <w:rsid w:val="00CB44E3"/>
    <w:rsid w:val="00CB740B"/>
    <w:rsid w:val="00CB7842"/>
    <w:rsid w:val="00CC628A"/>
    <w:rsid w:val="00CD0166"/>
    <w:rsid w:val="00CD06C2"/>
    <w:rsid w:val="00CD1FC3"/>
    <w:rsid w:val="00CD262A"/>
    <w:rsid w:val="00CD2685"/>
    <w:rsid w:val="00CD6D53"/>
    <w:rsid w:val="00CD72C2"/>
    <w:rsid w:val="00CD72CE"/>
    <w:rsid w:val="00CE169C"/>
    <w:rsid w:val="00CE2EBD"/>
    <w:rsid w:val="00CE4C93"/>
    <w:rsid w:val="00CE541E"/>
    <w:rsid w:val="00CE6AD4"/>
    <w:rsid w:val="00CE74A5"/>
    <w:rsid w:val="00CF02C7"/>
    <w:rsid w:val="00CF1FB0"/>
    <w:rsid w:val="00D03769"/>
    <w:rsid w:val="00D0506F"/>
    <w:rsid w:val="00D1046E"/>
    <w:rsid w:val="00D11C53"/>
    <w:rsid w:val="00D12635"/>
    <w:rsid w:val="00D2590B"/>
    <w:rsid w:val="00D26682"/>
    <w:rsid w:val="00D30D75"/>
    <w:rsid w:val="00D310C6"/>
    <w:rsid w:val="00D31659"/>
    <w:rsid w:val="00D368B3"/>
    <w:rsid w:val="00D379CB"/>
    <w:rsid w:val="00D40221"/>
    <w:rsid w:val="00D41125"/>
    <w:rsid w:val="00D41AA5"/>
    <w:rsid w:val="00D438AD"/>
    <w:rsid w:val="00D45C57"/>
    <w:rsid w:val="00D51F1F"/>
    <w:rsid w:val="00D53CE7"/>
    <w:rsid w:val="00D55C39"/>
    <w:rsid w:val="00D5617E"/>
    <w:rsid w:val="00D56AA3"/>
    <w:rsid w:val="00D62BFE"/>
    <w:rsid w:val="00D62E0D"/>
    <w:rsid w:val="00D655DC"/>
    <w:rsid w:val="00D66BE9"/>
    <w:rsid w:val="00D7451D"/>
    <w:rsid w:val="00D74833"/>
    <w:rsid w:val="00D7707B"/>
    <w:rsid w:val="00D77E1D"/>
    <w:rsid w:val="00D80AA1"/>
    <w:rsid w:val="00D820E3"/>
    <w:rsid w:val="00D83593"/>
    <w:rsid w:val="00D859D1"/>
    <w:rsid w:val="00D85B83"/>
    <w:rsid w:val="00D86BEF"/>
    <w:rsid w:val="00D90B44"/>
    <w:rsid w:val="00D91DE0"/>
    <w:rsid w:val="00D937AC"/>
    <w:rsid w:val="00D95FD3"/>
    <w:rsid w:val="00D97753"/>
    <w:rsid w:val="00DA4530"/>
    <w:rsid w:val="00DA496E"/>
    <w:rsid w:val="00DB1964"/>
    <w:rsid w:val="00DB3831"/>
    <w:rsid w:val="00DB5A8B"/>
    <w:rsid w:val="00DB71BD"/>
    <w:rsid w:val="00DC4838"/>
    <w:rsid w:val="00DC5C9B"/>
    <w:rsid w:val="00DD0B4F"/>
    <w:rsid w:val="00DD17B8"/>
    <w:rsid w:val="00DD4903"/>
    <w:rsid w:val="00DD64B7"/>
    <w:rsid w:val="00DD6E59"/>
    <w:rsid w:val="00DD7F0F"/>
    <w:rsid w:val="00DE0434"/>
    <w:rsid w:val="00DE127A"/>
    <w:rsid w:val="00DE33F0"/>
    <w:rsid w:val="00DE37FD"/>
    <w:rsid w:val="00DE5AA6"/>
    <w:rsid w:val="00DF0A64"/>
    <w:rsid w:val="00DF2B8D"/>
    <w:rsid w:val="00DF2E11"/>
    <w:rsid w:val="00DF3669"/>
    <w:rsid w:val="00E0242B"/>
    <w:rsid w:val="00E06CE1"/>
    <w:rsid w:val="00E104D9"/>
    <w:rsid w:val="00E115C5"/>
    <w:rsid w:val="00E12961"/>
    <w:rsid w:val="00E13D55"/>
    <w:rsid w:val="00E21D2E"/>
    <w:rsid w:val="00E222B6"/>
    <w:rsid w:val="00E2244D"/>
    <w:rsid w:val="00E2297C"/>
    <w:rsid w:val="00E230B1"/>
    <w:rsid w:val="00E266D9"/>
    <w:rsid w:val="00E3118C"/>
    <w:rsid w:val="00E32D7B"/>
    <w:rsid w:val="00E33E6B"/>
    <w:rsid w:val="00E36C37"/>
    <w:rsid w:val="00E41552"/>
    <w:rsid w:val="00E44DA8"/>
    <w:rsid w:val="00E451E2"/>
    <w:rsid w:val="00E465C7"/>
    <w:rsid w:val="00E510F5"/>
    <w:rsid w:val="00E53F16"/>
    <w:rsid w:val="00E61652"/>
    <w:rsid w:val="00E67107"/>
    <w:rsid w:val="00E80A5B"/>
    <w:rsid w:val="00E8370C"/>
    <w:rsid w:val="00E85B0E"/>
    <w:rsid w:val="00E85D42"/>
    <w:rsid w:val="00E8689B"/>
    <w:rsid w:val="00E87C2E"/>
    <w:rsid w:val="00E914DA"/>
    <w:rsid w:val="00E9611E"/>
    <w:rsid w:val="00E962DF"/>
    <w:rsid w:val="00E968BF"/>
    <w:rsid w:val="00E97726"/>
    <w:rsid w:val="00E97BAD"/>
    <w:rsid w:val="00E97DB1"/>
    <w:rsid w:val="00EA0499"/>
    <w:rsid w:val="00EA17DC"/>
    <w:rsid w:val="00EA3450"/>
    <w:rsid w:val="00EA4019"/>
    <w:rsid w:val="00EA601F"/>
    <w:rsid w:val="00EB030B"/>
    <w:rsid w:val="00EB22DC"/>
    <w:rsid w:val="00EB4E59"/>
    <w:rsid w:val="00EB56C5"/>
    <w:rsid w:val="00EB5D42"/>
    <w:rsid w:val="00EC08F7"/>
    <w:rsid w:val="00EC2137"/>
    <w:rsid w:val="00EC5B31"/>
    <w:rsid w:val="00EC633A"/>
    <w:rsid w:val="00EC7B0C"/>
    <w:rsid w:val="00ED66EB"/>
    <w:rsid w:val="00ED7EAE"/>
    <w:rsid w:val="00EE094D"/>
    <w:rsid w:val="00EE172A"/>
    <w:rsid w:val="00EE5149"/>
    <w:rsid w:val="00EE6E1A"/>
    <w:rsid w:val="00EE74B2"/>
    <w:rsid w:val="00EF6075"/>
    <w:rsid w:val="00EF64A0"/>
    <w:rsid w:val="00F01BE7"/>
    <w:rsid w:val="00F06BE3"/>
    <w:rsid w:val="00F06D2A"/>
    <w:rsid w:val="00F06DFC"/>
    <w:rsid w:val="00F113C5"/>
    <w:rsid w:val="00F12902"/>
    <w:rsid w:val="00F143AA"/>
    <w:rsid w:val="00F14869"/>
    <w:rsid w:val="00F15BB5"/>
    <w:rsid w:val="00F16FD9"/>
    <w:rsid w:val="00F217E9"/>
    <w:rsid w:val="00F21FBD"/>
    <w:rsid w:val="00F2431E"/>
    <w:rsid w:val="00F2474F"/>
    <w:rsid w:val="00F255D7"/>
    <w:rsid w:val="00F261B3"/>
    <w:rsid w:val="00F27171"/>
    <w:rsid w:val="00F30C3B"/>
    <w:rsid w:val="00F31A4F"/>
    <w:rsid w:val="00F32613"/>
    <w:rsid w:val="00F40697"/>
    <w:rsid w:val="00F408D4"/>
    <w:rsid w:val="00F41EC4"/>
    <w:rsid w:val="00F43B03"/>
    <w:rsid w:val="00F455E9"/>
    <w:rsid w:val="00F46B11"/>
    <w:rsid w:val="00F506B4"/>
    <w:rsid w:val="00F57835"/>
    <w:rsid w:val="00F65F53"/>
    <w:rsid w:val="00F67FCC"/>
    <w:rsid w:val="00F72722"/>
    <w:rsid w:val="00F7390D"/>
    <w:rsid w:val="00F766BB"/>
    <w:rsid w:val="00F7690A"/>
    <w:rsid w:val="00F866BD"/>
    <w:rsid w:val="00F87FB4"/>
    <w:rsid w:val="00F908B6"/>
    <w:rsid w:val="00F93310"/>
    <w:rsid w:val="00F94482"/>
    <w:rsid w:val="00F951A1"/>
    <w:rsid w:val="00F97E90"/>
    <w:rsid w:val="00FA0D97"/>
    <w:rsid w:val="00FA10B8"/>
    <w:rsid w:val="00FA2E20"/>
    <w:rsid w:val="00FA3419"/>
    <w:rsid w:val="00FA4766"/>
    <w:rsid w:val="00FA5BB9"/>
    <w:rsid w:val="00FA73BB"/>
    <w:rsid w:val="00FA7AC4"/>
    <w:rsid w:val="00FB08A9"/>
    <w:rsid w:val="00FB34FB"/>
    <w:rsid w:val="00FB40C4"/>
    <w:rsid w:val="00FB41AE"/>
    <w:rsid w:val="00FB54B1"/>
    <w:rsid w:val="00FB5B86"/>
    <w:rsid w:val="00FC5AB8"/>
    <w:rsid w:val="00FC77BB"/>
    <w:rsid w:val="00FD1857"/>
    <w:rsid w:val="00FD3F63"/>
    <w:rsid w:val="00FD497C"/>
    <w:rsid w:val="00FE076B"/>
    <w:rsid w:val="00FE07AA"/>
    <w:rsid w:val="00FE347D"/>
    <w:rsid w:val="00FE5EFA"/>
    <w:rsid w:val="00FE79BD"/>
    <w:rsid w:val="00FF0D12"/>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B8D54"/>
  <w15:docId w15:val="{FF409D90-65B5-4C30-98DA-95C03629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locked/>
    <w:rsid w:val="00BE14ED"/>
    <w:rPr>
      <w:sz w:val="20"/>
      <w:szCs w:val="20"/>
      <w:lang w:val="fr-FR"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fr-FR"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fr-FR" w:eastAsia="ja-JP"/>
    </w:rPr>
  </w:style>
  <w:style w:type="character" w:styleId="FootnoteReference">
    <w:name w:val="footnote reference"/>
    <w:basedOn w:val="DefaultParagraphFont"/>
    <w:uiPriority w:val="99"/>
    <w:semiHidden/>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fr-FR" w:eastAsia="ja-JP"/>
    </w:rPr>
  </w:style>
  <w:style w:type="paragraph" w:styleId="ListParagraph">
    <w:name w:val="List Paragraph"/>
    <w:basedOn w:val="Normal"/>
    <w:uiPriority w:val="1"/>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fr-FR"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fr-FR"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fr-FR"/>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9A3341"/>
    <w:rPr>
      <w:color w:val="0000FF"/>
      <w:u w:val="single"/>
    </w:rPr>
  </w:style>
  <w:style w:type="paragraph" w:styleId="BodyText">
    <w:name w:val="Body Text"/>
    <w:basedOn w:val="Normal"/>
    <w:link w:val="BodyTextChar"/>
    <w:uiPriority w:val="1"/>
    <w:qFormat/>
    <w:rsid w:val="00824C2D"/>
    <w:pPr>
      <w:widowControl w:val="0"/>
      <w:autoSpaceDE w:val="0"/>
      <w:autoSpaceDN w:val="0"/>
      <w:jc w:val="left"/>
    </w:pPr>
    <w:rPr>
      <w:rFonts w:ascii="Cambria" w:eastAsia="Cambria" w:hAnsi="Cambria" w:cs="Cambria"/>
      <w:lang w:eastAsia="en-US"/>
    </w:rPr>
  </w:style>
  <w:style w:type="character" w:customStyle="1" w:styleId="BodyTextChar">
    <w:name w:val="Body Text Char"/>
    <w:basedOn w:val="DefaultParagraphFont"/>
    <w:link w:val="BodyText"/>
    <w:uiPriority w:val="1"/>
    <w:rsid w:val="00824C2D"/>
    <w:rPr>
      <w:rFonts w:ascii="Cambria" w:eastAsia="Cambria" w:hAnsi="Cambria" w:cs="Cambria"/>
      <w:sz w:val="20"/>
      <w:szCs w:val="20"/>
    </w:rPr>
  </w:style>
  <w:style w:type="paragraph" w:styleId="NormalWeb">
    <w:name w:val="Normal (Web)"/>
    <w:basedOn w:val="Normal"/>
    <w:uiPriority w:val="99"/>
    <w:unhideWhenUsed/>
    <w:rsid w:val="00824C2D"/>
    <w:pPr>
      <w:spacing w:before="100" w:beforeAutospacing="1" w:after="100" w:afterAutospacing="1"/>
      <w:jc w:val="left"/>
    </w:pPr>
    <w:rPr>
      <w:rFonts w:eastAsia="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290">
      <w:bodyDiv w:val="1"/>
      <w:marLeft w:val="0"/>
      <w:marRight w:val="0"/>
      <w:marTop w:val="0"/>
      <w:marBottom w:val="0"/>
      <w:divBdr>
        <w:top w:val="none" w:sz="0" w:space="0" w:color="auto"/>
        <w:left w:val="none" w:sz="0" w:space="0" w:color="auto"/>
        <w:bottom w:val="none" w:sz="0" w:space="0" w:color="auto"/>
        <w:right w:val="none" w:sz="0" w:space="0" w:color="auto"/>
      </w:divBdr>
    </w:div>
    <w:div w:id="421803230">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325-4D61-41C9-85C6-4F38CA69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2804</Words>
  <Characters>15983</Characters>
  <Application>Microsoft Office Word</Application>
  <DocSecurity>0</DocSecurity>
  <Lines>133</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Christine Peyre</cp:lastModifiedBy>
  <cp:revision>75</cp:revision>
  <dcterms:created xsi:type="dcterms:W3CDTF">2025-10-17T09:14:00Z</dcterms:created>
  <dcterms:modified xsi:type="dcterms:W3CDTF">2025-10-23T13:56:00Z</dcterms:modified>
</cp:coreProperties>
</file>