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59BA" w14:textId="1632FEE6" w:rsidR="003C3299" w:rsidRPr="00110743" w:rsidRDefault="00E3312E" w:rsidP="00E3312E">
      <w:pPr>
        <w:pStyle w:val="Heading1"/>
        <w:spacing w:line="240" w:lineRule="exact"/>
        <w:ind w:left="0" w:right="-108"/>
        <w:jc w:val="right"/>
        <w:rPr>
          <w:rFonts w:eastAsiaTheme="minorHAnsi"/>
          <w:bCs w:val="0"/>
        </w:rPr>
      </w:pPr>
      <w:r w:rsidRPr="00110743">
        <w:rPr>
          <w:rFonts w:eastAsiaTheme="minorHAnsi"/>
          <w:bCs w:val="0"/>
        </w:rPr>
        <w:t>Original: inglés</w:t>
      </w:r>
      <w:r w:rsidR="00D0367B" w:rsidRPr="00110743">
        <w:rPr>
          <w:rFonts w:eastAsiaTheme="minorHAnsi"/>
          <w:bCs w:val="0"/>
        </w:rPr>
        <w:t>/español</w:t>
      </w:r>
    </w:p>
    <w:p w14:paraId="257BDCEA" w14:textId="77777777" w:rsidR="00E3312E" w:rsidRPr="00110743" w:rsidRDefault="00E3312E" w:rsidP="00E3312E">
      <w:pPr>
        <w:pStyle w:val="Heading1"/>
        <w:spacing w:line="240" w:lineRule="exact"/>
        <w:ind w:left="0" w:right="-108"/>
        <w:jc w:val="right"/>
        <w:rPr>
          <w:rFonts w:eastAsiaTheme="minorHAnsi"/>
          <w:bCs w:val="0"/>
        </w:rPr>
      </w:pPr>
    </w:p>
    <w:p w14:paraId="25C27B0A" w14:textId="1FFD86D5" w:rsidR="00A4293D" w:rsidRPr="00110743" w:rsidRDefault="00595A18" w:rsidP="00E3312E">
      <w:pPr>
        <w:spacing w:line="240" w:lineRule="exact"/>
        <w:ind w:left="2"/>
        <w:jc w:val="center"/>
        <w:rPr>
          <w:rFonts w:ascii="Cambria" w:hAnsi="Cambria"/>
          <w:b/>
          <w:sz w:val="20"/>
          <w:szCs w:val="20"/>
        </w:rPr>
      </w:pPr>
      <w:bookmarkStart w:id="0" w:name="_Hlk182330233"/>
      <w:r w:rsidRPr="00110743">
        <w:rPr>
          <w:rFonts w:ascii="Cambria" w:hAnsi="Cambria"/>
          <w:b/>
          <w:sz w:val="20"/>
          <w:szCs w:val="20"/>
        </w:rPr>
        <w:t>Necesidades adicionales de financiación relacionadas con los proyectos</w:t>
      </w:r>
      <w:r w:rsidR="00A4293D" w:rsidRPr="00110743">
        <w:rPr>
          <w:rFonts w:ascii="Cambria" w:hAnsi="Cambria"/>
          <w:b/>
          <w:sz w:val="20"/>
          <w:szCs w:val="20"/>
        </w:rPr>
        <w:t xml:space="preserve"> </w:t>
      </w:r>
      <w:r w:rsidRPr="00110743">
        <w:rPr>
          <w:rFonts w:ascii="Cambria" w:hAnsi="Cambria"/>
          <w:b/>
          <w:sz w:val="20"/>
          <w:szCs w:val="20"/>
        </w:rPr>
        <w:t xml:space="preserve"> </w:t>
      </w:r>
    </w:p>
    <w:p w14:paraId="57C9A0B6" w14:textId="7BDEC247" w:rsidR="003C3299" w:rsidRPr="00110743" w:rsidRDefault="00595A18" w:rsidP="00E3312E">
      <w:pPr>
        <w:spacing w:line="240" w:lineRule="exact"/>
        <w:ind w:left="2"/>
        <w:jc w:val="center"/>
        <w:rPr>
          <w:rFonts w:ascii="Cambria" w:eastAsia="Cambria" w:hAnsi="Cambria"/>
          <w:b/>
          <w:bCs/>
          <w:sz w:val="20"/>
          <w:szCs w:val="20"/>
        </w:rPr>
      </w:pPr>
      <w:r w:rsidRPr="00110743">
        <w:rPr>
          <w:rFonts w:ascii="Cambria" w:hAnsi="Cambria"/>
          <w:b/>
          <w:sz w:val="20"/>
          <w:szCs w:val="20"/>
        </w:rPr>
        <w:t>de propuesta para las medidas de ordenación y conservación de ICCAT</w:t>
      </w:r>
      <w:r w:rsidR="00A4293D" w:rsidRPr="00110743">
        <w:rPr>
          <w:rFonts w:ascii="Cambria" w:hAnsi="Cambria"/>
          <w:b/>
          <w:sz w:val="20"/>
          <w:szCs w:val="20"/>
        </w:rPr>
        <w:t xml:space="preserve"> presentados </w:t>
      </w:r>
    </w:p>
    <w:p w14:paraId="2270E374" w14:textId="77777777" w:rsidR="001B7353" w:rsidRPr="00110743" w:rsidRDefault="001B7353" w:rsidP="00E3312E">
      <w:pPr>
        <w:spacing w:line="240" w:lineRule="exact"/>
        <w:ind w:left="2"/>
        <w:jc w:val="center"/>
        <w:rPr>
          <w:rFonts w:ascii="Cambria" w:hAnsi="Cambria"/>
          <w:i/>
          <w:spacing w:val="-1"/>
          <w:sz w:val="20"/>
          <w:szCs w:val="20"/>
        </w:rPr>
      </w:pPr>
    </w:p>
    <w:p w14:paraId="0B367023" w14:textId="77777777" w:rsidR="00EA79DB" w:rsidRPr="00110743" w:rsidRDefault="00D73FB1" w:rsidP="00E3312E">
      <w:pPr>
        <w:spacing w:line="240" w:lineRule="exact"/>
        <w:ind w:left="2"/>
        <w:jc w:val="center"/>
        <w:rPr>
          <w:rFonts w:ascii="Cambria" w:eastAsia="Cambria" w:hAnsi="Cambria" w:cs="Cambria"/>
          <w:sz w:val="20"/>
          <w:szCs w:val="20"/>
        </w:rPr>
      </w:pPr>
      <w:r w:rsidRPr="00110743">
        <w:rPr>
          <w:rFonts w:ascii="Cambria" w:hAnsi="Cambria"/>
          <w:i/>
          <w:sz w:val="20"/>
          <w:szCs w:val="20"/>
        </w:rPr>
        <w:t>(Secretaría de ICCAT)</w:t>
      </w:r>
    </w:p>
    <w:bookmarkEnd w:id="0"/>
    <w:p w14:paraId="6D123ADB" w14:textId="77777777" w:rsidR="004C67EC" w:rsidRPr="00110743" w:rsidRDefault="004C67EC" w:rsidP="00E3312E">
      <w:pPr>
        <w:tabs>
          <w:tab w:val="left" w:pos="340"/>
        </w:tabs>
        <w:spacing w:line="240" w:lineRule="exact"/>
        <w:jc w:val="both"/>
        <w:rPr>
          <w:rFonts w:ascii="Cambria" w:eastAsia="Calibri" w:hAnsi="Cambria"/>
          <w:sz w:val="20"/>
          <w:szCs w:val="20"/>
        </w:rPr>
      </w:pPr>
    </w:p>
    <w:p w14:paraId="5B0ECF2F" w14:textId="2E9AFAA9" w:rsidR="001B7353" w:rsidRPr="00110743" w:rsidRDefault="001B7353" w:rsidP="00E3312E">
      <w:pPr>
        <w:autoSpaceDE w:val="0"/>
        <w:autoSpaceDN w:val="0"/>
        <w:adjustRightInd w:val="0"/>
        <w:spacing w:line="240" w:lineRule="exact"/>
        <w:jc w:val="both"/>
        <w:rPr>
          <w:rFonts w:ascii="Cambria" w:hAnsi="Cambria"/>
          <w:bCs/>
          <w:sz w:val="20"/>
          <w:szCs w:val="20"/>
        </w:rPr>
      </w:pPr>
      <w:r w:rsidRPr="00110743">
        <w:rPr>
          <w:rFonts w:ascii="Cambria" w:hAnsi="Cambria"/>
          <w:sz w:val="20"/>
          <w:szCs w:val="20"/>
        </w:rPr>
        <w:t xml:space="preserve">En la reunión de la Comisión de 2023, se aprobó el modelo de portada para acompañar nuevas propuestas, con el fin de proporcionar a las CPC </w:t>
      </w:r>
      <w:r w:rsidR="00AA29AA" w:rsidRPr="00110743">
        <w:rPr>
          <w:rFonts w:ascii="Cambria" w:hAnsi="Cambria"/>
          <w:sz w:val="20"/>
          <w:szCs w:val="20"/>
        </w:rPr>
        <w:t xml:space="preserve">un medio </w:t>
      </w:r>
      <w:r w:rsidRPr="00110743">
        <w:rPr>
          <w:rFonts w:ascii="Cambria" w:hAnsi="Cambria"/>
          <w:sz w:val="20"/>
          <w:szCs w:val="20"/>
        </w:rPr>
        <w:t>sencill</w:t>
      </w:r>
      <w:r w:rsidR="00AA29AA" w:rsidRPr="00110743">
        <w:rPr>
          <w:rFonts w:ascii="Cambria" w:hAnsi="Cambria"/>
          <w:sz w:val="20"/>
          <w:szCs w:val="20"/>
        </w:rPr>
        <w:t>o</w:t>
      </w:r>
      <w:r w:rsidRPr="00110743">
        <w:rPr>
          <w:rFonts w:ascii="Cambria" w:hAnsi="Cambria"/>
          <w:sz w:val="20"/>
          <w:szCs w:val="20"/>
        </w:rPr>
        <w:t xml:space="preserve"> y fácil de usar </w:t>
      </w:r>
      <w:r w:rsidR="00AA29AA" w:rsidRPr="00110743">
        <w:rPr>
          <w:rFonts w:ascii="Cambria" w:hAnsi="Cambria"/>
          <w:sz w:val="20"/>
          <w:szCs w:val="20"/>
        </w:rPr>
        <w:t xml:space="preserve">con el que </w:t>
      </w:r>
      <w:r w:rsidRPr="00110743">
        <w:rPr>
          <w:rFonts w:ascii="Cambria" w:hAnsi="Cambria"/>
          <w:sz w:val="20"/>
          <w:szCs w:val="20"/>
        </w:rPr>
        <w:t>identificar las implicaciones financieras, administrativas y científicas de las nuevas propuestas.</w:t>
      </w:r>
    </w:p>
    <w:p w14:paraId="44F16F74" w14:textId="77777777" w:rsidR="001B7353" w:rsidRPr="00110743" w:rsidRDefault="001B7353" w:rsidP="00E3312E">
      <w:pPr>
        <w:tabs>
          <w:tab w:val="left" w:pos="340"/>
        </w:tabs>
        <w:spacing w:line="240" w:lineRule="exact"/>
        <w:jc w:val="both"/>
        <w:rPr>
          <w:rFonts w:ascii="Cambria" w:hAnsi="Cambria"/>
          <w:bCs/>
          <w:sz w:val="20"/>
          <w:szCs w:val="20"/>
        </w:rPr>
      </w:pPr>
    </w:p>
    <w:p w14:paraId="62D33DC0" w14:textId="6519C466" w:rsidR="00563D6B" w:rsidRPr="00110743" w:rsidRDefault="00563D6B" w:rsidP="00E3312E">
      <w:pPr>
        <w:tabs>
          <w:tab w:val="left" w:pos="340"/>
        </w:tabs>
        <w:spacing w:line="240" w:lineRule="exact"/>
        <w:jc w:val="both"/>
        <w:rPr>
          <w:rFonts w:ascii="Cambria" w:hAnsi="Cambria"/>
          <w:bCs/>
          <w:sz w:val="20"/>
          <w:szCs w:val="20"/>
        </w:rPr>
      </w:pPr>
      <w:r w:rsidRPr="00C10B0C">
        <w:rPr>
          <w:rFonts w:ascii="Cambria" w:hAnsi="Cambria"/>
          <w:sz w:val="20"/>
          <w:szCs w:val="20"/>
        </w:rPr>
        <w:t xml:space="preserve">La siguiente tabla recopila las implicaciones financieras </w:t>
      </w:r>
      <w:r w:rsidR="00110743" w:rsidRPr="00C10B0C">
        <w:rPr>
          <w:rFonts w:ascii="Cambria" w:hAnsi="Cambria"/>
          <w:sz w:val="20"/>
          <w:szCs w:val="20"/>
          <w:u w:val="single"/>
        </w:rPr>
        <w:t>para 2026</w:t>
      </w:r>
      <w:r w:rsidR="00110743" w:rsidRPr="00C10B0C">
        <w:rPr>
          <w:rFonts w:ascii="Cambria" w:hAnsi="Cambria"/>
          <w:sz w:val="20"/>
          <w:szCs w:val="20"/>
        </w:rPr>
        <w:t xml:space="preserve"> </w:t>
      </w:r>
      <w:r w:rsidRPr="00C10B0C">
        <w:rPr>
          <w:rFonts w:ascii="Cambria" w:hAnsi="Cambria"/>
          <w:sz w:val="20"/>
          <w:szCs w:val="20"/>
        </w:rPr>
        <w:t xml:space="preserve">estimadas por la Secretaría para todos los </w:t>
      </w:r>
      <w:r w:rsidR="00AA29AA" w:rsidRPr="00C10B0C">
        <w:rPr>
          <w:rFonts w:ascii="Cambria" w:hAnsi="Cambria"/>
          <w:sz w:val="20"/>
          <w:szCs w:val="20"/>
        </w:rPr>
        <w:t>p</w:t>
      </w:r>
      <w:r w:rsidRPr="00C10B0C">
        <w:rPr>
          <w:rFonts w:ascii="Cambria" w:hAnsi="Cambria"/>
          <w:sz w:val="20"/>
          <w:szCs w:val="20"/>
        </w:rPr>
        <w:t xml:space="preserve">royectos de </w:t>
      </w:r>
      <w:r w:rsidR="00AA29AA" w:rsidRPr="00C10B0C">
        <w:rPr>
          <w:rFonts w:ascii="Cambria" w:hAnsi="Cambria"/>
          <w:sz w:val="20"/>
          <w:szCs w:val="20"/>
        </w:rPr>
        <w:t>propuesta</w:t>
      </w:r>
      <w:r w:rsidRPr="00C10B0C">
        <w:rPr>
          <w:rFonts w:ascii="Cambria" w:hAnsi="Cambria"/>
          <w:sz w:val="20"/>
          <w:szCs w:val="20"/>
        </w:rPr>
        <w:t xml:space="preserve"> recibidos hasta el </w:t>
      </w:r>
      <w:r w:rsidR="00834B9A" w:rsidRPr="00C10B0C">
        <w:rPr>
          <w:rFonts w:ascii="Cambria" w:hAnsi="Cambria"/>
          <w:sz w:val="20"/>
          <w:szCs w:val="20"/>
          <w:u w:val="single"/>
        </w:rPr>
        <w:t>2</w:t>
      </w:r>
      <w:r w:rsidR="00110743" w:rsidRPr="00C10B0C">
        <w:rPr>
          <w:rFonts w:ascii="Cambria" w:hAnsi="Cambria"/>
          <w:sz w:val="20"/>
          <w:szCs w:val="20"/>
          <w:u w:val="single"/>
        </w:rPr>
        <w:t>2</w:t>
      </w:r>
      <w:r w:rsidRPr="00C10B0C">
        <w:rPr>
          <w:rFonts w:ascii="Cambria" w:hAnsi="Cambria"/>
          <w:sz w:val="20"/>
          <w:szCs w:val="20"/>
        </w:rPr>
        <w:t xml:space="preserve"> de noviembre de 2025.</w:t>
      </w:r>
    </w:p>
    <w:p w14:paraId="35EC0724" w14:textId="77777777" w:rsidR="00563D6B" w:rsidRPr="00110743" w:rsidRDefault="00563D6B" w:rsidP="00110743">
      <w:pPr>
        <w:pStyle w:val="CommentText"/>
        <w:spacing w:line="240" w:lineRule="exact"/>
        <w:rPr>
          <w:rFonts w:ascii="Cambria" w:hAnsi="Cambria"/>
          <w:bCs/>
        </w:rPr>
      </w:pPr>
    </w:p>
    <w:tbl>
      <w:tblPr>
        <w:tblW w:w="145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8142"/>
        <w:gridCol w:w="2472"/>
        <w:gridCol w:w="1915"/>
      </w:tblGrid>
      <w:tr w:rsidR="00C14194" w:rsidRPr="00110743" w14:paraId="4E418F2E" w14:textId="47ED1C4A" w:rsidTr="00C14194">
        <w:trPr>
          <w:trHeight w:val="403"/>
        </w:trPr>
        <w:tc>
          <w:tcPr>
            <w:tcW w:w="1986" w:type="dxa"/>
            <w:noWrap/>
            <w:vAlign w:val="center"/>
            <w:hideMark/>
          </w:tcPr>
          <w:p w14:paraId="50E0FA72" w14:textId="77777777" w:rsidR="005A4B18" w:rsidRPr="00110743" w:rsidRDefault="005A4B18" w:rsidP="005A4B18">
            <w:pPr>
              <w:widowControl/>
              <w:spacing w:line="240" w:lineRule="exact"/>
              <w:rPr>
                <w:rFonts w:ascii="Cambria" w:eastAsia="Times New Roman" w:hAnsi="Cambria" w:cs="Calibri"/>
                <w:b/>
                <w:bCs/>
                <w:i/>
                <w:iCs/>
                <w:color w:val="000000"/>
                <w:sz w:val="20"/>
                <w:szCs w:val="20"/>
              </w:rPr>
            </w:pPr>
            <w:r w:rsidRPr="00110743">
              <w:rPr>
                <w:rFonts w:ascii="Cambria" w:hAnsi="Cambria"/>
                <w:b/>
                <w:i/>
                <w:iCs/>
                <w:color w:val="000000"/>
                <w:sz w:val="20"/>
                <w:szCs w:val="20"/>
              </w:rPr>
              <w:t>Propuesta</w:t>
            </w:r>
          </w:p>
        </w:tc>
        <w:tc>
          <w:tcPr>
            <w:tcW w:w="8142" w:type="dxa"/>
            <w:noWrap/>
            <w:vAlign w:val="center"/>
            <w:hideMark/>
          </w:tcPr>
          <w:p w14:paraId="61F4CCB7" w14:textId="77777777" w:rsidR="005A4B18" w:rsidRPr="00110743" w:rsidRDefault="005A4B18" w:rsidP="005A4B18">
            <w:pPr>
              <w:widowControl/>
              <w:spacing w:line="240" w:lineRule="exact"/>
              <w:jc w:val="center"/>
              <w:rPr>
                <w:rFonts w:ascii="Cambria" w:eastAsia="Times New Roman" w:hAnsi="Cambria" w:cs="Calibri"/>
                <w:b/>
                <w:bCs/>
                <w:i/>
                <w:iCs/>
                <w:color w:val="000000"/>
                <w:sz w:val="20"/>
                <w:szCs w:val="20"/>
              </w:rPr>
            </w:pPr>
            <w:r w:rsidRPr="00110743">
              <w:rPr>
                <w:rFonts w:ascii="Cambria" w:hAnsi="Cambria"/>
                <w:b/>
                <w:i/>
                <w:iCs/>
                <w:color w:val="000000"/>
                <w:sz w:val="20"/>
                <w:szCs w:val="20"/>
              </w:rPr>
              <w:t>Título de la propuesta</w:t>
            </w:r>
          </w:p>
        </w:tc>
        <w:tc>
          <w:tcPr>
            <w:tcW w:w="2472" w:type="dxa"/>
            <w:vAlign w:val="center"/>
            <w:hideMark/>
          </w:tcPr>
          <w:p w14:paraId="075E7881" w14:textId="18B89E38" w:rsidR="005A4B18" w:rsidRPr="00110743" w:rsidRDefault="005A4B18" w:rsidP="005A4B18">
            <w:pPr>
              <w:widowControl/>
              <w:spacing w:line="240" w:lineRule="exact"/>
              <w:jc w:val="center"/>
              <w:rPr>
                <w:rFonts w:ascii="Cambria" w:eastAsia="Times New Roman" w:hAnsi="Cambria" w:cs="Calibri"/>
                <w:b/>
                <w:bCs/>
                <w:i/>
                <w:iCs/>
                <w:color w:val="000000"/>
                <w:sz w:val="20"/>
                <w:szCs w:val="20"/>
              </w:rPr>
            </w:pPr>
            <w:r w:rsidRPr="00110743">
              <w:rPr>
                <w:rFonts w:ascii="Cambria" w:hAnsi="Cambria"/>
                <w:b/>
                <w:i/>
                <w:iCs/>
                <w:color w:val="000000"/>
                <w:sz w:val="20"/>
                <w:szCs w:val="20"/>
              </w:rPr>
              <w:t>Coste estimado (€)</w:t>
            </w:r>
          </w:p>
        </w:tc>
        <w:tc>
          <w:tcPr>
            <w:tcW w:w="1915" w:type="dxa"/>
            <w:vAlign w:val="center"/>
          </w:tcPr>
          <w:p w14:paraId="6E631EBE" w14:textId="333DFBBD" w:rsidR="005A4B18" w:rsidRPr="00110743" w:rsidRDefault="005A4B18" w:rsidP="005A4B18">
            <w:pPr>
              <w:widowControl/>
              <w:spacing w:line="240" w:lineRule="exact"/>
              <w:jc w:val="center"/>
              <w:rPr>
                <w:rFonts w:ascii="Cambria" w:hAnsi="Cambria"/>
                <w:b/>
                <w:bCs/>
                <w:i/>
                <w:iCs/>
                <w:color w:val="000000"/>
                <w:sz w:val="20"/>
                <w:szCs w:val="20"/>
              </w:rPr>
            </w:pPr>
            <w:r w:rsidRPr="00110743">
              <w:rPr>
                <w:rFonts w:ascii="Cambria" w:eastAsia="Times New Roman" w:hAnsi="Cambria" w:cs="Times New Roman"/>
                <w:b/>
                <w:bCs/>
                <w:i/>
                <w:iCs/>
                <w:color w:val="000000"/>
                <w:sz w:val="18"/>
                <w:szCs w:val="18"/>
                <w:lang w:eastAsia="es-ES"/>
              </w:rPr>
              <w:t xml:space="preserve">Desglose del gasto en </w:t>
            </w:r>
            <w:r w:rsidR="008A5893" w:rsidRPr="00110743">
              <w:rPr>
                <w:rFonts w:ascii="Cambria" w:eastAsia="Times New Roman" w:hAnsi="Cambria" w:cs="Times New Roman"/>
                <w:b/>
                <w:bCs/>
                <w:i/>
                <w:iCs/>
                <w:color w:val="000000"/>
                <w:sz w:val="18"/>
                <w:szCs w:val="18"/>
                <w:lang w:eastAsia="es-ES"/>
              </w:rPr>
              <w:t xml:space="preserve">el </w:t>
            </w:r>
            <w:r w:rsidRPr="00110743">
              <w:rPr>
                <w:rFonts w:ascii="Cambria" w:eastAsia="Times New Roman" w:hAnsi="Cambria" w:cs="Times New Roman"/>
                <w:b/>
                <w:bCs/>
                <w:i/>
                <w:iCs/>
                <w:color w:val="000000"/>
                <w:sz w:val="18"/>
                <w:szCs w:val="18"/>
                <w:lang w:eastAsia="es-ES"/>
              </w:rPr>
              <w:t>presupuesto de ICCAT</w:t>
            </w:r>
          </w:p>
        </w:tc>
      </w:tr>
      <w:tr w:rsidR="005A4B18" w:rsidRPr="00110743" w14:paraId="64218700" w14:textId="5A4EDA40" w:rsidTr="00C14194">
        <w:trPr>
          <w:trHeight w:val="205"/>
        </w:trPr>
        <w:tc>
          <w:tcPr>
            <w:tcW w:w="1986" w:type="dxa"/>
            <w:noWrap/>
            <w:vAlign w:val="center"/>
          </w:tcPr>
          <w:p w14:paraId="1B347AAB" w14:textId="6D5299FE"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PLE_111</w:t>
            </w:r>
          </w:p>
        </w:tc>
        <w:tc>
          <w:tcPr>
            <w:tcW w:w="8142" w:type="dxa"/>
            <w:noWrap/>
            <w:vAlign w:val="center"/>
          </w:tcPr>
          <w:p w14:paraId="4752A599" w14:textId="18EA030D"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Documento de debate sobre una propuesta de memorando de entendimiento entre ICCAT y NAFO</w:t>
            </w:r>
          </w:p>
        </w:tc>
        <w:tc>
          <w:tcPr>
            <w:tcW w:w="2472" w:type="dxa"/>
            <w:noWrap/>
            <w:vAlign w:val="center"/>
          </w:tcPr>
          <w:p w14:paraId="48A7B041" w14:textId="01480158"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3.855,06</w:t>
            </w:r>
          </w:p>
        </w:tc>
        <w:tc>
          <w:tcPr>
            <w:tcW w:w="1915" w:type="dxa"/>
            <w:vAlign w:val="center"/>
          </w:tcPr>
          <w:p w14:paraId="1E17A8A3" w14:textId="545CE6CF"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7BF727E2" w14:textId="6B4F30D7" w:rsidTr="00C14194">
        <w:trPr>
          <w:trHeight w:val="205"/>
        </w:trPr>
        <w:tc>
          <w:tcPr>
            <w:tcW w:w="1986" w:type="dxa"/>
            <w:noWrap/>
            <w:vAlign w:val="center"/>
          </w:tcPr>
          <w:p w14:paraId="6D8A7D45" w14:textId="55052D8F"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PWG_414</w:t>
            </w:r>
          </w:p>
        </w:tc>
        <w:tc>
          <w:tcPr>
            <w:tcW w:w="8142" w:type="dxa"/>
            <w:noWrap/>
            <w:vAlign w:val="center"/>
          </w:tcPr>
          <w:p w14:paraId="74F49F72" w14:textId="0F10BD65"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sobre acuerdos de fletamento de buques y acuerdos de acceso</w:t>
            </w:r>
          </w:p>
        </w:tc>
        <w:tc>
          <w:tcPr>
            <w:tcW w:w="2472" w:type="dxa"/>
            <w:noWrap/>
            <w:vAlign w:val="center"/>
          </w:tcPr>
          <w:p w14:paraId="6795E175" w14:textId="7AED291A"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30</w:t>
            </w:r>
            <w:r w:rsidR="00D96152" w:rsidRPr="00110743">
              <w:rPr>
                <w:rFonts w:ascii="Cambria" w:hAnsi="Cambria"/>
                <w:color w:val="000000"/>
                <w:sz w:val="20"/>
                <w:szCs w:val="20"/>
              </w:rPr>
              <w:t>.</w:t>
            </w:r>
            <w:r w:rsidRPr="00110743">
              <w:rPr>
                <w:rFonts w:ascii="Cambria" w:hAnsi="Cambria"/>
                <w:color w:val="000000"/>
                <w:sz w:val="20"/>
                <w:szCs w:val="20"/>
              </w:rPr>
              <w:t>044</w:t>
            </w:r>
            <w:r w:rsidR="00D96152" w:rsidRPr="00110743">
              <w:rPr>
                <w:rFonts w:ascii="Cambria" w:hAnsi="Cambria"/>
                <w:color w:val="000000"/>
                <w:sz w:val="20"/>
                <w:szCs w:val="20"/>
              </w:rPr>
              <w:t>,</w:t>
            </w:r>
            <w:r w:rsidRPr="00110743">
              <w:rPr>
                <w:rFonts w:ascii="Cambria" w:hAnsi="Cambria"/>
                <w:color w:val="000000"/>
                <w:sz w:val="20"/>
                <w:szCs w:val="20"/>
              </w:rPr>
              <w:t>00</w:t>
            </w:r>
          </w:p>
        </w:tc>
        <w:tc>
          <w:tcPr>
            <w:tcW w:w="1915" w:type="dxa"/>
            <w:vAlign w:val="center"/>
          </w:tcPr>
          <w:p w14:paraId="5811920E" w14:textId="0B0F816C"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4AE73D23" w14:textId="3339EC1E" w:rsidTr="00C14194">
        <w:trPr>
          <w:trHeight w:val="205"/>
        </w:trPr>
        <w:tc>
          <w:tcPr>
            <w:tcW w:w="1986" w:type="dxa"/>
            <w:noWrap/>
            <w:vAlign w:val="center"/>
          </w:tcPr>
          <w:p w14:paraId="6138DE20" w14:textId="50EF06D3"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PWG_420</w:t>
            </w:r>
          </w:p>
        </w:tc>
        <w:tc>
          <w:tcPr>
            <w:tcW w:w="8142" w:type="dxa"/>
            <w:noWrap/>
            <w:vAlign w:val="center"/>
          </w:tcPr>
          <w:p w14:paraId="5DAE6E87" w14:textId="1A685578"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del ICCAT para enmendar la Rec. 06-13 sobre medidas comerciales</w:t>
            </w:r>
          </w:p>
        </w:tc>
        <w:tc>
          <w:tcPr>
            <w:tcW w:w="2472" w:type="dxa"/>
            <w:noWrap/>
            <w:vAlign w:val="center"/>
          </w:tcPr>
          <w:p w14:paraId="07D32962" w14:textId="14733457"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17</w:t>
            </w:r>
            <w:r w:rsidR="00D96152" w:rsidRPr="00110743">
              <w:rPr>
                <w:rFonts w:ascii="Cambria" w:hAnsi="Cambria"/>
                <w:color w:val="000000"/>
                <w:sz w:val="20"/>
                <w:szCs w:val="20"/>
              </w:rPr>
              <w:t>.</w:t>
            </w:r>
            <w:r w:rsidRPr="00110743">
              <w:rPr>
                <w:rFonts w:ascii="Cambria" w:hAnsi="Cambria"/>
                <w:color w:val="000000"/>
                <w:sz w:val="20"/>
                <w:szCs w:val="20"/>
              </w:rPr>
              <w:t>168</w:t>
            </w:r>
            <w:r w:rsidR="00D96152" w:rsidRPr="00110743">
              <w:rPr>
                <w:rFonts w:ascii="Cambria" w:hAnsi="Cambria"/>
                <w:color w:val="000000"/>
                <w:sz w:val="20"/>
                <w:szCs w:val="20"/>
              </w:rPr>
              <w:t>,</w:t>
            </w:r>
            <w:r w:rsidRPr="00110743">
              <w:rPr>
                <w:rFonts w:ascii="Cambria" w:hAnsi="Cambria"/>
                <w:color w:val="000000"/>
                <w:sz w:val="20"/>
                <w:szCs w:val="20"/>
              </w:rPr>
              <w:t xml:space="preserve">00 </w:t>
            </w:r>
          </w:p>
        </w:tc>
        <w:tc>
          <w:tcPr>
            <w:tcW w:w="1915" w:type="dxa"/>
            <w:vAlign w:val="center"/>
          </w:tcPr>
          <w:p w14:paraId="502404B4" w14:textId="6CE4C720"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4FC6CF13" w14:textId="609ED9AA" w:rsidTr="00C14194">
        <w:trPr>
          <w:trHeight w:val="205"/>
        </w:trPr>
        <w:tc>
          <w:tcPr>
            <w:tcW w:w="1986" w:type="dxa"/>
            <w:noWrap/>
            <w:vAlign w:val="center"/>
          </w:tcPr>
          <w:p w14:paraId="75573C09" w14:textId="40F9D0D9"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PA1_502</w:t>
            </w:r>
          </w:p>
        </w:tc>
        <w:tc>
          <w:tcPr>
            <w:tcW w:w="8142" w:type="dxa"/>
            <w:noWrap/>
            <w:vAlign w:val="center"/>
          </w:tcPr>
          <w:p w14:paraId="2EA71B0F" w14:textId="4ACDE4EE"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para un proyecto piloto de cría de atún rojo (</w:t>
            </w:r>
            <w:r w:rsidRPr="00110743">
              <w:rPr>
                <w:rFonts w:ascii="Cambria" w:hAnsi="Cambria"/>
                <w:i/>
                <w:iCs/>
                <w:color w:val="000000"/>
                <w:sz w:val="20"/>
                <w:szCs w:val="20"/>
              </w:rPr>
              <w:t>Thunnus thynnus</w:t>
            </w:r>
            <w:r w:rsidRPr="00110743">
              <w:rPr>
                <w:rFonts w:ascii="Cambria" w:hAnsi="Cambria"/>
                <w:color w:val="000000"/>
                <w:sz w:val="20"/>
                <w:szCs w:val="20"/>
              </w:rPr>
              <w:t>) y rabil (</w:t>
            </w:r>
            <w:r w:rsidRPr="00110743">
              <w:rPr>
                <w:rFonts w:ascii="Cambria" w:hAnsi="Cambria"/>
                <w:i/>
                <w:iCs/>
                <w:color w:val="000000"/>
                <w:sz w:val="20"/>
                <w:szCs w:val="20"/>
              </w:rPr>
              <w:t>Thunnus albacares</w:t>
            </w:r>
            <w:r w:rsidRPr="00110743">
              <w:rPr>
                <w:rFonts w:ascii="Cambria" w:hAnsi="Cambria"/>
                <w:color w:val="000000"/>
                <w:sz w:val="20"/>
                <w:szCs w:val="20"/>
              </w:rPr>
              <w:t>) en aguas de las islas Canarias</w:t>
            </w:r>
          </w:p>
        </w:tc>
        <w:tc>
          <w:tcPr>
            <w:tcW w:w="2472" w:type="dxa"/>
            <w:noWrap/>
            <w:vAlign w:val="center"/>
          </w:tcPr>
          <w:p w14:paraId="5BC5D69B" w14:textId="36277121"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5.039,18</w:t>
            </w:r>
          </w:p>
        </w:tc>
        <w:tc>
          <w:tcPr>
            <w:tcW w:w="1915" w:type="dxa"/>
            <w:vAlign w:val="center"/>
          </w:tcPr>
          <w:p w14:paraId="49113FE6" w14:textId="1FB80DFD"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0D7299A4" w14:textId="1DF80600" w:rsidTr="00C14194">
        <w:trPr>
          <w:trHeight w:val="205"/>
        </w:trPr>
        <w:tc>
          <w:tcPr>
            <w:tcW w:w="1986" w:type="dxa"/>
            <w:noWrap/>
            <w:vAlign w:val="center"/>
          </w:tcPr>
          <w:p w14:paraId="29E60949" w14:textId="7B4DFF26"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PA1_505</w:t>
            </w:r>
          </w:p>
        </w:tc>
        <w:tc>
          <w:tcPr>
            <w:tcW w:w="8142" w:type="dxa"/>
            <w:noWrap/>
            <w:vAlign w:val="center"/>
          </w:tcPr>
          <w:p w14:paraId="78FF0FBB" w14:textId="7A424066"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sobre un procedimiento de ordenación candidato para el listado del Atlántico occidental</w:t>
            </w:r>
          </w:p>
        </w:tc>
        <w:tc>
          <w:tcPr>
            <w:tcW w:w="2472" w:type="dxa"/>
            <w:noWrap/>
            <w:vAlign w:val="center"/>
          </w:tcPr>
          <w:p w14:paraId="6C0B6D72" w14:textId="481D46DC"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6.223,30</w:t>
            </w:r>
          </w:p>
        </w:tc>
        <w:tc>
          <w:tcPr>
            <w:tcW w:w="1915" w:type="dxa"/>
            <w:vAlign w:val="center"/>
          </w:tcPr>
          <w:p w14:paraId="4F0AFDA6" w14:textId="72FD6405"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25DC40D5" w14:textId="01482E8E" w:rsidTr="00C14194">
        <w:trPr>
          <w:trHeight w:val="205"/>
        </w:trPr>
        <w:tc>
          <w:tcPr>
            <w:tcW w:w="1986" w:type="dxa"/>
            <w:noWrap/>
            <w:vAlign w:val="center"/>
          </w:tcPr>
          <w:p w14:paraId="31108259" w14:textId="4D860596"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PA2_609</w:t>
            </w:r>
          </w:p>
        </w:tc>
        <w:tc>
          <w:tcPr>
            <w:tcW w:w="8142" w:type="dxa"/>
            <w:noWrap/>
            <w:vAlign w:val="center"/>
          </w:tcPr>
          <w:p w14:paraId="61654BB6" w14:textId="29912CC0"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para un proyecto piloto de cría de atún rojo (</w:t>
            </w:r>
            <w:r w:rsidRPr="00110743">
              <w:rPr>
                <w:rFonts w:ascii="Cambria" w:hAnsi="Cambria"/>
                <w:i/>
                <w:iCs/>
                <w:color w:val="000000"/>
                <w:sz w:val="20"/>
                <w:szCs w:val="20"/>
              </w:rPr>
              <w:t>Thunnus thynnus</w:t>
            </w:r>
            <w:r w:rsidRPr="00110743">
              <w:rPr>
                <w:rFonts w:ascii="Cambria" w:hAnsi="Cambria"/>
                <w:color w:val="000000"/>
                <w:sz w:val="20"/>
                <w:szCs w:val="20"/>
              </w:rPr>
              <w:t>) y rabil (</w:t>
            </w:r>
            <w:r w:rsidRPr="00110743">
              <w:rPr>
                <w:rFonts w:ascii="Cambria" w:hAnsi="Cambria"/>
                <w:i/>
                <w:iCs/>
                <w:color w:val="000000"/>
                <w:sz w:val="20"/>
                <w:szCs w:val="20"/>
              </w:rPr>
              <w:t>Thunnus albacares</w:t>
            </w:r>
            <w:r w:rsidRPr="00110743">
              <w:rPr>
                <w:rFonts w:ascii="Cambria" w:hAnsi="Cambria"/>
                <w:color w:val="000000"/>
                <w:sz w:val="20"/>
                <w:szCs w:val="20"/>
              </w:rPr>
              <w:t>) en aguas de las islas Canarias</w:t>
            </w:r>
          </w:p>
        </w:tc>
        <w:tc>
          <w:tcPr>
            <w:tcW w:w="2472" w:type="dxa"/>
            <w:noWrap/>
            <w:vAlign w:val="center"/>
          </w:tcPr>
          <w:p w14:paraId="0616703B" w14:textId="5A36785C"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1.184,12</w:t>
            </w:r>
          </w:p>
        </w:tc>
        <w:tc>
          <w:tcPr>
            <w:tcW w:w="1915" w:type="dxa"/>
            <w:vAlign w:val="center"/>
          </w:tcPr>
          <w:p w14:paraId="492EBF4C" w14:textId="7DF30E19"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3E1067D7" w14:textId="07690521" w:rsidTr="00C14194">
        <w:trPr>
          <w:trHeight w:val="205"/>
        </w:trPr>
        <w:tc>
          <w:tcPr>
            <w:tcW w:w="1986" w:type="dxa"/>
            <w:noWrap/>
            <w:vAlign w:val="center"/>
          </w:tcPr>
          <w:p w14:paraId="603259D8" w14:textId="4A0090CA"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PA2_611</w:t>
            </w:r>
          </w:p>
        </w:tc>
        <w:tc>
          <w:tcPr>
            <w:tcW w:w="8142" w:type="dxa"/>
            <w:noWrap/>
            <w:vAlign w:val="center"/>
          </w:tcPr>
          <w:p w14:paraId="06AD8F69" w14:textId="52F8CCCD"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para un plan de conservación y ordenación para el atún rojo del Atlántico oeste</w:t>
            </w:r>
          </w:p>
        </w:tc>
        <w:tc>
          <w:tcPr>
            <w:tcW w:w="2472" w:type="dxa"/>
            <w:noWrap/>
            <w:vAlign w:val="center"/>
          </w:tcPr>
          <w:p w14:paraId="4B635DC0" w14:textId="0C1C4CD8"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9.977,46</w:t>
            </w:r>
          </w:p>
        </w:tc>
        <w:tc>
          <w:tcPr>
            <w:tcW w:w="1915" w:type="dxa"/>
            <w:vAlign w:val="center"/>
          </w:tcPr>
          <w:p w14:paraId="62F683A6" w14:textId="7070BFB4"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559693B3" w14:textId="04FF3811" w:rsidTr="00C14194">
        <w:trPr>
          <w:trHeight w:val="349"/>
        </w:trPr>
        <w:tc>
          <w:tcPr>
            <w:tcW w:w="1986" w:type="dxa"/>
            <w:noWrap/>
            <w:vAlign w:val="center"/>
          </w:tcPr>
          <w:p w14:paraId="006F3135" w14:textId="47B5C0EE"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PA2_616</w:t>
            </w:r>
          </w:p>
        </w:tc>
        <w:tc>
          <w:tcPr>
            <w:tcW w:w="8142" w:type="dxa"/>
            <w:noWrap/>
            <w:vAlign w:val="center"/>
          </w:tcPr>
          <w:p w14:paraId="44BF7F11" w14:textId="74D2EA5F" w:rsidR="005A4B18" w:rsidRPr="00110743" w:rsidRDefault="005A4B18" w:rsidP="005A4B18">
            <w:pPr>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para un plan de conservación y ordenación para el atún rojo del Atlántico oeste</w:t>
            </w:r>
          </w:p>
        </w:tc>
        <w:tc>
          <w:tcPr>
            <w:tcW w:w="2472" w:type="dxa"/>
            <w:noWrap/>
            <w:vAlign w:val="center"/>
          </w:tcPr>
          <w:p w14:paraId="017A8D97" w14:textId="2D5F7DAD"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5</w:t>
            </w:r>
            <w:r w:rsidR="00D96152" w:rsidRPr="00110743">
              <w:rPr>
                <w:rFonts w:ascii="Cambria" w:hAnsi="Cambria"/>
                <w:color w:val="000000"/>
                <w:sz w:val="20"/>
                <w:szCs w:val="20"/>
              </w:rPr>
              <w:t>.</w:t>
            </w:r>
            <w:r w:rsidRPr="00110743">
              <w:rPr>
                <w:rFonts w:ascii="Cambria" w:hAnsi="Cambria"/>
                <w:color w:val="000000"/>
                <w:sz w:val="20"/>
                <w:szCs w:val="20"/>
              </w:rPr>
              <w:t>140</w:t>
            </w:r>
            <w:r w:rsidR="00D96152" w:rsidRPr="00110743">
              <w:rPr>
                <w:rFonts w:ascii="Cambria" w:hAnsi="Cambria"/>
                <w:color w:val="000000"/>
                <w:sz w:val="20"/>
                <w:szCs w:val="20"/>
              </w:rPr>
              <w:t>,</w:t>
            </w:r>
            <w:r w:rsidRPr="00110743">
              <w:rPr>
                <w:rFonts w:ascii="Cambria" w:hAnsi="Cambria"/>
                <w:color w:val="000000"/>
                <w:sz w:val="20"/>
                <w:szCs w:val="20"/>
              </w:rPr>
              <w:t>08</w:t>
            </w:r>
          </w:p>
        </w:tc>
        <w:tc>
          <w:tcPr>
            <w:tcW w:w="1915" w:type="dxa"/>
            <w:vAlign w:val="center"/>
          </w:tcPr>
          <w:p w14:paraId="4E16A79C" w14:textId="30774883"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62F283F8" w14:textId="7CB704B4" w:rsidTr="00C14194">
        <w:trPr>
          <w:trHeight w:val="205"/>
        </w:trPr>
        <w:tc>
          <w:tcPr>
            <w:tcW w:w="1986" w:type="dxa"/>
            <w:noWrap/>
            <w:vAlign w:val="center"/>
          </w:tcPr>
          <w:p w14:paraId="5599E199" w14:textId="63840CD6"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PA4_804</w:t>
            </w:r>
          </w:p>
        </w:tc>
        <w:tc>
          <w:tcPr>
            <w:tcW w:w="8142" w:type="dxa"/>
            <w:noWrap/>
            <w:vAlign w:val="center"/>
          </w:tcPr>
          <w:p w14:paraId="0B708C71" w14:textId="5A762F0E" w:rsidR="005A4B18" w:rsidRPr="00110743" w:rsidRDefault="005A4B18" w:rsidP="005A4B18">
            <w:pPr>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Proyecto de Recomendación de ICCAT sobre la conservación y la ordenación de tiburones capturados en asociación con pesquerías de ICCAT</w:t>
            </w:r>
          </w:p>
        </w:tc>
        <w:tc>
          <w:tcPr>
            <w:tcW w:w="2472" w:type="dxa"/>
            <w:noWrap/>
            <w:vAlign w:val="center"/>
          </w:tcPr>
          <w:p w14:paraId="77C88711" w14:textId="799FFEFE"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1</w:t>
            </w:r>
            <w:r w:rsidR="00D96152" w:rsidRPr="00110743">
              <w:rPr>
                <w:rFonts w:ascii="Cambria" w:hAnsi="Cambria"/>
                <w:color w:val="000000"/>
                <w:sz w:val="20"/>
                <w:szCs w:val="20"/>
              </w:rPr>
              <w:t>.</w:t>
            </w:r>
            <w:r w:rsidRPr="00110743">
              <w:rPr>
                <w:rFonts w:ascii="Cambria" w:hAnsi="Cambria"/>
                <w:color w:val="000000"/>
                <w:sz w:val="20"/>
                <w:szCs w:val="20"/>
              </w:rPr>
              <w:t>542</w:t>
            </w:r>
            <w:r w:rsidR="00D96152" w:rsidRPr="00110743">
              <w:rPr>
                <w:rFonts w:ascii="Cambria" w:hAnsi="Cambria"/>
                <w:color w:val="000000"/>
                <w:sz w:val="20"/>
                <w:szCs w:val="20"/>
              </w:rPr>
              <w:t>,</w:t>
            </w:r>
            <w:r w:rsidRPr="00110743">
              <w:rPr>
                <w:rFonts w:ascii="Cambria" w:hAnsi="Cambria"/>
                <w:color w:val="000000"/>
                <w:sz w:val="20"/>
                <w:szCs w:val="20"/>
              </w:rPr>
              <w:t>31</w:t>
            </w:r>
          </w:p>
        </w:tc>
        <w:tc>
          <w:tcPr>
            <w:tcW w:w="1915" w:type="dxa"/>
            <w:vAlign w:val="center"/>
          </w:tcPr>
          <w:p w14:paraId="143C650E" w14:textId="6B25A79F"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0655BD2F" w14:textId="773F898D" w:rsidTr="00C14194">
        <w:trPr>
          <w:trHeight w:val="205"/>
        </w:trPr>
        <w:tc>
          <w:tcPr>
            <w:tcW w:w="1986" w:type="dxa"/>
            <w:noWrap/>
            <w:vAlign w:val="center"/>
          </w:tcPr>
          <w:p w14:paraId="3C9F8A7E" w14:textId="0D8F1A40"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PA4_808</w:t>
            </w:r>
          </w:p>
        </w:tc>
        <w:tc>
          <w:tcPr>
            <w:tcW w:w="8142" w:type="dxa"/>
            <w:noWrap/>
            <w:vAlign w:val="center"/>
          </w:tcPr>
          <w:p w14:paraId="4F90CC74" w14:textId="45EEB54F"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Proyecto de Recomendación de ICCAT sobre la conservación y la ordenación de tiburones capturados en asociación con pesquerías de ICCAT</w:t>
            </w:r>
          </w:p>
        </w:tc>
        <w:tc>
          <w:tcPr>
            <w:tcW w:w="2472" w:type="dxa"/>
            <w:noWrap/>
            <w:vAlign w:val="center"/>
          </w:tcPr>
          <w:p w14:paraId="01005F54" w14:textId="54272AE4"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15</w:t>
            </w:r>
            <w:r w:rsidR="00D96152" w:rsidRPr="00110743">
              <w:rPr>
                <w:rFonts w:ascii="Cambria" w:hAnsi="Cambria"/>
                <w:color w:val="000000"/>
                <w:sz w:val="20"/>
                <w:szCs w:val="20"/>
              </w:rPr>
              <w:t>.</w:t>
            </w:r>
            <w:r w:rsidRPr="00110743">
              <w:rPr>
                <w:rFonts w:ascii="Cambria" w:hAnsi="Cambria"/>
                <w:color w:val="000000"/>
                <w:sz w:val="20"/>
                <w:szCs w:val="20"/>
              </w:rPr>
              <w:t>174</w:t>
            </w:r>
            <w:r w:rsidR="00D96152" w:rsidRPr="00110743">
              <w:rPr>
                <w:rFonts w:ascii="Cambria" w:hAnsi="Cambria"/>
                <w:color w:val="000000"/>
                <w:sz w:val="20"/>
                <w:szCs w:val="20"/>
              </w:rPr>
              <w:t>,</w:t>
            </w:r>
            <w:r w:rsidRPr="00110743">
              <w:rPr>
                <w:rFonts w:ascii="Cambria" w:hAnsi="Cambria"/>
                <w:color w:val="000000"/>
                <w:sz w:val="20"/>
                <w:szCs w:val="20"/>
              </w:rPr>
              <w:t>44</w:t>
            </w:r>
          </w:p>
        </w:tc>
        <w:tc>
          <w:tcPr>
            <w:tcW w:w="1915" w:type="dxa"/>
            <w:vAlign w:val="center"/>
          </w:tcPr>
          <w:p w14:paraId="5B8CD258" w14:textId="1E9C7D65"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58633D88" w14:textId="5832F6A1" w:rsidTr="00C14194">
        <w:trPr>
          <w:trHeight w:val="205"/>
        </w:trPr>
        <w:tc>
          <w:tcPr>
            <w:tcW w:w="1986" w:type="dxa"/>
            <w:noWrap/>
            <w:vAlign w:val="center"/>
          </w:tcPr>
          <w:p w14:paraId="7F059BA3" w14:textId="4B2719BD"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lastRenderedPageBreak/>
              <w:t>PA4_811</w:t>
            </w:r>
          </w:p>
        </w:tc>
        <w:tc>
          <w:tcPr>
            <w:tcW w:w="8142" w:type="dxa"/>
            <w:noWrap/>
            <w:vAlign w:val="center"/>
          </w:tcPr>
          <w:p w14:paraId="1530B2FB" w14:textId="02F7FF56" w:rsidR="005A4B18" w:rsidRPr="00110743" w:rsidRDefault="005A4B18" w:rsidP="005A4B18">
            <w:pPr>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Proyecto de Recomendación de ICCAT que enmienda la Recomendación 07-07 y la Recomendación suplementaria 11-09 para reducir la captura fortuita incidental de aves marinas en las pesquerías de palangre de ICCAT</w:t>
            </w:r>
          </w:p>
        </w:tc>
        <w:tc>
          <w:tcPr>
            <w:tcW w:w="2472" w:type="dxa"/>
            <w:noWrap/>
            <w:vAlign w:val="center"/>
          </w:tcPr>
          <w:p w14:paraId="084EF6EB" w14:textId="7AAC284E"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 xml:space="preserve">1.450,46 </w:t>
            </w:r>
          </w:p>
        </w:tc>
        <w:tc>
          <w:tcPr>
            <w:tcW w:w="1915" w:type="dxa"/>
            <w:vAlign w:val="center"/>
          </w:tcPr>
          <w:p w14:paraId="362C5747" w14:textId="74833E44"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3D73BEF3" w14:textId="1EAE205C" w:rsidTr="00C14194">
        <w:trPr>
          <w:trHeight w:val="205"/>
        </w:trPr>
        <w:tc>
          <w:tcPr>
            <w:tcW w:w="1986" w:type="dxa"/>
            <w:noWrap/>
            <w:vAlign w:val="center"/>
          </w:tcPr>
          <w:p w14:paraId="5884D6FF" w14:textId="2948FB44"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PA4_812</w:t>
            </w:r>
          </w:p>
        </w:tc>
        <w:tc>
          <w:tcPr>
            <w:tcW w:w="8142" w:type="dxa"/>
            <w:noWrap/>
            <w:vAlign w:val="center"/>
          </w:tcPr>
          <w:p w14:paraId="7B38DA9C" w14:textId="5C9C3E07"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sobre tiburón peregrino y jaquetón blanco capturados en asociación con pesquerías gestionadas por ICCAT</w:t>
            </w:r>
          </w:p>
        </w:tc>
        <w:tc>
          <w:tcPr>
            <w:tcW w:w="2472" w:type="dxa"/>
            <w:noWrap/>
            <w:vAlign w:val="center"/>
          </w:tcPr>
          <w:p w14:paraId="4F279B0A" w14:textId="2E0D2BC4"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858</w:t>
            </w:r>
            <w:r w:rsidR="00D96152" w:rsidRPr="00110743">
              <w:rPr>
                <w:rFonts w:ascii="Cambria" w:hAnsi="Cambria"/>
                <w:color w:val="000000"/>
                <w:sz w:val="20"/>
                <w:szCs w:val="20"/>
              </w:rPr>
              <w:t>,</w:t>
            </w:r>
            <w:r w:rsidRPr="00110743">
              <w:rPr>
                <w:rFonts w:ascii="Cambria" w:hAnsi="Cambria"/>
                <w:color w:val="000000"/>
                <w:sz w:val="20"/>
                <w:szCs w:val="20"/>
              </w:rPr>
              <w:t>40</w:t>
            </w:r>
          </w:p>
        </w:tc>
        <w:tc>
          <w:tcPr>
            <w:tcW w:w="1915" w:type="dxa"/>
            <w:vAlign w:val="center"/>
          </w:tcPr>
          <w:p w14:paraId="191C3268" w14:textId="69F8A7D8"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14C22D5A" w14:textId="7CC7C214" w:rsidTr="00C14194">
        <w:trPr>
          <w:trHeight w:val="205"/>
        </w:trPr>
        <w:tc>
          <w:tcPr>
            <w:tcW w:w="1986" w:type="dxa"/>
            <w:noWrap/>
            <w:vAlign w:val="center"/>
          </w:tcPr>
          <w:p w14:paraId="0706D325" w14:textId="4B66393E"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PA4_813</w:t>
            </w:r>
          </w:p>
        </w:tc>
        <w:tc>
          <w:tcPr>
            <w:tcW w:w="8142" w:type="dxa"/>
            <w:noWrap/>
            <w:vAlign w:val="center"/>
          </w:tcPr>
          <w:p w14:paraId="2BDEDAFB" w14:textId="2BAEE787" w:rsidR="005A4B18" w:rsidRPr="00110743" w:rsidRDefault="005A4B18" w:rsidP="005A4B18">
            <w:pPr>
              <w:widowControl/>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Proyecto de Resolución de ICCAT sobre objetivos operativos de ordenación para el tiburón azul del Atlántico</w:t>
            </w:r>
          </w:p>
        </w:tc>
        <w:tc>
          <w:tcPr>
            <w:tcW w:w="2472" w:type="dxa"/>
            <w:noWrap/>
            <w:vAlign w:val="center"/>
          </w:tcPr>
          <w:p w14:paraId="1F838CED" w14:textId="204DFE2C" w:rsidR="005A4B18" w:rsidRPr="00110743" w:rsidRDefault="005A4B18" w:rsidP="005A4B18">
            <w:pPr>
              <w:spacing w:line="240" w:lineRule="exact"/>
              <w:jc w:val="center"/>
              <w:rPr>
                <w:rFonts w:ascii="Cambria" w:hAnsi="Cambria"/>
                <w:color w:val="000000"/>
                <w:sz w:val="20"/>
                <w:szCs w:val="20"/>
              </w:rPr>
            </w:pPr>
            <w:r w:rsidRPr="00110743">
              <w:rPr>
                <w:rFonts w:ascii="Cambria" w:hAnsi="Cambria"/>
                <w:color w:val="000000"/>
                <w:sz w:val="20"/>
                <w:szCs w:val="20"/>
              </w:rPr>
              <w:t xml:space="preserve">26.252,44 </w:t>
            </w:r>
          </w:p>
        </w:tc>
        <w:tc>
          <w:tcPr>
            <w:tcW w:w="1915" w:type="dxa"/>
            <w:vAlign w:val="center"/>
          </w:tcPr>
          <w:p w14:paraId="166D664A" w14:textId="034BEE1A" w:rsidR="005A4B18" w:rsidRPr="00110743" w:rsidRDefault="005A4B18" w:rsidP="005A4B18">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5A4B18" w:rsidRPr="00110743" w14:paraId="6522A7BE" w14:textId="76977FF3" w:rsidTr="00C14194">
        <w:trPr>
          <w:trHeight w:val="205"/>
        </w:trPr>
        <w:tc>
          <w:tcPr>
            <w:tcW w:w="1986" w:type="dxa"/>
            <w:noWrap/>
            <w:vAlign w:val="center"/>
          </w:tcPr>
          <w:p w14:paraId="7267E797" w14:textId="6251AD8C" w:rsidR="005A4B18" w:rsidRPr="00110743" w:rsidRDefault="005A4B18" w:rsidP="005A4B18">
            <w:pPr>
              <w:widowControl/>
              <w:spacing w:line="240" w:lineRule="exact"/>
              <w:jc w:val="both"/>
              <w:rPr>
                <w:rFonts w:ascii="Cambria" w:hAnsi="Cambria"/>
                <w:color w:val="000000"/>
                <w:sz w:val="20"/>
                <w:szCs w:val="20"/>
              </w:rPr>
            </w:pPr>
            <w:r w:rsidRPr="00110743">
              <w:rPr>
                <w:rFonts w:ascii="Cambria" w:hAnsi="Cambria"/>
                <w:color w:val="000000"/>
                <w:sz w:val="20"/>
                <w:szCs w:val="20"/>
              </w:rPr>
              <w:t>PA4_815</w:t>
            </w:r>
          </w:p>
        </w:tc>
        <w:tc>
          <w:tcPr>
            <w:tcW w:w="8142" w:type="dxa"/>
            <w:noWrap/>
            <w:vAlign w:val="center"/>
          </w:tcPr>
          <w:p w14:paraId="172C7A01" w14:textId="3EC50EA6" w:rsidR="005A4B18" w:rsidRPr="00110743" w:rsidRDefault="005A4B18" w:rsidP="005A4B18">
            <w:pPr>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sobre el uso experimental de trampillas</w:t>
            </w:r>
          </w:p>
        </w:tc>
        <w:tc>
          <w:tcPr>
            <w:tcW w:w="2472" w:type="dxa"/>
            <w:noWrap/>
            <w:vAlign w:val="center"/>
          </w:tcPr>
          <w:p w14:paraId="20512C71" w14:textId="0BD50DD3" w:rsidR="005A4B18" w:rsidRPr="00110743" w:rsidRDefault="005A4B18" w:rsidP="005A4B18">
            <w:pPr>
              <w:jc w:val="center"/>
              <w:rPr>
                <w:rFonts w:ascii="Cambria" w:hAnsi="Cambria"/>
                <w:color w:val="000000"/>
                <w:sz w:val="20"/>
                <w:szCs w:val="20"/>
              </w:rPr>
            </w:pPr>
            <w:r w:rsidRPr="00110743">
              <w:rPr>
                <w:rFonts w:ascii="Cambria" w:hAnsi="Cambria"/>
                <w:color w:val="000000"/>
                <w:sz w:val="20"/>
                <w:szCs w:val="20"/>
              </w:rPr>
              <w:t>5.577,02</w:t>
            </w:r>
          </w:p>
        </w:tc>
        <w:tc>
          <w:tcPr>
            <w:tcW w:w="1915" w:type="dxa"/>
            <w:vAlign w:val="center"/>
          </w:tcPr>
          <w:p w14:paraId="2D149114" w14:textId="12FA0CC0" w:rsidR="005A4B18" w:rsidRPr="00110743" w:rsidRDefault="005A4B18" w:rsidP="005A4B18">
            <w:pPr>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1.a Salarios</w:t>
            </w:r>
          </w:p>
        </w:tc>
      </w:tr>
      <w:tr w:rsidR="00C14194" w:rsidRPr="00110743" w14:paraId="5BEA8F39" w14:textId="10954A00" w:rsidTr="00C14194">
        <w:trPr>
          <w:trHeight w:val="536"/>
        </w:trPr>
        <w:tc>
          <w:tcPr>
            <w:tcW w:w="1986" w:type="dxa"/>
            <w:noWrap/>
            <w:vAlign w:val="bottom"/>
          </w:tcPr>
          <w:p w14:paraId="441EB8E5" w14:textId="4F4DD3B2" w:rsidR="008B3319" w:rsidRPr="00110743" w:rsidRDefault="008B3319" w:rsidP="00C14194">
            <w:pPr>
              <w:widowControl/>
              <w:spacing w:line="240" w:lineRule="exact"/>
              <w:ind w:right="-53"/>
              <w:rPr>
                <w:rFonts w:ascii="Cambria" w:eastAsia="Times New Roman" w:hAnsi="Cambria" w:cs="Calibri"/>
                <w:color w:val="000000"/>
                <w:sz w:val="20"/>
                <w:szCs w:val="20"/>
              </w:rPr>
            </w:pPr>
            <w:r w:rsidRPr="00110743">
              <w:rPr>
                <w:rFonts w:ascii="Cambria" w:eastAsia="Times New Roman" w:hAnsi="Cambria" w:cs="Times New Roman"/>
                <w:color w:val="000000"/>
                <w:sz w:val="20"/>
                <w:szCs w:val="20"/>
                <w:lang w:eastAsia="es-ES"/>
              </w:rPr>
              <w:t>STF_215A (anteriores STF_213, 214 y 215)</w:t>
            </w:r>
          </w:p>
        </w:tc>
        <w:tc>
          <w:tcPr>
            <w:tcW w:w="8142" w:type="dxa"/>
            <w:vAlign w:val="center"/>
          </w:tcPr>
          <w:p w14:paraId="69A7F338" w14:textId="1006E80F" w:rsidR="008B3319" w:rsidRPr="00110743" w:rsidRDefault="008B3319" w:rsidP="008B3319">
            <w:pPr>
              <w:spacing w:line="240" w:lineRule="exact"/>
              <w:jc w:val="both"/>
              <w:rPr>
                <w:rFonts w:ascii="Cambria" w:eastAsia="Times New Roman" w:hAnsi="Cambria" w:cs="Calibri"/>
                <w:color w:val="000000"/>
                <w:sz w:val="20"/>
                <w:szCs w:val="20"/>
              </w:rPr>
            </w:pPr>
            <w:r w:rsidRPr="00110743">
              <w:rPr>
                <w:rFonts w:ascii="Cambria" w:hAnsi="Cambria"/>
                <w:color w:val="000000"/>
                <w:sz w:val="20"/>
                <w:szCs w:val="20"/>
              </w:rPr>
              <w:t>Propuesta para aumentar el número de representantes financiados por delegación para las reuniones anuales de la Comisión</w:t>
            </w:r>
            <w:r w:rsidRPr="00110743">
              <w:rPr>
                <w:rStyle w:val="EndnoteReference"/>
                <w:rFonts w:ascii="Cambria" w:hAnsi="Cambria"/>
                <w:color w:val="000000"/>
                <w:sz w:val="20"/>
                <w:szCs w:val="20"/>
              </w:rPr>
              <w:endnoteReference w:id="1"/>
            </w:r>
            <w:r w:rsidRPr="00110743">
              <w:rPr>
                <w:rFonts w:ascii="Cambria" w:hAnsi="Cambria"/>
                <w:color w:val="000000"/>
                <w:sz w:val="20"/>
                <w:szCs w:val="20"/>
              </w:rPr>
              <w:t xml:space="preserve"> (A</w:t>
            </w:r>
            <w:r w:rsidR="00443D9C" w:rsidRPr="00110743">
              <w:rPr>
                <w:rFonts w:ascii="Cambria" w:hAnsi="Cambria"/>
                <w:color w:val="000000"/>
                <w:sz w:val="20"/>
                <w:szCs w:val="20"/>
              </w:rPr>
              <w:t>r</w:t>
            </w:r>
            <w:r w:rsidRPr="00110743">
              <w:rPr>
                <w:rFonts w:ascii="Cambria" w:hAnsi="Cambria"/>
                <w:color w:val="000000"/>
                <w:sz w:val="20"/>
                <w:szCs w:val="20"/>
              </w:rPr>
              <w:t>ge</w:t>
            </w:r>
            <w:r w:rsidR="00443D9C" w:rsidRPr="00110743">
              <w:rPr>
                <w:rFonts w:ascii="Cambria" w:hAnsi="Cambria"/>
                <w:color w:val="000000"/>
                <w:sz w:val="20"/>
                <w:szCs w:val="20"/>
              </w:rPr>
              <w:t>l</w:t>
            </w:r>
            <w:r w:rsidRPr="00110743">
              <w:rPr>
                <w:rFonts w:ascii="Cambria" w:hAnsi="Cambria"/>
                <w:color w:val="000000"/>
                <w:sz w:val="20"/>
                <w:szCs w:val="20"/>
              </w:rPr>
              <w:t xml:space="preserve">ia, </w:t>
            </w:r>
            <w:r w:rsidR="00443D9C" w:rsidRPr="00110743">
              <w:rPr>
                <w:rFonts w:ascii="Cambria" w:hAnsi="Cambria"/>
                <w:color w:val="000000"/>
                <w:sz w:val="20"/>
                <w:szCs w:val="20"/>
              </w:rPr>
              <w:t>Túnez</w:t>
            </w:r>
            <w:r w:rsidRPr="00110743">
              <w:rPr>
                <w:rFonts w:ascii="Cambria" w:hAnsi="Cambria"/>
                <w:color w:val="000000"/>
                <w:sz w:val="20"/>
                <w:szCs w:val="20"/>
              </w:rPr>
              <w:t xml:space="preserve"> </w:t>
            </w:r>
            <w:r w:rsidR="00443D9C" w:rsidRPr="00110743">
              <w:rPr>
                <w:rFonts w:ascii="Cambria" w:hAnsi="Cambria"/>
                <w:color w:val="000000"/>
                <w:sz w:val="20"/>
                <w:szCs w:val="20"/>
              </w:rPr>
              <w:t>y Egipto</w:t>
            </w:r>
            <w:r w:rsidRPr="00110743">
              <w:rPr>
                <w:rFonts w:ascii="Cambria" w:hAnsi="Cambria"/>
                <w:color w:val="000000"/>
                <w:sz w:val="20"/>
                <w:szCs w:val="20"/>
              </w:rPr>
              <w:t>) (a)</w:t>
            </w:r>
          </w:p>
        </w:tc>
        <w:tc>
          <w:tcPr>
            <w:tcW w:w="2472" w:type="dxa"/>
            <w:noWrap/>
            <w:vAlign w:val="center"/>
          </w:tcPr>
          <w:p w14:paraId="6B2A96DD" w14:textId="7C2A8091" w:rsidR="008B3319" w:rsidRPr="00110743" w:rsidRDefault="008B3319" w:rsidP="008B3319">
            <w:pPr>
              <w:spacing w:line="240" w:lineRule="exact"/>
              <w:jc w:val="center"/>
              <w:rPr>
                <w:rFonts w:ascii="Cambria" w:hAnsi="Cambria"/>
                <w:b/>
                <w:bCs/>
                <w:color w:val="000000"/>
                <w:sz w:val="20"/>
                <w:szCs w:val="20"/>
              </w:rPr>
            </w:pPr>
            <w:r w:rsidRPr="00110743">
              <w:rPr>
                <w:rFonts w:ascii="Cambria" w:hAnsi="Cambria"/>
                <w:b/>
                <w:bCs/>
                <w:color w:val="000000"/>
                <w:sz w:val="20"/>
                <w:szCs w:val="20"/>
              </w:rPr>
              <w:t>264.494,16</w:t>
            </w:r>
          </w:p>
        </w:tc>
        <w:tc>
          <w:tcPr>
            <w:tcW w:w="1915" w:type="dxa"/>
            <w:vAlign w:val="center"/>
          </w:tcPr>
          <w:p w14:paraId="4A44AE5A" w14:textId="6008F4ED" w:rsidR="008B3319" w:rsidRPr="00110743" w:rsidRDefault="008B3319" w:rsidP="008B3319">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2.e Fondo especial para la participación en reuniones (MPF)</w:t>
            </w:r>
          </w:p>
        </w:tc>
      </w:tr>
      <w:tr w:rsidR="00C14194" w:rsidRPr="00110743" w14:paraId="2B1695F8" w14:textId="77777777" w:rsidTr="00C14194">
        <w:trPr>
          <w:trHeight w:val="536"/>
        </w:trPr>
        <w:tc>
          <w:tcPr>
            <w:tcW w:w="1986" w:type="dxa"/>
            <w:noWrap/>
            <w:vAlign w:val="center"/>
          </w:tcPr>
          <w:p w14:paraId="228B7935" w14:textId="4659C06C" w:rsidR="008B3319" w:rsidRPr="00110743" w:rsidRDefault="008B3319" w:rsidP="008B3319">
            <w:pPr>
              <w:widowControl/>
              <w:spacing w:line="240" w:lineRule="exact"/>
              <w:jc w:val="both"/>
              <w:rPr>
                <w:rFonts w:ascii="Cambria" w:hAnsi="Cambria"/>
                <w:color w:val="000000"/>
                <w:sz w:val="20"/>
                <w:szCs w:val="20"/>
              </w:rPr>
            </w:pPr>
            <w:r w:rsidRPr="00110743">
              <w:rPr>
                <w:rFonts w:ascii="Cambria" w:hAnsi="Cambria"/>
                <w:color w:val="000000"/>
                <w:sz w:val="20"/>
                <w:szCs w:val="20"/>
              </w:rPr>
              <w:t>STF_221</w:t>
            </w:r>
          </w:p>
        </w:tc>
        <w:tc>
          <w:tcPr>
            <w:tcW w:w="8142" w:type="dxa"/>
            <w:vAlign w:val="center"/>
          </w:tcPr>
          <w:p w14:paraId="5BB5B7ED" w14:textId="45A6EE56" w:rsidR="008B3319" w:rsidRPr="00110743" w:rsidRDefault="00BC1E01" w:rsidP="00BC1E01">
            <w:pPr>
              <w:spacing w:line="240" w:lineRule="exact"/>
              <w:jc w:val="both"/>
              <w:rPr>
                <w:rFonts w:ascii="Cambria" w:hAnsi="Cambria"/>
                <w:color w:val="000000"/>
                <w:sz w:val="20"/>
                <w:szCs w:val="20"/>
              </w:rPr>
            </w:pPr>
            <w:r w:rsidRPr="00110743">
              <w:rPr>
                <w:rFonts w:ascii="Cambria" w:hAnsi="Cambria"/>
                <w:color w:val="000000"/>
                <w:sz w:val="20"/>
                <w:szCs w:val="20"/>
              </w:rPr>
              <w:t>Proyecto de Recomendación de ICCAT que enmienda la Recomendación 20-09 sobre el establecimiento de un Fondo para la participación en reuniones para las Partes contratantes en desarrollo de ICCAT (presentado por Egipto con comentarios de Belice, Costa Rica, El Salvador, Guatemala, Honduras, Nicaragua y Panamá)</w:t>
            </w:r>
          </w:p>
        </w:tc>
        <w:tc>
          <w:tcPr>
            <w:tcW w:w="2472" w:type="dxa"/>
            <w:noWrap/>
            <w:vAlign w:val="center"/>
          </w:tcPr>
          <w:p w14:paraId="655DD87C" w14:textId="1F6DFCAB" w:rsidR="008B3319" w:rsidRPr="00110743" w:rsidRDefault="00110743" w:rsidP="008B3319">
            <w:pPr>
              <w:spacing w:line="240" w:lineRule="exact"/>
              <w:jc w:val="center"/>
              <w:rPr>
                <w:rFonts w:ascii="Cambria" w:hAnsi="Cambria"/>
                <w:color w:val="000000"/>
                <w:sz w:val="20"/>
                <w:szCs w:val="20"/>
                <w:u w:val="single"/>
              </w:rPr>
            </w:pPr>
            <w:r w:rsidRPr="00C10B0C">
              <w:rPr>
                <w:rFonts w:ascii="Cambria" w:hAnsi="Cambria"/>
                <w:color w:val="000000"/>
                <w:sz w:val="20"/>
                <w:szCs w:val="20"/>
                <w:u w:val="single"/>
              </w:rPr>
              <w:t>489.570,39</w:t>
            </w:r>
          </w:p>
        </w:tc>
        <w:tc>
          <w:tcPr>
            <w:tcW w:w="1915" w:type="dxa"/>
            <w:vAlign w:val="center"/>
          </w:tcPr>
          <w:p w14:paraId="5C4701A2" w14:textId="3DEC2A1C" w:rsidR="008B3319" w:rsidRPr="00110743" w:rsidRDefault="008B3319" w:rsidP="008B3319">
            <w:pPr>
              <w:spacing w:line="240" w:lineRule="exact"/>
              <w:jc w:val="center"/>
              <w:rPr>
                <w:rFonts w:ascii="Cambria" w:hAnsi="Cambria"/>
                <w:color w:val="000000"/>
                <w:sz w:val="20"/>
                <w:szCs w:val="20"/>
              </w:rPr>
            </w:pPr>
            <w:r w:rsidRPr="00110743">
              <w:rPr>
                <w:rFonts w:ascii="Cambria" w:eastAsia="Times New Roman" w:hAnsi="Cambria" w:cs="Times New Roman"/>
                <w:color w:val="000000"/>
                <w:sz w:val="18"/>
                <w:szCs w:val="18"/>
                <w:lang w:eastAsia="es-ES"/>
              </w:rPr>
              <w:t>2.e Fondo especial para la participación en reuniones (MPF)</w:t>
            </w:r>
          </w:p>
        </w:tc>
      </w:tr>
      <w:tr w:rsidR="00110743" w:rsidRPr="00110743" w14:paraId="7A3623E3" w14:textId="33604F5D" w:rsidTr="00C14194">
        <w:trPr>
          <w:trHeight w:val="205"/>
        </w:trPr>
        <w:tc>
          <w:tcPr>
            <w:tcW w:w="10128" w:type="dxa"/>
            <w:gridSpan w:val="2"/>
            <w:noWrap/>
            <w:vAlign w:val="center"/>
          </w:tcPr>
          <w:p w14:paraId="2F3F9C8E" w14:textId="77777777" w:rsidR="00110743" w:rsidRPr="00110743" w:rsidRDefault="00110743" w:rsidP="00110743">
            <w:pPr>
              <w:widowControl/>
              <w:spacing w:line="240" w:lineRule="exact"/>
              <w:jc w:val="right"/>
              <w:rPr>
                <w:rFonts w:ascii="Cambria" w:eastAsia="Times New Roman" w:hAnsi="Cambria" w:cs="Calibri"/>
                <w:b/>
                <w:bCs/>
                <w:color w:val="000000"/>
                <w:sz w:val="20"/>
                <w:szCs w:val="20"/>
              </w:rPr>
            </w:pPr>
            <w:r w:rsidRPr="00110743">
              <w:rPr>
                <w:rFonts w:ascii="Cambria" w:hAnsi="Cambria"/>
                <w:b/>
                <w:color w:val="000000"/>
                <w:sz w:val="20"/>
                <w:szCs w:val="20"/>
              </w:rPr>
              <w:t>Coste estimado total para implementar las propuestas</w:t>
            </w:r>
          </w:p>
        </w:tc>
        <w:tc>
          <w:tcPr>
            <w:tcW w:w="2472" w:type="dxa"/>
            <w:noWrap/>
            <w:vAlign w:val="center"/>
          </w:tcPr>
          <w:p w14:paraId="3665CB54" w14:textId="00BD7B0F" w:rsidR="00110743" w:rsidRPr="00C10B0C" w:rsidRDefault="00110743" w:rsidP="00110743">
            <w:pPr>
              <w:jc w:val="center"/>
              <w:rPr>
                <w:rFonts w:ascii="Cambria" w:hAnsi="Cambria"/>
                <w:b/>
                <w:bCs/>
                <w:color w:val="000000"/>
                <w:sz w:val="20"/>
                <w:szCs w:val="20"/>
                <w:u w:val="single"/>
              </w:rPr>
            </w:pPr>
            <w:r w:rsidRPr="00C10B0C">
              <w:rPr>
                <w:rFonts w:ascii="Cambria" w:hAnsi="Cambria"/>
                <w:b/>
                <w:bCs/>
                <w:color w:val="000000"/>
                <w:sz w:val="20"/>
                <w:szCs w:val="20"/>
                <w:u w:val="single"/>
              </w:rPr>
              <w:t>619.056,66</w:t>
            </w:r>
          </w:p>
        </w:tc>
        <w:tc>
          <w:tcPr>
            <w:tcW w:w="1915" w:type="dxa"/>
          </w:tcPr>
          <w:p w14:paraId="10D17A4E" w14:textId="77777777" w:rsidR="00110743" w:rsidRPr="00110743" w:rsidRDefault="00110743" w:rsidP="00110743">
            <w:pPr>
              <w:jc w:val="center"/>
              <w:rPr>
                <w:rFonts w:ascii="Cambria" w:hAnsi="Cambria"/>
                <w:b/>
                <w:bCs/>
                <w:color w:val="000000"/>
                <w:sz w:val="20"/>
                <w:szCs w:val="20"/>
              </w:rPr>
            </w:pPr>
          </w:p>
        </w:tc>
      </w:tr>
    </w:tbl>
    <w:p w14:paraId="6F6879CC" w14:textId="77777777" w:rsidR="00E76127" w:rsidRPr="00110743" w:rsidRDefault="00E76127" w:rsidP="00E3312E">
      <w:pPr>
        <w:spacing w:line="240" w:lineRule="exact"/>
        <w:rPr>
          <w:rFonts w:ascii="Cambria" w:hAnsi="Cambria"/>
          <w:bCs/>
          <w:sz w:val="20"/>
          <w:szCs w:val="20"/>
        </w:rPr>
      </w:pPr>
    </w:p>
    <w:p w14:paraId="5BA640A2" w14:textId="77777777" w:rsidR="00834B9A" w:rsidRPr="00110743" w:rsidRDefault="00834B9A" w:rsidP="00E3312E">
      <w:pPr>
        <w:spacing w:line="240" w:lineRule="exact"/>
        <w:rPr>
          <w:rFonts w:ascii="Cambria" w:hAnsi="Cambria"/>
          <w:bCs/>
          <w:sz w:val="20"/>
          <w:szCs w:val="20"/>
        </w:rPr>
      </w:pPr>
    </w:p>
    <w:tbl>
      <w:tblPr>
        <w:tblW w:w="11340" w:type="dxa"/>
        <w:tblCellMar>
          <w:left w:w="70" w:type="dxa"/>
          <w:right w:w="70" w:type="dxa"/>
        </w:tblCellMar>
        <w:tblLook w:val="04A0" w:firstRow="1" w:lastRow="0" w:firstColumn="1" w:lastColumn="0" w:noHBand="0" w:noVBand="1"/>
      </w:tblPr>
      <w:tblGrid>
        <w:gridCol w:w="980"/>
        <w:gridCol w:w="6250"/>
        <w:gridCol w:w="1134"/>
        <w:gridCol w:w="2976"/>
      </w:tblGrid>
      <w:tr w:rsidR="005A4B18" w:rsidRPr="00110743" w14:paraId="438FF669" w14:textId="77777777" w:rsidTr="00443D9C">
        <w:trPr>
          <w:trHeight w:val="228"/>
        </w:trPr>
        <w:tc>
          <w:tcPr>
            <w:tcW w:w="980" w:type="dxa"/>
            <w:tcBorders>
              <w:top w:val="nil"/>
              <w:left w:val="nil"/>
              <w:bottom w:val="nil"/>
              <w:right w:val="nil"/>
            </w:tcBorders>
            <w:noWrap/>
            <w:vAlign w:val="bottom"/>
            <w:hideMark/>
          </w:tcPr>
          <w:p w14:paraId="4295294C" w14:textId="77777777" w:rsidR="005A4B18" w:rsidRPr="00110743" w:rsidRDefault="005A4B18" w:rsidP="00E67588">
            <w:pPr>
              <w:widowControl/>
              <w:rPr>
                <w:rFonts w:ascii="Times New Roman" w:eastAsia="Times New Roman" w:hAnsi="Times New Roman" w:cs="Times New Roman"/>
                <w:sz w:val="20"/>
                <w:szCs w:val="20"/>
                <w:lang w:eastAsia="es-ES"/>
              </w:rPr>
            </w:pPr>
          </w:p>
        </w:tc>
        <w:tc>
          <w:tcPr>
            <w:tcW w:w="6250" w:type="dxa"/>
            <w:tcBorders>
              <w:top w:val="single" w:sz="4" w:space="0" w:color="auto"/>
              <w:left w:val="single" w:sz="4" w:space="0" w:color="auto"/>
              <w:bottom w:val="single" w:sz="4" w:space="0" w:color="auto"/>
              <w:right w:val="single" w:sz="4" w:space="0" w:color="auto"/>
            </w:tcBorders>
            <w:noWrap/>
            <w:vAlign w:val="bottom"/>
            <w:hideMark/>
          </w:tcPr>
          <w:p w14:paraId="6F5E24EB" w14:textId="77777777" w:rsidR="005A4B18" w:rsidRPr="00110743" w:rsidRDefault="005A4B18" w:rsidP="00E67588">
            <w:pPr>
              <w:widowControl/>
              <w:rPr>
                <w:rFonts w:ascii="Cambria" w:eastAsia="Times New Roman" w:hAnsi="Cambria" w:cs="Times New Roman"/>
                <w:i/>
                <w:iCs/>
                <w:color w:val="000000"/>
                <w:sz w:val="18"/>
                <w:szCs w:val="18"/>
                <w:lang w:eastAsia="es-ES"/>
              </w:rPr>
            </w:pPr>
            <w:r w:rsidRPr="00110743">
              <w:rPr>
                <w:rFonts w:ascii="Cambria" w:eastAsia="Times New Roman" w:hAnsi="Cambria" w:cs="Times New Roman"/>
                <w:i/>
                <w:iCs/>
                <w:color w:val="000000"/>
                <w:sz w:val="18"/>
                <w:szCs w:val="18"/>
                <w:lang w:eastAsia="es-ES"/>
              </w:rPr>
              <w:t> </w:t>
            </w:r>
          </w:p>
        </w:tc>
        <w:tc>
          <w:tcPr>
            <w:tcW w:w="1134" w:type="dxa"/>
            <w:tcBorders>
              <w:top w:val="single" w:sz="4" w:space="0" w:color="auto"/>
              <w:left w:val="nil"/>
              <w:bottom w:val="single" w:sz="4" w:space="0" w:color="auto"/>
              <w:right w:val="single" w:sz="4" w:space="0" w:color="auto"/>
            </w:tcBorders>
            <w:noWrap/>
            <w:vAlign w:val="bottom"/>
            <w:hideMark/>
          </w:tcPr>
          <w:p w14:paraId="09BB432F" w14:textId="6A447420" w:rsidR="005A4B18" w:rsidRPr="00110743" w:rsidRDefault="005A4B18" w:rsidP="00E67588">
            <w:pPr>
              <w:widowControl/>
              <w:rPr>
                <w:rFonts w:ascii="Cambria" w:eastAsia="Times New Roman" w:hAnsi="Cambria" w:cs="Times New Roman"/>
                <w:i/>
                <w:iCs/>
                <w:color w:val="000000"/>
                <w:sz w:val="18"/>
                <w:szCs w:val="18"/>
                <w:lang w:eastAsia="es-ES"/>
              </w:rPr>
            </w:pPr>
            <w:r w:rsidRPr="00110743">
              <w:rPr>
                <w:rFonts w:ascii="Cambria" w:eastAsia="Times New Roman" w:hAnsi="Cambria" w:cs="Times New Roman"/>
                <w:i/>
                <w:iCs/>
                <w:color w:val="000000"/>
                <w:sz w:val="18"/>
                <w:szCs w:val="18"/>
                <w:lang w:eastAsia="es-ES"/>
              </w:rPr>
              <w:t>N</w:t>
            </w:r>
            <w:r w:rsidR="00D96152" w:rsidRPr="00110743">
              <w:rPr>
                <w:rFonts w:ascii="Cambria" w:eastAsia="Times New Roman" w:hAnsi="Cambria" w:cs="Times New Roman"/>
                <w:i/>
                <w:iCs/>
                <w:color w:val="000000"/>
                <w:sz w:val="18"/>
                <w:szCs w:val="18"/>
                <w:lang w:eastAsia="es-ES"/>
              </w:rPr>
              <w:t>úmero</w:t>
            </w:r>
          </w:p>
        </w:tc>
        <w:tc>
          <w:tcPr>
            <w:tcW w:w="2976" w:type="dxa"/>
            <w:tcBorders>
              <w:top w:val="single" w:sz="4" w:space="0" w:color="auto"/>
              <w:left w:val="nil"/>
              <w:bottom w:val="single" w:sz="4" w:space="0" w:color="auto"/>
              <w:right w:val="single" w:sz="4" w:space="0" w:color="auto"/>
            </w:tcBorders>
            <w:noWrap/>
            <w:vAlign w:val="bottom"/>
            <w:hideMark/>
          </w:tcPr>
          <w:p w14:paraId="700D26A2" w14:textId="6D2815C1" w:rsidR="005A4B18" w:rsidRPr="00110743" w:rsidRDefault="005A4B18" w:rsidP="00E67588">
            <w:pPr>
              <w:widowControl/>
              <w:rPr>
                <w:rFonts w:ascii="Cambria" w:eastAsia="Times New Roman" w:hAnsi="Cambria" w:cs="Times New Roman"/>
                <w:i/>
                <w:iCs/>
                <w:color w:val="000000"/>
                <w:sz w:val="18"/>
                <w:szCs w:val="18"/>
                <w:lang w:eastAsia="es-ES"/>
              </w:rPr>
            </w:pPr>
            <w:r w:rsidRPr="00110743">
              <w:rPr>
                <w:rFonts w:ascii="Cambria" w:eastAsia="Times New Roman" w:hAnsi="Cambria" w:cs="Times New Roman"/>
                <w:i/>
                <w:iCs/>
                <w:color w:val="000000"/>
                <w:sz w:val="18"/>
                <w:szCs w:val="18"/>
                <w:lang w:eastAsia="es-ES"/>
              </w:rPr>
              <w:t xml:space="preserve">Total viaje, hotel y </w:t>
            </w:r>
            <w:r w:rsidR="008A5893" w:rsidRPr="00110743">
              <w:rPr>
                <w:rFonts w:ascii="Cambria" w:eastAsia="Times New Roman" w:hAnsi="Cambria" w:cs="Times New Roman"/>
                <w:i/>
                <w:iCs/>
                <w:color w:val="000000"/>
                <w:sz w:val="18"/>
                <w:szCs w:val="18"/>
                <w:lang w:eastAsia="es-ES"/>
              </w:rPr>
              <w:t>dietas</w:t>
            </w:r>
          </w:p>
        </w:tc>
      </w:tr>
      <w:tr w:rsidR="005A4B18" w:rsidRPr="00110743" w14:paraId="789A84F7" w14:textId="77777777" w:rsidTr="00443D9C">
        <w:trPr>
          <w:trHeight w:val="228"/>
        </w:trPr>
        <w:tc>
          <w:tcPr>
            <w:tcW w:w="980" w:type="dxa"/>
            <w:tcBorders>
              <w:top w:val="nil"/>
              <w:left w:val="nil"/>
              <w:bottom w:val="nil"/>
              <w:right w:val="nil"/>
            </w:tcBorders>
            <w:noWrap/>
            <w:vAlign w:val="bottom"/>
            <w:hideMark/>
          </w:tcPr>
          <w:p w14:paraId="04ECE0CE" w14:textId="77777777" w:rsidR="005A4B18" w:rsidRPr="00110743" w:rsidRDefault="005A4B18" w:rsidP="00E67588">
            <w:pPr>
              <w:widowControl/>
              <w:jc w:val="right"/>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(a)</w:t>
            </w:r>
          </w:p>
        </w:tc>
        <w:tc>
          <w:tcPr>
            <w:tcW w:w="6250" w:type="dxa"/>
            <w:tcBorders>
              <w:top w:val="nil"/>
              <w:left w:val="single" w:sz="4" w:space="0" w:color="auto"/>
              <w:bottom w:val="single" w:sz="4" w:space="0" w:color="auto"/>
              <w:right w:val="single" w:sz="4" w:space="0" w:color="auto"/>
            </w:tcBorders>
            <w:noWrap/>
            <w:vAlign w:val="bottom"/>
            <w:hideMark/>
          </w:tcPr>
          <w:p w14:paraId="0E78FD54" w14:textId="77777777" w:rsidR="005A4B18" w:rsidRPr="00110743" w:rsidRDefault="005A4B18" w:rsidP="00E67588">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Grupos de especies (Madrid, 6 días)</w:t>
            </w:r>
          </w:p>
        </w:tc>
        <w:tc>
          <w:tcPr>
            <w:tcW w:w="1134" w:type="dxa"/>
            <w:tcBorders>
              <w:top w:val="nil"/>
              <w:left w:val="nil"/>
              <w:bottom w:val="single" w:sz="4" w:space="0" w:color="auto"/>
              <w:right w:val="single" w:sz="4" w:space="0" w:color="auto"/>
            </w:tcBorders>
            <w:noWrap/>
            <w:vAlign w:val="bottom"/>
            <w:hideMark/>
          </w:tcPr>
          <w:p w14:paraId="529B45B9"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5</w:t>
            </w:r>
          </w:p>
        </w:tc>
        <w:tc>
          <w:tcPr>
            <w:tcW w:w="2976" w:type="dxa"/>
            <w:tcBorders>
              <w:top w:val="nil"/>
              <w:left w:val="nil"/>
              <w:bottom w:val="single" w:sz="4" w:space="0" w:color="auto"/>
              <w:right w:val="single" w:sz="4" w:space="0" w:color="auto"/>
            </w:tcBorders>
            <w:noWrap/>
            <w:vAlign w:val="bottom"/>
            <w:hideMark/>
          </w:tcPr>
          <w:p w14:paraId="29CEAB9E"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22.180,00 €</w:t>
            </w:r>
          </w:p>
        </w:tc>
      </w:tr>
      <w:tr w:rsidR="005A4B18" w:rsidRPr="00110743" w14:paraId="064F3D6D" w14:textId="77777777" w:rsidTr="00443D9C">
        <w:trPr>
          <w:trHeight w:val="228"/>
        </w:trPr>
        <w:tc>
          <w:tcPr>
            <w:tcW w:w="980" w:type="dxa"/>
            <w:tcBorders>
              <w:top w:val="nil"/>
              <w:left w:val="nil"/>
              <w:bottom w:val="nil"/>
              <w:right w:val="nil"/>
            </w:tcBorders>
            <w:noWrap/>
            <w:vAlign w:val="bottom"/>
            <w:hideMark/>
          </w:tcPr>
          <w:p w14:paraId="5AEBFD40" w14:textId="77777777" w:rsidR="005A4B18" w:rsidRPr="00110743" w:rsidRDefault="005A4B18" w:rsidP="00E67588">
            <w:pPr>
              <w:widowControl/>
              <w:jc w:val="right"/>
              <w:rPr>
                <w:rFonts w:ascii="Cambria" w:eastAsia="Times New Roman" w:hAnsi="Cambria" w:cs="Times New Roman"/>
                <w:color w:val="000000"/>
                <w:sz w:val="18"/>
                <w:szCs w:val="18"/>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2A5F7477" w14:textId="77777777" w:rsidR="005A4B18" w:rsidRPr="00110743" w:rsidRDefault="005A4B18" w:rsidP="00E67588">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Reunión anual del SCRS (Madrid, 5 días)</w:t>
            </w:r>
          </w:p>
        </w:tc>
        <w:tc>
          <w:tcPr>
            <w:tcW w:w="1134" w:type="dxa"/>
            <w:tcBorders>
              <w:top w:val="nil"/>
              <w:left w:val="nil"/>
              <w:bottom w:val="single" w:sz="4" w:space="0" w:color="auto"/>
              <w:right w:val="single" w:sz="4" w:space="0" w:color="auto"/>
            </w:tcBorders>
            <w:noWrap/>
            <w:vAlign w:val="bottom"/>
            <w:hideMark/>
          </w:tcPr>
          <w:p w14:paraId="2B03C882"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5</w:t>
            </w:r>
          </w:p>
        </w:tc>
        <w:tc>
          <w:tcPr>
            <w:tcW w:w="2976" w:type="dxa"/>
            <w:tcBorders>
              <w:top w:val="nil"/>
              <w:left w:val="nil"/>
              <w:bottom w:val="single" w:sz="4" w:space="0" w:color="auto"/>
              <w:right w:val="single" w:sz="4" w:space="0" w:color="auto"/>
            </w:tcBorders>
            <w:noWrap/>
            <w:vAlign w:val="bottom"/>
            <w:hideMark/>
          </w:tcPr>
          <w:p w14:paraId="4B2FDD72"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20.220,00 €</w:t>
            </w:r>
          </w:p>
        </w:tc>
      </w:tr>
      <w:tr w:rsidR="005A4B18" w:rsidRPr="00110743" w14:paraId="22C0CDBA" w14:textId="77777777" w:rsidTr="00443D9C">
        <w:trPr>
          <w:trHeight w:val="228"/>
        </w:trPr>
        <w:tc>
          <w:tcPr>
            <w:tcW w:w="980" w:type="dxa"/>
            <w:tcBorders>
              <w:top w:val="nil"/>
              <w:left w:val="nil"/>
              <w:bottom w:val="nil"/>
              <w:right w:val="nil"/>
            </w:tcBorders>
            <w:noWrap/>
            <w:vAlign w:val="bottom"/>
            <w:hideMark/>
          </w:tcPr>
          <w:p w14:paraId="28F43E5D" w14:textId="77777777" w:rsidR="005A4B18" w:rsidRPr="00110743" w:rsidRDefault="005A4B18" w:rsidP="00E67588">
            <w:pPr>
              <w:widowControl/>
              <w:jc w:val="right"/>
              <w:rPr>
                <w:rFonts w:ascii="Cambria" w:eastAsia="Times New Roman" w:hAnsi="Cambria" w:cs="Times New Roman"/>
                <w:color w:val="000000"/>
                <w:sz w:val="18"/>
                <w:szCs w:val="18"/>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3D093F5E" w14:textId="77777777" w:rsidR="005A4B18" w:rsidRPr="00110743" w:rsidRDefault="005A4B18" w:rsidP="00E67588">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Grupos de especies + Reunión anual del SCRS (Madrid, 12 días)</w:t>
            </w:r>
          </w:p>
        </w:tc>
        <w:tc>
          <w:tcPr>
            <w:tcW w:w="1134" w:type="dxa"/>
            <w:tcBorders>
              <w:top w:val="nil"/>
              <w:left w:val="nil"/>
              <w:bottom w:val="single" w:sz="4" w:space="0" w:color="auto"/>
              <w:right w:val="single" w:sz="4" w:space="0" w:color="auto"/>
            </w:tcBorders>
            <w:noWrap/>
            <w:vAlign w:val="bottom"/>
            <w:hideMark/>
          </w:tcPr>
          <w:p w14:paraId="26D0BADD"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12</w:t>
            </w:r>
          </w:p>
        </w:tc>
        <w:tc>
          <w:tcPr>
            <w:tcW w:w="2976" w:type="dxa"/>
            <w:tcBorders>
              <w:top w:val="nil"/>
              <w:left w:val="nil"/>
              <w:bottom w:val="single" w:sz="4" w:space="0" w:color="auto"/>
              <w:right w:val="single" w:sz="4" w:space="0" w:color="auto"/>
            </w:tcBorders>
            <w:noWrap/>
            <w:vAlign w:val="bottom"/>
            <w:hideMark/>
          </w:tcPr>
          <w:p w14:paraId="309D6F3A"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81.456,00 €</w:t>
            </w:r>
          </w:p>
        </w:tc>
      </w:tr>
      <w:tr w:rsidR="005A4B18" w:rsidRPr="00110743" w14:paraId="13F60DEC" w14:textId="77777777" w:rsidTr="00443D9C">
        <w:trPr>
          <w:trHeight w:val="228"/>
        </w:trPr>
        <w:tc>
          <w:tcPr>
            <w:tcW w:w="980" w:type="dxa"/>
            <w:tcBorders>
              <w:top w:val="nil"/>
              <w:left w:val="nil"/>
              <w:bottom w:val="nil"/>
              <w:right w:val="nil"/>
            </w:tcBorders>
            <w:noWrap/>
            <w:vAlign w:val="bottom"/>
            <w:hideMark/>
          </w:tcPr>
          <w:p w14:paraId="59A12140" w14:textId="77777777" w:rsidR="005A4B18" w:rsidRPr="00110743" w:rsidRDefault="005A4B18" w:rsidP="00E67588">
            <w:pPr>
              <w:widowControl/>
              <w:jc w:val="right"/>
              <w:rPr>
                <w:rFonts w:ascii="Cambria" w:eastAsia="Times New Roman" w:hAnsi="Cambria" w:cs="Times New Roman"/>
                <w:color w:val="000000"/>
                <w:sz w:val="18"/>
                <w:szCs w:val="18"/>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1585756F" w14:textId="508DD0B8" w:rsidR="005A4B18" w:rsidRPr="00110743" w:rsidRDefault="00E02BF0" w:rsidP="00E67588">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 xml:space="preserve">Reunión anual de la Comisión de </w:t>
            </w:r>
            <w:r w:rsidR="005A4B18" w:rsidRPr="00110743">
              <w:rPr>
                <w:rFonts w:ascii="Cambria" w:eastAsia="Times New Roman" w:hAnsi="Cambria" w:cs="Times New Roman"/>
                <w:color w:val="000000"/>
                <w:sz w:val="18"/>
                <w:szCs w:val="18"/>
                <w:lang w:eastAsia="es-ES"/>
              </w:rPr>
              <w:t>2026 (</w:t>
            </w:r>
            <w:r w:rsidR="00D96152" w:rsidRPr="00110743">
              <w:rPr>
                <w:rFonts w:ascii="Cambria" w:eastAsia="Times New Roman" w:hAnsi="Cambria" w:cs="Times New Roman"/>
                <w:color w:val="000000"/>
                <w:sz w:val="18"/>
                <w:szCs w:val="18"/>
                <w:lang w:eastAsia="es-ES"/>
              </w:rPr>
              <w:t>UE</w:t>
            </w:r>
            <w:r w:rsidR="005A4B18" w:rsidRPr="00110743">
              <w:rPr>
                <w:rFonts w:ascii="Cambria" w:eastAsia="Times New Roman" w:hAnsi="Cambria" w:cs="Times New Roman"/>
                <w:color w:val="000000"/>
                <w:sz w:val="18"/>
                <w:szCs w:val="18"/>
                <w:lang w:eastAsia="es-ES"/>
              </w:rPr>
              <w:t>, 10 días)</w:t>
            </w:r>
          </w:p>
        </w:tc>
        <w:tc>
          <w:tcPr>
            <w:tcW w:w="1134" w:type="dxa"/>
            <w:tcBorders>
              <w:top w:val="nil"/>
              <w:left w:val="nil"/>
              <w:bottom w:val="single" w:sz="4" w:space="0" w:color="auto"/>
              <w:right w:val="single" w:sz="4" w:space="0" w:color="auto"/>
            </w:tcBorders>
            <w:noWrap/>
            <w:vAlign w:val="bottom"/>
            <w:hideMark/>
          </w:tcPr>
          <w:p w14:paraId="3BF6ED5B"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26</w:t>
            </w:r>
          </w:p>
        </w:tc>
        <w:tc>
          <w:tcPr>
            <w:tcW w:w="2976" w:type="dxa"/>
            <w:tcBorders>
              <w:top w:val="nil"/>
              <w:left w:val="nil"/>
              <w:bottom w:val="single" w:sz="4" w:space="0" w:color="auto"/>
              <w:right w:val="single" w:sz="4" w:space="0" w:color="auto"/>
            </w:tcBorders>
            <w:noWrap/>
            <w:vAlign w:val="bottom"/>
            <w:hideMark/>
          </w:tcPr>
          <w:p w14:paraId="0AFC8139" w14:textId="77777777" w:rsidR="005A4B18" w:rsidRPr="00110743" w:rsidRDefault="005A4B18" w:rsidP="00443D9C">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140.638,16 €</w:t>
            </w:r>
          </w:p>
        </w:tc>
      </w:tr>
      <w:tr w:rsidR="005A4B18" w:rsidRPr="00110743" w14:paraId="6E676113" w14:textId="77777777" w:rsidTr="00443D9C">
        <w:trPr>
          <w:trHeight w:val="228"/>
        </w:trPr>
        <w:tc>
          <w:tcPr>
            <w:tcW w:w="980" w:type="dxa"/>
            <w:tcBorders>
              <w:top w:val="nil"/>
              <w:left w:val="nil"/>
              <w:bottom w:val="nil"/>
              <w:right w:val="nil"/>
            </w:tcBorders>
            <w:noWrap/>
            <w:vAlign w:val="bottom"/>
            <w:hideMark/>
          </w:tcPr>
          <w:p w14:paraId="6180E2A3" w14:textId="77777777" w:rsidR="005A4B18" w:rsidRPr="00110743" w:rsidRDefault="005A4B18" w:rsidP="00E67588">
            <w:pPr>
              <w:widowControl/>
              <w:jc w:val="right"/>
              <w:rPr>
                <w:rFonts w:ascii="Cambria" w:eastAsia="Times New Roman" w:hAnsi="Cambria" w:cs="Times New Roman"/>
                <w:color w:val="000000"/>
                <w:sz w:val="18"/>
                <w:szCs w:val="18"/>
                <w:lang w:eastAsia="es-ES"/>
              </w:rPr>
            </w:pPr>
          </w:p>
        </w:tc>
        <w:tc>
          <w:tcPr>
            <w:tcW w:w="6250" w:type="dxa"/>
            <w:tcBorders>
              <w:top w:val="nil"/>
              <w:left w:val="single" w:sz="4" w:space="0" w:color="auto"/>
              <w:bottom w:val="single" w:sz="4" w:space="0" w:color="auto"/>
              <w:right w:val="single" w:sz="4" w:space="0" w:color="auto"/>
            </w:tcBorders>
            <w:noWrap/>
            <w:vAlign w:val="bottom"/>
            <w:hideMark/>
          </w:tcPr>
          <w:p w14:paraId="28836121" w14:textId="77777777" w:rsidR="005A4B18" w:rsidRPr="00110743" w:rsidRDefault="005A4B18" w:rsidP="00E67588">
            <w:pPr>
              <w:widowControl/>
              <w:rPr>
                <w:rFonts w:ascii="Cambria" w:eastAsia="Times New Roman" w:hAnsi="Cambria" w:cs="Times New Roman"/>
                <w:color w:val="000000"/>
                <w:sz w:val="18"/>
                <w:szCs w:val="18"/>
                <w:lang w:eastAsia="es-ES"/>
              </w:rPr>
            </w:pPr>
            <w:r w:rsidRPr="00110743">
              <w:rPr>
                <w:rFonts w:ascii="Cambria" w:eastAsia="Times New Roman" w:hAnsi="Cambria" w:cs="Times New Roman"/>
                <w:color w:val="000000"/>
                <w:sz w:val="18"/>
                <w:szCs w:val="18"/>
                <w:lang w:eastAsia="es-ES"/>
              </w:rPr>
              <w:t> </w:t>
            </w:r>
          </w:p>
        </w:tc>
        <w:tc>
          <w:tcPr>
            <w:tcW w:w="1134" w:type="dxa"/>
            <w:tcBorders>
              <w:top w:val="nil"/>
              <w:left w:val="nil"/>
              <w:bottom w:val="single" w:sz="4" w:space="0" w:color="auto"/>
              <w:right w:val="single" w:sz="4" w:space="0" w:color="auto"/>
            </w:tcBorders>
            <w:noWrap/>
            <w:vAlign w:val="bottom"/>
            <w:hideMark/>
          </w:tcPr>
          <w:p w14:paraId="533207A1" w14:textId="77777777" w:rsidR="005A4B18" w:rsidRPr="00110743" w:rsidRDefault="005A4B18" w:rsidP="00D96152">
            <w:pPr>
              <w:pStyle w:val="Heading3"/>
              <w:rPr>
                <w:u w:val="none"/>
              </w:rPr>
            </w:pPr>
            <w:r w:rsidRPr="00110743">
              <w:rPr>
                <w:u w:val="none"/>
              </w:rPr>
              <w:t>TOTAL</w:t>
            </w:r>
          </w:p>
        </w:tc>
        <w:tc>
          <w:tcPr>
            <w:tcW w:w="2976" w:type="dxa"/>
            <w:tcBorders>
              <w:top w:val="nil"/>
              <w:left w:val="nil"/>
              <w:bottom w:val="single" w:sz="4" w:space="0" w:color="auto"/>
              <w:right w:val="single" w:sz="4" w:space="0" w:color="auto"/>
            </w:tcBorders>
            <w:noWrap/>
            <w:vAlign w:val="bottom"/>
            <w:hideMark/>
          </w:tcPr>
          <w:p w14:paraId="415B80C2" w14:textId="77777777" w:rsidR="005A4B18" w:rsidRPr="00110743" w:rsidRDefault="005A4B18" w:rsidP="00443D9C">
            <w:pPr>
              <w:widowControl/>
              <w:rPr>
                <w:rFonts w:ascii="Cambria" w:eastAsia="Times New Roman" w:hAnsi="Cambria" w:cs="Times New Roman"/>
                <w:b/>
                <w:bCs/>
                <w:color w:val="000000"/>
                <w:sz w:val="18"/>
                <w:szCs w:val="18"/>
                <w:lang w:eastAsia="es-ES"/>
              </w:rPr>
            </w:pPr>
            <w:r w:rsidRPr="00110743">
              <w:rPr>
                <w:rFonts w:ascii="Cambria" w:eastAsia="Times New Roman" w:hAnsi="Cambria" w:cs="Times New Roman"/>
                <w:b/>
                <w:bCs/>
                <w:color w:val="000000"/>
                <w:sz w:val="18"/>
                <w:szCs w:val="18"/>
                <w:lang w:eastAsia="es-ES"/>
              </w:rPr>
              <w:t>264.494,16 €</w:t>
            </w:r>
          </w:p>
        </w:tc>
      </w:tr>
    </w:tbl>
    <w:p w14:paraId="32CEBBDE" w14:textId="77777777" w:rsidR="00834B9A" w:rsidRPr="00110743" w:rsidRDefault="00834B9A" w:rsidP="00E3312E">
      <w:pPr>
        <w:spacing w:line="240" w:lineRule="exact"/>
        <w:rPr>
          <w:rFonts w:ascii="Cambria" w:hAnsi="Cambria"/>
          <w:bCs/>
          <w:sz w:val="20"/>
          <w:szCs w:val="20"/>
        </w:rPr>
      </w:pPr>
    </w:p>
    <w:p w14:paraId="6919CFE2" w14:textId="77777777" w:rsidR="00834B9A" w:rsidRPr="00110743" w:rsidRDefault="00834B9A" w:rsidP="00E3312E">
      <w:pPr>
        <w:spacing w:line="240" w:lineRule="exact"/>
        <w:rPr>
          <w:rFonts w:ascii="Cambria" w:hAnsi="Cambria"/>
          <w:bCs/>
          <w:sz w:val="20"/>
          <w:szCs w:val="20"/>
        </w:rPr>
      </w:pPr>
    </w:p>
    <w:sectPr w:rsidR="00834B9A" w:rsidRPr="00110743" w:rsidSect="00443D9C">
      <w:headerReference w:type="default" r:id="rId8"/>
      <w:footerReference w:type="default" r:id="rId9"/>
      <w:endnotePr>
        <w:numFmt w:val="decimal"/>
      </w:endnotePr>
      <w:pgSz w:w="16840" w:h="11910" w:orient="landscape"/>
      <w:pgMar w:top="1418" w:right="1418" w:bottom="1418" w:left="1418" w:header="89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3D41" w14:textId="77777777" w:rsidR="00957BE7" w:rsidRDefault="00957BE7">
      <w:r>
        <w:separator/>
      </w:r>
    </w:p>
  </w:endnote>
  <w:endnote w:type="continuationSeparator" w:id="0">
    <w:p w14:paraId="157AB3BF" w14:textId="77777777" w:rsidR="00957BE7" w:rsidRDefault="00957BE7">
      <w:r>
        <w:continuationSeparator/>
      </w:r>
    </w:p>
  </w:endnote>
  <w:endnote w:id="1">
    <w:p w14:paraId="2A26708C" w14:textId="71BBF9C9" w:rsidR="008B3319" w:rsidRPr="00110743" w:rsidRDefault="008B3319">
      <w:pPr>
        <w:pStyle w:val="EndnoteText"/>
        <w:rPr>
          <w:rFonts w:asciiTheme="majorHAnsi" w:hAnsiTheme="majorHAnsi"/>
          <w:sz w:val="16"/>
          <w:szCs w:val="16"/>
        </w:rPr>
      </w:pPr>
      <w:r w:rsidRPr="00110743">
        <w:rPr>
          <w:rStyle w:val="EndnoteReference"/>
          <w:rFonts w:asciiTheme="majorHAnsi" w:hAnsiTheme="majorHAnsi"/>
          <w:sz w:val="16"/>
          <w:szCs w:val="16"/>
        </w:rPr>
        <w:endnoteRef/>
      </w:r>
      <w:r w:rsidRPr="00110743">
        <w:rPr>
          <w:rFonts w:asciiTheme="majorHAnsi" w:hAnsiTheme="majorHAnsi"/>
          <w:sz w:val="16"/>
          <w:szCs w:val="16"/>
        </w:rPr>
        <w:t xml:space="preserve"> Cabe señalar que la cifra correspondiente a esta propuesta (STF_215A, Argelia, Túnez y Egipto) se ha incluido en la propuesta STF_221. Por lo tanto, no se ha tenido en cuenta para el total de las implicaciones financieras.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0E17" w14:textId="222A5D07" w:rsidR="002C008E" w:rsidRPr="002C008E" w:rsidRDefault="002C008E" w:rsidP="002C008E">
    <w:pPr>
      <w:widowControl/>
      <w:tabs>
        <w:tab w:val="center" w:pos="4535"/>
        <w:tab w:val="center" w:pos="4680"/>
        <w:tab w:val="left" w:pos="6150"/>
        <w:tab w:val="right" w:pos="9360"/>
      </w:tabs>
      <w:spacing w:after="200" w:line="276" w:lineRule="auto"/>
      <w:jc w:val="center"/>
      <w:rPr>
        <w:rFonts w:ascii="Cambria" w:eastAsia="Calibri" w:hAnsi="Cambria" w:cs="Calibri"/>
        <w:sz w:val="20"/>
      </w:rPr>
    </w:pPr>
    <w:r w:rsidRPr="002C008E">
      <w:rPr>
        <w:rFonts w:ascii="Cambria" w:eastAsia="Calibri" w:hAnsi="Cambria" w:cs="Calibri"/>
        <w:sz w:val="20"/>
      </w:rPr>
      <w:fldChar w:fldCharType="begin"/>
    </w:r>
    <w:r w:rsidRPr="002C008E">
      <w:rPr>
        <w:rFonts w:ascii="Cambria" w:eastAsia="Calibri" w:hAnsi="Cambria" w:cs="Calibri"/>
        <w:sz w:val="20"/>
      </w:rPr>
      <w:instrText xml:space="preserve"> PAGE </w:instrText>
    </w:r>
    <w:r w:rsidRPr="002C008E">
      <w:rPr>
        <w:rFonts w:ascii="Cambria" w:eastAsia="Calibri" w:hAnsi="Cambria" w:cs="Calibri"/>
        <w:sz w:val="20"/>
      </w:rPr>
      <w:fldChar w:fldCharType="separate"/>
    </w:r>
    <w:r w:rsidRPr="002C008E">
      <w:rPr>
        <w:rFonts w:ascii="Cambria" w:eastAsia="Calibri" w:hAnsi="Cambria" w:cs="Calibri"/>
        <w:sz w:val="20"/>
      </w:rPr>
      <w:t>1</w:t>
    </w:r>
    <w:r w:rsidRPr="002C008E">
      <w:rPr>
        <w:rFonts w:ascii="Cambria" w:eastAsia="Calibri" w:hAnsi="Cambria" w:cs="Calibri"/>
        <w:sz w:val="20"/>
      </w:rPr>
      <w:fldChar w:fldCharType="end"/>
    </w:r>
    <w:r>
      <w:rPr>
        <w:rFonts w:ascii="Cambria" w:hAnsi="Cambria"/>
        <w:sz w:val="20"/>
      </w:rPr>
      <w:t xml:space="preserve"> / </w:t>
    </w:r>
    <w:r w:rsidRPr="002C008E">
      <w:rPr>
        <w:rFonts w:ascii="Cambria" w:eastAsia="Calibri" w:hAnsi="Cambria" w:cs="Calibri"/>
        <w:sz w:val="20"/>
      </w:rPr>
      <w:fldChar w:fldCharType="begin"/>
    </w:r>
    <w:r w:rsidRPr="002C008E">
      <w:rPr>
        <w:rFonts w:ascii="Cambria" w:eastAsia="Calibri" w:hAnsi="Cambria" w:cs="Calibri"/>
        <w:sz w:val="20"/>
      </w:rPr>
      <w:instrText xml:space="preserve"> NUMPAGES  </w:instrText>
    </w:r>
    <w:r w:rsidRPr="002C008E">
      <w:rPr>
        <w:rFonts w:ascii="Cambria" w:eastAsia="Calibri" w:hAnsi="Cambria" w:cs="Calibri"/>
        <w:sz w:val="20"/>
      </w:rPr>
      <w:fldChar w:fldCharType="separate"/>
    </w:r>
    <w:r w:rsidRPr="002C008E">
      <w:rPr>
        <w:rFonts w:ascii="Cambria" w:eastAsia="Calibri" w:hAnsi="Cambria" w:cs="Calibri"/>
        <w:sz w:val="20"/>
      </w:rPr>
      <w:t>1</w:t>
    </w:r>
    <w:r w:rsidRPr="002C008E">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80AC" w14:textId="77777777" w:rsidR="00957BE7" w:rsidRDefault="00957BE7">
      <w:r>
        <w:separator/>
      </w:r>
    </w:p>
  </w:footnote>
  <w:footnote w:type="continuationSeparator" w:id="0">
    <w:p w14:paraId="0EC58585" w14:textId="77777777" w:rsidR="00957BE7" w:rsidRDefault="0095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E549" w14:textId="480050B6" w:rsidR="001B7353" w:rsidRPr="001B7353" w:rsidRDefault="001B7353" w:rsidP="001B7353">
    <w:pPr>
      <w:tabs>
        <w:tab w:val="center" w:pos="4680"/>
        <w:tab w:val="left" w:pos="6520"/>
        <w:tab w:val="right" w:pos="9360"/>
        <w:tab w:val="right" w:pos="14240"/>
      </w:tabs>
      <w:autoSpaceDE w:val="0"/>
      <w:autoSpaceDN w:val="0"/>
      <w:jc w:val="right"/>
      <w:rPr>
        <w:rFonts w:ascii="Cambria" w:eastAsia="Calibri" w:hAnsi="Cambria" w:cs="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STF_209</w:t>
    </w:r>
    <w:r w:rsidR="00110743">
      <w:rPr>
        <w:rFonts w:ascii="Cambria" w:hAnsi="Cambria"/>
        <w:b/>
        <w:sz w:val="20"/>
      </w:rPr>
      <w:t>C</w:t>
    </w:r>
    <w:r>
      <w:rPr>
        <w:rFonts w:ascii="Cambria" w:hAnsi="Cambria"/>
        <w:b/>
        <w:sz w:val="20"/>
      </w:rPr>
      <w:t>/2025</w:t>
    </w:r>
  </w:p>
  <w:p w14:paraId="29F8F478" w14:textId="0BFACE40" w:rsidR="001B7353" w:rsidRPr="001B7353" w:rsidRDefault="001B7353" w:rsidP="001B7353">
    <w:pPr>
      <w:tabs>
        <w:tab w:val="left" w:pos="7320"/>
      </w:tabs>
      <w:autoSpaceDE w:val="0"/>
      <w:autoSpaceDN w:val="0"/>
      <w:spacing w:line="240" w:lineRule="exact"/>
      <w:jc w:val="right"/>
      <w:rPr>
        <w:rFonts w:ascii="Cambria" w:eastAsia="Cambria" w:hAnsi="Cambria" w:cs="Cambria"/>
        <w:b/>
        <w:bCs/>
        <w:sz w:val="16"/>
        <w:szCs w:val="16"/>
      </w:rPr>
    </w:pPr>
    <w:r w:rsidRPr="001B7353">
      <w:rPr>
        <w:rFonts w:ascii="Cambria" w:eastAsia="Cambria" w:hAnsi="Cambria" w:cs="Cambria"/>
        <w:b/>
        <w:sz w:val="16"/>
      </w:rPr>
      <w:fldChar w:fldCharType="begin"/>
    </w:r>
    <w:r w:rsidRPr="001B7353">
      <w:rPr>
        <w:rFonts w:ascii="Cambria" w:eastAsia="Cambria" w:hAnsi="Cambria" w:cs="Cambria"/>
        <w:b/>
        <w:sz w:val="16"/>
      </w:rPr>
      <w:instrText xml:space="preserve"> TIME \@ "dd/MM/yyyy H:mm" </w:instrText>
    </w:r>
    <w:r w:rsidRPr="001B7353">
      <w:rPr>
        <w:rFonts w:ascii="Cambria" w:eastAsia="Cambria" w:hAnsi="Cambria" w:cs="Cambria"/>
        <w:b/>
        <w:sz w:val="16"/>
      </w:rPr>
      <w:fldChar w:fldCharType="separate"/>
    </w:r>
    <w:r w:rsidR="00C10B0C">
      <w:rPr>
        <w:rFonts w:ascii="Cambria" w:eastAsia="Cambria" w:hAnsi="Cambria" w:cs="Cambria"/>
        <w:b/>
        <w:noProof/>
        <w:sz w:val="16"/>
      </w:rPr>
      <w:t>22/11/2025 20:17</w:t>
    </w:r>
    <w:r w:rsidRPr="001B7353">
      <w:rPr>
        <w:rFonts w:ascii="Cambria" w:eastAsia="Cambria" w:hAnsi="Cambria" w:cs="Cambria"/>
        <w:b/>
        <w:bCs/>
        <w:sz w:val="16"/>
        <w:szCs w:val="16"/>
        <w:lang w:val="es-ES_tradnl"/>
      </w:rPr>
      <w:fldChar w:fldCharType="end"/>
    </w:r>
    <w:bookmarkEnd w:id="1"/>
    <w:bookmarkEnd w:id="2"/>
    <w:bookmarkEnd w:id="3"/>
    <w:bookmarkEnd w:id="4"/>
    <w:bookmarkEnd w:id="5"/>
    <w:bookmarkEnd w:id="6"/>
  </w:p>
  <w:p w14:paraId="5C6BB4B0" w14:textId="390DEBAC" w:rsidR="00EA79DB" w:rsidRPr="00563D6B" w:rsidRDefault="00EA79D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BF4"/>
    <w:multiLevelType w:val="hybridMultilevel"/>
    <w:tmpl w:val="4864B6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2A90756"/>
    <w:multiLevelType w:val="hybridMultilevel"/>
    <w:tmpl w:val="1B4C9C5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E91AF6"/>
    <w:multiLevelType w:val="hybridMultilevel"/>
    <w:tmpl w:val="F90E3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B1F17"/>
    <w:multiLevelType w:val="hybridMultilevel"/>
    <w:tmpl w:val="E9E0F50E"/>
    <w:lvl w:ilvl="0" w:tplc="B28C4848">
      <w:start w:val="1"/>
      <w:numFmt w:val="bullet"/>
      <w:lvlText w:val="-"/>
      <w:lvlJc w:val="left"/>
      <w:pPr>
        <w:ind w:left="878" w:hanging="360"/>
      </w:pPr>
      <w:rPr>
        <w:rFonts w:ascii="Times New Roman" w:eastAsia="Times New Roman" w:hAnsi="Times New Roman" w:hint="default"/>
        <w:sz w:val="20"/>
        <w:szCs w:val="20"/>
      </w:rPr>
    </w:lvl>
    <w:lvl w:ilvl="1" w:tplc="6B38B34A">
      <w:start w:val="1"/>
      <w:numFmt w:val="bullet"/>
      <w:lvlText w:val="•"/>
      <w:lvlJc w:val="left"/>
      <w:pPr>
        <w:ind w:left="1729" w:hanging="360"/>
      </w:pPr>
      <w:rPr>
        <w:rFonts w:hint="default"/>
      </w:rPr>
    </w:lvl>
    <w:lvl w:ilvl="2" w:tplc="9B628072">
      <w:start w:val="1"/>
      <w:numFmt w:val="bullet"/>
      <w:lvlText w:val="•"/>
      <w:lvlJc w:val="left"/>
      <w:pPr>
        <w:ind w:left="2580" w:hanging="360"/>
      </w:pPr>
      <w:rPr>
        <w:rFonts w:hint="default"/>
      </w:rPr>
    </w:lvl>
    <w:lvl w:ilvl="3" w:tplc="118A3898">
      <w:start w:val="1"/>
      <w:numFmt w:val="bullet"/>
      <w:lvlText w:val="•"/>
      <w:lvlJc w:val="left"/>
      <w:pPr>
        <w:ind w:left="3431" w:hanging="360"/>
      </w:pPr>
      <w:rPr>
        <w:rFonts w:hint="default"/>
      </w:rPr>
    </w:lvl>
    <w:lvl w:ilvl="4" w:tplc="68FC29AE">
      <w:start w:val="1"/>
      <w:numFmt w:val="bullet"/>
      <w:lvlText w:val="•"/>
      <w:lvlJc w:val="left"/>
      <w:pPr>
        <w:ind w:left="4281" w:hanging="360"/>
      </w:pPr>
      <w:rPr>
        <w:rFonts w:hint="default"/>
      </w:rPr>
    </w:lvl>
    <w:lvl w:ilvl="5" w:tplc="46A82E14">
      <w:start w:val="1"/>
      <w:numFmt w:val="bullet"/>
      <w:lvlText w:val="•"/>
      <w:lvlJc w:val="left"/>
      <w:pPr>
        <w:ind w:left="5132" w:hanging="360"/>
      </w:pPr>
      <w:rPr>
        <w:rFonts w:hint="default"/>
      </w:rPr>
    </w:lvl>
    <w:lvl w:ilvl="6" w:tplc="0D8C3120">
      <w:start w:val="1"/>
      <w:numFmt w:val="bullet"/>
      <w:lvlText w:val="•"/>
      <w:lvlJc w:val="left"/>
      <w:pPr>
        <w:ind w:left="5983" w:hanging="360"/>
      </w:pPr>
      <w:rPr>
        <w:rFonts w:hint="default"/>
      </w:rPr>
    </w:lvl>
    <w:lvl w:ilvl="7" w:tplc="012AFC08">
      <w:start w:val="1"/>
      <w:numFmt w:val="bullet"/>
      <w:lvlText w:val="•"/>
      <w:lvlJc w:val="left"/>
      <w:pPr>
        <w:ind w:left="6834" w:hanging="360"/>
      </w:pPr>
      <w:rPr>
        <w:rFonts w:hint="default"/>
      </w:rPr>
    </w:lvl>
    <w:lvl w:ilvl="8" w:tplc="6B7E5FC2">
      <w:start w:val="1"/>
      <w:numFmt w:val="bullet"/>
      <w:lvlText w:val="•"/>
      <w:lvlJc w:val="left"/>
      <w:pPr>
        <w:ind w:left="7684" w:hanging="360"/>
      </w:pPr>
      <w:rPr>
        <w:rFonts w:hint="default"/>
      </w:rPr>
    </w:lvl>
  </w:abstractNum>
  <w:abstractNum w:abstractNumId="4" w15:restartNumberingAfterBreak="0">
    <w:nsid w:val="15051AE5"/>
    <w:multiLevelType w:val="hybridMultilevel"/>
    <w:tmpl w:val="D99A9244"/>
    <w:lvl w:ilvl="0" w:tplc="08CA672A">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5273002"/>
    <w:multiLevelType w:val="hybridMultilevel"/>
    <w:tmpl w:val="E832442A"/>
    <w:lvl w:ilvl="0" w:tplc="AEC2E7EA">
      <w:start w:val="1"/>
      <w:numFmt w:val="bullet"/>
      <w:lvlText w:val="-"/>
      <w:lvlJc w:val="left"/>
      <w:pPr>
        <w:ind w:left="1060" w:hanging="360"/>
      </w:pPr>
      <w:rPr>
        <w:rFonts w:ascii="Cambria" w:hAnsi="Cambria"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5E864EF"/>
    <w:multiLevelType w:val="multilevel"/>
    <w:tmpl w:val="FC96B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2601A"/>
    <w:multiLevelType w:val="multilevel"/>
    <w:tmpl w:val="4636D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F57F5"/>
    <w:multiLevelType w:val="hybridMultilevel"/>
    <w:tmpl w:val="4EEC0600"/>
    <w:lvl w:ilvl="0" w:tplc="0809000B">
      <w:start w:val="1"/>
      <w:numFmt w:val="bullet"/>
      <w:lvlText w:val=""/>
      <w:lvlJc w:val="left"/>
      <w:pPr>
        <w:ind w:left="1854" w:hanging="360"/>
      </w:pPr>
      <w:rPr>
        <w:rFonts w:ascii="Wingdings" w:hAnsi="Wingdings" w:hint="default"/>
      </w:rPr>
    </w:lvl>
    <w:lvl w:ilvl="1" w:tplc="0809000B">
      <w:start w:val="1"/>
      <w:numFmt w:val="bullet"/>
      <w:lvlText w:val=""/>
      <w:lvlJc w:val="left"/>
      <w:pPr>
        <w:ind w:left="2574" w:hanging="360"/>
      </w:pPr>
      <w:rPr>
        <w:rFonts w:ascii="Wingdings" w:hAnsi="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EC33368"/>
    <w:multiLevelType w:val="hybridMultilevel"/>
    <w:tmpl w:val="0F988B34"/>
    <w:lvl w:ilvl="0" w:tplc="C05C1FB6">
      <w:numFmt w:val="bullet"/>
      <w:lvlText w:val="•"/>
      <w:lvlJc w:val="left"/>
      <w:pPr>
        <w:ind w:left="1494" w:hanging="360"/>
      </w:pPr>
      <w:rPr>
        <w:rFonts w:ascii="Cambria" w:eastAsiaTheme="minorHAnsi" w:hAnsi="Cambria"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1996992"/>
    <w:multiLevelType w:val="hybridMultilevel"/>
    <w:tmpl w:val="8DC6628C"/>
    <w:lvl w:ilvl="0" w:tplc="0809000B">
      <w:start w:val="1"/>
      <w:numFmt w:val="bullet"/>
      <w:lvlText w:val=""/>
      <w:lvlJc w:val="left"/>
      <w:pPr>
        <w:ind w:left="1854" w:hanging="360"/>
      </w:pPr>
      <w:rPr>
        <w:rFonts w:ascii="Wingdings" w:hAnsi="Wingdings"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6451609"/>
    <w:multiLevelType w:val="hybridMultilevel"/>
    <w:tmpl w:val="EEEC6FCA"/>
    <w:lvl w:ilvl="0" w:tplc="04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C715E6A"/>
    <w:multiLevelType w:val="hybridMultilevel"/>
    <w:tmpl w:val="E9945438"/>
    <w:lvl w:ilvl="0" w:tplc="749E3028">
      <w:numFmt w:val="bullet"/>
      <w:lvlText w:val="-"/>
      <w:lvlJc w:val="left"/>
      <w:pPr>
        <w:ind w:left="1494" w:hanging="360"/>
      </w:pPr>
      <w:rPr>
        <w:rFonts w:ascii="Cambria" w:eastAsiaTheme="minorHAnsi" w:hAnsi="Cambria"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4FBB0D45"/>
    <w:multiLevelType w:val="hybridMultilevel"/>
    <w:tmpl w:val="0F8E24CE"/>
    <w:lvl w:ilvl="0" w:tplc="08090001">
      <w:start w:val="1"/>
      <w:numFmt w:val="bullet"/>
      <w:lvlText w:val=""/>
      <w:lvlJc w:val="left"/>
      <w:pPr>
        <w:ind w:left="1854" w:hanging="360"/>
      </w:pPr>
      <w:rPr>
        <w:rFonts w:ascii="Symbol" w:hAnsi="Symbol" w:hint="default"/>
      </w:rPr>
    </w:lvl>
    <w:lvl w:ilvl="1" w:tplc="67AC949A">
      <w:numFmt w:val="bullet"/>
      <w:lvlText w:val="-"/>
      <w:lvlJc w:val="left"/>
      <w:pPr>
        <w:ind w:left="2574" w:hanging="360"/>
      </w:pPr>
      <w:rPr>
        <w:rFonts w:ascii="Cambria" w:eastAsiaTheme="minorHAnsi" w:hAnsi="Cambria" w:cstheme="minorBidi"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A371A"/>
    <w:multiLevelType w:val="hybridMultilevel"/>
    <w:tmpl w:val="4EE296C2"/>
    <w:lvl w:ilvl="0" w:tplc="3A100730">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9131B5"/>
    <w:multiLevelType w:val="hybridMultilevel"/>
    <w:tmpl w:val="3FD670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D5F6AED"/>
    <w:multiLevelType w:val="hybridMultilevel"/>
    <w:tmpl w:val="C56EC8D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207911531">
    <w:abstractNumId w:val="3"/>
  </w:num>
  <w:num w:numId="2" w16cid:durableId="1781142910">
    <w:abstractNumId w:val="7"/>
  </w:num>
  <w:num w:numId="3" w16cid:durableId="1423069403">
    <w:abstractNumId w:val="6"/>
  </w:num>
  <w:num w:numId="4" w16cid:durableId="1454129913">
    <w:abstractNumId w:val="5"/>
  </w:num>
  <w:num w:numId="5" w16cid:durableId="201134474">
    <w:abstractNumId w:val="17"/>
  </w:num>
  <w:num w:numId="6" w16cid:durableId="1158569776">
    <w:abstractNumId w:val="14"/>
  </w:num>
  <w:num w:numId="7" w16cid:durableId="1208957065">
    <w:abstractNumId w:val="11"/>
  </w:num>
  <w:num w:numId="8" w16cid:durableId="578445565">
    <w:abstractNumId w:val="12"/>
  </w:num>
  <w:num w:numId="9" w16cid:durableId="1252355113">
    <w:abstractNumId w:val="1"/>
  </w:num>
  <w:num w:numId="10" w16cid:durableId="15473925">
    <w:abstractNumId w:val="13"/>
  </w:num>
  <w:num w:numId="11" w16cid:durableId="1765764270">
    <w:abstractNumId w:val="10"/>
  </w:num>
  <w:num w:numId="12" w16cid:durableId="1765226543">
    <w:abstractNumId w:val="8"/>
  </w:num>
  <w:num w:numId="13" w16cid:durableId="38748663">
    <w:abstractNumId w:val="0"/>
  </w:num>
  <w:num w:numId="14" w16cid:durableId="439222329">
    <w:abstractNumId w:val="4"/>
  </w:num>
  <w:num w:numId="15" w16cid:durableId="675155029">
    <w:abstractNumId w:val="9"/>
  </w:num>
  <w:num w:numId="16" w16cid:durableId="1627542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195032">
    <w:abstractNumId w:val="15"/>
  </w:num>
  <w:num w:numId="18" w16cid:durableId="33634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NTA3NbIwMTcxNTZT0lEKTi0uzszPAykwrQUA0lgDuCwAAAA="/>
  </w:docVars>
  <w:rsids>
    <w:rsidRoot w:val="00EA79DB"/>
    <w:rsid w:val="00000930"/>
    <w:rsid w:val="0000288F"/>
    <w:rsid w:val="00005E40"/>
    <w:rsid w:val="000076E8"/>
    <w:rsid w:val="00007C26"/>
    <w:rsid w:val="000115C2"/>
    <w:rsid w:val="00020F40"/>
    <w:rsid w:val="00024017"/>
    <w:rsid w:val="00026007"/>
    <w:rsid w:val="00034331"/>
    <w:rsid w:val="00036896"/>
    <w:rsid w:val="000427DA"/>
    <w:rsid w:val="00056A6D"/>
    <w:rsid w:val="00060C79"/>
    <w:rsid w:val="00062C10"/>
    <w:rsid w:val="00064F1D"/>
    <w:rsid w:val="00067271"/>
    <w:rsid w:val="0007137F"/>
    <w:rsid w:val="00080360"/>
    <w:rsid w:val="00081037"/>
    <w:rsid w:val="00087D5B"/>
    <w:rsid w:val="00090D15"/>
    <w:rsid w:val="0009516E"/>
    <w:rsid w:val="000A313D"/>
    <w:rsid w:val="000B6CDD"/>
    <w:rsid w:val="000C0802"/>
    <w:rsid w:val="000D1D4F"/>
    <w:rsid w:val="000E0945"/>
    <w:rsid w:val="000E1373"/>
    <w:rsid w:val="000E2D07"/>
    <w:rsid w:val="000F37C4"/>
    <w:rsid w:val="000F4DBD"/>
    <w:rsid w:val="00110743"/>
    <w:rsid w:val="00111E3D"/>
    <w:rsid w:val="00115180"/>
    <w:rsid w:val="0012294C"/>
    <w:rsid w:val="00124654"/>
    <w:rsid w:val="001315E8"/>
    <w:rsid w:val="001346FA"/>
    <w:rsid w:val="0015469A"/>
    <w:rsid w:val="00161AC4"/>
    <w:rsid w:val="001650F9"/>
    <w:rsid w:val="00166CEB"/>
    <w:rsid w:val="0016776D"/>
    <w:rsid w:val="00197E78"/>
    <w:rsid w:val="001A1EB5"/>
    <w:rsid w:val="001A4904"/>
    <w:rsid w:val="001B1301"/>
    <w:rsid w:val="001B3F27"/>
    <w:rsid w:val="001B4161"/>
    <w:rsid w:val="001B4D9F"/>
    <w:rsid w:val="001B7157"/>
    <w:rsid w:val="001B7353"/>
    <w:rsid w:val="001C7680"/>
    <w:rsid w:val="001D2204"/>
    <w:rsid w:val="001D529D"/>
    <w:rsid w:val="001E3482"/>
    <w:rsid w:val="001F5671"/>
    <w:rsid w:val="001F6992"/>
    <w:rsid w:val="001F6C79"/>
    <w:rsid w:val="00200122"/>
    <w:rsid w:val="00201666"/>
    <w:rsid w:val="00211A50"/>
    <w:rsid w:val="00212EB5"/>
    <w:rsid w:val="00216B9F"/>
    <w:rsid w:val="00223E30"/>
    <w:rsid w:val="00227B13"/>
    <w:rsid w:val="0023097D"/>
    <w:rsid w:val="002327A8"/>
    <w:rsid w:val="00234AAD"/>
    <w:rsid w:val="002359AA"/>
    <w:rsid w:val="002423CF"/>
    <w:rsid w:val="00244E18"/>
    <w:rsid w:val="00254B82"/>
    <w:rsid w:val="0025529C"/>
    <w:rsid w:val="00256FA6"/>
    <w:rsid w:val="00263ADD"/>
    <w:rsid w:val="00264B0D"/>
    <w:rsid w:val="00271EA1"/>
    <w:rsid w:val="00274DD6"/>
    <w:rsid w:val="00276C7D"/>
    <w:rsid w:val="002801CD"/>
    <w:rsid w:val="002A170B"/>
    <w:rsid w:val="002A1910"/>
    <w:rsid w:val="002A2F80"/>
    <w:rsid w:val="002C008E"/>
    <w:rsid w:val="002C0F55"/>
    <w:rsid w:val="002C1070"/>
    <w:rsid w:val="002C7451"/>
    <w:rsid w:val="002E6A29"/>
    <w:rsid w:val="00311173"/>
    <w:rsid w:val="00311625"/>
    <w:rsid w:val="00315F25"/>
    <w:rsid w:val="0034373B"/>
    <w:rsid w:val="003441B3"/>
    <w:rsid w:val="00354B53"/>
    <w:rsid w:val="00356936"/>
    <w:rsid w:val="00372F97"/>
    <w:rsid w:val="003760F7"/>
    <w:rsid w:val="00397858"/>
    <w:rsid w:val="003A5124"/>
    <w:rsid w:val="003B4DC7"/>
    <w:rsid w:val="003B611B"/>
    <w:rsid w:val="003C1B59"/>
    <w:rsid w:val="003C3299"/>
    <w:rsid w:val="003C7A9B"/>
    <w:rsid w:val="003D35A3"/>
    <w:rsid w:val="003D50A6"/>
    <w:rsid w:val="003E0941"/>
    <w:rsid w:val="003E5968"/>
    <w:rsid w:val="003F19D8"/>
    <w:rsid w:val="003F3C1E"/>
    <w:rsid w:val="00405A67"/>
    <w:rsid w:val="004105F4"/>
    <w:rsid w:val="00420413"/>
    <w:rsid w:val="00420694"/>
    <w:rsid w:val="00421BA0"/>
    <w:rsid w:val="00421DDD"/>
    <w:rsid w:val="004306CB"/>
    <w:rsid w:val="004314A5"/>
    <w:rsid w:val="00435496"/>
    <w:rsid w:val="004361C0"/>
    <w:rsid w:val="00440DC3"/>
    <w:rsid w:val="00441DD2"/>
    <w:rsid w:val="0044295F"/>
    <w:rsid w:val="0044394E"/>
    <w:rsid w:val="00443D9C"/>
    <w:rsid w:val="00446A07"/>
    <w:rsid w:val="00446DC5"/>
    <w:rsid w:val="00462BFE"/>
    <w:rsid w:val="004656B9"/>
    <w:rsid w:val="00471DD9"/>
    <w:rsid w:val="004743E7"/>
    <w:rsid w:val="00475F1E"/>
    <w:rsid w:val="004834D4"/>
    <w:rsid w:val="00486EFE"/>
    <w:rsid w:val="00491FA5"/>
    <w:rsid w:val="004A38B3"/>
    <w:rsid w:val="004A4AB0"/>
    <w:rsid w:val="004A7732"/>
    <w:rsid w:val="004B2918"/>
    <w:rsid w:val="004B6804"/>
    <w:rsid w:val="004C4903"/>
    <w:rsid w:val="004C67EC"/>
    <w:rsid w:val="004D6671"/>
    <w:rsid w:val="004D6D34"/>
    <w:rsid w:val="004E3D24"/>
    <w:rsid w:val="004E4FF0"/>
    <w:rsid w:val="004F02DC"/>
    <w:rsid w:val="004F3E2D"/>
    <w:rsid w:val="005012FE"/>
    <w:rsid w:val="005131FC"/>
    <w:rsid w:val="00524AF8"/>
    <w:rsid w:val="00526C00"/>
    <w:rsid w:val="00533153"/>
    <w:rsid w:val="00536FE1"/>
    <w:rsid w:val="00560223"/>
    <w:rsid w:val="00563D6B"/>
    <w:rsid w:val="0056577A"/>
    <w:rsid w:val="005669B8"/>
    <w:rsid w:val="00572F4B"/>
    <w:rsid w:val="00575ECA"/>
    <w:rsid w:val="00590C1D"/>
    <w:rsid w:val="005934B9"/>
    <w:rsid w:val="00595A18"/>
    <w:rsid w:val="005A4B18"/>
    <w:rsid w:val="005A57E0"/>
    <w:rsid w:val="005A6C6C"/>
    <w:rsid w:val="005A7C7B"/>
    <w:rsid w:val="005B5EBB"/>
    <w:rsid w:val="005B69AC"/>
    <w:rsid w:val="005C5629"/>
    <w:rsid w:val="005C6316"/>
    <w:rsid w:val="005C7A90"/>
    <w:rsid w:val="005D3318"/>
    <w:rsid w:val="005D34FC"/>
    <w:rsid w:val="005D43A9"/>
    <w:rsid w:val="005D6262"/>
    <w:rsid w:val="005E778E"/>
    <w:rsid w:val="005F763F"/>
    <w:rsid w:val="00600E66"/>
    <w:rsid w:val="00605AC1"/>
    <w:rsid w:val="00617074"/>
    <w:rsid w:val="00623D18"/>
    <w:rsid w:val="00625178"/>
    <w:rsid w:val="00627FD2"/>
    <w:rsid w:val="006313E4"/>
    <w:rsid w:val="006325AC"/>
    <w:rsid w:val="00635913"/>
    <w:rsid w:val="00654F2F"/>
    <w:rsid w:val="006551A0"/>
    <w:rsid w:val="0065769D"/>
    <w:rsid w:val="00657A10"/>
    <w:rsid w:val="0066403A"/>
    <w:rsid w:val="00665B40"/>
    <w:rsid w:val="00666547"/>
    <w:rsid w:val="00674884"/>
    <w:rsid w:val="0069068D"/>
    <w:rsid w:val="00692446"/>
    <w:rsid w:val="00697BBE"/>
    <w:rsid w:val="006A0672"/>
    <w:rsid w:val="006B2344"/>
    <w:rsid w:val="006C05E4"/>
    <w:rsid w:val="006D0454"/>
    <w:rsid w:val="006D500A"/>
    <w:rsid w:val="006D6A15"/>
    <w:rsid w:val="006E5160"/>
    <w:rsid w:val="006E5F82"/>
    <w:rsid w:val="00726AAD"/>
    <w:rsid w:val="00727AD7"/>
    <w:rsid w:val="007312CB"/>
    <w:rsid w:val="00733A56"/>
    <w:rsid w:val="00753B72"/>
    <w:rsid w:val="0075784D"/>
    <w:rsid w:val="007779F7"/>
    <w:rsid w:val="00781AA0"/>
    <w:rsid w:val="00783689"/>
    <w:rsid w:val="00791014"/>
    <w:rsid w:val="0079383D"/>
    <w:rsid w:val="007954A9"/>
    <w:rsid w:val="007A4F4C"/>
    <w:rsid w:val="007A7889"/>
    <w:rsid w:val="007D1A1F"/>
    <w:rsid w:val="007D4C11"/>
    <w:rsid w:val="007D64F7"/>
    <w:rsid w:val="007D6ED7"/>
    <w:rsid w:val="007D700A"/>
    <w:rsid w:val="007E5140"/>
    <w:rsid w:val="007E65BE"/>
    <w:rsid w:val="007F47EA"/>
    <w:rsid w:val="008022E8"/>
    <w:rsid w:val="00803142"/>
    <w:rsid w:val="008152B9"/>
    <w:rsid w:val="0081587D"/>
    <w:rsid w:val="00823135"/>
    <w:rsid w:val="00823431"/>
    <w:rsid w:val="00834B9A"/>
    <w:rsid w:val="00834F03"/>
    <w:rsid w:val="00836B70"/>
    <w:rsid w:val="008405E9"/>
    <w:rsid w:val="00843CC0"/>
    <w:rsid w:val="00851DBA"/>
    <w:rsid w:val="00862D90"/>
    <w:rsid w:val="008641CF"/>
    <w:rsid w:val="00865C9A"/>
    <w:rsid w:val="008713DD"/>
    <w:rsid w:val="008728AF"/>
    <w:rsid w:val="00873FDC"/>
    <w:rsid w:val="00880CCC"/>
    <w:rsid w:val="00890C1B"/>
    <w:rsid w:val="00895CAB"/>
    <w:rsid w:val="00896F7F"/>
    <w:rsid w:val="008A29AC"/>
    <w:rsid w:val="008A5893"/>
    <w:rsid w:val="008B3319"/>
    <w:rsid w:val="008B3C6D"/>
    <w:rsid w:val="008C408B"/>
    <w:rsid w:val="008D0B9A"/>
    <w:rsid w:val="008D26D1"/>
    <w:rsid w:val="008D6632"/>
    <w:rsid w:val="008D6785"/>
    <w:rsid w:val="008E300F"/>
    <w:rsid w:val="008F2A54"/>
    <w:rsid w:val="008F6410"/>
    <w:rsid w:val="00902F04"/>
    <w:rsid w:val="00915662"/>
    <w:rsid w:val="00923F33"/>
    <w:rsid w:val="009241B6"/>
    <w:rsid w:val="0093086E"/>
    <w:rsid w:val="00935885"/>
    <w:rsid w:val="00943B94"/>
    <w:rsid w:val="0094781A"/>
    <w:rsid w:val="00950C56"/>
    <w:rsid w:val="00951DBB"/>
    <w:rsid w:val="00951EC1"/>
    <w:rsid w:val="00956346"/>
    <w:rsid w:val="00957BE7"/>
    <w:rsid w:val="009620AA"/>
    <w:rsid w:val="0096371C"/>
    <w:rsid w:val="00964B3F"/>
    <w:rsid w:val="0096754C"/>
    <w:rsid w:val="00970017"/>
    <w:rsid w:val="00975EF8"/>
    <w:rsid w:val="009B02C7"/>
    <w:rsid w:val="009B7234"/>
    <w:rsid w:val="009C0334"/>
    <w:rsid w:val="009D1D85"/>
    <w:rsid w:val="009D2512"/>
    <w:rsid w:val="009D587B"/>
    <w:rsid w:val="009E36D8"/>
    <w:rsid w:val="009F1E59"/>
    <w:rsid w:val="009F3ECD"/>
    <w:rsid w:val="00A0254F"/>
    <w:rsid w:val="00A05131"/>
    <w:rsid w:val="00A12674"/>
    <w:rsid w:val="00A135DB"/>
    <w:rsid w:val="00A232AD"/>
    <w:rsid w:val="00A23F58"/>
    <w:rsid w:val="00A37532"/>
    <w:rsid w:val="00A41A5A"/>
    <w:rsid w:val="00A426A4"/>
    <w:rsid w:val="00A4293D"/>
    <w:rsid w:val="00A45DB0"/>
    <w:rsid w:val="00A54399"/>
    <w:rsid w:val="00A76433"/>
    <w:rsid w:val="00A81727"/>
    <w:rsid w:val="00A85D48"/>
    <w:rsid w:val="00A8734A"/>
    <w:rsid w:val="00A901E7"/>
    <w:rsid w:val="00A90486"/>
    <w:rsid w:val="00A93668"/>
    <w:rsid w:val="00A96FB2"/>
    <w:rsid w:val="00A97D91"/>
    <w:rsid w:val="00AA211E"/>
    <w:rsid w:val="00AA29AA"/>
    <w:rsid w:val="00AA6DC6"/>
    <w:rsid w:val="00AB569A"/>
    <w:rsid w:val="00AB6820"/>
    <w:rsid w:val="00AC1563"/>
    <w:rsid w:val="00AC4A9D"/>
    <w:rsid w:val="00AC749E"/>
    <w:rsid w:val="00AD190E"/>
    <w:rsid w:val="00AD7365"/>
    <w:rsid w:val="00AE2B70"/>
    <w:rsid w:val="00AE4381"/>
    <w:rsid w:val="00AE5A8C"/>
    <w:rsid w:val="00AE71B3"/>
    <w:rsid w:val="00AF62BB"/>
    <w:rsid w:val="00B079BB"/>
    <w:rsid w:val="00B2019B"/>
    <w:rsid w:val="00B26837"/>
    <w:rsid w:val="00B312B0"/>
    <w:rsid w:val="00B32329"/>
    <w:rsid w:val="00B33724"/>
    <w:rsid w:val="00B33B0B"/>
    <w:rsid w:val="00B35FD9"/>
    <w:rsid w:val="00B369B0"/>
    <w:rsid w:val="00B440F0"/>
    <w:rsid w:val="00B45775"/>
    <w:rsid w:val="00B46A9E"/>
    <w:rsid w:val="00B51083"/>
    <w:rsid w:val="00B527C6"/>
    <w:rsid w:val="00B623B2"/>
    <w:rsid w:val="00B84851"/>
    <w:rsid w:val="00B91E9F"/>
    <w:rsid w:val="00B930AE"/>
    <w:rsid w:val="00BA0BB1"/>
    <w:rsid w:val="00BA4FF0"/>
    <w:rsid w:val="00BA55F9"/>
    <w:rsid w:val="00BC1E01"/>
    <w:rsid w:val="00BC2267"/>
    <w:rsid w:val="00BC4316"/>
    <w:rsid w:val="00BE5DBC"/>
    <w:rsid w:val="00BE6DC5"/>
    <w:rsid w:val="00BF20A6"/>
    <w:rsid w:val="00BF30D7"/>
    <w:rsid w:val="00BF7564"/>
    <w:rsid w:val="00C01089"/>
    <w:rsid w:val="00C10B0C"/>
    <w:rsid w:val="00C1356D"/>
    <w:rsid w:val="00C14194"/>
    <w:rsid w:val="00C16128"/>
    <w:rsid w:val="00C22CFE"/>
    <w:rsid w:val="00C25886"/>
    <w:rsid w:val="00C27F99"/>
    <w:rsid w:val="00C41EA0"/>
    <w:rsid w:val="00C4276B"/>
    <w:rsid w:val="00C45D03"/>
    <w:rsid w:val="00C6180F"/>
    <w:rsid w:val="00C75A22"/>
    <w:rsid w:val="00C7661A"/>
    <w:rsid w:val="00C77571"/>
    <w:rsid w:val="00C802D8"/>
    <w:rsid w:val="00C87A35"/>
    <w:rsid w:val="00C93DCA"/>
    <w:rsid w:val="00C969F9"/>
    <w:rsid w:val="00CA69A4"/>
    <w:rsid w:val="00CB58C3"/>
    <w:rsid w:val="00CB5A07"/>
    <w:rsid w:val="00CC542B"/>
    <w:rsid w:val="00CD5112"/>
    <w:rsid w:val="00CD626C"/>
    <w:rsid w:val="00CE616E"/>
    <w:rsid w:val="00CE61E9"/>
    <w:rsid w:val="00CE6FF7"/>
    <w:rsid w:val="00CF52D9"/>
    <w:rsid w:val="00CF7885"/>
    <w:rsid w:val="00D0279C"/>
    <w:rsid w:val="00D0367B"/>
    <w:rsid w:val="00D03894"/>
    <w:rsid w:val="00D06379"/>
    <w:rsid w:val="00D13B9A"/>
    <w:rsid w:val="00D1553C"/>
    <w:rsid w:val="00D178C8"/>
    <w:rsid w:val="00D22C89"/>
    <w:rsid w:val="00D340C2"/>
    <w:rsid w:val="00D35302"/>
    <w:rsid w:val="00D40A1E"/>
    <w:rsid w:val="00D45A1D"/>
    <w:rsid w:val="00D466AE"/>
    <w:rsid w:val="00D52270"/>
    <w:rsid w:val="00D53C39"/>
    <w:rsid w:val="00D5799A"/>
    <w:rsid w:val="00D73FB1"/>
    <w:rsid w:val="00D843F7"/>
    <w:rsid w:val="00D843FF"/>
    <w:rsid w:val="00D87F3A"/>
    <w:rsid w:val="00D925E0"/>
    <w:rsid w:val="00D96152"/>
    <w:rsid w:val="00DA360A"/>
    <w:rsid w:val="00DA64D2"/>
    <w:rsid w:val="00DC3AD4"/>
    <w:rsid w:val="00DC4D55"/>
    <w:rsid w:val="00DD384C"/>
    <w:rsid w:val="00DE09EF"/>
    <w:rsid w:val="00DE3EBE"/>
    <w:rsid w:val="00DE7602"/>
    <w:rsid w:val="00DF53A4"/>
    <w:rsid w:val="00DF617C"/>
    <w:rsid w:val="00E01D1C"/>
    <w:rsid w:val="00E01E4D"/>
    <w:rsid w:val="00E02BF0"/>
    <w:rsid w:val="00E04F69"/>
    <w:rsid w:val="00E07712"/>
    <w:rsid w:val="00E24A48"/>
    <w:rsid w:val="00E3312E"/>
    <w:rsid w:val="00E350E8"/>
    <w:rsid w:val="00E36894"/>
    <w:rsid w:val="00E36D38"/>
    <w:rsid w:val="00E409F6"/>
    <w:rsid w:val="00E65312"/>
    <w:rsid w:val="00E6559D"/>
    <w:rsid w:val="00E72871"/>
    <w:rsid w:val="00E76127"/>
    <w:rsid w:val="00E80B8D"/>
    <w:rsid w:val="00E82E63"/>
    <w:rsid w:val="00E859A5"/>
    <w:rsid w:val="00E915C8"/>
    <w:rsid w:val="00E97387"/>
    <w:rsid w:val="00EA0095"/>
    <w:rsid w:val="00EA0F92"/>
    <w:rsid w:val="00EA5CDF"/>
    <w:rsid w:val="00EA7814"/>
    <w:rsid w:val="00EA79DB"/>
    <w:rsid w:val="00EC2D2F"/>
    <w:rsid w:val="00EC55CA"/>
    <w:rsid w:val="00EE4140"/>
    <w:rsid w:val="00EE5FDD"/>
    <w:rsid w:val="00EF6442"/>
    <w:rsid w:val="00F03928"/>
    <w:rsid w:val="00F060C0"/>
    <w:rsid w:val="00F10F2A"/>
    <w:rsid w:val="00F214BE"/>
    <w:rsid w:val="00F226BD"/>
    <w:rsid w:val="00F23D4F"/>
    <w:rsid w:val="00F35EBA"/>
    <w:rsid w:val="00F36153"/>
    <w:rsid w:val="00F406E5"/>
    <w:rsid w:val="00F60202"/>
    <w:rsid w:val="00F72210"/>
    <w:rsid w:val="00F7386C"/>
    <w:rsid w:val="00F73B13"/>
    <w:rsid w:val="00F90590"/>
    <w:rsid w:val="00F93447"/>
    <w:rsid w:val="00FB0B5A"/>
    <w:rsid w:val="00FB3C0E"/>
    <w:rsid w:val="00FB7EF3"/>
    <w:rsid w:val="00FC548C"/>
    <w:rsid w:val="00FF09B6"/>
    <w:rsid w:val="00FF19EA"/>
    <w:rsid w:val="00FF35F6"/>
    <w:rsid w:val="00FF38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29DD"/>
  <w15:docId w15:val="{0F84B21D-B8E9-4999-B954-BB7955D1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58"/>
      <w:outlineLvl w:val="0"/>
    </w:pPr>
    <w:rPr>
      <w:rFonts w:ascii="Cambria" w:eastAsia="Cambria" w:hAnsi="Cambria"/>
      <w:b/>
      <w:bCs/>
      <w:sz w:val="20"/>
      <w:szCs w:val="20"/>
    </w:rPr>
  </w:style>
  <w:style w:type="paragraph" w:styleId="Heading2">
    <w:name w:val="heading 2"/>
    <w:basedOn w:val="Normal"/>
    <w:next w:val="Normal"/>
    <w:link w:val="Heading2Char"/>
    <w:uiPriority w:val="9"/>
    <w:semiHidden/>
    <w:unhideWhenUsed/>
    <w:qFormat/>
    <w:rsid w:val="001F6C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6152"/>
    <w:pPr>
      <w:keepNext/>
      <w:widowControl/>
      <w:outlineLvl w:val="2"/>
    </w:pPr>
    <w:rPr>
      <w:rFonts w:ascii="Cambria" w:eastAsia="Times New Roman" w:hAnsi="Cambria" w:cs="Times New Roman"/>
      <w:b/>
      <w:bCs/>
      <w:color w:val="000000"/>
      <w:sz w:val="18"/>
      <w:szCs w:val="18"/>
      <w:u w:val="single"/>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8"/>
    </w:pPr>
    <w:rPr>
      <w:rFonts w:ascii="Cambria" w:eastAsia="Cambria" w:hAnsi="Cambri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5AC1"/>
    <w:pPr>
      <w:tabs>
        <w:tab w:val="center" w:pos="4513"/>
        <w:tab w:val="right" w:pos="9026"/>
      </w:tabs>
    </w:pPr>
  </w:style>
  <w:style w:type="character" w:customStyle="1" w:styleId="HeaderChar">
    <w:name w:val="Header Char"/>
    <w:basedOn w:val="DefaultParagraphFont"/>
    <w:link w:val="Header"/>
    <w:uiPriority w:val="99"/>
    <w:rsid w:val="00605AC1"/>
  </w:style>
  <w:style w:type="paragraph" w:styleId="Footer">
    <w:name w:val="footer"/>
    <w:basedOn w:val="Normal"/>
    <w:link w:val="FooterChar"/>
    <w:uiPriority w:val="99"/>
    <w:unhideWhenUsed/>
    <w:rsid w:val="00605AC1"/>
    <w:pPr>
      <w:tabs>
        <w:tab w:val="center" w:pos="4513"/>
        <w:tab w:val="right" w:pos="9026"/>
      </w:tabs>
    </w:pPr>
  </w:style>
  <w:style w:type="character" w:customStyle="1" w:styleId="FooterChar">
    <w:name w:val="Footer Char"/>
    <w:basedOn w:val="DefaultParagraphFont"/>
    <w:link w:val="Footer"/>
    <w:uiPriority w:val="99"/>
    <w:rsid w:val="00605AC1"/>
  </w:style>
  <w:style w:type="paragraph" w:customStyle="1" w:styleId="1Paragraph">
    <w:name w:val="1Paragraph"/>
    <w:qFormat/>
    <w:rsid w:val="00F36153"/>
    <w:pPr>
      <w:widowControl/>
      <w:tabs>
        <w:tab w:val="left" w:pos="720"/>
      </w:tabs>
      <w:autoSpaceDE w:val="0"/>
      <w:autoSpaceDN w:val="0"/>
      <w:adjustRightInd w:val="0"/>
      <w:ind w:left="720" w:hanging="720"/>
    </w:pPr>
    <w:rPr>
      <w:rFonts w:ascii="Courier 10cpi" w:eastAsia="Times New Roman" w:hAnsi="Courier 10cpi" w:cs="Times New Roman"/>
      <w:sz w:val="20"/>
      <w:szCs w:val="24"/>
    </w:rPr>
  </w:style>
  <w:style w:type="character" w:styleId="CommentReference">
    <w:name w:val="annotation reference"/>
    <w:basedOn w:val="DefaultParagraphFont"/>
    <w:uiPriority w:val="99"/>
    <w:semiHidden/>
    <w:unhideWhenUsed/>
    <w:rsid w:val="00E04F69"/>
    <w:rPr>
      <w:sz w:val="16"/>
      <w:szCs w:val="16"/>
    </w:rPr>
  </w:style>
  <w:style w:type="paragraph" w:styleId="CommentText">
    <w:name w:val="annotation text"/>
    <w:basedOn w:val="Normal"/>
    <w:link w:val="CommentTextChar"/>
    <w:uiPriority w:val="99"/>
    <w:unhideWhenUsed/>
    <w:rsid w:val="00E04F69"/>
    <w:rPr>
      <w:sz w:val="20"/>
      <w:szCs w:val="20"/>
    </w:rPr>
  </w:style>
  <w:style w:type="character" w:customStyle="1" w:styleId="CommentTextChar">
    <w:name w:val="Comment Text Char"/>
    <w:basedOn w:val="DefaultParagraphFont"/>
    <w:link w:val="CommentText"/>
    <w:uiPriority w:val="99"/>
    <w:rsid w:val="00E04F69"/>
    <w:rPr>
      <w:sz w:val="20"/>
      <w:szCs w:val="20"/>
    </w:rPr>
  </w:style>
  <w:style w:type="paragraph" w:styleId="CommentSubject">
    <w:name w:val="annotation subject"/>
    <w:basedOn w:val="CommentText"/>
    <w:next w:val="CommentText"/>
    <w:link w:val="CommentSubjectChar"/>
    <w:uiPriority w:val="99"/>
    <w:semiHidden/>
    <w:unhideWhenUsed/>
    <w:rsid w:val="00E04F69"/>
    <w:rPr>
      <w:b/>
      <w:bCs/>
    </w:rPr>
  </w:style>
  <w:style w:type="character" w:customStyle="1" w:styleId="CommentSubjectChar">
    <w:name w:val="Comment Subject Char"/>
    <w:basedOn w:val="CommentTextChar"/>
    <w:link w:val="CommentSubject"/>
    <w:uiPriority w:val="99"/>
    <w:semiHidden/>
    <w:rsid w:val="00E04F69"/>
    <w:rPr>
      <w:b/>
      <w:bCs/>
      <w:sz w:val="20"/>
      <w:szCs w:val="20"/>
    </w:rPr>
  </w:style>
  <w:style w:type="paragraph" w:styleId="BalloonText">
    <w:name w:val="Balloon Text"/>
    <w:basedOn w:val="Normal"/>
    <w:link w:val="BalloonTextChar"/>
    <w:uiPriority w:val="99"/>
    <w:semiHidden/>
    <w:unhideWhenUsed/>
    <w:rsid w:val="00E04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F69"/>
    <w:rPr>
      <w:rFonts w:ascii="Segoe UI" w:hAnsi="Segoe UI" w:cs="Segoe UI"/>
      <w:sz w:val="18"/>
      <w:szCs w:val="18"/>
    </w:rPr>
  </w:style>
  <w:style w:type="character" w:styleId="Hyperlink">
    <w:name w:val="Hyperlink"/>
    <w:basedOn w:val="DefaultParagraphFont"/>
    <w:uiPriority w:val="99"/>
    <w:unhideWhenUsed/>
    <w:rsid w:val="004B6804"/>
    <w:rPr>
      <w:color w:val="0000FF" w:themeColor="hyperlink"/>
      <w:u w:val="single"/>
    </w:rPr>
  </w:style>
  <w:style w:type="character" w:styleId="UnresolvedMention">
    <w:name w:val="Unresolved Mention"/>
    <w:basedOn w:val="DefaultParagraphFont"/>
    <w:uiPriority w:val="99"/>
    <w:semiHidden/>
    <w:unhideWhenUsed/>
    <w:rsid w:val="00A41A5A"/>
    <w:rPr>
      <w:color w:val="605E5C"/>
      <w:shd w:val="clear" w:color="auto" w:fill="E1DFDD"/>
    </w:rPr>
  </w:style>
  <w:style w:type="paragraph" w:styleId="Revision">
    <w:name w:val="Revision"/>
    <w:hidden/>
    <w:uiPriority w:val="99"/>
    <w:semiHidden/>
    <w:rsid w:val="00E65312"/>
    <w:pPr>
      <w:widowControl/>
    </w:pPr>
  </w:style>
  <w:style w:type="character" w:customStyle="1" w:styleId="Heading2Char">
    <w:name w:val="Heading 2 Char"/>
    <w:basedOn w:val="DefaultParagraphFont"/>
    <w:link w:val="Heading2"/>
    <w:uiPriority w:val="9"/>
    <w:semiHidden/>
    <w:rsid w:val="001F6C79"/>
    <w:rPr>
      <w:rFonts w:asciiTheme="majorHAnsi" w:eastAsiaTheme="majorEastAsia" w:hAnsiTheme="majorHAnsi" w:cstheme="majorBidi"/>
      <w:color w:val="365F91" w:themeColor="accent1" w:themeShade="BF"/>
      <w:sz w:val="26"/>
      <w:szCs w:val="26"/>
    </w:rPr>
  </w:style>
  <w:style w:type="paragraph" w:customStyle="1" w:styleId="Default">
    <w:name w:val="Default"/>
    <w:rsid w:val="001F6C79"/>
    <w:pPr>
      <w:widowControl/>
      <w:autoSpaceDE w:val="0"/>
      <w:autoSpaceDN w:val="0"/>
      <w:adjustRightInd w:val="0"/>
    </w:pPr>
    <w:rPr>
      <w:rFonts w:ascii="Cambria" w:eastAsiaTheme="minorEastAsia" w:hAnsi="Cambria" w:cs="Cambria"/>
      <w:color w:val="000000"/>
      <w:sz w:val="24"/>
      <w:szCs w:val="24"/>
    </w:rPr>
  </w:style>
  <w:style w:type="character" w:customStyle="1" w:styleId="Heading1Char">
    <w:name w:val="Heading 1 Char"/>
    <w:basedOn w:val="DefaultParagraphFont"/>
    <w:link w:val="Heading1"/>
    <w:uiPriority w:val="1"/>
    <w:rsid w:val="00111E3D"/>
    <w:rPr>
      <w:rFonts w:ascii="Cambria" w:eastAsia="Cambria" w:hAnsi="Cambria"/>
      <w:b/>
      <w:bCs/>
      <w:sz w:val="20"/>
      <w:szCs w:val="20"/>
    </w:rPr>
  </w:style>
  <w:style w:type="character" w:customStyle="1" w:styleId="BodyTextChar">
    <w:name w:val="Body Text Char"/>
    <w:basedOn w:val="DefaultParagraphFont"/>
    <w:link w:val="BodyText"/>
    <w:uiPriority w:val="1"/>
    <w:rsid w:val="00111E3D"/>
    <w:rPr>
      <w:rFonts w:ascii="Cambria" w:eastAsia="Cambria" w:hAnsi="Cambria"/>
      <w:sz w:val="20"/>
      <w:szCs w:val="20"/>
    </w:rPr>
  </w:style>
  <w:style w:type="paragraph" w:styleId="FootnoteText">
    <w:name w:val="footnote text"/>
    <w:basedOn w:val="Normal"/>
    <w:link w:val="FootnoteTextChar"/>
    <w:uiPriority w:val="99"/>
    <w:semiHidden/>
    <w:unhideWhenUsed/>
    <w:rsid w:val="00781AA0"/>
    <w:rPr>
      <w:sz w:val="20"/>
      <w:szCs w:val="20"/>
    </w:rPr>
  </w:style>
  <w:style w:type="character" w:customStyle="1" w:styleId="FootnoteTextChar">
    <w:name w:val="Footnote Text Char"/>
    <w:basedOn w:val="DefaultParagraphFont"/>
    <w:link w:val="FootnoteText"/>
    <w:uiPriority w:val="99"/>
    <w:semiHidden/>
    <w:rsid w:val="00781AA0"/>
    <w:rPr>
      <w:sz w:val="20"/>
      <w:szCs w:val="20"/>
    </w:rPr>
  </w:style>
  <w:style w:type="character" w:styleId="FootnoteReference">
    <w:name w:val="footnote reference"/>
    <w:basedOn w:val="DefaultParagraphFont"/>
    <w:uiPriority w:val="99"/>
    <w:semiHidden/>
    <w:unhideWhenUsed/>
    <w:rsid w:val="00781AA0"/>
    <w:rPr>
      <w:vertAlign w:val="superscript"/>
    </w:rPr>
  </w:style>
  <w:style w:type="paragraph" w:styleId="EndnoteText">
    <w:name w:val="endnote text"/>
    <w:basedOn w:val="Normal"/>
    <w:link w:val="EndnoteTextChar"/>
    <w:uiPriority w:val="99"/>
    <w:semiHidden/>
    <w:unhideWhenUsed/>
    <w:rsid w:val="00F03928"/>
    <w:rPr>
      <w:sz w:val="20"/>
      <w:szCs w:val="20"/>
    </w:rPr>
  </w:style>
  <w:style w:type="character" w:customStyle="1" w:styleId="EndnoteTextChar">
    <w:name w:val="Endnote Text Char"/>
    <w:basedOn w:val="DefaultParagraphFont"/>
    <w:link w:val="EndnoteText"/>
    <w:uiPriority w:val="99"/>
    <w:semiHidden/>
    <w:rsid w:val="00F03928"/>
    <w:rPr>
      <w:sz w:val="20"/>
      <w:szCs w:val="20"/>
    </w:rPr>
  </w:style>
  <w:style w:type="character" w:styleId="EndnoteReference">
    <w:name w:val="endnote reference"/>
    <w:basedOn w:val="DefaultParagraphFont"/>
    <w:uiPriority w:val="99"/>
    <w:semiHidden/>
    <w:unhideWhenUsed/>
    <w:rsid w:val="00F03928"/>
    <w:rPr>
      <w:vertAlign w:val="superscript"/>
    </w:rPr>
  </w:style>
  <w:style w:type="character" w:customStyle="1" w:styleId="Heading3Char">
    <w:name w:val="Heading 3 Char"/>
    <w:basedOn w:val="DefaultParagraphFont"/>
    <w:link w:val="Heading3"/>
    <w:uiPriority w:val="9"/>
    <w:rsid w:val="00D96152"/>
    <w:rPr>
      <w:rFonts w:ascii="Cambria" w:eastAsia="Times New Roman" w:hAnsi="Cambria" w:cs="Times New Roman"/>
      <w:b/>
      <w:bCs/>
      <w:color w:val="000000"/>
      <w:sz w:val="18"/>
      <w:szCs w:val="18"/>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0977">
      <w:bodyDiv w:val="1"/>
      <w:marLeft w:val="0"/>
      <w:marRight w:val="0"/>
      <w:marTop w:val="0"/>
      <w:marBottom w:val="0"/>
      <w:divBdr>
        <w:top w:val="none" w:sz="0" w:space="0" w:color="auto"/>
        <w:left w:val="none" w:sz="0" w:space="0" w:color="auto"/>
        <w:bottom w:val="none" w:sz="0" w:space="0" w:color="auto"/>
        <w:right w:val="none" w:sz="0" w:space="0" w:color="auto"/>
      </w:divBdr>
    </w:div>
    <w:div w:id="382217938">
      <w:bodyDiv w:val="1"/>
      <w:marLeft w:val="0"/>
      <w:marRight w:val="0"/>
      <w:marTop w:val="0"/>
      <w:marBottom w:val="0"/>
      <w:divBdr>
        <w:top w:val="none" w:sz="0" w:space="0" w:color="auto"/>
        <w:left w:val="none" w:sz="0" w:space="0" w:color="auto"/>
        <w:bottom w:val="none" w:sz="0" w:space="0" w:color="auto"/>
        <w:right w:val="none" w:sz="0" w:space="0" w:color="auto"/>
      </w:divBdr>
    </w:div>
    <w:div w:id="704521152">
      <w:bodyDiv w:val="1"/>
      <w:marLeft w:val="0"/>
      <w:marRight w:val="0"/>
      <w:marTop w:val="0"/>
      <w:marBottom w:val="0"/>
      <w:divBdr>
        <w:top w:val="none" w:sz="0" w:space="0" w:color="auto"/>
        <w:left w:val="none" w:sz="0" w:space="0" w:color="auto"/>
        <w:bottom w:val="none" w:sz="0" w:space="0" w:color="auto"/>
        <w:right w:val="none" w:sz="0" w:space="0" w:color="auto"/>
      </w:divBdr>
    </w:div>
    <w:div w:id="1105808070">
      <w:bodyDiv w:val="1"/>
      <w:marLeft w:val="0"/>
      <w:marRight w:val="0"/>
      <w:marTop w:val="0"/>
      <w:marBottom w:val="0"/>
      <w:divBdr>
        <w:top w:val="none" w:sz="0" w:space="0" w:color="auto"/>
        <w:left w:val="none" w:sz="0" w:space="0" w:color="auto"/>
        <w:bottom w:val="none" w:sz="0" w:space="0" w:color="auto"/>
        <w:right w:val="none" w:sz="0" w:space="0" w:color="auto"/>
      </w:divBdr>
    </w:div>
    <w:div w:id="1139810855">
      <w:bodyDiv w:val="1"/>
      <w:marLeft w:val="0"/>
      <w:marRight w:val="0"/>
      <w:marTop w:val="0"/>
      <w:marBottom w:val="0"/>
      <w:divBdr>
        <w:top w:val="none" w:sz="0" w:space="0" w:color="auto"/>
        <w:left w:val="none" w:sz="0" w:space="0" w:color="auto"/>
        <w:bottom w:val="none" w:sz="0" w:space="0" w:color="auto"/>
        <w:right w:val="none" w:sz="0" w:space="0" w:color="auto"/>
      </w:divBdr>
    </w:div>
    <w:div w:id="1431854156">
      <w:bodyDiv w:val="1"/>
      <w:marLeft w:val="0"/>
      <w:marRight w:val="0"/>
      <w:marTop w:val="0"/>
      <w:marBottom w:val="0"/>
      <w:divBdr>
        <w:top w:val="none" w:sz="0" w:space="0" w:color="auto"/>
        <w:left w:val="none" w:sz="0" w:space="0" w:color="auto"/>
        <w:bottom w:val="none" w:sz="0" w:space="0" w:color="auto"/>
        <w:right w:val="none" w:sz="0" w:space="0" w:color="auto"/>
      </w:divBdr>
    </w:div>
    <w:div w:id="1681850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F15A-7D8F-42FC-B010-A5E90639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Santos</dc:creator>
  <cp:lastModifiedBy>María José García</cp:lastModifiedBy>
  <cp:revision>2</cp:revision>
  <dcterms:created xsi:type="dcterms:W3CDTF">2025-11-22T19:19:00Z</dcterms:created>
  <dcterms:modified xsi:type="dcterms:W3CDTF">2025-11-22T19:19:00Z</dcterms:modified>
</cp:coreProperties>
</file>