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59BA" w14:textId="3F456371" w:rsidR="003C3299" w:rsidRPr="00E3312E" w:rsidRDefault="00E3312E" w:rsidP="00E3312E">
      <w:pPr>
        <w:pStyle w:val="Heading1"/>
        <w:spacing w:line="240" w:lineRule="exact"/>
        <w:ind w:left="0" w:right="-108"/>
        <w:jc w:val="right"/>
        <w:rPr>
          <w:rFonts w:eastAsiaTheme="minorHAnsi"/>
          <w:bCs w:val="0"/>
        </w:rPr>
      </w:pPr>
      <w:r w:rsidRPr="00E3312E">
        <w:rPr>
          <w:rFonts w:eastAsiaTheme="minorHAnsi"/>
          <w:bCs w:val="0"/>
        </w:rPr>
        <w:t>Original: inglés</w:t>
      </w:r>
    </w:p>
    <w:p w14:paraId="257BDCEA" w14:textId="77777777" w:rsidR="00E3312E" w:rsidRPr="00E3312E" w:rsidRDefault="00E3312E" w:rsidP="00E3312E">
      <w:pPr>
        <w:pStyle w:val="Heading1"/>
        <w:spacing w:line="240" w:lineRule="exact"/>
        <w:ind w:left="0" w:right="-108"/>
        <w:jc w:val="right"/>
        <w:rPr>
          <w:rFonts w:eastAsiaTheme="minorHAnsi"/>
          <w:bCs w:val="0"/>
        </w:rPr>
      </w:pPr>
    </w:p>
    <w:p w14:paraId="25C27B0A" w14:textId="1FFD86D5" w:rsidR="00A4293D" w:rsidRDefault="00595A18" w:rsidP="00E3312E">
      <w:pPr>
        <w:spacing w:line="240" w:lineRule="exact"/>
        <w:ind w:left="2"/>
        <w:jc w:val="center"/>
        <w:rPr>
          <w:rFonts w:ascii="Cambria" w:hAnsi="Cambria"/>
          <w:b/>
          <w:sz w:val="20"/>
          <w:szCs w:val="20"/>
        </w:rPr>
      </w:pPr>
      <w:bookmarkStart w:id="0" w:name="_Hlk182330233"/>
      <w:r w:rsidRPr="00E3312E">
        <w:rPr>
          <w:rFonts w:ascii="Cambria" w:hAnsi="Cambria"/>
          <w:b/>
          <w:sz w:val="20"/>
          <w:szCs w:val="20"/>
        </w:rPr>
        <w:t>Necesidades adicionales de financiación relacionadas con los proyectos</w:t>
      </w:r>
      <w:r w:rsidR="00A4293D">
        <w:rPr>
          <w:rFonts w:ascii="Cambria" w:hAnsi="Cambria"/>
          <w:b/>
          <w:sz w:val="20"/>
          <w:szCs w:val="20"/>
        </w:rPr>
        <w:t xml:space="preserve"> </w:t>
      </w:r>
      <w:r w:rsidRPr="00E3312E">
        <w:rPr>
          <w:rFonts w:ascii="Cambria" w:hAnsi="Cambria"/>
          <w:b/>
          <w:sz w:val="20"/>
          <w:szCs w:val="20"/>
        </w:rPr>
        <w:t xml:space="preserve"> </w:t>
      </w:r>
    </w:p>
    <w:p w14:paraId="57C9A0B6" w14:textId="7BDEC247" w:rsidR="003C3299" w:rsidRPr="00E3312E" w:rsidRDefault="00595A18" w:rsidP="00E3312E">
      <w:pPr>
        <w:spacing w:line="240" w:lineRule="exact"/>
        <w:ind w:left="2"/>
        <w:jc w:val="center"/>
        <w:rPr>
          <w:rFonts w:ascii="Cambria" w:eastAsia="Cambria" w:hAnsi="Cambria"/>
          <w:b/>
          <w:bCs/>
          <w:sz w:val="20"/>
          <w:szCs w:val="20"/>
        </w:rPr>
      </w:pPr>
      <w:r w:rsidRPr="00E3312E">
        <w:rPr>
          <w:rFonts w:ascii="Cambria" w:hAnsi="Cambria"/>
          <w:b/>
          <w:sz w:val="20"/>
          <w:szCs w:val="20"/>
        </w:rPr>
        <w:t>de propuesta para las medidas de ordenación y conservación de ICCAT</w:t>
      </w:r>
      <w:r w:rsidR="00A4293D">
        <w:rPr>
          <w:rFonts w:ascii="Cambria" w:hAnsi="Cambria"/>
          <w:b/>
          <w:sz w:val="20"/>
          <w:szCs w:val="20"/>
        </w:rPr>
        <w:t xml:space="preserve"> </w:t>
      </w:r>
      <w:r w:rsidR="00A4293D" w:rsidRPr="00E3312E">
        <w:rPr>
          <w:rFonts w:ascii="Cambria" w:hAnsi="Cambria"/>
          <w:b/>
          <w:sz w:val="20"/>
          <w:szCs w:val="20"/>
        </w:rPr>
        <w:t xml:space="preserve">presentados </w:t>
      </w:r>
    </w:p>
    <w:p w14:paraId="2270E374" w14:textId="77777777" w:rsidR="001B7353" w:rsidRPr="00E3312E" w:rsidRDefault="001B7353" w:rsidP="00E3312E">
      <w:pPr>
        <w:spacing w:line="240" w:lineRule="exact"/>
        <w:ind w:left="2"/>
        <w:jc w:val="center"/>
        <w:rPr>
          <w:rFonts w:ascii="Cambria" w:hAnsi="Cambria"/>
          <w:i/>
          <w:spacing w:val="-1"/>
          <w:sz w:val="20"/>
          <w:szCs w:val="20"/>
        </w:rPr>
      </w:pPr>
    </w:p>
    <w:p w14:paraId="0B367023" w14:textId="77777777" w:rsidR="00EA79DB" w:rsidRPr="00E3312E" w:rsidRDefault="00D73FB1" w:rsidP="00E3312E">
      <w:pPr>
        <w:spacing w:line="240" w:lineRule="exact"/>
        <w:ind w:left="2"/>
        <w:jc w:val="center"/>
        <w:rPr>
          <w:rFonts w:ascii="Cambria" w:eastAsia="Cambria" w:hAnsi="Cambria" w:cs="Cambria"/>
          <w:sz w:val="20"/>
          <w:szCs w:val="20"/>
        </w:rPr>
      </w:pPr>
      <w:r w:rsidRPr="00E3312E">
        <w:rPr>
          <w:rFonts w:ascii="Cambria" w:hAnsi="Cambria"/>
          <w:i/>
          <w:sz w:val="20"/>
          <w:szCs w:val="20"/>
        </w:rPr>
        <w:t>(Secretaría de ICCAT)</w:t>
      </w:r>
    </w:p>
    <w:bookmarkEnd w:id="0"/>
    <w:p w14:paraId="6D123ADB" w14:textId="77777777" w:rsidR="004C67EC" w:rsidRPr="00E3312E" w:rsidRDefault="004C67EC" w:rsidP="00E3312E">
      <w:pPr>
        <w:tabs>
          <w:tab w:val="left" w:pos="340"/>
        </w:tabs>
        <w:spacing w:line="240" w:lineRule="exact"/>
        <w:jc w:val="both"/>
        <w:rPr>
          <w:rFonts w:ascii="Cambria" w:eastAsia="Calibri" w:hAnsi="Cambria"/>
          <w:sz w:val="20"/>
          <w:szCs w:val="20"/>
        </w:rPr>
      </w:pPr>
    </w:p>
    <w:p w14:paraId="5B0ECF2F" w14:textId="2E9AFAA9" w:rsidR="001B7353" w:rsidRPr="00E3312E" w:rsidRDefault="001B7353" w:rsidP="00E3312E">
      <w:pPr>
        <w:autoSpaceDE w:val="0"/>
        <w:autoSpaceDN w:val="0"/>
        <w:adjustRightInd w:val="0"/>
        <w:spacing w:line="240" w:lineRule="exact"/>
        <w:jc w:val="both"/>
        <w:rPr>
          <w:rFonts w:ascii="Cambria" w:hAnsi="Cambria"/>
          <w:bCs/>
          <w:sz w:val="20"/>
          <w:szCs w:val="20"/>
        </w:rPr>
      </w:pPr>
      <w:r w:rsidRPr="00E3312E">
        <w:rPr>
          <w:rFonts w:ascii="Cambria" w:hAnsi="Cambria"/>
          <w:sz w:val="20"/>
          <w:szCs w:val="20"/>
        </w:rPr>
        <w:t xml:space="preserve">En la reunión de la Comisión de 2023, se aprobó el modelo de portada para acompañar nuevas propuestas, con el fin de proporcionar a las CPC </w:t>
      </w:r>
      <w:r w:rsidR="00AA29AA">
        <w:rPr>
          <w:rFonts w:ascii="Cambria" w:hAnsi="Cambria"/>
          <w:sz w:val="20"/>
          <w:szCs w:val="20"/>
        </w:rPr>
        <w:t xml:space="preserve">un medio </w:t>
      </w:r>
      <w:r w:rsidRPr="00E3312E">
        <w:rPr>
          <w:rFonts w:ascii="Cambria" w:hAnsi="Cambria"/>
          <w:sz w:val="20"/>
          <w:szCs w:val="20"/>
        </w:rPr>
        <w:t>sencill</w:t>
      </w:r>
      <w:r w:rsidR="00AA29AA">
        <w:rPr>
          <w:rFonts w:ascii="Cambria" w:hAnsi="Cambria"/>
          <w:sz w:val="20"/>
          <w:szCs w:val="20"/>
        </w:rPr>
        <w:t>o</w:t>
      </w:r>
      <w:r w:rsidRPr="00E3312E">
        <w:rPr>
          <w:rFonts w:ascii="Cambria" w:hAnsi="Cambria"/>
          <w:sz w:val="20"/>
          <w:szCs w:val="20"/>
        </w:rPr>
        <w:t xml:space="preserve"> y fácil de usar </w:t>
      </w:r>
      <w:r w:rsidR="00AA29AA">
        <w:rPr>
          <w:rFonts w:ascii="Cambria" w:hAnsi="Cambria"/>
          <w:sz w:val="20"/>
          <w:szCs w:val="20"/>
        </w:rPr>
        <w:t xml:space="preserve">con el que </w:t>
      </w:r>
      <w:r w:rsidRPr="00E3312E">
        <w:rPr>
          <w:rFonts w:ascii="Cambria" w:hAnsi="Cambria"/>
          <w:sz w:val="20"/>
          <w:szCs w:val="20"/>
        </w:rPr>
        <w:t>identificar las implicaciones financieras, administrativas y científicas de las nuevas propuestas.</w:t>
      </w:r>
    </w:p>
    <w:p w14:paraId="44F16F74" w14:textId="77777777" w:rsidR="001B7353" w:rsidRPr="00E3312E" w:rsidRDefault="001B7353" w:rsidP="00E3312E">
      <w:pPr>
        <w:tabs>
          <w:tab w:val="left" w:pos="340"/>
        </w:tabs>
        <w:spacing w:line="240" w:lineRule="exact"/>
        <w:jc w:val="both"/>
        <w:rPr>
          <w:rFonts w:ascii="Cambria" w:hAnsi="Cambria"/>
          <w:bCs/>
          <w:sz w:val="20"/>
          <w:szCs w:val="20"/>
        </w:rPr>
      </w:pPr>
    </w:p>
    <w:p w14:paraId="62D33DC0" w14:textId="78DB5258" w:rsidR="00563D6B" w:rsidRPr="00E3312E" w:rsidRDefault="00563D6B" w:rsidP="00E3312E">
      <w:pPr>
        <w:tabs>
          <w:tab w:val="left" w:pos="340"/>
        </w:tabs>
        <w:spacing w:line="240" w:lineRule="exact"/>
        <w:jc w:val="both"/>
        <w:rPr>
          <w:rFonts w:ascii="Cambria" w:hAnsi="Cambria"/>
          <w:bCs/>
          <w:sz w:val="20"/>
          <w:szCs w:val="20"/>
        </w:rPr>
      </w:pPr>
      <w:r w:rsidRPr="00E3312E">
        <w:rPr>
          <w:rFonts w:ascii="Cambria" w:hAnsi="Cambria"/>
          <w:sz w:val="20"/>
          <w:szCs w:val="20"/>
        </w:rPr>
        <w:t xml:space="preserve">La siguiente tabla recopila las implicaciones financieras estimadas por la Secretaría para todos los </w:t>
      </w:r>
      <w:r w:rsidR="00AA29AA">
        <w:rPr>
          <w:rFonts w:ascii="Cambria" w:hAnsi="Cambria"/>
          <w:sz w:val="20"/>
          <w:szCs w:val="20"/>
        </w:rPr>
        <w:t>p</w:t>
      </w:r>
      <w:r w:rsidRPr="00E3312E">
        <w:rPr>
          <w:rFonts w:ascii="Cambria" w:hAnsi="Cambria"/>
          <w:sz w:val="20"/>
          <w:szCs w:val="20"/>
        </w:rPr>
        <w:t xml:space="preserve">royectos de </w:t>
      </w:r>
      <w:r w:rsidR="00AA29AA">
        <w:rPr>
          <w:rFonts w:ascii="Cambria" w:hAnsi="Cambria"/>
          <w:sz w:val="20"/>
          <w:szCs w:val="20"/>
        </w:rPr>
        <w:t>propuesta</w:t>
      </w:r>
      <w:r w:rsidRPr="00E3312E">
        <w:rPr>
          <w:rFonts w:ascii="Cambria" w:hAnsi="Cambria"/>
          <w:sz w:val="20"/>
          <w:szCs w:val="20"/>
        </w:rPr>
        <w:t xml:space="preserve"> recibidos hasta el 10 de noviembre de 2025.</w:t>
      </w:r>
    </w:p>
    <w:p w14:paraId="35EC0724" w14:textId="77777777" w:rsidR="00563D6B" w:rsidRPr="00E3312E" w:rsidRDefault="00563D6B" w:rsidP="00E3312E">
      <w:pPr>
        <w:spacing w:line="240" w:lineRule="exact"/>
        <w:rPr>
          <w:rFonts w:ascii="Cambria" w:hAnsi="Cambria"/>
          <w:bCs/>
          <w:sz w:val="20"/>
          <w:szCs w:val="20"/>
        </w:rPr>
      </w:pPr>
    </w:p>
    <w:tbl>
      <w:tblPr>
        <w:tblW w:w="9074" w:type="dxa"/>
        <w:tblLook w:val="04A0" w:firstRow="1" w:lastRow="0" w:firstColumn="1" w:lastColumn="0" w:noHBand="0" w:noVBand="1"/>
      </w:tblPr>
      <w:tblGrid>
        <w:gridCol w:w="1141"/>
        <w:gridCol w:w="6517"/>
        <w:gridCol w:w="1416"/>
      </w:tblGrid>
      <w:tr w:rsidR="00E76127" w:rsidRPr="00E3312E" w14:paraId="0A5097EC" w14:textId="77777777" w:rsidTr="00FB0B5A">
        <w:trPr>
          <w:gridAfter w:val="1"/>
          <w:wAfter w:w="1416" w:type="dxa"/>
          <w:trHeight w:val="26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AD0D0" w14:textId="77777777" w:rsidR="00E76127" w:rsidRPr="00E3312E" w:rsidRDefault="00E76127" w:rsidP="00E3312E">
            <w:pPr>
              <w:widowControl/>
              <w:spacing w:line="240" w:lineRule="exact"/>
              <w:rPr>
                <w:rFonts w:ascii="Cambria" w:eastAsia="Times New Roman" w:hAnsi="Cambri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8224" w14:textId="77777777" w:rsidR="00E76127" w:rsidRPr="00E3312E" w:rsidRDefault="00E76127" w:rsidP="00E3312E">
            <w:pPr>
              <w:widowControl/>
              <w:spacing w:line="240" w:lineRule="exact"/>
              <w:rPr>
                <w:rFonts w:ascii="Cambria" w:eastAsia="Times New Roman" w:hAnsi="Cambria" w:cs="Times New Roman"/>
                <w:sz w:val="20"/>
                <w:szCs w:val="20"/>
                <w:lang w:eastAsia="en-GB"/>
              </w:rPr>
            </w:pPr>
          </w:p>
        </w:tc>
      </w:tr>
      <w:tr w:rsidR="00E76127" w:rsidRPr="00E3312E" w14:paraId="4E418F2E" w14:textId="77777777" w:rsidTr="00FB0B5A">
        <w:trPr>
          <w:trHeight w:val="40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FA72" w14:textId="77777777" w:rsidR="00E76127" w:rsidRPr="00E3312E" w:rsidRDefault="00E76127" w:rsidP="00E3312E">
            <w:pPr>
              <w:widowControl/>
              <w:spacing w:line="240" w:lineRule="exact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Propuesta</w:t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F4CCB7" w14:textId="77777777" w:rsidR="00E76127" w:rsidRPr="00E3312E" w:rsidRDefault="00E76127" w:rsidP="00E3312E">
            <w:pPr>
              <w:widowControl/>
              <w:spacing w:line="240" w:lineRule="exact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Título de la propuesta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7881" w14:textId="18B89E38" w:rsidR="00E76127" w:rsidRPr="00E3312E" w:rsidRDefault="00E76127" w:rsidP="00E3312E">
            <w:pPr>
              <w:widowControl/>
              <w:spacing w:line="240" w:lineRule="exact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Coste estimado (€)</w:t>
            </w:r>
          </w:p>
        </w:tc>
      </w:tr>
      <w:tr w:rsidR="00223E30" w:rsidRPr="00E3312E" w14:paraId="64218700" w14:textId="77777777" w:rsidTr="00FB0B5A">
        <w:trPr>
          <w:trHeight w:val="20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7AAB" w14:textId="6D5299FE" w:rsidR="00223E30" w:rsidRPr="00E3312E" w:rsidRDefault="00223E30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PLE_111</w:t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2A599" w14:textId="18EA030D" w:rsidR="00223E30" w:rsidRPr="00E3312E" w:rsidRDefault="00223E30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Documento de debate sobre una propuesta de memorando de entendimiento entre ICCAT y NAFO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B041" w14:textId="01480158" w:rsidR="00223E30" w:rsidRPr="00E3312E" w:rsidRDefault="00223E30" w:rsidP="00E3312E">
            <w:pPr>
              <w:spacing w:line="240" w:lineRule="exact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3.855,06</w:t>
            </w:r>
          </w:p>
        </w:tc>
      </w:tr>
      <w:tr w:rsidR="00440DC3" w:rsidRPr="00E3312E" w14:paraId="7BF727E2" w14:textId="77777777" w:rsidTr="00FB0B5A">
        <w:trPr>
          <w:trHeight w:val="20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A7D45" w14:textId="55052D8F" w:rsidR="00440DC3" w:rsidRPr="00440DC3" w:rsidRDefault="00440DC3" w:rsidP="00440DC3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440DC3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PWG_414</w:t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49F72" w14:textId="0F10BD65" w:rsidR="00440DC3" w:rsidRPr="00440DC3" w:rsidRDefault="00440DC3" w:rsidP="00440DC3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440DC3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Proyecto de Recomendación de ICCAT sobre acuerdos de fletamento de buques y acuerdos de acceso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E175" w14:textId="6FDD1237" w:rsidR="00440DC3" w:rsidRPr="00440DC3" w:rsidRDefault="00440DC3" w:rsidP="00440DC3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F87FC7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30,044.00</w:t>
            </w:r>
          </w:p>
        </w:tc>
      </w:tr>
      <w:tr w:rsidR="00440DC3" w:rsidRPr="00E3312E" w14:paraId="4AE73D23" w14:textId="77777777" w:rsidTr="00FB0B5A">
        <w:trPr>
          <w:trHeight w:val="20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8DE20" w14:textId="50EF06D3" w:rsidR="00440DC3" w:rsidRPr="00440DC3" w:rsidRDefault="00440DC3" w:rsidP="00440DC3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440DC3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PWG_420</w:t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E6E87" w14:textId="1A685578" w:rsidR="00440DC3" w:rsidRPr="00440DC3" w:rsidRDefault="00440DC3" w:rsidP="00440DC3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440DC3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Proyecto de Recomendación del ICCAT para enmendar la Rec. 06-13 sobre medidas comerciales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32962" w14:textId="1D76C129" w:rsidR="00440DC3" w:rsidRPr="00440DC3" w:rsidRDefault="00440DC3" w:rsidP="00440DC3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F87FC7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 xml:space="preserve">17,168.00 </w:t>
            </w:r>
          </w:p>
        </w:tc>
      </w:tr>
      <w:tr w:rsidR="00781AA0" w:rsidRPr="00E3312E" w14:paraId="4FC6CF13" w14:textId="77777777" w:rsidTr="00FB0B5A">
        <w:trPr>
          <w:trHeight w:val="20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73C09" w14:textId="40F9D0D9" w:rsidR="00781AA0" w:rsidRPr="00E3312E" w:rsidRDefault="008D6785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PA1_502</w:t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71B0F" w14:textId="4ACDE4EE" w:rsidR="00781AA0" w:rsidRPr="00E3312E" w:rsidRDefault="008D6785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Recomendación de ICCAT para un proyecto piloto de cría de atún rojo (</w:t>
            </w:r>
            <w:proofErr w:type="spellStart"/>
            <w:r w:rsidRPr="00E3312E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>Thunnus</w:t>
            </w:r>
            <w:proofErr w:type="spellEnd"/>
            <w:r w:rsidRPr="00E3312E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312E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>thynnus</w:t>
            </w:r>
            <w:proofErr w:type="spellEnd"/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) y rabil (</w:t>
            </w:r>
            <w:proofErr w:type="spellStart"/>
            <w:r w:rsidRPr="00E3312E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>Thunnus</w:t>
            </w:r>
            <w:proofErr w:type="spellEnd"/>
            <w:r w:rsidRPr="00E3312E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 albacares</w:t>
            </w: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) en aguas de las islas Canarias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D69B" w14:textId="36277121" w:rsidR="00781AA0" w:rsidRPr="00E3312E" w:rsidRDefault="00223E30" w:rsidP="00E3312E">
            <w:pPr>
              <w:spacing w:line="240" w:lineRule="exact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5.039,18</w:t>
            </w:r>
          </w:p>
        </w:tc>
      </w:tr>
      <w:tr w:rsidR="00781AA0" w:rsidRPr="00E3312E" w14:paraId="0D7299A4" w14:textId="77777777" w:rsidTr="00FB0B5A">
        <w:trPr>
          <w:trHeight w:val="20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0949" w14:textId="7B4DFF26" w:rsidR="00781AA0" w:rsidRPr="00E3312E" w:rsidRDefault="00227B13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PA1_505</w:t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F0FBB" w14:textId="7A424066" w:rsidR="00781AA0" w:rsidRPr="00E3312E" w:rsidRDefault="00227B13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Recomendación de ICCAT sobre un procedimiento de ordenación candidato para el listado del Atlántico occidental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B6D72" w14:textId="481D46DC" w:rsidR="00781AA0" w:rsidRPr="00E3312E" w:rsidRDefault="00223E30" w:rsidP="00E3312E">
            <w:pPr>
              <w:spacing w:line="240" w:lineRule="exact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6.223,30</w:t>
            </w:r>
          </w:p>
        </w:tc>
      </w:tr>
      <w:tr w:rsidR="00781AA0" w:rsidRPr="00E3312E" w14:paraId="25DC40D5" w14:textId="77777777" w:rsidTr="00FB0B5A">
        <w:trPr>
          <w:trHeight w:val="20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08259" w14:textId="4D860596" w:rsidR="00781AA0" w:rsidRPr="00E3312E" w:rsidRDefault="00234AAD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PA2_609</w:t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4BB6" w14:textId="29912CC0" w:rsidR="00781AA0" w:rsidRPr="00E3312E" w:rsidRDefault="00234AAD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Recomendación de ICCAT para un proyecto piloto de cría de atún rojo (</w:t>
            </w:r>
            <w:proofErr w:type="spellStart"/>
            <w:r w:rsidRPr="00E3312E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>Thunnus</w:t>
            </w:r>
            <w:proofErr w:type="spellEnd"/>
            <w:r w:rsidRPr="00E3312E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312E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>thynnus</w:t>
            </w:r>
            <w:proofErr w:type="spellEnd"/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) y rabil (</w:t>
            </w:r>
            <w:proofErr w:type="spellStart"/>
            <w:r w:rsidRPr="00E3312E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>Thunnus</w:t>
            </w:r>
            <w:proofErr w:type="spellEnd"/>
            <w:r w:rsidRPr="00E3312E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 albacares</w:t>
            </w: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) en aguas de las islas Canarias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6703B" w14:textId="5A36785C" w:rsidR="00781AA0" w:rsidRPr="00E3312E" w:rsidRDefault="00234AAD" w:rsidP="00E3312E">
            <w:pPr>
              <w:spacing w:line="240" w:lineRule="exact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1.184,12</w:t>
            </w:r>
          </w:p>
        </w:tc>
      </w:tr>
      <w:tr w:rsidR="00781AA0" w:rsidRPr="00E3312E" w14:paraId="3E1067D7" w14:textId="77777777" w:rsidTr="00FB0B5A">
        <w:trPr>
          <w:trHeight w:val="20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259D8" w14:textId="4A0090CA" w:rsidR="00781AA0" w:rsidRPr="00E3312E" w:rsidRDefault="00234AAD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PA2_611</w:t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8F69" w14:textId="52F8CCCD" w:rsidR="00781AA0" w:rsidRPr="00E3312E" w:rsidRDefault="00234AAD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Recomendación de ICCAT para un plan de conservación y ordenación para el atún rojo del Atlántico oeste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35DC0" w14:textId="0C1C4CD8" w:rsidR="00781AA0" w:rsidRPr="00E3312E" w:rsidRDefault="00223E30" w:rsidP="00E3312E">
            <w:pPr>
              <w:spacing w:line="240" w:lineRule="exact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9.977,46</w:t>
            </w:r>
          </w:p>
        </w:tc>
      </w:tr>
      <w:tr w:rsidR="00440DC3" w:rsidRPr="00E3312E" w14:paraId="559693B3" w14:textId="77777777" w:rsidTr="00FB0B5A">
        <w:trPr>
          <w:trHeight w:val="346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F3135" w14:textId="47B5C0EE" w:rsidR="00440DC3" w:rsidRPr="00E3312E" w:rsidRDefault="00440DC3" w:rsidP="00440DC3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PA2_616</w:t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F7F11" w14:textId="74D2EA5F" w:rsidR="00440DC3" w:rsidRPr="00E3312E" w:rsidRDefault="00440DC3" w:rsidP="00440DC3">
            <w:pPr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Recomendación de ICCAT para un plan de conservación y ordenación para el atún rojo del Atlántico oeste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A8D97" w14:textId="137DE213" w:rsidR="00440DC3" w:rsidRPr="00440DC3" w:rsidRDefault="00440DC3" w:rsidP="00440DC3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F87FC7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5,140.08</w:t>
            </w:r>
          </w:p>
        </w:tc>
      </w:tr>
      <w:tr w:rsidR="00440DC3" w:rsidRPr="00E3312E" w14:paraId="62F283F8" w14:textId="77777777" w:rsidTr="00FB0B5A">
        <w:trPr>
          <w:trHeight w:val="20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E199" w14:textId="63840CD6" w:rsidR="00440DC3" w:rsidRPr="00E3312E" w:rsidRDefault="00440DC3" w:rsidP="00440DC3">
            <w:pPr>
              <w:widowControl/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PA4_804</w:t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08C71" w14:textId="5A762F0E" w:rsidR="00440DC3" w:rsidRPr="00E3312E" w:rsidRDefault="00440DC3" w:rsidP="00440DC3">
            <w:pPr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Recomendación de ICCAT sobre la conservación y la ordenación de tiburones capturados en asociación con pesquerías de ICCAT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88711" w14:textId="6E718165" w:rsidR="00440DC3" w:rsidRPr="00440DC3" w:rsidRDefault="00440DC3" w:rsidP="00440DC3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F87FC7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1,542.31</w:t>
            </w:r>
          </w:p>
        </w:tc>
      </w:tr>
      <w:tr w:rsidR="00A37532" w:rsidRPr="00E3312E" w14:paraId="0655BD2F" w14:textId="77777777" w:rsidTr="00FB0B5A">
        <w:trPr>
          <w:trHeight w:val="20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F8A7E" w14:textId="0D8F1A40" w:rsidR="00A37532" w:rsidRPr="00E3312E" w:rsidRDefault="00234AAD" w:rsidP="00E3312E">
            <w:pPr>
              <w:widowControl/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PA4_808</w:t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0CC74" w14:textId="45EEB54F" w:rsidR="00A37532" w:rsidRPr="00E3312E" w:rsidRDefault="00234AAD" w:rsidP="00E3312E">
            <w:pPr>
              <w:widowControl/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Recomendación de ICCAT sobre la conservación y la ordenación de tiburones capturados en asociación con pesquerías de ICCAT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05F54" w14:textId="7CDD8631" w:rsidR="00A37532" w:rsidRPr="00E3312E" w:rsidRDefault="00234AAD" w:rsidP="00E3312E">
            <w:pPr>
              <w:spacing w:line="240" w:lineRule="exact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15.174,44</w:t>
            </w:r>
          </w:p>
        </w:tc>
      </w:tr>
      <w:tr w:rsidR="00A37532" w:rsidRPr="00E3312E" w14:paraId="58633D88" w14:textId="77777777" w:rsidTr="00FB0B5A">
        <w:trPr>
          <w:trHeight w:val="20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9BA3" w14:textId="4B2719BD" w:rsidR="00A37532" w:rsidRPr="00E3312E" w:rsidRDefault="00234AAD" w:rsidP="00E3312E">
            <w:pPr>
              <w:widowControl/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PA4_811</w:t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B2FB" w14:textId="02F7FF56" w:rsidR="00A37532" w:rsidRPr="00E3312E" w:rsidRDefault="00234AAD" w:rsidP="00E3312E">
            <w:pPr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Recomendación de ICCAT que enmienda la Recomendación 07-07 y la Recomendación suplementaria 11-09 para reducir la captura fortuita incidental de aves marinas en las pesquerías de palangre de ICCAT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F6EB" w14:textId="7AAC284E" w:rsidR="00A37532" w:rsidRPr="00E3312E" w:rsidRDefault="00234AAD" w:rsidP="00E3312E">
            <w:pPr>
              <w:spacing w:line="240" w:lineRule="exact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 xml:space="preserve">1.450,46 </w:t>
            </w:r>
          </w:p>
        </w:tc>
      </w:tr>
      <w:tr w:rsidR="00440DC3" w:rsidRPr="00E3312E" w14:paraId="3D73BEF3" w14:textId="77777777" w:rsidTr="00FB0B5A">
        <w:trPr>
          <w:trHeight w:val="20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D6FF" w14:textId="2948FB44" w:rsidR="00440DC3" w:rsidRPr="00440DC3" w:rsidRDefault="00440DC3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440DC3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PA4_812</w:t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8DA9C" w14:textId="5C9C3E07" w:rsidR="00440DC3" w:rsidRPr="00440DC3" w:rsidRDefault="00440DC3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440DC3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Proyecto de Recomendación de ICCAT sobre tiburón peregrino y jaquetón blanco capturados en asociación con pesquerías gestionadas por ICCAT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79B0A" w14:textId="0A169FD5" w:rsidR="00440DC3" w:rsidRPr="00440DC3" w:rsidRDefault="00440DC3" w:rsidP="00440DC3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F87FC7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858.40</w:t>
            </w:r>
          </w:p>
        </w:tc>
      </w:tr>
      <w:tr w:rsidR="00A37532" w:rsidRPr="00E3312E" w14:paraId="14C22D5A" w14:textId="77777777" w:rsidTr="00FB0B5A">
        <w:trPr>
          <w:trHeight w:val="20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6D325" w14:textId="4B66393E" w:rsidR="00A37532" w:rsidRPr="00E3312E" w:rsidRDefault="00234AAD" w:rsidP="00E3312E">
            <w:pPr>
              <w:widowControl/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PA4_813</w:t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EDAFB" w14:textId="2BAEE787" w:rsidR="00A37532" w:rsidRPr="00E3312E" w:rsidRDefault="00234AAD" w:rsidP="00E3312E">
            <w:pPr>
              <w:widowControl/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Resolución de ICCAT sobre objetivos operativos de ordenación para el tiburón azul del Atlántico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38CED" w14:textId="204DFE2C" w:rsidR="00A37532" w:rsidRPr="00E3312E" w:rsidRDefault="00223E30" w:rsidP="00E3312E">
            <w:pPr>
              <w:spacing w:line="240" w:lineRule="exact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 xml:space="preserve">26.252,44 </w:t>
            </w:r>
          </w:p>
        </w:tc>
      </w:tr>
      <w:tr w:rsidR="00223E30" w:rsidRPr="00E3312E" w14:paraId="6522A7BE" w14:textId="77777777" w:rsidTr="00FB0B5A">
        <w:trPr>
          <w:trHeight w:val="20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E797" w14:textId="6251AD8C" w:rsidR="00223E30" w:rsidRPr="00E3312E" w:rsidRDefault="00223E30" w:rsidP="00E3312E">
            <w:pPr>
              <w:widowControl/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PA4_815</w:t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7A01" w14:textId="3EC50EA6" w:rsidR="00223E30" w:rsidRPr="00E3312E" w:rsidRDefault="00223E30" w:rsidP="00E3312E">
            <w:pPr>
              <w:spacing w:line="240" w:lineRule="exact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Recomendación de ICCAT sobre el uso experimental de trampillas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2C71" w14:textId="3B0840D1" w:rsidR="00223E30" w:rsidRPr="00440DC3" w:rsidRDefault="00440DC3" w:rsidP="00440DC3">
            <w:pPr>
              <w:jc w:val="center"/>
              <w:rPr>
                <w:rFonts w:ascii="Cambria" w:hAnsi="Cambria"/>
                <w:color w:val="000000"/>
                <w:sz w:val="20"/>
                <w:szCs w:val="20"/>
                <w:u w:val="single"/>
              </w:rPr>
            </w:pPr>
            <w:r w:rsidRPr="00F87FC7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5577.02</w:t>
            </w:r>
          </w:p>
        </w:tc>
      </w:tr>
      <w:tr w:rsidR="001B4161" w:rsidRPr="00E3312E" w14:paraId="07ACBCA6" w14:textId="77777777" w:rsidTr="00FB0B5A">
        <w:trPr>
          <w:trHeight w:val="20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7B53" w14:textId="1FF60D3B" w:rsidR="001B4161" w:rsidRPr="00E3312E" w:rsidRDefault="001B4161" w:rsidP="00E3312E">
            <w:pPr>
              <w:widowControl/>
              <w:spacing w:line="240" w:lineRule="exact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bookmarkStart w:id="1" w:name="_Hlk87602347"/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STF_213</w:t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1F47" w14:textId="3D6658E4" w:rsidR="001B4161" w:rsidRPr="00E3312E" w:rsidRDefault="001B4161" w:rsidP="00E3312E">
            <w:pPr>
              <w:widowControl/>
              <w:spacing w:line="240" w:lineRule="exact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Reglas de procedimiento para la administración del Fondo especial para la participación en reuniones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DDBE353" w14:textId="6FB00E3D" w:rsidR="001B4161" w:rsidRPr="00E3312E" w:rsidRDefault="001B4161" w:rsidP="00E3312E">
            <w:pPr>
              <w:widowControl/>
              <w:spacing w:line="240" w:lineRule="exact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441.725,34</w:t>
            </w:r>
          </w:p>
        </w:tc>
      </w:tr>
      <w:tr w:rsidR="001B4161" w:rsidRPr="00E3312E" w14:paraId="5967FB94" w14:textId="77777777" w:rsidTr="00FB0B5A">
        <w:trPr>
          <w:trHeight w:val="204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97949" w14:textId="501F1D97" w:rsidR="001B4161" w:rsidRPr="00E3312E" w:rsidRDefault="001B4161" w:rsidP="00E3312E">
            <w:pPr>
              <w:widowControl/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STF_214</w:t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EC533" w14:textId="4C607EAA" w:rsidR="001B4161" w:rsidRPr="00E3312E" w:rsidRDefault="001B4161" w:rsidP="00E3312E">
            <w:pPr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Proyecto de Recomendación de ICCAT que enmienda la Recomendación 20-09 sobre el establecimiento de un Fondo para la participación en reuniones para las Partes contratantes en desarrollo de ICCAT</w:t>
            </w: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03403" w14:textId="53B7D3AA" w:rsidR="001B4161" w:rsidRPr="00E3312E" w:rsidRDefault="001B4161" w:rsidP="00E3312E">
            <w:pPr>
              <w:widowControl/>
              <w:spacing w:line="240" w:lineRule="exact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</w:tr>
      <w:tr w:rsidR="00A37532" w:rsidRPr="00E3312E" w14:paraId="5BEA8F39" w14:textId="77777777" w:rsidTr="00FB0B5A">
        <w:trPr>
          <w:trHeight w:val="531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EB8E5" w14:textId="3F3712C0" w:rsidR="00A37532" w:rsidRPr="00E3312E" w:rsidRDefault="001B4161" w:rsidP="00E3312E">
            <w:pPr>
              <w:widowControl/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STF_215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7F338" w14:textId="2CE812DB" w:rsidR="00A37532" w:rsidRPr="00E3312E" w:rsidRDefault="001B4161" w:rsidP="00E3312E">
            <w:pPr>
              <w:spacing w:line="240" w:lineRule="exact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color w:val="000000"/>
                <w:sz w:val="20"/>
                <w:szCs w:val="20"/>
              </w:rPr>
              <w:t>Propuesta de Argelia y Túnez para aumentar el número de representantes financiados por delegación para las reuniones anuales de la Comisión</w:t>
            </w:r>
            <w:r w:rsidR="00F03928" w:rsidRPr="00E3312E">
              <w:rPr>
                <w:rStyle w:val="EndnoteReference"/>
                <w:rFonts w:ascii="Cambria" w:hAnsi="Cambria"/>
                <w:color w:val="000000"/>
                <w:sz w:val="20"/>
                <w:szCs w:val="20"/>
              </w:rPr>
              <w:endnoteReference w:id="1"/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A96DD" w14:textId="059D2EC9" w:rsidR="00A37532" w:rsidRPr="00E3312E" w:rsidRDefault="00440DC3" w:rsidP="00E3312E">
            <w:pPr>
              <w:spacing w:line="240" w:lineRule="exact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F87FC7">
              <w:rPr>
                <w:rFonts w:ascii="Cambria" w:hAnsi="Cambria"/>
                <w:color w:val="000000"/>
                <w:sz w:val="20"/>
                <w:szCs w:val="20"/>
                <w:u w:val="single"/>
              </w:rPr>
              <w:t>246.687,80</w:t>
            </w:r>
            <w:r w:rsidR="001B4161" w:rsidRPr="00E3312E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</w:tc>
      </w:tr>
      <w:bookmarkEnd w:id="1"/>
      <w:tr w:rsidR="000B6CDD" w:rsidRPr="00E3312E" w14:paraId="7A3623E3" w14:textId="77777777" w:rsidTr="00FB0B5A">
        <w:trPr>
          <w:trHeight w:val="204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F9C8E" w14:textId="77777777" w:rsidR="000B6CDD" w:rsidRPr="00E3312E" w:rsidRDefault="000B6CDD" w:rsidP="00E3312E">
            <w:pPr>
              <w:widowControl/>
              <w:spacing w:line="240" w:lineRule="exact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</w:rPr>
            </w:pPr>
            <w:r w:rsidRPr="00E3312E">
              <w:rPr>
                <w:rFonts w:ascii="Cambria" w:hAnsi="Cambria"/>
                <w:b/>
                <w:color w:val="000000"/>
                <w:sz w:val="20"/>
                <w:szCs w:val="20"/>
              </w:rPr>
              <w:lastRenderedPageBreak/>
              <w:t>Coste estimado total para implementar las propuestas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5CB54" w14:textId="30BA96F3" w:rsidR="000B6CDD" w:rsidRPr="00440DC3" w:rsidRDefault="00440DC3" w:rsidP="00440DC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</w:pPr>
            <w:r w:rsidRPr="00440DC3">
              <w:rPr>
                <w:rFonts w:ascii="Cambria" w:hAnsi="Cambria"/>
                <w:b/>
                <w:bCs/>
                <w:color w:val="000000"/>
                <w:sz w:val="20"/>
                <w:szCs w:val="20"/>
                <w:u w:val="single"/>
              </w:rPr>
              <w:t>571,211.61</w:t>
            </w:r>
          </w:p>
        </w:tc>
      </w:tr>
    </w:tbl>
    <w:p w14:paraId="6F6879CC" w14:textId="77777777" w:rsidR="00E76127" w:rsidRPr="00E3312E" w:rsidRDefault="00E76127" w:rsidP="00E3312E">
      <w:pPr>
        <w:spacing w:line="240" w:lineRule="exact"/>
        <w:rPr>
          <w:rFonts w:ascii="Cambria" w:hAnsi="Cambria"/>
          <w:bCs/>
          <w:sz w:val="20"/>
          <w:szCs w:val="20"/>
        </w:rPr>
      </w:pPr>
    </w:p>
    <w:sectPr w:rsidR="00E76127" w:rsidRPr="00E3312E" w:rsidSect="00DA64D2">
      <w:headerReference w:type="default" r:id="rId8"/>
      <w:footerReference w:type="default" r:id="rId9"/>
      <w:endnotePr>
        <w:numFmt w:val="decimal"/>
      </w:endnotePr>
      <w:pgSz w:w="11910" w:h="16840"/>
      <w:pgMar w:top="1418" w:right="1418" w:bottom="1418" w:left="1418" w:header="890" w:footer="1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E1B" w14:textId="77777777" w:rsidR="009D587B" w:rsidRDefault="009D587B">
      <w:r>
        <w:separator/>
      </w:r>
    </w:p>
  </w:endnote>
  <w:endnote w:type="continuationSeparator" w:id="0">
    <w:p w14:paraId="03C9B23D" w14:textId="77777777" w:rsidR="009D587B" w:rsidRDefault="009D587B">
      <w:r>
        <w:continuationSeparator/>
      </w:r>
    </w:p>
  </w:endnote>
  <w:endnote w:id="1">
    <w:p w14:paraId="2A26708C" w14:textId="1BFE891F" w:rsidR="00F03928" w:rsidRPr="00E3312E" w:rsidRDefault="00F03928">
      <w:pPr>
        <w:pStyle w:val="EndnoteText"/>
        <w:rPr>
          <w:rFonts w:asciiTheme="majorHAnsi" w:hAnsiTheme="majorHAnsi"/>
          <w:sz w:val="16"/>
          <w:szCs w:val="16"/>
        </w:rPr>
      </w:pPr>
      <w:r w:rsidRPr="00E3312E">
        <w:rPr>
          <w:rStyle w:val="EndnoteReference"/>
          <w:rFonts w:asciiTheme="majorHAnsi" w:hAnsiTheme="majorHAnsi"/>
          <w:sz w:val="16"/>
          <w:szCs w:val="16"/>
        </w:rPr>
        <w:endnoteRef/>
      </w:r>
      <w:r w:rsidRPr="00E3312E">
        <w:rPr>
          <w:rFonts w:asciiTheme="majorHAnsi" w:hAnsiTheme="majorHAnsi"/>
          <w:sz w:val="16"/>
          <w:szCs w:val="16"/>
        </w:rPr>
        <w:t xml:space="preserve"> Cabe señalar que la cifra correspondiente a esta propuesta (Argelia y Túnez) se </w:t>
      </w:r>
      <w:r w:rsidR="00E3312E">
        <w:rPr>
          <w:rFonts w:asciiTheme="majorHAnsi" w:hAnsiTheme="majorHAnsi"/>
          <w:sz w:val="16"/>
          <w:szCs w:val="16"/>
        </w:rPr>
        <w:t>ha incluido</w:t>
      </w:r>
      <w:r w:rsidRPr="00E3312E">
        <w:rPr>
          <w:rFonts w:asciiTheme="majorHAnsi" w:hAnsiTheme="majorHAnsi"/>
          <w:sz w:val="16"/>
          <w:szCs w:val="16"/>
        </w:rPr>
        <w:t xml:space="preserve"> en las dos </w:t>
      </w:r>
      <w:r w:rsidR="00E3312E">
        <w:rPr>
          <w:rFonts w:asciiTheme="majorHAnsi" w:hAnsiTheme="majorHAnsi"/>
          <w:sz w:val="16"/>
          <w:szCs w:val="16"/>
        </w:rPr>
        <w:t xml:space="preserve">propuestas presentadas por </w:t>
      </w:r>
      <w:r w:rsidRPr="00E3312E">
        <w:rPr>
          <w:rFonts w:asciiTheme="majorHAnsi" w:hAnsiTheme="majorHAnsi"/>
          <w:sz w:val="16"/>
          <w:szCs w:val="16"/>
        </w:rPr>
        <w:t>Egipto</w:t>
      </w:r>
      <w:r w:rsidR="00E3312E">
        <w:rPr>
          <w:rFonts w:asciiTheme="majorHAnsi" w:hAnsiTheme="majorHAnsi"/>
          <w:sz w:val="16"/>
          <w:szCs w:val="16"/>
        </w:rPr>
        <w:t xml:space="preserve"> (STF_213 y STF_214). Por lo tanto, no </w:t>
      </w:r>
      <w:r w:rsidRPr="00E3312E">
        <w:rPr>
          <w:rFonts w:asciiTheme="majorHAnsi" w:hAnsiTheme="majorHAnsi"/>
          <w:sz w:val="16"/>
          <w:szCs w:val="16"/>
        </w:rPr>
        <w:t xml:space="preserve">se ha tenido en cuenta </w:t>
      </w:r>
      <w:r w:rsidR="00E3312E">
        <w:rPr>
          <w:rFonts w:asciiTheme="majorHAnsi" w:hAnsiTheme="majorHAnsi"/>
          <w:sz w:val="16"/>
          <w:szCs w:val="16"/>
        </w:rPr>
        <w:t xml:space="preserve">para </w:t>
      </w:r>
      <w:r w:rsidRPr="00E3312E">
        <w:rPr>
          <w:rFonts w:asciiTheme="majorHAnsi" w:hAnsiTheme="majorHAnsi"/>
          <w:sz w:val="16"/>
          <w:szCs w:val="16"/>
        </w:rPr>
        <w:t>el total de las implicaciones financieras.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10cpi">
    <w:altName w:val="Courier New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50E17" w14:textId="222A5D07" w:rsidR="002C008E" w:rsidRPr="002C008E" w:rsidRDefault="002C008E" w:rsidP="002C008E">
    <w:pPr>
      <w:widowControl/>
      <w:tabs>
        <w:tab w:val="center" w:pos="4535"/>
        <w:tab w:val="center" w:pos="4680"/>
        <w:tab w:val="left" w:pos="6150"/>
        <w:tab w:val="right" w:pos="9360"/>
      </w:tabs>
      <w:spacing w:after="200" w:line="276" w:lineRule="auto"/>
      <w:jc w:val="center"/>
      <w:rPr>
        <w:rFonts w:ascii="Cambria" w:eastAsia="Calibri" w:hAnsi="Cambria" w:cs="Calibri"/>
        <w:sz w:val="20"/>
      </w:rPr>
    </w:pPr>
    <w:r w:rsidRPr="002C008E">
      <w:rPr>
        <w:rFonts w:ascii="Cambria" w:eastAsia="Calibri" w:hAnsi="Cambria" w:cs="Calibri"/>
        <w:sz w:val="20"/>
      </w:rPr>
      <w:fldChar w:fldCharType="begin"/>
    </w:r>
    <w:r w:rsidRPr="002C008E">
      <w:rPr>
        <w:rFonts w:ascii="Cambria" w:eastAsia="Calibri" w:hAnsi="Cambria" w:cs="Calibri"/>
        <w:sz w:val="20"/>
      </w:rPr>
      <w:instrText xml:space="preserve"> PAGE </w:instrText>
    </w:r>
    <w:r w:rsidRPr="002C008E">
      <w:rPr>
        <w:rFonts w:ascii="Cambria" w:eastAsia="Calibri" w:hAnsi="Cambria" w:cs="Calibri"/>
        <w:sz w:val="20"/>
      </w:rPr>
      <w:fldChar w:fldCharType="separate"/>
    </w:r>
    <w:r w:rsidRPr="002C008E">
      <w:rPr>
        <w:rFonts w:ascii="Cambria" w:eastAsia="Calibri" w:hAnsi="Cambria" w:cs="Calibri"/>
        <w:sz w:val="20"/>
      </w:rPr>
      <w:t>1</w:t>
    </w:r>
    <w:r w:rsidRPr="002C008E">
      <w:rPr>
        <w:rFonts w:ascii="Cambria" w:eastAsia="Calibri" w:hAnsi="Cambria" w:cs="Calibri"/>
        <w:sz w:val="20"/>
      </w:rPr>
      <w:fldChar w:fldCharType="end"/>
    </w:r>
    <w:r>
      <w:rPr>
        <w:rFonts w:ascii="Cambria" w:hAnsi="Cambria"/>
        <w:sz w:val="20"/>
      </w:rPr>
      <w:t xml:space="preserve"> / </w:t>
    </w:r>
    <w:r w:rsidRPr="002C008E">
      <w:rPr>
        <w:rFonts w:ascii="Cambria" w:eastAsia="Calibri" w:hAnsi="Cambria" w:cs="Calibri"/>
        <w:sz w:val="20"/>
      </w:rPr>
      <w:fldChar w:fldCharType="begin"/>
    </w:r>
    <w:r w:rsidRPr="002C008E">
      <w:rPr>
        <w:rFonts w:ascii="Cambria" w:eastAsia="Calibri" w:hAnsi="Cambria" w:cs="Calibri"/>
        <w:sz w:val="20"/>
      </w:rPr>
      <w:instrText xml:space="preserve"> NUMPAGES  </w:instrText>
    </w:r>
    <w:r w:rsidRPr="002C008E">
      <w:rPr>
        <w:rFonts w:ascii="Cambria" w:eastAsia="Calibri" w:hAnsi="Cambria" w:cs="Calibri"/>
        <w:sz w:val="20"/>
      </w:rPr>
      <w:fldChar w:fldCharType="separate"/>
    </w:r>
    <w:r w:rsidRPr="002C008E">
      <w:rPr>
        <w:rFonts w:ascii="Cambria" w:eastAsia="Calibri" w:hAnsi="Cambria" w:cs="Calibri"/>
        <w:sz w:val="20"/>
      </w:rPr>
      <w:t>1</w:t>
    </w:r>
    <w:r w:rsidRPr="002C008E">
      <w:rPr>
        <w:rFonts w:ascii="Cambria" w:eastAsia="Calibri" w:hAnsi="Cambria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58F7" w14:textId="77777777" w:rsidR="009D587B" w:rsidRDefault="009D587B">
      <w:r>
        <w:separator/>
      </w:r>
    </w:p>
  </w:footnote>
  <w:footnote w:type="continuationSeparator" w:id="0">
    <w:p w14:paraId="01E7C3E1" w14:textId="77777777" w:rsidR="009D587B" w:rsidRDefault="009D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E549" w14:textId="2D2818CB" w:rsidR="001B7353" w:rsidRPr="001B7353" w:rsidRDefault="001B7353" w:rsidP="001B7353">
    <w:pPr>
      <w:tabs>
        <w:tab w:val="center" w:pos="4680"/>
        <w:tab w:val="left" w:pos="6520"/>
        <w:tab w:val="right" w:pos="9360"/>
        <w:tab w:val="right" w:pos="14240"/>
      </w:tabs>
      <w:autoSpaceDE w:val="0"/>
      <w:autoSpaceDN w:val="0"/>
      <w:jc w:val="right"/>
      <w:rPr>
        <w:rFonts w:ascii="Cambria" w:eastAsia="Calibri" w:hAnsi="Cambria" w:cs="Cambria"/>
        <w:b/>
        <w:bCs/>
        <w:sz w:val="20"/>
        <w:szCs w:val="20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hAnsi="Cambria"/>
        <w:b/>
        <w:sz w:val="20"/>
      </w:rPr>
      <w:t>STF_209</w:t>
    </w:r>
    <w:r w:rsidR="00EF6442">
      <w:rPr>
        <w:rFonts w:ascii="Cambria" w:hAnsi="Cambria"/>
        <w:b/>
        <w:sz w:val="20"/>
      </w:rPr>
      <w:t>A</w:t>
    </w:r>
    <w:r>
      <w:rPr>
        <w:rFonts w:ascii="Cambria" w:hAnsi="Cambria"/>
        <w:b/>
        <w:sz w:val="20"/>
      </w:rPr>
      <w:t>/2025</w:t>
    </w:r>
  </w:p>
  <w:p w14:paraId="29F8F478" w14:textId="4C6A90F7" w:rsidR="001B7353" w:rsidRPr="001B7353" w:rsidRDefault="001B7353" w:rsidP="001B7353">
    <w:pPr>
      <w:tabs>
        <w:tab w:val="left" w:pos="7320"/>
      </w:tabs>
      <w:autoSpaceDE w:val="0"/>
      <w:autoSpaceDN w:val="0"/>
      <w:spacing w:line="240" w:lineRule="exact"/>
      <w:jc w:val="right"/>
      <w:rPr>
        <w:rFonts w:ascii="Cambria" w:eastAsia="Cambria" w:hAnsi="Cambria" w:cs="Cambria"/>
        <w:b/>
        <w:bCs/>
        <w:sz w:val="16"/>
        <w:szCs w:val="16"/>
      </w:rPr>
    </w:pPr>
    <w:r w:rsidRPr="001B7353">
      <w:rPr>
        <w:rFonts w:ascii="Cambria" w:eastAsia="Cambria" w:hAnsi="Cambria" w:cs="Cambria"/>
        <w:b/>
        <w:sz w:val="16"/>
      </w:rPr>
      <w:fldChar w:fldCharType="begin"/>
    </w:r>
    <w:r w:rsidRPr="001B7353">
      <w:rPr>
        <w:rFonts w:ascii="Cambria" w:eastAsia="Cambria" w:hAnsi="Cambria" w:cs="Cambria"/>
        <w:b/>
        <w:sz w:val="16"/>
      </w:rPr>
      <w:instrText xml:space="preserve"> TIME \@ "dd/MM/yyyy H:mm" </w:instrText>
    </w:r>
    <w:r w:rsidRPr="001B7353">
      <w:rPr>
        <w:rFonts w:ascii="Cambria" w:eastAsia="Cambria" w:hAnsi="Cambria" w:cs="Cambria"/>
        <w:b/>
        <w:sz w:val="16"/>
      </w:rPr>
      <w:fldChar w:fldCharType="separate"/>
    </w:r>
    <w:r w:rsidR="00EF6442">
      <w:rPr>
        <w:rFonts w:ascii="Cambria" w:eastAsia="Cambria" w:hAnsi="Cambria" w:cs="Cambria"/>
        <w:b/>
        <w:noProof/>
        <w:sz w:val="16"/>
      </w:rPr>
      <w:t>19/11/2025 17:14</w:t>
    </w:r>
    <w:r w:rsidRPr="001B7353">
      <w:rPr>
        <w:rFonts w:ascii="Cambria" w:eastAsia="Cambria" w:hAnsi="Cambria" w:cs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  <w:p w14:paraId="5C6BB4B0" w14:textId="390DEBAC" w:rsidR="00EA79DB" w:rsidRPr="00563D6B" w:rsidRDefault="00EA79D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BF4"/>
    <w:multiLevelType w:val="hybridMultilevel"/>
    <w:tmpl w:val="4864B68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2A90756"/>
    <w:multiLevelType w:val="hybridMultilevel"/>
    <w:tmpl w:val="1B4C9C5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2E91AF6"/>
    <w:multiLevelType w:val="hybridMultilevel"/>
    <w:tmpl w:val="F90E3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B1F17"/>
    <w:multiLevelType w:val="hybridMultilevel"/>
    <w:tmpl w:val="E9E0F50E"/>
    <w:lvl w:ilvl="0" w:tplc="B28C4848">
      <w:start w:val="1"/>
      <w:numFmt w:val="bullet"/>
      <w:lvlText w:val="-"/>
      <w:lvlJc w:val="left"/>
      <w:pPr>
        <w:ind w:left="878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6B38B34A">
      <w:start w:val="1"/>
      <w:numFmt w:val="bullet"/>
      <w:lvlText w:val="•"/>
      <w:lvlJc w:val="left"/>
      <w:pPr>
        <w:ind w:left="1729" w:hanging="360"/>
      </w:pPr>
      <w:rPr>
        <w:rFonts w:hint="default"/>
      </w:rPr>
    </w:lvl>
    <w:lvl w:ilvl="2" w:tplc="9B628072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118A3898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68FC29AE">
      <w:start w:val="1"/>
      <w:numFmt w:val="bullet"/>
      <w:lvlText w:val="•"/>
      <w:lvlJc w:val="left"/>
      <w:pPr>
        <w:ind w:left="4281" w:hanging="360"/>
      </w:pPr>
      <w:rPr>
        <w:rFonts w:hint="default"/>
      </w:rPr>
    </w:lvl>
    <w:lvl w:ilvl="5" w:tplc="46A82E14">
      <w:start w:val="1"/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0D8C3120">
      <w:start w:val="1"/>
      <w:numFmt w:val="bullet"/>
      <w:lvlText w:val="•"/>
      <w:lvlJc w:val="left"/>
      <w:pPr>
        <w:ind w:left="5983" w:hanging="360"/>
      </w:pPr>
      <w:rPr>
        <w:rFonts w:hint="default"/>
      </w:rPr>
    </w:lvl>
    <w:lvl w:ilvl="7" w:tplc="012AFC08">
      <w:start w:val="1"/>
      <w:numFmt w:val="bullet"/>
      <w:lvlText w:val="•"/>
      <w:lvlJc w:val="left"/>
      <w:pPr>
        <w:ind w:left="6834" w:hanging="360"/>
      </w:pPr>
      <w:rPr>
        <w:rFonts w:hint="default"/>
      </w:rPr>
    </w:lvl>
    <w:lvl w:ilvl="8" w:tplc="6B7E5FC2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4" w15:restartNumberingAfterBreak="0">
    <w:nsid w:val="15051AE5"/>
    <w:multiLevelType w:val="hybridMultilevel"/>
    <w:tmpl w:val="D99A9244"/>
    <w:lvl w:ilvl="0" w:tplc="08CA672A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273002"/>
    <w:multiLevelType w:val="hybridMultilevel"/>
    <w:tmpl w:val="E832442A"/>
    <w:lvl w:ilvl="0" w:tplc="AEC2E7EA">
      <w:start w:val="1"/>
      <w:numFmt w:val="bullet"/>
      <w:lvlText w:val="-"/>
      <w:lvlJc w:val="left"/>
      <w:pPr>
        <w:ind w:left="1060" w:hanging="360"/>
      </w:pPr>
      <w:rPr>
        <w:rFonts w:ascii="Cambria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5E864EF"/>
    <w:multiLevelType w:val="multilevel"/>
    <w:tmpl w:val="FC96B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2601A"/>
    <w:multiLevelType w:val="multilevel"/>
    <w:tmpl w:val="4636D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F57F5"/>
    <w:multiLevelType w:val="hybridMultilevel"/>
    <w:tmpl w:val="4EEC0600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EC33368"/>
    <w:multiLevelType w:val="hybridMultilevel"/>
    <w:tmpl w:val="0F988B34"/>
    <w:lvl w:ilvl="0" w:tplc="C05C1FB6">
      <w:numFmt w:val="bullet"/>
      <w:lvlText w:val="•"/>
      <w:lvlJc w:val="left"/>
      <w:pPr>
        <w:ind w:left="1494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1996992"/>
    <w:multiLevelType w:val="hybridMultilevel"/>
    <w:tmpl w:val="8DC6628C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6451609"/>
    <w:multiLevelType w:val="hybridMultilevel"/>
    <w:tmpl w:val="EEEC6FC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C715E6A"/>
    <w:multiLevelType w:val="hybridMultilevel"/>
    <w:tmpl w:val="E9945438"/>
    <w:lvl w:ilvl="0" w:tplc="749E3028">
      <w:numFmt w:val="bullet"/>
      <w:lvlText w:val="-"/>
      <w:lvlJc w:val="left"/>
      <w:pPr>
        <w:ind w:left="1494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FBB0D45"/>
    <w:multiLevelType w:val="hybridMultilevel"/>
    <w:tmpl w:val="0F8E24C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7AC949A">
      <w:numFmt w:val="bullet"/>
      <w:lvlText w:val="-"/>
      <w:lvlJc w:val="left"/>
      <w:pPr>
        <w:ind w:left="2574" w:hanging="360"/>
      </w:pPr>
      <w:rPr>
        <w:rFonts w:ascii="Cambria" w:eastAsiaTheme="minorHAnsi" w:hAnsi="Cambri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25E371E"/>
    <w:multiLevelType w:val="hybridMultilevel"/>
    <w:tmpl w:val="765AE340"/>
    <w:lvl w:ilvl="0" w:tplc="007E5D2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A371A"/>
    <w:multiLevelType w:val="hybridMultilevel"/>
    <w:tmpl w:val="4EE296C2"/>
    <w:lvl w:ilvl="0" w:tplc="3A1007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131B5"/>
    <w:multiLevelType w:val="hybridMultilevel"/>
    <w:tmpl w:val="3FD670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F6AED"/>
    <w:multiLevelType w:val="hybridMultilevel"/>
    <w:tmpl w:val="C56EC8D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207911531">
    <w:abstractNumId w:val="3"/>
  </w:num>
  <w:num w:numId="2" w16cid:durableId="1781142910">
    <w:abstractNumId w:val="7"/>
  </w:num>
  <w:num w:numId="3" w16cid:durableId="1423069403">
    <w:abstractNumId w:val="6"/>
  </w:num>
  <w:num w:numId="4" w16cid:durableId="1454129913">
    <w:abstractNumId w:val="5"/>
  </w:num>
  <w:num w:numId="5" w16cid:durableId="201134474">
    <w:abstractNumId w:val="17"/>
  </w:num>
  <w:num w:numId="6" w16cid:durableId="1158569776">
    <w:abstractNumId w:val="14"/>
  </w:num>
  <w:num w:numId="7" w16cid:durableId="1208957065">
    <w:abstractNumId w:val="11"/>
  </w:num>
  <w:num w:numId="8" w16cid:durableId="578445565">
    <w:abstractNumId w:val="12"/>
  </w:num>
  <w:num w:numId="9" w16cid:durableId="1252355113">
    <w:abstractNumId w:val="1"/>
  </w:num>
  <w:num w:numId="10" w16cid:durableId="15473925">
    <w:abstractNumId w:val="13"/>
  </w:num>
  <w:num w:numId="11" w16cid:durableId="1765764270">
    <w:abstractNumId w:val="10"/>
  </w:num>
  <w:num w:numId="12" w16cid:durableId="1765226543">
    <w:abstractNumId w:val="8"/>
  </w:num>
  <w:num w:numId="13" w16cid:durableId="38748663">
    <w:abstractNumId w:val="0"/>
  </w:num>
  <w:num w:numId="14" w16cid:durableId="439222329">
    <w:abstractNumId w:val="4"/>
  </w:num>
  <w:num w:numId="15" w16cid:durableId="675155029">
    <w:abstractNumId w:val="9"/>
  </w:num>
  <w:num w:numId="16" w16cid:durableId="16275421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6195032">
    <w:abstractNumId w:val="15"/>
  </w:num>
  <w:num w:numId="18" w16cid:durableId="336348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1NTA3NbIwMTcxNTZT0lEKTi0uzszPAykwrQUA0lgDuCwAAAA="/>
  </w:docVars>
  <w:rsids>
    <w:rsidRoot w:val="00EA79DB"/>
    <w:rsid w:val="00000930"/>
    <w:rsid w:val="0000288F"/>
    <w:rsid w:val="00005E40"/>
    <w:rsid w:val="000076E8"/>
    <w:rsid w:val="00007C26"/>
    <w:rsid w:val="000115C2"/>
    <w:rsid w:val="00020F40"/>
    <w:rsid w:val="00024017"/>
    <w:rsid w:val="00026007"/>
    <w:rsid w:val="00034331"/>
    <w:rsid w:val="00036896"/>
    <w:rsid w:val="000427DA"/>
    <w:rsid w:val="00056A6D"/>
    <w:rsid w:val="00060C79"/>
    <w:rsid w:val="00062C10"/>
    <w:rsid w:val="00064F1D"/>
    <w:rsid w:val="00067271"/>
    <w:rsid w:val="0007137F"/>
    <w:rsid w:val="00080360"/>
    <w:rsid w:val="00081037"/>
    <w:rsid w:val="00087D5B"/>
    <w:rsid w:val="00090D15"/>
    <w:rsid w:val="0009516E"/>
    <w:rsid w:val="000B6CDD"/>
    <w:rsid w:val="000C0802"/>
    <w:rsid w:val="000D1D4F"/>
    <w:rsid w:val="000E0945"/>
    <w:rsid w:val="000E1373"/>
    <w:rsid w:val="000E2D07"/>
    <w:rsid w:val="000F37C4"/>
    <w:rsid w:val="000F4DBD"/>
    <w:rsid w:val="00111E3D"/>
    <w:rsid w:val="00115180"/>
    <w:rsid w:val="0012294C"/>
    <w:rsid w:val="00124654"/>
    <w:rsid w:val="001315E8"/>
    <w:rsid w:val="001346FA"/>
    <w:rsid w:val="0015469A"/>
    <w:rsid w:val="00161AC4"/>
    <w:rsid w:val="001650F9"/>
    <w:rsid w:val="00166CEB"/>
    <w:rsid w:val="0016776D"/>
    <w:rsid w:val="00197E78"/>
    <w:rsid w:val="001A1EB5"/>
    <w:rsid w:val="001A4904"/>
    <w:rsid w:val="001B1301"/>
    <w:rsid w:val="001B3F27"/>
    <w:rsid w:val="001B4161"/>
    <w:rsid w:val="001B4D9F"/>
    <w:rsid w:val="001B7157"/>
    <w:rsid w:val="001B7353"/>
    <w:rsid w:val="001C7680"/>
    <w:rsid w:val="001D2204"/>
    <w:rsid w:val="001D529D"/>
    <w:rsid w:val="001E3482"/>
    <w:rsid w:val="001F5671"/>
    <w:rsid w:val="001F6992"/>
    <w:rsid w:val="001F6C79"/>
    <w:rsid w:val="00200122"/>
    <w:rsid w:val="00201666"/>
    <w:rsid w:val="00211A50"/>
    <w:rsid w:val="00212EB5"/>
    <w:rsid w:val="00216B9F"/>
    <w:rsid w:val="00223E30"/>
    <w:rsid w:val="00227B13"/>
    <w:rsid w:val="0023097D"/>
    <w:rsid w:val="002327A8"/>
    <w:rsid w:val="00234AAD"/>
    <w:rsid w:val="002359AA"/>
    <w:rsid w:val="002423CF"/>
    <w:rsid w:val="00244E18"/>
    <w:rsid w:val="00254B82"/>
    <w:rsid w:val="0025529C"/>
    <w:rsid w:val="00256FA6"/>
    <w:rsid w:val="00263ADD"/>
    <w:rsid w:val="00264B0D"/>
    <w:rsid w:val="00271EA1"/>
    <w:rsid w:val="00274DD6"/>
    <w:rsid w:val="00276C7D"/>
    <w:rsid w:val="002801CD"/>
    <w:rsid w:val="002A170B"/>
    <w:rsid w:val="002A1910"/>
    <w:rsid w:val="002A2F80"/>
    <w:rsid w:val="002C008E"/>
    <w:rsid w:val="002C0F55"/>
    <w:rsid w:val="002C1070"/>
    <w:rsid w:val="002C7451"/>
    <w:rsid w:val="002E6A29"/>
    <w:rsid w:val="00311173"/>
    <w:rsid w:val="00311625"/>
    <w:rsid w:val="00315F25"/>
    <w:rsid w:val="0034373B"/>
    <w:rsid w:val="003441B3"/>
    <w:rsid w:val="00354B53"/>
    <w:rsid w:val="00356936"/>
    <w:rsid w:val="00372F97"/>
    <w:rsid w:val="003760F7"/>
    <w:rsid w:val="00397858"/>
    <w:rsid w:val="003A5124"/>
    <w:rsid w:val="003B4DC7"/>
    <w:rsid w:val="003B611B"/>
    <w:rsid w:val="003C1B59"/>
    <w:rsid w:val="003C3299"/>
    <w:rsid w:val="003C7A9B"/>
    <w:rsid w:val="003D35A3"/>
    <w:rsid w:val="003D50A6"/>
    <w:rsid w:val="003E0941"/>
    <w:rsid w:val="003E5968"/>
    <w:rsid w:val="003F19D8"/>
    <w:rsid w:val="003F3C1E"/>
    <w:rsid w:val="00405A67"/>
    <w:rsid w:val="004105F4"/>
    <w:rsid w:val="00420413"/>
    <w:rsid w:val="00420694"/>
    <w:rsid w:val="00421BA0"/>
    <w:rsid w:val="00421DDD"/>
    <w:rsid w:val="004306CB"/>
    <w:rsid w:val="004314A5"/>
    <w:rsid w:val="00435496"/>
    <w:rsid w:val="004361C0"/>
    <w:rsid w:val="00440DC3"/>
    <w:rsid w:val="00441DD2"/>
    <w:rsid w:val="0044295F"/>
    <w:rsid w:val="0044394E"/>
    <w:rsid w:val="00446A07"/>
    <w:rsid w:val="00446DC5"/>
    <w:rsid w:val="00462BFE"/>
    <w:rsid w:val="004656B9"/>
    <w:rsid w:val="00471DD9"/>
    <w:rsid w:val="004743E7"/>
    <w:rsid w:val="00475F1E"/>
    <w:rsid w:val="004834D4"/>
    <w:rsid w:val="00491FA5"/>
    <w:rsid w:val="004A38B3"/>
    <w:rsid w:val="004A4AB0"/>
    <w:rsid w:val="004A7732"/>
    <w:rsid w:val="004B2918"/>
    <w:rsid w:val="004B6804"/>
    <w:rsid w:val="004C4903"/>
    <w:rsid w:val="004C67EC"/>
    <w:rsid w:val="004D6671"/>
    <w:rsid w:val="004D6D34"/>
    <w:rsid w:val="004E3D24"/>
    <w:rsid w:val="004E4FF0"/>
    <w:rsid w:val="004F02DC"/>
    <w:rsid w:val="004F3E2D"/>
    <w:rsid w:val="005012FE"/>
    <w:rsid w:val="005131FC"/>
    <w:rsid w:val="00524AF8"/>
    <w:rsid w:val="00526C00"/>
    <w:rsid w:val="00533153"/>
    <w:rsid w:val="00536FE1"/>
    <w:rsid w:val="00560223"/>
    <w:rsid w:val="00563D6B"/>
    <w:rsid w:val="0056577A"/>
    <w:rsid w:val="005669B8"/>
    <w:rsid w:val="00572F4B"/>
    <w:rsid w:val="00575ECA"/>
    <w:rsid w:val="00590C1D"/>
    <w:rsid w:val="005934B9"/>
    <w:rsid w:val="00595A18"/>
    <w:rsid w:val="005A57E0"/>
    <w:rsid w:val="005A6C6C"/>
    <w:rsid w:val="005A7C7B"/>
    <w:rsid w:val="005B5EBB"/>
    <w:rsid w:val="005B69AC"/>
    <w:rsid w:val="005C5629"/>
    <w:rsid w:val="005C6316"/>
    <w:rsid w:val="005C7A90"/>
    <w:rsid w:val="005D3318"/>
    <w:rsid w:val="005D34FC"/>
    <w:rsid w:val="005D43A9"/>
    <w:rsid w:val="005D6262"/>
    <w:rsid w:val="005E778E"/>
    <w:rsid w:val="005F763F"/>
    <w:rsid w:val="00600E66"/>
    <w:rsid w:val="00605AC1"/>
    <w:rsid w:val="00617074"/>
    <w:rsid w:val="00623D18"/>
    <w:rsid w:val="00625178"/>
    <w:rsid w:val="00627FD2"/>
    <w:rsid w:val="006313E4"/>
    <w:rsid w:val="006325AC"/>
    <w:rsid w:val="00635913"/>
    <w:rsid w:val="00654F2F"/>
    <w:rsid w:val="006551A0"/>
    <w:rsid w:val="0065769D"/>
    <w:rsid w:val="00657A10"/>
    <w:rsid w:val="0066403A"/>
    <w:rsid w:val="00665B40"/>
    <w:rsid w:val="00666547"/>
    <w:rsid w:val="00674884"/>
    <w:rsid w:val="0069068D"/>
    <w:rsid w:val="00692446"/>
    <w:rsid w:val="00697BBE"/>
    <w:rsid w:val="006A0672"/>
    <w:rsid w:val="006B2344"/>
    <w:rsid w:val="006C05E4"/>
    <w:rsid w:val="006D0454"/>
    <w:rsid w:val="006D500A"/>
    <w:rsid w:val="006D6A15"/>
    <w:rsid w:val="006E5160"/>
    <w:rsid w:val="006E5F82"/>
    <w:rsid w:val="00726AAD"/>
    <w:rsid w:val="00727AD7"/>
    <w:rsid w:val="007312CB"/>
    <w:rsid w:val="00733A56"/>
    <w:rsid w:val="00753B72"/>
    <w:rsid w:val="0075784D"/>
    <w:rsid w:val="007779F7"/>
    <w:rsid w:val="00781AA0"/>
    <w:rsid w:val="00783689"/>
    <w:rsid w:val="00791014"/>
    <w:rsid w:val="0079383D"/>
    <w:rsid w:val="007954A9"/>
    <w:rsid w:val="007A4F4C"/>
    <w:rsid w:val="007A7889"/>
    <w:rsid w:val="007D1A1F"/>
    <w:rsid w:val="007D4C11"/>
    <w:rsid w:val="007D64F7"/>
    <w:rsid w:val="007D6ED7"/>
    <w:rsid w:val="007D700A"/>
    <w:rsid w:val="007E5140"/>
    <w:rsid w:val="007F47EA"/>
    <w:rsid w:val="008022E8"/>
    <w:rsid w:val="00803142"/>
    <w:rsid w:val="008152B9"/>
    <w:rsid w:val="0081587D"/>
    <w:rsid w:val="00823135"/>
    <w:rsid w:val="00823431"/>
    <w:rsid w:val="00834F03"/>
    <w:rsid w:val="00836B70"/>
    <w:rsid w:val="008405E9"/>
    <w:rsid w:val="00843CC0"/>
    <w:rsid w:val="00851DBA"/>
    <w:rsid w:val="00862D90"/>
    <w:rsid w:val="008641CF"/>
    <w:rsid w:val="00865C9A"/>
    <w:rsid w:val="008713DD"/>
    <w:rsid w:val="008728AF"/>
    <w:rsid w:val="00873FDC"/>
    <w:rsid w:val="00880CCC"/>
    <w:rsid w:val="00890C1B"/>
    <w:rsid w:val="00895CAB"/>
    <w:rsid w:val="00896F7F"/>
    <w:rsid w:val="008A29AC"/>
    <w:rsid w:val="008B3C6D"/>
    <w:rsid w:val="008C408B"/>
    <w:rsid w:val="008D0B9A"/>
    <w:rsid w:val="008D26D1"/>
    <w:rsid w:val="008D6632"/>
    <w:rsid w:val="008D6785"/>
    <w:rsid w:val="008E300F"/>
    <w:rsid w:val="008F2A54"/>
    <w:rsid w:val="008F6410"/>
    <w:rsid w:val="00902F04"/>
    <w:rsid w:val="00915662"/>
    <w:rsid w:val="00923F33"/>
    <w:rsid w:val="009241B6"/>
    <w:rsid w:val="0093086E"/>
    <w:rsid w:val="00935885"/>
    <w:rsid w:val="00943B94"/>
    <w:rsid w:val="0094781A"/>
    <w:rsid w:val="00950C56"/>
    <w:rsid w:val="00951DBB"/>
    <w:rsid w:val="00951EC1"/>
    <w:rsid w:val="00956346"/>
    <w:rsid w:val="009620AA"/>
    <w:rsid w:val="0096371C"/>
    <w:rsid w:val="00964B3F"/>
    <w:rsid w:val="0096754C"/>
    <w:rsid w:val="00970017"/>
    <w:rsid w:val="00975EF8"/>
    <w:rsid w:val="009B02C7"/>
    <w:rsid w:val="009B7234"/>
    <w:rsid w:val="009C0334"/>
    <w:rsid w:val="009D1D85"/>
    <w:rsid w:val="009D2512"/>
    <w:rsid w:val="009D587B"/>
    <w:rsid w:val="009E36D8"/>
    <w:rsid w:val="009F1E59"/>
    <w:rsid w:val="009F3ECD"/>
    <w:rsid w:val="00A0254F"/>
    <w:rsid w:val="00A05131"/>
    <w:rsid w:val="00A12674"/>
    <w:rsid w:val="00A135DB"/>
    <w:rsid w:val="00A232AD"/>
    <w:rsid w:val="00A23F58"/>
    <w:rsid w:val="00A37532"/>
    <w:rsid w:val="00A41A5A"/>
    <w:rsid w:val="00A426A4"/>
    <w:rsid w:val="00A4293D"/>
    <w:rsid w:val="00A45DB0"/>
    <w:rsid w:val="00A54399"/>
    <w:rsid w:val="00A76433"/>
    <w:rsid w:val="00A81727"/>
    <w:rsid w:val="00A85D48"/>
    <w:rsid w:val="00A8734A"/>
    <w:rsid w:val="00A901E7"/>
    <w:rsid w:val="00A90486"/>
    <w:rsid w:val="00A93668"/>
    <w:rsid w:val="00A96FB2"/>
    <w:rsid w:val="00A97D91"/>
    <w:rsid w:val="00AA211E"/>
    <w:rsid w:val="00AA29AA"/>
    <w:rsid w:val="00AA6DC6"/>
    <w:rsid w:val="00AB6820"/>
    <w:rsid w:val="00AC1563"/>
    <w:rsid w:val="00AC4A9D"/>
    <w:rsid w:val="00AC749E"/>
    <w:rsid w:val="00AD190E"/>
    <w:rsid w:val="00AD7365"/>
    <w:rsid w:val="00AE2B70"/>
    <w:rsid w:val="00AE4381"/>
    <w:rsid w:val="00AE5A8C"/>
    <w:rsid w:val="00AE71B3"/>
    <w:rsid w:val="00AF62BB"/>
    <w:rsid w:val="00B079BB"/>
    <w:rsid w:val="00B2019B"/>
    <w:rsid w:val="00B26837"/>
    <w:rsid w:val="00B312B0"/>
    <w:rsid w:val="00B32329"/>
    <w:rsid w:val="00B33724"/>
    <w:rsid w:val="00B33B0B"/>
    <w:rsid w:val="00B35FD9"/>
    <w:rsid w:val="00B369B0"/>
    <w:rsid w:val="00B440F0"/>
    <w:rsid w:val="00B45775"/>
    <w:rsid w:val="00B46A9E"/>
    <w:rsid w:val="00B51083"/>
    <w:rsid w:val="00B527C6"/>
    <w:rsid w:val="00B623B2"/>
    <w:rsid w:val="00B84851"/>
    <w:rsid w:val="00B91E9F"/>
    <w:rsid w:val="00BA0BB1"/>
    <w:rsid w:val="00BA4FF0"/>
    <w:rsid w:val="00BA55F9"/>
    <w:rsid w:val="00BC2267"/>
    <w:rsid w:val="00BC4316"/>
    <w:rsid w:val="00BE5DBC"/>
    <w:rsid w:val="00BE6DC5"/>
    <w:rsid w:val="00BF20A6"/>
    <w:rsid w:val="00BF30D7"/>
    <w:rsid w:val="00BF7564"/>
    <w:rsid w:val="00C01089"/>
    <w:rsid w:val="00C1356D"/>
    <w:rsid w:val="00C16128"/>
    <w:rsid w:val="00C22CFE"/>
    <w:rsid w:val="00C25886"/>
    <w:rsid w:val="00C27F99"/>
    <w:rsid w:val="00C41EA0"/>
    <w:rsid w:val="00C4276B"/>
    <w:rsid w:val="00C45D03"/>
    <w:rsid w:val="00C6180F"/>
    <w:rsid w:val="00C75A22"/>
    <w:rsid w:val="00C7661A"/>
    <w:rsid w:val="00C77571"/>
    <w:rsid w:val="00C802D8"/>
    <w:rsid w:val="00C87A35"/>
    <w:rsid w:val="00C93DCA"/>
    <w:rsid w:val="00C969F9"/>
    <w:rsid w:val="00CA69A4"/>
    <w:rsid w:val="00CB58C3"/>
    <w:rsid w:val="00CB5A07"/>
    <w:rsid w:val="00CC542B"/>
    <w:rsid w:val="00CD5112"/>
    <w:rsid w:val="00CD626C"/>
    <w:rsid w:val="00CE616E"/>
    <w:rsid w:val="00CE61E9"/>
    <w:rsid w:val="00CE6FF7"/>
    <w:rsid w:val="00CF52D9"/>
    <w:rsid w:val="00CF7885"/>
    <w:rsid w:val="00D0279C"/>
    <w:rsid w:val="00D03894"/>
    <w:rsid w:val="00D06379"/>
    <w:rsid w:val="00D13B9A"/>
    <w:rsid w:val="00D1553C"/>
    <w:rsid w:val="00D178C8"/>
    <w:rsid w:val="00D22C89"/>
    <w:rsid w:val="00D340C2"/>
    <w:rsid w:val="00D35302"/>
    <w:rsid w:val="00D40A1E"/>
    <w:rsid w:val="00D45A1D"/>
    <w:rsid w:val="00D466AE"/>
    <w:rsid w:val="00D52270"/>
    <w:rsid w:val="00D53C39"/>
    <w:rsid w:val="00D5799A"/>
    <w:rsid w:val="00D73FB1"/>
    <w:rsid w:val="00D843F7"/>
    <w:rsid w:val="00D843FF"/>
    <w:rsid w:val="00D87F3A"/>
    <w:rsid w:val="00D925E0"/>
    <w:rsid w:val="00DA360A"/>
    <w:rsid w:val="00DA64D2"/>
    <w:rsid w:val="00DC3AD4"/>
    <w:rsid w:val="00DC4D55"/>
    <w:rsid w:val="00DD384C"/>
    <w:rsid w:val="00DE09EF"/>
    <w:rsid w:val="00DE3EBE"/>
    <w:rsid w:val="00DE7602"/>
    <w:rsid w:val="00DF53A4"/>
    <w:rsid w:val="00DF617C"/>
    <w:rsid w:val="00E01D1C"/>
    <w:rsid w:val="00E01E4D"/>
    <w:rsid w:val="00E04F69"/>
    <w:rsid w:val="00E07712"/>
    <w:rsid w:val="00E24A48"/>
    <w:rsid w:val="00E3312E"/>
    <w:rsid w:val="00E350E8"/>
    <w:rsid w:val="00E36894"/>
    <w:rsid w:val="00E36D38"/>
    <w:rsid w:val="00E409F6"/>
    <w:rsid w:val="00E65312"/>
    <w:rsid w:val="00E6559D"/>
    <w:rsid w:val="00E72871"/>
    <w:rsid w:val="00E76127"/>
    <w:rsid w:val="00E80B8D"/>
    <w:rsid w:val="00E82E63"/>
    <w:rsid w:val="00E859A5"/>
    <w:rsid w:val="00E915C8"/>
    <w:rsid w:val="00E97387"/>
    <w:rsid w:val="00EA0095"/>
    <w:rsid w:val="00EA0F92"/>
    <w:rsid w:val="00EA79DB"/>
    <w:rsid w:val="00EC2D2F"/>
    <w:rsid w:val="00EC55CA"/>
    <w:rsid w:val="00EE4140"/>
    <w:rsid w:val="00EE5FDD"/>
    <w:rsid w:val="00EF6442"/>
    <w:rsid w:val="00F03928"/>
    <w:rsid w:val="00F060C0"/>
    <w:rsid w:val="00F10F2A"/>
    <w:rsid w:val="00F214BE"/>
    <w:rsid w:val="00F226BD"/>
    <w:rsid w:val="00F23D4F"/>
    <w:rsid w:val="00F35EBA"/>
    <w:rsid w:val="00F36153"/>
    <w:rsid w:val="00F406E5"/>
    <w:rsid w:val="00F60202"/>
    <w:rsid w:val="00F72210"/>
    <w:rsid w:val="00F7386C"/>
    <w:rsid w:val="00F73B13"/>
    <w:rsid w:val="00F90590"/>
    <w:rsid w:val="00F93447"/>
    <w:rsid w:val="00FB0B5A"/>
    <w:rsid w:val="00FB3C0E"/>
    <w:rsid w:val="00FB7EF3"/>
    <w:rsid w:val="00FC548C"/>
    <w:rsid w:val="00FF09B6"/>
    <w:rsid w:val="00FF19EA"/>
    <w:rsid w:val="00FF35F6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829DD"/>
  <w15:docId w15:val="{0F84B21D-B8E9-4999-B954-BB7955D1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58"/>
      <w:outlineLvl w:val="0"/>
    </w:pPr>
    <w:rPr>
      <w:rFonts w:ascii="Cambria" w:eastAsia="Cambria" w:hAnsi="Cambri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C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8"/>
    </w:pPr>
    <w:rPr>
      <w:rFonts w:ascii="Cambria" w:eastAsia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5A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C1"/>
  </w:style>
  <w:style w:type="paragraph" w:styleId="Footer">
    <w:name w:val="footer"/>
    <w:basedOn w:val="Normal"/>
    <w:link w:val="FooterChar"/>
    <w:uiPriority w:val="99"/>
    <w:unhideWhenUsed/>
    <w:rsid w:val="00605A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AC1"/>
  </w:style>
  <w:style w:type="paragraph" w:customStyle="1" w:styleId="1Paragraph">
    <w:name w:val="1Paragraph"/>
    <w:qFormat/>
    <w:rsid w:val="00F36153"/>
    <w:pPr>
      <w:widowControl/>
      <w:tabs>
        <w:tab w:val="left" w:pos="720"/>
      </w:tabs>
      <w:autoSpaceDE w:val="0"/>
      <w:autoSpaceDN w:val="0"/>
      <w:adjustRightInd w:val="0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4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F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F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F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68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A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5312"/>
    <w:pPr>
      <w:widowControl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F6C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F6C79"/>
    <w:pPr>
      <w:widowControl/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11E3D"/>
    <w:rPr>
      <w:rFonts w:ascii="Cambria" w:eastAsia="Cambria" w:hAnsi="Cambria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11E3D"/>
    <w:rPr>
      <w:rFonts w:ascii="Cambria" w:eastAsia="Cambria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A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A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1AA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392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39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39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9F15A-7D8F-42FC-B010-A5E90639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Santos</dc:creator>
  <cp:lastModifiedBy>Marisa de Andrés</cp:lastModifiedBy>
  <cp:revision>3</cp:revision>
  <dcterms:created xsi:type="dcterms:W3CDTF">2025-11-19T16:14:00Z</dcterms:created>
  <dcterms:modified xsi:type="dcterms:W3CDTF">2025-11-19T16:39:00Z</dcterms:modified>
</cp:coreProperties>
</file>