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EEA1A" w14:textId="77777777" w:rsidR="00931AAE" w:rsidRPr="004E1EAD" w:rsidRDefault="00C01764" w:rsidP="00603F4C">
      <w:pPr>
        <w:jc w:val="right"/>
        <w:rPr>
          <w:rFonts w:asciiTheme="majorHAnsi" w:hAnsiTheme="majorHAnsi" w:cs="Times New Roman"/>
          <w:b/>
          <w:bCs/>
          <w:sz w:val="20"/>
          <w:szCs w:val="20"/>
        </w:rPr>
      </w:pPr>
      <w:r>
        <w:rPr>
          <w:rFonts w:asciiTheme="majorHAnsi" w:hAnsiTheme="majorHAnsi"/>
          <w:b/>
          <w:sz w:val="20"/>
        </w:rPr>
        <w:t>Original: Spanish</w:t>
      </w:r>
    </w:p>
    <w:p w14:paraId="4667CD93" w14:textId="71694E3B" w:rsidR="00574154" w:rsidRDefault="00764B44" w:rsidP="002B4B7B">
      <w:pPr>
        <w:autoSpaceDE w:val="0"/>
        <w:autoSpaceDN w:val="0"/>
        <w:adjustRightInd w:val="0"/>
        <w:spacing w:after="0" w:line="240" w:lineRule="auto"/>
        <w:jc w:val="center"/>
        <w:rPr>
          <w:rFonts w:asciiTheme="majorHAnsi" w:hAnsiTheme="majorHAnsi"/>
          <w:b/>
          <w:sz w:val="20"/>
        </w:rPr>
      </w:pPr>
      <w:r>
        <w:rPr>
          <w:rFonts w:asciiTheme="majorHAnsi" w:hAnsiTheme="majorHAnsi"/>
          <w:b/>
          <w:sz w:val="20"/>
        </w:rPr>
        <w:t>Position of the ICCAT Working Capital Fund</w:t>
      </w:r>
    </w:p>
    <w:p w14:paraId="653F8AD1" w14:textId="77777777" w:rsidR="009E024B" w:rsidRPr="004E1EAD" w:rsidRDefault="009E024B" w:rsidP="002B4B7B">
      <w:pPr>
        <w:autoSpaceDE w:val="0"/>
        <w:autoSpaceDN w:val="0"/>
        <w:adjustRightInd w:val="0"/>
        <w:spacing w:after="0" w:line="240" w:lineRule="auto"/>
        <w:jc w:val="center"/>
        <w:rPr>
          <w:rFonts w:asciiTheme="majorHAnsi" w:hAnsiTheme="majorHAnsi" w:cs="Times New Roman"/>
          <w:i/>
          <w:iCs/>
          <w:sz w:val="20"/>
          <w:szCs w:val="20"/>
        </w:rPr>
      </w:pPr>
    </w:p>
    <w:p w14:paraId="6B790F08" w14:textId="36EBB5A2" w:rsidR="009E024B" w:rsidRPr="004E1EAD" w:rsidRDefault="009E024B" w:rsidP="009E024B">
      <w:pPr>
        <w:autoSpaceDE w:val="0"/>
        <w:autoSpaceDN w:val="0"/>
        <w:adjustRightInd w:val="0"/>
        <w:spacing w:after="0" w:line="240" w:lineRule="auto"/>
        <w:jc w:val="center"/>
        <w:rPr>
          <w:rFonts w:asciiTheme="majorHAnsi" w:hAnsiTheme="majorHAnsi" w:cs="Times New Roman"/>
          <w:i/>
          <w:iCs/>
          <w:caps/>
          <w:sz w:val="20"/>
          <w:szCs w:val="20"/>
        </w:rPr>
      </w:pPr>
      <w:r>
        <w:rPr>
          <w:rFonts w:asciiTheme="majorHAnsi" w:hAnsiTheme="majorHAnsi"/>
          <w:i/>
          <w:sz w:val="20"/>
        </w:rPr>
        <w:t>(submitted by ICCAT Secretariat)</w:t>
      </w:r>
    </w:p>
    <w:p w14:paraId="174649FC" w14:textId="77777777" w:rsidR="00A143E4" w:rsidRPr="004E1EAD" w:rsidRDefault="00A143E4" w:rsidP="002B4B7B">
      <w:pPr>
        <w:spacing w:after="0" w:line="240" w:lineRule="auto"/>
        <w:jc w:val="both"/>
        <w:rPr>
          <w:rFonts w:asciiTheme="majorHAnsi" w:hAnsiTheme="majorHAnsi" w:cs="Times New Roman"/>
          <w:sz w:val="20"/>
          <w:szCs w:val="20"/>
          <w:lang w:val="es-ES_tradnl"/>
        </w:rPr>
      </w:pPr>
    </w:p>
    <w:p w14:paraId="7E910A41" w14:textId="069EBA76" w:rsidR="00A143E4" w:rsidRPr="004E1EAD" w:rsidRDefault="00B70222" w:rsidP="008B173B">
      <w:pPr>
        <w:pStyle w:val="ListParagraph"/>
        <w:numPr>
          <w:ilvl w:val="0"/>
          <w:numId w:val="13"/>
        </w:numPr>
        <w:spacing w:after="0" w:line="240" w:lineRule="auto"/>
        <w:ind w:left="426" w:hanging="426"/>
        <w:jc w:val="both"/>
        <w:rPr>
          <w:rFonts w:asciiTheme="majorHAnsi" w:hAnsiTheme="majorHAnsi" w:cs="Times New Roman"/>
          <w:b/>
          <w:sz w:val="20"/>
          <w:szCs w:val="20"/>
        </w:rPr>
      </w:pPr>
      <w:r>
        <w:rPr>
          <w:rFonts w:asciiTheme="majorHAnsi" w:hAnsiTheme="majorHAnsi"/>
          <w:b/>
          <w:sz w:val="20"/>
        </w:rPr>
        <w:t>1.</w:t>
      </w:r>
      <w:r>
        <w:rPr>
          <w:rFonts w:asciiTheme="majorHAnsi" w:hAnsiTheme="majorHAnsi"/>
          <w:b/>
          <w:sz w:val="20"/>
        </w:rPr>
        <w:tab/>
        <w:t xml:space="preserve">Establishment of the Working Capital Fund </w:t>
      </w:r>
    </w:p>
    <w:p w14:paraId="1D436B48" w14:textId="77777777" w:rsidR="00A143E4" w:rsidRPr="00A31D22" w:rsidRDefault="00A143E4" w:rsidP="002B4B7B">
      <w:pPr>
        <w:spacing w:after="0" w:line="240" w:lineRule="auto"/>
        <w:jc w:val="both"/>
        <w:rPr>
          <w:rFonts w:asciiTheme="majorHAnsi" w:hAnsiTheme="majorHAnsi" w:cs="Times New Roman"/>
          <w:sz w:val="20"/>
          <w:szCs w:val="20"/>
          <w:lang w:val="en-US"/>
        </w:rPr>
      </w:pPr>
    </w:p>
    <w:p w14:paraId="3E7772D0" w14:textId="2BBB6112" w:rsidR="00A143E4" w:rsidRPr="004E1EAD" w:rsidRDefault="00A143E4" w:rsidP="002B4B7B">
      <w:pPr>
        <w:spacing w:after="0" w:line="240" w:lineRule="auto"/>
        <w:jc w:val="both"/>
        <w:rPr>
          <w:rFonts w:asciiTheme="majorHAnsi" w:hAnsiTheme="majorHAnsi" w:cs="Times New Roman"/>
          <w:sz w:val="20"/>
          <w:szCs w:val="20"/>
        </w:rPr>
      </w:pPr>
      <w:r>
        <w:rPr>
          <w:rFonts w:asciiTheme="majorHAnsi" w:hAnsiTheme="majorHAnsi"/>
          <w:sz w:val="20"/>
        </w:rPr>
        <w:t>The Commission has a Working Capital Fund to finance operations of the Commission prior to receiving annual contributions, and for such other purposes as the Commission may determine (Article X.9 of the Convention).</w:t>
      </w:r>
    </w:p>
    <w:p w14:paraId="077C5E3F" w14:textId="77777777" w:rsidR="00C54504" w:rsidRPr="00A31D22" w:rsidRDefault="00C54504" w:rsidP="002B4B7B">
      <w:pPr>
        <w:spacing w:after="0" w:line="240" w:lineRule="auto"/>
        <w:jc w:val="both"/>
        <w:rPr>
          <w:rFonts w:asciiTheme="majorHAnsi" w:hAnsiTheme="majorHAnsi" w:cs="Times New Roman"/>
          <w:sz w:val="20"/>
          <w:szCs w:val="20"/>
          <w:lang w:val="en-US"/>
        </w:rPr>
      </w:pPr>
    </w:p>
    <w:p w14:paraId="493851B5" w14:textId="39346C0F" w:rsidR="00A143E4" w:rsidRPr="004E1EAD" w:rsidRDefault="00A143E4" w:rsidP="002B4B7B">
      <w:pPr>
        <w:spacing w:after="0" w:line="240" w:lineRule="auto"/>
        <w:jc w:val="both"/>
        <w:rPr>
          <w:rFonts w:asciiTheme="majorHAnsi" w:hAnsiTheme="majorHAnsi" w:cs="Times New Roman"/>
          <w:sz w:val="20"/>
          <w:szCs w:val="20"/>
        </w:rPr>
      </w:pPr>
      <w:r>
        <w:rPr>
          <w:rFonts w:asciiTheme="majorHAnsi" w:hAnsiTheme="majorHAnsi"/>
          <w:sz w:val="20"/>
        </w:rPr>
        <w:t>In accordance with the recommendation of the Working Group on Finance and Administration at its meeting held on 29, 30 November and 1 December 1971, in Madrid, “It was considered that the Working Capital Fund... should be maintained at an approximate level of 15 % of the total annual budget”. This recommendation was adopted by the Commission.</w:t>
      </w:r>
    </w:p>
    <w:p w14:paraId="10A356C9" w14:textId="77777777" w:rsidR="00907ADE" w:rsidRPr="004E1EAD" w:rsidRDefault="00907ADE" w:rsidP="002B4B7B">
      <w:pPr>
        <w:spacing w:after="0" w:line="240" w:lineRule="auto"/>
        <w:jc w:val="both"/>
        <w:rPr>
          <w:rFonts w:asciiTheme="majorHAnsi" w:hAnsiTheme="majorHAnsi" w:cs="Times New Roman"/>
          <w:sz w:val="20"/>
          <w:szCs w:val="20"/>
          <w:lang w:val="es-ES_tradnl"/>
        </w:rPr>
      </w:pPr>
    </w:p>
    <w:p w14:paraId="6545222D" w14:textId="777F6407" w:rsidR="00A143E4" w:rsidRPr="004E1EAD" w:rsidRDefault="00A143E4" w:rsidP="00027121">
      <w:pPr>
        <w:pStyle w:val="ListParagraph"/>
        <w:numPr>
          <w:ilvl w:val="0"/>
          <w:numId w:val="23"/>
        </w:numPr>
        <w:spacing w:after="0" w:line="240" w:lineRule="auto"/>
        <w:ind w:left="851" w:hanging="425"/>
        <w:jc w:val="both"/>
        <w:rPr>
          <w:rFonts w:asciiTheme="majorHAnsi" w:hAnsiTheme="majorHAnsi" w:cs="Times New Roman"/>
          <w:sz w:val="20"/>
          <w:szCs w:val="20"/>
        </w:rPr>
      </w:pPr>
      <w:proofErr w:type="gramStart"/>
      <w:r>
        <w:rPr>
          <w:rFonts w:asciiTheme="majorHAnsi" w:hAnsiTheme="majorHAnsi"/>
          <w:sz w:val="20"/>
        </w:rPr>
        <w:t>At</w:t>
      </w:r>
      <w:proofErr w:type="gramEnd"/>
      <w:r>
        <w:rPr>
          <w:rFonts w:asciiTheme="majorHAnsi" w:hAnsiTheme="majorHAnsi"/>
          <w:sz w:val="20"/>
        </w:rPr>
        <w:t xml:space="preserve"> 31 December 2024, the balance was €2,900,070.01 which represents 49.94% of the 2024 budget, a level which is above that adopted by the Commission. </w:t>
      </w:r>
    </w:p>
    <w:p w14:paraId="283D0B4A" w14:textId="77777777" w:rsidR="00C54504" w:rsidRPr="00A31D22" w:rsidRDefault="00C54504" w:rsidP="002B4B7B">
      <w:pPr>
        <w:spacing w:after="0" w:line="240" w:lineRule="auto"/>
        <w:jc w:val="both"/>
        <w:rPr>
          <w:rFonts w:asciiTheme="majorHAnsi" w:hAnsiTheme="majorHAnsi" w:cs="Times New Roman"/>
          <w:sz w:val="20"/>
          <w:szCs w:val="20"/>
          <w:lang w:val="en-US"/>
        </w:rPr>
      </w:pPr>
    </w:p>
    <w:p w14:paraId="48E6E1C9" w14:textId="77777777" w:rsidR="00A143E4" w:rsidRDefault="00A143E4" w:rsidP="002B4B7B">
      <w:pPr>
        <w:spacing w:after="0" w:line="240" w:lineRule="auto"/>
        <w:jc w:val="both"/>
        <w:rPr>
          <w:rFonts w:asciiTheme="majorHAnsi" w:hAnsiTheme="majorHAnsi"/>
          <w:sz w:val="20"/>
        </w:rPr>
      </w:pPr>
      <w:r>
        <w:rPr>
          <w:rFonts w:asciiTheme="majorHAnsi" w:hAnsiTheme="majorHAnsi"/>
          <w:sz w:val="20"/>
        </w:rPr>
        <w:t>The Working Capital Fund is comprised of the following elements:</w:t>
      </w:r>
    </w:p>
    <w:p w14:paraId="59AB27EA" w14:textId="77777777" w:rsidR="00027121" w:rsidRPr="004E1EAD" w:rsidRDefault="00027121" w:rsidP="002B4B7B">
      <w:pPr>
        <w:spacing w:after="0" w:line="240" w:lineRule="auto"/>
        <w:jc w:val="both"/>
        <w:rPr>
          <w:rFonts w:asciiTheme="majorHAnsi" w:hAnsiTheme="majorHAnsi" w:cs="Times New Roman"/>
          <w:sz w:val="20"/>
          <w:szCs w:val="20"/>
        </w:rPr>
      </w:pPr>
    </w:p>
    <w:p w14:paraId="6B006A76" w14:textId="09A5EB02" w:rsidR="00A143E4" w:rsidRPr="004E1EAD" w:rsidRDefault="00A143E4" w:rsidP="00027121">
      <w:pPr>
        <w:pStyle w:val="ListParagraph"/>
        <w:numPr>
          <w:ilvl w:val="0"/>
          <w:numId w:val="23"/>
        </w:numPr>
        <w:spacing w:after="0" w:line="240" w:lineRule="auto"/>
        <w:ind w:left="851" w:hanging="425"/>
        <w:jc w:val="both"/>
        <w:rPr>
          <w:rFonts w:asciiTheme="majorHAnsi" w:hAnsiTheme="majorHAnsi" w:cs="Times New Roman"/>
          <w:sz w:val="20"/>
          <w:szCs w:val="20"/>
        </w:rPr>
      </w:pPr>
      <w:r>
        <w:rPr>
          <w:rFonts w:asciiTheme="majorHAnsi" w:hAnsiTheme="majorHAnsi"/>
          <w:sz w:val="20"/>
        </w:rPr>
        <w:t>Opening balance for the financial year.</w:t>
      </w:r>
    </w:p>
    <w:p w14:paraId="0A012C81" w14:textId="77777777" w:rsidR="00A143E4" w:rsidRPr="004E1EAD" w:rsidRDefault="00A143E4" w:rsidP="00027121">
      <w:pPr>
        <w:pStyle w:val="ListParagraph"/>
        <w:numPr>
          <w:ilvl w:val="0"/>
          <w:numId w:val="23"/>
        </w:numPr>
        <w:spacing w:after="0" w:line="240" w:lineRule="auto"/>
        <w:ind w:left="851" w:hanging="425"/>
        <w:jc w:val="both"/>
        <w:rPr>
          <w:rFonts w:asciiTheme="majorHAnsi" w:hAnsiTheme="majorHAnsi" w:cs="Times New Roman"/>
          <w:sz w:val="20"/>
          <w:szCs w:val="20"/>
        </w:rPr>
      </w:pPr>
      <w:r>
        <w:rPr>
          <w:rFonts w:asciiTheme="majorHAnsi" w:hAnsiTheme="majorHAnsi"/>
          <w:sz w:val="20"/>
        </w:rPr>
        <w:t>Result for financial year:</w:t>
      </w:r>
    </w:p>
    <w:p w14:paraId="6A14F93F" w14:textId="77777777" w:rsidR="00A143E4" w:rsidRPr="004E1EAD" w:rsidRDefault="001E13A3" w:rsidP="00027121">
      <w:pPr>
        <w:pStyle w:val="ListParagraph"/>
        <w:numPr>
          <w:ilvl w:val="0"/>
          <w:numId w:val="10"/>
        </w:numPr>
        <w:spacing w:after="0" w:line="240" w:lineRule="auto"/>
        <w:ind w:left="1276" w:hanging="425"/>
        <w:jc w:val="both"/>
        <w:rPr>
          <w:rFonts w:asciiTheme="majorHAnsi" w:hAnsiTheme="majorHAnsi" w:cs="Times New Roman"/>
          <w:sz w:val="20"/>
          <w:szCs w:val="20"/>
        </w:rPr>
      </w:pPr>
      <w:r>
        <w:rPr>
          <w:rFonts w:asciiTheme="majorHAnsi" w:hAnsiTheme="majorHAnsi"/>
          <w:sz w:val="20"/>
        </w:rPr>
        <w:t>Result of the settlement of revenue and expenses charged to the budget for the financial year.</w:t>
      </w:r>
    </w:p>
    <w:p w14:paraId="41AAE26B" w14:textId="77777777" w:rsidR="00A143E4" w:rsidRPr="004E1EAD" w:rsidRDefault="001E13A3" w:rsidP="00027121">
      <w:pPr>
        <w:pStyle w:val="ListParagraph"/>
        <w:numPr>
          <w:ilvl w:val="0"/>
          <w:numId w:val="10"/>
        </w:numPr>
        <w:spacing w:after="0" w:line="240" w:lineRule="auto"/>
        <w:ind w:left="1276" w:hanging="425"/>
        <w:jc w:val="both"/>
        <w:rPr>
          <w:rFonts w:asciiTheme="majorHAnsi" w:hAnsiTheme="majorHAnsi" w:cs="Times New Roman"/>
          <w:sz w:val="20"/>
          <w:szCs w:val="20"/>
        </w:rPr>
      </w:pPr>
      <w:r>
        <w:rPr>
          <w:rFonts w:asciiTheme="majorHAnsi" w:hAnsiTheme="majorHAnsi"/>
          <w:sz w:val="20"/>
        </w:rPr>
        <w:t>Result of the settlement of revenue and expenses not included in the budget for the financial year.</w:t>
      </w:r>
    </w:p>
    <w:p w14:paraId="3EBCC1EF" w14:textId="7BCAEF70" w:rsidR="003D2D4C" w:rsidRPr="004E1EAD" w:rsidRDefault="00A143E4" w:rsidP="00027121">
      <w:pPr>
        <w:pStyle w:val="ListParagraph"/>
        <w:numPr>
          <w:ilvl w:val="0"/>
          <w:numId w:val="10"/>
        </w:numPr>
        <w:spacing w:after="0" w:line="240" w:lineRule="auto"/>
        <w:ind w:left="1276" w:hanging="425"/>
        <w:jc w:val="both"/>
        <w:rPr>
          <w:rFonts w:asciiTheme="majorHAnsi" w:hAnsiTheme="majorHAnsi" w:cs="Times New Roman"/>
          <w:sz w:val="20"/>
          <w:szCs w:val="20"/>
        </w:rPr>
      </w:pPr>
      <w:r>
        <w:rPr>
          <w:rFonts w:asciiTheme="majorHAnsi" w:hAnsiTheme="majorHAnsi"/>
          <w:sz w:val="20"/>
        </w:rPr>
        <w:t>Contributions paid by Contracting Parties to previous budgets (arrears).</w:t>
      </w:r>
    </w:p>
    <w:p w14:paraId="3350A555" w14:textId="77777777" w:rsidR="003D2D4C" w:rsidRPr="00A31D22" w:rsidRDefault="003D2D4C" w:rsidP="003F3A8F">
      <w:pPr>
        <w:spacing w:after="0" w:line="240" w:lineRule="auto"/>
        <w:jc w:val="both"/>
        <w:rPr>
          <w:rFonts w:asciiTheme="majorHAnsi" w:hAnsiTheme="majorHAnsi" w:cs="Times New Roman"/>
          <w:sz w:val="20"/>
          <w:szCs w:val="20"/>
          <w:lang w:val="en-US"/>
        </w:rPr>
      </w:pPr>
    </w:p>
    <w:p w14:paraId="1390EB4B" w14:textId="421EAD0E" w:rsidR="00A143E4" w:rsidRPr="004E1EAD" w:rsidRDefault="003D2D4C" w:rsidP="003D2D4C">
      <w:pPr>
        <w:spacing w:after="0" w:line="240" w:lineRule="auto"/>
        <w:jc w:val="both"/>
        <w:rPr>
          <w:rFonts w:asciiTheme="majorHAnsi" w:hAnsiTheme="majorHAnsi" w:cs="Times New Roman"/>
          <w:sz w:val="20"/>
          <w:szCs w:val="20"/>
        </w:rPr>
      </w:pPr>
      <w:r>
        <w:rPr>
          <w:rFonts w:asciiTheme="majorHAnsi" w:hAnsiTheme="majorHAnsi"/>
          <w:sz w:val="20"/>
        </w:rPr>
        <w:t xml:space="preserve">The table in the </w:t>
      </w:r>
      <w:r w:rsidRPr="00B570E9">
        <w:rPr>
          <w:rFonts w:asciiTheme="majorHAnsi" w:hAnsiTheme="majorHAnsi"/>
          <w:b/>
          <w:bCs/>
          <w:sz w:val="20"/>
        </w:rPr>
        <w:t xml:space="preserve">Annex </w:t>
      </w:r>
      <w:r>
        <w:rPr>
          <w:rFonts w:asciiTheme="majorHAnsi" w:hAnsiTheme="majorHAnsi"/>
          <w:sz w:val="20"/>
        </w:rPr>
        <w:t xml:space="preserve">contains the situation of the Working Capital Fund </w:t>
      </w:r>
      <w:proofErr w:type="gramStart"/>
      <w:r>
        <w:rPr>
          <w:rFonts w:asciiTheme="majorHAnsi" w:hAnsiTheme="majorHAnsi"/>
          <w:sz w:val="20"/>
        </w:rPr>
        <w:t>at</w:t>
      </w:r>
      <w:proofErr w:type="gramEnd"/>
      <w:r>
        <w:rPr>
          <w:rFonts w:asciiTheme="majorHAnsi" w:hAnsiTheme="majorHAnsi"/>
          <w:sz w:val="20"/>
        </w:rPr>
        <w:t xml:space="preserve"> 8 October 2025.</w:t>
      </w:r>
    </w:p>
    <w:p w14:paraId="06F3228D" w14:textId="77777777" w:rsidR="003D2D4C" w:rsidRPr="00A31D22" w:rsidRDefault="003D2D4C" w:rsidP="003F3A8F">
      <w:pPr>
        <w:spacing w:after="0" w:line="240" w:lineRule="auto"/>
        <w:jc w:val="both"/>
        <w:rPr>
          <w:rFonts w:asciiTheme="majorHAnsi" w:hAnsiTheme="majorHAnsi" w:cs="Times New Roman"/>
          <w:sz w:val="20"/>
          <w:szCs w:val="20"/>
          <w:lang w:val="en-US"/>
        </w:rPr>
      </w:pPr>
    </w:p>
    <w:p w14:paraId="399F581D" w14:textId="77777777" w:rsidR="00A143E4" w:rsidRPr="004E1EAD" w:rsidRDefault="00A143E4" w:rsidP="002B4B7B">
      <w:pPr>
        <w:tabs>
          <w:tab w:val="left" w:pos="426"/>
        </w:tabs>
        <w:spacing w:after="0" w:line="240" w:lineRule="auto"/>
        <w:jc w:val="both"/>
        <w:rPr>
          <w:rFonts w:asciiTheme="majorHAnsi" w:hAnsiTheme="majorHAnsi" w:cs="Times New Roman"/>
          <w:b/>
          <w:i/>
          <w:sz w:val="20"/>
          <w:szCs w:val="20"/>
        </w:rPr>
      </w:pPr>
      <w:r>
        <w:rPr>
          <w:rFonts w:asciiTheme="majorHAnsi" w:hAnsiTheme="majorHAnsi"/>
          <w:b/>
          <w:i/>
          <w:sz w:val="20"/>
        </w:rPr>
        <w:t>1.a Settlement of revenue and expenses charged to the budget for the financial year</w:t>
      </w:r>
    </w:p>
    <w:p w14:paraId="31042F65" w14:textId="77777777" w:rsidR="00A143E4" w:rsidRPr="00A31D22" w:rsidRDefault="00A143E4" w:rsidP="002B4B7B">
      <w:pPr>
        <w:spacing w:after="0" w:line="240" w:lineRule="auto"/>
        <w:jc w:val="both"/>
        <w:rPr>
          <w:rFonts w:asciiTheme="majorHAnsi" w:hAnsiTheme="majorHAnsi" w:cs="Times New Roman"/>
          <w:b/>
          <w:i/>
          <w:sz w:val="20"/>
          <w:szCs w:val="20"/>
          <w:lang w:val="en-US"/>
        </w:rPr>
      </w:pPr>
    </w:p>
    <w:p w14:paraId="089B0DE3" w14:textId="77777777" w:rsidR="00A143E4" w:rsidRPr="004E1EAD" w:rsidRDefault="00A143E4" w:rsidP="002B4B7B">
      <w:pPr>
        <w:spacing w:after="0" w:line="240" w:lineRule="auto"/>
        <w:jc w:val="both"/>
        <w:rPr>
          <w:rFonts w:asciiTheme="majorHAnsi" w:hAnsiTheme="majorHAnsi" w:cs="Times New Roman"/>
          <w:sz w:val="20"/>
          <w:szCs w:val="20"/>
        </w:rPr>
      </w:pPr>
      <w:r>
        <w:rPr>
          <w:rFonts w:asciiTheme="majorHAnsi" w:hAnsiTheme="majorHAnsi"/>
          <w:sz w:val="20"/>
        </w:rPr>
        <w:t>The Commission approves every two years, during its regular meetings, a budget for joint expenses.  The expenses budget is divided into chapters and sub-chapters, depending on the needs of the Commission.</w:t>
      </w:r>
    </w:p>
    <w:p w14:paraId="3F7068EC" w14:textId="77777777" w:rsidR="00C54504" w:rsidRPr="00A31D22" w:rsidRDefault="00C54504" w:rsidP="002B4B7B">
      <w:pPr>
        <w:spacing w:after="0" w:line="240" w:lineRule="auto"/>
        <w:jc w:val="both"/>
        <w:rPr>
          <w:rFonts w:asciiTheme="majorHAnsi" w:hAnsiTheme="majorHAnsi" w:cs="Times New Roman"/>
          <w:sz w:val="20"/>
          <w:szCs w:val="20"/>
          <w:lang w:val="en-US"/>
        </w:rPr>
      </w:pPr>
    </w:p>
    <w:p w14:paraId="56760D0F" w14:textId="3AFD009F" w:rsidR="00A143E4" w:rsidRPr="004E1EAD" w:rsidRDefault="00A143E4" w:rsidP="002B4B7B">
      <w:pPr>
        <w:spacing w:after="0" w:line="240" w:lineRule="auto"/>
        <w:jc w:val="both"/>
        <w:rPr>
          <w:rFonts w:asciiTheme="majorHAnsi" w:hAnsiTheme="majorHAnsi" w:cs="Times New Roman"/>
          <w:sz w:val="20"/>
          <w:szCs w:val="20"/>
        </w:rPr>
      </w:pPr>
      <w:r>
        <w:rPr>
          <w:rFonts w:asciiTheme="majorHAnsi" w:hAnsiTheme="majorHAnsi"/>
          <w:sz w:val="20"/>
        </w:rPr>
        <w:t>Each Contracting Party contributes annually to the budget of the Commission an amount calculated in accordance with a system established in Regulation 4 of the Financial Regulations.</w:t>
      </w:r>
    </w:p>
    <w:p w14:paraId="09DFE4CD" w14:textId="77777777" w:rsidR="00C54504" w:rsidRPr="00A31D22" w:rsidRDefault="00C54504" w:rsidP="002B4B7B">
      <w:pPr>
        <w:spacing w:after="0" w:line="240" w:lineRule="auto"/>
        <w:jc w:val="both"/>
        <w:rPr>
          <w:rFonts w:asciiTheme="majorHAnsi" w:hAnsiTheme="majorHAnsi" w:cs="Times New Roman"/>
          <w:sz w:val="20"/>
          <w:szCs w:val="20"/>
          <w:lang w:val="en-US"/>
        </w:rPr>
      </w:pPr>
    </w:p>
    <w:p w14:paraId="6D59329C" w14:textId="5C9202C0" w:rsidR="00A143E4" w:rsidRPr="004E1EAD" w:rsidRDefault="00A143E4" w:rsidP="002B4B7B">
      <w:pPr>
        <w:spacing w:after="0" w:line="240" w:lineRule="auto"/>
        <w:jc w:val="both"/>
        <w:rPr>
          <w:rFonts w:asciiTheme="majorHAnsi" w:hAnsiTheme="majorHAnsi" w:cs="Times New Roman"/>
          <w:sz w:val="20"/>
          <w:szCs w:val="20"/>
        </w:rPr>
      </w:pPr>
      <w:r>
        <w:rPr>
          <w:rFonts w:asciiTheme="majorHAnsi" w:hAnsiTheme="majorHAnsi"/>
          <w:sz w:val="20"/>
        </w:rPr>
        <w:t xml:space="preserve">The settlement of revenue and expenses charged to the budget for the financial year provides the budgetary result. </w:t>
      </w:r>
      <w:proofErr w:type="gramStart"/>
      <w:r>
        <w:rPr>
          <w:rFonts w:asciiTheme="majorHAnsi" w:hAnsiTheme="majorHAnsi"/>
          <w:sz w:val="20"/>
        </w:rPr>
        <w:t>At</w:t>
      </w:r>
      <w:proofErr w:type="gramEnd"/>
      <w:r>
        <w:rPr>
          <w:rFonts w:asciiTheme="majorHAnsi" w:hAnsiTheme="majorHAnsi"/>
          <w:sz w:val="20"/>
        </w:rPr>
        <w:t xml:space="preserve"> 8 October 2025, the settlement of the budget gave a positive result of €625,808.65.</w:t>
      </w:r>
    </w:p>
    <w:p w14:paraId="3F90A6C6" w14:textId="2B5AC4EF" w:rsidR="003778DD" w:rsidRPr="00A31D22" w:rsidRDefault="003778DD" w:rsidP="002B4B7B">
      <w:pPr>
        <w:spacing w:after="0" w:line="240" w:lineRule="auto"/>
        <w:jc w:val="both"/>
        <w:rPr>
          <w:rFonts w:asciiTheme="majorHAnsi" w:hAnsiTheme="majorHAnsi" w:cs="Times New Roman"/>
          <w:sz w:val="20"/>
          <w:szCs w:val="20"/>
          <w:lang w:val="en-US"/>
        </w:rPr>
      </w:pPr>
    </w:p>
    <w:p w14:paraId="1A759D59" w14:textId="659141D8" w:rsidR="00B01731" w:rsidRPr="004E1EAD" w:rsidRDefault="003778DD" w:rsidP="002B4B7B">
      <w:pPr>
        <w:spacing w:after="0" w:line="240" w:lineRule="auto"/>
        <w:jc w:val="both"/>
        <w:rPr>
          <w:rFonts w:asciiTheme="majorHAnsi" w:hAnsiTheme="majorHAnsi" w:cs="Times New Roman"/>
          <w:spacing w:val="-2"/>
          <w:sz w:val="20"/>
          <w:szCs w:val="20"/>
        </w:rPr>
      </w:pPr>
      <w:r>
        <w:rPr>
          <w:rFonts w:asciiTheme="majorHAnsi" w:hAnsiTheme="majorHAnsi"/>
          <w:sz w:val="20"/>
        </w:rPr>
        <w:t xml:space="preserve">In 2025, the trend continued in that many Contracting Parties did not pay their contributions. So much so that, </w:t>
      </w:r>
      <w:proofErr w:type="gramStart"/>
      <w:r>
        <w:rPr>
          <w:rFonts w:asciiTheme="majorHAnsi" w:hAnsiTheme="majorHAnsi"/>
          <w:sz w:val="20"/>
        </w:rPr>
        <w:t>at</w:t>
      </w:r>
      <w:proofErr w:type="gramEnd"/>
      <w:r>
        <w:rPr>
          <w:rFonts w:asciiTheme="majorHAnsi" w:hAnsiTheme="majorHAnsi"/>
          <w:sz w:val="20"/>
        </w:rPr>
        <w:t xml:space="preserve"> 8 October 2025, only 27 Contracting Parties had paid in full their contributions for this financial year and 19 have fully outstanding contributions.  The debt due to outstanding contributions to the 2025 budget is €1,018,202.58.</w:t>
      </w:r>
    </w:p>
    <w:p w14:paraId="118C4780" w14:textId="4D9FA316" w:rsidR="00B01731" w:rsidRPr="00A31D22" w:rsidRDefault="00B01731" w:rsidP="002B4B7B">
      <w:pPr>
        <w:spacing w:after="0" w:line="240" w:lineRule="auto"/>
        <w:jc w:val="both"/>
        <w:rPr>
          <w:rFonts w:asciiTheme="majorHAnsi" w:hAnsiTheme="majorHAnsi" w:cs="Times New Roman"/>
          <w:sz w:val="20"/>
          <w:szCs w:val="20"/>
          <w:lang w:val="en-US"/>
        </w:rPr>
      </w:pPr>
    </w:p>
    <w:p w14:paraId="7ECA60D5" w14:textId="1AABCE39" w:rsidR="003778DD" w:rsidRPr="004E1EAD" w:rsidRDefault="00B01731" w:rsidP="00B01731">
      <w:pPr>
        <w:spacing w:after="0" w:line="240" w:lineRule="auto"/>
        <w:jc w:val="both"/>
        <w:rPr>
          <w:rFonts w:asciiTheme="majorHAnsi" w:hAnsiTheme="majorHAnsi" w:cs="Times New Roman"/>
          <w:sz w:val="20"/>
          <w:szCs w:val="20"/>
        </w:rPr>
      </w:pPr>
      <w:r>
        <w:rPr>
          <w:rFonts w:asciiTheme="majorHAnsi" w:hAnsiTheme="majorHAnsi"/>
          <w:sz w:val="20"/>
        </w:rPr>
        <w:t xml:space="preserve">It is vitally important for the work of this Commission that all Contracting Parties meet their budgetary obligations.  </w:t>
      </w:r>
    </w:p>
    <w:p w14:paraId="11F775F9" w14:textId="77777777" w:rsidR="00A143E4" w:rsidRPr="00A31D22" w:rsidRDefault="00A143E4" w:rsidP="002B4B7B">
      <w:pPr>
        <w:spacing w:after="0" w:line="240" w:lineRule="auto"/>
        <w:jc w:val="both"/>
        <w:rPr>
          <w:rFonts w:asciiTheme="majorHAnsi" w:hAnsiTheme="majorHAnsi" w:cs="Times New Roman"/>
          <w:sz w:val="20"/>
          <w:szCs w:val="20"/>
          <w:lang w:val="en-US"/>
        </w:rPr>
      </w:pPr>
    </w:p>
    <w:p w14:paraId="5D758921" w14:textId="77777777" w:rsidR="00A143E4" w:rsidRPr="004E1EAD" w:rsidRDefault="00A143E4" w:rsidP="002B4B7B">
      <w:pPr>
        <w:tabs>
          <w:tab w:val="left" w:pos="426"/>
        </w:tabs>
        <w:spacing w:after="0" w:line="240" w:lineRule="auto"/>
        <w:jc w:val="both"/>
        <w:rPr>
          <w:rFonts w:asciiTheme="majorHAnsi" w:hAnsiTheme="majorHAnsi" w:cs="Times New Roman"/>
          <w:b/>
          <w:i/>
          <w:sz w:val="20"/>
          <w:szCs w:val="20"/>
        </w:rPr>
      </w:pPr>
      <w:r>
        <w:rPr>
          <w:rFonts w:asciiTheme="majorHAnsi" w:hAnsiTheme="majorHAnsi"/>
          <w:b/>
          <w:i/>
          <w:sz w:val="20"/>
        </w:rPr>
        <w:t>1.b Settlement of revenue and expenses not included in the budget for the financial year</w:t>
      </w:r>
    </w:p>
    <w:p w14:paraId="011A8F42" w14:textId="77777777" w:rsidR="00A143E4" w:rsidRPr="004E1EAD" w:rsidRDefault="00A143E4" w:rsidP="002B4B7B">
      <w:pPr>
        <w:spacing w:after="0" w:line="240" w:lineRule="auto"/>
        <w:jc w:val="both"/>
        <w:rPr>
          <w:rFonts w:asciiTheme="majorHAnsi" w:hAnsiTheme="majorHAnsi" w:cs="Times New Roman"/>
          <w:b/>
          <w:i/>
          <w:sz w:val="20"/>
          <w:szCs w:val="20"/>
        </w:rPr>
      </w:pPr>
    </w:p>
    <w:p w14:paraId="72F68967" w14:textId="77777777" w:rsidR="00A143E4" w:rsidRPr="004E1EAD" w:rsidRDefault="00A143E4" w:rsidP="002B4B7B">
      <w:pPr>
        <w:spacing w:after="0" w:line="240" w:lineRule="auto"/>
        <w:jc w:val="both"/>
        <w:rPr>
          <w:rFonts w:asciiTheme="majorHAnsi" w:hAnsiTheme="majorHAnsi" w:cs="Times New Roman"/>
          <w:sz w:val="20"/>
          <w:szCs w:val="20"/>
        </w:rPr>
      </w:pPr>
      <w:r>
        <w:rPr>
          <w:rFonts w:asciiTheme="majorHAnsi" w:hAnsiTheme="majorHAnsi"/>
          <w:sz w:val="20"/>
        </w:rPr>
        <w:t>All the costs and revenue that are not included in the regular budget of the Commission and that do not fall under any of the Commission’s trust funds either (voluntary contributions for purposes that are consistent with the principles, objectives and activities of the Commission) are referred to as extra-budgetary.</w:t>
      </w:r>
    </w:p>
    <w:p w14:paraId="7702179F" w14:textId="77777777" w:rsidR="00C54504" w:rsidRPr="004E1EAD" w:rsidRDefault="00C54504" w:rsidP="002B4B7B">
      <w:pPr>
        <w:spacing w:after="0" w:line="240" w:lineRule="auto"/>
        <w:jc w:val="both"/>
        <w:rPr>
          <w:rFonts w:asciiTheme="majorHAnsi" w:hAnsiTheme="majorHAnsi" w:cs="Times New Roman"/>
          <w:sz w:val="20"/>
          <w:szCs w:val="20"/>
        </w:rPr>
      </w:pPr>
    </w:p>
    <w:p w14:paraId="26512706" w14:textId="77777777" w:rsidR="00A143E4" w:rsidRPr="004E1EAD" w:rsidRDefault="00A143E4" w:rsidP="002B4B7B">
      <w:pPr>
        <w:spacing w:after="0" w:line="240" w:lineRule="auto"/>
        <w:jc w:val="both"/>
        <w:rPr>
          <w:rFonts w:asciiTheme="majorHAnsi" w:hAnsiTheme="majorHAnsi" w:cs="Times New Roman"/>
          <w:sz w:val="20"/>
          <w:szCs w:val="20"/>
        </w:rPr>
      </w:pPr>
      <w:r>
        <w:rPr>
          <w:rFonts w:asciiTheme="majorHAnsi" w:hAnsiTheme="majorHAnsi"/>
          <w:sz w:val="20"/>
        </w:rPr>
        <w:t>Currently, the Commission has approved the following extra-budgetary costs, and by extension, their financing through the Working Capital Fund:</w:t>
      </w:r>
    </w:p>
    <w:p w14:paraId="0DFC9BE4" w14:textId="0DD3BF05" w:rsidR="00A7230F" w:rsidRPr="004E1EAD" w:rsidRDefault="00A7230F" w:rsidP="005540E8">
      <w:pPr>
        <w:pStyle w:val="ListParagraph"/>
        <w:numPr>
          <w:ilvl w:val="0"/>
          <w:numId w:val="23"/>
        </w:numPr>
        <w:spacing w:after="0" w:line="240" w:lineRule="auto"/>
        <w:ind w:left="851" w:hanging="425"/>
        <w:jc w:val="both"/>
        <w:rPr>
          <w:rFonts w:asciiTheme="majorHAnsi" w:hAnsiTheme="majorHAnsi" w:cs="Times New Roman"/>
          <w:sz w:val="20"/>
          <w:szCs w:val="20"/>
        </w:rPr>
      </w:pPr>
      <w:r>
        <w:rPr>
          <w:rFonts w:asciiTheme="majorHAnsi" w:hAnsiTheme="majorHAnsi"/>
          <w:sz w:val="20"/>
        </w:rPr>
        <w:lastRenderedPageBreak/>
        <w:t>A portion of the costs related to intersessional meetings.</w:t>
      </w:r>
    </w:p>
    <w:p w14:paraId="60885EB5" w14:textId="0B66084D" w:rsidR="004B258A" w:rsidRPr="004B258A" w:rsidRDefault="00A7230F" w:rsidP="005540E8">
      <w:pPr>
        <w:pStyle w:val="ListParagraph"/>
        <w:numPr>
          <w:ilvl w:val="0"/>
          <w:numId w:val="23"/>
        </w:numPr>
        <w:spacing w:after="0" w:line="240" w:lineRule="auto"/>
        <w:ind w:left="851" w:hanging="425"/>
        <w:jc w:val="both"/>
        <w:rPr>
          <w:rFonts w:asciiTheme="majorHAnsi" w:hAnsiTheme="majorHAnsi" w:cs="Times New Roman"/>
          <w:sz w:val="20"/>
          <w:szCs w:val="20"/>
        </w:rPr>
      </w:pPr>
      <w:r>
        <w:rPr>
          <w:rFonts w:asciiTheme="majorHAnsi" w:hAnsiTheme="majorHAnsi"/>
          <w:sz w:val="20"/>
        </w:rPr>
        <w:t>Expenses for simultaneous interpretation into Arabic.</w:t>
      </w:r>
    </w:p>
    <w:p w14:paraId="6AA63ACA" w14:textId="257FCAF2" w:rsidR="004B258A" w:rsidRPr="004B258A" w:rsidRDefault="004B258A" w:rsidP="005540E8">
      <w:pPr>
        <w:pStyle w:val="ListParagraph"/>
        <w:numPr>
          <w:ilvl w:val="0"/>
          <w:numId w:val="23"/>
        </w:numPr>
        <w:spacing w:after="0" w:line="240" w:lineRule="auto"/>
        <w:ind w:left="851" w:hanging="425"/>
        <w:jc w:val="both"/>
        <w:rPr>
          <w:rFonts w:asciiTheme="majorHAnsi" w:hAnsiTheme="majorHAnsi" w:cs="Times New Roman"/>
          <w:sz w:val="20"/>
          <w:szCs w:val="20"/>
        </w:rPr>
      </w:pPr>
      <w:r>
        <w:rPr>
          <w:rFonts w:asciiTheme="majorHAnsi" w:hAnsiTheme="majorHAnsi"/>
          <w:sz w:val="20"/>
        </w:rPr>
        <w:t xml:space="preserve">2024 science programme audit. </w:t>
      </w:r>
    </w:p>
    <w:p w14:paraId="2B7C6844" w14:textId="73EE3AAB" w:rsidR="004B258A" w:rsidRPr="004B258A" w:rsidRDefault="004B258A" w:rsidP="005540E8">
      <w:pPr>
        <w:pStyle w:val="ListParagraph"/>
        <w:numPr>
          <w:ilvl w:val="0"/>
          <w:numId w:val="23"/>
        </w:numPr>
        <w:spacing w:after="0" w:line="240" w:lineRule="auto"/>
        <w:ind w:left="851" w:hanging="425"/>
        <w:jc w:val="both"/>
        <w:rPr>
          <w:rFonts w:asciiTheme="majorHAnsi" w:hAnsiTheme="majorHAnsi" w:cs="Times New Roman"/>
          <w:sz w:val="20"/>
          <w:szCs w:val="20"/>
        </w:rPr>
      </w:pPr>
      <w:r>
        <w:rPr>
          <w:rFonts w:asciiTheme="majorHAnsi" w:hAnsiTheme="majorHAnsi"/>
          <w:sz w:val="20"/>
        </w:rPr>
        <w:t xml:space="preserve">Exchange losses. </w:t>
      </w:r>
    </w:p>
    <w:p w14:paraId="78313C30" w14:textId="77777777" w:rsidR="00C54504" w:rsidRPr="004E1EAD" w:rsidRDefault="00C54504" w:rsidP="008D218B">
      <w:pPr>
        <w:pStyle w:val="ListParagraph"/>
        <w:spacing w:after="0"/>
        <w:jc w:val="both"/>
        <w:rPr>
          <w:rFonts w:asciiTheme="majorHAnsi" w:hAnsiTheme="majorHAnsi" w:cs="Times New Roman"/>
          <w:sz w:val="20"/>
          <w:szCs w:val="20"/>
        </w:rPr>
      </w:pPr>
    </w:p>
    <w:p w14:paraId="13DF06A2" w14:textId="01AD707A" w:rsidR="00A143E4" w:rsidRPr="004E1EAD" w:rsidRDefault="00A143E4" w:rsidP="00883039">
      <w:pPr>
        <w:spacing w:after="0" w:line="240" w:lineRule="auto"/>
        <w:jc w:val="both"/>
        <w:rPr>
          <w:rFonts w:asciiTheme="majorHAnsi" w:hAnsiTheme="majorHAnsi" w:cs="Times New Roman"/>
          <w:sz w:val="20"/>
          <w:szCs w:val="20"/>
        </w:rPr>
      </w:pPr>
      <w:r>
        <w:rPr>
          <w:rFonts w:asciiTheme="majorHAnsi" w:hAnsiTheme="majorHAnsi"/>
          <w:sz w:val="20"/>
        </w:rPr>
        <w:t xml:space="preserve">Any revenue that does not come from Contracting Party annual contributions </w:t>
      </w:r>
      <w:proofErr w:type="gramStart"/>
      <w:r>
        <w:rPr>
          <w:rFonts w:asciiTheme="majorHAnsi" w:hAnsiTheme="majorHAnsi"/>
          <w:sz w:val="20"/>
        </w:rPr>
        <w:t>is considered to be</w:t>
      </w:r>
      <w:proofErr w:type="gramEnd"/>
      <w:r>
        <w:rPr>
          <w:rFonts w:asciiTheme="majorHAnsi" w:hAnsiTheme="majorHAnsi"/>
          <w:sz w:val="20"/>
        </w:rPr>
        <w:t xml:space="preserve"> extra-budgetary revenue.</w:t>
      </w:r>
    </w:p>
    <w:p w14:paraId="338C4964" w14:textId="77777777" w:rsidR="006E7829" w:rsidRPr="004E1EAD" w:rsidRDefault="006E7829" w:rsidP="00A143E4">
      <w:pPr>
        <w:spacing w:after="0"/>
        <w:jc w:val="both"/>
        <w:rPr>
          <w:rFonts w:asciiTheme="majorHAnsi" w:hAnsiTheme="majorHAnsi" w:cs="Times New Roman"/>
          <w:sz w:val="20"/>
          <w:szCs w:val="20"/>
        </w:rPr>
      </w:pPr>
    </w:p>
    <w:p w14:paraId="27E8522D" w14:textId="5FB110B8" w:rsidR="00A143E4" w:rsidRPr="004E1EAD" w:rsidRDefault="00A143E4" w:rsidP="002B4B7B">
      <w:pPr>
        <w:spacing w:after="0" w:line="240" w:lineRule="auto"/>
        <w:jc w:val="both"/>
        <w:rPr>
          <w:rFonts w:asciiTheme="majorHAnsi" w:hAnsiTheme="majorHAnsi" w:cs="Times New Roman"/>
          <w:sz w:val="20"/>
          <w:szCs w:val="20"/>
        </w:rPr>
      </w:pPr>
      <w:r>
        <w:rPr>
          <w:rFonts w:asciiTheme="majorHAnsi" w:hAnsiTheme="majorHAnsi"/>
          <w:sz w:val="20"/>
        </w:rPr>
        <w:t>Extra-budgetary revenue received in 2025 is:</w:t>
      </w:r>
    </w:p>
    <w:p w14:paraId="16A561D1" w14:textId="77777777" w:rsidR="00C54504" w:rsidRPr="004E1EAD" w:rsidRDefault="00C54504" w:rsidP="002B4B7B">
      <w:pPr>
        <w:spacing w:after="0" w:line="240" w:lineRule="auto"/>
        <w:jc w:val="both"/>
        <w:rPr>
          <w:rFonts w:asciiTheme="majorHAnsi" w:hAnsiTheme="majorHAnsi" w:cs="Times New Roman"/>
          <w:sz w:val="20"/>
          <w:szCs w:val="20"/>
        </w:rPr>
      </w:pPr>
    </w:p>
    <w:p w14:paraId="61A63DC1" w14:textId="1DCBF692" w:rsidR="00A143E4" w:rsidRPr="005540E8" w:rsidRDefault="00A143E4" w:rsidP="005540E8">
      <w:pPr>
        <w:pStyle w:val="ListParagraph"/>
        <w:numPr>
          <w:ilvl w:val="0"/>
          <w:numId w:val="23"/>
        </w:numPr>
        <w:spacing w:after="0" w:line="240" w:lineRule="auto"/>
        <w:ind w:left="851" w:hanging="425"/>
        <w:jc w:val="both"/>
        <w:rPr>
          <w:rFonts w:asciiTheme="majorHAnsi" w:hAnsiTheme="majorHAnsi"/>
          <w:sz w:val="20"/>
        </w:rPr>
      </w:pPr>
      <w:r>
        <w:rPr>
          <w:rFonts w:asciiTheme="majorHAnsi" w:hAnsiTheme="majorHAnsi"/>
          <w:sz w:val="20"/>
        </w:rPr>
        <w:t>Observer fees for in-person Commission meetings.</w:t>
      </w:r>
    </w:p>
    <w:p w14:paraId="419C031C" w14:textId="4E6758F7" w:rsidR="00A143E4" w:rsidRPr="005540E8" w:rsidRDefault="00A143E4" w:rsidP="005540E8">
      <w:pPr>
        <w:pStyle w:val="ListParagraph"/>
        <w:numPr>
          <w:ilvl w:val="0"/>
          <w:numId w:val="23"/>
        </w:numPr>
        <w:spacing w:after="0" w:line="240" w:lineRule="auto"/>
        <w:ind w:left="851" w:hanging="425"/>
        <w:jc w:val="both"/>
        <w:rPr>
          <w:rFonts w:asciiTheme="majorHAnsi" w:hAnsiTheme="majorHAnsi"/>
          <w:sz w:val="20"/>
        </w:rPr>
      </w:pPr>
      <w:r>
        <w:rPr>
          <w:rFonts w:asciiTheme="majorHAnsi" w:hAnsiTheme="majorHAnsi"/>
          <w:sz w:val="20"/>
        </w:rPr>
        <w:t>Voluntary contribution from Chinese Taipei and Suriname.</w:t>
      </w:r>
    </w:p>
    <w:p w14:paraId="19301587" w14:textId="714D484F" w:rsidR="00A143E4" w:rsidRPr="005540E8" w:rsidRDefault="00A143E4" w:rsidP="005540E8">
      <w:pPr>
        <w:pStyle w:val="ListParagraph"/>
        <w:numPr>
          <w:ilvl w:val="0"/>
          <w:numId w:val="23"/>
        </w:numPr>
        <w:spacing w:after="0" w:line="240" w:lineRule="auto"/>
        <w:ind w:left="851" w:hanging="425"/>
        <w:jc w:val="both"/>
        <w:rPr>
          <w:rFonts w:asciiTheme="majorHAnsi" w:hAnsiTheme="majorHAnsi"/>
          <w:sz w:val="20"/>
        </w:rPr>
      </w:pPr>
      <w:r>
        <w:rPr>
          <w:rFonts w:asciiTheme="majorHAnsi" w:hAnsiTheme="majorHAnsi"/>
          <w:sz w:val="20"/>
        </w:rPr>
        <w:t>Financial revenue.</w:t>
      </w:r>
    </w:p>
    <w:p w14:paraId="3CDBF1F1" w14:textId="1D48BD03" w:rsidR="00A7230F" w:rsidRPr="005540E8" w:rsidRDefault="00A7230F" w:rsidP="005540E8">
      <w:pPr>
        <w:pStyle w:val="ListParagraph"/>
        <w:numPr>
          <w:ilvl w:val="0"/>
          <w:numId w:val="23"/>
        </w:numPr>
        <w:spacing w:after="0" w:line="240" w:lineRule="auto"/>
        <w:ind w:left="851" w:hanging="425"/>
        <w:jc w:val="both"/>
        <w:rPr>
          <w:rFonts w:asciiTheme="majorHAnsi" w:hAnsiTheme="majorHAnsi"/>
          <w:sz w:val="20"/>
        </w:rPr>
      </w:pPr>
      <w:r>
        <w:rPr>
          <w:rFonts w:asciiTheme="majorHAnsi" w:hAnsiTheme="majorHAnsi"/>
          <w:sz w:val="20"/>
        </w:rPr>
        <w:t>Refund of input VAT.</w:t>
      </w:r>
    </w:p>
    <w:p w14:paraId="0F7FAABB" w14:textId="6C9FAB8F" w:rsidR="00054010" w:rsidRPr="005540E8" w:rsidRDefault="00054010" w:rsidP="005540E8">
      <w:pPr>
        <w:pStyle w:val="ListParagraph"/>
        <w:numPr>
          <w:ilvl w:val="0"/>
          <w:numId w:val="23"/>
        </w:numPr>
        <w:spacing w:after="0" w:line="240" w:lineRule="auto"/>
        <w:ind w:left="851" w:hanging="425"/>
        <w:jc w:val="both"/>
        <w:rPr>
          <w:rFonts w:asciiTheme="majorHAnsi" w:hAnsiTheme="majorHAnsi"/>
          <w:sz w:val="20"/>
        </w:rPr>
      </w:pPr>
      <w:r>
        <w:rPr>
          <w:rFonts w:asciiTheme="majorHAnsi" w:hAnsiTheme="majorHAnsi"/>
          <w:sz w:val="20"/>
        </w:rPr>
        <w:t>Voluntary contribution from the European Union for the Third Intersessional Meeting of Panel 1 and the 24th Special Meeting of the Commission.</w:t>
      </w:r>
    </w:p>
    <w:p w14:paraId="7D9C7951" w14:textId="77777777" w:rsidR="004B258A" w:rsidRPr="005540E8" w:rsidRDefault="004B258A" w:rsidP="005540E8">
      <w:pPr>
        <w:pStyle w:val="ListParagraph"/>
        <w:numPr>
          <w:ilvl w:val="0"/>
          <w:numId w:val="23"/>
        </w:numPr>
        <w:spacing w:after="0" w:line="240" w:lineRule="auto"/>
        <w:ind w:left="851" w:hanging="425"/>
        <w:jc w:val="both"/>
        <w:rPr>
          <w:rFonts w:asciiTheme="majorHAnsi" w:hAnsiTheme="majorHAnsi"/>
          <w:sz w:val="20"/>
        </w:rPr>
      </w:pPr>
      <w:r>
        <w:rPr>
          <w:rFonts w:asciiTheme="majorHAnsi" w:hAnsiTheme="majorHAnsi"/>
          <w:sz w:val="20"/>
        </w:rPr>
        <w:t>Voluntary contribution from the European Union for ICCAT intersessional meetings and other working groups 2023-2024.</w:t>
      </w:r>
    </w:p>
    <w:p w14:paraId="7598FAF1" w14:textId="484F5F39" w:rsidR="004B258A" w:rsidRPr="005540E8" w:rsidRDefault="004B258A" w:rsidP="005540E8">
      <w:pPr>
        <w:pStyle w:val="ListParagraph"/>
        <w:numPr>
          <w:ilvl w:val="0"/>
          <w:numId w:val="23"/>
        </w:numPr>
        <w:spacing w:after="0" w:line="240" w:lineRule="auto"/>
        <w:ind w:left="851" w:hanging="425"/>
        <w:jc w:val="both"/>
        <w:rPr>
          <w:rFonts w:asciiTheme="majorHAnsi" w:hAnsiTheme="majorHAnsi"/>
          <w:sz w:val="20"/>
        </w:rPr>
      </w:pPr>
      <w:r>
        <w:rPr>
          <w:rFonts w:asciiTheme="majorHAnsi" w:hAnsiTheme="majorHAnsi"/>
          <w:sz w:val="20"/>
        </w:rPr>
        <w:t>Voluntary contribution from the European Union for ICCAT intersessional meetings and other working groups 2025-2026.</w:t>
      </w:r>
    </w:p>
    <w:p w14:paraId="47F0C7BC" w14:textId="063391CD" w:rsidR="00A143E4" w:rsidRPr="004E1EAD" w:rsidRDefault="007F72F6" w:rsidP="005540E8">
      <w:pPr>
        <w:pStyle w:val="ListParagraph"/>
        <w:numPr>
          <w:ilvl w:val="0"/>
          <w:numId w:val="23"/>
        </w:numPr>
        <w:spacing w:after="0" w:line="240" w:lineRule="auto"/>
        <w:ind w:left="851" w:hanging="425"/>
        <w:jc w:val="both"/>
        <w:rPr>
          <w:rFonts w:asciiTheme="majorHAnsi" w:hAnsiTheme="majorHAnsi" w:cs="Times New Roman"/>
          <w:sz w:val="20"/>
          <w:szCs w:val="20"/>
        </w:rPr>
      </w:pPr>
      <w:r>
        <w:rPr>
          <w:rFonts w:asciiTheme="majorHAnsi" w:hAnsiTheme="majorHAnsi"/>
          <w:sz w:val="20"/>
        </w:rPr>
        <w:t>Revenue from programmes and trust funds managed by the Secretariat.</w:t>
      </w:r>
    </w:p>
    <w:p w14:paraId="4A94BDB4" w14:textId="77777777" w:rsidR="00C54504" w:rsidRPr="00C24B12" w:rsidRDefault="00C54504" w:rsidP="00883039">
      <w:pPr>
        <w:pStyle w:val="ListParagraph"/>
        <w:spacing w:after="0" w:line="240" w:lineRule="auto"/>
        <w:ind w:left="360"/>
        <w:jc w:val="both"/>
        <w:rPr>
          <w:rFonts w:asciiTheme="majorHAnsi" w:hAnsiTheme="majorHAnsi" w:cs="Times New Roman"/>
          <w:sz w:val="20"/>
          <w:szCs w:val="20"/>
        </w:rPr>
      </w:pPr>
    </w:p>
    <w:p w14:paraId="473E6FA4" w14:textId="01E8B05F" w:rsidR="00A143E4" w:rsidRPr="004E1EAD" w:rsidRDefault="00A143E4" w:rsidP="002B4B7B">
      <w:pPr>
        <w:spacing w:after="0" w:line="240" w:lineRule="auto"/>
        <w:jc w:val="both"/>
        <w:rPr>
          <w:rFonts w:asciiTheme="majorHAnsi" w:hAnsiTheme="majorHAnsi" w:cs="Times New Roman"/>
          <w:sz w:val="20"/>
          <w:szCs w:val="20"/>
        </w:rPr>
      </w:pPr>
      <w:r>
        <w:rPr>
          <w:rFonts w:asciiTheme="majorHAnsi" w:hAnsiTheme="majorHAnsi"/>
          <w:sz w:val="20"/>
        </w:rPr>
        <w:t xml:space="preserve">The settlement of extra-budgetary expenses and revenue </w:t>
      </w:r>
      <w:proofErr w:type="gramStart"/>
      <w:r>
        <w:rPr>
          <w:rFonts w:asciiTheme="majorHAnsi" w:hAnsiTheme="majorHAnsi"/>
          <w:sz w:val="20"/>
        </w:rPr>
        <w:t>at</w:t>
      </w:r>
      <w:proofErr w:type="gramEnd"/>
      <w:r>
        <w:rPr>
          <w:rFonts w:asciiTheme="majorHAnsi" w:hAnsiTheme="majorHAnsi"/>
          <w:sz w:val="20"/>
        </w:rPr>
        <w:t xml:space="preserve"> 8 October 2025 is positive, amounting to €553,285.09.</w:t>
      </w:r>
    </w:p>
    <w:p w14:paraId="414DCAD5" w14:textId="77777777" w:rsidR="00A143E4" w:rsidRPr="004E1EAD" w:rsidRDefault="00A143E4" w:rsidP="002B4B7B">
      <w:pPr>
        <w:spacing w:after="0" w:line="240" w:lineRule="auto"/>
        <w:ind w:left="426" w:hanging="426"/>
        <w:jc w:val="both"/>
        <w:rPr>
          <w:rFonts w:asciiTheme="majorHAnsi" w:hAnsiTheme="majorHAnsi" w:cs="Times New Roman"/>
          <w:sz w:val="20"/>
          <w:szCs w:val="20"/>
        </w:rPr>
      </w:pPr>
    </w:p>
    <w:p w14:paraId="606B2891" w14:textId="6B3246CB" w:rsidR="00A143E4" w:rsidRPr="004E1EAD" w:rsidRDefault="00A143E4" w:rsidP="00A96EBA">
      <w:pPr>
        <w:tabs>
          <w:tab w:val="left" w:pos="426"/>
        </w:tabs>
        <w:spacing w:after="0" w:line="240" w:lineRule="auto"/>
        <w:ind w:left="426" w:hanging="426"/>
        <w:jc w:val="both"/>
        <w:rPr>
          <w:rFonts w:asciiTheme="majorHAnsi" w:hAnsiTheme="majorHAnsi" w:cs="Times New Roman"/>
          <w:b/>
          <w:i/>
          <w:sz w:val="20"/>
          <w:szCs w:val="20"/>
        </w:rPr>
      </w:pPr>
      <w:r>
        <w:rPr>
          <w:rFonts w:asciiTheme="majorHAnsi" w:hAnsiTheme="majorHAnsi"/>
          <w:b/>
          <w:i/>
          <w:sz w:val="20"/>
        </w:rPr>
        <w:t>1.c</w:t>
      </w:r>
      <w:r>
        <w:rPr>
          <w:rFonts w:asciiTheme="majorHAnsi" w:hAnsiTheme="majorHAnsi"/>
          <w:b/>
          <w:i/>
          <w:sz w:val="20"/>
        </w:rPr>
        <w:tab/>
        <w:t>Contributions from Contracting Parties to previous budgets (arrears) or contributions from new Commission members</w:t>
      </w:r>
    </w:p>
    <w:p w14:paraId="0A001EB1" w14:textId="77777777" w:rsidR="00A143E4" w:rsidRPr="004E1EAD" w:rsidRDefault="00A143E4" w:rsidP="002B4B7B">
      <w:pPr>
        <w:spacing w:after="0" w:line="240" w:lineRule="auto"/>
        <w:jc w:val="both"/>
        <w:rPr>
          <w:rFonts w:asciiTheme="majorHAnsi" w:hAnsiTheme="majorHAnsi" w:cs="Times New Roman"/>
          <w:b/>
          <w:i/>
          <w:sz w:val="20"/>
          <w:szCs w:val="20"/>
        </w:rPr>
      </w:pPr>
    </w:p>
    <w:p w14:paraId="41A621E0" w14:textId="2CF9DB18" w:rsidR="00A143E4" w:rsidRPr="004E1EAD" w:rsidRDefault="00A143E4" w:rsidP="002B4B7B">
      <w:pPr>
        <w:spacing w:after="0" w:line="240" w:lineRule="auto"/>
        <w:jc w:val="both"/>
        <w:rPr>
          <w:rFonts w:asciiTheme="majorHAnsi" w:hAnsiTheme="majorHAnsi" w:cs="Times New Roman"/>
          <w:sz w:val="20"/>
          <w:szCs w:val="20"/>
        </w:rPr>
      </w:pPr>
      <w:r>
        <w:rPr>
          <w:rFonts w:asciiTheme="majorHAnsi" w:hAnsiTheme="majorHAnsi"/>
          <w:sz w:val="20"/>
        </w:rPr>
        <w:t xml:space="preserve">Contracting Parties must pay their annual contributions on 1 January of the year to which they relate.  Contributions that have not been paid by 1 January of the following year </w:t>
      </w:r>
      <w:proofErr w:type="gramStart"/>
      <w:r>
        <w:rPr>
          <w:rFonts w:asciiTheme="majorHAnsi" w:hAnsiTheme="majorHAnsi"/>
          <w:sz w:val="20"/>
        </w:rPr>
        <w:t>are considered to be</w:t>
      </w:r>
      <w:proofErr w:type="gramEnd"/>
      <w:r>
        <w:rPr>
          <w:rFonts w:asciiTheme="majorHAnsi" w:hAnsiTheme="majorHAnsi"/>
          <w:sz w:val="20"/>
        </w:rPr>
        <w:t xml:space="preserve"> in arrears.  </w:t>
      </w:r>
    </w:p>
    <w:p w14:paraId="1D6E6359" w14:textId="77777777" w:rsidR="00C54504" w:rsidRPr="004E1EAD" w:rsidRDefault="00C54504" w:rsidP="002B4B7B">
      <w:pPr>
        <w:spacing w:after="0" w:line="240" w:lineRule="auto"/>
        <w:jc w:val="both"/>
        <w:rPr>
          <w:rFonts w:asciiTheme="majorHAnsi" w:hAnsiTheme="majorHAnsi" w:cs="Times New Roman"/>
          <w:sz w:val="20"/>
          <w:szCs w:val="20"/>
        </w:rPr>
      </w:pPr>
    </w:p>
    <w:p w14:paraId="2EE6000F" w14:textId="1CA03E07" w:rsidR="00A143E4" w:rsidRPr="004E1EAD" w:rsidRDefault="00A143E4" w:rsidP="002B4B7B">
      <w:pPr>
        <w:spacing w:after="0" w:line="240" w:lineRule="auto"/>
        <w:jc w:val="both"/>
        <w:rPr>
          <w:rFonts w:asciiTheme="majorHAnsi" w:hAnsiTheme="majorHAnsi" w:cs="Times New Roman"/>
          <w:sz w:val="20"/>
          <w:szCs w:val="20"/>
        </w:rPr>
      </w:pPr>
      <w:r>
        <w:rPr>
          <w:rFonts w:asciiTheme="majorHAnsi" w:hAnsiTheme="majorHAnsi"/>
          <w:sz w:val="20"/>
        </w:rPr>
        <w:t>When arrears of contributions are received, the amount is credited to the Working Capital Fund.  To date, the arrears received amount to €233,488.67. It should be noted that some Contracting Parties are making considerable efforts to reduce their accumulated arrears.</w:t>
      </w:r>
    </w:p>
    <w:p w14:paraId="489D182A" w14:textId="77777777" w:rsidR="00C54504" w:rsidRPr="004E1EAD" w:rsidRDefault="00C54504" w:rsidP="002B4B7B">
      <w:pPr>
        <w:spacing w:after="0" w:line="240" w:lineRule="auto"/>
        <w:jc w:val="both"/>
        <w:rPr>
          <w:rFonts w:asciiTheme="majorHAnsi" w:hAnsiTheme="majorHAnsi" w:cs="Times New Roman"/>
          <w:sz w:val="20"/>
          <w:szCs w:val="20"/>
        </w:rPr>
      </w:pPr>
    </w:p>
    <w:p w14:paraId="4DB4DF7E" w14:textId="2B1FCA3C" w:rsidR="00A143E4" w:rsidRPr="004E1EAD" w:rsidRDefault="00A143E4" w:rsidP="002B4B7B">
      <w:pPr>
        <w:spacing w:after="0" w:line="240" w:lineRule="auto"/>
        <w:jc w:val="both"/>
        <w:rPr>
          <w:rFonts w:asciiTheme="majorHAnsi" w:hAnsiTheme="majorHAnsi" w:cs="Times New Roman"/>
          <w:sz w:val="20"/>
          <w:szCs w:val="20"/>
        </w:rPr>
      </w:pPr>
      <w:r>
        <w:rPr>
          <w:rFonts w:asciiTheme="majorHAnsi" w:hAnsiTheme="majorHAnsi"/>
          <w:sz w:val="20"/>
        </w:rPr>
        <w:t xml:space="preserve">In addition, the Financial Regulations of the Commission provide in Articles 4.4 and 4.5 that new members of the Commission whose membership becomes effective during the first six months of any year are liable to pay the full amount of the annual contribution they would have been required to pay if they had been members of the Commission when annual contributions were calculated, in accordance with the Convention.  New members of the Commission whose membership becomes effective during the last six months of any year are liable to pay half the amount of the annual contribution.  </w:t>
      </w:r>
    </w:p>
    <w:p w14:paraId="2EEED59E" w14:textId="77777777" w:rsidR="00C54504" w:rsidRPr="004E1EAD" w:rsidRDefault="00C54504" w:rsidP="00A143E4">
      <w:pPr>
        <w:spacing w:after="0"/>
        <w:jc w:val="both"/>
        <w:rPr>
          <w:rFonts w:asciiTheme="majorHAnsi" w:hAnsiTheme="majorHAnsi" w:cs="Times New Roman"/>
          <w:sz w:val="20"/>
          <w:szCs w:val="20"/>
        </w:rPr>
      </w:pPr>
    </w:p>
    <w:p w14:paraId="1B85D702" w14:textId="34FFB466" w:rsidR="00A143E4" w:rsidRPr="004E1EAD" w:rsidRDefault="00A143E4" w:rsidP="002B4B7B">
      <w:pPr>
        <w:spacing w:after="0" w:line="240" w:lineRule="auto"/>
        <w:jc w:val="both"/>
        <w:rPr>
          <w:rFonts w:asciiTheme="majorHAnsi" w:hAnsiTheme="majorHAnsi" w:cs="Times New Roman"/>
          <w:sz w:val="20"/>
          <w:szCs w:val="20"/>
        </w:rPr>
      </w:pPr>
      <w:r>
        <w:rPr>
          <w:rFonts w:asciiTheme="majorHAnsi" w:hAnsiTheme="majorHAnsi"/>
          <w:sz w:val="20"/>
        </w:rPr>
        <w:t xml:space="preserve">Contributions paid by new Contracting Parties are credited to the Working Capital Fund.  </w:t>
      </w:r>
    </w:p>
    <w:p w14:paraId="21C4D9BE" w14:textId="17E2137C" w:rsidR="008F3AB8" w:rsidRPr="004E1EAD" w:rsidRDefault="008F3AB8" w:rsidP="002B4B7B">
      <w:pPr>
        <w:spacing w:after="0" w:line="240" w:lineRule="auto"/>
        <w:jc w:val="both"/>
        <w:rPr>
          <w:rFonts w:asciiTheme="majorHAnsi" w:hAnsiTheme="majorHAnsi" w:cs="Times New Roman"/>
          <w:sz w:val="20"/>
          <w:szCs w:val="20"/>
        </w:rPr>
      </w:pPr>
    </w:p>
    <w:p w14:paraId="4ADA36D3" w14:textId="6F0859C7" w:rsidR="00C51878" w:rsidRPr="00564574" w:rsidRDefault="00C51878" w:rsidP="002B4B7B">
      <w:pPr>
        <w:spacing w:after="0" w:line="240" w:lineRule="auto"/>
        <w:jc w:val="both"/>
        <w:rPr>
          <w:rFonts w:asciiTheme="majorHAnsi" w:hAnsiTheme="majorHAnsi"/>
          <w:sz w:val="20"/>
        </w:rPr>
      </w:pPr>
      <w:r w:rsidRPr="00564574">
        <w:rPr>
          <w:rFonts w:asciiTheme="majorHAnsi" w:hAnsiTheme="majorHAnsi"/>
          <w:sz w:val="20"/>
        </w:rPr>
        <w:t xml:space="preserve">As in point 1.a of this document, it is necessary to highlight </w:t>
      </w:r>
      <w:proofErr w:type="spellStart"/>
      <w:proofErr w:type="gramStart"/>
      <w:r w:rsidRPr="00564574">
        <w:rPr>
          <w:rFonts w:asciiTheme="majorHAnsi" w:hAnsiTheme="majorHAnsi"/>
          <w:sz w:val="20"/>
        </w:rPr>
        <w:t>non payment</w:t>
      </w:r>
      <w:proofErr w:type="spellEnd"/>
      <w:proofErr w:type="gramEnd"/>
      <w:r w:rsidRPr="00564574">
        <w:rPr>
          <w:rFonts w:asciiTheme="majorHAnsi" w:hAnsiTheme="majorHAnsi"/>
          <w:sz w:val="20"/>
        </w:rPr>
        <w:t xml:space="preserve"> by Contracting Parties as regards their obligations from previous budgets.</w:t>
      </w:r>
      <w:r>
        <w:rPr>
          <w:rFonts w:asciiTheme="majorHAnsi" w:hAnsiTheme="majorHAnsi"/>
          <w:sz w:val="20"/>
        </w:rPr>
        <w:t xml:space="preserve"> </w:t>
      </w:r>
      <w:proofErr w:type="gramStart"/>
      <w:r>
        <w:rPr>
          <w:rFonts w:asciiTheme="majorHAnsi" w:hAnsiTheme="majorHAnsi"/>
          <w:sz w:val="20"/>
        </w:rPr>
        <w:t>At</w:t>
      </w:r>
      <w:proofErr w:type="gramEnd"/>
      <w:r>
        <w:rPr>
          <w:rFonts w:asciiTheme="majorHAnsi" w:hAnsiTheme="majorHAnsi"/>
          <w:sz w:val="20"/>
        </w:rPr>
        <w:t xml:space="preserve"> 8 October 2025, the accumulated debt of the Contracting Parties in terms of arrears is €1,460,051.76 (24.34% of the 2025 budget), the amount of €1,453,151.35 corresponding to arrears and the €6,900.41 to the debt of the new Contracting Party. </w:t>
      </w:r>
    </w:p>
    <w:p w14:paraId="1263F47C" w14:textId="1FA6FC09" w:rsidR="00CD20A6" w:rsidRPr="00564574" w:rsidRDefault="00CD20A6" w:rsidP="00564574">
      <w:pPr>
        <w:spacing w:after="0" w:line="240" w:lineRule="auto"/>
        <w:jc w:val="both"/>
        <w:rPr>
          <w:rFonts w:asciiTheme="majorHAnsi" w:hAnsiTheme="majorHAnsi"/>
          <w:sz w:val="20"/>
        </w:rPr>
      </w:pPr>
    </w:p>
    <w:p w14:paraId="641FA794" w14:textId="77777777" w:rsidR="00CD20A6" w:rsidRPr="004E1EAD" w:rsidRDefault="00CD20A6" w:rsidP="00A143E4">
      <w:pPr>
        <w:spacing w:after="0"/>
        <w:jc w:val="both"/>
        <w:rPr>
          <w:rFonts w:asciiTheme="majorHAnsi" w:hAnsiTheme="majorHAnsi" w:cs="Times New Roman"/>
          <w:sz w:val="20"/>
          <w:szCs w:val="20"/>
        </w:rPr>
      </w:pPr>
    </w:p>
    <w:p w14:paraId="4CF15E3B" w14:textId="64728BEE" w:rsidR="00A143E4" w:rsidRPr="006B48DD" w:rsidRDefault="00A143E4" w:rsidP="008B173B">
      <w:pPr>
        <w:pStyle w:val="ListParagraph"/>
        <w:numPr>
          <w:ilvl w:val="0"/>
          <w:numId w:val="13"/>
        </w:numPr>
        <w:spacing w:after="0"/>
        <w:ind w:left="426" w:hanging="426"/>
        <w:jc w:val="both"/>
        <w:rPr>
          <w:rFonts w:asciiTheme="majorHAnsi" w:hAnsiTheme="majorHAnsi" w:cs="Times New Roman"/>
          <w:b/>
          <w:sz w:val="20"/>
          <w:szCs w:val="20"/>
        </w:rPr>
      </w:pPr>
      <w:r>
        <w:rPr>
          <w:rFonts w:asciiTheme="majorHAnsi" w:hAnsiTheme="majorHAnsi"/>
          <w:b/>
          <w:sz w:val="20"/>
        </w:rPr>
        <w:t xml:space="preserve">Evolution of the Working Capital Fund over the </w:t>
      </w:r>
      <w:r w:rsidRPr="006B48DD">
        <w:rPr>
          <w:rFonts w:asciiTheme="majorHAnsi" w:hAnsiTheme="majorHAnsi"/>
          <w:b/>
          <w:sz w:val="20"/>
        </w:rPr>
        <w:t>past 1</w:t>
      </w:r>
      <w:r w:rsidR="00BF4B4B" w:rsidRPr="006B48DD">
        <w:rPr>
          <w:rFonts w:asciiTheme="majorHAnsi" w:hAnsiTheme="majorHAnsi"/>
          <w:b/>
          <w:sz w:val="20"/>
        </w:rPr>
        <w:t>2</w:t>
      </w:r>
      <w:r w:rsidRPr="006B48DD">
        <w:rPr>
          <w:rFonts w:asciiTheme="majorHAnsi" w:hAnsiTheme="majorHAnsi"/>
          <w:b/>
          <w:sz w:val="20"/>
        </w:rPr>
        <w:t xml:space="preserve"> years</w:t>
      </w:r>
    </w:p>
    <w:p w14:paraId="62B8D480" w14:textId="77777777" w:rsidR="008C7172" w:rsidRPr="006B48DD" w:rsidRDefault="008C7172" w:rsidP="008C7172">
      <w:pPr>
        <w:pStyle w:val="ListParagraph"/>
        <w:spacing w:after="0"/>
        <w:ind w:left="360"/>
        <w:jc w:val="both"/>
        <w:rPr>
          <w:rFonts w:asciiTheme="majorHAnsi" w:hAnsiTheme="majorHAnsi" w:cs="Times New Roman"/>
          <w:b/>
          <w:sz w:val="8"/>
          <w:szCs w:val="8"/>
        </w:rPr>
      </w:pPr>
    </w:p>
    <w:p w14:paraId="215EFD46" w14:textId="5A15D674" w:rsidR="008C7172" w:rsidRPr="006B48DD" w:rsidRDefault="00EF20B9" w:rsidP="002B4B7B">
      <w:pPr>
        <w:spacing w:after="0" w:line="240" w:lineRule="auto"/>
        <w:jc w:val="both"/>
        <w:rPr>
          <w:rFonts w:asciiTheme="majorHAnsi" w:hAnsiTheme="majorHAnsi" w:cs="Times New Roman"/>
          <w:sz w:val="20"/>
          <w:szCs w:val="20"/>
        </w:rPr>
      </w:pPr>
      <w:r w:rsidRPr="006B48DD">
        <w:rPr>
          <w:rFonts w:asciiTheme="majorHAnsi" w:hAnsiTheme="majorHAnsi"/>
          <w:sz w:val="20"/>
        </w:rPr>
        <w:t xml:space="preserve">From 2008 to 2012, the Working Capital Fund increased considerably. For this reason, some of the </w:t>
      </w:r>
      <w:r w:rsidR="00FC4DC8" w:rsidRPr="006B48DD">
        <w:rPr>
          <w:rFonts w:asciiTheme="majorHAnsi" w:hAnsiTheme="majorHAnsi"/>
          <w:sz w:val="20"/>
        </w:rPr>
        <w:t>R</w:t>
      </w:r>
      <w:r w:rsidRPr="006B48DD">
        <w:rPr>
          <w:rFonts w:asciiTheme="majorHAnsi" w:hAnsiTheme="majorHAnsi"/>
          <w:sz w:val="20"/>
        </w:rPr>
        <w:t xml:space="preserve">ecommendations adopted by the Commission with financial implications have been covered by the Working Capital Fund (simultaneous interpretation into Arabic during the annual meeting of the Commission), as well as the increase in expenses related to the holding of Commission meetings (regular and intersessional).  </w:t>
      </w:r>
      <w:r w:rsidR="008C7172" w:rsidRPr="006B48DD">
        <w:rPr>
          <w:rFonts w:asciiTheme="majorHAnsi" w:hAnsiTheme="majorHAnsi"/>
          <w:sz w:val="20"/>
        </w:rPr>
        <w:t>2012 marked a turning point. Since then, increasing use ha</w:t>
      </w:r>
      <w:r w:rsidR="002F76BF" w:rsidRPr="006B48DD">
        <w:rPr>
          <w:rFonts w:asciiTheme="majorHAnsi" w:hAnsiTheme="majorHAnsi"/>
          <w:sz w:val="20"/>
        </w:rPr>
        <w:t>d</w:t>
      </w:r>
      <w:r w:rsidR="008C7172" w:rsidRPr="006B48DD">
        <w:rPr>
          <w:rFonts w:asciiTheme="majorHAnsi" w:hAnsiTheme="majorHAnsi"/>
          <w:sz w:val="20"/>
        </w:rPr>
        <w:t xml:space="preserve"> been made of this fund, and it experienced a significant reduction, as shown in the table below.</w:t>
      </w:r>
    </w:p>
    <w:tbl>
      <w:tblPr>
        <w:tblW w:w="5940" w:type="dxa"/>
        <w:jc w:val="center"/>
        <w:tblCellMar>
          <w:left w:w="70" w:type="dxa"/>
          <w:right w:w="70" w:type="dxa"/>
        </w:tblCellMar>
        <w:tblLook w:val="04A0" w:firstRow="1" w:lastRow="0" w:firstColumn="1" w:lastColumn="0" w:noHBand="0" w:noVBand="1"/>
      </w:tblPr>
      <w:tblGrid>
        <w:gridCol w:w="1200"/>
        <w:gridCol w:w="1580"/>
        <w:gridCol w:w="1580"/>
        <w:gridCol w:w="1580"/>
      </w:tblGrid>
      <w:tr w:rsidR="008C7172" w:rsidRPr="006B48DD" w14:paraId="4F44DDE3" w14:textId="77777777" w:rsidTr="006966E0">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7FF4EB0F" w14:textId="77777777" w:rsidR="008C7172" w:rsidRPr="006B48DD" w:rsidRDefault="008C7172" w:rsidP="00E117B4">
            <w:pPr>
              <w:spacing w:after="0" w:line="240" w:lineRule="auto"/>
              <w:jc w:val="both"/>
              <w:rPr>
                <w:rFonts w:asciiTheme="majorHAnsi" w:eastAsia="Times New Roman" w:hAnsiTheme="majorHAnsi" w:cs="Times New Roman"/>
                <w:i/>
                <w:color w:val="000000"/>
                <w:sz w:val="20"/>
                <w:szCs w:val="20"/>
              </w:rPr>
            </w:pPr>
          </w:p>
        </w:tc>
        <w:tc>
          <w:tcPr>
            <w:tcW w:w="1580" w:type="dxa"/>
            <w:tcBorders>
              <w:top w:val="single" w:sz="4" w:space="0" w:color="auto"/>
              <w:left w:val="single" w:sz="4" w:space="0" w:color="auto"/>
              <w:bottom w:val="single" w:sz="4" w:space="0" w:color="auto"/>
              <w:right w:val="single" w:sz="4" w:space="0" w:color="auto"/>
            </w:tcBorders>
            <w:noWrap/>
            <w:vAlign w:val="bottom"/>
            <w:hideMark/>
          </w:tcPr>
          <w:p w14:paraId="71EA9582" w14:textId="77777777" w:rsidR="008C7172" w:rsidRPr="006B48DD" w:rsidRDefault="008C7172" w:rsidP="00E117B4">
            <w:pPr>
              <w:spacing w:after="0" w:line="240" w:lineRule="auto"/>
              <w:jc w:val="center"/>
              <w:rPr>
                <w:rFonts w:asciiTheme="majorHAnsi" w:eastAsia="Times New Roman" w:hAnsiTheme="majorHAnsi" w:cs="Times New Roman"/>
                <w:bCs/>
                <w:i/>
                <w:color w:val="000000"/>
                <w:sz w:val="20"/>
                <w:szCs w:val="20"/>
              </w:rPr>
            </w:pPr>
            <w:r w:rsidRPr="006B48DD">
              <w:rPr>
                <w:rFonts w:asciiTheme="majorHAnsi" w:hAnsiTheme="majorHAnsi"/>
                <w:i/>
                <w:color w:val="000000"/>
                <w:sz w:val="20"/>
              </w:rPr>
              <w:t>Budget</w:t>
            </w:r>
          </w:p>
        </w:tc>
        <w:tc>
          <w:tcPr>
            <w:tcW w:w="1580" w:type="dxa"/>
            <w:tcBorders>
              <w:top w:val="single" w:sz="4" w:space="0" w:color="auto"/>
              <w:left w:val="single" w:sz="4" w:space="0" w:color="auto"/>
              <w:bottom w:val="single" w:sz="4" w:space="0" w:color="auto"/>
              <w:right w:val="single" w:sz="4" w:space="0" w:color="auto"/>
            </w:tcBorders>
            <w:noWrap/>
            <w:vAlign w:val="bottom"/>
            <w:hideMark/>
          </w:tcPr>
          <w:p w14:paraId="4F768E31" w14:textId="77777777" w:rsidR="008C7172" w:rsidRPr="006B48DD" w:rsidRDefault="008C7172" w:rsidP="00E117B4">
            <w:pPr>
              <w:spacing w:after="0" w:line="240" w:lineRule="auto"/>
              <w:jc w:val="center"/>
              <w:rPr>
                <w:rFonts w:asciiTheme="majorHAnsi" w:eastAsia="Times New Roman" w:hAnsiTheme="majorHAnsi" w:cs="Times New Roman"/>
                <w:bCs/>
                <w:i/>
                <w:color w:val="000000"/>
                <w:sz w:val="20"/>
                <w:szCs w:val="20"/>
              </w:rPr>
            </w:pPr>
            <w:r w:rsidRPr="006B48DD">
              <w:rPr>
                <w:rFonts w:asciiTheme="majorHAnsi" w:hAnsiTheme="majorHAnsi"/>
                <w:i/>
                <w:color w:val="000000"/>
                <w:sz w:val="20"/>
              </w:rPr>
              <w:t>Working Capital Fund</w:t>
            </w:r>
          </w:p>
        </w:tc>
        <w:tc>
          <w:tcPr>
            <w:tcW w:w="1580" w:type="dxa"/>
            <w:tcBorders>
              <w:top w:val="single" w:sz="4" w:space="0" w:color="auto"/>
              <w:left w:val="single" w:sz="4" w:space="0" w:color="auto"/>
              <w:bottom w:val="single" w:sz="4" w:space="0" w:color="auto"/>
              <w:right w:val="single" w:sz="4" w:space="0" w:color="auto"/>
            </w:tcBorders>
            <w:noWrap/>
            <w:vAlign w:val="bottom"/>
            <w:hideMark/>
          </w:tcPr>
          <w:p w14:paraId="1239D248" w14:textId="77777777" w:rsidR="008C7172" w:rsidRPr="006B48DD" w:rsidRDefault="008C7172" w:rsidP="00E117B4">
            <w:pPr>
              <w:spacing w:after="0" w:line="240" w:lineRule="auto"/>
              <w:jc w:val="center"/>
              <w:rPr>
                <w:rFonts w:asciiTheme="majorHAnsi" w:eastAsia="Times New Roman" w:hAnsiTheme="majorHAnsi" w:cs="Times New Roman"/>
                <w:bCs/>
                <w:i/>
                <w:color w:val="000000"/>
                <w:sz w:val="20"/>
                <w:szCs w:val="20"/>
              </w:rPr>
            </w:pPr>
            <w:r w:rsidRPr="006B48DD">
              <w:rPr>
                <w:rFonts w:asciiTheme="majorHAnsi" w:hAnsiTheme="majorHAnsi"/>
                <w:i/>
                <w:color w:val="000000"/>
                <w:sz w:val="20"/>
              </w:rPr>
              <w:t>%</w:t>
            </w:r>
          </w:p>
        </w:tc>
      </w:tr>
      <w:tr w:rsidR="006542FE" w:rsidRPr="006B48DD" w14:paraId="2F1357BE" w14:textId="77777777" w:rsidTr="001231BD">
        <w:trPr>
          <w:trHeight w:val="300"/>
          <w:jc w:val="center"/>
        </w:trPr>
        <w:tc>
          <w:tcPr>
            <w:tcW w:w="1200" w:type="dxa"/>
            <w:tcBorders>
              <w:top w:val="nil"/>
              <w:left w:val="single" w:sz="4" w:space="0" w:color="auto"/>
              <w:bottom w:val="single" w:sz="4" w:space="0" w:color="auto"/>
              <w:right w:val="single" w:sz="4" w:space="0" w:color="auto"/>
            </w:tcBorders>
            <w:noWrap/>
            <w:vAlign w:val="center"/>
          </w:tcPr>
          <w:p w14:paraId="4DDD1539" w14:textId="019AFC87" w:rsidR="006542FE" w:rsidRPr="006B48DD" w:rsidRDefault="006542FE" w:rsidP="006542FE">
            <w:pPr>
              <w:spacing w:after="0" w:line="240" w:lineRule="auto"/>
              <w:jc w:val="center"/>
              <w:rPr>
                <w:rFonts w:asciiTheme="majorHAnsi" w:hAnsiTheme="majorHAnsi"/>
                <w:color w:val="000000"/>
                <w:sz w:val="20"/>
              </w:rPr>
            </w:pPr>
            <w:r w:rsidRPr="006B48DD">
              <w:rPr>
                <w:rFonts w:asciiTheme="majorHAnsi" w:hAnsiTheme="majorHAnsi"/>
                <w:color w:val="000000"/>
                <w:sz w:val="20"/>
              </w:rPr>
              <w:t>2013</w:t>
            </w:r>
          </w:p>
        </w:tc>
        <w:tc>
          <w:tcPr>
            <w:tcW w:w="1580" w:type="dxa"/>
            <w:tcBorders>
              <w:top w:val="nil"/>
              <w:left w:val="nil"/>
              <w:bottom w:val="single" w:sz="4" w:space="0" w:color="auto"/>
              <w:right w:val="single" w:sz="4" w:space="0" w:color="auto"/>
            </w:tcBorders>
            <w:noWrap/>
            <w:vAlign w:val="center"/>
          </w:tcPr>
          <w:p w14:paraId="358405B2" w14:textId="31D678A6" w:rsidR="006542FE" w:rsidRPr="006B48DD" w:rsidRDefault="006542FE" w:rsidP="001231BD">
            <w:pPr>
              <w:spacing w:after="0" w:line="240" w:lineRule="auto"/>
              <w:jc w:val="right"/>
              <w:rPr>
                <w:rFonts w:asciiTheme="majorHAnsi" w:hAnsiTheme="majorHAnsi"/>
                <w:color w:val="000000"/>
                <w:sz w:val="20"/>
              </w:rPr>
            </w:pPr>
            <w:r w:rsidRPr="006B48DD">
              <w:rPr>
                <w:rFonts w:asciiTheme="majorHAnsi" w:hAnsiTheme="majorHAnsi"/>
                <w:color w:val="000000"/>
                <w:sz w:val="20"/>
              </w:rPr>
              <w:t>3,025,599.85</w:t>
            </w:r>
          </w:p>
        </w:tc>
        <w:tc>
          <w:tcPr>
            <w:tcW w:w="1580" w:type="dxa"/>
            <w:tcBorders>
              <w:top w:val="nil"/>
              <w:left w:val="nil"/>
              <w:bottom w:val="single" w:sz="4" w:space="0" w:color="auto"/>
              <w:right w:val="single" w:sz="4" w:space="0" w:color="auto"/>
            </w:tcBorders>
            <w:noWrap/>
            <w:vAlign w:val="center"/>
          </w:tcPr>
          <w:p w14:paraId="24DB5D46" w14:textId="0BDF353A" w:rsidR="006542FE" w:rsidRPr="006B48DD" w:rsidRDefault="006542FE" w:rsidP="001231BD">
            <w:pPr>
              <w:spacing w:after="0" w:line="240" w:lineRule="auto"/>
              <w:jc w:val="right"/>
              <w:rPr>
                <w:rFonts w:asciiTheme="majorHAnsi" w:hAnsiTheme="majorHAnsi"/>
                <w:color w:val="000000"/>
                <w:sz w:val="20"/>
              </w:rPr>
            </w:pPr>
            <w:r w:rsidRPr="006B48DD">
              <w:rPr>
                <w:rFonts w:asciiTheme="majorHAnsi" w:hAnsiTheme="majorHAnsi"/>
                <w:color w:val="000000"/>
                <w:sz w:val="20"/>
              </w:rPr>
              <w:t>3,570,895.20</w:t>
            </w:r>
          </w:p>
        </w:tc>
        <w:tc>
          <w:tcPr>
            <w:tcW w:w="1580" w:type="dxa"/>
            <w:tcBorders>
              <w:top w:val="nil"/>
              <w:left w:val="nil"/>
              <w:bottom w:val="single" w:sz="4" w:space="0" w:color="auto"/>
              <w:right w:val="single" w:sz="4" w:space="0" w:color="auto"/>
            </w:tcBorders>
            <w:noWrap/>
            <w:vAlign w:val="center"/>
          </w:tcPr>
          <w:p w14:paraId="0E961795" w14:textId="3491EDC1" w:rsidR="006542FE" w:rsidRPr="006B48DD" w:rsidRDefault="006542FE" w:rsidP="001231BD">
            <w:pPr>
              <w:spacing w:after="0" w:line="240" w:lineRule="auto"/>
              <w:jc w:val="right"/>
              <w:rPr>
                <w:rFonts w:asciiTheme="majorHAnsi" w:hAnsiTheme="majorHAnsi"/>
                <w:color w:val="000000"/>
                <w:sz w:val="20"/>
              </w:rPr>
            </w:pPr>
            <w:r w:rsidRPr="006B48DD">
              <w:rPr>
                <w:rFonts w:asciiTheme="majorHAnsi" w:hAnsiTheme="majorHAnsi"/>
                <w:color w:val="000000"/>
                <w:sz w:val="20"/>
              </w:rPr>
              <w:t>118.02%</w:t>
            </w:r>
          </w:p>
        </w:tc>
      </w:tr>
      <w:tr w:rsidR="008C7172" w:rsidRPr="006B48DD" w14:paraId="1FAB97DC" w14:textId="77777777" w:rsidTr="00E117B4">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54ABF02F" w14:textId="77777777" w:rsidR="008C7172" w:rsidRPr="006B48DD" w:rsidRDefault="008C7172" w:rsidP="00E117B4">
            <w:pPr>
              <w:spacing w:after="0" w:line="240" w:lineRule="auto"/>
              <w:jc w:val="center"/>
              <w:rPr>
                <w:rFonts w:asciiTheme="majorHAnsi" w:eastAsia="Times New Roman" w:hAnsiTheme="majorHAnsi" w:cs="Times New Roman"/>
                <w:color w:val="000000"/>
                <w:sz w:val="20"/>
                <w:szCs w:val="20"/>
              </w:rPr>
            </w:pPr>
            <w:r w:rsidRPr="006B48DD">
              <w:rPr>
                <w:rFonts w:asciiTheme="majorHAnsi" w:hAnsiTheme="majorHAnsi"/>
                <w:color w:val="000000"/>
                <w:sz w:val="20"/>
              </w:rPr>
              <w:t>2014</w:t>
            </w:r>
          </w:p>
        </w:tc>
        <w:tc>
          <w:tcPr>
            <w:tcW w:w="1580" w:type="dxa"/>
            <w:tcBorders>
              <w:top w:val="nil"/>
              <w:left w:val="nil"/>
              <w:bottom w:val="single" w:sz="4" w:space="0" w:color="auto"/>
              <w:right w:val="single" w:sz="4" w:space="0" w:color="auto"/>
            </w:tcBorders>
            <w:noWrap/>
            <w:vAlign w:val="bottom"/>
            <w:hideMark/>
          </w:tcPr>
          <w:p w14:paraId="632A2219" w14:textId="77777777" w:rsidR="008C7172" w:rsidRPr="006B48DD" w:rsidRDefault="008C7172" w:rsidP="00E117B4">
            <w:pPr>
              <w:spacing w:after="0" w:line="240" w:lineRule="auto"/>
              <w:jc w:val="right"/>
              <w:rPr>
                <w:rFonts w:asciiTheme="majorHAnsi" w:eastAsia="Times New Roman" w:hAnsiTheme="majorHAnsi" w:cs="Times New Roman"/>
                <w:color w:val="000000"/>
                <w:sz w:val="20"/>
                <w:szCs w:val="20"/>
              </w:rPr>
            </w:pPr>
            <w:r w:rsidRPr="006B48DD">
              <w:rPr>
                <w:rFonts w:asciiTheme="majorHAnsi" w:hAnsiTheme="majorHAnsi"/>
                <w:color w:val="000000"/>
                <w:sz w:val="20"/>
              </w:rPr>
              <w:t>3,122,635.17</w:t>
            </w:r>
          </w:p>
        </w:tc>
        <w:tc>
          <w:tcPr>
            <w:tcW w:w="1580" w:type="dxa"/>
            <w:tcBorders>
              <w:top w:val="nil"/>
              <w:left w:val="nil"/>
              <w:bottom w:val="single" w:sz="4" w:space="0" w:color="auto"/>
              <w:right w:val="single" w:sz="4" w:space="0" w:color="auto"/>
            </w:tcBorders>
            <w:noWrap/>
            <w:vAlign w:val="bottom"/>
            <w:hideMark/>
          </w:tcPr>
          <w:p w14:paraId="626B0FEB" w14:textId="77777777" w:rsidR="008C7172" w:rsidRPr="006B48DD" w:rsidRDefault="008C7172" w:rsidP="00E117B4">
            <w:pPr>
              <w:spacing w:after="0" w:line="240" w:lineRule="auto"/>
              <w:jc w:val="right"/>
              <w:rPr>
                <w:rFonts w:asciiTheme="majorHAnsi" w:eastAsia="Times New Roman" w:hAnsiTheme="majorHAnsi" w:cs="Times New Roman"/>
                <w:color w:val="000000"/>
                <w:sz w:val="20"/>
                <w:szCs w:val="20"/>
              </w:rPr>
            </w:pPr>
            <w:r w:rsidRPr="006B48DD">
              <w:rPr>
                <w:rFonts w:asciiTheme="majorHAnsi" w:hAnsiTheme="majorHAnsi"/>
                <w:color w:val="000000"/>
                <w:sz w:val="20"/>
              </w:rPr>
              <w:t>2,700,041.34</w:t>
            </w:r>
          </w:p>
        </w:tc>
        <w:tc>
          <w:tcPr>
            <w:tcW w:w="1580" w:type="dxa"/>
            <w:tcBorders>
              <w:top w:val="nil"/>
              <w:left w:val="nil"/>
              <w:bottom w:val="single" w:sz="4" w:space="0" w:color="auto"/>
              <w:right w:val="single" w:sz="4" w:space="0" w:color="auto"/>
            </w:tcBorders>
            <w:noWrap/>
            <w:vAlign w:val="bottom"/>
            <w:hideMark/>
          </w:tcPr>
          <w:p w14:paraId="404E875B" w14:textId="77777777" w:rsidR="008C7172" w:rsidRPr="006B48DD" w:rsidRDefault="008C7172" w:rsidP="00E117B4">
            <w:pPr>
              <w:spacing w:after="0" w:line="240" w:lineRule="auto"/>
              <w:jc w:val="right"/>
              <w:rPr>
                <w:rFonts w:asciiTheme="majorHAnsi" w:eastAsia="Times New Roman" w:hAnsiTheme="majorHAnsi" w:cs="Times New Roman"/>
                <w:color w:val="000000"/>
                <w:sz w:val="20"/>
                <w:szCs w:val="20"/>
              </w:rPr>
            </w:pPr>
            <w:r w:rsidRPr="006B48DD">
              <w:rPr>
                <w:rFonts w:asciiTheme="majorHAnsi" w:hAnsiTheme="majorHAnsi"/>
                <w:color w:val="000000"/>
                <w:sz w:val="20"/>
              </w:rPr>
              <w:t>86.47%</w:t>
            </w:r>
          </w:p>
        </w:tc>
      </w:tr>
      <w:tr w:rsidR="00C131A0" w:rsidRPr="006B48DD" w14:paraId="286237F4" w14:textId="77777777" w:rsidTr="00883039">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14ED98AF" w14:textId="77777777" w:rsidR="00C131A0" w:rsidRPr="006B48DD" w:rsidRDefault="00C131A0" w:rsidP="00E117B4">
            <w:pPr>
              <w:spacing w:after="0" w:line="240" w:lineRule="auto"/>
              <w:jc w:val="center"/>
              <w:rPr>
                <w:rFonts w:asciiTheme="majorHAnsi" w:eastAsia="Times New Roman" w:hAnsiTheme="majorHAnsi" w:cs="Times New Roman"/>
                <w:color w:val="000000"/>
                <w:sz w:val="20"/>
                <w:szCs w:val="20"/>
              </w:rPr>
            </w:pPr>
            <w:r w:rsidRPr="006B48DD">
              <w:rPr>
                <w:rFonts w:asciiTheme="majorHAnsi" w:hAnsiTheme="majorHAnsi"/>
                <w:color w:val="000000"/>
                <w:sz w:val="20"/>
              </w:rPr>
              <w:t>2015</w:t>
            </w:r>
          </w:p>
        </w:tc>
        <w:tc>
          <w:tcPr>
            <w:tcW w:w="1580" w:type="dxa"/>
            <w:tcBorders>
              <w:top w:val="nil"/>
              <w:left w:val="nil"/>
              <w:bottom w:val="single" w:sz="4" w:space="0" w:color="auto"/>
              <w:right w:val="single" w:sz="4" w:space="0" w:color="auto"/>
            </w:tcBorders>
            <w:noWrap/>
            <w:vAlign w:val="bottom"/>
            <w:hideMark/>
          </w:tcPr>
          <w:p w14:paraId="7A07292B" w14:textId="77777777" w:rsidR="00C131A0" w:rsidRPr="006B48DD" w:rsidRDefault="00C131A0" w:rsidP="00E117B4">
            <w:pPr>
              <w:spacing w:after="0" w:line="240" w:lineRule="auto"/>
              <w:jc w:val="right"/>
              <w:rPr>
                <w:rFonts w:asciiTheme="majorHAnsi" w:eastAsia="Times New Roman" w:hAnsiTheme="majorHAnsi" w:cs="Times New Roman"/>
                <w:color w:val="000000"/>
                <w:sz w:val="20"/>
                <w:szCs w:val="20"/>
              </w:rPr>
            </w:pPr>
            <w:r w:rsidRPr="006B48DD">
              <w:rPr>
                <w:rFonts w:asciiTheme="majorHAnsi" w:hAnsiTheme="majorHAnsi"/>
                <w:color w:val="000000"/>
                <w:sz w:val="20"/>
              </w:rPr>
              <w:t>3,199,887.87</w:t>
            </w:r>
          </w:p>
        </w:tc>
        <w:tc>
          <w:tcPr>
            <w:tcW w:w="1580" w:type="dxa"/>
            <w:tcBorders>
              <w:top w:val="nil"/>
              <w:left w:val="nil"/>
              <w:bottom w:val="single" w:sz="4" w:space="0" w:color="auto"/>
              <w:right w:val="single" w:sz="4" w:space="0" w:color="auto"/>
            </w:tcBorders>
            <w:noWrap/>
            <w:vAlign w:val="bottom"/>
          </w:tcPr>
          <w:p w14:paraId="7FC34E47" w14:textId="77777777" w:rsidR="00C131A0" w:rsidRPr="006B48DD" w:rsidRDefault="00C131A0" w:rsidP="00E117B4">
            <w:pPr>
              <w:spacing w:after="0" w:line="240" w:lineRule="auto"/>
              <w:jc w:val="right"/>
              <w:rPr>
                <w:rFonts w:asciiTheme="majorHAnsi" w:eastAsia="Times New Roman" w:hAnsiTheme="majorHAnsi" w:cs="Times New Roman"/>
                <w:color w:val="000000"/>
                <w:sz w:val="20"/>
                <w:szCs w:val="20"/>
              </w:rPr>
            </w:pPr>
            <w:r w:rsidRPr="006B48DD">
              <w:rPr>
                <w:rFonts w:asciiTheme="majorHAnsi" w:hAnsiTheme="majorHAnsi"/>
                <w:color w:val="000000"/>
                <w:sz w:val="20"/>
              </w:rPr>
              <w:t>1,823,382.55</w:t>
            </w:r>
          </w:p>
        </w:tc>
        <w:tc>
          <w:tcPr>
            <w:tcW w:w="1580" w:type="dxa"/>
            <w:tcBorders>
              <w:top w:val="nil"/>
              <w:left w:val="nil"/>
              <w:bottom w:val="single" w:sz="4" w:space="0" w:color="auto"/>
              <w:right w:val="single" w:sz="4" w:space="0" w:color="auto"/>
            </w:tcBorders>
            <w:noWrap/>
            <w:vAlign w:val="bottom"/>
            <w:hideMark/>
          </w:tcPr>
          <w:p w14:paraId="029EFD25" w14:textId="77777777" w:rsidR="00C131A0" w:rsidRPr="006B48DD" w:rsidRDefault="00C131A0" w:rsidP="00C131A0">
            <w:pPr>
              <w:spacing w:after="0" w:line="240" w:lineRule="auto"/>
              <w:jc w:val="right"/>
              <w:rPr>
                <w:rFonts w:asciiTheme="majorHAnsi" w:eastAsia="Times New Roman" w:hAnsiTheme="majorHAnsi" w:cs="Times New Roman"/>
                <w:color w:val="000000"/>
                <w:sz w:val="20"/>
                <w:szCs w:val="20"/>
              </w:rPr>
            </w:pPr>
            <w:r w:rsidRPr="006B48DD">
              <w:rPr>
                <w:rFonts w:asciiTheme="majorHAnsi" w:hAnsiTheme="majorHAnsi"/>
                <w:color w:val="000000"/>
                <w:sz w:val="20"/>
              </w:rPr>
              <w:t>56.98%</w:t>
            </w:r>
          </w:p>
        </w:tc>
      </w:tr>
      <w:tr w:rsidR="00C131A0" w:rsidRPr="004E1EAD" w14:paraId="1C4599CB" w14:textId="77777777" w:rsidTr="00C131A0">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5B09585E" w14:textId="77777777" w:rsidR="00C131A0" w:rsidRPr="006B48DD" w:rsidRDefault="00C131A0" w:rsidP="00C131A0">
            <w:pPr>
              <w:spacing w:after="0" w:line="240" w:lineRule="auto"/>
              <w:jc w:val="center"/>
              <w:rPr>
                <w:rFonts w:asciiTheme="majorHAnsi" w:eastAsia="Times New Roman" w:hAnsiTheme="majorHAnsi" w:cs="Times New Roman"/>
                <w:color w:val="000000"/>
                <w:sz w:val="20"/>
                <w:szCs w:val="20"/>
              </w:rPr>
            </w:pPr>
            <w:r w:rsidRPr="006B48DD">
              <w:rPr>
                <w:rFonts w:asciiTheme="majorHAnsi" w:hAnsiTheme="majorHAnsi"/>
                <w:color w:val="000000"/>
                <w:sz w:val="20"/>
              </w:rPr>
              <w:t>2016</w:t>
            </w:r>
          </w:p>
        </w:tc>
        <w:tc>
          <w:tcPr>
            <w:tcW w:w="1580" w:type="dxa"/>
            <w:tcBorders>
              <w:top w:val="nil"/>
              <w:left w:val="nil"/>
              <w:bottom w:val="single" w:sz="4" w:space="0" w:color="auto"/>
              <w:right w:val="single" w:sz="4" w:space="0" w:color="auto"/>
            </w:tcBorders>
            <w:noWrap/>
            <w:vAlign w:val="bottom"/>
            <w:hideMark/>
          </w:tcPr>
          <w:p w14:paraId="108FFEFE" w14:textId="77777777" w:rsidR="00C131A0" w:rsidRPr="006B48DD" w:rsidRDefault="00C131A0" w:rsidP="00E117B4">
            <w:pPr>
              <w:spacing w:after="0" w:line="240" w:lineRule="auto"/>
              <w:jc w:val="right"/>
              <w:rPr>
                <w:rFonts w:asciiTheme="majorHAnsi" w:eastAsia="Times New Roman" w:hAnsiTheme="majorHAnsi" w:cs="Times New Roman"/>
                <w:color w:val="000000"/>
                <w:sz w:val="20"/>
                <w:szCs w:val="20"/>
              </w:rPr>
            </w:pPr>
            <w:r w:rsidRPr="006B48DD">
              <w:rPr>
                <w:rFonts w:asciiTheme="majorHAnsi" w:hAnsiTheme="majorHAnsi"/>
                <w:color w:val="000000"/>
                <w:sz w:val="20"/>
              </w:rPr>
              <w:t>3,392,031.52</w:t>
            </w:r>
          </w:p>
        </w:tc>
        <w:tc>
          <w:tcPr>
            <w:tcW w:w="1580" w:type="dxa"/>
            <w:tcBorders>
              <w:top w:val="nil"/>
              <w:left w:val="nil"/>
              <w:bottom w:val="single" w:sz="4" w:space="0" w:color="auto"/>
              <w:right w:val="single" w:sz="4" w:space="0" w:color="auto"/>
            </w:tcBorders>
            <w:noWrap/>
            <w:vAlign w:val="bottom"/>
          </w:tcPr>
          <w:p w14:paraId="7F361EE0" w14:textId="77777777" w:rsidR="00C131A0" w:rsidRPr="006B48DD" w:rsidRDefault="00C131A0" w:rsidP="00E117B4">
            <w:pPr>
              <w:spacing w:after="0" w:line="240" w:lineRule="auto"/>
              <w:jc w:val="right"/>
              <w:rPr>
                <w:rFonts w:asciiTheme="majorHAnsi" w:eastAsia="Times New Roman" w:hAnsiTheme="majorHAnsi" w:cs="Times New Roman"/>
                <w:color w:val="000000"/>
                <w:sz w:val="20"/>
                <w:szCs w:val="20"/>
              </w:rPr>
            </w:pPr>
            <w:r w:rsidRPr="006B48DD">
              <w:rPr>
                <w:rFonts w:asciiTheme="majorHAnsi" w:hAnsiTheme="majorHAnsi"/>
                <w:color w:val="000000"/>
                <w:sz w:val="20"/>
              </w:rPr>
              <w:t>843,923.95</w:t>
            </w:r>
          </w:p>
        </w:tc>
        <w:tc>
          <w:tcPr>
            <w:tcW w:w="1580" w:type="dxa"/>
            <w:tcBorders>
              <w:top w:val="nil"/>
              <w:left w:val="nil"/>
              <w:bottom w:val="single" w:sz="4" w:space="0" w:color="auto"/>
              <w:right w:val="single" w:sz="4" w:space="0" w:color="auto"/>
            </w:tcBorders>
            <w:noWrap/>
            <w:vAlign w:val="bottom"/>
            <w:hideMark/>
          </w:tcPr>
          <w:p w14:paraId="5A4B77F3" w14:textId="77777777" w:rsidR="00C131A0" w:rsidRPr="004E1EAD" w:rsidRDefault="00C131A0" w:rsidP="00C131A0">
            <w:pPr>
              <w:spacing w:after="0" w:line="240" w:lineRule="auto"/>
              <w:jc w:val="right"/>
              <w:rPr>
                <w:rFonts w:asciiTheme="majorHAnsi" w:eastAsia="Times New Roman" w:hAnsiTheme="majorHAnsi" w:cs="Times New Roman"/>
                <w:color w:val="000000"/>
                <w:sz w:val="20"/>
                <w:szCs w:val="20"/>
              </w:rPr>
            </w:pPr>
            <w:r w:rsidRPr="006B48DD">
              <w:rPr>
                <w:rFonts w:asciiTheme="majorHAnsi" w:hAnsiTheme="majorHAnsi"/>
                <w:color w:val="000000"/>
                <w:sz w:val="20"/>
              </w:rPr>
              <w:t>24.88%</w:t>
            </w:r>
          </w:p>
        </w:tc>
      </w:tr>
      <w:tr w:rsidR="00B1742C" w:rsidRPr="004E1EAD" w14:paraId="45A5B68C" w14:textId="77777777" w:rsidTr="003303CE">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3529C588" w14:textId="77777777" w:rsidR="00B1742C" w:rsidRPr="004E1EAD" w:rsidRDefault="00B1742C" w:rsidP="00B1742C">
            <w:pPr>
              <w:spacing w:after="0" w:line="240" w:lineRule="auto"/>
              <w:jc w:val="center"/>
              <w:rPr>
                <w:rFonts w:asciiTheme="majorHAnsi" w:eastAsia="Times New Roman" w:hAnsiTheme="majorHAnsi" w:cs="Times New Roman"/>
                <w:color w:val="000000"/>
                <w:sz w:val="20"/>
                <w:szCs w:val="20"/>
              </w:rPr>
            </w:pPr>
            <w:r>
              <w:rPr>
                <w:rFonts w:asciiTheme="majorHAnsi" w:hAnsiTheme="majorHAnsi"/>
                <w:color w:val="000000"/>
                <w:sz w:val="20"/>
              </w:rPr>
              <w:t>2017</w:t>
            </w:r>
          </w:p>
        </w:tc>
        <w:tc>
          <w:tcPr>
            <w:tcW w:w="1580" w:type="dxa"/>
            <w:tcBorders>
              <w:top w:val="nil"/>
              <w:left w:val="nil"/>
              <w:bottom w:val="single" w:sz="4" w:space="0" w:color="auto"/>
              <w:right w:val="single" w:sz="4" w:space="0" w:color="auto"/>
            </w:tcBorders>
            <w:noWrap/>
            <w:vAlign w:val="bottom"/>
            <w:hideMark/>
          </w:tcPr>
          <w:p w14:paraId="1E8BC282" w14:textId="77777777" w:rsidR="00B1742C" w:rsidRPr="004E1EAD" w:rsidRDefault="00B1742C" w:rsidP="00981E91">
            <w:pPr>
              <w:spacing w:after="0" w:line="240" w:lineRule="auto"/>
              <w:jc w:val="right"/>
              <w:rPr>
                <w:rFonts w:asciiTheme="majorHAnsi" w:eastAsia="Times New Roman" w:hAnsiTheme="majorHAnsi" w:cs="Times New Roman"/>
                <w:color w:val="000000"/>
                <w:sz w:val="20"/>
                <w:szCs w:val="20"/>
              </w:rPr>
            </w:pPr>
            <w:r>
              <w:rPr>
                <w:rFonts w:asciiTheme="majorHAnsi" w:hAnsiTheme="majorHAnsi"/>
                <w:color w:val="000000"/>
                <w:sz w:val="20"/>
              </w:rPr>
              <w:t>3,635,672.15</w:t>
            </w:r>
          </w:p>
        </w:tc>
        <w:tc>
          <w:tcPr>
            <w:tcW w:w="1580" w:type="dxa"/>
            <w:tcBorders>
              <w:top w:val="nil"/>
              <w:left w:val="nil"/>
              <w:bottom w:val="single" w:sz="4" w:space="0" w:color="auto"/>
              <w:right w:val="single" w:sz="4" w:space="0" w:color="auto"/>
            </w:tcBorders>
            <w:noWrap/>
            <w:vAlign w:val="bottom"/>
          </w:tcPr>
          <w:p w14:paraId="72B1AF5E" w14:textId="77777777" w:rsidR="00B1742C" w:rsidRPr="004E1EAD" w:rsidRDefault="00B1742C" w:rsidP="00981E91">
            <w:pPr>
              <w:spacing w:after="0" w:line="240" w:lineRule="auto"/>
              <w:jc w:val="right"/>
              <w:rPr>
                <w:rFonts w:asciiTheme="majorHAnsi" w:eastAsia="Times New Roman" w:hAnsiTheme="majorHAnsi" w:cs="Times New Roman"/>
                <w:color w:val="000000"/>
                <w:sz w:val="20"/>
                <w:szCs w:val="20"/>
              </w:rPr>
            </w:pPr>
            <w:r>
              <w:rPr>
                <w:rFonts w:asciiTheme="majorHAnsi" w:hAnsiTheme="majorHAnsi"/>
                <w:color w:val="000000"/>
                <w:sz w:val="20"/>
              </w:rPr>
              <w:t>701,586.18</w:t>
            </w:r>
          </w:p>
        </w:tc>
        <w:tc>
          <w:tcPr>
            <w:tcW w:w="1580" w:type="dxa"/>
            <w:tcBorders>
              <w:top w:val="nil"/>
              <w:left w:val="nil"/>
              <w:bottom w:val="single" w:sz="4" w:space="0" w:color="auto"/>
              <w:right w:val="single" w:sz="4" w:space="0" w:color="auto"/>
            </w:tcBorders>
            <w:noWrap/>
            <w:vAlign w:val="bottom"/>
            <w:hideMark/>
          </w:tcPr>
          <w:p w14:paraId="25A1A78E" w14:textId="77777777" w:rsidR="00B1742C" w:rsidRPr="004E1EAD" w:rsidRDefault="00B1742C" w:rsidP="00B1742C">
            <w:pPr>
              <w:spacing w:after="0" w:line="240" w:lineRule="auto"/>
              <w:jc w:val="right"/>
              <w:rPr>
                <w:rFonts w:asciiTheme="majorHAnsi" w:eastAsia="Times New Roman" w:hAnsiTheme="majorHAnsi" w:cs="Times New Roman"/>
                <w:color w:val="000000"/>
                <w:sz w:val="20"/>
                <w:szCs w:val="20"/>
              </w:rPr>
            </w:pPr>
            <w:r>
              <w:rPr>
                <w:rFonts w:asciiTheme="majorHAnsi" w:hAnsiTheme="majorHAnsi"/>
                <w:color w:val="000000"/>
                <w:sz w:val="20"/>
              </w:rPr>
              <w:t>19.30%</w:t>
            </w:r>
          </w:p>
        </w:tc>
      </w:tr>
      <w:tr w:rsidR="00AF7AAF" w:rsidRPr="004E1EAD" w14:paraId="6B3F0B1F" w14:textId="77777777" w:rsidTr="003303CE">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4BE876EE" w14:textId="0AFDEF99" w:rsidR="00AF7AAF" w:rsidRPr="004E1EAD" w:rsidRDefault="00AF7AAF" w:rsidP="00B1742C">
            <w:pPr>
              <w:spacing w:after="0" w:line="240" w:lineRule="auto"/>
              <w:jc w:val="center"/>
              <w:rPr>
                <w:rFonts w:asciiTheme="majorHAnsi" w:eastAsia="Times New Roman" w:hAnsiTheme="majorHAnsi" w:cs="Times New Roman"/>
                <w:color w:val="000000"/>
                <w:sz w:val="20"/>
                <w:szCs w:val="20"/>
              </w:rPr>
            </w:pPr>
            <w:r>
              <w:rPr>
                <w:rFonts w:asciiTheme="majorHAnsi" w:hAnsiTheme="majorHAnsi"/>
                <w:color w:val="000000"/>
                <w:sz w:val="20"/>
              </w:rPr>
              <w:t>2018</w:t>
            </w:r>
          </w:p>
        </w:tc>
        <w:tc>
          <w:tcPr>
            <w:tcW w:w="1580" w:type="dxa"/>
            <w:tcBorders>
              <w:top w:val="single" w:sz="4" w:space="0" w:color="auto"/>
              <w:left w:val="nil"/>
              <w:bottom w:val="single" w:sz="4" w:space="0" w:color="auto"/>
              <w:right w:val="single" w:sz="4" w:space="0" w:color="auto"/>
            </w:tcBorders>
            <w:noWrap/>
            <w:vAlign w:val="bottom"/>
          </w:tcPr>
          <w:p w14:paraId="302760CD" w14:textId="7BDE0E16" w:rsidR="00AF7AAF" w:rsidRPr="004E1EAD" w:rsidRDefault="00AF7AAF" w:rsidP="00981E91">
            <w:pPr>
              <w:spacing w:after="0" w:line="240" w:lineRule="auto"/>
              <w:jc w:val="right"/>
              <w:rPr>
                <w:rFonts w:asciiTheme="majorHAnsi" w:eastAsia="Times New Roman" w:hAnsiTheme="majorHAnsi" w:cs="Times New Roman"/>
                <w:color w:val="000000"/>
                <w:sz w:val="20"/>
                <w:szCs w:val="20"/>
              </w:rPr>
            </w:pPr>
            <w:r>
              <w:rPr>
                <w:rFonts w:asciiTheme="majorHAnsi" w:hAnsiTheme="majorHAnsi"/>
                <w:color w:val="000000"/>
                <w:sz w:val="20"/>
              </w:rPr>
              <w:t>3,817,573.51</w:t>
            </w:r>
          </w:p>
        </w:tc>
        <w:tc>
          <w:tcPr>
            <w:tcW w:w="1580" w:type="dxa"/>
            <w:tcBorders>
              <w:top w:val="single" w:sz="4" w:space="0" w:color="auto"/>
              <w:left w:val="nil"/>
              <w:bottom w:val="single" w:sz="4" w:space="0" w:color="auto"/>
              <w:right w:val="single" w:sz="4" w:space="0" w:color="auto"/>
            </w:tcBorders>
            <w:noWrap/>
            <w:vAlign w:val="bottom"/>
          </w:tcPr>
          <w:p w14:paraId="71B9783A" w14:textId="15A75857" w:rsidR="00AF7AAF" w:rsidRPr="004E1EAD" w:rsidRDefault="00AF7AAF" w:rsidP="00981E91">
            <w:pPr>
              <w:spacing w:after="0" w:line="240" w:lineRule="auto"/>
              <w:jc w:val="right"/>
              <w:rPr>
                <w:rFonts w:asciiTheme="majorHAnsi" w:eastAsia="Times New Roman" w:hAnsiTheme="majorHAnsi" w:cs="Times New Roman"/>
                <w:color w:val="000000"/>
                <w:sz w:val="20"/>
                <w:szCs w:val="20"/>
              </w:rPr>
            </w:pPr>
            <w:r>
              <w:rPr>
                <w:rFonts w:asciiTheme="majorHAnsi" w:hAnsiTheme="majorHAnsi"/>
                <w:color w:val="000000"/>
                <w:sz w:val="20"/>
              </w:rPr>
              <w:t>697,504.77</w:t>
            </w:r>
          </w:p>
        </w:tc>
        <w:tc>
          <w:tcPr>
            <w:tcW w:w="1580" w:type="dxa"/>
            <w:tcBorders>
              <w:top w:val="single" w:sz="4" w:space="0" w:color="auto"/>
              <w:left w:val="nil"/>
              <w:bottom w:val="single" w:sz="4" w:space="0" w:color="auto"/>
              <w:right w:val="single" w:sz="4" w:space="0" w:color="auto"/>
            </w:tcBorders>
            <w:noWrap/>
            <w:vAlign w:val="bottom"/>
          </w:tcPr>
          <w:p w14:paraId="73464E84" w14:textId="7F15E573" w:rsidR="00AF7AAF" w:rsidRPr="004E1EAD" w:rsidRDefault="00576990" w:rsidP="00B1742C">
            <w:pPr>
              <w:spacing w:after="0" w:line="240" w:lineRule="auto"/>
              <w:jc w:val="right"/>
              <w:rPr>
                <w:rFonts w:asciiTheme="majorHAnsi" w:eastAsia="Times New Roman" w:hAnsiTheme="majorHAnsi" w:cs="Times New Roman"/>
                <w:color w:val="000000"/>
                <w:sz w:val="20"/>
                <w:szCs w:val="20"/>
              </w:rPr>
            </w:pPr>
            <w:r>
              <w:rPr>
                <w:rFonts w:asciiTheme="majorHAnsi" w:hAnsiTheme="majorHAnsi"/>
                <w:color w:val="000000"/>
                <w:sz w:val="20"/>
              </w:rPr>
              <w:t>18.27%</w:t>
            </w:r>
          </w:p>
        </w:tc>
      </w:tr>
      <w:tr w:rsidR="00BF5588" w:rsidRPr="004E1EAD" w14:paraId="5DDD247D" w14:textId="77777777">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31C0A2C0" w14:textId="24959D8B" w:rsidR="00BF5588" w:rsidRPr="004E1EAD" w:rsidRDefault="00BF5588">
            <w:pPr>
              <w:spacing w:after="0" w:line="240" w:lineRule="auto"/>
              <w:jc w:val="center"/>
              <w:rPr>
                <w:rFonts w:asciiTheme="majorHAnsi" w:eastAsia="Times New Roman" w:hAnsiTheme="majorHAnsi" w:cs="Times New Roman"/>
                <w:color w:val="000000"/>
                <w:sz w:val="20"/>
                <w:szCs w:val="20"/>
              </w:rPr>
            </w:pPr>
            <w:r>
              <w:rPr>
                <w:rFonts w:asciiTheme="majorHAnsi" w:hAnsiTheme="majorHAnsi"/>
                <w:color w:val="000000"/>
                <w:sz w:val="20"/>
              </w:rPr>
              <w:t>2019</w:t>
            </w:r>
          </w:p>
        </w:tc>
        <w:tc>
          <w:tcPr>
            <w:tcW w:w="1580" w:type="dxa"/>
            <w:tcBorders>
              <w:top w:val="single" w:sz="4" w:space="0" w:color="auto"/>
              <w:left w:val="nil"/>
              <w:bottom w:val="single" w:sz="4" w:space="0" w:color="auto"/>
              <w:right w:val="single" w:sz="4" w:space="0" w:color="auto"/>
            </w:tcBorders>
            <w:noWrap/>
            <w:vAlign w:val="bottom"/>
          </w:tcPr>
          <w:p w14:paraId="46306249" w14:textId="1605D398" w:rsidR="00BF5588" w:rsidRPr="004E1EAD" w:rsidRDefault="00BF5588">
            <w:pPr>
              <w:spacing w:after="0" w:line="240" w:lineRule="auto"/>
              <w:jc w:val="right"/>
              <w:rPr>
                <w:rFonts w:asciiTheme="majorHAnsi" w:eastAsia="Times New Roman" w:hAnsiTheme="majorHAnsi" w:cs="Times New Roman"/>
                <w:color w:val="000000"/>
                <w:sz w:val="20"/>
                <w:szCs w:val="20"/>
              </w:rPr>
            </w:pPr>
            <w:r>
              <w:rPr>
                <w:rFonts w:asciiTheme="majorHAnsi" w:hAnsiTheme="majorHAnsi"/>
                <w:color w:val="000000"/>
                <w:sz w:val="20"/>
              </w:rPr>
              <w:t>4,008,554.98</w:t>
            </w:r>
          </w:p>
        </w:tc>
        <w:tc>
          <w:tcPr>
            <w:tcW w:w="1580" w:type="dxa"/>
            <w:tcBorders>
              <w:top w:val="single" w:sz="4" w:space="0" w:color="auto"/>
              <w:left w:val="nil"/>
              <w:bottom w:val="single" w:sz="4" w:space="0" w:color="auto"/>
              <w:right w:val="single" w:sz="4" w:space="0" w:color="auto"/>
            </w:tcBorders>
            <w:noWrap/>
            <w:vAlign w:val="bottom"/>
          </w:tcPr>
          <w:p w14:paraId="49376FBF" w14:textId="117286A1" w:rsidR="00BF5588" w:rsidRPr="004E1EAD" w:rsidRDefault="00BF5588">
            <w:pPr>
              <w:spacing w:after="0" w:line="240" w:lineRule="auto"/>
              <w:jc w:val="right"/>
              <w:rPr>
                <w:rFonts w:asciiTheme="majorHAnsi" w:eastAsia="Times New Roman" w:hAnsiTheme="majorHAnsi" w:cs="Times New Roman"/>
                <w:color w:val="000000"/>
                <w:sz w:val="20"/>
                <w:szCs w:val="20"/>
              </w:rPr>
            </w:pPr>
            <w:r>
              <w:rPr>
                <w:rFonts w:asciiTheme="majorHAnsi" w:hAnsiTheme="majorHAnsi"/>
                <w:color w:val="000000"/>
                <w:sz w:val="20"/>
              </w:rPr>
              <w:t>578,133.92</w:t>
            </w:r>
          </w:p>
        </w:tc>
        <w:tc>
          <w:tcPr>
            <w:tcW w:w="1580" w:type="dxa"/>
            <w:tcBorders>
              <w:top w:val="single" w:sz="4" w:space="0" w:color="auto"/>
              <w:left w:val="nil"/>
              <w:bottom w:val="single" w:sz="4" w:space="0" w:color="auto"/>
              <w:right w:val="single" w:sz="4" w:space="0" w:color="auto"/>
            </w:tcBorders>
            <w:noWrap/>
            <w:vAlign w:val="bottom"/>
          </w:tcPr>
          <w:p w14:paraId="6EC6DB6F" w14:textId="7566DD91" w:rsidR="00BF5588" w:rsidRPr="004E1EAD" w:rsidRDefault="00BF5588">
            <w:pPr>
              <w:spacing w:after="0" w:line="240" w:lineRule="auto"/>
              <w:jc w:val="right"/>
              <w:rPr>
                <w:rFonts w:asciiTheme="majorHAnsi" w:eastAsia="Times New Roman" w:hAnsiTheme="majorHAnsi" w:cs="Times New Roman"/>
                <w:color w:val="000000"/>
                <w:sz w:val="20"/>
                <w:szCs w:val="20"/>
              </w:rPr>
            </w:pPr>
            <w:r>
              <w:rPr>
                <w:rFonts w:asciiTheme="majorHAnsi" w:hAnsiTheme="majorHAnsi"/>
                <w:color w:val="000000"/>
                <w:sz w:val="20"/>
              </w:rPr>
              <w:t>14.42%</w:t>
            </w:r>
          </w:p>
        </w:tc>
      </w:tr>
      <w:tr w:rsidR="00D16CCD" w:rsidRPr="004E1EAD" w14:paraId="4A2C5AA4" w14:textId="77777777">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2B6E1830" w14:textId="7AAD425A" w:rsidR="00D16CCD" w:rsidRPr="004E1EAD" w:rsidRDefault="00D16CCD" w:rsidP="00D16CCD">
            <w:pPr>
              <w:spacing w:after="0" w:line="240" w:lineRule="auto"/>
              <w:jc w:val="center"/>
              <w:rPr>
                <w:rFonts w:asciiTheme="majorHAnsi" w:eastAsia="Times New Roman" w:hAnsiTheme="majorHAnsi" w:cs="Times New Roman"/>
                <w:color w:val="000000"/>
                <w:sz w:val="20"/>
                <w:szCs w:val="20"/>
              </w:rPr>
            </w:pPr>
            <w:r>
              <w:rPr>
                <w:rFonts w:asciiTheme="majorHAnsi" w:hAnsiTheme="majorHAnsi"/>
                <w:color w:val="000000"/>
                <w:sz w:val="20"/>
              </w:rPr>
              <w:t>2020</w:t>
            </w:r>
          </w:p>
        </w:tc>
        <w:tc>
          <w:tcPr>
            <w:tcW w:w="1580" w:type="dxa"/>
            <w:tcBorders>
              <w:top w:val="single" w:sz="4" w:space="0" w:color="auto"/>
              <w:left w:val="nil"/>
              <w:bottom w:val="single" w:sz="4" w:space="0" w:color="auto"/>
              <w:right w:val="single" w:sz="4" w:space="0" w:color="auto"/>
            </w:tcBorders>
            <w:noWrap/>
            <w:vAlign w:val="bottom"/>
          </w:tcPr>
          <w:p w14:paraId="39A2B9E9" w14:textId="72B411D8" w:rsidR="00D16CCD" w:rsidRPr="004E1EAD" w:rsidRDefault="00D16CCD">
            <w:pPr>
              <w:spacing w:after="0" w:line="240" w:lineRule="auto"/>
              <w:jc w:val="right"/>
              <w:rPr>
                <w:rFonts w:asciiTheme="majorHAnsi" w:eastAsia="Times New Roman" w:hAnsiTheme="majorHAnsi" w:cs="Times New Roman"/>
                <w:color w:val="000000"/>
                <w:sz w:val="20"/>
                <w:szCs w:val="20"/>
              </w:rPr>
            </w:pPr>
            <w:r>
              <w:rPr>
                <w:rFonts w:asciiTheme="majorHAnsi" w:hAnsiTheme="majorHAnsi"/>
                <w:color w:val="000000"/>
                <w:sz w:val="20"/>
              </w:rPr>
              <w:t>4,222,708.17</w:t>
            </w:r>
          </w:p>
        </w:tc>
        <w:tc>
          <w:tcPr>
            <w:tcW w:w="1580" w:type="dxa"/>
            <w:tcBorders>
              <w:top w:val="single" w:sz="4" w:space="0" w:color="auto"/>
              <w:left w:val="nil"/>
              <w:bottom w:val="single" w:sz="4" w:space="0" w:color="auto"/>
              <w:right w:val="single" w:sz="4" w:space="0" w:color="auto"/>
            </w:tcBorders>
            <w:noWrap/>
            <w:vAlign w:val="bottom"/>
          </w:tcPr>
          <w:p w14:paraId="32C2FCA2" w14:textId="24946C45" w:rsidR="00D16CCD" w:rsidRPr="004E1EAD" w:rsidRDefault="00D16CCD">
            <w:pPr>
              <w:spacing w:after="0" w:line="240" w:lineRule="auto"/>
              <w:jc w:val="right"/>
              <w:rPr>
                <w:rFonts w:asciiTheme="majorHAnsi" w:eastAsia="Times New Roman" w:hAnsiTheme="majorHAnsi" w:cs="Times New Roman"/>
                <w:color w:val="000000"/>
                <w:sz w:val="20"/>
                <w:szCs w:val="20"/>
              </w:rPr>
            </w:pPr>
            <w:r>
              <w:rPr>
                <w:rFonts w:asciiTheme="majorHAnsi" w:hAnsiTheme="majorHAnsi"/>
                <w:color w:val="000000"/>
                <w:sz w:val="20"/>
              </w:rPr>
              <w:t>891,080.91</w:t>
            </w:r>
          </w:p>
        </w:tc>
        <w:tc>
          <w:tcPr>
            <w:tcW w:w="1580" w:type="dxa"/>
            <w:tcBorders>
              <w:top w:val="single" w:sz="4" w:space="0" w:color="auto"/>
              <w:left w:val="nil"/>
              <w:bottom w:val="single" w:sz="4" w:space="0" w:color="auto"/>
              <w:right w:val="single" w:sz="4" w:space="0" w:color="auto"/>
            </w:tcBorders>
            <w:noWrap/>
            <w:vAlign w:val="bottom"/>
          </w:tcPr>
          <w:p w14:paraId="7D629649" w14:textId="4575D7BD" w:rsidR="00D16CCD" w:rsidRPr="004E1EAD" w:rsidRDefault="00D16CCD">
            <w:pPr>
              <w:spacing w:after="0" w:line="240" w:lineRule="auto"/>
              <w:jc w:val="right"/>
              <w:rPr>
                <w:rFonts w:asciiTheme="majorHAnsi" w:eastAsia="Times New Roman" w:hAnsiTheme="majorHAnsi" w:cs="Times New Roman"/>
                <w:color w:val="000000"/>
                <w:sz w:val="20"/>
                <w:szCs w:val="20"/>
              </w:rPr>
            </w:pPr>
            <w:r>
              <w:rPr>
                <w:rFonts w:asciiTheme="majorHAnsi" w:hAnsiTheme="majorHAnsi"/>
                <w:color w:val="000000"/>
                <w:sz w:val="20"/>
              </w:rPr>
              <w:t>21.10%</w:t>
            </w:r>
          </w:p>
        </w:tc>
      </w:tr>
      <w:tr w:rsidR="00D16CCD" w:rsidRPr="004E1EAD" w14:paraId="201F1EB8" w14:textId="77777777">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229E239E" w14:textId="1607EF18" w:rsidR="00D16CCD" w:rsidRPr="004E1EAD" w:rsidRDefault="00D16CCD">
            <w:pPr>
              <w:spacing w:after="0" w:line="240" w:lineRule="auto"/>
              <w:jc w:val="center"/>
              <w:rPr>
                <w:rFonts w:asciiTheme="majorHAnsi" w:eastAsia="Times New Roman" w:hAnsiTheme="majorHAnsi" w:cs="Times New Roman"/>
                <w:color w:val="000000"/>
                <w:sz w:val="20"/>
                <w:szCs w:val="20"/>
              </w:rPr>
            </w:pPr>
            <w:bookmarkStart w:id="0" w:name="_Hlk148953202"/>
            <w:r>
              <w:rPr>
                <w:rFonts w:asciiTheme="majorHAnsi" w:hAnsiTheme="majorHAnsi"/>
                <w:color w:val="000000"/>
                <w:sz w:val="20"/>
              </w:rPr>
              <w:t>2021</w:t>
            </w:r>
          </w:p>
        </w:tc>
        <w:tc>
          <w:tcPr>
            <w:tcW w:w="1580" w:type="dxa"/>
            <w:tcBorders>
              <w:top w:val="single" w:sz="4" w:space="0" w:color="auto"/>
              <w:left w:val="nil"/>
              <w:bottom w:val="single" w:sz="4" w:space="0" w:color="auto"/>
              <w:right w:val="single" w:sz="4" w:space="0" w:color="auto"/>
            </w:tcBorders>
            <w:noWrap/>
            <w:vAlign w:val="bottom"/>
          </w:tcPr>
          <w:p w14:paraId="27C9164D" w14:textId="13B2CB1E" w:rsidR="00D16CCD" w:rsidRPr="004E1EAD" w:rsidRDefault="00D16CCD">
            <w:pPr>
              <w:spacing w:after="0" w:line="240" w:lineRule="auto"/>
              <w:jc w:val="right"/>
              <w:rPr>
                <w:rFonts w:asciiTheme="majorHAnsi" w:eastAsia="Times New Roman" w:hAnsiTheme="majorHAnsi" w:cs="Times New Roman"/>
                <w:color w:val="000000"/>
                <w:sz w:val="20"/>
                <w:szCs w:val="20"/>
              </w:rPr>
            </w:pPr>
            <w:r>
              <w:rPr>
                <w:rFonts w:asciiTheme="majorHAnsi" w:hAnsiTheme="majorHAnsi"/>
                <w:color w:val="000000"/>
                <w:sz w:val="20"/>
              </w:rPr>
              <w:t>4,489,286.68</w:t>
            </w:r>
          </w:p>
        </w:tc>
        <w:tc>
          <w:tcPr>
            <w:tcW w:w="1580" w:type="dxa"/>
            <w:tcBorders>
              <w:top w:val="single" w:sz="4" w:space="0" w:color="auto"/>
              <w:left w:val="nil"/>
              <w:bottom w:val="single" w:sz="4" w:space="0" w:color="auto"/>
              <w:right w:val="single" w:sz="4" w:space="0" w:color="auto"/>
            </w:tcBorders>
            <w:noWrap/>
            <w:vAlign w:val="bottom"/>
          </w:tcPr>
          <w:p w14:paraId="686960C3" w14:textId="2C11C14A" w:rsidR="00D16CCD" w:rsidRPr="004E1EAD" w:rsidRDefault="00D16CCD">
            <w:pPr>
              <w:spacing w:after="0" w:line="240" w:lineRule="auto"/>
              <w:jc w:val="right"/>
              <w:rPr>
                <w:rFonts w:asciiTheme="majorHAnsi" w:eastAsia="Times New Roman" w:hAnsiTheme="majorHAnsi" w:cs="Times New Roman"/>
                <w:color w:val="000000"/>
                <w:sz w:val="20"/>
                <w:szCs w:val="20"/>
              </w:rPr>
            </w:pPr>
            <w:r>
              <w:rPr>
                <w:rFonts w:asciiTheme="majorHAnsi" w:hAnsiTheme="majorHAnsi"/>
                <w:color w:val="000000"/>
                <w:sz w:val="20"/>
              </w:rPr>
              <w:t>2,039,057.97</w:t>
            </w:r>
          </w:p>
        </w:tc>
        <w:tc>
          <w:tcPr>
            <w:tcW w:w="1580" w:type="dxa"/>
            <w:tcBorders>
              <w:top w:val="single" w:sz="4" w:space="0" w:color="auto"/>
              <w:left w:val="nil"/>
              <w:bottom w:val="single" w:sz="4" w:space="0" w:color="auto"/>
              <w:right w:val="single" w:sz="4" w:space="0" w:color="auto"/>
            </w:tcBorders>
            <w:noWrap/>
            <w:vAlign w:val="bottom"/>
          </w:tcPr>
          <w:p w14:paraId="2DB1FC0C" w14:textId="3E250CC9" w:rsidR="00D16CCD" w:rsidRPr="004E1EAD" w:rsidRDefault="00D16CCD">
            <w:pPr>
              <w:spacing w:after="0" w:line="240" w:lineRule="auto"/>
              <w:jc w:val="right"/>
              <w:rPr>
                <w:rFonts w:asciiTheme="majorHAnsi" w:eastAsia="Times New Roman" w:hAnsiTheme="majorHAnsi" w:cs="Times New Roman"/>
                <w:color w:val="000000"/>
                <w:sz w:val="20"/>
                <w:szCs w:val="20"/>
              </w:rPr>
            </w:pPr>
            <w:r>
              <w:rPr>
                <w:rFonts w:asciiTheme="majorHAnsi" w:hAnsiTheme="majorHAnsi"/>
                <w:color w:val="000000"/>
                <w:sz w:val="20"/>
              </w:rPr>
              <w:t>45.42%</w:t>
            </w:r>
          </w:p>
        </w:tc>
      </w:tr>
      <w:tr w:rsidR="00F830BF" w:rsidRPr="004E1EAD" w14:paraId="2FD0E50D" w14:textId="77777777">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0E86251D" w14:textId="43EDDAB8" w:rsidR="00F830BF" w:rsidRPr="004E1EAD" w:rsidRDefault="00F830BF" w:rsidP="00FB0DE0">
            <w:pPr>
              <w:spacing w:after="0" w:line="240" w:lineRule="auto"/>
              <w:jc w:val="center"/>
              <w:rPr>
                <w:rFonts w:asciiTheme="majorHAnsi" w:hAnsiTheme="majorHAnsi" w:cs="Times New Roman"/>
                <w:sz w:val="20"/>
                <w:szCs w:val="20"/>
              </w:rPr>
            </w:pPr>
            <w:bookmarkStart w:id="1" w:name="_Hlk180663323"/>
            <w:r>
              <w:rPr>
                <w:rFonts w:asciiTheme="majorHAnsi" w:hAnsiTheme="majorHAnsi"/>
                <w:sz w:val="20"/>
              </w:rPr>
              <w:t>2022</w:t>
            </w:r>
          </w:p>
        </w:tc>
        <w:tc>
          <w:tcPr>
            <w:tcW w:w="1580" w:type="dxa"/>
            <w:tcBorders>
              <w:top w:val="single" w:sz="4" w:space="0" w:color="auto"/>
              <w:left w:val="nil"/>
              <w:bottom w:val="single" w:sz="4" w:space="0" w:color="auto"/>
              <w:right w:val="single" w:sz="4" w:space="0" w:color="auto"/>
            </w:tcBorders>
            <w:noWrap/>
            <w:vAlign w:val="bottom"/>
          </w:tcPr>
          <w:p w14:paraId="4B4A773E" w14:textId="30BA4FF0" w:rsidR="00F830BF" w:rsidRPr="004E1EAD" w:rsidRDefault="00F830BF" w:rsidP="004E1EAD">
            <w:pPr>
              <w:spacing w:after="0" w:line="240" w:lineRule="auto"/>
              <w:jc w:val="right"/>
              <w:rPr>
                <w:rFonts w:asciiTheme="majorHAnsi" w:hAnsiTheme="majorHAnsi" w:cs="Times New Roman"/>
                <w:sz w:val="20"/>
                <w:szCs w:val="20"/>
              </w:rPr>
            </w:pPr>
            <w:r>
              <w:rPr>
                <w:rFonts w:asciiTheme="majorHAnsi" w:hAnsiTheme="majorHAnsi"/>
                <w:sz w:val="20"/>
              </w:rPr>
              <w:t>4,788,676.80</w:t>
            </w:r>
          </w:p>
        </w:tc>
        <w:tc>
          <w:tcPr>
            <w:tcW w:w="1580" w:type="dxa"/>
            <w:tcBorders>
              <w:top w:val="single" w:sz="4" w:space="0" w:color="auto"/>
              <w:left w:val="nil"/>
              <w:bottom w:val="single" w:sz="4" w:space="0" w:color="auto"/>
              <w:right w:val="single" w:sz="4" w:space="0" w:color="auto"/>
            </w:tcBorders>
            <w:noWrap/>
            <w:vAlign w:val="bottom"/>
          </w:tcPr>
          <w:p w14:paraId="02CD57B9" w14:textId="3C0BA53A" w:rsidR="00F830BF" w:rsidRPr="004E1EAD" w:rsidRDefault="00F830BF" w:rsidP="004E1EAD">
            <w:pPr>
              <w:spacing w:after="0" w:line="240" w:lineRule="auto"/>
              <w:jc w:val="right"/>
              <w:rPr>
                <w:rFonts w:asciiTheme="majorHAnsi" w:hAnsiTheme="majorHAnsi" w:cs="Times New Roman"/>
                <w:sz w:val="20"/>
                <w:szCs w:val="20"/>
              </w:rPr>
            </w:pPr>
            <w:r>
              <w:rPr>
                <w:rFonts w:asciiTheme="majorHAnsi" w:hAnsiTheme="majorHAnsi"/>
                <w:sz w:val="20"/>
              </w:rPr>
              <w:t>1,906,160.09</w:t>
            </w:r>
          </w:p>
        </w:tc>
        <w:tc>
          <w:tcPr>
            <w:tcW w:w="1580" w:type="dxa"/>
            <w:tcBorders>
              <w:top w:val="single" w:sz="4" w:space="0" w:color="auto"/>
              <w:left w:val="nil"/>
              <w:bottom w:val="single" w:sz="4" w:space="0" w:color="auto"/>
              <w:right w:val="single" w:sz="4" w:space="0" w:color="auto"/>
            </w:tcBorders>
            <w:noWrap/>
            <w:vAlign w:val="bottom"/>
          </w:tcPr>
          <w:p w14:paraId="1AAB11A7" w14:textId="1908DC62" w:rsidR="00F830BF" w:rsidRPr="004E1EAD" w:rsidRDefault="00F830BF" w:rsidP="004E1EAD">
            <w:pPr>
              <w:spacing w:after="0" w:line="240" w:lineRule="auto"/>
              <w:jc w:val="right"/>
              <w:rPr>
                <w:rFonts w:asciiTheme="majorHAnsi" w:hAnsiTheme="majorHAnsi" w:cs="Times New Roman"/>
                <w:sz w:val="20"/>
                <w:szCs w:val="20"/>
              </w:rPr>
            </w:pPr>
            <w:r>
              <w:rPr>
                <w:rFonts w:asciiTheme="majorHAnsi" w:hAnsiTheme="majorHAnsi"/>
                <w:sz w:val="20"/>
              </w:rPr>
              <w:t>39.81%</w:t>
            </w:r>
          </w:p>
        </w:tc>
      </w:tr>
      <w:tr w:rsidR="00E87389" w:rsidRPr="004E1EAD" w14:paraId="48C1BBCA" w14:textId="77777777">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0019A515" w14:textId="35E1B436" w:rsidR="00E87389" w:rsidRPr="004E1EAD" w:rsidRDefault="00E87389" w:rsidP="00FB0DE0">
            <w:pPr>
              <w:spacing w:after="0" w:line="240" w:lineRule="auto"/>
              <w:jc w:val="center"/>
              <w:rPr>
                <w:rFonts w:asciiTheme="majorHAnsi" w:hAnsiTheme="majorHAnsi" w:cs="Times New Roman"/>
                <w:sz w:val="20"/>
                <w:szCs w:val="20"/>
              </w:rPr>
            </w:pPr>
            <w:r>
              <w:rPr>
                <w:rFonts w:asciiTheme="majorHAnsi" w:hAnsiTheme="majorHAnsi"/>
                <w:sz w:val="20"/>
              </w:rPr>
              <w:t>2023</w:t>
            </w:r>
          </w:p>
        </w:tc>
        <w:tc>
          <w:tcPr>
            <w:tcW w:w="1580" w:type="dxa"/>
            <w:tcBorders>
              <w:top w:val="single" w:sz="4" w:space="0" w:color="auto"/>
              <w:left w:val="nil"/>
              <w:bottom w:val="single" w:sz="4" w:space="0" w:color="auto"/>
              <w:right w:val="single" w:sz="4" w:space="0" w:color="auto"/>
            </w:tcBorders>
            <w:noWrap/>
            <w:vAlign w:val="bottom"/>
          </w:tcPr>
          <w:p w14:paraId="72DEBD4A" w14:textId="0A1A55A3" w:rsidR="00E87389" w:rsidRPr="004E1EAD" w:rsidRDefault="00E87389" w:rsidP="004E1EAD">
            <w:pPr>
              <w:spacing w:after="0" w:line="240" w:lineRule="auto"/>
              <w:jc w:val="right"/>
              <w:rPr>
                <w:rFonts w:asciiTheme="majorHAnsi" w:hAnsiTheme="majorHAnsi" w:cs="Times New Roman"/>
                <w:sz w:val="20"/>
                <w:szCs w:val="20"/>
              </w:rPr>
            </w:pPr>
            <w:r>
              <w:rPr>
                <w:rFonts w:asciiTheme="majorHAnsi" w:hAnsiTheme="majorHAnsi"/>
                <w:sz w:val="20"/>
              </w:rPr>
              <w:t>5,598,443.51</w:t>
            </w:r>
          </w:p>
        </w:tc>
        <w:tc>
          <w:tcPr>
            <w:tcW w:w="1580" w:type="dxa"/>
            <w:tcBorders>
              <w:top w:val="single" w:sz="4" w:space="0" w:color="auto"/>
              <w:left w:val="nil"/>
              <w:bottom w:val="single" w:sz="4" w:space="0" w:color="auto"/>
              <w:right w:val="single" w:sz="4" w:space="0" w:color="auto"/>
            </w:tcBorders>
            <w:noWrap/>
            <w:vAlign w:val="bottom"/>
          </w:tcPr>
          <w:p w14:paraId="6610B598" w14:textId="5511CCB8" w:rsidR="00E87389" w:rsidRPr="004E1EAD" w:rsidRDefault="00E87389" w:rsidP="004E1EAD">
            <w:pPr>
              <w:spacing w:after="0" w:line="240" w:lineRule="auto"/>
              <w:jc w:val="right"/>
              <w:rPr>
                <w:rFonts w:asciiTheme="majorHAnsi" w:hAnsiTheme="majorHAnsi" w:cs="Times New Roman"/>
                <w:sz w:val="20"/>
                <w:szCs w:val="20"/>
              </w:rPr>
            </w:pPr>
            <w:r>
              <w:rPr>
                <w:rFonts w:asciiTheme="majorHAnsi" w:hAnsiTheme="majorHAnsi"/>
                <w:sz w:val="20"/>
              </w:rPr>
              <w:t>2,582,282.44</w:t>
            </w:r>
          </w:p>
        </w:tc>
        <w:tc>
          <w:tcPr>
            <w:tcW w:w="1580" w:type="dxa"/>
            <w:tcBorders>
              <w:top w:val="single" w:sz="4" w:space="0" w:color="auto"/>
              <w:left w:val="nil"/>
              <w:bottom w:val="single" w:sz="4" w:space="0" w:color="auto"/>
              <w:right w:val="single" w:sz="4" w:space="0" w:color="auto"/>
            </w:tcBorders>
            <w:noWrap/>
            <w:vAlign w:val="bottom"/>
          </w:tcPr>
          <w:p w14:paraId="2A137D7C" w14:textId="6B4A8E54" w:rsidR="00E87389" w:rsidRPr="004E1EAD" w:rsidRDefault="00E87389" w:rsidP="004E1EAD">
            <w:pPr>
              <w:spacing w:after="0" w:line="240" w:lineRule="auto"/>
              <w:jc w:val="right"/>
              <w:rPr>
                <w:rFonts w:asciiTheme="majorHAnsi" w:hAnsiTheme="majorHAnsi" w:cs="Times New Roman"/>
                <w:sz w:val="20"/>
                <w:szCs w:val="20"/>
              </w:rPr>
            </w:pPr>
            <w:r>
              <w:rPr>
                <w:rFonts w:asciiTheme="majorHAnsi" w:hAnsiTheme="majorHAnsi"/>
                <w:sz w:val="20"/>
              </w:rPr>
              <w:t>46.13%</w:t>
            </w:r>
          </w:p>
        </w:tc>
      </w:tr>
      <w:tr w:rsidR="004B258A" w:rsidRPr="004E1EAD" w14:paraId="7D064D6C" w14:textId="77777777">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59359B80" w14:textId="20B61712" w:rsidR="004B258A" w:rsidRPr="004E1EAD" w:rsidRDefault="004B258A" w:rsidP="004B258A">
            <w:pPr>
              <w:spacing w:after="0" w:line="240" w:lineRule="auto"/>
              <w:jc w:val="center"/>
              <w:rPr>
                <w:rFonts w:asciiTheme="majorHAnsi" w:hAnsiTheme="majorHAnsi" w:cs="Times New Roman"/>
                <w:sz w:val="20"/>
                <w:szCs w:val="20"/>
              </w:rPr>
            </w:pPr>
            <w:r>
              <w:rPr>
                <w:rFonts w:asciiTheme="majorHAnsi" w:hAnsiTheme="majorHAnsi"/>
                <w:sz w:val="20"/>
              </w:rPr>
              <w:t>2024</w:t>
            </w:r>
          </w:p>
        </w:tc>
        <w:tc>
          <w:tcPr>
            <w:tcW w:w="1580" w:type="dxa"/>
            <w:tcBorders>
              <w:top w:val="single" w:sz="4" w:space="0" w:color="auto"/>
              <w:left w:val="nil"/>
              <w:bottom w:val="single" w:sz="4" w:space="0" w:color="auto"/>
              <w:right w:val="single" w:sz="4" w:space="0" w:color="auto"/>
            </w:tcBorders>
            <w:noWrap/>
            <w:vAlign w:val="bottom"/>
          </w:tcPr>
          <w:p w14:paraId="789B651F" w14:textId="049FC404" w:rsidR="004B258A" w:rsidRPr="004E1EAD" w:rsidRDefault="004B258A" w:rsidP="004B258A">
            <w:pPr>
              <w:spacing w:after="0" w:line="240" w:lineRule="auto"/>
              <w:jc w:val="right"/>
              <w:rPr>
                <w:rFonts w:asciiTheme="majorHAnsi" w:hAnsiTheme="majorHAnsi" w:cs="Times New Roman"/>
                <w:sz w:val="20"/>
                <w:szCs w:val="20"/>
              </w:rPr>
            </w:pPr>
            <w:r>
              <w:rPr>
                <w:rFonts w:asciiTheme="majorHAnsi" w:hAnsiTheme="majorHAnsi"/>
                <w:sz w:val="20"/>
              </w:rPr>
              <w:t>5,806,790.36</w:t>
            </w:r>
          </w:p>
        </w:tc>
        <w:tc>
          <w:tcPr>
            <w:tcW w:w="1580" w:type="dxa"/>
            <w:tcBorders>
              <w:top w:val="single" w:sz="4" w:space="0" w:color="auto"/>
              <w:left w:val="nil"/>
              <w:bottom w:val="single" w:sz="4" w:space="0" w:color="auto"/>
              <w:right w:val="single" w:sz="4" w:space="0" w:color="auto"/>
            </w:tcBorders>
            <w:noWrap/>
            <w:vAlign w:val="bottom"/>
          </w:tcPr>
          <w:p w14:paraId="7C835E7A" w14:textId="002F82F5" w:rsidR="004B258A" w:rsidRPr="004E1EAD" w:rsidRDefault="004B258A" w:rsidP="004B258A">
            <w:pPr>
              <w:spacing w:after="0" w:line="240" w:lineRule="auto"/>
              <w:jc w:val="right"/>
              <w:rPr>
                <w:rFonts w:asciiTheme="majorHAnsi" w:hAnsiTheme="majorHAnsi" w:cs="Times New Roman"/>
                <w:sz w:val="20"/>
                <w:szCs w:val="20"/>
              </w:rPr>
            </w:pPr>
            <w:r>
              <w:rPr>
                <w:rFonts w:asciiTheme="majorHAnsi" w:hAnsiTheme="majorHAnsi"/>
                <w:sz w:val="20"/>
              </w:rPr>
              <w:t>2,900,070.01</w:t>
            </w:r>
          </w:p>
        </w:tc>
        <w:tc>
          <w:tcPr>
            <w:tcW w:w="1580" w:type="dxa"/>
            <w:tcBorders>
              <w:top w:val="single" w:sz="4" w:space="0" w:color="auto"/>
              <w:left w:val="nil"/>
              <w:bottom w:val="single" w:sz="4" w:space="0" w:color="auto"/>
              <w:right w:val="single" w:sz="4" w:space="0" w:color="auto"/>
            </w:tcBorders>
            <w:noWrap/>
            <w:vAlign w:val="bottom"/>
          </w:tcPr>
          <w:p w14:paraId="56CC7737" w14:textId="39BF98A4" w:rsidR="004B258A" w:rsidRPr="004E1EAD" w:rsidRDefault="004B258A" w:rsidP="004B258A">
            <w:pPr>
              <w:spacing w:after="0" w:line="240" w:lineRule="auto"/>
              <w:jc w:val="right"/>
              <w:rPr>
                <w:rFonts w:asciiTheme="majorHAnsi" w:hAnsiTheme="majorHAnsi" w:cs="Times New Roman"/>
                <w:sz w:val="20"/>
                <w:szCs w:val="20"/>
              </w:rPr>
            </w:pPr>
            <w:r>
              <w:rPr>
                <w:rFonts w:asciiTheme="majorHAnsi" w:hAnsiTheme="majorHAnsi"/>
                <w:sz w:val="20"/>
              </w:rPr>
              <w:t>49.94%</w:t>
            </w:r>
          </w:p>
        </w:tc>
      </w:tr>
      <w:bookmarkEnd w:id="0"/>
      <w:bookmarkEnd w:id="1"/>
    </w:tbl>
    <w:p w14:paraId="0158E909" w14:textId="38DF1A6B" w:rsidR="008C7172" w:rsidRPr="004E1EAD" w:rsidRDefault="008C7172" w:rsidP="00883039">
      <w:pPr>
        <w:spacing w:after="0" w:line="240" w:lineRule="auto"/>
        <w:jc w:val="both"/>
        <w:rPr>
          <w:rFonts w:asciiTheme="majorHAnsi" w:hAnsiTheme="majorHAnsi" w:cs="Times New Roman"/>
          <w:sz w:val="20"/>
          <w:szCs w:val="20"/>
        </w:rPr>
      </w:pPr>
    </w:p>
    <w:p w14:paraId="4CFF27F6" w14:textId="7FAD7B87" w:rsidR="00DD1076" w:rsidRPr="004E1EAD" w:rsidRDefault="00FF23CE" w:rsidP="00883039">
      <w:pPr>
        <w:spacing w:after="0" w:line="240" w:lineRule="auto"/>
        <w:jc w:val="both"/>
        <w:rPr>
          <w:rFonts w:asciiTheme="majorHAnsi" w:hAnsiTheme="majorHAnsi" w:cs="Times New Roman"/>
          <w:sz w:val="20"/>
          <w:szCs w:val="20"/>
        </w:rPr>
      </w:pPr>
      <w:r>
        <w:rPr>
          <w:rFonts w:asciiTheme="majorHAnsi" w:hAnsiTheme="majorHAnsi"/>
          <w:sz w:val="20"/>
        </w:rPr>
        <w:t>2021</w:t>
      </w:r>
      <w:r w:rsidR="00317CB2">
        <w:rPr>
          <w:rFonts w:asciiTheme="majorHAnsi" w:hAnsiTheme="majorHAnsi"/>
          <w:sz w:val="20"/>
        </w:rPr>
        <w:t xml:space="preserve"> marked another turning point in the Working Capital Fund, </w:t>
      </w:r>
      <w:r w:rsidR="00D93862">
        <w:rPr>
          <w:rFonts w:asciiTheme="majorHAnsi" w:hAnsiTheme="majorHAnsi"/>
          <w:sz w:val="20"/>
        </w:rPr>
        <w:t>which since the</w:t>
      </w:r>
      <w:r w:rsidR="008A4D04">
        <w:rPr>
          <w:rFonts w:asciiTheme="majorHAnsi" w:hAnsiTheme="majorHAnsi"/>
          <w:sz w:val="20"/>
        </w:rPr>
        <w:t>n</w:t>
      </w:r>
      <w:r w:rsidR="00D93862">
        <w:rPr>
          <w:rFonts w:asciiTheme="majorHAnsi" w:hAnsiTheme="majorHAnsi"/>
          <w:sz w:val="20"/>
        </w:rPr>
        <w:t xml:space="preserve"> has recovered considerably.</w:t>
      </w:r>
    </w:p>
    <w:p w14:paraId="21B41017" w14:textId="77777777" w:rsidR="00DD1076" w:rsidRPr="004E1EAD" w:rsidRDefault="00DD1076" w:rsidP="00883039">
      <w:pPr>
        <w:spacing w:after="0" w:line="240" w:lineRule="auto"/>
        <w:jc w:val="both"/>
        <w:rPr>
          <w:rFonts w:asciiTheme="majorHAnsi" w:hAnsiTheme="majorHAnsi" w:cs="Times New Roman"/>
          <w:sz w:val="20"/>
          <w:szCs w:val="20"/>
        </w:rPr>
      </w:pPr>
    </w:p>
    <w:p w14:paraId="4AF0BF62" w14:textId="77777777" w:rsidR="00B50A56" w:rsidRPr="004E1EAD" w:rsidRDefault="00B50A56" w:rsidP="00883039">
      <w:pPr>
        <w:spacing w:after="0" w:line="240" w:lineRule="auto"/>
        <w:jc w:val="both"/>
        <w:rPr>
          <w:rFonts w:asciiTheme="majorHAnsi" w:hAnsiTheme="majorHAnsi" w:cs="Times New Roman"/>
          <w:sz w:val="20"/>
          <w:szCs w:val="20"/>
        </w:rPr>
      </w:pPr>
    </w:p>
    <w:p w14:paraId="10EAE687" w14:textId="0E3F816F" w:rsidR="008C7172" w:rsidRPr="004E1EAD" w:rsidRDefault="008C7172" w:rsidP="000B162D">
      <w:pPr>
        <w:pStyle w:val="ListParagraph"/>
        <w:numPr>
          <w:ilvl w:val="0"/>
          <w:numId w:val="13"/>
        </w:numPr>
        <w:spacing w:after="0" w:line="240" w:lineRule="auto"/>
        <w:ind w:left="426" w:hanging="426"/>
        <w:jc w:val="both"/>
        <w:rPr>
          <w:rFonts w:asciiTheme="majorHAnsi" w:hAnsiTheme="majorHAnsi" w:cs="Times New Roman"/>
          <w:b/>
          <w:sz w:val="20"/>
          <w:szCs w:val="20"/>
        </w:rPr>
      </w:pPr>
      <w:r>
        <w:rPr>
          <w:rFonts w:asciiTheme="majorHAnsi" w:hAnsiTheme="majorHAnsi"/>
          <w:b/>
          <w:sz w:val="20"/>
        </w:rPr>
        <w:t>Potential options for use of the Working Capital Fund in 202</w:t>
      </w:r>
      <w:r w:rsidR="008B4CA4">
        <w:rPr>
          <w:rFonts w:asciiTheme="majorHAnsi" w:hAnsiTheme="majorHAnsi"/>
          <w:b/>
          <w:sz w:val="20"/>
        </w:rPr>
        <w:t>6</w:t>
      </w:r>
    </w:p>
    <w:p w14:paraId="1E9A7268" w14:textId="77777777" w:rsidR="008C7172" w:rsidRPr="004E1EAD" w:rsidRDefault="008C7172" w:rsidP="002B4B7B">
      <w:pPr>
        <w:spacing w:after="0" w:line="240" w:lineRule="auto"/>
        <w:jc w:val="both"/>
        <w:rPr>
          <w:rFonts w:asciiTheme="majorHAnsi" w:hAnsiTheme="majorHAnsi" w:cs="Times New Roman"/>
          <w:sz w:val="20"/>
          <w:szCs w:val="20"/>
        </w:rPr>
      </w:pPr>
    </w:p>
    <w:p w14:paraId="2623BD73" w14:textId="4C4166F7" w:rsidR="00BC2693" w:rsidRPr="004E1EAD" w:rsidRDefault="00EB3417" w:rsidP="00C615D0">
      <w:pPr>
        <w:spacing w:after="0" w:line="240" w:lineRule="auto"/>
        <w:jc w:val="both"/>
        <w:rPr>
          <w:rFonts w:asciiTheme="majorHAnsi" w:hAnsiTheme="majorHAnsi" w:cs="Times New Roman"/>
          <w:sz w:val="20"/>
          <w:szCs w:val="20"/>
        </w:rPr>
      </w:pPr>
      <w:r>
        <w:rPr>
          <w:rFonts w:asciiTheme="majorHAnsi" w:hAnsiTheme="majorHAnsi"/>
          <w:sz w:val="20"/>
        </w:rPr>
        <w:t>In accordance with the evolution of the Working Capital Fund over the past five years, and reflecting the request of some delegations during the STACFAD sessions to incorporate the financing of regular activities into the Commission budget, the last draft budgets have included some changes in the chapters and creation of others to progressively continue to regularise the extra-budgetary expenses that should be included in the regular budget of the Commission.</w:t>
      </w:r>
    </w:p>
    <w:p w14:paraId="4427AB0F" w14:textId="77777777" w:rsidR="00BC2693" w:rsidRPr="004E1EAD" w:rsidRDefault="00BC2693" w:rsidP="00C615D0">
      <w:pPr>
        <w:spacing w:after="0" w:line="240" w:lineRule="auto"/>
        <w:jc w:val="both"/>
        <w:rPr>
          <w:rFonts w:asciiTheme="majorHAnsi" w:hAnsiTheme="majorHAnsi" w:cs="Times New Roman"/>
          <w:sz w:val="20"/>
          <w:szCs w:val="20"/>
        </w:rPr>
      </w:pPr>
    </w:p>
    <w:p w14:paraId="40DA46D3" w14:textId="77777777" w:rsidR="00C37A12" w:rsidRPr="004E1EAD" w:rsidRDefault="00C37A12" w:rsidP="00C615D0">
      <w:pPr>
        <w:spacing w:after="0" w:line="240" w:lineRule="auto"/>
        <w:jc w:val="both"/>
        <w:rPr>
          <w:rFonts w:asciiTheme="majorHAnsi" w:hAnsiTheme="majorHAnsi" w:cs="Times New Roman"/>
          <w:b/>
          <w:i/>
          <w:sz w:val="20"/>
          <w:szCs w:val="20"/>
        </w:rPr>
      </w:pPr>
      <w:r>
        <w:rPr>
          <w:rFonts w:asciiTheme="majorHAnsi" w:hAnsiTheme="majorHAnsi"/>
          <w:b/>
          <w:i/>
          <w:sz w:val="20"/>
        </w:rPr>
        <w:t>Regularization of activities within the budget of the Commission</w:t>
      </w:r>
    </w:p>
    <w:p w14:paraId="10DBE778" w14:textId="77777777" w:rsidR="00C37A12" w:rsidRPr="004E1EAD" w:rsidRDefault="00C37A12" w:rsidP="001F13FF">
      <w:pPr>
        <w:spacing w:after="0" w:line="240" w:lineRule="auto"/>
        <w:jc w:val="both"/>
        <w:rPr>
          <w:rFonts w:asciiTheme="majorHAnsi" w:hAnsiTheme="majorHAnsi" w:cs="Times New Roman"/>
          <w:sz w:val="20"/>
          <w:szCs w:val="20"/>
        </w:rPr>
      </w:pPr>
    </w:p>
    <w:p w14:paraId="5F4B9FC3" w14:textId="31729119" w:rsidR="00BC2693" w:rsidRDefault="00C37A12" w:rsidP="00582427">
      <w:pPr>
        <w:spacing w:after="0" w:line="240" w:lineRule="auto"/>
        <w:jc w:val="both"/>
        <w:rPr>
          <w:rFonts w:asciiTheme="majorHAnsi" w:hAnsiTheme="majorHAnsi" w:cs="Times New Roman"/>
          <w:sz w:val="20"/>
          <w:szCs w:val="20"/>
        </w:rPr>
      </w:pPr>
      <w:r>
        <w:rPr>
          <w:rFonts w:asciiTheme="majorHAnsi" w:hAnsiTheme="majorHAnsi"/>
          <w:sz w:val="20"/>
        </w:rPr>
        <w:t>In 2017 the Commission approved implementation of this regularization over a four-year period so that it would not significantly impact Contracting Party contributions.  This regularisation will have to be extended in the next few budgets, to cover activities that require regularisation but for which regularisation has not yet been possible:</w:t>
      </w:r>
    </w:p>
    <w:p w14:paraId="2DE58670" w14:textId="77777777" w:rsidR="00726B93" w:rsidRDefault="00726B93" w:rsidP="00582427">
      <w:pPr>
        <w:spacing w:after="0" w:line="240" w:lineRule="auto"/>
        <w:jc w:val="both"/>
        <w:rPr>
          <w:rFonts w:asciiTheme="majorHAnsi" w:hAnsiTheme="majorHAnsi" w:cs="Times New Roman"/>
          <w:sz w:val="20"/>
          <w:szCs w:val="20"/>
        </w:rPr>
      </w:pPr>
    </w:p>
    <w:p w14:paraId="6DE3F574" w14:textId="6A33510A" w:rsidR="00726B93" w:rsidRPr="00726B93" w:rsidRDefault="00726B93" w:rsidP="00A31D22">
      <w:pPr>
        <w:pStyle w:val="ListParagraph"/>
        <w:numPr>
          <w:ilvl w:val="0"/>
          <w:numId w:val="12"/>
        </w:numPr>
        <w:spacing w:after="0" w:line="240" w:lineRule="auto"/>
        <w:jc w:val="both"/>
        <w:rPr>
          <w:rFonts w:asciiTheme="majorHAnsi" w:hAnsiTheme="majorHAnsi" w:cs="Times New Roman"/>
          <w:sz w:val="20"/>
          <w:szCs w:val="20"/>
        </w:rPr>
      </w:pPr>
      <w:r>
        <w:rPr>
          <w:rFonts w:asciiTheme="majorHAnsi" w:hAnsiTheme="majorHAnsi"/>
          <w:i/>
          <w:sz w:val="20"/>
        </w:rPr>
        <w:t>Chapter 2.d). Special Meeting Participation Fund</w:t>
      </w:r>
      <w:r w:rsidR="001639C0">
        <w:rPr>
          <w:rFonts w:asciiTheme="majorHAnsi" w:hAnsiTheme="majorHAnsi"/>
          <w:i/>
          <w:sz w:val="20"/>
        </w:rPr>
        <w:t>.</w:t>
      </w:r>
      <w:r>
        <w:rPr>
          <w:rFonts w:asciiTheme="majorHAnsi" w:hAnsiTheme="majorHAnsi"/>
          <w:sz w:val="20"/>
        </w:rPr>
        <w:t xml:space="preserve"> The Meeting Participation Fund has been provisioned over the year</w:t>
      </w:r>
      <w:r w:rsidR="001639C0">
        <w:rPr>
          <w:rFonts w:asciiTheme="majorHAnsi" w:hAnsiTheme="majorHAnsi"/>
          <w:sz w:val="20"/>
        </w:rPr>
        <w:t>s</w:t>
      </w:r>
      <w:r>
        <w:rPr>
          <w:rFonts w:asciiTheme="majorHAnsi" w:hAnsiTheme="majorHAnsi"/>
          <w:sz w:val="20"/>
        </w:rPr>
        <w:t xml:space="preserve"> through the contribution from the ICCAT regular budget and voluntary contributions.</w:t>
      </w:r>
      <w:r>
        <w:rPr>
          <w:rFonts w:asciiTheme="majorHAnsi" w:hAnsiTheme="majorHAnsi"/>
          <w:b/>
          <w:bCs/>
          <w:sz w:val="20"/>
        </w:rPr>
        <w:t xml:space="preserve"> </w:t>
      </w:r>
      <w:r>
        <w:rPr>
          <w:rFonts w:asciiTheme="majorHAnsi" w:hAnsiTheme="majorHAnsi"/>
          <w:sz w:val="20"/>
        </w:rPr>
        <w:t>In 2025, no voluntary contribution has been received for this purpose, and therefore the balance of the fund has decreased. The budgetary contribution alone will not be sufficient to cover the estimated costs for the next biennium. It is therefore requested to increase progressively the Commission’s provisioning of this fund.</w:t>
      </w:r>
    </w:p>
    <w:p w14:paraId="733CEC61" w14:textId="77777777" w:rsidR="00BC2693" w:rsidRPr="004E1EAD" w:rsidRDefault="00BC2693">
      <w:pPr>
        <w:spacing w:after="0" w:line="240" w:lineRule="auto"/>
        <w:jc w:val="both"/>
        <w:rPr>
          <w:rFonts w:asciiTheme="majorHAnsi" w:hAnsiTheme="majorHAnsi" w:cs="Times New Roman"/>
          <w:sz w:val="20"/>
          <w:szCs w:val="20"/>
        </w:rPr>
      </w:pPr>
    </w:p>
    <w:p w14:paraId="12831D71" w14:textId="040E2F54" w:rsidR="00FB708D" w:rsidRPr="004E1EAD" w:rsidRDefault="00FB708D" w:rsidP="003F3A8F">
      <w:pPr>
        <w:pStyle w:val="ListParagraph"/>
        <w:numPr>
          <w:ilvl w:val="0"/>
          <w:numId w:val="12"/>
        </w:numPr>
        <w:spacing w:line="240" w:lineRule="auto"/>
        <w:ind w:left="357"/>
        <w:jc w:val="both"/>
        <w:rPr>
          <w:rFonts w:asciiTheme="majorHAnsi" w:hAnsiTheme="majorHAnsi"/>
          <w:sz w:val="20"/>
          <w:szCs w:val="20"/>
        </w:rPr>
      </w:pPr>
      <w:r>
        <w:rPr>
          <w:rFonts w:asciiTheme="majorHAnsi" w:hAnsiTheme="majorHAnsi"/>
          <w:i/>
          <w:sz w:val="20"/>
        </w:rPr>
        <w:t xml:space="preserve">Chapter 3. </w:t>
      </w:r>
      <w:r>
        <w:rPr>
          <w:rFonts w:asciiTheme="majorHAnsi" w:hAnsiTheme="majorHAnsi"/>
          <w:i/>
          <w:iCs/>
          <w:sz w:val="20"/>
        </w:rPr>
        <w:t>Meetings.</w:t>
      </w:r>
      <w:r>
        <w:rPr>
          <w:rFonts w:asciiTheme="majorHAnsi" w:hAnsiTheme="majorHAnsi"/>
          <w:sz w:val="20"/>
        </w:rPr>
        <w:t xml:space="preserve"> Increase this chapter to cover the expenses of the intersessional meetings and the full costs of the annual meeting of the Commission (based on the foreseen cost of the 2025 Commission meeting, at least €532,700.00 is required). In 2026, this item reache</w:t>
      </w:r>
      <w:r w:rsidR="00A85A1E">
        <w:rPr>
          <w:rFonts w:asciiTheme="majorHAnsi" w:hAnsiTheme="majorHAnsi"/>
          <w:sz w:val="20"/>
        </w:rPr>
        <w:t>s</w:t>
      </w:r>
      <w:r>
        <w:rPr>
          <w:rFonts w:asciiTheme="majorHAnsi" w:hAnsiTheme="majorHAnsi"/>
          <w:sz w:val="20"/>
        </w:rPr>
        <w:t xml:space="preserve"> €210,000.00, which is far short of the amount needed.</w:t>
      </w:r>
    </w:p>
    <w:p w14:paraId="612F59CA" w14:textId="2CADD1E7" w:rsidR="0073585E" w:rsidRPr="004E1EAD" w:rsidRDefault="006A7434">
      <w:pPr>
        <w:spacing w:after="0" w:line="240" w:lineRule="auto"/>
        <w:ind w:left="357"/>
        <w:jc w:val="both"/>
        <w:rPr>
          <w:rFonts w:asciiTheme="majorHAnsi" w:hAnsiTheme="majorHAnsi" w:cs="Times New Roman"/>
          <w:sz w:val="20"/>
          <w:szCs w:val="20"/>
        </w:rPr>
      </w:pPr>
      <w:r>
        <w:rPr>
          <w:rFonts w:asciiTheme="majorHAnsi" w:hAnsiTheme="majorHAnsi"/>
          <w:sz w:val="20"/>
        </w:rPr>
        <w:t xml:space="preserve">The Secretariat requests that the Commission establish measures to cover these expenses as soon as possible, since the Working Capital Fund cannot cover this expense and there has been no official invitation for the hosting of the 2026 Commission meeting. </w:t>
      </w:r>
    </w:p>
    <w:p w14:paraId="7305BEAF" w14:textId="77777777" w:rsidR="00BD7D42" w:rsidRPr="004E1EAD" w:rsidRDefault="00BD7D42" w:rsidP="003F3A8F">
      <w:pPr>
        <w:spacing w:after="0" w:line="240" w:lineRule="auto"/>
        <w:ind w:left="357"/>
        <w:jc w:val="both"/>
        <w:rPr>
          <w:rFonts w:asciiTheme="majorHAnsi" w:hAnsiTheme="majorHAnsi" w:cs="Times New Roman"/>
          <w:sz w:val="20"/>
          <w:szCs w:val="20"/>
        </w:rPr>
      </w:pPr>
    </w:p>
    <w:p w14:paraId="5D568389" w14:textId="53E42E81" w:rsidR="00FB708D" w:rsidRPr="004E1EAD" w:rsidRDefault="00785D49" w:rsidP="00582427">
      <w:pPr>
        <w:pStyle w:val="ListParagraph"/>
        <w:numPr>
          <w:ilvl w:val="0"/>
          <w:numId w:val="20"/>
        </w:numPr>
        <w:spacing w:after="0" w:line="240" w:lineRule="auto"/>
        <w:jc w:val="both"/>
        <w:rPr>
          <w:rFonts w:asciiTheme="majorHAnsi" w:hAnsiTheme="majorHAnsi" w:cs="Times New Roman"/>
          <w:sz w:val="20"/>
          <w:szCs w:val="20"/>
        </w:rPr>
      </w:pPr>
      <w:r>
        <w:rPr>
          <w:rFonts w:asciiTheme="majorHAnsi" w:hAnsiTheme="majorHAnsi"/>
          <w:i/>
          <w:sz w:val="20"/>
        </w:rPr>
        <w:t xml:space="preserve">Chapter 7. </w:t>
      </w:r>
      <w:r>
        <w:rPr>
          <w:rFonts w:asciiTheme="majorHAnsi" w:hAnsiTheme="majorHAnsi"/>
          <w:i/>
          <w:iCs/>
          <w:sz w:val="20"/>
        </w:rPr>
        <w:t>Science envelope (ICCAT research programmes).</w:t>
      </w:r>
      <w:r>
        <w:rPr>
          <w:rFonts w:asciiTheme="majorHAnsi" w:hAnsiTheme="majorHAnsi"/>
          <w:sz w:val="20"/>
        </w:rPr>
        <w:t xml:space="preserve"> Increase this chapter to cover all the activities required by the SCRS.</w:t>
      </w:r>
    </w:p>
    <w:p w14:paraId="5B00FA1B" w14:textId="77777777" w:rsidR="00785D49" w:rsidRDefault="00785D49">
      <w:pPr>
        <w:pStyle w:val="ListParagraph"/>
        <w:spacing w:after="0" w:line="240" w:lineRule="auto"/>
        <w:ind w:left="360"/>
        <w:jc w:val="both"/>
        <w:rPr>
          <w:rFonts w:asciiTheme="majorHAnsi" w:hAnsiTheme="majorHAnsi" w:cs="Times New Roman"/>
          <w:sz w:val="16"/>
          <w:szCs w:val="16"/>
        </w:rPr>
      </w:pPr>
    </w:p>
    <w:p w14:paraId="610F0784" w14:textId="77777777" w:rsidR="001231BD" w:rsidRPr="004E1EAD" w:rsidRDefault="001231BD">
      <w:pPr>
        <w:pStyle w:val="ListParagraph"/>
        <w:spacing w:after="0" w:line="240" w:lineRule="auto"/>
        <w:ind w:left="360"/>
        <w:jc w:val="both"/>
        <w:rPr>
          <w:rFonts w:asciiTheme="majorHAnsi" w:hAnsiTheme="majorHAnsi" w:cs="Times New Roman"/>
          <w:sz w:val="16"/>
          <w:szCs w:val="16"/>
        </w:rPr>
      </w:pPr>
    </w:p>
    <w:p w14:paraId="5FAF3A68" w14:textId="5BE42DF5" w:rsidR="001E724E" w:rsidRPr="004E1EAD" w:rsidRDefault="001E724E">
      <w:pPr>
        <w:pStyle w:val="ListParagraph"/>
        <w:spacing w:after="0" w:line="240" w:lineRule="auto"/>
        <w:ind w:left="360"/>
        <w:jc w:val="both"/>
        <w:rPr>
          <w:rFonts w:asciiTheme="majorHAnsi" w:hAnsiTheme="majorHAnsi" w:cs="Times New Roman"/>
          <w:sz w:val="20"/>
          <w:szCs w:val="20"/>
        </w:rPr>
      </w:pPr>
      <w:r>
        <w:rPr>
          <w:rFonts w:asciiTheme="majorHAnsi" w:hAnsiTheme="majorHAnsi"/>
          <w:sz w:val="20"/>
        </w:rPr>
        <w:lastRenderedPageBreak/>
        <w:t xml:space="preserve">In 2025, this Programme </w:t>
      </w:r>
      <w:r w:rsidR="003075BE">
        <w:rPr>
          <w:rFonts w:asciiTheme="majorHAnsi" w:hAnsiTheme="majorHAnsi"/>
          <w:sz w:val="20"/>
        </w:rPr>
        <w:t>is</w:t>
      </w:r>
      <w:r>
        <w:rPr>
          <w:rFonts w:asciiTheme="majorHAnsi" w:hAnsiTheme="majorHAnsi"/>
          <w:sz w:val="20"/>
        </w:rPr>
        <w:t xml:space="preserve"> being financed from the balance of the Strategic Research Programme, by the European Union through a contract signed that would cover 80% of the costs estimated at €1,000,000.00 (for 2024 and 2025 activities), and by the United States through the United States Special Data Fund (up to €155,000.00), the United States Fund for </w:t>
      </w:r>
      <w:proofErr w:type="spellStart"/>
      <w:r>
        <w:rPr>
          <w:rFonts w:asciiTheme="majorHAnsi" w:hAnsiTheme="majorHAnsi"/>
          <w:sz w:val="20"/>
        </w:rPr>
        <w:t>Tropicals</w:t>
      </w:r>
      <w:proofErr w:type="spellEnd"/>
      <w:r>
        <w:rPr>
          <w:rFonts w:asciiTheme="majorHAnsi" w:hAnsiTheme="majorHAnsi"/>
          <w:sz w:val="20"/>
        </w:rPr>
        <w:t xml:space="preserve"> (up to €73,750.00) and the United States Fund for Caribbean Deepwater Horizon Restoration (up to €121,000.00). In addition, the activities of the Atlantic-Wide Research Programme for Bluefin Tuna (GBYP) are wholly financed by voluntary contributions, 80% of which are </w:t>
      </w:r>
      <w:r w:rsidR="00304526">
        <w:rPr>
          <w:rFonts w:asciiTheme="majorHAnsi" w:hAnsiTheme="majorHAnsi"/>
          <w:sz w:val="20"/>
        </w:rPr>
        <w:t>covered by</w:t>
      </w:r>
      <w:r>
        <w:rPr>
          <w:rFonts w:asciiTheme="majorHAnsi" w:hAnsiTheme="majorHAnsi"/>
          <w:sz w:val="20"/>
        </w:rPr>
        <w:t xml:space="preserve"> the European Union. The GBYP has a budget of €815,000.00.</w:t>
      </w:r>
    </w:p>
    <w:p w14:paraId="5708EC47" w14:textId="0C5D3AD6" w:rsidR="001E724E" w:rsidRPr="004E1EAD" w:rsidRDefault="001E724E" w:rsidP="006E7829">
      <w:pPr>
        <w:pStyle w:val="ListParagraph"/>
        <w:spacing w:after="0" w:line="240" w:lineRule="auto"/>
        <w:ind w:left="360"/>
        <w:jc w:val="both"/>
        <w:rPr>
          <w:rFonts w:asciiTheme="majorHAnsi" w:hAnsiTheme="majorHAnsi" w:cs="Times New Roman"/>
          <w:sz w:val="20"/>
          <w:szCs w:val="20"/>
        </w:rPr>
      </w:pPr>
    </w:p>
    <w:p w14:paraId="1BF470EB" w14:textId="73A931F8" w:rsidR="00814919" w:rsidRPr="004E1EAD" w:rsidRDefault="001E724E" w:rsidP="00EC6366">
      <w:pPr>
        <w:pStyle w:val="ListParagraph"/>
        <w:spacing w:after="0" w:line="240" w:lineRule="auto"/>
        <w:ind w:left="360"/>
        <w:jc w:val="both"/>
        <w:rPr>
          <w:rFonts w:asciiTheme="majorHAnsi" w:hAnsiTheme="majorHAnsi" w:cs="Times New Roman"/>
          <w:sz w:val="20"/>
          <w:szCs w:val="20"/>
        </w:rPr>
      </w:pPr>
      <w:r>
        <w:rPr>
          <w:rFonts w:asciiTheme="majorHAnsi" w:hAnsiTheme="majorHAnsi"/>
          <w:sz w:val="20"/>
        </w:rPr>
        <w:t>For 2026, the Secretariat has received communications regarding contributions from the United States in the amount of €223,891.29, China (P.R.) in the amount of €40,000.00 through the Special Data Fund</w:t>
      </w:r>
      <w:r w:rsidR="00783C93">
        <w:rPr>
          <w:rFonts w:asciiTheme="majorHAnsi" w:hAnsiTheme="majorHAnsi"/>
          <w:sz w:val="20"/>
        </w:rPr>
        <w:noBreakHyphen/>
      </w:r>
      <w:r>
        <w:rPr>
          <w:rFonts w:asciiTheme="majorHAnsi" w:hAnsiTheme="majorHAnsi"/>
          <w:sz w:val="20"/>
        </w:rPr>
        <w:t>China, and</w:t>
      </w:r>
      <w:r w:rsidR="008A4D04">
        <w:rPr>
          <w:rFonts w:asciiTheme="majorHAnsi" w:hAnsiTheme="majorHAnsi"/>
          <w:sz w:val="20"/>
        </w:rPr>
        <w:t xml:space="preserve"> </w:t>
      </w:r>
      <w:r>
        <w:rPr>
          <w:rFonts w:asciiTheme="majorHAnsi" w:hAnsiTheme="majorHAnsi"/>
          <w:sz w:val="20"/>
        </w:rPr>
        <w:t xml:space="preserve">Canada in the amount of CAD 62,000.00 (approximately €38,225.24) and the European Union in the amount of €542,241.06. This amount, together with the Science Envelope requested for 2026 (€500,557.35) and the balance of the Strategic Research Programme will cover all the activities requested by the SCRS for 2026. The GBYP will be financed with the carryover from previous years and through voluntary contributions. </w:t>
      </w:r>
    </w:p>
    <w:p w14:paraId="14A01C53" w14:textId="77777777" w:rsidR="00814919" w:rsidRPr="00A31D22" w:rsidRDefault="00814919" w:rsidP="00EC6366">
      <w:pPr>
        <w:pStyle w:val="ListParagraph"/>
        <w:spacing w:after="0" w:line="240" w:lineRule="auto"/>
        <w:ind w:left="360"/>
        <w:jc w:val="both"/>
        <w:rPr>
          <w:rFonts w:asciiTheme="majorHAnsi" w:hAnsiTheme="majorHAnsi" w:cs="Times New Roman"/>
          <w:sz w:val="20"/>
          <w:szCs w:val="20"/>
          <w:lang w:val="en-US"/>
        </w:rPr>
      </w:pPr>
    </w:p>
    <w:p w14:paraId="6FA6CB74" w14:textId="0A6D9FC1" w:rsidR="001E724E" w:rsidRPr="004E1EAD" w:rsidRDefault="00D7367B" w:rsidP="00EC6366">
      <w:pPr>
        <w:pStyle w:val="ListParagraph"/>
        <w:spacing w:after="0" w:line="240" w:lineRule="auto"/>
        <w:ind w:left="360"/>
        <w:jc w:val="both"/>
        <w:rPr>
          <w:rFonts w:asciiTheme="majorHAnsi" w:hAnsiTheme="majorHAnsi" w:cs="Times New Roman"/>
          <w:sz w:val="20"/>
          <w:szCs w:val="20"/>
        </w:rPr>
      </w:pPr>
      <w:r>
        <w:rPr>
          <w:rFonts w:asciiTheme="majorHAnsi" w:hAnsiTheme="majorHAnsi"/>
          <w:sz w:val="20"/>
        </w:rPr>
        <w:t xml:space="preserve">Given that the Commission budget does not yet cover the costs and activities required by the SCRS, the Commission is urged to strengthen Chapter 7 in the coming budgets </w:t>
      </w:r>
      <w:proofErr w:type="gramStart"/>
      <w:r>
        <w:rPr>
          <w:rFonts w:asciiTheme="majorHAnsi" w:hAnsiTheme="majorHAnsi"/>
          <w:sz w:val="20"/>
        </w:rPr>
        <w:t>so as to</w:t>
      </w:r>
      <w:proofErr w:type="gramEnd"/>
      <w:r>
        <w:rPr>
          <w:rFonts w:asciiTheme="majorHAnsi" w:hAnsiTheme="majorHAnsi"/>
          <w:sz w:val="20"/>
        </w:rPr>
        <w:t xml:space="preserve"> regularise all SCRS activities within the budget.</w:t>
      </w:r>
    </w:p>
    <w:p w14:paraId="4CA84AF1" w14:textId="0EFB2732" w:rsidR="00BC3345" w:rsidRPr="004E1EAD" w:rsidDel="007F7464" w:rsidRDefault="00BC3345" w:rsidP="006E7829">
      <w:pPr>
        <w:pStyle w:val="ListParagraph"/>
        <w:spacing w:after="0" w:line="240" w:lineRule="auto"/>
        <w:ind w:left="360"/>
        <w:jc w:val="both"/>
        <w:rPr>
          <w:rFonts w:asciiTheme="majorHAnsi" w:hAnsiTheme="majorHAnsi" w:cs="Times New Roman"/>
          <w:sz w:val="20"/>
          <w:szCs w:val="20"/>
        </w:rPr>
      </w:pPr>
    </w:p>
    <w:p w14:paraId="2EBFE86E" w14:textId="0BAF7B94" w:rsidR="007C74FE" w:rsidRPr="0068450D" w:rsidRDefault="0095065E" w:rsidP="0085004C">
      <w:pPr>
        <w:spacing w:after="0" w:line="240" w:lineRule="auto"/>
        <w:jc w:val="both"/>
        <w:rPr>
          <w:rFonts w:asciiTheme="majorHAnsi" w:hAnsiTheme="majorHAnsi" w:cs="Times New Roman"/>
          <w:b/>
          <w:i/>
          <w:sz w:val="20"/>
          <w:szCs w:val="20"/>
        </w:rPr>
      </w:pPr>
      <w:r>
        <w:rPr>
          <w:rFonts w:asciiTheme="majorHAnsi" w:hAnsiTheme="majorHAnsi"/>
          <w:b/>
          <w:i/>
          <w:sz w:val="20"/>
        </w:rPr>
        <w:t>Use of the Working Capital Fund</w:t>
      </w:r>
    </w:p>
    <w:p w14:paraId="13448860" w14:textId="77777777" w:rsidR="00EE5E76" w:rsidRPr="0068450D" w:rsidRDefault="00EE5E76" w:rsidP="002B4B7B">
      <w:pPr>
        <w:spacing w:after="0" w:line="240" w:lineRule="auto"/>
        <w:jc w:val="both"/>
        <w:rPr>
          <w:rFonts w:asciiTheme="majorHAnsi" w:hAnsiTheme="majorHAnsi" w:cs="Times New Roman"/>
          <w:sz w:val="20"/>
          <w:szCs w:val="20"/>
        </w:rPr>
      </w:pPr>
    </w:p>
    <w:p w14:paraId="4E81DE9D" w14:textId="3E7C5560" w:rsidR="008C7172" w:rsidRPr="0068450D" w:rsidRDefault="000C41D4" w:rsidP="00883039">
      <w:pPr>
        <w:spacing w:after="0" w:line="240" w:lineRule="auto"/>
        <w:jc w:val="both"/>
        <w:rPr>
          <w:rFonts w:asciiTheme="majorHAnsi" w:hAnsiTheme="majorHAnsi" w:cs="Times New Roman"/>
          <w:sz w:val="20"/>
          <w:szCs w:val="20"/>
          <w:highlight w:val="yellow"/>
        </w:rPr>
      </w:pPr>
      <w:r>
        <w:rPr>
          <w:rFonts w:asciiTheme="majorHAnsi" w:hAnsiTheme="majorHAnsi"/>
          <w:sz w:val="20"/>
        </w:rPr>
        <w:t>For 2026, it will be necessary to continue to use the Working Capital Fund for holding intersessional meetings</w:t>
      </w:r>
      <w:r w:rsidR="00AB4386">
        <w:rPr>
          <w:rFonts w:asciiTheme="majorHAnsi" w:hAnsiTheme="majorHAnsi"/>
          <w:sz w:val="20"/>
        </w:rPr>
        <w:t xml:space="preserve"> of the </w:t>
      </w:r>
      <w:r w:rsidR="009B4A87">
        <w:rPr>
          <w:rFonts w:asciiTheme="majorHAnsi" w:hAnsiTheme="majorHAnsi"/>
          <w:sz w:val="20"/>
        </w:rPr>
        <w:t>Commission</w:t>
      </w:r>
      <w:r>
        <w:rPr>
          <w:rFonts w:asciiTheme="majorHAnsi" w:hAnsiTheme="majorHAnsi"/>
          <w:sz w:val="20"/>
        </w:rPr>
        <w:t xml:space="preserve"> both in-person and online.  In 2025, 10 intersessional meetings were held that have required financing through the Working Capital Fund. Four of these meetings were cofinanced by the European Union. The</w:t>
      </w:r>
      <w:r w:rsidR="00B02467">
        <w:rPr>
          <w:rFonts w:asciiTheme="majorHAnsi" w:hAnsiTheme="majorHAnsi"/>
          <w:sz w:val="20"/>
        </w:rPr>
        <w:t xml:space="preserve"> fore</w:t>
      </w:r>
      <w:r w:rsidR="001A0A2E">
        <w:rPr>
          <w:rFonts w:asciiTheme="majorHAnsi" w:hAnsiTheme="majorHAnsi"/>
          <w:sz w:val="20"/>
        </w:rPr>
        <w:t>seen cost</w:t>
      </w:r>
      <w:r>
        <w:rPr>
          <w:rFonts w:asciiTheme="majorHAnsi" w:hAnsiTheme="majorHAnsi"/>
          <w:sz w:val="20"/>
        </w:rPr>
        <w:t xml:space="preserve"> necessary is estimated to be €39,452.60.</w:t>
      </w:r>
    </w:p>
    <w:p w14:paraId="475DB5BE" w14:textId="77777777" w:rsidR="001B3772" w:rsidRPr="00A31D22" w:rsidRDefault="001B3772" w:rsidP="00883039">
      <w:pPr>
        <w:spacing w:after="0" w:line="240" w:lineRule="auto"/>
        <w:jc w:val="both"/>
        <w:rPr>
          <w:rFonts w:asciiTheme="majorHAnsi" w:hAnsiTheme="majorHAnsi" w:cs="Times New Roman"/>
          <w:sz w:val="20"/>
          <w:szCs w:val="20"/>
        </w:rPr>
      </w:pPr>
    </w:p>
    <w:p w14:paraId="66B3DDF0" w14:textId="2C6CE530" w:rsidR="001B3772" w:rsidRPr="0068450D" w:rsidRDefault="001B3772" w:rsidP="00883039">
      <w:pPr>
        <w:spacing w:after="0" w:line="240" w:lineRule="auto"/>
        <w:jc w:val="both"/>
        <w:rPr>
          <w:rFonts w:asciiTheme="majorHAnsi" w:hAnsiTheme="majorHAnsi" w:cs="Times New Roman"/>
          <w:sz w:val="20"/>
          <w:szCs w:val="20"/>
        </w:rPr>
      </w:pPr>
      <w:r>
        <w:rPr>
          <w:rFonts w:asciiTheme="majorHAnsi" w:hAnsiTheme="majorHAnsi"/>
          <w:sz w:val="20"/>
        </w:rPr>
        <w:t xml:space="preserve">If the Commission does not receive any invitation for the hosting of the 2026 annual meeting, it will be necessary to draw on the Working Capital Fund to cover the expenses </w:t>
      </w:r>
      <w:proofErr w:type="gramStart"/>
      <w:r>
        <w:rPr>
          <w:rFonts w:asciiTheme="majorHAnsi" w:hAnsiTheme="majorHAnsi"/>
          <w:sz w:val="20"/>
        </w:rPr>
        <w:t>in excess of</w:t>
      </w:r>
      <w:proofErr w:type="gramEnd"/>
      <w:r>
        <w:rPr>
          <w:rFonts w:asciiTheme="majorHAnsi" w:hAnsiTheme="majorHAnsi"/>
          <w:sz w:val="20"/>
        </w:rPr>
        <w:t xml:space="preserve"> the amount requested under Chapter 3.a). Annual Meeting of the Commission (€210,000.00). It is estimated that €323,068.89 will be needed.</w:t>
      </w:r>
    </w:p>
    <w:p w14:paraId="2FBD79F6" w14:textId="7049F702" w:rsidR="000C41D4" w:rsidRPr="0068450D" w:rsidRDefault="000C41D4" w:rsidP="00883039">
      <w:pPr>
        <w:spacing w:after="0" w:line="240" w:lineRule="auto"/>
        <w:jc w:val="both"/>
        <w:rPr>
          <w:rFonts w:asciiTheme="majorHAnsi" w:hAnsiTheme="majorHAnsi" w:cs="Times New Roman"/>
          <w:sz w:val="20"/>
          <w:szCs w:val="20"/>
        </w:rPr>
      </w:pPr>
    </w:p>
    <w:p w14:paraId="4E74A0BD" w14:textId="6D58DAF9" w:rsidR="0068450D" w:rsidRDefault="000C41D4" w:rsidP="008C067C">
      <w:pPr>
        <w:spacing w:after="0" w:line="240" w:lineRule="auto"/>
        <w:jc w:val="both"/>
        <w:rPr>
          <w:rFonts w:asciiTheme="majorHAnsi" w:hAnsiTheme="majorHAnsi" w:cs="Times New Roman"/>
          <w:sz w:val="20"/>
          <w:szCs w:val="20"/>
        </w:rPr>
      </w:pPr>
      <w:r>
        <w:rPr>
          <w:rFonts w:asciiTheme="majorHAnsi" w:hAnsiTheme="majorHAnsi"/>
          <w:sz w:val="20"/>
        </w:rPr>
        <w:t xml:space="preserve">It will also be necessary to use the Working Capital Fund to increase the balance of the Meeting Participation Fund, and to cover the requests foreseen for 2026 (€150,000.00).  </w:t>
      </w:r>
    </w:p>
    <w:p w14:paraId="76F49E24" w14:textId="77777777" w:rsidR="008C067C" w:rsidRDefault="008C067C" w:rsidP="008C067C">
      <w:pPr>
        <w:spacing w:after="0" w:line="240" w:lineRule="auto"/>
        <w:jc w:val="both"/>
        <w:rPr>
          <w:rFonts w:asciiTheme="majorHAnsi" w:hAnsiTheme="majorHAnsi" w:cs="Times New Roman"/>
          <w:sz w:val="20"/>
          <w:szCs w:val="20"/>
        </w:rPr>
      </w:pPr>
    </w:p>
    <w:p w14:paraId="3DA3B490" w14:textId="6FCBD7A3" w:rsidR="00D73762" w:rsidRDefault="008C067C" w:rsidP="008C067C">
      <w:pPr>
        <w:spacing w:after="0" w:line="240" w:lineRule="auto"/>
        <w:jc w:val="both"/>
        <w:rPr>
          <w:rFonts w:asciiTheme="majorHAnsi" w:hAnsiTheme="majorHAnsi"/>
          <w:sz w:val="20"/>
        </w:rPr>
      </w:pPr>
      <w:r>
        <w:rPr>
          <w:rFonts w:asciiTheme="majorHAnsi" w:hAnsiTheme="majorHAnsi"/>
          <w:sz w:val="20"/>
        </w:rPr>
        <w:t xml:space="preserve">Finally, if the proposal for amendment of Financial Regulation 7 of the Financial Regulations of the STACFAD Chair is approved, €676,038.58 will be allocated to decrease Contracting Party contributions for 2026. This amount will be deducted from the version of the budget that is approved. For 2027, the same process will be repeated. The excess of the Working Capital Fund will be calculated and deducted when the revised draft budget for 2027 is presented. </w:t>
      </w:r>
    </w:p>
    <w:p w14:paraId="56CE97CB" w14:textId="77777777" w:rsidR="001231BD" w:rsidRPr="00CE3632" w:rsidRDefault="001231BD" w:rsidP="008C067C">
      <w:pPr>
        <w:spacing w:after="0" w:line="240" w:lineRule="auto"/>
        <w:jc w:val="both"/>
        <w:rPr>
          <w:rFonts w:asciiTheme="majorHAnsi" w:hAnsiTheme="majorHAnsi" w:cs="Times New Roman"/>
          <w:sz w:val="20"/>
          <w:szCs w:val="20"/>
        </w:rPr>
      </w:pPr>
    </w:p>
    <w:p w14:paraId="0F0D09CB" w14:textId="77777777" w:rsidR="006D7CF2" w:rsidRPr="00C03049" w:rsidRDefault="00D73762" w:rsidP="008C067C">
      <w:pPr>
        <w:spacing w:after="0" w:line="240" w:lineRule="auto"/>
        <w:jc w:val="both"/>
        <w:rPr>
          <w:rFonts w:asciiTheme="majorHAnsi" w:hAnsiTheme="majorHAnsi" w:cs="Times New Roman"/>
          <w:sz w:val="6"/>
          <w:szCs w:val="6"/>
        </w:rPr>
      </w:pPr>
      <w:r>
        <w:rPr>
          <w:rFonts w:asciiTheme="majorHAnsi" w:hAnsiTheme="majorHAnsi"/>
          <w:sz w:val="20"/>
        </w:rPr>
        <w:t xml:space="preserve"> </w:t>
      </w:r>
    </w:p>
    <w:tbl>
      <w:tblPr>
        <w:tblW w:w="8191" w:type="dxa"/>
        <w:jc w:val="center"/>
        <w:tblCellMar>
          <w:left w:w="70" w:type="dxa"/>
          <w:right w:w="70" w:type="dxa"/>
        </w:tblCellMar>
        <w:tblLook w:val="04A0" w:firstRow="1" w:lastRow="0" w:firstColumn="1" w:lastColumn="0" w:noHBand="0" w:noVBand="1"/>
      </w:tblPr>
      <w:tblGrid>
        <w:gridCol w:w="6600"/>
        <w:gridCol w:w="1591"/>
      </w:tblGrid>
      <w:tr w:rsidR="006D7CF2" w:rsidRPr="006D7CF2" w14:paraId="77B52B0A" w14:textId="77777777" w:rsidTr="00E02ABE">
        <w:trPr>
          <w:trHeight w:val="250"/>
          <w:jc w:val="center"/>
        </w:trPr>
        <w:tc>
          <w:tcPr>
            <w:tcW w:w="6600" w:type="dxa"/>
            <w:tcBorders>
              <w:top w:val="single" w:sz="4" w:space="0" w:color="auto"/>
              <w:left w:val="single" w:sz="4" w:space="0" w:color="auto"/>
              <w:bottom w:val="nil"/>
              <w:right w:val="nil"/>
            </w:tcBorders>
            <w:noWrap/>
            <w:vAlign w:val="bottom"/>
            <w:hideMark/>
          </w:tcPr>
          <w:p w14:paraId="023D6C2B" w14:textId="77777777" w:rsidR="006D7CF2" w:rsidRPr="006D7CF2" w:rsidRDefault="006D7CF2" w:rsidP="006D7CF2">
            <w:pPr>
              <w:spacing w:after="0" w:line="240" w:lineRule="auto"/>
              <w:rPr>
                <w:rFonts w:ascii="Cambria" w:eastAsia="Times New Roman" w:hAnsi="Cambria" w:cs="Times New Roman"/>
                <w:color w:val="000000"/>
                <w:sz w:val="20"/>
                <w:szCs w:val="20"/>
              </w:rPr>
            </w:pPr>
            <w:r>
              <w:rPr>
                <w:rFonts w:ascii="Cambria" w:hAnsi="Cambria"/>
                <w:color w:val="000000"/>
                <w:sz w:val="20"/>
              </w:rPr>
              <w:t>Funds necessary to cover the budgetary expenses (January-February)</w:t>
            </w:r>
          </w:p>
        </w:tc>
        <w:tc>
          <w:tcPr>
            <w:tcW w:w="1591" w:type="dxa"/>
            <w:tcBorders>
              <w:top w:val="single" w:sz="4" w:space="0" w:color="auto"/>
              <w:left w:val="nil"/>
              <w:bottom w:val="nil"/>
              <w:right w:val="single" w:sz="4" w:space="0" w:color="auto"/>
            </w:tcBorders>
            <w:noWrap/>
            <w:vAlign w:val="bottom"/>
            <w:hideMark/>
          </w:tcPr>
          <w:p w14:paraId="096B62AD" w14:textId="77777777" w:rsidR="006D7CF2" w:rsidRPr="006D7CF2" w:rsidRDefault="006D7CF2" w:rsidP="006D7CF2">
            <w:pPr>
              <w:spacing w:after="0" w:line="240" w:lineRule="auto"/>
              <w:jc w:val="right"/>
              <w:rPr>
                <w:rFonts w:ascii="Cambria" w:eastAsia="Times New Roman" w:hAnsi="Cambria" w:cs="Times New Roman"/>
                <w:color w:val="000000"/>
                <w:sz w:val="20"/>
                <w:szCs w:val="20"/>
              </w:rPr>
            </w:pPr>
            <w:r>
              <w:rPr>
                <w:rFonts w:ascii="Cambria" w:hAnsi="Cambria"/>
                <w:color w:val="000000"/>
                <w:sz w:val="20"/>
              </w:rPr>
              <w:t>€1,183,000.00</w:t>
            </w:r>
          </w:p>
        </w:tc>
      </w:tr>
      <w:tr w:rsidR="006D7CF2" w:rsidRPr="006D7CF2" w14:paraId="488B490C" w14:textId="77777777" w:rsidTr="00E02ABE">
        <w:trPr>
          <w:trHeight w:val="250"/>
          <w:jc w:val="center"/>
        </w:trPr>
        <w:tc>
          <w:tcPr>
            <w:tcW w:w="6600" w:type="dxa"/>
            <w:tcBorders>
              <w:top w:val="nil"/>
              <w:left w:val="single" w:sz="4" w:space="0" w:color="auto"/>
              <w:bottom w:val="nil"/>
              <w:right w:val="nil"/>
            </w:tcBorders>
            <w:noWrap/>
            <w:vAlign w:val="bottom"/>
            <w:hideMark/>
          </w:tcPr>
          <w:p w14:paraId="7C410532" w14:textId="77777777" w:rsidR="006D7CF2" w:rsidRPr="006D7CF2" w:rsidRDefault="006D7CF2" w:rsidP="006D7CF2">
            <w:pPr>
              <w:spacing w:after="0" w:line="240" w:lineRule="auto"/>
              <w:rPr>
                <w:rFonts w:ascii="Cambria" w:eastAsia="Times New Roman" w:hAnsi="Cambria" w:cs="Times New Roman"/>
                <w:color w:val="000000"/>
                <w:sz w:val="20"/>
                <w:szCs w:val="20"/>
              </w:rPr>
            </w:pPr>
            <w:r>
              <w:rPr>
                <w:rFonts w:ascii="Cambria" w:hAnsi="Cambria"/>
                <w:color w:val="000000"/>
                <w:sz w:val="20"/>
              </w:rPr>
              <w:t>Funds necessary to cover 3 months of extrabudgetary expenses</w:t>
            </w:r>
          </w:p>
        </w:tc>
        <w:tc>
          <w:tcPr>
            <w:tcW w:w="1591" w:type="dxa"/>
            <w:tcBorders>
              <w:top w:val="nil"/>
              <w:left w:val="nil"/>
              <w:bottom w:val="nil"/>
              <w:right w:val="single" w:sz="4" w:space="0" w:color="auto"/>
            </w:tcBorders>
            <w:noWrap/>
            <w:vAlign w:val="bottom"/>
            <w:hideMark/>
          </w:tcPr>
          <w:p w14:paraId="657159B4" w14:textId="77777777" w:rsidR="006D7CF2" w:rsidRPr="006D7CF2" w:rsidRDefault="006D7CF2" w:rsidP="006D7CF2">
            <w:pPr>
              <w:spacing w:after="0" w:line="240" w:lineRule="auto"/>
              <w:jc w:val="right"/>
              <w:rPr>
                <w:rFonts w:ascii="Cambria" w:eastAsia="Times New Roman" w:hAnsi="Cambria" w:cs="Times New Roman"/>
                <w:color w:val="000000"/>
                <w:sz w:val="20"/>
                <w:szCs w:val="20"/>
              </w:rPr>
            </w:pPr>
            <w:r>
              <w:rPr>
                <w:rFonts w:ascii="Cambria" w:hAnsi="Cambria"/>
                <w:color w:val="000000"/>
                <w:sz w:val="20"/>
              </w:rPr>
              <w:t>€350,000.00</w:t>
            </w:r>
          </w:p>
        </w:tc>
      </w:tr>
      <w:tr w:rsidR="006D7CF2" w:rsidRPr="006D7CF2" w14:paraId="09855591" w14:textId="77777777" w:rsidTr="00E02ABE">
        <w:trPr>
          <w:trHeight w:val="250"/>
          <w:jc w:val="center"/>
        </w:trPr>
        <w:tc>
          <w:tcPr>
            <w:tcW w:w="6600" w:type="dxa"/>
            <w:tcBorders>
              <w:top w:val="nil"/>
              <w:left w:val="single" w:sz="4" w:space="0" w:color="auto"/>
              <w:bottom w:val="nil"/>
              <w:right w:val="nil"/>
            </w:tcBorders>
            <w:noWrap/>
            <w:vAlign w:val="bottom"/>
            <w:hideMark/>
          </w:tcPr>
          <w:p w14:paraId="227E3876" w14:textId="17D970B5" w:rsidR="006D7CF2" w:rsidRPr="006D7CF2" w:rsidRDefault="006D7CF2" w:rsidP="006D7CF2">
            <w:pPr>
              <w:spacing w:after="0" w:line="240" w:lineRule="auto"/>
              <w:rPr>
                <w:rFonts w:ascii="Cambria" w:eastAsia="Times New Roman" w:hAnsi="Cambria" w:cs="Times New Roman"/>
                <w:color w:val="000000"/>
                <w:sz w:val="20"/>
                <w:szCs w:val="20"/>
              </w:rPr>
            </w:pPr>
            <w:r>
              <w:rPr>
                <w:rFonts w:ascii="Cambria" w:hAnsi="Cambria"/>
                <w:color w:val="000000"/>
                <w:sz w:val="20"/>
              </w:rPr>
              <w:t>Contingency fund (5% of 2026 budget)</w:t>
            </w:r>
          </w:p>
        </w:tc>
        <w:tc>
          <w:tcPr>
            <w:tcW w:w="1591" w:type="dxa"/>
            <w:tcBorders>
              <w:top w:val="nil"/>
              <w:left w:val="nil"/>
              <w:bottom w:val="nil"/>
              <w:right w:val="single" w:sz="4" w:space="0" w:color="auto"/>
            </w:tcBorders>
            <w:noWrap/>
            <w:vAlign w:val="bottom"/>
            <w:hideMark/>
          </w:tcPr>
          <w:p w14:paraId="5F48DE4F" w14:textId="478316F5" w:rsidR="006D7CF2" w:rsidRPr="006D7CF2" w:rsidRDefault="006D7CF2" w:rsidP="006D7CF2">
            <w:pPr>
              <w:spacing w:after="0" w:line="240" w:lineRule="auto"/>
              <w:jc w:val="right"/>
              <w:rPr>
                <w:rFonts w:ascii="Cambria" w:eastAsia="Times New Roman" w:hAnsi="Cambria" w:cs="Times New Roman"/>
                <w:color w:val="000000"/>
                <w:sz w:val="20"/>
                <w:szCs w:val="20"/>
              </w:rPr>
            </w:pPr>
            <w:r>
              <w:rPr>
                <w:rFonts w:ascii="Cambria" w:hAnsi="Cambria"/>
                <w:color w:val="000000"/>
                <w:sz w:val="20"/>
              </w:rPr>
              <w:t>€336,004.30</w:t>
            </w:r>
          </w:p>
        </w:tc>
      </w:tr>
      <w:tr w:rsidR="006D7CF2" w:rsidRPr="006B48DD" w14:paraId="5241A9A9" w14:textId="77777777" w:rsidTr="00E02ABE">
        <w:trPr>
          <w:trHeight w:val="250"/>
          <w:jc w:val="center"/>
        </w:trPr>
        <w:tc>
          <w:tcPr>
            <w:tcW w:w="6600" w:type="dxa"/>
            <w:tcBorders>
              <w:top w:val="single" w:sz="4" w:space="0" w:color="auto"/>
              <w:left w:val="single" w:sz="4" w:space="0" w:color="auto"/>
              <w:bottom w:val="single" w:sz="4" w:space="0" w:color="auto"/>
              <w:right w:val="nil"/>
            </w:tcBorders>
            <w:noWrap/>
            <w:vAlign w:val="bottom"/>
            <w:hideMark/>
          </w:tcPr>
          <w:p w14:paraId="5B305F7C" w14:textId="77777777" w:rsidR="006D7CF2" w:rsidRPr="006D7CF2" w:rsidRDefault="006D7CF2" w:rsidP="006D7CF2">
            <w:pPr>
              <w:spacing w:after="0" w:line="240" w:lineRule="auto"/>
              <w:rPr>
                <w:rFonts w:ascii="Cambria" w:eastAsia="Times New Roman" w:hAnsi="Cambria" w:cs="Times New Roman"/>
                <w:b/>
                <w:bCs/>
                <w:color w:val="000000"/>
                <w:sz w:val="20"/>
                <w:szCs w:val="20"/>
              </w:rPr>
            </w:pPr>
            <w:r>
              <w:rPr>
                <w:rFonts w:ascii="Cambria" w:hAnsi="Cambria"/>
                <w:b/>
                <w:color w:val="000000"/>
                <w:sz w:val="20"/>
              </w:rPr>
              <w:t>Total balance of the Working Capital Fund to transfer to 2026</w:t>
            </w:r>
          </w:p>
        </w:tc>
        <w:tc>
          <w:tcPr>
            <w:tcW w:w="1591" w:type="dxa"/>
            <w:tcBorders>
              <w:top w:val="single" w:sz="4" w:space="0" w:color="auto"/>
              <w:left w:val="nil"/>
              <w:bottom w:val="single" w:sz="4" w:space="0" w:color="auto"/>
              <w:right w:val="single" w:sz="4" w:space="0" w:color="auto"/>
            </w:tcBorders>
            <w:noWrap/>
            <w:vAlign w:val="bottom"/>
            <w:hideMark/>
          </w:tcPr>
          <w:p w14:paraId="69CC00A5" w14:textId="772DDCDB" w:rsidR="006D7CF2" w:rsidRPr="006B48DD" w:rsidRDefault="006D7CF2" w:rsidP="006D7CF2">
            <w:pPr>
              <w:spacing w:after="0" w:line="240" w:lineRule="auto"/>
              <w:jc w:val="right"/>
              <w:rPr>
                <w:rFonts w:ascii="Cambria" w:eastAsia="Times New Roman" w:hAnsi="Cambria" w:cs="Times New Roman"/>
                <w:b/>
                <w:bCs/>
                <w:color w:val="000000"/>
                <w:sz w:val="20"/>
                <w:szCs w:val="20"/>
              </w:rPr>
            </w:pPr>
            <w:r w:rsidRPr="006B48DD">
              <w:rPr>
                <w:rFonts w:ascii="Cambria" w:hAnsi="Cambria"/>
                <w:b/>
                <w:color w:val="000000"/>
                <w:sz w:val="20"/>
              </w:rPr>
              <w:t>€1,869</w:t>
            </w:r>
            <w:r w:rsidRPr="00EA3896">
              <w:rPr>
                <w:rFonts w:ascii="Cambria" w:hAnsi="Cambria"/>
                <w:b/>
                <w:color w:val="000000"/>
                <w:sz w:val="20"/>
              </w:rPr>
              <w:t>,004</w:t>
            </w:r>
            <w:r w:rsidR="006B48DD" w:rsidRPr="00EA3896">
              <w:rPr>
                <w:rFonts w:ascii="Cambria" w:hAnsi="Cambria"/>
                <w:b/>
                <w:color w:val="000000"/>
                <w:sz w:val="20"/>
              </w:rPr>
              <w:t>.30</w:t>
            </w:r>
          </w:p>
        </w:tc>
      </w:tr>
      <w:tr w:rsidR="006D7CF2" w:rsidRPr="006D7CF2" w14:paraId="1DCCD9B7" w14:textId="77777777" w:rsidTr="00E02ABE">
        <w:trPr>
          <w:trHeight w:val="250"/>
          <w:jc w:val="center"/>
        </w:trPr>
        <w:tc>
          <w:tcPr>
            <w:tcW w:w="6600" w:type="dxa"/>
            <w:tcBorders>
              <w:top w:val="nil"/>
              <w:left w:val="nil"/>
              <w:bottom w:val="nil"/>
              <w:right w:val="nil"/>
            </w:tcBorders>
            <w:noWrap/>
            <w:vAlign w:val="bottom"/>
            <w:hideMark/>
          </w:tcPr>
          <w:p w14:paraId="3C168B91" w14:textId="77777777" w:rsidR="006D7CF2" w:rsidRPr="006D7CF2" w:rsidRDefault="006D7CF2" w:rsidP="006D7CF2">
            <w:pPr>
              <w:spacing w:after="0" w:line="240" w:lineRule="auto"/>
              <w:jc w:val="right"/>
              <w:rPr>
                <w:rFonts w:ascii="Cambria" w:eastAsia="Times New Roman" w:hAnsi="Cambria" w:cs="Times New Roman"/>
                <w:b/>
                <w:bCs/>
                <w:color w:val="000000"/>
                <w:sz w:val="20"/>
                <w:szCs w:val="20"/>
              </w:rPr>
            </w:pPr>
          </w:p>
        </w:tc>
        <w:tc>
          <w:tcPr>
            <w:tcW w:w="1591" w:type="dxa"/>
            <w:tcBorders>
              <w:top w:val="nil"/>
              <w:left w:val="nil"/>
              <w:bottom w:val="nil"/>
              <w:right w:val="nil"/>
            </w:tcBorders>
            <w:noWrap/>
            <w:vAlign w:val="bottom"/>
            <w:hideMark/>
          </w:tcPr>
          <w:p w14:paraId="47F504FB" w14:textId="77777777" w:rsidR="006D7CF2" w:rsidRPr="006D7CF2" w:rsidRDefault="006D7CF2" w:rsidP="006D7CF2">
            <w:pPr>
              <w:spacing w:after="0" w:line="240" w:lineRule="auto"/>
              <w:rPr>
                <w:rFonts w:ascii="Times New Roman" w:eastAsia="Times New Roman" w:hAnsi="Times New Roman" w:cs="Times New Roman"/>
                <w:sz w:val="20"/>
                <w:szCs w:val="20"/>
              </w:rPr>
            </w:pPr>
          </w:p>
        </w:tc>
      </w:tr>
      <w:tr w:rsidR="006D7CF2" w:rsidRPr="006D7CF2" w14:paraId="06E023E2" w14:textId="77777777" w:rsidTr="00E02ABE">
        <w:trPr>
          <w:trHeight w:val="250"/>
          <w:jc w:val="center"/>
        </w:trPr>
        <w:tc>
          <w:tcPr>
            <w:tcW w:w="6600" w:type="dxa"/>
            <w:tcBorders>
              <w:top w:val="single" w:sz="4" w:space="0" w:color="auto"/>
              <w:left w:val="single" w:sz="4" w:space="0" w:color="auto"/>
              <w:bottom w:val="nil"/>
              <w:right w:val="nil"/>
            </w:tcBorders>
            <w:noWrap/>
            <w:vAlign w:val="bottom"/>
            <w:hideMark/>
          </w:tcPr>
          <w:p w14:paraId="56C914BA" w14:textId="77777777" w:rsidR="006D7CF2" w:rsidRPr="006D7CF2" w:rsidRDefault="006D7CF2" w:rsidP="006D7CF2">
            <w:pPr>
              <w:spacing w:after="0" w:line="240" w:lineRule="auto"/>
              <w:rPr>
                <w:rFonts w:ascii="Cambria" w:eastAsia="Times New Roman" w:hAnsi="Cambria" w:cs="Times New Roman"/>
                <w:color w:val="000000"/>
                <w:sz w:val="20"/>
                <w:szCs w:val="20"/>
              </w:rPr>
            </w:pPr>
            <w:r>
              <w:rPr>
                <w:rFonts w:ascii="Cambria" w:hAnsi="Cambria"/>
                <w:color w:val="000000"/>
                <w:sz w:val="20"/>
              </w:rPr>
              <w:t>Regular budget proposed for 2026</w:t>
            </w:r>
          </w:p>
        </w:tc>
        <w:tc>
          <w:tcPr>
            <w:tcW w:w="1591" w:type="dxa"/>
            <w:tcBorders>
              <w:top w:val="single" w:sz="4" w:space="0" w:color="auto"/>
              <w:left w:val="nil"/>
              <w:bottom w:val="nil"/>
              <w:right w:val="single" w:sz="4" w:space="0" w:color="auto"/>
            </w:tcBorders>
            <w:noWrap/>
            <w:vAlign w:val="bottom"/>
            <w:hideMark/>
          </w:tcPr>
          <w:p w14:paraId="7B2CF5D7" w14:textId="21A02744" w:rsidR="006D7CF2" w:rsidRPr="006D7CF2" w:rsidRDefault="00EF2F7C" w:rsidP="006D7CF2">
            <w:pPr>
              <w:spacing w:after="0" w:line="240" w:lineRule="auto"/>
              <w:jc w:val="right"/>
              <w:rPr>
                <w:rFonts w:ascii="Cambria" w:eastAsia="Times New Roman" w:hAnsi="Cambria" w:cs="Times New Roman"/>
                <w:color w:val="000000"/>
                <w:sz w:val="20"/>
                <w:szCs w:val="20"/>
              </w:rPr>
            </w:pPr>
            <w:r>
              <w:rPr>
                <w:rFonts w:ascii="Cambria" w:hAnsi="Cambria"/>
                <w:color w:val="000000"/>
                <w:sz w:val="20"/>
              </w:rPr>
              <w:t>€6,678,085.94</w:t>
            </w:r>
          </w:p>
        </w:tc>
      </w:tr>
      <w:tr w:rsidR="006D7CF2" w:rsidRPr="006D7CF2" w14:paraId="5475E20B" w14:textId="77777777" w:rsidTr="00E02ABE">
        <w:trPr>
          <w:trHeight w:val="250"/>
          <w:jc w:val="center"/>
        </w:trPr>
        <w:tc>
          <w:tcPr>
            <w:tcW w:w="6600" w:type="dxa"/>
            <w:tcBorders>
              <w:top w:val="nil"/>
              <w:left w:val="single" w:sz="4" w:space="0" w:color="auto"/>
              <w:bottom w:val="nil"/>
              <w:right w:val="nil"/>
            </w:tcBorders>
            <w:noWrap/>
            <w:vAlign w:val="bottom"/>
            <w:hideMark/>
          </w:tcPr>
          <w:p w14:paraId="5FCD426E" w14:textId="6110F62E" w:rsidR="006D7CF2" w:rsidRPr="006D7CF2" w:rsidRDefault="006D7CF2" w:rsidP="006D7CF2">
            <w:pPr>
              <w:spacing w:after="0" w:line="240" w:lineRule="auto"/>
              <w:rPr>
                <w:rFonts w:ascii="Cambria" w:eastAsia="Times New Roman" w:hAnsi="Cambria" w:cs="Times New Roman"/>
                <w:color w:val="000000"/>
                <w:sz w:val="20"/>
                <w:szCs w:val="20"/>
              </w:rPr>
            </w:pPr>
            <w:r>
              <w:rPr>
                <w:rFonts w:ascii="Cambria" w:hAnsi="Cambria"/>
                <w:color w:val="000000"/>
                <w:sz w:val="20"/>
              </w:rPr>
              <w:t>Excess of the Working Capital Fund (estimated at €2,545,042.88)</w:t>
            </w:r>
          </w:p>
        </w:tc>
        <w:tc>
          <w:tcPr>
            <w:tcW w:w="1591" w:type="dxa"/>
            <w:tcBorders>
              <w:top w:val="nil"/>
              <w:left w:val="nil"/>
              <w:bottom w:val="nil"/>
              <w:right w:val="single" w:sz="4" w:space="0" w:color="auto"/>
            </w:tcBorders>
            <w:noWrap/>
            <w:vAlign w:val="bottom"/>
            <w:hideMark/>
          </w:tcPr>
          <w:p w14:paraId="607A720A" w14:textId="1858B022" w:rsidR="006D7CF2" w:rsidRPr="006D7CF2" w:rsidRDefault="00C4595F" w:rsidP="006D7CF2">
            <w:pPr>
              <w:spacing w:after="0" w:line="240" w:lineRule="auto"/>
              <w:jc w:val="right"/>
              <w:rPr>
                <w:rFonts w:ascii="Cambria" w:eastAsia="Times New Roman" w:hAnsi="Cambria" w:cs="Times New Roman"/>
                <w:color w:val="000000"/>
                <w:sz w:val="20"/>
                <w:szCs w:val="20"/>
              </w:rPr>
            </w:pPr>
            <w:r>
              <w:rPr>
                <w:rFonts w:ascii="Cambria" w:hAnsi="Cambria"/>
                <w:color w:val="000000"/>
                <w:sz w:val="20"/>
              </w:rPr>
              <w:t>(€676,038.58)</w:t>
            </w:r>
          </w:p>
        </w:tc>
      </w:tr>
      <w:tr w:rsidR="006D7CF2" w:rsidRPr="006D7CF2" w14:paraId="078B67B2" w14:textId="77777777" w:rsidTr="00E02ABE">
        <w:trPr>
          <w:trHeight w:val="250"/>
          <w:jc w:val="center"/>
        </w:trPr>
        <w:tc>
          <w:tcPr>
            <w:tcW w:w="6600" w:type="dxa"/>
            <w:tcBorders>
              <w:top w:val="single" w:sz="4" w:space="0" w:color="auto"/>
              <w:left w:val="single" w:sz="4" w:space="0" w:color="auto"/>
              <w:bottom w:val="single" w:sz="4" w:space="0" w:color="auto"/>
              <w:right w:val="nil"/>
            </w:tcBorders>
            <w:noWrap/>
            <w:vAlign w:val="bottom"/>
            <w:hideMark/>
          </w:tcPr>
          <w:p w14:paraId="496D95DD" w14:textId="77777777" w:rsidR="006D7CF2" w:rsidRPr="006D7CF2" w:rsidRDefault="006D7CF2" w:rsidP="006D7CF2">
            <w:pPr>
              <w:spacing w:after="0" w:line="240" w:lineRule="auto"/>
              <w:rPr>
                <w:rFonts w:ascii="Cambria" w:eastAsia="Times New Roman" w:hAnsi="Cambria" w:cs="Times New Roman"/>
                <w:b/>
                <w:bCs/>
                <w:color w:val="000000"/>
                <w:sz w:val="20"/>
                <w:szCs w:val="20"/>
              </w:rPr>
            </w:pPr>
            <w:r>
              <w:rPr>
                <w:rFonts w:ascii="Cambria" w:hAnsi="Cambria"/>
                <w:b/>
                <w:color w:val="000000"/>
                <w:sz w:val="20"/>
              </w:rPr>
              <w:t>Net regular budget to be financed by Contracting Parties</w:t>
            </w:r>
          </w:p>
        </w:tc>
        <w:tc>
          <w:tcPr>
            <w:tcW w:w="1591" w:type="dxa"/>
            <w:tcBorders>
              <w:top w:val="single" w:sz="4" w:space="0" w:color="auto"/>
              <w:left w:val="nil"/>
              <w:bottom w:val="single" w:sz="4" w:space="0" w:color="auto"/>
              <w:right w:val="single" w:sz="4" w:space="0" w:color="auto"/>
            </w:tcBorders>
            <w:noWrap/>
            <w:vAlign w:val="bottom"/>
            <w:hideMark/>
          </w:tcPr>
          <w:p w14:paraId="0C1B1F46" w14:textId="704F70A2" w:rsidR="006D7CF2" w:rsidRPr="006D7CF2" w:rsidRDefault="00EF2F7C" w:rsidP="006D7CF2">
            <w:pPr>
              <w:spacing w:after="0" w:line="240" w:lineRule="auto"/>
              <w:jc w:val="right"/>
              <w:rPr>
                <w:rFonts w:ascii="Cambria" w:eastAsia="Times New Roman" w:hAnsi="Cambria" w:cs="Times New Roman"/>
                <w:b/>
                <w:bCs/>
                <w:color w:val="000000"/>
                <w:sz w:val="20"/>
                <w:szCs w:val="20"/>
              </w:rPr>
            </w:pPr>
            <w:r>
              <w:rPr>
                <w:rFonts w:ascii="Cambria" w:hAnsi="Cambria"/>
                <w:b/>
                <w:color w:val="000000"/>
                <w:sz w:val="20"/>
              </w:rPr>
              <w:t>€6,002,047.36</w:t>
            </w:r>
          </w:p>
        </w:tc>
      </w:tr>
    </w:tbl>
    <w:p w14:paraId="40BFBD51" w14:textId="77777777" w:rsidR="0095065E" w:rsidRDefault="0095065E" w:rsidP="00883039">
      <w:pPr>
        <w:spacing w:after="0" w:line="240" w:lineRule="auto"/>
        <w:jc w:val="both"/>
        <w:rPr>
          <w:rFonts w:asciiTheme="majorHAnsi" w:hAnsiTheme="majorHAnsi" w:cs="Times New Roman"/>
          <w:sz w:val="20"/>
          <w:szCs w:val="20"/>
        </w:rPr>
      </w:pPr>
    </w:p>
    <w:p w14:paraId="3D1F2849" w14:textId="77777777" w:rsidR="001231BD" w:rsidRPr="001231BD" w:rsidRDefault="001231BD" w:rsidP="00883039">
      <w:pPr>
        <w:spacing w:after="0" w:line="240" w:lineRule="auto"/>
        <w:jc w:val="both"/>
        <w:rPr>
          <w:rFonts w:asciiTheme="majorHAnsi" w:hAnsiTheme="majorHAnsi" w:cs="Times New Roman"/>
          <w:sz w:val="20"/>
          <w:szCs w:val="20"/>
        </w:rPr>
      </w:pPr>
    </w:p>
    <w:p w14:paraId="67460287" w14:textId="77777777" w:rsidR="00A143E4" w:rsidRPr="004E1EAD" w:rsidRDefault="00680E25" w:rsidP="000B162D">
      <w:pPr>
        <w:pStyle w:val="ListParagraph"/>
        <w:numPr>
          <w:ilvl w:val="0"/>
          <w:numId w:val="13"/>
        </w:numPr>
        <w:spacing w:after="0"/>
        <w:ind w:left="426" w:hanging="426"/>
        <w:jc w:val="both"/>
        <w:rPr>
          <w:rFonts w:asciiTheme="majorHAnsi" w:hAnsiTheme="majorHAnsi" w:cs="Times New Roman"/>
          <w:b/>
          <w:sz w:val="20"/>
          <w:szCs w:val="20"/>
        </w:rPr>
      </w:pPr>
      <w:r>
        <w:rPr>
          <w:rFonts w:asciiTheme="majorHAnsi" w:hAnsiTheme="majorHAnsi"/>
          <w:b/>
          <w:sz w:val="20"/>
        </w:rPr>
        <w:t>Trust funds</w:t>
      </w:r>
    </w:p>
    <w:p w14:paraId="03DBD88D" w14:textId="77777777" w:rsidR="002B4B7B" w:rsidRPr="001231BD" w:rsidRDefault="002B4B7B">
      <w:pPr>
        <w:spacing w:after="0" w:line="240" w:lineRule="auto"/>
        <w:jc w:val="both"/>
        <w:rPr>
          <w:rFonts w:asciiTheme="majorHAnsi" w:hAnsiTheme="majorHAnsi" w:cs="Times New Roman"/>
          <w:sz w:val="20"/>
          <w:szCs w:val="20"/>
        </w:rPr>
      </w:pPr>
    </w:p>
    <w:p w14:paraId="240F5518" w14:textId="04EDE065" w:rsidR="00A143E4" w:rsidRPr="004E1EAD" w:rsidRDefault="00A143E4">
      <w:pPr>
        <w:spacing w:after="0" w:line="240" w:lineRule="auto"/>
        <w:jc w:val="both"/>
        <w:rPr>
          <w:rFonts w:asciiTheme="majorHAnsi" w:hAnsiTheme="majorHAnsi" w:cs="Times New Roman"/>
          <w:sz w:val="20"/>
          <w:szCs w:val="20"/>
        </w:rPr>
      </w:pPr>
      <w:r>
        <w:rPr>
          <w:rFonts w:asciiTheme="majorHAnsi" w:hAnsiTheme="majorHAnsi"/>
          <w:sz w:val="20"/>
        </w:rPr>
        <w:t>The remainder of activities not covered by the Working Capital Fund are covered by the trust funds.</w:t>
      </w:r>
    </w:p>
    <w:p w14:paraId="7B403236" w14:textId="77777777" w:rsidR="002B4B7B" w:rsidRPr="001231BD" w:rsidRDefault="002B4B7B">
      <w:pPr>
        <w:spacing w:after="0" w:line="240" w:lineRule="auto"/>
        <w:jc w:val="both"/>
        <w:rPr>
          <w:rFonts w:asciiTheme="majorHAnsi" w:hAnsiTheme="majorHAnsi" w:cs="Times New Roman"/>
          <w:sz w:val="20"/>
          <w:szCs w:val="20"/>
        </w:rPr>
      </w:pPr>
    </w:p>
    <w:p w14:paraId="68D3402B" w14:textId="525EBE5F" w:rsidR="00A143E4" w:rsidRDefault="00A143E4">
      <w:pPr>
        <w:spacing w:after="0" w:line="240" w:lineRule="auto"/>
        <w:jc w:val="both"/>
        <w:rPr>
          <w:rFonts w:asciiTheme="majorHAnsi" w:hAnsiTheme="majorHAnsi"/>
          <w:sz w:val="20"/>
        </w:rPr>
      </w:pPr>
      <w:r>
        <w:rPr>
          <w:rFonts w:asciiTheme="majorHAnsi" w:hAnsiTheme="majorHAnsi"/>
          <w:sz w:val="20"/>
        </w:rPr>
        <w:lastRenderedPageBreak/>
        <w:t xml:space="preserve">Regulation 8 of the Financial Regulations provides that the Executive Secretary may accept on behalf of the Commission voluntary contributions </w:t>
      </w:r>
      <w:proofErr w:type="gramStart"/>
      <w:r>
        <w:rPr>
          <w:rFonts w:asciiTheme="majorHAnsi" w:hAnsiTheme="majorHAnsi"/>
          <w:sz w:val="20"/>
        </w:rPr>
        <w:t>whether or not</w:t>
      </w:r>
      <w:proofErr w:type="gramEnd"/>
      <w:r>
        <w:rPr>
          <w:rFonts w:asciiTheme="majorHAnsi" w:hAnsiTheme="majorHAnsi"/>
          <w:sz w:val="20"/>
        </w:rPr>
        <w:t xml:space="preserve"> in cash from Contracting Parties or from other sources, provided that the purposes for which such voluntary contributions have been made are consistent with the policies, aims and activities of the Commission.  The Commission will be informed of any funds that are established.</w:t>
      </w:r>
    </w:p>
    <w:p w14:paraId="129FD12E" w14:textId="77777777" w:rsidR="00C5485C" w:rsidRPr="001231BD" w:rsidRDefault="00C5485C">
      <w:pPr>
        <w:spacing w:after="0" w:line="240" w:lineRule="auto"/>
        <w:jc w:val="both"/>
        <w:rPr>
          <w:rFonts w:asciiTheme="majorHAnsi" w:hAnsiTheme="majorHAnsi" w:cs="Times New Roman"/>
          <w:sz w:val="20"/>
          <w:szCs w:val="20"/>
        </w:rPr>
      </w:pPr>
    </w:p>
    <w:p w14:paraId="7875C4D6" w14:textId="590D4FFC" w:rsidR="00106889" w:rsidRPr="004E1EAD" w:rsidRDefault="00A143E4" w:rsidP="00106889">
      <w:pPr>
        <w:spacing w:after="0" w:line="240" w:lineRule="auto"/>
        <w:jc w:val="both"/>
        <w:rPr>
          <w:rFonts w:asciiTheme="majorHAnsi" w:hAnsiTheme="majorHAnsi" w:cs="Times New Roman"/>
          <w:b/>
          <w:bCs/>
          <w:sz w:val="20"/>
          <w:szCs w:val="20"/>
        </w:rPr>
      </w:pPr>
      <w:r>
        <w:rPr>
          <w:rFonts w:asciiTheme="majorHAnsi" w:hAnsiTheme="majorHAnsi"/>
          <w:sz w:val="20"/>
        </w:rPr>
        <w:t xml:space="preserve">The revenue and expenses of the trust funds are maintained in separate accounts in accordance with Regulation 9 of the Financial Regulations.   </w:t>
      </w:r>
      <w:bookmarkStart w:id="2" w:name="OLE_LINK1"/>
      <w:r>
        <w:rPr>
          <w:rFonts w:asciiTheme="majorHAnsi" w:hAnsiTheme="majorHAnsi"/>
          <w:i/>
          <w:sz w:val="20"/>
        </w:rPr>
        <w:t xml:space="preserve"> </w:t>
      </w:r>
      <w:bookmarkEnd w:id="2"/>
      <w:r>
        <w:br w:type="page"/>
      </w:r>
    </w:p>
    <w:p w14:paraId="61869DAD" w14:textId="641799D7" w:rsidR="00D15C92" w:rsidRPr="004E1EAD" w:rsidRDefault="00D15C92" w:rsidP="00883039">
      <w:pPr>
        <w:spacing w:after="0" w:line="240" w:lineRule="auto"/>
        <w:jc w:val="right"/>
        <w:rPr>
          <w:rFonts w:asciiTheme="majorHAnsi" w:hAnsiTheme="majorHAnsi" w:cs="Times New Roman"/>
          <w:b/>
          <w:bCs/>
          <w:sz w:val="20"/>
          <w:szCs w:val="20"/>
        </w:rPr>
      </w:pPr>
      <w:r>
        <w:rPr>
          <w:rFonts w:asciiTheme="majorHAnsi" w:hAnsiTheme="majorHAnsi"/>
          <w:b/>
          <w:sz w:val="20"/>
        </w:rPr>
        <w:lastRenderedPageBreak/>
        <w:t>Annex</w:t>
      </w:r>
    </w:p>
    <w:p w14:paraId="045BEBA4" w14:textId="77777777" w:rsidR="00413C7D" w:rsidRPr="004E1EAD" w:rsidRDefault="00413C7D" w:rsidP="00883039">
      <w:pPr>
        <w:spacing w:after="0" w:line="240" w:lineRule="auto"/>
        <w:jc w:val="right"/>
        <w:rPr>
          <w:rFonts w:asciiTheme="majorHAnsi" w:hAnsiTheme="majorHAnsi" w:cs="Times New Roman"/>
          <w:b/>
          <w:bCs/>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49"/>
        <w:gridCol w:w="1843"/>
        <w:gridCol w:w="2126"/>
      </w:tblGrid>
      <w:tr w:rsidR="00F255D8" w:rsidRPr="004E1EAD" w14:paraId="16327A06"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556B945F" w14:textId="187C26A4" w:rsidR="00413C7D" w:rsidRPr="004E1EAD" w:rsidRDefault="00413C7D" w:rsidP="00413C7D">
            <w:pPr>
              <w:spacing w:after="0" w:line="240" w:lineRule="auto"/>
              <w:rPr>
                <w:rFonts w:asciiTheme="majorHAnsi" w:eastAsia="Times New Roman" w:hAnsiTheme="majorHAnsi" w:cs="Arial"/>
                <w:i/>
                <w:sz w:val="20"/>
                <w:szCs w:val="20"/>
              </w:rPr>
            </w:pPr>
            <w:r>
              <w:rPr>
                <w:rFonts w:asciiTheme="majorHAnsi" w:hAnsiTheme="majorHAnsi"/>
                <w:i/>
                <w:sz w:val="20"/>
              </w:rPr>
              <w:t>Composition and balance of the Working Capital Fund (euros) (</w:t>
            </w:r>
            <w:proofErr w:type="gramStart"/>
            <w:r>
              <w:rPr>
                <w:rFonts w:asciiTheme="majorHAnsi" w:hAnsiTheme="majorHAnsi"/>
                <w:i/>
                <w:sz w:val="20"/>
              </w:rPr>
              <w:t>at</w:t>
            </w:r>
            <w:proofErr w:type="gramEnd"/>
            <w:r>
              <w:rPr>
                <w:rFonts w:asciiTheme="majorHAnsi" w:hAnsiTheme="majorHAnsi"/>
                <w:i/>
                <w:sz w:val="20"/>
              </w:rPr>
              <w:t xml:space="preserve"> 8 October 2025)</w:t>
            </w:r>
          </w:p>
        </w:tc>
        <w:tc>
          <w:tcPr>
            <w:tcW w:w="1843" w:type="dxa"/>
            <w:tcBorders>
              <w:top w:val="single" w:sz="4" w:space="0" w:color="auto"/>
              <w:left w:val="single" w:sz="4" w:space="0" w:color="auto"/>
              <w:bottom w:val="single" w:sz="4" w:space="0" w:color="auto"/>
              <w:right w:val="single" w:sz="4" w:space="0" w:color="auto"/>
            </w:tcBorders>
            <w:noWrap/>
            <w:vAlign w:val="bottom"/>
          </w:tcPr>
          <w:p w14:paraId="1B27D748" w14:textId="72550B18" w:rsidR="00413C7D" w:rsidRPr="004E1EAD" w:rsidRDefault="00413C7D" w:rsidP="00FB0DE0">
            <w:pPr>
              <w:spacing w:after="0" w:line="240" w:lineRule="auto"/>
              <w:jc w:val="center"/>
              <w:rPr>
                <w:rFonts w:asciiTheme="majorHAnsi" w:hAnsiTheme="majorHAnsi" w:cs="Times New Roman"/>
                <w:i/>
                <w:iCs/>
                <w:sz w:val="20"/>
                <w:szCs w:val="20"/>
              </w:rPr>
            </w:pPr>
            <w:r>
              <w:rPr>
                <w:rFonts w:asciiTheme="majorHAnsi" w:hAnsiTheme="majorHAnsi"/>
                <w:i/>
                <w:sz w:val="20"/>
              </w:rPr>
              <w:t>Financial year 2025</w:t>
            </w:r>
          </w:p>
        </w:tc>
        <w:tc>
          <w:tcPr>
            <w:tcW w:w="2126" w:type="dxa"/>
            <w:tcBorders>
              <w:top w:val="single" w:sz="4" w:space="0" w:color="auto"/>
              <w:left w:val="single" w:sz="4" w:space="0" w:color="auto"/>
              <w:bottom w:val="single" w:sz="4" w:space="0" w:color="auto"/>
              <w:right w:val="single" w:sz="4" w:space="0" w:color="auto"/>
            </w:tcBorders>
            <w:vAlign w:val="bottom"/>
          </w:tcPr>
          <w:p w14:paraId="627AA5AB" w14:textId="00C42182" w:rsidR="00413C7D" w:rsidRPr="004E1EAD" w:rsidRDefault="00413C7D" w:rsidP="006E7829">
            <w:pPr>
              <w:spacing w:after="0" w:line="240" w:lineRule="auto"/>
              <w:jc w:val="center"/>
              <w:rPr>
                <w:rFonts w:asciiTheme="majorHAnsi" w:eastAsia="Times New Roman" w:hAnsiTheme="majorHAnsi" w:cs="Arial"/>
                <w:i/>
                <w:sz w:val="20"/>
                <w:szCs w:val="20"/>
              </w:rPr>
            </w:pPr>
            <w:r>
              <w:rPr>
                <w:rFonts w:asciiTheme="majorHAnsi" w:hAnsiTheme="majorHAnsi"/>
                <w:i/>
                <w:sz w:val="20"/>
              </w:rPr>
              <w:t xml:space="preserve">Percentage with </w:t>
            </w:r>
            <w:r w:rsidRPr="000A1AA5">
              <w:rPr>
                <w:rFonts w:asciiTheme="majorHAnsi" w:hAnsiTheme="majorHAnsi"/>
                <w:i/>
                <w:sz w:val="20"/>
              </w:rPr>
              <w:t>respect to 202</w:t>
            </w:r>
            <w:r w:rsidR="000A1AA5" w:rsidRPr="000A1AA5">
              <w:rPr>
                <w:rFonts w:asciiTheme="majorHAnsi" w:hAnsiTheme="majorHAnsi"/>
                <w:i/>
                <w:sz w:val="20"/>
              </w:rPr>
              <w:t>5</w:t>
            </w:r>
            <w:r w:rsidRPr="000A1AA5">
              <w:rPr>
                <w:rFonts w:asciiTheme="majorHAnsi" w:hAnsiTheme="majorHAnsi"/>
                <w:i/>
                <w:sz w:val="20"/>
              </w:rPr>
              <w:t xml:space="preserve"> budget (€5,992,471.50)</w:t>
            </w:r>
          </w:p>
        </w:tc>
      </w:tr>
      <w:tr w:rsidR="007F7464" w:rsidRPr="004E1EAD" w14:paraId="087BC63E"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2142AF0" w14:textId="77777777" w:rsidR="007F7464" w:rsidRPr="004E1EAD" w:rsidRDefault="007F7464" w:rsidP="007F7464">
            <w:pPr>
              <w:spacing w:after="0" w:line="240" w:lineRule="auto"/>
              <w:rPr>
                <w:rFonts w:asciiTheme="majorHAnsi" w:eastAsia="Times New Roman" w:hAnsiTheme="majorHAnsi" w:cs="Arial"/>
                <w:b/>
                <w:sz w:val="20"/>
                <w:szCs w:val="20"/>
              </w:rPr>
            </w:pPr>
            <w:r>
              <w:rPr>
                <w:rFonts w:asciiTheme="majorHAnsi" w:hAnsiTheme="majorHAnsi"/>
                <w:b/>
                <w:sz w:val="20"/>
              </w:rPr>
              <w:t>Opening balance for the financial year</w:t>
            </w:r>
          </w:p>
        </w:tc>
        <w:tc>
          <w:tcPr>
            <w:tcW w:w="1843" w:type="dxa"/>
            <w:tcBorders>
              <w:top w:val="single" w:sz="4" w:space="0" w:color="auto"/>
              <w:left w:val="single" w:sz="4" w:space="0" w:color="auto"/>
              <w:bottom w:val="single" w:sz="4" w:space="0" w:color="auto"/>
              <w:right w:val="single" w:sz="4" w:space="0" w:color="auto"/>
            </w:tcBorders>
            <w:noWrap/>
            <w:vAlign w:val="bottom"/>
          </w:tcPr>
          <w:p w14:paraId="0AC03952" w14:textId="4B2E7A23" w:rsidR="007F7464" w:rsidRPr="004E1EAD" w:rsidRDefault="007F7464" w:rsidP="007F7464">
            <w:pPr>
              <w:spacing w:after="0" w:line="240" w:lineRule="auto"/>
              <w:jc w:val="center"/>
              <w:rPr>
                <w:rFonts w:asciiTheme="majorHAnsi" w:hAnsiTheme="majorHAnsi" w:cs="Times New Roman"/>
                <w:sz w:val="20"/>
                <w:szCs w:val="20"/>
              </w:rPr>
            </w:pPr>
            <w:r>
              <w:rPr>
                <w:rFonts w:asciiTheme="majorHAnsi" w:hAnsiTheme="majorHAnsi"/>
                <w:sz w:val="20"/>
              </w:rPr>
              <w:t>2,900,070.01</w:t>
            </w:r>
          </w:p>
        </w:tc>
        <w:tc>
          <w:tcPr>
            <w:tcW w:w="2126" w:type="dxa"/>
            <w:tcBorders>
              <w:top w:val="single" w:sz="4" w:space="0" w:color="auto"/>
              <w:left w:val="single" w:sz="4" w:space="0" w:color="auto"/>
              <w:bottom w:val="single" w:sz="4" w:space="0" w:color="auto"/>
              <w:right w:val="single" w:sz="4" w:space="0" w:color="auto"/>
            </w:tcBorders>
            <w:vAlign w:val="bottom"/>
          </w:tcPr>
          <w:p w14:paraId="0B63A348" w14:textId="30B435F6" w:rsidR="007F7464" w:rsidRPr="004E1EAD" w:rsidRDefault="007F7464" w:rsidP="00A31D22">
            <w:pPr>
              <w:spacing w:after="0" w:line="240" w:lineRule="auto"/>
              <w:jc w:val="center"/>
              <w:rPr>
                <w:rFonts w:asciiTheme="majorHAnsi" w:hAnsiTheme="majorHAnsi" w:cs="Times New Roman"/>
                <w:sz w:val="20"/>
                <w:szCs w:val="20"/>
              </w:rPr>
            </w:pPr>
            <w:r>
              <w:rPr>
                <w:rFonts w:asciiTheme="majorHAnsi" w:hAnsiTheme="majorHAnsi"/>
                <w:sz w:val="20"/>
              </w:rPr>
              <w:t>48.40%</w:t>
            </w:r>
          </w:p>
        </w:tc>
      </w:tr>
      <w:tr w:rsidR="007F7464" w:rsidRPr="004E1EAD" w14:paraId="4F098BD1"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E8771DD" w14:textId="77777777" w:rsidR="007F7464" w:rsidRPr="004E1EAD" w:rsidRDefault="007F7464" w:rsidP="007F7464">
            <w:pPr>
              <w:spacing w:after="0" w:line="240" w:lineRule="auto"/>
              <w:rPr>
                <w:rFonts w:asciiTheme="majorHAnsi" w:eastAsia="Times New Roman" w:hAnsiTheme="majorHAnsi" w:cs="Arial"/>
                <w:b/>
                <w:sz w:val="20"/>
                <w:szCs w:val="20"/>
              </w:rPr>
            </w:pPr>
            <w:r>
              <w:rPr>
                <w:rFonts w:asciiTheme="majorHAnsi" w:hAnsiTheme="majorHAnsi"/>
                <w:b/>
                <w:sz w:val="20"/>
              </w:rPr>
              <w:t>Result for financial year a) + b) + c)</w:t>
            </w:r>
          </w:p>
        </w:tc>
        <w:tc>
          <w:tcPr>
            <w:tcW w:w="1843" w:type="dxa"/>
            <w:tcBorders>
              <w:top w:val="single" w:sz="4" w:space="0" w:color="auto"/>
              <w:left w:val="single" w:sz="4" w:space="0" w:color="auto"/>
              <w:bottom w:val="single" w:sz="4" w:space="0" w:color="auto"/>
              <w:right w:val="single" w:sz="4" w:space="0" w:color="auto"/>
            </w:tcBorders>
            <w:noWrap/>
            <w:vAlign w:val="bottom"/>
          </w:tcPr>
          <w:p w14:paraId="5D281A67" w14:textId="00D418BB" w:rsidR="007F7464" w:rsidRPr="004E1EAD" w:rsidRDefault="007F7464" w:rsidP="007F7464">
            <w:pPr>
              <w:spacing w:after="0" w:line="240" w:lineRule="auto"/>
              <w:jc w:val="center"/>
              <w:rPr>
                <w:rFonts w:asciiTheme="majorHAnsi" w:hAnsiTheme="majorHAnsi" w:cs="Times New Roman"/>
                <w:sz w:val="20"/>
                <w:szCs w:val="20"/>
              </w:rPr>
            </w:pPr>
            <w:r>
              <w:rPr>
                <w:rFonts w:asciiTheme="majorHAnsi" w:hAnsiTheme="majorHAnsi"/>
                <w:sz w:val="20"/>
              </w:rPr>
              <w:t>1,418,018.82</w:t>
            </w:r>
          </w:p>
        </w:tc>
        <w:tc>
          <w:tcPr>
            <w:tcW w:w="2126" w:type="dxa"/>
            <w:tcBorders>
              <w:top w:val="single" w:sz="4" w:space="0" w:color="auto"/>
              <w:left w:val="single" w:sz="4" w:space="0" w:color="auto"/>
              <w:bottom w:val="single" w:sz="4" w:space="0" w:color="auto"/>
              <w:right w:val="single" w:sz="4" w:space="0" w:color="auto"/>
            </w:tcBorders>
            <w:vAlign w:val="bottom"/>
          </w:tcPr>
          <w:p w14:paraId="6689C9A4" w14:textId="27A45B91" w:rsidR="007F7464" w:rsidRPr="004E1EAD" w:rsidRDefault="007F7464" w:rsidP="00A31D22">
            <w:pPr>
              <w:spacing w:after="0" w:line="240" w:lineRule="auto"/>
              <w:jc w:val="center"/>
              <w:rPr>
                <w:rFonts w:asciiTheme="majorHAnsi" w:hAnsiTheme="majorHAnsi" w:cs="Times New Roman"/>
                <w:sz w:val="20"/>
                <w:szCs w:val="20"/>
              </w:rPr>
            </w:pPr>
            <w:r>
              <w:rPr>
                <w:rFonts w:asciiTheme="majorHAnsi" w:hAnsiTheme="majorHAnsi"/>
                <w:sz w:val="20"/>
              </w:rPr>
              <w:t>23.66%</w:t>
            </w:r>
          </w:p>
        </w:tc>
      </w:tr>
      <w:tr w:rsidR="007F7464" w:rsidRPr="004E1EAD" w14:paraId="45F0F725"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C45B8B4" w14:textId="77777777" w:rsidR="007F7464" w:rsidRPr="004E1EAD" w:rsidRDefault="007F7464" w:rsidP="007F7464">
            <w:pPr>
              <w:spacing w:after="0" w:line="240" w:lineRule="auto"/>
              <w:rPr>
                <w:rFonts w:asciiTheme="majorHAnsi" w:eastAsia="Times New Roman" w:hAnsiTheme="majorHAnsi" w:cs="Arial"/>
                <w:b/>
                <w:sz w:val="20"/>
                <w:szCs w:val="20"/>
              </w:rPr>
            </w:pPr>
            <w:r>
              <w:rPr>
                <w:rFonts w:asciiTheme="majorHAnsi" w:hAnsiTheme="majorHAnsi"/>
                <w:b/>
                <w:sz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59CB9AD2" w14:textId="77777777" w:rsidR="007F7464" w:rsidRPr="004E1EAD" w:rsidRDefault="007F7464" w:rsidP="007F7464">
            <w:pPr>
              <w:spacing w:after="0" w:line="240" w:lineRule="auto"/>
              <w:jc w:val="center"/>
              <w:rPr>
                <w:rFonts w:asciiTheme="majorHAnsi" w:hAnsiTheme="majorHAnsi" w:cs="Times New Roman"/>
                <w:sz w:val="20"/>
                <w:szCs w:val="20"/>
                <w:lang w:val="es-ES_tradnl"/>
              </w:rPr>
            </w:pPr>
          </w:p>
        </w:tc>
        <w:tc>
          <w:tcPr>
            <w:tcW w:w="2126" w:type="dxa"/>
            <w:tcBorders>
              <w:top w:val="single" w:sz="4" w:space="0" w:color="auto"/>
              <w:left w:val="single" w:sz="4" w:space="0" w:color="auto"/>
              <w:bottom w:val="single" w:sz="4" w:space="0" w:color="auto"/>
              <w:right w:val="single" w:sz="4" w:space="0" w:color="auto"/>
            </w:tcBorders>
            <w:vAlign w:val="bottom"/>
          </w:tcPr>
          <w:p w14:paraId="72FF446D" w14:textId="77777777" w:rsidR="007F7464" w:rsidRPr="004E1EAD" w:rsidRDefault="007F7464" w:rsidP="007F7464">
            <w:pPr>
              <w:spacing w:after="0" w:line="240" w:lineRule="auto"/>
              <w:jc w:val="center"/>
              <w:rPr>
                <w:rFonts w:asciiTheme="majorHAnsi" w:eastAsia="Times New Roman" w:hAnsiTheme="majorHAnsi" w:cs="Arial"/>
                <w:b/>
                <w:sz w:val="20"/>
                <w:szCs w:val="20"/>
              </w:rPr>
            </w:pPr>
          </w:p>
        </w:tc>
      </w:tr>
      <w:tr w:rsidR="007F7464" w:rsidRPr="004E1EAD" w14:paraId="2155EF9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48460F7F" w14:textId="77777777" w:rsidR="007F7464" w:rsidRPr="004E1EAD" w:rsidRDefault="007F7464" w:rsidP="007F7464">
            <w:pPr>
              <w:spacing w:after="0" w:line="240" w:lineRule="auto"/>
              <w:rPr>
                <w:rFonts w:asciiTheme="majorHAnsi" w:eastAsia="Times New Roman" w:hAnsiTheme="majorHAnsi" w:cs="Arial"/>
                <w:b/>
                <w:sz w:val="20"/>
                <w:szCs w:val="20"/>
              </w:rPr>
            </w:pPr>
            <w:r>
              <w:rPr>
                <w:rFonts w:asciiTheme="majorHAnsi" w:hAnsiTheme="majorHAnsi"/>
                <w:b/>
                <w:sz w:val="20"/>
              </w:rPr>
              <w:t xml:space="preserve">a) Budgetary result </w:t>
            </w:r>
          </w:p>
        </w:tc>
        <w:tc>
          <w:tcPr>
            <w:tcW w:w="1843" w:type="dxa"/>
            <w:tcBorders>
              <w:top w:val="single" w:sz="4" w:space="0" w:color="auto"/>
              <w:left w:val="single" w:sz="4" w:space="0" w:color="auto"/>
              <w:bottom w:val="single" w:sz="4" w:space="0" w:color="auto"/>
              <w:right w:val="single" w:sz="4" w:space="0" w:color="auto"/>
            </w:tcBorders>
            <w:noWrap/>
            <w:vAlign w:val="bottom"/>
          </w:tcPr>
          <w:p w14:paraId="42CD58CC" w14:textId="2A5FE684" w:rsidR="007F7464" w:rsidRPr="000F5B09" w:rsidRDefault="007F7464" w:rsidP="007F7464">
            <w:pPr>
              <w:spacing w:after="0" w:line="240" w:lineRule="auto"/>
              <w:jc w:val="center"/>
              <w:rPr>
                <w:rFonts w:asciiTheme="majorHAnsi" w:hAnsiTheme="majorHAnsi" w:cs="Times New Roman"/>
                <w:b/>
                <w:bCs/>
                <w:sz w:val="20"/>
                <w:szCs w:val="20"/>
              </w:rPr>
            </w:pPr>
            <w:r>
              <w:rPr>
                <w:rFonts w:asciiTheme="majorHAnsi" w:hAnsiTheme="majorHAnsi"/>
                <w:b/>
                <w:sz w:val="20"/>
              </w:rPr>
              <w:t>625,808.65</w:t>
            </w:r>
          </w:p>
        </w:tc>
        <w:tc>
          <w:tcPr>
            <w:tcW w:w="2126" w:type="dxa"/>
            <w:tcBorders>
              <w:top w:val="single" w:sz="4" w:space="0" w:color="auto"/>
              <w:left w:val="single" w:sz="4" w:space="0" w:color="auto"/>
              <w:bottom w:val="single" w:sz="4" w:space="0" w:color="auto"/>
              <w:right w:val="single" w:sz="4" w:space="0" w:color="auto"/>
            </w:tcBorders>
            <w:vAlign w:val="bottom"/>
          </w:tcPr>
          <w:p w14:paraId="5AD465E5" w14:textId="77777777" w:rsidR="007F7464" w:rsidRPr="004E1EAD" w:rsidRDefault="007F7464" w:rsidP="007F7464">
            <w:pPr>
              <w:spacing w:after="0" w:line="240" w:lineRule="auto"/>
              <w:jc w:val="center"/>
              <w:rPr>
                <w:rFonts w:asciiTheme="majorHAnsi" w:eastAsia="Times New Roman" w:hAnsiTheme="majorHAnsi" w:cs="Arial"/>
                <w:b/>
                <w:sz w:val="20"/>
                <w:szCs w:val="20"/>
              </w:rPr>
            </w:pPr>
          </w:p>
        </w:tc>
      </w:tr>
      <w:tr w:rsidR="007F7464" w:rsidRPr="004E1EAD" w14:paraId="34FBB481"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09AD92C7" w14:textId="77777777" w:rsidR="007F7464" w:rsidRPr="004E1EAD" w:rsidRDefault="007F7464" w:rsidP="007F7464">
            <w:pPr>
              <w:spacing w:after="0" w:line="240" w:lineRule="auto"/>
              <w:rPr>
                <w:rFonts w:asciiTheme="majorHAnsi" w:eastAsia="Times New Roman" w:hAnsiTheme="majorHAnsi" w:cs="Arial"/>
                <w:sz w:val="20"/>
                <w:szCs w:val="20"/>
              </w:rPr>
            </w:pPr>
            <w:r>
              <w:rPr>
                <w:rFonts w:asciiTheme="majorHAnsi" w:hAnsiTheme="majorHAnsi"/>
                <w:sz w:val="20"/>
              </w:rPr>
              <w:t>Budgetary revenue</w:t>
            </w:r>
          </w:p>
        </w:tc>
        <w:tc>
          <w:tcPr>
            <w:tcW w:w="1843" w:type="dxa"/>
            <w:tcBorders>
              <w:top w:val="single" w:sz="4" w:space="0" w:color="auto"/>
              <w:left w:val="single" w:sz="4" w:space="0" w:color="auto"/>
              <w:bottom w:val="single" w:sz="4" w:space="0" w:color="auto"/>
              <w:right w:val="single" w:sz="4" w:space="0" w:color="auto"/>
            </w:tcBorders>
            <w:noWrap/>
            <w:vAlign w:val="bottom"/>
          </w:tcPr>
          <w:p w14:paraId="62E48DBE" w14:textId="76B276B2" w:rsidR="007F7464" w:rsidRPr="004E1EAD" w:rsidRDefault="007F7464" w:rsidP="007F7464">
            <w:pPr>
              <w:spacing w:after="0" w:line="240" w:lineRule="auto"/>
              <w:jc w:val="center"/>
              <w:rPr>
                <w:rFonts w:asciiTheme="majorHAnsi" w:hAnsiTheme="majorHAnsi" w:cs="Times New Roman"/>
                <w:sz w:val="20"/>
                <w:szCs w:val="20"/>
              </w:rPr>
            </w:pPr>
            <w:r>
              <w:rPr>
                <w:rFonts w:asciiTheme="majorHAnsi" w:hAnsiTheme="majorHAnsi"/>
                <w:sz w:val="20"/>
              </w:rPr>
              <w:t>4,974,268.93</w:t>
            </w:r>
          </w:p>
        </w:tc>
        <w:tc>
          <w:tcPr>
            <w:tcW w:w="2126" w:type="dxa"/>
            <w:tcBorders>
              <w:top w:val="single" w:sz="4" w:space="0" w:color="auto"/>
              <w:left w:val="single" w:sz="4" w:space="0" w:color="auto"/>
              <w:bottom w:val="single" w:sz="4" w:space="0" w:color="auto"/>
              <w:right w:val="single" w:sz="4" w:space="0" w:color="auto"/>
            </w:tcBorders>
            <w:vAlign w:val="bottom"/>
          </w:tcPr>
          <w:p w14:paraId="751EADBA" w14:textId="77777777" w:rsidR="007F7464" w:rsidRPr="004E1EAD" w:rsidRDefault="007F7464" w:rsidP="007F7464">
            <w:pPr>
              <w:spacing w:after="0" w:line="240" w:lineRule="auto"/>
              <w:jc w:val="center"/>
              <w:rPr>
                <w:rFonts w:asciiTheme="majorHAnsi" w:eastAsia="Times New Roman" w:hAnsiTheme="majorHAnsi" w:cs="Arial"/>
                <w:sz w:val="20"/>
                <w:szCs w:val="20"/>
              </w:rPr>
            </w:pPr>
          </w:p>
        </w:tc>
      </w:tr>
      <w:tr w:rsidR="007F7464" w:rsidRPr="004E1EAD" w14:paraId="41B67ECB"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7487D20" w14:textId="175E43D2" w:rsidR="007F7464" w:rsidRPr="004E1EAD" w:rsidRDefault="007F7464" w:rsidP="007F7464">
            <w:pPr>
              <w:spacing w:after="0" w:line="240" w:lineRule="auto"/>
              <w:rPr>
                <w:rFonts w:asciiTheme="majorHAnsi" w:eastAsia="Times New Roman" w:hAnsiTheme="majorHAnsi" w:cs="Arial"/>
                <w:sz w:val="20"/>
                <w:szCs w:val="20"/>
              </w:rPr>
            </w:pPr>
            <w:r>
              <w:rPr>
                <w:rFonts w:asciiTheme="majorHAnsi" w:hAnsiTheme="majorHAnsi"/>
                <w:sz w:val="20"/>
              </w:rPr>
              <w:t>Budgetary expenses (Chapters 1 to 15)</w:t>
            </w:r>
          </w:p>
        </w:tc>
        <w:tc>
          <w:tcPr>
            <w:tcW w:w="1843" w:type="dxa"/>
            <w:tcBorders>
              <w:top w:val="single" w:sz="4" w:space="0" w:color="auto"/>
              <w:left w:val="single" w:sz="4" w:space="0" w:color="auto"/>
              <w:bottom w:val="single" w:sz="4" w:space="0" w:color="auto"/>
              <w:right w:val="single" w:sz="4" w:space="0" w:color="auto"/>
            </w:tcBorders>
            <w:noWrap/>
            <w:vAlign w:val="bottom"/>
          </w:tcPr>
          <w:p w14:paraId="72F4FA4E" w14:textId="5820069F" w:rsidR="007F7464" w:rsidRPr="004E1EAD" w:rsidRDefault="007F7464" w:rsidP="007F7464">
            <w:pPr>
              <w:spacing w:after="0" w:line="240" w:lineRule="auto"/>
              <w:jc w:val="center"/>
              <w:rPr>
                <w:rFonts w:asciiTheme="majorHAnsi" w:hAnsiTheme="majorHAnsi" w:cs="Times New Roman"/>
                <w:sz w:val="20"/>
                <w:szCs w:val="20"/>
              </w:rPr>
            </w:pPr>
            <w:r>
              <w:rPr>
                <w:rFonts w:asciiTheme="majorHAnsi" w:hAnsiTheme="majorHAnsi"/>
                <w:sz w:val="20"/>
              </w:rPr>
              <w:t>4,348,460.28</w:t>
            </w:r>
          </w:p>
        </w:tc>
        <w:tc>
          <w:tcPr>
            <w:tcW w:w="2126" w:type="dxa"/>
            <w:tcBorders>
              <w:top w:val="single" w:sz="4" w:space="0" w:color="auto"/>
              <w:left w:val="single" w:sz="4" w:space="0" w:color="auto"/>
              <w:bottom w:val="single" w:sz="4" w:space="0" w:color="auto"/>
              <w:right w:val="single" w:sz="4" w:space="0" w:color="auto"/>
            </w:tcBorders>
            <w:vAlign w:val="bottom"/>
          </w:tcPr>
          <w:p w14:paraId="3B337FB1" w14:textId="77777777" w:rsidR="007F7464" w:rsidRPr="004E1EAD" w:rsidRDefault="007F7464" w:rsidP="007F7464">
            <w:pPr>
              <w:spacing w:after="0" w:line="240" w:lineRule="auto"/>
              <w:jc w:val="center"/>
              <w:rPr>
                <w:rFonts w:asciiTheme="majorHAnsi" w:eastAsia="Times New Roman" w:hAnsiTheme="majorHAnsi" w:cs="Arial"/>
                <w:sz w:val="20"/>
                <w:szCs w:val="20"/>
              </w:rPr>
            </w:pPr>
          </w:p>
        </w:tc>
      </w:tr>
      <w:tr w:rsidR="007F7464" w:rsidRPr="004E1EAD" w14:paraId="0B280FB1"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12B1541" w14:textId="77777777" w:rsidR="007F7464" w:rsidRPr="004E1EAD" w:rsidRDefault="007F7464" w:rsidP="007F7464">
            <w:pPr>
              <w:spacing w:after="0" w:line="240" w:lineRule="auto"/>
              <w:rPr>
                <w:rFonts w:asciiTheme="majorHAnsi" w:eastAsia="Times New Roman" w:hAnsiTheme="majorHAnsi" w:cs="Arial"/>
                <w:sz w:val="20"/>
                <w:szCs w:val="20"/>
              </w:rPr>
            </w:pPr>
            <w:r>
              <w:rPr>
                <w:rFonts w:asciiTheme="majorHAnsi" w:hAnsiTheme="majorHAnsi"/>
                <w:sz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3CDB1A7B" w14:textId="77777777" w:rsidR="007F7464" w:rsidRPr="004E1EAD" w:rsidRDefault="007F7464" w:rsidP="007F7464">
            <w:pPr>
              <w:spacing w:after="0" w:line="240" w:lineRule="auto"/>
              <w:jc w:val="center"/>
              <w:rPr>
                <w:rFonts w:asciiTheme="majorHAnsi" w:hAnsiTheme="majorHAnsi" w:cs="Times New Roman"/>
                <w:sz w:val="20"/>
                <w:szCs w:val="20"/>
                <w:lang w:val="es-ES_tradnl"/>
              </w:rPr>
            </w:pPr>
          </w:p>
        </w:tc>
        <w:tc>
          <w:tcPr>
            <w:tcW w:w="2126" w:type="dxa"/>
            <w:tcBorders>
              <w:top w:val="single" w:sz="4" w:space="0" w:color="auto"/>
              <w:left w:val="single" w:sz="4" w:space="0" w:color="auto"/>
              <w:bottom w:val="single" w:sz="4" w:space="0" w:color="auto"/>
              <w:right w:val="single" w:sz="4" w:space="0" w:color="auto"/>
            </w:tcBorders>
            <w:vAlign w:val="bottom"/>
          </w:tcPr>
          <w:p w14:paraId="3C93BF8B" w14:textId="77777777" w:rsidR="007F7464" w:rsidRPr="004E1EAD" w:rsidRDefault="007F7464" w:rsidP="007F7464">
            <w:pPr>
              <w:spacing w:after="0" w:line="240" w:lineRule="auto"/>
              <w:jc w:val="center"/>
              <w:rPr>
                <w:rFonts w:asciiTheme="majorHAnsi" w:eastAsia="Times New Roman" w:hAnsiTheme="majorHAnsi" w:cs="Arial"/>
                <w:sz w:val="20"/>
                <w:szCs w:val="20"/>
              </w:rPr>
            </w:pPr>
          </w:p>
        </w:tc>
      </w:tr>
      <w:tr w:rsidR="007F7464" w:rsidRPr="004E1EAD" w14:paraId="2EF18DCB"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AEEA4C3" w14:textId="77777777" w:rsidR="007F7464" w:rsidRPr="004E1EAD" w:rsidRDefault="007F7464" w:rsidP="007F7464">
            <w:pPr>
              <w:spacing w:after="0" w:line="240" w:lineRule="auto"/>
              <w:rPr>
                <w:rFonts w:asciiTheme="majorHAnsi" w:eastAsia="Times New Roman" w:hAnsiTheme="majorHAnsi" w:cs="Arial"/>
                <w:b/>
                <w:sz w:val="20"/>
                <w:szCs w:val="20"/>
              </w:rPr>
            </w:pPr>
            <w:r>
              <w:rPr>
                <w:rFonts w:asciiTheme="majorHAnsi" w:hAnsiTheme="majorHAnsi"/>
                <w:b/>
                <w:sz w:val="20"/>
              </w:rPr>
              <w:t>b) Extra-budgetary result</w:t>
            </w:r>
          </w:p>
        </w:tc>
        <w:tc>
          <w:tcPr>
            <w:tcW w:w="1843" w:type="dxa"/>
            <w:tcBorders>
              <w:top w:val="single" w:sz="4" w:space="0" w:color="auto"/>
              <w:left w:val="single" w:sz="4" w:space="0" w:color="auto"/>
              <w:bottom w:val="single" w:sz="4" w:space="0" w:color="auto"/>
              <w:right w:val="single" w:sz="4" w:space="0" w:color="auto"/>
            </w:tcBorders>
            <w:noWrap/>
            <w:vAlign w:val="bottom"/>
          </w:tcPr>
          <w:p w14:paraId="50338DCD" w14:textId="38A35586" w:rsidR="007F7464" w:rsidRPr="000F5B09" w:rsidRDefault="007F7464" w:rsidP="007F7464">
            <w:pPr>
              <w:spacing w:after="0" w:line="240" w:lineRule="auto"/>
              <w:jc w:val="center"/>
              <w:rPr>
                <w:rFonts w:asciiTheme="majorHAnsi" w:hAnsiTheme="majorHAnsi" w:cs="Times New Roman"/>
                <w:b/>
                <w:bCs/>
                <w:sz w:val="20"/>
                <w:szCs w:val="20"/>
              </w:rPr>
            </w:pPr>
            <w:r>
              <w:rPr>
                <w:rFonts w:asciiTheme="majorHAnsi" w:hAnsiTheme="majorHAnsi"/>
                <w:b/>
                <w:sz w:val="20"/>
              </w:rPr>
              <w:t>553,285.09</w:t>
            </w:r>
          </w:p>
        </w:tc>
        <w:tc>
          <w:tcPr>
            <w:tcW w:w="2126" w:type="dxa"/>
            <w:tcBorders>
              <w:top w:val="single" w:sz="4" w:space="0" w:color="auto"/>
              <w:left w:val="single" w:sz="4" w:space="0" w:color="auto"/>
              <w:bottom w:val="single" w:sz="4" w:space="0" w:color="auto"/>
              <w:right w:val="single" w:sz="4" w:space="0" w:color="auto"/>
            </w:tcBorders>
            <w:vAlign w:val="bottom"/>
          </w:tcPr>
          <w:p w14:paraId="64D3DDD1" w14:textId="77777777" w:rsidR="007F7464" w:rsidRPr="004E1EAD" w:rsidRDefault="007F7464" w:rsidP="007F7464">
            <w:pPr>
              <w:spacing w:after="0" w:line="240" w:lineRule="auto"/>
              <w:jc w:val="center"/>
              <w:rPr>
                <w:rFonts w:asciiTheme="majorHAnsi" w:eastAsia="Times New Roman" w:hAnsiTheme="majorHAnsi" w:cs="Arial"/>
                <w:b/>
                <w:sz w:val="20"/>
                <w:szCs w:val="20"/>
              </w:rPr>
            </w:pPr>
          </w:p>
        </w:tc>
      </w:tr>
      <w:tr w:rsidR="007F7464" w:rsidRPr="004E1EAD" w14:paraId="4BC2642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B484936" w14:textId="77777777" w:rsidR="007F7464" w:rsidRPr="004E1EAD" w:rsidRDefault="007F7464" w:rsidP="007F7464">
            <w:pPr>
              <w:spacing w:after="0" w:line="240" w:lineRule="auto"/>
              <w:rPr>
                <w:rFonts w:asciiTheme="majorHAnsi" w:eastAsia="Times New Roman" w:hAnsiTheme="majorHAnsi" w:cs="Arial"/>
                <w:b/>
                <w:i/>
                <w:sz w:val="20"/>
                <w:szCs w:val="20"/>
              </w:rPr>
            </w:pPr>
            <w:r>
              <w:rPr>
                <w:rFonts w:asciiTheme="majorHAnsi" w:hAnsiTheme="majorHAnsi"/>
                <w:b/>
                <w:i/>
                <w:sz w:val="20"/>
              </w:rPr>
              <w:t>Extrabudgetary revenue</w:t>
            </w:r>
          </w:p>
        </w:tc>
        <w:tc>
          <w:tcPr>
            <w:tcW w:w="1843" w:type="dxa"/>
            <w:tcBorders>
              <w:top w:val="single" w:sz="4" w:space="0" w:color="auto"/>
              <w:left w:val="single" w:sz="4" w:space="0" w:color="auto"/>
              <w:bottom w:val="single" w:sz="4" w:space="0" w:color="auto"/>
              <w:right w:val="single" w:sz="4" w:space="0" w:color="auto"/>
            </w:tcBorders>
            <w:noWrap/>
            <w:vAlign w:val="bottom"/>
          </w:tcPr>
          <w:p w14:paraId="5F2D62F9" w14:textId="50EBA430" w:rsidR="007F7464" w:rsidRPr="004E1EAD" w:rsidRDefault="007F7464" w:rsidP="007F7464">
            <w:pPr>
              <w:spacing w:after="0" w:line="240" w:lineRule="auto"/>
              <w:jc w:val="center"/>
              <w:rPr>
                <w:rFonts w:asciiTheme="majorHAnsi" w:hAnsiTheme="majorHAnsi" w:cs="Times New Roman"/>
                <w:sz w:val="20"/>
                <w:szCs w:val="20"/>
              </w:rPr>
            </w:pPr>
            <w:r>
              <w:rPr>
                <w:rFonts w:asciiTheme="majorHAnsi" w:hAnsiTheme="majorHAnsi"/>
                <w:sz w:val="20"/>
              </w:rPr>
              <w:t>664,203.93</w:t>
            </w:r>
          </w:p>
        </w:tc>
        <w:tc>
          <w:tcPr>
            <w:tcW w:w="2126" w:type="dxa"/>
            <w:tcBorders>
              <w:top w:val="single" w:sz="4" w:space="0" w:color="auto"/>
              <w:left w:val="single" w:sz="4" w:space="0" w:color="auto"/>
              <w:bottom w:val="single" w:sz="4" w:space="0" w:color="auto"/>
              <w:right w:val="single" w:sz="4" w:space="0" w:color="auto"/>
            </w:tcBorders>
            <w:vAlign w:val="bottom"/>
          </w:tcPr>
          <w:p w14:paraId="6B3AD9CC" w14:textId="77777777" w:rsidR="007F7464" w:rsidRPr="004E1EAD" w:rsidRDefault="007F7464" w:rsidP="007F7464">
            <w:pPr>
              <w:spacing w:after="0" w:line="240" w:lineRule="auto"/>
              <w:jc w:val="center"/>
              <w:rPr>
                <w:rFonts w:asciiTheme="majorHAnsi" w:eastAsia="Times New Roman" w:hAnsiTheme="majorHAnsi" w:cs="Arial"/>
                <w:b/>
                <w:i/>
                <w:sz w:val="20"/>
                <w:szCs w:val="20"/>
              </w:rPr>
            </w:pPr>
          </w:p>
        </w:tc>
      </w:tr>
      <w:tr w:rsidR="007F7464" w:rsidRPr="004E1EAD" w14:paraId="3084D1B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B897F3D" w14:textId="77777777" w:rsidR="007F7464" w:rsidRPr="004E1EAD" w:rsidRDefault="007F7464" w:rsidP="007F7464">
            <w:pPr>
              <w:spacing w:after="0" w:line="240" w:lineRule="auto"/>
              <w:rPr>
                <w:rFonts w:asciiTheme="majorHAnsi" w:eastAsia="Times New Roman" w:hAnsiTheme="majorHAnsi" w:cs="Arial"/>
                <w:sz w:val="20"/>
                <w:szCs w:val="20"/>
              </w:rPr>
            </w:pPr>
            <w:r>
              <w:rPr>
                <w:rFonts w:asciiTheme="majorHAnsi" w:hAnsiTheme="majorHAnsi"/>
                <w:sz w:val="20"/>
              </w:rPr>
              <w:t>Voluntary contributions:</w:t>
            </w:r>
          </w:p>
        </w:tc>
        <w:tc>
          <w:tcPr>
            <w:tcW w:w="1843" w:type="dxa"/>
            <w:tcBorders>
              <w:top w:val="single" w:sz="4" w:space="0" w:color="auto"/>
              <w:left w:val="single" w:sz="4" w:space="0" w:color="auto"/>
              <w:bottom w:val="single" w:sz="4" w:space="0" w:color="auto"/>
              <w:right w:val="single" w:sz="4" w:space="0" w:color="auto"/>
            </w:tcBorders>
            <w:noWrap/>
            <w:vAlign w:val="bottom"/>
          </w:tcPr>
          <w:p w14:paraId="64E33B26" w14:textId="77777777" w:rsidR="007F7464" w:rsidRPr="004E1EAD" w:rsidRDefault="007F7464" w:rsidP="007F7464">
            <w:pPr>
              <w:spacing w:after="0" w:line="240" w:lineRule="auto"/>
              <w:jc w:val="center"/>
              <w:rPr>
                <w:rFonts w:asciiTheme="majorHAnsi" w:hAnsiTheme="majorHAnsi" w:cs="Times New Roman"/>
                <w:sz w:val="20"/>
                <w:szCs w:val="20"/>
                <w:lang w:val="es-ES_tradnl"/>
              </w:rPr>
            </w:pPr>
          </w:p>
        </w:tc>
        <w:tc>
          <w:tcPr>
            <w:tcW w:w="2126" w:type="dxa"/>
            <w:tcBorders>
              <w:top w:val="single" w:sz="4" w:space="0" w:color="auto"/>
              <w:left w:val="single" w:sz="4" w:space="0" w:color="auto"/>
              <w:bottom w:val="single" w:sz="4" w:space="0" w:color="auto"/>
              <w:right w:val="single" w:sz="4" w:space="0" w:color="auto"/>
            </w:tcBorders>
            <w:vAlign w:val="bottom"/>
          </w:tcPr>
          <w:p w14:paraId="7C610189" w14:textId="77777777" w:rsidR="007F7464" w:rsidRPr="004E1EAD" w:rsidRDefault="007F7464" w:rsidP="007F7464">
            <w:pPr>
              <w:spacing w:after="0" w:line="240" w:lineRule="auto"/>
              <w:jc w:val="center"/>
              <w:rPr>
                <w:rFonts w:asciiTheme="majorHAnsi" w:eastAsia="Times New Roman" w:hAnsiTheme="majorHAnsi" w:cs="Arial"/>
                <w:sz w:val="20"/>
                <w:szCs w:val="20"/>
              </w:rPr>
            </w:pPr>
          </w:p>
        </w:tc>
      </w:tr>
      <w:tr w:rsidR="007F7464" w:rsidRPr="004E1EAD" w14:paraId="07B9974D"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26E3783" w14:textId="77777777" w:rsidR="007F7464" w:rsidRPr="004E1EAD" w:rsidRDefault="007F7464" w:rsidP="007F7464">
            <w:pPr>
              <w:spacing w:after="0" w:line="240" w:lineRule="auto"/>
              <w:ind w:left="284"/>
              <w:rPr>
                <w:rFonts w:asciiTheme="majorHAnsi" w:eastAsia="Times New Roman" w:hAnsiTheme="majorHAnsi" w:cs="Arial"/>
                <w:sz w:val="20"/>
                <w:szCs w:val="20"/>
              </w:rPr>
            </w:pPr>
            <w:r>
              <w:rPr>
                <w:rFonts w:asciiTheme="majorHAnsi" w:hAnsiTheme="majorHAnsi"/>
                <w:sz w:val="20"/>
              </w:rPr>
              <w:t>Observer fees for ICCAT meetings</w:t>
            </w:r>
          </w:p>
        </w:tc>
        <w:tc>
          <w:tcPr>
            <w:tcW w:w="1843" w:type="dxa"/>
            <w:tcBorders>
              <w:top w:val="single" w:sz="4" w:space="0" w:color="auto"/>
              <w:left w:val="single" w:sz="4" w:space="0" w:color="auto"/>
              <w:bottom w:val="single" w:sz="4" w:space="0" w:color="auto"/>
              <w:right w:val="single" w:sz="4" w:space="0" w:color="auto"/>
            </w:tcBorders>
            <w:noWrap/>
            <w:vAlign w:val="bottom"/>
          </w:tcPr>
          <w:p w14:paraId="09549B39" w14:textId="49B1661A" w:rsidR="007F7464" w:rsidRPr="004E1EAD" w:rsidRDefault="007F7464" w:rsidP="007F7464">
            <w:pPr>
              <w:spacing w:after="0" w:line="240" w:lineRule="auto"/>
              <w:jc w:val="center"/>
              <w:rPr>
                <w:rFonts w:asciiTheme="majorHAnsi" w:hAnsiTheme="majorHAnsi" w:cs="Times New Roman"/>
                <w:sz w:val="20"/>
                <w:szCs w:val="20"/>
              </w:rPr>
            </w:pPr>
            <w:r>
              <w:rPr>
                <w:rFonts w:asciiTheme="majorHAnsi" w:hAnsiTheme="majorHAnsi"/>
                <w:sz w:val="20"/>
              </w:rPr>
              <w:t>9,119.06</w:t>
            </w:r>
          </w:p>
        </w:tc>
        <w:tc>
          <w:tcPr>
            <w:tcW w:w="2126" w:type="dxa"/>
            <w:tcBorders>
              <w:top w:val="single" w:sz="4" w:space="0" w:color="auto"/>
              <w:left w:val="single" w:sz="4" w:space="0" w:color="auto"/>
              <w:bottom w:val="single" w:sz="4" w:space="0" w:color="auto"/>
              <w:right w:val="single" w:sz="4" w:space="0" w:color="auto"/>
            </w:tcBorders>
            <w:vAlign w:val="bottom"/>
          </w:tcPr>
          <w:p w14:paraId="0DD38C49" w14:textId="77777777" w:rsidR="007F7464" w:rsidRPr="004E1EAD" w:rsidRDefault="007F7464" w:rsidP="007F7464">
            <w:pPr>
              <w:spacing w:after="0" w:line="240" w:lineRule="auto"/>
              <w:jc w:val="center"/>
              <w:rPr>
                <w:rFonts w:asciiTheme="majorHAnsi" w:eastAsia="Times New Roman" w:hAnsiTheme="majorHAnsi" w:cs="Arial"/>
                <w:sz w:val="20"/>
                <w:szCs w:val="20"/>
              </w:rPr>
            </w:pPr>
          </w:p>
        </w:tc>
      </w:tr>
      <w:tr w:rsidR="007F7464" w:rsidRPr="004E1EAD" w14:paraId="473596EC"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0A3FFFB" w14:textId="1AFAD27B" w:rsidR="007F7464" w:rsidRPr="004E1EAD" w:rsidRDefault="007F7464" w:rsidP="007F7464">
            <w:pPr>
              <w:spacing w:after="0" w:line="240" w:lineRule="auto"/>
              <w:ind w:left="284"/>
              <w:rPr>
                <w:rFonts w:asciiTheme="majorHAnsi" w:eastAsia="Times New Roman" w:hAnsiTheme="majorHAnsi" w:cs="Arial"/>
                <w:sz w:val="20"/>
                <w:szCs w:val="20"/>
              </w:rPr>
            </w:pPr>
            <w:r>
              <w:rPr>
                <w:rFonts w:asciiTheme="majorHAnsi" w:hAnsiTheme="majorHAnsi"/>
                <w:sz w:val="20"/>
              </w:rPr>
              <w:t>Revenue ICCAT Regional Observer Programme for at-sea transhipments</w:t>
            </w:r>
          </w:p>
        </w:tc>
        <w:tc>
          <w:tcPr>
            <w:tcW w:w="1843" w:type="dxa"/>
            <w:tcBorders>
              <w:top w:val="single" w:sz="4" w:space="0" w:color="auto"/>
              <w:left w:val="single" w:sz="4" w:space="0" w:color="auto"/>
              <w:bottom w:val="single" w:sz="4" w:space="0" w:color="auto"/>
              <w:right w:val="single" w:sz="4" w:space="0" w:color="auto"/>
            </w:tcBorders>
            <w:noWrap/>
            <w:vAlign w:val="bottom"/>
          </w:tcPr>
          <w:p w14:paraId="5EA0282F" w14:textId="7F2890F9" w:rsidR="007F7464" w:rsidRPr="004E1EAD" w:rsidRDefault="007F7464" w:rsidP="007F7464">
            <w:pPr>
              <w:spacing w:after="0" w:line="240" w:lineRule="auto"/>
              <w:jc w:val="center"/>
              <w:rPr>
                <w:rFonts w:asciiTheme="majorHAnsi" w:hAnsiTheme="majorHAnsi" w:cs="Times New Roman"/>
                <w:sz w:val="20"/>
                <w:szCs w:val="20"/>
              </w:rPr>
            </w:pPr>
            <w:r>
              <w:rPr>
                <w:rFonts w:asciiTheme="majorHAnsi" w:hAnsiTheme="majorHAnsi"/>
                <w:sz w:val="20"/>
              </w:rPr>
              <w:t>19,158.93</w:t>
            </w:r>
          </w:p>
        </w:tc>
        <w:tc>
          <w:tcPr>
            <w:tcW w:w="2126" w:type="dxa"/>
            <w:tcBorders>
              <w:top w:val="single" w:sz="4" w:space="0" w:color="auto"/>
              <w:left w:val="single" w:sz="4" w:space="0" w:color="auto"/>
              <w:bottom w:val="single" w:sz="4" w:space="0" w:color="auto"/>
              <w:right w:val="single" w:sz="4" w:space="0" w:color="auto"/>
            </w:tcBorders>
            <w:vAlign w:val="bottom"/>
          </w:tcPr>
          <w:p w14:paraId="41327169" w14:textId="77777777" w:rsidR="007F7464" w:rsidRPr="004E1EAD" w:rsidRDefault="007F7464" w:rsidP="007F7464">
            <w:pPr>
              <w:spacing w:after="0" w:line="240" w:lineRule="auto"/>
              <w:jc w:val="center"/>
              <w:rPr>
                <w:rFonts w:asciiTheme="majorHAnsi" w:eastAsia="Times New Roman" w:hAnsiTheme="majorHAnsi" w:cs="Arial"/>
                <w:sz w:val="20"/>
                <w:szCs w:val="20"/>
              </w:rPr>
            </w:pPr>
          </w:p>
        </w:tc>
      </w:tr>
      <w:tr w:rsidR="007F7464" w:rsidRPr="004E1EAD" w14:paraId="58990F02"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7C7C9E2A" w14:textId="78F10660" w:rsidR="007F7464" w:rsidRPr="007F7464" w:rsidRDefault="007F7464" w:rsidP="007F7464">
            <w:pPr>
              <w:spacing w:after="0" w:line="240" w:lineRule="auto"/>
              <w:ind w:left="284"/>
              <w:rPr>
                <w:rFonts w:asciiTheme="majorHAnsi" w:eastAsia="Times New Roman" w:hAnsiTheme="majorHAnsi" w:cs="Arial"/>
                <w:sz w:val="20"/>
                <w:szCs w:val="20"/>
              </w:rPr>
            </w:pPr>
            <w:r>
              <w:rPr>
                <w:rFonts w:asciiTheme="majorHAnsi" w:hAnsiTheme="majorHAnsi"/>
                <w:sz w:val="20"/>
              </w:rPr>
              <w:t>Revenue ICCAT Regional Observers Programme for eastern Atlantic and Mediterranean bluefin tuna (ROP-BFT)</w:t>
            </w:r>
          </w:p>
        </w:tc>
        <w:tc>
          <w:tcPr>
            <w:tcW w:w="1843" w:type="dxa"/>
            <w:tcBorders>
              <w:top w:val="single" w:sz="4" w:space="0" w:color="auto"/>
              <w:left w:val="single" w:sz="4" w:space="0" w:color="auto"/>
              <w:bottom w:val="single" w:sz="4" w:space="0" w:color="auto"/>
              <w:right w:val="single" w:sz="4" w:space="0" w:color="auto"/>
            </w:tcBorders>
            <w:noWrap/>
            <w:vAlign w:val="bottom"/>
          </w:tcPr>
          <w:p w14:paraId="53CC9C7B" w14:textId="524E8B9B" w:rsidR="007F7464" w:rsidRPr="004E1EAD" w:rsidRDefault="007F7464" w:rsidP="007F7464">
            <w:pPr>
              <w:spacing w:after="0" w:line="240" w:lineRule="auto"/>
              <w:jc w:val="center"/>
              <w:rPr>
                <w:rFonts w:asciiTheme="majorHAnsi" w:hAnsiTheme="majorHAnsi" w:cs="Times New Roman"/>
                <w:sz w:val="20"/>
                <w:szCs w:val="20"/>
              </w:rPr>
            </w:pPr>
            <w:r>
              <w:rPr>
                <w:rFonts w:asciiTheme="majorHAnsi" w:hAnsiTheme="majorHAnsi"/>
                <w:sz w:val="20"/>
              </w:rPr>
              <w:t>73,318.28</w:t>
            </w:r>
          </w:p>
        </w:tc>
        <w:tc>
          <w:tcPr>
            <w:tcW w:w="2126" w:type="dxa"/>
            <w:tcBorders>
              <w:top w:val="single" w:sz="4" w:space="0" w:color="auto"/>
              <w:left w:val="single" w:sz="4" w:space="0" w:color="auto"/>
              <w:bottom w:val="single" w:sz="4" w:space="0" w:color="auto"/>
              <w:right w:val="single" w:sz="4" w:space="0" w:color="auto"/>
            </w:tcBorders>
            <w:vAlign w:val="bottom"/>
          </w:tcPr>
          <w:p w14:paraId="6B9BF1D3" w14:textId="77777777" w:rsidR="007F7464" w:rsidRPr="004E1EAD" w:rsidRDefault="007F7464" w:rsidP="007F7464">
            <w:pPr>
              <w:spacing w:after="0" w:line="240" w:lineRule="auto"/>
              <w:jc w:val="center"/>
              <w:rPr>
                <w:rFonts w:asciiTheme="majorHAnsi" w:eastAsia="Times New Roman" w:hAnsiTheme="majorHAnsi" w:cs="Arial"/>
                <w:sz w:val="20"/>
                <w:szCs w:val="20"/>
              </w:rPr>
            </w:pPr>
          </w:p>
        </w:tc>
      </w:tr>
      <w:tr w:rsidR="007F7464" w:rsidRPr="004E1EAD" w14:paraId="3684A07E" w14:textId="77777777" w:rsidTr="00A0129D">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C6D8B4E" w14:textId="3CA07733" w:rsidR="007F7464" w:rsidRPr="004E1EAD" w:rsidRDefault="007F7464" w:rsidP="007F7464">
            <w:pPr>
              <w:spacing w:after="0" w:line="240" w:lineRule="auto"/>
              <w:ind w:left="284"/>
              <w:rPr>
                <w:rFonts w:asciiTheme="majorHAnsi" w:eastAsia="Times New Roman" w:hAnsiTheme="majorHAnsi" w:cs="Arial"/>
                <w:sz w:val="20"/>
                <w:szCs w:val="20"/>
              </w:rPr>
            </w:pPr>
            <w:r>
              <w:rPr>
                <w:rFonts w:asciiTheme="majorHAnsi" w:hAnsiTheme="majorHAnsi"/>
                <w:sz w:val="20"/>
              </w:rPr>
              <w:t>Revenue ICCAT-Japan Capacity-building Assistance Project (Phase 3) (JCAP-3)</w:t>
            </w:r>
          </w:p>
        </w:tc>
        <w:tc>
          <w:tcPr>
            <w:tcW w:w="1843" w:type="dxa"/>
            <w:tcBorders>
              <w:top w:val="single" w:sz="4" w:space="0" w:color="auto"/>
              <w:left w:val="single" w:sz="4" w:space="0" w:color="auto"/>
              <w:bottom w:val="single" w:sz="4" w:space="0" w:color="auto"/>
              <w:right w:val="single" w:sz="4" w:space="0" w:color="auto"/>
            </w:tcBorders>
            <w:noWrap/>
            <w:vAlign w:val="bottom"/>
          </w:tcPr>
          <w:p w14:paraId="41862C9E" w14:textId="4CBBD5BD" w:rsidR="007F7464" w:rsidRPr="004E1EAD" w:rsidRDefault="007F7464" w:rsidP="007F7464">
            <w:pPr>
              <w:spacing w:after="0" w:line="240" w:lineRule="auto"/>
              <w:jc w:val="center"/>
              <w:rPr>
                <w:rFonts w:asciiTheme="majorHAnsi" w:hAnsiTheme="majorHAnsi" w:cs="Times New Roman"/>
                <w:sz w:val="20"/>
                <w:szCs w:val="20"/>
              </w:rPr>
            </w:pPr>
            <w:r>
              <w:rPr>
                <w:rFonts w:asciiTheme="majorHAnsi" w:hAnsiTheme="majorHAnsi"/>
                <w:sz w:val="20"/>
              </w:rPr>
              <w:t>9,885.90</w:t>
            </w:r>
          </w:p>
        </w:tc>
        <w:tc>
          <w:tcPr>
            <w:tcW w:w="2126" w:type="dxa"/>
            <w:tcBorders>
              <w:top w:val="single" w:sz="4" w:space="0" w:color="auto"/>
              <w:left w:val="single" w:sz="4" w:space="0" w:color="auto"/>
              <w:bottom w:val="single" w:sz="4" w:space="0" w:color="auto"/>
              <w:right w:val="single" w:sz="4" w:space="0" w:color="auto"/>
            </w:tcBorders>
            <w:vAlign w:val="bottom"/>
          </w:tcPr>
          <w:p w14:paraId="536A77D9" w14:textId="77777777" w:rsidR="007F7464" w:rsidRPr="004E1EAD" w:rsidRDefault="007F7464" w:rsidP="007F7464">
            <w:pPr>
              <w:spacing w:after="0" w:line="240" w:lineRule="auto"/>
              <w:jc w:val="center"/>
              <w:rPr>
                <w:rFonts w:asciiTheme="majorHAnsi" w:eastAsia="Times New Roman" w:hAnsiTheme="majorHAnsi" w:cs="Arial"/>
                <w:sz w:val="20"/>
                <w:szCs w:val="20"/>
              </w:rPr>
            </w:pPr>
          </w:p>
        </w:tc>
      </w:tr>
      <w:tr w:rsidR="007F7464" w:rsidRPr="004E1EAD" w14:paraId="5291DF79"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0406DFD9" w14:textId="178BA84E" w:rsidR="007F7464" w:rsidRPr="004E1EAD" w:rsidRDefault="007F7464" w:rsidP="007F7464">
            <w:pPr>
              <w:spacing w:after="0" w:line="240" w:lineRule="auto"/>
              <w:ind w:left="284"/>
              <w:rPr>
                <w:rFonts w:asciiTheme="majorHAnsi" w:eastAsia="Times New Roman" w:hAnsiTheme="majorHAnsi" w:cs="Arial"/>
                <w:sz w:val="20"/>
                <w:szCs w:val="20"/>
              </w:rPr>
            </w:pPr>
            <w:bookmarkStart w:id="3" w:name="_Hlk180665839"/>
            <w:r>
              <w:rPr>
                <w:rFonts w:asciiTheme="majorHAnsi" w:hAnsiTheme="majorHAnsi"/>
                <w:sz w:val="20"/>
              </w:rPr>
              <w:t xml:space="preserve">Chinese Taipei voluntary contribution to ICCAT </w:t>
            </w:r>
          </w:p>
        </w:tc>
        <w:tc>
          <w:tcPr>
            <w:tcW w:w="1843" w:type="dxa"/>
            <w:tcBorders>
              <w:top w:val="single" w:sz="4" w:space="0" w:color="auto"/>
              <w:left w:val="single" w:sz="4" w:space="0" w:color="auto"/>
              <w:bottom w:val="single" w:sz="4" w:space="0" w:color="auto"/>
              <w:right w:val="single" w:sz="4" w:space="0" w:color="auto"/>
            </w:tcBorders>
            <w:noWrap/>
            <w:vAlign w:val="bottom"/>
          </w:tcPr>
          <w:p w14:paraId="16C632B2" w14:textId="6FC211DB" w:rsidR="007F7464" w:rsidRPr="004E1EAD" w:rsidRDefault="007F7464" w:rsidP="007F7464">
            <w:pPr>
              <w:spacing w:after="0" w:line="240" w:lineRule="auto"/>
              <w:jc w:val="center"/>
              <w:rPr>
                <w:rFonts w:asciiTheme="majorHAnsi" w:hAnsiTheme="majorHAnsi" w:cs="Times New Roman"/>
                <w:sz w:val="20"/>
                <w:szCs w:val="20"/>
              </w:rPr>
            </w:pPr>
            <w:r>
              <w:rPr>
                <w:rFonts w:asciiTheme="majorHAnsi" w:hAnsiTheme="majorHAnsi"/>
                <w:sz w:val="20"/>
              </w:rPr>
              <w:t>100,000.00</w:t>
            </w:r>
          </w:p>
        </w:tc>
        <w:tc>
          <w:tcPr>
            <w:tcW w:w="2126" w:type="dxa"/>
            <w:tcBorders>
              <w:top w:val="single" w:sz="4" w:space="0" w:color="auto"/>
              <w:left w:val="single" w:sz="4" w:space="0" w:color="auto"/>
              <w:bottom w:val="single" w:sz="4" w:space="0" w:color="auto"/>
              <w:right w:val="single" w:sz="4" w:space="0" w:color="auto"/>
            </w:tcBorders>
            <w:vAlign w:val="bottom"/>
          </w:tcPr>
          <w:p w14:paraId="4C93863E" w14:textId="77777777" w:rsidR="007F7464" w:rsidRPr="004E1EAD" w:rsidRDefault="007F7464" w:rsidP="007F7464">
            <w:pPr>
              <w:spacing w:after="0" w:line="240" w:lineRule="auto"/>
              <w:jc w:val="center"/>
              <w:rPr>
                <w:rFonts w:asciiTheme="majorHAnsi" w:eastAsia="Times New Roman" w:hAnsiTheme="majorHAnsi" w:cs="Arial"/>
                <w:sz w:val="20"/>
                <w:szCs w:val="20"/>
              </w:rPr>
            </w:pPr>
          </w:p>
        </w:tc>
      </w:tr>
      <w:tr w:rsidR="007F7464" w:rsidRPr="004E1EAD" w14:paraId="5054851B"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47BF651A" w14:textId="27346DF1" w:rsidR="007F7464" w:rsidRPr="004E1EAD" w:rsidRDefault="007F7464" w:rsidP="007F7464">
            <w:pPr>
              <w:spacing w:after="0" w:line="240" w:lineRule="auto"/>
              <w:ind w:left="284"/>
              <w:rPr>
                <w:rFonts w:asciiTheme="majorHAnsi" w:eastAsia="Times New Roman" w:hAnsiTheme="majorHAnsi" w:cs="Arial"/>
                <w:sz w:val="20"/>
                <w:szCs w:val="20"/>
              </w:rPr>
            </w:pPr>
            <w:r>
              <w:rPr>
                <w:rFonts w:asciiTheme="majorHAnsi" w:hAnsiTheme="majorHAnsi"/>
                <w:sz w:val="20"/>
              </w:rPr>
              <w:t>Suriname voluntary contribution to ICCAT</w:t>
            </w:r>
            <w:r>
              <w:rPr>
                <w:rFonts w:asciiTheme="majorHAnsi" w:hAnsiTheme="majorHAnsi"/>
                <w:sz w:val="20"/>
              </w:rPr>
              <w:tab/>
            </w:r>
          </w:p>
        </w:tc>
        <w:tc>
          <w:tcPr>
            <w:tcW w:w="1843" w:type="dxa"/>
            <w:tcBorders>
              <w:top w:val="single" w:sz="4" w:space="0" w:color="auto"/>
              <w:left w:val="single" w:sz="4" w:space="0" w:color="auto"/>
              <w:bottom w:val="single" w:sz="4" w:space="0" w:color="auto"/>
              <w:right w:val="single" w:sz="4" w:space="0" w:color="auto"/>
            </w:tcBorders>
            <w:noWrap/>
            <w:vAlign w:val="bottom"/>
          </w:tcPr>
          <w:p w14:paraId="1496681F" w14:textId="78EA3CD0" w:rsidR="007F7464" w:rsidRPr="004E1EAD" w:rsidRDefault="007F7464" w:rsidP="007F7464">
            <w:pPr>
              <w:spacing w:after="0" w:line="240" w:lineRule="auto"/>
              <w:jc w:val="center"/>
              <w:rPr>
                <w:rFonts w:asciiTheme="majorHAnsi" w:hAnsiTheme="majorHAnsi" w:cs="Times New Roman"/>
                <w:sz w:val="20"/>
                <w:szCs w:val="20"/>
              </w:rPr>
            </w:pPr>
            <w:r>
              <w:rPr>
                <w:rFonts w:asciiTheme="majorHAnsi" w:hAnsiTheme="majorHAnsi"/>
                <w:sz w:val="20"/>
              </w:rPr>
              <w:t>3,235.08</w:t>
            </w:r>
          </w:p>
        </w:tc>
        <w:tc>
          <w:tcPr>
            <w:tcW w:w="2126" w:type="dxa"/>
            <w:tcBorders>
              <w:top w:val="single" w:sz="4" w:space="0" w:color="auto"/>
              <w:left w:val="single" w:sz="4" w:space="0" w:color="auto"/>
              <w:bottom w:val="single" w:sz="4" w:space="0" w:color="auto"/>
              <w:right w:val="single" w:sz="4" w:space="0" w:color="auto"/>
            </w:tcBorders>
            <w:vAlign w:val="bottom"/>
          </w:tcPr>
          <w:p w14:paraId="69252049" w14:textId="77777777" w:rsidR="007F7464" w:rsidRPr="004E1EAD" w:rsidRDefault="007F7464" w:rsidP="007F7464">
            <w:pPr>
              <w:spacing w:after="0" w:line="240" w:lineRule="auto"/>
              <w:jc w:val="center"/>
              <w:rPr>
                <w:rFonts w:asciiTheme="majorHAnsi" w:eastAsia="Times New Roman" w:hAnsiTheme="majorHAnsi" w:cs="Arial"/>
                <w:sz w:val="20"/>
                <w:szCs w:val="20"/>
              </w:rPr>
            </w:pPr>
          </w:p>
        </w:tc>
      </w:tr>
      <w:bookmarkEnd w:id="3"/>
      <w:tr w:rsidR="007F7464" w:rsidRPr="004E1EAD" w14:paraId="6F17B145"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413714D3" w14:textId="77777777" w:rsidR="007F7464" w:rsidRPr="004E1EAD" w:rsidRDefault="007F7464" w:rsidP="007F7464">
            <w:pPr>
              <w:spacing w:after="0" w:line="240" w:lineRule="auto"/>
              <w:rPr>
                <w:rFonts w:asciiTheme="majorHAnsi" w:eastAsia="Times New Roman" w:hAnsiTheme="majorHAnsi" w:cs="Arial"/>
                <w:sz w:val="20"/>
                <w:szCs w:val="20"/>
              </w:rPr>
            </w:pPr>
            <w:r>
              <w:rPr>
                <w:rFonts w:asciiTheme="majorHAnsi" w:hAnsiTheme="majorHAnsi"/>
                <w:sz w:val="20"/>
              </w:rPr>
              <w:t xml:space="preserve">Financial revenue </w:t>
            </w:r>
          </w:p>
        </w:tc>
        <w:tc>
          <w:tcPr>
            <w:tcW w:w="1843" w:type="dxa"/>
            <w:tcBorders>
              <w:top w:val="single" w:sz="4" w:space="0" w:color="auto"/>
              <w:left w:val="single" w:sz="4" w:space="0" w:color="auto"/>
              <w:bottom w:val="single" w:sz="4" w:space="0" w:color="auto"/>
              <w:right w:val="single" w:sz="4" w:space="0" w:color="auto"/>
            </w:tcBorders>
            <w:noWrap/>
            <w:vAlign w:val="bottom"/>
          </w:tcPr>
          <w:p w14:paraId="7926C3C2" w14:textId="2A45E908" w:rsidR="007F7464" w:rsidRPr="004E1EAD" w:rsidRDefault="007F7464" w:rsidP="007F7464">
            <w:pPr>
              <w:spacing w:after="0" w:line="240" w:lineRule="auto"/>
              <w:jc w:val="center"/>
              <w:rPr>
                <w:rFonts w:asciiTheme="majorHAnsi" w:hAnsiTheme="majorHAnsi" w:cs="Times New Roman"/>
                <w:sz w:val="20"/>
                <w:szCs w:val="20"/>
              </w:rPr>
            </w:pPr>
            <w:r>
              <w:rPr>
                <w:rFonts w:asciiTheme="majorHAnsi" w:hAnsiTheme="majorHAnsi"/>
                <w:sz w:val="20"/>
              </w:rPr>
              <w:t>8,156.61</w:t>
            </w:r>
          </w:p>
        </w:tc>
        <w:tc>
          <w:tcPr>
            <w:tcW w:w="2126" w:type="dxa"/>
            <w:tcBorders>
              <w:top w:val="single" w:sz="4" w:space="0" w:color="auto"/>
              <w:left w:val="single" w:sz="4" w:space="0" w:color="auto"/>
              <w:bottom w:val="single" w:sz="4" w:space="0" w:color="auto"/>
              <w:right w:val="single" w:sz="4" w:space="0" w:color="auto"/>
            </w:tcBorders>
            <w:vAlign w:val="bottom"/>
          </w:tcPr>
          <w:p w14:paraId="5F30D2E6" w14:textId="77777777" w:rsidR="007F7464" w:rsidRPr="004E1EAD" w:rsidRDefault="007F7464" w:rsidP="007F7464">
            <w:pPr>
              <w:spacing w:after="0" w:line="240" w:lineRule="auto"/>
              <w:jc w:val="center"/>
              <w:rPr>
                <w:rFonts w:asciiTheme="majorHAnsi" w:eastAsia="Times New Roman" w:hAnsiTheme="majorHAnsi" w:cs="Arial"/>
                <w:sz w:val="20"/>
                <w:szCs w:val="20"/>
              </w:rPr>
            </w:pPr>
          </w:p>
        </w:tc>
      </w:tr>
      <w:tr w:rsidR="007F7464" w:rsidRPr="004E1EAD" w14:paraId="2B8B0C7F"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4029029E" w14:textId="536463B1" w:rsidR="007F7464" w:rsidRPr="004E1EAD" w:rsidRDefault="007F7464" w:rsidP="007F7464">
            <w:pPr>
              <w:spacing w:after="0" w:line="240" w:lineRule="auto"/>
              <w:rPr>
                <w:rFonts w:asciiTheme="majorHAnsi" w:eastAsia="Times New Roman" w:hAnsiTheme="majorHAnsi" w:cs="Arial"/>
                <w:sz w:val="20"/>
                <w:szCs w:val="20"/>
              </w:rPr>
            </w:pPr>
            <w:r>
              <w:rPr>
                <w:rFonts w:asciiTheme="majorHAnsi" w:hAnsiTheme="majorHAnsi"/>
                <w:sz w:val="20"/>
              </w:rPr>
              <w:t>VAT refund</w:t>
            </w:r>
          </w:p>
        </w:tc>
        <w:tc>
          <w:tcPr>
            <w:tcW w:w="1843" w:type="dxa"/>
            <w:tcBorders>
              <w:top w:val="single" w:sz="4" w:space="0" w:color="auto"/>
              <w:left w:val="single" w:sz="4" w:space="0" w:color="auto"/>
              <w:bottom w:val="single" w:sz="4" w:space="0" w:color="auto"/>
              <w:right w:val="single" w:sz="4" w:space="0" w:color="auto"/>
            </w:tcBorders>
            <w:noWrap/>
            <w:vAlign w:val="bottom"/>
          </w:tcPr>
          <w:p w14:paraId="005630FB" w14:textId="29DADF39" w:rsidR="007F7464" w:rsidRPr="004E1EAD" w:rsidRDefault="007F7464" w:rsidP="007F7464">
            <w:pPr>
              <w:spacing w:after="0" w:line="240" w:lineRule="auto"/>
              <w:jc w:val="center"/>
              <w:rPr>
                <w:rFonts w:asciiTheme="majorHAnsi" w:hAnsiTheme="majorHAnsi" w:cs="Times New Roman"/>
                <w:sz w:val="20"/>
                <w:szCs w:val="20"/>
              </w:rPr>
            </w:pPr>
            <w:r>
              <w:rPr>
                <w:rFonts w:asciiTheme="majorHAnsi" w:hAnsiTheme="majorHAnsi"/>
                <w:sz w:val="20"/>
              </w:rPr>
              <w:t>15,998.37</w:t>
            </w:r>
          </w:p>
        </w:tc>
        <w:tc>
          <w:tcPr>
            <w:tcW w:w="2126" w:type="dxa"/>
            <w:tcBorders>
              <w:top w:val="single" w:sz="4" w:space="0" w:color="auto"/>
              <w:left w:val="single" w:sz="4" w:space="0" w:color="auto"/>
              <w:bottom w:val="single" w:sz="4" w:space="0" w:color="auto"/>
              <w:right w:val="single" w:sz="4" w:space="0" w:color="auto"/>
            </w:tcBorders>
            <w:vAlign w:val="bottom"/>
          </w:tcPr>
          <w:p w14:paraId="05A1CEE6" w14:textId="77777777" w:rsidR="007F7464" w:rsidRPr="004E1EAD" w:rsidRDefault="007F7464" w:rsidP="007F7464">
            <w:pPr>
              <w:spacing w:after="0" w:line="240" w:lineRule="auto"/>
              <w:jc w:val="center"/>
              <w:rPr>
                <w:rFonts w:asciiTheme="majorHAnsi" w:eastAsia="Times New Roman" w:hAnsiTheme="majorHAnsi" w:cs="Arial"/>
                <w:sz w:val="20"/>
                <w:szCs w:val="20"/>
              </w:rPr>
            </w:pPr>
          </w:p>
        </w:tc>
      </w:tr>
      <w:tr w:rsidR="007F7464" w:rsidRPr="004E1EAD" w14:paraId="1B67A49F"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14C1A3C4" w14:textId="19F3C621" w:rsidR="007F7464" w:rsidRPr="004E1EAD" w:rsidRDefault="007F7464" w:rsidP="007F7464">
            <w:pPr>
              <w:spacing w:after="0" w:line="240" w:lineRule="auto"/>
              <w:ind w:left="284"/>
              <w:rPr>
                <w:rFonts w:asciiTheme="majorHAnsi" w:eastAsia="Times New Roman" w:hAnsiTheme="majorHAnsi" w:cs="Arial"/>
                <w:sz w:val="20"/>
                <w:szCs w:val="20"/>
              </w:rPr>
            </w:pPr>
            <w:r>
              <w:rPr>
                <w:rFonts w:asciiTheme="majorHAnsi" w:hAnsiTheme="majorHAnsi"/>
                <w:sz w:val="20"/>
              </w:rPr>
              <w:t>Miscellaneous revenue</w:t>
            </w:r>
          </w:p>
        </w:tc>
        <w:tc>
          <w:tcPr>
            <w:tcW w:w="1843" w:type="dxa"/>
            <w:tcBorders>
              <w:top w:val="single" w:sz="4" w:space="0" w:color="auto"/>
              <w:left w:val="single" w:sz="4" w:space="0" w:color="auto"/>
              <w:bottom w:val="single" w:sz="4" w:space="0" w:color="auto"/>
              <w:right w:val="single" w:sz="4" w:space="0" w:color="auto"/>
            </w:tcBorders>
            <w:noWrap/>
            <w:vAlign w:val="bottom"/>
          </w:tcPr>
          <w:p w14:paraId="63B44F12" w14:textId="72F91A81" w:rsidR="007F7464" w:rsidRPr="004E1EAD" w:rsidRDefault="007F7464" w:rsidP="007F7464">
            <w:pPr>
              <w:spacing w:after="0" w:line="240" w:lineRule="auto"/>
              <w:jc w:val="center"/>
              <w:rPr>
                <w:rFonts w:asciiTheme="majorHAnsi" w:hAnsiTheme="majorHAnsi" w:cs="Times New Roman"/>
                <w:sz w:val="20"/>
                <w:szCs w:val="20"/>
              </w:rPr>
            </w:pPr>
            <w:r>
              <w:rPr>
                <w:rFonts w:asciiTheme="majorHAnsi" w:hAnsiTheme="majorHAnsi"/>
                <w:sz w:val="20"/>
              </w:rPr>
              <w:t>1,760.00</w:t>
            </w:r>
          </w:p>
        </w:tc>
        <w:tc>
          <w:tcPr>
            <w:tcW w:w="2126" w:type="dxa"/>
            <w:tcBorders>
              <w:top w:val="single" w:sz="4" w:space="0" w:color="auto"/>
              <w:left w:val="single" w:sz="4" w:space="0" w:color="auto"/>
              <w:bottom w:val="single" w:sz="4" w:space="0" w:color="auto"/>
              <w:right w:val="single" w:sz="4" w:space="0" w:color="auto"/>
            </w:tcBorders>
            <w:vAlign w:val="bottom"/>
          </w:tcPr>
          <w:p w14:paraId="174A6093" w14:textId="77777777" w:rsidR="007F7464" w:rsidRPr="004E1EAD" w:rsidRDefault="007F7464" w:rsidP="007F7464">
            <w:pPr>
              <w:spacing w:after="0" w:line="240" w:lineRule="auto"/>
              <w:jc w:val="center"/>
              <w:rPr>
                <w:rFonts w:asciiTheme="majorHAnsi" w:eastAsia="Times New Roman" w:hAnsiTheme="majorHAnsi" w:cs="Arial"/>
                <w:sz w:val="20"/>
                <w:szCs w:val="20"/>
              </w:rPr>
            </w:pPr>
          </w:p>
        </w:tc>
      </w:tr>
      <w:tr w:rsidR="00F255D8" w:rsidRPr="004E1EAD" w14:paraId="2E97D92C"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C5E72EE" w14:textId="77777777" w:rsidR="00413C7D" w:rsidRPr="004E1EAD" w:rsidRDefault="00413C7D" w:rsidP="00413C7D">
            <w:pPr>
              <w:spacing w:after="0" w:line="240" w:lineRule="auto"/>
              <w:rPr>
                <w:rFonts w:asciiTheme="majorHAnsi" w:eastAsia="Times New Roman" w:hAnsiTheme="majorHAnsi" w:cs="Arial"/>
                <w:sz w:val="20"/>
                <w:szCs w:val="20"/>
              </w:rPr>
            </w:pPr>
            <w:r>
              <w:rPr>
                <w:rFonts w:asciiTheme="majorHAnsi" w:hAnsiTheme="majorHAnsi"/>
                <w:sz w:val="20"/>
              </w:rPr>
              <w:t xml:space="preserve">Revenue Commission meetings </w:t>
            </w:r>
          </w:p>
        </w:tc>
        <w:tc>
          <w:tcPr>
            <w:tcW w:w="1843" w:type="dxa"/>
            <w:tcBorders>
              <w:top w:val="single" w:sz="4" w:space="0" w:color="auto"/>
              <w:left w:val="single" w:sz="4" w:space="0" w:color="auto"/>
              <w:bottom w:val="single" w:sz="4" w:space="0" w:color="auto"/>
              <w:right w:val="single" w:sz="4" w:space="0" w:color="auto"/>
            </w:tcBorders>
            <w:noWrap/>
            <w:vAlign w:val="bottom"/>
          </w:tcPr>
          <w:p w14:paraId="7E6C140F" w14:textId="77777777" w:rsidR="00413C7D" w:rsidRPr="004E1EAD" w:rsidRDefault="00413C7D" w:rsidP="00FB0DE0">
            <w:pPr>
              <w:spacing w:after="0" w:line="240" w:lineRule="auto"/>
              <w:jc w:val="center"/>
              <w:rPr>
                <w:rFonts w:asciiTheme="majorHAnsi" w:hAnsiTheme="majorHAnsi" w:cs="Times New Roman"/>
                <w:sz w:val="20"/>
                <w:szCs w:val="20"/>
                <w:lang w:val="es-ES_tradnl"/>
              </w:rPr>
            </w:pPr>
          </w:p>
        </w:tc>
        <w:tc>
          <w:tcPr>
            <w:tcW w:w="2126" w:type="dxa"/>
            <w:tcBorders>
              <w:top w:val="single" w:sz="4" w:space="0" w:color="auto"/>
              <w:left w:val="single" w:sz="4" w:space="0" w:color="auto"/>
              <w:bottom w:val="single" w:sz="4" w:space="0" w:color="auto"/>
              <w:right w:val="single" w:sz="4" w:space="0" w:color="auto"/>
            </w:tcBorders>
            <w:vAlign w:val="bottom"/>
          </w:tcPr>
          <w:p w14:paraId="134A908B" w14:textId="77777777" w:rsidR="00413C7D" w:rsidRPr="004E1EAD" w:rsidRDefault="00413C7D" w:rsidP="006E7829">
            <w:pPr>
              <w:spacing w:after="0" w:line="240" w:lineRule="auto"/>
              <w:jc w:val="center"/>
              <w:rPr>
                <w:rFonts w:asciiTheme="majorHAnsi" w:eastAsia="Times New Roman" w:hAnsiTheme="majorHAnsi" w:cs="Arial"/>
                <w:sz w:val="20"/>
                <w:szCs w:val="20"/>
              </w:rPr>
            </w:pPr>
          </w:p>
        </w:tc>
      </w:tr>
      <w:tr w:rsidR="007F7464" w:rsidRPr="004E1EAD" w14:paraId="49796865" w14:textId="77777777" w:rsidTr="007F7464">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267E4355" w14:textId="77777777" w:rsidR="007F7464" w:rsidRPr="004E1EAD" w:rsidRDefault="007F7464" w:rsidP="00A31D22">
            <w:pPr>
              <w:spacing w:after="0" w:line="240" w:lineRule="auto"/>
              <w:ind w:left="288"/>
              <w:rPr>
                <w:rFonts w:asciiTheme="majorHAnsi" w:eastAsia="Times New Roman" w:hAnsiTheme="majorHAnsi" w:cs="Arial"/>
                <w:sz w:val="20"/>
                <w:szCs w:val="20"/>
              </w:rPr>
            </w:pPr>
            <w:r>
              <w:rPr>
                <w:rFonts w:asciiTheme="majorHAnsi" w:hAnsiTheme="majorHAnsi"/>
                <w:sz w:val="20"/>
              </w:rPr>
              <w:t>ICCAT intersessional meetings and other working groups 2023-2024</w:t>
            </w:r>
          </w:p>
        </w:tc>
        <w:tc>
          <w:tcPr>
            <w:tcW w:w="1843" w:type="dxa"/>
            <w:tcBorders>
              <w:top w:val="single" w:sz="4" w:space="0" w:color="auto"/>
              <w:left w:val="single" w:sz="4" w:space="0" w:color="auto"/>
              <w:bottom w:val="single" w:sz="4" w:space="0" w:color="auto"/>
              <w:right w:val="single" w:sz="4" w:space="0" w:color="auto"/>
            </w:tcBorders>
            <w:noWrap/>
            <w:vAlign w:val="bottom"/>
          </w:tcPr>
          <w:p w14:paraId="54E9CE8C" w14:textId="5625796F" w:rsidR="007F7464" w:rsidRPr="004E1EAD" w:rsidRDefault="007F7464" w:rsidP="007F7464">
            <w:pPr>
              <w:spacing w:after="0" w:line="240" w:lineRule="auto"/>
              <w:jc w:val="center"/>
              <w:rPr>
                <w:rFonts w:asciiTheme="majorHAnsi" w:hAnsiTheme="majorHAnsi" w:cs="Times New Roman"/>
                <w:sz w:val="20"/>
                <w:szCs w:val="20"/>
              </w:rPr>
            </w:pPr>
            <w:r>
              <w:rPr>
                <w:rFonts w:asciiTheme="majorHAnsi" w:hAnsiTheme="majorHAnsi"/>
                <w:sz w:val="20"/>
              </w:rPr>
              <w:t>24,354.59</w:t>
            </w:r>
          </w:p>
        </w:tc>
        <w:tc>
          <w:tcPr>
            <w:tcW w:w="2126" w:type="dxa"/>
            <w:tcBorders>
              <w:top w:val="single" w:sz="4" w:space="0" w:color="auto"/>
              <w:left w:val="single" w:sz="4" w:space="0" w:color="auto"/>
              <w:bottom w:val="single" w:sz="4" w:space="0" w:color="auto"/>
              <w:right w:val="single" w:sz="4" w:space="0" w:color="auto"/>
            </w:tcBorders>
            <w:vAlign w:val="bottom"/>
          </w:tcPr>
          <w:p w14:paraId="28A5B351" w14:textId="77777777" w:rsidR="007F7464" w:rsidRPr="004E1EAD" w:rsidRDefault="007F7464" w:rsidP="007F7464">
            <w:pPr>
              <w:spacing w:after="0" w:line="240" w:lineRule="auto"/>
              <w:jc w:val="center"/>
              <w:rPr>
                <w:rFonts w:asciiTheme="majorHAnsi" w:eastAsia="Times New Roman" w:hAnsiTheme="majorHAnsi" w:cs="Arial"/>
                <w:sz w:val="20"/>
                <w:szCs w:val="20"/>
              </w:rPr>
            </w:pPr>
          </w:p>
        </w:tc>
      </w:tr>
      <w:tr w:rsidR="007F7464" w:rsidRPr="004E1EAD" w14:paraId="092D13F0" w14:textId="77777777" w:rsidTr="000F5B09">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32C13AD" w14:textId="7D61423D" w:rsidR="007F7464" w:rsidRPr="004E1EAD" w:rsidRDefault="007F7464" w:rsidP="007F7464">
            <w:pPr>
              <w:spacing w:after="0" w:line="240" w:lineRule="auto"/>
              <w:ind w:left="284"/>
              <w:rPr>
                <w:rFonts w:asciiTheme="majorHAnsi" w:eastAsia="Times New Roman" w:hAnsiTheme="majorHAnsi" w:cs="Arial"/>
                <w:sz w:val="20"/>
                <w:szCs w:val="20"/>
              </w:rPr>
            </w:pPr>
            <w:r>
              <w:rPr>
                <w:rFonts w:asciiTheme="majorHAnsi" w:hAnsiTheme="majorHAnsi"/>
                <w:sz w:val="20"/>
              </w:rPr>
              <w:t>Third Intersessional Meeting of Panel 1 and 24th Special Meeting of the Commission in 2024</w:t>
            </w:r>
          </w:p>
        </w:tc>
        <w:tc>
          <w:tcPr>
            <w:tcW w:w="1843" w:type="dxa"/>
            <w:tcBorders>
              <w:top w:val="single" w:sz="4" w:space="0" w:color="auto"/>
              <w:left w:val="single" w:sz="4" w:space="0" w:color="auto"/>
              <w:bottom w:val="single" w:sz="4" w:space="0" w:color="auto"/>
              <w:right w:val="single" w:sz="4" w:space="0" w:color="auto"/>
            </w:tcBorders>
            <w:noWrap/>
            <w:vAlign w:val="center"/>
          </w:tcPr>
          <w:p w14:paraId="3CFBA84B" w14:textId="693FF1F2" w:rsidR="007F7464" w:rsidRPr="004E1EAD" w:rsidRDefault="007F7464" w:rsidP="007F7464">
            <w:pPr>
              <w:spacing w:after="0" w:line="240" w:lineRule="auto"/>
              <w:jc w:val="center"/>
              <w:rPr>
                <w:rFonts w:asciiTheme="majorHAnsi" w:hAnsiTheme="majorHAnsi" w:cs="Times New Roman"/>
                <w:sz w:val="20"/>
                <w:szCs w:val="20"/>
              </w:rPr>
            </w:pPr>
            <w:r>
              <w:rPr>
                <w:rFonts w:asciiTheme="majorHAnsi" w:hAnsiTheme="majorHAnsi"/>
                <w:sz w:val="20"/>
              </w:rPr>
              <w:t>231,217.11</w:t>
            </w:r>
          </w:p>
        </w:tc>
        <w:tc>
          <w:tcPr>
            <w:tcW w:w="2126" w:type="dxa"/>
            <w:tcBorders>
              <w:top w:val="single" w:sz="4" w:space="0" w:color="auto"/>
              <w:left w:val="single" w:sz="4" w:space="0" w:color="auto"/>
              <w:bottom w:val="single" w:sz="4" w:space="0" w:color="auto"/>
              <w:right w:val="single" w:sz="4" w:space="0" w:color="auto"/>
            </w:tcBorders>
            <w:vAlign w:val="bottom"/>
          </w:tcPr>
          <w:p w14:paraId="1D7413EC" w14:textId="77777777" w:rsidR="007F7464" w:rsidRPr="004E1EAD" w:rsidRDefault="007F7464" w:rsidP="007F7464">
            <w:pPr>
              <w:spacing w:after="0" w:line="240" w:lineRule="auto"/>
              <w:jc w:val="center"/>
              <w:rPr>
                <w:rFonts w:asciiTheme="majorHAnsi" w:eastAsia="Times New Roman" w:hAnsiTheme="majorHAnsi" w:cs="Arial"/>
                <w:sz w:val="20"/>
                <w:szCs w:val="20"/>
              </w:rPr>
            </w:pPr>
          </w:p>
        </w:tc>
      </w:tr>
      <w:tr w:rsidR="007F7464" w:rsidRPr="004E1EAD" w14:paraId="2234E0C3" w14:textId="77777777" w:rsidTr="000F5B09">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632FD543" w14:textId="274BC657" w:rsidR="007F7464" w:rsidRPr="004E1EAD" w:rsidRDefault="007F7464" w:rsidP="007F7464">
            <w:pPr>
              <w:spacing w:after="0" w:line="240" w:lineRule="auto"/>
              <w:ind w:left="284"/>
              <w:rPr>
                <w:rFonts w:asciiTheme="majorHAnsi" w:eastAsia="Times New Roman" w:hAnsiTheme="majorHAnsi" w:cs="Arial"/>
                <w:sz w:val="20"/>
                <w:szCs w:val="20"/>
              </w:rPr>
            </w:pPr>
            <w:r>
              <w:rPr>
                <w:rFonts w:asciiTheme="majorHAnsi" w:hAnsiTheme="majorHAnsi"/>
                <w:sz w:val="20"/>
              </w:rPr>
              <w:t>ICCAT intersessional meetings and other working groups 2025-2026</w:t>
            </w:r>
          </w:p>
        </w:tc>
        <w:tc>
          <w:tcPr>
            <w:tcW w:w="1843" w:type="dxa"/>
            <w:tcBorders>
              <w:top w:val="single" w:sz="4" w:space="0" w:color="auto"/>
              <w:left w:val="single" w:sz="4" w:space="0" w:color="auto"/>
              <w:bottom w:val="single" w:sz="4" w:space="0" w:color="auto"/>
              <w:right w:val="single" w:sz="4" w:space="0" w:color="auto"/>
            </w:tcBorders>
            <w:noWrap/>
            <w:vAlign w:val="center"/>
          </w:tcPr>
          <w:p w14:paraId="3D154E3F" w14:textId="5531C3A1" w:rsidR="007F7464" w:rsidRPr="004E1EAD" w:rsidRDefault="007F7464" w:rsidP="007F7464">
            <w:pPr>
              <w:spacing w:after="0" w:line="240" w:lineRule="auto"/>
              <w:jc w:val="center"/>
              <w:rPr>
                <w:rFonts w:asciiTheme="majorHAnsi" w:hAnsiTheme="majorHAnsi" w:cs="Times New Roman"/>
                <w:sz w:val="20"/>
                <w:szCs w:val="20"/>
              </w:rPr>
            </w:pPr>
            <w:r>
              <w:rPr>
                <w:rFonts w:asciiTheme="majorHAnsi" w:hAnsiTheme="majorHAnsi"/>
                <w:sz w:val="20"/>
              </w:rPr>
              <w:t>168,000.00</w:t>
            </w:r>
          </w:p>
        </w:tc>
        <w:tc>
          <w:tcPr>
            <w:tcW w:w="2126" w:type="dxa"/>
            <w:tcBorders>
              <w:top w:val="single" w:sz="4" w:space="0" w:color="auto"/>
              <w:left w:val="single" w:sz="4" w:space="0" w:color="auto"/>
              <w:bottom w:val="single" w:sz="4" w:space="0" w:color="auto"/>
              <w:right w:val="single" w:sz="4" w:space="0" w:color="auto"/>
            </w:tcBorders>
            <w:vAlign w:val="bottom"/>
          </w:tcPr>
          <w:p w14:paraId="756797BB" w14:textId="77777777" w:rsidR="007F7464" w:rsidRPr="004E1EAD" w:rsidRDefault="007F7464" w:rsidP="007F7464">
            <w:pPr>
              <w:spacing w:after="0" w:line="240" w:lineRule="auto"/>
              <w:jc w:val="center"/>
              <w:rPr>
                <w:rFonts w:asciiTheme="majorHAnsi" w:eastAsia="Times New Roman" w:hAnsiTheme="majorHAnsi" w:cs="Arial"/>
                <w:sz w:val="20"/>
                <w:szCs w:val="20"/>
              </w:rPr>
            </w:pPr>
          </w:p>
        </w:tc>
      </w:tr>
      <w:tr w:rsidR="007F7464" w:rsidRPr="004E1EAD" w14:paraId="7C1FF34F"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21629171" w14:textId="77777777" w:rsidR="007F7464" w:rsidRPr="004E1EAD" w:rsidRDefault="007F7464" w:rsidP="007F7464">
            <w:pPr>
              <w:spacing w:after="0" w:line="240" w:lineRule="auto"/>
              <w:rPr>
                <w:rFonts w:asciiTheme="majorHAnsi" w:eastAsia="Times New Roman" w:hAnsiTheme="majorHAnsi" w:cs="Arial"/>
                <w:b/>
                <w:i/>
                <w:sz w:val="20"/>
                <w:szCs w:val="20"/>
              </w:rPr>
            </w:pPr>
            <w:r>
              <w:rPr>
                <w:rFonts w:asciiTheme="majorHAnsi" w:hAnsiTheme="majorHAnsi"/>
                <w:b/>
                <w:i/>
                <w:sz w:val="20"/>
              </w:rPr>
              <w:t>Extrabudgetary expenses</w:t>
            </w:r>
          </w:p>
        </w:tc>
        <w:tc>
          <w:tcPr>
            <w:tcW w:w="1843" w:type="dxa"/>
            <w:tcBorders>
              <w:top w:val="single" w:sz="4" w:space="0" w:color="auto"/>
              <w:left w:val="single" w:sz="4" w:space="0" w:color="auto"/>
              <w:bottom w:val="single" w:sz="4" w:space="0" w:color="auto"/>
              <w:right w:val="single" w:sz="4" w:space="0" w:color="auto"/>
            </w:tcBorders>
            <w:noWrap/>
            <w:vAlign w:val="bottom"/>
          </w:tcPr>
          <w:p w14:paraId="5D7258D1" w14:textId="13346F1D" w:rsidR="007F7464" w:rsidRPr="004E1EAD" w:rsidRDefault="007F7464" w:rsidP="007F7464">
            <w:pPr>
              <w:spacing w:after="0" w:line="240" w:lineRule="auto"/>
              <w:jc w:val="center"/>
              <w:rPr>
                <w:rFonts w:asciiTheme="majorHAnsi" w:hAnsiTheme="majorHAnsi" w:cs="Times New Roman"/>
                <w:sz w:val="20"/>
                <w:szCs w:val="20"/>
              </w:rPr>
            </w:pPr>
            <w:r>
              <w:rPr>
                <w:rFonts w:asciiTheme="majorHAnsi" w:hAnsiTheme="majorHAnsi"/>
                <w:sz w:val="20"/>
              </w:rPr>
              <w:t>110,918.84</w:t>
            </w:r>
          </w:p>
        </w:tc>
        <w:tc>
          <w:tcPr>
            <w:tcW w:w="2126" w:type="dxa"/>
            <w:tcBorders>
              <w:top w:val="single" w:sz="4" w:space="0" w:color="auto"/>
              <w:left w:val="single" w:sz="4" w:space="0" w:color="auto"/>
              <w:bottom w:val="single" w:sz="4" w:space="0" w:color="auto"/>
              <w:right w:val="single" w:sz="4" w:space="0" w:color="auto"/>
            </w:tcBorders>
            <w:vAlign w:val="bottom"/>
          </w:tcPr>
          <w:p w14:paraId="06C62FAF" w14:textId="77777777" w:rsidR="007F7464" w:rsidRPr="004E1EAD" w:rsidRDefault="007F7464" w:rsidP="007F7464">
            <w:pPr>
              <w:spacing w:after="0" w:line="240" w:lineRule="auto"/>
              <w:jc w:val="center"/>
              <w:rPr>
                <w:rFonts w:asciiTheme="majorHAnsi" w:eastAsia="Times New Roman" w:hAnsiTheme="majorHAnsi" w:cs="Arial"/>
                <w:b/>
                <w:i/>
                <w:sz w:val="20"/>
                <w:szCs w:val="20"/>
              </w:rPr>
            </w:pPr>
          </w:p>
        </w:tc>
      </w:tr>
      <w:tr w:rsidR="007F7464" w:rsidRPr="004E1EAD" w14:paraId="5CA09199"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3139AA62" w14:textId="012E111D" w:rsidR="007F7464" w:rsidRPr="004E1EAD" w:rsidRDefault="007F7464" w:rsidP="007F7464">
            <w:pPr>
              <w:spacing w:after="0" w:line="240" w:lineRule="auto"/>
              <w:jc w:val="both"/>
              <w:rPr>
                <w:rFonts w:asciiTheme="majorHAnsi" w:eastAsia="Times New Roman" w:hAnsiTheme="majorHAnsi" w:cs="Arial"/>
                <w:sz w:val="20"/>
                <w:szCs w:val="20"/>
              </w:rPr>
            </w:pPr>
            <w:r>
              <w:rPr>
                <w:rFonts w:asciiTheme="majorHAnsi" w:hAnsiTheme="majorHAnsi"/>
                <w:sz w:val="20"/>
              </w:rPr>
              <w:t>Exchange losses</w:t>
            </w:r>
          </w:p>
        </w:tc>
        <w:tc>
          <w:tcPr>
            <w:tcW w:w="1843" w:type="dxa"/>
            <w:tcBorders>
              <w:top w:val="single" w:sz="4" w:space="0" w:color="auto"/>
              <w:left w:val="single" w:sz="4" w:space="0" w:color="auto"/>
              <w:bottom w:val="single" w:sz="4" w:space="0" w:color="auto"/>
              <w:right w:val="single" w:sz="4" w:space="0" w:color="auto"/>
            </w:tcBorders>
            <w:noWrap/>
            <w:vAlign w:val="bottom"/>
          </w:tcPr>
          <w:p w14:paraId="0C4A3424" w14:textId="12CE8BA5" w:rsidR="007F7464" w:rsidRPr="004E1EAD" w:rsidRDefault="007F7464" w:rsidP="007F7464">
            <w:pPr>
              <w:spacing w:after="0" w:line="240" w:lineRule="auto"/>
              <w:jc w:val="center"/>
              <w:rPr>
                <w:rFonts w:asciiTheme="majorHAnsi" w:hAnsiTheme="majorHAnsi" w:cs="Times New Roman"/>
                <w:sz w:val="20"/>
                <w:szCs w:val="20"/>
              </w:rPr>
            </w:pPr>
            <w:r>
              <w:rPr>
                <w:rFonts w:asciiTheme="majorHAnsi" w:hAnsiTheme="majorHAnsi"/>
                <w:sz w:val="20"/>
              </w:rPr>
              <w:t>4.86</w:t>
            </w:r>
          </w:p>
        </w:tc>
        <w:tc>
          <w:tcPr>
            <w:tcW w:w="2126" w:type="dxa"/>
            <w:tcBorders>
              <w:top w:val="single" w:sz="4" w:space="0" w:color="auto"/>
              <w:left w:val="single" w:sz="4" w:space="0" w:color="auto"/>
              <w:bottom w:val="single" w:sz="4" w:space="0" w:color="auto"/>
              <w:right w:val="single" w:sz="4" w:space="0" w:color="auto"/>
            </w:tcBorders>
            <w:vAlign w:val="bottom"/>
          </w:tcPr>
          <w:p w14:paraId="15BF07F2" w14:textId="77777777" w:rsidR="007F7464" w:rsidRPr="004E1EAD" w:rsidRDefault="007F7464" w:rsidP="007F7464">
            <w:pPr>
              <w:spacing w:after="0" w:line="240" w:lineRule="auto"/>
              <w:jc w:val="center"/>
              <w:rPr>
                <w:rFonts w:asciiTheme="majorHAnsi" w:eastAsia="Times New Roman" w:hAnsiTheme="majorHAnsi" w:cs="Arial"/>
                <w:sz w:val="20"/>
                <w:szCs w:val="20"/>
              </w:rPr>
            </w:pPr>
          </w:p>
        </w:tc>
      </w:tr>
      <w:tr w:rsidR="007F7464" w:rsidRPr="004E1EAD" w14:paraId="2FCD6F8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0C61A61" w14:textId="3F0BB9BA" w:rsidR="007F7464" w:rsidRPr="004E1EAD" w:rsidRDefault="007F7464" w:rsidP="007F7464">
            <w:pPr>
              <w:spacing w:after="0" w:line="240" w:lineRule="auto"/>
              <w:rPr>
                <w:rFonts w:asciiTheme="majorHAnsi" w:eastAsia="Times New Roman" w:hAnsiTheme="majorHAnsi" w:cs="Arial"/>
                <w:sz w:val="20"/>
                <w:szCs w:val="20"/>
              </w:rPr>
            </w:pPr>
            <w:r>
              <w:rPr>
                <w:rFonts w:asciiTheme="majorHAnsi" w:hAnsiTheme="majorHAnsi"/>
                <w:sz w:val="20"/>
              </w:rPr>
              <w:t>Expenses for simultaneous interpretation into Arabic</w:t>
            </w:r>
          </w:p>
        </w:tc>
        <w:tc>
          <w:tcPr>
            <w:tcW w:w="1843" w:type="dxa"/>
            <w:tcBorders>
              <w:top w:val="single" w:sz="4" w:space="0" w:color="auto"/>
              <w:left w:val="single" w:sz="4" w:space="0" w:color="auto"/>
              <w:bottom w:val="single" w:sz="4" w:space="0" w:color="auto"/>
              <w:right w:val="single" w:sz="4" w:space="0" w:color="auto"/>
            </w:tcBorders>
            <w:noWrap/>
            <w:vAlign w:val="bottom"/>
          </w:tcPr>
          <w:p w14:paraId="7AEEDEAA" w14:textId="7CE40893" w:rsidR="007F7464" w:rsidRPr="004E1EAD" w:rsidRDefault="007F7464" w:rsidP="007F7464">
            <w:pPr>
              <w:spacing w:after="0" w:line="240" w:lineRule="auto"/>
              <w:jc w:val="center"/>
              <w:rPr>
                <w:rFonts w:asciiTheme="majorHAnsi" w:hAnsiTheme="majorHAnsi" w:cs="Times New Roman"/>
                <w:sz w:val="20"/>
                <w:szCs w:val="20"/>
              </w:rPr>
            </w:pPr>
            <w:r>
              <w:rPr>
                <w:rFonts w:asciiTheme="majorHAnsi" w:hAnsiTheme="majorHAnsi"/>
                <w:sz w:val="20"/>
              </w:rPr>
              <w:t>1,355.19</w:t>
            </w:r>
          </w:p>
        </w:tc>
        <w:tc>
          <w:tcPr>
            <w:tcW w:w="2126" w:type="dxa"/>
            <w:tcBorders>
              <w:top w:val="single" w:sz="4" w:space="0" w:color="auto"/>
              <w:left w:val="single" w:sz="4" w:space="0" w:color="auto"/>
              <w:bottom w:val="single" w:sz="4" w:space="0" w:color="auto"/>
              <w:right w:val="single" w:sz="4" w:space="0" w:color="auto"/>
            </w:tcBorders>
            <w:vAlign w:val="bottom"/>
          </w:tcPr>
          <w:p w14:paraId="38E12176" w14:textId="77777777" w:rsidR="007F7464" w:rsidRPr="004E1EAD" w:rsidRDefault="007F7464" w:rsidP="007F7464">
            <w:pPr>
              <w:spacing w:after="0" w:line="240" w:lineRule="auto"/>
              <w:jc w:val="center"/>
              <w:rPr>
                <w:rFonts w:asciiTheme="majorHAnsi" w:eastAsia="Times New Roman" w:hAnsiTheme="majorHAnsi" w:cs="Arial"/>
                <w:sz w:val="20"/>
                <w:szCs w:val="20"/>
              </w:rPr>
            </w:pPr>
          </w:p>
        </w:tc>
      </w:tr>
      <w:tr w:rsidR="007F7464" w:rsidRPr="004E1EAD" w14:paraId="55964AE8"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07AA63FC" w14:textId="210FC99E" w:rsidR="007F7464" w:rsidRPr="004E1EAD" w:rsidRDefault="007F7464" w:rsidP="007F7464">
            <w:pPr>
              <w:spacing w:after="0" w:line="240" w:lineRule="auto"/>
              <w:rPr>
                <w:rFonts w:asciiTheme="majorHAnsi" w:eastAsia="Times New Roman" w:hAnsiTheme="majorHAnsi" w:cs="Arial"/>
                <w:sz w:val="20"/>
                <w:szCs w:val="20"/>
              </w:rPr>
            </w:pPr>
            <w:r>
              <w:rPr>
                <w:rFonts w:asciiTheme="majorHAnsi" w:hAnsiTheme="majorHAnsi"/>
                <w:sz w:val="20"/>
              </w:rPr>
              <w:t>2024 intersessional meetings</w:t>
            </w:r>
          </w:p>
        </w:tc>
        <w:tc>
          <w:tcPr>
            <w:tcW w:w="1843" w:type="dxa"/>
            <w:tcBorders>
              <w:top w:val="single" w:sz="4" w:space="0" w:color="auto"/>
              <w:left w:val="single" w:sz="4" w:space="0" w:color="auto"/>
              <w:bottom w:val="single" w:sz="4" w:space="0" w:color="auto"/>
              <w:right w:val="single" w:sz="4" w:space="0" w:color="auto"/>
            </w:tcBorders>
            <w:noWrap/>
            <w:vAlign w:val="bottom"/>
          </w:tcPr>
          <w:p w14:paraId="2ECA804E" w14:textId="075347AB" w:rsidR="007F7464" w:rsidRPr="004E1EAD" w:rsidRDefault="007F7464" w:rsidP="007F7464">
            <w:pPr>
              <w:spacing w:after="0" w:line="240" w:lineRule="auto"/>
              <w:jc w:val="center"/>
              <w:rPr>
                <w:rFonts w:asciiTheme="majorHAnsi" w:hAnsiTheme="majorHAnsi" w:cs="Times New Roman"/>
                <w:sz w:val="20"/>
                <w:szCs w:val="20"/>
              </w:rPr>
            </w:pPr>
            <w:r>
              <w:rPr>
                <w:rFonts w:asciiTheme="majorHAnsi" w:hAnsiTheme="majorHAnsi"/>
                <w:sz w:val="20"/>
              </w:rPr>
              <w:t>105,928.79</w:t>
            </w:r>
          </w:p>
        </w:tc>
        <w:tc>
          <w:tcPr>
            <w:tcW w:w="2126" w:type="dxa"/>
            <w:tcBorders>
              <w:top w:val="single" w:sz="4" w:space="0" w:color="auto"/>
              <w:left w:val="single" w:sz="4" w:space="0" w:color="auto"/>
              <w:bottom w:val="single" w:sz="4" w:space="0" w:color="auto"/>
              <w:right w:val="single" w:sz="4" w:space="0" w:color="auto"/>
            </w:tcBorders>
            <w:vAlign w:val="bottom"/>
          </w:tcPr>
          <w:p w14:paraId="29A90E4C" w14:textId="77777777" w:rsidR="007F7464" w:rsidRPr="004E1EAD" w:rsidRDefault="007F7464" w:rsidP="007F7464">
            <w:pPr>
              <w:spacing w:after="0" w:line="240" w:lineRule="auto"/>
              <w:jc w:val="center"/>
              <w:rPr>
                <w:rFonts w:asciiTheme="majorHAnsi" w:eastAsia="Times New Roman" w:hAnsiTheme="majorHAnsi" w:cs="Arial"/>
                <w:sz w:val="20"/>
                <w:szCs w:val="20"/>
              </w:rPr>
            </w:pPr>
          </w:p>
        </w:tc>
      </w:tr>
      <w:tr w:rsidR="007F7464" w:rsidRPr="004E1EAD" w14:paraId="66B88A7C"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C8F4382" w14:textId="77777777" w:rsidR="007F7464" w:rsidRPr="004E1EAD" w:rsidRDefault="007F7464" w:rsidP="007F7464">
            <w:pPr>
              <w:spacing w:after="0" w:line="240" w:lineRule="auto"/>
              <w:rPr>
                <w:rFonts w:asciiTheme="majorHAnsi" w:eastAsia="Times New Roman" w:hAnsiTheme="majorHAnsi" w:cs="Arial"/>
                <w:sz w:val="20"/>
                <w:szCs w:val="20"/>
              </w:rPr>
            </w:pPr>
            <w:r>
              <w:rPr>
                <w:rFonts w:asciiTheme="majorHAnsi" w:hAnsiTheme="majorHAnsi"/>
                <w:sz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5F1DADF0" w14:textId="77777777" w:rsidR="007F7464" w:rsidRPr="004E1EAD" w:rsidRDefault="007F7464" w:rsidP="007F7464">
            <w:pPr>
              <w:spacing w:after="0" w:line="240" w:lineRule="auto"/>
              <w:jc w:val="center"/>
              <w:rPr>
                <w:rFonts w:asciiTheme="majorHAnsi" w:eastAsia="Times New Roman" w:hAnsiTheme="majorHAnsi"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10A6B69E" w14:textId="77777777" w:rsidR="007F7464" w:rsidRPr="004E1EAD" w:rsidRDefault="007F7464" w:rsidP="007F7464">
            <w:pPr>
              <w:spacing w:after="0" w:line="240" w:lineRule="auto"/>
              <w:jc w:val="center"/>
              <w:rPr>
                <w:rFonts w:asciiTheme="majorHAnsi" w:eastAsia="Times New Roman" w:hAnsiTheme="majorHAnsi" w:cs="Arial"/>
                <w:sz w:val="20"/>
                <w:szCs w:val="20"/>
              </w:rPr>
            </w:pPr>
          </w:p>
        </w:tc>
      </w:tr>
      <w:tr w:rsidR="007F7464" w:rsidRPr="004E1EAD" w14:paraId="076269C6" w14:textId="77777777" w:rsidTr="000F5B09">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50A5B500" w14:textId="77777777" w:rsidR="007F7464" w:rsidRPr="004E1EAD" w:rsidRDefault="007F7464" w:rsidP="007F7464">
            <w:pPr>
              <w:spacing w:after="0" w:line="240" w:lineRule="auto"/>
              <w:rPr>
                <w:rFonts w:asciiTheme="majorHAnsi" w:eastAsia="Times New Roman" w:hAnsiTheme="majorHAnsi" w:cs="Arial"/>
                <w:b/>
                <w:sz w:val="20"/>
                <w:szCs w:val="20"/>
              </w:rPr>
            </w:pPr>
            <w:r>
              <w:rPr>
                <w:rFonts w:asciiTheme="majorHAnsi" w:hAnsiTheme="majorHAnsi"/>
                <w:b/>
                <w:sz w:val="20"/>
              </w:rPr>
              <w:t>c) Contributions paid in the financial year to previous budgets</w:t>
            </w:r>
          </w:p>
        </w:tc>
        <w:tc>
          <w:tcPr>
            <w:tcW w:w="1843" w:type="dxa"/>
            <w:tcBorders>
              <w:top w:val="single" w:sz="4" w:space="0" w:color="auto"/>
              <w:left w:val="single" w:sz="4" w:space="0" w:color="auto"/>
              <w:bottom w:val="single" w:sz="4" w:space="0" w:color="auto"/>
              <w:right w:val="single" w:sz="4" w:space="0" w:color="auto"/>
            </w:tcBorders>
            <w:noWrap/>
            <w:vAlign w:val="center"/>
          </w:tcPr>
          <w:p w14:paraId="001DA7CE" w14:textId="5C9D0BD9" w:rsidR="007F7464" w:rsidRPr="004E1EAD" w:rsidRDefault="007F7464" w:rsidP="007F7464">
            <w:pPr>
              <w:spacing w:after="0" w:line="240" w:lineRule="auto"/>
              <w:jc w:val="center"/>
              <w:rPr>
                <w:rFonts w:asciiTheme="majorHAnsi" w:eastAsia="Times New Roman" w:hAnsiTheme="majorHAnsi" w:cs="Arial"/>
                <w:b/>
                <w:sz w:val="20"/>
                <w:szCs w:val="20"/>
              </w:rPr>
            </w:pPr>
            <w:r>
              <w:rPr>
                <w:rFonts w:asciiTheme="majorHAnsi" w:hAnsiTheme="majorHAnsi"/>
                <w:b/>
                <w:sz w:val="20"/>
              </w:rPr>
              <w:t>238,925.08</w:t>
            </w:r>
          </w:p>
        </w:tc>
        <w:tc>
          <w:tcPr>
            <w:tcW w:w="2126" w:type="dxa"/>
            <w:tcBorders>
              <w:top w:val="single" w:sz="4" w:space="0" w:color="auto"/>
              <w:left w:val="single" w:sz="4" w:space="0" w:color="auto"/>
              <w:bottom w:val="single" w:sz="4" w:space="0" w:color="auto"/>
              <w:right w:val="single" w:sz="4" w:space="0" w:color="auto"/>
            </w:tcBorders>
            <w:vAlign w:val="bottom"/>
          </w:tcPr>
          <w:p w14:paraId="0CBB4568" w14:textId="77777777" w:rsidR="007F7464" w:rsidRPr="004E1EAD" w:rsidRDefault="007F7464" w:rsidP="007F7464">
            <w:pPr>
              <w:spacing w:after="0" w:line="240" w:lineRule="auto"/>
              <w:jc w:val="center"/>
              <w:rPr>
                <w:rFonts w:asciiTheme="majorHAnsi" w:eastAsia="Times New Roman" w:hAnsiTheme="majorHAnsi" w:cs="Arial"/>
                <w:b/>
                <w:sz w:val="20"/>
                <w:szCs w:val="20"/>
              </w:rPr>
            </w:pPr>
          </w:p>
        </w:tc>
      </w:tr>
      <w:tr w:rsidR="00F255D8" w:rsidRPr="004E1EAD" w14:paraId="5811AAD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5807B41" w14:textId="77777777" w:rsidR="00413C7D" w:rsidRPr="004E1EAD" w:rsidRDefault="00413C7D" w:rsidP="00413C7D">
            <w:pPr>
              <w:spacing w:after="0" w:line="240" w:lineRule="auto"/>
              <w:rPr>
                <w:rFonts w:asciiTheme="majorHAnsi" w:eastAsia="Times New Roman" w:hAnsiTheme="majorHAnsi" w:cs="Arial"/>
                <w:sz w:val="20"/>
                <w:szCs w:val="20"/>
              </w:rPr>
            </w:pPr>
            <w:r>
              <w:rPr>
                <w:rFonts w:asciiTheme="majorHAnsi" w:hAnsiTheme="majorHAnsi"/>
                <w:sz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0D054F40" w14:textId="77777777" w:rsidR="00413C7D" w:rsidRPr="004E1EAD" w:rsidRDefault="00413C7D" w:rsidP="006E7829">
            <w:pPr>
              <w:spacing w:after="0" w:line="240" w:lineRule="auto"/>
              <w:jc w:val="center"/>
              <w:rPr>
                <w:rFonts w:asciiTheme="majorHAnsi" w:eastAsia="Times New Roman" w:hAnsiTheme="majorHAnsi"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1FBE06A5" w14:textId="77777777" w:rsidR="00413C7D" w:rsidRPr="004E1EAD" w:rsidRDefault="00413C7D" w:rsidP="006E7829">
            <w:pPr>
              <w:spacing w:after="0" w:line="240" w:lineRule="auto"/>
              <w:jc w:val="center"/>
              <w:rPr>
                <w:rFonts w:asciiTheme="majorHAnsi" w:eastAsia="Times New Roman" w:hAnsiTheme="majorHAnsi" w:cs="Arial"/>
                <w:sz w:val="20"/>
                <w:szCs w:val="20"/>
              </w:rPr>
            </w:pPr>
          </w:p>
        </w:tc>
      </w:tr>
      <w:tr w:rsidR="007F7464" w:rsidRPr="004E1EAD" w14:paraId="1C898C12"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8D44EE7" w14:textId="77777777" w:rsidR="007F7464" w:rsidRPr="004E1EAD" w:rsidRDefault="007F7464" w:rsidP="007F7464">
            <w:pPr>
              <w:spacing w:after="0" w:line="240" w:lineRule="auto"/>
              <w:rPr>
                <w:rFonts w:asciiTheme="majorHAnsi" w:eastAsia="Times New Roman" w:hAnsiTheme="majorHAnsi" w:cs="Arial"/>
                <w:sz w:val="20"/>
                <w:szCs w:val="20"/>
              </w:rPr>
            </w:pPr>
            <w:r>
              <w:rPr>
                <w:rFonts w:asciiTheme="majorHAnsi" w:hAnsiTheme="majorHAnsi"/>
                <w:sz w:val="20"/>
              </w:rPr>
              <w:t>Contributions to regular budgets</w:t>
            </w:r>
          </w:p>
        </w:tc>
        <w:tc>
          <w:tcPr>
            <w:tcW w:w="1843" w:type="dxa"/>
            <w:tcBorders>
              <w:top w:val="single" w:sz="4" w:space="0" w:color="auto"/>
              <w:left w:val="single" w:sz="4" w:space="0" w:color="auto"/>
              <w:bottom w:val="single" w:sz="4" w:space="0" w:color="auto"/>
              <w:right w:val="single" w:sz="4" w:space="0" w:color="auto"/>
            </w:tcBorders>
            <w:noWrap/>
            <w:vAlign w:val="bottom"/>
          </w:tcPr>
          <w:p w14:paraId="43E3C85D" w14:textId="36A5ED10" w:rsidR="007F7464" w:rsidRPr="004E1EAD" w:rsidRDefault="007F7464" w:rsidP="007F7464">
            <w:pPr>
              <w:spacing w:after="0" w:line="240" w:lineRule="auto"/>
              <w:jc w:val="center"/>
              <w:rPr>
                <w:rFonts w:asciiTheme="majorHAnsi" w:eastAsia="Times New Roman" w:hAnsiTheme="majorHAnsi" w:cs="Arial"/>
                <w:sz w:val="20"/>
                <w:szCs w:val="20"/>
              </w:rPr>
            </w:pPr>
            <w:r>
              <w:rPr>
                <w:rFonts w:asciiTheme="majorHAnsi" w:hAnsiTheme="majorHAnsi"/>
                <w:sz w:val="20"/>
              </w:rPr>
              <w:t>233,488.67</w:t>
            </w:r>
          </w:p>
        </w:tc>
        <w:tc>
          <w:tcPr>
            <w:tcW w:w="2126" w:type="dxa"/>
            <w:tcBorders>
              <w:top w:val="single" w:sz="4" w:space="0" w:color="auto"/>
              <w:left w:val="single" w:sz="4" w:space="0" w:color="auto"/>
              <w:bottom w:val="single" w:sz="4" w:space="0" w:color="auto"/>
              <w:right w:val="single" w:sz="4" w:space="0" w:color="auto"/>
            </w:tcBorders>
            <w:vAlign w:val="bottom"/>
          </w:tcPr>
          <w:p w14:paraId="148A6676" w14:textId="77777777" w:rsidR="007F7464" w:rsidRPr="004E1EAD" w:rsidRDefault="007F7464" w:rsidP="007F7464">
            <w:pPr>
              <w:spacing w:after="0" w:line="240" w:lineRule="auto"/>
              <w:jc w:val="center"/>
              <w:rPr>
                <w:rFonts w:asciiTheme="majorHAnsi" w:eastAsia="Times New Roman" w:hAnsiTheme="majorHAnsi" w:cs="Arial"/>
                <w:sz w:val="20"/>
                <w:szCs w:val="20"/>
              </w:rPr>
            </w:pPr>
          </w:p>
        </w:tc>
      </w:tr>
      <w:tr w:rsidR="007F7464" w:rsidRPr="004E1EAD" w14:paraId="4433B512" w14:textId="77777777" w:rsidTr="000F5B09">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3CF41CA" w14:textId="0F98420A" w:rsidR="007F7464" w:rsidRPr="004E1EAD" w:rsidRDefault="007F7464" w:rsidP="007F7464">
            <w:pPr>
              <w:spacing w:after="0" w:line="240" w:lineRule="auto"/>
              <w:rPr>
                <w:rFonts w:asciiTheme="majorHAnsi" w:eastAsia="Times New Roman" w:hAnsiTheme="majorHAnsi" w:cs="Arial"/>
                <w:sz w:val="20"/>
                <w:szCs w:val="20"/>
              </w:rPr>
            </w:pPr>
            <w:r>
              <w:rPr>
                <w:rFonts w:asciiTheme="majorHAnsi" w:hAnsiTheme="majorHAnsi"/>
                <w:sz w:val="20"/>
              </w:rPr>
              <w:t>Contributions from new Contracting Parties paid to current budget</w:t>
            </w:r>
          </w:p>
        </w:tc>
        <w:tc>
          <w:tcPr>
            <w:tcW w:w="1843" w:type="dxa"/>
            <w:tcBorders>
              <w:top w:val="single" w:sz="4" w:space="0" w:color="auto"/>
              <w:left w:val="single" w:sz="4" w:space="0" w:color="auto"/>
              <w:bottom w:val="single" w:sz="4" w:space="0" w:color="auto"/>
              <w:right w:val="single" w:sz="4" w:space="0" w:color="auto"/>
            </w:tcBorders>
            <w:noWrap/>
            <w:vAlign w:val="center"/>
          </w:tcPr>
          <w:p w14:paraId="211BC584" w14:textId="6DC59649" w:rsidR="007F7464" w:rsidRPr="004E1EAD" w:rsidRDefault="007F7464" w:rsidP="007F7464">
            <w:pPr>
              <w:spacing w:after="0" w:line="240" w:lineRule="auto"/>
              <w:jc w:val="center"/>
              <w:rPr>
                <w:rFonts w:asciiTheme="majorHAnsi" w:eastAsia="Times New Roman" w:hAnsiTheme="majorHAnsi" w:cs="Arial"/>
                <w:sz w:val="20"/>
                <w:szCs w:val="20"/>
              </w:rPr>
            </w:pPr>
            <w:r>
              <w:rPr>
                <w:rFonts w:asciiTheme="majorHAnsi" w:hAnsiTheme="majorHAnsi"/>
                <w:sz w:val="20"/>
              </w:rPr>
              <w:t>5,436.41</w:t>
            </w:r>
          </w:p>
        </w:tc>
        <w:tc>
          <w:tcPr>
            <w:tcW w:w="2126" w:type="dxa"/>
            <w:tcBorders>
              <w:top w:val="single" w:sz="4" w:space="0" w:color="auto"/>
              <w:left w:val="single" w:sz="4" w:space="0" w:color="auto"/>
              <w:bottom w:val="single" w:sz="4" w:space="0" w:color="auto"/>
              <w:right w:val="single" w:sz="4" w:space="0" w:color="auto"/>
            </w:tcBorders>
            <w:vAlign w:val="bottom"/>
          </w:tcPr>
          <w:p w14:paraId="41751858" w14:textId="77777777" w:rsidR="007F7464" w:rsidRPr="004E1EAD" w:rsidRDefault="007F7464" w:rsidP="007F7464">
            <w:pPr>
              <w:spacing w:after="0" w:line="240" w:lineRule="auto"/>
              <w:jc w:val="center"/>
              <w:rPr>
                <w:rFonts w:asciiTheme="majorHAnsi" w:eastAsia="Times New Roman" w:hAnsiTheme="majorHAnsi" w:cs="Arial"/>
                <w:sz w:val="20"/>
                <w:szCs w:val="20"/>
              </w:rPr>
            </w:pPr>
          </w:p>
        </w:tc>
      </w:tr>
      <w:tr w:rsidR="00F255D8" w:rsidRPr="004E1EAD" w14:paraId="4420CCF8"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0EB649DC" w14:textId="77777777" w:rsidR="00413C7D" w:rsidRPr="004E1EAD" w:rsidRDefault="00413C7D" w:rsidP="00413C7D">
            <w:pPr>
              <w:spacing w:after="0" w:line="240" w:lineRule="auto"/>
              <w:rPr>
                <w:rFonts w:asciiTheme="majorHAnsi" w:eastAsia="Times New Roman" w:hAnsiTheme="majorHAnsi" w:cs="Arial"/>
                <w:sz w:val="20"/>
                <w:szCs w:val="20"/>
              </w:rPr>
            </w:pPr>
            <w:r>
              <w:rPr>
                <w:rFonts w:asciiTheme="majorHAnsi" w:hAnsiTheme="majorHAnsi"/>
                <w:sz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023C39FE" w14:textId="77777777" w:rsidR="00413C7D" w:rsidRPr="004E1EAD" w:rsidRDefault="00413C7D" w:rsidP="006E7829">
            <w:pPr>
              <w:spacing w:after="0" w:line="240" w:lineRule="auto"/>
              <w:jc w:val="center"/>
              <w:rPr>
                <w:rFonts w:asciiTheme="majorHAnsi" w:eastAsia="Times New Roman" w:hAnsiTheme="majorHAnsi"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5B897A2C" w14:textId="77777777" w:rsidR="00413C7D" w:rsidRPr="004E1EAD" w:rsidRDefault="00413C7D" w:rsidP="006E7829">
            <w:pPr>
              <w:spacing w:after="0" w:line="240" w:lineRule="auto"/>
              <w:jc w:val="center"/>
              <w:rPr>
                <w:rFonts w:asciiTheme="majorHAnsi" w:eastAsia="Times New Roman" w:hAnsiTheme="majorHAnsi" w:cs="Arial"/>
                <w:sz w:val="20"/>
                <w:szCs w:val="20"/>
              </w:rPr>
            </w:pPr>
          </w:p>
        </w:tc>
      </w:tr>
      <w:tr w:rsidR="007F7464" w:rsidRPr="004E1EAD" w14:paraId="36E8E43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9640E8D" w14:textId="002372A7" w:rsidR="007F7464" w:rsidRPr="004E1EAD" w:rsidRDefault="007F7464" w:rsidP="007F7464">
            <w:pPr>
              <w:spacing w:after="0" w:line="240" w:lineRule="auto"/>
              <w:rPr>
                <w:rFonts w:asciiTheme="majorHAnsi" w:eastAsia="Times New Roman" w:hAnsiTheme="majorHAnsi" w:cs="Arial"/>
                <w:b/>
                <w:sz w:val="20"/>
                <w:szCs w:val="20"/>
              </w:rPr>
            </w:pPr>
            <w:r>
              <w:rPr>
                <w:rFonts w:asciiTheme="majorHAnsi" w:hAnsiTheme="majorHAnsi"/>
                <w:b/>
                <w:sz w:val="20"/>
              </w:rPr>
              <w:t xml:space="preserve">Available balance </w:t>
            </w:r>
            <w:proofErr w:type="gramStart"/>
            <w:r>
              <w:rPr>
                <w:rFonts w:asciiTheme="majorHAnsi" w:hAnsiTheme="majorHAnsi"/>
                <w:b/>
                <w:sz w:val="20"/>
              </w:rPr>
              <w:t>at</w:t>
            </w:r>
            <w:proofErr w:type="gramEnd"/>
            <w:r>
              <w:rPr>
                <w:rFonts w:asciiTheme="majorHAnsi" w:hAnsiTheme="majorHAnsi"/>
                <w:b/>
                <w:sz w:val="20"/>
              </w:rPr>
              <w:t xml:space="preserve"> 8 October 2025</w:t>
            </w:r>
          </w:p>
        </w:tc>
        <w:tc>
          <w:tcPr>
            <w:tcW w:w="1843" w:type="dxa"/>
            <w:tcBorders>
              <w:top w:val="single" w:sz="4" w:space="0" w:color="auto"/>
              <w:left w:val="single" w:sz="4" w:space="0" w:color="auto"/>
              <w:bottom w:val="single" w:sz="4" w:space="0" w:color="auto"/>
              <w:right w:val="single" w:sz="4" w:space="0" w:color="auto"/>
            </w:tcBorders>
            <w:noWrap/>
            <w:vAlign w:val="bottom"/>
          </w:tcPr>
          <w:p w14:paraId="4E8F0380" w14:textId="37AEA50C" w:rsidR="007F7464" w:rsidRPr="004E1EAD" w:rsidRDefault="007F7464" w:rsidP="007F7464">
            <w:pPr>
              <w:spacing w:after="0" w:line="240" w:lineRule="auto"/>
              <w:jc w:val="center"/>
              <w:rPr>
                <w:rFonts w:asciiTheme="majorHAnsi" w:eastAsia="Times New Roman" w:hAnsiTheme="majorHAnsi" w:cs="Arial"/>
                <w:b/>
                <w:sz w:val="20"/>
                <w:szCs w:val="20"/>
              </w:rPr>
            </w:pPr>
            <w:r>
              <w:rPr>
                <w:rFonts w:asciiTheme="majorHAnsi" w:hAnsiTheme="majorHAnsi"/>
                <w:b/>
                <w:sz w:val="20"/>
              </w:rPr>
              <w:t>4,318,088.83</w:t>
            </w:r>
          </w:p>
        </w:tc>
        <w:tc>
          <w:tcPr>
            <w:tcW w:w="2126" w:type="dxa"/>
            <w:tcBorders>
              <w:top w:val="single" w:sz="4" w:space="0" w:color="auto"/>
              <w:left w:val="single" w:sz="4" w:space="0" w:color="auto"/>
              <w:bottom w:val="single" w:sz="4" w:space="0" w:color="auto"/>
              <w:right w:val="single" w:sz="4" w:space="0" w:color="auto"/>
            </w:tcBorders>
            <w:vAlign w:val="bottom"/>
          </w:tcPr>
          <w:p w14:paraId="5F861BE4" w14:textId="028576C3" w:rsidR="007F7464" w:rsidRPr="004E1EAD" w:rsidRDefault="007F7464" w:rsidP="007F7464">
            <w:pPr>
              <w:spacing w:after="0" w:line="240" w:lineRule="auto"/>
              <w:jc w:val="center"/>
              <w:rPr>
                <w:rFonts w:asciiTheme="majorHAnsi" w:eastAsia="Times New Roman" w:hAnsiTheme="majorHAnsi" w:cs="Arial"/>
                <w:b/>
                <w:sz w:val="20"/>
                <w:szCs w:val="20"/>
              </w:rPr>
            </w:pPr>
            <w:r>
              <w:rPr>
                <w:rFonts w:asciiTheme="majorHAnsi" w:hAnsiTheme="majorHAnsi"/>
                <w:b/>
                <w:sz w:val="20"/>
              </w:rPr>
              <w:t>72.06%</w:t>
            </w:r>
          </w:p>
        </w:tc>
      </w:tr>
      <w:tr w:rsidR="007F7464" w:rsidRPr="004E1EAD" w14:paraId="2D4CD6D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F885C37" w14:textId="77777777" w:rsidR="007F7464" w:rsidRPr="004E1EAD" w:rsidRDefault="007F7464" w:rsidP="007F7464">
            <w:pPr>
              <w:spacing w:after="0" w:line="240" w:lineRule="auto"/>
              <w:rPr>
                <w:rFonts w:asciiTheme="majorHAnsi" w:eastAsia="Times New Roman" w:hAnsiTheme="majorHAnsi" w:cs="Arial"/>
                <w:sz w:val="20"/>
                <w:szCs w:val="20"/>
              </w:rPr>
            </w:pPr>
            <w:r>
              <w:rPr>
                <w:rFonts w:asciiTheme="majorHAnsi" w:hAnsiTheme="majorHAnsi"/>
                <w:sz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4D4666F9" w14:textId="77777777" w:rsidR="007F7464" w:rsidRPr="004E1EAD" w:rsidRDefault="007F7464" w:rsidP="007F7464">
            <w:pPr>
              <w:spacing w:after="0" w:line="240" w:lineRule="auto"/>
              <w:jc w:val="center"/>
              <w:rPr>
                <w:rFonts w:asciiTheme="majorHAnsi" w:eastAsia="Times New Roman" w:hAnsiTheme="majorHAnsi"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20E932C1" w14:textId="77777777" w:rsidR="007F7464" w:rsidRPr="004E1EAD" w:rsidRDefault="007F7464" w:rsidP="007F7464">
            <w:pPr>
              <w:spacing w:after="0" w:line="240" w:lineRule="auto"/>
              <w:jc w:val="center"/>
              <w:rPr>
                <w:rFonts w:asciiTheme="majorHAnsi" w:eastAsia="Times New Roman" w:hAnsiTheme="majorHAnsi" w:cs="Arial"/>
                <w:sz w:val="20"/>
                <w:szCs w:val="20"/>
              </w:rPr>
            </w:pPr>
          </w:p>
        </w:tc>
      </w:tr>
      <w:tr w:rsidR="007F7464" w:rsidRPr="004E1EAD" w14:paraId="3CBB4C0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7DB40A2" w14:textId="049B6614" w:rsidR="007F7464" w:rsidRPr="004E1EAD" w:rsidRDefault="007F7464" w:rsidP="007F7464">
            <w:pPr>
              <w:spacing w:after="0" w:line="240" w:lineRule="auto"/>
              <w:rPr>
                <w:rFonts w:asciiTheme="majorHAnsi" w:eastAsia="Times New Roman" w:hAnsiTheme="majorHAnsi" w:cs="Arial"/>
                <w:sz w:val="20"/>
                <w:szCs w:val="20"/>
              </w:rPr>
            </w:pPr>
            <w:r>
              <w:rPr>
                <w:rFonts w:asciiTheme="majorHAnsi" w:hAnsiTheme="majorHAnsi"/>
                <w:sz w:val="20"/>
              </w:rPr>
              <w:t>Estimated expenses (until 31 December 2025)</w:t>
            </w:r>
          </w:p>
        </w:tc>
        <w:tc>
          <w:tcPr>
            <w:tcW w:w="1843" w:type="dxa"/>
            <w:tcBorders>
              <w:top w:val="single" w:sz="4" w:space="0" w:color="auto"/>
              <w:left w:val="single" w:sz="4" w:space="0" w:color="auto"/>
              <w:bottom w:val="single" w:sz="4" w:space="0" w:color="auto"/>
              <w:right w:val="single" w:sz="4" w:space="0" w:color="auto"/>
            </w:tcBorders>
            <w:noWrap/>
            <w:vAlign w:val="bottom"/>
          </w:tcPr>
          <w:p w14:paraId="314B8615" w14:textId="6034A31A" w:rsidR="007F7464" w:rsidRPr="004E1EAD" w:rsidRDefault="007F7464" w:rsidP="007F7464">
            <w:pPr>
              <w:spacing w:after="0" w:line="240" w:lineRule="auto"/>
              <w:jc w:val="center"/>
              <w:rPr>
                <w:rFonts w:asciiTheme="majorHAnsi" w:eastAsia="Times New Roman" w:hAnsiTheme="majorHAnsi" w:cs="Arial"/>
                <w:color w:val="FF0000"/>
                <w:sz w:val="20"/>
                <w:szCs w:val="20"/>
              </w:rPr>
            </w:pPr>
            <w:r>
              <w:rPr>
                <w:rFonts w:asciiTheme="majorHAnsi" w:hAnsiTheme="majorHAnsi"/>
                <w:sz w:val="20"/>
              </w:rPr>
              <w:t>1,773,045.95</w:t>
            </w:r>
          </w:p>
        </w:tc>
        <w:tc>
          <w:tcPr>
            <w:tcW w:w="2126" w:type="dxa"/>
            <w:tcBorders>
              <w:top w:val="single" w:sz="4" w:space="0" w:color="auto"/>
              <w:left w:val="single" w:sz="4" w:space="0" w:color="auto"/>
              <w:bottom w:val="single" w:sz="4" w:space="0" w:color="auto"/>
              <w:right w:val="single" w:sz="4" w:space="0" w:color="auto"/>
            </w:tcBorders>
            <w:vAlign w:val="bottom"/>
          </w:tcPr>
          <w:p w14:paraId="39639797" w14:textId="77777777" w:rsidR="007F7464" w:rsidRPr="004E1EAD" w:rsidRDefault="007F7464" w:rsidP="007F7464">
            <w:pPr>
              <w:spacing w:after="0" w:line="240" w:lineRule="auto"/>
              <w:jc w:val="center"/>
              <w:rPr>
                <w:rFonts w:asciiTheme="majorHAnsi" w:eastAsia="Times New Roman" w:hAnsiTheme="majorHAnsi" w:cs="Arial"/>
                <w:sz w:val="20"/>
                <w:szCs w:val="20"/>
              </w:rPr>
            </w:pPr>
          </w:p>
        </w:tc>
      </w:tr>
      <w:tr w:rsidR="007F7464" w:rsidRPr="004E1EAD" w14:paraId="7CF35C6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8609004" w14:textId="77777777" w:rsidR="007F7464" w:rsidRPr="004E1EAD" w:rsidRDefault="007F7464" w:rsidP="007F7464">
            <w:pPr>
              <w:spacing w:after="0" w:line="240" w:lineRule="auto"/>
              <w:rPr>
                <w:rFonts w:asciiTheme="majorHAnsi" w:eastAsia="Times New Roman" w:hAnsiTheme="majorHAnsi" w:cs="Arial"/>
                <w:sz w:val="20"/>
                <w:szCs w:val="20"/>
              </w:rPr>
            </w:pPr>
            <w:r>
              <w:rPr>
                <w:rFonts w:asciiTheme="majorHAnsi" w:hAnsiTheme="majorHAnsi"/>
                <w:sz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2B81E3BD" w14:textId="77777777" w:rsidR="007F7464" w:rsidRPr="004E1EAD" w:rsidRDefault="007F7464" w:rsidP="007F7464">
            <w:pPr>
              <w:spacing w:after="0" w:line="240" w:lineRule="auto"/>
              <w:jc w:val="center"/>
              <w:rPr>
                <w:rFonts w:asciiTheme="majorHAnsi" w:eastAsia="Times New Roman" w:hAnsiTheme="majorHAnsi"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310A8DEC" w14:textId="77777777" w:rsidR="007F7464" w:rsidRPr="004E1EAD" w:rsidRDefault="007F7464" w:rsidP="007F7464">
            <w:pPr>
              <w:spacing w:after="0" w:line="240" w:lineRule="auto"/>
              <w:jc w:val="center"/>
              <w:rPr>
                <w:rFonts w:asciiTheme="majorHAnsi" w:eastAsia="Times New Roman" w:hAnsiTheme="majorHAnsi" w:cs="Arial"/>
                <w:sz w:val="20"/>
                <w:szCs w:val="20"/>
              </w:rPr>
            </w:pPr>
          </w:p>
        </w:tc>
      </w:tr>
      <w:tr w:rsidR="007F7464" w:rsidRPr="00173E45" w14:paraId="3082775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F2D4BDD" w14:textId="7BF4843D" w:rsidR="007F7464" w:rsidRPr="004E1EAD" w:rsidRDefault="007F7464" w:rsidP="007F7464">
            <w:pPr>
              <w:spacing w:after="0" w:line="240" w:lineRule="auto"/>
              <w:rPr>
                <w:rFonts w:asciiTheme="majorHAnsi" w:eastAsia="Times New Roman" w:hAnsiTheme="majorHAnsi" w:cs="Arial"/>
                <w:b/>
                <w:sz w:val="20"/>
                <w:szCs w:val="20"/>
              </w:rPr>
            </w:pPr>
            <w:r>
              <w:rPr>
                <w:rFonts w:asciiTheme="majorHAnsi" w:hAnsiTheme="majorHAnsi"/>
                <w:b/>
                <w:sz w:val="20"/>
              </w:rPr>
              <w:t xml:space="preserve">Estimated balance </w:t>
            </w:r>
            <w:proofErr w:type="gramStart"/>
            <w:r>
              <w:rPr>
                <w:rFonts w:asciiTheme="majorHAnsi" w:hAnsiTheme="majorHAnsi"/>
                <w:b/>
                <w:sz w:val="20"/>
              </w:rPr>
              <w:t>at</w:t>
            </w:r>
            <w:proofErr w:type="gramEnd"/>
            <w:r>
              <w:rPr>
                <w:rFonts w:asciiTheme="majorHAnsi" w:hAnsiTheme="majorHAnsi"/>
                <w:b/>
                <w:sz w:val="20"/>
              </w:rPr>
              <w:t xml:space="preserve"> 31 December 2025</w:t>
            </w:r>
          </w:p>
        </w:tc>
        <w:tc>
          <w:tcPr>
            <w:tcW w:w="1843" w:type="dxa"/>
            <w:tcBorders>
              <w:top w:val="single" w:sz="4" w:space="0" w:color="auto"/>
              <w:left w:val="single" w:sz="4" w:space="0" w:color="auto"/>
              <w:bottom w:val="single" w:sz="4" w:space="0" w:color="auto"/>
              <w:right w:val="single" w:sz="4" w:space="0" w:color="auto"/>
            </w:tcBorders>
            <w:noWrap/>
            <w:vAlign w:val="bottom"/>
          </w:tcPr>
          <w:p w14:paraId="27C432C8" w14:textId="70CD2DB2" w:rsidR="007F7464" w:rsidRPr="004E1EAD" w:rsidRDefault="007F7464" w:rsidP="007F7464">
            <w:pPr>
              <w:spacing w:after="0" w:line="240" w:lineRule="auto"/>
              <w:jc w:val="center"/>
              <w:rPr>
                <w:rFonts w:asciiTheme="majorHAnsi" w:eastAsia="Times New Roman" w:hAnsiTheme="majorHAnsi" w:cs="Arial"/>
                <w:b/>
                <w:sz w:val="20"/>
                <w:szCs w:val="20"/>
              </w:rPr>
            </w:pPr>
            <w:r>
              <w:rPr>
                <w:rFonts w:asciiTheme="majorHAnsi" w:hAnsiTheme="majorHAnsi"/>
                <w:b/>
                <w:sz w:val="20"/>
              </w:rPr>
              <w:t>2,545,042.88</w:t>
            </w:r>
          </w:p>
        </w:tc>
        <w:tc>
          <w:tcPr>
            <w:tcW w:w="2126" w:type="dxa"/>
            <w:tcBorders>
              <w:top w:val="single" w:sz="4" w:space="0" w:color="auto"/>
              <w:left w:val="single" w:sz="4" w:space="0" w:color="auto"/>
              <w:bottom w:val="single" w:sz="4" w:space="0" w:color="auto"/>
              <w:right w:val="single" w:sz="4" w:space="0" w:color="auto"/>
            </w:tcBorders>
            <w:vAlign w:val="bottom"/>
          </w:tcPr>
          <w:p w14:paraId="2CDCDFCD" w14:textId="00346680" w:rsidR="007F7464" w:rsidRPr="004E1EAD" w:rsidRDefault="007F7464" w:rsidP="007F7464">
            <w:pPr>
              <w:spacing w:after="0" w:line="240" w:lineRule="auto"/>
              <w:jc w:val="center"/>
              <w:rPr>
                <w:rFonts w:asciiTheme="majorHAnsi" w:eastAsia="Times New Roman" w:hAnsiTheme="majorHAnsi" w:cs="Arial"/>
                <w:b/>
                <w:sz w:val="20"/>
                <w:szCs w:val="20"/>
              </w:rPr>
            </w:pPr>
            <w:r>
              <w:rPr>
                <w:rFonts w:asciiTheme="majorHAnsi" w:hAnsiTheme="majorHAnsi"/>
                <w:b/>
                <w:sz w:val="20"/>
              </w:rPr>
              <w:t>42.47%</w:t>
            </w:r>
          </w:p>
        </w:tc>
      </w:tr>
      <w:tr w:rsidR="00F255D8" w:rsidRPr="00173E45" w14:paraId="3BB2E16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8292378" w14:textId="77777777" w:rsidR="00413C7D" w:rsidRPr="003303CE" w:rsidRDefault="00413C7D" w:rsidP="00413C7D">
            <w:pPr>
              <w:spacing w:after="0" w:line="240" w:lineRule="auto"/>
              <w:rPr>
                <w:rFonts w:asciiTheme="majorHAnsi" w:eastAsia="Times New Roman" w:hAnsiTheme="majorHAnsi" w:cs="Arial"/>
                <w:sz w:val="20"/>
                <w:szCs w:val="20"/>
              </w:rPr>
            </w:pPr>
            <w:r>
              <w:rPr>
                <w:rFonts w:asciiTheme="majorHAnsi" w:hAnsiTheme="majorHAnsi"/>
                <w:sz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7D42646B" w14:textId="77777777" w:rsidR="00413C7D" w:rsidRPr="003303CE" w:rsidRDefault="00413C7D" w:rsidP="006E7829">
            <w:pPr>
              <w:spacing w:after="0" w:line="240" w:lineRule="auto"/>
              <w:jc w:val="center"/>
              <w:rPr>
                <w:rFonts w:asciiTheme="majorHAnsi" w:eastAsia="Times New Roman" w:hAnsiTheme="majorHAnsi"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7713550E" w14:textId="77777777" w:rsidR="00413C7D" w:rsidRPr="003303CE" w:rsidRDefault="00413C7D" w:rsidP="006E7829">
            <w:pPr>
              <w:spacing w:after="0" w:line="240" w:lineRule="auto"/>
              <w:jc w:val="center"/>
              <w:rPr>
                <w:rFonts w:asciiTheme="majorHAnsi" w:eastAsia="Times New Roman" w:hAnsiTheme="majorHAnsi" w:cs="Arial"/>
                <w:sz w:val="20"/>
                <w:szCs w:val="20"/>
              </w:rPr>
            </w:pPr>
          </w:p>
        </w:tc>
      </w:tr>
    </w:tbl>
    <w:p w14:paraId="587E6591" w14:textId="77777777" w:rsidR="00260776" w:rsidRPr="003303CE" w:rsidRDefault="00260776" w:rsidP="00883039">
      <w:pPr>
        <w:spacing w:after="0" w:line="240" w:lineRule="auto"/>
        <w:jc w:val="both"/>
        <w:rPr>
          <w:rFonts w:asciiTheme="majorHAnsi" w:hAnsiTheme="majorHAnsi" w:cs="Times New Roman"/>
          <w:b/>
          <w:bCs/>
          <w:sz w:val="20"/>
          <w:szCs w:val="20"/>
        </w:rPr>
      </w:pPr>
    </w:p>
    <w:sectPr w:rsidR="00260776" w:rsidRPr="003303CE" w:rsidSect="005A0BF1">
      <w:headerReference w:type="default" r:id="rId8"/>
      <w:footerReference w:type="default" r:id="rId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1083" w14:textId="77777777" w:rsidR="00B738A0" w:rsidRDefault="00B738A0" w:rsidP="007C09E8">
      <w:pPr>
        <w:spacing w:after="0" w:line="240" w:lineRule="auto"/>
      </w:pPr>
      <w:r>
        <w:separator/>
      </w:r>
    </w:p>
  </w:endnote>
  <w:endnote w:type="continuationSeparator" w:id="0">
    <w:p w14:paraId="58EA7614" w14:textId="77777777" w:rsidR="00B738A0" w:rsidRDefault="00B738A0" w:rsidP="007C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407A" w14:textId="77777777" w:rsidR="003F3A8F" w:rsidRPr="003F3A8F" w:rsidRDefault="003F3A8F" w:rsidP="003F3A8F">
    <w:pPr>
      <w:tabs>
        <w:tab w:val="center" w:pos="4513"/>
        <w:tab w:val="right" w:pos="9026"/>
      </w:tabs>
      <w:spacing w:after="0" w:line="240" w:lineRule="auto"/>
      <w:jc w:val="center"/>
      <w:rPr>
        <w:rFonts w:ascii="Cambria" w:eastAsia="Times New Roman" w:hAnsi="Cambria" w:cs="Times New Roman"/>
        <w:sz w:val="20"/>
        <w:szCs w:val="20"/>
      </w:rPr>
    </w:pPr>
    <w:r w:rsidRPr="003F3A8F">
      <w:rPr>
        <w:rFonts w:ascii="Cambria" w:eastAsia="Times New Roman" w:hAnsi="Cambria" w:cs="Times New Roman"/>
        <w:sz w:val="20"/>
      </w:rPr>
      <w:fldChar w:fldCharType="begin"/>
    </w:r>
    <w:r w:rsidRPr="003F3A8F">
      <w:rPr>
        <w:rFonts w:ascii="Cambria" w:eastAsia="Times New Roman" w:hAnsi="Cambria" w:cs="Times New Roman"/>
        <w:sz w:val="20"/>
      </w:rPr>
      <w:instrText xml:space="preserve"> PAGE </w:instrText>
    </w:r>
    <w:r w:rsidRPr="003F3A8F">
      <w:rPr>
        <w:rFonts w:ascii="Cambria" w:eastAsia="Times New Roman" w:hAnsi="Cambria" w:cs="Times New Roman"/>
        <w:sz w:val="20"/>
      </w:rPr>
      <w:fldChar w:fldCharType="separate"/>
    </w:r>
    <w:r w:rsidRPr="003F3A8F">
      <w:rPr>
        <w:rFonts w:ascii="Cambria" w:eastAsia="Times New Roman" w:hAnsi="Cambria" w:cs="Times New Roman"/>
        <w:sz w:val="20"/>
      </w:rPr>
      <w:t>1</w:t>
    </w:r>
    <w:r w:rsidRPr="003F3A8F">
      <w:rPr>
        <w:rFonts w:ascii="Cambria" w:eastAsia="Times New Roman" w:hAnsi="Cambria" w:cs="Times New Roman"/>
        <w:sz w:val="20"/>
      </w:rPr>
      <w:fldChar w:fldCharType="end"/>
    </w:r>
    <w:r>
      <w:rPr>
        <w:rFonts w:ascii="Cambria" w:hAnsi="Cambria"/>
        <w:sz w:val="20"/>
      </w:rPr>
      <w:t xml:space="preserve"> / </w:t>
    </w:r>
    <w:r w:rsidRPr="003F3A8F">
      <w:rPr>
        <w:rFonts w:ascii="Cambria" w:eastAsia="Times New Roman" w:hAnsi="Cambria" w:cs="Times New Roman"/>
        <w:sz w:val="20"/>
      </w:rPr>
      <w:fldChar w:fldCharType="begin"/>
    </w:r>
    <w:r w:rsidRPr="003F3A8F">
      <w:rPr>
        <w:rFonts w:ascii="Cambria" w:eastAsia="Times New Roman" w:hAnsi="Cambria" w:cs="Times New Roman"/>
        <w:sz w:val="20"/>
      </w:rPr>
      <w:instrText xml:space="preserve"> NUMPAGES </w:instrText>
    </w:r>
    <w:r w:rsidRPr="003F3A8F">
      <w:rPr>
        <w:rFonts w:ascii="Cambria" w:eastAsia="Times New Roman" w:hAnsi="Cambria" w:cs="Times New Roman"/>
        <w:sz w:val="20"/>
      </w:rPr>
      <w:fldChar w:fldCharType="separate"/>
    </w:r>
    <w:r w:rsidRPr="003F3A8F">
      <w:rPr>
        <w:rFonts w:ascii="Cambria" w:eastAsia="Times New Roman" w:hAnsi="Cambria" w:cs="Times New Roman"/>
        <w:sz w:val="20"/>
      </w:rPr>
      <w:t>1</w:t>
    </w:r>
    <w:r w:rsidRPr="003F3A8F">
      <w:rPr>
        <w:rFonts w:ascii="Cambria" w:eastAsia="Times New Roman" w:hAnsi="Cambria"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8D93B" w14:textId="77777777" w:rsidR="00B738A0" w:rsidRDefault="00B738A0" w:rsidP="007C09E8">
      <w:pPr>
        <w:spacing w:after="0" w:line="240" w:lineRule="auto"/>
      </w:pPr>
      <w:r>
        <w:separator/>
      </w:r>
    </w:p>
  </w:footnote>
  <w:footnote w:type="continuationSeparator" w:id="0">
    <w:p w14:paraId="08C0E100" w14:textId="77777777" w:rsidR="00B738A0" w:rsidRDefault="00B738A0" w:rsidP="007C0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0F10" w14:textId="783100F9" w:rsidR="003764FB" w:rsidRPr="003764FB" w:rsidRDefault="003764FB" w:rsidP="003764FB">
    <w:pPr>
      <w:tabs>
        <w:tab w:val="center" w:pos="4680"/>
        <w:tab w:val="left" w:pos="6520"/>
        <w:tab w:val="right" w:pos="9360"/>
        <w:tab w:val="right" w:pos="14240"/>
      </w:tabs>
      <w:spacing w:after="0" w:line="240" w:lineRule="auto"/>
      <w:jc w:val="right"/>
      <w:rPr>
        <w:rFonts w:ascii="Cambria" w:eastAsia="Calibri" w:hAnsi="Cambria" w:cs="Times New Roman"/>
        <w:b/>
        <w:bCs/>
        <w:sz w:val="20"/>
        <w:szCs w:val="20"/>
      </w:rPr>
    </w:pPr>
    <w:r>
      <w:rPr>
        <w:rFonts w:ascii="Cambria" w:hAnsi="Cambria"/>
        <w:b/>
        <w:sz w:val="20"/>
      </w:rPr>
      <w:t>STF_207/2025</w:t>
    </w:r>
  </w:p>
  <w:p w14:paraId="444C9DAC" w14:textId="189176E0" w:rsidR="003764FB" w:rsidRPr="003764FB" w:rsidRDefault="003764FB" w:rsidP="003764FB">
    <w:pPr>
      <w:tabs>
        <w:tab w:val="left" w:pos="7320"/>
      </w:tabs>
      <w:spacing w:after="0" w:line="240" w:lineRule="exact"/>
      <w:jc w:val="right"/>
      <w:rPr>
        <w:rFonts w:ascii="Cambria" w:eastAsia="Times New Roman" w:hAnsi="Cambria" w:cs="Times New Roman"/>
        <w:b/>
        <w:bCs/>
        <w:sz w:val="16"/>
        <w:szCs w:val="16"/>
      </w:rPr>
    </w:pPr>
    <w:r w:rsidRPr="003764FB">
      <w:rPr>
        <w:rFonts w:ascii="Cambria" w:eastAsia="Times New Roman" w:hAnsi="Cambria" w:cs="Times New Roman"/>
        <w:b/>
        <w:sz w:val="16"/>
      </w:rPr>
      <w:fldChar w:fldCharType="begin"/>
    </w:r>
    <w:r w:rsidRPr="003764FB">
      <w:rPr>
        <w:rFonts w:ascii="Cambria" w:eastAsia="Times New Roman" w:hAnsi="Cambria" w:cs="Times New Roman"/>
        <w:b/>
        <w:sz w:val="16"/>
      </w:rPr>
      <w:instrText xml:space="preserve"> TIME \@ "dd/MM/yyyy H:mm" </w:instrText>
    </w:r>
    <w:r w:rsidRPr="003764FB">
      <w:rPr>
        <w:rFonts w:ascii="Cambria" w:eastAsia="Times New Roman" w:hAnsi="Cambria" w:cs="Times New Roman"/>
        <w:b/>
        <w:sz w:val="16"/>
      </w:rPr>
      <w:fldChar w:fldCharType="separate"/>
    </w:r>
    <w:r w:rsidR="00C24B12">
      <w:rPr>
        <w:rFonts w:ascii="Cambria" w:eastAsia="Times New Roman" w:hAnsi="Cambria" w:cs="Times New Roman"/>
        <w:b/>
        <w:noProof/>
        <w:sz w:val="16"/>
      </w:rPr>
      <w:t>14/11/2025 15:22</w:t>
    </w:r>
    <w:r w:rsidRPr="003764FB">
      <w:rPr>
        <w:rFonts w:ascii="Cambria" w:eastAsia="Times New Roman" w:hAnsi="Cambria" w:cs="Times New Roman"/>
        <w:b/>
        <w:bCs/>
        <w:sz w:val="16"/>
        <w:szCs w:val="16"/>
        <w:lang w:val="es-ES_tradnl" w:eastAsia="en-US"/>
      </w:rPr>
      <w:fldChar w:fldCharType="end"/>
    </w:r>
  </w:p>
  <w:p w14:paraId="4A49A68D" w14:textId="77777777" w:rsidR="003764FB" w:rsidRPr="003764FB" w:rsidRDefault="003764FB" w:rsidP="003764FB">
    <w:pPr>
      <w:tabs>
        <w:tab w:val="center" w:pos="4153"/>
        <w:tab w:val="right" w:pos="8306"/>
      </w:tabs>
      <w:spacing w:after="0" w:line="240" w:lineRule="auto"/>
      <w:jc w:val="both"/>
      <w:rPr>
        <w:rFonts w:ascii="Times New Roman" w:eastAsia="Times New Roman" w:hAnsi="Times New Roman" w:cs="Times New Roman"/>
        <w:sz w:val="20"/>
        <w:szCs w:val="24"/>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D03"/>
    <w:multiLevelType w:val="hybridMultilevel"/>
    <w:tmpl w:val="BD88BED8"/>
    <w:lvl w:ilvl="0" w:tplc="8FCC2240">
      <w:start w:val="1"/>
      <w:numFmt w:val="bullet"/>
      <w:lvlText w:val="•"/>
      <w:lvlJc w:val="left"/>
      <w:pPr>
        <w:ind w:left="360" w:hanging="360"/>
      </w:pPr>
      <w:rPr>
        <w:rFonts w:ascii="Times New Roman" w:hAnsi="Times New Roman" w:cs="Times New Roman" w:hint="default"/>
      </w:rPr>
    </w:lvl>
    <w:lvl w:ilvl="1" w:tplc="0C0A0003" w:tentative="1">
      <w:start w:val="1"/>
      <w:numFmt w:val="bullet"/>
      <w:lvlText w:val="o"/>
      <w:lvlJc w:val="left"/>
      <w:pPr>
        <w:ind w:left="732" w:hanging="360"/>
      </w:pPr>
      <w:rPr>
        <w:rFonts w:ascii="Courier New" w:hAnsi="Courier New" w:cs="Courier New" w:hint="default"/>
      </w:rPr>
    </w:lvl>
    <w:lvl w:ilvl="2" w:tplc="0C0A0005" w:tentative="1">
      <w:start w:val="1"/>
      <w:numFmt w:val="bullet"/>
      <w:lvlText w:val=""/>
      <w:lvlJc w:val="left"/>
      <w:pPr>
        <w:ind w:left="1452" w:hanging="360"/>
      </w:pPr>
      <w:rPr>
        <w:rFonts w:ascii="Wingdings" w:hAnsi="Wingdings" w:hint="default"/>
      </w:rPr>
    </w:lvl>
    <w:lvl w:ilvl="3" w:tplc="0C0A0001" w:tentative="1">
      <w:start w:val="1"/>
      <w:numFmt w:val="bullet"/>
      <w:lvlText w:val=""/>
      <w:lvlJc w:val="left"/>
      <w:pPr>
        <w:ind w:left="2172" w:hanging="360"/>
      </w:pPr>
      <w:rPr>
        <w:rFonts w:ascii="Symbol" w:hAnsi="Symbol" w:hint="default"/>
      </w:rPr>
    </w:lvl>
    <w:lvl w:ilvl="4" w:tplc="0C0A0003" w:tentative="1">
      <w:start w:val="1"/>
      <w:numFmt w:val="bullet"/>
      <w:lvlText w:val="o"/>
      <w:lvlJc w:val="left"/>
      <w:pPr>
        <w:ind w:left="2892" w:hanging="360"/>
      </w:pPr>
      <w:rPr>
        <w:rFonts w:ascii="Courier New" w:hAnsi="Courier New" w:cs="Courier New" w:hint="default"/>
      </w:rPr>
    </w:lvl>
    <w:lvl w:ilvl="5" w:tplc="0C0A0005" w:tentative="1">
      <w:start w:val="1"/>
      <w:numFmt w:val="bullet"/>
      <w:lvlText w:val=""/>
      <w:lvlJc w:val="left"/>
      <w:pPr>
        <w:ind w:left="3612" w:hanging="360"/>
      </w:pPr>
      <w:rPr>
        <w:rFonts w:ascii="Wingdings" w:hAnsi="Wingdings" w:hint="default"/>
      </w:rPr>
    </w:lvl>
    <w:lvl w:ilvl="6" w:tplc="0C0A0001" w:tentative="1">
      <w:start w:val="1"/>
      <w:numFmt w:val="bullet"/>
      <w:lvlText w:val=""/>
      <w:lvlJc w:val="left"/>
      <w:pPr>
        <w:ind w:left="4332" w:hanging="360"/>
      </w:pPr>
      <w:rPr>
        <w:rFonts w:ascii="Symbol" w:hAnsi="Symbol" w:hint="default"/>
      </w:rPr>
    </w:lvl>
    <w:lvl w:ilvl="7" w:tplc="0C0A0003" w:tentative="1">
      <w:start w:val="1"/>
      <w:numFmt w:val="bullet"/>
      <w:lvlText w:val="o"/>
      <w:lvlJc w:val="left"/>
      <w:pPr>
        <w:ind w:left="5052" w:hanging="360"/>
      </w:pPr>
      <w:rPr>
        <w:rFonts w:ascii="Courier New" w:hAnsi="Courier New" w:cs="Courier New" w:hint="default"/>
      </w:rPr>
    </w:lvl>
    <w:lvl w:ilvl="8" w:tplc="0C0A0005" w:tentative="1">
      <w:start w:val="1"/>
      <w:numFmt w:val="bullet"/>
      <w:lvlText w:val=""/>
      <w:lvlJc w:val="left"/>
      <w:pPr>
        <w:ind w:left="5772" w:hanging="360"/>
      </w:pPr>
      <w:rPr>
        <w:rFonts w:ascii="Wingdings" w:hAnsi="Wingdings" w:hint="default"/>
      </w:rPr>
    </w:lvl>
  </w:abstractNum>
  <w:abstractNum w:abstractNumId="1" w15:restartNumberingAfterBreak="0">
    <w:nsid w:val="0F875396"/>
    <w:multiLevelType w:val="hybridMultilevel"/>
    <w:tmpl w:val="01E4E026"/>
    <w:lvl w:ilvl="0" w:tplc="252C5FFA">
      <w:start w:val="1"/>
      <w:numFmt w:val="bullet"/>
      <w:lvlText w:val="-"/>
      <w:lvlJc w:val="left"/>
      <w:pPr>
        <w:ind w:left="720" w:hanging="360"/>
      </w:pPr>
      <w:rPr>
        <w:rFonts w:ascii="MS Reference Sans Serif" w:hAnsi="MS Reference Sans Serif"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01E014F"/>
    <w:multiLevelType w:val="hybridMultilevel"/>
    <w:tmpl w:val="6DB4100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92E3DF8"/>
    <w:multiLevelType w:val="hybridMultilevel"/>
    <w:tmpl w:val="D2E66BDE"/>
    <w:lvl w:ilvl="0" w:tplc="7DA48A64">
      <w:numFmt w:val="bullet"/>
      <w:lvlText w:val="•"/>
      <w:lvlJc w:val="left"/>
      <w:pPr>
        <w:ind w:left="720" w:hanging="360"/>
      </w:pPr>
      <w:rPr>
        <w:rFonts w:ascii="Times New Roman" w:eastAsia="Times New Roman"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94F3102"/>
    <w:multiLevelType w:val="hybridMultilevel"/>
    <w:tmpl w:val="F962D000"/>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9BD2208"/>
    <w:multiLevelType w:val="hybridMultilevel"/>
    <w:tmpl w:val="89AE5C6E"/>
    <w:lvl w:ilvl="0" w:tplc="68D08138">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9F012F5"/>
    <w:multiLevelType w:val="hybridMultilevel"/>
    <w:tmpl w:val="FEF6DE46"/>
    <w:lvl w:ilvl="0" w:tplc="7DA48A64">
      <w:numFmt w:val="bullet"/>
      <w:lvlText w:val="•"/>
      <w:lvlJc w:val="left"/>
      <w:pPr>
        <w:ind w:left="360" w:hanging="360"/>
      </w:pPr>
      <w:rPr>
        <w:rFonts w:ascii="Times New Roman" w:eastAsia="Times New Roman" w:hAnsi="Times New Roman" w:cs="Times New Roman"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3ECC55C8"/>
    <w:multiLevelType w:val="hybridMultilevel"/>
    <w:tmpl w:val="F3742DE6"/>
    <w:lvl w:ilvl="0" w:tplc="F02C6804">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45B10A9"/>
    <w:multiLevelType w:val="hybridMultilevel"/>
    <w:tmpl w:val="B6B83D64"/>
    <w:lvl w:ilvl="0" w:tplc="68D081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5EC24EB"/>
    <w:multiLevelType w:val="hybridMultilevel"/>
    <w:tmpl w:val="D9788484"/>
    <w:lvl w:ilvl="0" w:tplc="8FCC2240">
      <w:start w:val="1"/>
      <w:numFmt w:val="bullet"/>
      <w:lvlText w:val="•"/>
      <w:lvlJc w:val="left"/>
      <w:pPr>
        <w:ind w:left="360" w:hanging="360"/>
      </w:pPr>
      <w:rPr>
        <w:rFonts w:ascii="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BCF7DC8"/>
    <w:multiLevelType w:val="hybridMultilevel"/>
    <w:tmpl w:val="C89E0B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3674BAF"/>
    <w:multiLevelType w:val="hybridMultilevel"/>
    <w:tmpl w:val="173CC6C0"/>
    <w:lvl w:ilvl="0" w:tplc="68D08138">
      <w:start w:val="1"/>
      <w:numFmt w:val="bullet"/>
      <w:lvlText w:val=""/>
      <w:lvlJc w:val="left"/>
      <w:pPr>
        <w:ind w:left="6" w:hanging="360"/>
      </w:pPr>
      <w:rPr>
        <w:rFonts w:ascii="Symbol" w:hAnsi="Symbol" w:hint="default"/>
      </w:rPr>
    </w:lvl>
    <w:lvl w:ilvl="1" w:tplc="0C0A0003" w:tentative="1">
      <w:start w:val="1"/>
      <w:numFmt w:val="bullet"/>
      <w:lvlText w:val="o"/>
      <w:lvlJc w:val="left"/>
      <w:pPr>
        <w:ind w:left="726" w:hanging="360"/>
      </w:pPr>
      <w:rPr>
        <w:rFonts w:ascii="Courier New" w:hAnsi="Courier New" w:cs="Courier New" w:hint="default"/>
      </w:rPr>
    </w:lvl>
    <w:lvl w:ilvl="2" w:tplc="0C0A0005" w:tentative="1">
      <w:start w:val="1"/>
      <w:numFmt w:val="bullet"/>
      <w:lvlText w:val=""/>
      <w:lvlJc w:val="left"/>
      <w:pPr>
        <w:ind w:left="1446" w:hanging="360"/>
      </w:pPr>
      <w:rPr>
        <w:rFonts w:ascii="Wingdings" w:hAnsi="Wingdings" w:hint="default"/>
      </w:rPr>
    </w:lvl>
    <w:lvl w:ilvl="3" w:tplc="0C0A0001" w:tentative="1">
      <w:start w:val="1"/>
      <w:numFmt w:val="bullet"/>
      <w:lvlText w:val=""/>
      <w:lvlJc w:val="left"/>
      <w:pPr>
        <w:ind w:left="2166" w:hanging="360"/>
      </w:pPr>
      <w:rPr>
        <w:rFonts w:ascii="Symbol" w:hAnsi="Symbol" w:hint="default"/>
      </w:rPr>
    </w:lvl>
    <w:lvl w:ilvl="4" w:tplc="0C0A0003" w:tentative="1">
      <w:start w:val="1"/>
      <w:numFmt w:val="bullet"/>
      <w:lvlText w:val="o"/>
      <w:lvlJc w:val="left"/>
      <w:pPr>
        <w:ind w:left="2886" w:hanging="360"/>
      </w:pPr>
      <w:rPr>
        <w:rFonts w:ascii="Courier New" w:hAnsi="Courier New" w:cs="Courier New" w:hint="default"/>
      </w:rPr>
    </w:lvl>
    <w:lvl w:ilvl="5" w:tplc="0C0A0005" w:tentative="1">
      <w:start w:val="1"/>
      <w:numFmt w:val="bullet"/>
      <w:lvlText w:val=""/>
      <w:lvlJc w:val="left"/>
      <w:pPr>
        <w:ind w:left="3606" w:hanging="360"/>
      </w:pPr>
      <w:rPr>
        <w:rFonts w:ascii="Wingdings" w:hAnsi="Wingdings" w:hint="default"/>
      </w:rPr>
    </w:lvl>
    <w:lvl w:ilvl="6" w:tplc="0C0A0001" w:tentative="1">
      <w:start w:val="1"/>
      <w:numFmt w:val="bullet"/>
      <w:lvlText w:val=""/>
      <w:lvlJc w:val="left"/>
      <w:pPr>
        <w:ind w:left="4326" w:hanging="360"/>
      </w:pPr>
      <w:rPr>
        <w:rFonts w:ascii="Symbol" w:hAnsi="Symbol" w:hint="default"/>
      </w:rPr>
    </w:lvl>
    <w:lvl w:ilvl="7" w:tplc="0C0A0003" w:tentative="1">
      <w:start w:val="1"/>
      <w:numFmt w:val="bullet"/>
      <w:lvlText w:val="o"/>
      <w:lvlJc w:val="left"/>
      <w:pPr>
        <w:ind w:left="5046" w:hanging="360"/>
      </w:pPr>
      <w:rPr>
        <w:rFonts w:ascii="Courier New" w:hAnsi="Courier New" w:cs="Courier New" w:hint="default"/>
      </w:rPr>
    </w:lvl>
    <w:lvl w:ilvl="8" w:tplc="0C0A0005" w:tentative="1">
      <w:start w:val="1"/>
      <w:numFmt w:val="bullet"/>
      <w:lvlText w:val=""/>
      <w:lvlJc w:val="left"/>
      <w:pPr>
        <w:ind w:left="5766" w:hanging="360"/>
      </w:pPr>
      <w:rPr>
        <w:rFonts w:ascii="Wingdings" w:hAnsi="Wingdings" w:hint="default"/>
      </w:rPr>
    </w:lvl>
  </w:abstractNum>
  <w:abstractNum w:abstractNumId="12" w15:restartNumberingAfterBreak="0">
    <w:nsid w:val="544B7A5E"/>
    <w:multiLevelType w:val="hybridMultilevel"/>
    <w:tmpl w:val="EC24D0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54C07C3"/>
    <w:multiLevelType w:val="hybridMultilevel"/>
    <w:tmpl w:val="61CE7F42"/>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55B966B0"/>
    <w:multiLevelType w:val="hybridMultilevel"/>
    <w:tmpl w:val="9A9E1C06"/>
    <w:lvl w:ilvl="0" w:tplc="DB9EDC20">
      <w:start w:val="2"/>
      <w:numFmt w:val="bullet"/>
      <w:lvlText w:val="-"/>
      <w:lvlJc w:val="left"/>
      <w:pPr>
        <w:ind w:left="360" w:hanging="360"/>
      </w:pPr>
      <w:rPr>
        <w:rFonts w:ascii="Times New Roman" w:eastAsiaTheme="minorEastAsia"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565C540F"/>
    <w:multiLevelType w:val="hybridMultilevel"/>
    <w:tmpl w:val="6D9EC8A4"/>
    <w:lvl w:ilvl="0" w:tplc="956A6816">
      <w:start w:val="2"/>
      <w:numFmt w:val="bullet"/>
      <w:lvlText w:val="-"/>
      <w:lvlJc w:val="left"/>
      <w:pPr>
        <w:ind w:left="360" w:hanging="360"/>
      </w:pPr>
      <w:rPr>
        <w:rFonts w:ascii="Calibri" w:eastAsiaTheme="minorHAnsi" w:hAnsi="Calibri" w:cstheme="minorBidi"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695831CB"/>
    <w:multiLevelType w:val="hybridMultilevel"/>
    <w:tmpl w:val="7CC4E9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A7D139A"/>
    <w:multiLevelType w:val="hybridMultilevel"/>
    <w:tmpl w:val="7B9A4312"/>
    <w:lvl w:ilvl="0" w:tplc="DB9EDC20">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C1C2A2C"/>
    <w:multiLevelType w:val="hybridMultilevel"/>
    <w:tmpl w:val="4746DE1C"/>
    <w:lvl w:ilvl="0" w:tplc="EEF0EB88">
      <w:start w:val="1"/>
      <w:numFmt w:val="bullet"/>
      <w:lvlText w:val="-"/>
      <w:lvlJc w:val="left"/>
      <w:pPr>
        <w:ind w:left="720" w:hanging="360"/>
      </w:pPr>
      <w:rPr>
        <w:rFonts w:ascii="Times New Roman"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E015A0D"/>
    <w:multiLevelType w:val="hybridMultilevel"/>
    <w:tmpl w:val="96DCFD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74BE5E0F"/>
    <w:multiLevelType w:val="hybridMultilevel"/>
    <w:tmpl w:val="84B44F5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77793E5E"/>
    <w:multiLevelType w:val="hybridMultilevel"/>
    <w:tmpl w:val="E9481E84"/>
    <w:lvl w:ilvl="0" w:tplc="3082588E">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DC965EF"/>
    <w:multiLevelType w:val="hybridMultilevel"/>
    <w:tmpl w:val="1952BD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29298398">
    <w:abstractNumId w:val="22"/>
  </w:num>
  <w:num w:numId="2" w16cid:durableId="450049741">
    <w:abstractNumId w:val="17"/>
  </w:num>
  <w:num w:numId="3" w16cid:durableId="1918127633">
    <w:abstractNumId w:val="12"/>
  </w:num>
  <w:num w:numId="4" w16cid:durableId="567880873">
    <w:abstractNumId w:val="7"/>
  </w:num>
  <w:num w:numId="5" w16cid:durableId="100809435">
    <w:abstractNumId w:val="10"/>
  </w:num>
  <w:num w:numId="6" w16cid:durableId="1145925121">
    <w:abstractNumId w:val="16"/>
  </w:num>
  <w:num w:numId="7" w16cid:durableId="1390181059">
    <w:abstractNumId w:val="3"/>
  </w:num>
  <w:num w:numId="8" w16cid:durableId="1826117243">
    <w:abstractNumId w:val="6"/>
  </w:num>
  <w:num w:numId="9" w16cid:durableId="666251069">
    <w:abstractNumId w:val="18"/>
  </w:num>
  <w:num w:numId="10" w16cid:durableId="997994886">
    <w:abstractNumId w:val="19"/>
  </w:num>
  <w:num w:numId="11" w16cid:durableId="1493911601">
    <w:abstractNumId w:val="5"/>
  </w:num>
  <w:num w:numId="12" w16cid:durableId="1371958355">
    <w:abstractNumId w:val="15"/>
  </w:num>
  <w:num w:numId="13" w16cid:durableId="2061051870">
    <w:abstractNumId w:val="2"/>
  </w:num>
  <w:num w:numId="14" w16cid:durableId="232400402">
    <w:abstractNumId w:val="4"/>
  </w:num>
  <w:num w:numId="15" w16cid:durableId="154037299">
    <w:abstractNumId w:val="11"/>
  </w:num>
  <w:num w:numId="16" w16cid:durableId="537818698">
    <w:abstractNumId w:val="8"/>
  </w:num>
  <w:num w:numId="17" w16cid:durableId="311177593">
    <w:abstractNumId w:val="13"/>
  </w:num>
  <w:num w:numId="18" w16cid:durableId="948001947">
    <w:abstractNumId w:val="9"/>
  </w:num>
  <w:num w:numId="19" w16cid:durableId="723603067">
    <w:abstractNumId w:val="0"/>
  </w:num>
  <w:num w:numId="20" w16cid:durableId="176117829">
    <w:abstractNumId w:val="14"/>
  </w:num>
  <w:num w:numId="21" w16cid:durableId="1020857222">
    <w:abstractNumId w:val="21"/>
  </w:num>
  <w:num w:numId="22" w16cid:durableId="1214075598">
    <w:abstractNumId w:val="20"/>
  </w:num>
  <w:num w:numId="23" w16cid:durableId="242841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2B"/>
    <w:rsid w:val="00004132"/>
    <w:rsid w:val="000112C1"/>
    <w:rsid w:val="00011602"/>
    <w:rsid w:val="00012A63"/>
    <w:rsid w:val="00012E26"/>
    <w:rsid w:val="00013673"/>
    <w:rsid w:val="00020093"/>
    <w:rsid w:val="000248FF"/>
    <w:rsid w:val="00024D75"/>
    <w:rsid w:val="000251E8"/>
    <w:rsid w:val="00027121"/>
    <w:rsid w:val="00027FA0"/>
    <w:rsid w:val="0003128A"/>
    <w:rsid w:val="000319ED"/>
    <w:rsid w:val="00031F4A"/>
    <w:rsid w:val="0003256E"/>
    <w:rsid w:val="00040378"/>
    <w:rsid w:val="000411C5"/>
    <w:rsid w:val="00041425"/>
    <w:rsid w:val="00041A7F"/>
    <w:rsid w:val="00050FC7"/>
    <w:rsid w:val="00054010"/>
    <w:rsid w:val="00055DF4"/>
    <w:rsid w:val="00060142"/>
    <w:rsid w:val="00060B03"/>
    <w:rsid w:val="0006289F"/>
    <w:rsid w:val="00067E89"/>
    <w:rsid w:val="00073DC3"/>
    <w:rsid w:val="000772DF"/>
    <w:rsid w:val="00080667"/>
    <w:rsid w:val="00081EB3"/>
    <w:rsid w:val="000823C3"/>
    <w:rsid w:val="00082F93"/>
    <w:rsid w:val="0008572C"/>
    <w:rsid w:val="00085D71"/>
    <w:rsid w:val="00091441"/>
    <w:rsid w:val="000A058E"/>
    <w:rsid w:val="000A1AA5"/>
    <w:rsid w:val="000A2EA4"/>
    <w:rsid w:val="000A3C4B"/>
    <w:rsid w:val="000A60F0"/>
    <w:rsid w:val="000A7A79"/>
    <w:rsid w:val="000B04FB"/>
    <w:rsid w:val="000B0E29"/>
    <w:rsid w:val="000B162D"/>
    <w:rsid w:val="000B2841"/>
    <w:rsid w:val="000B6C8C"/>
    <w:rsid w:val="000C06B1"/>
    <w:rsid w:val="000C2366"/>
    <w:rsid w:val="000C2367"/>
    <w:rsid w:val="000C41D4"/>
    <w:rsid w:val="000C627A"/>
    <w:rsid w:val="000D0243"/>
    <w:rsid w:val="000D1214"/>
    <w:rsid w:val="000D482D"/>
    <w:rsid w:val="000D4B4E"/>
    <w:rsid w:val="000E37F2"/>
    <w:rsid w:val="000E56F1"/>
    <w:rsid w:val="000E623D"/>
    <w:rsid w:val="000F5B09"/>
    <w:rsid w:val="00100A96"/>
    <w:rsid w:val="00100C48"/>
    <w:rsid w:val="00106889"/>
    <w:rsid w:val="0011292A"/>
    <w:rsid w:val="00112E1F"/>
    <w:rsid w:val="001144A8"/>
    <w:rsid w:val="0011634B"/>
    <w:rsid w:val="00116D6B"/>
    <w:rsid w:val="001207C4"/>
    <w:rsid w:val="001231BD"/>
    <w:rsid w:val="00124797"/>
    <w:rsid w:val="0012638D"/>
    <w:rsid w:val="001336C0"/>
    <w:rsid w:val="00133E49"/>
    <w:rsid w:val="00136D8E"/>
    <w:rsid w:val="00141550"/>
    <w:rsid w:val="00143369"/>
    <w:rsid w:val="00151A96"/>
    <w:rsid w:val="00152619"/>
    <w:rsid w:val="00160D50"/>
    <w:rsid w:val="00161496"/>
    <w:rsid w:val="0016255A"/>
    <w:rsid w:val="001639C0"/>
    <w:rsid w:val="00165A21"/>
    <w:rsid w:val="00167624"/>
    <w:rsid w:val="00170B3C"/>
    <w:rsid w:val="001720D2"/>
    <w:rsid w:val="00173BE3"/>
    <w:rsid w:val="00173DE7"/>
    <w:rsid w:val="00173E45"/>
    <w:rsid w:val="0017490B"/>
    <w:rsid w:val="00176A5A"/>
    <w:rsid w:val="00181A1B"/>
    <w:rsid w:val="00182542"/>
    <w:rsid w:val="00185A30"/>
    <w:rsid w:val="00192EC0"/>
    <w:rsid w:val="0019314F"/>
    <w:rsid w:val="00193B33"/>
    <w:rsid w:val="0019542B"/>
    <w:rsid w:val="001A0A2E"/>
    <w:rsid w:val="001A2EC0"/>
    <w:rsid w:val="001A5E85"/>
    <w:rsid w:val="001B0760"/>
    <w:rsid w:val="001B23F4"/>
    <w:rsid w:val="001B3772"/>
    <w:rsid w:val="001B6F39"/>
    <w:rsid w:val="001B745D"/>
    <w:rsid w:val="001B78DF"/>
    <w:rsid w:val="001C4257"/>
    <w:rsid w:val="001C71F5"/>
    <w:rsid w:val="001D2B86"/>
    <w:rsid w:val="001D2FEE"/>
    <w:rsid w:val="001D3ED8"/>
    <w:rsid w:val="001D6332"/>
    <w:rsid w:val="001D6C85"/>
    <w:rsid w:val="001E13A3"/>
    <w:rsid w:val="001E3F7A"/>
    <w:rsid w:val="001E63C3"/>
    <w:rsid w:val="001E6F4E"/>
    <w:rsid w:val="001E724E"/>
    <w:rsid w:val="001F04EE"/>
    <w:rsid w:val="001F11BF"/>
    <w:rsid w:val="001F13FF"/>
    <w:rsid w:val="001F164E"/>
    <w:rsid w:val="001F3ED6"/>
    <w:rsid w:val="0020284E"/>
    <w:rsid w:val="00206FC0"/>
    <w:rsid w:val="00212D46"/>
    <w:rsid w:val="00214A66"/>
    <w:rsid w:val="00221A9F"/>
    <w:rsid w:val="002253DB"/>
    <w:rsid w:val="002326A4"/>
    <w:rsid w:val="002339C8"/>
    <w:rsid w:val="00246D0A"/>
    <w:rsid w:val="00251825"/>
    <w:rsid w:val="00251F6D"/>
    <w:rsid w:val="00253E37"/>
    <w:rsid w:val="00254C12"/>
    <w:rsid w:val="00254C4F"/>
    <w:rsid w:val="0025511B"/>
    <w:rsid w:val="002573C6"/>
    <w:rsid w:val="00260776"/>
    <w:rsid w:val="00260A79"/>
    <w:rsid w:val="00260E30"/>
    <w:rsid w:val="00263DEF"/>
    <w:rsid w:val="0026547A"/>
    <w:rsid w:val="00265742"/>
    <w:rsid w:val="00281114"/>
    <w:rsid w:val="00281115"/>
    <w:rsid w:val="00281D97"/>
    <w:rsid w:val="0028636B"/>
    <w:rsid w:val="0028709E"/>
    <w:rsid w:val="002927BF"/>
    <w:rsid w:val="00292C6F"/>
    <w:rsid w:val="002946A3"/>
    <w:rsid w:val="00294739"/>
    <w:rsid w:val="002962D1"/>
    <w:rsid w:val="002A4850"/>
    <w:rsid w:val="002A77DB"/>
    <w:rsid w:val="002B184B"/>
    <w:rsid w:val="002B249F"/>
    <w:rsid w:val="002B4B7B"/>
    <w:rsid w:val="002B7EB1"/>
    <w:rsid w:val="002C48F7"/>
    <w:rsid w:val="002C4A31"/>
    <w:rsid w:val="002D728E"/>
    <w:rsid w:val="002F4BED"/>
    <w:rsid w:val="002F65DF"/>
    <w:rsid w:val="002F76BF"/>
    <w:rsid w:val="003013AF"/>
    <w:rsid w:val="00304526"/>
    <w:rsid w:val="0030571F"/>
    <w:rsid w:val="00305E3E"/>
    <w:rsid w:val="003075BE"/>
    <w:rsid w:val="003075F4"/>
    <w:rsid w:val="00310A74"/>
    <w:rsid w:val="0031447F"/>
    <w:rsid w:val="003146F7"/>
    <w:rsid w:val="00315052"/>
    <w:rsid w:val="00315DF1"/>
    <w:rsid w:val="003172F6"/>
    <w:rsid w:val="00317857"/>
    <w:rsid w:val="00317A3A"/>
    <w:rsid w:val="00317CB2"/>
    <w:rsid w:val="00320111"/>
    <w:rsid w:val="0032080C"/>
    <w:rsid w:val="00322377"/>
    <w:rsid w:val="00322CC2"/>
    <w:rsid w:val="00324361"/>
    <w:rsid w:val="003303CE"/>
    <w:rsid w:val="003322CA"/>
    <w:rsid w:val="00333B2B"/>
    <w:rsid w:val="00336927"/>
    <w:rsid w:val="00340AA7"/>
    <w:rsid w:val="003415E4"/>
    <w:rsid w:val="00344B0F"/>
    <w:rsid w:val="0034638C"/>
    <w:rsid w:val="00346E95"/>
    <w:rsid w:val="003475D6"/>
    <w:rsid w:val="003537E8"/>
    <w:rsid w:val="00354656"/>
    <w:rsid w:val="00354B09"/>
    <w:rsid w:val="00357E77"/>
    <w:rsid w:val="003703FB"/>
    <w:rsid w:val="00373D60"/>
    <w:rsid w:val="00373E21"/>
    <w:rsid w:val="00375923"/>
    <w:rsid w:val="00375AB6"/>
    <w:rsid w:val="003764FB"/>
    <w:rsid w:val="003778DD"/>
    <w:rsid w:val="00381DA9"/>
    <w:rsid w:val="003868FE"/>
    <w:rsid w:val="00390F7F"/>
    <w:rsid w:val="00391EF7"/>
    <w:rsid w:val="00392A6E"/>
    <w:rsid w:val="00394256"/>
    <w:rsid w:val="00397499"/>
    <w:rsid w:val="003976F3"/>
    <w:rsid w:val="003A116D"/>
    <w:rsid w:val="003A2C42"/>
    <w:rsid w:val="003A584E"/>
    <w:rsid w:val="003A6A9A"/>
    <w:rsid w:val="003B2C8B"/>
    <w:rsid w:val="003B7339"/>
    <w:rsid w:val="003C04D1"/>
    <w:rsid w:val="003C3A28"/>
    <w:rsid w:val="003C7469"/>
    <w:rsid w:val="003C786C"/>
    <w:rsid w:val="003D0248"/>
    <w:rsid w:val="003D082A"/>
    <w:rsid w:val="003D0B5F"/>
    <w:rsid w:val="003D1047"/>
    <w:rsid w:val="003D2D4C"/>
    <w:rsid w:val="003D3D24"/>
    <w:rsid w:val="003D3E2D"/>
    <w:rsid w:val="003D6B22"/>
    <w:rsid w:val="003D70E2"/>
    <w:rsid w:val="003E2603"/>
    <w:rsid w:val="003E528B"/>
    <w:rsid w:val="003E52D5"/>
    <w:rsid w:val="003E5D30"/>
    <w:rsid w:val="003E7954"/>
    <w:rsid w:val="003F0BEC"/>
    <w:rsid w:val="003F3A8F"/>
    <w:rsid w:val="003F4C43"/>
    <w:rsid w:val="00403A40"/>
    <w:rsid w:val="00410A7B"/>
    <w:rsid w:val="00411D9A"/>
    <w:rsid w:val="00413C7D"/>
    <w:rsid w:val="004168D1"/>
    <w:rsid w:val="004169B4"/>
    <w:rsid w:val="00417419"/>
    <w:rsid w:val="00425556"/>
    <w:rsid w:val="00430B7C"/>
    <w:rsid w:val="004346EB"/>
    <w:rsid w:val="00435720"/>
    <w:rsid w:val="00436954"/>
    <w:rsid w:val="00440B8D"/>
    <w:rsid w:val="00443978"/>
    <w:rsid w:val="004561AC"/>
    <w:rsid w:val="004562A7"/>
    <w:rsid w:val="00461C53"/>
    <w:rsid w:val="00470886"/>
    <w:rsid w:val="00476C63"/>
    <w:rsid w:val="004813BF"/>
    <w:rsid w:val="00492617"/>
    <w:rsid w:val="00497701"/>
    <w:rsid w:val="004A0B78"/>
    <w:rsid w:val="004A1E4A"/>
    <w:rsid w:val="004B10BB"/>
    <w:rsid w:val="004B258A"/>
    <w:rsid w:val="004B3960"/>
    <w:rsid w:val="004C0755"/>
    <w:rsid w:val="004C35C8"/>
    <w:rsid w:val="004C3F00"/>
    <w:rsid w:val="004C43A8"/>
    <w:rsid w:val="004D3519"/>
    <w:rsid w:val="004D5AD3"/>
    <w:rsid w:val="004D7A71"/>
    <w:rsid w:val="004E1EAD"/>
    <w:rsid w:val="004E2DFA"/>
    <w:rsid w:val="004F033E"/>
    <w:rsid w:val="004F189B"/>
    <w:rsid w:val="004F735D"/>
    <w:rsid w:val="00500BF9"/>
    <w:rsid w:val="00503B66"/>
    <w:rsid w:val="00506060"/>
    <w:rsid w:val="0050695E"/>
    <w:rsid w:val="005115D1"/>
    <w:rsid w:val="00511AB7"/>
    <w:rsid w:val="0052251A"/>
    <w:rsid w:val="00525728"/>
    <w:rsid w:val="00526EF6"/>
    <w:rsid w:val="00527BD6"/>
    <w:rsid w:val="00531C8A"/>
    <w:rsid w:val="00533DEB"/>
    <w:rsid w:val="00537EE0"/>
    <w:rsid w:val="00541032"/>
    <w:rsid w:val="00546475"/>
    <w:rsid w:val="00547024"/>
    <w:rsid w:val="005540E8"/>
    <w:rsid w:val="00556C0B"/>
    <w:rsid w:val="0055749D"/>
    <w:rsid w:val="00563AA4"/>
    <w:rsid w:val="0056449D"/>
    <w:rsid w:val="00564574"/>
    <w:rsid w:val="00565DAE"/>
    <w:rsid w:val="00566063"/>
    <w:rsid w:val="005666CA"/>
    <w:rsid w:val="00574154"/>
    <w:rsid w:val="00576990"/>
    <w:rsid w:val="00576CF5"/>
    <w:rsid w:val="0057769E"/>
    <w:rsid w:val="0058035A"/>
    <w:rsid w:val="005820B7"/>
    <w:rsid w:val="00582358"/>
    <w:rsid w:val="00582427"/>
    <w:rsid w:val="0059633D"/>
    <w:rsid w:val="00597C7C"/>
    <w:rsid w:val="005A0BF1"/>
    <w:rsid w:val="005A4763"/>
    <w:rsid w:val="005A7FF6"/>
    <w:rsid w:val="005B1325"/>
    <w:rsid w:val="005B2D38"/>
    <w:rsid w:val="005B6C05"/>
    <w:rsid w:val="005C0283"/>
    <w:rsid w:val="005C1DDF"/>
    <w:rsid w:val="005C22E9"/>
    <w:rsid w:val="005C5F9D"/>
    <w:rsid w:val="005D1A31"/>
    <w:rsid w:val="005E1D6D"/>
    <w:rsid w:val="005E2498"/>
    <w:rsid w:val="005E3442"/>
    <w:rsid w:val="005F08A2"/>
    <w:rsid w:val="005F3903"/>
    <w:rsid w:val="005F3924"/>
    <w:rsid w:val="005F7D66"/>
    <w:rsid w:val="00600B9A"/>
    <w:rsid w:val="00602A6D"/>
    <w:rsid w:val="00603F4C"/>
    <w:rsid w:val="00607553"/>
    <w:rsid w:val="00611517"/>
    <w:rsid w:val="00612903"/>
    <w:rsid w:val="00617076"/>
    <w:rsid w:val="00622555"/>
    <w:rsid w:val="00622986"/>
    <w:rsid w:val="00622E50"/>
    <w:rsid w:val="00633463"/>
    <w:rsid w:val="00633ED3"/>
    <w:rsid w:val="006346D1"/>
    <w:rsid w:val="00640081"/>
    <w:rsid w:val="00640C12"/>
    <w:rsid w:val="00642313"/>
    <w:rsid w:val="00642B85"/>
    <w:rsid w:val="00643007"/>
    <w:rsid w:val="00644D6C"/>
    <w:rsid w:val="00647793"/>
    <w:rsid w:val="006542FE"/>
    <w:rsid w:val="00655B34"/>
    <w:rsid w:val="0066274F"/>
    <w:rsid w:val="00662A89"/>
    <w:rsid w:val="006635D2"/>
    <w:rsid w:val="00663EA8"/>
    <w:rsid w:val="00665D29"/>
    <w:rsid w:val="00666A12"/>
    <w:rsid w:val="00667FC6"/>
    <w:rsid w:val="00670041"/>
    <w:rsid w:val="006713B3"/>
    <w:rsid w:val="0067516B"/>
    <w:rsid w:val="00680E25"/>
    <w:rsid w:val="006830B6"/>
    <w:rsid w:val="0068450D"/>
    <w:rsid w:val="00684BA7"/>
    <w:rsid w:val="00687F0D"/>
    <w:rsid w:val="006966E0"/>
    <w:rsid w:val="006A093B"/>
    <w:rsid w:val="006A5BB5"/>
    <w:rsid w:val="006A5F87"/>
    <w:rsid w:val="006A682F"/>
    <w:rsid w:val="006A7434"/>
    <w:rsid w:val="006A7BE3"/>
    <w:rsid w:val="006A7BFA"/>
    <w:rsid w:val="006B0510"/>
    <w:rsid w:val="006B0F05"/>
    <w:rsid w:val="006B2EA1"/>
    <w:rsid w:val="006B45EE"/>
    <w:rsid w:val="006B48DD"/>
    <w:rsid w:val="006C5881"/>
    <w:rsid w:val="006C6F75"/>
    <w:rsid w:val="006D1EA1"/>
    <w:rsid w:val="006D7CF2"/>
    <w:rsid w:val="006E05BE"/>
    <w:rsid w:val="006E6602"/>
    <w:rsid w:val="006E7829"/>
    <w:rsid w:val="006F053F"/>
    <w:rsid w:val="006F1557"/>
    <w:rsid w:val="006F4608"/>
    <w:rsid w:val="006F7EB7"/>
    <w:rsid w:val="00701FB1"/>
    <w:rsid w:val="007041EC"/>
    <w:rsid w:val="00704FC2"/>
    <w:rsid w:val="0070562D"/>
    <w:rsid w:val="00705A56"/>
    <w:rsid w:val="007144B3"/>
    <w:rsid w:val="00715323"/>
    <w:rsid w:val="0071671F"/>
    <w:rsid w:val="00726B93"/>
    <w:rsid w:val="00734101"/>
    <w:rsid w:val="0073585E"/>
    <w:rsid w:val="00736ED4"/>
    <w:rsid w:val="0073702B"/>
    <w:rsid w:val="00737642"/>
    <w:rsid w:val="007468B7"/>
    <w:rsid w:val="0075453A"/>
    <w:rsid w:val="007556C4"/>
    <w:rsid w:val="00755AD2"/>
    <w:rsid w:val="00756B4B"/>
    <w:rsid w:val="00757A90"/>
    <w:rsid w:val="00761FB2"/>
    <w:rsid w:val="007636D9"/>
    <w:rsid w:val="00764B44"/>
    <w:rsid w:val="007732D0"/>
    <w:rsid w:val="0077376D"/>
    <w:rsid w:val="007763E2"/>
    <w:rsid w:val="00776ACC"/>
    <w:rsid w:val="0077735A"/>
    <w:rsid w:val="00783C93"/>
    <w:rsid w:val="007852EC"/>
    <w:rsid w:val="00785D49"/>
    <w:rsid w:val="00787524"/>
    <w:rsid w:val="00791FB1"/>
    <w:rsid w:val="0079223E"/>
    <w:rsid w:val="00793681"/>
    <w:rsid w:val="007A41EA"/>
    <w:rsid w:val="007A7031"/>
    <w:rsid w:val="007B2196"/>
    <w:rsid w:val="007B424C"/>
    <w:rsid w:val="007B79E0"/>
    <w:rsid w:val="007C09E8"/>
    <w:rsid w:val="007C2674"/>
    <w:rsid w:val="007C5F4A"/>
    <w:rsid w:val="007C74FE"/>
    <w:rsid w:val="007C7A24"/>
    <w:rsid w:val="007C7EA2"/>
    <w:rsid w:val="007D07B3"/>
    <w:rsid w:val="007E01C1"/>
    <w:rsid w:val="007E06CD"/>
    <w:rsid w:val="007F2C80"/>
    <w:rsid w:val="007F72F6"/>
    <w:rsid w:val="007F7464"/>
    <w:rsid w:val="008055E1"/>
    <w:rsid w:val="00812945"/>
    <w:rsid w:val="00813AC8"/>
    <w:rsid w:val="00813D7F"/>
    <w:rsid w:val="00814919"/>
    <w:rsid w:val="008175CE"/>
    <w:rsid w:val="008232D4"/>
    <w:rsid w:val="0082631C"/>
    <w:rsid w:val="0082792E"/>
    <w:rsid w:val="00827AB0"/>
    <w:rsid w:val="0083318C"/>
    <w:rsid w:val="00835568"/>
    <w:rsid w:val="0084463A"/>
    <w:rsid w:val="0085004C"/>
    <w:rsid w:val="008522E3"/>
    <w:rsid w:val="0085361A"/>
    <w:rsid w:val="00854228"/>
    <w:rsid w:val="0085680F"/>
    <w:rsid w:val="00856DCD"/>
    <w:rsid w:val="00862284"/>
    <w:rsid w:val="0086247A"/>
    <w:rsid w:val="00865679"/>
    <w:rsid w:val="00873FFC"/>
    <w:rsid w:val="00874409"/>
    <w:rsid w:val="00875919"/>
    <w:rsid w:val="00875CD0"/>
    <w:rsid w:val="008773A8"/>
    <w:rsid w:val="00882610"/>
    <w:rsid w:val="00883039"/>
    <w:rsid w:val="00885F1B"/>
    <w:rsid w:val="00891518"/>
    <w:rsid w:val="008A07ED"/>
    <w:rsid w:val="008A4D04"/>
    <w:rsid w:val="008A6D24"/>
    <w:rsid w:val="008B144C"/>
    <w:rsid w:val="008B173B"/>
    <w:rsid w:val="008B3054"/>
    <w:rsid w:val="008B3C83"/>
    <w:rsid w:val="008B4CA4"/>
    <w:rsid w:val="008B7125"/>
    <w:rsid w:val="008B7500"/>
    <w:rsid w:val="008B7639"/>
    <w:rsid w:val="008C067C"/>
    <w:rsid w:val="008C7172"/>
    <w:rsid w:val="008D186D"/>
    <w:rsid w:val="008D218B"/>
    <w:rsid w:val="008D2BAE"/>
    <w:rsid w:val="008D3E9D"/>
    <w:rsid w:val="008D58ED"/>
    <w:rsid w:val="008D68D1"/>
    <w:rsid w:val="008D797B"/>
    <w:rsid w:val="008E77EB"/>
    <w:rsid w:val="008F097D"/>
    <w:rsid w:val="008F3AB8"/>
    <w:rsid w:val="008F5FD2"/>
    <w:rsid w:val="009012D7"/>
    <w:rsid w:val="00903258"/>
    <w:rsid w:val="00905018"/>
    <w:rsid w:val="00905C76"/>
    <w:rsid w:val="00907ADE"/>
    <w:rsid w:val="009133C3"/>
    <w:rsid w:val="009238D5"/>
    <w:rsid w:val="0092676D"/>
    <w:rsid w:val="00926A2F"/>
    <w:rsid w:val="00931947"/>
    <w:rsid w:val="00931AAE"/>
    <w:rsid w:val="00932BEF"/>
    <w:rsid w:val="00932C66"/>
    <w:rsid w:val="00935CAF"/>
    <w:rsid w:val="0095065E"/>
    <w:rsid w:val="00964562"/>
    <w:rsid w:val="009656EC"/>
    <w:rsid w:val="00980169"/>
    <w:rsid w:val="00980E62"/>
    <w:rsid w:val="00981E91"/>
    <w:rsid w:val="00990736"/>
    <w:rsid w:val="0099100A"/>
    <w:rsid w:val="009937A7"/>
    <w:rsid w:val="00994AC0"/>
    <w:rsid w:val="00995338"/>
    <w:rsid w:val="009967A8"/>
    <w:rsid w:val="009A124F"/>
    <w:rsid w:val="009A4630"/>
    <w:rsid w:val="009A49A3"/>
    <w:rsid w:val="009B03A4"/>
    <w:rsid w:val="009B4A87"/>
    <w:rsid w:val="009C24EF"/>
    <w:rsid w:val="009C34CF"/>
    <w:rsid w:val="009C56F1"/>
    <w:rsid w:val="009C7D13"/>
    <w:rsid w:val="009D1AF6"/>
    <w:rsid w:val="009D2141"/>
    <w:rsid w:val="009D272F"/>
    <w:rsid w:val="009D3AE9"/>
    <w:rsid w:val="009E024B"/>
    <w:rsid w:val="009E52DC"/>
    <w:rsid w:val="009E7875"/>
    <w:rsid w:val="009F25CF"/>
    <w:rsid w:val="00A0129D"/>
    <w:rsid w:val="00A1367D"/>
    <w:rsid w:val="00A143E4"/>
    <w:rsid w:val="00A16100"/>
    <w:rsid w:val="00A16442"/>
    <w:rsid w:val="00A20345"/>
    <w:rsid w:val="00A24C27"/>
    <w:rsid w:val="00A31D22"/>
    <w:rsid w:val="00A370B7"/>
    <w:rsid w:val="00A43577"/>
    <w:rsid w:val="00A45621"/>
    <w:rsid w:val="00A46D94"/>
    <w:rsid w:val="00A5223F"/>
    <w:rsid w:val="00A56CEC"/>
    <w:rsid w:val="00A61433"/>
    <w:rsid w:val="00A711AF"/>
    <w:rsid w:val="00A7230F"/>
    <w:rsid w:val="00A74195"/>
    <w:rsid w:val="00A74BD1"/>
    <w:rsid w:val="00A74F36"/>
    <w:rsid w:val="00A84094"/>
    <w:rsid w:val="00A85A1E"/>
    <w:rsid w:val="00A87D5F"/>
    <w:rsid w:val="00A91A2D"/>
    <w:rsid w:val="00A92AF8"/>
    <w:rsid w:val="00A92C95"/>
    <w:rsid w:val="00A96EBA"/>
    <w:rsid w:val="00A97CC6"/>
    <w:rsid w:val="00AA06D7"/>
    <w:rsid w:val="00AB4386"/>
    <w:rsid w:val="00AC6599"/>
    <w:rsid w:val="00AC6E87"/>
    <w:rsid w:val="00AD2095"/>
    <w:rsid w:val="00AD2A8D"/>
    <w:rsid w:val="00AD43A7"/>
    <w:rsid w:val="00AD5E1C"/>
    <w:rsid w:val="00AE122A"/>
    <w:rsid w:val="00AE550D"/>
    <w:rsid w:val="00AF3261"/>
    <w:rsid w:val="00AF70BB"/>
    <w:rsid w:val="00AF7AAF"/>
    <w:rsid w:val="00B01731"/>
    <w:rsid w:val="00B02467"/>
    <w:rsid w:val="00B03C4A"/>
    <w:rsid w:val="00B05547"/>
    <w:rsid w:val="00B111C1"/>
    <w:rsid w:val="00B1742C"/>
    <w:rsid w:val="00B204B5"/>
    <w:rsid w:val="00B2322C"/>
    <w:rsid w:val="00B2432B"/>
    <w:rsid w:val="00B268EC"/>
    <w:rsid w:val="00B3029F"/>
    <w:rsid w:val="00B4066E"/>
    <w:rsid w:val="00B50A56"/>
    <w:rsid w:val="00B50BA6"/>
    <w:rsid w:val="00B50D25"/>
    <w:rsid w:val="00B53A92"/>
    <w:rsid w:val="00B55B83"/>
    <w:rsid w:val="00B570E9"/>
    <w:rsid w:val="00B64CF1"/>
    <w:rsid w:val="00B64DDE"/>
    <w:rsid w:val="00B70222"/>
    <w:rsid w:val="00B738A0"/>
    <w:rsid w:val="00B76891"/>
    <w:rsid w:val="00B81138"/>
    <w:rsid w:val="00B8177F"/>
    <w:rsid w:val="00B81833"/>
    <w:rsid w:val="00B81D23"/>
    <w:rsid w:val="00B831D5"/>
    <w:rsid w:val="00BA2C93"/>
    <w:rsid w:val="00BB1975"/>
    <w:rsid w:val="00BB3836"/>
    <w:rsid w:val="00BB459B"/>
    <w:rsid w:val="00BB6DA1"/>
    <w:rsid w:val="00BC06FB"/>
    <w:rsid w:val="00BC2693"/>
    <w:rsid w:val="00BC3345"/>
    <w:rsid w:val="00BC36D8"/>
    <w:rsid w:val="00BC4029"/>
    <w:rsid w:val="00BC7510"/>
    <w:rsid w:val="00BD7D42"/>
    <w:rsid w:val="00BE29DD"/>
    <w:rsid w:val="00BE4488"/>
    <w:rsid w:val="00BE7608"/>
    <w:rsid w:val="00BF4B4B"/>
    <w:rsid w:val="00BF5588"/>
    <w:rsid w:val="00BF59BB"/>
    <w:rsid w:val="00C00CFE"/>
    <w:rsid w:val="00C00D12"/>
    <w:rsid w:val="00C01764"/>
    <w:rsid w:val="00C026CC"/>
    <w:rsid w:val="00C02C3D"/>
    <w:rsid w:val="00C03049"/>
    <w:rsid w:val="00C03444"/>
    <w:rsid w:val="00C05EB1"/>
    <w:rsid w:val="00C06489"/>
    <w:rsid w:val="00C06F64"/>
    <w:rsid w:val="00C11A93"/>
    <w:rsid w:val="00C131A0"/>
    <w:rsid w:val="00C217E2"/>
    <w:rsid w:val="00C22C78"/>
    <w:rsid w:val="00C24B12"/>
    <w:rsid w:val="00C25226"/>
    <w:rsid w:val="00C26764"/>
    <w:rsid w:val="00C30393"/>
    <w:rsid w:val="00C3123D"/>
    <w:rsid w:val="00C328C7"/>
    <w:rsid w:val="00C33BA0"/>
    <w:rsid w:val="00C36F14"/>
    <w:rsid w:val="00C37A12"/>
    <w:rsid w:val="00C42F6D"/>
    <w:rsid w:val="00C44405"/>
    <w:rsid w:val="00C446AB"/>
    <w:rsid w:val="00C4595F"/>
    <w:rsid w:val="00C45C07"/>
    <w:rsid w:val="00C517D7"/>
    <w:rsid w:val="00C51878"/>
    <w:rsid w:val="00C54504"/>
    <w:rsid w:val="00C5485C"/>
    <w:rsid w:val="00C55BD8"/>
    <w:rsid w:val="00C615D0"/>
    <w:rsid w:val="00C72F9D"/>
    <w:rsid w:val="00C75DEB"/>
    <w:rsid w:val="00C77171"/>
    <w:rsid w:val="00C84DC4"/>
    <w:rsid w:val="00C86539"/>
    <w:rsid w:val="00C87E92"/>
    <w:rsid w:val="00C93738"/>
    <w:rsid w:val="00C957A9"/>
    <w:rsid w:val="00C97A9D"/>
    <w:rsid w:val="00CA48F6"/>
    <w:rsid w:val="00CB12AA"/>
    <w:rsid w:val="00CB2B7F"/>
    <w:rsid w:val="00CD20A6"/>
    <w:rsid w:val="00CD2540"/>
    <w:rsid w:val="00CD40C6"/>
    <w:rsid w:val="00CD4F9A"/>
    <w:rsid w:val="00CE3632"/>
    <w:rsid w:val="00CF34C6"/>
    <w:rsid w:val="00CF3AAD"/>
    <w:rsid w:val="00CF6B24"/>
    <w:rsid w:val="00D01D2B"/>
    <w:rsid w:val="00D050D2"/>
    <w:rsid w:val="00D13961"/>
    <w:rsid w:val="00D13B87"/>
    <w:rsid w:val="00D15C92"/>
    <w:rsid w:val="00D16CCD"/>
    <w:rsid w:val="00D17282"/>
    <w:rsid w:val="00D228A1"/>
    <w:rsid w:val="00D25BA0"/>
    <w:rsid w:val="00D275CE"/>
    <w:rsid w:val="00D30B94"/>
    <w:rsid w:val="00D33AA3"/>
    <w:rsid w:val="00D3468B"/>
    <w:rsid w:val="00D35B35"/>
    <w:rsid w:val="00D400BC"/>
    <w:rsid w:val="00D41FC9"/>
    <w:rsid w:val="00D45506"/>
    <w:rsid w:val="00D52378"/>
    <w:rsid w:val="00D526D8"/>
    <w:rsid w:val="00D53465"/>
    <w:rsid w:val="00D65361"/>
    <w:rsid w:val="00D71FFF"/>
    <w:rsid w:val="00D7367B"/>
    <w:rsid w:val="00D73762"/>
    <w:rsid w:val="00D76036"/>
    <w:rsid w:val="00D76E16"/>
    <w:rsid w:val="00D772B0"/>
    <w:rsid w:val="00D8223B"/>
    <w:rsid w:val="00D8438F"/>
    <w:rsid w:val="00D8508B"/>
    <w:rsid w:val="00D90164"/>
    <w:rsid w:val="00D907A6"/>
    <w:rsid w:val="00D92573"/>
    <w:rsid w:val="00D93862"/>
    <w:rsid w:val="00D96530"/>
    <w:rsid w:val="00DA1A9A"/>
    <w:rsid w:val="00DA2A6D"/>
    <w:rsid w:val="00DA5DF0"/>
    <w:rsid w:val="00DB1397"/>
    <w:rsid w:val="00DB251C"/>
    <w:rsid w:val="00DB563E"/>
    <w:rsid w:val="00DB7C10"/>
    <w:rsid w:val="00DC03C5"/>
    <w:rsid w:val="00DC1162"/>
    <w:rsid w:val="00DC34D9"/>
    <w:rsid w:val="00DC480E"/>
    <w:rsid w:val="00DC57F0"/>
    <w:rsid w:val="00DC63B1"/>
    <w:rsid w:val="00DC7BAD"/>
    <w:rsid w:val="00DD0561"/>
    <w:rsid w:val="00DD1076"/>
    <w:rsid w:val="00DD56A8"/>
    <w:rsid w:val="00DE19D7"/>
    <w:rsid w:val="00DE3435"/>
    <w:rsid w:val="00DE3E67"/>
    <w:rsid w:val="00DE4F54"/>
    <w:rsid w:val="00DE5F2E"/>
    <w:rsid w:val="00DF1DB4"/>
    <w:rsid w:val="00DF4036"/>
    <w:rsid w:val="00DF4D8A"/>
    <w:rsid w:val="00E002F9"/>
    <w:rsid w:val="00E0067D"/>
    <w:rsid w:val="00E02ABE"/>
    <w:rsid w:val="00E04662"/>
    <w:rsid w:val="00E05991"/>
    <w:rsid w:val="00E05AB0"/>
    <w:rsid w:val="00E1105F"/>
    <w:rsid w:val="00E117B4"/>
    <w:rsid w:val="00E233D0"/>
    <w:rsid w:val="00E234FF"/>
    <w:rsid w:val="00E23562"/>
    <w:rsid w:val="00E254FE"/>
    <w:rsid w:val="00E278ED"/>
    <w:rsid w:val="00E27FFA"/>
    <w:rsid w:val="00E3133F"/>
    <w:rsid w:val="00E32585"/>
    <w:rsid w:val="00E32B6F"/>
    <w:rsid w:val="00E355DE"/>
    <w:rsid w:val="00E400F2"/>
    <w:rsid w:val="00E40687"/>
    <w:rsid w:val="00E51E12"/>
    <w:rsid w:val="00E5322A"/>
    <w:rsid w:val="00E553FC"/>
    <w:rsid w:val="00E65504"/>
    <w:rsid w:val="00E66DDB"/>
    <w:rsid w:val="00E74217"/>
    <w:rsid w:val="00E82DDB"/>
    <w:rsid w:val="00E83DE0"/>
    <w:rsid w:val="00E84698"/>
    <w:rsid w:val="00E87389"/>
    <w:rsid w:val="00EA089B"/>
    <w:rsid w:val="00EA3896"/>
    <w:rsid w:val="00EA3E49"/>
    <w:rsid w:val="00EA433F"/>
    <w:rsid w:val="00EA45B1"/>
    <w:rsid w:val="00EA5B13"/>
    <w:rsid w:val="00EA6FEB"/>
    <w:rsid w:val="00EA7255"/>
    <w:rsid w:val="00EB0765"/>
    <w:rsid w:val="00EB2260"/>
    <w:rsid w:val="00EB23E5"/>
    <w:rsid w:val="00EB3417"/>
    <w:rsid w:val="00EB59A1"/>
    <w:rsid w:val="00EB6840"/>
    <w:rsid w:val="00EC41D0"/>
    <w:rsid w:val="00EC6366"/>
    <w:rsid w:val="00ED1AE8"/>
    <w:rsid w:val="00ED1BD5"/>
    <w:rsid w:val="00ED21A8"/>
    <w:rsid w:val="00ED240E"/>
    <w:rsid w:val="00ED53B6"/>
    <w:rsid w:val="00ED6E95"/>
    <w:rsid w:val="00ED78EF"/>
    <w:rsid w:val="00EE0CAB"/>
    <w:rsid w:val="00EE16C6"/>
    <w:rsid w:val="00EE29E3"/>
    <w:rsid w:val="00EE5E76"/>
    <w:rsid w:val="00EE6659"/>
    <w:rsid w:val="00EF20B9"/>
    <w:rsid w:val="00EF2F7C"/>
    <w:rsid w:val="00EF4544"/>
    <w:rsid w:val="00EF4DBF"/>
    <w:rsid w:val="00F0208B"/>
    <w:rsid w:val="00F030DA"/>
    <w:rsid w:val="00F0328F"/>
    <w:rsid w:val="00F03345"/>
    <w:rsid w:val="00F03573"/>
    <w:rsid w:val="00F048DF"/>
    <w:rsid w:val="00F1400F"/>
    <w:rsid w:val="00F1625E"/>
    <w:rsid w:val="00F17A5F"/>
    <w:rsid w:val="00F2246E"/>
    <w:rsid w:val="00F255D8"/>
    <w:rsid w:val="00F27FA5"/>
    <w:rsid w:val="00F31C4E"/>
    <w:rsid w:val="00F3241F"/>
    <w:rsid w:val="00F32492"/>
    <w:rsid w:val="00F371AC"/>
    <w:rsid w:val="00F42BE4"/>
    <w:rsid w:val="00F42E4F"/>
    <w:rsid w:val="00F443A7"/>
    <w:rsid w:val="00F46135"/>
    <w:rsid w:val="00F529F9"/>
    <w:rsid w:val="00F52AD6"/>
    <w:rsid w:val="00F5503F"/>
    <w:rsid w:val="00F62027"/>
    <w:rsid w:val="00F66ED4"/>
    <w:rsid w:val="00F725D2"/>
    <w:rsid w:val="00F76F92"/>
    <w:rsid w:val="00F81517"/>
    <w:rsid w:val="00F82899"/>
    <w:rsid w:val="00F830BF"/>
    <w:rsid w:val="00F874D6"/>
    <w:rsid w:val="00F876D7"/>
    <w:rsid w:val="00F93941"/>
    <w:rsid w:val="00F95247"/>
    <w:rsid w:val="00F97CE9"/>
    <w:rsid w:val="00FA2998"/>
    <w:rsid w:val="00FA418B"/>
    <w:rsid w:val="00FA5B50"/>
    <w:rsid w:val="00FB0B84"/>
    <w:rsid w:val="00FB0DE0"/>
    <w:rsid w:val="00FB0E98"/>
    <w:rsid w:val="00FB23D3"/>
    <w:rsid w:val="00FB24C6"/>
    <w:rsid w:val="00FB6ED9"/>
    <w:rsid w:val="00FB708D"/>
    <w:rsid w:val="00FB75C5"/>
    <w:rsid w:val="00FB7CDE"/>
    <w:rsid w:val="00FC1274"/>
    <w:rsid w:val="00FC4B6A"/>
    <w:rsid w:val="00FC4DC8"/>
    <w:rsid w:val="00FC5E44"/>
    <w:rsid w:val="00FC5FE5"/>
    <w:rsid w:val="00FC63E8"/>
    <w:rsid w:val="00FC794C"/>
    <w:rsid w:val="00FD7D8A"/>
    <w:rsid w:val="00FF063E"/>
    <w:rsid w:val="00FF107D"/>
    <w:rsid w:val="00FF1BAB"/>
    <w:rsid w:val="00FF23CE"/>
    <w:rsid w:val="00FF519A"/>
    <w:rsid w:val="00FF534F"/>
    <w:rsid w:val="00FF78E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3A15"/>
  <w15:docId w15:val="{C827552E-8B06-482A-8F0B-E7405C56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09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9E8"/>
    <w:rPr>
      <w:sz w:val="20"/>
      <w:szCs w:val="20"/>
    </w:rPr>
  </w:style>
  <w:style w:type="character" w:styleId="FootnoteReference">
    <w:name w:val="footnote reference"/>
    <w:basedOn w:val="DefaultParagraphFont"/>
    <w:uiPriority w:val="99"/>
    <w:unhideWhenUsed/>
    <w:rsid w:val="007C09E8"/>
    <w:rPr>
      <w:vertAlign w:val="superscript"/>
    </w:rPr>
  </w:style>
  <w:style w:type="paragraph" w:styleId="Header">
    <w:name w:val="header"/>
    <w:basedOn w:val="Normal"/>
    <w:link w:val="HeaderChar"/>
    <w:unhideWhenUsed/>
    <w:rsid w:val="00931AAE"/>
    <w:pPr>
      <w:tabs>
        <w:tab w:val="center" w:pos="4252"/>
        <w:tab w:val="right" w:pos="8504"/>
      </w:tabs>
      <w:spacing w:after="0" w:line="240" w:lineRule="auto"/>
    </w:pPr>
  </w:style>
  <w:style w:type="character" w:customStyle="1" w:styleId="HeaderChar">
    <w:name w:val="Header Char"/>
    <w:basedOn w:val="DefaultParagraphFont"/>
    <w:link w:val="Header"/>
    <w:uiPriority w:val="99"/>
    <w:rsid w:val="00931AAE"/>
  </w:style>
  <w:style w:type="paragraph" w:styleId="Footer">
    <w:name w:val="footer"/>
    <w:basedOn w:val="Normal"/>
    <w:link w:val="FooterChar"/>
    <w:uiPriority w:val="99"/>
    <w:unhideWhenUsed/>
    <w:rsid w:val="00931AAE"/>
    <w:pPr>
      <w:tabs>
        <w:tab w:val="center" w:pos="4252"/>
        <w:tab w:val="right" w:pos="8504"/>
      </w:tabs>
      <w:spacing w:after="0" w:line="240" w:lineRule="auto"/>
    </w:pPr>
  </w:style>
  <w:style w:type="character" w:customStyle="1" w:styleId="FooterChar">
    <w:name w:val="Footer Char"/>
    <w:basedOn w:val="DefaultParagraphFont"/>
    <w:link w:val="Footer"/>
    <w:uiPriority w:val="99"/>
    <w:rsid w:val="00931AAE"/>
  </w:style>
  <w:style w:type="paragraph" w:styleId="BalloonText">
    <w:name w:val="Balloon Text"/>
    <w:basedOn w:val="Normal"/>
    <w:link w:val="BalloonTextChar"/>
    <w:uiPriority w:val="99"/>
    <w:semiHidden/>
    <w:unhideWhenUsed/>
    <w:rsid w:val="00931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AAE"/>
    <w:rPr>
      <w:rFonts w:ascii="Tahoma" w:hAnsi="Tahoma" w:cs="Tahoma"/>
      <w:sz w:val="16"/>
      <w:szCs w:val="16"/>
    </w:rPr>
  </w:style>
  <w:style w:type="table" w:styleId="TableGrid">
    <w:name w:val="Table Grid"/>
    <w:basedOn w:val="TableNormal"/>
    <w:uiPriority w:val="59"/>
    <w:rsid w:val="004D7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133F"/>
    <w:rPr>
      <w:sz w:val="16"/>
      <w:szCs w:val="16"/>
    </w:rPr>
  </w:style>
  <w:style w:type="paragraph" w:styleId="CommentText">
    <w:name w:val="annotation text"/>
    <w:basedOn w:val="Normal"/>
    <w:link w:val="CommentTextChar"/>
    <w:uiPriority w:val="99"/>
    <w:unhideWhenUsed/>
    <w:rsid w:val="00E3133F"/>
    <w:pPr>
      <w:spacing w:line="240" w:lineRule="auto"/>
    </w:pPr>
    <w:rPr>
      <w:sz w:val="20"/>
      <w:szCs w:val="20"/>
    </w:rPr>
  </w:style>
  <w:style w:type="character" w:customStyle="1" w:styleId="CommentTextChar">
    <w:name w:val="Comment Text Char"/>
    <w:basedOn w:val="DefaultParagraphFont"/>
    <w:link w:val="CommentText"/>
    <w:uiPriority w:val="99"/>
    <w:rsid w:val="00E3133F"/>
    <w:rPr>
      <w:sz w:val="20"/>
      <w:szCs w:val="20"/>
    </w:rPr>
  </w:style>
  <w:style w:type="paragraph" w:styleId="CommentSubject">
    <w:name w:val="annotation subject"/>
    <w:basedOn w:val="CommentText"/>
    <w:next w:val="CommentText"/>
    <w:link w:val="CommentSubjectChar"/>
    <w:uiPriority w:val="99"/>
    <w:semiHidden/>
    <w:unhideWhenUsed/>
    <w:rsid w:val="00E3133F"/>
    <w:rPr>
      <w:b/>
      <w:bCs/>
    </w:rPr>
  </w:style>
  <w:style w:type="character" w:customStyle="1" w:styleId="CommentSubjectChar">
    <w:name w:val="Comment Subject Char"/>
    <w:basedOn w:val="CommentTextChar"/>
    <w:link w:val="CommentSubject"/>
    <w:uiPriority w:val="99"/>
    <w:semiHidden/>
    <w:rsid w:val="00E3133F"/>
    <w:rPr>
      <w:b/>
      <w:bCs/>
      <w:sz w:val="20"/>
      <w:szCs w:val="20"/>
    </w:rPr>
  </w:style>
  <w:style w:type="paragraph" w:styleId="Revision">
    <w:name w:val="Revision"/>
    <w:hidden/>
    <w:uiPriority w:val="99"/>
    <w:semiHidden/>
    <w:rsid w:val="00E3133F"/>
    <w:pPr>
      <w:spacing w:after="0" w:line="240" w:lineRule="auto"/>
    </w:pPr>
  </w:style>
  <w:style w:type="paragraph" w:styleId="ListParagraph">
    <w:name w:val="List Paragraph"/>
    <w:basedOn w:val="Normal"/>
    <w:uiPriority w:val="34"/>
    <w:qFormat/>
    <w:rsid w:val="000A7A79"/>
    <w:pPr>
      <w:ind w:left="720"/>
      <w:contextualSpacing/>
    </w:pPr>
  </w:style>
  <w:style w:type="table" w:customStyle="1" w:styleId="Tablaconcuadrcula1">
    <w:name w:val="Tabla con cuadrícula1"/>
    <w:basedOn w:val="TableNormal"/>
    <w:next w:val="TableGrid"/>
    <w:uiPriority w:val="59"/>
    <w:rsid w:val="005A0BF1"/>
    <w:pPr>
      <w:spacing w:after="0" w:line="240" w:lineRule="auto"/>
    </w:pPr>
    <w:rPr>
      <w:rFonts w:eastAsiaTheme="minorHAnsi"/>
      <w:lang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3529">
      <w:bodyDiv w:val="1"/>
      <w:marLeft w:val="0"/>
      <w:marRight w:val="0"/>
      <w:marTop w:val="0"/>
      <w:marBottom w:val="0"/>
      <w:divBdr>
        <w:top w:val="none" w:sz="0" w:space="0" w:color="auto"/>
        <w:left w:val="none" w:sz="0" w:space="0" w:color="auto"/>
        <w:bottom w:val="none" w:sz="0" w:space="0" w:color="auto"/>
        <w:right w:val="none" w:sz="0" w:space="0" w:color="auto"/>
      </w:divBdr>
    </w:div>
    <w:div w:id="62027053">
      <w:bodyDiv w:val="1"/>
      <w:marLeft w:val="0"/>
      <w:marRight w:val="0"/>
      <w:marTop w:val="0"/>
      <w:marBottom w:val="0"/>
      <w:divBdr>
        <w:top w:val="none" w:sz="0" w:space="0" w:color="auto"/>
        <w:left w:val="none" w:sz="0" w:space="0" w:color="auto"/>
        <w:bottom w:val="none" w:sz="0" w:space="0" w:color="auto"/>
        <w:right w:val="none" w:sz="0" w:space="0" w:color="auto"/>
      </w:divBdr>
    </w:div>
    <w:div w:id="97412923">
      <w:bodyDiv w:val="1"/>
      <w:marLeft w:val="0"/>
      <w:marRight w:val="0"/>
      <w:marTop w:val="0"/>
      <w:marBottom w:val="0"/>
      <w:divBdr>
        <w:top w:val="none" w:sz="0" w:space="0" w:color="auto"/>
        <w:left w:val="none" w:sz="0" w:space="0" w:color="auto"/>
        <w:bottom w:val="none" w:sz="0" w:space="0" w:color="auto"/>
        <w:right w:val="none" w:sz="0" w:space="0" w:color="auto"/>
      </w:divBdr>
    </w:div>
    <w:div w:id="131824263">
      <w:bodyDiv w:val="1"/>
      <w:marLeft w:val="0"/>
      <w:marRight w:val="0"/>
      <w:marTop w:val="0"/>
      <w:marBottom w:val="0"/>
      <w:divBdr>
        <w:top w:val="none" w:sz="0" w:space="0" w:color="auto"/>
        <w:left w:val="none" w:sz="0" w:space="0" w:color="auto"/>
        <w:bottom w:val="none" w:sz="0" w:space="0" w:color="auto"/>
        <w:right w:val="none" w:sz="0" w:space="0" w:color="auto"/>
      </w:divBdr>
    </w:div>
    <w:div w:id="350373600">
      <w:bodyDiv w:val="1"/>
      <w:marLeft w:val="0"/>
      <w:marRight w:val="0"/>
      <w:marTop w:val="0"/>
      <w:marBottom w:val="0"/>
      <w:divBdr>
        <w:top w:val="none" w:sz="0" w:space="0" w:color="auto"/>
        <w:left w:val="none" w:sz="0" w:space="0" w:color="auto"/>
        <w:bottom w:val="none" w:sz="0" w:space="0" w:color="auto"/>
        <w:right w:val="none" w:sz="0" w:space="0" w:color="auto"/>
      </w:divBdr>
    </w:div>
    <w:div w:id="460464500">
      <w:bodyDiv w:val="1"/>
      <w:marLeft w:val="0"/>
      <w:marRight w:val="0"/>
      <w:marTop w:val="0"/>
      <w:marBottom w:val="0"/>
      <w:divBdr>
        <w:top w:val="none" w:sz="0" w:space="0" w:color="auto"/>
        <w:left w:val="none" w:sz="0" w:space="0" w:color="auto"/>
        <w:bottom w:val="none" w:sz="0" w:space="0" w:color="auto"/>
        <w:right w:val="none" w:sz="0" w:space="0" w:color="auto"/>
      </w:divBdr>
    </w:div>
    <w:div w:id="635069838">
      <w:bodyDiv w:val="1"/>
      <w:marLeft w:val="0"/>
      <w:marRight w:val="0"/>
      <w:marTop w:val="0"/>
      <w:marBottom w:val="0"/>
      <w:divBdr>
        <w:top w:val="none" w:sz="0" w:space="0" w:color="auto"/>
        <w:left w:val="none" w:sz="0" w:space="0" w:color="auto"/>
        <w:bottom w:val="none" w:sz="0" w:space="0" w:color="auto"/>
        <w:right w:val="none" w:sz="0" w:space="0" w:color="auto"/>
      </w:divBdr>
    </w:div>
    <w:div w:id="786433442">
      <w:bodyDiv w:val="1"/>
      <w:marLeft w:val="0"/>
      <w:marRight w:val="0"/>
      <w:marTop w:val="0"/>
      <w:marBottom w:val="0"/>
      <w:divBdr>
        <w:top w:val="none" w:sz="0" w:space="0" w:color="auto"/>
        <w:left w:val="none" w:sz="0" w:space="0" w:color="auto"/>
        <w:bottom w:val="none" w:sz="0" w:space="0" w:color="auto"/>
        <w:right w:val="none" w:sz="0" w:space="0" w:color="auto"/>
      </w:divBdr>
    </w:div>
    <w:div w:id="801777171">
      <w:bodyDiv w:val="1"/>
      <w:marLeft w:val="0"/>
      <w:marRight w:val="0"/>
      <w:marTop w:val="0"/>
      <w:marBottom w:val="0"/>
      <w:divBdr>
        <w:top w:val="none" w:sz="0" w:space="0" w:color="auto"/>
        <w:left w:val="none" w:sz="0" w:space="0" w:color="auto"/>
        <w:bottom w:val="none" w:sz="0" w:space="0" w:color="auto"/>
        <w:right w:val="none" w:sz="0" w:space="0" w:color="auto"/>
      </w:divBdr>
    </w:div>
    <w:div w:id="835800385">
      <w:bodyDiv w:val="1"/>
      <w:marLeft w:val="0"/>
      <w:marRight w:val="0"/>
      <w:marTop w:val="0"/>
      <w:marBottom w:val="0"/>
      <w:divBdr>
        <w:top w:val="none" w:sz="0" w:space="0" w:color="auto"/>
        <w:left w:val="none" w:sz="0" w:space="0" w:color="auto"/>
        <w:bottom w:val="none" w:sz="0" w:space="0" w:color="auto"/>
        <w:right w:val="none" w:sz="0" w:space="0" w:color="auto"/>
      </w:divBdr>
    </w:div>
    <w:div w:id="885335613">
      <w:bodyDiv w:val="1"/>
      <w:marLeft w:val="0"/>
      <w:marRight w:val="0"/>
      <w:marTop w:val="0"/>
      <w:marBottom w:val="0"/>
      <w:divBdr>
        <w:top w:val="none" w:sz="0" w:space="0" w:color="auto"/>
        <w:left w:val="none" w:sz="0" w:space="0" w:color="auto"/>
        <w:bottom w:val="none" w:sz="0" w:space="0" w:color="auto"/>
        <w:right w:val="none" w:sz="0" w:space="0" w:color="auto"/>
      </w:divBdr>
    </w:div>
    <w:div w:id="913274569">
      <w:bodyDiv w:val="1"/>
      <w:marLeft w:val="0"/>
      <w:marRight w:val="0"/>
      <w:marTop w:val="0"/>
      <w:marBottom w:val="0"/>
      <w:divBdr>
        <w:top w:val="none" w:sz="0" w:space="0" w:color="auto"/>
        <w:left w:val="none" w:sz="0" w:space="0" w:color="auto"/>
        <w:bottom w:val="none" w:sz="0" w:space="0" w:color="auto"/>
        <w:right w:val="none" w:sz="0" w:space="0" w:color="auto"/>
      </w:divBdr>
    </w:div>
    <w:div w:id="948778461">
      <w:bodyDiv w:val="1"/>
      <w:marLeft w:val="0"/>
      <w:marRight w:val="0"/>
      <w:marTop w:val="0"/>
      <w:marBottom w:val="0"/>
      <w:divBdr>
        <w:top w:val="none" w:sz="0" w:space="0" w:color="auto"/>
        <w:left w:val="none" w:sz="0" w:space="0" w:color="auto"/>
        <w:bottom w:val="none" w:sz="0" w:space="0" w:color="auto"/>
        <w:right w:val="none" w:sz="0" w:space="0" w:color="auto"/>
      </w:divBdr>
    </w:div>
    <w:div w:id="1150175719">
      <w:bodyDiv w:val="1"/>
      <w:marLeft w:val="0"/>
      <w:marRight w:val="0"/>
      <w:marTop w:val="0"/>
      <w:marBottom w:val="0"/>
      <w:divBdr>
        <w:top w:val="none" w:sz="0" w:space="0" w:color="auto"/>
        <w:left w:val="none" w:sz="0" w:space="0" w:color="auto"/>
        <w:bottom w:val="none" w:sz="0" w:space="0" w:color="auto"/>
        <w:right w:val="none" w:sz="0" w:space="0" w:color="auto"/>
      </w:divBdr>
    </w:div>
    <w:div w:id="1161579880">
      <w:bodyDiv w:val="1"/>
      <w:marLeft w:val="0"/>
      <w:marRight w:val="0"/>
      <w:marTop w:val="0"/>
      <w:marBottom w:val="0"/>
      <w:divBdr>
        <w:top w:val="none" w:sz="0" w:space="0" w:color="auto"/>
        <w:left w:val="none" w:sz="0" w:space="0" w:color="auto"/>
        <w:bottom w:val="none" w:sz="0" w:space="0" w:color="auto"/>
        <w:right w:val="none" w:sz="0" w:space="0" w:color="auto"/>
      </w:divBdr>
    </w:div>
    <w:div w:id="1195658021">
      <w:bodyDiv w:val="1"/>
      <w:marLeft w:val="0"/>
      <w:marRight w:val="0"/>
      <w:marTop w:val="0"/>
      <w:marBottom w:val="0"/>
      <w:divBdr>
        <w:top w:val="none" w:sz="0" w:space="0" w:color="auto"/>
        <w:left w:val="none" w:sz="0" w:space="0" w:color="auto"/>
        <w:bottom w:val="none" w:sz="0" w:space="0" w:color="auto"/>
        <w:right w:val="none" w:sz="0" w:space="0" w:color="auto"/>
      </w:divBdr>
    </w:div>
    <w:div w:id="1206060323">
      <w:bodyDiv w:val="1"/>
      <w:marLeft w:val="0"/>
      <w:marRight w:val="0"/>
      <w:marTop w:val="0"/>
      <w:marBottom w:val="0"/>
      <w:divBdr>
        <w:top w:val="none" w:sz="0" w:space="0" w:color="auto"/>
        <w:left w:val="none" w:sz="0" w:space="0" w:color="auto"/>
        <w:bottom w:val="none" w:sz="0" w:space="0" w:color="auto"/>
        <w:right w:val="none" w:sz="0" w:space="0" w:color="auto"/>
      </w:divBdr>
    </w:div>
    <w:div w:id="1361707702">
      <w:bodyDiv w:val="1"/>
      <w:marLeft w:val="0"/>
      <w:marRight w:val="0"/>
      <w:marTop w:val="0"/>
      <w:marBottom w:val="0"/>
      <w:divBdr>
        <w:top w:val="none" w:sz="0" w:space="0" w:color="auto"/>
        <w:left w:val="none" w:sz="0" w:space="0" w:color="auto"/>
        <w:bottom w:val="none" w:sz="0" w:space="0" w:color="auto"/>
        <w:right w:val="none" w:sz="0" w:space="0" w:color="auto"/>
      </w:divBdr>
    </w:div>
    <w:div w:id="1502811170">
      <w:bodyDiv w:val="1"/>
      <w:marLeft w:val="0"/>
      <w:marRight w:val="0"/>
      <w:marTop w:val="0"/>
      <w:marBottom w:val="0"/>
      <w:divBdr>
        <w:top w:val="none" w:sz="0" w:space="0" w:color="auto"/>
        <w:left w:val="none" w:sz="0" w:space="0" w:color="auto"/>
        <w:bottom w:val="none" w:sz="0" w:space="0" w:color="auto"/>
        <w:right w:val="none" w:sz="0" w:space="0" w:color="auto"/>
      </w:divBdr>
    </w:div>
    <w:div w:id="1518541323">
      <w:bodyDiv w:val="1"/>
      <w:marLeft w:val="0"/>
      <w:marRight w:val="0"/>
      <w:marTop w:val="0"/>
      <w:marBottom w:val="0"/>
      <w:divBdr>
        <w:top w:val="none" w:sz="0" w:space="0" w:color="auto"/>
        <w:left w:val="none" w:sz="0" w:space="0" w:color="auto"/>
        <w:bottom w:val="none" w:sz="0" w:space="0" w:color="auto"/>
        <w:right w:val="none" w:sz="0" w:space="0" w:color="auto"/>
      </w:divBdr>
    </w:div>
    <w:div w:id="1925332883">
      <w:bodyDiv w:val="1"/>
      <w:marLeft w:val="0"/>
      <w:marRight w:val="0"/>
      <w:marTop w:val="0"/>
      <w:marBottom w:val="0"/>
      <w:divBdr>
        <w:top w:val="none" w:sz="0" w:space="0" w:color="auto"/>
        <w:left w:val="none" w:sz="0" w:space="0" w:color="auto"/>
        <w:bottom w:val="none" w:sz="0" w:space="0" w:color="auto"/>
        <w:right w:val="none" w:sz="0" w:space="0" w:color="auto"/>
      </w:divBdr>
    </w:div>
    <w:div w:id="1971082433">
      <w:bodyDiv w:val="1"/>
      <w:marLeft w:val="0"/>
      <w:marRight w:val="0"/>
      <w:marTop w:val="0"/>
      <w:marBottom w:val="0"/>
      <w:divBdr>
        <w:top w:val="none" w:sz="0" w:space="0" w:color="auto"/>
        <w:left w:val="none" w:sz="0" w:space="0" w:color="auto"/>
        <w:bottom w:val="none" w:sz="0" w:space="0" w:color="auto"/>
        <w:right w:val="none" w:sz="0" w:space="0" w:color="auto"/>
      </w:divBdr>
    </w:div>
    <w:div w:id="2026054530">
      <w:bodyDiv w:val="1"/>
      <w:marLeft w:val="0"/>
      <w:marRight w:val="0"/>
      <w:marTop w:val="0"/>
      <w:marBottom w:val="0"/>
      <w:divBdr>
        <w:top w:val="none" w:sz="0" w:space="0" w:color="auto"/>
        <w:left w:val="none" w:sz="0" w:space="0" w:color="auto"/>
        <w:bottom w:val="none" w:sz="0" w:space="0" w:color="auto"/>
        <w:right w:val="none" w:sz="0" w:space="0" w:color="auto"/>
      </w:divBdr>
    </w:div>
    <w:div w:id="2108495932">
      <w:bodyDiv w:val="1"/>
      <w:marLeft w:val="0"/>
      <w:marRight w:val="0"/>
      <w:marTop w:val="0"/>
      <w:marBottom w:val="0"/>
      <w:divBdr>
        <w:top w:val="none" w:sz="0" w:space="0" w:color="auto"/>
        <w:left w:val="none" w:sz="0" w:space="0" w:color="auto"/>
        <w:bottom w:val="none" w:sz="0" w:space="0" w:color="auto"/>
        <w:right w:val="none" w:sz="0" w:space="0" w:color="auto"/>
      </w:divBdr>
    </w:div>
    <w:div w:id="2110351670">
      <w:bodyDiv w:val="1"/>
      <w:marLeft w:val="0"/>
      <w:marRight w:val="0"/>
      <w:marTop w:val="0"/>
      <w:marBottom w:val="0"/>
      <w:divBdr>
        <w:top w:val="none" w:sz="0" w:space="0" w:color="auto"/>
        <w:left w:val="none" w:sz="0" w:space="0" w:color="auto"/>
        <w:bottom w:val="none" w:sz="0" w:space="0" w:color="auto"/>
        <w:right w:val="none" w:sz="0" w:space="0" w:color="auto"/>
      </w:divBdr>
    </w:div>
    <w:div w:id="21335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6ADA3-3F08-4C48-A40D-5FB5F451A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6</Pages>
  <Words>2273</Words>
  <Characters>12957</Characters>
  <Application>Microsoft Office Word</Application>
  <DocSecurity>0</DocSecurity>
  <Lines>107</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Manel</dc:creator>
  <cp:keywords/>
  <dc:description/>
  <cp:lastModifiedBy>Karen Donovan</cp:lastModifiedBy>
  <cp:revision>55</cp:revision>
  <cp:lastPrinted>2025-11-14T09:03:00Z</cp:lastPrinted>
  <dcterms:created xsi:type="dcterms:W3CDTF">2024-11-09T10:17:00Z</dcterms:created>
  <dcterms:modified xsi:type="dcterms:W3CDTF">2025-11-14T14:24:00Z</dcterms:modified>
</cp:coreProperties>
</file>